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128E3" w:rsidRPr="00415BA0" w14:paraId="6CE1B708" w14:textId="77777777" w:rsidTr="00B6553F">
        <w:trPr>
          <w:cantSplit/>
          <w:trHeight w:hRule="exact" w:val="851"/>
        </w:trPr>
        <w:tc>
          <w:tcPr>
            <w:tcW w:w="1276" w:type="dxa"/>
            <w:tcBorders>
              <w:bottom w:val="single" w:sz="4" w:space="0" w:color="auto"/>
            </w:tcBorders>
            <w:vAlign w:val="bottom"/>
          </w:tcPr>
          <w:p w14:paraId="33C73ABA" w14:textId="77777777" w:rsidR="000128E3" w:rsidRPr="000B4A49" w:rsidRDefault="000128E3" w:rsidP="00B6553F">
            <w:pPr>
              <w:spacing w:after="80"/>
            </w:pPr>
          </w:p>
        </w:tc>
        <w:tc>
          <w:tcPr>
            <w:tcW w:w="2268" w:type="dxa"/>
            <w:tcBorders>
              <w:bottom w:val="single" w:sz="4" w:space="0" w:color="auto"/>
            </w:tcBorders>
            <w:vAlign w:val="bottom"/>
          </w:tcPr>
          <w:p w14:paraId="7D24C8DC" w14:textId="77777777" w:rsidR="000128E3" w:rsidRPr="00415BA0" w:rsidRDefault="000128E3" w:rsidP="00B6553F">
            <w:pPr>
              <w:spacing w:after="80" w:line="300" w:lineRule="exact"/>
              <w:rPr>
                <w:b/>
              </w:rPr>
            </w:pPr>
            <w:r w:rsidRPr="00415BA0">
              <w:rPr>
                <w:sz w:val="28"/>
                <w:szCs w:val="28"/>
              </w:rPr>
              <w:t>United Nations</w:t>
            </w:r>
          </w:p>
        </w:tc>
        <w:tc>
          <w:tcPr>
            <w:tcW w:w="6095" w:type="dxa"/>
            <w:gridSpan w:val="2"/>
            <w:tcBorders>
              <w:bottom w:val="single" w:sz="4" w:space="0" w:color="auto"/>
            </w:tcBorders>
            <w:vAlign w:val="bottom"/>
          </w:tcPr>
          <w:p w14:paraId="75B25CF7" w14:textId="357A8672" w:rsidR="000128E3" w:rsidRPr="00E73B8F" w:rsidRDefault="00C13C13" w:rsidP="002E0468">
            <w:pPr>
              <w:jc w:val="right"/>
            </w:pPr>
            <w:r w:rsidRPr="006A31AE">
              <w:rPr>
                <w:sz w:val="40"/>
              </w:rPr>
              <w:t>CCPR</w:t>
            </w:r>
            <w:r w:rsidRPr="00C13C13">
              <w:rPr>
                <w:sz w:val="20"/>
              </w:rPr>
              <w:t>/C</w:t>
            </w:r>
            <w:r w:rsidR="0096491A">
              <w:rPr>
                <w:sz w:val="20"/>
              </w:rPr>
              <w:t>/</w:t>
            </w:r>
            <w:r w:rsidRPr="00C13C13">
              <w:rPr>
                <w:sz w:val="20"/>
              </w:rPr>
              <w:t>13</w:t>
            </w:r>
            <w:r w:rsidR="00B77AAF">
              <w:rPr>
                <w:sz w:val="20"/>
              </w:rPr>
              <w:t>3</w:t>
            </w:r>
            <w:r w:rsidR="000128E3" w:rsidRPr="00C13C13">
              <w:rPr>
                <w:sz w:val="20"/>
              </w:rPr>
              <w:t>/D</w:t>
            </w:r>
            <w:r w:rsidR="009C7EFD" w:rsidRPr="00C13C13">
              <w:rPr>
                <w:sz w:val="20"/>
              </w:rPr>
              <w:t>/2</w:t>
            </w:r>
            <w:r w:rsidR="00B77AAF">
              <w:rPr>
                <w:sz w:val="20"/>
              </w:rPr>
              <w:t>904</w:t>
            </w:r>
            <w:r w:rsidR="000128E3" w:rsidRPr="00C13C13">
              <w:rPr>
                <w:sz w:val="20"/>
              </w:rPr>
              <w:t>/201</w:t>
            </w:r>
            <w:r w:rsidR="00B77AAF">
              <w:rPr>
                <w:sz w:val="20"/>
              </w:rPr>
              <w:t>6</w:t>
            </w:r>
          </w:p>
          <w:p w14:paraId="073A9138" w14:textId="38848161" w:rsidR="00E73B8F" w:rsidRPr="00415BA0" w:rsidRDefault="00C13C13" w:rsidP="002E0468">
            <w:pPr>
              <w:jc w:val="right"/>
            </w:pPr>
            <w:r w:rsidRPr="006A31AE">
              <w:rPr>
                <w:sz w:val="40"/>
              </w:rPr>
              <w:t>CCPR</w:t>
            </w:r>
            <w:r w:rsidRPr="00C13C13">
              <w:rPr>
                <w:sz w:val="20"/>
              </w:rPr>
              <w:t>/C</w:t>
            </w:r>
            <w:r w:rsidR="0096491A">
              <w:rPr>
                <w:sz w:val="20"/>
              </w:rPr>
              <w:t>/</w:t>
            </w:r>
            <w:r w:rsidRPr="00C13C13">
              <w:rPr>
                <w:sz w:val="20"/>
              </w:rPr>
              <w:t>13</w:t>
            </w:r>
            <w:r w:rsidR="00B77AAF">
              <w:rPr>
                <w:sz w:val="20"/>
              </w:rPr>
              <w:t>3</w:t>
            </w:r>
            <w:r w:rsidRPr="00C13C13">
              <w:rPr>
                <w:sz w:val="20"/>
              </w:rPr>
              <w:t>/</w:t>
            </w:r>
            <w:r w:rsidR="00E73B8F" w:rsidRPr="00C13C13">
              <w:rPr>
                <w:sz w:val="20"/>
              </w:rPr>
              <w:t>D/2</w:t>
            </w:r>
            <w:r w:rsidR="00B77AAF">
              <w:rPr>
                <w:sz w:val="20"/>
              </w:rPr>
              <w:t>907</w:t>
            </w:r>
            <w:r w:rsidR="00E73B8F" w:rsidRPr="00C13C13">
              <w:rPr>
                <w:sz w:val="20"/>
              </w:rPr>
              <w:t>/201</w:t>
            </w:r>
            <w:r w:rsidR="00B77AAF">
              <w:rPr>
                <w:sz w:val="20"/>
              </w:rPr>
              <w:t>6</w:t>
            </w:r>
          </w:p>
        </w:tc>
      </w:tr>
      <w:tr w:rsidR="000128E3" w:rsidRPr="00415BA0" w14:paraId="09E84155" w14:textId="77777777" w:rsidTr="00B6553F">
        <w:trPr>
          <w:cantSplit/>
          <w:trHeight w:hRule="exact" w:val="2835"/>
        </w:trPr>
        <w:tc>
          <w:tcPr>
            <w:tcW w:w="1276" w:type="dxa"/>
            <w:tcBorders>
              <w:top w:val="single" w:sz="4" w:space="0" w:color="auto"/>
              <w:bottom w:val="single" w:sz="12" w:space="0" w:color="auto"/>
            </w:tcBorders>
          </w:tcPr>
          <w:p w14:paraId="2A3795C2" w14:textId="77777777" w:rsidR="000128E3" w:rsidRPr="00415BA0" w:rsidRDefault="00F145AF" w:rsidP="00B6553F">
            <w:pPr>
              <w:spacing w:before="120"/>
            </w:pPr>
            <w:r w:rsidRPr="00415BA0">
              <w:rPr>
                <w:noProof/>
                <w:lang w:val="en-GB" w:eastAsia="en-GB" w:bidi="ar-SA"/>
              </w:rPr>
              <w:drawing>
                <wp:inline distT="0" distB="0" distL="0" distR="0" wp14:anchorId="4B8543F2" wp14:editId="528C8589">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7B6D64" w14:textId="77777777" w:rsidR="00C7385F" w:rsidRDefault="000128E3" w:rsidP="00267F5F">
            <w:pPr>
              <w:spacing w:before="120" w:line="380" w:lineRule="exact"/>
              <w:rPr>
                <w:b/>
                <w:sz w:val="34"/>
                <w:szCs w:val="40"/>
              </w:rPr>
            </w:pPr>
            <w:r w:rsidRPr="00415BA0">
              <w:rPr>
                <w:b/>
                <w:sz w:val="34"/>
                <w:szCs w:val="40"/>
              </w:rPr>
              <w:t>International Covenant on</w:t>
            </w:r>
            <w:r w:rsidRPr="00415BA0">
              <w:rPr>
                <w:b/>
                <w:sz w:val="34"/>
                <w:szCs w:val="40"/>
              </w:rPr>
              <w:br/>
              <w:t>Civil and Political Rights</w:t>
            </w:r>
          </w:p>
          <w:p w14:paraId="64109965" w14:textId="77777777" w:rsidR="00CD5731" w:rsidRDefault="00CD5731" w:rsidP="00267F5F">
            <w:pPr>
              <w:spacing w:before="120" w:line="380" w:lineRule="exact"/>
              <w:rPr>
                <w:b/>
                <w:sz w:val="34"/>
                <w:szCs w:val="40"/>
              </w:rPr>
            </w:pPr>
          </w:p>
          <w:p w14:paraId="31790407" w14:textId="3116AB52" w:rsidR="00CD5731" w:rsidRPr="00415BA0" w:rsidRDefault="00CD5731" w:rsidP="00267F5F">
            <w:pPr>
              <w:spacing w:before="120" w:line="380" w:lineRule="exact"/>
              <w:rPr>
                <w:b/>
                <w:sz w:val="34"/>
                <w:szCs w:val="40"/>
              </w:rPr>
            </w:pPr>
            <w:r w:rsidRPr="00CD5731">
              <w:rPr>
                <w:b/>
                <w:sz w:val="34"/>
                <w:szCs w:val="40"/>
              </w:rPr>
              <w:t>Advance unedited version</w:t>
            </w:r>
          </w:p>
        </w:tc>
        <w:tc>
          <w:tcPr>
            <w:tcW w:w="2835" w:type="dxa"/>
            <w:tcBorders>
              <w:top w:val="single" w:sz="4" w:space="0" w:color="auto"/>
              <w:bottom w:val="single" w:sz="12" w:space="0" w:color="auto"/>
            </w:tcBorders>
          </w:tcPr>
          <w:p w14:paraId="0A9C3E23" w14:textId="39DADDF1" w:rsidR="00FC70CA" w:rsidRPr="001D4FC3" w:rsidRDefault="00FC70CA" w:rsidP="002E0468">
            <w:pPr>
              <w:spacing w:before="240" w:line="240" w:lineRule="exact"/>
              <w:rPr>
                <w:sz w:val="20"/>
                <w:szCs w:val="20"/>
                <w:lang w:eastAsia="en-GB"/>
              </w:rPr>
            </w:pPr>
            <w:r w:rsidRPr="001D4FC3">
              <w:rPr>
                <w:sz w:val="20"/>
                <w:szCs w:val="20"/>
              </w:rPr>
              <w:t xml:space="preserve">Distr.: </w:t>
            </w:r>
            <w:r w:rsidR="002E0468">
              <w:t xml:space="preserve"> </w:t>
            </w:r>
            <w:r w:rsidR="002E0468" w:rsidRPr="002E0468">
              <w:rPr>
                <w:sz w:val="20"/>
                <w:szCs w:val="20"/>
              </w:rPr>
              <w:t>General</w:t>
            </w:r>
          </w:p>
          <w:p w14:paraId="27088408" w14:textId="24C6D70E" w:rsidR="00FC70CA" w:rsidRPr="001D4FC3" w:rsidRDefault="007742D4" w:rsidP="001D4FC3">
            <w:pPr>
              <w:spacing w:line="240" w:lineRule="exact"/>
              <w:rPr>
                <w:sz w:val="20"/>
                <w:szCs w:val="20"/>
              </w:rPr>
            </w:pPr>
            <w:r>
              <w:rPr>
                <w:sz w:val="20"/>
                <w:szCs w:val="20"/>
              </w:rPr>
              <w:t xml:space="preserve">10 December </w:t>
            </w:r>
            <w:r w:rsidR="00FC70CA" w:rsidRPr="001D4FC3">
              <w:rPr>
                <w:sz w:val="20"/>
                <w:szCs w:val="20"/>
              </w:rPr>
              <w:t>20</w:t>
            </w:r>
            <w:r w:rsidR="000203CD" w:rsidRPr="001D4FC3">
              <w:rPr>
                <w:sz w:val="20"/>
                <w:szCs w:val="20"/>
              </w:rPr>
              <w:t>2</w:t>
            </w:r>
            <w:r w:rsidR="00B77AAF">
              <w:rPr>
                <w:sz w:val="20"/>
                <w:szCs w:val="20"/>
              </w:rPr>
              <w:t>1</w:t>
            </w:r>
          </w:p>
          <w:p w14:paraId="0CBDED0B" w14:textId="77777777" w:rsidR="00FC70CA" w:rsidRPr="001D4FC3" w:rsidRDefault="00FC70CA" w:rsidP="00FC70CA">
            <w:pPr>
              <w:spacing w:line="240" w:lineRule="exact"/>
              <w:rPr>
                <w:sz w:val="20"/>
                <w:szCs w:val="20"/>
              </w:rPr>
            </w:pPr>
          </w:p>
          <w:p w14:paraId="6D3B7312" w14:textId="77777777" w:rsidR="00FC70CA" w:rsidRPr="001D4FC3" w:rsidRDefault="00FC70CA" w:rsidP="00FC70CA">
            <w:pPr>
              <w:spacing w:line="240" w:lineRule="exact"/>
              <w:rPr>
                <w:sz w:val="20"/>
                <w:szCs w:val="20"/>
              </w:rPr>
            </w:pPr>
            <w:r w:rsidRPr="001D4FC3">
              <w:rPr>
                <w:sz w:val="20"/>
                <w:szCs w:val="20"/>
              </w:rPr>
              <w:t>Original: English</w:t>
            </w:r>
          </w:p>
          <w:p w14:paraId="347F1227" w14:textId="7B34FB0A" w:rsidR="000128E3" w:rsidRPr="00C13C13" w:rsidRDefault="000128E3" w:rsidP="007113A4">
            <w:pPr>
              <w:spacing w:line="240" w:lineRule="exact"/>
              <w:rPr>
                <w:sz w:val="20"/>
                <w:szCs w:val="20"/>
              </w:rPr>
            </w:pPr>
          </w:p>
        </w:tc>
      </w:tr>
    </w:tbl>
    <w:p w14:paraId="2E1F0138" w14:textId="77777777" w:rsidR="008C017D" w:rsidRPr="00415BA0" w:rsidRDefault="008C017D" w:rsidP="008C017D">
      <w:pPr>
        <w:spacing w:line="20" w:lineRule="exact"/>
        <w:rPr>
          <w:b/>
          <w:sz w:val="2"/>
        </w:rPr>
      </w:pPr>
    </w:p>
    <w:p w14:paraId="10517D73" w14:textId="77777777" w:rsidR="00A52EE0" w:rsidRPr="00A52EE0" w:rsidRDefault="00A52EE0" w:rsidP="00A52EE0">
      <w:pPr>
        <w:spacing w:before="120"/>
        <w:rPr>
          <w:b/>
        </w:rPr>
      </w:pPr>
      <w:r w:rsidRPr="00A52EE0">
        <w:rPr>
          <w:b/>
        </w:rPr>
        <w:t>Human Rights Committee</w:t>
      </w:r>
    </w:p>
    <w:p w14:paraId="6A6D675A" w14:textId="4676CD7C" w:rsidR="008A5196" w:rsidRPr="00415BA0" w:rsidRDefault="00FC70CA" w:rsidP="00FC70CA">
      <w:pPr>
        <w:pStyle w:val="HChG"/>
        <w:rPr>
          <w:sz w:val="20"/>
        </w:rPr>
      </w:pPr>
      <w:r w:rsidRPr="00415BA0">
        <w:tab/>
      </w:r>
      <w:r w:rsidRPr="00415BA0">
        <w:tab/>
      </w:r>
      <w:r w:rsidR="002E0468" w:rsidRPr="002A0F6C">
        <w:rPr>
          <w:rFonts w:eastAsia="MS Mincho"/>
        </w:rPr>
        <w:t xml:space="preserve">Views adopted by the Committee under article 5 (4) </w:t>
      </w:r>
      <w:r w:rsidR="002E0468">
        <w:rPr>
          <w:rFonts w:eastAsia="MS Mincho"/>
        </w:rPr>
        <w:br/>
      </w:r>
      <w:r w:rsidR="002E0468" w:rsidRPr="002A0F6C">
        <w:rPr>
          <w:rFonts w:eastAsia="MS Mincho"/>
        </w:rPr>
        <w:t>of the Optional Protocol, concerning</w:t>
      </w:r>
      <w:r w:rsidR="002E0468" w:rsidRPr="00415BA0">
        <w:t xml:space="preserve"> </w:t>
      </w:r>
      <w:r w:rsidR="00057676">
        <w:t>-c</w:t>
      </w:r>
      <w:r w:rsidR="008A5196" w:rsidRPr="00415BA0">
        <w:t>ommunication</w:t>
      </w:r>
      <w:r w:rsidR="00A520DC">
        <w:t>s</w:t>
      </w:r>
      <w:r w:rsidR="008A5196" w:rsidRPr="00415BA0">
        <w:t xml:space="preserve"> No</w:t>
      </w:r>
      <w:r w:rsidR="00950E17">
        <w:t>s</w:t>
      </w:r>
      <w:r w:rsidR="008A5196" w:rsidRPr="00415BA0">
        <w:t xml:space="preserve">. </w:t>
      </w:r>
      <w:r w:rsidR="008428C9">
        <w:t>2</w:t>
      </w:r>
      <w:r w:rsidR="00B77AAF">
        <w:t>904</w:t>
      </w:r>
      <w:r w:rsidR="00CB6C91" w:rsidRPr="00415BA0">
        <w:t>/201</w:t>
      </w:r>
      <w:r w:rsidR="00B77AAF">
        <w:t>6</w:t>
      </w:r>
      <w:r w:rsidR="00950E17">
        <w:t xml:space="preserve"> and 2</w:t>
      </w:r>
      <w:r w:rsidR="00B77AAF">
        <w:t>907</w:t>
      </w:r>
      <w:r w:rsidR="00950E17">
        <w:t>/201</w:t>
      </w:r>
      <w:r w:rsidR="00B77AAF">
        <w:t>6</w:t>
      </w:r>
      <w:r w:rsidR="002E0468" w:rsidRPr="00CD5731">
        <w:rPr>
          <w:rStyle w:val="FootnoteReference"/>
          <w:sz w:val="20"/>
          <w:vertAlign w:val="baseline"/>
        </w:rPr>
        <w:footnoteReference w:customMarkFollows="1" w:id="2"/>
        <w:t>*</w:t>
      </w:r>
      <w:r w:rsidR="002E0468" w:rsidRPr="009601F6">
        <w:rPr>
          <w:sz w:val="20"/>
          <w:vertAlign w:val="superscript"/>
        </w:rPr>
        <w:t>,</w:t>
      </w:r>
      <w:r w:rsidR="002E0468" w:rsidRPr="00CD5731">
        <w:rPr>
          <w:rStyle w:val="FootnoteReference"/>
          <w:sz w:val="20"/>
          <w:vertAlign w:val="baseline"/>
        </w:rPr>
        <w:footnoteReference w:customMarkFollows="1" w:id="3"/>
        <w:t>**</w:t>
      </w:r>
    </w:p>
    <w:p w14:paraId="0D447577" w14:textId="48F4144B" w:rsidR="000128E3" w:rsidRPr="00415BA0" w:rsidRDefault="00683EF7" w:rsidP="00985865">
      <w:pPr>
        <w:pStyle w:val="SingleTxtG"/>
        <w:ind w:left="4536" w:hanging="3402"/>
        <w:jc w:val="left"/>
      </w:pPr>
      <w:r w:rsidRPr="00415BA0">
        <w:rPr>
          <w:i/>
        </w:rPr>
        <w:t>Communication s</w:t>
      </w:r>
      <w:r w:rsidR="000128E3" w:rsidRPr="00415BA0">
        <w:rPr>
          <w:i/>
        </w:rPr>
        <w:t>ubmitted by:</w:t>
      </w:r>
      <w:r w:rsidR="000128E3" w:rsidRPr="00415BA0">
        <w:tab/>
      </w:r>
      <w:proofErr w:type="spellStart"/>
      <w:r w:rsidR="00B77AAF">
        <w:t>Ermek</w:t>
      </w:r>
      <w:proofErr w:type="spellEnd"/>
      <w:r w:rsidR="00B77AAF">
        <w:t xml:space="preserve"> </w:t>
      </w:r>
      <w:proofErr w:type="spellStart"/>
      <w:r w:rsidR="00B77AAF">
        <w:t>Narymbaev</w:t>
      </w:r>
      <w:proofErr w:type="spellEnd"/>
      <w:r w:rsidR="000F2B93">
        <w:rPr>
          <w:lang w:val="en-US"/>
        </w:rPr>
        <w:t xml:space="preserve"> </w:t>
      </w:r>
      <w:r w:rsidR="009A1452" w:rsidRPr="00415BA0">
        <w:t>(</w:t>
      </w:r>
      <w:r w:rsidR="005E2E34">
        <w:t xml:space="preserve">represented by </w:t>
      </w:r>
      <w:r w:rsidR="00D012D4">
        <w:t>counsel</w:t>
      </w:r>
      <w:r w:rsidR="00B77AAF">
        <w:t xml:space="preserve">, </w:t>
      </w:r>
      <w:proofErr w:type="spellStart"/>
      <w:r w:rsidR="008A2203">
        <w:t>Balgabaeva</w:t>
      </w:r>
      <w:proofErr w:type="spellEnd"/>
      <w:r w:rsidR="008A2203">
        <w:t xml:space="preserve"> </w:t>
      </w:r>
      <w:proofErr w:type="spellStart"/>
      <w:r w:rsidR="008A2203">
        <w:t>Zhanara</w:t>
      </w:r>
      <w:proofErr w:type="spellEnd"/>
      <w:r w:rsidR="000128E3" w:rsidRPr="00415BA0">
        <w:t>)</w:t>
      </w:r>
    </w:p>
    <w:p w14:paraId="165B2091" w14:textId="2BFE69B9" w:rsidR="000128E3" w:rsidRPr="00415BA0" w:rsidRDefault="000128E3" w:rsidP="007113A4">
      <w:pPr>
        <w:pStyle w:val="SingleTxtG"/>
        <w:ind w:left="4536" w:hanging="3402"/>
        <w:jc w:val="left"/>
      </w:pPr>
      <w:r w:rsidRPr="00415BA0">
        <w:rPr>
          <w:i/>
        </w:rPr>
        <w:t>Alleged victim:</w:t>
      </w:r>
      <w:r w:rsidRPr="00415BA0">
        <w:tab/>
      </w:r>
      <w:r w:rsidR="00D7781D">
        <w:t>T</w:t>
      </w:r>
      <w:r w:rsidR="00DD26A8" w:rsidRPr="00415BA0">
        <w:t>he author</w:t>
      </w:r>
    </w:p>
    <w:p w14:paraId="40FD05FA" w14:textId="451FE720" w:rsidR="000128E3" w:rsidRPr="00415BA0" w:rsidRDefault="000128E3" w:rsidP="007113A4">
      <w:pPr>
        <w:pStyle w:val="SingleTxtG"/>
        <w:ind w:left="4536" w:hanging="3402"/>
        <w:jc w:val="left"/>
      </w:pPr>
      <w:r w:rsidRPr="00415BA0">
        <w:rPr>
          <w:i/>
        </w:rPr>
        <w:t>State party:</w:t>
      </w:r>
      <w:bookmarkStart w:id="0" w:name="_GoBack"/>
      <w:bookmarkEnd w:id="0"/>
      <w:r w:rsidRPr="00415BA0">
        <w:tab/>
      </w:r>
      <w:r w:rsidR="008A2203">
        <w:t>Kazakhstan</w:t>
      </w:r>
    </w:p>
    <w:p w14:paraId="45DB11F6" w14:textId="467E7498" w:rsidR="000128E3" w:rsidRPr="00415BA0" w:rsidRDefault="000128E3" w:rsidP="0096491A">
      <w:pPr>
        <w:pStyle w:val="SingleTxtG"/>
        <w:ind w:left="4536" w:hanging="3402"/>
        <w:jc w:val="left"/>
      </w:pPr>
      <w:r w:rsidRPr="00415BA0">
        <w:rPr>
          <w:i/>
        </w:rPr>
        <w:t>Date of communication</w:t>
      </w:r>
      <w:r w:rsidR="00163D95">
        <w:rPr>
          <w:i/>
        </w:rPr>
        <w:t>s</w:t>
      </w:r>
      <w:r w:rsidRPr="00415BA0">
        <w:rPr>
          <w:i/>
        </w:rPr>
        <w:t>:</w:t>
      </w:r>
      <w:r w:rsidRPr="00415BA0">
        <w:tab/>
      </w:r>
      <w:r w:rsidR="00163D95">
        <w:t>7 October</w:t>
      </w:r>
      <w:r w:rsidR="00BB7A8F">
        <w:t xml:space="preserve"> </w:t>
      </w:r>
      <w:r w:rsidR="00163D95">
        <w:t xml:space="preserve">2016 </w:t>
      </w:r>
      <w:r w:rsidR="00F416ED">
        <w:t>[</w:t>
      </w:r>
      <w:r w:rsidR="00163D95">
        <w:t>both communications</w:t>
      </w:r>
      <w:r w:rsidR="00F416ED">
        <w:t>]</w:t>
      </w:r>
      <w:r w:rsidR="00163D95">
        <w:t xml:space="preserve"> </w:t>
      </w:r>
      <w:r w:rsidR="00F957E4">
        <w:t xml:space="preserve">(initial </w:t>
      </w:r>
      <w:r w:rsidR="00E86B51">
        <w:t>submissions</w:t>
      </w:r>
      <w:r w:rsidR="00F957E4">
        <w:t>)</w:t>
      </w:r>
      <w:r w:rsidR="009D6C47">
        <w:t xml:space="preserve"> </w:t>
      </w:r>
    </w:p>
    <w:p w14:paraId="0B742889" w14:textId="05CCBCC3" w:rsidR="00163D95" w:rsidRPr="00163D95" w:rsidRDefault="000128E3" w:rsidP="00163D95">
      <w:pPr>
        <w:pStyle w:val="SingleTxtG"/>
        <w:ind w:left="4536" w:hanging="3402"/>
        <w:jc w:val="left"/>
      </w:pPr>
      <w:r w:rsidRPr="00415BA0">
        <w:rPr>
          <w:i/>
        </w:rPr>
        <w:t>Document references:</w:t>
      </w:r>
      <w:r w:rsidRPr="00415BA0">
        <w:tab/>
      </w:r>
      <w:r w:rsidR="00163D95" w:rsidRPr="00163D95">
        <w:t xml:space="preserve">Decision taken pursuant to rule 92 of the Committee’s rules of procedure, transmitted to the State party on </w:t>
      </w:r>
      <w:r w:rsidR="00163D95">
        <w:t>13 December 2016</w:t>
      </w:r>
      <w:r w:rsidR="00163D95" w:rsidRPr="00163D95">
        <w:t xml:space="preserve"> </w:t>
      </w:r>
      <w:r w:rsidR="00163D95">
        <w:t>(No.2904/2016) and 15 December 2016 (No. 2907/2016)</w:t>
      </w:r>
      <w:r w:rsidR="00163D95" w:rsidRPr="00163D95">
        <w:t xml:space="preserve"> (not issued in document form)</w:t>
      </w:r>
    </w:p>
    <w:p w14:paraId="2231A78A" w14:textId="36D39236" w:rsidR="000128E3" w:rsidRPr="00415BA0" w:rsidRDefault="000128E3" w:rsidP="00B044F7">
      <w:pPr>
        <w:pStyle w:val="SingleTxtG"/>
        <w:ind w:left="4536" w:hanging="3402"/>
        <w:jc w:val="left"/>
        <w:rPr>
          <w:i/>
        </w:rPr>
      </w:pPr>
      <w:r w:rsidRPr="00415BA0">
        <w:rPr>
          <w:i/>
        </w:rPr>
        <w:t>Date of adoption of Views:</w:t>
      </w:r>
      <w:r w:rsidRPr="00415BA0">
        <w:tab/>
      </w:r>
      <w:r w:rsidR="00B044F7">
        <w:t xml:space="preserve">20 October </w:t>
      </w:r>
      <w:r w:rsidRPr="00415BA0">
        <w:t>20</w:t>
      </w:r>
      <w:r w:rsidR="000203CD">
        <w:t>2</w:t>
      </w:r>
      <w:r w:rsidR="00B77AAF">
        <w:t>1</w:t>
      </w:r>
    </w:p>
    <w:p w14:paraId="65F5147A" w14:textId="23F77283" w:rsidR="000128E3" w:rsidRPr="00415BA0" w:rsidRDefault="000128E3" w:rsidP="007113A4">
      <w:pPr>
        <w:pStyle w:val="SingleTxtG"/>
        <w:ind w:left="4536" w:hanging="3402"/>
        <w:jc w:val="left"/>
      </w:pPr>
      <w:r w:rsidRPr="00415BA0">
        <w:rPr>
          <w:i/>
          <w:iCs/>
        </w:rPr>
        <w:t>Subject matter:</w:t>
      </w:r>
      <w:r w:rsidRPr="00415BA0">
        <w:tab/>
      </w:r>
      <w:r w:rsidR="00433C6B">
        <w:t xml:space="preserve">participation in </w:t>
      </w:r>
      <w:r w:rsidR="00E86B51">
        <w:t>peaceful</w:t>
      </w:r>
      <w:r w:rsidR="00433C6B">
        <w:t xml:space="preserve"> assembly, </w:t>
      </w:r>
      <w:r w:rsidR="008428C9">
        <w:t>freedom of expression</w:t>
      </w:r>
      <w:r w:rsidR="00442E22" w:rsidRPr="00415BA0">
        <w:t xml:space="preserve"> </w:t>
      </w:r>
      <w:r w:rsidRPr="00415BA0">
        <w:t xml:space="preserve"> </w:t>
      </w:r>
    </w:p>
    <w:p w14:paraId="061F6F28" w14:textId="38832C3B" w:rsidR="000128E3" w:rsidRPr="00F25C4A" w:rsidRDefault="000128E3" w:rsidP="007113A4">
      <w:pPr>
        <w:pStyle w:val="SingleTxtG"/>
        <w:ind w:left="4536" w:hanging="3402"/>
        <w:jc w:val="left"/>
        <w:rPr>
          <w:lang w:val="en-US"/>
        </w:rPr>
      </w:pPr>
      <w:r w:rsidRPr="00415BA0">
        <w:rPr>
          <w:i/>
          <w:iCs/>
        </w:rPr>
        <w:t xml:space="preserve">Procedural issue: </w:t>
      </w:r>
      <w:r w:rsidRPr="00415BA0">
        <w:rPr>
          <w:i/>
          <w:iCs/>
        </w:rPr>
        <w:tab/>
      </w:r>
      <w:r w:rsidR="008F0125" w:rsidRPr="008F0125">
        <w:rPr>
          <w:lang w:val="en-US"/>
        </w:rPr>
        <w:t>Exhaustion of domestic remedies</w:t>
      </w:r>
    </w:p>
    <w:p w14:paraId="7EF7F50B" w14:textId="3E020E36" w:rsidR="000128E3" w:rsidRPr="00415BA0" w:rsidRDefault="000128E3" w:rsidP="007113A4">
      <w:pPr>
        <w:pStyle w:val="SingleTxtG"/>
        <w:ind w:left="4536" w:hanging="3402"/>
        <w:jc w:val="left"/>
      </w:pPr>
      <w:r w:rsidRPr="00415BA0">
        <w:rPr>
          <w:i/>
          <w:iCs/>
        </w:rPr>
        <w:t>Substantive issue</w:t>
      </w:r>
      <w:r w:rsidR="008528FD">
        <w:rPr>
          <w:i/>
          <w:iCs/>
        </w:rPr>
        <w:t>s</w:t>
      </w:r>
      <w:r w:rsidRPr="00415BA0">
        <w:rPr>
          <w:i/>
          <w:iCs/>
        </w:rPr>
        <w:t xml:space="preserve">: </w:t>
      </w:r>
      <w:r w:rsidRPr="00415BA0">
        <w:rPr>
          <w:i/>
          <w:iCs/>
        </w:rPr>
        <w:tab/>
      </w:r>
      <w:r w:rsidR="00433C6B">
        <w:rPr>
          <w:iCs/>
        </w:rPr>
        <w:t>fair trial; f</w:t>
      </w:r>
      <w:r w:rsidR="00636CE7">
        <w:rPr>
          <w:iCs/>
        </w:rPr>
        <w:t>reedom of assembly</w:t>
      </w:r>
      <w:r w:rsidR="00EE7275">
        <w:t xml:space="preserve">; </w:t>
      </w:r>
      <w:r w:rsidR="00636CE7">
        <w:t>freedom of expression</w:t>
      </w:r>
    </w:p>
    <w:p w14:paraId="3EBFB808" w14:textId="156178AC" w:rsidR="000C34A6" w:rsidRPr="00143694" w:rsidRDefault="000128E3" w:rsidP="000C34A6">
      <w:pPr>
        <w:pStyle w:val="SingleTxtG"/>
        <w:ind w:left="4536" w:hanging="3402"/>
        <w:jc w:val="left"/>
        <w:rPr>
          <w:lang w:val="en-US"/>
        </w:rPr>
      </w:pPr>
      <w:r w:rsidRPr="00415BA0">
        <w:rPr>
          <w:i/>
          <w:iCs/>
        </w:rPr>
        <w:t>Articles of the Covenant:</w:t>
      </w:r>
      <w:r w:rsidRPr="00415BA0">
        <w:t xml:space="preserve"> </w:t>
      </w:r>
      <w:r w:rsidRPr="00415BA0">
        <w:tab/>
      </w:r>
      <w:r w:rsidR="00163D95">
        <w:t xml:space="preserve">14, </w:t>
      </w:r>
      <w:r w:rsidR="00636CE7">
        <w:t>19</w:t>
      </w:r>
      <w:r w:rsidR="00891311">
        <w:t xml:space="preserve"> and</w:t>
      </w:r>
      <w:r w:rsidR="00636CE7">
        <w:t xml:space="preserve"> 21</w:t>
      </w:r>
      <w:r w:rsidR="000C34A6" w:rsidRPr="00891311">
        <w:t xml:space="preserve"> </w:t>
      </w:r>
      <w:r w:rsidR="00856F9E">
        <w:t xml:space="preserve"> </w:t>
      </w:r>
    </w:p>
    <w:p w14:paraId="282ADACF" w14:textId="2CC5DBA1" w:rsidR="003C4DEF" w:rsidRDefault="000128E3" w:rsidP="003C4DEF">
      <w:pPr>
        <w:pStyle w:val="SingleTxtG"/>
        <w:ind w:left="4536" w:hanging="3402"/>
        <w:jc w:val="left"/>
        <w:rPr>
          <w:iCs/>
          <w:lang w:val="en-US"/>
        </w:rPr>
      </w:pPr>
      <w:r w:rsidRPr="00415BA0">
        <w:rPr>
          <w:i/>
          <w:iCs/>
        </w:rPr>
        <w:t>Articles of the Optional Protocol:</w:t>
      </w:r>
      <w:r w:rsidRPr="00415BA0">
        <w:rPr>
          <w:i/>
          <w:iCs/>
        </w:rPr>
        <w:tab/>
      </w:r>
      <w:r w:rsidR="0029607D" w:rsidRPr="001E0966">
        <w:rPr>
          <w:iCs/>
        </w:rPr>
        <w:t>2</w:t>
      </w:r>
      <w:r w:rsidR="008F0125">
        <w:rPr>
          <w:iCs/>
        </w:rPr>
        <w:t>,</w:t>
      </w:r>
      <w:r w:rsidR="0029607D" w:rsidRPr="001E0966">
        <w:rPr>
          <w:iCs/>
        </w:rPr>
        <w:t xml:space="preserve"> </w:t>
      </w:r>
      <w:r w:rsidR="00F416ED">
        <w:rPr>
          <w:iCs/>
        </w:rPr>
        <w:t>3</w:t>
      </w:r>
      <w:r w:rsidR="008F0125" w:rsidRPr="008F0125">
        <w:rPr>
          <w:iCs/>
          <w:lang w:val="en-US"/>
        </w:rPr>
        <w:t xml:space="preserve"> and 5 (2) (b)</w:t>
      </w:r>
    </w:p>
    <w:p w14:paraId="3C38B4FD" w14:textId="1AEC634E" w:rsidR="001E1235" w:rsidRDefault="001E1235" w:rsidP="001E1235">
      <w:pPr>
        <w:pStyle w:val="SingleTxtG"/>
      </w:pPr>
      <w:r w:rsidRPr="00415BA0">
        <w:t>1.</w:t>
      </w:r>
      <w:r w:rsidR="0026467C">
        <w:t>1</w:t>
      </w:r>
      <w:r w:rsidRPr="00415BA0">
        <w:tab/>
      </w:r>
      <w:r w:rsidR="00D012D4">
        <w:t xml:space="preserve">The author of the </w:t>
      </w:r>
      <w:r w:rsidR="0026467C">
        <w:t xml:space="preserve">two </w:t>
      </w:r>
      <w:r w:rsidR="00D012D4">
        <w:t>communication</w:t>
      </w:r>
      <w:r w:rsidR="0026467C">
        <w:t>s</w:t>
      </w:r>
      <w:r w:rsidR="00D012D4">
        <w:t xml:space="preserve"> is Mr. </w:t>
      </w:r>
      <w:proofErr w:type="spellStart"/>
      <w:r w:rsidR="00F416ED">
        <w:t>Ermek</w:t>
      </w:r>
      <w:proofErr w:type="spellEnd"/>
      <w:r w:rsidR="00F416ED">
        <w:t xml:space="preserve"> </w:t>
      </w:r>
      <w:proofErr w:type="spellStart"/>
      <w:r w:rsidR="00F416ED">
        <w:t>Narymbaev</w:t>
      </w:r>
      <w:proofErr w:type="spellEnd"/>
      <w:r w:rsidR="00D012D4">
        <w:t xml:space="preserve">, a national of </w:t>
      </w:r>
      <w:r w:rsidR="00F416ED">
        <w:t>Kazakhstan</w:t>
      </w:r>
      <w:r w:rsidR="00D012D4">
        <w:t xml:space="preserve"> born in 19</w:t>
      </w:r>
      <w:r w:rsidR="00F416ED">
        <w:t>70</w:t>
      </w:r>
      <w:r w:rsidR="00D012D4">
        <w:t xml:space="preserve">. He claims to be a victim of a violation by </w:t>
      </w:r>
      <w:r w:rsidR="00F416ED">
        <w:t xml:space="preserve">Kazakhstan </w:t>
      </w:r>
      <w:r w:rsidR="00D012D4">
        <w:t xml:space="preserve">of his rights under articles </w:t>
      </w:r>
      <w:r w:rsidR="00F416ED">
        <w:t xml:space="preserve">14, </w:t>
      </w:r>
      <w:r w:rsidR="00172198">
        <w:t>19</w:t>
      </w:r>
      <w:r w:rsidR="00D012D4">
        <w:t xml:space="preserve"> and </w:t>
      </w:r>
      <w:r w:rsidR="00172198">
        <w:t>21</w:t>
      </w:r>
      <w:r w:rsidR="00F416ED">
        <w:t xml:space="preserve"> </w:t>
      </w:r>
      <w:r w:rsidR="00D012D4">
        <w:t>of the International Covenant on Civil and Political Rights</w:t>
      </w:r>
      <w:r w:rsidR="005C72A3">
        <w:t xml:space="preserve"> (“the </w:t>
      </w:r>
      <w:r w:rsidR="005C72A3">
        <w:lastRenderedPageBreak/>
        <w:t>Covenant”)</w:t>
      </w:r>
      <w:r w:rsidR="00D012D4">
        <w:t xml:space="preserve">. The Optional Protocol entered into force for </w:t>
      </w:r>
      <w:r w:rsidR="00F416ED">
        <w:t xml:space="preserve">Kazakhstan </w:t>
      </w:r>
      <w:r w:rsidR="00D012D4">
        <w:t xml:space="preserve">on 30 </w:t>
      </w:r>
      <w:r w:rsidR="00F416ED">
        <w:t>June 2009</w:t>
      </w:r>
      <w:r w:rsidR="00D012D4">
        <w:t>. The author is represented</w:t>
      </w:r>
      <w:r w:rsidR="00F416ED">
        <w:t xml:space="preserve"> by counsel</w:t>
      </w:r>
      <w:r w:rsidR="005E190D">
        <w:t>.</w:t>
      </w:r>
      <w:r w:rsidR="00E436D1">
        <w:t xml:space="preserve"> </w:t>
      </w:r>
    </w:p>
    <w:p w14:paraId="05613B29" w14:textId="5ADBF6A7" w:rsidR="00193BB2" w:rsidRPr="00193BB2" w:rsidRDefault="0026467C" w:rsidP="00193BB2">
      <w:pPr>
        <w:pStyle w:val="SingleTxtG"/>
      </w:pPr>
      <w:r>
        <w:t>1.2</w:t>
      </w:r>
      <w:r>
        <w:tab/>
        <w:t xml:space="preserve">On </w:t>
      </w:r>
      <w:r w:rsidR="003711A7">
        <w:t xml:space="preserve">20 October </w:t>
      </w:r>
      <w:r>
        <w:t>202</w:t>
      </w:r>
      <w:r w:rsidR="00193BB2">
        <w:t>1</w:t>
      </w:r>
      <w:r>
        <w:t>,</w:t>
      </w:r>
      <w:r w:rsidR="00193BB2" w:rsidRPr="00193BB2">
        <w:t xml:space="preserve"> pursuant to rule 97 (3) of its rules of procedure, the Committee decided to deal with the two communications jointly, in view of their substantial factual and legal similarity.</w:t>
      </w:r>
    </w:p>
    <w:p w14:paraId="66841BE9" w14:textId="4361B26F" w:rsidR="000128E3" w:rsidRDefault="000128E3" w:rsidP="00781C83">
      <w:pPr>
        <w:pStyle w:val="H23G"/>
      </w:pPr>
      <w:r w:rsidRPr="00415BA0">
        <w:tab/>
      </w:r>
      <w:r w:rsidRPr="00415BA0">
        <w:tab/>
      </w:r>
      <w:r w:rsidR="0026467C">
        <w:tab/>
      </w:r>
      <w:r w:rsidRPr="00415BA0">
        <w:t>The facts as submitted by the author</w:t>
      </w:r>
    </w:p>
    <w:p w14:paraId="0FAF91D7" w14:textId="36A405DC" w:rsidR="0026467C" w:rsidRPr="00DD3AEE" w:rsidRDefault="00C13C13" w:rsidP="00C13C13">
      <w:pPr>
        <w:pStyle w:val="H4G"/>
      </w:pPr>
      <w:r>
        <w:tab/>
      </w:r>
      <w:r>
        <w:tab/>
      </w:r>
      <w:r w:rsidR="0026467C" w:rsidRPr="00DD3AEE">
        <w:t xml:space="preserve">Communication </w:t>
      </w:r>
      <w:r w:rsidR="00057676">
        <w:t>No.</w:t>
      </w:r>
      <w:r w:rsidR="00057676" w:rsidRPr="00DD3AEE">
        <w:t xml:space="preserve"> </w:t>
      </w:r>
      <w:r w:rsidR="0026467C" w:rsidRPr="00DD3AEE">
        <w:t>2</w:t>
      </w:r>
      <w:r w:rsidR="00B83D18">
        <w:t>904</w:t>
      </w:r>
      <w:r w:rsidR="0026467C" w:rsidRPr="00DD3AEE">
        <w:t>/201</w:t>
      </w:r>
      <w:r w:rsidR="00B83D18">
        <w:t>6</w:t>
      </w:r>
    </w:p>
    <w:p w14:paraId="11F5AE66" w14:textId="00A44C25" w:rsidR="001E2198" w:rsidRPr="001E2198" w:rsidRDefault="00F06A0F" w:rsidP="002E0468">
      <w:pPr>
        <w:pStyle w:val="SingleTxtG"/>
      </w:pPr>
      <w:r w:rsidRPr="00F06A0F">
        <w:t>2.</w:t>
      </w:r>
      <w:r w:rsidR="00013AB1">
        <w:t>1</w:t>
      </w:r>
      <w:r w:rsidR="001E2198">
        <w:tab/>
      </w:r>
      <w:r w:rsidR="001E2198" w:rsidRPr="001E2198">
        <w:t xml:space="preserve">The author </w:t>
      </w:r>
      <w:r w:rsidR="001E2198" w:rsidRPr="00F719C7">
        <w:t xml:space="preserve">is a well-known </w:t>
      </w:r>
      <w:r w:rsidR="00F719C7">
        <w:t xml:space="preserve">public </w:t>
      </w:r>
      <w:r w:rsidR="001E2198" w:rsidRPr="00F719C7">
        <w:t xml:space="preserve">activist </w:t>
      </w:r>
      <w:r w:rsidR="001E2198" w:rsidRPr="001E2198">
        <w:t xml:space="preserve">in Kazakhstan. </w:t>
      </w:r>
      <w:r w:rsidR="00A520DC">
        <w:t xml:space="preserve">As a result </w:t>
      </w:r>
      <w:r w:rsidR="0035201B">
        <w:t xml:space="preserve">of </w:t>
      </w:r>
      <w:r w:rsidR="0035201B" w:rsidRPr="001E2198">
        <w:t>several</w:t>
      </w:r>
      <w:r w:rsidR="001E2198" w:rsidRPr="001E2198">
        <w:t xml:space="preserve"> </w:t>
      </w:r>
      <w:r w:rsidR="00D65F50">
        <w:t xml:space="preserve">accidents </w:t>
      </w:r>
      <w:r w:rsidR="002A369D">
        <w:t xml:space="preserve">associated </w:t>
      </w:r>
      <w:r w:rsidR="00E86B51">
        <w:t xml:space="preserve">with </w:t>
      </w:r>
      <w:r w:rsidR="00E86B51" w:rsidRPr="001E2198">
        <w:t>Russian</w:t>
      </w:r>
      <w:r w:rsidR="001E2198" w:rsidRPr="001E2198">
        <w:t xml:space="preserve"> rockets </w:t>
      </w:r>
      <w:r w:rsidR="00D65F50">
        <w:t xml:space="preserve">carriers </w:t>
      </w:r>
      <w:r w:rsidR="001E2198" w:rsidRPr="001E2198">
        <w:t xml:space="preserve">that are powered by rocket fuel </w:t>
      </w:r>
      <w:proofErr w:type="spellStart"/>
      <w:r w:rsidR="001E2198" w:rsidRPr="001E2198">
        <w:t>heptyl</w:t>
      </w:r>
      <w:proofErr w:type="spellEnd"/>
      <w:r w:rsidR="001E2198" w:rsidRPr="001E2198">
        <w:t xml:space="preserve">, which has proven to be very harmful to humans and animals, </w:t>
      </w:r>
      <w:r w:rsidR="00A520DC">
        <w:t>around</w:t>
      </w:r>
      <w:r w:rsidR="00A520DC" w:rsidRPr="001E2198">
        <w:t xml:space="preserve"> 134 thousand </w:t>
      </w:r>
      <w:proofErr w:type="spellStart"/>
      <w:r w:rsidR="00A520DC" w:rsidRPr="001E2198">
        <w:t>saigasperished</w:t>
      </w:r>
      <w:proofErr w:type="spellEnd"/>
      <w:r w:rsidR="00A520DC" w:rsidRPr="001E2198">
        <w:t xml:space="preserve"> in Kazakhstan</w:t>
      </w:r>
      <w:r w:rsidR="00A520DC">
        <w:t>, in June 2015. The rocket f</w:t>
      </w:r>
      <w:r w:rsidR="00A520DC" w:rsidRPr="001E2198">
        <w:t xml:space="preserve">uel </w:t>
      </w:r>
      <w:proofErr w:type="spellStart"/>
      <w:r w:rsidR="00A520DC" w:rsidRPr="001E2198">
        <w:t>heptyl</w:t>
      </w:r>
      <w:proofErr w:type="spellEnd"/>
      <w:r w:rsidR="00A520DC">
        <w:t xml:space="preserve"> it is reported to</w:t>
      </w:r>
      <w:r w:rsidR="001E2198" w:rsidRPr="001E2198">
        <w:t xml:space="preserve"> poison land, </w:t>
      </w:r>
      <w:r w:rsidR="0044425F">
        <w:t>pollute</w:t>
      </w:r>
      <w:r w:rsidR="00D65F50">
        <w:t xml:space="preserve"> </w:t>
      </w:r>
      <w:r w:rsidR="001E2198" w:rsidRPr="001E2198">
        <w:t xml:space="preserve">air and </w:t>
      </w:r>
      <w:r w:rsidR="00D65F50">
        <w:t>contaminat</w:t>
      </w:r>
      <w:r w:rsidR="005713C3">
        <w:t>e</w:t>
      </w:r>
      <w:r w:rsidR="00D65F50">
        <w:t xml:space="preserve"> </w:t>
      </w:r>
      <w:r w:rsidR="001E2198" w:rsidRPr="001E2198">
        <w:t>water</w:t>
      </w:r>
      <w:proofErr w:type="gramStart"/>
      <w:r w:rsidR="001E2198" w:rsidRPr="001E2198">
        <w:t>. .</w:t>
      </w:r>
      <w:proofErr w:type="gramEnd"/>
      <w:r w:rsidR="001E2198" w:rsidRPr="001E2198">
        <w:t xml:space="preserve"> </w:t>
      </w:r>
    </w:p>
    <w:p w14:paraId="499EAB63" w14:textId="3A09E76E" w:rsidR="00A015C0" w:rsidRPr="00A015C0" w:rsidRDefault="00825F14" w:rsidP="002E0468">
      <w:pPr>
        <w:pStyle w:val="SingleTxtG"/>
      </w:pPr>
      <w:r>
        <w:t>2.</w:t>
      </w:r>
      <w:r w:rsidR="00C03101">
        <w:t>2</w:t>
      </w:r>
      <w:r w:rsidR="00C03101">
        <w:tab/>
      </w:r>
      <w:r w:rsidR="00C34773" w:rsidRPr="00C34773">
        <w:t xml:space="preserve">On </w:t>
      </w:r>
      <w:r w:rsidR="00870E88">
        <w:t xml:space="preserve">19 June 2015, </w:t>
      </w:r>
      <w:r w:rsidR="00C34773" w:rsidRPr="00C34773">
        <w:t xml:space="preserve">the author </w:t>
      </w:r>
      <w:r w:rsidR="00C34773" w:rsidRPr="009907CF">
        <w:rPr>
          <w:lang w:val="en-US"/>
        </w:rPr>
        <w:t xml:space="preserve">applied to the </w:t>
      </w:r>
      <w:r w:rsidR="00C34773">
        <w:rPr>
          <w:lang w:val="en-US"/>
        </w:rPr>
        <w:t xml:space="preserve">Almaty </w:t>
      </w:r>
      <w:r w:rsidR="00C34773" w:rsidRPr="009907CF">
        <w:rPr>
          <w:lang w:val="en-US"/>
        </w:rPr>
        <w:t xml:space="preserve">City </w:t>
      </w:r>
      <w:r w:rsidR="00C34773">
        <w:t xml:space="preserve">administration </w:t>
      </w:r>
      <w:r w:rsidR="00C34773" w:rsidRPr="009907CF">
        <w:rPr>
          <w:lang w:val="en-US"/>
        </w:rPr>
        <w:t xml:space="preserve">for an authorization to hold a </w:t>
      </w:r>
      <w:r w:rsidR="00E86B51">
        <w:rPr>
          <w:lang w:val="en-US"/>
        </w:rPr>
        <w:t>peaceful</w:t>
      </w:r>
      <w:r w:rsidR="00C34773">
        <w:rPr>
          <w:lang w:val="en-US"/>
        </w:rPr>
        <w:t xml:space="preserve"> meeting with the aim to</w:t>
      </w:r>
      <w:r w:rsidR="00C03101" w:rsidRPr="00C03101">
        <w:t xml:space="preserve"> protest against </w:t>
      </w:r>
      <w:r w:rsidR="009907CF">
        <w:t xml:space="preserve">the </w:t>
      </w:r>
      <w:r w:rsidR="00E86B51">
        <w:t>government’s</w:t>
      </w:r>
      <w:r w:rsidR="00127A19">
        <w:t xml:space="preserve"> inaction to the </w:t>
      </w:r>
      <w:r w:rsidR="00C34773">
        <w:t xml:space="preserve">environmental </w:t>
      </w:r>
      <w:r w:rsidR="00127A19">
        <w:t xml:space="preserve">consequences of </w:t>
      </w:r>
      <w:r w:rsidR="00C03101" w:rsidRPr="00C03101">
        <w:t>rocket launches</w:t>
      </w:r>
      <w:r w:rsidR="00C34773">
        <w:t>.</w:t>
      </w:r>
      <w:r w:rsidR="00C03101" w:rsidRPr="00C03101">
        <w:t xml:space="preserve"> </w:t>
      </w:r>
      <w:r w:rsidR="00127A19">
        <w:t xml:space="preserve">After having </w:t>
      </w:r>
      <w:r w:rsidR="00127A19">
        <w:rPr>
          <w:lang w:val="en-US"/>
        </w:rPr>
        <w:t>received no reply from the city authorities,</w:t>
      </w:r>
      <w:r w:rsidR="00B66CFD">
        <w:rPr>
          <w:rStyle w:val="FootnoteReference"/>
          <w:lang w:val="en-US"/>
        </w:rPr>
        <w:footnoteReference w:id="4"/>
      </w:r>
      <w:r w:rsidR="00127A19">
        <w:rPr>
          <w:lang w:val="en-US"/>
        </w:rPr>
        <w:t xml:space="preserve"> the author, </w:t>
      </w:r>
      <w:r w:rsidR="00C03101" w:rsidRPr="00C03101">
        <w:t xml:space="preserve">together with </w:t>
      </w:r>
      <w:r w:rsidR="003D37B7">
        <w:t xml:space="preserve">around twenty </w:t>
      </w:r>
      <w:r w:rsidR="00A520DC">
        <w:t xml:space="preserve">other persons participated in </w:t>
      </w:r>
      <w:r w:rsidR="003D37B7">
        <w:t xml:space="preserve">the </w:t>
      </w:r>
      <w:r w:rsidR="00A520DC">
        <w:t xml:space="preserve">28 June 2015 </w:t>
      </w:r>
      <w:r w:rsidR="003D37B7">
        <w:t xml:space="preserve">ceremony of </w:t>
      </w:r>
      <w:r w:rsidR="00127A19">
        <w:t xml:space="preserve">laying </w:t>
      </w:r>
      <w:r w:rsidR="00C03101" w:rsidRPr="00C03101">
        <w:t xml:space="preserve">flowers </w:t>
      </w:r>
      <w:r w:rsidR="003D37B7">
        <w:t xml:space="preserve">at the </w:t>
      </w:r>
      <w:r w:rsidR="00C03101" w:rsidRPr="00C03101">
        <w:t>Independence Monument in Almaty</w:t>
      </w:r>
      <w:r w:rsidR="00C34773">
        <w:t xml:space="preserve">. </w:t>
      </w:r>
      <w:r w:rsidR="0035201B">
        <w:t>The purpose</w:t>
      </w:r>
      <w:r w:rsidR="00C34773">
        <w:t xml:space="preserve"> of this event was </w:t>
      </w:r>
      <w:r w:rsidR="00C34773" w:rsidRPr="00C34773">
        <w:rPr>
          <w:lang w:val="en-US"/>
        </w:rPr>
        <w:t xml:space="preserve">to </w:t>
      </w:r>
      <w:r w:rsidR="0072573F">
        <w:t xml:space="preserve">protest </w:t>
      </w:r>
      <w:r w:rsidR="00E86B51">
        <w:t>against</w:t>
      </w:r>
      <w:r w:rsidR="0072573F">
        <w:t xml:space="preserve"> </w:t>
      </w:r>
      <w:r w:rsidR="00A520DC">
        <w:t xml:space="preserve">the </w:t>
      </w:r>
      <w:r w:rsidR="0072573F">
        <w:t xml:space="preserve">ecological disaster the country was facing due to </w:t>
      </w:r>
      <w:proofErr w:type="gramStart"/>
      <w:r w:rsidR="0072573F">
        <w:t>twenty five</w:t>
      </w:r>
      <w:proofErr w:type="gramEnd"/>
      <w:r w:rsidR="0072573F">
        <w:t xml:space="preserve"> years of unfair </w:t>
      </w:r>
      <w:r w:rsidR="00870E88">
        <w:t xml:space="preserve">and </w:t>
      </w:r>
      <w:r w:rsidR="0072573F">
        <w:t>not free elections</w:t>
      </w:r>
      <w:r w:rsidR="003D37B7">
        <w:t xml:space="preserve">. </w:t>
      </w:r>
      <w:r w:rsidR="00127A19">
        <w:t xml:space="preserve">The author </w:t>
      </w:r>
      <w:r w:rsidR="00A520DC">
        <w:t xml:space="preserve">indicates </w:t>
      </w:r>
      <w:r w:rsidR="00076E5E">
        <w:t>th</w:t>
      </w:r>
      <w:r w:rsidR="00127A19">
        <w:t xml:space="preserve">at laying </w:t>
      </w:r>
      <w:r w:rsidR="00C03101" w:rsidRPr="00C03101">
        <w:t xml:space="preserve">flowers </w:t>
      </w:r>
      <w:r w:rsidR="003D37B7">
        <w:t xml:space="preserve">at </w:t>
      </w:r>
      <w:r w:rsidR="00C03101" w:rsidRPr="00C03101">
        <w:t>monument</w:t>
      </w:r>
      <w:r w:rsidR="003D37B7">
        <w:t>s</w:t>
      </w:r>
      <w:r w:rsidR="00C03101" w:rsidRPr="00C03101">
        <w:t xml:space="preserve"> doesn’t require any prior permission. </w:t>
      </w:r>
      <w:r w:rsidR="003D37B7">
        <w:t xml:space="preserve">Following the ceremony, </w:t>
      </w:r>
      <w:r w:rsidR="00C03101" w:rsidRPr="00C03101">
        <w:t xml:space="preserve">the author gave an interview to a journalist. </w:t>
      </w:r>
      <w:r w:rsidR="003D37B7">
        <w:t>O</w:t>
      </w:r>
      <w:r w:rsidR="00C03101" w:rsidRPr="00C03101">
        <w:t xml:space="preserve">n 3 July 2015, </w:t>
      </w:r>
      <w:r w:rsidR="00870E88">
        <w:t xml:space="preserve">police officers came to </w:t>
      </w:r>
      <w:r w:rsidR="00C03101" w:rsidRPr="00C03101">
        <w:t>author</w:t>
      </w:r>
      <w:r w:rsidR="00870E88">
        <w:t xml:space="preserve">’s house and </w:t>
      </w:r>
      <w:r w:rsidR="006D1E0F">
        <w:t>took</w:t>
      </w:r>
      <w:r w:rsidR="00870E88">
        <w:t xml:space="preserve"> him </w:t>
      </w:r>
      <w:r w:rsidR="00C03101" w:rsidRPr="00C03101">
        <w:t xml:space="preserve">to </w:t>
      </w:r>
      <w:r w:rsidR="00A520DC">
        <w:t>the</w:t>
      </w:r>
      <w:r w:rsidR="00C03101" w:rsidRPr="00C03101">
        <w:t xml:space="preserve"> police station, where he was </w:t>
      </w:r>
      <w:r w:rsidR="00A015C0">
        <w:t xml:space="preserve">questioned in the presence of a lawyer. The police </w:t>
      </w:r>
      <w:r w:rsidR="00A015C0" w:rsidRPr="00A015C0">
        <w:rPr>
          <w:lang w:val="en-US"/>
        </w:rPr>
        <w:t xml:space="preserve">filed an administrative record </w:t>
      </w:r>
      <w:r w:rsidR="00A015C0">
        <w:rPr>
          <w:lang w:val="en-US"/>
        </w:rPr>
        <w:t xml:space="preserve">under </w:t>
      </w:r>
      <w:r w:rsidR="00A520DC">
        <w:rPr>
          <w:lang w:val="en-US"/>
        </w:rPr>
        <w:t>a</w:t>
      </w:r>
      <w:r w:rsidR="00A015C0" w:rsidRPr="00A015C0">
        <w:rPr>
          <w:lang w:val="en-US"/>
        </w:rPr>
        <w:t xml:space="preserve">rticle 488 </w:t>
      </w:r>
      <w:r w:rsidR="00F51CA1">
        <w:rPr>
          <w:lang w:val="en-US"/>
        </w:rPr>
        <w:t xml:space="preserve">(3) </w:t>
      </w:r>
      <w:r w:rsidR="00A015C0" w:rsidRPr="00A015C0">
        <w:rPr>
          <w:lang w:val="en-US"/>
        </w:rPr>
        <w:t xml:space="preserve">of the </w:t>
      </w:r>
      <w:r w:rsidR="00F51CA1">
        <w:rPr>
          <w:lang w:val="en-US"/>
        </w:rPr>
        <w:t xml:space="preserve">Code of </w:t>
      </w:r>
      <w:r w:rsidR="00A015C0" w:rsidRPr="00A015C0">
        <w:rPr>
          <w:lang w:val="en-US"/>
        </w:rPr>
        <w:t xml:space="preserve">Administrative </w:t>
      </w:r>
      <w:r w:rsidR="00F51CA1">
        <w:rPr>
          <w:lang w:val="en-US"/>
        </w:rPr>
        <w:t>Offence</w:t>
      </w:r>
      <w:r w:rsidR="00A015C0" w:rsidRPr="00A015C0">
        <w:rPr>
          <w:lang w:val="en-US"/>
        </w:rPr>
        <w:t xml:space="preserve"> </w:t>
      </w:r>
      <w:r w:rsidR="00F51CA1">
        <w:rPr>
          <w:lang w:val="en-US"/>
        </w:rPr>
        <w:t xml:space="preserve">of </w:t>
      </w:r>
      <w:r w:rsidR="00A015C0" w:rsidRPr="00A015C0">
        <w:rPr>
          <w:lang w:val="en-US"/>
        </w:rPr>
        <w:t xml:space="preserve">the Republic of Kazakhstan, for violating the </w:t>
      </w:r>
      <w:r w:rsidR="006D1E0F" w:rsidRPr="006D1E0F">
        <w:rPr>
          <w:lang w:val="en-US"/>
        </w:rPr>
        <w:t>Law on the Procedure for Organizing and Holding Peaceful Assemblies, Meetings, Marches, Pickets and D</w:t>
      </w:r>
      <w:r w:rsidR="006D1E0F">
        <w:rPr>
          <w:lang w:val="en-US"/>
        </w:rPr>
        <w:t>emonstrations</w:t>
      </w:r>
      <w:r w:rsidR="00A015C0" w:rsidRPr="00A015C0">
        <w:t>.</w:t>
      </w:r>
    </w:p>
    <w:p w14:paraId="2D80AA2C" w14:textId="20AB6761" w:rsidR="00610D8F" w:rsidRDefault="00E82378" w:rsidP="00F51CA1">
      <w:pPr>
        <w:pStyle w:val="SingleTxtG"/>
      </w:pPr>
      <w:r>
        <w:t>2.3</w:t>
      </w:r>
      <w:r>
        <w:tab/>
      </w:r>
      <w:r w:rsidR="00F51CA1">
        <w:t xml:space="preserve">On 4 July 2015, </w:t>
      </w:r>
      <w:r w:rsidR="00F51CA1" w:rsidRPr="00F51CA1">
        <w:t xml:space="preserve">the Almaty City Specialized Interregional Administrative Court found him guilty under article </w:t>
      </w:r>
      <w:r w:rsidR="00675950">
        <w:t>488</w:t>
      </w:r>
      <w:r w:rsidR="00F51CA1" w:rsidRPr="00F51CA1">
        <w:t xml:space="preserve"> (3) of the </w:t>
      </w:r>
      <w:proofErr w:type="spellStart"/>
      <w:r w:rsidR="00F51CA1" w:rsidRPr="00F51CA1">
        <w:t>C</w:t>
      </w:r>
      <w:r w:rsidR="00F51CA1">
        <w:t>oAD</w:t>
      </w:r>
      <w:proofErr w:type="spellEnd"/>
      <w:r w:rsidR="00F51CA1">
        <w:t xml:space="preserve"> </w:t>
      </w:r>
      <w:r w:rsidR="00F51CA1" w:rsidRPr="00F51CA1">
        <w:t xml:space="preserve">and sentenced him to 15 days of administrative arrest. </w:t>
      </w:r>
      <w:r w:rsidR="00B67DD7">
        <w:t>The author submits that the Court</w:t>
      </w:r>
      <w:r w:rsidR="00911894">
        <w:t xml:space="preserve"> erred in its decision and </w:t>
      </w:r>
      <w:r w:rsidR="00B67DD7">
        <w:t xml:space="preserve">failed to </w:t>
      </w:r>
      <w:r w:rsidR="00911894">
        <w:t>take into account that</w:t>
      </w:r>
      <w:r w:rsidR="00B67DD7">
        <w:t xml:space="preserve">: the city authorities ignored the author’s request for authorization to conduct </w:t>
      </w:r>
      <w:r w:rsidR="00911894">
        <w:t xml:space="preserve">a </w:t>
      </w:r>
      <w:r w:rsidR="00E86B51">
        <w:t>peaceful</w:t>
      </w:r>
      <w:r w:rsidR="00B67DD7">
        <w:t xml:space="preserve"> meeting; </w:t>
      </w:r>
      <w:r w:rsidR="00911894">
        <w:t>instead of conducting a meeting, which was not authorised, the author  decided to participate in the ceremony of laying flowers</w:t>
      </w:r>
      <w:r w:rsidR="00A520DC">
        <w:t xml:space="preserve"> for which  </w:t>
      </w:r>
      <w:r w:rsidR="00B67DD7">
        <w:t>there is no need to receive a permission from the City authorities; the ceremony was conducted peacefully and did not pose any threat to national security, public order</w:t>
      </w:r>
      <w:r w:rsidR="00610D8F">
        <w:t xml:space="preserve"> or public health, as well as </w:t>
      </w:r>
      <w:r w:rsidR="00911894">
        <w:t xml:space="preserve">to the protection of </w:t>
      </w:r>
      <w:r w:rsidR="00610D8F">
        <w:t>rights and freedoms of others; fre</w:t>
      </w:r>
      <w:r w:rsidR="00911894">
        <w:t>e</w:t>
      </w:r>
      <w:r w:rsidR="00610D8F">
        <w:t xml:space="preserve">dom to expression and peaceful assembly is protected by </w:t>
      </w:r>
      <w:r w:rsidR="006114EF">
        <w:t xml:space="preserve">articles 32 and 20 of the </w:t>
      </w:r>
      <w:r w:rsidR="00610D8F">
        <w:t>Constitution of Kazakhstan</w:t>
      </w:r>
      <w:r w:rsidR="006114EF">
        <w:t>,</w:t>
      </w:r>
      <w:r w:rsidR="00610D8F">
        <w:t xml:space="preserve"> and articles 19 and 21 of the Covenant</w:t>
      </w:r>
      <w:r w:rsidR="006114EF">
        <w:t>, respectively</w:t>
      </w:r>
      <w:r w:rsidR="00610D8F">
        <w:t xml:space="preserve">. </w:t>
      </w:r>
    </w:p>
    <w:p w14:paraId="387E4683" w14:textId="48D5CCBF" w:rsidR="00F87E1C" w:rsidRPr="00F87E1C" w:rsidRDefault="00483CC9" w:rsidP="00F87E1C">
      <w:pPr>
        <w:pStyle w:val="SingleTxtG"/>
      </w:pPr>
      <w:r>
        <w:t>2.4</w:t>
      </w:r>
      <w:r>
        <w:tab/>
      </w:r>
      <w:r w:rsidR="00F001AD">
        <w:t>On 13 July 2015, the author</w:t>
      </w:r>
      <w:r w:rsidR="00B74223" w:rsidRPr="00B74223">
        <w:rPr>
          <w:lang w:val="en-US"/>
        </w:rPr>
        <w:t xml:space="preserve"> appealed against that decision to the </w:t>
      </w:r>
      <w:r w:rsidR="00B74223">
        <w:rPr>
          <w:lang w:val="en-US"/>
        </w:rPr>
        <w:t>Almaty City Court</w:t>
      </w:r>
      <w:r w:rsidR="00B74223" w:rsidRPr="00B74223">
        <w:rPr>
          <w:lang w:val="en-US"/>
        </w:rPr>
        <w:t xml:space="preserve">, claiming a violation of his rights to freedom of expression and peaceful assembly, as guaranteed by the Constitution of </w:t>
      </w:r>
      <w:r w:rsidR="00B74223">
        <w:rPr>
          <w:lang w:val="en-US"/>
        </w:rPr>
        <w:t xml:space="preserve">Kazakhstan </w:t>
      </w:r>
      <w:r w:rsidR="00B74223" w:rsidRPr="00B74223">
        <w:rPr>
          <w:lang w:val="en-US"/>
        </w:rPr>
        <w:t xml:space="preserve">and articles 19 and 21 of the Covenant. In his complaint, </w:t>
      </w:r>
      <w:r w:rsidR="0027194F">
        <w:rPr>
          <w:lang w:val="en-US"/>
        </w:rPr>
        <w:t xml:space="preserve">the author </w:t>
      </w:r>
      <w:r w:rsidR="00B74223" w:rsidRPr="00B74223">
        <w:rPr>
          <w:lang w:val="en-US"/>
        </w:rPr>
        <w:t xml:space="preserve">also noted that </w:t>
      </w:r>
      <w:r w:rsidR="0027194F">
        <w:rPr>
          <w:lang w:val="en-US"/>
        </w:rPr>
        <w:t>the</w:t>
      </w:r>
      <w:r w:rsidR="00264D0A">
        <w:rPr>
          <w:lang w:val="en-US"/>
        </w:rPr>
        <w:t xml:space="preserve"> </w:t>
      </w:r>
      <w:r w:rsidR="00C04029">
        <w:rPr>
          <w:lang w:val="en-US"/>
        </w:rPr>
        <w:t>a</w:t>
      </w:r>
      <w:r w:rsidR="00264D0A">
        <w:rPr>
          <w:lang w:val="en-US"/>
        </w:rPr>
        <w:t>dministrative record filed by the</w:t>
      </w:r>
      <w:r w:rsidR="0027194F">
        <w:rPr>
          <w:lang w:val="en-US"/>
        </w:rPr>
        <w:t xml:space="preserve"> police contained several </w:t>
      </w:r>
      <w:r w:rsidR="00E86B51">
        <w:rPr>
          <w:lang w:val="en-US"/>
        </w:rPr>
        <w:t>discrepancies</w:t>
      </w:r>
      <w:r w:rsidR="0027194F">
        <w:rPr>
          <w:lang w:val="en-US"/>
        </w:rPr>
        <w:t xml:space="preserve"> which w</w:t>
      </w:r>
      <w:r w:rsidR="00264D0A">
        <w:rPr>
          <w:lang w:val="en-US"/>
        </w:rPr>
        <w:t>ere</w:t>
      </w:r>
      <w:r w:rsidR="0027194F">
        <w:rPr>
          <w:lang w:val="en-US"/>
        </w:rPr>
        <w:t xml:space="preserve"> </w:t>
      </w:r>
      <w:r w:rsidR="00A520DC">
        <w:rPr>
          <w:lang w:val="en-US"/>
        </w:rPr>
        <w:t xml:space="preserve">not addressed </w:t>
      </w:r>
      <w:r w:rsidR="0027194F">
        <w:rPr>
          <w:lang w:val="en-US"/>
        </w:rPr>
        <w:t xml:space="preserve">by the Court, thus violating </w:t>
      </w:r>
      <w:r w:rsidR="00A520DC">
        <w:rPr>
          <w:lang w:val="en-US"/>
        </w:rPr>
        <w:t xml:space="preserve">the </w:t>
      </w:r>
      <w:r w:rsidR="0027194F">
        <w:rPr>
          <w:lang w:val="en-US"/>
        </w:rPr>
        <w:t>author</w:t>
      </w:r>
      <w:r w:rsidR="00264D0A">
        <w:rPr>
          <w:lang w:val="en-US"/>
        </w:rPr>
        <w:t>’</w:t>
      </w:r>
      <w:r w:rsidR="0027194F">
        <w:rPr>
          <w:lang w:val="en-US"/>
        </w:rPr>
        <w:t xml:space="preserve">s right to fair trial </w:t>
      </w:r>
      <w:r w:rsidR="0035201B">
        <w:rPr>
          <w:lang w:val="en-US"/>
        </w:rPr>
        <w:t>under article</w:t>
      </w:r>
      <w:r w:rsidR="006D1E0F">
        <w:rPr>
          <w:lang w:val="en-US"/>
        </w:rPr>
        <w:t xml:space="preserve"> </w:t>
      </w:r>
      <w:r w:rsidR="0027194F">
        <w:rPr>
          <w:lang w:val="en-US"/>
        </w:rPr>
        <w:t xml:space="preserve">14 of the Covenant. </w:t>
      </w:r>
      <w:r w:rsidR="00C04029">
        <w:rPr>
          <w:lang w:val="en-US"/>
        </w:rPr>
        <w:t xml:space="preserve"> On 14 July 2015, the Almaty City Court rejected the appeal,</w:t>
      </w:r>
      <w:r w:rsidR="00DF6B08">
        <w:rPr>
          <w:lang w:val="en-US"/>
        </w:rPr>
        <w:t xml:space="preserve"> noting that on 23 June 2015, the author </w:t>
      </w:r>
      <w:r w:rsidR="00DF6B08">
        <w:t>publicly urged people to attend the upcoming event, thus act</w:t>
      </w:r>
      <w:r w:rsidR="00F87E1C">
        <w:t>ed</w:t>
      </w:r>
      <w:r w:rsidR="00DF6B08">
        <w:t xml:space="preserve"> </w:t>
      </w:r>
      <w:r w:rsidR="00E86B51">
        <w:t xml:space="preserve">as </w:t>
      </w:r>
      <w:r w:rsidR="00A520DC">
        <w:t xml:space="preserve">the </w:t>
      </w:r>
      <w:r w:rsidR="00E86B51">
        <w:t>organiser</w:t>
      </w:r>
      <w:r w:rsidR="00DF6B08">
        <w:t xml:space="preserve"> </w:t>
      </w:r>
      <w:r w:rsidR="00C04029">
        <w:rPr>
          <w:lang w:val="en-US"/>
        </w:rPr>
        <w:t xml:space="preserve">of </w:t>
      </w:r>
      <w:r w:rsidR="00A520DC">
        <w:rPr>
          <w:lang w:val="en-US"/>
        </w:rPr>
        <w:t xml:space="preserve">an </w:t>
      </w:r>
      <w:r w:rsidR="00DF6B08">
        <w:rPr>
          <w:lang w:val="en-US"/>
        </w:rPr>
        <w:t>unauthorized public event.</w:t>
      </w:r>
      <w:r w:rsidR="00F87E1C">
        <w:rPr>
          <w:lang w:val="en-US"/>
        </w:rPr>
        <w:t xml:space="preserve"> The Court concluded that </w:t>
      </w:r>
      <w:r w:rsidR="00F87E1C" w:rsidRPr="00F87E1C">
        <w:t>15 days</w:t>
      </w:r>
      <w:r w:rsidR="00F87E1C">
        <w:t xml:space="preserve"> of</w:t>
      </w:r>
      <w:r w:rsidR="00F87E1C" w:rsidRPr="00F87E1C">
        <w:t xml:space="preserve"> administrative arrest imposed on the author </w:t>
      </w:r>
      <w:r w:rsidR="00F87E1C">
        <w:t xml:space="preserve">was in line with the </w:t>
      </w:r>
      <w:r w:rsidR="00F87E1C" w:rsidRPr="00F87E1C">
        <w:rPr>
          <w:lang w:val="en-US"/>
        </w:rPr>
        <w:t xml:space="preserve">article </w:t>
      </w:r>
      <w:r w:rsidR="00F87E1C">
        <w:rPr>
          <w:lang w:val="en-US"/>
        </w:rPr>
        <w:t>488</w:t>
      </w:r>
      <w:r w:rsidR="00F87E1C" w:rsidRPr="00F87E1C">
        <w:rPr>
          <w:lang w:val="en-US"/>
        </w:rPr>
        <w:t xml:space="preserve"> (3) of the </w:t>
      </w:r>
      <w:proofErr w:type="spellStart"/>
      <w:r w:rsidR="00F87E1C" w:rsidRPr="00F87E1C">
        <w:rPr>
          <w:lang w:val="en-US"/>
        </w:rPr>
        <w:t>C</w:t>
      </w:r>
      <w:r w:rsidR="006D1E0F">
        <w:rPr>
          <w:lang w:val="en-US"/>
        </w:rPr>
        <w:t>o</w:t>
      </w:r>
      <w:r w:rsidR="00F87E1C" w:rsidRPr="00F87E1C">
        <w:rPr>
          <w:lang w:val="en-US"/>
        </w:rPr>
        <w:t>AD</w:t>
      </w:r>
      <w:proofErr w:type="spellEnd"/>
      <w:r w:rsidR="00F87E1C">
        <w:rPr>
          <w:lang w:val="en-US"/>
        </w:rPr>
        <w:t>.</w:t>
      </w:r>
      <w:r w:rsidR="00F87E1C" w:rsidRPr="00F87E1C">
        <w:t xml:space="preserve"> </w:t>
      </w:r>
    </w:p>
    <w:p w14:paraId="4D7A9DCB" w14:textId="5895D299" w:rsidR="00DF6B08" w:rsidRDefault="009E7DCB" w:rsidP="00F51CA1">
      <w:pPr>
        <w:pStyle w:val="SingleTxtG"/>
        <w:rPr>
          <w:lang w:val="en-US"/>
        </w:rPr>
      </w:pPr>
      <w:r>
        <w:t>2.5</w:t>
      </w:r>
      <w:r>
        <w:tab/>
        <w:t>The author</w:t>
      </w:r>
      <w:r w:rsidR="00D07FAD">
        <w:t>’s</w:t>
      </w:r>
      <w:r>
        <w:t xml:space="preserve"> further </w:t>
      </w:r>
      <w:proofErr w:type="spellStart"/>
      <w:r w:rsidR="00E86B51">
        <w:t>ca</w:t>
      </w:r>
      <w:r w:rsidR="006D1E0F">
        <w:t>ssa</w:t>
      </w:r>
      <w:r w:rsidR="00E86B51">
        <w:t>tional</w:t>
      </w:r>
      <w:proofErr w:type="spellEnd"/>
      <w:r>
        <w:t xml:space="preserve"> </w:t>
      </w:r>
      <w:r w:rsidR="00D07FAD">
        <w:t xml:space="preserve">complaint </w:t>
      </w:r>
      <w:r>
        <w:t xml:space="preserve">with the Almaty City Court and appeal for </w:t>
      </w:r>
      <w:r w:rsidRPr="009E7DCB">
        <w:rPr>
          <w:lang w:val="en-US"/>
        </w:rPr>
        <w:t>a supervisory review to the Prosecutor General</w:t>
      </w:r>
      <w:r>
        <w:rPr>
          <w:lang w:val="en-US"/>
        </w:rPr>
        <w:t xml:space="preserve"> were dismissed on 25 October 2015 and 29 March 2016, respectively. </w:t>
      </w:r>
    </w:p>
    <w:p w14:paraId="4E92859E" w14:textId="29004573" w:rsidR="00B74223" w:rsidRPr="007464B8" w:rsidRDefault="004F3704" w:rsidP="00E77D3C">
      <w:pPr>
        <w:pStyle w:val="H4G"/>
      </w:pPr>
      <w:r>
        <w:tab/>
      </w:r>
      <w:r>
        <w:tab/>
      </w:r>
      <w:r w:rsidR="007464B8" w:rsidRPr="007464B8">
        <w:t xml:space="preserve">Communication </w:t>
      </w:r>
      <w:r w:rsidR="00057676">
        <w:t>No.</w:t>
      </w:r>
      <w:r w:rsidR="00057676" w:rsidRPr="007464B8">
        <w:t xml:space="preserve"> </w:t>
      </w:r>
      <w:r w:rsidR="007464B8" w:rsidRPr="007464B8">
        <w:t>2907/2016</w:t>
      </w:r>
    </w:p>
    <w:p w14:paraId="04FDA5D4" w14:textId="55B8FD28" w:rsidR="008C67A7" w:rsidRDefault="008C67A7" w:rsidP="00033F3D">
      <w:pPr>
        <w:pStyle w:val="SingleTxtG"/>
        <w:rPr>
          <w:lang w:val="en-US"/>
        </w:rPr>
      </w:pPr>
      <w:r>
        <w:t>2.6</w:t>
      </w:r>
      <w:r>
        <w:tab/>
      </w:r>
      <w:r w:rsidR="00033F3D" w:rsidRPr="00033F3D">
        <w:t xml:space="preserve">On </w:t>
      </w:r>
      <w:r w:rsidR="00497E20">
        <w:t xml:space="preserve">an </w:t>
      </w:r>
      <w:r w:rsidR="00033F3D">
        <w:t xml:space="preserve">unspecified </w:t>
      </w:r>
      <w:r w:rsidR="00033F3D" w:rsidRPr="00033F3D">
        <w:t xml:space="preserve">date, </w:t>
      </w:r>
      <w:r w:rsidR="00033F3D">
        <w:t xml:space="preserve">the author </w:t>
      </w:r>
      <w:r w:rsidR="00BE65C5">
        <w:t>announced</w:t>
      </w:r>
      <w:r w:rsidR="00033F3D" w:rsidRPr="00033F3D">
        <w:t xml:space="preserve"> on his Facebook page</w:t>
      </w:r>
      <w:r w:rsidR="00BE65C5">
        <w:t xml:space="preserve"> that</w:t>
      </w:r>
      <w:r w:rsidR="00D02C72">
        <w:t xml:space="preserve"> he was planning to </w:t>
      </w:r>
      <w:r w:rsidR="00033F3D">
        <w:t xml:space="preserve">hold a picket in front of the </w:t>
      </w:r>
      <w:r w:rsidR="00033F3D" w:rsidRPr="00033F3D">
        <w:t>Independence Monument</w:t>
      </w:r>
      <w:r w:rsidR="00033F3D">
        <w:t xml:space="preserve"> on 20 August 2015</w:t>
      </w:r>
      <w:r w:rsidR="00D02C72">
        <w:t xml:space="preserve">, at 19.00h to </w:t>
      </w:r>
      <w:r w:rsidR="00033F3D" w:rsidRPr="00033F3D">
        <w:t xml:space="preserve">protest against the devaluation of the national currency – </w:t>
      </w:r>
      <w:proofErr w:type="spellStart"/>
      <w:r w:rsidR="00033F3D" w:rsidRPr="00033F3D">
        <w:t>tenge</w:t>
      </w:r>
      <w:proofErr w:type="spellEnd"/>
      <w:r w:rsidR="00033F3D" w:rsidRPr="00033F3D">
        <w:t xml:space="preserve">. </w:t>
      </w:r>
      <w:r w:rsidR="00BE65C5">
        <w:t xml:space="preserve">As he was leaving his office, the author </w:t>
      </w:r>
      <w:r>
        <w:t xml:space="preserve">was arrested </w:t>
      </w:r>
      <w:r w:rsidR="0035201B">
        <w:t>by police</w:t>
      </w:r>
      <w:r>
        <w:t xml:space="preserve"> officers and taken to the police station. An administrative record  was filed against the author for violating </w:t>
      </w:r>
      <w:r w:rsidRPr="008C67A7">
        <w:rPr>
          <w:lang w:val="en-US"/>
        </w:rPr>
        <w:t>the procedure</w:t>
      </w:r>
      <w:r w:rsidRPr="008C67A7">
        <w:t xml:space="preserve"> on holding peaceful assemblies, meetings, processions, pickets and demonstrations</w:t>
      </w:r>
      <w:r>
        <w:t xml:space="preserve"> as foreseen under article 4</w:t>
      </w:r>
      <w:r w:rsidRPr="008C67A7">
        <w:rPr>
          <w:lang w:val="en-US"/>
        </w:rPr>
        <w:t>88 (3) of the Code of Administrative Offence of the Republic of Kazakhstan</w:t>
      </w:r>
      <w:r>
        <w:rPr>
          <w:lang w:val="en-US"/>
        </w:rPr>
        <w:t>.</w:t>
      </w:r>
    </w:p>
    <w:p w14:paraId="699046EE" w14:textId="3F2F622B" w:rsidR="00A214F2" w:rsidRPr="001619BF" w:rsidRDefault="00DF3295" w:rsidP="00A214F2">
      <w:pPr>
        <w:pStyle w:val="SingleTxtG"/>
      </w:pPr>
      <w:r>
        <w:rPr>
          <w:lang w:val="en-US"/>
        </w:rPr>
        <w:t>2.7</w:t>
      </w:r>
      <w:r>
        <w:rPr>
          <w:lang w:val="en-US"/>
        </w:rPr>
        <w:tab/>
      </w:r>
      <w:r w:rsidR="00675950" w:rsidRPr="00675950">
        <w:rPr>
          <w:lang w:val="en-US"/>
        </w:rPr>
        <w:t xml:space="preserve">On </w:t>
      </w:r>
      <w:r w:rsidR="00675950">
        <w:rPr>
          <w:lang w:val="en-US"/>
        </w:rPr>
        <w:t xml:space="preserve">21 August </w:t>
      </w:r>
      <w:r w:rsidR="00675950" w:rsidRPr="00675950">
        <w:rPr>
          <w:lang w:val="en-US"/>
        </w:rPr>
        <w:t xml:space="preserve">2015, the Almaty City Specialized Interregional Administrative Court </w:t>
      </w:r>
      <w:r w:rsidR="00B678D6">
        <w:rPr>
          <w:lang w:val="en-US"/>
        </w:rPr>
        <w:t xml:space="preserve">established that the author </w:t>
      </w:r>
      <w:r w:rsidR="00BE65C5">
        <w:rPr>
          <w:lang w:val="en-US"/>
        </w:rPr>
        <w:t>posted</w:t>
      </w:r>
      <w:r w:rsidR="00B678D6" w:rsidRPr="00C723A8">
        <w:rPr>
          <w:lang w:val="en-US"/>
        </w:rPr>
        <w:t xml:space="preserve"> on his Facebook page, </w:t>
      </w:r>
      <w:r w:rsidR="00BE65C5">
        <w:rPr>
          <w:lang w:val="en-US"/>
        </w:rPr>
        <w:t xml:space="preserve">an invitation to </w:t>
      </w:r>
      <w:r w:rsidR="00B678D6">
        <w:rPr>
          <w:lang w:val="en-US"/>
        </w:rPr>
        <w:t xml:space="preserve">people to gather at </w:t>
      </w:r>
      <w:r w:rsidR="00B678D6" w:rsidRPr="00C723A8">
        <w:rPr>
          <w:lang w:val="en-US"/>
        </w:rPr>
        <w:t>the Independence Monument</w:t>
      </w:r>
      <w:r w:rsidR="00B678D6">
        <w:rPr>
          <w:lang w:val="en-US"/>
        </w:rPr>
        <w:t xml:space="preserve"> of </w:t>
      </w:r>
      <w:r w:rsidR="00E86B51">
        <w:rPr>
          <w:lang w:val="en-US"/>
        </w:rPr>
        <w:t>Almaty</w:t>
      </w:r>
      <w:r w:rsidR="00B678D6">
        <w:rPr>
          <w:lang w:val="en-US"/>
        </w:rPr>
        <w:t xml:space="preserve"> at 19:00h on 20 August 2015 for a meeting </w:t>
      </w:r>
      <w:r w:rsidR="00B678D6">
        <w:t xml:space="preserve">in order to demand: </w:t>
      </w:r>
      <w:r w:rsidR="00BE65C5">
        <w:t xml:space="preserve">the </w:t>
      </w:r>
      <w:r w:rsidR="00B678D6">
        <w:t xml:space="preserve">resignation of the President,  the Prime </w:t>
      </w:r>
      <w:r w:rsidR="00E86B51">
        <w:t>Minister</w:t>
      </w:r>
      <w:r w:rsidR="00B678D6">
        <w:t xml:space="preserve"> and the Government; </w:t>
      </w:r>
      <w:r w:rsidR="00BE65C5">
        <w:t>the</w:t>
      </w:r>
      <w:r w:rsidR="00B678D6">
        <w:t xml:space="preserve"> transfer </w:t>
      </w:r>
      <w:r w:rsidR="00BE65C5">
        <w:t xml:space="preserve">of </w:t>
      </w:r>
      <w:r w:rsidR="00B678D6">
        <w:t xml:space="preserve">all loans to local </w:t>
      </w:r>
      <w:r w:rsidR="00E86B51" w:rsidRPr="00F719C7">
        <w:t>curren</w:t>
      </w:r>
      <w:r w:rsidR="00F719C7">
        <w:t>cy</w:t>
      </w:r>
      <w:r w:rsidR="00B678D6">
        <w:t xml:space="preserve"> at the exchange rate of January 2014, as well as </w:t>
      </w:r>
      <w:r w:rsidR="00BE65C5">
        <w:t xml:space="preserve">the </w:t>
      </w:r>
      <w:r w:rsidR="00B678D6">
        <w:t xml:space="preserve"> conduct </w:t>
      </w:r>
      <w:r w:rsidR="00BE65C5">
        <w:t xml:space="preserve">of </w:t>
      </w:r>
      <w:r w:rsidR="00B678D6">
        <w:t xml:space="preserve">a </w:t>
      </w:r>
      <w:r w:rsidR="00E86B51">
        <w:t>subsequent</w:t>
      </w:r>
      <w:r w:rsidR="00B678D6">
        <w:t xml:space="preserve"> indexation of pensions; </w:t>
      </w:r>
      <w:r w:rsidR="00BE65C5">
        <w:t xml:space="preserve">the </w:t>
      </w:r>
      <w:r w:rsidR="00B678D6">
        <w:t xml:space="preserve">nationalization of all natural resources, including </w:t>
      </w:r>
      <w:r w:rsidR="00BE65C5">
        <w:t xml:space="preserve">of </w:t>
      </w:r>
      <w:r w:rsidR="00B678D6">
        <w:t xml:space="preserve">extracting and processing companies; </w:t>
      </w:r>
      <w:r w:rsidR="00BE65C5">
        <w:t xml:space="preserve">the </w:t>
      </w:r>
      <w:r w:rsidR="00B678D6">
        <w:rPr>
          <w:lang w:val="en"/>
        </w:rPr>
        <w:t>prohibition</w:t>
      </w:r>
      <w:r w:rsidR="00B678D6">
        <w:t xml:space="preserve"> of mass dismissals and layoff; t</w:t>
      </w:r>
      <w:r w:rsidR="00BE65C5">
        <w:t>he</w:t>
      </w:r>
      <w:r w:rsidR="00B678D6">
        <w:t xml:space="preserve"> default on all foreign borrowings of Kazakhstan. The Court found the author actions contrary to </w:t>
      </w:r>
      <w:r w:rsidR="00675950" w:rsidRPr="00675950">
        <w:rPr>
          <w:lang w:val="en-US"/>
        </w:rPr>
        <w:t xml:space="preserve">article 488 (3) of the </w:t>
      </w:r>
      <w:proofErr w:type="spellStart"/>
      <w:r w:rsidR="00675950" w:rsidRPr="00675950">
        <w:rPr>
          <w:lang w:val="en-US"/>
        </w:rPr>
        <w:t>CoAD</w:t>
      </w:r>
      <w:proofErr w:type="spellEnd"/>
      <w:r w:rsidR="00675950" w:rsidRPr="00675950">
        <w:rPr>
          <w:lang w:val="en-US"/>
        </w:rPr>
        <w:t xml:space="preserve"> and sentenced him to 15 days of administrative arrest</w:t>
      </w:r>
      <w:r w:rsidR="00675950">
        <w:rPr>
          <w:lang w:val="en-US"/>
        </w:rPr>
        <w:t xml:space="preserve">. </w:t>
      </w:r>
      <w:r w:rsidR="00B678D6">
        <w:rPr>
          <w:lang w:val="en-US"/>
        </w:rPr>
        <w:t xml:space="preserve">The Court further noted that </w:t>
      </w:r>
      <w:r w:rsidR="009F3C9A">
        <w:rPr>
          <w:lang w:val="en-US"/>
        </w:rPr>
        <w:t xml:space="preserve">due to the </w:t>
      </w:r>
      <w:r w:rsidR="00A214F2">
        <w:rPr>
          <w:lang w:val="en-US"/>
        </w:rPr>
        <w:t>author</w:t>
      </w:r>
      <w:r w:rsidR="009F3C9A">
        <w:rPr>
          <w:lang w:val="en-US"/>
        </w:rPr>
        <w:t>’s</w:t>
      </w:r>
      <w:r w:rsidR="00A214F2">
        <w:rPr>
          <w:lang w:val="en-US"/>
        </w:rPr>
        <w:t xml:space="preserve"> </w:t>
      </w:r>
      <w:r w:rsidR="00A214F2" w:rsidRPr="00675950">
        <w:rPr>
          <w:lang w:val="en-US"/>
        </w:rPr>
        <w:t xml:space="preserve">disrespectful </w:t>
      </w:r>
      <w:r w:rsidR="009F3C9A">
        <w:rPr>
          <w:lang w:val="en-US"/>
        </w:rPr>
        <w:t xml:space="preserve">behavior </w:t>
      </w:r>
      <w:r w:rsidR="00A214F2" w:rsidRPr="00675950">
        <w:rPr>
          <w:lang w:val="en-US"/>
        </w:rPr>
        <w:t>to</w:t>
      </w:r>
      <w:r w:rsidR="001619BF">
        <w:rPr>
          <w:lang w:val="en-US"/>
        </w:rPr>
        <w:t>wards</w:t>
      </w:r>
      <w:r w:rsidR="00A214F2" w:rsidRPr="00675950">
        <w:rPr>
          <w:lang w:val="en-US"/>
        </w:rPr>
        <w:t xml:space="preserve"> </w:t>
      </w:r>
      <w:r w:rsidR="00D33BC7">
        <w:rPr>
          <w:lang w:val="en-US"/>
        </w:rPr>
        <w:t xml:space="preserve">judicial </w:t>
      </w:r>
      <w:r w:rsidR="00A214F2" w:rsidRPr="00675950">
        <w:rPr>
          <w:lang w:val="en-US"/>
        </w:rPr>
        <w:t>authorities in the courtroom</w:t>
      </w:r>
      <w:r w:rsidR="00025CB2">
        <w:rPr>
          <w:lang w:val="en-US"/>
        </w:rPr>
        <w:t>;</w:t>
      </w:r>
      <w:r w:rsidR="00A214F2">
        <w:rPr>
          <w:lang w:val="en-US"/>
        </w:rPr>
        <w:t xml:space="preserve"> </w:t>
      </w:r>
      <w:r w:rsidR="00BE65C5">
        <w:rPr>
          <w:lang w:val="en-US"/>
        </w:rPr>
        <w:t xml:space="preserve">challenging </w:t>
      </w:r>
      <w:r w:rsidR="00A214F2">
        <w:rPr>
          <w:lang w:val="en-US"/>
        </w:rPr>
        <w:t xml:space="preserve">the </w:t>
      </w:r>
      <w:r w:rsidR="00A214F2">
        <w:t xml:space="preserve">composition of the court; </w:t>
      </w:r>
      <w:r w:rsidR="00A214F2">
        <w:rPr>
          <w:lang w:val="en-US"/>
        </w:rPr>
        <w:t>disobey</w:t>
      </w:r>
      <w:r w:rsidR="009F3C9A">
        <w:rPr>
          <w:lang w:val="en-US"/>
        </w:rPr>
        <w:t>ing</w:t>
      </w:r>
      <w:r w:rsidR="00A214F2">
        <w:rPr>
          <w:lang w:val="en-US"/>
        </w:rPr>
        <w:t xml:space="preserve"> the orders of the </w:t>
      </w:r>
      <w:r w:rsidR="00A214F2">
        <w:t xml:space="preserve">presiding </w:t>
      </w:r>
      <w:r w:rsidR="00A214F2">
        <w:rPr>
          <w:lang w:val="en-US"/>
        </w:rPr>
        <w:t>judge;</w:t>
      </w:r>
      <w:r w:rsidR="00A214F2">
        <w:t xml:space="preserve"> </w:t>
      </w:r>
      <w:r w:rsidR="00A214F2" w:rsidRPr="00A214F2">
        <w:rPr>
          <w:lang w:val="en"/>
        </w:rPr>
        <w:t>violat</w:t>
      </w:r>
      <w:r w:rsidR="009F3C9A">
        <w:rPr>
          <w:lang w:val="en"/>
        </w:rPr>
        <w:t>ing</w:t>
      </w:r>
      <w:r w:rsidR="00A214F2" w:rsidRPr="00A214F2">
        <w:rPr>
          <w:lang w:val="en"/>
        </w:rPr>
        <w:t xml:space="preserve"> court rules</w:t>
      </w:r>
      <w:r w:rsidR="00A214F2">
        <w:rPr>
          <w:lang w:val="en"/>
        </w:rPr>
        <w:t xml:space="preserve">, </w:t>
      </w:r>
      <w:r w:rsidR="009F3C9A">
        <w:rPr>
          <w:lang w:val="en"/>
        </w:rPr>
        <w:t xml:space="preserve">it sentenced the </w:t>
      </w:r>
      <w:r w:rsidR="00025CB2">
        <w:rPr>
          <w:lang w:val="en"/>
        </w:rPr>
        <w:t>a</w:t>
      </w:r>
      <w:r w:rsidR="009F3C9A">
        <w:rPr>
          <w:lang w:val="en"/>
        </w:rPr>
        <w:t xml:space="preserve">uthor for </w:t>
      </w:r>
      <w:r w:rsidR="001619BF">
        <w:rPr>
          <w:lang w:val="en"/>
        </w:rPr>
        <w:t xml:space="preserve">additional </w:t>
      </w:r>
      <w:r w:rsidR="00D33BC7">
        <w:rPr>
          <w:lang w:val="en"/>
        </w:rPr>
        <w:t>5</w:t>
      </w:r>
      <w:r w:rsidR="001619BF">
        <w:rPr>
          <w:lang w:val="en"/>
        </w:rPr>
        <w:t xml:space="preserve"> days of administrative arrest for </w:t>
      </w:r>
      <w:r w:rsidR="00E86B51">
        <w:t>contempt</w:t>
      </w:r>
      <w:r w:rsidR="001619BF">
        <w:t xml:space="preserve"> of Court. </w:t>
      </w:r>
    </w:p>
    <w:p w14:paraId="08FC052A" w14:textId="3C6198AC" w:rsidR="009F0B4C" w:rsidRDefault="00DF3295" w:rsidP="00033F3D">
      <w:pPr>
        <w:pStyle w:val="SingleTxtG"/>
        <w:rPr>
          <w:lang w:val="en-US"/>
        </w:rPr>
      </w:pPr>
      <w:r>
        <w:rPr>
          <w:lang w:val="en-US"/>
        </w:rPr>
        <w:t>2.8</w:t>
      </w:r>
      <w:r>
        <w:rPr>
          <w:lang w:val="en-US"/>
        </w:rPr>
        <w:tab/>
      </w:r>
      <w:r w:rsidR="003321D5" w:rsidRPr="003321D5">
        <w:rPr>
          <w:lang w:val="en-US"/>
        </w:rPr>
        <w:t xml:space="preserve">On </w:t>
      </w:r>
      <w:r w:rsidR="003321D5">
        <w:rPr>
          <w:lang w:val="en-US"/>
        </w:rPr>
        <w:t xml:space="preserve">3 September 2015, the Almaty City Court dismissed </w:t>
      </w:r>
      <w:r w:rsidR="00BE65C5">
        <w:rPr>
          <w:lang w:val="en-US"/>
        </w:rPr>
        <w:t xml:space="preserve">the </w:t>
      </w:r>
      <w:r w:rsidR="003321D5">
        <w:rPr>
          <w:lang w:val="en-US"/>
        </w:rPr>
        <w:t xml:space="preserve">author’s appeal, stating that the lower instance Court </w:t>
      </w:r>
      <w:r w:rsidR="00025CB2">
        <w:rPr>
          <w:lang w:val="en-US"/>
        </w:rPr>
        <w:t xml:space="preserve">had </w:t>
      </w:r>
      <w:r w:rsidR="009F0B4C">
        <w:rPr>
          <w:lang w:val="en-US"/>
        </w:rPr>
        <w:t xml:space="preserve">lawfully sentenced the author to </w:t>
      </w:r>
      <w:r w:rsidR="00025CB2">
        <w:rPr>
          <w:lang w:val="en-US"/>
        </w:rPr>
        <w:t>20 days of</w:t>
      </w:r>
      <w:r w:rsidR="009F0B4C">
        <w:rPr>
          <w:lang w:val="en-US"/>
        </w:rPr>
        <w:t xml:space="preserve"> administrative </w:t>
      </w:r>
      <w:r w:rsidR="00E86B51">
        <w:rPr>
          <w:lang w:val="en-US"/>
        </w:rPr>
        <w:t>arrest</w:t>
      </w:r>
      <w:r w:rsidR="009F0B4C">
        <w:rPr>
          <w:lang w:val="en-US"/>
        </w:rPr>
        <w:t xml:space="preserve">, including fifteen days for violating </w:t>
      </w:r>
      <w:r w:rsidR="009F0B4C" w:rsidRPr="009F0B4C">
        <w:rPr>
          <w:lang w:val="en-US"/>
        </w:rPr>
        <w:t>the procedure on holding peaceful meetings</w:t>
      </w:r>
      <w:r w:rsidR="009F0B4C">
        <w:rPr>
          <w:lang w:val="en-US"/>
        </w:rPr>
        <w:t xml:space="preserve"> and five days for contempt of Court. </w:t>
      </w:r>
    </w:p>
    <w:p w14:paraId="23100E9D" w14:textId="1072E073" w:rsidR="009674C2" w:rsidRDefault="00DF3295" w:rsidP="00033F3D">
      <w:pPr>
        <w:pStyle w:val="SingleTxtG"/>
        <w:rPr>
          <w:lang w:val="en-US"/>
        </w:rPr>
      </w:pPr>
      <w:r>
        <w:rPr>
          <w:lang w:val="en-US"/>
        </w:rPr>
        <w:t>2.9</w:t>
      </w:r>
      <w:r>
        <w:rPr>
          <w:lang w:val="en-US"/>
        </w:rPr>
        <w:tab/>
      </w:r>
      <w:r w:rsidR="00B41A2E">
        <w:rPr>
          <w:lang w:val="en-US"/>
        </w:rPr>
        <w:t xml:space="preserve">On </w:t>
      </w:r>
      <w:r w:rsidR="00BE65C5">
        <w:rPr>
          <w:lang w:val="en-US"/>
        </w:rPr>
        <w:t xml:space="preserve">an </w:t>
      </w:r>
      <w:r w:rsidR="00B41A2E">
        <w:rPr>
          <w:lang w:val="en-US"/>
        </w:rPr>
        <w:t xml:space="preserve">unspecified date, the author filed a </w:t>
      </w:r>
      <w:proofErr w:type="spellStart"/>
      <w:r w:rsidR="00E86B51">
        <w:rPr>
          <w:lang w:val="en-US"/>
        </w:rPr>
        <w:t>ca</w:t>
      </w:r>
      <w:r w:rsidR="00D33BC7">
        <w:rPr>
          <w:lang w:val="en-US"/>
        </w:rPr>
        <w:t>ss</w:t>
      </w:r>
      <w:r w:rsidR="00E86B51">
        <w:rPr>
          <w:lang w:val="en-US"/>
        </w:rPr>
        <w:t>ational</w:t>
      </w:r>
      <w:proofErr w:type="spellEnd"/>
      <w:r w:rsidR="00B41A2E">
        <w:rPr>
          <w:lang w:val="en-US"/>
        </w:rPr>
        <w:t xml:space="preserve"> appeal with the Almaty City Court, </w:t>
      </w:r>
      <w:r w:rsidR="00E86B51">
        <w:rPr>
          <w:lang w:val="en-US"/>
        </w:rPr>
        <w:t>requesting</w:t>
      </w:r>
      <w:r w:rsidR="00B41A2E">
        <w:rPr>
          <w:lang w:val="en-US"/>
        </w:rPr>
        <w:t xml:space="preserve"> to restore author’s rights to freedom </w:t>
      </w:r>
      <w:r w:rsidR="00E86B51">
        <w:rPr>
          <w:lang w:val="en-US"/>
        </w:rPr>
        <w:t>of</w:t>
      </w:r>
      <w:r w:rsidR="00B41A2E">
        <w:rPr>
          <w:lang w:val="en-US"/>
        </w:rPr>
        <w:t xml:space="preserve"> e</w:t>
      </w:r>
      <w:r w:rsidR="00025CB2">
        <w:rPr>
          <w:lang w:val="en-US"/>
        </w:rPr>
        <w:t>x</w:t>
      </w:r>
      <w:r w:rsidR="00B41A2E">
        <w:rPr>
          <w:lang w:val="en-US"/>
        </w:rPr>
        <w:t>pression, freedom of assembly and fair trial</w:t>
      </w:r>
      <w:r w:rsidR="009674C2">
        <w:rPr>
          <w:lang w:val="en-US"/>
        </w:rPr>
        <w:t xml:space="preserve">, which was dismissed on </w:t>
      </w:r>
      <w:r w:rsidR="00B41A2E">
        <w:rPr>
          <w:lang w:val="en-US"/>
        </w:rPr>
        <w:t>12 November 2015</w:t>
      </w:r>
    </w:p>
    <w:p w14:paraId="64527ABE" w14:textId="6DDE399E" w:rsidR="009F0B4C" w:rsidRDefault="00DF3295" w:rsidP="00033F3D">
      <w:pPr>
        <w:pStyle w:val="SingleTxtG"/>
        <w:rPr>
          <w:lang w:val="en-US"/>
        </w:rPr>
      </w:pPr>
      <w:r>
        <w:rPr>
          <w:lang w:val="en-US"/>
        </w:rPr>
        <w:t>2.10</w:t>
      </w:r>
      <w:r>
        <w:rPr>
          <w:lang w:val="en-US"/>
        </w:rPr>
        <w:tab/>
      </w:r>
      <w:r w:rsidR="009674C2">
        <w:rPr>
          <w:lang w:val="en-US"/>
        </w:rPr>
        <w:t xml:space="preserve">The </w:t>
      </w:r>
      <w:r w:rsidR="00E86B51">
        <w:rPr>
          <w:lang w:val="en-US"/>
        </w:rPr>
        <w:t>author’s</w:t>
      </w:r>
      <w:r w:rsidR="009674C2">
        <w:rPr>
          <w:lang w:val="en-US"/>
        </w:rPr>
        <w:t xml:space="preserve"> further appeal for </w:t>
      </w:r>
      <w:r w:rsidR="009674C2" w:rsidRPr="009674C2">
        <w:rPr>
          <w:lang w:val="en-US"/>
        </w:rPr>
        <w:t>a supervisory review to the Prosecutor General w</w:t>
      </w:r>
      <w:r w:rsidR="009674C2">
        <w:rPr>
          <w:lang w:val="en-US"/>
        </w:rPr>
        <w:t>as</w:t>
      </w:r>
      <w:r w:rsidR="009674C2" w:rsidRPr="009674C2">
        <w:rPr>
          <w:lang w:val="en-US"/>
        </w:rPr>
        <w:t xml:space="preserve"> </w:t>
      </w:r>
      <w:r w:rsidR="009674C2">
        <w:rPr>
          <w:lang w:val="en-US"/>
        </w:rPr>
        <w:t>d</w:t>
      </w:r>
      <w:r w:rsidR="009674C2" w:rsidRPr="009674C2">
        <w:rPr>
          <w:lang w:val="en-US"/>
        </w:rPr>
        <w:t xml:space="preserve">ismissed on </w:t>
      </w:r>
      <w:r w:rsidR="009674C2">
        <w:rPr>
          <w:lang w:val="en-US"/>
        </w:rPr>
        <w:t>14 April 2016.</w:t>
      </w:r>
    </w:p>
    <w:p w14:paraId="691BF006" w14:textId="0A750D98" w:rsidR="000128E3" w:rsidRPr="00415BA0" w:rsidRDefault="00013AB1" w:rsidP="002E0468">
      <w:pPr>
        <w:pStyle w:val="H23G"/>
      </w:pPr>
      <w:r>
        <w:tab/>
      </w:r>
      <w:r>
        <w:tab/>
      </w:r>
      <w:r w:rsidR="000128E3" w:rsidRPr="00415BA0">
        <w:t>The complaint</w:t>
      </w:r>
    </w:p>
    <w:p w14:paraId="43AEEFFF" w14:textId="40F10EA4" w:rsidR="00A35372" w:rsidRPr="00A35372" w:rsidRDefault="005E190D" w:rsidP="00A35372">
      <w:pPr>
        <w:pStyle w:val="SingleTxtG"/>
      </w:pPr>
      <w:r>
        <w:t>3.1</w:t>
      </w:r>
      <w:r>
        <w:tab/>
      </w:r>
      <w:r w:rsidR="00A35372" w:rsidRPr="00A35372">
        <w:t xml:space="preserve">The author claims that </w:t>
      </w:r>
      <w:r w:rsidR="00A35372">
        <w:t>by</w:t>
      </w:r>
      <w:r w:rsidR="00543187">
        <w:t xml:space="preserve"> convicting and </w:t>
      </w:r>
      <w:r w:rsidR="00A35372">
        <w:t xml:space="preserve">imposing on him an administrative arrest </w:t>
      </w:r>
      <w:r w:rsidR="00A35372" w:rsidRPr="00A35372">
        <w:t>the State party authorities have restricted his right to freedom of expression, in violation of article 19 of the Covenant, and his right to freedom of assembly, in violation of article 21. The author claims that the restrictions imposed by the State party authorities on the exercise of his rights to freedom of expression and freedom of assembly were not necessary in the interests of national security or public safety, public order, the protection of public health or morals or the protection of the rights and freedoms of others.</w:t>
      </w:r>
    </w:p>
    <w:p w14:paraId="40B2DE96" w14:textId="11D68B4D" w:rsidR="0064518A" w:rsidRDefault="00ED4CF6" w:rsidP="00BE1DC9">
      <w:pPr>
        <w:pStyle w:val="SingleTxtG"/>
        <w:rPr>
          <w:lang w:val="en-US"/>
        </w:rPr>
      </w:pPr>
      <w:r>
        <w:t>3.2</w:t>
      </w:r>
      <w:r>
        <w:tab/>
      </w:r>
      <w:r w:rsidR="00BE1DC9" w:rsidRPr="00BE1DC9">
        <w:t xml:space="preserve">The author claims a violation of article 14 of the Covenant </w:t>
      </w:r>
      <w:r w:rsidR="00BE65C5">
        <w:t xml:space="preserve">arguing </w:t>
      </w:r>
      <w:proofErr w:type="gramStart"/>
      <w:r w:rsidR="00BE65C5">
        <w:t xml:space="preserve">that </w:t>
      </w:r>
      <w:r w:rsidR="00BE1DC9" w:rsidRPr="00BE1DC9">
        <w:t xml:space="preserve"> the</w:t>
      </w:r>
      <w:proofErr w:type="gramEnd"/>
      <w:r w:rsidR="00BE1DC9" w:rsidRPr="00BE1DC9">
        <w:t xml:space="preserve"> courts </w:t>
      </w:r>
      <w:r w:rsidR="0064518A">
        <w:t xml:space="preserve">were not independent and failed to appraise all </w:t>
      </w:r>
      <w:r w:rsidR="001615B9">
        <w:t xml:space="preserve">adduced </w:t>
      </w:r>
      <w:r w:rsidR="0064518A">
        <w:t xml:space="preserve">evidences </w:t>
      </w:r>
      <w:r w:rsidR="001615B9">
        <w:t>c</w:t>
      </w:r>
      <w:r w:rsidR="0064518A">
        <w:t xml:space="preserve">orrectly, thus </w:t>
      </w:r>
      <w:r w:rsidR="0064518A" w:rsidRPr="0064518A">
        <w:rPr>
          <w:lang w:val="en-US"/>
        </w:rPr>
        <w:t xml:space="preserve">erred </w:t>
      </w:r>
      <w:r w:rsidR="004F0DBC">
        <w:rPr>
          <w:lang w:val="en-US"/>
        </w:rPr>
        <w:t xml:space="preserve">when </w:t>
      </w:r>
      <w:r w:rsidR="00E86B51" w:rsidRPr="0064518A">
        <w:rPr>
          <w:lang w:val="en-US"/>
        </w:rPr>
        <w:t>applying the</w:t>
      </w:r>
      <w:r w:rsidR="0064518A" w:rsidRPr="0064518A">
        <w:rPr>
          <w:lang w:val="en-US"/>
        </w:rPr>
        <w:t xml:space="preserve"> Code of Administrative Offences and </w:t>
      </w:r>
      <w:r w:rsidR="00E86B51">
        <w:rPr>
          <w:lang w:val="en-US"/>
        </w:rPr>
        <w:t>subsequent</w:t>
      </w:r>
      <w:r w:rsidR="005F3D21">
        <w:rPr>
          <w:lang w:val="en-US"/>
        </w:rPr>
        <w:t xml:space="preserve"> </w:t>
      </w:r>
      <w:r w:rsidR="001615B9">
        <w:rPr>
          <w:lang w:val="en-US"/>
        </w:rPr>
        <w:t xml:space="preserve">decision </w:t>
      </w:r>
      <w:r w:rsidR="00BC3302">
        <w:rPr>
          <w:lang w:val="en-US"/>
        </w:rPr>
        <w:t>for</w:t>
      </w:r>
      <w:r w:rsidR="001615B9">
        <w:rPr>
          <w:lang w:val="en-US"/>
        </w:rPr>
        <w:t xml:space="preserve"> </w:t>
      </w:r>
      <w:r w:rsidR="0064518A" w:rsidRPr="0064518A">
        <w:rPr>
          <w:lang w:val="en-US"/>
        </w:rPr>
        <w:t>arrest</w:t>
      </w:r>
      <w:r w:rsidR="0064518A">
        <w:rPr>
          <w:lang w:val="en-US"/>
        </w:rPr>
        <w:t>.</w:t>
      </w:r>
    </w:p>
    <w:p w14:paraId="2281F18C" w14:textId="33D20410" w:rsidR="001615B9" w:rsidRDefault="001615B9" w:rsidP="00303B3A">
      <w:pPr>
        <w:pStyle w:val="SingleTxtG"/>
        <w:rPr>
          <w:lang w:val="en-US"/>
        </w:rPr>
      </w:pPr>
      <w:r>
        <w:rPr>
          <w:lang w:val="en-US"/>
        </w:rPr>
        <w:t>3.3</w:t>
      </w:r>
      <w:r>
        <w:rPr>
          <w:lang w:val="en-US"/>
        </w:rPr>
        <w:tab/>
      </w:r>
      <w:r w:rsidRPr="0041259D">
        <w:rPr>
          <w:lang w:val="en-US"/>
        </w:rPr>
        <w:t xml:space="preserve">In </w:t>
      </w:r>
      <w:r w:rsidR="008E04C9" w:rsidRPr="0041259D">
        <w:rPr>
          <w:lang w:val="en-US"/>
        </w:rPr>
        <w:t>communication</w:t>
      </w:r>
      <w:r w:rsidRPr="0041259D">
        <w:rPr>
          <w:lang w:val="en-US"/>
        </w:rPr>
        <w:t xml:space="preserve"> № 2904/2016, the author argues that </w:t>
      </w:r>
      <w:r w:rsidR="00D13071" w:rsidRPr="0041259D">
        <w:rPr>
          <w:lang w:val="en-US"/>
        </w:rPr>
        <w:t>the court did not allow h</w:t>
      </w:r>
      <w:r w:rsidRPr="0041259D">
        <w:rPr>
          <w:lang w:val="en-US"/>
        </w:rPr>
        <w:t>i</w:t>
      </w:r>
      <w:r w:rsidR="004F0DBC" w:rsidRPr="0041259D">
        <w:rPr>
          <w:lang w:val="en-US"/>
        </w:rPr>
        <w:t>s</w:t>
      </w:r>
      <w:r w:rsidR="00D13071" w:rsidRPr="0041259D">
        <w:rPr>
          <w:lang w:val="en-US"/>
        </w:rPr>
        <w:t xml:space="preserve"> legal representatives to </w:t>
      </w:r>
      <w:r w:rsidR="00201713" w:rsidRPr="0041259D">
        <w:rPr>
          <w:lang w:val="en-US"/>
        </w:rPr>
        <w:t>participate</w:t>
      </w:r>
      <w:r w:rsidR="00BE65C5">
        <w:rPr>
          <w:lang w:val="en-US"/>
        </w:rPr>
        <w:t xml:space="preserve"> in the proceedings</w:t>
      </w:r>
      <w:r w:rsidR="00D13071" w:rsidRPr="0041259D">
        <w:rPr>
          <w:lang w:val="en-US"/>
        </w:rPr>
        <w:t>, thereby denying h</w:t>
      </w:r>
      <w:r w:rsidRPr="0041259D">
        <w:rPr>
          <w:lang w:val="en-US"/>
        </w:rPr>
        <w:t>im</w:t>
      </w:r>
      <w:r w:rsidR="00D13071" w:rsidRPr="0041259D">
        <w:rPr>
          <w:lang w:val="en-US"/>
        </w:rPr>
        <w:t xml:space="preserve"> the right to a counsel </w:t>
      </w:r>
      <w:r w:rsidR="008E04C9" w:rsidRPr="0041259D">
        <w:rPr>
          <w:lang w:val="en-US"/>
        </w:rPr>
        <w:t>in violation</w:t>
      </w:r>
      <w:r w:rsidR="00201713" w:rsidRPr="0041259D">
        <w:rPr>
          <w:lang w:val="en-US"/>
        </w:rPr>
        <w:t xml:space="preserve"> of</w:t>
      </w:r>
      <w:r w:rsidR="00D13071" w:rsidRPr="0041259D">
        <w:rPr>
          <w:lang w:val="en-US"/>
        </w:rPr>
        <w:t xml:space="preserve"> article 14 (3) (d) of the Covenant</w:t>
      </w:r>
      <w:r w:rsidRPr="0041259D">
        <w:rPr>
          <w:lang w:val="en-US"/>
        </w:rPr>
        <w:t>.</w:t>
      </w:r>
      <w:r w:rsidR="00072AAF" w:rsidRPr="0041259D">
        <w:rPr>
          <w:rStyle w:val="FootnoteReference"/>
          <w:lang w:val="en-US"/>
        </w:rPr>
        <w:footnoteReference w:id="5"/>
      </w:r>
    </w:p>
    <w:p w14:paraId="135EC2E4" w14:textId="47973844" w:rsidR="00303B3A" w:rsidRPr="00303B3A" w:rsidRDefault="00303B3A" w:rsidP="002E0468">
      <w:pPr>
        <w:pStyle w:val="SingleTxtG"/>
      </w:pPr>
      <w:r>
        <w:t>3.</w:t>
      </w:r>
      <w:r w:rsidR="00235249">
        <w:t>4</w:t>
      </w:r>
      <w:r>
        <w:tab/>
        <w:t xml:space="preserve">The author requests the Committee to urge the State party to </w:t>
      </w:r>
      <w:r w:rsidRPr="00303B3A">
        <w:rPr>
          <w:lang w:val="en"/>
        </w:rPr>
        <w:t xml:space="preserve">take </w:t>
      </w:r>
      <w:r w:rsidR="008E04C9">
        <w:rPr>
          <w:lang w:val="en"/>
        </w:rPr>
        <w:t>necessary</w:t>
      </w:r>
      <w:r w:rsidR="003B0A02">
        <w:rPr>
          <w:lang w:val="en"/>
        </w:rPr>
        <w:t xml:space="preserve"> </w:t>
      </w:r>
      <w:r w:rsidRPr="00303B3A">
        <w:rPr>
          <w:lang w:val="en"/>
        </w:rPr>
        <w:t xml:space="preserve">measures </w:t>
      </w:r>
      <w:r w:rsidR="00586B32">
        <w:rPr>
          <w:lang w:val="en"/>
        </w:rPr>
        <w:t xml:space="preserve">in order to bring to justice those responsible for </w:t>
      </w:r>
      <w:r w:rsidR="00BE65C5">
        <w:rPr>
          <w:lang w:val="en"/>
        </w:rPr>
        <w:t xml:space="preserve">the </w:t>
      </w:r>
      <w:r w:rsidR="00586B32">
        <w:rPr>
          <w:lang w:val="en"/>
        </w:rPr>
        <w:t>violation of h</w:t>
      </w:r>
      <w:r w:rsidR="00BE65C5">
        <w:rPr>
          <w:lang w:val="en"/>
        </w:rPr>
        <w:t>is</w:t>
      </w:r>
      <w:r w:rsidR="00586B32">
        <w:rPr>
          <w:lang w:val="en"/>
        </w:rPr>
        <w:t xml:space="preserve"> rights</w:t>
      </w:r>
      <w:r w:rsidR="008D076E">
        <w:rPr>
          <w:lang w:val="en"/>
        </w:rPr>
        <w:t>.</w:t>
      </w:r>
    </w:p>
    <w:p w14:paraId="65771252" w14:textId="6437C5D2" w:rsidR="001E2EBB" w:rsidRDefault="00C00065" w:rsidP="00620AF0">
      <w:pPr>
        <w:pStyle w:val="SingleTxtG"/>
      </w:pPr>
      <w:r>
        <w:t>3.</w:t>
      </w:r>
      <w:r w:rsidR="00235249">
        <w:t>5</w:t>
      </w:r>
      <w:r>
        <w:tab/>
      </w:r>
      <w:r w:rsidRPr="00C00065">
        <w:t xml:space="preserve">The author </w:t>
      </w:r>
      <w:r w:rsidR="00543187">
        <w:t>request</w:t>
      </w:r>
      <w:r w:rsidR="008D076E">
        <w:t>s</w:t>
      </w:r>
      <w:r w:rsidR="00543187">
        <w:t xml:space="preserve"> the Committee to take measure</w:t>
      </w:r>
      <w:r w:rsidR="008D076E">
        <w:t>s</w:t>
      </w:r>
      <w:r w:rsidR="00543187">
        <w:t xml:space="preserve"> </w:t>
      </w:r>
      <w:r w:rsidR="00620AF0">
        <w:t xml:space="preserve">to </w:t>
      </w:r>
      <w:r w:rsidR="001E2EBB" w:rsidRPr="001E2EBB">
        <w:rPr>
          <w:lang w:val="en-US"/>
        </w:rPr>
        <w:t xml:space="preserve">eliminate existing </w:t>
      </w:r>
      <w:r w:rsidR="00D33BC7">
        <w:rPr>
          <w:lang w:val="en-US"/>
        </w:rPr>
        <w:t xml:space="preserve">restrictions in national legislation on </w:t>
      </w:r>
      <w:r w:rsidR="001E2EBB" w:rsidRPr="001E2EBB">
        <w:rPr>
          <w:lang w:val="en-US"/>
        </w:rPr>
        <w:t xml:space="preserve">freedom of expression, freedom of peaceful assembly and </w:t>
      </w:r>
      <w:r w:rsidR="00D33BC7">
        <w:rPr>
          <w:lang w:val="en-US"/>
        </w:rPr>
        <w:t>the</w:t>
      </w:r>
      <w:r w:rsidR="001E2EBB" w:rsidRPr="001E2EBB">
        <w:rPr>
          <w:lang w:val="en-US"/>
        </w:rPr>
        <w:t xml:space="preserve"> right to fair trial, </w:t>
      </w:r>
      <w:r w:rsidR="00D33BC7">
        <w:rPr>
          <w:lang w:val="en-US"/>
        </w:rPr>
        <w:t xml:space="preserve">arguing that their provisions </w:t>
      </w:r>
      <w:r w:rsidR="001E2EBB" w:rsidRPr="001E2EBB">
        <w:rPr>
          <w:lang w:val="en-US"/>
        </w:rPr>
        <w:t>are incompatible with articles 19, 21 and 14 of the Covenant;</w:t>
      </w:r>
    </w:p>
    <w:p w14:paraId="6732582F" w14:textId="0A0D4D31" w:rsidR="0075733D" w:rsidRPr="0075733D" w:rsidRDefault="00ED4CF6" w:rsidP="0075733D">
      <w:pPr>
        <w:pStyle w:val="SingleTxtG"/>
      </w:pPr>
      <w:r>
        <w:t>3.</w:t>
      </w:r>
      <w:r w:rsidR="00235249">
        <w:t>6</w:t>
      </w:r>
      <w:r>
        <w:tab/>
      </w:r>
      <w:r w:rsidR="00453379" w:rsidRPr="0075733D">
        <w:t xml:space="preserve">The author further </w:t>
      </w:r>
      <w:r w:rsidR="00620AF0" w:rsidRPr="0075733D">
        <w:t>reques</w:t>
      </w:r>
      <w:r w:rsidR="008D076E" w:rsidRPr="0075733D">
        <w:t>ts</w:t>
      </w:r>
      <w:r w:rsidR="00620AF0" w:rsidRPr="0075733D">
        <w:t xml:space="preserve"> the Committee to </w:t>
      </w:r>
      <w:r w:rsidR="0075733D" w:rsidRPr="0075733D">
        <w:t xml:space="preserve">urge the </w:t>
      </w:r>
      <w:r w:rsidR="00620AF0" w:rsidRPr="0075733D">
        <w:t xml:space="preserve">State party </w:t>
      </w:r>
      <w:r w:rsidR="0075733D" w:rsidRPr="0075733D">
        <w:t>to</w:t>
      </w:r>
      <w:r w:rsidR="0075733D" w:rsidRPr="0075733D">
        <w:rPr>
          <w:lang w:val="en-US"/>
        </w:rPr>
        <w:t xml:space="preserve"> ensure that peaceful protests </w:t>
      </w:r>
      <w:r w:rsidR="00163717">
        <w:rPr>
          <w:lang w:val="en-US"/>
        </w:rPr>
        <w:t xml:space="preserve">are </w:t>
      </w:r>
      <w:r w:rsidR="0075733D" w:rsidRPr="0075733D">
        <w:rPr>
          <w:lang w:val="en-US"/>
        </w:rPr>
        <w:t>held without unjustified interference by State authorities and without organizers and participants being persecuted.</w:t>
      </w:r>
    </w:p>
    <w:p w14:paraId="6DBDCB21" w14:textId="154E130A" w:rsidR="00BF450E" w:rsidRPr="00BF450E" w:rsidRDefault="00E37510" w:rsidP="001D4FC3">
      <w:pPr>
        <w:pStyle w:val="H23G"/>
      </w:pPr>
      <w:r>
        <w:tab/>
      </w:r>
      <w:r>
        <w:tab/>
      </w:r>
      <w:r w:rsidR="005D78F5">
        <w:tab/>
      </w:r>
      <w:r w:rsidR="00BF450E" w:rsidRPr="00BF450E">
        <w:t>State party’s observations on admissibility</w:t>
      </w:r>
      <w:r w:rsidR="009D648F">
        <w:t xml:space="preserve"> and </w:t>
      </w:r>
      <w:r w:rsidR="00350465">
        <w:t xml:space="preserve">the </w:t>
      </w:r>
      <w:r w:rsidR="009D648F">
        <w:t>merits</w:t>
      </w:r>
      <w:r w:rsidR="00184F74">
        <w:t xml:space="preserve"> </w:t>
      </w:r>
    </w:p>
    <w:p w14:paraId="5E19B8E0" w14:textId="680A793D" w:rsidR="005F6013" w:rsidRDefault="00BF450E" w:rsidP="00BD49BA">
      <w:pPr>
        <w:pStyle w:val="SingleTxtG"/>
      </w:pPr>
      <w:r w:rsidRPr="00FE22ED">
        <w:t>4.</w:t>
      </w:r>
      <w:r w:rsidR="00C530E2">
        <w:t>1</w:t>
      </w:r>
      <w:r w:rsidRPr="00FE22ED">
        <w:tab/>
      </w:r>
      <w:r w:rsidR="009D7F0F">
        <w:t>In</w:t>
      </w:r>
      <w:r w:rsidR="00EE26A1">
        <w:t xml:space="preserve"> </w:t>
      </w:r>
      <w:r w:rsidR="00EE26A1" w:rsidRPr="00BD49BA">
        <w:t>note</w:t>
      </w:r>
      <w:r w:rsidR="008C1896">
        <w:t>s</w:t>
      </w:r>
      <w:r w:rsidR="00EE26A1">
        <w:t xml:space="preserve"> </w:t>
      </w:r>
      <w:proofErr w:type="spellStart"/>
      <w:r w:rsidRPr="001D4FC3">
        <w:t>verbale</w:t>
      </w:r>
      <w:r w:rsidR="00C530E2">
        <w:t>s</w:t>
      </w:r>
      <w:proofErr w:type="spellEnd"/>
      <w:r w:rsidRPr="00FE22ED">
        <w:t xml:space="preserve"> </w:t>
      </w:r>
      <w:r w:rsidR="009D7F0F">
        <w:t xml:space="preserve">dated </w:t>
      </w:r>
      <w:r w:rsidR="004D26B8">
        <w:t>7</w:t>
      </w:r>
      <w:r w:rsidR="00303B3A">
        <w:t xml:space="preserve"> February</w:t>
      </w:r>
      <w:r w:rsidR="00E96B7A">
        <w:t>,</w:t>
      </w:r>
      <w:r w:rsidR="00303B3A">
        <w:t xml:space="preserve"> </w:t>
      </w:r>
      <w:r w:rsidR="00E37510">
        <w:t>25 September</w:t>
      </w:r>
      <w:r w:rsidR="00C530E2">
        <w:t xml:space="preserve"> </w:t>
      </w:r>
      <w:r w:rsidR="00E96B7A">
        <w:t xml:space="preserve">and 24 November </w:t>
      </w:r>
      <w:r w:rsidRPr="00FE22ED">
        <w:t>201</w:t>
      </w:r>
      <w:r w:rsidR="00E37510">
        <w:t>7</w:t>
      </w:r>
      <w:r w:rsidRPr="00FE22ED">
        <w:t>, the State party</w:t>
      </w:r>
      <w:r w:rsidR="00184F74" w:rsidRPr="00184F74">
        <w:t xml:space="preserve"> submit</w:t>
      </w:r>
      <w:r w:rsidR="00EE26A1">
        <w:t xml:space="preserve">s </w:t>
      </w:r>
      <w:r w:rsidR="005F6013">
        <w:t xml:space="preserve">that </w:t>
      </w:r>
      <w:r w:rsidR="008C1896">
        <w:t xml:space="preserve">both </w:t>
      </w:r>
      <w:r w:rsidR="005F6013">
        <w:t>communication</w:t>
      </w:r>
      <w:r w:rsidR="00C530E2">
        <w:t>s</w:t>
      </w:r>
      <w:r w:rsidR="005F6013">
        <w:t xml:space="preserve"> should be </w:t>
      </w:r>
      <w:r w:rsidR="005F6013" w:rsidRPr="00BD49BA">
        <w:t>declared</w:t>
      </w:r>
      <w:r w:rsidR="005F6013">
        <w:t xml:space="preserve"> inadmissible </w:t>
      </w:r>
      <w:r w:rsidR="008C1896">
        <w:t xml:space="preserve">under </w:t>
      </w:r>
      <w:r w:rsidR="005F6013">
        <w:t>article</w:t>
      </w:r>
      <w:r w:rsidR="00E96B7A">
        <w:t>s</w:t>
      </w:r>
      <w:r w:rsidR="005F6013">
        <w:t xml:space="preserve"> </w:t>
      </w:r>
      <w:r w:rsidR="00E96B7A">
        <w:t>2</w:t>
      </w:r>
      <w:r w:rsidR="0035201B">
        <w:t>, 3</w:t>
      </w:r>
      <w:r w:rsidR="00E96B7A">
        <w:t xml:space="preserve"> and 5</w:t>
      </w:r>
      <w:r w:rsidR="005F6013">
        <w:t xml:space="preserve"> of the Optional </w:t>
      </w:r>
      <w:r w:rsidR="00F57C6B">
        <w:t>Protocol</w:t>
      </w:r>
      <w:r w:rsidR="005F6013">
        <w:t xml:space="preserve"> </w:t>
      </w:r>
      <w:r w:rsidR="004D26B8">
        <w:t xml:space="preserve">due to their </w:t>
      </w:r>
      <w:r w:rsidR="008E04C9">
        <w:t>incompatibility</w:t>
      </w:r>
      <w:r w:rsidR="004D26B8">
        <w:t xml:space="preserve"> with the provisions of the Covenant.</w:t>
      </w:r>
      <w:r w:rsidR="005F6013">
        <w:t xml:space="preserve"> </w:t>
      </w:r>
    </w:p>
    <w:p w14:paraId="76E0A6BB" w14:textId="4F803979" w:rsidR="00CD5ABE" w:rsidRDefault="00290B63" w:rsidP="00BD49BA">
      <w:pPr>
        <w:pStyle w:val="SingleTxtG"/>
        <w:rPr>
          <w:lang w:val="en"/>
        </w:rPr>
      </w:pPr>
      <w:r>
        <w:t>4.2</w:t>
      </w:r>
      <w:r>
        <w:tab/>
      </w:r>
      <w:r w:rsidR="003B0A02">
        <w:t>In this context the State party r</w:t>
      </w:r>
      <w:r w:rsidRPr="00290B63">
        <w:t>efer</w:t>
      </w:r>
      <w:r w:rsidR="003B0A02">
        <w:t>s</w:t>
      </w:r>
      <w:r w:rsidRPr="00290B63">
        <w:t xml:space="preserve"> to </w:t>
      </w:r>
      <w:r w:rsidR="003B0A02">
        <w:t xml:space="preserve">the </w:t>
      </w:r>
      <w:r w:rsidRPr="00290B63">
        <w:t xml:space="preserve">Committee’s established practice in relation to </w:t>
      </w:r>
      <w:r w:rsidR="00163717">
        <w:t xml:space="preserve">consideration </w:t>
      </w:r>
      <w:r w:rsidRPr="00290B63">
        <w:t xml:space="preserve">of the facts and evidence in cases </w:t>
      </w:r>
      <w:r w:rsidR="00EF4BA0">
        <w:t xml:space="preserve">that were </w:t>
      </w:r>
      <w:r w:rsidRPr="00290B63">
        <w:t>already decided by national courts</w:t>
      </w:r>
      <w:r w:rsidR="003B0A02">
        <w:t xml:space="preserve"> and </w:t>
      </w:r>
      <w:r w:rsidRPr="00290B63">
        <w:t xml:space="preserve">observes that the Committee is competent to consider possible violations of the rights guaranteed by the treaties concerned, but not to act as an appellate instance with respect to national courts and tribunals, and it cannot, in principle, examine the determination of the administrative, civil or criminal liability of individuals, nor can </w:t>
      </w:r>
      <w:r w:rsidR="00BE65C5">
        <w:t>it</w:t>
      </w:r>
      <w:r w:rsidRPr="00290B63">
        <w:t xml:space="preserve"> review the question of innocence or guilt.</w:t>
      </w:r>
      <w:r w:rsidR="003B0A02">
        <w:rPr>
          <w:rStyle w:val="FootnoteReference"/>
        </w:rPr>
        <w:footnoteReference w:id="6"/>
      </w:r>
      <w:r w:rsidR="00525180">
        <w:t xml:space="preserve"> </w:t>
      </w:r>
      <w:r w:rsidR="00CD5ABE">
        <w:t xml:space="preserve">Based on these principles, and with reference to article 3 of the Optional </w:t>
      </w:r>
      <w:r w:rsidR="008E04C9">
        <w:t>protocol</w:t>
      </w:r>
      <w:r w:rsidR="00CD5ABE">
        <w:t xml:space="preserve">, the Committee had </w:t>
      </w:r>
      <w:r w:rsidR="00CD5ABE">
        <w:rPr>
          <w:lang w:val="en"/>
        </w:rPr>
        <w:t xml:space="preserve">established a practice where it stated that </w:t>
      </w:r>
      <w:r w:rsidR="00CD5ABE" w:rsidRPr="00096646">
        <w:rPr>
          <w:lang w:val="en-US"/>
        </w:rPr>
        <w:t>the Covenant does not provide for the right to see another person criminally prosecuted.</w:t>
      </w:r>
      <w:r w:rsidR="00CD5ABE">
        <w:rPr>
          <w:rStyle w:val="FootnoteReference"/>
          <w:lang w:val="en-US"/>
        </w:rPr>
        <w:footnoteReference w:id="7"/>
      </w:r>
      <w:r w:rsidR="00CD5ABE" w:rsidRPr="00096646">
        <w:rPr>
          <w:lang w:val="en-US"/>
        </w:rPr>
        <w:t xml:space="preserve"> </w:t>
      </w:r>
      <w:r w:rsidR="00BE65C5">
        <w:rPr>
          <w:lang w:val="en-US"/>
        </w:rPr>
        <w:t>Therefore</w:t>
      </w:r>
      <w:r w:rsidR="00CD5ABE">
        <w:rPr>
          <w:lang w:val="en-US"/>
        </w:rPr>
        <w:t xml:space="preserve">, the </w:t>
      </w:r>
      <w:r w:rsidR="00525180">
        <w:t xml:space="preserve">author’s request </w:t>
      </w:r>
      <w:r w:rsidR="00096646">
        <w:t>for</w:t>
      </w:r>
      <w:r w:rsidR="00525180" w:rsidRPr="00525180">
        <w:rPr>
          <w:lang w:val="en"/>
        </w:rPr>
        <w:t xml:space="preserve"> holding the perpetrators accountable</w:t>
      </w:r>
      <w:r w:rsidR="00525180">
        <w:rPr>
          <w:lang w:val="en"/>
        </w:rPr>
        <w:t xml:space="preserve"> is incompatible </w:t>
      </w:r>
      <w:r w:rsidR="00096646">
        <w:rPr>
          <w:lang w:val="en"/>
        </w:rPr>
        <w:t xml:space="preserve">with the provisions of the </w:t>
      </w:r>
      <w:r w:rsidR="008E04C9">
        <w:rPr>
          <w:lang w:val="en"/>
        </w:rPr>
        <w:t>Covenant</w:t>
      </w:r>
      <w:r w:rsidR="00096646">
        <w:rPr>
          <w:lang w:val="en"/>
        </w:rPr>
        <w:t xml:space="preserve">, pursuant to </w:t>
      </w:r>
      <w:r w:rsidR="008E04C9">
        <w:rPr>
          <w:lang w:val="en"/>
        </w:rPr>
        <w:t>article</w:t>
      </w:r>
      <w:r w:rsidR="00096646">
        <w:rPr>
          <w:lang w:val="en"/>
        </w:rPr>
        <w:t xml:space="preserve"> 3 of the Optional </w:t>
      </w:r>
      <w:r w:rsidR="008E04C9">
        <w:rPr>
          <w:lang w:val="en"/>
        </w:rPr>
        <w:t>Protocol</w:t>
      </w:r>
      <w:r w:rsidR="00CD5ABE">
        <w:rPr>
          <w:lang w:val="en"/>
        </w:rPr>
        <w:t xml:space="preserve"> and </w:t>
      </w:r>
      <w:r w:rsidR="000C1B50">
        <w:rPr>
          <w:lang w:val="en"/>
        </w:rPr>
        <w:t xml:space="preserve">therefore should </w:t>
      </w:r>
      <w:r w:rsidR="00CD5ABE">
        <w:rPr>
          <w:lang w:val="en"/>
        </w:rPr>
        <w:t xml:space="preserve">be declared </w:t>
      </w:r>
      <w:r w:rsidR="000C1B50">
        <w:rPr>
          <w:lang w:val="en"/>
        </w:rPr>
        <w:t xml:space="preserve">by the Committee </w:t>
      </w:r>
      <w:r w:rsidR="00CD5ABE">
        <w:rPr>
          <w:lang w:val="en"/>
        </w:rPr>
        <w:t xml:space="preserve">inadmissible. </w:t>
      </w:r>
      <w:r w:rsidR="00096646">
        <w:rPr>
          <w:lang w:val="en"/>
        </w:rPr>
        <w:t xml:space="preserve"> </w:t>
      </w:r>
    </w:p>
    <w:p w14:paraId="5A941341" w14:textId="3AAC2C9D" w:rsidR="00371416" w:rsidRDefault="00B84CAD" w:rsidP="00BD49BA">
      <w:pPr>
        <w:pStyle w:val="SingleTxtG"/>
      </w:pPr>
      <w:r>
        <w:rPr>
          <w:lang w:val="en"/>
        </w:rPr>
        <w:t>4.3</w:t>
      </w:r>
      <w:r>
        <w:rPr>
          <w:lang w:val="en"/>
        </w:rPr>
        <w:tab/>
      </w:r>
      <w:r w:rsidR="0033134E">
        <w:rPr>
          <w:lang w:val="en"/>
        </w:rPr>
        <w:t xml:space="preserve">The </w:t>
      </w:r>
      <w:r w:rsidR="0033134E">
        <w:t xml:space="preserve">State party </w:t>
      </w:r>
      <w:r w:rsidR="00371416">
        <w:t>furth</w:t>
      </w:r>
      <w:r w:rsidR="00527219">
        <w:t>e</w:t>
      </w:r>
      <w:r w:rsidR="00371416">
        <w:t xml:space="preserve">r </w:t>
      </w:r>
      <w:r w:rsidR="00527219">
        <w:t>o</w:t>
      </w:r>
      <w:r w:rsidR="00371416">
        <w:t xml:space="preserve">bserves that </w:t>
      </w:r>
      <w:r w:rsidR="0033134E">
        <w:t>the author’s remaining requests</w:t>
      </w:r>
      <w:r w:rsidR="00C03EE4">
        <w:t xml:space="preserve">, </w:t>
      </w:r>
      <w:r w:rsidR="00527219">
        <w:t>while</w:t>
      </w:r>
      <w:r w:rsidR="00C03EE4">
        <w:t xml:space="preserve"> being i</w:t>
      </w:r>
      <w:r w:rsidR="0033134E">
        <w:t>ncompatibl</w:t>
      </w:r>
      <w:r w:rsidR="00C03EE4">
        <w:t>e</w:t>
      </w:r>
      <w:r w:rsidR="0033134E">
        <w:t xml:space="preserve"> with the provisions of the Covenant</w:t>
      </w:r>
      <w:r w:rsidR="00C03EE4">
        <w:t xml:space="preserve">, </w:t>
      </w:r>
      <w:r w:rsidR="00527219">
        <w:t xml:space="preserve">are </w:t>
      </w:r>
      <w:r w:rsidR="00C03EE4">
        <w:t xml:space="preserve">in effect </w:t>
      </w:r>
      <w:r w:rsidR="00C47AFD">
        <w:t>asking</w:t>
      </w:r>
      <w:r w:rsidR="00C03EE4">
        <w:t xml:space="preserve"> the Committee to </w:t>
      </w:r>
      <w:r w:rsidR="00EA0468">
        <w:t xml:space="preserve">overreach its authority and interfere </w:t>
      </w:r>
      <w:r w:rsidR="00527219">
        <w:t xml:space="preserve">with </w:t>
      </w:r>
      <w:r w:rsidR="00EA0468">
        <w:t xml:space="preserve">the domestic affairs of </w:t>
      </w:r>
      <w:r w:rsidR="008E04C9">
        <w:t xml:space="preserve">sovereign </w:t>
      </w:r>
      <w:r w:rsidR="00371416">
        <w:t>S</w:t>
      </w:r>
      <w:r w:rsidR="00EA0468">
        <w:t xml:space="preserve">tate and to </w:t>
      </w:r>
      <w:r w:rsidR="008E04C9">
        <w:t>influence</w:t>
      </w:r>
      <w:r w:rsidR="00EA0468">
        <w:t xml:space="preserve"> the State policies </w:t>
      </w:r>
      <w:r w:rsidR="00371416">
        <w:t xml:space="preserve">conducted </w:t>
      </w:r>
      <w:r w:rsidR="00EA0468">
        <w:t xml:space="preserve">in the area of freedom of expression, assembly and </w:t>
      </w:r>
      <w:r w:rsidR="00371416">
        <w:t xml:space="preserve">judicial protection. </w:t>
      </w:r>
    </w:p>
    <w:p w14:paraId="38B7DADA" w14:textId="17F680DD" w:rsidR="00BC3302" w:rsidRPr="00BC3302" w:rsidRDefault="00B84CAD" w:rsidP="00BC3302">
      <w:pPr>
        <w:pStyle w:val="SingleTxtG"/>
      </w:pPr>
      <w:r>
        <w:t>4.4</w:t>
      </w:r>
      <w:r>
        <w:tab/>
      </w:r>
      <w:r w:rsidR="00A20474">
        <w:t xml:space="preserve">The State party </w:t>
      </w:r>
      <w:r w:rsidR="00C47AFD">
        <w:t xml:space="preserve">adds </w:t>
      </w:r>
      <w:r w:rsidR="00A20474">
        <w:t>that a</w:t>
      </w:r>
      <w:r w:rsidR="00776CA5" w:rsidRPr="00776CA5">
        <w:t xml:space="preserve"> communication submitted to the Committee can be considered as inadmissible if the </w:t>
      </w:r>
      <w:r w:rsidR="0035201B" w:rsidRPr="00776CA5">
        <w:t>claims do</w:t>
      </w:r>
      <w:r w:rsidR="00776CA5" w:rsidRPr="00776CA5">
        <w:t xml:space="preserve"> not fall under the purview of the Covenant. As it transpires from the Committee’s established jurisprudence</w:t>
      </w:r>
      <w:r w:rsidR="00E61763">
        <w:t>,</w:t>
      </w:r>
      <w:r w:rsidR="00776CA5" w:rsidRPr="00776CA5">
        <w:rPr>
          <w:vertAlign w:val="superscript"/>
        </w:rPr>
        <w:footnoteReference w:id="8"/>
      </w:r>
      <w:r w:rsidR="00776CA5" w:rsidRPr="00776CA5">
        <w:t xml:space="preserve"> there are cases in which the Committee concluded that the author’s claims under article 14(1) and 14(3</w:t>
      </w:r>
      <w:r w:rsidR="008E04C9" w:rsidRPr="00776CA5">
        <w:t>) (</w:t>
      </w:r>
      <w:r w:rsidR="00776CA5" w:rsidRPr="00776CA5">
        <w:t xml:space="preserve">d) and (e) were not sufficiently substantiated, and the cases were considered inadmissible. </w:t>
      </w:r>
      <w:r w:rsidR="00BC3302">
        <w:t xml:space="preserve">The </w:t>
      </w:r>
      <w:r w:rsidR="00BC3302" w:rsidRPr="00BC3302">
        <w:t xml:space="preserve">State party, with reference to materials at file, </w:t>
      </w:r>
      <w:r w:rsidR="00BC3302">
        <w:t xml:space="preserve">concludes </w:t>
      </w:r>
      <w:r w:rsidR="00BC3302" w:rsidRPr="00BC3302">
        <w:t xml:space="preserve">that the author was provided with legal representation and </w:t>
      </w:r>
      <w:r w:rsidR="00BC3302">
        <w:t xml:space="preserve">with the </w:t>
      </w:r>
      <w:r w:rsidR="00BC3302" w:rsidRPr="00BC3302">
        <w:t xml:space="preserve">right to a fair trial as foreseen by the national legislation.   </w:t>
      </w:r>
    </w:p>
    <w:p w14:paraId="5039747A" w14:textId="7F4BC8F5" w:rsidR="00CF175C" w:rsidRDefault="00B84CAD" w:rsidP="002E0468">
      <w:pPr>
        <w:pStyle w:val="SingleTxtG"/>
      </w:pPr>
      <w:r>
        <w:t>4.5</w:t>
      </w:r>
      <w:r>
        <w:tab/>
      </w:r>
      <w:r w:rsidR="00E966C2">
        <w:t>The</w:t>
      </w:r>
      <w:r w:rsidR="00A12320" w:rsidRPr="00A12320">
        <w:t xml:space="preserve"> State party further submits that the author also failed to exhaust </w:t>
      </w:r>
      <w:r w:rsidR="00BB2CF0">
        <w:t xml:space="preserve">all </w:t>
      </w:r>
      <w:r w:rsidR="00A12320" w:rsidRPr="00A12320">
        <w:t>domestic remedies</w:t>
      </w:r>
      <w:r w:rsidR="00BB2CF0">
        <w:t xml:space="preserve"> and observes that </w:t>
      </w:r>
      <w:r w:rsidR="00A12320" w:rsidRPr="00A12320">
        <w:t xml:space="preserve">the Code of Administrative Offences provides for </w:t>
      </w:r>
      <w:r w:rsidR="008E04C9" w:rsidRPr="00A12320">
        <w:t>a procedure</w:t>
      </w:r>
      <w:r w:rsidR="00A12320" w:rsidRPr="00A12320">
        <w:t xml:space="preserve"> under which the author could have requested the Prosecutor General to initiate supervisory review proceedings in his administrative case before the Supreme Court.</w:t>
      </w:r>
      <w:r w:rsidR="00A12320" w:rsidRPr="00A12320">
        <w:rPr>
          <w:vertAlign w:val="superscript"/>
        </w:rPr>
        <w:footnoteReference w:id="9"/>
      </w:r>
      <w:r w:rsidR="00A12320" w:rsidRPr="00A12320">
        <w:t xml:space="preserve"> </w:t>
      </w:r>
      <w:r w:rsidR="00E966C2">
        <w:t>The author</w:t>
      </w:r>
      <w:r w:rsidR="00E966C2" w:rsidRPr="00E966C2">
        <w:rPr>
          <w:lang w:val="en-US"/>
        </w:rPr>
        <w:t xml:space="preserve"> therefore has a right to petition the Prosecutor General himself for additional review. “Mere doubts” about the ineffectiveness of a remedy does not absolve the author of the necessity to exhaust a certain remedy</w:t>
      </w:r>
      <w:r w:rsidR="00E61763">
        <w:rPr>
          <w:lang w:val="en-US"/>
        </w:rPr>
        <w:t>.</w:t>
      </w:r>
      <w:r w:rsidR="00E966C2" w:rsidRPr="00E966C2">
        <w:rPr>
          <w:vertAlign w:val="superscript"/>
          <w:lang w:val="en-US"/>
        </w:rPr>
        <w:footnoteReference w:id="10"/>
      </w:r>
      <w:r w:rsidR="00E966C2" w:rsidRPr="00E966C2">
        <w:rPr>
          <w:lang w:val="en-US"/>
        </w:rPr>
        <w:t xml:space="preserve"> The State party informs that there are cases of action taken by the supervisory review court, such as decisions dated 29 April 2015. The supervisory panel of the Supreme Court also decided to consider as unlawful the decision issued by the Almaty City Court on 14 March 2014, and cassation appeal court decision dated 20 May 2014. In this decision, the Supreme Court stated that the </w:t>
      </w:r>
      <w:r w:rsidR="00E966C2" w:rsidRPr="00E966C2">
        <w:t xml:space="preserve">hunger strike which was organized by two persons in their apartment, was not unlawful, and asked the </w:t>
      </w:r>
      <w:proofErr w:type="spellStart"/>
      <w:r w:rsidR="00E966C2" w:rsidRPr="008E04C9">
        <w:rPr>
          <w:i/>
        </w:rPr>
        <w:t>akimat</w:t>
      </w:r>
      <w:proofErr w:type="spellEnd"/>
      <w:r w:rsidR="00E966C2" w:rsidRPr="00E966C2">
        <w:t xml:space="preserve"> of Almaty to remedy the violations that occurred</w:t>
      </w:r>
      <w:r w:rsidR="00E61763">
        <w:t>.</w:t>
      </w:r>
    </w:p>
    <w:p w14:paraId="53A44B3C" w14:textId="1DB2CB81" w:rsidR="00E966C2" w:rsidRPr="00E966C2" w:rsidRDefault="00B84CAD" w:rsidP="00E966C2">
      <w:pPr>
        <w:pStyle w:val="SingleTxtG"/>
        <w:rPr>
          <w:lang w:val="en-US"/>
        </w:rPr>
      </w:pPr>
      <w:r>
        <w:t>4.6</w:t>
      </w:r>
      <w:r>
        <w:tab/>
      </w:r>
      <w:r w:rsidR="00E249DC">
        <w:t>The State party continues that following the entry into force</w:t>
      </w:r>
      <w:r w:rsidR="00420A5C">
        <w:t>,</w:t>
      </w:r>
      <w:r w:rsidR="00E249DC">
        <w:t xml:space="preserve"> on 27 June 2017</w:t>
      </w:r>
      <w:r w:rsidR="00420A5C">
        <w:t>,</w:t>
      </w:r>
      <w:r w:rsidR="00E249DC">
        <w:t xml:space="preserve"> of </w:t>
      </w:r>
      <w:r w:rsidR="00420A5C">
        <w:t xml:space="preserve">the </w:t>
      </w:r>
      <w:r w:rsidR="00E249DC">
        <w:t xml:space="preserve">amendments to the article 851 of </w:t>
      </w:r>
      <w:proofErr w:type="spellStart"/>
      <w:r w:rsidR="00E249DC">
        <w:t>CoAD</w:t>
      </w:r>
      <w:proofErr w:type="spellEnd"/>
      <w:r w:rsidR="00E249DC">
        <w:t xml:space="preserve">, the author could have filed a complaint </w:t>
      </w:r>
      <w:r w:rsidR="0068157F">
        <w:t xml:space="preserve">directly </w:t>
      </w:r>
      <w:r w:rsidR="00E249DC">
        <w:t xml:space="preserve">to the </w:t>
      </w:r>
      <w:r w:rsidR="008E04C9">
        <w:t>Supreme</w:t>
      </w:r>
      <w:r w:rsidR="00E249DC">
        <w:t xml:space="preserve"> Court requesting the assessment of lawfulness </w:t>
      </w:r>
      <w:r w:rsidR="00420A5C">
        <w:t xml:space="preserve">of his administrative sentence. The State party observes that </w:t>
      </w:r>
      <w:r w:rsidR="008E04C9" w:rsidRPr="00E966C2">
        <w:rPr>
          <w:lang w:val="en-US"/>
        </w:rPr>
        <w:t>due</w:t>
      </w:r>
      <w:r w:rsidR="00E966C2" w:rsidRPr="00E966C2">
        <w:rPr>
          <w:lang w:val="en-US"/>
        </w:rPr>
        <w:t xml:space="preserve"> to non-exhaustion of the available domestic remedies, the communication</w:t>
      </w:r>
      <w:r w:rsidR="0068157F">
        <w:rPr>
          <w:lang w:val="en-US"/>
        </w:rPr>
        <w:t>s</w:t>
      </w:r>
      <w:r w:rsidR="00E966C2" w:rsidRPr="00E966C2">
        <w:rPr>
          <w:lang w:val="en-US"/>
        </w:rPr>
        <w:t xml:space="preserve"> </w:t>
      </w:r>
      <w:r w:rsidR="0068157F">
        <w:rPr>
          <w:lang w:val="en-US"/>
        </w:rPr>
        <w:t xml:space="preserve">should be declared as </w:t>
      </w:r>
      <w:r w:rsidR="00E966C2" w:rsidRPr="00E966C2">
        <w:rPr>
          <w:lang w:val="en-US"/>
        </w:rPr>
        <w:t>inadmissible under article</w:t>
      </w:r>
      <w:r w:rsidR="00FA3CBA">
        <w:rPr>
          <w:lang w:val="en-US"/>
        </w:rPr>
        <w:t>s 2 and</w:t>
      </w:r>
      <w:r w:rsidR="00E966C2" w:rsidRPr="00E966C2">
        <w:rPr>
          <w:lang w:val="en-US"/>
        </w:rPr>
        <w:t xml:space="preserve"> 5(2</w:t>
      </w:r>
      <w:r w:rsidR="00C35D6F" w:rsidRPr="00E966C2">
        <w:rPr>
          <w:lang w:val="en-US"/>
        </w:rPr>
        <w:t>) (</w:t>
      </w:r>
      <w:r w:rsidR="00E966C2" w:rsidRPr="00E966C2">
        <w:rPr>
          <w:lang w:val="en-US"/>
        </w:rPr>
        <w:t xml:space="preserve">b) of the </w:t>
      </w:r>
      <w:r w:rsidR="0068157F">
        <w:rPr>
          <w:lang w:val="en-US"/>
        </w:rPr>
        <w:t>O</w:t>
      </w:r>
      <w:r w:rsidR="00E966C2" w:rsidRPr="00E966C2">
        <w:rPr>
          <w:lang w:val="en-US"/>
        </w:rPr>
        <w:t>ptional Protocol.</w:t>
      </w:r>
    </w:p>
    <w:p w14:paraId="2FB08EF5" w14:textId="401683C7" w:rsidR="007D281F" w:rsidRDefault="00B84CAD" w:rsidP="00254AB0">
      <w:pPr>
        <w:pStyle w:val="SingleTxtG"/>
        <w:rPr>
          <w:lang w:val="en-US"/>
        </w:rPr>
      </w:pPr>
      <w:r>
        <w:t>4.7</w:t>
      </w:r>
      <w:r>
        <w:tab/>
      </w:r>
      <w:r w:rsidR="00254AB0" w:rsidRPr="00254AB0">
        <w:t xml:space="preserve">The State party denies that the author’s rights to freedom of peaceful assembly or freedom of expression were violated. It contends that the provisions of articles 19 and 21 of the Covenant are fully reflected in the domestic legislation of Kazakhstan. The right to peaceful assembly, as guaranteed by article 32 of the Constitution, can only be restricted by the law, in the interests of national security, public order, the protection of public health or the rights and freedoms of others. At the same time, </w:t>
      </w:r>
      <w:r w:rsidR="006118E0" w:rsidRPr="006118E0">
        <w:rPr>
          <w:lang w:val="en-US"/>
        </w:rPr>
        <w:t xml:space="preserve">Law on the Procedure for Organizing and Holding Peaceful Assemblies, Meetings, Marches, Pickets </w:t>
      </w:r>
      <w:r w:rsidR="00254AB0" w:rsidRPr="00254AB0">
        <w:t xml:space="preserve">and </w:t>
      </w:r>
      <w:r w:rsidR="006118E0">
        <w:t>D</w:t>
      </w:r>
      <w:r w:rsidR="00254AB0" w:rsidRPr="00254AB0">
        <w:t xml:space="preserve">emonstrations establishes procedures for expression of public and personal interest in public </w:t>
      </w:r>
      <w:r w:rsidR="008E04C9" w:rsidRPr="00254AB0">
        <w:t>places,</w:t>
      </w:r>
      <w:r w:rsidR="00254AB0" w:rsidRPr="00254AB0">
        <w:t xml:space="preserve"> as well as certain restrictions on this right. Article 2 of the Law states that peaceful assemblies can be held only with the prior authorization of the local municipalities, whereas article 9 establishes liability for the breach of the procedure for organizing and holding of an event. </w:t>
      </w:r>
      <w:r w:rsidR="0033489A">
        <w:t xml:space="preserve">A prior authorization is required in the interest of </w:t>
      </w:r>
      <w:r w:rsidR="0033489A" w:rsidRPr="0033489A">
        <w:rPr>
          <w:lang w:val="en-US"/>
        </w:rPr>
        <w:t>national security</w:t>
      </w:r>
      <w:r w:rsidR="0033489A">
        <w:rPr>
          <w:lang w:val="en-US"/>
        </w:rPr>
        <w:t xml:space="preserve"> and public safety and </w:t>
      </w:r>
      <w:r w:rsidR="0033489A" w:rsidRPr="0033489A">
        <w:rPr>
          <w:lang w:val="en-US"/>
        </w:rPr>
        <w:t xml:space="preserve">the protection of public health or </w:t>
      </w:r>
      <w:r w:rsidR="0033489A">
        <w:rPr>
          <w:lang w:val="en-US"/>
        </w:rPr>
        <w:t xml:space="preserve">the </w:t>
      </w:r>
      <w:r w:rsidR="0033489A" w:rsidRPr="0033489A">
        <w:rPr>
          <w:lang w:val="en-US"/>
        </w:rPr>
        <w:t xml:space="preserve">rights and freedoms of </w:t>
      </w:r>
      <w:r w:rsidR="0033489A">
        <w:rPr>
          <w:lang w:val="en-US"/>
        </w:rPr>
        <w:t xml:space="preserve">the </w:t>
      </w:r>
      <w:r w:rsidR="00C35D6F">
        <w:rPr>
          <w:lang w:val="en-US"/>
        </w:rPr>
        <w:t>organizers</w:t>
      </w:r>
      <w:r w:rsidR="0033489A">
        <w:rPr>
          <w:lang w:val="en-US"/>
        </w:rPr>
        <w:t xml:space="preserve"> and participants of the events. In this </w:t>
      </w:r>
      <w:r w:rsidR="00C35D6F">
        <w:rPr>
          <w:lang w:val="en-US"/>
        </w:rPr>
        <w:t>context</w:t>
      </w:r>
      <w:r w:rsidR="0033489A">
        <w:rPr>
          <w:lang w:val="en-US"/>
        </w:rPr>
        <w:t>, the State party submits that national legislation is in line with article 21 (3)</w:t>
      </w:r>
      <w:r w:rsidR="007D281F">
        <w:rPr>
          <w:lang w:val="en-US"/>
        </w:rPr>
        <w:t xml:space="preserve"> which allows imposition of restrictions i</w:t>
      </w:r>
      <w:r w:rsidR="007D281F" w:rsidRPr="007D281F">
        <w:rPr>
          <w:lang w:val="en-US"/>
        </w:rPr>
        <w:t>n conformity with the law</w:t>
      </w:r>
      <w:r w:rsidR="007D281F">
        <w:rPr>
          <w:lang w:val="en-US"/>
        </w:rPr>
        <w:t>,</w:t>
      </w:r>
      <w:r w:rsidR="007D281F" w:rsidRPr="007D281F">
        <w:rPr>
          <w:lang w:val="en-US"/>
        </w:rPr>
        <w:t xml:space="preserve"> which are necessary in the interests of national security or public safety, public order (</w:t>
      </w:r>
      <w:proofErr w:type="spellStart"/>
      <w:r w:rsidR="007D281F" w:rsidRPr="007D281F">
        <w:rPr>
          <w:lang w:val="en-US"/>
        </w:rPr>
        <w:t>ordre</w:t>
      </w:r>
      <w:proofErr w:type="spellEnd"/>
      <w:r w:rsidR="007D281F" w:rsidRPr="007D281F">
        <w:rPr>
          <w:lang w:val="en-US"/>
        </w:rPr>
        <w:t xml:space="preserve"> public), the protection of public health or morals or the protection of the rights and freedoms of others.</w:t>
      </w:r>
    </w:p>
    <w:p w14:paraId="00DBA292" w14:textId="7949E7F0" w:rsidR="00D87A8A" w:rsidRPr="00D87A8A" w:rsidRDefault="00B84CAD" w:rsidP="00D87A8A">
      <w:pPr>
        <w:pStyle w:val="SingleTxtG"/>
        <w:rPr>
          <w:lang w:val="en-US"/>
        </w:rPr>
      </w:pPr>
      <w:r>
        <w:t>4.8</w:t>
      </w:r>
      <w:r>
        <w:tab/>
      </w:r>
      <w:r w:rsidR="00254AB0" w:rsidRPr="00254AB0">
        <w:t xml:space="preserve">In </w:t>
      </w:r>
      <w:r w:rsidR="00EF4BA0">
        <w:t xml:space="preserve">both </w:t>
      </w:r>
      <w:r w:rsidR="008E04C9">
        <w:t>communications</w:t>
      </w:r>
      <w:r w:rsidR="00EF4BA0">
        <w:t xml:space="preserve">, </w:t>
      </w:r>
      <w:r w:rsidR="00254AB0" w:rsidRPr="00254AB0">
        <w:t>the courts established that no authorization had been obtained by the author prior to the event</w:t>
      </w:r>
      <w:r w:rsidR="00CF5CB5">
        <w:t>s</w:t>
      </w:r>
      <w:r w:rsidR="00254AB0" w:rsidRPr="00254AB0">
        <w:t xml:space="preserve"> of </w:t>
      </w:r>
      <w:r w:rsidR="00CF5CB5">
        <w:t>28 June and 20 August 2015</w:t>
      </w:r>
      <w:r w:rsidR="00254AB0" w:rsidRPr="00254AB0">
        <w:t xml:space="preserve">. </w:t>
      </w:r>
      <w:r w:rsidR="002E77A5">
        <w:t xml:space="preserve">The </w:t>
      </w:r>
      <w:r w:rsidR="00CF5CB5">
        <w:t xml:space="preserve">national </w:t>
      </w:r>
      <w:r w:rsidR="008E04C9">
        <w:t>courts</w:t>
      </w:r>
      <w:r w:rsidR="00CF5CB5">
        <w:t xml:space="preserve"> have established that</w:t>
      </w:r>
      <w:r w:rsidR="00160898">
        <w:t>:</w:t>
      </w:r>
      <w:r w:rsidR="00CF5CB5">
        <w:t xml:space="preserve"> </w:t>
      </w:r>
      <w:r w:rsidR="007D08EB">
        <w:t xml:space="preserve">in communication </w:t>
      </w:r>
      <w:r w:rsidR="00057676">
        <w:rPr>
          <w:lang w:val="en-US"/>
        </w:rPr>
        <w:t>No.</w:t>
      </w:r>
      <w:r w:rsidR="00057676" w:rsidRPr="007D08EB">
        <w:rPr>
          <w:lang w:val="en-US"/>
        </w:rPr>
        <w:t xml:space="preserve"> </w:t>
      </w:r>
      <w:r w:rsidR="007D08EB" w:rsidRPr="007D08EB">
        <w:rPr>
          <w:lang w:val="en-US"/>
        </w:rPr>
        <w:t>290</w:t>
      </w:r>
      <w:r w:rsidR="00160898">
        <w:rPr>
          <w:lang w:val="en-US"/>
        </w:rPr>
        <w:t>4</w:t>
      </w:r>
      <w:r w:rsidR="007D08EB" w:rsidRPr="007D08EB">
        <w:rPr>
          <w:lang w:val="en-US"/>
        </w:rPr>
        <w:t>/2016</w:t>
      </w:r>
      <w:r w:rsidR="00160898">
        <w:rPr>
          <w:lang w:val="en-US"/>
        </w:rPr>
        <w:t>,</w:t>
      </w:r>
      <w:r w:rsidR="007D08EB">
        <w:rPr>
          <w:lang w:val="en-US"/>
        </w:rPr>
        <w:t xml:space="preserve"> </w:t>
      </w:r>
      <w:r w:rsidR="002E77A5">
        <w:t xml:space="preserve">the author </w:t>
      </w:r>
      <w:r w:rsidR="00160898">
        <w:t xml:space="preserve">not merely attended </w:t>
      </w:r>
      <w:r w:rsidR="00CF5CB5">
        <w:t>a ceremony of laying flowers on 28 June 2015</w:t>
      </w:r>
      <w:r w:rsidR="002E77A5">
        <w:t>,</w:t>
      </w:r>
      <w:r w:rsidR="00160898">
        <w:t xml:space="preserve"> but acted as an organiser of the event</w:t>
      </w:r>
      <w:r w:rsidR="0068157F">
        <w:t>,</w:t>
      </w:r>
      <w:r w:rsidR="00160898">
        <w:t xml:space="preserve"> </w:t>
      </w:r>
      <w:r w:rsidR="0068157F">
        <w:t xml:space="preserve">making </w:t>
      </w:r>
      <w:r w:rsidR="00160898">
        <w:t xml:space="preserve">public statement against the policies </w:t>
      </w:r>
      <w:r w:rsidR="0044425F">
        <w:t>pursued</w:t>
      </w:r>
      <w:r w:rsidR="0068157F">
        <w:t xml:space="preserve"> </w:t>
      </w:r>
      <w:r w:rsidR="00160898">
        <w:t>by the President of Kazakhstan; i</w:t>
      </w:r>
      <w:r w:rsidR="007D08EB">
        <w:t xml:space="preserve">n communication </w:t>
      </w:r>
      <w:r w:rsidR="00057676">
        <w:rPr>
          <w:lang w:val="en-US"/>
        </w:rPr>
        <w:t>No.</w:t>
      </w:r>
      <w:r w:rsidR="00057676" w:rsidRPr="007D08EB">
        <w:rPr>
          <w:lang w:val="en-US"/>
        </w:rPr>
        <w:t xml:space="preserve"> </w:t>
      </w:r>
      <w:r w:rsidR="007D08EB" w:rsidRPr="007D08EB">
        <w:rPr>
          <w:lang w:val="en-US"/>
        </w:rPr>
        <w:t>2907/2016</w:t>
      </w:r>
      <w:r w:rsidR="00160898">
        <w:rPr>
          <w:lang w:val="en-US"/>
        </w:rPr>
        <w:t>,</w:t>
      </w:r>
      <w:r w:rsidR="002E77A5">
        <w:t xml:space="preserve"> </w:t>
      </w:r>
      <w:r w:rsidR="00160898">
        <w:t>the author</w:t>
      </w:r>
      <w:r w:rsidR="007D08EB">
        <w:t xml:space="preserve"> </w:t>
      </w:r>
      <w:r w:rsidR="002E77A5">
        <w:t xml:space="preserve">undertook actions </w:t>
      </w:r>
      <w:r w:rsidR="00160898">
        <w:t xml:space="preserve">aimed at </w:t>
      </w:r>
      <w:r w:rsidR="002E77A5">
        <w:t>hold</w:t>
      </w:r>
      <w:r w:rsidR="00160898">
        <w:t xml:space="preserve">ing </w:t>
      </w:r>
      <w:r w:rsidR="002E77A5">
        <w:t xml:space="preserve">a </w:t>
      </w:r>
      <w:r w:rsidR="00160898">
        <w:t xml:space="preserve">public </w:t>
      </w:r>
      <w:r w:rsidR="002E77A5">
        <w:t>meeting on 20 August 2015</w:t>
      </w:r>
      <w:r w:rsidR="00160898">
        <w:t xml:space="preserve">, and </w:t>
      </w:r>
      <w:r w:rsidR="002E77A5">
        <w:t xml:space="preserve">found </w:t>
      </w:r>
      <w:r w:rsidR="00D87A8A">
        <w:t xml:space="preserve">him guilty </w:t>
      </w:r>
      <w:r w:rsidR="00C35D6F">
        <w:t>of violating</w:t>
      </w:r>
      <w:r w:rsidR="00D87A8A">
        <w:t xml:space="preserve"> </w:t>
      </w:r>
      <w:r w:rsidR="00CF5CB5" w:rsidRPr="00CF5CB5">
        <w:rPr>
          <w:lang w:val="en-US"/>
        </w:rPr>
        <w:t xml:space="preserve">article 488 (3) of the </w:t>
      </w:r>
      <w:proofErr w:type="spellStart"/>
      <w:r w:rsidR="00CF5CB5" w:rsidRPr="00CF5CB5">
        <w:rPr>
          <w:lang w:val="en-US"/>
        </w:rPr>
        <w:t>CoAD</w:t>
      </w:r>
      <w:proofErr w:type="spellEnd"/>
      <w:r w:rsidR="00D87A8A">
        <w:rPr>
          <w:lang w:val="en-US"/>
        </w:rPr>
        <w:t xml:space="preserve">. </w:t>
      </w:r>
      <w:r w:rsidR="006A06DC">
        <w:rPr>
          <w:lang w:val="en-US"/>
        </w:rPr>
        <w:t xml:space="preserve">The State party </w:t>
      </w:r>
      <w:r w:rsidR="00EF4BA0">
        <w:rPr>
          <w:lang w:val="en-US"/>
        </w:rPr>
        <w:t xml:space="preserve">affirms that the Courts acted </w:t>
      </w:r>
      <w:r w:rsidR="008E04C9">
        <w:rPr>
          <w:lang w:val="en-US"/>
        </w:rPr>
        <w:t xml:space="preserve">lawfully sentencing him </w:t>
      </w:r>
      <w:r w:rsidR="00D87A8A">
        <w:rPr>
          <w:lang w:val="en-US"/>
        </w:rPr>
        <w:t xml:space="preserve">to </w:t>
      </w:r>
      <w:r w:rsidR="00CF5CB5" w:rsidRPr="00CF5CB5">
        <w:rPr>
          <w:lang w:val="en-US"/>
        </w:rPr>
        <w:t>15 days of administrative arrest</w:t>
      </w:r>
      <w:r w:rsidR="00EF4BA0">
        <w:rPr>
          <w:lang w:val="en-US"/>
        </w:rPr>
        <w:t xml:space="preserve"> in both communications, and imposing additional </w:t>
      </w:r>
      <w:r w:rsidR="00C376DA">
        <w:rPr>
          <w:lang w:val="en-US"/>
        </w:rPr>
        <w:t xml:space="preserve">5 </w:t>
      </w:r>
      <w:r w:rsidR="00EF4BA0">
        <w:rPr>
          <w:lang w:val="en-US"/>
        </w:rPr>
        <w:t>days</w:t>
      </w:r>
      <w:r w:rsidR="00C376DA">
        <w:rPr>
          <w:lang w:val="en-US"/>
        </w:rPr>
        <w:t xml:space="preserve"> </w:t>
      </w:r>
      <w:r w:rsidR="00EF4BA0">
        <w:rPr>
          <w:lang w:val="en-US"/>
        </w:rPr>
        <w:t xml:space="preserve">of imprisonment for </w:t>
      </w:r>
      <w:r w:rsidR="00C376DA" w:rsidRPr="00D87A8A">
        <w:rPr>
          <w:lang w:val="en-US"/>
        </w:rPr>
        <w:t>contempt of Court</w:t>
      </w:r>
      <w:r w:rsidR="00C376DA">
        <w:rPr>
          <w:lang w:val="en-US"/>
        </w:rPr>
        <w:t xml:space="preserve"> in </w:t>
      </w:r>
      <w:r w:rsidR="00D87A8A">
        <w:rPr>
          <w:lang w:val="en-US"/>
        </w:rPr>
        <w:t xml:space="preserve">communication </w:t>
      </w:r>
      <w:r w:rsidR="00057676">
        <w:rPr>
          <w:lang w:val="en-US"/>
        </w:rPr>
        <w:t xml:space="preserve">No. </w:t>
      </w:r>
      <w:r w:rsidR="00D87A8A">
        <w:rPr>
          <w:lang w:val="en-US"/>
        </w:rPr>
        <w:t>2907</w:t>
      </w:r>
      <w:r w:rsidR="000D29A5">
        <w:rPr>
          <w:lang w:val="en-US"/>
        </w:rPr>
        <w:t>/2016</w:t>
      </w:r>
      <w:r w:rsidR="00C376DA">
        <w:rPr>
          <w:lang w:val="en-US"/>
        </w:rPr>
        <w:t>.</w:t>
      </w:r>
    </w:p>
    <w:p w14:paraId="129E492B" w14:textId="4BE4BFCA" w:rsidR="00D87A8A" w:rsidRDefault="00B84CAD" w:rsidP="00D87A8A">
      <w:pPr>
        <w:pStyle w:val="SingleTxtG"/>
      </w:pPr>
      <w:r>
        <w:t>4.9</w:t>
      </w:r>
      <w:r>
        <w:tab/>
      </w:r>
      <w:r w:rsidR="00D87A8A" w:rsidRPr="00D87A8A">
        <w:t xml:space="preserve">The State party underlines that the author was subjected to administrative arrest not </w:t>
      </w:r>
      <w:r w:rsidR="008E04C9">
        <w:t xml:space="preserve">for </w:t>
      </w:r>
      <w:r w:rsidR="008E04C9" w:rsidRPr="00D87A8A">
        <w:t>expressing</w:t>
      </w:r>
      <w:r w:rsidR="008E04C9">
        <w:t xml:space="preserve"> his</w:t>
      </w:r>
      <w:r w:rsidR="00D87A8A" w:rsidRPr="00D87A8A">
        <w:t xml:space="preserve"> views, but for having breached the procedure governing the organization of peaceful assemblies, as established </w:t>
      </w:r>
      <w:r w:rsidR="005A46BA">
        <w:t xml:space="preserve">by </w:t>
      </w:r>
      <w:r w:rsidR="00D87A8A" w:rsidRPr="00D87A8A">
        <w:t xml:space="preserve">the law.  </w:t>
      </w:r>
    </w:p>
    <w:p w14:paraId="5D699EDB" w14:textId="355E396A" w:rsidR="00D87A8A" w:rsidRPr="00D87A8A" w:rsidRDefault="00B84CAD" w:rsidP="00D87A8A">
      <w:pPr>
        <w:pStyle w:val="SingleTxtG"/>
      </w:pPr>
      <w:r>
        <w:t>4.10</w:t>
      </w:r>
      <w:r>
        <w:tab/>
      </w:r>
      <w:r w:rsidR="00D87A8A" w:rsidRPr="00D87A8A">
        <w:t xml:space="preserve">The State party concludes that the author’s claims under articles 14, 19 and 21 of the Covenant are unsubstantiated. </w:t>
      </w:r>
    </w:p>
    <w:p w14:paraId="6C6D6B33" w14:textId="5B410FD1" w:rsidR="00D24185" w:rsidRPr="00D24185" w:rsidRDefault="00D24185" w:rsidP="00BD49BA">
      <w:pPr>
        <w:pStyle w:val="H23G"/>
      </w:pPr>
      <w:r>
        <w:tab/>
      </w:r>
      <w:r>
        <w:tab/>
      </w:r>
      <w:r w:rsidR="00E313C0">
        <w:tab/>
      </w:r>
      <w:r w:rsidRPr="00D24185">
        <w:t xml:space="preserve">Author’s </w:t>
      </w:r>
      <w:r w:rsidRPr="00BD49BA">
        <w:t>comments</w:t>
      </w:r>
      <w:r w:rsidRPr="00D24185">
        <w:t xml:space="preserve"> on the State party’s observations</w:t>
      </w:r>
      <w:r w:rsidR="0031010D">
        <w:t xml:space="preserve"> on admissibility</w:t>
      </w:r>
      <w:r w:rsidR="00E4707C">
        <w:t xml:space="preserve"> and </w:t>
      </w:r>
      <w:r w:rsidR="00350465">
        <w:t xml:space="preserve">the </w:t>
      </w:r>
      <w:r w:rsidR="00E4707C">
        <w:t>merits</w:t>
      </w:r>
    </w:p>
    <w:p w14:paraId="21C2CAA3" w14:textId="65AA66D5" w:rsidR="00E46F7B" w:rsidRDefault="00B84CAD" w:rsidP="00E4707C">
      <w:pPr>
        <w:pStyle w:val="SingleTxtG"/>
      </w:pPr>
      <w:r>
        <w:t>5.1</w:t>
      </w:r>
      <w:r>
        <w:tab/>
      </w:r>
      <w:r w:rsidR="00E4707C" w:rsidRPr="00E4707C">
        <w:t xml:space="preserve">In letters dated </w:t>
      </w:r>
      <w:r w:rsidR="0058097B">
        <w:t>18 June</w:t>
      </w:r>
      <w:r w:rsidR="00C47AFD">
        <w:t xml:space="preserve"> and</w:t>
      </w:r>
      <w:r w:rsidR="0058097B">
        <w:t xml:space="preserve"> 15 July 2017</w:t>
      </w:r>
      <w:r w:rsidR="00C47AFD">
        <w:t>,</w:t>
      </w:r>
      <w:r w:rsidR="0058097B">
        <w:t xml:space="preserve"> and 12 February 2019, </w:t>
      </w:r>
      <w:r w:rsidR="00E4707C" w:rsidRPr="00E4707C">
        <w:t xml:space="preserve">the author </w:t>
      </w:r>
      <w:r w:rsidR="00E46F7B">
        <w:t>note</w:t>
      </w:r>
      <w:r w:rsidR="00077B7B">
        <w:t>d</w:t>
      </w:r>
      <w:r w:rsidR="00E46F7B">
        <w:t xml:space="preserve"> that the State party had publicly admitted</w:t>
      </w:r>
      <w:r w:rsidR="008E04C9">
        <w:t xml:space="preserve">, </w:t>
      </w:r>
      <w:r w:rsidR="00C47AFD">
        <w:t>in</w:t>
      </w:r>
      <w:r w:rsidR="00E46F7B">
        <w:t xml:space="preserve"> numerous international </w:t>
      </w:r>
      <w:r w:rsidR="008E04C9">
        <w:t>fora</w:t>
      </w:r>
      <w:r w:rsidR="00E46F7B">
        <w:t>, that the Law</w:t>
      </w:r>
      <w:r w:rsidR="00E46F7B" w:rsidRPr="00E46F7B">
        <w:rPr>
          <w:lang w:val="en-US"/>
        </w:rPr>
        <w:t xml:space="preserve"> on the Procedure for Organizing and Holding Peaceful Assemblies, Meetings, Marches, Pickets </w:t>
      </w:r>
      <w:r w:rsidR="006118E0">
        <w:rPr>
          <w:lang w:val="en-US"/>
        </w:rPr>
        <w:t xml:space="preserve">and </w:t>
      </w:r>
      <w:r w:rsidR="008E04C9">
        <w:rPr>
          <w:lang w:val="en-US"/>
        </w:rPr>
        <w:t>Demonstrations</w:t>
      </w:r>
      <w:r w:rsidR="006118E0">
        <w:rPr>
          <w:lang w:val="en-US"/>
        </w:rPr>
        <w:t xml:space="preserve"> </w:t>
      </w:r>
      <w:r w:rsidR="00E46F7B">
        <w:rPr>
          <w:lang w:val="en-US"/>
        </w:rPr>
        <w:t>need</w:t>
      </w:r>
      <w:r w:rsidR="00C47AFD">
        <w:rPr>
          <w:lang w:val="en-US"/>
        </w:rPr>
        <w:t>ed</w:t>
      </w:r>
      <w:r w:rsidR="00E46F7B">
        <w:rPr>
          <w:lang w:val="en-US"/>
        </w:rPr>
        <w:t xml:space="preserve"> to be brought in line with international standards. </w:t>
      </w:r>
      <w:r w:rsidR="0025031B">
        <w:rPr>
          <w:lang w:val="en-US"/>
        </w:rPr>
        <w:t>In t</w:t>
      </w:r>
      <w:r w:rsidR="00163CED">
        <w:rPr>
          <w:lang w:val="en-US"/>
        </w:rPr>
        <w:t>h</w:t>
      </w:r>
      <w:r w:rsidR="0025031B">
        <w:rPr>
          <w:lang w:val="en-US"/>
        </w:rPr>
        <w:t xml:space="preserve">is context, the author </w:t>
      </w:r>
      <w:r w:rsidR="008E04C9">
        <w:rPr>
          <w:lang w:val="en-US"/>
        </w:rPr>
        <w:t>argues</w:t>
      </w:r>
      <w:r w:rsidR="0025031B">
        <w:rPr>
          <w:lang w:val="en-US"/>
        </w:rPr>
        <w:t xml:space="preserve"> </w:t>
      </w:r>
      <w:r w:rsidR="0025031B" w:rsidRPr="0025031B">
        <w:rPr>
          <w:lang w:val="en-US"/>
        </w:rPr>
        <w:t xml:space="preserve">that the provisions of articles 19 and 21 of the Covenant are </w:t>
      </w:r>
      <w:r w:rsidR="0025031B">
        <w:rPr>
          <w:lang w:val="en-US"/>
        </w:rPr>
        <w:t xml:space="preserve">not </w:t>
      </w:r>
      <w:r w:rsidR="0025031B" w:rsidRPr="0025031B">
        <w:rPr>
          <w:lang w:val="en-US"/>
        </w:rPr>
        <w:t>fully reflected in the domestic legislation of Kazakhstan</w:t>
      </w:r>
      <w:r w:rsidR="0025031B">
        <w:rPr>
          <w:lang w:val="en-US"/>
        </w:rPr>
        <w:t xml:space="preserve"> and notes that the restrictions imposed on author’s right to </w:t>
      </w:r>
      <w:r w:rsidR="008E04C9">
        <w:rPr>
          <w:lang w:val="en-US"/>
        </w:rPr>
        <w:t>peaceful</w:t>
      </w:r>
      <w:r w:rsidR="0025031B">
        <w:rPr>
          <w:lang w:val="en-US"/>
        </w:rPr>
        <w:t xml:space="preserve"> meeting and freedom of expression were unnecessary</w:t>
      </w:r>
      <w:r w:rsidR="00243653">
        <w:rPr>
          <w:lang w:val="en-US"/>
        </w:rPr>
        <w:t xml:space="preserve"> and that there was no need to sentence him to administrative arrest. </w:t>
      </w:r>
      <w:r w:rsidR="0025031B">
        <w:rPr>
          <w:lang w:val="en-US"/>
        </w:rPr>
        <w:t xml:space="preserve">  </w:t>
      </w:r>
      <w:r w:rsidR="00E46F7B">
        <w:rPr>
          <w:lang w:val="en-US"/>
        </w:rPr>
        <w:t xml:space="preserve"> </w:t>
      </w:r>
    </w:p>
    <w:p w14:paraId="060BAEE7" w14:textId="4B3691DA" w:rsidR="00B80AA4" w:rsidRDefault="00B84CAD" w:rsidP="00E4707C">
      <w:pPr>
        <w:pStyle w:val="SingleTxtG"/>
      </w:pPr>
      <w:r>
        <w:rPr>
          <w:lang w:val="en-US"/>
        </w:rPr>
        <w:t>5.2</w:t>
      </w:r>
      <w:r>
        <w:rPr>
          <w:lang w:val="en-US"/>
        </w:rPr>
        <w:tab/>
      </w:r>
      <w:r w:rsidR="00B80AA4" w:rsidRPr="00B80AA4">
        <w:rPr>
          <w:lang w:val="en-US"/>
        </w:rPr>
        <w:t>The author submits that the State party failed to demonstrate the reasons for restricting h</w:t>
      </w:r>
      <w:r w:rsidR="00B80AA4">
        <w:rPr>
          <w:lang w:val="en-US"/>
        </w:rPr>
        <w:t>is</w:t>
      </w:r>
      <w:r w:rsidR="00B80AA4" w:rsidRPr="00B80AA4">
        <w:rPr>
          <w:lang w:val="en-US"/>
        </w:rPr>
        <w:t xml:space="preserve"> rights to freedom of expression and peaceful assembly and for holding h</w:t>
      </w:r>
      <w:r w:rsidR="00B80AA4">
        <w:rPr>
          <w:lang w:val="en-US"/>
        </w:rPr>
        <w:t>im</w:t>
      </w:r>
      <w:r w:rsidR="00B80AA4" w:rsidRPr="00B80AA4">
        <w:rPr>
          <w:lang w:val="en-US"/>
        </w:rPr>
        <w:t xml:space="preserve"> administratively liable. </w:t>
      </w:r>
      <w:r w:rsidR="00B80AA4">
        <w:rPr>
          <w:lang w:val="en-US"/>
        </w:rPr>
        <w:t>He</w:t>
      </w:r>
      <w:r w:rsidR="00B80AA4" w:rsidRPr="00B80AA4">
        <w:rPr>
          <w:lang w:val="en-US"/>
        </w:rPr>
        <w:t xml:space="preserve"> maintains that </w:t>
      </w:r>
      <w:r w:rsidR="00B80AA4">
        <w:rPr>
          <w:lang w:val="en-US"/>
        </w:rPr>
        <w:t>his</w:t>
      </w:r>
      <w:r w:rsidR="00B80AA4" w:rsidRPr="00B80AA4">
        <w:rPr>
          <w:lang w:val="en-US"/>
        </w:rPr>
        <w:t xml:space="preserve"> actions did not pose any risk to the State.</w:t>
      </w:r>
    </w:p>
    <w:p w14:paraId="7FE401E0" w14:textId="36CCA2C9" w:rsidR="00E46F7B" w:rsidRDefault="00B84CAD" w:rsidP="00E4707C">
      <w:pPr>
        <w:pStyle w:val="SingleTxtG"/>
      </w:pPr>
      <w:r>
        <w:t>5.3</w:t>
      </w:r>
      <w:r>
        <w:tab/>
      </w:r>
      <w:r w:rsidR="004E26ED">
        <w:t xml:space="preserve">The author </w:t>
      </w:r>
      <w:r w:rsidR="00B80AA4">
        <w:t xml:space="preserve">submits </w:t>
      </w:r>
      <w:r w:rsidR="004E26ED">
        <w:t>that the State party failed to implement the views adopted by the Committee</w:t>
      </w:r>
      <w:r w:rsidR="00B80AA4">
        <w:t xml:space="preserve"> </w:t>
      </w:r>
      <w:r w:rsidR="00077B7B">
        <w:t xml:space="preserve">in relation to violation of article 19 and 21 of the Covenant in a </w:t>
      </w:r>
      <w:r w:rsidR="004E26ED">
        <w:t>similar case.</w:t>
      </w:r>
      <w:r w:rsidR="004E26ED">
        <w:rPr>
          <w:rStyle w:val="FootnoteReference"/>
        </w:rPr>
        <w:footnoteReference w:id="11"/>
      </w:r>
    </w:p>
    <w:p w14:paraId="217870BD" w14:textId="350BCAAD" w:rsidR="00345B76" w:rsidRDefault="00B84CAD" w:rsidP="004E26ED">
      <w:pPr>
        <w:pStyle w:val="SingleTxtG"/>
      </w:pPr>
      <w:r>
        <w:t>5.4</w:t>
      </w:r>
      <w:r>
        <w:tab/>
      </w:r>
      <w:r w:rsidR="004E26ED">
        <w:t>The author furth</w:t>
      </w:r>
      <w:r w:rsidR="00345B76">
        <w:t>e</w:t>
      </w:r>
      <w:r w:rsidR="004E26ED">
        <w:t xml:space="preserve">r refers to the </w:t>
      </w:r>
      <w:r w:rsidR="008A7802">
        <w:t xml:space="preserve">UN Special Rapporteur’s </w:t>
      </w:r>
      <w:r w:rsidR="004859CA">
        <w:t xml:space="preserve">mission </w:t>
      </w:r>
      <w:r w:rsidR="004E26ED">
        <w:t>repor</w:t>
      </w:r>
      <w:r w:rsidR="002C4E9E">
        <w:t>t to Kazakhstan</w:t>
      </w:r>
      <w:r w:rsidR="009172D4">
        <w:rPr>
          <w:rStyle w:val="FootnoteReference"/>
        </w:rPr>
        <w:footnoteReference w:id="12"/>
      </w:r>
      <w:r w:rsidR="004E26ED">
        <w:t xml:space="preserve">  where he </w:t>
      </w:r>
      <w:r w:rsidR="00345B76">
        <w:t>stated that t</w:t>
      </w:r>
      <w:r w:rsidR="004E26ED" w:rsidRPr="004E26ED">
        <w:t>he right to peacefully assemble, hold meetings, rallies and demonstrations, street processions and pickets is guaranteed by the Constitution. However, in practice, the Government’s approach to regulating assemblies renders that right meaningless. The 1995 Law on the Procedure for Organizing and Holding Peaceful Assemblies, Meetings, Marches, Pickets and Demonstrations requires that representatives of labour collectives, public associations or separate groups of citizens of Kazakhstan who reached the age of 18 seek prior permission from local authorities at least 10 days before the date of the gathering. Those requirements do not comply with international standards, which provide that no authorization should be required to assemble peacefully and that everyone has the right to freedom of peaceful assembly and of association (Human Rights Council resolution 15/21).</w:t>
      </w:r>
    </w:p>
    <w:p w14:paraId="78281FE7" w14:textId="4EA7A41B" w:rsidR="004E26ED" w:rsidRPr="004E26ED" w:rsidRDefault="00B84CAD" w:rsidP="004E26ED">
      <w:pPr>
        <w:pStyle w:val="SingleTxtG"/>
      </w:pPr>
      <w:r>
        <w:t>5.5</w:t>
      </w:r>
      <w:r>
        <w:tab/>
      </w:r>
      <w:r w:rsidR="00345B76">
        <w:t xml:space="preserve">The author notes that </w:t>
      </w:r>
      <w:r w:rsidR="005A46BA">
        <w:t xml:space="preserve">according to </w:t>
      </w:r>
      <w:r w:rsidR="00345B76">
        <w:t>the Special Rapporteur</w:t>
      </w:r>
      <w:r w:rsidR="005A46BA">
        <w:t xml:space="preserve">, </w:t>
      </w:r>
      <w:r w:rsidR="00782B9E">
        <w:t>a</w:t>
      </w:r>
      <w:r w:rsidR="004E26ED" w:rsidRPr="004E26ED">
        <w:t xml:space="preserve">lthough certain restrictions are allowed under paragraph 4 of Human Rights Council resolution 15/21, the </w:t>
      </w:r>
      <w:r w:rsidR="008E04C9" w:rsidRPr="004E26ED">
        <w:t>Syracuse</w:t>
      </w:r>
      <w:r w:rsidR="004E26ED" w:rsidRPr="004E26ED">
        <w:t xml:space="preserve"> Principles on the Limitation and Derogation Provisions in the International Covenant on Civil and Political Rights provide a clear framework for the authorized limits under international human rights law. Fundamentally, the scope of a limitation referred to in the Covenant shall not be interpreted so as to jeopardize the essence of the right concerned and shall be interpreted strictly and in favour of the rights at issue. In this context, the Special Rapporteur underlines that the right to peaceful assembly must not be subject to prior permission from the authorities, but at best by a notification procedure whose rationale is to ensure police protection to demonstrators and bystanders.</w:t>
      </w:r>
    </w:p>
    <w:p w14:paraId="365CD98E" w14:textId="5A711183" w:rsidR="004E26ED" w:rsidRPr="004E26ED" w:rsidRDefault="00B84CAD" w:rsidP="004E26ED">
      <w:pPr>
        <w:pStyle w:val="SingleTxtG"/>
      </w:pPr>
      <w:r>
        <w:t>5.6</w:t>
      </w:r>
      <w:r>
        <w:tab/>
      </w:r>
      <w:r w:rsidR="00345B76">
        <w:t xml:space="preserve">The author </w:t>
      </w:r>
      <w:r w:rsidR="00FA1FDD">
        <w:t xml:space="preserve">adds that </w:t>
      </w:r>
      <w:r w:rsidR="00345B76">
        <w:t>b</w:t>
      </w:r>
      <w:r w:rsidR="004E26ED" w:rsidRPr="004E26ED">
        <w:t>y specifying that authorized assemblies can only be held at specific designated sites and following the grant of permission from the State, the Special Rapporteur believes that the right to freedom of assembly is treated as a privilege or a favour rather than a right. Although in limited circumstances, for a certain period of time, the right to peaceful assembly may legitimately be restricted in certain locations, prohibiting assemblies in all locations but one designated area violates international human rights law.</w:t>
      </w:r>
    </w:p>
    <w:p w14:paraId="2312E126" w14:textId="769BC092" w:rsidR="004E26ED" w:rsidRPr="004E26ED" w:rsidRDefault="00B84CAD" w:rsidP="004E26ED">
      <w:pPr>
        <w:pStyle w:val="SingleTxtG"/>
      </w:pPr>
      <w:r>
        <w:t>5.7</w:t>
      </w:r>
      <w:r>
        <w:tab/>
      </w:r>
      <w:r w:rsidR="00345B76">
        <w:t>The author furt</w:t>
      </w:r>
      <w:r w:rsidR="0026086B">
        <w:t>her</w:t>
      </w:r>
      <w:r w:rsidR="00345B76">
        <w:t xml:space="preserve"> notes that the </w:t>
      </w:r>
      <w:r w:rsidR="004E26ED" w:rsidRPr="004E26ED">
        <w:t>Special Rapporteur echoes the findings of the Human Rights Committee and notes that the Government has admitted on multiple occasions that the Law on Assemblies falls short of international standards. In 2007, for example, the Human Rights Commission, a consultative body under the President, concluded in its baseline report on human rights in Kazakhstan that the 1995 Law had failed to comply with international standards. Among other things, it highlighted the fact that the law did not differentiate between participants in a gathering and monitors or passers-by, often resulting in the arrest of the latter.</w:t>
      </w:r>
    </w:p>
    <w:p w14:paraId="0103EE5A" w14:textId="6F0ECECE" w:rsidR="004E26ED" w:rsidRDefault="00B84CAD" w:rsidP="00E4707C">
      <w:pPr>
        <w:pStyle w:val="SingleTxtG"/>
      </w:pPr>
      <w:r>
        <w:t>5.8</w:t>
      </w:r>
      <w:r>
        <w:tab/>
      </w:r>
      <w:r w:rsidR="00345B76">
        <w:t xml:space="preserve">Finally, </w:t>
      </w:r>
      <w:r w:rsidR="00FA1FDD">
        <w:t xml:space="preserve">the </w:t>
      </w:r>
      <w:r w:rsidR="00345B76">
        <w:t>author underlines that t</w:t>
      </w:r>
      <w:r w:rsidR="004E26ED" w:rsidRPr="004E26ED">
        <w:t>he Special Rapporteur encourage</w:t>
      </w:r>
      <w:r w:rsidR="00906AB6">
        <w:t>d</w:t>
      </w:r>
      <w:r w:rsidR="004E26ED" w:rsidRPr="004E26ED">
        <w:t xml:space="preserve"> the authorities to consider a complete overhaul of its approach to regulating peaceful assemblies, starting by repealing the requirement of prior authorization and by allowing assemblies to take place in areas other than the designated “protest spaces”. </w:t>
      </w:r>
    </w:p>
    <w:p w14:paraId="5BC81245" w14:textId="2AA1BD49" w:rsidR="002F6E01" w:rsidRDefault="00B84CAD" w:rsidP="00E4707C">
      <w:pPr>
        <w:pStyle w:val="SingleTxtG"/>
        <w:rPr>
          <w:lang w:val="en-US"/>
        </w:rPr>
      </w:pPr>
      <w:r>
        <w:rPr>
          <w:lang w:val="en-US"/>
        </w:rPr>
        <w:t>5.9</w:t>
      </w:r>
      <w:r>
        <w:rPr>
          <w:lang w:val="en-US"/>
        </w:rPr>
        <w:tab/>
      </w:r>
      <w:r w:rsidR="00E4707C" w:rsidRPr="00E4707C">
        <w:rPr>
          <w:lang w:val="en-US"/>
        </w:rPr>
        <w:t xml:space="preserve">The author explains that </w:t>
      </w:r>
      <w:r w:rsidR="0058097B">
        <w:rPr>
          <w:lang w:val="en-US"/>
        </w:rPr>
        <w:t xml:space="preserve">although he </w:t>
      </w:r>
      <w:r w:rsidR="00E4707C" w:rsidRPr="00E4707C">
        <w:rPr>
          <w:lang w:val="en-US"/>
        </w:rPr>
        <w:t>file</w:t>
      </w:r>
      <w:r w:rsidR="0058097B">
        <w:rPr>
          <w:lang w:val="en-US"/>
        </w:rPr>
        <w:t>d</w:t>
      </w:r>
      <w:r w:rsidR="00E4707C" w:rsidRPr="00E4707C">
        <w:rPr>
          <w:lang w:val="en-US"/>
        </w:rPr>
        <w:t xml:space="preserve"> </w:t>
      </w:r>
      <w:r w:rsidR="00B80AA4">
        <w:rPr>
          <w:lang w:val="en-US"/>
        </w:rPr>
        <w:t xml:space="preserve">a </w:t>
      </w:r>
      <w:r w:rsidR="008E04C9">
        <w:rPr>
          <w:lang w:val="en-US"/>
        </w:rPr>
        <w:t>complaint</w:t>
      </w:r>
      <w:r w:rsidR="00B80AA4">
        <w:rPr>
          <w:lang w:val="en-US"/>
        </w:rPr>
        <w:t xml:space="preserve"> </w:t>
      </w:r>
      <w:r w:rsidR="00E4707C" w:rsidRPr="00E4707C">
        <w:rPr>
          <w:lang w:val="en-US"/>
        </w:rPr>
        <w:t>with the office of the Prosecutor General under the supervisory review procedure</w:t>
      </w:r>
      <w:r w:rsidR="0058097B">
        <w:rPr>
          <w:lang w:val="en-US"/>
        </w:rPr>
        <w:t xml:space="preserve"> </w:t>
      </w:r>
      <w:r w:rsidR="005F1F36">
        <w:rPr>
          <w:lang w:val="en-US"/>
        </w:rPr>
        <w:t>he</w:t>
      </w:r>
      <w:r w:rsidR="00A73D11">
        <w:rPr>
          <w:lang w:val="en-US"/>
        </w:rPr>
        <w:t xml:space="preserve"> w</w:t>
      </w:r>
      <w:r w:rsidR="005F1F36">
        <w:rPr>
          <w:lang w:val="en-US"/>
        </w:rPr>
        <w:t>as</w:t>
      </w:r>
      <w:r w:rsidR="00A73D11">
        <w:rPr>
          <w:lang w:val="en-US"/>
        </w:rPr>
        <w:t xml:space="preserve"> </w:t>
      </w:r>
      <w:r w:rsidR="0058097B">
        <w:rPr>
          <w:lang w:val="en-US"/>
        </w:rPr>
        <w:t xml:space="preserve">not successful. The author argues that this procedure </w:t>
      </w:r>
      <w:r w:rsidR="00E4707C" w:rsidRPr="00E4707C">
        <w:rPr>
          <w:lang w:val="en-US"/>
        </w:rPr>
        <w:t>d</w:t>
      </w:r>
      <w:r w:rsidR="0058097B">
        <w:rPr>
          <w:lang w:val="en-US"/>
        </w:rPr>
        <w:t>oes</w:t>
      </w:r>
      <w:r w:rsidR="00E4707C" w:rsidRPr="00E4707C">
        <w:rPr>
          <w:lang w:val="en-US"/>
        </w:rPr>
        <w:t xml:space="preserve"> not constitute an effective remedy</w:t>
      </w:r>
      <w:r w:rsidR="00E4707C" w:rsidRPr="00E4707C">
        <w:t xml:space="preserve">. </w:t>
      </w:r>
      <w:r w:rsidR="001C0AC5">
        <w:t xml:space="preserve">Referring to </w:t>
      </w:r>
      <w:r w:rsidR="001C0AC5" w:rsidRPr="005E411C">
        <w:t>Sta</w:t>
      </w:r>
      <w:r w:rsidR="0035201B" w:rsidRPr="005E411C">
        <w:t>te</w:t>
      </w:r>
      <w:r w:rsidR="001C0AC5">
        <w:t xml:space="preserve"> party’s observation implying that the author failed to exhaust all </w:t>
      </w:r>
      <w:r w:rsidR="008E04C9">
        <w:t>domestic</w:t>
      </w:r>
      <w:r w:rsidR="001C0AC5">
        <w:t xml:space="preserve"> remedies since he did not file a complaint directly wit</w:t>
      </w:r>
      <w:r w:rsidR="002F6E01">
        <w:t>h</w:t>
      </w:r>
      <w:r w:rsidR="001C0AC5">
        <w:t xml:space="preserve"> the Supreme Court, as foreseen under the new legislation of 27 June 2017, the author argues that </w:t>
      </w:r>
      <w:r w:rsidR="002F6E01">
        <w:t xml:space="preserve">present </w:t>
      </w:r>
      <w:r w:rsidR="001C0AC5">
        <w:t xml:space="preserve">communications were submitted </w:t>
      </w:r>
      <w:r w:rsidR="005A46BA">
        <w:t xml:space="preserve">to the Committee </w:t>
      </w:r>
      <w:r w:rsidR="001C0AC5">
        <w:t xml:space="preserve">before entering into force of amendments </w:t>
      </w:r>
      <w:r w:rsidR="001C0AC5" w:rsidRPr="001C0AC5">
        <w:rPr>
          <w:lang w:val="en-US"/>
        </w:rPr>
        <w:t xml:space="preserve">to the article 851 of </w:t>
      </w:r>
      <w:proofErr w:type="spellStart"/>
      <w:r w:rsidR="001C0AC5" w:rsidRPr="001C0AC5">
        <w:rPr>
          <w:lang w:val="en-US"/>
        </w:rPr>
        <w:t>CoAD</w:t>
      </w:r>
      <w:proofErr w:type="spellEnd"/>
      <w:r w:rsidR="002F6E01">
        <w:rPr>
          <w:lang w:val="en-US"/>
        </w:rPr>
        <w:t xml:space="preserve">, thus exhausting this supervisory review procedure was not necessary. </w:t>
      </w:r>
    </w:p>
    <w:p w14:paraId="5C8419F5" w14:textId="7D100F75" w:rsidR="001C77F6" w:rsidRDefault="00B84CAD" w:rsidP="0024073B">
      <w:pPr>
        <w:pStyle w:val="SingleTxtG"/>
      </w:pPr>
      <w:r>
        <w:t>5.10</w:t>
      </w:r>
      <w:r>
        <w:tab/>
      </w:r>
      <w:r w:rsidR="002F6E01">
        <w:t xml:space="preserve">The author </w:t>
      </w:r>
      <w:r w:rsidR="00FF6110">
        <w:t xml:space="preserve">notes </w:t>
      </w:r>
      <w:r w:rsidR="002F6E01">
        <w:t xml:space="preserve">that the State party </w:t>
      </w:r>
      <w:r w:rsidR="00C53223">
        <w:t xml:space="preserve">violated </w:t>
      </w:r>
      <w:r w:rsidR="002F6E01">
        <w:t xml:space="preserve">his rights to freedom of expression and </w:t>
      </w:r>
      <w:r w:rsidR="008E04C9">
        <w:t>peaceful</w:t>
      </w:r>
      <w:r w:rsidR="00C53223">
        <w:t xml:space="preserve"> </w:t>
      </w:r>
      <w:r w:rsidR="002F6E01">
        <w:t xml:space="preserve">assembly as </w:t>
      </w:r>
      <w:r w:rsidR="008E04C9">
        <w:t>guaranteed</w:t>
      </w:r>
      <w:r w:rsidR="002F6E01">
        <w:t xml:space="preserve"> under article 32 of the Constit</w:t>
      </w:r>
      <w:r w:rsidR="008E04C9">
        <w:t>ution</w:t>
      </w:r>
      <w:r w:rsidR="00BD65ED">
        <w:t>, as well as articles 19 and 21 of the Covenant</w:t>
      </w:r>
      <w:r w:rsidR="00C53223">
        <w:t xml:space="preserve">. He continues that </w:t>
      </w:r>
      <w:r w:rsidR="00C53223" w:rsidRPr="00C53223">
        <w:t>neither the State party nor the national courts have provided any explanation why the restriction</w:t>
      </w:r>
      <w:r w:rsidR="00C53223">
        <w:t>, including an admi</w:t>
      </w:r>
      <w:r w:rsidR="008E04C9">
        <w:t>nistrative</w:t>
      </w:r>
      <w:r w:rsidR="00C53223">
        <w:t xml:space="preserve"> arrest </w:t>
      </w:r>
      <w:r w:rsidR="00C53223" w:rsidRPr="00C53223">
        <w:t>was necessary for a legitimate purpose</w:t>
      </w:r>
      <w:r w:rsidR="0024073B">
        <w:t xml:space="preserve">. </w:t>
      </w:r>
    </w:p>
    <w:p w14:paraId="0604CB8C" w14:textId="0DCD2373" w:rsidR="00350465" w:rsidRDefault="00B84CAD" w:rsidP="00E61763">
      <w:pPr>
        <w:pStyle w:val="SingleTxtG"/>
      </w:pPr>
      <w:r>
        <w:t>5.11</w:t>
      </w:r>
      <w:r>
        <w:tab/>
      </w:r>
      <w:r w:rsidR="003259A5">
        <w:t>Referring to violation of article 14 of the Covenant</w:t>
      </w:r>
      <w:r w:rsidR="00CC166D">
        <w:t xml:space="preserve"> in communication </w:t>
      </w:r>
      <w:r w:rsidR="00CC166D" w:rsidRPr="00CC166D">
        <w:t>№</w:t>
      </w:r>
      <w:r w:rsidR="00CC166D">
        <w:t xml:space="preserve"> 2907/2016,</w:t>
      </w:r>
      <w:r w:rsidR="003259A5">
        <w:t xml:space="preserve"> th</w:t>
      </w:r>
      <w:r w:rsidR="00CC166D">
        <w:t>e</w:t>
      </w:r>
      <w:r w:rsidR="003259A5">
        <w:t xml:space="preserve"> author notes that </w:t>
      </w:r>
      <w:r w:rsidR="00CC166D">
        <w:t xml:space="preserve">by </w:t>
      </w:r>
      <w:r w:rsidR="00FA1FDD">
        <w:t>sentencing him to prison</w:t>
      </w:r>
      <w:r w:rsidR="00CC166D">
        <w:t xml:space="preserve"> </w:t>
      </w:r>
      <w:r w:rsidR="00025CB2">
        <w:t xml:space="preserve">the </w:t>
      </w:r>
      <w:r w:rsidR="007614FA">
        <w:t>court</w:t>
      </w:r>
      <w:r w:rsidR="00CC166D">
        <w:t>s</w:t>
      </w:r>
      <w:r w:rsidR="007614FA">
        <w:t xml:space="preserve"> </w:t>
      </w:r>
      <w:r w:rsidR="004D28C5">
        <w:t>erred in restricting his right to</w:t>
      </w:r>
      <w:r w:rsidR="00CC166D">
        <w:t xml:space="preserve"> </w:t>
      </w:r>
      <w:r w:rsidR="004D28C5">
        <w:t>freedo</w:t>
      </w:r>
      <w:r w:rsidR="00CC166D">
        <w:t>m</w:t>
      </w:r>
      <w:r w:rsidR="004D28C5">
        <w:t xml:space="preserve"> of expression and assembly. He further notes that </w:t>
      </w:r>
      <w:r w:rsidR="00CC166D">
        <w:t>the Court</w:t>
      </w:r>
      <w:r w:rsidR="004D28C5">
        <w:t xml:space="preserve"> </w:t>
      </w:r>
      <w:r w:rsidR="007614FA">
        <w:t xml:space="preserve">ignored </w:t>
      </w:r>
      <w:r w:rsidR="00FA1FDD">
        <w:t>his</w:t>
      </w:r>
      <w:r w:rsidR="004D28C5">
        <w:t xml:space="preserve"> </w:t>
      </w:r>
      <w:r w:rsidR="007614FA">
        <w:t xml:space="preserve">request </w:t>
      </w:r>
      <w:r w:rsidR="004F0DBC">
        <w:t>to recuse the judge</w:t>
      </w:r>
      <w:r w:rsidR="007614FA">
        <w:t xml:space="preserve">, </w:t>
      </w:r>
      <w:r w:rsidR="004D28C5">
        <w:t xml:space="preserve">did not allow </w:t>
      </w:r>
      <w:r w:rsidR="00CC166D">
        <w:t xml:space="preserve">to </w:t>
      </w:r>
      <w:proofErr w:type="spellStart"/>
      <w:r w:rsidR="008E04C9">
        <w:t>videorecord</w:t>
      </w:r>
      <w:proofErr w:type="spellEnd"/>
      <w:r w:rsidR="00FF6110">
        <w:t xml:space="preserve"> the </w:t>
      </w:r>
      <w:r w:rsidR="004D28C5">
        <w:t xml:space="preserve">proceedings, </w:t>
      </w:r>
      <w:r w:rsidR="00FA1FDD">
        <w:t>and</w:t>
      </w:r>
      <w:r w:rsidR="007614FA">
        <w:t xml:space="preserve"> </w:t>
      </w:r>
      <w:r w:rsidR="004D28C5">
        <w:t xml:space="preserve">refused </w:t>
      </w:r>
      <w:r w:rsidR="00FA1FDD">
        <w:t xml:space="preserve">grant access in the court room to </w:t>
      </w:r>
      <w:r w:rsidR="004D28C5">
        <w:t xml:space="preserve">the </w:t>
      </w:r>
      <w:r w:rsidR="00CC166D">
        <w:t xml:space="preserve">media and relatives to be present during the </w:t>
      </w:r>
      <w:r w:rsidR="00FA1FDD">
        <w:t>hearings</w:t>
      </w:r>
      <w:r w:rsidR="004D28C5">
        <w:t xml:space="preserve">. </w:t>
      </w:r>
      <w:r w:rsidR="007614FA">
        <w:t xml:space="preserve">The author </w:t>
      </w:r>
      <w:r w:rsidR="00FF6110">
        <w:t xml:space="preserve">disagrees with Court’s </w:t>
      </w:r>
      <w:r w:rsidR="008E04C9">
        <w:t>assessment</w:t>
      </w:r>
      <w:r w:rsidR="004D28C5">
        <w:t xml:space="preserve"> </w:t>
      </w:r>
      <w:r w:rsidR="00FF6110">
        <w:t xml:space="preserve">of </w:t>
      </w:r>
      <w:r w:rsidR="00CC166D">
        <w:t xml:space="preserve">him </w:t>
      </w:r>
      <w:r w:rsidR="004A0805">
        <w:t xml:space="preserve">being </w:t>
      </w:r>
      <w:r w:rsidR="004D28C5" w:rsidRPr="004D28C5">
        <w:rPr>
          <w:lang w:val="en-US"/>
        </w:rPr>
        <w:t>disobe</w:t>
      </w:r>
      <w:r w:rsidR="004A0805">
        <w:rPr>
          <w:lang w:val="en-US"/>
        </w:rPr>
        <w:t>dient to t</w:t>
      </w:r>
      <w:r w:rsidR="004D28C5" w:rsidRPr="004D28C5">
        <w:rPr>
          <w:lang w:val="en-US"/>
        </w:rPr>
        <w:t>he orders of the presiding judge</w:t>
      </w:r>
      <w:r w:rsidR="004D28C5">
        <w:t xml:space="preserve"> and subsequent imposition of 5 days of </w:t>
      </w:r>
      <w:r w:rsidR="007614FA">
        <w:t xml:space="preserve">administrative arrest </w:t>
      </w:r>
      <w:r w:rsidR="004D28C5">
        <w:t>for contemp</w:t>
      </w:r>
      <w:r w:rsidR="00FF6110">
        <w:t>t</w:t>
      </w:r>
      <w:r w:rsidR="004D28C5">
        <w:t xml:space="preserve"> of court. </w:t>
      </w:r>
      <w:r w:rsidR="003259A5">
        <w:t xml:space="preserve"> </w:t>
      </w:r>
    </w:p>
    <w:p w14:paraId="21F68C66" w14:textId="0F7A8ECB" w:rsidR="004A0805" w:rsidRDefault="004F3704" w:rsidP="00E77D3C">
      <w:pPr>
        <w:pStyle w:val="H23G"/>
      </w:pPr>
      <w:r>
        <w:tab/>
      </w:r>
      <w:r>
        <w:tab/>
      </w:r>
      <w:r w:rsidR="00350465" w:rsidRPr="00350465">
        <w:t>State party’s additional observations</w:t>
      </w:r>
      <w:r w:rsidR="00074813">
        <w:t xml:space="preserve"> </w:t>
      </w:r>
    </w:p>
    <w:p w14:paraId="29A85F6D" w14:textId="2C2F4AB8" w:rsidR="002A16F0" w:rsidRPr="002A16F0" w:rsidRDefault="00B84CAD" w:rsidP="0024073B">
      <w:pPr>
        <w:pStyle w:val="SingleTxtG"/>
      </w:pPr>
      <w:r>
        <w:t>6.1</w:t>
      </w:r>
      <w:r>
        <w:tab/>
      </w:r>
      <w:r w:rsidR="00350465">
        <w:t xml:space="preserve">In a note </w:t>
      </w:r>
      <w:proofErr w:type="spellStart"/>
      <w:r w:rsidR="00350465">
        <w:t>verbale</w:t>
      </w:r>
      <w:proofErr w:type="spellEnd"/>
      <w:r w:rsidR="00350465">
        <w:t xml:space="preserve"> of 30 July 2020, the State party </w:t>
      </w:r>
      <w:r w:rsidR="00074813">
        <w:t xml:space="preserve">refers to </w:t>
      </w:r>
      <w:r w:rsidR="00C80763">
        <w:t xml:space="preserve">the </w:t>
      </w:r>
      <w:r w:rsidR="00074813">
        <w:t xml:space="preserve">communication </w:t>
      </w:r>
      <w:r w:rsidR="00BB1607" w:rsidRPr="00BB1607">
        <w:rPr>
          <w:lang w:val="en-US"/>
        </w:rPr>
        <w:t>№ 290</w:t>
      </w:r>
      <w:r w:rsidR="00BB1607">
        <w:rPr>
          <w:lang w:val="en-US"/>
        </w:rPr>
        <w:t>4</w:t>
      </w:r>
      <w:r w:rsidR="00BB1607" w:rsidRPr="00BB1607">
        <w:rPr>
          <w:lang w:val="en-US"/>
        </w:rPr>
        <w:t>/2016</w:t>
      </w:r>
      <w:r w:rsidR="00BB1607">
        <w:rPr>
          <w:lang w:val="en-US"/>
        </w:rPr>
        <w:t xml:space="preserve"> </w:t>
      </w:r>
      <w:r w:rsidR="00074813">
        <w:t xml:space="preserve">and </w:t>
      </w:r>
      <w:r w:rsidR="008E04C9" w:rsidRPr="0007245F">
        <w:rPr>
          <w:lang w:val="en-US"/>
        </w:rPr>
        <w:t xml:space="preserve">submits </w:t>
      </w:r>
      <w:r w:rsidR="008E04C9">
        <w:rPr>
          <w:lang w:val="en-US"/>
        </w:rPr>
        <w:t>that</w:t>
      </w:r>
      <w:r w:rsidR="0007245F" w:rsidRPr="0007245F">
        <w:rPr>
          <w:lang w:val="en-US"/>
        </w:rPr>
        <w:t xml:space="preserve"> </w:t>
      </w:r>
      <w:r w:rsidR="002A16F0">
        <w:rPr>
          <w:lang w:val="en-US"/>
        </w:rPr>
        <w:t xml:space="preserve">according to </w:t>
      </w:r>
      <w:r w:rsidR="00074813">
        <w:rPr>
          <w:lang w:val="en-US"/>
        </w:rPr>
        <w:t xml:space="preserve">Rule </w:t>
      </w:r>
      <w:r w:rsidR="002A16F0">
        <w:rPr>
          <w:lang w:val="en-US"/>
        </w:rPr>
        <w:t xml:space="preserve">96 (b) </w:t>
      </w:r>
      <w:r w:rsidR="00074813">
        <w:rPr>
          <w:lang w:val="en-US"/>
        </w:rPr>
        <w:t xml:space="preserve">of the </w:t>
      </w:r>
      <w:r w:rsidR="002A16F0">
        <w:rPr>
          <w:lang w:val="en-US"/>
        </w:rPr>
        <w:t>of the Committee’s Rules and Procedures,</w:t>
      </w:r>
      <w:r w:rsidR="00074813">
        <w:rPr>
          <w:rStyle w:val="FootnoteReference"/>
          <w:lang w:val="en-US"/>
        </w:rPr>
        <w:footnoteReference w:id="13"/>
      </w:r>
      <w:r w:rsidR="00074813">
        <w:rPr>
          <w:lang w:val="en-US"/>
        </w:rPr>
        <w:t xml:space="preserve"> </w:t>
      </w:r>
      <w:r w:rsidR="002A16F0" w:rsidRPr="002A16F0">
        <w:t>a communication submitted on behalf of an alleged victim may be accepted when it appears that the individual in question is unable to submit the communication personally</w:t>
      </w:r>
      <w:r w:rsidR="00074813">
        <w:t xml:space="preserve">. The State party </w:t>
      </w:r>
      <w:r w:rsidR="008E04C9">
        <w:t>submits</w:t>
      </w:r>
      <w:r w:rsidR="00074813">
        <w:t xml:space="preserve"> that the author </w:t>
      </w:r>
      <w:r w:rsidR="00906AB6">
        <w:t>f</w:t>
      </w:r>
      <w:r w:rsidR="00074813">
        <w:t xml:space="preserve">ailed to provide any evidence </w:t>
      </w:r>
      <w:r w:rsidR="008E04C9">
        <w:t>certifying</w:t>
      </w:r>
      <w:r w:rsidR="00074813">
        <w:t xml:space="preserve"> that he was not able to complain before the Committee personally</w:t>
      </w:r>
      <w:r w:rsidR="00906AB6">
        <w:t xml:space="preserve"> and therefore </w:t>
      </w:r>
      <w:r w:rsidR="00074813">
        <w:t xml:space="preserve">the communication should be considered as </w:t>
      </w:r>
      <w:r w:rsidR="008E04C9">
        <w:t>inadmissible</w:t>
      </w:r>
      <w:r w:rsidR="00074813">
        <w:t xml:space="preserve">. </w:t>
      </w:r>
    </w:p>
    <w:p w14:paraId="13424AF7" w14:textId="0EB34E46" w:rsidR="00350465" w:rsidRDefault="00B84CAD" w:rsidP="00311628">
      <w:pPr>
        <w:pStyle w:val="SingleTxtG"/>
      </w:pPr>
      <w:r>
        <w:t>6.2</w:t>
      </w:r>
      <w:r>
        <w:tab/>
      </w:r>
      <w:r w:rsidR="00074813">
        <w:t xml:space="preserve">The State party </w:t>
      </w:r>
      <w:r w:rsidR="00390303">
        <w:t xml:space="preserve">contends </w:t>
      </w:r>
      <w:r w:rsidR="00311628">
        <w:t xml:space="preserve">that the author failed to exhaust all domestic remedies, stating that he </w:t>
      </w:r>
      <w:r w:rsidR="00074813">
        <w:t xml:space="preserve">is still entitled to </w:t>
      </w:r>
      <w:r w:rsidR="008F0125" w:rsidRPr="008F0125">
        <w:rPr>
          <w:lang w:val="en-US"/>
        </w:rPr>
        <w:t xml:space="preserve">file a complaint </w:t>
      </w:r>
      <w:r w:rsidR="00074813">
        <w:rPr>
          <w:lang w:val="en-US"/>
        </w:rPr>
        <w:t xml:space="preserve">with </w:t>
      </w:r>
      <w:r w:rsidR="008F0125" w:rsidRPr="008F0125">
        <w:rPr>
          <w:lang w:val="en-US"/>
        </w:rPr>
        <w:t xml:space="preserve">the </w:t>
      </w:r>
      <w:r w:rsidR="008E04C9" w:rsidRPr="008F0125">
        <w:rPr>
          <w:lang w:val="en-US"/>
        </w:rPr>
        <w:t>Supreme</w:t>
      </w:r>
      <w:r w:rsidR="008F0125" w:rsidRPr="008F0125">
        <w:rPr>
          <w:lang w:val="en-US"/>
        </w:rPr>
        <w:t xml:space="preserve"> Court </w:t>
      </w:r>
      <w:r w:rsidR="00311628">
        <w:rPr>
          <w:lang w:val="en-US"/>
        </w:rPr>
        <w:t xml:space="preserve">to probe the </w:t>
      </w:r>
      <w:r w:rsidR="008F0125" w:rsidRPr="008F0125">
        <w:rPr>
          <w:lang w:val="en-US"/>
        </w:rPr>
        <w:t xml:space="preserve">lawfulness of </w:t>
      </w:r>
      <w:r w:rsidR="00063CF2">
        <w:rPr>
          <w:lang w:val="en-US"/>
        </w:rPr>
        <w:t xml:space="preserve">court rulings that sentenced him to </w:t>
      </w:r>
      <w:r w:rsidR="008F0125" w:rsidRPr="008F0125">
        <w:rPr>
          <w:lang w:val="en-US"/>
        </w:rPr>
        <w:t xml:space="preserve">administrative </w:t>
      </w:r>
      <w:r w:rsidR="00063CF2">
        <w:rPr>
          <w:lang w:val="en-US"/>
        </w:rPr>
        <w:t>arrest</w:t>
      </w:r>
      <w:r w:rsidR="00311628">
        <w:rPr>
          <w:lang w:val="en-US"/>
        </w:rPr>
        <w:t xml:space="preserve">. </w:t>
      </w:r>
      <w:r w:rsidR="008F0125">
        <w:t xml:space="preserve"> </w:t>
      </w:r>
    </w:p>
    <w:p w14:paraId="7A38D59A" w14:textId="442FE507" w:rsidR="006241C8" w:rsidRPr="006241C8" w:rsidRDefault="00B84CAD" w:rsidP="006241C8">
      <w:pPr>
        <w:pStyle w:val="SingleTxtG"/>
      </w:pPr>
      <w:r>
        <w:t>6.3</w:t>
      </w:r>
      <w:r>
        <w:tab/>
      </w:r>
      <w:r w:rsidR="006118E0">
        <w:t xml:space="preserve">The </w:t>
      </w:r>
      <w:r w:rsidR="008E04C9">
        <w:t>State</w:t>
      </w:r>
      <w:r w:rsidR="006118E0">
        <w:t xml:space="preserve"> party reiterates that </w:t>
      </w:r>
      <w:r w:rsidR="00390303">
        <w:t xml:space="preserve">the </w:t>
      </w:r>
      <w:r w:rsidR="008E04C9">
        <w:t>holding</w:t>
      </w:r>
      <w:r w:rsidR="006118E0">
        <w:t xml:space="preserve"> of public events in Kazakhstan is governed by the </w:t>
      </w:r>
      <w:r w:rsidR="006118E0" w:rsidRPr="006118E0">
        <w:rPr>
          <w:lang w:val="en-US"/>
        </w:rPr>
        <w:t xml:space="preserve">Law on the Procedure for Organizing and Holding Peaceful Assemblies, Meetings, Marches, Pickets and </w:t>
      </w:r>
      <w:r w:rsidR="008E04C9" w:rsidRPr="006118E0">
        <w:rPr>
          <w:lang w:val="en-US"/>
        </w:rPr>
        <w:t>Demonstrations</w:t>
      </w:r>
      <w:r w:rsidR="006118E0" w:rsidRPr="006118E0">
        <w:rPr>
          <w:lang w:val="en-US"/>
        </w:rPr>
        <w:t xml:space="preserve"> </w:t>
      </w:r>
      <w:r w:rsidR="006118E0">
        <w:rPr>
          <w:lang w:val="en-US"/>
        </w:rPr>
        <w:t xml:space="preserve">and </w:t>
      </w:r>
      <w:r w:rsidR="001C2F66" w:rsidRPr="006118E0">
        <w:t xml:space="preserve">recalls that international human rights law allows for the imposition of limitations on freedom of assembly. </w:t>
      </w:r>
      <w:r w:rsidR="006241C8">
        <w:t>For example, in the United Kingdom, t</w:t>
      </w:r>
      <w:r w:rsidR="006241C8" w:rsidRPr="006241C8">
        <w:rPr>
          <w:lang w:val="en"/>
        </w:rPr>
        <w:t xml:space="preserve">he procedure for conducting </w:t>
      </w:r>
      <w:r w:rsidR="006241C8">
        <w:rPr>
          <w:lang w:val="en"/>
        </w:rPr>
        <w:t>marches</w:t>
      </w:r>
      <w:r w:rsidR="006241C8" w:rsidRPr="006241C8">
        <w:rPr>
          <w:lang w:val="en"/>
        </w:rPr>
        <w:t xml:space="preserve"> </w:t>
      </w:r>
      <w:r w:rsidR="006241C8">
        <w:rPr>
          <w:lang w:val="en"/>
        </w:rPr>
        <w:t xml:space="preserve">and demonstrations </w:t>
      </w:r>
      <w:r w:rsidR="006241C8" w:rsidRPr="006241C8">
        <w:rPr>
          <w:lang w:val="en"/>
        </w:rPr>
        <w:t xml:space="preserve">is regulated by the </w:t>
      </w:r>
      <w:r w:rsidR="006241C8">
        <w:rPr>
          <w:lang w:val="en"/>
        </w:rPr>
        <w:t>L</w:t>
      </w:r>
      <w:r w:rsidR="006241C8" w:rsidRPr="006241C8">
        <w:rPr>
          <w:lang w:val="en"/>
        </w:rPr>
        <w:t xml:space="preserve">aw on the </w:t>
      </w:r>
      <w:r w:rsidR="006241C8">
        <w:rPr>
          <w:lang w:val="en"/>
        </w:rPr>
        <w:t>P</w:t>
      </w:r>
      <w:r w:rsidR="006241C8" w:rsidRPr="006241C8">
        <w:rPr>
          <w:lang w:val="en"/>
        </w:rPr>
        <w:t xml:space="preserve">rotection of </w:t>
      </w:r>
      <w:r w:rsidR="006241C8">
        <w:rPr>
          <w:lang w:val="en"/>
        </w:rPr>
        <w:t>P</w:t>
      </w:r>
      <w:r w:rsidR="006241C8" w:rsidRPr="006241C8">
        <w:rPr>
          <w:lang w:val="en"/>
        </w:rPr>
        <w:t xml:space="preserve">ublic </w:t>
      </w:r>
      <w:r w:rsidR="006241C8">
        <w:rPr>
          <w:lang w:val="en"/>
        </w:rPr>
        <w:t>O</w:t>
      </w:r>
      <w:r w:rsidR="006241C8" w:rsidRPr="006241C8">
        <w:rPr>
          <w:lang w:val="en"/>
        </w:rPr>
        <w:t xml:space="preserve">rder, according to which </w:t>
      </w:r>
      <w:r w:rsidR="006241C8" w:rsidRPr="006241C8">
        <w:t>street events are allowed only after receiving permission from police authorities</w:t>
      </w:r>
      <w:r w:rsidR="006241C8" w:rsidRPr="001C2F66">
        <w:rPr>
          <w:i/>
        </w:rPr>
        <w:t>.</w:t>
      </w:r>
      <w:r w:rsidR="008E04C9">
        <w:rPr>
          <w:i/>
        </w:rPr>
        <w:t xml:space="preserve"> </w:t>
      </w:r>
      <w:r w:rsidR="006241C8">
        <w:t xml:space="preserve">The organiser have to notify </w:t>
      </w:r>
      <w:r w:rsidR="006241C8" w:rsidRPr="006241C8">
        <w:rPr>
          <w:lang w:val="en"/>
        </w:rPr>
        <w:t xml:space="preserve">police </w:t>
      </w:r>
      <w:r w:rsidR="005A46BA">
        <w:rPr>
          <w:lang w:val="en"/>
        </w:rPr>
        <w:t xml:space="preserve">authorities </w:t>
      </w:r>
      <w:r w:rsidR="006241C8" w:rsidRPr="006241C8">
        <w:rPr>
          <w:lang w:val="en"/>
        </w:rPr>
        <w:t>at least 6 days in advance</w:t>
      </w:r>
      <w:r w:rsidR="006241C8">
        <w:rPr>
          <w:lang w:val="en"/>
        </w:rPr>
        <w:t xml:space="preserve"> of the event and </w:t>
      </w:r>
      <w:r w:rsidR="006241C8" w:rsidRPr="006241C8">
        <w:rPr>
          <w:lang w:val="en"/>
        </w:rPr>
        <w:t xml:space="preserve">indicate the date, place and time of the </w:t>
      </w:r>
      <w:r w:rsidR="006241C8">
        <w:rPr>
          <w:lang w:val="en"/>
        </w:rPr>
        <w:t xml:space="preserve">meeting, and also provide information about the </w:t>
      </w:r>
      <w:r w:rsidR="008E04C9">
        <w:rPr>
          <w:lang w:val="en"/>
        </w:rPr>
        <w:t>organizers</w:t>
      </w:r>
      <w:r w:rsidR="006241C8">
        <w:rPr>
          <w:lang w:val="en"/>
        </w:rPr>
        <w:t xml:space="preserve">. </w:t>
      </w:r>
    </w:p>
    <w:p w14:paraId="14D0D4B6" w14:textId="53F0B24E" w:rsidR="00065ED2" w:rsidRPr="00065ED2" w:rsidRDefault="00B84CAD" w:rsidP="00065ED2">
      <w:pPr>
        <w:pStyle w:val="SingleTxtG"/>
      </w:pPr>
      <w:r>
        <w:t>6.4</w:t>
      </w:r>
      <w:r>
        <w:tab/>
      </w:r>
      <w:r w:rsidR="006D4FC0" w:rsidRPr="006D4FC0">
        <w:t xml:space="preserve">In the United States of America, procedures of holding public meetings </w:t>
      </w:r>
      <w:r w:rsidR="008E04C9">
        <w:t>lay</w:t>
      </w:r>
      <w:r w:rsidR="0035201B">
        <w:t xml:space="preserve"> </w:t>
      </w:r>
      <w:r w:rsidR="006D4FC0">
        <w:t xml:space="preserve">within </w:t>
      </w:r>
      <w:r w:rsidR="006D4FC0" w:rsidRPr="006D4FC0">
        <w:t xml:space="preserve">the competence of each State, for example, in New </w:t>
      </w:r>
      <w:r w:rsidR="008E04C9" w:rsidRPr="006D4FC0">
        <w:t>York</w:t>
      </w:r>
      <w:r w:rsidR="006D4FC0" w:rsidRPr="006D4FC0">
        <w:t>, it is necessary to request permission 45 days,  in Los Angeles 40</w:t>
      </w:r>
      <w:r w:rsidR="006D4FC0">
        <w:t xml:space="preserve"> days</w:t>
      </w:r>
      <w:r w:rsidR="006D4FC0" w:rsidRPr="006D4FC0">
        <w:t>, whereas in Washington 15 days before the planned event.</w:t>
      </w:r>
      <w:r w:rsidR="00065ED2">
        <w:t xml:space="preserve"> I</w:t>
      </w:r>
      <w:r w:rsidR="00065ED2" w:rsidRPr="00065ED2">
        <w:rPr>
          <w:lang w:val="en"/>
        </w:rPr>
        <w:t xml:space="preserve">n some cities, it is prohibited to hold rallies </w:t>
      </w:r>
      <w:r w:rsidR="008E04C9" w:rsidRPr="00065ED2">
        <w:rPr>
          <w:lang w:val="en"/>
        </w:rPr>
        <w:t>n</w:t>
      </w:r>
      <w:r w:rsidR="008E04C9">
        <w:rPr>
          <w:lang w:val="en"/>
        </w:rPr>
        <w:t>earby</w:t>
      </w:r>
      <w:r w:rsidR="00065ED2">
        <w:rPr>
          <w:lang w:val="en"/>
        </w:rPr>
        <w:t xml:space="preserve"> the </w:t>
      </w:r>
      <w:r w:rsidR="00065ED2" w:rsidRPr="00065ED2">
        <w:rPr>
          <w:lang w:val="en"/>
        </w:rPr>
        <w:t>government and administrative buildings</w:t>
      </w:r>
      <w:r w:rsidR="00065ED2">
        <w:rPr>
          <w:lang w:val="en"/>
        </w:rPr>
        <w:t>.</w:t>
      </w:r>
    </w:p>
    <w:p w14:paraId="79F86B9E" w14:textId="17D5DDAC" w:rsidR="006D4FC0" w:rsidRPr="00065ED2" w:rsidRDefault="00B84CAD" w:rsidP="001C2F66">
      <w:pPr>
        <w:pStyle w:val="SingleTxtG"/>
      </w:pPr>
      <w:r>
        <w:t>6.5</w:t>
      </w:r>
      <w:r>
        <w:tab/>
      </w:r>
      <w:r w:rsidR="00A0063E">
        <w:t>The State party concludes that the author failed to fol</w:t>
      </w:r>
      <w:r w:rsidR="00F60C2F">
        <w:t>l</w:t>
      </w:r>
      <w:r w:rsidR="00A0063E">
        <w:t xml:space="preserve">ow the </w:t>
      </w:r>
      <w:r w:rsidR="00390303">
        <w:t xml:space="preserve">requirements </w:t>
      </w:r>
      <w:r w:rsidR="00A0063E">
        <w:t xml:space="preserve">established by the </w:t>
      </w:r>
      <w:r w:rsidR="008E04C9">
        <w:t>law procedure</w:t>
      </w:r>
      <w:r w:rsidR="00A0063E">
        <w:t xml:space="preserve"> of holding meetings, which was also confirmed by courts.</w:t>
      </w:r>
      <w:r w:rsidR="00F60C2F">
        <w:t xml:space="preserve"> The author failed to substantiate his claims of </w:t>
      </w:r>
      <w:r w:rsidR="008E04C9">
        <w:t>violation</w:t>
      </w:r>
      <w:r w:rsidR="00F60C2F">
        <w:t xml:space="preserve"> of his rights to freedom of expression and assembly and fair </w:t>
      </w:r>
      <w:r w:rsidR="008E04C9">
        <w:t>trial</w:t>
      </w:r>
      <w:r w:rsidR="00F60C2F">
        <w:t xml:space="preserve">. The State party underlines that the communication should be considered as inadmissible under </w:t>
      </w:r>
      <w:r w:rsidR="00F60C2F" w:rsidRPr="00F719C7">
        <w:t>articl</w:t>
      </w:r>
      <w:r w:rsidR="00F719C7">
        <w:t>e</w:t>
      </w:r>
      <w:r w:rsidR="00F60C2F" w:rsidRPr="00F719C7">
        <w:t>s</w:t>
      </w:r>
      <w:r w:rsidR="00F719C7">
        <w:t xml:space="preserve"> </w:t>
      </w:r>
      <w:r w:rsidR="00F60C2F" w:rsidRPr="00F719C7">
        <w:t>2</w:t>
      </w:r>
      <w:r w:rsidR="008E04C9" w:rsidRPr="00F719C7">
        <w:t>,</w:t>
      </w:r>
      <w:r w:rsidR="008E04C9">
        <w:t xml:space="preserve"> 3</w:t>
      </w:r>
      <w:r w:rsidR="00F60C2F">
        <w:t xml:space="preserve"> and 5 of the Optional </w:t>
      </w:r>
      <w:r w:rsidR="008E04C9">
        <w:t>Protocol</w:t>
      </w:r>
      <w:r w:rsidR="00F60C2F">
        <w:t xml:space="preserve">.  </w:t>
      </w:r>
      <w:r w:rsidR="00A0063E">
        <w:t xml:space="preserve">   </w:t>
      </w:r>
    </w:p>
    <w:p w14:paraId="41636ECB" w14:textId="33DFD313" w:rsidR="00B06058" w:rsidRPr="00DD3AEE" w:rsidRDefault="00B06058" w:rsidP="00C13C13">
      <w:pPr>
        <w:pStyle w:val="H23G"/>
        <w:rPr>
          <w:i/>
        </w:rPr>
      </w:pPr>
      <w:r>
        <w:tab/>
      </w:r>
      <w:r>
        <w:tab/>
      </w:r>
      <w:r w:rsidRPr="00DD3AEE">
        <w:t>Issues and proceedings before the Committee</w:t>
      </w:r>
    </w:p>
    <w:p w14:paraId="1DCA7144" w14:textId="17F15E0E" w:rsidR="008B3D95" w:rsidRPr="005C4358" w:rsidRDefault="008C1896" w:rsidP="00885BF6">
      <w:pPr>
        <w:pStyle w:val="H4G"/>
        <w:rPr>
          <w:i w:val="0"/>
        </w:rPr>
      </w:pPr>
      <w:r>
        <w:tab/>
      </w:r>
      <w:r>
        <w:tab/>
      </w:r>
      <w:r w:rsidR="008B3D95" w:rsidRPr="005C4358">
        <w:t>Consideration of admissibility</w:t>
      </w:r>
    </w:p>
    <w:p w14:paraId="6E0E02E3" w14:textId="33EB0041" w:rsidR="00A6378F" w:rsidRPr="00A6378F" w:rsidRDefault="001C77F6" w:rsidP="00A6378F">
      <w:pPr>
        <w:pStyle w:val="SingleTxtG"/>
      </w:pPr>
      <w:r>
        <w:t>7</w:t>
      </w:r>
      <w:r w:rsidR="00A6378F" w:rsidRPr="00A6378F">
        <w:t>.1</w:t>
      </w:r>
      <w:r w:rsidR="00A6378F" w:rsidRPr="00A6378F">
        <w:tab/>
        <w:t>Before considering any claim contained in a communication, the Committee must decide, in accordance with rule 97 of its rules of procedure, whether the communication is admissible under the Optional Protocol.</w:t>
      </w:r>
    </w:p>
    <w:p w14:paraId="2A91AEDC" w14:textId="19EB4473" w:rsidR="00A6378F" w:rsidRDefault="001C77F6" w:rsidP="00A6378F">
      <w:pPr>
        <w:pStyle w:val="SingleTxtG"/>
      </w:pPr>
      <w:r>
        <w:t>7</w:t>
      </w:r>
      <w:r w:rsidR="00A6378F" w:rsidRPr="00A6378F">
        <w:t>.2</w:t>
      </w:r>
      <w:r w:rsidR="00A6378F" w:rsidRPr="00A6378F">
        <w:tab/>
        <w:t>The Committee has ascertained, as required under article 5 (2) (a) of the Optional Protocol, that the same matter is not being examined under another procedure of international investigation or settlement.</w:t>
      </w:r>
    </w:p>
    <w:p w14:paraId="602B2C67" w14:textId="64B83AD7" w:rsidR="009043EB" w:rsidRDefault="001C77F6" w:rsidP="009043EB">
      <w:pPr>
        <w:pStyle w:val="SingleTxtG"/>
      </w:pPr>
      <w:r>
        <w:t>7</w:t>
      </w:r>
      <w:r w:rsidR="00A6378F" w:rsidRPr="00A6378F">
        <w:t>.3</w:t>
      </w:r>
      <w:r w:rsidR="00A6378F" w:rsidRPr="00A6378F">
        <w:tab/>
        <w:t xml:space="preserve">The Committee notes that </w:t>
      </w:r>
      <w:r w:rsidR="008C1896">
        <w:t>the State part</w:t>
      </w:r>
      <w:r w:rsidR="00057719">
        <w:t>y</w:t>
      </w:r>
      <w:r w:rsidR="008C1896">
        <w:t xml:space="preserve"> challenges the admissibility of </w:t>
      </w:r>
      <w:r w:rsidR="008E04C9">
        <w:t>both communications</w:t>
      </w:r>
      <w:r w:rsidR="0061700C">
        <w:t xml:space="preserve"> </w:t>
      </w:r>
      <w:r w:rsidR="009043EB">
        <w:t xml:space="preserve">noting that </w:t>
      </w:r>
      <w:r w:rsidR="009043EB" w:rsidRPr="009043EB">
        <w:t>the author has failed to file a petition for supervisory review to the Prosecutor General against the court decisions in the case.</w:t>
      </w:r>
      <w:r w:rsidR="009043EB" w:rsidRPr="009043EB">
        <w:rPr>
          <w:rFonts w:asciiTheme="minorHAnsi" w:eastAsiaTheme="minorHAnsi" w:hAnsiTheme="minorHAnsi" w:cstheme="minorBidi"/>
          <w:sz w:val="22"/>
          <w:szCs w:val="22"/>
        </w:rPr>
        <w:t xml:space="preserve"> </w:t>
      </w:r>
      <w:r w:rsidR="009043EB" w:rsidRPr="009043EB">
        <w:t>The Committee recalls its jurisprudence, according to which a petition to a prosecutor’s office requesting a review of court decisions that have entered into force and depending on the discretionary power of a prosecutor, constitutes an extraordinary remedy and the State party must show that there is a reasonable prospect that such requests would provide an effective remedy in the circumstances of the case.</w:t>
      </w:r>
      <w:r w:rsidR="009043EB">
        <w:rPr>
          <w:rStyle w:val="FootnoteReference"/>
        </w:rPr>
        <w:footnoteReference w:id="14"/>
      </w:r>
      <w:r w:rsidR="00163713">
        <w:t xml:space="preserve"> </w:t>
      </w:r>
      <w:r w:rsidR="00A216D0" w:rsidRPr="00163713">
        <w:rPr>
          <w:lang w:val="en-US"/>
        </w:rPr>
        <w:t xml:space="preserve">The Committee notes that the author did submit requests to initiate supervisory review proceedings to the General Prosecutor’s Office, which were denied by the Prosecutor of Almaty </w:t>
      </w:r>
      <w:r w:rsidR="008E04C9" w:rsidRPr="00163713">
        <w:rPr>
          <w:lang w:val="en-US"/>
        </w:rPr>
        <w:t>City on</w:t>
      </w:r>
      <w:r w:rsidR="00A216D0" w:rsidRPr="00163713">
        <w:rPr>
          <w:lang w:val="en-US"/>
        </w:rPr>
        <w:t xml:space="preserve"> 29 March 2016 (in communication № 2904/2016) and on 14 April 2016 (in communication№ 2907/2016). </w:t>
      </w:r>
      <w:r w:rsidR="009043EB" w:rsidRPr="00163713">
        <w:rPr>
          <w:lang w:val="en-US"/>
        </w:rPr>
        <w:t xml:space="preserve"> </w:t>
      </w:r>
      <w:r w:rsidR="009043EB" w:rsidRPr="00163713">
        <w:t>The Committee further recalls its jurisprudence according to which a petition to a prosecutor’s office requesting a review of court decisions that have taken effect does not constitute a remedy that has to be exhausted for the purposes of article 5 (2) (b) of the Optional Protocol.</w:t>
      </w:r>
      <w:r w:rsidR="009043EB" w:rsidRPr="00163713">
        <w:rPr>
          <w:vertAlign w:val="superscript"/>
        </w:rPr>
        <w:footnoteReference w:id="15"/>
      </w:r>
      <w:r w:rsidR="009043EB" w:rsidRPr="00163713">
        <w:t xml:space="preserve"> </w:t>
      </w:r>
      <w:r w:rsidR="00163713" w:rsidRPr="00163713">
        <w:rPr>
          <w:lang w:val="en-US"/>
        </w:rPr>
        <w:t xml:space="preserve">The Committee also notes that the legislative amendments to article 851 of the </w:t>
      </w:r>
      <w:proofErr w:type="spellStart"/>
      <w:r w:rsidR="00163713" w:rsidRPr="00163713">
        <w:rPr>
          <w:lang w:val="en-US"/>
        </w:rPr>
        <w:t>CoAD</w:t>
      </w:r>
      <w:proofErr w:type="spellEnd"/>
      <w:r w:rsidR="008E04C9" w:rsidRPr="00163713">
        <w:rPr>
          <w:lang w:val="en-US"/>
        </w:rPr>
        <w:t>, allowing</w:t>
      </w:r>
      <w:r w:rsidR="00163713" w:rsidRPr="00163713">
        <w:rPr>
          <w:lang w:val="en-US"/>
        </w:rPr>
        <w:t xml:space="preserve"> people to file complaints with the Supreme Court came into force on 27 June 2017, i.e. after the submission of </w:t>
      </w:r>
      <w:r w:rsidR="00390303">
        <w:rPr>
          <w:lang w:val="en-US"/>
        </w:rPr>
        <w:t xml:space="preserve">the </w:t>
      </w:r>
      <w:r w:rsidR="00163713" w:rsidRPr="00163713">
        <w:rPr>
          <w:lang w:val="en-US"/>
        </w:rPr>
        <w:t xml:space="preserve">present communications. </w:t>
      </w:r>
      <w:r w:rsidR="009043EB" w:rsidRPr="00163713">
        <w:t>Accordingly, the Committee finds that it is not precluded by article 5 (2) (b) of the Optional Protocol from examining the present communication</w:t>
      </w:r>
      <w:r w:rsidR="00390303">
        <w:t>s</w:t>
      </w:r>
      <w:r w:rsidR="009043EB" w:rsidRPr="00163713">
        <w:t>.</w:t>
      </w:r>
    </w:p>
    <w:p w14:paraId="0E6B4D52" w14:textId="1C305C68" w:rsidR="00AE63B1" w:rsidRPr="00AE63B1" w:rsidRDefault="00B84CAD" w:rsidP="00AE63B1">
      <w:pPr>
        <w:pStyle w:val="SingleTxtG"/>
      </w:pPr>
      <w:r>
        <w:t>7.4</w:t>
      </w:r>
      <w:r>
        <w:tab/>
      </w:r>
      <w:r w:rsidR="00AE63B1" w:rsidRPr="00AE63B1">
        <w:t xml:space="preserve">The Committee takes note of the State party’s submission that the communication </w:t>
      </w:r>
      <w:r w:rsidR="00AE63B1" w:rsidRPr="00AE63B1">
        <w:rPr>
          <w:lang w:val="en-US"/>
        </w:rPr>
        <w:t xml:space="preserve">№ 2904/2016 </w:t>
      </w:r>
      <w:r w:rsidR="00AE63B1">
        <w:rPr>
          <w:lang w:val="en-US"/>
        </w:rPr>
        <w:t>h</w:t>
      </w:r>
      <w:r w:rsidR="00AE63B1" w:rsidRPr="00AE63B1">
        <w:t>ad been brought before the Committee by third party individuals instead of the author himself. In that respect, the Committee recalls that rule 99 (b) of its rules of procedure provides that a communication should normally be submitted by the individual personally or by that individual’s representative. In the present case, the Committee notes that the alleged victim duly issued a power of attorney to authorize counsel to represent him before the Committee</w:t>
      </w:r>
      <w:r w:rsidR="00AE63B1">
        <w:t xml:space="preserve">. </w:t>
      </w:r>
      <w:r w:rsidR="00AE63B1" w:rsidRPr="00AE63B1">
        <w:t>Accordingly, the Committee considers that it is not precluded by article 1 of the Optional Protocol from examining the communication.</w:t>
      </w:r>
    </w:p>
    <w:p w14:paraId="103C47AE" w14:textId="5DD853D5" w:rsidR="00E70A97" w:rsidRPr="00393F53" w:rsidRDefault="00B84CAD" w:rsidP="00E70A97">
      <w:pPr>
        <w:pStyle w:val="SingleTxtG"/>
      </w:pPr>
      <w:r>
        <w:t>7.5</w:t>
      </w:r>
      <w:r>
        <w:tab/>
      </w:r>
      <w:r w:rsidR="00E70A97" w:rsidRPr="00393F53">
        <w:t>The Committee notes the author’s claim that h</w:t>
      </w:r>
      <w:r w:rsidR="00393F53" w:rsidRPr="00393F53">
        <w:t>is</w:t>
      </w:r>
      <w:r w:rsidR="00E70A97" w:rsidRPr="00393F53">
        <w:t xml:space="preserve"> rights under article 14 (1) of the Covenant were violated because </w:t>
      </w:r>
      <w:r w:rsidR="00393F53" w:rsidRPr="00393F53">
        <w:t xml:space="preserve">the </w:t>
      </w:r>
      <w:r w:rsidR="00393F53" w:rsidRPr="00393F53">
        <w:rPr>
          <w:lang w:val="en-US"/>
        </w:rPr>
        <w:t xml:space="preserve">Court ignored the author’s request to recuse the judge, did not allow to </w:t>
      </w:r>
      <w:proofErr w:type="spellStart"/>
      <w:r w:rsidR="00393F53" w:rsidRPr="00393F53">
        <w:rPr>
          <w:lang w:val="en-US"/>
        </w:rPr>
        <w:t>videorecord</w:t>
      </w:r>
      <w:proofErr w:type="spellEnd"/>
      <w:r w:rsidR="00393F53" w:rsidRPr="00393F53">
        <w:rPr>
          <w:lang w:val="en-US"/>
        </w:rPr>
        <w:t xml:space="preserve"> the proceedings, did not let </w:t>
      </w:r>
      <w:r w:rsidR="00E70A97" w:rsidRPr="00393F53">
        <w:t xml:space="preserve">the media and </w:t>
      </w:r>
      <w:r w:rsidR="00393F53" w:rsidRPr="00393F53">
        <w:t xml:space="preserve">relatives </w:t>
      </w:r>
      <w:r w:rsidR="00E70A97" w:rsidRPr="00393F53">
        <w:t>into the courtroom during h</w:t>
      </w:r>
      <w:r w:rsidR="00390303">
        <w:t>is</w:t>
      </w:r>
      <w:r w:rsidR="00E70A97" w:rsidRPr="00393F53">
        <w:t xml:space="preserve"> trial. The Committee considers however that the author’s general claim and the information contained in the case file do not allow the Committee to reach a conclusion on this allegation.</w:t>
      </w:r>
      <w:r w:rsidR="00393F53" w:rsidRPr="00393F53">
        <w:t xml:space="preserve"> </w:t>
      </w:r>
      <w:r w:rsidR="00E70A97" w:rsidRPr="00393F53">
        <w:t>Accordingly, the Committee declares this part of the communication insufficiently substantiated and inadmissible under article 2 of the Optional Protocol.</w:t>
      </w:r>
    </w:p>
    <w:p w14:paraId="1B10B6B8" w14:textId="2A33B23B" w:rsidR="00201713" w:rsidRPr="00201713" w:rsidRDefault="00B84CAD" w:rsidP="002505B5">
      <w:pPr>
        <w:pStyle w:val="SingleTxtG"/>
        <w:keepNext/>
        <w:keepLines/>
      </w:pPr>
      <w:r>
        <w:t>7.6</w:t>
      </w:r>
      <w:r>
        <w:tab/>
      </w:r>
      <w:r w:rsidR="00201713" w:rsidRPr="00393F53">
        <w:t xml:space="preserve">The Committee </w:t>
      </w:r>
      <w:r w:rsidR="00393F53" w:rsidRPr="00393F53">
        <w:t xml:space="preserve">also </w:t>
      </w:r>
      <w:r w:rsidR="00201713" w:rsidRPr="00393F53">
        <w:t>notes that the author has not provided any clarification of h</w:t>
      </w:r>
      <w:r w:rsidR="00393F53" w:rsidRPr="00393F53">
        <w:t>is</w:t>
      </w:r>
      <w:r w:rsidR="00201713" w:rsidRPr="00393F53">
        <w:t xml:space="preserve"> claims under article 14 (3) (</w:t>
      </w:r>
      <w:r w:rsidR="00961561">
        <w:t>d</w:t>
      </w:r>
      <w:r w:rsidR="00201713" w:rsidRPr="00393F53">
        <w:t>) of the Covenant</w:t>
      </w:r>
      <w:r w:rsidR="00F719C7">
        <w:t xml:space="preserve"> in communication </w:t>
      </w:r>
      <w:r w:rsidR="00F719C7" w:rsidRPr="00F719C7">
        <w:rPr>
          <w:lang w:val="en-US"/>
        </w:rPr>
        <w:t>№ 2904/2016</w:t>
      </w:r>
      <w:r w:rsidR="00201713" w:rsidRPr="00393F53">
        <w:t xml:space="preserve">. It thus finds that part of </w:t>
      </w:r>
      <w:r w:rsidR="00390303">
        <w:t xml:space="preserve">the </w:t>
      </w:r>
      <w:r w:rsidR="00201713" w:rsidRPr="00393F53">
        <w:t>claim</w:t>
      </w:r>
      <w:r w:rsidR="00390303">
        <w:t>s</w:t>
      </w:r>
      <w:r w:rsidR="00201713" w:rsidRPr="00393F53">
        <w:t xml:space="preserve"> unsubstantiated and inadmissible under article 3 of the Optional Protocol.</w:t>
      </w:r>
    </w:p>
    <w:p w14:paraId="253FE80E" w14:textId="7A3B3063" w:rsidR="00A6378F" w:rsidRPr="00485F90" w:rsidRDefault="00A6378F" w:rsidP="00A6378F">
      <w:pPr>
        <w:pStyle w:val="SingleTxtG"/>
        <w:rPr>
          <w:color w:val="0070C0"/>
        </w:rPr>
      </w:pPr>
      <w:r w:rsidRPr="00A6378F">
        <w:tab/>
      </w:r>
      <w:r w:rsidR="001C77F6">
        <w:t>7</w:t>
      </w:r>
      <w:r w:rsidRPr="00A6378F">
        <w:t>.</w:t>
      </w:r>
      <w:r w:rsidR="004B4E7B">
        <w:t>7</w:t>
      </w:r>
      <w:r w:rsidR="001F3772">
        <w:tab/>
      </w:r>
      <w:r w:rsidRPr="00A6378F">
        <w:t>The Committee considers</w:t>
      </w:r>
      <w:r w:rsidR="005F27B0">
        <w:t xml:space="preserve"> that</w:t>
      </w:r>
      <w:r w:rsidR="00202E73">
        <w:t xml:space="preserve"> </w:t>
      </w:r>
      <w:r w:rsidRPr="00A6378F">
        <w:t>the author has sufficiently substantiated his claims under articles 19 and 21 of the Covenant, for the purposes of admissibility</w:t>
      </w:r>
      <w:r w:rsidR="00FA04DE">
        <w:t xml:space="preserve"> of both communications</w:t>
      </w:r>
      <w:r w:rsidR="006A3708">
        <w:t xml:space="preserve"> and </w:t>
      </w:r>
      <w:r w:rsidR="000A2C6A">
        <w:t xml:space="preserve"> </w:t>
      </w:r>
      <w:r w:rsidRPr="00A6378F">
        <w:t xml:space="preserve"> proceeds with </w:t>
      </w:r>
      <w:r w:rsidR="00CD2F04">
        <w:t>their</w:t>
      </w:r>
      <w:r w:rsidRPr="00A6378F">
        <w:t xml:space="preserve"> consideration on the merits.</w:t>
      </w:r>
      <w:r w:rsidR="00485F90">
        <w:t xml:space="preserve"> </w:t>
      </w:r>
    </w:p>
    <w:p w14:paraId="03CCEFF8" w14:textId="1C33F6D1" w:rsidR="000D4E61" w:rsidRPr="00415BA0" w:rsidRDefault="00BD49BA" w:rsidP="00BD49BA">
      <w:pPr>
        <w:pStyle w:val="H4G"/>
      </w:pPr>
      <w:r>
        <w:tab/>
      </w:r>
      <w:r>
        <w:tab/>
      </w:r>
      <w:r w:rsidR="000D4E61" w:rsidRPr="00415BA0">
        <w:t>Considerations of the merits</w:t>
      </w:r>
    </w:p>
    <w:p w14:paraId="45178BD1" w14:textId="4675EE24" w:rsidR="00F57262" w:rsidRPr="00F57262" w:rsidRDefault="001C77F6" w:rsidP="00F57262">
      <w:pPr>
        <w:pStyle w:val="SingleTxtG"/>
      </w:pPr>
      <w:r>
        <w:t>8</w:t>
      </w:r>
      <w:r w:rsidR="00F57262" w:rsidRPr="00F57262">
        <w:t>.1</w:t>
      </w:r>
      <w:r w:rsidR="00F57262" w:rsidRPr="00F57262">
        <w:tab/>
        <w:t xml:space="preserve">The Committee has considered </w:t>
      </w:r>
      <w:r w:rsidR="00492053">
        <w:t>both</w:t>
      </w:r>
      <w:r w:rsidR="00FF2127">
        <w:t xml:space="preserve"> </w:t>
      </w:r>
      <w:r w:rsidR="00F57262" w:rsidRPr="00F57262">
        <w:t>communication</w:t>
      </w:r>
      <w:r w:rsidR="00492053">
        <w:t>s</w:t>
      </w:r>
      <w:r w:rsidR="00983116">
        <w:t xml:space="preserve"> </w:t>
      </w:r>
      <w:r w:rsidR="00F57262" w:rsidRPr="00F57262">
        <w:t>in the light of all the information made available to it by the parties, as provided under article 5 (1) of the Optional Protocol.</w:t>
      </w:r>
    </w:p>
    <w:p w14:paraId="4C1CDBB6" w14:textId="54FBF952" w:rsidR="00F41DE4" w:rsidRDefault="00EE1379" w:rsidP="00EE1379">
      <w:pPr>
        <w:pStyle w:val="SingleTxtG"/>
      </w:pPr>
      <w:r>
        <w:t>8.2</w:t>
      </w:r>
      <w:r>
        <w:tab/>
      </w:r>
      <w:r w:rsidR="00F41DE4" w:rsidRPr="00F41DE4">
        <w:t xml:space="preserve">The Committee notes the author’s claim that the State party has violated </w:t>
      </w:r>
      <w:r w:rsidR="00F41DE4">
        <w:t>his</w:t>
      </w:r>
      <w:r w:rsidR="00F41DE4" w:rsidRPr="00F41DE4">
        <w:t xml:space="preserve"> right to freedom of expression and h</w:t>
      </w:r>
      <w:r w:rsidR="00B77FDF">
        <w:t>is</w:t>
      </w:r>
      <w:r w:rsidR="00F41DE4" w:rsidRPr="00F41DE4">
        <w:t xml:space="preserve"> right to peaceful assembly under articles 19 and 21 of the Covenant by arresting h</w:t>
      </w:r>
      <w:r w:rsidR="00F41DE4">
        <w:t>im</w:t>
      </w:r>
      <w:r w:rsidR="00F41DE4" w:rsidRPr="00F41DE4">
        <w:t xml:space="preserve"> </w:t>
      </w:r>
      <w:r w:rsidR="00F41DE4">
        <w:t xml:space="preserve">on </w:t>
      </w:r>
      <w:r w:rsidR="00B77FDF">
        <w:t xml:space="preserve">3 July 2015 for </w:t>
      </w:r>
      <w:r w:rsidR="00F41DE4" w:rsidRPr="00F41DE4">
        <w:t xml:space="preserve">participating in a peaceful </w:t>
      </w:r>
      <w:r w:rsidR="00F41DE4">
        <w:t>event of laying flowers</w:t>
      </w:r>
      <w:r w:rsidR="00B77FDF">
        <w:t xml:space="preserve"> in communication </w:t>
      </w:r>
      <w:r w:rsidR="00B77FDF" w:rsidRPr="00B77FDF">
        <w:rPr>
          <w:lang w:val="en-US"/>
        </w:rPr>
        <w:t>№</w:t>
      </w:r>
      <w:r w:rsidR="00B77FDF">
        <w:rPr>
          <w:lang w:val="en-US"/>
        </w:rPr>
        <w:t xml:space="preserve"> 2904/2016</w:t>
      </w:r>
      <w:r w:rsidR="00F41DE4">
        <w:t xml:space="preserve">, and on 20 August 2015, when he was leaving the office to </w:t>
      </w:r>
      <w:r w:rsidR="00B77FDF">
        <w:t>attend</w:t>
      </w:r>
      <w:r w:rsidR="00F41DE4">
        <w:t xml:space="preserve"> a </w:t>
      </w:r>
      <w:r w:rsidR="00C35D6F">
        <w:t>peaceful</w:t>
      </w:r>
      <w:r w:rsidR="00F41DE4">
        <w:t xml:space="preserve"> gathering</w:t>
      </w:r>
      <w:r w:rsidR="00B77FDF">
        <w:t xml:space="preserve"> in communication </w:t>
      </w:r>
      <w:r w:rsidR="00B77FDF" w:rsidRPr="00B77FDF">
        <w:rPr>
          <w:lang w:val="en-US"/>
        </w:rPr>
        <w:t>№ 290</w:t>
      </w:r>
      <w:r w:rsidR="00B77FDF">
        <w:rPr>
          <w:lang w:val="en-US"/>
        </w:rPr>
        <w:t>7</w:t>
      </w:r>
      <w:r w:rsidR="00B77FDF" w:rsidRPr="00B77FDF">
        <w:rPr>
          <w:lang w:val="en-US"/>
        </w:rPr>
        <w:t>/</w:t>
      </w:r>
      <w:r w:rsidR="00C35D6F" w:rsidRPr="00B77FDF">
        <w:rPr>
          <w:lang w:val="en-US"/>
        </w:rPr>
        <w:t>2016</w:t>
      </w:r>
      <w:r w:rsidR="00C35D6F">
        <w:t xml:space="preserve">. </w:t>
      </w:r>
      <w:r w:rsidR="00F41DE4" w:rsidRPr="00F41DE4">
        <w:t>The Committee notes that the author does not consider the restrictions imposed on h</w:t>
      </w:r>
      <w:r w:rsidR="00F41DE4">
        <w:t>is</w:t>
      </w:r>
      <w:r w:rsidR="00F41DE4" w:rsidRPr="00F41DE4">
        <w:t xml:space="preserve"> rights to be necessary and to fall within the permissible restrictions enshrined in articles 19 and 21 of the Covenant. The Committee further notes that the State party acknowledges that the author’s rights under articles 19 and 21 Covenant have been restricted but considers that the imposed restrictions are compatible with the Covenant.</w:t>
      </w:r>
    </w:p>
    <w:p w14:paraId="7DA79932" w14:textId="06D73FC7" w:rsidR="00390303" w:rsidRPr="002A54EC" w:rsidRDefault="00390303" w:rsidP="00390303">
      <w:pPr>
        <w:pStyle w:val="SingleTxtG"/>
      </w:pPr>
      <w:r>
        <w:rPr>
          <w:lang w:val="en-US"/>
        </w:rPr>
        <w:t>8.3</w:t>
      </w:r>
      <w:r>
        <w:rPr>
          <w:lang w:val="en-US"/>
        </w:rPr>
        <w:tab/>
      </w:r>
      <w:r w:rsidRPr="002A54EC">
        <w:rPr>
          <w:lang w:val="en-US"/>
        </w:rPr>
        <w:t>The Committee also notes the author’s claim that h</w:t>
      </w:r>
      <w:r>
        <w:rPr>
          <w:lang w:val="en-US"/>
        </w:rPr>
        <w:t>is</w:t>
      </w:r>
      <w:r w:rsidRPr="002A54EC">
        <w:rPr>
          <w:lang w:val="en-US"/>
        </w:rPr>
        <w:t xml:space="preserve"> freedom of expression has been restricted unlawfully in that he was found guilty of an administrative offence and </w:t>
      </w:r>
      <w:r>
        <w:rPr>
          <w:lang w:val="en-US"/>
        </w:rPr>
        <w:t xml:space="preserve">sentenced to administrative arrest </w:t>
      </w:r>
      <w:r w:rsidRPr="002A54EC">
        <w:rPr>
          <w:lang w:val="en-US"/>
        </w:rPr>
        <w:t xml:space="preserve">for participating in the </w:t>
      </w:r>
      <w:r>
        <w:rPr>
          <w:lang w:val="en-US"/>
        </w:rPr>
        <w:t xml:space="preserve">ceremony of laying flowers to </w:t>
      </w:r>
      <w:r w:rsidRPr="00BF61FF">
        <w:rPr>
          <w:lang w:val="en-US"/>
        </w:rPr>
        <w:t xml:space="preserve">protest against </w:t>
      </w:r>
      <w:r>
        <w:rPr>
          <w:lang w:val="en-US"/>
        </w:rPr>
        <w:t xml:space="preserve">environmental issues in the country in communication </w:t>
      </w:r>
      <w:r w:rsidRPr="00BF61FF">
        <w:rPr>
          <w:lang w:val="en-US"/>
        </w:rPr>
        <w:t>Nº. 2</w:t>
      </w:r>
      <w:r>
        <w:rPr>
          <w:lang w:val="en-US"/>
        </w:rPr>
        <w:t>904</w:t>
      </w:r>
      <w:r w:rsidRPr="00BF61FF">
        <w:rPr>
          <w:lang w:val="en-US"/>
        </w:rPr>
        <w:t>/201</w:t>
      </w:r>
      <w:r>
        <w:rPr>
          <w:lang w:val="en-US"/>
        </w:rPr>
        <w:t xml:space="preserve">6 and for </w:t>
      </w:r>
      <w:r w:rsidRPr="00F91182">
        <w:rPr>
          <w:lang w:val="en-US"/>
        </w:rPr>
        <w:t>and for h</w:t>
      </w:r>
      <w:r w:rsidRPr="00F91182">
        <w:t xml:space="preserve">is intention to </w:t>
      </w:r>
      <w:r w:rsidRPr="00F91182">
        <w:rPr>
          <w:lang w:val="en-US"/>
        </w:rPr>
        <w:t xml:space="preserve">hold a picket in front of the Independence Monument </w:t>
      </w:r>
      <w:r>
        <w:rPr>
          <w:lang w:val="en-US"/>
        </w:rPr>
        <w:t xml:space="preserve">to raise concerns over the </w:t>
      </w:r>
      <w:r w:rsidRPr="00BF61FF">
        <w:rPr>
          <w:lang w:val="en-US"/>
        </w:rPr>
        <w:t>devaluation of the national currency</w:t>
      </w:r>
      <w:r>
        <w:rPr>
          <w:lang w:val="en-US"/>
        </w:rPr>
        <w:t xml:space="preserve"> in communication </w:t>
      </w:r>
      <w:r w:rsidRPr="00BF61FF">
        <w:rPr>
          <w:lang w:val="en-US"/>
        </w:rPr>
        <w:t>Nº. 290</w:t>
      </w:r>
      <w:r>
        <w:rPr>
          <w:lang w:val="en-US"/>
        </w:rPr>
        <w:t>7</w:t>
      </w:r>
      <w:r w:rsidRPr="00BF61FF">
        <w:rPr>
          <w:lang w:val="en-US"/>
        </w:rPr>
        <w:t>/201</w:t>
      </w:r>
      <w:r>
        <w:rPr>
          <w:lang w:val="en-US"/>
        </w:rPr>
        <w:t>6</w:t>
      </w:r>
      <w:r w:rsidRPr="002A54EC">
        <w:rPr>
          <w:lang w:val="en-US"/>
        </w:rPr>
        <w:t xml:space="preserve">. </w:t>
      </w:r>
      <w:proofErr w:type="spellStart"/>
      <w:r w:rsidRPr="002A54EC">
        <w:rPr>
          <w:lang w:val="en"/>
        </w:rPr>
        <w:t>T</w:t>
      </w:r>
      <w:r w:rsidRPr="002A54EC">
        <w:rPr>
          <w:lang w:val="en-US"/>
        </w:rPr>
        <w:t>he</w:t>
      </w:r>
      <w:proofErr w:type="spellEnd"/>
      <w:r w:rsidRPr="002A54EC">
        <w:rPr>
          <w:lang w:val="en-US"/>
        </w:rPr>
        <w:t xml:space="preserve"> issue before the Committee is therefore to determine whether the sanction imposed on the author by domestic authorities, for participating </w:t>
      </w:r>
      <w:r>
        <w:rPr>
          <w:lang w:val="en-US"/>
        </w:rPr>
        <w:t xml:space="preserve">and trying to hold a </w:t>
      </w:r>
      <w:r w:rsidRPr="002A54EC">
        <w:rPr>
          <w:lang w:val="en-US"/>
        </w:rPr>
        <w:t>peaceful assembly with an expressive purpose, amounts to a violation of article 19 of the Covenant.</w:t>
      </w:r>
    </w:p>
    <w:p w14:paraId="21AD1996" w14:textId="56256E25" w:rsidR="00390303" w:rsidRPr="009A20D2" w:rsidRDefault="00390303" w:rsidP="00390303">
      <w:pPr>
        <w:pStyle w:val="SingleTxtG"/>
      </w:pPr>
      <w:r>
        <w:t>8.4</w:t>
      </w:r>
      <w:r>
        <w:tab/>
      </w:r>
      <w:r w:rsidRPr="009A20D2">
        <w:t>The Committee recalls its general comment No. 34 (2011) on freedoms of opinion and expression, in which it stated, inter alia, that the freedom of expression is essential for any society and constitutes a foundation stone for every free and democratic society.</w:t>
      </w:r>
      <w:r w:rsidRPr="009A20D2">
        <w:rPr>
          <w:vertAlign w:val="superscript"/>
        </w:rPr>
        <w:footnoteReference w:id="16"/>
      </w:r>
      <w:r w:rsidRPr="009A20D2">
        <w:t xml:space="preserve"> It notes that article 19 (3) of the Covenant allows for certain restrictions on the freedom of expression, including the freedom to impart information and ideas, only to the extent that those restrictions are provided for by law and only if they are necessary (a) for respect of the rights or reputation of others; or (b) for the protection of national security or public order (</w:t>
      </w:r>
      <w:proofErr w:type="spellStart"/>
      <w:r w:rsidRPr="009A20D2">
        <w:rPr>
          <w:i/>
          <w:iCs/>
        </w:rPr>
        <w:t>ordre</w:t>
      </w:r>
      <w:proofErr w:type="spellEnd"/>
      <w:r w:rsidRPr="009A20D2">
        <w:rPr>
          <w:i/>
          <w:iCs/>
        </w:rPr>
        <w:t xml:space="preserve"> public</w:t>
      </w:r>
      <w:r w:rsidRPr="009A20D2">
        <w:t>), or of public health or morals. Finally, any restriction on freedom of expression must not be overbroad in nature – that is, it must be the least intrusive among the measures that might achieve the relevant protective function and proportionate to the interest being protected.</w:t>
      </w:r>
      <w:r w:rsidRPr="009A20D2">
        <w:rPr>
          <w:vertAlign w:val="superscript"/>
        </w:rPr>
        <w:footnoteReference w:id="17"/>
      </w:r>
      <w:r w:rsidRPr="009A20D2">
        <w:t xml:space="preserve"> The Committee recalls that </w:t>
      </w:r>
      <w:r w:rsidRPr="009A20D2">
        <w:rPr>
          <w:lang w:val="en-US"/>
        </w:rPr>
        <w:t xml:space="preserve">the onus is on the </w:t>
      </w:r>
      <w:r w:rsidRPr="009A20D2">
        <w:t>State party to demonstrate that the restrictions on the author’s rights under article 19 of the Covenant were necessary and proportionate.</w:t>
      </w:r>
      <w:r w:rsidRPr="009A20D2">
        <w:rPr>
          <w:vertAlign w:val="superscript"/>
        </w:rPr>
        <w:footnoteReference w:id="18"/>
      </w:r>
      <w:r w:rsidRPr="009A20D2">
        <w:t xml:space="preserve"> </w:t>
      </w:r>
    </w:p>
    <w:p w14:paraId="08BB643D" w14:textId="1D05AAD8" w:rsidR="00390303" w:rsidRPr="009A20D2" w:rsidRDefault="00390303" w:rsidP="00390303">
      <w:pPr>
        <w:pStyle w:val="SingleTxtG"/>
      </w:pPr>
      <w:r>
        <w:t>8</w:t>
      </w:r>
      <w:r w:rsidRPr="009A20D2">
        <w:t>.</w:t>
      </w:r>
      <w:r>
        <w:t>5</w:t>
      </w:r>
      <w:r w:rsidRPr="009A20D2">
        <w:tab/>
        <w:t xml:space="preserve">The Committee observes that </w:t>
      </w:r>
      <w:r>
        <w:t xml:space="preserve">sentencing the author to administrative arrest </w:t>
      </w:r>
      <w:r w:rsidRPr="009A20D2">
        <w:t>for participating in a peaceful albeit unauthorized event with an expressive purpose, raises serious doubts as to the necessity and proportionality of the restrictions on the author’s rights under article 19 of the Covenant. The Committee observes in this regard that the State party has failed to invoke any specific grounds to support the necessity of such restrictions as required under article 19 (3) of the Covenant.</w:t>
      </w:r>
      <w:r w:rsidRPr="009A20D2">
        <w:rPr>
          <w:vertAlign w:val="superscript"/>
        </w:rPr>
        <w:footnoteReference w:id="19"/>
      </w:r>
      <w:r w:rsidRPr="009A20D2">
        <w:t xml:space="preserve"> Nor did the State party demonstrate that the measures selected were the least intrusive in nature or proportionate to the interest that it sought to protect. The Committee considers that, in the circumstances of the case, the restrictions imposed on the author, although based on domestic law, were not justified pursuant to the conditions set out in article 19 (3) of the Covenant. It therefore concludes that the author’s rights under article 19 of the Covenant have been violated.</w:t>
      </w:r>
      <w:r w:rsidRPr="009A20D2">
        <w:rPr>
          <w:vertAlign w:val="superscript"/>
        </w:rPr>
        <w:footnoteReference w:id="20"/>
      </w:r>
      <w:r w:rsidRPr="009A20D2">
        <w:t xml:space="preserve"> </w:t>
      </w:r>
    </w:p>
    <w:p w14:paraId="177B42C0" w14:textId="4F0A6368" w:rsidR="008D2F38" w:rsidRDefault="00EE1379" w:rsidP="00520C6A">
      <w:pPr>
        <w:pStyle w:val="SingleTxtG"/>
        <w:rPr>
          <w:lang w:val="en-US"/>
        </w:rPr>
      </w:pPr>
      <w:r>
        <w:t>8.</w:t>
      </w:r>
      <w:r w:rsidR="00390303">
        <w:t>6</w:t>
      </w:r>
      <w:r>
        <w:tab/>
      </w:r>
      <w:r w:rsidR="00520C6A" w:rsidRPr="00520C6A">
        <w:t xml:space="preserve">The Committee notes the author’s claim in relation to both communications, that his right of peaceful assembly under article 21 of the Covenant was violated </w:t>
      </w:r>
      <w:r w:rsidR="0030510B">
        <w:t xml:space="preserve">when national authorities </w:t>
      </w:r>
      <w:r w:rsidR="00EA4CE7">
        <w:t>impos</w:t>
      </w:r>
      <w:r w:rsidR="0030510B">
        <w:t>ed</w:t>
      </w:r>
      <w:r w:rsidR="00EA4CE7">
        <w:t xml:space="preserve"> an administrative arrest for participating in t</w:t>
      </w:r>
      <w:r w:rsidR="00EA4CE7" w:rsidRPr="00EA4CE7">
        <w:rPr>
          <w:lang w:val="en-US"/>
        </w:rPr>
        <w:t xml:space="preserve">he ceremony of laying flowers </w:t>
      </w:r>
      <w:r w:rsidR="00EA4CE7">
        <w:rPr>
          <w:lang w:val="en-US"/>
        </w:rPr>
        <w:t xml:space="preserve">that took place on </w:t>
      </w:r>
      <w:r w:rsidR="00EA4CE7" w:rsidRPr="00EA4CE7">
        <w:rPr>
          <w:lang w:val="en-US"/>
        </w:rPr>
        <w:t>28 June 2015</w:t>
      </w:r>
      <w:r w:rsidR="00EA4CE7">
        <w:rPr>
          <w:lang w:val="en-US"/>
        </w:rPr>
        <w:t xml:space="preserve">, and </w:t>
      </w:r>
      <w:r w:rsidR="0030510B">
        <w:rPr>
          <w:lang w:val="en-US"/>
        </w:rPr>
        <w:t xml:space="preserve">for </w:t>
      </w:r>
      <w:r w:rsidR="00EA4CE7">
        <w:rPr>
          <w:lang w:val="en-US"/>
        </w:rPr>
        <w:t>h</w:t>
      </w:r>
      <w:r w:rsidR="00EA4CE7">
        <w:t xml:space="preserve">is intention to </w:t>
      </w:r>
      <w:r w:rsidR="00EA4CE7" w:rsidRPr="00EA4CE7">
        <w:rPr>
          <w:lang w:val="en-US"/>
        </w:rPr>
        <w:t>hold a picket in front of the Independence Monument on 20 August</w:t>
      </w:r>
      <w:r w:rsidR="00EA4CE7">
        <w:rPr>
          <w:lang w:val="en-US"/>
        </w:rPr>
        <w:t xml:space="preserve">. </w:t>
      </w:r>
    </w:p>
    <w:p w14:paraId="02C69281" w14:textId="2353DD86" w:rsidR="008D2F38" w:rsidRPr="008D2F38" w:rsidRDefault="00EE1379" w:rsidP="008D2F38">
      <w:pPr>
        <w:pStyle w:val="SingleTxtG"/>
      </w:pPr>
      <w:r>
        <w:t>8</w:t>
      </w:r>
      <w:r w:rsidR="008D2F38" w:rsidRPr="008D2F38">
        <w:t>.</w:t>
      </w:r>
      <w:r w:rsidR="00390303">
        <w:t>7</w:t>
      </w:r>
      <w:r w:rsidR="008D2F38" w:rsidRPr="008D2F38">
        <w:tab/>
      </w:r>
      <w:r w:rsidR="008D2F38">
        <w:t xml:space="preserve">The Committee recalls its </w:t>
      </w:r>
      <w:r w:rsidR="008D2F38" w:rsidRPr="008D2F38">
        <w:rPr>
          <w:lang w:val="en-US"/>
        </w:rPr>
        <w:t>general comment 37 (2020) on the right of peaceful assembly</w:t>
      </w:r>
      <w:r w:rsidR="008D2F38">
        <w:rPr>
          <w:lang w:val="en-US"/>
        </w:rPr>
        <w:t xml:space="preserve"> and</w:t>
      </w:r>
      <w:r w:rsidR="008D2F38" w:rsidRPr="008D2F38">
        <w:rPr>
          <w:lang w:val="en-US"/>
        </w:rPr>
        <w:t xml:space="preserve"> </w:t>
      </w:r>
      <w:r w:rsidR="008D2F38">
        <w:rPr>
          <w:lang w:val="en-US"/>
        </w:rPr>
        <w:t>states</w:t>
      </w:r>
      <w:r w:rsidR="008D2F38" w:rsidRPr="008D2F38">
        <w:t xml:space="preserve"> that the right of peaceful assembly, as guaranteed under article 21 of the Covenant, is a fundamental human right that is essential for public expression of an individual’s views and opinions and is indispensable in a democratic society. </w:t>
      </w:r>
      <w:r w:rsidR="008D2F38" w:rsidRPr="008D2F38">
        <w:rPr>
          <w:lang w:val="en-US"/>
        </w:rPr>
        <w:t>Such assemblies may take many forms, including demonstrations, protests, meetings, processions, rallies, sit-ins, candlelit vigils and flash mobs.</w:t>
      </w:r>
      <w:r w:rsidR="008D2F38" w:rsidRPr="008D2F38">
        <w:t xml:space="preserve"> </w:t>
      </w:r>
      <w:r w:rsidR="008D2F38" w:rsidRPr="008D2F38">
        <w:rPr>
          <w:lang w:val="en-US"/>
        </w:rPr>
        <w:t>They are protected under article 21 whether they are stationary, such as pickets, or mobile, such as processions or marches</w:t>
      </w:r>
      <w:r w:rsidR="008D2F38">
        <w:rPr>
          <w:lang w:val="en-US"/>
        </w:rPr>
        <w:t>.</w:t>
      </w:r>
      <w:r w:rsidR="008D2F38">
        <w:rPr>
          <w:rStyle w:val="FootnoteReference"/>
          <w:lang w:val="en-US"/>
        </w:rPr>
        <w:footnoteReference w:id="21"/>
      </w:r>
      <w:r w:rsidR="008D2F38">
        <w:rPr>
          <w:lang w:val="en-US"/>
        </w:rPr>
        <w:t xml:space="preserve"> </w:t>
      </w:r>
      <w:r w:rsidR="008D2F38" w:rsidRPr="008D2F38">
        <w:t>No restriction to this right is permissible, unless it (a) is imposed in conformity with the law; and (b) is necessary in a democratic society, in the interests of national security or public safety, public order (</w:t>
      </w:r>
      <w:proofErr w:type="spellStart"/>
      <w:r w:rsidR="008D2F38" w:rsidRPr="008D2F38">
        <w:rPr>
          <w:i/>
        </w:rPr>
        <w:t>ordre</w:t>
      </w:r>
      <w:proofErr w:type="spellEnd"/>
      <w:r w:rsidR="008D2F38" w:rsidRPr="008D2F38">
        <w:rPr>
          <w:i/>
        </w:rPr>
        <w:t xml:space="preserve"> public</w:t>
      </w:r>
      <w:r w:rsidR="008D2F38" w:rsidRPr="008D2F38">
        <w:t>), protection of public health or morals or protection of the rights and freedoms of others. When a State party imposes restrictions with the aim of reconciling an individual’s right to assembly and the aforementioned interests of general concern, it should be guided by the objective of facilitating the right, rather than seeking unnecessary or disproportionate limitations to it.</w:t>
      </w:r>
      <w:r w:rsidR="008D2F38" w:rsidRPr="008D2F38">
        <w:rPr>
          <w:vertAlign w:val="superscript"/>
        </w:rPr>
        <w:footnoteReference w:id="22"/>
      </w:r>
      <w:r w:rsidR="008D2F38" w:rsidRPr="008D2F38">
        <w:t xml:space="preserve"> The State party is thus under an obligation to justify the limitation of the right protected by article 21 of the Covenant, and to demonstrate that  such limitation does not serve as a disproportionate obstacle on the exercise of the right.</w:t>
      </w:r>
      <w:r w:rsidR="008D2F38" w:rsidRPr="008D2F38">
        <w:rPr>
          <w:vertAlign w:val="superscript"/>
        </w:rPr>
        <w:footnoteReference w:id="23"/>
      </w:r>
    </w:p>
    <w:p w14:paraId="16EF01A2" w14:textId="6C51EBFC" w:rsidR="008D2F38" w:rsidRPr="008D2F38" w:rsidRDefault="00EE1379" w:rsidP="008D2F38">
      <w:pPr>
        <w:pStyle w:val="SingleTxtG"/>
      </w:pPr>
      <w:r>
        <w:t>8</w:t>
      </w:r>
      <w:r w:rsidR="008D2F38" w:rsidRPr="008D2F38">
        <w:t>.</w:t>
      </w:r>
      <w:r w:rsidR="00390303">
        <w:t>8</w:t>
      </w:r>
      <w:r w:rsidR="008D2F38" w:rsidRPr="008D2F38">
        <w:tab/>
        <w:t xml:space="preserve">The Committee observes, that the State party relied on the provisions of the </w:t>
      </w:r>
      <w:r w:rsidR="008D2F38" w:rsidRPr="008D2F38">
        <w:rPr>
          <w:lang w:val="en-US"/>
        </w:rPr>
        <w:t xml:space="preserve">Law on the Procedure for Organizing and Holding Peaceful Assemblies, Meetings, Marches, Pickets and Demonstrations </w:t>
      </w:r>
      <w:r w:rsidR="008D2F38" w:rsidRPr="008D2F38">
        <w:t>that requires an authorization of the local executive authorities for a peaceful assembly, which already in itself restricts the right of peaceful assembly.</w:t>
      </w:r>
      <w:r w:rsidR="008D2F38" w:rsidRPr="008D2F38">
        <w:rPr>
          <w:vertAlign w:val="superscript"/>
        </w:rPr>
        <w:footnoteReference w:id="24"/>
      </w:r>
      <w:r w:rsidR="008D2F38" w:rsidRPr="008D2F38">
        <w:t xml:space="preserve"> The Committee recalls that authorization regimes, where those wishing to assemble have to apply for permission from the authorities to do so, undercut the idea that peaceful assembly is a basic right.</w:t>
      </w:r>
      <w:r w:rsidR="008D2F38" w:rsidRPr="008D2F38">
        <w:rPr>
          <w:vertAlign w:val="superscript"/>
        </w:rPr>
        <w:footnoteReference w:id="25"/>
      </w:r>
      <w:r w:rsidR="008D2F38" w:rsidRPr="008D2F38">
        <w:t xml:space="preserve"> Where such requirements persist, they must in practice function as a system of notification, with authorization being granted as a matter of course, in the absence of compelling reasons to do otherwise. Such systems should also not be overly bureaucratic. </w:t>
      </w:r>
    </w:p>
    <w:p w14:paraId="6A1E621E" w14:textId="2B9CCFE5" w:rsidR="008D2F38" w:rsidRPr="008D2F38" w:rsidRDefault="00EE1379" w:rsidP="008D2F38">
      <w:pPr>
        <w:pStyle w:val="SingleTxtG"/>
      </w:pPr>
      <w:r>
        <w:t>8</w:t>
      </w:r>
      <w:r w:rsidR="008D2F38" w:rsidRPr="008D2F38">
        <w:t>.</w:t>
      </w:r>
      <w:r w:rsidR="00390303">
        <w:t>9</w:t>
      </w:r>
      <w:r w:rsidR="008D2F38" w:rsidRPr="008D2F38">
        <w:tab/>
      </w:r>
      <w:r w:rsidR="008D2F38" w:rsidRPr="00A7521B">
        <w:t xml:space="preserve">The Committee further notes the State party’s observation that the procedure for organization of public events set out in the </w:t>
      </w:r>
      <w:r w:rsidR="00A7521B" w:rsidRPr="00A7521B">
        <w:rPr>
          <w:lang w:val="en-US"/>
        </w:rPr>
        <w:t xml:space="preserve">Law governing the Organization of Peaceful Assemblies, Meetings, Marches, Pickets and Demonstrations </w:t>
      </w:r>
      <w:r w:rsidR="008D2F38" w:rsidRPr="00A7521B">
        <w:t xml:space="preserve">is necessary for the preservation of the rights of others and therefore the </w:t>
      </w:r>
      <w:r w:rsidR="00A7521B" w:rsidRPr="00A7521B">
        <w:t xml:space="preserve">Law </w:t>
      </w:r>
      <w:r w:rsidR="008D2F38" w:rsidRPr="00A7521B">
        <w:t>is a sufficient ground for limitation of the right to peaceful assembly.</w:t>
      </w:r>
      <w:r w:rsidR="008D2F38" w:rsidRPr="007D08EB">
        <w:rPr>
          <w:i/>
        </w:rPr>
        <w:t xml:space="preserve"> </w:t>
      </w:r>
      <w:r w:rsidR="008D2F38" w:rsidRPr="00936D58">
        <w:t>In this respect the Committee notes that the second sentence of article 21 of the Covenant consists of two inseparable conditions.</w:t>
      </w:r>
      <w:r w:rsidR="008D2F38" w:rsidRPr="00936D58">
        <w:rPr>
          <w:vertAlign w:val="superscript"/>
        </w:rPr>
        <w:footnoteReference w:id="26"/>
      </w:r>
      <w:r w:rsidR="008D2F38" w:rsidRPr="008D2F38">
        <w:t xml:space="preserve"> The limitations should be based on domestic laws, but at the same time, they should be necessary in a democratic society in the interests of national security or public safety, public order (</w:t>
      </w:r>
      <w:proofErr w:type="spellStart"/>
      <w:r w:rsidR="008D2F38" w:rsidRPr="008D2F38">
        <w:rPr>
          <w:i/>
        </w:rPr>
        <w:t>ordre</w:t>
      </w:r>
      <w:proofErr w:type="spellEnd"/>
      <w:r w:rsidR="008D2F38" w:rsidRPr="008D2F38">
        <w:rPr>
          <w:i/>
        </w:rPr>
        <w:t xml:space="preserve"> public</w:t>
      </w:r>
      <w:r w:rsidR="008D2F38" w:rsidRPr="008D2F38">
        <w:t>), the protection of public health or morals or the protection of the rights and freedoms of others. The limitations should also be proportionate to the objective they aim to achieve, which requires a</w:t>
      </w:r>
      <w:r w:rsidR="003F6D23">
        <w:t>n</w:t>
      </w:r>
      <w:r w:rsidR="008D2F38" w:rsidRPr="008D2F38">
        <w:t xml:space="preserve"> assessment by the state authorities, balancing the nature and the extent of the interference against the reason for interfering.</w:t>
      </w:r>
      <w:r w:rsidR="008D2F38" w:rsidRPr="008D2F38">
        <w:rPr>
          <w:vertAlign w:val="superscript"/>
        </w:rPr>
        <w:footnoteReference w:id="27"/>
      </w:r>
      <w:r w:rsidR="008D2F38" w:rsidRPr="008D2F38">
        <w:t xml:space="preserve"> Establishing whether a restriction is necessary requires therefore not only a legal but also a factual assessment.</w:t>
      </w:r>
      <w:r w:rsidR="008D2F38" w:rsidRPr="008D2F38">
        <w:rPr>
          <w:vertAlign w:val="superscript"/>
        </w:rPr>
        <w:footnoteReference w:id="28"/>
      </w:r>
      <w:r w:rsidR="008D2F38" w:rsidRPr="008D2F38">
        <w:t xml:space="preserve"> A previous legislative act is thus necessary but not sufficient for such an evaluation. In </w:t>
      </w:r>
      <w:r w:rsidR="00936D58">
        <w:t xml:space="preserve">the present cases, </w:t>
      </w:r>
      <w:r w:rsidR="008D2F38" w:rsidRPr="008D2F38">
        <w:t xml:space="preserve">the State party has not attempted to demonstrate that the sanction </w:t>
      </w:r>
      <w:r w:rsidR="00936D58">
        <w:t xml:space="preserve">in the form of administrative arrest </w:t>
      </w:r>
      <w:r w:rsidR="008D2F38" w:rsidRPr="008D2F38">
        <w:t xml:space="preserve">imposed on the author for participating </w:t>
      </w:r>
      <w:r w:rsidR="00936D58">
        <w:t xml:space="preserve">in or trying to attend a </w:t>
      </w:r>
      <w:r w:rsidR="008D2F38" w:rsidRPr="008D2F38">
        <w:t>peaceful unauthorized assembly was necessary and proportionate under article 21 of the Covenant. The Committee therefore concludes that the State party has violated article 21 of the Covenant.</w:t>
      </w:r>
    </w:p>
    <w:p w14:paraId="52F6AA73" w14:textId="215C2FDD" w:rsidR="009A20D2" w:rsidRPr="009A20D2" w:rsidRDefault="009A20D2" w:rsidP="009A20D2">
      <w:pPr>
        <w:pStyle w:val="SingleTxtG"/>
      </w:pPr>
      <w:r>
        <w:rPr>
          <w:lang w:val="en-US"/>
        </w:rPr>
        <w:tab/>
      </w:r>
      <w:r>
        <w:t>8</w:t>
      </w:r>
      <w:r w:rsidRPr="009A20D2">
        <w:t>.</w:t>
      </w:r>
      <w:r>
        <w:t>10</w:t>
      </w:r>
      <w:r w:rsidRPr="009A20D2">
        <w:tab/>
        <w:t xml:space="preserve">The Committee, acting under article 5 (4) of the Optional Protocol, is of the view that the facts before it disclose a violation by the State party of the author’s rights under articles 19 and 21 of the Covenant. </w:t>
      </w:r>
    </w:p>
    <w:p w14:paraId="5BF5E69A" w14:textId="5D95FE3C" w:rsidR="009A20D2" w:rsidRPr="009A20D2" w:rsidRDefault="009A20D2" w:rsidP="002E0468">
      <w:pPr>
        <w:pStyle w:val="SingleTxtG"/>
      </w:pPr>
      <w:r>
        <w:t>9</w:t>
      </w:r>
      <w:r w:rsidRPr="009A20D2">
        <w:t>.</w:t>
      </w:r>
      <w:r w:rsidRPr="009A20D2">
        <w:tab/>
      </w:r>
      <w:r w:rsidRPr="003711A7">
        <w:t>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provide the author with adequate compensation, including to reimburse the fine and any legal costs incurred by the author</w:t>
      </w:r>
      <w:r w:rsidR="00C87DF5">
        <w:t>.</w:t>
      </w:r>
      <w:r w:rsidRPr="003711A7">
        <w:t xml:space="preserve"> The State party is also under an obligation to take all steps necessary to prevent similar violations from occurring in the future, in particular by reviewing its national legislation on public events and the implementation thereof in order to make it compatible with its obligations </w:t>
      </w:r>
      <w:r w:rsidRPr="003711A7">
        <w:rPr>
          <w:lang w:val="en-US"/>
        </w:rPr>
        <w:t xml:space="preserve">under article 2 (2) </w:t>
      </w:r>
      <w:r w:rsidRPr="003711A7">
        <w:t>to adopt measures able to give effect to the rights recognized by articles 19 and 21.</w:t>
      </w:r>
      <w:r w:rsidRPr="009A20D2">
        <w:t xml:space="preserve"> </w:t>
      </w:r>
    </w:p>
    <w:p w14:paraId="039C8036" w14:textId="1EE5F79E" w:rsidR="009A20D2" w:rsidRPr="009A20D2" w:rsidRDefault="009A20D2" w:rsidP="009A20D2">
      <w:pPr>
        <w:pStyle w:val="SingleTxtG"/>
      </w:pPr>
      <w:r>
        <w:t>10</w:t>
      </w:r>
      <w:r w:rsidRPr="009A20D2">
        <w:t>.</w:t>
      </w:r>
      <w:r w:rsidRPr="009A20D2">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p>
    <w:p w14:paraId="31254C7C" w14:textId="3F9AA127" w:rsidR="00C15938" w:rsidRDefault="00C15938" w:rsidP="00C15938">
      <w:pPr>
        <w:pStyle w:val="SingleTxtG"/>
        <w:spacing w:before="240" w:after="0"/>
        <w:jc w:val="center"/>
        <w:rPr>
          <w:u w:val="single"/>
        </w:rPr>
      </w:pPr>
      <w:r>
        <w:rPr>
          <w:u w:val="single"/>
        </w:rPr>
        <w:tab/>
      </w:r>
      <w:r>
        <w:rPr>
          <w:u w:val="single"/>
        </w:rPr>
        <w:tab/>
      </w:r>
      <w:r>
        <w:rPr>
          <w:u w:val="single"/>
        </w:rPr>
        <w:tab/>
      </w:r>
      <w:r w:rsidR="00763BE8">
        <w:rPr>
          <w:u w:val="single"/>
        </w:rPr>
        <w:tab/>
      </w:r>
    </w:p>
    <w:sectPr w:rsidR="00C15938" w:rsidSect="0030680E">
      <w:headerReference w:type="even" r:id="rId12"/>
      <w:headerReference w:type="default" r:id="rId13"/>
      <w:footerReference w:type="even" r:id="rId14"/>
      <w:footerReference w:type="default" r:id="rId15"/>
      <w:footerReference w:type="first" r:id="rId16"/>
      <w:endnotePr>
        <w:numFmt w:val="decimal"/>
      </w:endnotePr>
      <w:pgSz w:w="11907" w:h="16840" w:code="9"/>
      <w:pgMar w:top="1560"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07878" w14:textId="77777777" w:rsidR="00456BA1" w:rsidRDefault="00456BA1"/>
  </w:endnote>
  <w:endnote w:type="continuationSeparator" w:id="0">
    <w:p w14:paraId="3595F533" w14:textId="77777777" w:rsidR="00456BA1" w:rsidRDefault="00456BA1"/>
  </w:endnote>
  <w:endnote w:type="continuationNotice" w:id="1">
    <w:p w14:paraId="1126BC15" w14:textId="77777777" w:rsidR="00456BA1" w:rsidRDefault="00456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99B35" w14:textId="70261BDA" w:rsidR="00A216D0" w:rsidRPr="00781C83" w:rsidRDefault="00A216D0"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9601F6">
      <w:rPr>
        <w:b/>
        <w:noProof/>
        <w:sz w:val="18"/>
      </w:rPr>
      <w:t>10</w:t>
    </w:r>
    <w:r w:rsidRPr="00781C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CA14E" w14:textId="13EA2FAB" w:rsidR="00A216D0" w:rsidRPr="00AC1D9A" w:rsidRDefault="00A216D0" w:rsidP="00781C83">
    <w:pPr>
      <w:pStyle w:val="Footer"/>
      <w:tabs>
        <w:tab w:val="right" w:pos="9638"/>
      </w:tabs>
      <w:rPr>
        <w:b/>
        <w:bCs/>
        <w:sz w:val="18"/>
      </w:rPr>
    </w:pPr>
    <w:r>
      <w:rPr>
        <w:b/>
        <w:sz w:val="18"/>
      </w:rPr>
      <w:tab/>
    </w:r>
    <w:r w:rsidRPr="00AC1D9A">
      <w:rPr>
        <w:b/>
        <w:bCs/>
        <w:sz w:val="18"/>
      </w:rPr>
      <w:fldChar w:fldCharType="begin"/>
    </w:r>
    <w:r w:rsidRPr="00AC1D9A">
      <w:rPr>
        <w:b/>
        <w:bCs/>
        <w:sz w:val="18"/>
      </w:rPr>
      <w:instrText xml:space="preserve"> PAGE  \* MERGEFORMAT </w:instrText>
    </w:r>
    <w:r w:rsidRPr="00AC1D9A">
      <w:rPr>
        <w:b/>
        <w:bCs/>
        <w:sz w:val="18"/>
      </w:rPr>
      <w:fldChar w:fldCharType="separate"/>
    </w:r>
    <w:r w:rsidR="009601F6">
      <w:rPr>
        <w:b/>
        <w:bCs/>
        <w:noProof/>
        <w:sz w:val="18"/>
      </w:rPr>
      <w:t>11</w:t>
    </w:r>
    <w:r w:rsidRPr="00AC1D9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BD798" w14:textId="023156F7" w:rsidR="003E414A" w:rsidRDefault="00D50F53" w:rsidP="00D50F53">
    <w:pPr>
      <w:pStyle w:val="Footer"/>
    </w:pPr>
    <w:r w:rsidRPr="0027112F">
      <w:rPr>
        <w:noProof/>
        <w:lang w:eastAsia="en-GB"/>
      </w:rPr>
      <w:drawing>
        <wp:anchor distT="0" distB="0" distL="114300" distR="114300" simplePos="0" relativeHeight="251659264" behindDoc="0" locked="1" layoutInCell="1" allowOverlap="1" wp14:anchorId="2B609133" wp14:editId="32AF17D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D5463" w14:textId="77777777" w:rsidR="00456BA1" w:rsidRPr="000B175B" w:rsidRDefault="00456BA1" w:rsidP="000B175B">
      <w:pPr>
        <w:tabs>
          <w:tab w:val="right" w:pos="2155"/>
        </w:tabs>
        <w:spacing w:after="80"/>
        <w:ind w:left="680"/>
        <w:rPr>
          <w:u w:val="single"/>
        </w:rPr>
      </w:pPr>
      <w:r>
        <w:rPr>
          <w:u w:val="single"/>
        </w:rPr>
        <w:tab/>
      </w:r>
    </w:p>
  </w:footnote>
  <w:footnote w:type="continuationSeparator" w:id="0">
    <w:p w14:paraId="62543467" w14:textId="77777777" w:rsidR="00456BA1" w:rsidRPr="00FC68B7" w:rsidRDefault="00456BA1" w:rsidP="00FC68B7">
      <w:pPr>
        <w:tabs>
          <w:tab w:val="left" w:pos="2155"/>
        </w:tabs>
        <w:spacing w:after="80"/>
        <w:ind w:left="680"/>
        <w:rPr>
          <w:u w:val="single"/>
        </w:rPr>
      </w:pPr>
      <w:r>
        <w:rPr>
          <w:u w:val="single"/>
        </w:rPr>
        <w:tab/>
      </w:r>
    </w:p>
  </w:footnote>
  <w:footnote w:type="continuationNotice" w:id="1">
    <w:p w14:paraId="540FB37D" w14:textId="77777777" w:rsidR="00456BA1" w:rsidRDefault="00456BA1"/>
  </w:footnote>
  <w:footnote w:id="2">
    <w:p w14:paraId="2C10C646" w14:textId="30A45445" w:rsidR="002E0468" w:rsidRPr="00CD5731" w:rsidRDefault="002E0468">
      <w:pPr>
        <w:pStyle w:val="FootnoteText"/>
        <w:rPr>
          <w:lang w:val="en-GB"/>
        </w:rPr>
      </w:pPr>
      <w:r>
        <w:rPr>
          <w:rStyle w:val="FootnoteReference"/>
        </w:rPr>
        <w:tab/>
      </w:r>
      <w:r w:rsidRPr="00CD5731">
        <w:rPr>
          <w:rStyle w:val="FootnoteReference"/>
          <w:sz w:val="20"/>
          <w:vertAlign w:val="baseline"/>
        </w:rPr>
        <w:t>*</w:t>
      </w:r>
      <w:r>
        <w:rPr>
          <w:rStyle w:val="FootnoteReference"/>
          <w:sz w:val="20"/>
          <w:vertAlign w:val="baseline"/>
        </w:rPr>
        <w:tab/>
      </w:r>
      <w:r w:rsidRPr="00B2629C">
        <w:t xml:space="preserve">Adopted by the Committee at its </w:t>
      </w:r>
      <w:r>
        <w:t>133</w:t>
      </w:r>
      <w:r w:rsidRPr="0071752E">
        <w:rPr>
          <w:vertAlign w:val="superscript"/>
        </w:rPr>
        <w:t>rd</w:t>
      </w:r>
      <w:r>
        <w:t xml:space="preserve"> </w:t>
      </w:r>
      <w:r w:rsidRPr="00B2629C">
        <w:t>session (</w:t>
      </w:r>
      <w:r>
        <w:t>11 October – 5 November 2021</w:t>
      </w:r>
      <w:r w:rsidRPr="00B2629C">
        <w:t>)</w:t>
      </w:r>
      <w:r>
        <w:t>.</w:t>
      </w:r>
    </w:p>
  </w:footnote>
  <w:footnote w:id="3">
    <w:p w14:paraId="1BAB07B8" w14:textId="5D3D5CF5" w:rsidR="002E0468" w:rsidRPr="00CD5731" w:rsidRDefault="002E0468">
      <w:pPr>
        <w:pStyle w:val="FootnoteText"/>
        <w:rPr>
          <w:lang w:val="en-GB"/>
        </w:rPr>
      </w:pPr>
      <w:r>
        <w:rPr>
          <w:rStyle w:val="FootnoteReference"/>
        </w:rPr>
        <w:tab/>
      </w:r>
      <w:r w:rsidRPr="00CD5731">
        <w:rPr>
          <w:rStyle w:val="FootnoteReference"/>
          <w:sz w:val="20"/>
          <w:vertAlign w:val="baseline"/>
        </w:rPr>
        <w:t>**</w:t>
      </w:r>
      <w:r>
        <w:rPr>
          <w:rStyle w:val="FootnoteReference"/>
          <w:sz w:val="20"/>
          <w:vertAlign w:val="baseline"/>
        </w:rPr>
        <w:tab/>
      </w:r>
      <w:r w:rsidRPr="00B2629C">
        <w:t xml:space="preserve">The following members of the Committee participated in the examination of the communication: </w:t>
      </w:r>
      <w:proofErr w:type="spellStart"/>
      <w:r w:rsidRPr="00B2629C">
        <w:t>Yadh</w:t>
      </w:r>
      <w:proofErr w:type="spellEnd"/>
      <w:r w:rsidRPr="00B2629C">
        <w:t xml:space="preserve"> Ben </w:t>
      </w:r>
      <w:proofErr w:type="spellStart"/>
      <w:r w:rsidRPr="00B2629C">
        <w:t>Achour</w:t>
      </w:r>
      <w:proofErr w:type="spellEnd"/>
      <w:r w:rsidRPr="00B2629C">
        <w:t xml:space="preserve">, </w:t>
      </w:r>
      <w:proofErr w:type="spellStart"/>
      <w:r>
        <w:t>Arif</w:t>
      </w:r>
      <w:proofErr w:type="spellEnd"/>
      <w:r>
        <w:t xml:space="preserve"> </w:t>
      </w:r>
      <w:proofErr w:type="spellStart"/>
      <w:r>
        <w:t>Bulkan</w:t>
      </w:r>
      <w:proofErr w:type="spellEnd"/>
      <w:r>
        <w:t xml:space="preserve">, </w:t>
      </w:r>
      <w:proofErr w:type="spellStart"/>
      <w:r>
        <w:t>W</w:t>
      </w:r>
      <w:r w:rsidRPr="00F659AD">
        <w:t>afaa</w:t>
      </w:r>
      <w:proofErr w:type="spellEnd"/>
      <w:r w:rsidRPr="00F659AD">
        <w:t xml:space="preserve"> Ashraf </w:t>
      </w:r>
      <w:proofErr w:type="spellStart"/>
      <w:r w:rsidRPr="00F659AD">
        <w:t>Moharram</w:t>
      </w:r>
      <w:proofErr w:type="spellEnd"/>
      <w:r w:rsidRPr="00F659AD">
        <w:t xml:space="preserve"> </w:t>
      </w:r>
      <w:proofErr w:type="spellStart"/>
      <w:r>
        <w:t>Bassim</w:t>
      </w:r>
      <w:proofErr w:type="spellEnd"/>
      <w:r>
        <w:t xml:space="preserve">, </w:t>
      </w:r>
      <w:proofErr w:type="spellStart"/>
      <w:r>
        <w:t>Mahjoub</w:t>
      </w:r>
      <w:proofErr w:type="spellEnd"/>
      <w:r>
        <w:t xml:space="preserve"> El </w:t>
      </w:r>
      <w:proofErr w:type="spellStart"/>
      <w:r>
        <w:t>Haiba</w:t>
      </w:r>
      <w:proofErr w:type="spellEnd"/>
      <w:r>
        <w:t xml:space="preserve">, Shuichi </w:t>
      </w:r>
      <w:proofErr w:type="spellStart"/>
      <w:r>
        <w:t>Furuya</w:t>
      </w:r>
      <w:proofErr w:type="spellEnd"/>
      <w:r>
        <w:t xml:space="preserve">, </w:t>
      </w:r>
      <w:proofErr w:type="spellStart"/>
      <w:r w:rsidRPr="00D43567">
        <w:t>Kobauyah</w:t>
      </w:r>
      <w:proofErr w:type="spellEnd"/>
      <w:r w:rsidRPr="00D43567">
        <w:t xml:space="preserve"> </w:t>
      </w:r>
      <w:proofErr w:type="spellStart"/>
      <w:r>
        <w:t>Tchamdja</w:t>
      </w:r>
      <w:proofErr w:type="spellEnd"/>
      <w:r>
        <w:t xml:space="preserve"> </w:t>
      </w:r>
      <w:proofErr w:type="spellStart"/>
      <w:r>
        <w:t>Kpatcha</w:t>
      </w:r>
      <w:proofErr w:type="spellEnd"/>
      <w:r>
        <w:t xml:space="preserve">, Carlos Gómez </w:t>
      </w:r>
      <w:proofErr w:type="spellStart"/>
      <w:r>
        <w:t>Martí</w:t>
      </w:r>
      <w:r w:rsidRPr="00A06D1D">
        <w:t>nez</w:t>
      </w:r>
      <w:proofErr w:type="spellEnd"/>
      <w:r w:rsidRPr="00A06D1D">
        <w:t>,</w:t>
      </w:r>
      <w:r>
        <w:t xml:space="preserve"> </w:t>
      </w:r>
      <w:r w:rsidRPr="00B2629C">
        <w:t xml:space="preserve">Duncan </w:t>
      </w:r>
      <w:proofErr w:type="spellStart"/>
      <w:r w:rsidRPr="00B2629C">
        <w:t>Laki</w:t>
      </w:r>
      <w:proofErr w:type="spellEnd"/>
      <w:r w:rsidRPr="00B2629C">
        <w:t xml:space="preserve"> </w:t>
      </w:r>
      <w:proofErr w:type="spellStart"/>
      <w:r w:rsidRPr="00B2629C">
        <w:t>Muhumuza</w:t>
      </w:r>
      <w:proofErr w:type="spellEnd"/>
      <w:r w:rsidRPr="00B2629C">
        <w:t xml:space="preserve">, </w:t>
      </w:r>
      <w:proofErr w:type="spellStart"/>
      <w:r w:rsidRPr="00B2629C">
        <w:t>Photini</w:t>
      </w:r>
      <w:proofErr w:type="spellEnd"/>
      <w:r w:rsidRPr="00B2629C">
        <w:t xml:space="preserve"> </w:t>
      </w:r>
      <w:proofErr w:type="spellStart"/>
      <w:r w:rsidRPr="00B2629C">
        <w:t>Pazartzis</w:t>
      </w:r>
      <w:proofErr w:type="spellEnd"/>
      <w:r w:rsidRPr="00B2629C">
        <w:t xml:space="preserve">, </w:t>
      </w:r>
      <w:proofErr w:type="spellStart"/>
      <w:r w:rsidRPr="00B2629C">
        <w:t>Vasilka</w:t>
      </w:r>
      <w:proofErr w:type="spellEnd"/>
      <w:r w:rsidRPr="00B2629C">
        <w:t xml:space="preserve"> </w:t>
      </w:r>
      <w:proofErr w:type="spellStart"/>
      <w:r w:rsidRPr="00B2629C">
        <w:t>Sancin</w:t>
      </w:r>
      <w:proofErr w:type="spellEnd"/>
      <w:r w:rsidRPr="00B2629C">
        <w:t xml:space="preserve">, José Manuel Santos </w:t>
      </w:r>
      <w:proofErr w:type="spellStart"/>
      <w:r w:rsidRPr="00B2629C">
        <w:t>Pais</w:t>
      </w:r>
      <w:proofErr w:type="spellEnd"/>
      <w:r w:rsidRPr="00B2629C">
        <w:t xml:space="preserve">, </w:t>
      </w:r>
      <w:proofErr w:type="spellStart"/>
      <w:r w:rsidRPr="00A06D1D">
        <w:t>Changrok</w:t>
      </w:r>
      <w:proofErr w:type="spellEnd"/>
      <w:r w:rsidRPr="00A06D1D">
        <w:rPr>
          <w:color w:val="000000"/>
        </w:rPr>
        <w:t xml:space="preserve"> </w:t>
      </w:r>
      <w:proofErr w:type="spellStart"/>
      <w:r>
        <w:rPr>
          <w:color w:val="000000"/>
        </w:rPr>
        <w:t>Soh</w:t>
      </w:r>
      <w:proofErr w:type="spellEnd"/>
      <w:r>
        <w:rPr>
          <w:color w:val="000000"/>
        </w:rPr>
        <w:t xml:space="preserve">, </w:t>
      </w:r>
      <w:r w:rsidRPr="00B2629C">
        <w:t xml:space="preserve">Hélène </w:t>
      </w:r>
      <w:proofErr w:type="spellStart"/>
      <w:r w:rsidRPr="00B2629C">
        <w:t>Tigroudja</w:t>
      </w:r>
      <w:proofErr w:type="spellEnd"/>
      <w:r>
        <w:t xml:space="preserve">, </w:t>
      </w:r>
      <w:proofErr w:type="spellStart"/>
      <w:r w:rsidRPr="00A06D1D">
        <w:t>Imeru</w:t>
      </w:r>
      <w:proofErr w:type="spellEnd"/>
      <w:r w:rsidRPr="00A06D1D">
        <w:t xml:space="preserve"> </w:t>
      </w:r>
      <w:proofErr w:type="spellStart"/>
      <w:r w:rsidRPr="00A06D1D">
        <w:t>Tamerat</w:t>
      </w:r>
      <w:proofErr w:type="spellEnd"/>
      <w:r>
        <w:t xml:space="preserve"> </w:t>
      </w:r>
      <w:proofErr w:type="spellStart"/>
      <w:r>
        <w:t>Yigezu</w:t>
      </w:r>
      <w:proofErr w:type="spellEnd"/>
      <w:r>
        <w:t xml:space="preserve">, and Gentian </w:t>
      </w:r>
      <w:proofErr w:type="spellStart"/>
      <w:r>
        <w:t>Zyberi</w:t>
      </w:r>
      <w:proofErr w:type="spellEnd"/>
      <w:r>
        <w:t>.</w:t>
      </w:r>
    </w:p>
  </w:footnote>
  <w:footnote w:id="4">
    <w:p w14:paraId="38B810EB" w14:textId="2DF12329" w:rsidR="00B66CFD" w:rsidRPr="00B66CFD" w:rsidRDefault="00316475">
      <w:pPr>
        <w:pStyle w:val="FootnoteText"/>
        <w:rPr>
          <w:lang w:val="en-GB"/>
        </w:rPr>
      </w:pPr>
      <w:r>
        <w:tab/>
      </w:r>
      <w:r w:rsidR="00B66CFD">
        <w:rPr>
          <w:rStyle w:val="FootnoteReference"/>
        </w:rPr>
        <w:footnoteRef/>
      </w:r>
      <w:r w:rsidR="00B66CFD">
        <w:t xml:space="preserve"> </w:t>
      </w:r>
      <w:r>
        <w:tab/>
      </w:r>
      <w:r w:rsidR="00D33BC7">
        <w:t xml:space="preserve">Materials on file </w:t>
      </w:r>
      <w:r w:rsidR="0044425F">
        <w:t>demonstrate</w:t>
      </w:r>
      <w:r w:rsidR="00D33BC7">
        <w:t xml:space="preserve"> that a</w:t>
      </w:r>
      <w:r w:rsidR="00B66CFD">
        <w:rPr>
          <w:lang w:val="en-GB"/>
        </w:rPr>
        <w:t xml:space="preserve">s per the Law </w:t>
      </w:r>
      <w:r w:rsidR="00B66CFD" w:rsidRPr="00B66CFD">
        <w:t>on the Procedure for Organizing and Holding Peaceful Assemblies, Meetings, Marches, Pickets and Demonstrations</w:t>
      </w:r>
      <w:r w:rsidR="00B66CFD">
        <w:t xml:space="preserve">, </w:t>
      </w:r>
      <w:r>
        <w:t xml:space="preserve">the </w:t>
      </w:r>
      <w:r w:rsidR="0044425F">
        <w:t>organizers</w:t>
      </w:r>
      <w:r>
        <w:t xml:space="preserve"> of the meeting should seek authorization and submit application to the local authorities at least </w:t>
      </w:r>
      <w:r w:rsidR="00B66CFD">
        <w:t xml:space="preserve">10 days prior to the </w:t>
      </w:r>
      <w:r>
        <w:t xml:space="preserve">planned </w:t>
      </w:r>
      <w:r w:rsidR="00B66CFD">
        <w:t xml:space="preserve">event. The authorities </w:t>
      </w:r>
      <w:r>
        <w:t>should notify their decision no later than 5 days prior to the event.</w:t>
      </w:r>
      <w:r w:rsidR="00B66CFD">
        <w:rPr>
          <w:lang w:val="en-GB"/>
        </w:rPr>
        <w:t xml:space="preserve"> </w:t>
      </w:r>
    </w:p>
  </w:footnote>
  <w:footnote w:id="5">
    <w:p w14:paraId="49C8E3E7" w14:textId="1ACDA315" w:rsidR="00A216D0" w:rsidRPr="00072AAF" w:rsidRDefault="00A216D0">
      <w:pPr>
        <w:pStyle w:val="FootnoteText"/>
        <w:rPr>
          <w:lang w:val="en-GB"/>
        </w:rPr>
      </w:pPr>
      <w:r>
        <w:tab/>
      </w:r>
      <w:r>
        <w:rPr>
          <w:rStyle w:val="FootnoteReference"/>
        </w:rPr>
        <w:footnoteRef/>
      </w:r>
      <w:r>
        <w:t xml:space="preserve"> </w:t>
      </w:r>
      <w:r>
        <w:tab/>
      </w:r>
      <w:r w:rsidRPr="00072AAF">
        <w:t xml:space="preserve">However, </w:t>
      </w:r>
      <w:r>
        <w:t>materials on the file show that court hearings were open, with participation of author’s representative.</w:t>
      </w:r>
    </w:p>
  </w:footnote>
  <w:footnote w:id="6">
    <w:p w14:paraId="688F6BA6" w14:textId="1ED6667E" w:rsidR="00A216D0" w:rsidRPr="003B0A02" w:rsidRDefault="00A216D0">
      <w:pPr>
        <w:pStyle w:val="FootnoteText"/>
        <w:rPr>
          <w:lang w:val="en-GB"/>
        </w:rPr>
      </w:pPr>
      <w:r>
        <w:tab/>
      </w:r>
      <w:r>
        <w:rPr>
          <w:rStyle w:val="FootnoteReference"/>
        </w:rPr>
        <w:footnoteRef/>
      </w:r>
      <w:r>
        <w:t xml:space="preserve"> </w:t>
      </w:r>
      <w:r>
        <w:tab/>
      </w:r>
      <w:r w:rsidR="00C35D6F" w:rsidRPr="003B0A02">
        <w:rPr>
          <w:lang w:val="en-GB"/>
        </w:rPr>
        <w:t>Reference</w:t>
      </w:r>
      <w:r w:rsidRPr="003B0A02">
        <w:rPr>
          <w:lang w:val="en-GB"/>
        </w:rPr>
        <w:t xml:space="preserve"> to UN OHCHR </w:t>
      </w:r>
      <w:r w:rsidRPr="003B0A02">
        <w:t xml:space="preserve">Fact Sheet 7 (Rev. 2) “Individual complaint procedures under the United Nations Human Rights Treaties”, page 8.  </w:t>
      </w:r>
    </w:p>
  </w:footnote>
  <w:footnote w:id="7">
    <w:p w14:paraId="271F9B86" w14:textId="3A4A4846" w:rsidR="00A216D0" w:rsidRPr="00CD5ABE" w:rsidRDefault="00A216D0">
      <w:pPr>
        <w:pStyle w:val="FootnoteText"/>
        <w:rPr>
          <w:lang w:val="en-GB"/>
        </w:rPr>
      </w:pPr>
      <w:r>
        <w:tab/>
      </w:r>
      <w:r>
        <w:rPr>
          <w:rStyle w:val="FootnoteReference"/>
        </w:rPr>
        <w:footnoteRef/>
      </w:r>
      <w:r>
        <w:t xml:space="preserve"> </w:t>
      </w:r>
      <w:r>
        <w:tab/>
      </w:r>
      <w:r w:rsidR="00C35D6F">
        <w:t xml:space="preserve">See, e.g., </w:t>
      </w:r>
      <w:r w:rsidRPr="00C35D6F">
        <w:rPr>
          <w:i/>
          <w:lang w:val="en-GB"/>
        </w:rPr>
        <w:t xml:space="preserve">H.C.M.A. v </w:t>
      </w:r>
      <w:r w:rsidR="00C35D6F" w:rsidRPr="00C35D6F">
        <w:rPr>
          <w:i/>
          <w:lang w:val="en-GB"/>
        </w:rPr>
        <w:t>Netherlands</w:t>
      </w:r>
      <w:r>
        <w:rPr>
          <w:lang w:val="en-GB"/>
        </w:rPr>
        <w:t xml:space="preserve"> (CCPR/C/35/D/213/1986), para. 11.6</w:t>
      </w:r>
    </w:p>
  </w:footnote>
  <w:footnote w:id="8">
    <w:p w14:paraId="637E537C" w14:textId="77777777" w:rsidR="00A216D0" w:rsidRPr="006E58D8" w:rsidRDefault="00A216D0" w:rsidP="00776CA5">
      <w:pPr>
        <w:pStyle w:val="FootnoteText"/>
      </w:pPr>
      <w:r>
        <w:tab/>
      </w:r>
      <w:r w:rsidRPr="006E58D8">
        <w:rPr>
          <w:rStyle w:val="FootnoteReference"/>
        </w:rPr>
        <w:footnoteRef/>
      </w:r>
      <w:r>
        <w:tab/>
      </w:r>
      <w:r w:rsidRPr="006E58D8">
        <w:t xml:space="preserve">The State party refers to communication No. 2021/2010. </w:t>
      </w:r>
    </w:p>
  </w:footnote>
  <w:footnote w:id="9">
    <w:p w14:paraId="3A133009" w14:textId="078C392E" w:rsidR="00A216D0" w:rsidRPr="0036258F" w:rsidRDefault="00A216D0" w:rsidP="00A12320">
      <w:pPr>
        <w:pStyle w:val="FootnoteText"/>
      </w:pPr>
      <w:r>
        <w:tab/>
      </w:r>
      <w:r>
        <w:rPr>
          <w:rStyle w:val="FootnoteReference"/>
        </w:rPr>
        <w:footnoteRef/>
      </w:r>
      <w:r>
        <w:tab/>
        <w:t xml:space="preserve">The State party refers to article 676 of </w:t>
      </w:r>
      <w:r w:rsidRPr="002F61C4">
        <w:t xml:space="preserve">the </w:t>
      </w:r>
      <w:r w:rsidRPr="00F65FA0">
        <w:t>Code of Administrative Offences</w:t>
      </w:r>
      <w:r>
        <w:t>.</w:t>
      </w:r>
    </w:p>
  </w:footnote>
  <w:footnote w:id="10">
    <w:p w14:paraId="60E712D0" w14:textId="77777777" w:rsidR="00A216D0" w:rsidRPr="006E58D8" w:rsidRDefault="00A216D0" w:rsidP="00E966C2">
      <w:pPr>
        <w:pStyle w:val="FootnoteText"/>
      </w:pPr>
      <w:r>
        <w:tab/>
      </w:r>
      <w:r w:rsidRPr="006E58D8">
        <w:rPr>
          <w:rStyle w:val="FootnoteReference"/>
        </w:rPr>
        <w:footnoteRef/>
      </w:r>
      <w:r>
        <w:tab/>
      </w:r>
      <w:r w:rsidRPr="006E58D8">
        <w:t xml:space="preserve">The State party refers to communication No. 220/1987. </w:t>
      </w:r>
    </w:p>
  </w:footnote>
  <w:footnote w:id="11">
    <w:p w14:paraId="36CE29A3" w14:textId="4542709A" w:rsidR="00A216D0" w:rsidRPr="004E26ED" w:rsidRDefault="00A216D0">
      <w:pPr>
        <w:pStyle w:val="FootnoteText"/>
        <w:rPr>
          <w:lang w:val="en-GB"/>
        </w:rPr>
      </w:pPr>
      <w:r>
        <w:tab/>
      </w:r>
      <w:r>
        <w:rPr>
          <w:rStyle w:val="FootnoteReference"/>
        </w:rPr>
        <w:footnoteRef/>
      </w:r>
      <w:r>
        <w:t xml:space="preserve"> </w:t>
      </w:r>
      <w:r>
        <w:tab/>
      </w:r>
      <w:r w:rsidR="00C35D6F">
        <w:t>See, e.g.,</w:t>
      </w:r>
      <w:r>
        <w:rPr>
          <w:lang w:val="en-GB"/>
        </w:rPr>
        <w:t xml:space="preserve"> </w:t>
      </w:r>
      <w:proofErr w:type="gramStart"/>
      <w:r w:rsidRPr="004E26ED">
        <w:rPr>
          <w:i/>
          <w:lang w:val="en-GB"/>
        </w:rPr>
        <w:t>B.Toregozhina</w:t>
      </w:r>
      <w:proofErr w:type="gramEnd"/>
      <w:r w:rsidRPr="004E26ED">
        <w:rPr>
          <w:i/>
          <w:lang w:val="en-GB"/>
        </w:rPr>
        <w:t xml:space="preserve"> v Kazakhstan</w:t>
      </w:r>
      <w:r>
        <w:rPr>
          <w:lang w:val="en-GB"/>
        </w:rPr>
        <w:t xml:space="preserve"> CCPR/C/112/D/2137/2012</w:t>
      </w:r>
      <w:r w:rsidR="00E61763">
        <w:rPr>
          <w:lang w:val="en-GB"/>
        </w:rPr>
        <w:t>.</w:t>
      </w:r>
    </w:p>
  </w:footnote>
  <w:footnote w:id="12">
    <w:p w14:paraId="05AEA8E5" w14:textId="56DBDE55" w:rsidR="00A216D0" w:rsidRPr="009172D4" w:rsidRDefault="00A216D0">
      <w:pPr>
        <w:pStyle w:val="FootnoteText"/>
        <w:rPr>
          <w:lang w:val="en-GB"/>
        </w:rPr>
      </w:pPr>
      <w:r>
        <w:tab/>
      </w:r>
      <w:r>
        <w:rPr>
          <w:rStyle w:val="FootnoteReference"/>
        </w:rPr>
        <w:footnoteRef/>
      </w:r>
      <w:r>
        <w:t xml:space="preserve"> </w:t>
      </w:r>
      <w:r>
        <w:tab/>
      </w:r>
      <w:r w:rsidRPr="009172D4">
        <w:rPr>
          <w:lang w:val="en-GB"/>
        </w:rPr>
        <w:t xml:space="preserve">Report of the </w:t>
      </w:r>
      <w:r>
        <w:rPr>
          <w:lang w:val="en-GB"/>
        </w:rPr>
        <w:t xml:space="preserve">UN </w:t>
      </w:r>
      <w:r w:rsidRPr="009172D4">
        <w:rPr>
          <w:lang w:val="en-GB"/>
        </w:rPr>
        <w:t xml:space="preserve">Special Rapporteur on the rights to freedom of peaceful assembly and of association, </w:t>
      </w:r>
      <w:proofErr w:type="spellStart"/>
      <w:r w:rsidRPr="009172D4">
        <w:rPr>
          <w:lang w:val="en-GB"/>
        </w:rPr>
        <w:t>Maina</w:t>
      </w:r>
      <w:proofErr w:type="spellEnd"/>
      <w:r w:rsidRPr="009172D4">
        <w:rPr>
          <w:lang w:val="en-GB"/>
        </w:rPr>
        <w:t xml:space="preserve"> </w:t>
      </w:r>
      <w:proofErr w:type="spellStart"/>
      <w:r w:rsidRPr="009172D4">
        <w:rPr>
          <w:lang w:val="en-GB"/>
        </w:rPr>
        <w:t>Kiai</w:t>
      </w:r>
      <w:proofErr w:type="spellEnd"/>
      <w:r>
        <w:rPr>
          <w:lang w:val="en-GB"/>
        </w:rPr>
        <w:t xml:space="preserve">, Mission </w:t>
      </w:r>
      <w:r w:rsidRPr="009172D4">
        <w:rPr>
          <w:lang w:val="en-GB"/>
        </w:rPr>
        <w:t>to Kazakhstan</w:t>
      </w:r>
      <w:r>
        <w:rPr>
          <w:lang w:val="en-GB"/>
        </w:rPr>
        <w:t xml:space="preserve"> (</w:t>
      </w:r>
      <w:r w:rsidRPr="009172D4">
        <w:rPr>
          <w:lang w:val="en-GB"/>
        </w:rPr>
        <w:t>A/HRC/29/25/Add.2)</w:t>
      </w:r>
      <w:r w:rsidR="004F3704">
        <w:rPr>
          <w:lang w:val="en-GB"/>
        </w:rPr>
        <w:t>.</w:t>
      </w:r>
    </w:p>
  </w:footnote>
  <w:footnote w:id="13">
    <w:p w14:paraId="55C10F82" w14:textId="24308229" w:rsidR="00A216D0" w:rsidRPr="00074813" w:rsidRDefault="00A216D0">
      <w:pPr>
        <w:pStyle w:val="FootnoteText"/>
        <w:rPr>
          <w:lang w:val="en-GB"/>
        </w:rPr>
      </w:pPr>
      <w:r>
        <w:tab/>
      </w:r>
      <w:r>
        <w:rPr>
          <w:rStyle w:val="FootnoteReference"/>
        </w:rPr>
        <w:footnoteRef/>
      </w:r>
      <w:r>
        <w:t xml:space="preserve"> </w:t>
      </w:r>
      <w:bookmarkStart w:id="1" w:name="OLE_LINK1"/>
      <w:bookmarkStart w:id="2" w:name="OLE_LINK2"/>
      <w:r>
        <w:tab/>
        <w:t xml:space="preserve">Rules and </w:t>
      </w:r>
      <w:r w:rsidR="00C35D6F">
        <w:t>procedure</w:t>
      </w:r>
      <w:r>
        <w:t xml:space="preserve"> of the Human </w:t>
      </w:r>
      <w:r w:rsidR="00C35D6F">
        <w:t>Rights</w:t>
      </w:r>
      <w:r>
        <w:t xml:space="preserve"> Committee</w:t>
      </w:r>
      <w:bookmarkEnd w:id="1"/>
      <w:bookmarkEnd w:id="2"/>
      <w:r>
        <w:t xml:space="preserve"> (</w:t>
      </w:r>
      <w:r w:rsidRPr="00074813">
        <w:rPr>
          <w:lang w:val="en-GB"/>
        </w:rPr>
        <w:t>Rev.10</w:t>
      </w:r>
      <w:r>
        <w:rPr>
          <w:lang w:val="en-GB"/>
        </w:rPr>
        <w:t>)</w:t>
      </w:r>
      <w:r w:rsidR="00E61763">
        <w:rPr>
          <w:lang w:val="en-GB"/>
        </w:rPr>
        <w:t>.</w:t>
      </w:r>
    </w:p>
  </w:footnote>
  <w:footnote w:id="14">
    <w:p w14:paraId="6D89763A" w14:textId="61C93184" w:rsidR="00A216D0" w:rsidRPr="009043EB" w:rsidRDefault="00A216D0">
      <w:pPr>
        <w:pStyle w:val="FootnoteText"/>
        <w:rPr>
          <w:lang w:val="en-GB"/>
        </w:rPr>
      </w:pPr>
      <w:r>
        <w:tab/>
      </w:r>
      <w:r>
        <w:rPr>
          <w:rStyle w:val="FootnoteReference"/>
        </w:rPr>
        <w:footnoteRef/>
      </w:r>
      <w:r w:rsidRPr="00AC1D9A">
        <w:t xml:space="preserve"> </w:t>
      </w:r>
      <w:r w:rsidRPr="00AC1D9A">
        <w:tab/>
        <w:t>See</w:t>
      </w:r>
      <w:r w:rsidR="00C35D6F" w:rsidRPr="00AC1D9A">
        <w:t>, e.g.,</w:t>
      </w:r>
      <w:r w:rsidRPr="00AC1D9A">
        <w:t xml:space="preserve"> </w:t>
      </w:r>
      <w:proofErr w:type="spellStart"/>
      <w:r w:rsidRPr="00AC1D9A">
        <w:rPr>
          <w:i/>
        </w:rPr>
        <w:t>Suleymenova</w:t>
      </w:r>
      <w:proofErr w:type="spellEnd"/>
      <w:r w:rsidRPr="00AC1D9A">
        <w:rPr>
          <w:i/>
        </w:rPr>
        <w:t xml:space="preserve"> v. Kazakhstan</w:t>
      </w:r>
      <w:r w:rsidRPr="00AC1D9A">
        <w:t xml:space="preserve"> (CCPR/C/126/D/2416/2014), para. </w:t>
      </w:r>
      <w:r w:rsidRPr="00E61763">
        <w:rPr>
          <w:lang w:val="es-ES"/>
        </w:rPr>
        <w:t xml:space="preserve">8.3; </w:t>
      </w:r>
      <w:proofErr w:type="spellStart"/>
      <w:r w:rsidRPr="00E61763">
        <w:rPr>
          <w:i/>
          <w:lang w:val="es-ES"/>
        </w:rPr>
        <w:t>Toregozhina</w:t>
      </w:r>
      <w:proofErr w:type="spellEnd"/>
      <w:r w:rsidRPr="00E61763">
        <w:rPr>
          <w:i/>
          <w:lang w:val="es-ES"/>
        </w:rPr>
        <w:t xml:space="preserve"> v. </w:t>
      </w:r>
      <w:proofErr w:type="spellStart"/>
      <w:r w:rsidRPr="00E61763">
        <w:rPr>
          <w:i/>
          <w:lang w:val="es-ES"/>
        </w:rPr>
        <w:t>Kazakhstan</w:t>
      </w:r>
      <w:proofErr w:type="spellEnd"/>
      <w:r w:rsidRPr="00E61763">
        <w:rPr>
          <w:lang w:val="es-ES"/>
        </w:rPr>
        <w:t xml:space="preserve"> (CCPR/C/126/D/2311/2013), para. </w:t>
      </w:r>
      <w:r w:rsidRPr="00AC1D9A">
        <w:rPr>
          <w:lang w:val="es-ES"/>
        </w:rPr>
        <w:t xml:space="preserve">7.3; </w:t>
      </w:r>
      <w:proofErr w:type="spellStart"/>
      <w:r w:rsidRPr="00AC1D9A">
        <w:rPr>
          <w:i/>
          <w:lang w:val="es-ES"/>
        </w:rPr>
        <w:t>Insenova</w:t>
      </w:r>
      <w:proofErr w:type="spellEnd"/>
      <w:r w:rsidRPr="00AC1D9A">
        <w:rPr>
          <w:i/>
          <w:lang w:val="es-ES"/>
        </w:rPr>
        <w:t xml:space="preserve"> v. </w:t>
      </w:r>
      <w:proofErr w:type="spellStart"/>
      <w:r w:rsidRPr="00AC1D9A">
        <w:rPr>
          <w:i/>
          <w:lang w:val="es-ES"/>
        </w:rPr>
        <w:t>Kazakhstan</w:t>
      </w:r>
      <w:proofErr w:type="spellEnd"/>
      <w:r w:rsidRPr="00AC1D9A">
        <w:rPr>
          <w:lang w:val="es-ES"/>
        </w:rPr>
        <w:t xml:space="preserve"> (CCPR/C/126/D/2542/2015- 2543/2015), para. </w:t>
      </w:r>
      <w:r w:rsidRPr="009043EB">
        <w:rPr>
          <w:lang w:val="en-GB"/>
        </w:rPr>
        <w:t>8.3.</w:t>
      </w:r>
    </w:p>
  </w:footnote>
  <w:footnote w:id="15">
    <w:p w14:paraId="73534E9F" w14:textId="32E1C4DC" w:rsidR="00A216D0" w:rsidRPr="00B96A7C" w:rsidRDefault="00A216D0" w:rsidP="009043EB">
      <w:pPr>
        <w:pStyle w:val="FootnoteText"/>
        <w:rPr>
          <w:lang w:val="en-GB"/>
        </w:rPr>
      </w:pPr>
      <w:r w:rsidRPr="00B96A7C">
        <w:rPr>
          <w:lang w:val="en-GB"/>
        </w:rPr>
        <w:tab/>
      </w:r>
      <w:r w:rsidRPr="00B96A7C">
        <w:rPr>
          <w:rStyle w:val="FootnoteReference"/>
          <w:lang w:val="en-GB"/>
        </w:rPr>
        <w:footnoteRef/>
      </w:r>
      <w:r w:rsidRPr="00B96A7C">
        <w:rPr>
          <w:lang w:val="en-GB"/>
        </w:rPr>
        <w:tab/>
        <w:t>See</w:t>
      </w:r>
      <w:r w:rsidR="00C35D6F">
        <w:rPr>
          <w:lang w:val="en-GB"/>
        </w:rPr>
        <w:t>, e.g.,</w:t>
      </w:r>
      <w:r w:rsidRPr="00B96A7C">
        <w:rPr>
          <w:lang w:val="en-GB"/>
        </w:rPr>
        <w:t xml:space="preserve"> </w:t>
      </w:r>
      <w:r w:rsidRPr="00B96A7C">
        <w:rPr>
          <w:i/>
          <w:lang w:val="en-GB"/>
        </w:rPr>
        <w:t>Alekseev v. Russian Federation</w:t>
      </w:r>
      <w:r w:rsidRPr="00B96A7C">
        <w:rPr>
          <w:lang w:val="en-GB"/>
        </w:rPr>
        <w:t xml:space="preserve"> (CCPR/C/109/D/1873/2009), para. </w:t>
      </w:r>
      <w:r w:rsidRPr="00B96A7C">
        <w:rPr>
          <w:lang w:val="es-ES"/>
        </w:rPr>
        <w:t xml:space="preserve">8.4; </w:t>
      </w:r>
      <w:proofErr w:type="spellStart"/>
      <w:r w:rsidRPr="00B96A7C">
        <w:rPr>
          <w:i/>
          <w:lang w:val="es-ES"/>
        </w:rPr>
        <w:t>Lozenko</w:t>
      </w:r>
      <w:proofErr w:type="spellEnd"/>
      <w:r w:rsidRPr="00B96A7C">
        <w:rPr>
          <w:i/>
          <w:lang w:val="es-ES"/>
        </w:rPr>
        <w:t xml:space="preserve"> v. </w:t>
      </w:r>
      <w:proofErr w:type="spellStart"/>
      <w:r w:rsidRPr="00B96A7C">
        <w:rPr>
          <w:i/>
          <w:lang w:val="es-ES"/>
        </w:rPr>
        <w:t>Belarus</w:t>
      </w:r>
      <w:proofErr w:type="spellEnd"/>
      <w:r w:rsidRPr="00B96A7C">
        <w:rPr>
          <w:lang w:val="es-ES"/>
        </w:rPr>
        <w:t xml:space="preserve"> (CCPR/C/112/D/1929/2010), para. 6.3; </w:t>
      </w:r>
      <w:proofErr w:type="spellStart"/>
      <w:r w:rsidRPr="00B96A7C">
        <w:rPr>
          <w:i/>
          <w:lang w:val="es-ES"/>
        </w:rPr>
        <w:t>Sudalenko</w:t>
      </w:r>
      <w:proofErr w:type="spellEnd"/>
      <w:r w:rsidRPr="00B96A7C">
        <w:rPr>
          <w:i/>
          <w:lang w:val="es-ES"/>
        </w:rPr>
        <w:t xml:space="preserve"> v. </w:t>
      </w:r>
      <w:proofErr w:type="spellStart"/>
      <w:r w:rsidRPr="00B96A7C">
        <w:rPr>
          <w:i/>
          <w:lang w:val="es-ES"/>
        </w:rPr>
        <w:t>Belarus</w:t>
      </w:r>
      <w:proofErr w:type="spellEnd"/>
      <w:r w:rsidRPr="00B96A7C">
        <w:rPr>
          <w:iCs/>
          <w:lang w:val="es-ES"/>
        </w:rPr>
        <w:t xml:space="preserve"> </w:t>
      </w:r>
      <w:r w:rsidRPr="00B96A7C">
        <w:rPr>
          <w:lang w:val="es-ES"/>
        </w:rPr>
        <w:t xml:space="preserve">(CCPR/C/115/D/2016/2010), para. </w:t>
      </w:r>
      <w:r w:rsidRPr="00B96A7C">
        <w:rPr>
          <w:lang w:val="en-GB"/>
        </w:rPr>
        <w:t xml:space="preserve">7.3; </w:t>
      </w:r>
      <w:proofErr w:type="spellStart"/>
      <w:r w:rsidRPr="00B96A7C">
        <w:rPr>
          <w:i/>
          <w:lang w:val="en-GB"/>
        </w:rPr>
        <w:t>Poplavny</w:t>
      </w:r>
      <w:proofErr w:type="spellEnd"/>
      <w:r w:rsidRPr="00B96A7C">
        <w:rPr>
          <w:i/>
          <w:lang w:val="en-GB"/>
        </w:rPr>
        <w:t xml:space="preserve"> and </w:t>
      </w:r>
      <w:proofErr w:type="spellStart"/>
      <w:r w:rsidRPr="00B96A7C">
        <w:rPr>
          <w:i/>
          <w:lang w:val="en-GB"/>
        </w:rPr>
        <w:t>Sudalenko</w:t>
      </w:r>
      <w:proofErr w:type="spellEnd"/>
      <w:r w:rsidRPr="00B96A7C">
        <w:rPr>
          <w:i/>
          <w:lang w:val="en-GB"/>
        </w:rPr>
        <w:t xml:space="preserve"> v. Belarus</w:t>
      </w:r>
      <w:r w:rsidRPr="00B96A7C">
        <w:rPr>
          <w:lang w:val="en-GB"/>
        </w:rPr>
        <w:t xml:space="preserve"> (CCPR/C/118/D/2139/2012), para. 7.3.</w:t>
      </w:r>
    </w:p>
  </w:footnote>
  <w:footnote w:id="16">
    <w:p w14:paraId="18013C59" w14:textId="77777777" w:rsidR="00390303" w:rsidRPr="00283010" w:rsidRDefault="00390303" w:rsidP="00390303">
      <w:pPr>
        <w:pStyle w:val="FootnoteText"/>
        <w:rPr>
          <w:lang w:val="en-GB"/>
        </w:rPr>
      </w:pPr>
      <w:r w:rsidRPr="00E044C7">
        <w:tab/>
      </w:r>
      <w:r w:rsidRPr="00654CF8">
        <w:rPr>
          <w:rStyle w:val="FootnoteReference"/>
        </w:rPr>
        <w:footnoteRef/>
      </w:r>
      <w:r w:rsidRPr="00E044C7">
        <w:tab/>
        <w:t xml:space="preserve">General comment No. </w:t>
      </w:r>
      <w:r w:rsidRPr="00942EA0">
        <w:t>34</w:t>
      </w:r>
      <w:r w:rsidRPr="00E044C7">
        <w:t xml:space="preserve"> (</w:t>
      </w:r>
      <w:r w:rsidRPr="006347FB">
        <w:t>2011</w:t>
      </w:r>
      <w:r w:rsidRPr="00E044C7">
        <w:t xml:space="preserve">) on the freedoms of opinion and expression, para. </w:t>
      </w:r>
      <w:r w:rsidRPr="00283010">
        <w:rPr>
          <w:lang w:val="en-GB"/>
        </w:rPr>
        <w:t>2.</w:t>
      </w:r>
    </w:p>
  </w:footnote>
  <w:footnote w:id="17">
    <w:p w14:paraId="0274E10D" w14:textId="77777777" w:rsidR="00390303" w:rsidRPr="00800605" w:rsidRDefault="00390303" w:rsidP="00390303">
      <w:pPr>
        <w:pStyle w:val="FootnoteText"/>
      </w:pPr>
      <w:r w:rsidRPr="00283010">
        <w:rPr>
          <w:lang w:val="en-GB"/>
        </w:rPr>
        <w:tab/>
      </w:r>
      <w:r w:rsidRPr="00654CF8">
        <w:rPr>
          <w:rStyle w:val="FootnoteReference"/>
        </w:rPr>
        <w:footnoteRef/>
      </w:r>
      <w:r w:rsidRPr="00283010">
        <w:rPr>
          <w:lang w:val="en-GB"/>
        </w:rPr>
        <w:tab/>
      </w:r>
      <w:r w:rsidRPr="00E009BB">
        <w:rPr>
          <w:i/>
          <w:lang w:val="en-GB"/>
        </w:rPr>
        <w:t>Ibid</w:t>
      </w:r>
      <w:r w:rsidRPr="00283010">
        <w:rPr>
          <w:lang w:val="en-GB"/>
        </w:rPr>
        <w:t>., para. 34.</w:t>
      </w:r>
    </w:p>
  </w:footnote>
  <w:footnote w:id="18">
    <w:p w14:paraId="58EA6479" w14:textId="77777777" w:rsidR="00390303" w:rsidRPr="00283010" w:rsidRDefault="00390303" w:rsidP="00390303">
      <w:pPr>
        <w:pStyle w:val="FootnoteText"/>
        <w:rPr>
          <w:lang w:val="en-GB"/>
        </w:rPr>
      </w:pPr>
      <w:r w:rsidRPr="00283010">
        <w:rPr>
          <w:lang w:val="en-GB"/>
        </w:rPr>
        <w:tab/>
      </w:r>
      <w:r w:rsidRPr="00654CF8">
        <w:rPr>
          <w:rStyle w:val="FootnoteReference"/>
        </w:rPr>
        <w:footnoteRef/>
      </w:r>
      <w:r w:rsidRPr="00283010">
        <w:rPr>
          <w:lang w:val="en-GB"/>
        </w:rPr>
        <w:tab/>
      </w:r>
      <w:r>
        <w:rPr>
          <w:lang w:val="en-GB"/>
        </w:rPr>
        <w:t xml:space="preserve">See, e.g., </w:t>
      </w:r>
      <w:proofErr w:type="spellStart"/>
      <w:r w:rsidRPr="00283010">
        <w:rPr>
          <w:i/>
          <w:lang w:val="en-GB"/>
        </w:rPr>
        <w:t>Androsenko</w:t>
      </w:r>
      <w:proofErr w:type="spellEnd"/>
      <w:r w:rsidRPr="00283010">
        <w:rPr>
          <w:i/>
          <w:lang w:val="en-GB"/>
        </w:rPr>
        <w:t xml:space="preserve"> v. Belarus</w:t>
      </w:r>
      <w:r w:rsidRPr="00283010">
        <w:rPr>
          <w:lang w:val="en-GB"/>
        </w:rPr>
        <w:t xml:space="preserve"> (CCPR/C/116/D/2092/2011), para. 7.3.</w:t>
      </w:r>
    </w:p>
  </w:footnote>
  <w:footnote w:id="19">
    <w:p w14:paraId="331D4B01" w14:textId="77777777" w:rsidR="00390303" w:rsidRPr="00361509" w:rsidRDefault="00390303" w:rsidP="00390303">
      <w:pPr>
        <w:pStyle w:val="FootnoteText"/>
        <w:widowControl w:val="0"/>
        <w:tabs>
          <w:tab w:val="clear" w:pos="1021"/>
          <w:tab w:val="right" w:pos="1020"/>
        </w:tabs>
        <w:rPr>
          <w:lang w:val="en-GB"/>
        </w:rPr>
      </w:pPr>
      <w:r w:rsidRPr="00361509">
        <w:rPr>
          <w:lang w:val="en-GB"/>
        </w:rPr>
        <w:tab/>
      </w:r>
      <w:r w:rsidRPr="00361509">
        <w:rPr>
          <w:rStyle w:val="FootnoteReference"/>
          <w:lang w:val="en-GB"/>
        </w:rPr>
        <w:footnoteRef/>
      </w:r>
      <w:r w:rsidRPr="00361509">
        <w:rPr>
          <w:lang w:val="en-GB"/>
        </w:rPr>
        <w:tab/>
        <w:t>See</w:t>
      </w:r>
      <w:r>
        <w:rPr>
          <w:lang w:val="en-GB"/>
        </w:rPr>
        <w:t>,</w:t>
      </w:r>
      <w:r w:rsidRPr="00361509">
        <w:rPr>
          <w:lang w:val="en-GB"/>
        </w:rPr>
        <w:t xml:space="preserve"> e.g., </w:t>
      </w:r>
      <w:proofErr w:type="spellStart"/>
      <w:r w:rsidRPr="00361509">
        <w:rPr>
          <w:i/>
          <w:iCs/>
          <w:lang w:val="en-GB"/>
        </w:rPr>
        <w:t>Zalesskaya</w:t>
      </w:r>
      <w:proofErr w:type="spellEnd"/>
      <w:r w:rsidRPr="00361509">
        <w:rPr>
          <w:i/>
          <w:iCs/>
          <w:lang w:val="en-GB"/>
        </w:rPr>
        <w:t xml:space="preserve"> </w:t>
      </w:r>
      <w:r w:rsidRPr="00085E71">
        <w:rPr>
          <w:i/>
          <w:iCs/>
          <w:lang w:val="en-GB"/>
        </w:rPr>
        <w:t>v.</w:t>
      </w:r>
      <w:r w:rsidRPr="00361509">
        <w:rPr>
          <w:i/>
          <w:iCs/>
          <w:lang w:val="en-GB"/>
        </w:rPr>
        <w:t xml:space="preserve"> Belarus</w:t>
      </w:r>
      <w:r w:rsidRPr="00361509">
        <w:rPr>
          <w:lang w:val="en-GB"/>
        </w:rPr>
        <w:t xml:space="preserve"> (CCPR/C/101/D/1604/2007), para. 10.5. </w:t>
      </w:r>
    </w:p>
  </w:footnote>
  <w:footnote w:id="20">
    <w:p w14:paraId="05D33611" w14:textId="77777777" w:rsidR="00390303" w:rsidRPr="00361509" w:rsidRDefault="00390303" w:rsidP="00390303">
      <w:pPr>
        <w:pStyle w:val="FootnoteText"/>
        <w:widowControl w:val="0"/>
        <w:tabs>
          <w:tab w:val="clear" w:pos="1021"/>
          <w:tab w:val="right" w:pos="1020"/>
        </w:tabs>
        <w:rPr>
          <w:lang w:val="en-GB"/>
        </w:rPr>
      </w:pPr>
      <w:r w:rsidRPr="00361509">
        <w:rPr>
          <w:lang w:val="en-GB"/>
        </w:rPr>
        <w:tab/>
      </w:r>
      <w:r w:rsidRPr="00361509">
        <w:rPr>
          <w:rStyle w:val="FootnoteReference"/>
          <w:lang w:val="en-GB"/>
        </w:rPr>
        <w:footnoteRef/>
      </w:r>
      <w:r w:rsidRPr="00361509">
        <w:rPr>
          <w:lang w:val="en-GB"/>
        </w:rPr>
        <w:tab/>
      </w:r>
      <w:r w:rsidRPr="00361509">
        <w:rPr>
          <w:rFonts w:eastAsia="Arial Unicode MS" w:hAnsi="Arial Unicode MS" w:cs="Arial Unicode MS"/>
          <w:lang w:val="en-GB"/>
        </w:rPr>
        <w:t>See</w:t>
      </w:r>
      <w:r>
        <w:rPr>
          <w:rFonts w:eastAsia="Arial Unicode MS" w:hAnsi="Arial Unicode MS" w:cs="Arial Unicode MS"/>
          <w:lang w:val="en-GB"/>
        </w:rPr>
        <w:t>,</w:t>
      </w:r>
      <w:r w:rsidRPr="00361509">
        <w:rPr>
          <w:rFonts w:eastAsia="Arial Unicode MS" w:hAnsi="Arial Unicode MS" w:cs="Arial Unicode MS"/>
          <w:lang w:val="en-GB"/>
        </w:rPr>
        <w:t xml:space="preserve"> e.g.,</w:t>
      </w:r>
      <w:r w:rsidRPr="00361509">
        <w:rPr>
          <w:i/>
          <w:iCs/>
          <w:lang w:val="en-GB"/>
        </w:rPr>
        <w:t xml:space="preserve"> </w:t>
      </w:r>
      <w:proofErr w:type="spellStart"/>
      <w:r w:rsidRPr="00361509">
        <w:rPr>
          <w:rFonts w:eastAsia="Arial Unicode MS" w:hAnsi="Arial Unicode MS" w:cs="Arial Unicode MS"/>
          <w:i/>
          <w:iCs/>
          <w:lang w:val="en-GB"/>
        </w:rPr>
        <w:t>Svetik</w:t>
      </w:r>
      <w:proofErr w:type="spellEnd"/>
      <w:r w:rsidRPr="00361509">
        <w:rPr>
          <w:rFonts w:eastAsia="Arial Unicode MS" w:hAnsi="Arial Unicode MS" w:cs="Arial Unicode MS"/>
          <w:i/>
          <w:iCs/>
          <w:lang w:val="en-GB"/>
        </w:rPr>
        <w:t xml:space="preserve"> </w:t>
      </w:r>
      <w:r w:rsidRPr="00361509">
        <w:rPr>
          <w:rFonts w:eastAsia="Arial Unicode MS" w:hAnsi="Arial Unicode MS" w:cs="Arial Unicode MS"/>
          <w:i/>
          <w:lang w:val="en-GB"/>
        </w:rPr>
        <w:t>v.</w:t>
      </w:r>
      <w:r w:rsidRPr="00361509">
        <w:rPr>
          <w:rFonts w:eastAsia="Arial Unicode MS" w:hAnsi="Arial Unicode MS" w:cs="Arial Unicode MS"/>
          <w:i/>
          <w:iCs/>
          <w:lang w:val="en-GB"/>
        </w:rPr>
        <w:t xml:space="preserve"> Belarus</w:t>
      </w:r>
      <w:r w:rsidRPr="00361509">
        <w:rPr>
          <w:rFonts w:eastAsia="Arial Unicode MS" w:hAnsi="Arial Unicode MS" w:cs="Arial Unicode MS"/>
          <w:lang w:val="en-GB"/>
        </w:rPr>
        <w:t xml:space="preserve">, para. 7.3; and </w:t>
      </w:r>
      <w:proofErr w:type="spellStart"/>
      <w:r w:rsidRPr="00361509">
        <w:rPr>
          <w:rFonts w:eastAsia="Arial Unicode MS" w:hAnsi="Arial Unicode MS" w:cs="Arial Unicode MS"/>
          <w:i/>
          <w:iCs/>
          <w:lang w:val="en-GB"/>
        </w:rPr>
        <w:t>Shchetko</w:t>
      </w:r>
      <w:proofErr w:type="spellEnd"/>
      <w:r w:rsidRPr="00361509">
        <w:rPr>
          <w:rFonts w:eastAsia="Arial Unicode MS" w:hAnsi="Arial Unicode MS" w:cs="Arial Unicode MS"/>
          <w:i/>
          <w:iCs/>
          <w:lang w:val="en-GB"/>
        </w:rPr>
        <w:t xml:space="preserve"> </w:t>
      </w:r>
      <w:r>
        <w:rPr>
          <w:rFonts w:eastAsia="Arial Unicode MS" w:hAnsi="Arial Unicode MS" w:cs="Arial Unicode MS"/>
          <w:i/>
          <w:iCs/>
          <w:lang w:val="en-GB"/>
        </w:rPr>
        <w:t xml:space="preserve">and </w:t>
      </w:r>
      <w:proofErr w:type="spellStart"/>
      <w:r>
        <w:rPr>
          <w:rFonts w:eastAsia="Arial Unicode MS" w:hAnsi="Arial Unicode MS" w:cs="Arial Unicode MS"/>
          <w:i/>
          <w:iCs/>
          <w:lang w:val="en-GB"/>
        </w:rPr>
        <w:t>Shchetko</w:t>
      </w:r>
      <w:proofErr w:type="spellEnd"/>
      <w:r>
        <w:rPr>
          <w:rFonts w:eastAsia="Arial Unicode MS" w:hAnsi="Arial Unicode MS" w:cs="Arial Unicode MS"/>
          <w:i/>
          <w:iCs/>
          <w:lang w:val="en-GB"/>
        </w:rPr>
        <w:t xml:space="preserve"> </w:t>
      </w:r>
      <w:r w:rsidRPr="00085E71">
        <w:rPr>
          <w:rFonts w:eastAsia="Arial Unicode MS" w:hAnsi="Arial Unicode MS" w:cs="Arial Unicode MS"/>
          <w:i/>
          <w:iCs/>
          <w:lang w:val="en-GB"/>
        </w:rPr>
        <w:t>v.</w:t>
      </w:r>
      <w:r>
        <w:rPr>
          <w:rFonts w:eastAsia="Arial Unicode MS" w:hAnsi="Arial Unicode MS" w:cs="Arial Unicode MS"/>
          <w:i/>
          <w:iCs/>
          <w:lang w:val="en-GB"/>
        </w:rPr>
        <w:t xml:space="preserve"> </w:t>
      </w:r>
      <w:r w:rsidRPr="00361509">
        <w:rPr>
          <w:rFonts w:eastAsia="Arial Unicode MS" w:hAnsi="Arial Unicode MS" w:cs="Arial Unicode MS"/>
          <w:i/>
          <w:iCs/>
          <w:lang w:val="en-GB"/>
        </w:rPr>
        <w:t>Belarus</w:t>
      </w:r>
      <w:r>
        <w:rPr>
          <w:rFonts w:eastAsia="Arial Unicode MS" w:hAnsi="Arial Unicode MS" w:cs="Arial Unicode MS"/>
          <w:lang w:val="en-GB"/>
        </w:rPr>
        <w:t xml:space="preserve"> </w:t>
      </w:r>
      <w:r w:rsidRPr="00361509">
        <w:rPr>
          <w:rFonts w:eastAsia="Arial Unicode MS" w:hAnsi="Arial Unicode MS" w:cs="Arial Unicode MS"/>
          <w:lang w:val="en-GB"/>
        </w:rPr>
        <w:t>(CCPR/C/87/D/1009/2001), para.</w:t>
      </w:r>
      <w:r w:rsidRPr="00361509">
        <w:rPr>
          <w:rFonts w:eastAsia="Arial Unicode MS" w:hAnsi="Arial Unicode MS" w:cs="Arial Unicode MS"/>
          <w:lang w:val="en-GB"/>
        </w:rPr>
        <w:t> </w:t>
      </w:r>
      <w:r w:rsidRPr="00361509">
        <w:rPr>
          <w:rFonts w:eastAsia="Arial Unicode MS" w:hAnsi="Arial Unicode MS" w:cs="Arial Unicode MS"/>
          <w:lang w:val="en-GB"/>
        </w:rPr>
        <w:t>7.5.</w:t>
      </w:r>
      <w:r w:rsidRPr="00361509">
        <w:rPr>
          <w:lang w:val="en-GB"/>
        </w:rPr>
        <w:t xml:space="preserve"> </w:t>
      </w:r>
    </w:p>
  </w:footnote>
  <w:footnote w:id="21">
    <w:p w14:paraId="2812605C" w14:textId="366F656B" w:rsidR="008D2F38" w:rsidRPr="008D2F38" w:rsidRDefault="008D2F38">
      <w:pPr>
        <w:pStyle w:val="FootnoteText"/>
        <w:rPr>
          <w:lang w:val="en-GB"/>
        </w:rPr>
      </w:pPr>
      <w:r>
        <w:tab/>
      </w:r>
      <w:r>
        <w:rPr>
          <w:rStyle w:val="FootnoteReference"/>
        </w:rPr>
        <w:footnoteRef/>
      </w:r>
      <w:r>
        <w:t xml:space="preserve"> </w:t>
      </w:r>
      <w:r w:rsidRPr="008D2F38">
        <w:tab/>
        <w:t>General comment No. 37 (2020) on the right of peaceful assembly, para. 6</w:t>
      </w:r>
      <w:r w:rsidR="00E61763">
        <w:t>.</w:t>
      </w:r>
    </w:p>
  </w:footnote>
  <w:footnote w:id="22">
    <w:p w14:paraId="64DA2A61" w14:textId="77777777" w:rsidR="008D2F38" w:rsidRPr="009C236D" w:rsidRDefault="008D2F38" w:rsidP="008D2F38">
      <w:pPr>
        <w:pStyle w:val="FootnoteText"/>
        <w:rPr>
          <w:lang w:val="en-GB"/>
        </w:rPr>
      </w:pPr>
      <w:r w:rsidRPr="000902D2">
        <w:rPr>
          <w:lang w:val="en-GB"/>
        </w:rPr>
        <w:tab/>
      </w:r>
      <w:r>
        <w:rPr>
          <w:rStyle w:val="FootnoteReference"/>
        </w:rPr>
        <w:footnoteRef/>
      </w:r>
      <w:r w:rsidRPr="009C236D">
        <w:rPr>
          <w:lang w:val="en-GB"/>
        </w:rPr>
        <w:tab/>
      </w:r>
      <w:r w:rsidRPr="009C236D">
        <w:rPr>
          <w:i/>
          <w:lang w:val="en-GB"/>
        </w:rPr>
        <w:t>Ibid</w:t>
      </w:r>
      <w:r w:rsidRPr="009C236D">
        <w:rPr>
          <w:lang w:val="en-GB"/>
        </w:rPr>
        <w:t>., para 36.</w:t>
      </w:r>
    </w:p>
  </w:footnote>
  <w:footnote w:id="23">
    <w:p w14:paraId="2098A9E0" w14:textId="4AFEA8FF" w:rsidR="008D2F38" w:rsidRPr="009C236D" w:rsidRDefault="008D2F38" w:rsidP="008D2F38">
      <w:pPr>
        <w:pStyle w:val="FootnoteText"/>
        <w:rPr>
          <w:lang w:val="en-GB"/>
        </w:rPr>
      </w:pPr>
      <w:r w:rsidRPr="009C236D">
        <w:rPr>
          <w:lang w:val="en-GB"/>
        </w:rPr>
        <w:tab/>
      </w:r>
      <w:r w:rsidRPr="00654CF8">
        <w:rPr>
          <w:rStyle w:val="FootnoteReference"/>
        </w:rPr>
        <w:footnoteRef/>
      </w:r>
      <w:r w:rsidRPr="009C236D">
        <w:rPr>
          <w:lang w:val="en-GB"/>
        </w:rPr>
        <w:tab/>
        <w:t>See</w:t>
      </w:r>
      <w:r w:rsidR="00C35D6F">
        <w:rPr>
          <w:lang w:val="en-GB"/>
        </w:rPr>
        <w:t xml:space="preserve">, e.g., </w:t>
      </w:r>
      <w:proofErr w:type="spellStart"/>
      <w:r w:rsidRPr="009C236D">
        <w:rPr>
          <w:i/>
          <w:iCs/>
          <w:lang w:val="en-GB" w:eastAsia="en-GB"/>
        </w:rPr>
        <w:t>Poplavny</w:t>
      </w:r>
      <w:proofErr w:type="spellEnd"/>
      <w:r w:rsidRPr="009C236D">
        <w:rPr>
          <w:i/>
          <w:iCs/>
          <w:lang w:val="en-GB" w:eastAsia="en-GB"/>
        </w:rPr>
        <w:t xml:space="preserve"> v</w:t>
      </w:r>
      <w:r w:rsidRPr="009C236D">
        <w:rPr>
          <w:lang w:val="en-GB" w:eastAsia="en-GB"/>
        </w:rPr>
        <w:t xml:space="preserve">. </w:t>
      </w:r>
      <w:r w:rsidRPr="009C236D">
        <w:rPr>
          <w:i/>
          <w:iCs/>
          <w:lang w:val="en-GB" w:eastAsia="en-GB"/>
        </w:rPr>
        <w:t>Belarus</w:t>
      </w:r>
      <w:r w:rsidRPr="009C236D">
        <w:rPr>
          <w:lang w:val="en-GB" w:eastAsia="en-GB"/>
        </w:rPr>
        <w:t xml:space="preserve"> (</w:t>
      </w:r>
      <w:r w:rsidRPr="009C236D">
        <w:rPr>
          <w:lang w:val="en-GB"/>
        </w:rPr>
        <w:t>CCPR</w:t>
      </w:r>
      <w:r w:rsidRPr="009C236D">
        <w:rPr>
          <w:lang w:val="en-GB" w:eastAsia="en-GB"/>
        </w:rPr>
        <w:t>/C/115/D/2019/2010), para. 8.4.</w:t>
      </w:r>
      <w:r w:rsidRPr="009C236D">
        <w:rPr>
          <w:lang w:val="en-GB"/>
        </w:rPr>
        <w:t xml:space="preserve"> </w:t>
      </w:r>
    </w:p>
  </w:footnote>
  <w:footnote w:id="24">
    <w:p w14:paraId="1BB9B9AA" w14:textId="3CD746D0" w:rsidR="008D2F38" w:rsidRPr="00E61763" w:rsidRDefault="008D2F38" w:rsidP="008D2F38">
      <w:pPr>
        <w:pStyle w:val="FootnoteText"/>
        <w:rPr>
          <w:lang w:val="es-ES"/>
        </w:rPr>
      </w:pPr>
      <w:r w:rsidRPr="009C236D">
        <w:rPr>
          <w:lang w:val="en-GB"/>
        </w:rPr>
        <w:tab/>
      </w:r>
      <w:r>
        <w:rPr>
          <w:rStyle w:val="FootnoteReference"/>
        </w:rPr>
        <w:footnoteRef/>
      </w:r>
      <w:r w:rsidRPr="009C236D">
        <w:rPr>
          <w:lang w:val="en-GB"/>
        </w:rPr>
        <w:tab/>
      </w:r>
      <w:r w:rsidR="00C35D6F">
        <w:rPr>
          <w:lang w:val="en-GB"/>
        </w:rPr>
        <w:t xml:space="preserve">See, e.g., </w:t>
      </w:r>
      <w:proofErr w:type="spellStart"/>
      <w:r w:rsidRPr="009C236D">
        <w:rPr>
          <w:i/>
          <w:lang w:val="en-GB"/>
        </w:rPr>
        <w:t>Insenova</w:t>
      </w:r>
      <w:proofErr w:type="spellEnd"/>
      <w:r w:rsidRPr="009C236D">
        <w:rPr>
          <w:i/>
          <w:lang w:val="en-GB"/>
        </w:rPr>
        <w:t xml:space="preserve"> v. Kazakhstan </w:t>
      </w:r>
      <w:r w:rsidRPr="009C236D">
        <w:rPr>
          <w:lang w:val="en-GB"/>
        </w:rPr>
        <w:t xml:space="preserve">(CCPR/C/126/D/2542/2015 and 2543/2015), para. </w:t>
      </w:r>
      <w:r w:rsidRPr="00E61763">
        <w:rPr>
          <w:lang w:val="es-ES"/>
        </w:rPr>
        <w:t xml:space="preserve">9.7. </w:t>
      </w:r>
    </w:p>
  </w:footnote>
  <w:footnote w:id="25">
    <w:p w14:paraId="3F146694" w14:textId="77777777" w:rsidR="008D2F38" w:rsidRPr="00E61763" w:rsidRDefault="008D2F38" w:rsidP="008D2F38">
      <w:pPr>
        <w:pStyle w:val="FootnoteText"/>
        <w:rPr>
          <w:lang w:val="es-ES"/>
        </w:rPr>
      </w:pPr>
      <w:r w:rsidRPr="00E61763">
        <w:rPr>
          <w:lang w:val="es-ES"/>
        </w:rPr>
        <w:tab/>
      </w:r>
      <w:r>
        <w:rPr>
          <w:rStyle w:val="FootnoteReference"/>
        </w:rPr>
        <w:footnoteRef/>
      </w:r>
      <w:r w:rsidRPr="00E61763">
        <w:rPr>
          <w:lang w:val="es-ES"/>
        </w:rPr>
        <w:tab/>
        <w:t xml:space="preserve">General </w:t>
      </w:r>
      <w:proofErr w:type="spellStart"/>
      <w:r w:rsidRPr="00E61763">
        <w:rPr>
          <w:lang w:val="es-ES"/>
        </w:rPr>
        <w:t>comment</w:t>
      </w:r>
      <w:proofErr w:type="spellEnd"/>
      <w:r w:rsidRPr="00E61763">
        <w:rPr>
          <w:lang w:val="es-ES"/>
        </w:rPr>
        <w:t xml:space="preserve"> No. 37, para. 84. </w:t>
      </w:r>
    </w:p>
  </w:footnote>
  <w:footnote w:id="26">
    <w:p w14:paraId="5C13F7A4" w14:textId="77777777" w:rsidR="008D2F38" w:rsidRPr="00E61763" w:rsidRDefault="008D2F38" w:rsidP="008D2F38">
      <w:pPr>
        <w:pStyle w:val="FootnoteText"/>
        <w:rPr>
          <w:lang w:val="es-ES"/>
        </w:rPr>
      </w:pPr>
      <w:r w:rsidRPr="00E61763">
        <w:rPr>
          <w:lang w:val="es-ES"/>
        </w:rPr>
        <w:tab/>
      </w:r>
      <w:r>
        <w:rPr>
          <w:rStyle w:val="FootnoteReference"/>
        </w:rPr>
        <w:footnoteRef/>
      </w:r>
      <w:r w:rsidRPr="00E61763">
        <w:rPr>
          <w:lang w:val="es-ES"/>
        </w:rPr>
        <w:tab/>
      </w:r>
      <w:proofErr w:type="spellStart"/>
      <w:r w:rsidRPr="00E61763">
        <w:rPr>
          <w:i/>
          <w:lang w:val="es-ES"/>
        </w:rPr>
        <w:t>Ibid</w:t>
      </w:r>
      <w:proofErr w:type="spellEnd"/>
      <w:r w:rsidRPr="00E61763">
        <w:rPr>
          <w:lang w:val="es-ES"/>
        </w:rPr>
        <w:t xml:space="preserve">., paras. 44-46. </w:t>
      </w:r>
    </w:p>
  </w:footnote>
  <w:footnote w:id="27">
    <w:p w14:paraId="05103289" w14:textId="77777777" w:rsidR="008D2F38" w:rsidRPr="00E61763" w:rsidRDefault="008D2F38" w:rsidP="008D2F38">
      <w:pPr>
        <w:pStyle w:val="FootnoteText"/>
        <w:rPr>
          <w:lang w:val="es-ES"/>
        </w:rPr>
      </w:pPr>
      <w:r w:rsidRPr="00E61763">
        <w:rPr>
          <w:lang w:val="es-ES"/>
        </w:rPr>
        <w:tab/>
      </w:r>
      <w:r>
        <w:rPr>
          <w:rStyle w:val="FootnoteReference"/>
        </w:rPr>
        <w:footnoteRef/>
      </w:r>
      <w:r w:rsidRPr="00E61763">
        <w:rPr>
          <w:lang w:val="es-ES"/>
        </w:rPr>
        <w:tab/>
      </w:r>
      <w:proofErr w:type="spellStart"/>
      <w:r w:rsidRPr="00E61763">
        <w:rPr>
          <w:i/>
          <w:lang w:val="es-ES"/>
        </w:rPr>
        <w:t>Ibid</w:t>
      </w:r>
      <w:proofErr w:type="spellEnd"/>
      <w:r w:rsidRPr="00E61763">
        <w:rPr>
          <w:lang w:val="es-ES"/>
        </w:rPr>
        <w:t xml:space="preserve">, para. 46. </w:t>
      </w:r>
    </w:p>
  </w:footnote>
  <w:footnote w:id="28">
    <w:p w14:paraId="596F7115" w14:textId="77777777" w:rsidR="008D2F38" w:rsidRDefault="008D2F38" w:rsidP="008D2F38">
      <w:pPr>
        <w:pStyle w:val="FootnoteText"/>
      </w:pPr>
      <w:r w:rsidRPr="00E61763">
        <w:rPr>
          <w:lang w:val="es-ES"/>
        </w:rPr>
        <w:tab/>
      </w:r>
      <w:r>
        <w:rPr>
          <w:rStyle w:val="FootnoteReference"/>
        </w:rPr>
        <w:footnoteRef/>
      </w:r>
      <w:r w:rsidRPr="00E61763">
        <w:rPr>
          <w:lang w:val="es-ES"/>
        </w:rPr>
        <w:tab/>
      </w:r>
      <w:proofErr w:type="spellStart"/>
      <w:r w:rsidRPr="00E61763">
        <w:rPr>
          <w:i/>
          <w:lang w:val="es-ES"/>
        </w:rPr>
        <w:t>Ibid</w:t>
      </w:r>
      <w:proofErr w:type="spellEnd"/>
      <w:r w:rsidRPr="00E61763">
        <w:rPr>
          <w:lang w:val="es-ES"/>
        </w:rPr>
        <w:t xml:space="preserve">., para. </w:t>
      </w:r>
      <w:r>
        <w:t xml:space="preserve">45.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93AB1" w14:textId="5E473E27" w:rsidR="00A216D0" w:rsidRDefault="00A216D0" w:rsidP="002E0468">
    <w:pPr>
      <w:pStyle w:val="Header"/>
    </w:pPr>
    <w:r>
      <w:t>CCPR</w:t>
    </w:r>
    <w:r w:rsidRPr="00607635">
      <w:t>/</w:t>
    </w:r>
    <w:r w:rsidRPr="00415BA0">
      <w:t>C</w:t>
    </w:r>
    <w:r w:rsidR="0096491A">
      <w:t>/</w:t>
    </w:r>
    <w:r w:rsidRPr="00415BA0">
      <w:t>1</w:t>
    </w:r>
    <w:r>
      <w:t>33</w:t>
    </w:r>
    <w:r w:rsidRPr="00415BA0">
      <w:t>/D/2</w:t>
    </w:r>
    <w:r>
      <w:t>904</w:t>
    </w:r>
    <w:r w:rsidRPr="00415BA0">
      <w:t>/201</w:t>
    </w:r>
    <w:r>
      <w:t>6</w:t>
    </w:r>
  </w:p>
  <w:p w14:paraId="70DC5721" w14:textId="6E284FC2" w:rsidR="00A216D0" w:rsidRPr="00781C83" w:rsidRDefault="00A216D0" w:rsidP="002E0468">
    <w:pPr>
      <w:pStyle w:val="Header"/>
    </w:pPr>
    <w:r w:rsidRPr="00E73B8F">
      <w:t>CCPR/C</w:t>
    </w:r>
    <w:r w:rsidR="0096491A">
      <w:t>/133</w:t>
    </w:r>
    <w:r w:rsidRPr="00E73B8F">
      <w:t>/D/2</w:t>
    </w:r>
    <w:r>
      <w:t>907</w:t>
    </w:r>
    <w:r w:rsidRPr="00E73B8F">
      <w:t>/201</w:t>
    </w:r>
    <w:r>
      <w:t>6</w:t>
    </w:r>
    <w:r w:rsidR="00057676">
      <w:t xml:space="preserve"> Advance unedited version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BC936" w14:textId="1B88AD68" w:rsidR="00A216D0" w:rsidRDefault="00A216D0" w:rsidP="002E0468">
    <w:pPr>
      <w:pStyle w:val="Header"/>
      <w:jc w:val="right"/>
    </w:pPr>
    <w:r>
      <w:t>CCPR</w:t>
    </w:r>
    <w:r w:rsidRPr="00607635">
      <w:t>/</w:t>
    </w:r>
    <w:r>
      <w:t>C</w:t>
    </w:r>
    <w:r w:rsidR="0096491A">
      <w:t>/</w:t>
    </w:r>
    <w:r w:rsidRPr="00415BA0">
      <w:t>1</w:t>
    </w:r>
    <w:r>
      <w:t>33</w:t>
    </w:r>
    <w:r w:rsidRPr="00415BA0">
      <w:t>/D/</w:t>
    </w:r>
    <w:r>
      <w:t>2904</w:t>
    </w:r>
    <w:r w:rsidRPr="00415BA0">
      <w:t>/201</w:t>
    </w:r>
    <w:r>
      <w:t>6</w:t>
    </w:r>
  </w:p>
  <w:p w14:paraId="7D04C825" w14:textId="65711FDB" w:rsidR="00A216D0" w:rsidRPr="00781C83" w:rsidRDefault="00057676" w:rsidP="002E0468">
    <w:pPr>
      <w:pStyle w:val="Header"/>
      <w:jc w:val="right"/>
    </w:pPr>
    <w:r>
      <w:t xml:space="preserve">Advance unedited version </w:t>
    </w:r>
    <w:r w:rsidR="00A216D0">
      <w:t>CCPR</w:t>
    </w:r>
    <w:r w:rsidR="00A216D0" w:rsidRPr="00607635">
      <w:t>/</w:t>
    </w:r>
    <w:r w:rsidR="00A216D0">
      <w:t>C</w:t>
    </w:r>
    <w:r w:rsidR="0096491A">
      <w:t>/</w:t>
    </w:r>
    <w:r w:rsidR="00A216D0" w:rsidRPr="00415BA0">
      <w:t>1</w:t>
    </w:r>
    <w:r w:rsidR="0096491A">
      <w:t>33</w:t>
    </w:r>
    <w:r w:rsidR="00A216D0" w:rsidRPr="00415BA0">
      <w:t>/D/2</w:t>
    </w:r>
    <w:r w:rsidR="00A216D0">
      <w:t>907</w:t>
    </w:r>
    <w:r w:rsidR="00A216D0" w:rsidRPr="00415BA0">
      <w:t>/201</w:t>
    </w:r>
    <w:r w:rsidR="00A216D0">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2"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3"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5"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6"/>
  </w:num>
  <w:num w:numId="3">
    <w:abstractNumId w:val="4"/>
  </w:num>
  <w:num w:numId="4">
    <w:abstractNumId w:val="1"/>
  </w:num>
  <w:num w:numId="5">
    <w:abstractNumId w:val="5"/>
  </w:num>
  <w:num w:numId="6">
    <w:abstractNumId w:val="7"/>
  </w:num>
  <w:num w:numId="7">
    <w:abstractNumId w:val="2"/>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s-ES_tradnl" w:vendorID="64" w:dllVersion="6" w:nlCheck="1" w:checkStyle="0"/>
  <w:activeWritingStyle w:appName="MSWord" w:lang="fr-CH" w:vendorID="64" w:dllVersion="6" w:nlCheck="1" w:checkStyle="0"/>
  <w:activeWritingStyle w:appName="MSWord" w:lang="en-US" w:vendorID="64" w:dllVersion="4096" w:nlCheck="1" w:checkStyle="0"/>
  <w:activeWritingStyle w:appName="MSWord" w:lang="en-US" w:vendorID="64" w:dllVersion="0" w:nlCheck="1" w:checkStyle="0"/>
  <w:activeWritingStyle w:appName="MSWord" w:lang="pt-PT" w:vendorID="64" w:dllVersion="0" w:nlCheck="1" w:checkStyle="0"/>
  <w:activeWritingStyle w:appName="MSWord" w:lang="es-E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A5"/>
    <w:rsid w:val="00000F94"/>
    <w:rsid w:val="00001934"/>
    <w:rsid w:val="00002773"/>
    <w:rsid w:val="000034C3"/>
    <w:rsid w:val="00003DAA"/>
    <w:rsid w:val="000044E2"/>
    <w:rsid w:val="00004DF1"/>
    <w:rsid w:val="00004E8B"/>
    <w:rsid w:val="000050E2"/>
    <w:rsid w:val="00005BD8"/>
    <w:rsid w:val="00006D75"/>
    <w:rsid w:val="00007571"/>
    <w:rsid w:val="0000757A"/>
    <w:rsid w:val="00010484"/>
    <w:rsid w:val="00012597"/>
    <w:rsid w:val="000128E3"/>
    <w:rsid w:val="00012A71"/>
    <w:rsid w:val="00012DD5"/>
    <w:rsid w:val="00012EE8"/>
    <w:rsid w:val="000135C3"/>
    <w:rsid w:val="00013AB1"/>
    <w:rsid w:val="00013B77"/>
    <w:rsid w:val="0001471C"/>
    <w:rsid w:val="000178D8"/>
    <w:rsid w:val="000203CD"/>
    <w:rsid w:val="000205BB"/>
    <w:rsid w:val="00020A4A"/>
    <w:rsid w:val="00020F51"/>
    <w:rsid w:val="000215FE"/>
    <w:rsid w:val="000222FF"/>
    <w:rsid w:val="000227DC"/>
    <w:rsid w:val="000229EF"/>
    <w:rsid w:val="00022CC7"/>
    <w:rsid w:val="00024133"/>
    <w:rsid w:val="00024521"/>
    <w:rsid w:val="00024979"/>
    <w:rsid w:val="00024ED5"/>
    <w:rsid w:val="00025269"/>
    <w:rsid w:val="00025370"/>
    <w:rsid w:val="00025418"/>
    <w:rsid w:val="00025856"/>
    <w:rsid w:val="00025A3C"/>
    <w:rsid w:val="00025CB2"/>
    <w:rsid w:val="00025D41"/>
    <w:rsid w:val="00026B06"/>
    <w:rsid w:val="0002703C"/>
    <w:rsid w:val="000272B3"/>
    <w:rsid w:val="00027A45"/>
    <w:rsid w:val="00031D46"/>
    <w:rsid w:val="00031D9B"/>
    <w:rsid w:val="00032A3A"/>
    <w:rsid w:val="0003387B"/>
    <w:rsid w:val="00033F3D"/>
    <w:rsid w:val="00034637"/>
    <w:rsid w:val="00034DE4"/>
    <w:rsid w:val="00034E44"/>
    <w:rsid w:val="00035E7F"/>
    <w:rsid w:val="00035F0E"/>
    <w:rsid w:val="00036D15"/>
    <w:rsid w:val="00037807"/>
    <w:rsid w:val="00037AD0"/>
    <w:rsid w:val="000404F2"/>
    <w:rsid w:val="0004092D"/>
    <w:rsid w:val="00040CAE"/>
    <w:rsid w:val="00041994"/>
    <w:rsid w:val="000419D2"/>
    <w:rsid w:val="00044035"/>
    <w:rsid w:val="000444F2"/>
    <w:rsid w:val="000448FF"/>
    <w:rsid w:val="00044DAB"/>
    <w:rsid w:val="00044EE9"/>
    <w:rsid w:val="00050F6B"/>
    <w:rsid w:val="00052674"/>
    <w:rsid w:val="00052C43"/>
    <w:rsid w:val="00053842"/>
    <w:rsid w:val="00055096"/>
    <w:rsid w:val="000560C8"/>
    <w:rsid w:val="00057676"/>
    <w:rsid w:val="00057719"/>
    <w:rsid w:val="0005782B"/>
    <w:rsid w:val="00057E97"/>
    <w:rsid w:val="00057F1A"/>
    <w:rsid w:val="00060074"/>
    <w:rsid w:val="00060C3A"/>
    <w:rsid w:val="000634F1"/>
    <w:rsid w:val="00063B22"/>
    <w:rsid w:val="00063CF2"/>
    <w:rsid w:val="00064B7C"/>
    <w:rsid w:val="00065ED2"/>
    <w:rsid w:val="00066476"/>
    <w:rsid w:val="00067250"/>
    <w:rsid w:val="00071E1A"/>
    <w:rsid w:val="00071FC0"/>
    <w:rsid w:val="0007245F"/>
    <w:rsid w:val="00072AAF"/>
    <w:rsid w:val="00072C8C"/>
    <w:rsid w:val="000733B5"/>
    <w:rsid w:val="00074813"/>
    <w:rsid w:val="0007628F"/>
    <w:rsid w:val="00076E5E"/>
    <w:rsid w:val="000772FF"/>
    <w:rsid w:val="00077B7B"/>
    <w:rsid w:val="00077BC4"/>
    <w:rsid w:val="00077CD3"/>
    <w:rsid w:val="00080957"/>
    <w:rsid w:val="00081815"/>
    <w:rsid w:val="00082613"/>
    <w:rsid w:val="0008278D"/>
    <w:rsid w:val="0008317C"/>
    <w:rsid w:val="00083322"/>
    <w:rsid w:val="00085530"/>
    <w:rsid w:val="000872D5"/>
    <w:rsid w:val="000908FA"/>
    <w:rsid w:val="000919AD"/>
    <w:rsid w:val="0009221F"/>
    <w:rsid w:val="000931C0"/>
    <w:rsid w:val="000936D7"/>
    <w:rsid w:val="00093C0B"/>
    <w:rsid w:val="0009487F"/>
    <w:rsid w:val="00094C48"/>
    <w:rsid w:val="000950F7"/>
    <w:rsid w:val="00096646"/>
    <w:rsid w:val="00096AC4"/>
    <w:rsid w:val="000970C1"/>
    <w:rsid w:val="00097416"/>
    <w:rsid w:val="000A0A3D"/>
    <w:rsid w:val="000A2283"/>
    <w:rsid w:val="000A22AD"/>
    <w:rsid w:val="000A290F"/>
    <w:rsid w:val="000A2C6A"/>
    <w:rsid w:val="000A34F4"/>
    <w:rsid w:val="000A442E"/>
    <w:rsid w:val="000A50A8"/>
    <w:rsid w:val="000A6B47"/>
    <w:rsid w:val="000A6D36"/>
    <w:rsid w:val="000A7D92"/>
    <w:rsid w:val="000B0F23"/>
    <w:rsid w:val="000B175B"/>
    <w:rsid w:val="000B1788"/>
    <w:rsid w:val="000B1A95"/>
    <w:rsid w:val="000B1F33"/>
    <w:rsid w:val="000B2913"/>
    <w:rsid w:val="000B31F7"/>
    <w:rsid w:val="000B3A0F"/>
    <w:rsid w:val="000B435F"/>
    <w:rsid w:val="000B464A"/>
    <w:rsid w:val="000B4A49"/>
    <w:rsid w:val="000B4EF7"/>
    <w:rsid w:val="000B6CA3"/>
    <w:rsid w:val="000B77CE"/>
    <w:rsid w:val="000B79C1"/>
    <w:rsid w:val="000C066A"/>
    <w:rsid w:val="000C0CFF"/>
    <w:rsid w:val="000C1B50"/>
    <w:rsid w:val="000C2570"/>
    <w:rsid w:val="000C2C03"/>
    <w:rsid w:val="000C2D2E"/>
    <w:rsid w:val="000C2E06"/>
    <w:rsid w:val="000C34A6"/>
    <w:rsid w:val="000C6F58"/>
    <w:rsid w:val="000C703B"/>
    <w:rsid w:val="000C71A2"/>
    <w:rsid w:val="000C769F"/>
    <w:rsid w:val="000C7912"/>
    <w:rsid w:val="000C7C9A"/>
    <w:rsid w:val="000D04C5"/>
    <w:rsid w:val="000D0A22"/>
    <w:rsid w:val="000D29A5"/>
    <w:rsid w:val="000D4E61"/>
    <w:rsid w:val="000D6E86"/>
    <w:rsid w:val="000D7119"/>
    <w:rsid w:val="000D71AC"/>
    <w:rsid w:val="000E0415"/>
    <w:rsid w:val="000E0A4F"/>
    <w:rsid w:val="000E0C6B"/>
    <w:rsid w:val="000E0E8E"/>
    <w:rsid w:val="000E10B6"/>
    <w:rsid w:val="000E133E"/>
    <w:rsid w:val="000E14D3"/>
    <w:rsid w:val="000E2BE1"/>
    <w:rsid w:val="000E42FA"/>
    <w:rsid w:val="000E4735"/>
    <w:rsid w:val="000E536B"/>
    <w:rsid w:val="000E567F"/>
    <w:rsid w:val="000E645D"/>
    <w:rsid w:val="000E65C3"/>
    <w:rsid w:val="000E6AD2"/>
    <w:rsid w:val="000E6CA7"/>
    <w:rsid w:val="000E6E85"/>
    <w:rsid w:val="000E735F"/>
    <w:rsid w:val="000E7797"/>
    <w:rsid w:val="000E7B78"/>
    <w:rsid w:val="000F03D7"/>
    <w:rsid w:val="000F0C6A"/>
    <w:rsid w:val="000F0DAA"/>
    <w:rsid w:val="000F14F5"/>
    <w:rsid w:val="000F1BE3"/>
    <w:rsid w:val="000F277A"/>
    <w:rsid w:val="000F2B93"/>
    <w:rsid w:val="000F4D7F"/>
    <w:rsid w:val="000F4E65"/>
    <w:rsid w:val="000F570E"/>
    <w:rsid w:val="000F648B"/>
    <w:rsid w:val="000F64A9"/>
    <w:rsid w:val="000F691C"/>
    <w:rsid w:val="000F6BEA"/>
    <w:rsid w:val="000F76E4"/>
    <w:rsid w:val="000F76FA"/>
    <w:rsid w:val="000F7E69"/>
    <w:rsid w:val="0010135A"/>
    <w:rsid w:val="00101383"/>
    <w:rsid w:val="001018A9"/>
    <w:rsid w:val="00101921"/>
    <w:rsid w:val="001024B8"/>
    <w:rsid w:val="00102AC0"/>
    <w:rsid w:val="001037D9"/>
    <w:rsid w:val="00103A7A"/>
    <w:rsid w:val="00104873"/>
    <w:rsid w:val="00104EB3"/>
    <w:rsid w:val="00106602"/>
    <w:rsid w:val="0010686C"/>
    <w:rsid w:val="0010694D"/>
    <w:rsid w:val="001103AA"/>
    <w:rsid w:val="00110C53"/>
    <w:rsid w:val="0011184E"/>
    <w:rsid w:val="00111AAA"/>
    <w:rsid w:val="00112122"/>
    <w:rsid w:val="00114AD2"/>
    <w:rsid w:val="00115DDE"/>
    <w:rsid w:val="00117EA3"/>
    <w:rsid w:val="0012143A"/>
    <w:rsid w:val="00121F92"/>
    <w:rsid w:val="0012232C"/>
    <w:rsid w:val="00123048"/>
    <w:rsid w:val="00123C95"/>
    <w:rsid w:val="00124014"/>
    <w:rsid w:val="00124442"/>
    <w:rsid w:val="001245B3"/>
    <w:rsid w:val="00124EA1"/>
    <w:rsid w:val="001252BD"/>
    <w:rsid w:val="00125565"/>
    <w:rsid w:val="00125C47"/>
    <w:rsid w:val="00125DB6"/>
    <w:rsid w:val="00126C6F"/>
    <w:rsid w:val="00127A19"/>
    <w:rsid w:val="001306DD"/>
    <w:rsid w:val="0013235B"/>
    <w:rsid w:val="00132519"/>
    <w:rsid w:val="00132619"/>
    <w:rsid w:val="00132E4D"/>
    <w:rsid w:val="00133611"/>
    <w:rsid w:val="00133740"/>
    <w:rsid w:val="00133871"/>
    <w:rsid w:val="00133C93"/>
    <w:rsid w:val="001360BE"/>
    <w:rsid w:val="0013670D"/>
    <w:rsid w:val="00140BE4"/>
    <w:rsid w:val="00142286"/>
    <w:rsid w:val="0014254E"/>
    <w:rsid w:val="00143694"/>
    <w:rsid w:val="00145CA7"/>
    <w:rsid w:val="00146792"/>
    <w:rsid w:val="00146824"/>
    <w:rsid w:val="0015032A"/>
    <w:rsid w:val="00151CCD"/>
    <w:rsid w:val="0015229A"/>
    <w:rsid w:val="00152AFB"/>
    <w:rsid w:val="00153530"/>
    <w:rsid w:val="00154F56"/>
    <w:rsid w:val="0015515E"/>
    <w:rsid w:val="00156376"/>
    <w:rsid w:val="00157DFB"/>
    <w:rsid w:val="00160898"/>
    <w:rsid w:val="00160FB9"/>
    <w:rsid w:val="00161364"/>
    <w:rsid w:val="001615B9"/>
    <w:rsid w:val="001619BF"/>
    <w:rsid w:val="00161B02"/>
    <w:rsid w:val="00161BAD"/>
    <w:rsid w:val="00161C6C"/>
    <w:rsid w:val="00163713"/>
    <w:rsid w:val="00163717"/>
    <w:rsid w:val="00163CED"/>
    <w:rsid w:val="00163D95"/>
    <w:rsid w:val="001649C8"/>
    <w:rsid w:val="00165896"/>
    <w:rsid w:val="00165F3A"/>
    <w:rsid w:val="001663EC"/>
    <w:rsid w:val="001676A8"/>
    <w:rsid w:val="00170114"/>
    <w:rsid w:val="00171C45"/>
    <w:rsid w:val="00172198"/>
    <w:rsid w:val="0017277A"/>
    <w:rsid w:val="00172B2B"/>
    <w:rsid w:val="00173A07"/>
    <w:rsid w:val="001742B9"/>
    <w:rsid w:val="0017551B"/>
    <w:rsid w:val="00175A57"/>
    <w:rsid w:val="0017676A"/>
    <w:rsid w:val="00176BF6"/>
    <w:rsid w:val="00176FE1"/>
    <w:rsid w:val="001770E3"/>
    <w:rsid w:val="00177A2D"/>
    <w:rsid w:val="00177CA5"/>
    <w:rsid w:val="0018052F"/>
    <w:rsid w:val="001806D6"/>
    <w:rsid w:val="00182A46"/>
    <w:rsid w:val="00183968"/>
    <w:rsid w:val="00184A13"/>
    <w:rsid w:val="00184F74"/>
    <w:rsid w:val="00185588"/>
    <w:rsid w:val="00185B6D"/>
    <w:rsid w:val="0019035E"/>
    <w:rsid w:val="001928FC"/>
    <w:rsid w:val="00193764"/>
    <w:rsid w:val="00193B80"/>
    <w:rsid w:val="00193BB2"/>
    <w:rsid w:val="0019468C"/>
    <w:rsid w:val="00194C49"/>
    <w:rsid w:val="00194DFC"/>
    <w:rsid w:val="00194E30"/>
    <w:rsid w:val="00195FA5"/>
    <w:rsid w:val="00196CDF"/>
    <w:rsid w:val="001975D8"/>
    <w:rsid w:val="001A079F"/>
    <w:rsid w:val="001A09DE"/>
    <w:rsid w:val="001A149B"/>
    <w:rsid w:val="001A188E"/>
    <w:rsid w:val="001A2576"/>
    <w:rsid w:val="001A2A95"/>
    <w:rsid w:val="001A2E0B"/>
    <w:rsid w:val="001A30F9"/>
    <w:rsid w:val="001A44F4"/>
    <w:rsid w:val="001A457F"/>
    <w:rsid w:val="001A5755"/>
    <w:rsid w:val="001A58D1"/>
    <w:rsid w:val="001A62D6"/>
    <w:rsid w:val="001A660B"/>
    <w:rsid w:val="001A6686"/>
    <w:rsid w:val="001A723C"/>
    <w:rsid w:val="001A7754"/>
    <w:rsid w:val="001B1953"/>
    <w:rsid w:val="001B3659"/>
    <w:rsid w:val="001B3687"/>
    <w:rsid w:val="001B368C"/>
    <w:rsid w:val="001B400C"/>
    <w:rsid w:val="001B4041"/>
    <w:rsid w:val="001B4624"/>
    <w:rsid w:val="001B4B04"/>
    <w:rsid w:val="001B4F72"/>
    <w:rsid w:val="001B55BE"/>
    <w:rsid w:val="001B734D"/>
    <w:rsid w:val="001B7CF6"/>
    <w:rsid w:val="001B7F82"/>
    <w:rsid w:val="001C0AC5"/>
    <w:rsid w:val="001C264F"/>
    <w:rsid w:val="001C276E"/>
    <w:rsid w:val="001C2F66"/>
    <w:rsid w:val="001C326D"/>
    <w:rsid w:val="001C538B"/>
    <w:rsid w:val="001C5FFE"/>
    <w:rsid w:val="001C6016"/>
    <w:rsid w:val="001C657F"/>
    <w:rsid w:val="001C6663"/>
    <w:rsid w:val="001C6B47"/>
    <w:rsid w:val="001C77F6"/>
    <w:rsid w:val="001C7895"/>
    <w:rsid w:val="001D04B8"/>
    <w:rsid w:val="001D0C8C"/>
    <w:rsid w:val="001D2097"/>
    <w:rsid w:val="001D26DF"/>
    <w:rsid w:val="001D2754"/>
    <w:rsid w:val="001D2861"/>
    <w:rsid w:val="001D384D"/>
    <w:rsid w:val="001D3A03"/>
    <w:rsid w:val="001D4B84"/>
    <w:rsid w:val="001D4FC3"/>
    <w:rsid w:val="001D50CE"/>
    <w:rsid w:val="001D5307"/>
    <w:rsid w:val="001D5C81"/>
    <w:rsid w:val="001D615F"/>
    <w:rsid w:val="001D68E1"/>
    <w:rsid w:val="001D722C"/>
    <w:rsid w:val="001E0344"/>
    <w:rsid w:val="001E06D9"/>
    <w:rsid w:val="001E0966"/>
    <w:rsid w:val="001E10EC"/>
    <w:rsid w:val="001E1235"/>
    <w:rsid w:val="001E175D"/>
    <w:rsid w:val="001E1A5C"/>
    <w:rsid w:val="001E2198"/>
    <w:rsid w:val="001E2563"/>
    <w:rsid w:val="001E2EBB"/>
    <w:rsid w:val="001E33AB"/>
    <w:rsid w:val="001E357C"/>
    <w:rsid w:val="001E3A36"/>
    <w:rsid w:val="001E48A9"/>
    <w:rsid w:val="001E4BDB"/>
    <w:rsid w:val="001E6800"/>
    <w:rsid w:val="001E68DA"/>
    <w:rsid w:val="001E786A"/>
    <w:rsid w:val="001F1086"/>
    <w:rsid w:val="001F11C8"/>
    <w:rsid w:val="001F2774"/>
    <w:rsid w:val="001F3772"/>
    <w:rsid w:val="001F468C"/>
    <w:rsid w:val="001F48CF"/>
    <w:rsid w:val="001F6654"/>
    <w:rsid w:val="001F7FC8"/>
    <w:rsid w:val="00200A64"/>
    <w:rsid w:val="00200CC4"/>
    <w:rsid w:val="00200F03"/>
    <w:rsid w:val="002012C3"/>
    <w:rsid w:val="00201713"/>
    <w:rsid w:val="00202DA8"/>
    <w:rsid w:val="00202E73"/>
    <w:rsid w:val="00203732"/>
    <w:rsid w:val="0020739A"/>
    <w:rsid w:val="00210AE2"/>
    <w:rsid w:val="00210CE0"/>
    <w:rsid w:val="002117EE"/>
    <w:rsid w:val="00211E0B"/>
    <w:rsid w:val="00212027"/>
    <w:rsid w:val="00212C3A"/>
    <w:rsid w:val="002130C2"/>
    <w:rsid w:val="00214B06"/>
    <w:rsid w:val="002161DC"/>
    <w:rsid w:val="00216A79"/>
    <w:rsid w:val="00217500"/>
    <w:rsid w:val="002178EB"/>
    <w:rsid w:val="00217CED"/>
    <w:rsid w:val="00217DDD"/>
    <w:rsid w:val="00222072"/>
    <w:rsid w:val="0022219E"/>
    <w:rsid w:val="002222A7"/>
    <w:rsid w:val="00222DFC"/>
    <w:rsid w:val="0022501D"/>
    <w:rsid w:val="0022665C"/>
    <w:rsid w:val="00226F53"/>
    <w:rsid w:val="00226FFB"/>
    <w:rsid w:val="00227BDE"/>
    <w:rsid w:val="002310A9"/>
    <w:rsid w:val="002313C7"/>
    <w:rsid w:val="00231675"/>
    <w:rsid w:val="00231C9F"/>
    <w:rsid w:val="0023210C"/>
    <w:rsid w:val="00232832"/>
    <w:rsid w:val="002329D0"/>
    <w:rsid w:val="00232D9D"/>
    <w:rsid w:val="0023515F"/>
    <w:rsid w:val="00235249"/>
    <w:rsid w:val="00235CC1"/>
    <w:rsid w:val="00236D66"/>
    <w:rsid w:val="0024073B"/>
    <w:rsid w:val="002414CD"/>
    <w:rsid w:val="00241D40"/>
    <w:rsid w:val="002430D8"/>
    <w:rsid w:val="00243653"/>
    <w:rsid w:val="00243ABE"/>
    <w:rsid w:val="00243DD1"/>
    <w:rsid w:val="00244127"/>
    <w:rsid w:val="00244A62"/>
    <w:rsid w:val="00244EDE"/>
    <w:rsid w:val="002450F8"/>
    <w:rsid w:val="002456C2"/>
    <w:rsid w:val="00245A59"/>
    <w:rsid w:val="00245DF8"/>
    <w:rsid w:val="0025031B"/>
    <w:rsid w:val="00250361"/>
    <w:rsid w:val="002505B5"/>
    <w:rsid w:val="0025197F"/>
    <w:rsid w:val="00252170"/>
    <w:rsid w:val="00253E54"/>
    <w:rsid w:val="00254AB0"/>
    <w:rsid w:val="00255D2B"/>
    <w:rsid w:val="002569AF"/>
    <w:rsid w:val="0025725A"/>
    <w:rsid w:val="0026086B"/>
    <w:rsid w:val="00261F5D"/>
    <w:rsid w:val="002632E7"/>
    <w:rsid w:val="002633C4"/>
    <w:rsid w:val="0026447F"/>
    <w:rsid w:val="0026467C"/>
    <w:rsid w:val="002649FE"/>
    <w:rsid w:val="00264CD2"/>
    <w:rsid w:val="00264D0A"/>
    <w:rsid w:val="00265113"/>
    <w:rsid w:val="00265136"/>
    <w:rsid w:val="002652CE"/>
    <w:rsid w:val="00267038"/>
    <w:rsid w:val="00267449"/>
    <w:rsid w:val="00267CEE"/>
    <w:rsid w:val="00267F5F"/>
    <w:rsid w:val="0027131E"/>
    <w:rsid w:val="0027161C"/>
    <w:rsid w:val="00271911"/>
    <w:rsid w:val="0027194F"/>
    <w:rsid w:val="00272487"/>
    <w:rsid w:val="00272ADF"/>
    <w:rsid w:val="0027376E"/>
    <w:rsid w:val="002743EE"/>
    <w:rsid w:val="002744F0"/>
    <w:rsid w:val="00274F23"/>
    <w:rsid w:val="0027570D"/>
    <w:rsid w:val="002767FA"/>
    <w:rsid w:val="00276FD7"/>
    <w:rsid w:val="00277604"/>
    <w:rsid w:val="00280C5F"/>
    <w:rsid w:val="00280D66"/>
    <w:rsid w:val="00281129"/>
    <w:rsid w:val="00281ABC"/>
    <w:rsid w:val="00281C2F"/>
    <w:rsid w:val="00281E04"/>
    <w:rsid w:val="002824C8"/>
    <w:rsid w:val="00283010"/>
    <w:rsid w:val="002834E0"/>
    <w:rsid w:val="00284FD1"/>
    <w:rsid w:val="00285F03"/>
    <w:rsid w:val="0028645E"/>
    <w:rsid w:val="00286B4D"/>
    <w:rsid w:val="002903BD"/>
    <w:rsid w:val="00290B63"/>
    <w:rsid w:val="00290F51"/>
    <w:rsid w:val="002915E7"/>
    <w:rsid w:val="00291877"/>
    <w:rsid w:val="00293F61"/>
    <w:rsid w:val="0029502C"/>
    <w:rsid w:val="00295FFA"/>
    <w:rsid w:val="0029607D"/>
    <w:rsid w:val="002974A6"/>
    <w:rsid w:val="0029780D"/>
    <w:rsid w:val="002A0192"/>
    <w:rsid w:val="002A03BE"/>
    <w:rsid w:val="002A16F0"/>
    <w:rsid w:val="002A1822"/>
    <w:rsid w:val="002A2334"/>
    <w:rsid w:val="002A239B"/>
    <w:rsid w:val="002A369D"/>
    <w:rsid w:val="002A4421"/>
    <w:rsid w:val="002A5021"/>
    <w:rsid w:val="002A54EC"/>
    <w:rsid w:val="002A5E37"/>
    <w:rsid w:val="002B0FC2"/>
    <w:rsid w:val="002B1375"/>
    <w:rsid w:val="002B1934"/>
    <w:rsid w:val="002B2CF2"/>
    <w:rsid w:val="002B3574"/>
    <w:rsid w:val="002B3CC6"/>
    <w:rsid w:val="002B3DA5"/>
    <w:rsid w:val="002B3F1E"/>
    <w:rsid w:val="002B4AC8"/>
    <w:rsid w:val="002B52F2"/>
    <w:rsid w:val="002B56E0"/>
    <w:rsid w:val="002B63A0"/>
    <w:rsid w:val="002B6C74"/>
    <w:rsid w:val="002B7745"/>
    <w:rsid w:val="002B7C4F"/>
    <w:rsid w:val="002C027A"/>
    <w:rsid w:val="002C032D"/>
    <w:rsid w:val="002C051F"/>
    <w:rsid w:val="002C15A4"/>
    <w:rsid w:val="002C3B35"/>
    <w:rsid w:val="002C3C84"/>
    <w:rsid w:val="002C4B41"/>
    <w:rsid w:val="002C4E74"/>
    <w:rsid w:val="002C4E9E"/>
    <w:rsid w:val="002C5711"/>
    <w:rsid w:val="002C5BCD"/>
    <w:rsid w:val="002C6E27"/>
    <w:rsid w:val="002C70BF"/>
    <w:rsid w:val="002D06E5"/>
    <w:rsid w:val="002D09B5"/>
    <w:rsid w:val="002D0F50"/>
    <w:rsid w:val="002D1C94"/>
    <w:rsid w:val="002D28BC"/>
    <w:rsid w:val="002D2D50"/>
    <w:rsid w:val="002D3429"/>
    <w:rsid w:val="002D3837"/>
    <w:rsid w:val="002D38A3"/>
    <w:rsid w:val="002D3A6B"/>
    <w:rsid w:val="002D3AF5"/>
    <w:rsid w:val="002D46DB"/>
    <w:rsid w:val="002D49A0"/>
    <w:rsid w:val="002D5EC0"/>
    <w:rsid w:val="002D5ECE"/>
    <w:rsid w:val="002D6106"/>
    <w:rsid w:val="002D63A1"/>
    <w:rsid w:val="002D727C"/>
    <w:rsid w:val="002E0305"/>
    <w:rsid w:val="002E0468"/>
    <w:rsid w:val="002E0B71"/>
    <w:rsid w:val="002E1323"/>
    <w:rsid w:val="002E1B43"/>
    <w:rsid w:val="002E4AD6"/>
    <w:rsid w:val="002E77A5"/>
    <w:rsid w:val="002F039C"/>
    <w:rsid w:val="002F053D"/>
    <w:rsid w:val="002F0C31"/>
    <w:rsid w:val="002F14CA"/>
    <w:rsid w:val="002F1660"/>
    <w:rsid w:val="002F175C"/>
    <w:rsid w:val="002F1CC4"/>
    <w:rsid w:val="002F2F10"/>
    <w:rsid w:val="002F4E01"/>
    <w:rsid w:val="002F56D8"/>
    <w:rsid w:val="002F5896"/>
    <w:rsid w:val="002F5D0C"/>
    <w:rsid w:val="002F5DCB"/>
    <w:rsid w:val="002F6E01"/>
    <w:rsid w:val="002F709A"/>
    <w:rsid w:val="002F73C4"/>
    <w:rsid w:val="002F772E"/>
    <w:rsid w:val="002F781E"/>
    <w:rsid w:val="002F7A1E"/>
    <w:rsid w:val="00300FEE"/>
    <w:rsid w:val="00301072"/>
    <w:rsid w:val="0030138D"/>
    <w:rsid w:val="00301610"/>
    <w:rsid w:val="00301BD4"/>
    <w:rsid w:val="00301E0F"/>
    <w:rsid w:val="003026C7"/>
    <w:rsid w:val="00302727"/>
    <w:rsid w:val="00302B44"/>
    <w:rsid w:val="0030375E"/>
    <w:rsid w:val="00303B3A"/>
    <w:rsid w:val="00303D16"/>
    <w:rsid w:val="003047D3"/>
    <w:rsid w:val="0030510B"/>
    <w:rsid w:val="00306124"/>
    <w:rsid w:val="00306470"/>
    <w:rsid w:val="0030672F"/>
    <w:rsid w:val="0030680E"/>
    <w:rsid w:val="0031010D"/>
    <w:rsid w:val="00310E7B"/>
    <w:rsid w:val="00310F2C"/>
    <w:rsid w:val="00311628"/>
    <w:rsid w:val="0031167A"/>
    <w:rsid w:val="003121FB"/>
    <w:rsid w:val="00314415"/>
    <w:rsid w:val="00314A18"/>
    <w:rsid w:val="00314A97"/>
    <w:rsid w:val="00316475"/>
    <w:rsid w:val="0031790F"/>
    <w:rsid w:val="00320482"/>
    <w:rsid w:val="00320E07"/>
    <w:rsid w:val="00320F32"/>
    <w:rsid w:val="003218C7"/>
    <w:rsid w:val="00321BF2"/>
    <w:rsid w:val="003220F0"/>
    <w:rsid w:val="00322881"/>
    <w:rsid w:val="003229D8"/>
    <w:rsid w:val="0032348D"/>
    <w:rsid w:val="00323A2B"/>
    <w:rsid w:val="00325136"/>
    <w:rsid w:val="003259A5"/>
    <w:rsid w:val="00326293"/>
    <w:rsid w:val="0032709F"/>
    <w:rsid w:val="00327502"/>
    <w:rsid w:val="00327DC0"/>
    <w:rsid w:val="0033134E"/>
    <w:rsid w:val="00331781"/>
    <w:rsid w:val="003321D5"/>
    <w:rsid w:val="00332B1E"/>
    <w:rsid w:val="00332D5C"/>
    <w:rsid w:val="003335F5"/>
    <w:rsid w:val="00333921"/>
    <w:rsid w:val="00333E0C"/>
    <w:rsid w:val="0033489A"/>
    <w:rsid w:val="00335C4B"/>
    <w:rsid w:val="00335D6C"/>
    <w:rsid w:val="003362ED"/>
    <w:rsid w:val="003365EC"/>
    <w:rsid w:val="00336EAF"/>
    <w:rsid w:val="00336FB0"/>
    <w:rsid w:val="00337A47"/>
    <w:rsid w:val="003425CE"/>
    <w:rsid w:val="00342D47"/>
    <w:rsid w:val="00342D6C"/>
    <w:rsid w:val="00342F42"/>
    <w:rsid w:val="0034486F"/>
    <w:rsid w:val="00344DC3"/>
    <w:rsid w:val="00345256"/>
    <w:rsid w:val="00345B76"/>
    <w:rsid w:val="003464C6"/>
    <w:rsid w:val="003465C8"/>
    <w:rsid w:val="003467FE"/>
    <w:rsid w:val="00346980"/>
    <w:rsid w:val="00346DE7"/>
    <w:rsid w:val="003476F3"/>
    <w:rsid w:val="0034792E"/>
    <w:rsid w:val="00350465"/>
    <w:rsid w:val="0035049F"/>
    <w:rsid w:val="00350592"/>
    <w:rsid w:val="0035201B"/>
    <w:rsid w:val="00352709"/>
    <w:rsid w:val="00352C1F"/>
    <w:rsid w:val="00352D2B"/>
    <w:rsid w:val="00354AA8"/>
    <w:rsid w:val="00355BD5"/>
    <w:rsid w:val="00356AAB"/>
    <w:rsid w:val="00356EEF"/>
    <w:rsid w:val="00360EAD"/>
    <w:rsid w:val="00361FFC"/>
    <w:rsid w:val="0036213E"/>
    <w:rsid w:val="00362869"/>
    <w:rsid w:val="00362EC8"/>
    <w:rsid w:val="00362F0A"/>
    <w:rsid w:val="003634F2"/>
    <w:rsid w:val="00364789"/>
    <w:rsid w:val="00364901"/>
    <w:rsid w:val="00364F41"/>
    <w:rsid w:val="003652A0"/>
    <w:rsid w:val="00365AB4"/>
    <w:rsid w:val="003661AB"/>
    <w:rsid w:val="003663EF"/>
    <w:rsid w:val="0036645D"/>
    <w:rsid w:val="00367567"/>
    <w:rsid w:val="003705C9"/>
    <w:rsid w:val="00371178"/>
    <w:rsid w:val="003711A7"/>
    <w:rsid w:val="003713E0"/>
    <w:rsid w:val="00371416"/>
    <w:rsid w:val="003719B4"/>
    <w:rsid w:val="0037204F"/>
    <w:rsid w:val="003721BC"/>
    <w:rsid w:val="00372E2F"/>
    <w:rsid w:val="00372E90"/>
    <w:rsid w:val="003730DD"/>
    <w:rsid w:val="0037430D"/>
    <w:rsid w:val="00374609"/>
    <w:rsid w:val="00374D5A"/>
    <w:rsid w:val="003762A0"/>
    <w:rsid w:val="00376745"/>
    <w:rsid w:val="0037720E"/>
    <w:rsid w:val="003800DE"/>
    <w:rsid w:val="00381975"/>
    <w:rsid w:val="00381DBA"/>
    <w:rsid w:val="003821D3"/>
    <w:rsid w:val="00382EE8"/>
    <w:rsid w:val="0038336C"/>
    <w:rsid w:val="00383F39"/>
    <w:rsid w:val="00383F4C"/>
    <w:rsid w:val="00383F7E"/>
    <w:rsid w:val="003849C4"/>
    <w:rsid w:val="0038684E"/>
    <w:rsid w:val="00386A7B"/>
    <w:rsid w:val="00386AC2"/>
    <w:rsid w:val="00386EF5"/>
    <w:rsid w:val="003871ED"/>
    <w:rsid w:val="00390303"/>
    <w:rsid w:val="00390A83"/>
    <w:rsid w:val="00390FF2"/>
    <w:rsid w:val="00392121"/>
    <w:rsid w:val="00392256"/>
    <w:rsid w:val="0039226F"/>
    <w:rsid w:val="00392A35"/>
    <w:rsid w:val="00393666"/>
    <w:rsid w:val="00393F53"/>
    <w:rsid w:val="003942F0"/>
    <w:rsid w:val="003945BF"/>
    <w:rsid w:val="00394A4C"/>
    <w:rsid w:val="00395395"/>
    <w:rsid w:val="0039556A"/>
    <w:rsid w:val="00396BAE"/>
    <w:rsid w:val="00397223"/>
    <w:rsid w:val="003973D0"/>
    <w:rsid w:val="00397E18"/>
    <w:rsid w:val="003A0984"/>
    <w:rsid w:val="003A1602"/>
    <w:rsid w:val="003A22FB"/>
    <w:rsid w:val="003A3C43"/>
    <w:rsid w:val="003A3D3E"/>
    <w:rsid w:val="003A5380"/>
    <w:rsid w:val="003A53F7"/>
    <w:rsid w:val="003A5830"/>
    <w:rsid w:val="003A6810"/>
    <w:rsid w:val="003A6BB4"/>
    <w:rsid w:val="003B0A02"/>
    <w:rsid w:val="003B1756"/>
    <w:rsid w:val="003B483A"/>
    <w:rsid w:val="003B4890"/>
    <w:rsid w:val="003B59D4"/>
    <w:rsid w:val="003B5B0A"/>
    <w:rsid w:val="003B6175"/>
    <w:rsid w:val="003B7955"/>
    <w:rsid w:val="003B7AEA"/>
    <w:rsid w:val="003C02AB"/>
    <w:rsid w:val="003C1A26"/>
    <w:rsid w:val="003C2CC4"/>
    <w:rsid w:val="003C4DEF"/>
    <w:rsid w:val="003C558C"/>
    <w:rsid w:val="003C74C5"/>
    <w:rsid w:val="003D022D"/>
    <w:rsid w:val="003D0290"/>
    <w:rsid w:val="003D1310"/>
    <w:rsid w:val="003D2644"/>
    <w:rsid w:val="003D2AA6"/>
    <w:rsid w:val="003D37B7"/>
    <w:rsid w:val="003D3CF9"/>
    <w:rsid w:val="003D4143"/>
    <w:rsid w:val="003D4794"/>
    <w:rsid w:val="003D4B23"/>
    <w:rsid w:val="003D56B0"/>
    <w:rsid w:val="003E1596"/>
    <w:rsid w:val="003E1C43"/>
    <w:rsid w:val="003E219E"/>
    <w:rsid w:val="003E22F5"/>
    <w:rsid w:val="003E3065"/>
    <w:rsid w:val="003E3CF4"/>
    <w:rsid w:val="003E3DF3"/>
    <w:rsid w:val="003E414A"/>
    <w:rsid w:val="003E493F"/>
    <w:rsid w:val="003E52A2"/>
    <w:rsid w:val="003E64CC"/>
    <w:rsid w:val="003E6D09"/>
    <w:rsid w:val="003E6F7E"/>
    <w:rsid w:val="003E723E"/>
    <w:rsid w:val="003F6100"/>
    <w:rsid w:val="003F6D23"/>
    <w:rsid w:val="003F71B0"/>
    <w:rsid w:val="00400ACF"/>
    <w:rsid w:val="0040136F"/>
    <w:rsid w:val="00401429"/>
    <w:rsid w:val="004016C9"/>
    <w:rsid w:val="00401BF0"/>
    <w:rsid w:val="00402458"/>
    <w:rsid w:val="00402D77"/>
    <w:rsid w:val="00403387"/>
    <w:rsid w:val="00403BAA"/>
    <w:rsid w:val="00403D97"/>
    <w:rsid w:val="0040413A"/>
    <w:rsid w:val="004050B9"/>
    <w:rsid w:val="00405473"/>
    <w:rsid w:val="00406047"/>
    <w:rsid w:val="00406100"/>
    <w:rsid w:val="0041050D"/>
    <w:rsid w:val="00410C89"/>
    <w:rsid w:val="00410FB0"/>
    <w:rsid w:val="004113B2"/>
    <w:rsid w:val="0041259D"/>
    <w:rsid w:val="00412A50"/>
    <w:rsid w:val="004147D4"/>
    <w:rsid w:val="00414931"/>
    <w:rsid w:val="00414B35"/>
    <w:rsid w:val="00415BA0"/>
    <w:rsid w:val="00416060"/>
    <w:rsid w:val="004175B5"/>
    <w:rsid w:val="0041795A"/>
    <w:rsid w:val="004179B3"/>
    <w:rsid w:val="00420855"/>
    <w:rsid w:val="00420A5C"/>
    <w:rsid w:val="004223A7"/>
    <w:rsid w:val="004228D5"/>
    <w:rsid w:val="00422F31"/>
    <w:rsid w:val="00424479"/>
    <w:rsid w:val="00424679"/>
    <w:rsid w:val="00424AD8"/>
    <w:rsid w:val="00425D17"/>
    <w:rsid w:val="0042621F"/>
    <w:rsid w:val="00426B9B"/>
    <w:rsid w:val="00427A1A"/>
    <w:rsid w:val="00430F99"/>
    <w:rsid w:val="004311E3"/>
    <w:rsid w:val="00431FE1"/>
    <w:rsid w:val="004325CB"/>
    <w:rsid w:val="004327E0"/>
    <w:rsid w:val="004331A3"/>
    <w:rsid w:val="00433C6B"/>
    <w:rsid w:val="004346B9"/>
    <w:rsid w:val="0043559E"/>
    <w:rsid w:val="00435D83"/>
    <w:rsid w:val="00436142"/>
    <w:rsid w:val="00436B33"/>
    <w:rsid w:val="00440E04"/>
    <w:rsid w:val="0044155F"/>
    <w:rsid w:val="00442A83"/>
    <w:rsid w:val="00442E22"/>
    <w:rsid w:val="00442F2A"/>
    <w:rsid w:val="00443039"/>
    <w:rsid w:val="0044393A"/>
    <w:rsid w:val="00443EE9"/>
    <w:rsid w:val="0044425F"/>
    <w:rsid w:val="00446B75"/>
    <w:rsid w:val="00450A3B"/>
    <w:rsid w:val="004514F6"/>
    <w:rsid w:val="00453379"/>
    <w:rsid w:val="004536EF"/>
    <w:rsid w:val="0045495B"/>
    <w:rsid w:val="00455148"/>
    <w:rsid w:val="00455900"/>
    <w:rsid w:val="00456152"/>
    <w:rsid w:val="00456BA1"/>
    <w:rsid w:val="00456EB9"/>
    <w:rsid w:val="0045741F"/>
    <w:rsid w:val="00457E0B"/>
    <w:rsid w:val="0046081E"/>
    <w:rsid w:val="00460E2A"/>
    <w:rsid w:val="00461924"/>
    <w:rsid w:val="00466844"/>
    <w:rsid w:val="00466B4C"/>
    <w:rsid w:val="004675D0"/>
    <w:rsid w:val="00467903"/>
    <w:rsid w:val="0046795E"/>
    <w:rsid w:val="0047073D"/>
    <w:rsid w:val="00471405"/>
    <w:rsid w:val="0047261F"/>
    <w:rsid w:val="0047326D"/>
    <w:rsid w:val="004734D9"/>
    <w:rsid w:val="00473963"/>
    <w:rsid w:val="004748BA"/>
    <w:rsid w:val="0047540C"/>
    <w:rsid w:val="0047740D"/>
    <w:rsid w:val="004821F5"/>
    <w:rsid w:val="004832AC"/>
    <w:rsid w:val="004838A6"/>
    <w:rsid w:val="00483CC9"/>
    <w:rsid w:val="00483D1D"/>
    <w:rsid w:val="00483EF4"/>
    <w:rsid w:val="00484B45"/>
    <w:rsid w:val="004859CA"/>
    <w:rsid w:val="00485F90"/>
    <w:rsid w:val="0048637B"/>
    <w:rsid w:val="00486877"/>
    <w:rsid w:val="00486E8D"/>
    <w:rsid w:val="00487256"/>
    <w:rsid w:val="0048737D"/>
    <w:rsid w:val="00487488"/>
    <w:rsid w:val="00492053"/>
    <w:rsid w:val="0049219B"/>
    <w:rsid w:val="00493CC2"/>
    <w:rsid w:val="00494846"/>
    <w:rsid w:val="0049638D"/>
    <w:rsid w:val="00496561"/>
    <w:rsid w:val="004976F2"/>
    <w:rsid w:val="00497E20"/>
    <w:rsid w:val="004A02FA"/>
    <w:rsid w:val="004A0805"/>
    <w:rsid w:val="004A189A"/>
    <w:rsid w:val="004A2281"/>
    <w:rsid w:val="004A28A7"/>
    <w:rsid w:val="004A2E8D"/>
    <w:rsid w:val="004A3F45"/>
    <w:rsid w:val="004A58F9"/>
    <w:rsid w:val="004A5C21"/>
    <w:rsid w:val="004A5ED6"/>
    <w:rsid w:val="004A6F0D"/>
    <w:rsid w:val="004B3D5D"/>
    <w:rsid w:val="004B3F78"/>
    <w:rsid w:val="004B459B"/>
    <w:rsid w:val="004B4963"/>
    <w:rsid w:val="004B4E7B"/>
    <w:rsid w:val="004B7D6C"/>
    <w:rsid w:val="004C0353"/>
    <w:rsid w:val="004C0946"/>
    <w:rsid w:val="004C2A01"/>
    <w:rsid w:val="004C30BF"/>
    <w:rsid w:val="004C3DEA"/>
    <w:rsid w:val="004C3EE1"/>
    <w:rsid w:val="004C49B5"/>
    <w:rsid w:val="004C4A2B"/>
    <w:rsid w:val="004C547C"/>
    <w:rsid w:val="004C6269"/>
    <w:rsid w:val="004C6864"/>
    <w:rsid w:val="004C69F9"/>
    <w:rsid w:val="004C69FF"/>
    <w:rsid w:val="004C71A0"/>
    <w:rsid w:val="004C73D5"/>
    <w:rsid w:val="004D1CEB"/>
    <w:rsid w:val="004D26B8"/>
    <w:rsid w:val="004D28C5"/>
    <w:rsid w:val="004D2F1B"/>
    <w:rsid w:val="004D3837"/>
    <w:rsid w:val="004D401C"/>
    <w:rsid w:val="004D4AAD"/>
    <w:rsid w:val="004D513B"/>
    <w:rsid w:val="004D5BEC"/>
    <w:rsid w:val="004D6864"/>
    <w:rsid w:val="004D71B4"/>
    <w:rsid w:val="004E1541"/>
    <w:rsid w:val="004E1D93"/>
    <w:rsid w:val="004E1FF5"/>
    <w:rsid w:val="004E26ED"/>
    <w:rsid w:val="004E2AAE"/>
    <w:rsid w:val="004E37AA"/>
    <w:rsid w:val="004E3FD1"/>
    <w:rsid w:val="004E4D62"/>
    <w:rsid w:val="004E576A"/>
    <w:rsid w:val="004E617F"/>
    <w:rsid w:val="004E64A6"/>
    <w:rsid w:val="004E79BD"/>
    <w:rsid w:val="004F0DBC"/>
    <w:rsid w:val="004F25C2"/>
    <w:rsid w:val="004F2AB1"/>
    <w:rsid w:val="004F3575"/>
    <w:rsid w:val="004F3704"/>
    <w:rsid w:val="004F5078"/>
    <w:rsid w:val="004F56A1"/>
    <w:rsid w:val="004F662F"/>
    <w:rsid w:val="004F7AED"/>
    <w:rsid w:val="00500A67"/>
    <w:rsid w:val="0050121C"/>
    <w:rsid w:val="0050139F"/>
    <w:rsid w:val="005015E6"/>
    <w:rsid w:val="0050162B"/>
    <w:rsid w:val="005022F1"/>
    <w:rsid w:val="005030A9"/>
    <w:rsid w:val="005038B2"/>
    <w:rsid w:val="0050410E"/>
    <w:rsid w:val="00504556"/>
    <w:rsid w:val="005058FF"/>
    <w:rsid w:val="00506A38"/>
    <w:rsid w:val="00507B45"/>
    <w:rsid w:val="00511A20"/>
    <w:rsid w:val="00511F0E"/>
    <w:rsid w:val="00512945"/>
    <w:rsid w:val="00512D8B"/>
    <w:rsid w:val="00513196"/>
    <w:rsid w:val="00514916"/>
    <w:rsid w:val="00514BFF"/>
    <w:rsid w:val="005164EC"/>
    <w:rsid w:val="00516701"/>
    <w:rsid w:val="00516A5D"/>
    <w:rsid w:val="00516A6A"/>
    <w:rsid w:val="00520C6A"/>
    <w:rsid w:val="00520C9E"/>
    <w:rsid w:val="0052136D"/>
    <w:rsid w:val="0052434D"/>
    <w:rsid w:val="00524C98"/>
    <w:rsid w:val="00525180"/>
    <w:rsid w:val="00525395"/>
    <w:rsid w:val="005258BC"/>
    <w:rsid w:val="00525DC9"/>
    <w:rsid w:val="00526E19"/>
    <w:rsid w:val="00527219"/>
    <w:rsid w:val="0052775E"/>
    <w:rsid w:val="00527B53"/>
    <w:rsid w:val="00530F9C"/>
    <w:rsid w:val="00531F54"/>
    <w:rsid w:val="00532E5F"/>
    <w:rsid w:val="00533633"/>
    <w:rsid w:val="00533CAC"/>
    <w:rsid w:val="00533EFD"/>
    <w:rsid w:val="00534179"/>
    <w:rsid w:val="00537ACD"/>
    <w:rsid w:val="005409DC"/>
    <w:rsid w:val="005420F2"/>
    <w:rsid w:val="00542BC7"/>
    <w:rsid w:val="00543187"/>
    <w:rsid w:val="005479E7"/>
    <w:rsid w:val="00547A47"/>
    <w:rsid w:val="00547B4A"/>
    <w:rsid w:val="00550BDA"/>
    <w:rsid w:val="00550D3B"/>
    <w:rsid w:val="005519D0"/>
    <w:rsid w:val="00552689"/>
    <w:rsid w:val="00553373"/>
    <w:rsid w:val="00553EA9"/>
    <w:rsid w:val="005541A6"/>
    <w:rsid w:val="005545F1"/>
    <w:rsid w:val="0055703E"/>
    <w:rsid w:val="0055771E"/>
    <w:rsid w:val="005577F5"/>
    <w:rsid w:val="00560D05"/>
    <w:rsid w:val="00561438"/>
    <w:rsid w:val="005618F9"/>
    <w:rsid w:val="005628B6"/>
    <w:rsid w:val="00562B61"/>
    <w:rsid w:val="00562F4D"/>
    <w:rsid w:val="00564714"/>
    <w:rsid w:val="005655F7"/>
    <w:rsid w:val="00565779"/>
    <w:rsid w:val="00565EA8"/>
    <w:rsid w:val="0056624F"/>
    <w:rsid w:val="00566DEB"/>
    <w:rsid w:val="00567D3D"/>
    <w:rsid w:val="005704D1"/>
    <w:rsid w:val="005713C3"/>
    <w:rsid w:val="0057161F"/>
    <w:rsid w:val="00571BB4"/>
    <w:rsid w:val="00571CA9"/>
    <w:rsid w:val="005722B3"/>
    <w:rsid w:val="0057376F"/>
    <w:rsid w:val="0057407A"/>
    <w:rsid w:val="0057414A"/>
    <w:rsid w:val="0057494C"/>
    <w:rsid w:val="00574EB0"/>
    <w:rsid w:val="00575F4B"/>
    <w:rsid w:val="00576AEA"/>
    <w:rsid w:val="00580700"/>
    <w:rsid w:val="0058097B"/>
    <w:rsid w:val="005814A2"/>
    <w:rsid w:val="005828BC"/>
    <w:rsid w:val="00583138"/>
    <w:rsid w:val="00584150"/>
    <w:rsid w:val="005848B3"/>
    <w:rsid w:val="005853D7"/>
    <w:rsid w:val="00585B4E"/>
    <w:rsid w:val="00586059"/>
    <w:rsid w:val="00586ABA"/>
    <w:rsid w:val="00586B32"/>
    <w:rsid w:val="0058726B"/>
    <w:rsid w:val="005905E2"/>
    <w:rsid w:val="00590F87"/>
    <w:rsid w:val="005928DF"/>
    <w:rsid w:val="00592C4A"/>
    <w:rsid w:val="00592C4B"/>
    <w:rsid w:val="00592D66"/>
    <w:rsid w:val="00592EFD"/>
    <w:rsid w:val="00593A84"/>
    <w:rsid w:val="00594628"/>
    <w:rsid w:val="00594CF0"/>
    <w:rsid w:val="00595476"/>
    <w:rsid w:val="00595AA3"/>
    <w:rsid w:val="00596289"/>
    <w:rsid w:val="00596EFC"/>
    <w:rsid w:val="00597BF3"/>
    <w:rsid w:val="00597E6E"/>
    <w:rsid w:val="005A02CA"/>
    <w:rsid w:val="005A0312"/>
    <w:rsid w:val="005A0327"/>
    <w:rsid w:val="005A0415"/>
    <w:rsid w:val="005A084E"/>
    <w:rsid w:val="005A0C1C"/>
    <w:rsid w:val="005A0DD8"/>
    <w:rsid w:val="005A104A"/>
    <w:rsid w:val="005A15B5"/>
    <w:rsid w:val="005A1B1D"/>
    <w:rsid w:val="005A2F4B"/>
    <w:rsid w:val="005A3B8B"/>
    <w:rsid w:val="005A3B99"/>
    <w:rsid w:val="005A46BA"/>
    <w:rsid w:val="005A4888"/>
    <w:rsid w:val="005A533E"/>
    <w:rsid w:val="005A72E7"/>
    <w:rsid w:val="005A7430"/>
    <w:rsid w:val="005A7C89"/>
    <w:rsid w:val="005A7F8F"/>
    <w:rsid w:val="005B180A"/>
    <w:rsid w:val="005B2DFC"/>
    <w:rsid w:val="005B31F6"/>
    <w:rsid w:val="005B3C41"/>
    <w:rsid w:val="005B3DB3"/>
    <w:rsid w:val="005B5F27"/>
    <w:rsid w:val="005B6292"/>
    <w:rsid w:val="005B7056"/>
    <w:rsid w:val="005B75D1"/>
    <w:rsid w:val="005C0CF6"/>
    <w:rsid w:val="005C0FC8"/>
    <w:rsid w:val="005C14E0"/>
    <w:rsid w:val="005C1CC7"/>
    <w:rsid w:val="005C1E97"/>
    <w:rsid w:val="005C236C"/>
    <w:rsid w:val="005C2660"/>
    <w:rsid w:val="005C280C"/>
    <w:rsid w:val="005C4358"/>
    <w:rsid w:val="005C458B"/>
    <w:rsid w:val="005C4825"/>
    <w:rsid w:val="005C4D93"/>
    <w:rsid w:val="005C53D3"/>
    <w:rsid w:val="005C5760"/>
    <w:rsid w:val="005C5808"/>
    <w:rsid w:val="005C674E"/>
    <w:rsid w:val="005C6C4F"/>
    <w:rsid w:val="005C6D98"/>
    <w:rsid w:val="005C72A3"/>
    <w:rsid w:val="005C782C"/>
    <w:rsid w:val="005C7BB2"/>
    <w:rsid w:val="005D0E65"/>
    <w:rsid w:val="005D2018"/>
    <w:rsid w:val="005D2B66"/>
    <w:rsid w:val="005D2DFC"/>
    <w:rsid w:val="005D3075"/>
    <w:rsid w:val="005D30B8"/>
    <w:rsid w:val="005D3F18"/>
    <w:rsid w:val="005D3FB5"/>
    <w:rsid w:val="005D438F"/>
    <w:rsid w:val="005D4877"/>
    <w:rsid w:val="005D4A98"/>
    <w:rsid w:val="005D542D"/>
    <w:rsid w:val="005D5721"/>
    <w:rsid w:val="005D5AF5"/>
    <w:rsid w:val="005D5FE7"/>
    <w:rsid w:val="005D6D72"/>
    <w:rsid w:val="005D763C"/>
    <w:rsid w:val="005D78F5"/>
    <w:rsid w:val="005D7B9A"/>
    <w:rsid w:val="005E01D5"/>
    <w:rsid w:val="005E06C2"/>
    <w:rsid w:val="005E111E"/>
    <w:rsid w:val="005E190D"/>
    <w:rsid w:val="005E1D4E"/>
    <w:rsid w:val="005E2D2C"/>
    <w:rsid w:val="005E2E34"/>
    <w:rsid w:val="005E3F67"/>
    <w:rsid w:val="005E40A3"/>
    <w:rsid w:val="005E40FD"/>
    <w:rsid w:val="005E411C"/>
    <w:rsid w:val="005E4BCE"/>
    <w:rsid w:val="005E4FFC"/>
    <w:rsid w:val="005E5034"/>
    <w:rsid w:val="005E783D"/>
    <w:rsid w:val="005E7981"/>
    <w:rsid w:val="005F12E5"/>
    <w:rsid w:val="005F1B2D"/>
    <w:rsid w:val="005F1F36"/>
    <w:rsid w:val="005F27B0"/>
    <w:rsid w:val="005F2EB3"/>
    <w:rsid w:val="005F3D21"/>
    <w:rsid w:val="005F494A"/>
    <w:rsid w:val="005F5024"/>
    <w:rsid w:val="005F5699"/>
    <w:rsid w:val="005F575F"/>
    <w:rsid w:val="005F57AD"/>
    <w:rsid w:val="005F6013"/>
    <w:rsid w:val="005F7079"/>
    <w:rsid w:val="005F7717"/>
    <w:rsid w:val="005F7B75"/>
    <w:rsid w:val="005F7F93"/>
    <w:rsid w:val="006001EE"/>
    <w:rsid w:val="006005C4"/>
    <w:rsid w:val="00600DB9"/>
    <w:rsid w:val="00601CA8"/>
    <w:rsid w:val="006023C0"/>
    <w:rsid w:val="00602B75"/>
    <w:rsid w:val="006032B5"/>
    <w:rsid w:val="00603976"/>
    <w:rsid w:val="00603DAF"/>
    <w:rsid w:val="00604415"/>
    <w:rsid w:val="00605042"/>
    <w:rsid w:val="00606B2B"/>
    <w:rsid w:val="00607635"/>
    <w:rsid w:val="0061047C"/>
    <w:rsid w:val="00610D8F"/>
    <w:rsid w:val="0061115C"/>
    <w:rsid w:val="006114EF"/>
    <w:rsid w:val="006118E0"/>
    <w:rsid w:val="00611FC4"/>
    <w:rsid w:val="006123D4"/>
    <w:rsid w:val="00613963"/>
    <w:rsid w:val="00614C50"/>
    <w:rsid w:val="00615C66"/>
    <w:rsid w:val="00616894"/>
    <w:rsid w:val="0061700C"/>
    <w:rsid w:val="006176FB"/>
    <w:rsid w:val="00620AF0"/>
    <w:rsid w:val="00621286"/>
    <w:rsid w:val="0062193A"/>
    <w:rsid w:val="00621DE8"/>
    <w:rsid w:val="00622E3D"/>
    <w:rsid w:val="00623021"/>
    <w:rsid w:val="00623C4A"/>
    <w:rsid w:val="006241C8"/>
    <w:rsid w:val="00624677"/>
    <w:rsid w:val="00624F12"/>
    <w:rsid w:val="006258F4"/>
    <w:rsid w:val="00625FB0"/>
    <w:rsid w:val="006260B2"/>
    <w:rsid w:val="006260F8"/>
    <w:rsid w:val="006264FB"/>
    <w:rsid w:val="00626D71"/>
    <w:rsid w:val="006274AD"/>
    <w:rsid w:val="00627697"/>
    <w:rsid w:val="00627FB0"/>
    <w:rsid w:val="00630676"/>
    <w:rsid w:val="00631010"/>
    <w:rsid w:val="00632287"/>
    <w:rsid w:val="006343E4"/>
    <w:rsid w:val="006347FB"/>
    <w:rsid w:val="00634CEE"/>
    <w:rsid w:val="00635006"/>
    <w:rsid w:val="006365F5"/>
    <w:rsid w:val="00636CE7"/>
    <w:rsid w:val="00636EFE"/>
    <w:rsid w:val="006379ED"/>
    <w:rsid w:val="006405BC"/>
    <w:rsid w:val="00640B26"/>
    <w:rsid w:val="0064129E"/>
    <w:rsid w:val="00641E64"/>
    <w:rsid w:val="0064226F"/>
    <w:rsid w:val="00642394"/>
    <w:rsid w:val="0064518A"/>
    <w:rsid w:val="00645F22"/>
    <w:rsid w:val="00645FB7"/>
    <w:rsid w:val="006478E6"/>
    <w:rsid w:val="00652D0A"/>
    <w:rsid w:val="006538C5"/>
    <w:rsid w:val="00654341"/>
    <w:rsid w:val="00654777"/>
    <w:rsid w:val="006572E9"/>
    <w:rsid w:val="0065732B"/>
    <w:rsid w:val="00660618"/>
    <w:rsid w:val="00661597"/>
    <w:rsid w:val="006617E2"/>
    <w:rsid w:val="006619EB"/>
    <w:rsid w:val="00662BB6"/>
    <w:rsid w:val="00664048"/>
    <w:rsid w:val="00664204"/>
    <w:rsid w:val="00664C49"/>
    <w:rsid w:val="0066644D"/>
    <w:rsid w:val="006729FE"/>
    <w:rsid w:val="00673B41"/>
    <w:rsid w:val="00674026"/>
    <w:rsid w:val="006743E9"/>
    <w:rsid w:val="00674D94"/>
    <w:rsid w:val="006752A4"/>
    <w:rsid w:val="00675950"/>
    <w:rsid w:val="0067729C"/>
    <w:rsid w:val="0068043D"/>
    <w:rsid w:val="00680461"/>
    <w:rsid w:val="0068157F"/>
    <w:rsid w:val="00682284"/>
    <w:rsid w:val="006838C8"/>
    <w:rsid w:val="00683EEF"/>
    <w:rsid w:val="00683EF7"/>
    <w:rsid w:val="00684C21"/>
    <w:rsid w:val="006853D1"/>
    <w:rsid w:val="0068555B"/>
    <w:rsid w:val="0068599A"/>
    <w:rsid w:val="00685FA6"/>
    <w:rsid w:val="00687350"/>
    <w:rsid w:val="0068743C"/>
    <w:rsid w:val="00691D60"/>
    <w:rsid w:val="00691F84"/>
    <w:rsid w:val="00692BBE"/>
    <w:rsid w:val="00692F9B"/>
    <w:rsid w:val="0069416D"/>
    <w:rsid w:val="00694695"/>
    <w:rsid w:val="00694AE6"/>
    <w:rsid w:val="00696929"/>
    <w:rsid w:val="0069763E"/>
    <w:rsid w:val="006976A6"/>
    <w:rsid w:val="006A06DC"/>
    <w:rsid w:val="006A0E69"/>
    <w:rsid w:val="006A1764"/>
    <w:rsid w:val="006A24AA"/>
    <w:rsid w:val="006A3708"/>
    <w:rsid w:val="006A40F2"/>
    <w:rsid w:val="006A53B5"/>
    <w:rsid w:val="006A6790"/>
    <w:rsid w:val="006A703F"/>
    <w:rsid w:val="006A7737"/>
    <w:rsid w:val="006A7F0A"/>
    <w:rsid w:val="006B04B5"/>
    <w:rsid w:val="006B0995"/>
    <w:rsid w:val="006B3157"/>
    <w:rsid w:val="006B409F"/>
    <w:rsid w:val="006B4AA4"/>
    <w:rsid w:val="006B5AB9"/>
    <w:rsid w:val="006B5CC6"/>
    <w:rsid w:val="006B6574"/>
    <w:rsid w:val="006B7DEC"/>
    <w:rsid w:val="006C014A"/>
    <w:rsid w:val="006C082A"/>
    <w:rsid w:val="006C1A36"/>
    <w:rsid w:val="006C32BC"/>
    <w:rsid w:val="006C3AD1"/>
    <w:rsid w:val="006C4887"/>
    <w:rsid w:val="006C48BB"/>
    <w:rsid w:val="006C692F"/>
    <w:rsid w:val="006C7A23"/>
    <w:rsid w:val="006D1E0F"/>
    <w:rsid w:val="006D1EAD"/>
    <w:rsid w:val="006D2401"/>
    <w:rsid w:val="006D241C"/>
    <w:rsid w:val="006D2B97"/>
    <w:rsid w:val="006D37AF"/>
    <w:rsid w:val="006D3D02"/>
    <w:rsid w:val="006D443C"/>
    <w:rsid w:val="006D4FC0"/>
    <w:rsid w:val="006D51D0"/>
    <w:rsid w:val="006D75C7"/>
    <w:rsid w:val="006E0BAF"/>
    <w:rsid w:val="006E10C6"/>
    <w:rsid w:val="006E1779"/>
    <w:rsid w:val="006E1A90"/>
    <w:rsid w:val="006E1D8A"/>
    <w:rsid w:val="006E3134"/>
    <w:rsid w:val="006E34B9"/>
    <w:rsid w:val="006E37EC"/>
    <w:rsid w:val="006E3FDB"/>
    <w:rsid w:val="006E564B"/>
    <w:rsid w:val="006E6797"/>
    <w:rsid w:val="006E6FAF"/>
    <w:rsid w:val="006E7191"/>
    <w:rsid w:val="006F2CD8"/>
    <w:rsid w:val="006F36AC"/>
    <w:rsid w:val="006F3DA5"/>
    <w:rsid w:val="006F54E7"/>
    <w:rsid w:val="006F57B9"/>
    <w:rsid w:val="006F7622"/>
    <w:rsid w:val="00700DA3"/>
    <w:rsid w:val="00701545"/>
    <w:rsid w:val="00701FD5"/>
    <w:rsid w:val="00702C9B"/>
    <w:rsid w:val="0070353B"/>
    <w:rsid w:val="00703577"/>
    <w:rsid w:val="007052C3"/>
    <w:rsid w:val="007053C1"/>
    <w:rsid w:val="00705625"/>
    <w:rsid w:val="007113A4"/>
    <w:rsid w:val="00711F00"/>
    <w:rsid w:val="00713546"/>
    <w:rsid w:val="00713B23"/>
    <w:rsid w:val="0071450D"/>
    <w:rsid w:val="00715AD0"/>
    <w:rsid w:val="00717631"/>
    <w:rsid w:val="00720196"/>
    <w:rsid w:val="0072096D"/>
    <w:rsid w:val="0072149D"/>
    <w:rsid w:val="0072200C"/>
    <w:rsid w:val="0072226B"/>
    <w:rsid w:val="0072352E"/>
    <w:rsid w:val="007239A0"/>
    <w:rsid w:val="00725453"/>
    <w:rsid w:val="0072573F"/>
    <w:rsid w:val="00725F30"/>
    <w:rsid w:val="0072632A"/>
    <w:rsid w:val="00726F57"/>
    <w:rsid w:val="00727B35"/>
    <w:rsid w:val="007314F3"/>
    <w:rsid w:val="007327D5"/>
    <w:rsid w:val="00732B51"/>
    <w:rsid w:val="00734B12"/>
    <w:rsid w:val="00734BAC"/>
    <w:rsid w:val="00735CA1"/>
    <w:rsid w:val="00736E08"/>
    <w:rsid w:val="00740255"/>
    <w:rsid w:val="007405D8"/>
    <w:rsid w:val="007417BC"/>
    <w:rsid w:val="00743842"/>
    <w:rsid w:val="007439B3"/>
    <w:rsid w:val="00745A0C"/>
    <w:rsid w:val="007463DE"/>
    <w:rsid w:val="007464B8"/>
    <w:rsid w:val="00746BB2"/>
    <w:rsid w:val="00746CEF"/>
    <w:rsid w:val="00746F1E"/>
    <w:rsid w:val="00750D47"/>
    <w:rsid w:val="00750FCA"/>
    <w:rsid w:val="00751074"/>
    <w:rsid w:val="00751147"/>
    <w:rsid w:val="007523EF"/>
    <w:rsid w:val="00752B6A"/>
    <w:rsid w:val="00753BA9"/>
    <w:rsid w:val="007551B4"/>
    <w:rsid w:val="00756A3F"/>
    <w:rsid w:val="0075733D"/>
    <w:rsid w:val="0076033B"/>
    <w:rsid w:val="00760F53"/>
    <w:rsid w:val="007614FA"/>
    <w:rsid w:val="007624CA"/>
    <w:rsid w:val="00762792"/>
    <w:rsid w:val="007627EE"/>
    <w:rsid w:val="007629C8"/>
    <w:rsid w:val="00763BE8"/>
    <w:rsid w:val="007646B4"/>
    <w:rsid w:val="00764878"/>
    <w:rsid w:val="00764914"/>
    <w:rsid w:val="0076609B"/>
    <w:rsid w:val="00767016"/>
    <w:rsid w:val="007709DF"/>
    <w:rsid w:val="007723A1"/>
    <w:rsid w:val="00772C49"/>
    <w:rsid w:val="007742D4"/>
    <w:rsid w:val="00775080"/>
    <w:rsid w:val="00775788"/>
    <w:rsid w:val="007757D4"/>
    <w:rsid w:val="00776265"/>
    <w:rsid w:val="0077671F"/>
    <w:rsid w:val="00776CA5"/>
    <w:rsid w:val="007771A3"/>
    <w:rsid w:val="00777DF8"/>
    <w:rsid w:val="007812BA"/>
    <w:rsid w:val="007818F4"/>
    <w:rsid w:val="00781C83"/>
    <w:rsid w:val="007826F5"/>
    <w:rsid w:val="00782B9E"/>
    <w:rsid w:val="00782F90"/>
    <w:rsid w:val="0078300D"/>
    <w:rsid w:val="00784231"/>
    <w:rsid w:val="00784BCF"/>
    <w:rsid w:val="00784C71"/>
    <w:rsid w:val="00785247"/>
    <w:rsid w:val="00785623"/>
    <w:rsid w:val="007868E9"/>
    <w:rsid w:val="00786EFA"/>
    <w:rsid w:val="00786F3A"/>
    <w:rsid w:val="00787E5D"/>
    <w:rsid w:val="007911EA"/>
    <w:rsid w:val="0079151D"/>
    <w:rsid w:val="00791C81"/>
    <w:rsid w:val="007925AE"/>
    <w:rsid w:val="00794B4A"/>
    <w:rsid w:val="00795A39"/>
    <w:rsid w:val="00795F7A"/>
    <w:rsid w:val="007965DB"/>
    <w:rsid w:val="007966A8"/>
    <w:rsid w:val="007A102A"/>
    <w:rsid w:val="007A1319"/>
    <w:rsid w:val="007A26E3"/>
    <w:rsid w:val="007A2815"/>
    <w:rsid w:val="007A401C"/>
    <w:rsid w:val="007A4383"/>
    <w:rsid w:val="007A6C99"/>
    <w:rsid w:val="007A6E9D"/>
    <w:rsid w:val="007A7897"/>
    <w:rsid w:val="007B0D02"/>
    <w:rsid w:val="007B19F4"/>
    <w:rsid w:val="007B1D5B"/>
    <w:rsid w:val="007B1E62"/>
    <w:rsid w:val="007B3C73"/>
    <w:rsid w:val="007B415A"/>
    <w:rsid w:val="007B5249"/>
    <w:rsid w:val="007B5F65"/>
    <w:rsid w:val="007B6A5D"/>
    <w:rsid w:val="007B6BA5"/>
    <w:rsid w:val="007B7CE1"/>
    <w:rsid w:val="007C203A"/>
    <w:rsid w:val="007C3390"/>
    <w:rsid w:val="007C3A7C"/>
    <w:rsid w:val="007C3D25"/>
    <w:rsid w:val="007C3F74"/>
    <w:rsid w:val="007C3FFB"/>
    <w:rsid w:val="007C4F4B"/>
    <w:rsid w:val="007C5032"/>
    <w:rsid w:val="007C58E8"/>
    <w:rsid w:val="007C7378"/>
    <w:rsid w:val="007C73E0"/>
    <w:rsid w:val="007C784F"/>
    <w:rsid w:val="007C7C57"/>
    <w:rsid w:val="007D0063"/>
    <w:rsid w:val="007D0270"/>
    <w:rsid w:val="007D08EB"/>
    <w:rsid w:val="007D126C"/>
    <w:rsid w:val="007D1737"/>
    <w:rsid w:val="007D18F4"/>
    <w:rsid w:val="007D281F"/>
    <w:rsid w:val="007D32C6"/>
    <w:rsid w:val="007D3316"/>
    <w:rsid w:val="007D3677"/>
    <w:rsid w:val="007D42B0"/>
    <w:rsid w:val="007D4542"/>
    <w:rsid w:val="007D5803"/>
    <w:rsid w:val="007D7F12"/>
    <w:rsid w:val="007E0392"/>
    <w:rsid w:val="007E0821"/>
    <w:rsid w:val="007E0B2D"/>
    <w:rsid w:val="007E1318"/>
    <w:rsid w:val="007E16D9"/>
    <w:rsid w:val="007E3050"/>
    <w:rsid w:val="007E32DC"/>
    <w:rsid w:val="007E3DF7"/>
    <w:rsid w:val="007E3E13"/>
    <w:rsid w:val="007E5179"/>
    <w:rsid w:val="007E51CE"/>
    <w:rsid w:val="007E5732"/>
    <w:rsid w:val="007E61D9"/>
    <w:rsid w:val="007E6F98"/>
    <w:rsid w:val="007F0685"/>
    <w:rsid w:val="007F1247"/>
    <w:rsid w:val="007F1E75"/>
    <w:rsid w:val="007F31D9"/>
    <w:rsid w:val="007F3A2C"/>
    <w:rsid w:val="007F5739"/>
    <w:rsid w:val="007F5AA8"/>
    <w:rsid w:val="007F6611"/>
    <w:rsid w:val="007F7246"/>
    <w:rsid w:val="007F75D2"/>
    <w:rsid w:val="007F7E17"/>
    <w:rsid w:val="00801CBF"/>
    <w:rsid w:val="008022BF"/>
    <w:rsid w:val="008025B6"/>
    <w:rsid w:val="00803EEC"/>
    <w:rsid w:val="00806AAA"/>
    <w:rsid w:val="008076A7"/>
    <w:rsid w:val="008105B8"/>
    <w:rsid w:val="00810C74"/>
    <w:rsid w:val="008111BA"/>
    <w:rsid w:val="00812971"/>
    <w:rsid w:val="0081367C"/>
    <w:rsid w:val="00813793"/>
    <w:rsid w:val="00814F95"/>
    <w:rsid w:val="0081534F"/>
    <w:rsid w:val="0081547F"/>
    <w:rsid w:val="00815845"/>
    <w:rsid w:val="00815984"/>
    <w:rsid w:val="00815ADE"/>
    <w:rsid w:val="00815C52"/>
    <w:rsid w:val="00815F80"/>
    <w:rsid w:val="008163F8"/>
    <w:rsid w:val="00816874"/>
    <w:rsid w:val="00816972"/>
    <w:rsid w:val="00816A3A"/>
    <w:rsid w:val="0081741E"/>
    <w:rsid w:val="0081770E"/>
    <w:rsid w:val="00817C33"/>
    <w:rsid w:val="008216A5"/>
    <w:rsid w:val="00821A8D"/>
    <w:rsid w:val="00821FEC"/>
    <w:rsid w:val="008242D7"/>
    <w:rsid w:val="00824F1B"/>
    <w:rsid w:val="00825659"/>
    <w:rsid w:val="008257B1"/>
    <w:rsid w:val="00825B61"/>
    <w:rsid w:val="00825F14"/>
    <w:rsid w:val="00825F45"/>
    <w:rsid w:val="00826086"/>
    <w:rsid w:val="008261FF"/>
    <w:rsid w:val="00827317"/>
    <w:rsid w:val="008274A4"/>
    <w:rsid w:val="0083016A"/>
    <w:rsid w:val="008310C1"/>
    <w:rsid w:val="008310F0"/>
    <w:rsid w:val="008320F6"/>
    <w:rsid w:val="00833415"/>
    <w:rsid w:val="00833511"/>
    <w:rsid w:val="008345A9"/>
    <w:rsid w:val="00834953"/>
    <w:rsid w:val="00837334"/>
    <w:rsid w:val="008375C6"/>
    <w:rsid w:val="008378D2"/>
    <w:rsid w:val="00840104"/>
    <w:rsid w:val="0084035B"/>
    <w:rsid w:val="00840E72"/>
    <w:rsid w:val="0084126F"/>
    <w:rsid w:val="00841306"/>
    <w:rsid w:val="00841DC9"/>
    <w:rsid w:val="008428C9"/>
    <w:rsid w:val="00843767"/>
    <w:rsid w:val="00843DAC"/>
    <w:rsid w:val="0084586E"/>
    <w:rsid w:val="00845FA8"/>
    <w:rsid w:val="00846ED4"/>
    <w:rsid w:val="00851259"/>
    <w:rsid w:val="008528FD"/>
    <w:rsid w:val="00852B57"/>
    <w:rsid w:val="008538BE"/>
    <w:rsid w:val="00856F9E"/>
    <w:rsid w:val="008579E7"/>
    <w:rsid w:val="00857E2C"/>
    <w:rsid w:val="008609AA"/>
    <w:rsid w:val="008621E0"/>
    <w:rsid w:val="00862362"/>
    <w:rsid w:val="008641D8"/>
    <w:rsid w:val="008655A1"/>
    <w:rsid w:val="008655A9"/>
    <w:rsid w:val="008658CB"/>
    <w:rsid w:val="00865FDE"/>
    <w:rsid w:val="0086733B"/>
    <w:rsid w:val="00867815"/>
    <w:rsid w:val="008678D8"/>
    <w:rsid w:val="008679D9"/>
    <w:rsid w:val="00870D91"/>
    <w:rsid w:val="00870E05"/>
    <w:rsid w:val="00870E88"/>
    <w:rsid w:val="00871051"/>
    <w:rsid w:val="00871842"/>
    <w:rsid w:val="0087204B"/>
    <w:rsid w:val="00874CAC"/>
    <w:rsid w:val="00875527"/>
    <w:rsid w:val="00875BCE"/>
    <w:rsid w:val="00875FE5"/>
    <w:rsid w:val="008809FB"/>
    <w:rsid w:val="00880F4C"/>
    <w:rsid w:val="008817F2"/>
    <w:rsid w:val="00883D53"/>
    <w:rsid w:val="008840E2"/>
    <w:rsid w:val="00884110"/>
    <w:rsid w:val="008854BE"/>
    <w:rsid w:val="00885BF6"/>
    <w:rsid w:val="00885F41"/>
    <w:rsid w:val="0088636B"/>
    <w:rsid w:val="00886FFA"/>
    <w:rsid w:val="008908B6"/>
    <w:rsid w:val="008910C7"/>
    <w:rsid w:val="00891309"/>
    <w:rsid w:val="00891311"/>
    <w:rsid w:val="0089139E"/>
    <w:rsid w:val="00891599"/>
    <w:rsid w:val="008926B5"/>
    <w:rsid w:val="0089456C"/>
    <w:rsid w:val="00894A28"/>
    <w:rsid w:val="00894F8B"/>
    <w:rsid w:val="00895430"/>
    <w:rsid w:val="008955B9"/>
    <w:rsid w:val="008975D6"/>
    <w:rsid w:val="008979B1"/>
    <w:rsid w:val="008A0CAF"/>
    <w:rsid w:val="008A0ED0"/>
    <w:rsid w:val="008A1039"/>
    <w:rsid w:val="008A10D2"/>
    <w:rsid w:val="008A1DB2"/>
    <w:rsid w:val="008A2203"/>
    <w:rsid w:val="008A2431"/>
    <w:rsid w:val="008A2621"/>
    <w:rsid w:val="008A2628"/>
    <w:rsid w:val="008A2B09"/>
    <w:rsid w:val="008A4733"/>
    <w:rsid w:val="008A5196"/>
    <w:rsid w:val="008A5350"/>
    <w:rsid w:val="008A61F6"/>
    <w:rsid w:val="008A62CB"/>
    <w:rsid w:val="008A6B25"/>
    <w:rsid w:val="008A6BB4"/>
    <w:rsid w:val="008A6C4F"/>
    <w:rsid w:val="008A778A"/>
    <w:rsid w:val="008A7802"/>
    <w:rsid w:val="008A7E58"/>
    <w:rsid w:val="008B16AE"/>
    <w:rsid w:val="008B1EE4"/>
    <w:rsid w:val="008B2335"/>
    <w:rsid w:val="008B2485"/>
    <w:rsid w:val="008B388D"/>
    <w:rsid w:val="008B3D95"/>
    <w:rsid w:val="008B6178"/>
    <w:rsid w:val="008C017D"/>
    <w:rsid w:val="008C0E41"/>
    <w:rsid w:val="008C1896"/>
    <w:rsid w:val="008C455F"/>
    <w:rsid w:val="008C4EDC"/>
    <w:rsid w:val="008C67A7"/>
    <w:rsid w:val="008D076E"/>
    <w:rsid w:val="008D0FBA"/>
    <w:rsid w:val="008D1459"/>
    <w:rsid w:val="008D16B5"/>
    <w:rsid w:val="008D2205"/>
    <w:rsid w:val="008D2503"/>
    <w:rsid w:val="008D2F38"/>
    <w:rsid w:val="008D38F3"/>
    <w:rsid w:val="008D3AD8"/>
    <w:rsid w:val="008D3DF9"/>
    <w:rsid w:val="008D4A3E"/>
    <w:rsid w:val="008D4BF5"/>
    <w:rsid w:val="008D4D0B"/>
    <w:rsid w:val="008D4DE1"/>
    <w:rsid w:val="008D52B1"/>
    <w:rsid w:val="008D5553"/>
    <w:rsid w:val="008D5CEF"/>
    <w:rsid w:val="008E0104"/>
    <w:rsid w:val="008E04C9"/>
    <w:rsid w:val="008E0678"/>
    <w:rsid w:val="008E1567"/>
    <w:rsid w:val="008E1D1B"/>
    <w:rsid w:val="008E1FE2"/>
    <w:rsid w:val="008E2096"/>
    <w:rsid w:val="008E27EC"/>
    <w:rsid w:val="008E29F8"/>
    <w:rsid w:val="008E3011"/>
    <w:rsid w:val="008E36FD"/>
    <w:rsid w:val="008E39CC"/>
    <w:rsid w:val="008E4C4F"/>
    <w:rsid w:val="008E5320"/>
    <w:rsid w:val="008E6A47"/>
    <w:rsid w:val="008E7478"/>
    <w:rsid w:val="008E7D8C"/>
    <w:rsid w:val="008F0125"/>
    <w:rsid w:val="008F11A1"/>
    <w:rsid w:val="008F142A"/>
    <w:rsid w:val="008F1D58"/>
    <w:rsid w:val="008F2587"/>
    <w:rsid w:val="008F34D7"/>
    <w:rsid w:val="008F4AF5"/>
    <w:rsid w:val="008F4C04"/>
    <w:rsid w:val="008F6CC3"/>
    <w:rsid w:val="008F78BA"/>
    <w:rsid w:val="008F7EF1"/>
    <w:rsid w:val="00900EB6"/>
    <w:rsid w:val="009011FD"/>
    <w:rsid w:val="00901CCF"/>
    <w:rsid w:val="0090237B"/>
    <w:rsid w:val="00902668"/>
    <w:rsid w:val="00902FE8"/>
    <w:rsid w:val="00903876"/>
    <w:rsid w:val="009043EB"/>
    <w:rsid w:val="0090596D"/>
    <w:rsid w:val="00905FD2"/>
    <w:rsid w:val="009067DD"/>
    <w:rsid w:val="00906AB6"/>
    <w:rsid w:val="00910F40"/>
    <w:rsid w:val="00911247"/>
    <w:rsid w:val="00911303"/>
    <w:rsid w:val="00911894"/>
    <w:rsid w:val="00912256"/>
    <w:rsid w:val="00912962"/>
    <w:rsid w:val="00912C08"/>
    <w:rsid w:val="00913616"/>
    <w:rsid w:val="00913F5E"/>
    <w:rsid w:val="0091460C"/>
    <w:rsid w:val="00914B6E"/>
    <w:rsid w:val="009152C3"/>
    <w:rsid w:val="00916567"/>
    <w:rsid w:val="009172D4"/>
    <w:rsid w:val="009223CA"/>
    <w:rsid w:val="00924A12"/>
    <w:rsid w:val="00925889"/>
    <w:rsid w:val="00930D71"/>
    <w:rsid w:val="00931823"/>
    <w:rsid w:val="009331C0"/>
    <w:rsid w:val="0093413A"/>
    <w:rsid w:val="00934AB2"/>
    <w:rsid w:val="0093571E"/>
    <w:rsid w:val="00935941"/>
    <w:rsid w:val="00936533"/>
    <w:rsid w:val="00936D58"/>
    <w:rsid w:val="0093723F"/>
    <w:rsid w:val="0093754A"/>
    <w:rsid w:val="00937974"/>
    <w:rsid w:val="00940211"/>
    <w:rsid w:val="0094080C"/>
    <w:rsid w:val="00940F93"/>
    <w:rsid w:val="009412FE"/>
    <w:rsid w:val="00941AB8"/>
    <w:rsid w:val="0094236B"/>
    <w:rsid w:val="00943FBA"/>
    <w:rsid w:val="00944DFD"/>
    <w:rsid w:val="00945A23"/>
    <w:rsid w:val="0094712A"/>
    <w:rsid w:val="009502AF"/>
    <w:rsid w:val="00950AF4"/>
    <w:rsid w:val="00950E17"/>
    <w:rsid w:val="00951522"/>
    <w:rsid w:val="00951A9F"/>
    <w:rsid w:val="00951EAC"/>
    <w:rsid w:val="00952427"/>
    <w:rsid w:val="00952EDF"/>
    <w:rsid w:val="0095347F"/>
    <w:rsid w:val="009536B7"/>
    <w:rsid w:val="0095403A"/>
    <w:rsid w:val="00954E7B"/>
    <w:rsid w:val="00955194"/>
    <w:rsid w:val="00955F34"/>
    <w:rsid w:val="009568BE"/>
    <w:rsid w:val="00956A6B"/>
    <w:rsid w:val="0095745B"/>
    <w:rsid w:val="009601F6"/>
    <w:rsid w:val="00961561"/>
    <w:rsid w:val="009616FE"/>
    <w:rsid w:val="00962B3A"/>
    <w:rsid w:val="0096476B"/>
    <w:rsid w:val="0096491A"/>
    <w:rsid w:val="00964E2E"/>
    <w:rsid w:val="00964ECA"/>
    <w:rsid w:val="00965361"/>
    <w:rsid w:val="009669EA"/>
    <w:rsid w:val="00966D7C"/>
    <w:rsid w:val="00966DDD"/>
    <w:rsid w:val="009674C2"/>
    <w:rsid w:val="00967F59"/>
    <w:rsid w:val="009701C4"/>
    <w:rsid w:val="00970A75"/>
    <w:rsid w:val="00971C45"/>
    <w:rsid w:val="00972495"/>
    <w:rsid w:val="009735A8"/>
    <w:rsid w:val="009735EF"/>
    <w:rsid w:val="00973B67"/>
    <w:rsid w:val="009740CC"/>
    <w:rsid w:val="00974A2F"/>
    <w:rsid w:val="00974EF5"/>
    <w:rsid w:val="00975230"/>
    <w:rsid w:val="009759CB"/>
    <w:rsid w:val="00975C63"/>
    <w:rsid w:val="00975C94"/>
    <w:rsid w:val="00975E5F"/>
    <w:rsid w:val="009760F3"/>
    <w:rsid w:val="009761F4"/>
    <w:rsid w:val="00980F20"/>
    <w:rsid w:val="009812E7"/>
    <w:rsid w:val="00983116"/>
    <w:rsid w:val="00983B63"/>
    <w:rsid w:val="00983C0B"/>
    <w:rsid w:val="009842D9"/>
    <w:rsid w:val="00984A06"/>
    <w:rsid w:val="00985506"/>
    <w:rsid w:val="00985865"/>
    <w:rsid w:val="009862A4"/>
    <w:rsid w:val="009863EF"/>
    <w:rsid w:val="009901E3"/>
    <w:rsid w:val="009907CF"/>
    <w:rsid w:val="00990941"/>
    <w:rsid w:val="009909F5"/>
    <w:rsid w:val="009921F7"/>
    <w:rsid w:val="0099366E"/>
    <w:rsid w:val="00993D77"/>
    <w:rsid w:val="00996104"/>
    <w:rsid w:val="00997A0C"/>
    <w:rsid w:val="009A01E4"/>
    <w:rsid w:val="009A01E5"/>
    <w:rsid w:val="009A0E8D"/>
    <w:rsid w:val="009A1452"/>
    <w:rsid w:val="009A20D2"/>
    <w:rsid w:val="009A2655"/>
    <w:rsid w:val="009A446A"/>
    <w:rsid w:val="009A46D6"/>
    <w:rsid w:val="009A4F09"/>
    <w:rsid w:val="009A56EA"/>
    <w:rsid w:val="009A5E1E"/>
    <w:rsid w:val="009A6988"/>
    <w:rsid w:val="009A7439"/>
    <w:rsid w:val="009B17CC"/>
    <w:rsid w:val="009B262C"/>
    <w:rsid w:val="009B26E7"/>
    <w:rsid w:val="009B2CFB"/>
    <w:rsid w:val="009B2EF2"/>
    <w:rsid w:val="009B3B6D"/>
    <w:rsid w:val="009B4E0B"/>
    <w:rsid w:val="009B6134"/>
    <w:rsid w:val="009B63C7"/>
    <w:rsid w:val="009B647E"/>
    <w:rsid w:val="009B685A"/>
    <w:rsid w:val="009C00AE"/>
    <w:rsid w:val="009C0190"/>
    <w:rsid w:val="009C2850"/>
    <w:rsid w:val="009C2B94"/>
    <w:rsid w:val="009C2C0D"/>
    <w:rsid w:val="009C4874"/>
    <w:rsid w:val="009C5DA6"/>
    <w:rsid w:val="009C65C9"/>
    <w:rsid w:val="009C6AEC"/>
    <w:rsid w:val="009C77E5"/>
    <w:rsid w:val="009C7EFD"/>
    <w:rsid w:val="009D04AC"/>
    <w:rsid w:val="009D065F"/>
    <w:rsid w:val="009D0B1B"/>
    <w:rsid w:val="009D1D59"/>
    <w:rsid w:val="009D22A2"/>
    <w:rsid w:val="009D26D2"/>
    <w:rsid w:val="009D28AB"/>
    <w:rsid w:val="009D4BB8"/>
    <w:rsid w:val="009D5361"/>
    <w:rsid w:val="009D5673"/>
    <w:rsid w:val="009D648F"/>
    <w:rsid w:val="009D6527"/>
    <w:rsid w:val="009D6C47"/>
    <w:rsid w:val="009D76B0"/>
    <w:rsid w:val="009D7894"/>
    <w:rsid w:val="009D790D"/>
    <w:rsid w:val="009D7E85"/>
    <w:rsid w:val="009D7F0F"/>
    <w:rsid w:val="009E11CB"/>
    <w:rsid w:val="009E2898"/>
    <w:rsid w:val="009E2F54"/>
    <w:rsid w:val="009E36BD"/>
    <w:rsid w:val="009E445F"/>
    <w:rsid w:val="009E577B"/>
    <w:rsid w:val="009E6A7F"/>
    <w:rsid w:val="009E6CCC"/>
    <w:rsid w:val="009E74F7"/>
    <w:rsid w:val="009E7D26"/>
    <w:rsid w:val="009E7DCB"/>
    <w:rsid w:val="009F08B1"/>
    <w:rsid w:val="009F0B4C"/>
    <w:rsid w:val="009F192B"/>
    <w:rsid w:val="009F2AC1"/>
    <w:rsid w:val="009F3272"/>
    <w:rsid w:val="009F390B"/>
    <w:rsid w:val="009F3C9A"/>
    <w:rsid w:val="009F40E9"/>
    <w:rsid w:val="009F5905"/>
    <w:rsid w:val="009F5D91"/>
    <w:rsid w:val="009F6E91"/>
    <w:rsid w:val="009F75E0"/>
    <w:rsid w:val="009F7AF8"/>
    <w:rsid w:val="00A004B1"/>
    <w:rsid w:val="00A0063E"/>
    <w:rsid w:val="00A009C6"/>
    <w:rsid w:val="00A00A3F"/>
    <w:rsid w:val="00A012C3"/>
    <w:rsid w:val="00A01489"/>
    <w:rsid w:val="00A015C0"/>
    <w:rsid w:val="00A01E7F"/>
    <w:rsid w:val="00A02273"/>
    <w:rsid w:val="00A030AB"/>
    <w:rsid w:val="00A036B3"/>
    <w:rsid w:val="00A04BAB"/>
    <w:rsid w:val="00A04DCD"/>
    <w:rsid w:val="00A05D55"/>
    <w:rsid w:val="00A069BB"/>
    <w:rsid w:val="00A069E2"/>
    <w:rsid w:val="00A07872"/>
    <w:rsid w:val="00A07897"/>
    <w:rsid w:val="00A10474"/>
    <w:rsid w:val="00A11A0C"/>
    <w:rsid w:val="00A11AD7"/>
    <w:rsid w:val="00A12320"/>
    <w:rsid w:val="00A12518"/>
    <w:rsid w:val="00A1306D"/>
    <w:rsid w:val="00A130FE"/>
    <w:rsid w:val="00A13C17"/>
    <w:rsid w:val="00A14C58"/>
    <w:rsid w:val="00A14D3B"/>
    <w:rsid w:val="00A15A08"/>
    <w:rsid w:val="00A16256"/>
    <w:rsid w:val="00A176A5"/>
    <w:rsid w:val="00A1776E"/>
    <w:rsid w:val="00A203F5"/>
    <w:rsid w:val="00A20474"/>
    <w:rsid w:val="00A21054"/>
    <w:rsid w:val="00A214F2"/>
    <w:rsid w:val="00A216D0"/>
    <w:rsid w:val="00A230A0"/>
    <w:rsid w:val="00A23657"/>
    <w:rsid w:val="00A2561D"/>
    <w:rsid w:val="00A2597E"/>
    <w:rsid w:val="00A25E9B"/>
    <w:rsid w:val="00A262B7"/>
    <w:rsid w:val="00A266D4"/>
    <w:rsid w:val="00A2698E"/>
    <w:rsid w:val="00A31B81"/>
    <w:rsid w:val="00A3261D"/>
    <w:rsid w:val="00A32B10"/>
    <w:rsid w:val="00A33679"/>
    <w:rsid w:val="00A338D7"/>
    <w:rsid w:val="00A338F1"/>
    <w:rsid w:val="00A3488C"/>
    <w:rsid w:val="00A35372"/>
    <w:rsid w:val="00A3630E"/>
    <w:rsid w:val="00A36331"/>
    <w:rsid w:val="00A36BE3"/>
    <w:rsid w:val="00A37DD8"/>
    <w:rsid w:val="00A40510"/>
    <w:rsid w:val="00A4143D"/>
    <w:rsid w:val="00A4192B"/>
    <w:rsid w:val="00A4263D"/>
    <w:rsid w:val="00A44615"/>
    <w:rsid w:val="00A4531D"/>
    <w:rsid w:val="00A455A7"/>
    <w:rsid w:val="00A45DB8"/>
    <w:rsid w:val="00A45DFE"/>
    <w:rsid w:val="00A45E7B"/>
    <w:rsid w:val="00A4722B"/>
    <w:rsid w:val="00A47396"/>
    <w:rsid w:val="00A4753A"/>
    <w:rsid w:val="00A50862"/>
    <w:rsid w:val="00A50C59"/>
    <w:rsid w:val="00A50EFE"/>
    <w:rsid w:val="00A50F81"/>
    <w:rsid w:val="00A520DC"/>
    <w:rsid w:val="00A52EE0"/>
    <w:rsid w:val="00A534F8"/>
    <w:rsid w:val="00A53B60"/>
    <w:rsid w:val="00A55EF0"/>
    <w:rsid w:val="00A55F52"/>
    <w:rsid w:val="00A57155"/>
    <w:rsid w:val="00A60653"/>
    <w:rsid w:val="00A6098E"/>
    <w:rsid w:val="00A60C3C"/>
    <w:rsid w:val="00A60E9F"/>
    <w:rsid w:val="00A61815"/>
    <w:rsid w:val="00A62026"/>
    <w:rsid w:val="00A62162"/>
    <w:rsid w:val="00A622BD"/>
    <w:rsid w:val="00A6378F"/>
    <w:rsid w:val="00A65F5F"/>
    <w:rsid w:val="00A674AA"/>
    <w:rsid w:val="00A703CE"/>
    <w:rsid w:val="00A708BB"/>
    <w:rsid w:val="00A70B9B"/>
    <w:rsid w:val="00A710E2"/>
    <w:rsid w:val="00A71B51"/>
    <w:rsid w:val="00A71DF5"/>
    <w:rsid w:val="00A7276C"/>
    <w:rsid w:val="00A72F22"/>
    <w:rsid w:val="00A7360F"/>
    <w:rsid w:val="00A73D11"/>
    <w:rsid w:val="00A73EDD"/>
    <w:rsid w:val="00A748A6"/>
    <w:rsid w:val="00A7521B"/>
    <w:rsid w:val="00A75355"/>
    <w:rsid w:val="00A769F4"/>
    <w:rsid w:val="00A76E87"/>
    <w:rsid w:val="00A776B4"/>
    <w:rsid w:val="00A77C66"/>
    <w:rsid w:val="00A8191A"/>
    <w:rsid w:val="00A82504"/>
    <w:rsid w:val="00A826D1"/>
    <w:rsid w:val="00A84062"/>
    <w:rsid w:val="00A8467B"/>
    <w:rsid w:val="00A85674"/>
    <w:rsid w:val="00A859BA"/>
    <w:rsid w:val="00A86F19"/>
    <w:rsid w:val="00A871D5"/>
    <w:rsid w:val="00A87251"/>
    <w:rsid w:val="00A872E8"/>
    <w:rsid w:val="00A8780F"/>
    <w:rsid w:val="00A9044C"/>
    <w:rsid w:val="00A90C5B"/>
    <w:rsid w:val="00A90E23"/>
    <w:rsid w:val="00A91499"/>
    <w:rsid w:val="00A91DBE"/>
    <w:rsid w:val="00A937E1"/>
    <w:rsid w:val="00A93CCD"/>
    <w:rsid w:val="00A94361"/>
    <w:rsid w:val="00A95B69"/>
    <w:rsid w:val="00A96457"/>
    <w:rsid w:val="00A96799"/>
    <w:rsid w:val="00AA0619"/>
    <w:rsid w:val="00AA07C0"/>
    <w:rsid w:val="00AA0F58"/>
    <w:rsid w:val="00AA293C"/>
    <w:rsid w:val="00AA2D0D"/>
    <w:rsid w:val="00AA42C6"/>
    <w:rsid w:val="00AA47E3"/>
    <w:rsid w:val="00AA4A02"/>
    <w:rsid w:val="00AA4F43"/>
    <w:rsid w:val="00AB112C"/>
    <w:rsid w:val="00AB19FA"/>
    <w:rsid w:val="00AB1FB2"/>
    <w:rsid w:val="00AB37D5"/>
    <w:rsid w:val="00AB386F"/>
    <w:rsid w:val="00AB4E1A"/>
    <w:rsid w:val="00AB5043"/>
    <w:rsid w:val="00AB5A41"/>
    <w:rsid w:val="00AB5D75"/>
    <w:rsid w:val="00AB7014"/>
    <w:rsid w:val="00AB7523"/>
    <w:rsid w:val="00AB7C6D"/>
    <w:rsid w:val="00AC03E4"/>
    <w:rsid w:val="00AC0A14"/>
    <w:rsid w:val="00AC0D25"/>
    <w:rsid w:val="00AC17DF"/>
    <w:rsid w:val="00AC1844"/>
    <w:rsid w:val="00AC1D9A"/>
    <w:rsid w:val="00AC4840"/>
    <w:rsid w:val="00AC4A9B"/>
    <w:rsid w:val="00AC5653"/>
    <w:rsid w:val="00AC63A2"/>
    <w:rsid w:val="00AC647E"/>
    <w:rsid w:val="00AC72E3"/>
    <w:rsid w:val="00AD001C"/>
    <w:rsid w:val="00AD10F3"/>
    <w:rsid w:val="00AD1591"/>
    <w:rsid w:val="00AD1C54"/>
    <w:rsid w:val="00AD293B"/>
    <w:rsid w:val="00AD392F"/>
    <w:rsid w:val="00AD46B8"/>
    <w:rsid w:val="00AD6EA8"/>
    <w:rsid w:val="00AD7999"/>
    <w:rsid w:val="00AE24FE"/>
    <w:rsid w:val="00AE2860"/>
    <w:rsid w:val="00AE309F"/>
    <w:rsid w:val="00AE3157"/>
    <w:rsid w:val="00AE3E9B"/>
    <w:rsid w:val="00AE5108"/>
    <w:rsid w:val="00AE5404"/>
    <w:rsid w:val="00AE5527"/>
    <w:rsid w:val="00AE63B1"/>
    <w:rsid w:val="00AE77F4"/>
    <w:rsid w:val="00AE7C52"/>
    <w:rsid w:val="00AF1998"/>
    <w:rsid w:val="00AF1A44"/>
    <w:rsid w:val="00AF1E8E"/>
    <w:rsid w:val="00AF2366"/>
    <w:rsid w:val="00AF2509"/>
    <w:rsid w:val="00AF256C"/>
    <w:rsid w:val="00AF3290"/>
    <w:rsid w:val="00AF4244"/>
    <w:rsid w:val="00AF4296"/>
    <w:rsid w:val="00AF5CCF"/>
    <w:rsid w:val="00AF5F6E"/>
    <w:rsid w:val="00AF6C3B"/>
    <w:rsid w:val="00B0282C"/>
    <w:rsid w:val="00B02B00"/>
    <w:rsid w:val="00B02BAA"/>
    <w:rsid w:val="00B033CC"/>
    <w:rsid w:val="00B0380C"/>
    <w:rsid w:val="00B044F7"/>
    <w:rsid w:val="00B04543"/>
    <w:rsid w:val="00B05BD9"/>
    <w:rsid w:val="00B06058"/>
    <w:rsid w:val="00B068EA"/>
    <w:rsid w:val="00B06D66"/>
    <w:rsid w:val="00B06DF0"/>
    <w:rsid w:val="00B07070"/>
    <w:rsid w:val="00B07138"/>
    <w:rsid w:val="00B0779C"/>
    <w:rsid w:val="00B07A6A"/>
    <w:rsid w:val="00B10872"/>
    <w:rsid w:val="00B1103D"/>
    <w:rsid w:val="00B11238"/>
    <w:rsid w:val="00B11C54"/>
    <w:rsid w:val="00B12229"/>
    <w:rsid w:val="00B12715"/>
    <w:rsid w:val="00B128E8"/>
    <w:rsid w:val="00B12BB4"/>
    <w:rsid w:val="00B12E1C"/>
    <w:rsid w:val="00B13E9B"/>
    <w:rsid w:val="00B1421A"/>
    <w:rsid w:val="00B142F7"/>
    <w:rsid w:val="00B1492A"/>
    <w:rsid w:val="00B14BDF"/>
    <w:rsid w:val="00B15987"/>
    <w:rsid w:val="00B15993"/>
    <w:rsid w:val="00B16FC0"/>
    <w:rsid w:val="00B17560"/>
    <w:rsid w:val="00B1796D"/>
    <w:rsid w:val="00B17A87"/>
    <w:rsid w:val="00B17F54"/>
    <w:rsid w:val="00B201CC"/>
    <w:rsid w:val="00B20B3C"/>
    <w:rsid w:val="00B2177C"/>
    <w:rsid w:val="00B22683"/>
    <w:rsid w:val="00B241FA"/>
    <w:rsid w:val="00B24267"/>
    <w:rsid w:val="00B2707A"/>
    <w:rsid w:val="00B2766A"/>
    <w:rsid w:val="00B27CC0"/>
    <w:rsid w:val="00B30179"/>
    <w:rsid w:val="00B32131"/>
    <w:rsid w:val="00B339A7"/>
    <w:rsid w:val="00B33F29"/>
    <w:rsid w:val="00B34616"/>
    <w:rsid w:val="00B34A3F"/>
    <w:rsid w:val="00B34C56"/>
    <w:rsid w:val="00B35F15"/>
    <w:rsid w:val="00B369CE"/>
    <w:rsid w:val="00B3784A"/>
    <w:rsid w:val="00B37AAE"/>
    <w:rsid w:val="00B37BAE"/>
    <w:rsid w:val="00B41837"/>
    <w:rsid w:val="00B41A2E"/>
    <w:rsid w:val="00B41ACB"/>
    <w:rsid w:val="00B427FA"/>
    <w:rsid w:val="00B43A0B"/>
    <w:rsid w:val="00B443E2"/>
    <w:rsid w:val="00B44D95"/>
    <w:rsid w:val="00B46096"/>
    <w:rsid w:val="00B467D5"/>
    <w:rsid w:val="00B4718F"/>
    <w:rsid w:val="00B47380"/>
    <w:rsid w:val="00B5092B"/>
    <w:rsid w:val="00B50A5B"/>
    <w:rsid w:val="00B512C7"/>
    <w:rsid w:val="00B515D4"/>
    <w:rsid w:val="00B525D3"/>
    <w:rsid w:val="00B52857"/>
    <w:rsid w:val="00B53F42"/>
    <w:rsid w:val="00B56A03"/>
    <w:rsid w:val="00B56E4A"/>
    <w:rsid w:val="00B56E9C"/>
    <w:rsid w:val="00B57706"/>
    <w:rsid w:val="00B60748"/>
    <w:rsid w:val="00B6380E"/>
    <w:rsid w:val="00B639A0"/>
    <w:rsid w:val="00B63FAE"/>
    <w:rsid w:val="00B640A3"/>
    <w:rsid w:val="00B64B1F"/>
    <w:rsid w:val="00B6548B"/>
    <w:rsid w:val="00B654DC"/>
    <w:rsid w:val="00B6553F"/>
    <w:rsid w:val="00B65D1D"/>
    <w:rsid w:val="00B66364"/>
    <w:rsid w:val="00B66CFD"/>
    <w:rsid w:val="00B66E5E"/>
    <w:rsid w:val="00B6735D"/>
    <w:rsid w:val="00B67817"/>
    <w:rsid w:val="00B678D6"/>
    <w:rsid w:val="00B67C9C"/>
    <w:rsid w:val="00B67DD7"/>
    <w:rsid w:val="00B705E0"/>
    <w:rsid w:val="00B70C5B"/>
    <w:rsid w:val="00B7160E"/>
    <w:rsid w:val="00B716A0"/>
    <w:rsid w:val="00B720B5"/>
    <w:rsid w:val="00B7342F"/>
    <w:rsid w:val="00B74223"/>
    <w:rsid w:val="00B753D1"/>
    <w:rsid w:val="00B768E8"/>
    <w:rsid w:val="00B76F9C"/>
    <w:rsid w:val="00B77AAF"/>
    <w:rsid w:val="00B77D05"/>
    <w:rsid w:val="00B77EB1"/>
    <w:rsid w:val="00B77FDF"/>
    <w:rsid w:val="00B80AA4"/>
    <w:rsid w:val="00B81202"/>
    <w:rsid w:val="00B81206"/>
    <w:rsid w:val="00B81E12"/>
    <w:rsid w:val="00B82156"/>
    <w:rsid w:val="00B8236D"/>
    <w:rsid w:val="00B828F1"/>
    <w:rsid w:val="00B83765"/>
    <w:rsid w:val="00B83A07"/>
    <w:rsid w:val="00B83D18"/>
    <w:rsid w:val="00B846C0"/>
    <w:rsid w:val="00B84C4B"/>
    <w:rsid w:val="00B84CAD"/>
    <w:rsid w:val="00B84CBE"/>
    <w:rsid w:val="00B84D8C"/>
    <w:rsid w:val="00B857DE"/>
    <w:rsid w:val="00B85908"/>
    <w:rsid w:val="00B861DB"/>
    <w:rsid w:val="00B86B5F"/>
    <w:rsid w:val="00B874C1"/>
    <w:rsid w:val="00B876FC"/>
    <w:rsid w:val="00B878B3"/>
    <w:rsid w:val="00B879F3"/>
    <w:rsid w:val="00B9067B"/>
    <w:rsid w:val="00B90F27"/>
    <w:rsid w:val="00B91144"/>
    <w:rsid w:val="00B93B25"/>
    <w:rsid w:val="00B94491"/>
    <w:rsid w:val="00B94B8D"/>
    <w:rsid w:val="00B94FA9"/>
    <w:rsid w:val="00B95FC8"/>
    <w:rsid w:val="00B96520"/>
    <w:rsid w:val="00B96941"/>
    <w:rsid w:val="00B97172"/>
    <w:rsid w:val="00B97E4C"/>
    <w:rsid w:val="00BA01DB"/>
    <w:rsid w:val="00BA0CA7"/>
    <w:rsid w:val="00BA10AE"/>
    <w:rsid w:val="00BA1A7E"/>
    <w:rsid w:val="00BA1EDB"/>
    <w:rsid w:val="00BA287E"/>
    <w:rsid w:val="00BA29D1"/>
    <w:rsid w:val="00BA4341"/>
    <w:rsid w:val="00BA740D"/>
    <w:rsid w:val="00BB02D8"/>
    <w:rsid w:val="00BB1607"/>
    <w:rsid w:val="00BB22D5"/>
    <w:rsid w:val="00BB2CF0"/>
    <w:rsid w:val="00BB2DB0"/>
    <w:rsid w:val="00BB3491"/>
    <w:rsid w:val="00BB37C3"/>
    <w:rsid w:val="00BB4003"/>
    <w:rsid w:val="00BB5068"/>
    <w:rsid w:val="00BB577C"/>
    <w:rsid w:val="00BB58C9"/>
    <w:rsid w:val="00BB5E34"/>
    <w:rsid w:val="00BB7A8F"/>
    <w:rsid w:val="00BB7F1B"/>
    <w:rsid w:val="00BC012A"/>
    <w:rsid w:val="00BC01E3"/>
    <w:rsid w:val="00BC05BC"/>
    <w:rsid w:val="00BC0B15"/>
    <w:rsid w:val="00BC186C"/>
    <w:rsid w:val="00BC298A"/>
    <w:rsid w:val="00BC2C23"/>
    <w:rsid w:val="00BC2C92"/>
    <w:rsid w:val="00BC3302"/>
    <w:rsid w:val="00BC48F3"/>
    <w:rsid w:val="00BC4B5D"/>
    <w:rsid w:val="00BC5A8B"/>
    <w:rsid w:val="00BC6B1E"/>
    <w:rsid w:val="00BC70AB"/>
    <w:rsid w:val="00BC74E9"/>
    <w:rsid w:val="00BD035A"/>
    <w:rsid w:val="00BD1277"/>
    <w:rsid w:val="00BD21E3"/>
    <w:rsid w:val="00BD2AEB"/>
    <w:rsid w:val="00BD49BA"/>
    <w:rsid w:val="00BD5EB3"/>
    <w:rsid w:val="00BD65ED"/>
    <w:rsid w:val="00BD6FD3"/>
    <w:rsid w:val="00BD7EA8"/>
    <w:rsid w:val="00BE07C8"/>
    <w:rsid w:val="00BE0B12"/>
    <w:rsid w:val="00BE1DC9"/>
    <w:rsid w:val="00BE2C31"/>
    <w:rsid w:val="00BE2F99"/>
    <w:rsid w:val="00BE325F"/>
    <w:rsid w:val="00BE3A3E"/>
    <w:rsid w:val="00BE65C5"/>
    <w:rsid w:val="00BE76EE"/>
    <w:rsid w:val="00BE7732"/>
    <w:rsid w:val="00BF09D4"/>
    <w:rsid w:val="00BF1BB0"/>
    <w:rsid w:val="00BF1D74"/>
    <w:rsid w:val="00BF21FF"/>
    <w:rsid w:val="00BF3D9D"/>
    <w:rsid w:val="00BF450E"/>
    <w:rsid w:val="00BF4AA2"/>
    <w:rsid w:val="00BF51B5"/>
    <w:rsid w:val="00BF5A65"/>
    <w:rsid w:val="00BF5B2C"/>
    <w:rsid w:val="00BF61FF"/>
    <w:rsid w:val="00BF68A8"/>
    <w:rsid w:val="00BF6DBF"/>
    <w:rsid w:val="00C00065"/>
    <w:rsid w:val="00C006A7"/>
    <w:rsid w:val="00C00A5E"/>
    <w:rsid w:val="00C027AF"/>
    <w:rsid w:val="00C03101"/>
    <w:rsid w:val="00C03905"/>
    <w:rsid w:val="00C03EE4"/>
    <w:rsid w:val="00C0401B"/>
    <w:rsid w:val="00C04029"/>
    <w:rsid w:val="00C04F50"/>
    <w:rsid w:val="00C0603D"/>
    <w:rsid w:val="00C0718D"/>
    <w:rsid w:val="00C11207"/>
    <w:rsid w:val="00C11A03"/>
    <w:rsid w:val="00C13B55"/>
    <w:rsid w:val="00C13C13"/>
    <w:rsid w:val="00C14199"/>
    <w:rsid w:val="00C14A79"/>
    <w:rsid w:val="00C15217"/>
    <w:rsid w:val="00C154D2"/>
    <w:rsid w:val="00C15938"/>
    <w:rsid w:val="00C15C4D"/>
    <w:rsid w:val="00C15E72"/>
    <w:rsid w:val="00C16605"/>
    <w:rsid w:val="00C168CA"/>
    <w:rsid w:val="00C176E9"/>
    <w:rsid w:val="00C20451"/>
    <w:rsid w:val="00C218AA"/>
    <w:rsid w:val="00C22595"/>
    <w:rsid w:val="00C227E8"/>
    <w:rsid w:val="00C2284D"/>
    <w:rsid w:val="00C22F80"/>
    <w:rsid w:val="00C237CB"/>
    <w:rsid w:val="00C2458A"/>
    <w:rsid w:val="00C25E02"/>
    <w:rsid w:val="00C2617F"/>
    <w:rsid w:val="00C2623D"/>
    <w:rsid w:val="00C2698D"/>
    <w:rsid w:val="00C27BF7"/>
    <w:rsid w:val="00C27C77"/>
    <w:rsid w:val="00C27D00"/>
    <w:rsid w:val="00C305FF"/>
    <w:rsid w:val="00C31235"/>
    <w:rsid w:val="00C3185F"/>
    <w:rsid w:val="00C31D00"/>
    <w:rsid w:val="00C325D0"/>
    <w:rsid w:val="00C3279A"/>
    <w:rsid w:val="00C33045"/>
    <w:rsid w:val="00C33936"/>
    <w:rsid w:val="00C33BD4"/>
    <w:rsid w:val="00C34341"/>
    <w:rsid w:val="00C34773"/>
    <w:rsid w:val="00C34926"/>
    <w:rsid w:val="00C35D6F"/>
    <w:rsid w:val="00C36695"/>
    <w:rsid w:val="00C36CA4"/>
    <w:rsid w:val="00C37106"/>
    <w:rsid w:val="00C37550"/>
    <w:rsid w:val="00C376DA"/>
    <w:rsid w:val="00C37DCD"/>
    <w:rsid w:val="00C401AE"/>
    <w:rsid w:val="00C40796"/>
    <w:rsid w:val="00C40EE4"/>
    <w:rsid w:val="00C41957"/>
    <w:rsid w:val="00C41A40"/>
    <w:rsid w:val="00C42783"/>
    <w:rsid w:val="00C4279B"/>
    <w:rsid w:val="00C42964"/>
    <w:rsid w:val="00C42AEC"/>
    <w:rsid w:val="00C4482F"/>
    <w:rsid w:val="00C44D68"/>
    <w:rsid w:val="00C463DD"/>
    <w:rsid w:val="00C46474"/>
    <w:rsid w:val="00C46A14"/>
    <w:rsid w:val="00C4723D"/>
    <w:rsid w:val="00C4724C"/>
    <w:rsid w:val="00C47AFD"/>
    <w:rsid w:val="00C5026B"/>
    <w:rsid w:val="00C50356"/>
    <w:rsid w:val="00C51960"/>
    <w:rsid w:val="00C51B7F"/>
    <w:rsid w:val="00C51F0A"/>
    <w:rsid w:val="00C51F77"/>
    <w:rsid w:val="00C52063"/>
    <w:rsid w:val="00C52916"/>
    <w:rsid w:val="00C52F3D"/>
    <w:rsid w:val="00C530E2"/>
    <w:rsid w:val="00C53223"/>
    <w:rsid w:val="00C5392D"/>
    <w:rsid w:val="00C539D4"/>
    <w:rsid w:val="00C547E5"/>
    <w:rsid w:val="00C548A1"/>
    <w:rsid w:val="00C54F73"/>
    <w:rsid w:val="00C55779"/>
    <w:rsid w:val="00C561E4"/>
    <w:rsid w:val="00C5734E"/>
    <w:rsid w:val="00C6017C"/>
    <w:rsid w:val="00C606D3"/>
    <w:rsid w:val="00C6078C"/>
    <w:rsid w:val="00C61566"/>
    <w:rsid w:val="00C615FB"/>
    <w:rsid w:val="00C61F13"/>
    <w:rsid w:val="00C61F70"/>
    <w:rsid w:val="00C629A0"/>
    <w:rsid w:val="00C6410D"/>
    <w:rsid w:val="00C64A07"/>
    <w:rsid w:val="00C659A9"/>
    <w:rsid w:val="00C65F90"/>
    <w:rsid w:val="00C663E2"/>
    <w:rsid w:val="00C702EE"/>
    <w:rsid w:val="00C709C4"/>
    <w:rsid w:val="00C71037"/>
    <w:rsid w:val="00C719BD"/>
    <w:rsid w:val="00C723A8"/>
    <w:rsid w:val="00C72BDE"/>
    <w:rsid w:val="00C7315E"/>
    <w:rsid w:val="00C7385F"/>
    <w:rsid w:val="00C745C3"/>
    <w:rsid w:val="00C777E5"/>
    <w:rsid w:val="00C77867"/>
    <w:rsid w:val="00C77C10"/>
    <w:rsid w:val="00C80546"/>
    <w:rsid w:val="00C80763"/>
    <w:rsid w:val="00C815DC"/>
    <w:rsid w:val="00C82175"/>
    <w:rsid w:val="00C822D7"/>
    <w:rsid w:val="00C82416"/>
    <w:rsid w:val="00C84095"/>
    <w:rsid w:val="00C84F0A"/>
    <w:rsid w:val="00C8504E"/>
    <w:rsid w:val="00C8561F"/>
    <w:rsid w:val="00C866DB"/>
    <w:rsid w:val="00C869BF"/>
    <w:rsid w:val="00C86F92"/>
    <w:rsid w:val="00C878DB"/>
    <w:rsid w:val="00C87DF5"/>
    <w:rsid w:val="00C9045B"/>
    <w:rsid w:val="00C909F8"/>
    <w:rsid w:val="00C90D3D"/>
    <w:rsid w:val="00C910B3"/>
    <w:rsid w:val="00C9183C"/>
    <w:rsid w:val="00C91BBB"/>
    <w:rsid w:val="00C921CF"/>
    <w:rsid w:val="00C922DC"/>
    <w:rsid w:val="00C929A2"/>
    <w:rsid w:val="00C934B4"/>
    <w:rsid w:val="00C940C1"/>
    <w:rsid w:val="00C94BC7"/>
    <w:rsid w:val="00C95B85"/>
    <w:rsid w:val="00C96525"/>
    <w:rsid w:val="00C96D26"/>
    <w:rsid w:val="00CA026A"/>
    <w:rsid w:val="00CA2882"/>
    <w:rsid w:val="00CA40C1"/>
    <w:rsid w:val="00CA42FF"/>
    <w:rsid w:val="00CA5012"/>
    <w:rsid w:val="00CA56DE"/>
    <w:rsid w:val="00CA5848"/>
    <w:rsid w:val="00CA6179"/>
    <w:rsid w:val="00CA7C33"/>
    <w:rsid w:val="00CA7D62"/>
    <w:rsid w:val="00CB06B5"/>
    <w:rsid w:val="00CB1B90"/>
    <w:rsid w:val="00CB21C9"/>
    <w:rsid w:val="00CB22DB"/>
    <w:rsid w:val="00CB25DD"/>
    <w:rsid w:val="00CB27E8"/>
    <w:rsid w:val="00CB2CED"/>
    <w:rsid w:val="00CB335D"/>
    <w:rsid w:val="00CB400C"/>
    <w:rsid w:val="00CB41B9"/>
    <w:rsid w:val="00CB4487"/>
    <w:rsid w:val="00CB6C91"/>
    <w:rsid w:val="00CB787B"/>
    <w:rsid w:val="00CB78EF"/>
    <w:rsid w:val="00CB7F90"/>
    <w:rsid w:val="00CC04F4"/>
    <w:rsid w:val="00CC0DF3"/>
    <w:rsid w:val="00CC166D"/>
    <w:rsid w:val="00CC1F58"/>
    <w:rsid w:val="00CC241F"/>
    <w:rsid w:val="00CC327C"/>
    <w:rsid w:val="00CC4C0C"/>
    <w:rsid w:val="00CC5BCE"/>
    <w:rsid w:val="00CC664C"/>
    <w:rsid w:val="00CC6EAC"/>
    <w:rsid w:val="00CC7484"/>
    <w:rsid w:val="00CC7652"/>
    <w:rsid w:val="00CC7755"/>
    <w:rsid w:val="00CD0C45"/>
    <w:rsid w:val="00CD2F04"/>
    <w:rsid w:val="00CD386B"/>
    <w:rsid w:val="00CD462F"/>
    <w:rsid w:val="00CD5731"/>
    <w:rsid w:val="00CD5808"/>
    <w:rsid w:val="00CD5ABE"/>
    <w:rsid w:val="00CD6F25"/>
    <w:rsid w:val="00CD70B8"/>
    <w:rsid w:val="00CE1494"/>
    <w:rsid w:val="00CE1672"/>
    <w:rsid w:val="00CE170A"/>
    <w:rsid w:val="00CE2140"/>
    <w:rsid w:val="00CE3E66"/>
    <w:rsid w:val="00CE4904"/>
    <w:rsid w:val="00CE4A8F"/>
    <w:rsid w:val="00CE4D40"/>
    <w:rsid w:val="00CE5876"/>
    <w:rsid w:val="00CE5F5D"/>
    <w:rsid w:val="00CE673A"/>
    <w:rsid w:val="00CE7317"/>
    <w:rsid w:val="00CE7349"/>
    <w:rsid w:val="00CF175C"/>
    <w:rsid w:val="00CF20BA"/>
    <w:rsid w:val="00CF21B3"/>
    <w:rsid w:val="00CF2919"/>
    <w:rsid w:val="00CF2B6E"/>
    <w:rsid w:val="00CF2C0D"/>
    <w:rsid w:val="00CF2C2A"/>
    <w:rsid w:val="00CF2FC3"/>
    <w:rsid w:val="00CF3305"/>
    <w:rsid w:val="00CF3E3C"/>
    <w:rsid w:val="00CF5CB5"/>
    <w:rsid w:val="00CF6039"/>
    <w:rsid w:val="00CF60AE"/>
    <w:rsid w:val="00CF6255"/>
    <w:rsid w:val="00CF7083"/>
    <w:rsid w:val="00CF76CE"/>
    <w:rsid w:val="00CF77AB"/>
    <w:rsid w:val="00CF7D0F"/>
    <w:rsid w:val="00D00F79"/>
    <w:rsid w:val="00D012D4"/>
    <w:rsid w:val="00D01C8B"/>
    <w:rsid w:val="00D0217D"/>
    <w:rsid w:val="00D02C72"/>
    <w:rsid w:val="00D04B04"/>
    <w:rsid w:val="00D056DA"/>
    <w:rsid w:val="00D05885"/>
    <w:rsid w:val="00D06910"/>
    <w:rsid w:val="00D06EAB"/>
    <w:rsid w:val="00D07060"/>
    <w:rsid w:val="00D07A3E"/>
    <w:rsid w:val="00D07FAD"/>
    <w:rsid w:val="00D103AB"/>
    <w:rsid w:val="00D107D6"/>
    <w:rsid w:val="00D11301"/>
    <w:rsid w:val="00D1131C"/>
    <w:rsid w:val="00D1134A"/>
    <w:rsid w:val="00D122F4"/>
    <w:rsid w:val="00D13038"/>
    <w:rsid w:val="00D13071"/>
    <w:rsid w:val="00D134DC"/>
    <w:rsid w:val="00D141CF"/>
    <w:rsid w:val="00D161DA"/>
    <w:rsid w:val="00D16450"/>
    <w:rsid w:val="00D200AB"/>
    <w:rsid w:val="00D2031B"/>
    <w:rsid w:val="00D20619"/>
    <w:rsid w:val="00D20B52"/>
    <w:rsid w:val="00D213F2"/>
    <w:rsid w:val="00D21D87"/>
    <w:rsid w:val="00D21DB9"/>
    <w:rsid w:val="00D21DF5"/>
    <w:rsid w:val="00D21E61"/>
    <w:rsid w:val="00D2276A"/>
    <w:rsid w:val="00D2305C"/>
    <w:rsid w:val="00D236D5"/>
    <w:rsid w:val="00D23C28"/>
    <w:rsid w:val="00D24040"/>
    <w:rsid w:val="00D24185"/>
    <w:rsid w:val="00D256FB"/>
    <w:rsid w:val="00D257E7"/>
    <w:rsid w:val="00D25FE2"/>
    <w:rsid w:val="00D26166"/>
    <w:rsid w:val="00D2672E"/>
    <w:rsid w:val="00D270EF"/>
    <w:rsid w:val="00D27315"/>
    <w:rsid w:val="00D305BA"/>
    <w:rsid w:val="00D31499"/>
    <w:rsid w:val="00D33324"/>
    <w:rsid w:val="00D334BD"/>
    <w:rsid w:val="00D33BC7"/>
    <w:rsid w:val="00D33CD6"/>
    <w:rsid w:val="00D34E31"/>
    <w:rsid w:val="00D354E1"/>
    <w:rsid w:val="00D3669F"/>
    <w:rsid w:val="00D36758"/>
    <w:rsid w:val="00D36E57"/>
    <w:rsid w:val="00D377FC"/>
    <w:rsid w:val="00D37E2D"/>
    <w:rsid w:val="00D41AC9"/>
    <w:rsid w:val="00D41FE9"/>
    <w:rsid w:val="00D42E65"/>
    <w:rsid w:val="00D430A1"/>
    <w:rsid w:val="00D431EB"/>
    <w:rsid w:val="00D43252"/>
    <w:rsid w:val="00D4394C"/>
    <w:rsid w:val="00D45303"/>
    <w:rsid w:val="00D45485"/>
    <w:rsid w:val="00D45B94"/>
    <w:rsid w:val="00D46294"/>
    <w:rsid w:val="00D46877"/>
    <w:rsid w:val="00D46BA9"/>
    <w:rsid w:val="00D46C0F"/>
    <w:rsid w:val="00D473D1"/>
    <w:rsid w:val="00D47963"/>
    <w:rsid w:val="00D47B2C"/>
    <w:rsid w:val="00D47EEA"/>
    <w:rsid w:val="00D50C86"/>
    <w:rsid w:val="00D50E8D"/>
    <w:rsid w:val="00D50EE6"/>
    <w:rsid w:val="00D50F53"/>
    <w:rsid w:val="00D51532"/>
    <w:rsid w:val="00D5167F"/>
    <w:rsid w:val="00D5251B"/>
    <w:rsid w:val="00D53668"/>
    <w:rsid w:val="00D537C3"/>
    <w:rsid w:val="00D53B1D"/>
    <w:rsid w:val="00D53CC8"/>
    <w:rsid w:val="00D54AC8"/>
    <w:rsid w:val="00D56CCE"/>
    <w:rsid w:val="00D577D8"/>
    <w:rsid w:val="00D579D6"/>
    <w:rsid w:val="00D60739"/>
    <w:rsid w:val="00D61B09"/>
    <w:rsid w:val="00D63013"/>
    <w:rsid w:val="00D64A83"/>
    <w:rsid w:val="00D64D91"/>
    <w:rsid w:val="00D65841"/>
    <w:rsid w:val="00D65878"/>
    <w:rsid w:val="00D65F50"/>
    <w:rsid w:val="00D676FF"/>
    <w:rsid w:val="00D70A01"/>
    <w:rsid w:val="00D71187"/>
    <w:rsid w:val="00D712FE"/>
    <w:rsid w:val="00D725AD"/>
    <w:rsid w:val="00D72B36"/>
    <w:rsid w:val="00D73195"/>
    <w:rsid w:val="00D73357"/>
    <w:rsid w:val="00D73754"/>
    <w:rsid w:val="00D750F6"/>
    <w:rsid w:val="00D7781D"/>
    <w:rsid w:val="00D77AEF"/>
    <w:rsid w:val="00D82605"/>
    <w:rsid w:val="00D82B3A"/>
    <w:rsid w:val="00D82D3B"/>
    <w:rsid w:val="00D8324A"/>
    <w:rsid w:val="00D8586C"/>
    <w:rsid w:val="00D86B85"/>
    <w:rsid w:val="00D87A8A"/>
    <w:rsid w:val="00D87C94"/>
    <w:rsid w:val="00D87CC3"/>
    <w:rsid w:val="00D902C0"/>
    <w:rsid w:val="00D90984"/>
    <w:rsid w:val="00D90A8D"/>
    <w:rsid w:val="00D90F93"/>
    <w:rsid w:val="00D910D2"/>
    <w:rsid w:val="00D9204F"/>
    <w:rsid w:val="00D92AE1"/>
    <w:rsid w:val="00D94A0C"/>
    <w:rsid w:val="00D95303"/>
    <w:rsid w:val="00D9541E"/>
    <w:rsid w:val="00D95950"/>
    <w:rsid w:val="00D95A82"/>
    <w:rsid w:val="00D96442"/>
    <w:rsid w:val="00D96B41"/>
    <w:rsid w:val="00D9732B"/>
    <w:rsid w:val="00D978C6"/>
    <w:rsid w:val="00D97FB9"/>
    <w:rsid w:val="00DA0F6C"/>
    <w:rsid w:val="00DA16D9"/>
    <w:rsid w:val="00DA1948"/>
    <w:rsid w:val="00DA2765"/>
    <w:rsid w:val="00DA3111"/>
    <w:rsid w:val="00DA3C1C"/>
    <w:rsid w:val="00DA3DC3"/>
    <w:rsid w:val="00DA3EB3"/>
    <w:rsid w:val="00DA49AA"/>
    <w:rsid w:val="00DA53E6"/>
    <w:rsid w:val="00DA70A3"/>
    <w:rsid w:val="00DA7238"/>
    <w:rsid w:val="00DA7412"/>
    <w:rsid w:val="00DA764F"/>
    <w:rsid w:val="00DB0364"/>
    <w:rsid w:val="00DB08A3"/>
    <w:rsid w:val="00DB0C79"/>
    <w:rsid w:val="00DB162B"/>
    <w:rsid w:val="00DB208A"/>
    <w:rsid w:val="00DB3C10"/>
    <w:rsid w:val="00DB44F6"/>
    <w:rsid w:val="00DB45B8"/>
    <w:rsid w:val="00DB56B3"/>
    <w:rsid w:val="00DB5B2F"/>
    <w:rsid w:val="00DB6CA7"/>
    <w:rsid w:val="00DC096C"/>
    <w:rsid w:val="00DC0CAC"/>
    <w:rsid w:val="00DC0FCD"/>
    <w:rsid w:val="00DC128E"/>
    <w:rsid w:val="00DC290C"/>
    <w:rsid w:val="00DC3A84"/>
    <w:rsid w:val="00DC4569"/>
    <w:rsid w:val="00DC4F03"/>
    <w:rsid w:val="00DC6DBB"/>
    <w:rsid w:val="00DC6E39"/>
    <w:rsid w:val="00DC71FF"/>
    <w:rsid w:val="00DC7EEC"/>
    <w:rsid w:val="00DD013D"/>
    <w:rsid w:val="00DD0339"/>
    <w:rsid w:val="00DD0C32"/>
    <w:rsid w:val="00DD1B10"/>
    <w:rsid w:val="00DD1BA1"/>
    <w:rsid w:val="00DD26A8"/>
    <w:rsid w:val="00DD2781"/>
    <w:rsid w:val="00DD3AEE"/>
    <w:rsid w:val="00DD3C6C"/>
    <w:rsid w:val="00DD3D73"/>
    <w:rsid w:val="00DD488B"/>
    <w:rsid w:val="00DD6D53"/>
    <w:rsid w:val="00DD6E57"/>
    <w:rsid w:val="00DE000C"/>
    <w:rsid w:val="00DE1A9A"/>
    <w:rsid w:val="00DE23B6"/>
    <w:rsid w:val="00DE3E91"/>
    <w:rsid w:val="00DE3F50"/>
    <w:rsid w:val="00DE473D"/>
    <w:rsid w:val="00DE5C04"/>
    <w:rsid w:val="00DE79A8"/>
    <w:rsid w:val="00DE79F7"/>
    <w:rsid w:val="00DF0447"/>
    <w:rsid w:val="00DF1E57"/>
    <w:rsid w:val="00DF3295"/>
    <w:rsid w:val="00DF374D"/>
    <w:rsid w:val="00DF3F04"/>
    <w:rsid w:val="00DF4996"/>
    <w:rsid w:val="00DF50FB"/>
    <w:rsid w:val="00DF56AC"/>
    <w:rsid w:val="00DF5756"/>
    <w:rsid w:val="00DF589C"/>
    <w:rsid w:val="00DF5EFA"/>
    <w:rsid w:val="00DF67AC"/>
    <w:rsid w:val="00DF6941"/>
    <w:rsid w:val="00DF6B08"/>
    <w:rsid w:val="00DF6C8D"/>
    <w:rsid w:val="00DF6E87"/>
    <w:rsid w:val="00DF740E"/>
    <w:rsid w:val="00DF7914"/>
    <w:rsid w:val="00E00251"/>
    <w:rsid w:val="00E012C9"/>
    <w:rsid w:val="00E01753"/>
    <w:rsid w:val="00E03890"/>
    <w:rsid w:val="00E0462F"/>
    <w:rsid w:val="00E04B7E"/>
    <w:rsid w:val="00E05998"/>
    <w:rsid w:val="00E07C3D"/>
    <w:rsid w:val="00E10CF1"/>
    <w:rsid w:val="00E11639"/>
    <w:rsid w:val="00E12C41"/>
    <w:rsid w:val="00E138E5"/>
    <w:rsid w:val="00E13BBE"/>
    <w:rsid w:val="00E13CA7"/>
    <w:rsid w:val="00E14467"/>
    <w:rsid w:val="00E15945"/>
    <w:rsid w:val="00E16CD9"/>
    <w:rsid w:val="00E17496"/>
    <w:rsid w:val="00E17CD1"/>
    <w:rsid w:val="00E209FD"/>
    <w:rsid w:val="00E21D75"/>
    <w:rsid w:val="00E2297A"/>
    <w:rsid w:val="00E22C44"/>
    <w:rsid w:val="00E23119"/>
    <w:rsid w:val="00E2352D"/>
    <w:rsid w:val="00E24886"/>
    <w:rsid w:val="00E249DC"/>
    <w:rsid w:val="00E25E54"/>
    <w:rsid w:val="00E26103"/>
    <w:rsid w:val="00E27346"/>
    <w:rsid w:val="00E27F6D"/>
    <w:rsid w:val="00E31310"/>
    <w:rsid w:val="00E313C0"/>
    <w:rsid w:val="00E31D69"/>
    <w:rsid w:val="00E3235C"/>
    <w:rsid w:val="00E33459"/>
    <w:rsid w:val="00E334A0"/>
    <w:rsid w:val="00E33D38"/>
    <w:rsid w:val="00E33D68"/>
    <w:rsid w:val="00E3477A"/>
    <w:rsid w:val="00E352FB"/>
    <w:rsid w:val="00E36185"/>
    <w:rsid w:val="00E37510"/>
    <w:rsid w:val="00E376E4"/>
    <w:rsid w:val="00E37733"/>
    <w:rsid w:val="00E37C2F"/>
    <w:rsid w:val="00E401B7"/>
    <w:rsid w:val="00E40420"/>
    <w:rsid w:val="00E41EBB"/>
    <w:rsid w:val="00E42D0D"/>
    <w:rsid w:val="00E436D1"/>
    <w:rsid w:val="00E43EC4"/>
    <w:rsid w:val="00E4406C"/>
    <w:rsid w:val="00E44542"/>
    <w:rsid w:val="00E46F7B"/>
    <w:rsid w:val="00E4707C"/>
    <w:rsid w:val="00E5126F"/>
    <w:rsid w:val="00E51BCB"/>
    <w:rsid w:val="00E53400"/>
    <w:rsid w:val="00E542F7"/>
    <w:rsid w:val="00E54361"/>
    <w:rsid w:val="00E5597B"/>
    <w:rsid w:val="00E5731A"/>
    <w:rsid w:val="00E6108F"/>
    <w:rsid w:val="00E61763"/>
    <w:rsid w:val="00E62BDD"/>
    <w:rsid w:val="00E632CC"/>
    <w:rsid w:val="00E63CD8"/>
    <w:rsid w:val="00E65396"/>
    <w:rsid w:val="00E65C41"/>
    <w:rsid w:val="00E66A03"/>
    <w:rsid w:val="00E66C40"/>
    <w:rsid w:val="00E67081"/>
    <w:rsid w:val="00E67476"/>
    <w:rsid w:val="00E67F91"/>
    <w:rsid w:val="00E70A97"/>
    <w:rsid w:val="00E70FC3"/>
    <w:rsid w:val="00E711CA"/>
    <w:rsid w:val="00E71252"/>
    <w:rsid w:val="00E71BC8"/>
    <w:rsid w:val="00E721F3"/>
    <w:rsid w:val="00E7260F"/>
    <w:rsid w:val="00E73B8F"/>
    <w:rsid w:val="00E74951"/>
    <w:rsid w:val="00E7543A"/>
    <w:rsid w:val="00E7582C"/>
    <w:rsid w:val="00E759A9"/>
    <w:rsid w:val="00E75F22"/>
    <w:rsid w:val="00E76A04"/>
    <w:rsid w:val="00E779FC"/>
    <w:rsid w:val="00E77D3C"/>
    <w:rsid w:val="00E80B72"/>
    <w:rsid w:val="00E82378"/>
    <w:rsid w:val="00E82675"/>
    <w:rsid w:val="00E848D3"/>
    <w:rsid w:val="00E85E43"/>
    <w:rsid w:val="00E86349"/>
    <w:rsid w:val="00E863FD"/>
    <w:rsid w:val="00E86B51"/>
    <w:rsid w:val="00E879CB"/>
    <w:rsid w:val="00E90155"/>
    <w:rsid w:val="00E93CD3"/>
    <w:rsid w:val="00E94088"/>
    <w:rsid w:val="00E9408F"/>
    <w:rsid w:val="00E946BA"/>
    <w:rsid w:val="00E948BC"/>
    <w:rsid w:val="00E9533B"/>
    <w:rsid w:val="00E95575"/>
    <w:rsid w:val="00E96630"/>
    <w:rsid w:val="00E966C2"/>
    <w:rsid w:val="00E96723"/>
    <w:rsid w:val="00E96A37"/>
    <w:rsid w:val="00E96B7A"/>
    <w:rsid w:val="00E97027"/>
    <w:rsid w:val="00E97FF4"/>
    <w:rsid w:val="00EA0468"/>
    <w:rsid w:val="00EA0821"/>
    <w:rsid w:val="00EA118F"/>
    <w:rsid w:val="00EA1886"/>
    <w:rsid w:val="00EA26C7"/>
    <w:rsid w:val="00EA3104"/>
    <w:rsid w:val="00EA31F7"/>
    <w:rsid w:val="00EA4CE7"/>
    <w:rsid w:val="00EA5005"/>
    <w:rsid w:val="00EA5836"/>
    <w:rsid w:val="00EB0C14"/>
    <w:rsid w:val="00EB16A9"/>
    <w:rsid w:val="00EB1ECC"/>
    <w:rsid w:val="00EB2581"/>
    <w:rsid w:val="00EB2E38"/>
    <w:rsid w:val="00EB327A"/>
    <w:rsid w:val="00EB3A70"/>
    <w:rsid w:val="00EB6086"/>
    <w:rsid w:val="00EB60B3"/>
    <w:rsid w:val="00EB7049"/>
    <w:rsid w:val="00EC1345"/>
    <w:rsid w:val="00EC1C71"/>
    <w:rsid w:val="00EC28F3"/>
    <w:rsid w:val="00EC347A"/>
    <w:rsid w:val="00EC4754"/>
    <w:rsid w:val="00EC542F"/>
    <w:rsid w:val="00EC5632"/>
    <w:rsid w:val="00EC5FE7"/>
    <w:rsid w:val="00ED00C7"/>
    <w:rsid w:val="00ED06EC"/>
    <w:rsid w:val="00ED1386"/>
    <w:rsid w:val="00ED140E"/>
    <w:rsid w:val="00ED1515"/>
    <w:rsid w:val="00ED1B6E"/>
    <w:rsid w:val="00ED4CF6"/>
    <w:rsid w:val="00ED5317"/>
    <w:rsid w:val="00ED6405"/>
    <w:rsid w:val="00ED655E"/>
    <w:rsid w:val="00ED739D"/>
    <w:rsid w:val="00ED7A2A"/>
    <w:rsid w:val="00EE0B0F"/>
    <w:rsid w:val="00EE1204"/>
    <w:rsid w:val="00EE1379"/>
    <w:rsid w:val="00EE1B4E"/>
    <w:rsid w:val="00EE251C"/>
    <w:rsid w:val="00EE26A1"/>
    <w:rsid w:val="00EE2E4B"/>
    <w:rsid w:val="00EE370F"/>
    <w:rsid w:val="00EE5084"/>
    <w:rsid w:val="00EE5A36"/>
    <w:rsid w:val="00EE5BD5"/>
    <w:rsid w:val="00EE5E84"/>
    <w:rsid w:val="00EE5F09"/>
    <w:rsid w:val="00EE6199"/>
    <w:rsid w:val="00EE68F2"/>
    <w:rsid w:val="00EE711E"/>
    <w:rsid w:val="00EE7275"/>
    <w:rsid w:val="00EE744F"/>
    <w:rsid w:val="00EE77B7"/>
    <w:rsid w:val="00EF0235"/>
    <w:rsid w:val="00EF09E6"/>
    <w:rsid w:val="00EF1D7F"/>
    <w:rsid w:val="00EF1EF6"/>
    <w:rsid w:val="00EF4BA0"/>
    <w:rsid w:val="00EF5073"/>
    <w:rsid w:val="00EF65BA"/>
    <w:rsid w:val="00EF7717"/>
    <w:rsid w:val="00F001AD"/>
    <w:rsid w:val="00F004E2"/>
    <w:rsid w:val="00F02C8E"/>
    <w:rsid w:val="00F03069"/>
    <w:rsid w:val="00F03190"/>
    <w:rsid w:val="00F03535"/>
    <w:rsid w:val="00F03A99"/>
    <w:rsid w:val="00F04CDE"/>
    <w:rsid w:val="00F05290"/>
    <w:rsid w:val="00F05B21"/>
    <w:rsid w:val="00F060AB"/>
    <w:rsid w:val="00F060D9"/>
    <w:rsid w:val="00F06702"/>
    <w:rsid w:val="00F06A0F"/>
    <w:rsid w:val="00F100FA"/>
    <w:rsid w:val="00F10238"/>
    <w:rsid w:val="00F10790"/>
    <w:rsid w:val="00F10A25"/>
    <w:rsid w:val="00F10E0C"/>
    <w:rsid w:val="00F1114D"/>
    <w:rsid w:val="00F12D79"/>
    <w:rsid w:val="00F130A3"/>
    <w:rsid w:val="00F137BE"/>
    <w:rsid w:val="00F1389A"/>
    <w:rsid w:val="00F13C15"/>
    <w:rsid w:val="00F142FF"/>
    <w:rsid w:val="00F145AF"/>
    <w:rsid w:val="00F148F2"/>
    <w:rsid w:val="00F151BD"/>
    <w:rsid w:val="00F1539A"/>
    <w:rsid w:val="00F15DEF"/>
    <w:rsid w:val="00F16F6B"/>
    <w:rsid w:val="00F16FA2"/>
    <w:rsid w:val="00F17A1E"/>
    <w:rsid w:val="00F20424"/>
    <w:rsid w:val="00F20680"/>
    <w:rsid w:val="00F20C3D"/>
    <w:rsid w:val="00F20C9D"/>
    <w:rsid w:val="00F2157E"/>
    <w:rsid w:val="00F2311F"/>
    <w:rsid w:val="00F23820"/>
    <w:rsid w:val="00F23AFA"/>
    <w:rsid w:val="00F23B86"/>
    <w:rsid w:val="00F23E8E"/>
    <w:rsid w:val="00F25118"/>
    <w:rsid w:val="00F2528A"/>
    <w:rsid w:val="00F25822"/>
    <w:rsid w:val="00F25C4A"/>
    <w:rsid w:val="00F25E5E"/>
    <w:rsid w:val="00F26BC3"/>
    <w:rsid w:val="00F26CF6"/>
    <w:rsid w:val="00F27F80"/>
    <w:rsid w:val="00F301C6"/>
    <w:rsid w:val="00F30F1F"/>
    <w:rsid w:val="00F318C1"/>
    <w:rsid w:val="00F31FB3"/>
    <w:rsid w:val="00F32635"/>
    <w:rsid w:val="00F36037"/>
    <w:rsid w:val="00F36AFD"/>
    <w:rsid w:val="00F36C66"/>
    <w:rsid w:val="00F416ED"/>
    <w:rsid w:val="00F41DE4"/>
    <w:rsid w:val="00F4204E"/>
    <w:rsid w:val="00F421C4"/>
    <w:rsid w:val="00F4380B"/>
    <w:rsid w:val="00F43E9E"/>
    <w:rsid w:val="00F4418A"/>
    <w:rsid w:val="00F44474"/>
    <w:rsid w:val="00F453A1"/>
    <w:rsid w:val="00F45731"/>
    <w:rsid w:val="00F45EE4"/>
    <w:rsid w:val="00F46CDD"/>
    <w:rsid w:val="00F51CA1"/>
    <w:rsid w:val="00F530E2"/>
    <w:rsid w:val="00F53F0E"/>
    <w:rsid w:val="00F543D8"/>
    <w:rsid w:val="00F549D0"/>
    <w:rsid w:val="00F54A8E"/>
    <w:rsid w:val="00F5563F"/>
    <w:rsid w:val="00F55AE7"/>
    <w:rsid w:val="00F563A9"/>
    <w:rsid w:val="00F56D24"/>
    <w:rsid w:val="00F56DAB"/>
    <w:rsid w:val="00F57262"/>
    <w:rsid w:val="00F5774C"/>
    <w:rsid w:val="00F57C6B"/>
    <w:rsid w:val="00F60C2F"/>
    <w:rsid w:val="00F63797"/>
    <w:rsid w:val="00F647F9"/>
    <w:rsid w:val="00F647FE"/>
    <w:rsid w:val="00F64FCD"/>
    <w:rsid w:val="00F656E4"/>
    <w:rsid w:val="00F65E7F"/>
    <w:rsid w:val="00F667CF"/>
    <w:rsid w:val="00F6721A"/>
    <w:rsid w:val="00F67B7A"/>
    <w:rsid w:val="00F70FF2"/>
    <w:rsid w:val="00F713E3"/>
    <w:rsid w:val="00F719C7"/>
    <w:rsid w:val="00F71BF6"/>
    <w:rsid w:val="00F73C5F"/>
    <w:rsid w:val="00F749AF"/>
    <w:rsid w:val="00F74D78"/>
    <w:rsid w:val="00F75F5B"/>
    <w:rsid w:val="00F76E01"/>
    <w:rsid w:val="00F77963"/>
    <w:rsid w:val="00F82380"/>
    <w:rsid w:val="00F8252D"/>
    <w:rsid w:val="00F8265D"/>
    <w:rsid w:val="00F8521C"/>
    <w:rsid w:val="00F85C54"/>
    <w:rsid w:val="00F86121"/>
    <w:rsid w:val="00F86289"/>
    <w:rsid w:val="00F87E1C"/>
    <w:rsid w:val="00F90553"/>
    <w:rsid w:val="00F9057C"/>
    <w:rsid w:val="00F906D7"/>
    <w:rsid w:val="00F90D84"/>
    <w:rsid w:val="00F90EA8"/>
    <w:rsid w:val="00F90FD3"/>
    <w:rsid w:val="00F910E4"/>
    <w:rsid w:val="00F91182"/>
    <w:rsid w:val="00F9190E"/>
    <w:rsid w:val="00F91AD2"/>
    <w:rsid w:val="00F91FD2"/>
    <w:rsid w:val="00F92055"/>
    <w:rsid w:val="00F93781"/>
    <w:rsid w:val="00F957E4"/>
    <w:rsid w:val="00F963B8"/>
    <w:rsid w:val="00F9669A"/>
    <w:rsid w:val="00F96BA5"/>
    <w:rsid w:val="00F976E7"/>
    <w:rsid w:val="00FA0470"/>
    <w:rsid w:val="00FA04DE"/>
    <w:rsid w:val="00FA1481"/>
    <w:rsid w:val="00FA1718"/>
    <w:rsid w:val="00FA1FCE"/>
    <w:rsid w:val="00FA1FDD"/>
    <w:rsid w:val="00FA2CE4"/>
    <w:rsid w:val="00FA32C0"/>
    <w:rsid w:val="00FA368B"/>
    <w:rsid w:val="00FA380F"/>
    <w:rsid w:val="00FA3CBA"/>
    <w:rsid w:val="00FA447C"/>
    <w:rsid w:val="00FA56DB"/>
    <w:rsid w:val="00FA5D93"/>
    <w:rsid w:val="00FA6BE1"/>
    <w:rsid w:val="00FA6D79"/>
    <w:rsid w:val="00FA763F"/>
    <w:rsid w:val="00FB030D"/>
    <w:rsid w:val="00FB1408"/>
    <w:rsid w:val="00FB1B6F"/>
    <w:rsid w:val="00FB3767"/>
    <w:rsid w:val="00FB4B15"/>
    <w:rsid w:val="00FB4DDC"/>
    <w:rsid w:val="00FB5EB5"/>
    <w:rsid w:val="00FB613B"/>
    <w:rsid w:val="00FB6F7F"/>
    <w:rsid w:val="00FB7622"/>
    <w:rsid w:val="00FC20C0"/>
    <w:rsid w:val="00FC22CD"/>
    <w:rsid w:val="00FC297F"/>
    <w:rsid w:val="00FC2CFD"/>
    <w:rsid w:val="00FC5381"/>
    <w:rsid w:val="00FC6453"/>
    <w:rsid w:val="00FC68B7"/>
    <w:rsid w:val="00FC6F08"/>
    <w:rsid w:val="00FC70CA"/>
    <w:rsid w:val="00FD0381"/>
    <w:rsid w:val="00FD0A8A"/>
    <w:rsid w:val="00FD0BF9"/>
    <w:rsid w:val="00FD15D6"/>
    <w:rsid w:val="00FD1616"/>
    <w:rsid w:val="00FD1954"/>
    <w:rsid w:val="00FD23D3"/>
    <w:rsid w:val="00FD436D"/>
    <w:rsid w:val="00FD4FB8"/>
    <w:rsid w:val="00FD629B"/>
    <w:rsid w:val="00FD63BD"/>
    <w:rsid w:val="00FD7631"/>
    <w:rsid w:val="00FE106A"/>
    <w:rsid w:val="00FE1292"/>
    <w:rsid w:val="00FE22ED"/>
    <w:rsid w:val="00FE456B"/>
    <w:rsid w:val="00FE52FC"/>
    <w:rsid w:val="00FE6DC3"/>
    <w:rsid w:val="00FE7356"/>
    <w:rsid w:val="00FE7EF7"/>
    <w:rsid w:val="00FF0EE0"/>
    <w:rsid w:val="00FF0FD2"/>
    <w:rsid w:val="00FF1D1B"/>
    <w:rsid w:val="00FF2127"/>
    <w:rsid w:val="00FF3273"/>
    <w:rsid w:val="00FF3FD6"/>
    <w:rsid w:val="00FF49A1"/>
    <w:rsid w:val="00FF6110"/>
    <w:rsid w:val="00FF67E9"/>
    <w:rsid w:val="00FF6837"/>
    <w:rsid w:val="00FF7920"/>
    <w:rsid w:val="00FF7D02"/>
  </w:rsids>
  <m:mathPr>
    <m:mathFont m:val="Cambria Math"/>
    <m:brkBin m:val="before"/>
    <m:brkBinSub m:val="--"/>
    <m:smallFrac m:val="0"/>
    <m:dispDef/>
    <m:lMargin m:val="0"/>
    <m:rMargin m:val="0"/>
    <m:defJc m:val="centerGroup"/>
    <m:wrapIndent m:val="1440"/>
    <m:intLim m:val="subSup"/>
    <m:naryLim m:val="undOvr"/>
  </m:mathPr>
  <w:themeFontLang w:val="uz-Cyrl-UZ"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2469C75"/>
  <w15:docId w15:val="{ADADCDE9-9B02-4879-86C7-8F4AA9FD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38"/>
    <w:rPr>
      <w:sz w:val="24"/>
      <w:szCs w:val="24"/>
      <w:lang w:val="en-US" w:eastAsia="en-US" w:bidi="he-IL"/>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uiPriority w:val="99"/>
    <w:qFormat/>
    <w:rsid w:val="000272B3"/>
    <w:pPr>
      <w:suppressAutoHyphens/>
      <w:outlineLvl w:val="1"/>
    </w:pPr>
    <w:rPr>
      <w:sz w:val="20"/>
      <w:szCs w:val="20"/>
      <w:lang w:val="en-GB" w:bidi="ar-SA"/>
    </w:rPr>
  </w:style>
  <w:style w:type="paragraph" w:styleId="Heading3">
    <w:name w:val="heading 3"/>
    <w:basedOn w:val="Normal"/>
    <w:next w:val="Normal"/>
    <w:link w:val="Heading3Char"/>
    <w:uiPriority w:val="99"/>
    <w:qFormat/>
    <w:rsid w:val="000272B3"/>
    <w:pPr>
      <w:suppressAutoHyphens/>
      <w:outlineLvl w:val="2"/>
    </w:pPr>
    <w:rPr>
      <w:sz w:val="20"/>
      <w:szCs w:val="20"/>
      <w:lang w:val="en-GB" w:bidi="ar-SA"/>
    </w:rPr>
  </w:style>
  <w:style w:type="paragraph" w:styleId="Heading4">
    <w:name w:val="heading 4"/>
    <w:basedOn w:val="Normal"/>
    <w:next w:val="Normal"/>
    <w:link w:val="Heading4Char"/>
    <w:uiPriority w:val="99"/>
    <w:qFormat/>
    <w:rsid w:val="000272B3"/>
    <w:pPr>
      <w:suppressAutoHyphens/>
      <w:outlineLvl w:val="3"/>
    </w:pPr>
    <w:rPr>
      <w:sz w:val="20"/>
      <w:szCs w:val="20"/>
      <w:lang w:val="en-GB" w:bidi="ar-SA"/>
    </w:rPr>
  </w:style>
  <w:style w:type="paragraph" w:styleId="Heading5">
    <w:name w:val="heading 5"/>
    <w:basedOn w:val="Normal"/>
    <w:next w:val="Normal"/>
    <w:link w:val="Heading5Char"/>
    <w:uiPriority w:val="99"/>
    <w:qFormat/>
    <w:rsid w:val="000272B3"/>
    <w:pPr>
      <w:suppressAutoHyphens/>
      <w:outlineLvl w:val="4"/>
    </w:pPr>
    <w:rPr>
      <w:sz w:val="20"/>
      <w:szCs w:val="20"/>
      <w:lang w:val="en-GB" w:bidi="ar-SA"/>
    </w:rPr>
  </w:style>
  <w:style w:type="paragraph" w:styleId="Heading6">
    <w:name w:val="heading 6"/>
    <w:basedOn w:val="Normal"/>
    <w:next w:val="Normal"/>
    <w:link w:val="Heading6Char"/>
    <w:uiPriority w:val="99"/>
    <w:qFormat/>
    <w:rsid w:val="000272B3"/>
    <w:pPr>
      <w:suppressAutoHyphens/>
      <w:outlineLvl w:val="5"/>
    </w:pPr>
    <w:rPr>
      <w:sz w:val="20"/>
      <w:szCs w:val="20"/>
      <w:lang w:val="en-GB" w:bidi="ar-SA"/>
    </w:rPr>
  </w:style>
  <w:style w:type="paragraph" w:styleId="Heading7">
    <w:name w:val="heading 7"/>
    <w:basedOn w:val="Normal"/>
    <w:next w:val="Normal"/>
    <w:link w:val="Heading7Char"/>
    <w:uiPriority w:val="99"/>
    <w:qFormat/>
    <w:rsid w:val="000272B3"/>
    <w:pPr>
      <w:suppressAutoHyphens/>
      <w:outlineLvl w:val="6"/>
    </w:pPr>
    <w:rPr>
      <w:sz w:val="20"/>
      <w:szCs w:val="20"/>
      <w:lang w:val="en-GB" w:bidi="ar-SA"/>
    </w:rPr>
  </w:style>
  <w:style w:type="paragraph" w:styleId="Heading8">
    <w:name w:val="heading 8"/>
    <w:basedOn w:val="Normal"/>
    <w:next w:val="Normal"/>
    <w:link w:val="Heading8Char"/>
    <w:uiPriority w:val="99"/>
    <w:qFormat/>
    <w:rsid w:val="000272B3"/>
    <w:pPr>
      <w:suppressAutoHyphens/>
      <w:outlineLvl w:val="7"/>
    </w:pPr>
    <w:rPr>
      <w:sz w:val="20"/>
      <w:szCs w:val="20"/>
      <w:lang w:val="en-GB" w:bidi="ar-SA"/>
    </w:rPr>
  </w:style>
  <w:style w:type="paragraph" w:styleId="Heading9">
    <w:name w:val="heading 9"/>
    <w:basedOn w:val="Normal"/>
    <w:next w:val="Normal"/>
    <w:link w:val="Heading9Char"/>
    <w:uiPriority w:val="99"/>
    <w:qFormat/>
    <w:rsid w:val="000272B3"/>
    <w:pPr>
      <w:suppressAutoHyphens/>
      <w:outlineLvl w:val="8"/>
    </w:pPr>
    <w:rPr>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99069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99069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99069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99069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99069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99069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99069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99069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99069F"/>
    <w:rPr>
      <w:rFonts w:asciiTheme="majorHAnsi" w:eastAsiaTheme="majorEastAsia" w:hAnsiTheme="majorHAnsi" w:cstheme="majorBidi"/>
      <w:lang w:val="en-GB" w:eastAsia="en-US"/>
    </w:rPr>
  </w:style>
  <w:style w:type="paragraph" w:styleId="BalloonText">
    <w:name w:val="Balloon Text"/>
    <w:basedOn w:val="Normal"/>
    <w:link w:val="BalloonTextChar"/>
    <w:uiPriority w:val="99"/>
    <w:rsid w:val="006743E9"/>
    <w:pPr>
      <w:suppressAutoHyphens/>
    </w:pPr>
    <w:rPr>
      <w:rFonts w:ascii="Tahoma" w:hAnsi="Tahoma" w:cs="Tahoma"/>
      <w:sz w:val="16"/>
      <w:szCs w:val="16"/>
      <w:lang w:val="en-GB" w:bidi="ar-SA"/>
    </w:rPr>
  </w:style>
  <w:style w:type="character" w:customStyle="1" w:styleId="BalloonTextChar">
    <w:name w:val="Balloon Text Char"/>
    <w:basedOn w:val="DefaultParagraphFont"/>
    <w:link w:val="BalloonText"/>
    <w:uiPriority w:val="99"/>
    <w:locked/>
    <w:rsid w:val="006743E9"/>
    <w:rPr>
      <w:rFonts w:ascii="Tahoma" w:hAnsi="Tahoma"/>
      <w:sz w:val="16"/>
      <w:lang w:eastAsia="en-US"/>
    </w:rPr>
  </w:style>
  <w:style w:type="paragraph" w:customStyle="1" w:styleId="SingleTxtG">
    <w:name w:val="_ Single Txt_G"/>
    <w:basedOn w:val="Normal"/>
    <w:link w:val="SingleTxtGChar"/>
    <w:rsid w:val="000272B3"/>
    <w:pPr>
      <w:suppressAutoHyphens/>
      <w:spacing w:after="120" w:line="240" w:lineRule="atLeast"/>
      <w:ind w:left="1134" w:right="1134"/>
      <w:jc w:val="both"/>
    </w:pPr>
    <w:rPr>
      <w:sz w:val="20"/>
      <w:szCs w:val="20"/>
      <w:lang w:val="en-GB" w:bidi="ar-SA"/>
    </w:rPr>
  </w:style>
  <w:style w:type="paragraph" w:customStyle="1" w:styleId="HMG">
    <w:name w:val="_ H __M_G"/>
    <w:basedOn w:val="Normal"/>
    <w:next w:val="Normal"/>
    <w:uiPriority w:val="99"/>
    <w:rsid w:val="000272B3"/>
    <w:pPr>
      <w:keepNext/>
      <w:keepLines/>
      <w:tabs>
        <w:tab w:val="right" w:pos="851"/>
      </w:tabs>
      <w:suppressAutoHyphens/>
      <w:spacing w:before="240" w:after="240" w:line="360" w:lineRule="exact"/>
      <w:ind w:left="1134" w:right="1134" w:hanging="1134"/>
    </w:pPr>
    <w:rPr>
      <w:b/>
      <w:sz w:val="34"/>
      <w:szCs w:val="20"/>
      <w:lang w:val="en-GB" w:bidi="ar-SA"/>
    </w:rPr>
  </w:style>
  <w:style w:type="paragraph" w:customStyle="1" w:styleId="HChG">
    <w:name w:val="_ H _Ch_G"/>
    <w:basedOn w:val="Normal"/>
    <w:next w:val="Normal"/>
    <w:rsid w:val="000272B3"/>
    <w:pPr>
      <w:keepNext/>
      <w:keepLines/>
      <w:tabs>
        <w:tab w:val="right" w:pos="851"/>
      </w:tabs>
      <w:suppressAutoHyphens/>
      <w:spacing w:before="360" w:after="240" w:line="300" w:lineRule="exact"/>
      <w:ind w:left="1134" w:right="1134" w:hanging="1134"/>
    </w:pPr>
    <w:rPr>
      <w:b/>
      <w:sz w:val="28"/>
      <w:szCs w:val="20"/>
      <w:lang w:val="en-GB" w:bidi="ar-SA"/>
    </w:rPr>
  </w:style>
  <w:style w:type="paragraph" w:styleId="Header">
    <w:name w:val="header"/>
    <w:aliases w:val="6_G"/>
    <w:basedOn w:val="Normal"/>
    <w:link w:val="HeaderChar"/>
    <w:qFormat/>
    <w:rsid w:val="000272B3"/>
    <w:pPr>
      <w:pBdr>
        <w:bottom w:val="single" w:sz="4" w:space="4" w:color="auto"/>
      </w:pBdr>
      <w:suppressAutoHyphens/>
    </w:pPr>
    <w:rPr>
      <w:b/>
      <w:sz w:val="18"/>
      <w:szCs w:val="20"/>
      <w:lang w:val="en-GB" w:bidi="ar-SA"/>
    </w:rPr>
  </w:style>
  <w:style w:type="character" w:customStyle="1" w:styleId="HeaderChar">
    <w:name w:val="Header Char"/>
    <w:aliases w:val="6_G Char"/>
    <w:basedOn w:val="DefaultParagraphFont"/>
    <w:link w:val="Header"/>
    <w:rsid w:val="0099069F"/>
    <w:rPr>
      <w:sz w:val="20"/>
      <w:szCs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Voetnoottekst1"/>
    <w:basedOn w:val="Normal"/>
    <w:link w:val="FootnoteTextChar1"/>
    <w:qFormat/>
    <w:rsid w:val="004D71B4"/>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szCs w:val="20"/>
      <w:lang w:eastAsia="zh-CN" w:bidi="ar-SA"/>
    </w:rPr>
  </w:style>
  <w:style w:type="character" w:customStyle="1" w:styleId="FootnoteTextChar">
    <w:name w:val="Footnote Text Char"/>
    <w:aliases w:val="Footnote Reference Char,4_G Char,Footnote number Char,ftref Char,Footnotes refss Char,Style 10 Char,Footnote Reference1 Char1,5_G Char,Footnote Text Char Char Char Char Char Char,Footnote Text Char Char Char Char Char1,FA Fu Char"/>
    <w:basedOn w:val="DefaultParagraphFont"/>
    <w:rsid w:val="0099069F"/>
    <w:rPr>
      <w:sz w:val="20"/>
      <w:szCs w:val="20"/>
      <w:lang w:val="en-GB" w:eastAsia="en-US"/>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rsid w:val="0099069F"/>
    <w:rPr>
      <w:sz w:val="20"/>
      <w:szCs w:val="20"/>
      <w:lang w:val="en-GB" w:eastAsia="en-US"/>
    </w:rPr>
  </w:style>
  <w:style w:type="paragraph" w:customStyle="1" w:styleId="SMG">
    <w:name w:val="__S_M_G"/>
    <w:basedOn w:val="Normal"/>
    <w:next w:val="Normal"/>
    <w:uiPriority w:val="99"/>
    <w:rsid w:val="000272B3"/>
    <w:pPr>
      <w:keepNext/>
      <w:keepLines/>
      <w:suppressAutoHyphens/>
      <w:spacing w:before="240" w:after="240" w:line="420" w:lineRule="exact"/>
      <w:ind w:left="1134" w:right="1134"/>
    </w:pPr>
    <w:rPr>
      <w:b/>
      <w:sz w:val="40"/>
      <w:szCs w:val="20"/>
      <w:lang w:val="en-GB" w:bidi="ar-SA"/>
    </w:rPr>
  </w:style>
  <w:style w:type="paragraph" w:customStyle="1" w:styleId="SLG">
    <w:name w:val="__S_L_G"/>
    <w:basedOn w:val="Normal"/>
    <w:next w:val="Normal"/>
    <w:rsid w:val="000272B3"/>
    <w:pPr>
      <w:keepNext/>
      <w:keepLines/>
      <w:suppressAutoHyphens/>
      <w:spacing w:before="240" w:after="240" w:line="580" w:lineRule="exact"/>
      <w:ind w:left="1134" w:right="1134"/>
    </w:pPr>
    <w:rPr>
      <w:b/>
      <w:sz w:val="56"/>
      <w:szCs w:val="20"/>
      <w:lang w:val="en-GB" w:bidi="ar-SA"/>
    </w:rPr>
  </w:style>
  <w:style w:type="paragraph" w:customStyle="1" w:styleId="SSG">
    <w:name w:val="__S_S_G"/>
    <w:basedOn w:val="Normal"/>
    <w:next w:val="Normal"/>
    <w:rsid w:val="000272B3"/>
    <w:pPr>
      <w:keepNext/>
      <w:keepLines/>
      <w:suppressAutoHyphens/>
      <w:spacing w:before="240" w:after="240" w:line="300" w:lineRule="exact"/>
      <w:ind w:left="1134" w:right="1134"/>
    </w:pPr>
    <w:rPr>
      <w:b/>
      <w:sz w:val="28"/>
      <w:szCs w:val="20"/>
      <w:lang w:val="en-GB" w:bidi="ar-SA"/>
    </w:rPr>
  </w:style>
  <w:style w:type="character" w:styleId="EndnoteReference">
    <w:name w:val="endnote reference"/>
    <w:aliases w:val="1_G"/>
    <w:basedOn w:val="DefaultParagraphFont"/>
    <w:uiPriority w:val="99"/>
    <w:rsid w:val="000272B3"/>
    <w:rPr>
      <w:rFonts w:ascii="Times New Roman" w:hAnsi="Times New Roman" w:cs="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uppressAutoHyphens/>
      <w:spacing w:before="240" w:after="240" w:line="420" w:lineRule="exact"/>
      <w:ind w:left="1134" w:right="1134"/>
    </w:pPr>
    <w:rPr>
      <w:b/>
      <w:sz w:val="40"/>
      <w:szCs w:val="20"/>
      <w:lang w:val="en-GB" w:bidi="ar-SA"/>
    </w:rPr>
  </w:style>
  <w:style w:type="paragraph" w:customStyle="1" w:styleId="Bullet1G">
    <w:name w:val="_Bullet 1_G"/>
    <w:basedOn w:val="Normal"/>
    <w:uiPriority w:val="99"/>
    <w:rsid w:val="000272B3"/>
    <w:pPr>
      <w:numPr>
        <w:numId w:val="1"/>
      </w:numPr>
      <w:suppressAutoHyphens/>
      <w:spacing w:after="120" w:line="240" w:lineRule="atLeast"/>
      <w:ind w:right="1134"/>
      <w:jc w:val="both"/>
    </w:pPr>
    <w:rPr>
      <w:sz w:val="20"/>
      <w:szCs w:val="20"/>
      <w:lang w:val="en-GB" w:bidi="ar-SA"/>
    </w:rPr>
  </w:style>
  <w:style w:type="paragraph" w:styleId="Footer">
    <w:name w:val="footer"/>
    <w:aliases w:val="3_G"/>
    <w:basedOn w:val="Normal"/>
    <w:link w:val="FooterChar"/>
    <w:uiPriority w:val="99"/>
    <w:rsid w:val="000272B3"/>
    <w:pPr>
      <w:suppressAutoHyphens/>
    </w:pPr>
    <w:rPr>
      <w:sz w:val="16"/>
      <w:szCs w:val="20"/>
      <w:lang w:val="en-GB" w:bidi="ar-SA"/>
    </w:rPr>
  </w:style>
  <w:style w:type="character" w:customStyle="1" w:styleId="FooterChar">
    <w:name w:val="Footer Char"/>
    <w:aliases w:val="3_G Char"/>
    <w:basedOn w:val="DefaultParagraphFont"/>
    <w:link w:val="Footer"/>
    <w:uiPriority w:val="99"/>
    <w:semiHidden/>
    <w:rsid w:val="0099069F"/>
    <w:rPr>
      <w:sz w:val="20"/>
      <w:szCs w:val="20"/>
      <w:lang w:val="en-GB" w:eastAsia="en-US"/>
    </w:rPr>
  </w:style>
  <w:style w:type="paragraph" w:customStyle="1" w:styleId="Bullet2G">
    <w:name w:val="_Bullet 2_G"/>
    <w:basedOn w:val="Normal"/>
    <w:uiPriority w:val="99"/>
    <w:rsid w:val="000272B3"/>
    <w:pPr>
      <w:numPr>
        <w:numId w:val="2"/>
      </w:numPr>
      <w:suppressAutoHyphens/>
      <w:spacing w:after="120" w:line="240" w:lineRule="atLeast"/>
      <w:ind w:right="1134"/>
      <w:jc w:val="both"/>
    </w:pPr>
    <w:rPr>
      <w:sz w:val="20"/>
      <w:szCs w:val="20"/>
      <w:lang w:val="en-GB" w:bidi="ar-SA"/>
    </w:rPr>
  </w:style>
  <w:style w:type="paragraph" w:customStyle="1" w:styleId="H1G">
    <w:name w:val="_ H_1_G"/>
    <w:basedOn w:val="Normal"/>
    <w:next w:val="Normal"/>
    <w:rsid w:val="000272B3"/>
    <w:pPr>
      <w:keepNext/>
      <w:keepLines/>
      <w:tabs>
        <w:tab w:val="right" w:pos="851"/>
      </w:tabs>
      <w:suppressAutoHyphens/>
      <w:spacing w:before="360" w:after="240" w:line="270" w:lineRule="exact"/>
      <w:ind w:left="1134" w:right="1134" w:hanging="1134"/>
    </w:pPr>
    <w:rPr>
      <w:b/>
      <w:szCs w:val="20"/>
      <w:lang w:val="en-GB" w:bidi="ar-SA"/>
    </w:rPr>
  </w:style>
  <w:style w:type="paragraph" w:customStyle="1" w:styleId="H23G">
    <w:name w:val="_ H_2/3_G"/>
    <w:basedOn w:val="Normal"/>
    <w:next w:val="Normal"/>
    <w:uiPriority w:val="99"/>
    <w:rsid w:val="000272B3"/>
    <w:pPr>
      <w:keepNext/>
      <w:keepLines/>
      <w:tabs>
        <w:tab w:val="right" w:pos="851"/>
      </w:tabs>
      <w:suppressAutoHyphens/>
      <w:spacing w:before="240" w:after="120" w:line="240" w:lineRule="exact"/>
      <w:ind w:left="1134" w:right="1134" w:hanging="1134"/>
    </w:pPr>
    <w:rPr>
      <w:b/>
      <w:sz w:val="20"/>
      <w:szCs w:val="20"/>
      <w:lang w:val="en-GB" w:bidi="ar-SA"/>
    </w:rPr>
  </w:style>
  <w:style w:type="paragraph" w:customStyle="1" w:styleId="H4G">
    <w:name w:val="_ H_4_G"/>
    <w:basedOn w:val="Normal"/>
    <w:next w:val="Normal"/>
    <w:rsid w:val="000272B3"/>
    <w:pPr>
      <w:keepNext/>
      <w:keepLines/>
      <w:tabs>
        <w:tab w:val="right" w:pos="851"/>
      </w:tabs>
      <w:suppressAutoHyphens/>
      <w:spacing w:before="240" w:after="120" w:line="240" w:lineRule="exact"/>
      <w:ind w:left="1134" w:right="1134" w:hanging="1134"/>
    </w:pPr>
    <w:rPr>
      <w:i/>
      <w:sz w:val="20"/>
      <w:szCs w:val="20"/>
      <w:lang w:val="en-GB" w:bidi="ar-SA"/>
    </w:rPr>
  </w:style>
  <w:style w:type="paragraph" w:customStyle="1" w:styleId="H56G">
    <w:name w:val="_ H_5/6_G"/>
    <w:basedOn w:val="Normal"/>
    <w:next w:val="Normal"/>
    <w:uiPriority w:val="99"/>
    <w:rsid w:val="000272B3"/>
    <w:pPr>
      <w:keepNext/>
      <w:keepLines/>
      <w:tabs>
        <w:tab w:val="right" w:pos="851"/>
      </w:tabs>
      <w:suppressAutoHyphens/>
      <w:spacing w:before="240" w:after="120" w:line="240" w:lineRule="exact"/>
      <w:ind w:left="1134" w:right="1134" w:hanging="1134"/>
    </w:pPr>
    <w:rPr>
      <w:sz w:val="20"/>
      <w:szCs w:val="20"/>
      <w:lang w:val="en-GB" w:bidi="ar-SA"/>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ink w:val="FootnoteText"/>
    <w:locked/>
    <w:rsid w:val="008216A5"/>
    <w:rPr>
      <w:rFonts w:eastAsia="SimSun"/>
      <w:sz w:val="18"/>
      <w:szCs w:val="20"/>
      <w:lang w:val="en-US" w:eastAsia="zh-CN"/>
    </w:rPr>
  </w:style>
  <w:style w:type="character" w:customStyle="1" w:styleId="sb8d990e2">
    <w:name w:val="sb8d990e2"/>
    <w:rsid w:val="001A09DE"/>
  </w:style>
  <w:style w:type="paragraph" w:customStyle="1" w:styleId="Default">
    <w:name w:val="Default"/>
    <w:uiPriority w:val="99"/>
    <w:rsid w:val="00E40420"/>
    <w:pPr>
      <w:autoSpaceDE w:val="0"/>
      <w:autoSpaceDN w:val="0"/>
      <w:adjustRightInd w:val="0"/>
    </w:pPr>
    <w:rPr>
      <w:color w:val="000000"/>
      <w:sz w:val="24"/>
      <w:szCs w:val="24"/>
      <w:lang w:val="en-GB" w:eastAsia="en-GB"/>
    </w:rPr>
  </w:style>
  <w:style w:type="paragraph" w:customStyle="1" w:styleId="CM55">
    <w:name w:val="CM55"/>
    <w:basedOn w:val="Default"/>
    <w:next w:val="Default"/>
    <w:uiPriority w:val="99"/>
    <w:rsid w:val="00E40420"/>
    <w:rPr>
      <w:color w:val="auto"/>
    </w:rPr>
  </w:style>
  <w:style w:type="character" w:customStyle="1" w:styleId="SingleTxtGChar">
    <w:name w:val="_ Single Txt_G Char"/>
    <w:link w:val="SingleTxtG"/>
    <w:locked/>
    <w:rsid w:val="00FF7920"/>
    <w:rPr>
      <w:lang w:eastAsia="en-US"/>
    </w:rPr>
  </w:style>
  <w:style w:type="character" w:styleId="CommentReference">
    <w:name w:val="annotation reference"/>
    <w:basedOn w:val="DefaultParagraphFont"/>
    <w:uiPriority w:val="99"/>
    <w:rsid w:val="00161B02"/>
    <w:rPr>
      <w:rFonts w:cs="Times New Roman"/>
      <w:sz w:val="16"/>
    </w:rPr>
  </w:style>
  <w:style w:type="paragraph" w:styleId="CommentText">
    <w:name w:val="annotation text"/>
    <w:basedOn w:val="Normal"/>
    <w:link w:val="CommentTextChar"/>
    <w:uiPriority w:val="99"/>
    <w:rsid w:val="00161B02"/>
    <w:pPr>
      <w:suppressAutoHyphens/>
      <w:spacing w:line="240" w:lineRule="atLeast"/>
    </w:pPr>
    <w:rPr>
      <w:sz w:val="20"/>
      <w:szCs w:val="20"/>
      <w:lang w:val="en-GB" w:bidi="ar-SA"/>
    </w:rPr>
  </w:style>
  <w:style w:type="character" w:customStyle="1" w:styleId="CommentTextChar">
    <w:name w:val="Comment Text Char"/>
    <w:basedOn w:val="DefaultParagraphFont"/>
    <w:link w:val="CommentText"/>
    <w:uiPriority w:val="99"/>
    <w:locked/>
    <w:rsid w:val="00161B02"/>
    <w:rPr>
      <w:lang w:eastAsia="en-US"/>
    </w:rPr>
  </w:style>
  <w:style w:type="paragraph" w:styleId="CommentSubject">
    <w:name w:val="annotation subject"/>
    <w:basedOn w:val="CommentText"/>
    <w:next w:val="CommentText"/>
    <w:link w:val="CommentSubjectChar"/>
    <w:uiPriority w:val="99"/>
    <w:rsid w:val="00161B02"/>
    <w:rPr>
      <w:b/>
      <w:bCs/>
    </w:rPr>
  </w:style>
  <w:style w:type="character" w:customStyle="1" w:styleId="CommentSubjectChar">
    <w:name w:val="Comment Subject Char"/>
    <w:basedOn w:val="CommentTextChar"/>
    <w:link w:val="CommentSubject"/>
    <w:uiPriority w:val="99"/>
    <w:locked/>
    <w:rsid w:val="00161B02"/>
    <w:rPr>
      <w:b/>
      <w:lang w:eastAsia="en-US"/>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SUPERS,4_,Appel note de bas de p."/>
    <w:link w:val="Appelnotedebasde"/>
    <w:uiPriority w:val="99"/>
    <w:qFormat/>
    <w:locked/>
    <w:rsid w:val="004D71B4"/>
    <w:rPr>
      <w:rFonts w:ascii="Times New Roman" w:hAnsi="Times New Roman"/>
      <w:sz w:val="18"/>
      <w:vertAlign w:val="superscript"/>
    </w:rPr>
  </w:style>
  <w:style w:type="paragraph" w:customStyle="1" w:styleId="SingleTxt">
    <w:name w:val="__Single Txt"/>
    <w:basedOn w:val="Normal"/>
    <w:rsid w:val="00C36CA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heme="minorEastAsia"/>
      <w:spacing w:val="4"/>
      <w:w w:val="103"/>
      <w:kern w:val="14"/>
      <w:sz w:val="20"/>
      <w:szCs w:val="20"/>
      <w:lang w:val="en-GB" w:eastAsia="zh-CN" w:bidi="ar-SA"/>
    </w:rPr>
  </w:style>
  <w:style w:type="paragraph" w:styleId="Revision">
    <w:name w:val="Revision"/>
    <w:hidden/>
    <w:uiPriority w:val="99"/>
    <w:semiHidden/>
    <w:rsid w:val="00AB5D75"/>
    <w:rPr>
      <w:sz w:val="20"/>
      <w:szCs w:val="20"/>
      <w:lang w:val="en-GB" w:eastAsia="en-US"/>
    </w:rPr>
  </w:style>
  <w:style w:type="character" w:customStyle="1" w:styleId="s32a37344">
    <w:name w:val="s32a37344"/>
    <w:rsid w:val="00956A6B"/>
  </w:style>
  <w:style w:type="character" w:styleId="Emphasis">
    <w:name w:val="Emphasis"/>
    <w:basedOn w:val="DefaultParagraphFont"/>
    <w:uiPriority w:val="20"/>
    <w:qFormat/>
    <w:locked/>
    <w:rsid w:val="00F301C6"/>
    <w:rPr>
      <w:i/>
      <w:iCs/>
    </w:rPr>
  </w:style>
  <w:style w:type="character" w:customStyle="1" w:styleId="apple-converted-space">
    <w:name w:val="apple-converted-space"/>
    <w:basedOn w:val="DefaultParagraphFont"/>
    <w:rsid w:val="00F301C6"/>
  </w:style>
  <w:style w:type="paragraph" w:styleId="NormalWeb">
    <w:name w:val="Normal (Web)"/>
    <w:basedOn w:val="Normal"/>
    <w:uiPriority w:val="99"/>
    <w:semiHidden/>
    <w:unhideWhenUsed/>
    <w:rsid w:val="00D73357"/>
    <w:pPr>
      <w:spacing w:before="100" w:beforeAutospacing="1" w:after="100" w:afterAutospacing="1"/>
    </w:pPr>
    <w:rPr>
      <w:lang w:val="en-GB" w:eastAsia="en-GB" w:bidi="ar-SA"/>
    </w:rPr>
  </w:style>
  <w:style w:type="paragraph" w:styleId="HTMLPreformatted">
    <w:name w:val="HTML Preformatted"/>
    <w:basedOn w:val="Normal"/>
    <w:link w:val="HTMLPreformattedChar"/>
    <w:uiPriority w:val="99"/>
    <w:semiHidden/>
    <w:unhideWhenUsed/>
    <w:rsid w:val="005C266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C2660"/>
    <w:rPr>
      <w:rFonts w:ascii="Consolas" w:hAnsi="Consolas"/>
      <w:sz w:val="20"/>
      <w:szCs w:val="20"/>
      <w:lang w:val="en-US" w:eastAsia="en-US" w:bidi="he-IL"/>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96491A"/>
    <w:pPr>
      <w:spacing w:before="120" w:after="120"/>
    </w:pPr>
    <w:rPr>
      <w:sz w:val="18"/>
      <w:szCs w:val="22"/>
      <w:vertAlign w:val="superscript"/>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5825">
      <w:bodyDiv w:val="1"/>
      <w:marLeft w:val="0"/>
      <w:marRight w:val="0"/>
      <w:marTop w:val="0"/>
      <w:marBottom w:val="0"/>
      <w:divBdr>
        <w:top w:val="none" w:sz="0" w:space="0" w:color="auto"/>
        <w:left w:val="none" w:sz="0" w:space="0" w:color="auto"/>
        <w:bottom w:val="none" w:sz="0" w:space="0" w:color="auto"/>
        <w:right w:val="none" w:sz="0" w:space="0" w:color="auto"/>
      </w:divBdr>
    </w:div>
    <w:div w:id="191263590">
      <w:bodyDiv w:val="1"/>
      <w:marLeft w:val="0"/>
      <w:marRight w:val="0"/>
      <w:marTop w:val="0"/>
      <w:marBottom w:val="0"/>
      <w:divBdr>
        <w:top w:val="none" w:sz="0" w:space="0" w:color="auto"/>
        <w:left w:val="none" w:sz="0" w:space="0" w:color="auto"/>
        <w:bottom w:val="none" w:sz="0" w:space="0" w:color="auto"/>
        <w:right w:val="none" w:sz="0" w:space="0" w:color="auto"/>
      </w:divBdr>
    </w:div>
    <w:div w:id="217595396">
      <w:bodyDiv w:val="1"/>
      <w:marLeft w:val="0"/>
      <w:marRight w:val="0"/>
      <w:marTop w:val="0"/>
      <w:marBottom w:val="0"/>
      <w:divBdr>
        <w:top w:val="none" w:sz="0" w:space="0" w:color="auto"/>
        <w:left w:val="none" w:sz="0" w:space="0" w:color="auto"/>
        <w:bottom w:val="none" w:sz="0" w:space="0" w:color="auto"/>
        <w:right w:val="none" w:sz="0" w:space="0" w:color="auto"/>
      </w:divBdr>
    </w:div>
    <w:div w:id="313263926">
      <w:bodyDiv w:val="1"/>
      <w:marLeft w:val="0"/>
      <w:marRight w:val="0"/>
      <w:marTop w:val="0"/>
      <w:marBottom w:val="0"/>
      <w:divBdr>
        <w:top w:val="none" w:sz="0" w:space="0" w:color="auto"/>
        <w:left w:val="none" w:sz="0" w:space="0" w:color="auto"/>
        <w:bottom w:val="none" w:sz="0" w:space="0" w:color="auto"/>
        <w:right w:val="none" w:sz="0" w:space="0" w:color="auto"/>
      </w:divBdr>
    </w:div>
    <w:div w:id="328750009">
      <w:bodyDiv w:val="1"/>
      <w:marLeft w:val="0"/>
      <w:marRight w:val="0"/>
      <w:marTop w:val="0"/>
      <w:marBottom w:val="0"/>
      <w:divBdr>
        <w:top w:val="none" w:sz="0" w:space="0" w:color="auto"/>
        <w:left w:val="none" w:sz="0" w:space="0" w:color="auto"/>
        <w:bottom w:val="none" w:sz="0" w:space="0" w:color="auto"/>
        <w:right w:val="none" w:sz="0" w:space="0" w:color="auto"/>
      </w:divBdr>
      <w:divsChild>
        <w:div w:id="666134112">
          <w:marLeft w:val="0"/>
          <w:marRight w:val="0"/>
          <w:marTop w:val="0"/>
          <w:marBottom w:val="0"/>
          <w:divBdr>
            <w:top w:val="none" w:sz="0" w:space="0" w:color="auto"/>
            <w:left w:val="none" w:sz="0" w:space="0" w:color="auto"/>
            <w:bottom w:val="none" w:sz="0" w:space="0" w:color="auto"/>
            <w:right w:val="none" w:sz="0" w:space="0" w:color="auto"/>
          </w:divBdr>
        </w:div>
      </w:divsChild>
    </w:div>
    <w:div w:id="341013457">
      <w:bodyDiv w:val="1"/>
      <w:marLeft w:val="0"/>
      <w:marRight w:val="0"/>
      <w:marTop w:val="0"/>
      <w:marBottom w:val="0"/>
      <w:divBdr>
        <w:top w:val="none" w:sz="0" w:space="0" w:color="auto"/>
        <w:left w:val="none" w:sz="0" w:space="0" w:color="auto"/>
        <w:bottom w:val="none" w:sz="0" w:space="0" w:color="auto"/>
        <w:right w:val="none" w:sz="0" w:space="0" w:color="auto"/>
      </w:divBdr>
    </w:div>
    <w:div w:id="357968925">
      <w:bodyDiv w:val="1"/>
      <w:marLeft w:val="0"/>
      <w:marRight w:val="0"/>
      <w:marTop w:val="0"/>
      <w:marBottom w:val="0"/>
      <w:divBdr>
        <w:top w:val="none" w:sz="0" w:space="0" w:color="auto"/>
        <w:left w:val="none" w:sz="0" w:space="0" w:color="auto"/>
        <w:bottom w:val="none" w:sz="0" w:space="0" w:color="auto"/>
        <w:right w:val="none" w:sz="0" w:space="0" w:color="auto"/>
      </w:divBdr>
    </w:div>
    <w:div w:id="381101609">
      <w:bodyDiv w:val="1"/>
      <w:marLeft w:val="0"/>
      <w:marRight w:val="0"/>
      <w:marTop w:val="0"/>
      <w:marBottom w:val="0"/>
      <w:divBdr>
        <w:top w:val="none" w:sz="0" w:space="0" w:color="auto"/>
        <w:left w:val="none" w:sz="0" w:space="0" w:color="auto"/>
        <w:bottom w:val="none" w:sz="0" w:space="0" w:color="auto"/>
        <w:right w:val="none" w:sz="0" w:space="0" w:color="auto"/>
      </w:divBdr>
    </w:div>
    <w:div w:id="462816002">
      <w:bodyDiv w:val="1"/>
      <w:marLeft w:val="0"/>
      <w:marRight w:val="0"/>
      <w:marTop w:val="0"/>
      <w:marBottom w:val="0"/>
      <w:divBdr>
        <w:top w:val="none" w:sz="0" w:space="0" w:color="auto"/>
        <w:left w:val="none" w:sz="0" w:space="0" w:color="auto"/>
        <w:bottom w:val="none" w:sz="0" w:space="0" w:color="auto"/>
        <w:right w:val="none" w:sz="0" w:space="0" w:color="auto"/>
      </w:divBdr>
    </w:div>
    <w:div w:id="470680090">
      <w:bodyDiv w:val="1"/>
      <w:marLeft w:val="0"/>
      <w:marRight w:val="0"/>
      <w:marTop w:val="0"/>
      <w:marBottom w:val="0"/>
      <w:divBdr>
        <w:top w:val="none" w:sz="0" w:space="0" w:color="auto"/>
        <w:left w:val="none" w:sz="0" w:space="0" w:color="auto"/>
        <w:bottom w:val="none" w:sz="0" w:space="0" w:color="auto"/>
        <w:right w:val="none" w:sz="0" w:space="0" w:color="auto"/>
      </w:divBdr>
    </w:div>
    <w:div w:id="484006352">
      <w:bodyDiv w:val="1"/>
      <w:marLeft w:val="0"/>
      <w:marRight w:val="0"/>
      <w:marTop w:val="0"/>
      <w:marBottom w:val="0"/>
      <w:divBdr>
        <w:top w:val="none" w:sz="0" w:space="0" w:color="auto"/>
        <w:left w:val="none" w:sz="0" w:space="0" w:color="auto"/>
        <w:bottom w:val="none" w:sz="0" w:space="0" w:color="auto"/>
        <w:right w:val="none" w:sz="0" w:space="0" w:color="auto"/>
      </w:divBdr>
    </w:div>
    <w:div w:id="527064858">
      <w:marLeft w:val="0"/>
      <w:marRight w:val="0"/>
      <w:marTop w:val="0"/>
      <w:marBottom w:val="0"/>
      <w:divBdr>
        <w:top w:val="none" w:sz="0" w:space="0" w:color="auto"/>
        <w:left w:val="none" w:sz="0" w:space="0" w:color="auto"/>
        <w:bottom w:val="none" w:sz="0" w:space="0" w:color="auto"/>
        <w:right w:val="none" w:sz="0" w:space="0" w:color="auto"/>
      </w:divBdr>
    </w:div>
    <w:div w:id="527064859">
      <w:marLeft w:val="0"/>
      <w:marRight w:val="0"/>
      <w:marTop w:val="0"/>
      <w:marBottom w:val="0"/>
      <w:divBdr>
        <w:top w:val="none" w:sz="0" w:space="0" w:color="auto"/>
        <w:left w:val="none" w:sz="0" w:space="0" w:color="auto"/>
        <w:bottom w:val="none" w:sz="0" w:space="0" w:color="auto"/>
        <w:right w:val="none" w:sz="0" w:space="0" w:color="auto"/>
      </w:divBdr>
      <w:divsChild>
        <w:div w:id="527064865">
          <w:marLeft w:val="0"/>
          <w:marRight w:val="0"/>
          <w:marTop w:val="0"/>
          <w:marBottom w:val="0"/>
          <w:divBdr>
            <w:top w:val="none" w:sz="0" w:space="0" w:color="auto"/>
            <w:left w:val="single" w:sz="6" w:space="0" w:color="414141"/>
            <w:bottom w:val="none" w:sz="0" w:space="0" w:color="auto"/>
            <w:right w:val="single" w:sz="6" w:space="0" w:color="414141"/>
          </w:divBdr>
          <w:divsChild>
            <w:div w:id="527064861">
              <w:marLeft w:val="0"/>
              <w:marRight w:val="0"/>
              <w:marTop w:val="0"/>
              <w:marBottom w:val="0"/>
              <w:divBdr>
                <w:top w:val="none" w:sz="0" w:space="0" w:color="auto"/>
                <w:left w:val="none" w:sz="0" w:space="0" w:color="auto"/>
                <w:bottom w:val="none" w:sz="0" w:space="0" w:color="auto"/>
                <w:right w:val="none" w:sz="0" w:space="0" w:color="auto"/>
              </w:divBdr>
              <w:divsChild>
                <w:div w:id="5270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4860">
      <w:marLeft w:val="0"/>
      <w:marRight w:val="0"/>
      <w:marTop w:val="0"/>
      <w:marBottom w:val="0"/>
      <w:divBdr>
        <w:top w:val="none" w:sz="0" w:space="0" w:color="auto"/>
        <w:left w:val="none" w:sz="0" w:space="0" w:color="auto"/>
        <w:bottom w:val="none" w:sz="0" w:space="0" w:color="auto"/>
        <w:right w:val="none" w:sz="0" w:space="0" w:color="auto"/>
      </w:divBdr>
    </w:div>
    <w:div w:id="527064862">
      <w:marLeft w:val="0"/>
      <w:marRight w:val="0"/>
      <w:marTop w:val="0"/>
      <w:marBottom w:val="0"/>
      <w:divBdr>
        <w:top w:val="none" w:sz="0" w:space="0" w:color="auto"/>
        <w:left w:val="none" w:sz="0" w:space="0" w:color="auto"/>
        <w:bottom w:val="none" w:sz="0" w:space="0" w:color="auto"/>
        <w:right w:val="none" w:sz="0" w:space="0" w:color="auto"/>
      </w:divBdr>
    </w:div>
    <w:div w:id="527064863">
      <w:marLeft w:val="0"/>
      <w:marRight w:val="0"/>
      <w:marTop w:val="0"/>
      <w:marBottom w:val="0"/>
      <w:divBdr>
        <w:top w:val="none" w:sz="0" w:space="0" w:color="auto"/>
        <w:left w:val="none" w:sz="0" w:space="0" w:color="auto"/>
        <w:bottom w:val="none" w:sz="0" w:space="0" w:color="auto"/>
        <w:right w:val="none" w:sz="0" w:space="0" w:color="auto"/>
      </w:divBdr>
    </w:div>
    <w:div w:id="527064864">
      <w:marLeft w:val="0"/>
      <w:marRight w:val="0"/>
      <w:marTop w:val="0"/>
      <w:marBottom w:val="0"/>
      <w:divBdr>
        <w:top w:val="none" w:sz="0" w:space="0" w:color="auto"/>
        <w:left w:val="none" w:sz="0" w:space="0" w:color="auto"/>
        <w:bottom w:val="none" w:sz="0" w:space="0" w:color="auto"/>
        <w:right w:val="none" w:sz="0" w:space="0" w:color="auto"/>
      </w:divBdr>
    </w:div>
    <w:div w:id="527064866">
      <w:marLeft w:val="0"/>
      <w:marRight w:val="0"/>
      <w:marTop w:val="0"/>
      <w:marBottom w:val="0"/>
      <w:divBdr>
        <w:top w:val="none" w:sz="0" w:space="0" w:color="auto"/>
        <w:left w:val="none" w:sz="0" w:space="0" w:color="auto"/>
        <w:bottom w:val="none" w:sz="0" w:space="0" w:color="auto"/>
        <w:right w:val="none" w:sz="0" w:space="0" w:color="auto"/>
      </w:divBdr>
    </w:div>
    <w:div w:id="527064868">
      <w:marLeft w:val="0"/>
      <w:marRight w:val="0"/>
      <w:marTop w:val="0"/>
      <w:marBottom w:val="0"/>
      <w:divBdr>
        <w:top w:val="none" w:sz="0" w:space="0" w:color="auto"/>
        <w:left w:val="none" w:sz="0" w:space="0" w:color="auto"/>
        <w:bottom w:val="none" w:sz="0" w:space="0" w:color="auto"/>
        <w:right w:val="none" w:sz="0" w:space="0" w:color="auto"/>
      </w:divBdr>
    </w:div>
    <w:div w:id="527064869">
      <w:marLeft w:val="0"/>
      <w:marRight w:val="0"/>
      <w:marTop w:val="0"/>
      <w:marBottom w:val="0"/>
      <w:divBdr>
        <w:top w:val="none" w:sz="0" w:space="0" w:color="auto"/>
        <w:left w:val="none" w:sz="0" w:space="0" w:color="auto"/>
        <w:bottom w:val="none" w:sz="0" w:space="0" w:color="auto"/>
        <w:right w:val="none" w:sz="0" w:space="0" w:color="auto"/>
      </w:divBdr>
    </w:div>
    <w:div w:id="540896769">
      <w:bodyDiv w:val="1"/>
      <w:marLeft w:val="0"/>
      <w:marRight w:val="0"/>
      <w:marTop w:val="0"/>
      <w:marBottom w:val="0"/>
      <w:divBdr>
        <w:top w:val="none" w:sz="0" w:space="0" w:color="auto"/>
        <w:left w:val="none" w:sz="0" w:space="0" w:color="auto"/>
        <w:bottom w:val="none" w:sz="0" w:space="0" w:color="auto"/>
        <w:right w:val="none" w:sz="0" w:space="0" w:color="auto"/>
      </w:divBdr>
    </w:div>
    <w:div w:id="605577808">
      <w:bodyDiv w:val="1"/>
      <w:marLeft w:val="0"/>
      <w:marRight w:val="0"/>
      <w:marTop w:val="0"/>
      <w:marBottom w:val="0"/>
      <w:divBdr>
        <w:top w:val="none" w:sz="0" w:space="0" w:color="auto"/>
        <w:left w:val="none" w:sz="0" w:space="0" w:color="auto"/>
        <w:bottom w:val="none" w:sz="0" w:space="0" w:color="auto"/>
        <w:right w:val="none" w:sz="0" w:space="0" w:color="auto"/>
      </w:divBdr>
    </w:div>
    <w:div w:id="733359147">
      <w:bodyDiv w:val="1"/>
      <w:marLeft w:val="0"/>
      <w:marRight w:val="0"/>
      <w:marTop w:val="0"/>
      <w:marBottom w:val="0"/>
      <w:divBdr>
        <w:top w:val="none" w:sz="0" w:space="0" w:color="auto"/>
        <w:left w:val="none" w:sz="0" w:space="0" w:color="auto"/>
        <w:bottom w:val="none" w:sz="0" w:space="0" w:color="auto"/>
        <w:right w:val="none" w:sz="0" w:space="0" w:color="auto"/>
      </w:divBdr>
    </w:div>
    <w:div w:id="939145261">
      <w:bodyDiv w:val="1"/>
      <w:marLeft w:val="0"/>
      <w:marRight w:val="0"/>
      <w:marTop w:val="0"/>
      <w:marBottom w:val="0"/>
      <w:divBdr>
        <w:top w:val="none" w:sz="0" w:space="0" w:color="auto"/>
        <w:left w:val="none" w:sz="0" w:space="0" w:color="auto"/>
        <w:bottom w:val="none" w:sz="0" w:space="0" w:color="auto"/>
        <w:right w:val="none" w:sz="0" w:space="0" w:color="auto"/>
      </w:divBdr>
    </w:div>
    <w:div w:id="1029990941">
      <w:bodyDiv w:val="1"/>
      <w:marLeft w:val="0"/>
      <w:marRight w:val="0"/>
      <w:marTop w:val="0"/>
      <w:marBottom w:val="0"/>
      <w:divBdr>
        <w:top w:val="none" w:sz="0" w:space="0" w:color="auto"/>
        <w:left w:val="none" w:sz="0" w:space="0" w:color="auto"/>
        <w:bottom w:val="none" w:sz="0" w:space="0" w:color="auto"/>
        <w:right w:val="none" w:sz="0" w:space="0" w:color="auto"/>
      </w:divBdr>
    </w:div>
    <w:div w:id="1046218012">
      <w:bodyDiv w:val="1"/>
      <w:marLeft w:val="0"/>
      <w:marRight w:val="0"/>
      <w:marTop w:val="0"/>
      <w:marBottom w:val="0"/>
      <w:divBdr>
        <w:top w:val="none" w:sz="0" w:space="0" w:color="auto"/>
        <w:left w:val="none" w:sz="0" w:space="0" w:color="auto"/>
        <w:bottom w:val="none" w:sz="0" w:space="0" w:color="auto"/>
        <w:right w:val="none" w:sz="0" w:space="0" w:color="auto"/>
      </w:divBdr>
    </w:div>
    <w:div w:id="1113283777">
      <w:bodyDiv w:val="1"/>
      <w:marLeft w:val="0"/>
      <w:marRight w:val="0"/>
      <w:marTop w:val="0"/>
      <w:marBottom w:val="0"/>
      <w:divBdr>
        <w:top w:val="none" w:sz="0" w:space="0" w:color="auto"/>
        <w:left w:val="none" w:sz="0" w:space="0" w:color="auto"/>
        <w:bottom w:val="none" w:sz="0" w:space="0" w:color="auto"/>
        <w:right w:val="none" w:sz="0" w:space="0" w:color="auto"/>
      </w:divBdr>
    </w:div>
    <w:div w:id="1126968980">
      <w:bodyDiv w:val="1"/>
      <w:marLeft w:val="0"/>
      <w:marRight w:val="0"/>
      <w:marTop w:val="0"/>
      <w:marBottom w:val="0"/>
      <w:divBdr>
        <w:top w:val="none" w:sz="0" w:space="0" w:color="auto"/>
        <w:left w:val="none" w:sz="0" w:space="0" w:color="auto"/>
        <w:bottom w:val="none" w:sz="0" w:space="0" w:color="auto"/>
        <w:right w:val="none" w:sz="0" w:space="0" w:color="auto"/>
      </w:divBdr>
    </w:div>
    <w:div w:id="1227838613">
      <w:bodyDiv w:val="1"/>
      <w:marLeft w:val="0"/>
      <w:marRight w:val="0"/>
      <w:marTop w:val="0"/>
      <w:marBottom w:val="0"/>
      <w:divBdr>
        <w:top w:val="none" w:sz="0" w:space="0" w:color="auto"/>
        <w:left w:val="none" w:sz="0" w:space="0" w:color="auto"/>
        <w:bottom w:val="none" w:sz="0" w:space="0" w:color="auto"/>
        <w:right w:val="none" w:sz="0" w:space="0" w:color="auto"/>
      </w:divBdr>
    </w:div>
    <w:div w:id="1299409891">
      <w:bodyDiv w:val="1"/>
      <w:marLeft w:val="0"/>
      <w:marRight w:val="0"/>
      <w:marTop w:val="0"/>
      <w:marBottom w:val="0"/>
      <w:divBdr>
        <w:top w:val="none" w:sz="0" w:space="0" w:color="auto"/>
        <w:left w:val="none" w:sz="0" w:space="0" w:color="auto"/>
        <w:bottom w:val="none" w:sz="0" w:space="0" w:color="auto"/>
        <w:right w:val="none" w:sz="0" w:space="0" w:color="auto"/>
      </w:divBdr>
    </w:div>
    <w:div w:id="1438066757">
      <w:bodyDiv w:val="1"/>
      <w:marLeft w:val="0"/>
      <w:marRight w:val="0"/>
      <w:marTop w:val="0"/>
      <w:marBottom w:val="0"/>
      <w:divBdr>
        <w:top w:val="none" w:sz="0" w:space="0" w:color="auto"/>
        <w:left w:val="none" w:sz="0" w:space="0" w:color="auto"/>
        <w:bottom w:val="none" w:sz="0" w:space="0" w:color="auto"/>
        <w:right w:val="none" w:sz="0" w:space="0" w:color="auto"/>
      </w:divBdr>
    </w:div>
    <w:div w:id="1481269623">
      <w:bodyDiv w:val="1"/>
      <w:marLeft w:val="0"/>
      <w:marRight w:val="0"/>
      <w:marTop w:val="0"/>
      <w:marBottom w:val="0"/>
      <w:divBdr>
        <w:top w:val="none" w:sz="0" w:space="0" w:color="auto"/>
        <w:left w:val="none" w:sz="0" w:space="0" w:color="auto"/>
        <w:bottom w:val="none" w:sz="0" w:space="0" w:color="auto"/>
        <w:right w:val="none" w:sz="0" w:space="0" w:color="auto"/>
      </w:divBdr>
    </w:div>
    <w:div w:id="1629242766">
      <w:bodyDiv w:val="1"/>
      <w:marLeft w:val="0"/>
      <w:marRight w:val="0"/>
      <w:marTop w:val="0"/>
      <w:marBottom w:val="0"/>
      <w:divBdr>
        <w:top w:val="none" w:sz="0" w:space="0" w:color="auto"/>
        <w:left w:val="none" w:sz="0" w:space="0" w:color="auto"/>
        <w:bottom w:val="none" w:sz="0" w:space="0" w:color="auto"/>
        <w:right w:val="none" w:sz="0" w:space="0" w:color="auto"/>
      </w:divBdr>
    </w:div>
    <w:div w:id="1788885278">
      <w:bodyDiv w:val="1"/>
      <w:marLeft w:val="0"/>
      <w:marRight w:val="0"/>
      <w:marTop w:val="0"/>
      <w:marBottom w:val="0"/>
      <w:divBdr>
        <w:top w:val="none" w:sz="0" w:space="0" w:color="auto"/>
        <w:left w:val="none" w:sz="0" w:space="0" w:color="auto"/>
        <w:bottom w:val="none" w:sz="0" w:space="0" w:color="auto"/>
        <w:right w:val="none" w:sz="0" w:space="0" w:color="auto"/>
      </w:divBdr>
    </w:div>
    <w:div w:id="1883706730">
      <w:bodyDiv w:val="1"/>
      <w:marLeft w:val="0"/>
      <w:marRight w:val="0"/>
      <w:marTop w:val="0"/>
      <w:marBottom w:val="0"/>
      <w:divBdr>
        <w:top w:val="none" w:sz="0" w:space="0" w:color="auto"/>
        <w:left w:val="none" w:sz="0" w:space="0" w:color="auto"/>
        <w:bottom w:val="none" w:sz="0" w:space="0" w:color="auto"/>
        <w:right w:val="none" w:sz="0" w:space="0" w:color="auto"/>
      </w:divBdr>
    </w:div>
    <w:div w:id="1903055521">
      <w:bodyDiv w:val="1"/>
      <w:marLeft w:val="0"/>
      <w:marRight w:val="0"/>
      <w:marTop w:val="0"/>
      <w:marBottom w:val="0"/>
      <w:divBdr>
        <w:top w:val="none" w:sz="0" w:space="0" w:color="auto"/>
        <w:left w:val="none" w:sz="0" w:space="0" w:color="auto"/>
        <w:bottom w:val="none" w:sz="0" w:space="0" w:color="auto"/>
        <w:right w:val="none" w:sz="0" w:space="0" w:color="auto"/>
      </w:divBdr>
    </w:div>
    <w:div w:id="1957911013">
      <w:bodyDiv w:val="1"/>
      <w:marLeft w:val="0"/>
      <w:marRight w:val="0"/>
      <w:marTop w:val="0"/>
      <w:marBottom w:val="0"/>
      <w:divBdr>
        <w:top w:val="none" w:sz="0" w:space="0" w:color="auto"/>
        <w:left w:val="none" w:sz="0" w:space="0" w:color="auto"/>
        <w:bottom w:val="none" w:sz="0" w:space="0" w:color="auto"/>
        <w:right w:val="none" w:sz="0" w:space="0" w:color="auto"/>
      </w:divBdr>
    </w:div>
    <w:div w:id="2007242515">
      <w:bodyDiv w:val="1"/>
      <w:marLeft w:val="0"/>
      <w:marRight w:val="0"/>
      <w:marTop w:val="0"/>
      <w:marBottom w:val="0"/>
      <w:divBdr>
        <w:top w:val="none" w:sz="0" w:space="0" w:color="auto"/>
        <w:left w:val="none" w:sz="0" w:space="0" w:color="auto"/>
        <w:bottom w:val="none" w:sz="0" w:space="0" w:color="auto"/>
        <w:right w:val="none" w:sz="0" w:space="0" w:color="auto"/>
      </w:divBdr>
    </w:div>
    <w:div w:id="2014988657">
      <w:bodyDiv w:val="1"/>
      <w:marLeft w:val="0"/>
      <w:marRight w:val="0"/>
      <w:marTop w:val="0"/>
      <w:marBottom w:val="0"/>
      <w:divBdr>
        <w:top w:val="none" w:sz="0" w:space="0" w:color="auto"/>
        <w:left w:val="none" w:sz="0" w:space="0" w:color="auto"/>
        <w:bottom w:val="none" w:sz="0" w:space="0" w:color="auto"/>
        <w:right w:val="none" w:sz="0" w:space="0" w:color="auto"/>
      </w:divBdr>
    </w:div>
    <w:div w:id="20672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B642-8438-4430-99C8-225DA0B7C86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507EBAB3-34BB-4C8F-868D-DFCA070D9785}">
  <ds:schemaRefs>
    <ds:schemaRef ds:uri="http://schemas.microsoft.com/sharepoint/v3/contenttype/forms"/>
  </ds:schemaRefs>
</ds:datastoreItem>
</file>

<file path=customXml/itemProps3.xml><?xml version="1.0" encoding="utf-8"?>
<ds:datastoreItem xmlns:ds="http://schemas.openxmlformats.org/officeDocument/2006/customXml" ds:itemID="{F82A9A9A-443F-4E54-AD32-28CA56C3CC67}"/>
</file>

<file path=customXml/itemProps4.xml><?xml version="1.0" encoding="utf-8"?>
<ds:datastoreItem xmlns:ds="http://schemas.openxmlformats.org/officeDocument/2006/customXml" ds:itemID="{B0CEADF4-5BF8-4C7F-9DC5-057D1F61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5860</Words>
  <Characters>33404</Characters>
  <Application>Microsoft Office Word</Application>
  <DocSecurity>0</DocSecurity>
  <Lines>278</Lines>
  <Paragraphs>78</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Titel</vt:lpstr>
      </vt:variant>
      <vt:variant>
        <vt:i4>1</vt:i4>
      </vt:variant>
    </vt:vector>
  </HeadingPairs>
  <TitlesOfParts>
    <vt:vector size="4" baseType="lpstr">
      <vt:lpstr>CCPR/C/133/DR/2904/2016</vt:lpstr>
      <vt:lpstr>CCPR/C/130/DR/2572/2015</vt:lpstr>
      <vt:lpstr>CCPR/C/WG/129/DR/2404/2014</vt:lpstr>
      <vt:lpstr>1610356</vt:lpstr>
    </vt:vector>
  </TitlesOfParts>
  <Company>CSD</Company>
  <LinksUpToDate>false</LinksUpToDate>
  <CharactersWithSpaces>39186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CCPR/C/133/DR/2904/2016</dc:title>
  <dc:subject>2114446</dc:subject>
  <dc:creator>temp Neogi</dc:creator>
  <cp:keywords/>
  <dc:description/>
  <cp:lastModifiedBy>Mohamed Abdelazim</cp:lastModifiedBy>
  <cp:revision>4</cp:revision>
  <cp:lastPrinted>2020-10-08T15:30:00Z</cp:lastPrinted>
  <dcterms:created xsi:type="dcterms:W3CDTF">2021-12-09T16:46:00Z</dcterms:created>
  <dcterms:modified xsi:type="dcterms:W3CDTF">2021-12-10T09:43:00Z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y fmtid="{D5CDD505-2E9C-101B-9397-08002B2CF9AE}" pid="3" name="Order">
    <vt:r8>1000</vt:r8>
  </property>
</Properties>
</file>