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F907A" w14:textId="77777777" w:rsidR="00597A6B" w:rsidRPr="008A6777" w:rsidRDefault="00597A6B" w:rsidP="002F7DDD">
      <w:pPr>
        <w:keepNext/>
        <w:keepLines/>
        <w:tabs>
          <w:tab w:val="left" w:pos="709"/>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right="33"/>
        <w:outlineLvl w:val="0"/>
        <w:rPr>
          <w:b/>
          <w:spacing w:val="-2"/>
          <w:w w:val="103"/>
          <w:kern w:val="14"/>
          <w:sz w:val="24"/>
          <w:szCs w:val="24"/>
        </w:rPr>
      </w:pPr>
      <w:r w:rsidRPr="008A6777">
        <w:rPr>
          <w:b/>
          <w:spacing w:val="-2"/>
          <w:w w:val="103"/>
          <w:kern w:val="14"/>
          <w:sz w:val="24"/>
          <w:szCs w:val="24"/>
        </w:rPr>
        <w:t>[INFORMAL DOCUMENT]</w:t>
      </w:r>
    </w:p>
    <w:p w14:paraId="6DE656E2" w14:textId="77777777" w:rsidR="00597A6B" w:rsidRPr="008A6777" w:rsidRDefault="00597A6B" w:rsidP="00597A6B">
      <w:pPr>
        <w:spacing w:line="240" w:lineRule="exact"/>
        <w:rPr>
          <w:spacing w:val="4"/>
          <w:w w:val="103"/>
          <w:kern w:val="14"/>
        </w:rPr>
      </w:pPr>
    </w:p>
    <w:p w14:paraId="38A00FA4" w14:textId="77777777" w:rsidR="00597A6B" w:rsidRPr="008A6777" w:rsidRDefault="00597A6B" w:rsidP="00597A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33" w:hanging="1267"/>
        <w:jc w:val="right"/>
        <w:outlineLvl w:val="0"/>
        <w:rPr>
          <w:b/>
          <w:spacing w:val="-2"/>
          <w:w w:val="103"/>
          <w:kern w:val="14"/>
          <w:sz w:val="24"/>
          <w:szCs w:val="24"/>
        </w:rPr>
      </w:pPr>
    </w:p>
    <w:p w14:paraId="6F84E403" w14:textId="77777777" w:rsidR="00597A6B" w:rsidRPr="008A6777" w:rsidRDefault="00597A6B" w:rsidP="00597A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33" w:hanging="1267"/>
        <w:jc w:val="right"/>
        <w:outlineLvl w:val="0"/>
        <w:rPr>
          <w:b/>
          <w:spacing w:val="-2"/>
          <w:w w:val="103"/>
          <w:kern w:val="14"/>
          <w:sz w:val="24"/>
          <w:szCs w:val="24"/>
        </w:rPr>
      </w:pPr>
    </w:p>
    <w:p w14:paraId="582C3456" w14:textId="4369FB06" w:rsidR="00597A6B" w:rsidRPr="008A6777" w:rsidRDefault="00597A6B" w:rsidP="00597A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33" w:hanging="1267"/>
        <w:jc w:val="right"/>
        <w:outlineLvl w:val="0"/>
        <w:rPr>
          <w:b/>
          <w:spacing w:val="-2"/>
          <w:w w:val="103"/>
          <w:kern w:val="14"/>
          <w:sz w:val="24"/>
          <w:szCs w:val="24"/>
        </w:rPr>
      </w:pPr>
      <w:r w:rsidRPr="008A6777">
        <w:rPr>
          <w:b/>
          <w:spacing w:val="-2"/>
          <w:w w:val="103"/>
          <w:kern w:val="14"/>
          <w:sz w:val="24"/>
          <w:szCs w:val="24"/>
        </w:rPr>
        <w:t>CEDAW/C/20</w:t>
      </w:r>
      <w:r w:rsidR="00E041D4" w:rsidRPr="008A6777">
        <w:rPr>
          <w:b/>
          <w:spacing w:val="-2"/>
          <w:w w:val="103"/>
          <w:kern w:val="14"/>
          <w:sz w:val="24"/>
          <w:szCs w:val="24"/>
        </w:rPr>
        <w:t>2</w:t>
      </w:r>
      <w:r w:rsidR="00A15FF9" w:rsidRPr="008A6777">
        <w:rPr>
          <w:b/>
          <w:spacing w:val="-2"/>
          <w:w w:val="103"/>
          <w:kern w:val="14"/>
          <w:sz w:val="24"/>
          <w:szCs w:val="24"/>
        </w:rPr>
        <w:t>2</w:t>
      </w:r>
      <w:r w:rsidR="00C7670E" w:rsidRPr="008A6777">
        <w:rPr>
          <w:b/>
          <w:spacing w:val="-2"/>
          <w:w w:val="103"/>
          <w:kern w:val="14"/>
          <w:sz w:val="24"/>
          <w:szCs w:val="24"/>
        </w:rPr>
        <w:t>/</w:t>
      </w:r>
      <w:r w:rsidR="007465EE" w:rsidRPr="008A6777">
        <w:rPr>
          <w:b/>
          <w:spacing w:val="-2"/>
          <w:w w:val="103"/>
          <w:kern w:val="14"/>
          <w:sz w:val="24"/>
          <w:szCs w:val="24"/>
        </w:rPr>
        <w:t>I</w:t>
      </w:r>
      <w:r w:rsidRPr="008A6777">
        <w:rPr>
          <w:b/>
          <w:spacing w:val="-2"/>
          <w:w w:val="103"/>
          <w:kern w:val="14"/>
          <w:sz w:val="24"/>
          <w:szCs w:val="24"/>
        </w:rPr>
        <w:t>/CRP</w:t>
      </w:r>
    </w:p>
    <w:p w14:paraId="32E09ACA" w14:textId="77777777" w:rsidR="00597A6B" w:rsidRPr="008A6777" w:rsidRDefault="00597A6B" w:rsidP="00597A6B">
      <w:pPr>
        <w:spacing w:line="240" w:lineRule="exact"/>
        <w:jc w:val="center"/>
        <w:rPr>
          <w:b/>
          <w:bCs/>
          <w:spacing w:val="4"/>
          <w:w w:val="103"/>
          <w:kern w:val="14"/>
          <w:sz w:val="24"/>
          <w:szCs w:val="24"/>
          <w:u w:val="single"/>
        </w:rPr>
      </w:pPr>
    </w:p>
    <w:p w14:paraId="6D9EFF29" w14:textId="77777777" w:rsidR="00597A6B" w:rsidRPr="008A6777" w:rsidRDefault="00597A6B" w:rsidP="00597A6B">
      <w:pPr>
        <w:spacing w:line="240" w:lineRule="exact"/>
        <w:rPr>
          <w:spacing w:val="4"/>
          <w:w w:val="103"/>
          <w:kern w:val="14"/>
        </w:rPr>
      </w:pPr>
    </w:p>
    <w:p w14:paraId="07AFC88D" w14:textId="77777777" w:rsidR="00597A6B" w:rsidRPr="00643213" w:rsidRDefault="00597A6B" w:rsidP="00597A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33" w:hanging="1267"/>
        <w:outlineLvl w:val="0"/>
        <w:rPr>
          <w:b/>
          <w:spacing w:val="-2"/>
          <w:w w:val="103"/>
          <w:kern w:val="14"/>
          <w:sz w:val="28"/>
          <w:lang w:val="en-US"/>
        </w:rPr>
      </w:pPr>
      <w:r w:rsidRPr="008A6777">
        <w:rPr>
          <w:b/>
          <w:spacing w:val="-2"/>
          <w:w w:val="103"/>
          <w:kern w:val="14"/>
          <w:sz w:val="28"/>
        </w:rPr>
        <w:tab/>
      </w:r>
      <w:r w:rsidRPr="008A6777">
        <w:rPr>
          <w:b/>
          <w:spacing w:val="-2"/>
          <w:w w:val="103"/>
          <w:kern w:val="14"/>
          <w:sz w:val="28"/>
        </w:rPr>
        <w:tab/>
      </w:r>
      <w:r w:rsidRPr="00643213">
        <w:rPr>
          <w:b/>
          <w:spacing w:val="-2"/>
          <w:w w:val="103"/>
          <w:kern w:val="14"/>
          <w:sz w:val="28"/>
          <w:lang w:val="en-US"/>
        </w:rPr>
        <w:t>Report of the Committee on the</w:t>
      </w:r>
    </w:p>
    <w:p w14:paraId="7DAD780D" w14:textId="77777777" w:rsidR="00597A6B" w:rsidRPr="00643213" w:rsidRDefault="00597A6B" w:rsidP="00597A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33" w:hanging="1267"/>
        <w:outlineLvl w:val="0"/>
        <w:rPr>
          <w:b/>
          <w:spacing w:val="-2"/>
          <w:w w:val="103"/>
          <w:kern w:val="14"/>
          <w:sz w:val="28"/>
          <w:lang w:val="en-US"/>
        </w:rPr>
      </w:pPr>
      <w:r w:rsidRPr="00643213">
        <w:rPr>
          <w:b/>
          <w:spacing w:val="-2"/>
          <w:w w:val="103"/>
          <w:kern w:val="14"/>
          <w:sz w:val="28"/>
          <w:lang w:val="en-US"/>
        </w:rPr>
        <w:tab/>
      </w:r>
      <w:r>
        <w:rPr>
          <w:b/>
          <w:spacing w:val="-2"/>
          <w:w w:val="103"/>
          <w:kern w:val="14"/>
          <w:sz w:val="28"/>
          <w:lang w:val="en-US"/>
        </w:rPr>
        <w:tab/>
      </w:r>
      <w:r w:rsidRPr="00643213">
        <w:rPr>
          <w:b/>
          <w:spacing w:val="-2"/>
          <w:w w:val="103"/>
          <w:kern w:val="14"/>
          <w:sz w:val="28"/>
          <w:lang w:val="en-US"/>
        </w:rPr>
        <w:t>Elimination of Discrimination</w:t>
      </w:r>
    </w:p>
    <w:p w14:paraId="02E378B9" w14:textId="77777777" w:rsidR="00597A6B" w:rsidRPr="00643213" w:rsidRDefault="00597A6B" w:rsidP="00597A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33" w:hanging="1267"/>
        <w:outlineLvl w:val="0"/>
        <w:rPr>
          <w:b/>
          <w:spacing w:val="-2"/>
          <w:w w:val="103"/>
          <w:kern w:val="14"/>
          <w:sz w:val="28"/>
          <w:lang w:val="en-US"/>
        </w:rPr>
      </w:pPr>
      <w:r w:rsidRPr="00643213">
        <w:rPr>
          <w:b/>
          <w:spacing w:val="-2"/>
          <w:w w:val="103"/>
          <w:kern w:val="14"/>
          <w:sz w:val="28"/>
          <w:lang w:val="en-US"/>
        </w:rPr>
        <w:tab/>
      </w:r>
      <w:r>
        <w:rPr>
          <w:b/>
          <w:spacing w:val="-2"/>
          <w:w w:val="103"/>
          <w:kern w:val="14"/>
          <w:sz w:val="28"/>
          <w:lang w:val="en-US"/>
        </w:rPr>
        <w:tab/>
      </w:r>
      <w:r w:rsidRPr="00643213">
        <w:rPr>
          <w:b/>
          <w:spacing w:val="-2"/>
          <w:w w:val="103"/>
          <w:kern w:val="14"/>
          <w:sz w:val="28"/>
          <w:lang w:val="en-US"/>
        </w:rPr>
        <w:t>against Women</w:t>
      </w:r>
    </w:p>
    <w:p w14:paraId="6B9AF731" w14:textId="77777777" w:rsidR="00597A6B" w:rsidRPr="00643213" w:rsidRDefault="00597A6B" w:rsidP="00597A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33" w:hanging="1267"/>
        <w:outlineLvl w:val="0"/>
        <w:rPr>
          <w:b/>
          <w:spacing w:val="-2"/>
          <w:w w:val="103"/>
          <w:kern w:val="14"/>
          <w:sz w:val="28"/>
          <w:lang w:val="en-US"/>
        </w:rPr>
      </w:pPr>
    </w:p>
    <w:p w14:paraId="330A1687" w14:textId="53CFF10A" w:rsidR="00597A6B" w:rsidRPr="00643213" w:rsidRDefault="00597A6B" w:rsidP="00597A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33" w:hanging="1267"/>
        <w:outlineLvl w:val="0"/>
        <w:rPr>
          <w:b/>
          <w:bCs/>
          <w:spacing w:val="-2"/>
          <w:w w:val="103"/>
          <w:kern w:val="14"/>
          <w:sz w:val="24"/>
          <w:szCs w:val="24"/>
          <w:lang w:val="en-US"/>
        </w:rPr>
      </w:pPr>
      <w:r w:rsidRPr="00643213">
        <w:rPr>
          <w:b/>
          <w:spacing w:val="-2"/>
          <w:w w:val="103"/>
          <w:kern w:val="14"/>
          <w:sz w:val="28"/>
          <w:lang w:val="en-US"/>
        </w:rPr>
        <w:tab/>
      </w:r>
      <w:r>
        <w:rPr>
          <w:b/>
          <w:spacing w:val="-2"/>
          <w:w w:val="103"/>
          <w:kern w:val="14"/>
          <w:sz w:val="28"/>
          <w:lang w:val="en-US"/>
        </w:rPr>
        <w:tab/>
      </w:r>
      <w:r w:rsidR="007465EE">
        <w:rPr>
          <w:b/>
          <w:spacing w:val="-2"/>
          <w:w w:val="103"/>
          <w:kern w:val="14"/>
          <w:sz w:val="28"/>
          <w:lang w:val="en-US"/>
        </w:rPr>
        <w:t>Eight</w:t>
      </w:r>
      <w:r w:rsidR="00A15FF9">
        <w:rPr>
          <w:b/>
          <w:spacing w:val="-2"/>
          <w:w w:val="103"/>
          <w:kern w:val="14"/>
          <w:sz w:val="28"/>
          <w:lang w:val="en-US"/>
        </w:rPr>
        <w:t>y-first</w:t>
      </w:r>
      <w:r w:rsidR="00E041D4">
        <w:rPr>
          <w:b/>
          <w:spacing w:val="-2"/>
          <w:w w:val="103"/>
          <w:kern w:val="14"/>
          <w:sz w:val="28"/>
          <w:lang w:val="en-US"/>
        </w:rPr>
        <w:t xml:space="preserve"> </w:t>
      </w:r>
      <w:r w:rsidR="00D44871">
        <w:rPr>
          <w:b/>
          <w:spacing w:val="-2"/>
          <w:w w:val="103"/>
          <w:kern w:val="14"/>
          <w:sz w:val="28"/>
          <w:lang w:val="en-US"/>
        </w:rPr>
        <w:t>session</w:t>
      </w:r>
    </w:p>
    <w:p w14:paraId="250F1009" w14:textId="225B090A" w:rsidR="00597A6B" w:rsidRPr="00643213" w:rsidRDefault="00597A6B" w:rsidP="00597A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4"/>
        <w:jc w:val="both"/>
        <w:rPr>
          <w:b/>
          <w:bCs/>
          <w:spacing w:val="4"/>
          <w:w w:val="103"/>
          <w:kern w:val="14"/>
          <w:sz w:val="24"/>
          <w:szCs w:val="24"/>
          <w:lang w:val="en-US"/>
        </w:rPr>
      </w:pPr>
      <w:r>
        <w:rPr>
          <w:b/>
          <w:bCs/>
          <w:spacing w:val="4"/>
          <w:w w:val="103"/>
          <w:kern w:val="14"/>
          <w:sz w:val="24"/>
          <w:szCs w:val="24"/>
          <w:lang w:val="en-US"/>
        </w:rPr>
        <w:tab/>
      </w:r>
      <w:r w:rsidRPr="00643213">
        <w:rPr>
          <w:b/>
          <w:bCs/>
          <w:spacing w:val="4"/>
          <w:w w:val="103"/>
          <w:kern w:val="14"/>
          <w:sz w:val="24"/>
          <w:szCs w:val="24"/>
          <w:lang w:val="en-US"/>
        </w:rPr>
        <w:t>(</w:t>
      </w:r>
      <w:r w:rsidR="00A15FF9">
        <w:rPr>
          <w:b/>
          <w:bCs/>
          <w:spacing w:val="4"/>
          <w:w w:val="103"/>
          <w:kern w:val="14"/>
          <w:sz w:val="24"/>
          <w:szCs w:val="24"/>
          <w:lang w:val="en-US"/>
        </w:rPr>
        <w:t>7</w:t>
      </w:r>
      <w:r w:rsidR="008E5348">
        <w:rPr>
          <w:b/>
          <w:bCs/>
          <w:spacing w:val="4"/>
          <w:w w:val="103"/>
          <w:kern w:val="14"/>
          <w:sz w:val="24"/>
          <w:szCs w:val="24"/>
          <w:lang w:val="en-US"/>
        </w:rPr>
        <w:t xml:space="preserve"> </w:t>
      </w:r>
      <w:r>
        <w:rPr>
          <w:b/>
          <w:bCs/>
          <w:spacing w:val="4"/>
          <w:w w:val="103"/>
          <w:kern w:val="14"/>
          <w:sz w:val="24"/>
          <w:szCs w:val="24"/>
          <w:lang w:val="en-US"/>
        </w:rPr>
        <w:t xml:space="preserve">– </w:t>
      </w:r>
      <w:r w:rsidR="00A15FF9">
        <w:rPr>
          <w:b/>
          <w:bCs/>
          <w:spacing w:val="4"/>
          <w:w w:val="103"/>
          <w:kern w:val="14"/>
          <w:sz w:val="24"/>
          <w:szCs w:val="24"/>
          <w:lang w:val="en-US"/>
        </w:rPr>
        <w:t>25</w:t>
      </w:r>
      <w:r w:rsidR="0073234D">
        <w:rPr>
          <w:b/>
          <w:bCs/>
          <w:spacing w:val="4"/>
          <w:w w:val="103"/>
          <w:kern w:val="14"/>
          <w:sz w:val="24"/>
          <w:szCs w:val="24"/>
          <w:lang w:val="en-US"/>
        </w:rPr>
        <w:t xml:space="preserve"> </w:t>
      </w:r>
      <w:r w:rsidR="00A15FF9">
        <w:rPr>
          <w:b/>
          <w:bCs/>
          <w:spacing w:val="4"/>
          <w:w w:val="103"/>
          <w:kern w:val="14"/>
          <w:sz w:val="24"/>
          <w:szCs w:val="24"/>
          <w:lang w:val="en-US"/>
        </w:rPr>
        <w:t>February</w:t>
      </w:r>
      <w:r w:rsidR="000C2B32">
        <w:rPr>
          <w:b/>
          <w:bCs/>
          <w:spacing w:val="4"/>
          <w:w w:val="103"/>
          <w:kern w:val="14"/>
          <w:sz w:val="24"/>
          <w:szCs w:val="24"/>
          <w:lang w:val="en-US"/>
        </w:rPr>
        <w:t xml:space="preserve"> </w:t>
      </w:r>
      <w:r>
        <w:rPr>
          <w:b/>
          <w:bCs/>
          <w:spacing w:val="4"/>
          <w:w w:val="103"/>
          <w:kern w:val="14"/>
          <w:sz w:val="24"/>
          <w:szCs w:val="24"/>
          <w:lang w:val="en-US"/>
        </w:rPr>
        <w:t>20</w:t>
      </w:r>
      <w:r w:rsidR="00E041D4">
        <w:rPr>
          <w:b/>
          <w:bCs/>
          <w:spacing w:val="4"/>
          <w:w w:val="103"/>
          <w:kern w:val="14"/>
          <w:sz w:val="24"/>
          <w:szCs w:val="24"/>
          <w:lang w:val="en-US"/>
        </w:rPr>
        <w:t>2</w:t>
      </w:r>
      <w:r w:rsidR="00A15FF9">
        <w:rPr>
          <w:b/>
          <w:bCs/>
          <w:spacing w:val="4"/>
          <w:w w:val="103"/>
          <w:kern w:val="14"/>
          <w:sz w:val="24"/>
          <w:szCs w:val="24"/>
          <w:lang w:val="en-US"/>
        </w:rPr>
        <w:t>2</w:t>
      </w:r>
      <w:r w:rsidRPr="00643213">
        <w:rPr>
          <w:b/>
          <w:bCs/>
          <w:spacing w:val="4"/>
          <w:w w:val="103"/>
          <w:kern w:val="14"/>
          <w:sz w:val="24"/>
          <w:szCs w:val="24"/>
          <w:lang w:val="en-US"/>
        </w:rPr>
        <w:t>)</w:t>
      </w:r>
    </w:p>
    <w:p w14:paraId="4DE6FEB0" w14:textId="59E0B6A7" w:rsidR="00597A6B" w:rsidRPr="00812B38" w:rsidRDefault="00597A6B" w:rsidP="00812B38">
      <w:pPr>
        <w:pStyle w:val="HChG"/>
      </w:pPr>
      <w:r w:rsidRPr="00643213">
        <w:rPr>
          <w:spacing w:val="-2"/>
          <w:w w:val="103"/>
          <w:kern w:val="14"/>
          <w:lang w:val="en-US"/>
        </w:rPr>
        <w:br w:type="page"/>
      </w:r>
      <w:r w:rsidR="00820BF5" w:rsidRPr="00812B38">
        <w:lastRenderedPageBreak/>
        <w:tab/>
      </w:r>
      <w:r w:rsidR="00820BF5" w:rsidRPr="00812B38">
        <w:tab/>
      </w:r>
      <w:r w:rsidRPr="00812B38">
        <w:t>Chapter I</w:t>
      </w:r>
    </w:p>
    <w:p w14:paraId="31C5827A" w14:textId="77777777" w:rsidR="00597A6B" w:rsidRPr="00820BF5" w:rsidRDefault="00597A6B" w:rsidP="00820BF5">
      <w:pPr>
        <w:pStyle w:val="H1G"/>
      </w:pPr>
      <w:r w:rsidRPr="00820BF5">
        <w:tab/>
      </w:r>
      <w:r w:rsidRPr="00820BF5">
        <w:tab/>
        <w:t>Matters brought to the attention of States parties</w:t>
      </w:r>
    </w:p>
    <w:p w14:paraId="5F9A7856" w14:textId="22CCF925" w:rsidR="00DB4691" w:rsidRPr="00820BF5" w:rsidRDefault="00597A6B" w:rsidP="00820BF5">
      <w:pPr>
        <w:pStyle w:val="H1G"/>
      </w:pPr>
      <w:r w:rsidRPr="00820BF5">
        <w:tab/>
      </w:r>
      <w:r w:rsidRPr="00820BF5">
        <w:tab/>
        <w:t>Decisions</w:t>
      </w:r>
    </w:p>
    <w:p w14:paraId="18B3AB78" w14:textId="197687B2" w:rsidR="004201AF" w:rsidRPr="00820BF5" w:rsidRDefault="005D2D60" w:rsidP="00820BF5">
      <w:pPr>
        <w:pStyle w:val="H23G"/>
      </w:pPr>
      <w:r w:rsidRPr="00820BF5">
        <w:tab/>
      </w:r>
      <w:r w:rsidRPr="00820BF5">
        <w:tab/>
      </w:r>
      <w:r w:rsidR="00772014" w:rsidRPr="00820BF5">
        <w:t xml:space="preserve">Decision </w:t>
      </w:r>
      <w:r w:rsidR="007465EE">
        <w:t>8</w:t>
      </w:r>
      <w:r w:rsidR="00EB422C">
        <w:t>1</w:t>
      </w:r>
      <w:r w:rsidR="004201AF" w:rsidRPr="00820BF5">
        <w:t>/</w:t>
      </w:r>
      <w:r w:rsidR="00E24B6F" w:rsidRPr="00820BF5">
        <w:t>1</w:t>
      </w:r>
    </w:p>
    <w:p w14:paraId="33D941F4" w14:textId="77777777" w:rsidR="00EB422C" w:rsidRPr="008A6777" w:rsidRDefault="00EB422C" w:rsidP="008A6777">
      <w:pPr>
        <w:pStyle w:val="SingleTxtG"/>
        <w:ind w:left="567" w:firstLine="567"/>
        <w:rPr>
          <w:u w:val="single"/>
        </w:rPr>
      </w:pPr>
      <w:r w:rsidRPr="008A6777">
        <w:rPr>
          <w:u w:val="single"/>
        </w:rPr>
        <w:t>Standing working group on gender-based violence against women</w:t>
      </w:r>
    </w:p>
    <w:p w14:paraId="30C3F8A5" w14:textId="77777777" w:rsidR="00EB422C" w:rsidRPr="00EB422C" w:rsidRDefault="00EB422C" w:rsidP="008A6777">
      <w:pPr>
        <w:ind w:left="1134"/>
      </w:pPr>
      <w:r w:rsidRPr="008A6777">
        <w:rPr>
          <w:w w:val="103"/>
        </w:rPr>
        <w:t>The Committee decided to convert its working group on gender-based violence into a standing working group.</w:t>
      </w:r>
    </w:p>
    <w:p w14:paraId="6926A4F6" w14:textId="77777777" w:rsidR="00EB422C" w:rsidRPr="00EB422C" w:rsidRDefault="00EB422C" w:rsidP="00EB422C"/>
    <w:p w14:paraId="0A93551A" w14:textId="77777777" w:rsidR="00EB422C" w:rsidRPr="008A6777" w:rsidRDefault="00EB422C" w:rsidP="008A6777">
      <w:pPr>
        <w:pStyle w:val="SingleTxtG"/>
        <w:rPr>
          <w:b/>
          <w:u w:val="single"/>
        </w:rPr>
      </w:pPr>
      <w:r w:rsidRPr="008A6777">
        <w:rPr>
          <w:b/>
        </w:rPr>
        <w:t>Decision 81/2</w:t>
      </w:r>
    </w:p>
    <w:p w14:paraId="513470DB" w14:textId="77777777" w:rsidR="00EB422C" w:rsidRPr="008A6777" w:rsidRDefault="00EB422C" w:rsidP="008A6777">
      <w:pPr>
        <w:pStyle w:val="SingleTxtG"/>
        <w:rPr>
          <w:u w:val="single"/>
        </w:rPr>
      </w:pPr>
      <w:r w:rsidRPr="008A6777">
        <w:rPr>
          <w:u w:val="single"/>
        </w:rPr>
        <w:t>Extraordinary session in the South Pacific region</w:t>
      </w:r>
    </w:p>
    <w:p w14:paraId="63DA540E" w14:textId="77777777" w:rsidR="00EB422C" w:rsidRPr="008A6777" w:rsidRDefault="00EB422C" w:rsidP="008A6777">
      <w:pPr>
        <w:pStyle w:val="SingleTxtG"/>
        <w:rPr>
          <w:w w:val="103"/>
        </w:rPr>
      </w:pPr>
      <w:r w:rsidRPr="008A6777">
        <w:rPr>
          <w:w w:val="103"/>
        </w:rPr>
        <w:t>The Committee decided to request the Secretariat to explore the possibility of holding an extraordinary session in the South Pacific region in 2023/2024 with external funding and to prioritize the adoption of lists of issues prior to reporting for States parties from that region.</w:t>
      </w:r>
    </w:p>
    <w:p w14:paraId="49D77666" w14:textId="77777777" w:rsidR="00EB422C" w:rsidRPr="008A6777" w:rsidRDefault="00EB422C" w:rsidP="008A6777">
      <w:pPr>
        <w:pStyle w:val="H23G"/>
        <w:ind w:firstLine="0"/>
      </w:pPr>
      <w:r w:rsidRPr="008A6777">
        <w:tab/>
        <w:t>Decision 81/3</w:t>
      </w:r>
    </w:p>
    <w:p w14:paraId="69E614AC" w14:textId="77777777" w:rsidR="00EB422C" w:rsidRPr="008A6777" w:rsidRDefault="00EB422C" w:rsidP="008A6777">
      <w:pPr>
        <w:pStyle w:val="SingleTxtG"/>
        <w:rPr>
          <w:u w:val="single"/>
        </w:rPr>
      </w:pPr>
      <w:r w:rsidRPr="008A6777">
        <w:rPr>
          <w:u w:val="single"/>
        </w:rPr>
        <w:t xml:space="preserve">Accessibility of the public meetings of the Committee with non-governmental organizations and national human rights institutions </w:t>
      </w:r>
    </w:p>
    <w:p w14:paraId="3AB400B9" w14:textId="77777777" w:rsidR="00EB422C" w:rsidRPr="008A6777" w:rsidRDefault="00EB422C" w:rsidP="008A6777">
      <w:pPr>
        <w:pStyle w:val="SingleTxtG"/>
      </w:pPr>
      <w:r w:rsidRPr="008A6777">
        <w:t>In line with the United Nations Disability Inclusion Strategy, the Committee decided to request the Secretariat to prepare a programme budget implications document to request the General Assembly to include in the 2024 regular budget of the United Nations the provision of captioning and sign language interpretation services for the six public meetings that the Committee holds annually with representatives of non-governmental organizations and national human rights institutions, who provide it with country-specific information for the consideration of State party reports, with a view to ensuring the accessibility of  these meetings for persons with disabilities.</w:t>
      </w:r>
    </w:p>
    <w:p w14:paraId="268C84D0" w14:textId="565B2B32" w:rsidR="00EB422C" w:rsidRPr="008A6777" w:rsidRDefault="00EB422C" w:rsidP="00EB422C">
      <w:pPr>
        <w:pStyle w:val="H23G"/>
        <w:ind w:left="0" w:firstLine="0"/>
      </w:pPr>
      <w:r w:rsidRPr="008A6777">
        <w:tab/>
      </w:r>
      <w:r>
        <w:tab/>
      </w:r>
      <w:r w:rsidRPr="008A6777">
        <w:t>Decision 81/4</w:t>
      </w:r>
    </w:p>
    <w:p w14:paraId="77CFDD9A" w14:textId="77777777" w:rsidR="00EB422C" w:rsidRPr="008A6777" w:rsidRDefault="00EB422C" w:rsidP="008A6777">
      <w:pPr>
        <w:pStyle w:val="SingleTxtG"/>
        <w:rPr>
          <w:u w:val="single"/>
        </w:rPr>
      </w:pPr>
      <w:r w:rsidRPr="008A6777">
        <w:rPr>
          <w:u w:val="single"/>
        </w:rPr>
        <w:t xml:space="preserve">Treaty body strengthening process and consultations on back-to-back reviews with the Committee on the Rights of the Child </w:t>
      </w:r>
    </w:p>
    <w:p w14:paraId="7C754611" w14:textId="77777777" w:rsidR="00EB422C" w:rsidRPr="008A6777" w:rsidRDefault="00EB422C" w:rsidP="008A6777">
      <w:pPr>
        <w:pStyle w:val="SingleTxtG"/>
        <w:rPr>
          <w:w w:val="103"/>
        </w:rPr>
      </w:pPr>
      <w:r w:rsidRPr="008A6777">
        <w:t>Recalling its position paper on the treaty body strengthening process of 12 November 2021 (decision 80/3) and the need to explore innovative ways to contribute constructively to the harmonization of working methods among the treaty bodies as well as to alleviate the reporting burden on States parties to the greatest extent possible, in line with General Assembly resolution 68/268, the Committee decided to start consultations with the Committee on the Rights of the Child, with a view to aligning some of the State party reviews undertaken by the two Committees, subject to availability of resources and the feasibility of scheduling overlapping sessions of both Committees. This would entail a back-to-back review of States parties by both Committees on one or two consecutive days. The measures would require changes in the structure and duration of the Committee’s constructive dialogues with States parties and would be evaluated after a pilot period extending over two sessions.</w:t>
      </w:r>
    </w:p>
    <w:p w14:paraId="3A0DF462" w14:textId="029509BB" w:rsidR="00EB422C" w:rsidRPr="008A6777" w:rsidRDefault="00EB422C" w:rsidP="00EB422C">
      <w:pPr>
        <w:pStyle w:val="H23G"/>
        <w:ind w:left="0" w:firstLine="0"/>
        <w:rPr>
          <w:w w:val="103"/>
        </w:rPr>
      </w:pPr>
      <w:r w:rsidRPr="008A6777">
        <w:rPr>
          <w:w w:val="103"/>
        </w:rPr>
        <w:tab/>
      </w:r>
      <w:r>
        <w:rPr>
          <w:w w:val="103"/>
        </w:rPr>
        <w:tab/>
      </w:r>
      <w:r w:rsidRPr="008A6777">
        <w:rPr>
          <w:w w:val="103"/>
        </w:rPr>
        <w:t>Decision 81/5</w:t>
      </w:r>
    </w:p>
    <w:p w14:paraId="44653755" w14:textId="77777777" w:rsidR="00EB422C" w:rsidRPr="008A6777" w:rsidRDefault="00EB422C" w:rsidP="008A6777">
      <w:pPr>
        <w:spacing w:after="120"/>
        <w:ind w:left="567" w:right="1134" w:firstLine="567"/>
        <w:jc w:val="both"/>
        <w:rPr>
          <w:w w:val="103"/>
          <w:u w:val="single"/>
        </w:rPr>
      </w:pPr>
      <w:r w:rsidRPr="008A6777">
        <w:rPr>
          <w:w w:val="103"/>
          <w:u w:val="single"/>
        </w:rPr>
        <w:t>Remote participation of members in sessions of the Committee</w:t>
      </w:r>
    </w:p>
    <w:p w14:paraId="7A0888A6" w14:textId="77777777" w:rsidR="00EB422C" w:rsidRPr="008A6777" w:rsidRDefault="00EB422C" w:rsidP="008A6777">
      <w:pPr>
        <w:pStyle w:val="SingleTxtG"/>
        <w:rPr>
          <w:w w:val="103"/>
        </w:rPr>
      </w:pPr>
      <w:r w:rsidRPr="008A6777">
        <w:rPr>
          <w:w w:val="103"/>
        </w:rPr>
        <w:t>The Committee decided that members may participate remotely in its meetings when such participation is necessary to ensure a quorum of 12 members present at a meeting, in accordance with rule 29 of the rules of procedure of the Committee, or when members attending a session in Geneva are quarantined due to COVID-19 or similar medical reasons</w:t>
      </w:r>
      <w:r w:rsidRPr="008A6777">
        <w:t xml:space="preserve">. This shall not preclude the Committee in the future from deciding on similar </w:t>
      </w:r>
      <w:r w:rsidRPr="008A6777">
        <w:lastRenderedPageBreak/>
        <w:t>scenarios where members might be allowed to participate remotely in its plenary meetings and in the meetings of its mandated working groups.</w:t>
      </w:r>
    </w:p>
    <w:p w14:paraId="346F412A" w14:textId="2AA2F6B1" w:rsidR="00EB422C" w:rsidRPr="008A6777" w:rsidRDefault="00EB422C" w:rsidP="00EB422C">
      <w:pPr>
        <w:pStyle w:val="H23G"/>
        <w:ind w:left="0" w:firstLine="0"/>
        <w:rPr>
          <w:w w:val="103"/>
        </w:rPr>
      </w:pPr>
      <w:r w:rsidRPr="008A6777">
        <w:rPr>
          <w:w w:val="103"/>
        </w:rPr>
        <w:tab/>
      </w:r>
      <w:r>
        <w:rPr>
          <w:w w:val="103"/>
        </w:rPr>
        <w:tab/>
      </w:r>
      <w:r w:rsidRPr="008A6777">
        <w:rPr>
          <w:w w:val="103"/>
        </w:rPr>
        <w:t>Decision 81/6</w:t>
      </w:r>
    </w:p>
    <w:p w14:paraId="2B23C1A6" w14:textId="77777777" w:rsidR="00EB422C" w:rsidRPr="008A6777" w:rsidRDefault="00EB422C" w:rsidP="008A6777">
      <w:pPr>
        <w:spacing w:after="120"/>
        <w:ind w:left="567" w:right="1134" w:firstLine="567"/>
        <w:jc w:val="both"/>
        <w:rPr>
          <w:w w:val="103"/>
          <w:u w:val="single"/>
        </w:rPr>
      </w:pPr>
      <w:r w:rsidRPr="008A6777">
        <w:rPr>
          <w:w w:val="103"/>
          <w:u w:val="single"/>
        </w:rPr>
        <w:t>Topics of the next general recommendations of the Committee</w:t>
      </w:r>
    </w:p>
    <w:p w14:paraId="15C8CB88" w14:textId="1086CA02" w:rsidR="00EB422C" w:rsidRPr="008A6777" w:rsidRDefault="00EB422C" w:rsidP="008A6777">
      <w:pPr>
        <w:spacing w:after="120"/>
        <w:ind w:left="1134" w:right="1134"/>
        <w:jc w:val="both"/>
        <w:rPr>
          <w:b/>
        </w:rPr>
      </w:pPr>
      <w:r w:rsidRPr="008A6777">
        <w:t>Pending the adoption of its draft general recommendation on the rights of indigenous women and girls, the Committee decided that its next general recommendations shall be on the following topics: Women’s equal participation in polit</w:t>
      </w:r>
      <w:r w:rsidR="00E07A7F">
        <w:t>ical and public decision-making</w:t>
      </w:r>
      <w:r w:rsidRPr="008A6777">
        <w:t>; and Gender stereotypes.</w:t>
      </w:r>
    </w:p>
    <w:p w14:paraId="5334EC28" w14:textId="48DEC124" w:rsidR="00EB422C" w:rsidRPr="008A6777" w:rsidRDefault="00EB422C" w:rsidP="00EB422C">
      <w:pPr>
        <w:pStyle w:val="H23G"/>
        <w:ind w:left="0" w:firstLine="0"/>
      </w:pPr>
      <w:r w:rsidRPr="008A6777">
        <w:tab/>
      </w:r>
      <w:r>
        <w:tab/>
      </w:r>
      <w:r w:rsidRPr="008A6777">
        <w:t>Decision 81/7</w:t>
      </w:r>
      <w:r w:rsidRPr="008A6777">
        <w:tab/>
      </w:r>
      <w:r w:rsidRPr="008A6777">
        <w:tab/>
      </w:r>
    </w:p>
    <w:p w14:paraId="3054ACE0" w14:textId="77777777" w:rsidR="00EB422C" w:rsidRPr="008A6777" w:rsidRDefault="00EB422C" w:rsidP="008A6777">
      <w:pPr>
        <w:pStyle w:val="SingleTxtG"/>
        <w:ind w:left="567" w:firstLine="567"/>
        <w:rPr>
          <w:w w:val="103"/>
          <w:u w:val="single"/>
        </w:rPr>
      </w:pPr>
      <w:r w:rsidRPr="008A6777">
        <w:rPr>
          <w:w w:val="103"/>
          <w:u w:val="single"/>
        </w:rPr>
        <w:t>Pre-Sessional Working Group</w:t>
      </w:r>
    </w:p>
    <w:p w14:paraId="520307E9" w14:textId="49C543F0" w:rsidR="00812B38" w:rsidRPr="00820BF5" w:rsidRDefault="00EB422C" w:rsidP="00FE1E36">
      <w:pPr>
        <w:pStyle w:val="SingleTxtG"/>
      </w:pPr>
      <w:r w:rsidRPr="008A6777">
        <w:t>The Committee confirmed the members of the pre-sessional working group for the eighty-third session, Leticia Bonifaz Alfonzo, Corinne Dettmeijer-Vermeulen, Nahla Haidar, Dalia Leinarte and Aruna Devi Narain.</w:t>
      </w:r>
    </w:p>
    <w:p w14:paraId="2CC40AC7" w14:textId="77777777" w:rsidR="007C364D" w:rsidRPr="005C1648" w:rsidRDefault="0054578B" w:rsidP="007C364D">
      <w:pPr>
        <w:pStyle w:val="HChG"/>
        <w:rPr>
          <w:w w:val="103"/>
          <w:lang w:val="en-US"/>
        </w:rPr>
      </w:pPr>
      <w:r w:rsidRPr="00820BF5">
        <w:tab/>
      </w:r>
      <w:r w:rsidRPr="00820BF5">
        <w:tab/>
      </w:r>
      <w:r w:rsidR="00597A6B" w:rsidRPr="00820BF5">
        <w:tab/>
      </w:r>
      <w:r w:rsidR="007C364D" w:rsidRPr="005C1648">
        <w:rPr>
          <w:w w:val="103"/>
          <w:lang w:val="en-US"/>
        </w:rPr>
        <w:t>Chapter II</w:t>
      </w:r>
    </w:p>
    <w:p w14:paraId="77DE3149" w14:textId="77777777" w:rsidR="007C364D" w:rsidRPr="00643213" w:rsidRDefault="007C364D" w:rsidP="007C364D">
      <w:pPr>
        <w:pStyle w:val="H1G"/>
        <w:rPr>
          <w:rFonts w:eastAsia="SimSun"/>
          <w:lang w:eastAsia="zh-CN"/>
        </w:rPr>
      </w:pPr>
      <w:r w:rsidRPr="007C364D">
        <w:rPr>
          <w:rFonts w:eastAsia="SimSun"/>
          <w:lang w:eastAsia="zh-CN"/>
        </w:rPr>
        <w:tab/>
      </w:r>
      <w:r w:rsidRPr="007C364D">
        <w:rPr>
          <w:rFonts w:eastAsia="SimSun"/>
          <w:lang w:eastAsia="zh-CN"/>
        </w:rPr>
        <w:tab/>
      </w:r>
      <w:r w:rsidRPr="00643213">
        <w:rPr>
          <w:rFonts w:eastAsia="SimSun"/>
          <w:lang w:eastAsia="zh-CN"/>
        </w:rPr>
        <w:t>Organizational and other matters</w:t>
      </w:r>
    </w:p>
    <w:p w14:paraId="2215A8D2" w14:textId="77777777" w:rsidR="007C364D" w:rsidRPr="00643213" w:rsidRDefault="007C364D" w:rsidP="007C364D">
      <w:pPr>
        <w:pStyle w:val="H1G"/>
        <w:rPr>
          <w:rFonts w:eastAsia="SimSun"/>
          <w:lang w:eastAsia="zh-CN"/>
        </w:rPr>
      </w:pPr>
      <w:r>
        <w:rPr>
          <w:rFonts w:eastAsia="SimSun"/>
          <w:lang w:eastAsia="zh-CN"/>
        </w:rPr>
        <w:tab/>
      </w:r>
      <w:r w:rsidRPr="00643213">
        <w:rPr>
          <w:rFonts w:eastAsia="SimSun"/>
          <w:lang w:eastAsia="zh-CN"/>
        </w:rPr>
        <w:t>A.</w:t>
      </w:r>
      <w:r w:rsidRPr="00643213">
        <w:rPr>
          <w:rFonts w:eastAsia="SimSun"/>
          <w:lang w:eastAsia="zh-CN"/>
        </w:rPr>
        <w:tab/>
        <w:t>States parties to the Convention on the Elimination of All Forms of Discrimination against Women and to the Optional Protocol</w:t>
      </w:r>
    </w:p>
    <w:p w14:paraId="33FA37F6" w14:textId="77777777" w:rsidR="007C364D" w:rsidRPr="0017423A" w:rsidRDefault="007C364D" w:rsidP="007C364D">
      <w:pPr>
        <w:pStyle w:val="SingleTxtG"/>
      </w:pPr>
      <w:r w:rsidRPr="00A343D9">
        <w:t>As at 25 February 2022, the closing date of the eighty-first session</w:t>
      </w:r>
      <w:r w:rsidRPr="0017423A">
        <w:t xml:space="preserve"> of the Committee on the Elimination of Discrimination against Women, there were 189 States parties to the Convention on the Elimination of All Forms of Discrimination against Women, which was adopted by the General Assembly in its resolution 34/180 and opened for signature, ratification and accession in New York on 1 March 1980. In accordance with its article 27, the Convention entered into force on 3 September 1981. In addition, </w:t>
      </w:r>
      <w:r>
        <w:t>80</w:t>
      </w:r>
      <w:r w:rsidRPr="0017423A">
        <w:t xml:space="preserve"> Contracting States had accepted the amendment to article 20, paragraph 1, of the Convention, concerning the Committee’s meeting time. A total of 126 States parties to the Convention are currently required to accept the amendment in order to bring it into force, in accordance with its provisions. </w:t>
      </w:r>
    </w:p>
    <w:p w14:paraId="2141B0A3" w14:textId="77777777" w:rsidR="007C364D" w:rsidRPr="00FB58E5" w:rsidRDefault="007C364D" w:rsidP="007C364D">
      <w:pPr>
        <w:pStyle w:val="SingleTxtG"/>
      </w:pPr>
      <w:r w:rsidRPr="0017423A">
        <w:t>At the same date, there were 11</w:t>
      </w:r>
      <w:r>
        <w:t>4</w:t>
      </w:r>
      <w:r w:rsidRPr="0017423A">
        <w:t xml:space="preserve"> States parties to the Optional Protocol to the Convention, which was adopted by the General Assembly in its resolution 54/4 and opened for signature, ratification and accession in New York on 10 December 1999. In accordance with its article 16, the Optional Protocol entered into force on 22 December 2000.</w:t>
      </w:r>
    </w:p>
    <w:p w14:paraId="70220FA4" w14:textId="77777777" w:rsidR="007C364D" w:rsidRPr="00FB58E5" w:rsidRDefault="007C364D" w:rsidP="007C364D">
      <w:pPr>
        <w:pStyle w:val="SingleTxtG"/>
      </w:pPr>
      <w:r w:rsidRPr="00FB58E5">
        <w:t xml:space="preserve">Updated information on the status of the Convention, the amendment to the Convention and its Optional Protocol, as well as lists of States signatories and parties and the texts of declarations, reservations, objections and other relevant information are available from the website of the United Nations Treaty Collection (http://treaties.un.org). </w:t>
      </w:r>
    </w:p>
    <w:p w14:paraId="65BEE9C8" w14:textId="77777777" w:rsidR="007C364D" w:rsidRPr="00FB58E5" w:rsidRDefault="007C364D" w:rsidP="007C364D">
      <w:pPr>
        <w:pStyle w:val="H1G"/>
        <w:rPr>
          <w:rFonts w:eastAsia="SimSun"/>
          <w:lang w:eastAsia="zh-CN"/>
        </w:rPr>
      </w:pPr>
      <w:r w:rsidRPr="00FB58E5">
        <w:rPr>
          <w:rFonts w:eastAsia="SimSun"/>
          <w:lang w:eastAsia="zh-CN"/>
        </w:rPr>
        <w:tab/>
        <w:t>B.</w:t>
      </w:r>
      <w:r w:rsidRPr="00FB58E5">
        <w:rPr>
          <w:rFonts w:eastAsia="SimSun"/>
          <w:lang w:eastAsia="zh-CN"/>
        </w:rPr>
        <w:tab/>
        <w:t>Opening of the session</w:t>
      </w:r>
    </w:p>
    <w:p w14:paraId="681B8A60" w14:textId="77777777" w:rsidR="007C364D" w:rsidRPr="00726E07" w:rsidRDefault="007C364D" w:rsidP="007C364D">
      <w:pPr>
        <w:pStyle w:val="SingleTxtG"/>
      </w:pPr>
      <w:r w:rsidRPr="0017423A">
        <w:t xml:space="preserve">The Committee held its </w:t>
      </w:r>
      <w:r>
        <w:t xml:space="preserve">eighty-first </w:t>
      </w:r>
      <w:r w:rsidRPr="0017423A">
        <w:t xml:space="preserve">session </w:t>
      </w:r>
      <w:r>
        <w:t xml:space="preserve">at Geneva </w:t>
      </w:r>
      <w:r w:rsidRPr="0017423A">
        <w:t xml:space="preserve">from </w:t>
      </w:r>
      <w:r>
        <w:t>7 to 25 February 2022</w:t>
      </w:r>
      <w:r w:rsidRPr="0017423A">
        <w:t xml:space="preserve">. </w:t>
      </w:r>
      <w:r>
        <w:t>In total, t</w:t>
      </w:r>
      <w:r w:rsidRPr="0017423A">
        <w:t xml:space="preserve">he Committee held </w:t>
      </w:r>
      <w:r>
        <w:t>20</w:t>
      </w:r>
      <w:r w:rsidRPr="0017423A">
        <w:t xml:space="preserve"> plenary meetings, and also held </w:t>
      </w:r>
      <w:r>
        <w:t>9</w:t>
      </w:r>
      <w:r w:rsidRPr="0017423A">
        <w:t xml:space="preserve"> meetings to discuss agenda items 5, 6, 7 and 8. A list of the documents before the Committee is contained in annex [...] to the present report.</w:t>
      </w:r>
    </w:p>
    <w:p w14:paraId="03987439" w14:textId="77777777" w:rsidR="007C364D" w:rsidRPr="00726E07" w:rsidRDefault="007C364D" w:rsidP="007C364D">
      <w:pPr>
        <w:pStyle w:val="SingleTxtG"/>
      </w:pPr>
      <w:r w:rsidRPr="00726E07">
        <w:t>The session was opened by the</w:t>
      </w:r>
      <w:r>
        <w:t xml:space="preserve"> </w:t>
      </w:r>
      <w:r w:rsidRPr="00726E07">
        <w:t xml:space="preserve">Chair of the Committee, </w:t>
      </w:r>
      <w:r>
        <w:t>Gladys Acosta Vargas, at its 1850th meeting on 7 February 2022</w:t>
      </w:r>
      <w:r w:rsidRPr="00726E07">
        <w:t>.</w:t>
      </w:r>
    </w:p>
    <w:p w14:paraId="0AAF5F0A" w14:textId="77777777" w:rsidR="007C364D" w:rsidRPr="00643213" w:rsidRDefault="007C364D" w:rsidP="007C364D">
      <w:pPr>
        <w:pStyle w:val="H1G"/>
        <w:rPr>
          <w:rFonts w:eastAsia="SimSun"/>
          <w:lang w:eastAsia="zh-CN"/>
        </w:rPr>
      </w:pPr>
      <w:r>
        <w:rPr>
          <w:rFonts w:eastAsia="SimSun"/>
          <w:lang w:eastAsia="zh-CN"/>
        </w:rPr>
        <w:lastRenderedPageBreak/>
        <w:tab/>
      </w:r>
      <w:r w:rsidRPr="00643213">
        <w:rPr>
          <w:rFonts w:eastAsia="SimSun"/>
          <w:lang w:eastAsia="zh-CN"/>
        </w:rPr>
        <w:t>C.</w:t>
      </w:r>
      <w:r w:rsidRPr="00643213">
        <w:rPr>
          <w:rFonts w:eastAsia="SimSun"/>
          <w:lang w:eastAsia="zh-CN"/>
        </w:rPr>
        <w:tab/>
        <w:t>Adoption of the agenda and organization of work</w:t>
      </w:r>
    </w:p>
    <w:p w14:paraId="04DDBC2F" w14:textId="77777777" w:rsidR="007C364D" w:rsidRPr="00726E07" w:rsidRDefault="007C364D" w:rsidP="007C364D">
      <w:pPr>
        <w:pStyle w:val="SingleTxtG"/>
      </w:pPr>
      <w:r w:rsidRPr="00726E07">
        <w:t>The Committee adopted t</w:t>
      </w:r>
      <w:r>
        <w:t>he provisional agenda (CEDAW/C/81/1) at its 1850th</w:t>
      </w:r>
      <w:r w:rsidRPr="00726E07">
        <w:t xml:space="preserve"> meeting. </w:t>
      </w:r>
    </w:p>
    <w:p w14:paraId="4988F75E" w14:textId="77777777" w:rsidR="007C364D" w:rsidRPr="00643213" w:rsidRDefault="007C364D" w:rsidP="007C364D">
      <w:pPr>
        <w:pStyle w:val="H1G"/>
        <w:rPr>
          <w:rFonts w:eastAsia="SimSun"/>
          <w:lang w:eastAsia="zh-CN"/>
        </w:rPr>
      </w:pPr>
      <w:r>
        <w:rPr>
          <w:rFonts w:eastAsia="SimSun"/>
          <w:lang w:eastAsia="zh-CN"/>
        </w:rPr>
        <w:tab/>
        <w:t>D.</w:t>
      </w:r>
      <w:r>
        <w:rPr>
          <w:rFonts w:eastAsia="SimSun"/>
          <w:lang w:eastAsia="zh-CN"/>
        </w:rPr>
        <w:tab/>
      </w:r>
      <w:r w:rsidRPr="00643213">
        <w:rPr>
          <w:rFonts w:eastAsia="SimSun"/>
          <w:lang w:eastAsia="zh-CN"/>
        </w:rPr>
        <w:t>Report of the pre-session working group</w:t>
      </w:r>
    </w:p>
    <w:p w14:paraId="2686B601" w14:textId="77777777" w:rsidR="007C364D" w:rsidRPr="00726E07" w:rsidRDefault="007C364D" w:rsidP="007C364D">
      <w:pPr>
        <w:pStyle w:val="SingleTxtG"/>
      </w:pPr>
      <w:r w:rsidRPr="00726E07">
        <w:t>The report of the pre-session working group (CEDAW/PSWG/</w:t>
      </w:r>
      <w:r>
        <w:t>81</w:t>
      </w:r>
      <w:r w:rsidRPr="00726E07">
        <w:t>/1), which me</w:t>
      </w:r>
      <w:r w:rsidRPr="0017423A">
        <w:t xml:space="preserve">t </w:t>
      </w:r>
      <w:r>
        <w:t>remotely from 5 to</w:t>
      </w:r>
      <w:r w:rsidRPr="0017423A">
        <w:t xml:space="preserve"> </w:t>
      </w:r>
      <w:r>
        <w:t>9 July 2021</w:t>
      </w:r>
      <w:r w:rsidRPr="0017423A">
        <w:t xml:space="preserve">, was introduced by </w:t>
      </w:r>
      <w:r>
        <w:t>Elgun Safarov</w:t>
      </w:r>
      <w:r w:rsidRPr="0017423A">
        <w:t xml:space="preserve"> at the </w:t>
      </w:r>
      <w:r>
        <w:t>1850th</w:t>
      </w:r>
      <w:r w:rsidRPr="0017423A">
        <w:t xml:space="preserve"> meeting.</w:t>
      </w:r>
      <w:r w:rsidRPr="00726E07">
        <w:t xml:space="preserve"> </w:t>
      </w:r>
    </w:p>
    <w:p w14:paraId="19010A93" w14:textId="77777777" w:rsidR="007C364D" w:rsidRDefault="007C364D" w:rsidP="007C364D">
      <w:pPr>
        <w:pStyle w:val="H1G"/>
      </w:pPr>
      <w:r>
        <w:rPr>
          <w:rFonts w:eastAsia="SimSun"/>
          <w:lang w:eastAsia="zh-CN"/>
        </w:rPr>
        <w:tab/>
        <w:t>E.</w:t>
      </w:r>
      <w:r>
        <w:rPr>
          <w:rFonts w:eastAsia="SimSun"/>
          <w:lang w:eastAsia="zh-CN"/>
        </w:rPr>
        <w:tab/>
      </w:r>
      <w:r w:rsidRPr="00643213">
        <w:rPr>
          <w:rFonts w:eastAsia="SimSun"/>
          <w:lang w:eastAsia="zh-CN"/>
        </w:rPr>
        <w:t>Organization of work</w:t>
      </w:r>
      <w:r>
        <w:tab/>
      </w:r>
    </w:p>
    <w:p w14:paraId="57FF6472" w14:textId="77777777" w:rsidR="007C364D" w:rsidRDefault="007C364D" w:rsidP="007C364D">
      <w:pPr>
        <w:pStyle w:val="SingleTxtG"/>
      </w:pPr>
      <w:r>
        <w:t>On 7 and 14 February 2022, the Committee held remote informal closed meetings with representatives of specialized agencies and United Nations funds and programmes, as well as other intergovernmental organizations, during which country-specific information was provided, as well as information on the efforts made by those bodies to support the implementation of the Convention.</w:t>
      </w:r>
    </w:p>
    <w:p w14:paraId="7BBD4858" w14:textId="77777777" w:rsidR="007C364D" w:rsidRDefault="007C364D" w:rsidP="007C364D">
      <w:pPr>
        <w:pStyle w:val="SingleTxtG"/>
      </w:pPr>
      <w:r>
        <w:t>Also on 7 and 14 February 2022, the Committee held remote informal public meetings with representatives of non-governmental organizations and national human rights institutions, who provided information on the implementation of the Convention in the States parties considered by the Committee at its eighty-first session.</w:t>
      </w:r>
    </w:p>
    <w:p w14:paraId="278D5D7E" w14:textId="77777777" w:rsidR="007C364D" w:rsidRDefault="007C364D" w:rsidP="007C364D">
      <w:pPr>
        <w:pStyle w:val="SingleTxtG"/>
      </w:pPr>
      <w:r>
        <w:t xml:space="preserve">On 16 February 2022, </w:t>
      </w:r>
      <w:r w:rsidRPr="001A79BC">
        <w:t xml:space="preserve">the </w:t>
      </w:r>
      <w:r>
        <w:t xml:space="preserve">Committee held a remote informal closed meeting with the Special Rapporteur on freedom of opinion and expression, Ms. Irene Khan, to discuss the need for a definition of online gender-based violence against women and opportunities for common engagement on issues relating to gendered disinformation and hate speech. </w:t>
      </w:r>
    </w:p>
    <w:p w14:paraId="7548789F" w14:textId="77777777" w:rsidR="007C364D" w:rsidRPr="00643213" w:rsidRDefault="007C364D" w:rsidP="007C364D">
      <w:pPr>
        <w:pStyle w:val="H1G"/>
        <w:rPr>
          <w:rFonts w:eastAsia="SimSun"/>
          <w:lang w:eastAsia="zh-CN"/>
        </w:rPr>
      </w:pPr>
      <w:r>
        <w:rPr>
          <w:rFonts w:eastAsia="SimSun"/>
          <w:lang w:eastAsia="zh-CN"/>
        </w:rPr>
        <w:tab/>
      </w:r>
      <w:r w:rsidRPr="00643213">
        <w:rPr>
          <w:rFonts w:eastAsia="SimSun"/>
          <w:lang w:eastAsia="zh-CN"/>
        </w:rPr>
        <w:t>F.</w:t>
      </w:r>
      <w:r w:rsidRPr="00643213">
        <w:rPr>
          <w:rFonts w:eastAsia="SimSun"/>
          <w:lang w:eastAsia="zh-CN"/>
        </w:rPr>
        <w:tab/>
        <w:t>Membership of the Committee</w:t>
      </w:r>
    </w:p>
    <w:p w14:paraId="78486165" w14:textId="77777777" w:rsidR="007C364D" w:rsidRDefault="007C364D" w:rsidP="007C364D">
      <w:pPr>
        <w:pStyle w:val="H23G"/>
      </w:pPr>
      <w:r>
        <w:tab/>
      </w:r>
      <w:r>
        <w:tab/>
        <w:t>Attendance of the eighty-first session</w:t>
      </w:r>
    </w:p>
    <w:p w14:paraId="0BCD66CA" w14:textId="77777777" w:rsidR="007C364D" w:rsidRPr="00726E07" w:rsidRDefault="007C364D" w:rsidP="007C364D">
      <w:pPr>
        <w:pStyle w:val="SingleTxtG"/>
      </w:pPr>
      <w:r w:rsidRPr="00726E07">
        <w:t>All</w:t>
      </w:r>
      <w:r>
        <w:t xml:space="preserve"> </w:t>
      </w:r>
      <w:r w:rsidRPr="00726E07">
        <w:t xml:space="preserve">members attended the </w:t>
      </w:r>
      <w:r w:rsidRPr="00A343D9">
        <w:t>eighty-first session, with the exception of Tamader Al-Rammah, Marion Bethel, Louiza Chalal, Rosario Manalo and Jie Xia. The following members did not attend the session on the indicated dates: Aruna Devi Narain from 9 to 14 February; and Natasha Stott Despoja from 22 to 25 February 2022. A</w:t>
      </w:r>
      <w:r w:rsidRPr="00F57A91">
        <w:t xml:space="preserve"> list</w:t>
      </w:r>
      <w:r w:rsidRPr="004B4EB9">
        <w:t xml:space="preserve"> of members of the Committee, indicating the duration of their terms of office, is </w:t>
      </w:r>
      <w:r w:rsidRPr="00F57A91">
        <w:t>annexed to the present report.</w:t>
      </w:r>
    </w:p>
    <w:p w14:paraId="61ED1A0A" w14:textId="77777777" w:rsidR="007C364D" w:rsidRPr="00643213" w:rsidRDefault="007C364D" w:rsidP="007C364D">
      <w:pPr>
        <w:pStyle w:val="HChG"/>
        <w:rPr>
          <w:w w:val="103"/>
          <w:lang w:val="en-US"/>
        </w:rPr>
      </w:pPr>
      <w:r>
        <w:rPr>
          <w:w w:val="103"/>
          <w:lang w:val="en-US"/>
        </w:rPr>
        <w:tab/>
      </w:r>
      <w:r>
        <w:rPr>
          <w:w w:val="103"/>
          <w:lang w:val="en-US"/>
        </w:rPr>
        <w:tab/>
      </w:r>
      <w:r w:rsidRPr="00643213">
        <w:rPr>
          <w:w w:val="103"/>
          <w:lang w:val="en-US"/>
        </w:rPr>
        <w:t>Chapter III</w:t>
      </w:r>
    </w:p>
    <w:p w14:paraId="600CD67C" w14:textId="77777777" w:rsidR="007C364D" w:rsidRPr="00643213" w:rsidRDefault="007C364D" w:rsidP="007C364D">
      <w:pPr>
        <w:pStyle w:val="H23G"/>
        <w:rPr>
          <w:rFonts w:eastAsia="SimSun"/>
          <w:lang w:eastAsia="zh-CN"/>
        </w:rPr>
      </w:pPr>
      <w:r>
        <w:rPr>
          <w:rFonts w:eastAsia="SimSun"/>
          <w:lang w:eastAsia="zh-CN"/>
        </w:rPr>
        <w:tab/>
      </w:r>
      <w:r>
        <w:rPr>
          <w:rFonts w:eastAsia="SimSun"/>
          <w:lang w:eastAsia="zh-CN"/>
        </w:rPr>
        <w:tab/>
      </w:r>
      <w:r w:rsidRPr="00643213">
        <w:rPr>
          <w:rFonts w:eastAsia="SimSun"/>
          <w:lang w:eastAsia="zh-CN"/>
        </w:rPr>
        <w:t>Report of the Chairperson on act</w:t>
      </w:r>
      <w:r>
        <w:rPr>
          <w:rFonts w:eastAsia="SimSun"/>
          <w:lang w:eastAsia="zh-CN"/>
        </w:rPr>
        <w:t>ivities undertaken between the eightieth and eighty-first s</w:t>
      </w:r>
      <w:r w:rsidRPr="00643213">
        <w:rPr>
          <w:rFonts w:eastAsia="SimSun"/>
          <w:lang w:eastAsia="zh-CN"/>
        </w:rPr>
        <w:t>essions of the Committee</w:t>
      </w:r>
    </w:p>
    <w:p w14:paraId="678D3F9E" w14:textId="77777777" w:rsidR="007C364D" w:rsidRPr="00726E07" w:rsidRDefault="007C364D" w:rsidP="007C364D">
      <w:pPr>
        <w:pStyle w:val="SingleTxtG"/>
      </w:pPr>
      <w:r w:rsidRPr="00726E07">
        <w:t xml:space="preserve">At the </w:t>
      </w:r>
      <w:r>
        <w:t>1850th</w:t>
      </w:r>
      <w:r w:rsidRPr="00726E07">
        <w:t xml:space="preserve"> meeting, the Chair, </w:t>
      </w:r>
      <w:r>
        <w:t>Gladys Acosta Vargas</w:t>
      </w:r>
      <w:r w:rsidRPr="00726E07">
        <w:t xml:space="preserve">, presented </w:t>
      </w:r>
      <w:r w:rsidRPr="00643213">
        <w:rPr>
          <w:w w:val="103"/>
        </w:rPr>
        <w:t xml:space="preserve">her report on the activities she had undertaken since the </w:t>
      </w:r>
      <w:r>
        <w:rPr>
          <w:w w:val="103"/>
        </w:rPr>
        <w:t>eightieth session of the Committee.</w:t>
      </w:r>
    </w:p>
    <w:p w14:paraId="47046ED3" w14:textId="0D38E082" w:rsidR="00597A6B" w:rsidRPr="00820BF5" w:rsidRDefault="007C364D" w:rsidP="00820BF5">
      <w:pPr>
        <w:pStyle w:val="HChG"/>
      </w:pPr>
      <w:r>
        <w:tab/>
      </w:r>
      <w:r>
        <w:tab/>
      </w:r>
      <w:r w:rsidR="0042125E" w:rsidRPr="00820BF5">
        <w:t>Chapter IV</w:t>
      </w:r>
    </w:p>
    <w:p w14:paraId="101C5E3C" w14:textId="115D4D35" w:rsidR="00597A6B" w:rsidRPr="00820BF5" w:rsidRDefault="00597A6B" w:rsidP="00820BF5">
      <w:pPr>
        <w:pStyle w:val="H1G"/>
        <w:rPr>
          <w:rFonts w:eastAsia="SimSun"/>
        </w:rPr>
      </w:pPr>
      <w:r w:rsidRPr="00820BF5">
        <w:rPr>
          <w:rFonts w:eastAsia="SimSun"/>
        </w:rPr>
        <w:tab/>
        <w:t>A.</w:t>
      </w:r>
      <w:r w:rsidRPr="00820BF5">
        <w:rPr>
          <w:rFonts w:eastAsia="SimSun"/>
        </w:rPr>
        <w:tab/>
      </w:r>
      <w:r w:rsidR="00580757">
        <w:rPr>
          <w:rFonts w:eastAsia="SimSun"/>
        </w:rPr>
        <w:t>C</w:t>
      </w:r>
      <w:r w:rsidRPr="00820BF5">
        <w:rPr>
          <w:rFonts w:eastAsia="SimSun"/>
        </w:rPr>
        <w:t>onsideration of reports submitted by States parties under article 18 of the Convention</w:t>
      </w:r>
    </w:p>
    <w:p w14:paraId="73A678C7" w14:textId="4366D82C" w:rsidR="005D04A2" w:rsidRPr="00386C76" w:rsidRDefault="00580757" w:rsidP="005D04A2">
      <w:pPr>
        <w:pStyle w:val="SingleTxtG"/>
        <w:rPr>
          <w:w w:val="103"/>
        </w:rPr>
      </w:pPr>
      <w:r w:rsidRPr="00643213">
        <w:rPr>
          <w:w w:val="103"/>
        </w:rPr>
        <w:t xml:space="preserve">At </w:t>
      </w:r>
      <w:r w:rsidRPr="00845059">
        <w:t>its</w:t>
      </w:r>
      <w:r w:rsidRPr="00643213">
        <w:rPr>
          <w:w w:val="103"/>
        </w:rPr>
        <w:t xml:space="preserve"> </w:t>
      </w:r>
      <w:r w:rsidR="005D04A2">
        <w:rPr>
          <w:w w:val="103"/>
        </w:rPr>
        <w:t>eight</w:t>
      </w:r>
      <w:r w:rsidR="00A15FF9">
        <w:rPr>
          <w:w w:val="103"/>
        </w:rPr>
        <w:t>y-first</w:t>
      </w:r>
      <w:r w:rsidR="009B579C">
        <w:rPr>
          <w:w w:val="103"/>
        </w:rPr>
        <w:t xml:space="preserve"> </w:t>
      </w:r>
      <w:r w:rsidRPr="00643213">
        <w:rPr>
          <w:w w:val="103"/>
        </w:rPr>
        <w:t xml:space="preserve">session, the Committee </w:t>
      </w:r>
      <w:r w:rsidR="005D04A2" w:rsidRPr="00643213">
        <w:rPr>
          <w:w w:val="103"/>
        </w:rPr>
        <w:t xml:space="preserve">considered the reports of </w:t>
      </w:r>
      <w:r w:rsidR="00A15FF9">
        <w:rPr>
          <w:w w:val="103"/>
        </w:rPr>
        <w:t>eight</w:t>
      </w:r>
      <w:r w:rsidR="005D04A2">
        <w:rPr>
          <w:w w:val="103"/>
        </w:rPr>
        <w:t xml:space="preserve"> </w:t>
      </w:r>
      <w:r w:rsidR="005D04A2" w:rsidRPr="00643213">
        <w:rPr>
          <w:w w:val="103"/>
        </w:rPr>
        <w:t xml:space="preserve">States parties submitted under article 18 of the Convention: </w:t>
      </w:r>
      <w:r w:rsidR="005D04A2">
        <w:t xml:space="preserve">the </w:t>
      </w:r>
      <w:r w:rsidR="000A7443">
        <w:t xml:space="preserve">eighth </w:t>
      </w:r>
      <w:r w:rsidR="005D04A2" w:rsidRPr="001C5877">
        <w:t xml:space="preserve">periodic report of </w:t>
      </w:r>
      <w:r w:rsidR="00743C48">
        <w:t>the Dominican Republic, submitted under the simplified reporting procedure</w:t>
      </w:r>
      <w:r w:rsidR="005D04A2">
        <w:t xml:space="preserve">; the </w:t>
      </w:r>
      <w:r w:rsidR="00743C48">
        <w:t>seventh</w:t>
      </w:r>
      <w:r w:rsidR="005D04A2" w:rsidRPr="00BF720A">
        <w:t xml:space="preserve"> periodic report of </w:t>
      </w:r>
      <w:r w:rsidR="00743C48">
        <w:t>Gabon</w:t>
      </w:r>
      <w:r w:rsidR="005D04A2">
        <w:t xml:space="preserve">; the </w:t>
      </w:r>
      <w:r w:rsidR="000A7443">
        <w:t xml:space="preserve">sixth periodic report of </w:t>
      </w:r>
      <w:r w:rsidR="00743C48">
        <w:t>Lebanon</w:t>
      </w:r>
      <w:r w:rsidR="005D04A2">
        <w:t xml:space="preserve">; the </w:t>
      </w:r>
      <w:r w:rsidR="00743C48">
        <w:t>eighth</w:t>
      </w:r>
      <w:r w:rsidR="005D04A2" w:rsidRPr="00BF720A">
        <w:t xml:space="preserve"> periodic report of </w:t>
      </w:r>
      <w:r w:rsidR="00743C48">
        <w:t>Panama, submitted under the simplified reporting procedure</w:t>
      </w:r>
      <w:r w:rsidR="005D04A2">
        <w:t xml:space="preserve">; the </w:t>
      </w:r>
      <w:r w:rsidR="00743C48">
        <w:t>ninth</w:t>
      </w:r>
      <w:r w:rsidR="005D04A2">
        <w:t xml:space="preserve"> periodic report of </w:t>
      </w:r>
      <w:r w:rsidR="00743C48">
        <w:t>Peru</w:t>
      </w:r>
      <w:r w:rsidR="005D04A2">
        <w:t xml:space="preserve">; </w:t>
      </w:r>
      <w:r w:rsidR="000A7443">
        <w:t xml:space="preserve">the </w:t>
      </w:r>
      <w:r w:rsidR="00743C48">
        <w:t>eighth periodic</w:t>
      </w:r>
      <w:r w:rsidR="000A7443">
        <w:t xml:space="preserve"> report of </w:t>
      </w:r>
      <w:r w:rsidR="00743C48">
        <w:t>Senegal</w:t>
      </w:r>
      <w:r w:rsidR="000A7443">
        <w:t xml:space="preserve">; the </w:t>
      </w:r>
      <w:r w:rsidR="00743C48">
        <w:t>combined eighth and ninth</w:t>
      </w:r>
      <w:r w:rsidR="000A7443">
        <w:t xml:space="preserve"> periodic report</w:t>
      </w:r>
      <w:r w:rsidR="00743C48">
        <w:t>s</w:t>
      </w:r>
      <w:r w:rsidR="000A7443">
        <w:t xml:space="preserve"> of </w:t>
      </w:r>
      <w:r w:rsidR="00743C48">
        <w:t>Uganda</w:t>
      </w:r>
      <w:r w:rsidR="000A7443">
        <w:t xml:space="preserve">; </w:t>
      </w:r>
      <w:r w:rsidR="005D04A2">
        <w:t xml:space="preserve">and the </w:t>
      </w:r>
      <w:r w:rsidR="00743C48">
        <w:t>sixth</w:t>
      </w:r>
      <w:r w:rsidR="000A7443">
        <w:t xml:space="preserve"> </w:t>
      </w:r>
      <w:r w:rsidR="005D04A2" w:rsidRPr="00BF720A">
        <w:t xml:space="preserve">periodic report of </w:t>
      </w:r>
      <w:r w:rsidR="00743C48">
        <w:t>Uzbekistan</w:t>
      </w:r>
      <w:r w:rsidR="005D04A2">
        <w:t>.</w:t>
      </w:r>
    </w:p>
    <w:p w14:paraId="54745990" w14:textId="77777777" w:rsidR="005D04A2" w:rsidRPr="00643213" w:rsidRDefault="005D04A2" w:rsidP="005D04A2">
      <w:pPr>
        <w:pStyle w:val="SingleTxtG"/>
        <w:rPr>
          <w:w w:val="103"/>
        </w:rPr>
      </w:pPr>
      <w:r w:rsidRPr="00643213">
        <w:rPr>
          <w:w w:val="103"/>
        </w:rPr>
        <w:lastRenderedPageBreak/>
        <w:t>The Committee prepared concluding observations on each of the reports considered. Those observations are available through the Official Document System of the United Nations (</w:t>
      </w:r>
      <w:hyperlink r:id="rId8" w:history="1">
        <w:r w:rsidRPr="00643213">
          <w:rPr>
            <w:w w:val="103"/>
          </w:rPr>
          <w:t>http://documents.un.org/</w:t>
        </w:r>
      </w:hyperlink>
      <w:r w:rsidRPr="00643213">
        <w:rPr>
          <w:w w:val="103"/>
        </w:rPr>
        <w:t>) under the symbol numbers indicated below:</w:t>
      </w:r>
    </w:p>
    <w:p w14:paraId="0E9CB91D" w14:textId="776E5725" w:rsidR="005D04A2" w:rsidRPr="00743C48" w:rsidRDefault="00A77F5B" w:rsidP="00A77F5B">
      <w:pPr>
        <w:pStyle w:val="SingleTxtG"/>
        <w:ind w:firstLine="567"/>
      </w:pPr>
      <w:r>
        <w:t>(1)</w:t>
      </w:r>
      <w:r>
        <w:tab/>
      </w:r>
      <w:r w:rsidR="00743C48">
        <w:t>Dominican Republic</w:t>
      </w:r>
      <w:r w:rsidR="005D04A2" w:rsidRPr="008A6777">
        <w:t xml:space="preserve"> (</w:t>
      </w:r>
      <w:hyperlink r:id="rId9" w:history="1">
        <w:r w:rsidR="005D04A2" w:rsidRPr="0022555A">
          <w:rPr>
            <w:rStyle w:val="Hyperlink"/>
          </w:rPr>
          <w:t>CEDAW/C/</w:t>
        </w:r>
        <w:r w:rsidR="00743C48" w:rsidRPr="0022555A">
          <w:rPr>
            <w:rStyle w:val="Hyperlink"/>
          </w:rPr>
          <w:t>DOM</w:t>
        </w:r>
        <w:r w:rsidR="005D04A2" w:rsidRPr="0022555A">
          <w:rPr>
            <w:rStyle w:val="Hyperlink"/>
          </w:rPr>
          <w:t>/CO/</w:t>
        </w:r>
        <w:r w:rsidR="00743C48" w:rsidRPr="0022555A">
          <w:rPr>
            <w:rStyle w:val="Hyperlink"/>
          </w:rPr>
          <w:t>8</w:t>
        </w:r>
        <w:r w:rsidR="005D04A2" w:rsidRPr="0022555A">
          <w:rPr>
            <w:rStyle w:val="Hyperlink"/>
          </w:rPr>
          <w:t>)</w:t>
        </w:r>
      </w:hyperlink>
    </w:p>
    <w:p w14:paraId="2D76522C" w14:textId="393038FA" w:rsidR="005D04A2" w:rsidRPr="00386C76" w:rsidRDefault="00A77F5B" w:rsidP="005D04A2">
      <w:pPr>
        <w:pStyle w:val="SingleTxtG"/>
        <w:ind w:firstLine="567"/>
      </w:pPr>
      <w:r>
        <w:t>(2)</w:t>
      </w:r>
      <w:r>
        <w:tab/>
      </w:r>
      <w:r w:rsidR="00743C48">
        <w:t>Gabon</w:t>
      </w:r>
      <w:r w:rsidR="005D04A2" w:rsidRPr="00386C76">
        <w:t xml:space="preserve"> (</w:t>
      </w:r>
      <w:hyperlink r:id="rId10" w:history="1">
        <w:r w:rsidR="005D04A2" w:rsidRPr="00386C76">
          <w:rPr>
            <w:rStyle w:val="Hyperlink"/>
          </w:rPr>
          <w:t>CEDAW/C/</w:t>
        </w:r>
        <w:r w:rsidR="00743C48">
          <w:rPr>
            <w:rStyle w:val="Hyperlink"/>
          </w:rPr>
          <w:t>GAB</w:t>
        </w:r>
        <w:r w:rsidR="005D04A2" w:rsidRPr="00386C76">
          <w:rPr>
            <w:rStyle w:val="Hyperlink"/>
          </w:rPr>
          <w:t>/CO/</w:t>
        </w:r>
        <w:r w:rsidR="00743C48">
          <w:rPr>
            <w:rStyle w:val="Hyperlink"/>
          </w:rPr>
          <w:t>7</w:t>
        </w:r>
      </w:hyperlink>
      <w:r w:rsidR="005D04A2" w:rsidRPr="00386C76">
        <w:t xml:space="preserve">) </w:t>
      </w:r>
    </w:p>
    <w:p w14:paraId="2F3B2426" w14:textId="55469DF1" w:rsidR="005D04A2" w:rsidRDefault="00A77F5B" w:rsidP="005D04A2">
      <w:pPr>
        <w:pStyle w:val="SingleTxtG"/>
        <w:ind w:firstLine="567"/>
      </w:pPr>
      <w:r>
        <w:t>(3)</w:t>
      </w:r>
      <w:r>
        <w:tab/>
      </w:r>
      <w:r w:rsidR="00743C48">
        <w:t>Lebanon</w:t>
      </w:r>
      <w:r w:rsidR="005D04A2">
        <w:t xml:space="preserve"> </w:t>
      </w:r>
      <w:r w:rsidR="005D04A2" w:rsidRPr="005233EA">
        <w:t>(</w:t>
      </w:r>
      <w:hyperlink r:id="rId11" w:history="1">
        <w:r w:rsidR="005D04A2" w:rsidRPr="005D2D60">
          <w:rPr>
            <w:rStyle w:val="Hyperlink"/>
          </w:rPr>
          <w:t>CEDAW/C/</w:t>
        </w:r>
        <w:r w:rsidR="0052186C">
          <w:rPr>
            <w:rStyle w:val="Hyperlink"/>
          </w:rPr>
          <w:t>L</w:t>
        </w:r>
        <w:r w:rsidR="00065958">
          <w:rPr>
            <w:rStyle w:val="Hyperlink"/>
          </w:rPr>
          <w:t>BN</w:t>
        </w:r>
        <w:r w:rsidR="005D04A2" w:rsidRPr="005D2D60">
          <w:rPr>
            <w:rStyle w:val="Hyperlink"/>
          </w:rPr>
          <w:t>/CO/</w:t>
        </w:r>
        <w:r w:rsidR="00743C48">
          <w:rPr>
            <w:rStyle w:val="Hyperlink"/>
          </w:rPr>
          <w:t>6</w:t>
        </w:r>
      </w:hyperlink>
      <w:r w:rsidR="005D04A2">
        <w:t>)</w:t>
      </w:r>
    </w:p>
    <w:p w14:paraId="0AE68832" w14:textId="0515B77A" w:rsidR="005D04A2" w:rsidRPr="00743C48" w:rsidRDefault="00A77F5B" w:rsidP="005D04A2">
      <w:pPr>
        <w:pStyle w:val="SingleTxtG"/>
        <w:ind w:firstLine="567"/>
      </w:pPr>
      <w:r>
        <w:t>(4)</w:t>
      </w:r>
      <w:r>
        <w:tab/>
      </w:r>
      <w:r w:rsidR="00743C48" w:rsidRPr="00743C48">
        <w:t>Panama</w:t>
      </w:r>
      <w:r w:rsidR="005D04A2" w:rsidRPr="00743C48">
        <w:t xml:space="preserve"> (</w:t>
      </w:r>
      <w:hyperlink r:id="rId12" w:history="1">
        <w:r w:rsidR="005D04A2" w:rsidRPr="00A42151">
          <w:rPr>
            <w:rStyle w:val="Hyperlink"/>
          </w:rPr>
          <w:t>CEDAW/C/</w:t>
        </w:r>
        <w:r w:rsidR="00743C48" w:rsidRPr="00A42151">
          <w:rPr>
            <w:rStyle w:val="Hyperlink"/>
          </w:rPr>
          <w:t>PAN</w:t>
        </w:r>
        <w:r w:rsidR="005D04A2" w:rsidRPr="00A42151">
          <w:rPr>
            <w:rStyle w:val="Hyperlink"/>
          </w:rPr>
          <w:t>/CO/</w:t>
        </w:r>
        <w:r w:rsidR="00743C48" w:rsidRPr="00A42151">
          <w:rPr>
            <w:rStyle w:val="Hyperlink"/>
          </w:rPr>
          <w:t>8</w:t>
        </w:r>
        <w:r w:rsidR="005D04A2" w:rsidRPr="00A42151">
          <w:rPr>
            <w:rStyle w:val="Hyperlink"/>
          </w:rPr>
          <w:t>)</w:t>
        </w:r>
      </w:hyperlink>
      <w:r w:rsidR="005D04A2" w:rsidRPr="00743C48">
        <w:t xml:space="preserve"> </w:t>
      </w:r>
    </w:p>
    <w:p w14:paraId="49039718" w14:textId="455D72CC" w:rsidR="005D04A2" w:rsidRPr="00EA36AF" w:rsidRDefault="00A77F5B" w:rsidP="005D04A2">
      <w:pPr>
        <w:pStyle w:val="SingleTxtG"/>
        <w:ind w:firstLine="567"/>
      </w:pPr>
      <w:r>
        <w:t>(5)</w:t>
      </w:r>
      <w:r>
        <w:tab/>
      </w:r>
      <w:r w:rsidR="00743C48">
        <w:t>Peru</w:t>
      </w:r>
      <w:r w:rsidR="005D04A2">
        <w:t xml:space="preserve"> </w:t>
      </w:r>
      <w:r w:rsidR="005D04A2" w:rsidRPr="00BF720A">
        <w:t>(</w:t>
      </w:r>
      <w:hyperlink r:id="rId13" w:history="1">
        <w:r w:rsidR="005D04A2" w:rsidRPr="00BA49CA">
          <w:rPr>
            <w:rStyle w:val="Hyperlink"/>
          </w:rPr>
          <w:t>CEDAW/C/</w:t>
        </w:r>
        <w:r w:rsidR="00743C48">
          <w:rPr>
            <w:rStyle w:val="Hyperlink"/>
          </w:rPr>
          <w:t>PER</w:t>
        </w:r>
        <w:r w:rsidR="005D04A2" w:rsidRPr="00BA49CA">
          <w:rPr>
            <w:rStyle w:val="Hyperlink"/>
          </w:rPr>
          <w:t>/CO/</w:t>
        </w:r>
        <w:r w:rsidR="00743C48">
          <w:rPr>
            <w:rStyle w:val="Hyperlink"/>
          </w:rPr>
          <w:t>9</w:t>
        </w:r>
      </w:hyperlink>
      <w:r w:rsidR="005D04A2" w:rsidRPr="00BF720A">
        <w:t>)</w:t>
      </w:r>
      <w:r w:rsidR="005D04A2" w:rsidRPr="008823E6">
        <w:t xml:space="preserve"> </w:t>
      </w:r>
    </w:p>
    <w:p w14:paraId="29C83EA6" w14:textId="75D53C54" w:rsidR="005D04A2" w:rsidRDefault="00A77F5B" w:rsidP="005D04A2">
      <w:pPr>
        <w:pStyle w:val="SingleTxtG"/>
        <w:ind w:firstLine="567"/>
      </w:pPr>
      <w:r>
        <w:t>(6)</w:t>
      </w:r>
      <w:r>
        <w:tab/>
      </w:r>
      <w:r w:rsidR="00743C48">
        <w:t>Senegal</w:t>
      </w:r>
      <w:r w:rsidR="005D04A2">
        <w:t xml:space="preserve"> </w:t>
      </w:r>
      <w:r w:rsidR="005D04A2" w:rsidRPr="005233EA">
        <w:t>(</w:t>
      </w:r>
      <w:hyperlink r:id="rId14" w:history="1">
        <w:r w:rsidR="005D04A2" w:rsidRPr="00B00260">
          <w:rPr>
            <w:rStyle w:val="Hyperlink"/>
          </w:rPr>
          <w:t>CEDAW/C/</w:t>
        </w:r>
        <w:r w:rsidR="00743C48">
          <w:rPr>
            <w:rStyle w:val="Hyperlink"/>
          </w:rPr>
          <w:t>SEN</w:t>
        </w:r>
        <w:r w:rsidR="005D04A2" w:rsidRPr="00B00260">
          <w:rPr>
            <w:rStyle w:val="Hyperlink"/>
          </w:rPr>
          <w:t>/CO/</w:t>
        </w:r>
        <w:r w:rsidR="000B6A89">
          <w:rPr>
            <w:rStyle w:val="Hyperlink"/>
          </w:rPr>
          <w:t>8</w:t>
        </w:r>
      </w:hyperlink>
      <w:r w:rsidR="005D04A2" w:rsidRPr="005233EA">
        <w:t>)</w:t>
      </w:r>
    </w:p>
    <w:p w14:paraId="0218325C" w14:textId="09DBEA29" w:rsidR="005D04A2" w:rsidRPr="008A6777" w:rsidRDefault="00A77F5B" w:rsidP="005D04A2">
      <w:pPr>
        <w:pStyle w:val="SingleTxtG"/>
        <w:ind w:firstLine="567"/>
        <w:rPr>
          <w:lang w:val="es-ES"/>
        </w:rPr>
      </w:pPr>
      <w:r>
        <w:rPr>
          <w:lang w:val="es-ES"/>
        </w:rPr>
        <w:t>(7)</w:t>
      </w:r>
      <w:r>
        <w:rPr>
          <w:lang w:val="es-ES"/>
        </w:rPr>
        <w:tab/>
      </w:r>
      <w:r w:rsidR="000B6A89" w:rsidRPr="008A6777">
        <w:rPr>
          <w:lang w:val="es-ES"/>
        </w:rPr>
        <w:t>Uganda</w:t>
      </w:r>
      <w:r w:rsidR="005D04A2" w:rsidRPr="008A6777">
        <w:rPr>
          <w:lang w:val="es-ES"/>
        </w:rPr>
        <w:t xml:space="preserve"> (</w:t>
      </w:r>
      <w:hyperlink r:id="rId15" w:history="1">
        <w:r w:rsidR="005D04A2" w:rsidRPr="008A6777">
          <w:rPr>
            <w:rStyle w:val="Hyperlink"/>
            <w:lang w:val="es-ES"/>
          </w:rPr>
          <w:t>CEDAW/C/</w:t>
        </w:r>
        <w:r w:rsidR="000B6A89" w:rsidRPr="008A6777">
          <w:rPr>
            <w:rStyle w:val="Hyperlink"/>
            <w:lang w:val="es-ES"/>
          </w:rPr>
          <w:t>UGA</w:t>
        </w:r>
        <w:r w:rsidR="005D04A2" w:rsidRPr="008A6777">
          <w:rPr>
            <w:rStyle w:val="Hyperlink"/>
            <w:lang w:val="es-ES"/>
          </w:rPr>
          <w:t>/CO/</w:t>
        </w:r>
        <w:r w:rsidR="000B6A89">
          <w:rPr>
            <w:rStyle w:val="Hyperlink"/>
            <w:lang w:val="es-ES"/>
          </w:rPr>
          <w:t>8-9</w:t>
        </w:r>
      </w:hyperlink>
      <w:r w:rsidR="005D04A2" w:rsidRPr="008A6777">
        <w:rPr>
          <w:lang w:val="es-ES"/>
        </w:rPr>
        <w:t>)</w:t>
      </w:r>
    </w:p>
    <w:p w14:paraId="5C092F62" w14:textId="66298FA9" w:rsidR="005233EA" w:rsidRPr="00820BF5" w:rsidRDefault="00A77F5B" w:rsidP="008A6777">
      <w:pPr>
        <w:pStyle w:val="SingleTxtG"/>
        <w:ind w:firstLine="567"/>
      </w:pPr>
      <w:r>
        <w:t>(8)</w:t>
      </w:r>
      <w:r>
        <w:tab/>
      </w:r>
      <w:r w:rsidR="000B6A89">
        <w:t>Uzbekistan</w:t>
      </w:r>
      <w:r w:rsidR="008322D4">
        <w:t xml:space="preserve"> </w:t>
      </w:r>
      <w:r w:rsidR="008322D4" w:rsidRPr="005233EA">
        <w:t>(</w:t>
      </w:r>
      <w:hyperlink r:id="rId16" w:history="1">
        <w:r w:rsidR="008322D4" w:rsidRPr="00BA49CA">
          <w:rPr>
            <w:rStyle w:val="Hyperlink"/>
          </w:rPr>
          <w:t>CEDAW/C/</w:t>
        </w:r>
        <w:r w:rsidR="000B6A89">
          <w:rPr>
            <w:rStyle w:val="Hyperlink"/>
          </w:rPr>
          <w:t>UZB</w:t>
        </w:r>
        <w:r w:rsidR="008322D4" w:rsidRPr="00BA49CA">
          <w:rPr>
            <w:rStyle w:val="Hyperlink"/>
          </w:rPr>
          <w:t>/CO/</w:t>
        </w:r>
        <w:r w:rsidR="000B6A89">
          <w:rPr>
            <w:rStyle w:val="Hyperlink"/>
          </w:rPr>
          <w:t>6</w:t>
        </w:r>
      </w:hyperlink>
      <w:r w:rsidR="008322D4" w:rsidRPr="005233EA">
        <w:t>)</w:t>
      </w:r>
    </w:p>
    <w:p w14:paraId="1CA8F29D" w14:textId="77777777" w:rsidR="000F3150" w:rsidRPr="00820BF5" w:rsidRDefault="00597A6B" w:rsidP="00820BF5">
      <w:pPr>
        <w:pStyle w:val="H1G"/>
        <w:rPr>
          <w:rFonts w:eastAsia="SimSun"/>
          <w:highlight w:val="red"/>
        </w:rPr>
      </w:pPr>
      <w:r w:rsidRPr="00820BF5">
        <w:rPr>
          <w:rFonts w:eastAsia="SimSun"/>
        </w:rPr>
        <w:tab/>
        <w:t>B.</w:t>
      </w:r>
      <w:r w:rsidRPr="00820BF5">
        <w:rPr>
          <w:rFonts w:eastAsia="SimSun"/>
        </w:rPr>
        <w:tab/>
      </w:r>
      <w:r w:rsidR="000F3150" w:rsidRPr="00820BF5">
        <w:rPr>
          <w:rFonts w:eastAsia="SimSun"/>
        </w:rPr>
        <w:t>Follow-up procedures relating to concluding observations</w:t>
      </w:r>
    </w:p>
    <w:p w14:paraId="6890AC72" w14:textId="77777777" w:rsidR="00F81D54" w:rsidRDefault="00F81D54" w:rsidP="00F81D54">
      <w:pPr>
        <w:pStyle w:val="SingleTxtG"/>
      </w:pPr>
      <w:r w:rsidRPr="00737261">
        <w:t>The Committee considered the follow-up reports from the following States parties:</w:t>
      </w:r>
    </w:p>
    <w:p w14:paraId="7B0A3A00" w14:textId="462ED13A" w:rsidR="00881D7C" w:rsidRPr="00881D7C" w:rsidRDefault="00A77F5B" w:rsidP="00881D7C">
      <w:pPr>
        <w:autoSpaceDE w:val="0"/>
        <w:autoSpaceDN w:val="0"/>
        <w:adjustRightInd w:val="0"/>
        <w:spacing w:after="120" w:line="240" w:lineRule="auto"/>
        <w:ind w:left="1134" w:firstLine="555"/>
        <w:jc w:val="both"/>
        <w:rPr>
          <w:color w:val="000000"/>
          <w:lang w:eastAsia="en-GB"/>
        </w:rPr>
      </w:pPr>
      <w:r>
        <w:rPr>
          <w:color w:val="000000"/>
          <w:lang w:eastAsia="en-GB"/>
        </w:rPr>
        <w:t>(1)</w:t>
      </w:r>
      <w:r w:rsidR="00881D7C">
        <w:rPr>
          <w:color w:val="000000"/>
          <w:lang w:eastAsia="en-GB"/>
        </w:rPr>
        <w:tab/>
      </w:r>
      <w:r w:rsidR="00881D7C" w:rsidRPr="00881D7C">
        <w:rPr>
          <w:color w:val="000000"/>
          <w:lang w:eastAsia="en-GB"/>
        </w:rPr>
        <w:t>Andorra (CEDAW/C/AND/FCO/4)</w:t>
      </w:r>
    </w:p>
    <w:p w14:paraId="52600DDB" w14:textId="6474AFC7" w:rsidR="00881D7C" w:rsidRPr="00881D7C" w:rsidRDefault="00A77F5B" w:rsidP="00881D7C">
      <w:pPr>
        <w:autoSpaceDE w:val="0"/>
        <w:autoSpaceDN w:val="0"/>
        <w:adjustRightInd w:val="0"/>
        <w:spacing w:after="120" w:line="240" w:lineRule="auto"/>
        <w:ind w:left="1134" w:firstLine="555"/>
        <w:jc w:val="both"/>
        <w:rPr>
          <w:color w:val="000000"/>
          <w:lang w:val="fr-FR" w:eastAsia="en-GB"/>
        </w:rPr>
      </w:pPr>
      <w:r>
        <w:rPr>
          <w:color w:val="000000"/>
          <w:lang w:val="fr-FR" w:eastAsia="en-GB"/>
        </w:rPr>
        <w:t>(</w:t>
      </w:r>
      <w:r w:rsidR="00881D7C" w:rsidRPr="00881D7C">
        <w:rPr>
          <w:color w:val="000000"/>
          <w:lang w:val="fr-FR" w:eastAsia="en-GB"/>
        </w:rPr>
        <w:t>2)</w:t>
      </w:r>
      <w:r w:rsidR="00881D7C">
        <w:rPr>
          <w:color w:val="000000"/>
          <w:lang w:val="fr-FR" w:eastAsia="en-GB"/>
        </w:rPr>
        <w:tab/>
      </w:r>
      <w:r w:rsidR="00881D7C" w:rsidRPr="00881D7C">
        <w:rPr>
          <w:color w:val="000000"/>
          <w:lang w:val="fr-FR" w:eastAsia="en-GB"/>
        </w:rPr>
        <w:t>Cô</w:t>
      </w:r>
      <w:r w:rsidR="00881D7C">
        <w:rPr>
          <w:color w:val="000000"/>
          <w:lang w:val="fr-FR" w:eastAsia="en-GB"/>
        </w:rPr>
        <w:t>te d’Ivoire (CEDAW/C/CIV/FCO/4)</w:t>
      </w:r>
      <w:r w:rsidR="00881D7C" w:rsidRPr="00881D7C">
        <w:rPr>
          <w:color w:val="000000"/>
          <w:lang w:val="fr-FR" w:eastAsia="en-GB"/>
        </w:rPr>
        <w:t xml:space="preserve"> </w:t>
      </w:r>
    </w:p>
    <w:p w14:paraId="4A006E23" w14:textId="0117E675" w:rsidR="00881D7C" w:rsidRPr="008A6777" w:rsidRDefault="00A77F5B" w:rsidP="00881D7C">
      <w:pPr>
        <w:autoSpaceDE w:val="0"/>
        <w:autoSpaceDN w:val="0"/>
        <w:adjustRightInd w:val="0"/>
        <w:spacing w:after="120" w:line="240" w:lineRule="auto"/>
        <w:ind w:left="1134" w:firstLine="555"/>
        <w:jc w:val="both"/>
        <w:rPr>
          <w:color w:val="000000"/>
          <w:lang w:val="es-ES" w:eastAsia="en-GB"/>
        </w:rPr>
      </w:pPr>
      <w:r>
        <w:rPr>
          <w:color w:val="000000"/>
          <w:lang w:val="es-ES" w:eastAsia="en-GB"/>
        </w:rPr>
        <w:t>(</w:t>
      </w:r>
      <w:r w:rsidR="00881D7C" w:rsidRPr="008A6777">
        <w:rPr>
          <w:color w:val="000000"/>
          <w:lang w:val="es-ES" w:eastAsia="en-GB"/>
        </w:rPr>
        <w:t>3)</w:t>
      </w:r>
      <w:r w:rsidR="00881D7C" w:rsidRPr="008A6777">
        <w:rPr>
          <w:color w:val="000000"/>
          <w:lang w:val="es-ES" w:eastAsia="en-GB"/>
        </w:rPr>
        <w:tab/>
        <w:t xml:space="preserve">Guyana (CEDAW/C/GUY/FCO/9) </w:t>
      </w:r>
    </w:p>
    <w:p w14:paraId="0D8E1DEB" w14:textId="7D1B7771" w:rsidR="00881D7C" w:rsidRPr="008A6777" w:rsidRDefault="00A77F5B" w:rsidP="00881D7C">
      <w:pPr>
        <w:autoSpaceDE w:val="0"/>
        <w:autoSpaceDN w:val="0"/>
        <w:adjustRightInd w:val="0"/>
        <w:spacing w:after="120" w:line="240" w:lineRule="auto"/>
        <w:ind w:left="1134" w:firstLine="555"/>
        <w:jc w:val="both"/>
        <w:rPr>
          <w:color w:val="000000"/>
          <w:lang w:val="es-ES" w:eastAsia="en-GB"/>
        </w:rPr>
      </w:pPr>
      <w:r>
        <w:rPr>
          <w:color w:val="000000"/>
          <w:lang w:val="es-ES" w:eastAsia="en-GB"/>
        </w:rPr>
        <w:t>(</w:t>
      </w:r>
      <w:r w:rsidR="00881D7C" w:rsidRPr="008A6777">
        <w:rPr>
          <w:color w:val="000000"/>
          <w:lang w:val="es-ES" w:eastAsia="en-GB"/>
        </w:rPr>
        <w:t>4)</w:t>
      </w:r>
      <w:r w:rsidR="00881D7C" w:rsidRPr="008A6777">
        <w:rPr>
          <w:color w:val="000000"/>
          <w:lang w:val="es-ES" w:eastAsia="en-GB"/>
        </w:rPr>
        <w:tab/>
        <w:t xml:space="preserve">Iraq (CEDAW/C/IRQ/FCO/7) </w:t>
      </w:r>
    </w:p>
    <w:p w14:paraId="201E74C0" w14:textId="153B680D" w:rsidR="00881D7C" w:rsidRPr="008A6777" w:rsidRDefault="00A77F5B" w:rsidP="00881D7C">
      <w:pPr>
        <w:autoSpaceDE w:val="0"/>
        <w:autoSpaceDN w:val="0"/>
        <w:adjustRightInd w:val="0"/>
        <w:spacing w:after="120" w:line="240" w:lineRule="auto"/>
        <w:ind w:left="1134" w:firstLine="555"/>
        <w:jc w:val="both"/>
        <w:rPr>
          <w:color w:val="000000"/>
          <w:lang w:val="es-ES" w:eastAsia="en-GB"/>
        </w:rPr>
      </w:pPr>
      <w:r>
        <w:rPr>
          <w:color w:val="000000"/>
          <w:lang w:val="es-ES" w:eastAsia="en-GB"/>
        </w:rPr>
        <w:t>(</w:t>
      </w:r>
      <w:r w:rsidR="00881D7C" w:rsidRPr="008A6777">
        <w:rPr>
          <w:color w:val="000000"/>
          <w:lang w:val="es-ES" w:eastAsia="en-GB"/>
        </w:rPr>
        <w:t>5)</w:t>
      </w:r>
      <w:r w:rsidR="00881D7C" w:rsidRPr="008A6777">
        <w:rPr>
          <w:color w:val="000000"/>
          <w:lang w:val="es-ES" w:eastAsia="en-GB"/>
        </w:rPr>
        <w:tab/>
        <w:t xml:space="preserve">Kazakhstan (CEDAW/C/KAZ/FCO/5) </w:t>
      </w:r>
    </w:p>
    <w:p w14:paraId="26312F93" w14:textId="0860F10D" w:rsidR="00881D7C" w:rsidRPr="008A6777" w:rsidRDefault="00A77F5B" w:rsidP="00881D7C">
      <w:pPr>
        <w:autoSpaceDE w:val="0"/>
        <w:autoSpaceDN w:val="0"/>
        <w:adjustRightInd w:val="0"/>
        <w:spacing w:after="120" w:line="240" w:lineRule="auto"/>
        <w:ind w:left="1134" w:firstLine="555"/>
        <w:jc w:val="both"/>
        <w:rPr>
          <w:color w:val="000000"/>
          <w:lang w:val="es-ES" w:eastAsia="en-GB"/>
        </w:rPr>
      </w:pPr>
      <w:r>
        <w:rPr>
          <w:color w:val="000000"/>
          <w:lang w:val="es-ES" w:eastAsia="en-GB"/>
        </w:rPr>
        <w:t>(</w:t>
      </w:r>
      <w:r w:rsidR="00881D7C" w:rsidRPr="008A6777">
        <w:rPr>
          <w:color w:val="000000"/>
          <w:lang w:val="es-ES" w:eastAsia="en-GB"/>
        </w:rPr>
        <w:t>6)</w:t>
      </w:r>
      <w:r w:rsidR="00881D7C" w:rsidRPr="008A6777">
        <w:rPr>
          <w:color w:val="000000"/>
          <w:lang w:val="es-ES" w:eastAsia="en-GB"/>
        </w:rPr>
        <w:tab/>
        <w:t>Lithuania (CEDAW/C/LTU/FCO/6)</w:t>
      </w:r>
    </w:p>
    <w:p w14:paraId="6FB3AF3D" w14:textId="77777777" w:rsidR="00F81D54" w:rsidRDefault="00F81D54" w:rsidP="00F81D54">
      <w:pPr>
        <w:pStyle w:val="SingleTxtG"/>
      </w:pPr>
      <w:r w:rsidRPr="00574706">
        <w:t>The Committee sent first reminders to the following States parties whose follow-up reports were overdue:</w:t>
      </w:r>
    </w:p>
    <w:p w14:paraId="17352A6F" w14:textId="63606E6A" w:rsidR="00881D7C" w:rsidRPr="008A6777" w:rsidRDefault="00A77F5B" w:rsidP="00881D7C">
      <w:pPr>
        <w:autoSpaceDE w:val="0"/>
        <w:autoSpaceDN w:val="0"/>
        <w:adjustRightInd w:val="0"/>
        <w:spacing w:after="120" w:line="240" w:lineRule="auto"/>
        <w:ind w:left="1134" w:firstLine="567"/>
        <w:jc w:val="both"/>
        <w:rPr>
          <w:color w:val="000000"/>
          <w:lang w:val="es-ES" w:eastAsia="en-GB"/>
        </w:rPr>
      </w:pPr>
      <w:r>
        <w:rPr>
          <w:color w:val="000000"/>
          <w:lang w:val="es-ES" w:eastAsia="en-GB"/>
        </w:rPr>
        <w:t>(</w:t>
      </w:r>
      <w:r w:rsidR="00881D7C" w:rsidRPr="008A6777">
        <w:rPr>
          <w:color w:val="000000"/>
          <w:lang w:val="es-ES" w:eastAsia="en-GB"/>
        </w:rPr>
        <w:t>1)</w:t>
      </w:r>
      <w:r w:rsidR="00881D7C" w:rsidRPr="008A6777">
        <w:rPr>
          <w:color w:val="000000"/>
          <w:lang w:val="es-ES" w:eastAsia="en-GB"/>
        </w:rPr>
        <w:tab/>
        <w:t xml:space="preserve">Afghanistan </w:t>
      </w:r>
    </w:p>
    <w:p w14:paraId="6DA9A270" w14:textId="7EE61B8C" w:rsidR="00881D7C" w:rsidRPr="008A6777" w:rsidRDefault="00A77F5B" w:rsidP="00881D7C">
      <w:pPr>
        <w:autoSpaceDE w:val="0"/>
        <w:autoSpaceDN w:val="0"/>
        <w:adjustRightInd w:val="0"/>
        <w:spacing w:after="120" w:line="240" w:lineRule="auto"/>
        <w:ind w:left="1134" w:firstLine="567"/>
        <w:jc w:val="both"/>
        <w:rPr>
          <w:color w:val="000000"/>
          <w:lang w:val="es-ES" w:eastAsia="en-GB"/>
        </w:rPr>
      </w:pPr>
      <w:r>
        <w:rPr>
          <w:color w:val="000000"/>
          <w:lang w:val="es-ES" w:eastAsia="en-GB"/>
        </w:rPr>
        <w:t>(</w:t>
      </w:r>
      <w:r w:rsidR="00881D7C" w:rsidRPr="008A6777">
        <w:rPr>
          <w:color w:val="000000"/>
          <w:lang w:val="es-ES" w:eastAsia="en-GB"/>
        </w:rPr>
        <w:t>2)</w:t>
      </w:r>
      <w:r w:rsidR="00881D7C" w:rsidRPr="008A6777">
        <w:rPr>
          <w:color w:val="000000"/>
          <w:lang w:val="es-ES" w:eastAsia="en-GB"/>
        </w:rPr>
        <w:tab/>
        <w:t xml:space="preserve">Bulgaria </w:t>
      </w:r>
    </w:p>
    <w:p w14:paraId="1FC992C8" w14:textId="6D4784A8" w:rsidR="00881D7C" w:rsidRPr="008A6777" w:rsidRDefault="00A77F5B" w:rsidP="00881D7C">
      <w:pPr>
        <w:autoSpaceDE w:val="0"/>
        <w:autoSpaceDN w:val="0"/>
        <w:adjustRightInd w:val="0"/>
        <w:spacing w:after="120" w:line="240" w:lineRule="auto"/>
        <w:ind w:left="1134" w:firstLine="567"/>
        <w:jc w:val="both"/>
        <w:rPr>
          <w:color w:val="000000"/>
          <w:lang w:val="es-ES" w:eastAsia="en-GB"/>
        </w:rPr>
      </w:pPr>
      <w:r>
        <w:rPr>
          <w:color w:val="000000"/>
          <w:lang w:val="es-ES" w:eastAsia="en-GB"/>
        </w:rPr>
        <w:t>(</w:t>
      </w:r>
      <w:r w:rsidR="00881D7C" w:rsidRPr="008A6777">
        <w:rPr>
          <w:color w:val="000000"/>
          <w:lang w:val="es-ES" w:eastAsia="en-GB"/>
        </w:rPr>
        <w:t>3)</w:t>
      </w:r>
      <w:r w:rsidR="00881D7C" w:rsidRPr="008A6777">
        <w:rPr>
          <w:color w:val="000000"/>
          <w:lang w:val="es-ES" w:eastAsia="en-GB"/>
        </w:rPr>
        <w:tab/>
        <w:t xml:space="preserve">Eritrea </w:t>
      </w:r>
    </w:p>
    <w:p w14:paraId="1310D24F" w14:textId="0259BB60" w:rsidR="00881D7C" w:rsidRPr="008A6777" w:rsidRDefault="00A77F5B" w:rsidP="00881D7C">
      <w:pPr>
        <w:autoSpaceDE w:val="0"/>
        <w:autoSpaceDN w:val="0"/>
        <w:adjustRightInd w:val="0"/>
        <w:spacing w:after="120" w:line="240" w:lineRule="auto"/>
        <w:ind w:left="1134" w:firstLine="567"/>
        <w:jc w:val="both"/>
        <w:rPr>
          <w:color w:val="000000"/>
          <w:lang w:val="es-ES" w:eastAsia="en-GB"/>
        </w:rPr>
      </w:pPr>
      <w:r>
        <w:rPr>
          <w:color w:val="000000"/>
          <w:lang w:val="es-ES" w:eastAsia="en-GB"/>
        </w:rPr>
        <w:t>(</w:t>
      </w:r>
      <w:r w:rsidR="00881D7C" w:rsidRPr="008A6777">
        <w:rPr>
          <w:color w:val="000000"/>
          <w:lang w:val="es-ES" w:eastAsia="en-GB"/>
        </w:rPr>
        <w:t>4)</w:t>
      </w:r>
      <w:r w:rsidR="00881D7C" w:rsidRPr="008A6777">
        <w:rPr>
          <w:color w:val="000000"/>
          <w:lang w:val="es-ES" w:eastAsia="en-GB"/>
        </w:rPr>
        <w:tab/>
        <w:t>Kiribati</w:t>
      </w:r>
    </w:p>
    <w:p w14:paraId="0760D767" w14:textId="3A4E79E8" w:rsidR="00881D7C" w:rsidRPr="008A6777" w:rsidRDefault="00A77F5B" w:rsidP="00881D7C">
      <w:pPr>
        <w:autoSpaceDE w:val="0"/>
        <w:autoSpaceDN w:val="0"/>
        <w:adjustRightInd w:val="0"/>
        <w:spacing w:after="120" w:line="240" w:lineRule="auto"/>
        <w:ind w:left="1134" w:firstLine="567"/>
        <w:jc w:val="both"/>
        <w:rPr>
          <w:color w:val="000000"/>
          <w:lang w:val="es-ES" w:eastAsia="en-GB"/>
        </w:rPr>
      </w:pPr>
      <w:r>
        <w:rPr>
          <w:color w:val="000000"/>
          <w:lang w:val="es-ES" w:eastAsia="en-GB"/>
        </w:rPr>
        <w:t>(</w:t>
      </w:r>
      <w:r w:rsidR="00881D7C" w:rsidRPr="008A6777">
        <w:rPr>
          <w:color w:val="000000"/>
          <w:lang w:val="es-ES" w:eastAsia="en-GB"/>
        </w:rPr>
        <w:t>5)</w:t>
      </w:r>
      <w:r w:rsidR="00881D7C" w:rsidRPr="008A6777">
        <w:rPr>
          <w:color w:val="000000"/>
          <w:lang w:val="es-ES" w:eastAsia="en-GB"/>
        </w:rPr>
        <w:tab/>
        <w:t>Latvia</w:t>
      </w:r>
    </w:p>
    <w:p w14:paraId="29342E76" w14:textId="5077011E" w:rsidR="00881D7C" w:rsidRPr="008A6777" w:rsidRDefault="00A77F5B" w:rsidP="00881D7C">
      <w:pPr>
        <w:autoSpaceDE w:val="0"/>
        <w:autoSpaceDN w:val="0"/>
        <w:adjustRightInd w:val="0"/>
        <w:spacing w:after="120" w:line="240" w:lineRule="auto"/>
        <w:ind w:left="1134" w:firstLine="567"/>
        <w:jc w:val="both"/>
        <w:rPr>
          <w:color w:val="000000"/>
          <w:lang w:val="es-ES" w:eastAsia="en-GB"/>
        </w:rPr>
      </w:pPr>
      <w:r>
        <w:rPr>
          <w:color w:val="000000"/>
          <w:lang w:val="es-ES" w:eastAsia="en-GB"/>
        </w:rPr>
        <w:t>(</w:t>
      </w:r>
      <w:r w:rsidR="00881D7C" w:rsidRPr="008A6777">
        <w:rPr>
          <w:color w:val="000000"/>
          <w:lang w:val="es-ES" w:eastAsia="en-GB"/>
        </w:rPr>
        <w:t>6)</w:t>
      </w:r>
      <w:r w:rsidR="00881D7C" w:rsidRPr="008A6777">
        <w:rPr>
          <w:color w:val="000000"/>
          <w:lang w:val="es-ES" w:eastAsia="en-GB"/>
        </w:rPr>
        <w:tab/>
        <w:t xml:space="preserve">Pakistan </w:t>
      </w:r>
    </w:p>
    <w:p w14:paraId="51E72681" w14:textId="543E1BEB" w:rsidR="00881D7C" w:rsidRPr="00881D7C" w:rsidRDefault="00A77F5B" w:rsidP="00881D7C">
      <w:pPr>
        <w:autoSpaceDE w:val="0"/>
        <w:autoSpaceDN w:val="0"/>
        <w:adjustRightInd w:val="0"/>
        <w:spacing w:after="120" w:line="240" w:lineRule="auto"/>
        <w:ind w:left="1134" w:firstLine="567"/>
        <w:jc w:val="both"/>
        <w:rPr>
          <w:color w:val="000000"/>
          <w:lang w:eastAsia="en-GB"/>
        </w:rPr>
      </w:pPr>
      <w:r>
        <w:rPr>
          <w:color w:val="000000"/>
          <w:lang w:eastAsia="en-GB"/>
        </w:rPr>
        <w:t>(</w:t>
      </w:r>
      <w:r w:rsidR="00881D7C">
        <w:rPr>
          <w:color w:val="000000"/>
          <w:lang w:eastAsia="en-GB"/>
        </w:rPr>
        <w:t>7)</w:t>
      </w:r>
      <w:r w:rsidR="00881D7C">
        <w:rPr>
          <w:color w:val="000000"/>
          <w:lang w:eastAsia="en-GB"/>
        </w:rPr>
        <w:tab/>
      </w:r>
      <w:r w:rsidR="00881D7C" w:rsidRPr="00881D7C">
        <w:rPr>
          <w:color w:val="000000"/>
          <w:lang w:eastAsia="en-GB"/>
        </w:rPr>
        <w:t xml:space="preserve">Republic of Moldova </w:t>
      </w:r>
    </w:p>
    <w:p w14:paraId="69CFD113" w14:textId="2A37FF74" w:rsidR="00881D7C" w:rsidRPr="00CB7D6A" w:rsidRDefault="00A77F5B" w:rsidP="00881D7C">
      <w:pPr>
        <w:autoSpaceDE w:val="0"/>
        <w:autoSpaceDN w:val="0"/>
        <w:adjustRightInd w:val="0"/>
        <w:spacing w:after="120" w:line="240" w:lineRule="auto"/>
        <w:ind w:left="1134" w:firstLine="567"/>
        <w:jc w:val="both"/>
        <w:rPr>
          <w:color w:val="000000"/>
          <w:lang w:eastAsia="en-GB"/>
        </w:rPr>
      </w:pPr>
      <w:r>
        <w:rPr>
          <w:color w:val="000000"/>
          <w:lang w:eastAsia="en-GB"/>
        </w:rPr>
        <w:t>(</w:t>
      </w:r>
      <w:r w:rsidR="00881D7C">
        <w:rPr>
          <w:color w:val="000000"/>
          <w:lang w:eastAsia="en-GB"/>
        </w:rPr>
        <w:t>8)</w:t>
      </w:r>
      <w:r w:rsidR="00881D7C">
        <w:rPr>
          <w:color w:val="000000"/>
          <w:lang w:eastAsia="en-GB"/>
        </w:rPr>
        <w:tab/>
      </w:r>
      <w:r w:rsidR="00881D7C" w:rsidRPr="00881D7C">
        <w:rPr>
          <w:color w:val="000000"/>
          <w:lang w:eastAsia="en-GB"/>
        </w:rPr>
        <w:t>Zimbabwe</w:t>
      </w:r>
      <w:r w:rsidR="00881D7C">
        <w:rPr>
          <w:color w:val="000000"/>
          <w:lang w:eastAsia="en-GB"/>
        </w:rPr>
        <w:t>.</w:t>
      </w:r>
    </w:p>
    <w:p w14:paraId="77E38075" w14:textId="77777777" w:rsidR="00597A6B" w:rsidRPr="00820BF5" w:rsidRDefault="00597A6B" w:rsidP="00820BF5">
      <w:pPr>
        <w:pStyle w:val="HChG"/>
      </w:pPr>
      <w:r w:rsidRPr="00820BF5">
        <w:tab/>
      </w:r>
      <w:r w:rsidRPr="00820BF5">
        <w:tab/>
        <w:t>Chapter V</w:t>
      </w:r>
    </w:p>
    <w:p w14:paraId="6DC40CC0" w14:textId="77777777" w:rsidR="00597A6B" w:rsidRPr="00820BF5" w:rsidRDefault="00597A6B" w:rsidP="00820BF5">
      <w:pPr>
        <w:pStyle w:val="H23G"/>
        <w:rPr>
          <w:rFonts w:eastAsia="SimSun"/>
        </w:rPr>
      </w:pPr>
      <w:r w:rsidRPr="00820BF5">
        <w:rPr>
          <w:rFonts w:eastAsia="SimSun"/>
        </w:rPr>
        <w:tab/>
      </w:r>
      <w:r w:rsidRPr="00820BF5">
        <w:rPr>
          <w:rFonts w:eastAsia="SimSun"/>
        </w:rPr>
        <w:tab/>
        <w:t>Activities carried out under the Optional Protocol to the Convention on the</w:t>
      </w:r>
      <w:r w:rsidR="00665C17" w:rsidRPr="00820BF5">
        <w:rPr>
          <w:rFonts w:eastAsia="SimSun"/>
        </w:rPr>
        <w:t xml:space="preserve"> </w:t>
      </w:r>
      <w:r w:rsidRPr="00820BF5">
        <w:rPr>
          <w:rFonts w:eastAsia="SimSun"/>
        </w:rPr>
        <w:t>Elimination of All Forms of Discrimination against Women</w:t>
      </w:r>
    </w:p>
    <w:p w14:paraId="152A1285" w14:textId="77777777" w:rsidR="00597A6B" w:rsidRPr="00820BF5" w:rsidRDefault="00597A6B" w:rsidP="00820BF5">
      <w:pPr>
        <w:pStyle w:val="SingleTxtG"/>
      </w:pPr>
      <w:r w:rsidRPr="00820BF5">
        <w:t>Article 12 of the Optional Protocol to the Convention on the Elimination of All Forms of Discrimination against Women provides that the Committee shall include in its annual report under article 21 of the Convention a summary of its activities under the Optional Protocol.</w:t>
      </w:r>
    </w:p>
    <w:p w14:paraId="0A153A08" w14:textId="77777777" w:rsidR="00597A6B" w:rsidRPr="00820BF5" w:rsidRDefault="00597A6B" w:rsidP="00820BF5">
      <w:pPr>
        <w:pStyle w:val="H1G"/>
        <w:rPr>
          <w:rFonts w:eastAsia="SimSun"/>
        </w:rPr>
      </w:pPr>
      <w:r w:rsidRPr="00820BF5">
        <w:rPr>
          <w:rFonts w:eastAsia="SimSun"/>
        </w:rPr>
        <w:lastRenderedPageBreak/>
        <w:tab/>
        <w:t>A.</w:t>
      </w:r>
      <w:r w:rsidRPr="00820BF5">
        <w:rPr>
          <w:rFonts w:eastAsia="SimSun"/>
        </w:rPr>
        <w:tab/>
        <w:t>Action taken by the Committee in respect of issues arising from article 2 of the Optional Protocol</w:t>
      </w:r>
    </w:p>
    <w:p w14:paraId="74FC9DD6" w14:textId="7E923AC1" w:rsidR="003018D6" w:rsidRPr="00820BF5" w:rsidRDefault="003018D6" w:rsidP="00820BF5">
      <w:pPr>
        <w:pStyle w:val="SingleTxtG"/>
      </w:pPr>
      <w:r w:rsidRPr="00820BF5">
        <w:t xml:space="preserve">The Committee discussed activities under article 2 of the Optional Protocol on </w:t>
      </w:r>
      <w:r w:rsidR="00A15FF9">
        <w:t>14, 21 and 23 February</w:t>
      </w:r>
      <w:r w:rsidR="00446E1A">
        <w:t xml:space="preserve"> </w:t>
      </w:r>
      <w:r w:rsidR="00CB7D6A" w:rsidRPr="00820BF5">
        <w:t>202</w:t>
      </w:r>
      <w:r w:rsidR="00A15FF9">
        <w:t>2</w:t>
      </w:r>
      <w:r w:rsidRPr="00820BF5">
        <w:t xml:space="preserve">. It endorsed the report of the Working Group on Communications under the Optional Protocol regarding its </w:t>
      </w:r>
      <w:r w:rsidR="00AE1521">
        <w:t>fift</w:t>
      </w:r>
      <w:r w:rsidR="0085697C">
        <w:t>y-</w:t>
      </w:r>
      <w:r w:rsidR="00A15FF9">
        <w:t>second</w:t>
      </w:r>
      <w:r w:rsidRPr="00820BF5">
        <w:t xml:space="preserve"> session </w:t>
      </w:r>
      <w:hyperlink r:id="rId17" w:history="1">
        <w:r w:rsidRPr="00E63931">
          <w:rPr>
            <w:rStyle w:val="Hyperlink"/>
          </w:rPr>
          <w:t>(see annex 1</w:t>
        </w:r>
      </w:hyperlink>
      <w:r w:rsidRPr="00820BF5">
        <w:t>).</w:t>
      </w:r>
    </w:p>
    <w:p w14:paraId="1C74DC08" w14:textId="04B6BF4F" w:rsidR="00BB24D3" w:rsidRDefault="003018D6" w:rsidP="00820BF5">
      <w:pPr>
        <w:pStyle w:val="SingleTxtG"/>
      </w:pPr>
      <w:r w:rsidRPr="00820BF5">
        <w:t xml:space="preserve">The Committee examined </w:t>
      </w:r>
      <w:r w:rsidR="00A15FF9">
        <w:t>six</w:t>
      </w:r>
      <w:r w:rsidRPr="00820BF5">
        <w:t xml:space="preserve"> individual communications submitted under article 2 of the Optional Protocol. It adopted </w:t>
      </w:r>
      <w:r w:rsidR="00A15FF9">
        <w:t>six</w:t>
      </w:r>
      <w:r w:rsidRPr="00820BF5">
        <w:t xml:space="preserve"> final decisions</w:t>
      </w:r>
      <w:r w:rsidR="00F81D54">
        <w:t xml:space="preserve">, </w:t>
      </w:r>
      <w:r w:rsidR="00AE1521">
        <w:t>declaring inadmissible communication No</w:t>
      </w:r>
      <w:r w:rsidR="00A15FF9">
        <w:t>s</w:t>
      </w:r>
      <w:r w:rsidR="00AE1521">
        <w:t xml:space="preserve">. </w:t>
      </w:r>
      <w:r w:rsidR="00A15FF9">
        <w:t>137</w:t>
      </w:r>
      <w:r w:rsidR="00AE1521">
        <w:t>/201</w:t>
      </w:r>
      <w:r w:rsidR="00A15FF9">
        <w:t>8</w:t>
      </w:r>
      <w:r w:rsidR="00AE1521">
        <w:t xml:space="preserve"> concerning </w:t>
      </w:r>
      <w:r w:rsidR="00A15FF9">
        <w:t>the Russian Federation</w:t>
      </w:r>
      <w:r w:rsidR="00AE1521">
        <w:t xml:space="preserve"> (</w:t>
      </w:r>
      <w:r w:rsidR="00CB2466">
        <w:t>alleged discrimination and failure to provide the author with medical assistance</w:t>
      </w:r>
      <w:r w:rsidR="00AE1521">
        <w:t xml:space="preserve">) and </w:t>
      </w:r>
      <w:r w:rsidR="00446E1A">
        <w:t xml:space="preserve">No. </w:t>
      </w:r>
      <w:r w:rsidR="00A15FF9">
        <w:t>144/2019 concerning Denmark (deportation to Somalia)</w:t>
      </w:r>
      <w:r w:rsidR="00661E08">
        <w:t xml:space="preserve">, and </w:t>
      </w:r>
      <w:r w:rsidR="000C020F" w:rsidRPr="00820BF5">
        <w:t>finding</w:t>
      </w:r>
      <w:r w:rsidR="00C20C97">
        <w:t xml:space="preserve"> </w:t>
      </w:r>
      <w:r w:rsidRPr="00820BF5">
        <w:t>violation</w:t>
      </w:r>
      <w:r w:rsidR="00661E08">
        <w:t>s</w:t>
      </w:r>
      <w:r w:rsidRPr="00820BF5">
        <w:t xml:space="preserve"> of the author</w:t>
      </w:r>
      <w:r w:rsidR="00AE1521">
        <w:t>’</w:t>
      </w:r>
      <w:r w:rsidRPr="00820BF5">
        <w:t>s rights in relation to communication</w:t>
      </w:r>
      <w:r w:rsidR="00A15FF9">
        <w:t>s</w:t>
      </w:r>
      <w:r w:rsidRPr="00820BF5">
        <w:t xml:space="preserve"> No. </w:t>
      </w:r>
      <w:r w:rsidR="00A15FF9">
        <w:t>68</w:t>
      </w:r>
      <w:r w:rsidR="00D0626B" w:rsidRPr="00820BF5">
        <w:t>/201</w:t>
      </w:r>
      <w:r w:rsidR="00696BFC">
        <w:t>4</w:t>
      </w:r>
      <w:r w:rsidR="00D0626B" w:rsidRPr="00820BF5">
        <w:t xml:space="preserve"> </w:t>
      </w:r>
      <w:r w:rsidR="000C020F" w:rsidRPr="00820BF5">
        <w:t xml:space="preserve">concerning </w:t>
      </w:r>
      <w:r w:rsidR="00CB2466">
        <w:t>Canada</w:t>
      </w:r>
      <w:r w:rsidR="00DA2CED" w:rsidRPr="00820BF5">
        <w:t xml:space="preserve"> </w:t>
      </w:r>
      <w:r w:rsidR="000C020F" w:rsidRPr="00820BF5">
        <w:t>(</w:t>
      </w:r>
      <w:r w:rsidR="00CB2466">
        <w:t>discrimination concerning entitlement to Indian status as First Nations descendants on the maternal line</w:t>
      </w:r>
      <w:r w:rsidR="00DA2CED" w:rsidRPr="00820BF5">
        <w:t>)</w:t>
      </w:r>
      <w:r w:rsidR="00CB2466">
        <w:t xml:space="preserve"> and No. 134/2018 concerning Sri Lanka (discrimination against a lesbian activist)</w:t>
      </w:r>
      <w:r w:rsidR="00C20C97">
        <w:t xml:space="preserve">. </w:t>
      </w:r>
      <w:r w:rsidR="000950A5">
        <w:t xml:space="preserve">It also decided to </w:t>
      </w:r>
      <w:r w:rsidR="00CB2466">
        <w:t>discontinue its consideration of communications No. 160/2020 concerning Switzerland and</w:t>
      </w:r>
      <w:r w:rsidR="000950A5">
        <w:t xml:space="preserve"> No. </w:t>
      </w:r>
      <w:r w:rsidR="00CB2466">
        <w:t>163</w:t>
      </w:r>
      <w:r w:rsidR="000950A5">
        <w:t>/20</w:t>
      </w:r>
      <w:r w:rsidR="00CB2466">
        <w:t>20</w:t>
      </w:r>
      <w:r w:rsidR="000950A5">
        <w:t xml:space="preserve"> concerning </w:t>
      </w:r>
      <w:r w:rsidR="00CB2466">
        <w:t>Denmark</w:t>
      </w:r>
      <w:r w:rsidR="000950A5">
        <w:t>. All</w:t>
      </w:r>
      <w:r w:rsidR="00C20C97">
        <w:t xml:space="preserve"> </w:t>
      </w:r>
      <w:r w:rsidR="000950A5">
        <w:t>final decisions</w:t>
      </w:r>
      <w:r w:rsidR="00C20C97">
        <w:t xml:space="preserve"> were adopted by consensus</w:t>
      </w:r>
      <w:r w:rsidR="005E17A9" w:rsidRPr="00820BF5">
        <w:t xml:space="preserve">. </w:t>
      </w:r>
      <w:r w:rsidRPr="00820BF5">
        <w:t>The text of the final decisions of the Committee will be available through the Official Document System of the United Nations (</w:t>
      </w:r>
      <w:hyperlink r:id="rId18" w:history="1">
        <w:r w:rsidRPr="00820BF5">
          <w:t>http://documents.un.org/</w:t>
        </w:r>
      </w:hyperlink>
      <w:r w:rsidRPr="00820BF5">
        <w:t>) once they have been finalized and sent to the respective parties, through the website of the Office of the High Commissioner for Human Rights under the link to the relevant session of the Committee, and through the juris database of the Office of the High Commissioner for Human Rights (</w:t>
      </w:r>
      <w:hyperlink r:id="rId19" w:history="1">
        <w:r w:rsidRPr="00820BF5">
          <w:t>http://juris.ohchr.org/</w:t>
        </w:r>
      </w:hyperlink>
      <w:r w:rsidRPr="00820BF5">
        <w:t>).</w:t>
      </w:r>
      <w:r w:rsidR="005E17A9" w:rsidRPr="00820BF5">
        <w:t xml:space="preserve"> </w:t>
      </w:r>
    </w:p>
    <w:p w14:paraId="78844C85" w14:textId="4A2E6DB3" w:rsidR="00546D01" w:rsidRPr="00820BF5" w:rsidRDefault="00F12CEE" w:rsidP="00F12CEE">
      <w:pPr>
        <w:pStyle w:val="SingleTxtG"/>
      </w:pPr>
      <w:r>
        <w:t xml:space="preserve">In </w:t>
      </w:r>
      <w:r w:rsidR="00661E08">
        <w:t>line with its communication strategy, the Committee issue</w:t>
      </w:r>
      <w:r w:rsidR="00CB2466">
        <w:t>d</w:t>
      </w:r>
      <w:r w:rsidR="00661E08">
        <w:t xml:space="preserve"> a press release on its findings and recommendations in relation to communication No.</w:t>
      </w:r>
      <w:r w:rsidR="00CB2466">
        <w:t xml:space="preserve"> 68</w:t>
      </w:r>
      <w:r w:rsidR="00661E08">
        <w:t>/20</w:t>
      </w:r>
      <w:r w:rsidR="00CB2466">
        <w:t>14</w:t>
      </w:r>
      <w:r w:rsidR="00661E08">
        <w:t xml:space="preserve"> concerning </w:t>
      </w:r>
      <w:r w:rsidR="00CB2466">
        <w:t>Canada</w:t>
      </w:r>
      <w:r w:rsidR="00661E08">
        <w:t>.</w:t>
      </w:r>
    </w:p>
    <w:p w14:paraId="21C2352B" w14:textId="77777777" w:rsidR="00597A6B" w:rsidRPr="00820BF5" w:rsidRDefault="00597A6B" w:rsidP="00820BF5">
      <w:pPr>
        <w:pStyle w:val="H1G"/>
        <w:rPr>
          <w:rFonts w:eastAsia="SimSun"/>
        </w:rPr>
      </w:pPr>
      <w:r w:rsidRPr="00820BF5">
        <w:rPr>
          <w:rFonts w:eastAsia="SimSun"/>
        </w:rPr>
        <w:tab/>
        <w:t>B.</w:t>
      </w:r>
      <w:r w:rsidRPr="00820BF5">
        <w:rPr>
          <w:rFonts w:eastAsia="SimSun"/>
        </w:rPr>
        <w:tab/>
        <w:t>Follow-up to views of the Committee on individual communications</w:t>
      </w:r>
    </w:p>
    <w:p w14:paraId="327E7469" w14:textId="0BAAF00E" w:rsidR="00597A6B" w:rsidRPr="00820BF5" w:rsidRDefault="003018D6" w:rsidP="00820BF5">
      <w:pPr>
        <w:pStyle w:val="SingleTxtG"/>
      </w:pPr>
      <w:r w:rsidRPr="00820BF5">
        <w:t xml:space="preserve">The Committee was informed that the Working Group had </w:t>
      </w:r>
      <w:r w:rsidR="000950A5">
        <w:t>examined the follow-up information received from the State party</w:t>
      </w:r>
      <w:r w:rsidR="006517CE">
        <w:t xml:space="preserve"> </w:t>
      </w:r>
      <w:r w:rsidR="000950A5">
        <w:t xml:space="preserve">in relation to communication No. </w:t>
      </w:r>
      <w:r w:rsidR="00CB2466">
        <w:t>34</w:t>
      </w:r>
      <w:r w:rsidR="000950A5">
        <w:t>/201</w:t>
      </w:r>
      <w:r w:rsidR="00CB2466">
        <w:t>1</w:t>
      </w:r>
      <w:r w:rsidR="000950A5">
        <w:t xml:space="preserve"> concerning </w:t>
      </w:r>
      <w:r w:rsidR="006517CE">
        <w:t xml:space="preserve">the </w:t>
      </w:r>
      <w:r w:rsidR="00CB2466">
        <w:t>Philippines.</w:t>
      </w:r>
      <w:r w:rsidR="000950A5">
        <w:t xml:space="preserve"> </w:t>
      </w:r>
      <w:r w:rsidR="00CB2466">
        <w:t xml:space="preserve">It noted that </w:t>
      </w:r>
      <w:r w:rsidR="000950A5">
        <w:t xml:space="preserve">the follow-up dialogue with the State party </w:t>
      </w:r>
      <w:r w:rsidR="00CB2466">
        <w:t xml:space="preserve">is </w:t>
      </w:r>
      <w:r w:rsidR="000950A5">
        <w:t>ongoing.</w:t>
      </w:r>
    </w:p>
    <w:p w14:paraId="3844A60E" w14:textId="77777777" w:rsidR="00597A6B" w:rsidRPr="00820BF5" w:rsidRDefault="00597A6B" w:rsidP="00820BF5">
      <w:pPr>
        <w:pStyle w:val="H1G"/>
        <w:rPr>
          <w:rFonts w:eastAsia="SimSun"/>
        </w:rPr>
      </w:pPr>
      <w:r w:rsidRPr="00820BF5">
        <w:rPr>
          <w:rFonts w:eastAsia="SimSun"/>
        </w:rPr>
        <w:tab/>
        <w:t>C.</w:t>
      </w:r>
      <w:r w:rsidRPr="00820BF5">
        <w:rPr>
          <w:rFonts w:eastAsia="SimSun"/>
        </w:rPr>
        <w:tab/>
        <w:t>Action taken by the Committee in respect of issues arising from article 8 of the Optional Protocol</w:t>
      </w:r>
    </w:p>
    <w:p w14:paraId="64F3EC59" w14:textId="7CAB37BD" w:rsidR="008F58E0" w:rsidRPr="006115B8" w:rsidRDefault="008F58E0" w:rsidP="008A6777">
      <w:pPr>
        <w:pStyle w:val="SingleTxtG"/>
      </w:pPr>
      <w:r w:rsidRPr="006115B8">
        <w:rPr>
          <w:w w:val="103"/>
        </w:rPr>
        <w:t xml:space="preserve">The Committee discussed activities under article 8 of the Optional Protocol on </w:t>
      </w:r>
      <w:r w:rsidR="00E10480">
        <w:rPr>
          <w:w w:val="103"/>
        </w:rPr>
        <w:t>22</w:t>
      </w:r>
      <w:r w:rsidRPr="006115B8">
        <w:rPr>
          <w:w w:val="103"/>
        </w:rPr>
        <w:t xml:space="preserve"> </w:t>
      </w:r>
      <w:r w:rsidR="00E10480">
        <w:rPr>
          <w:w w:val="103"/>
        </w:rPr>
        <w:t>February</w:t>
      </w:r>
      <w:r w:rsidRPr="006115B8">
        <w:rPr>
          <w:w w:val="103"/>
        </w:rPr>
        <w:t xml:space="preserve"> 202</w:t>
      </w:r>
      <w:r w:rsidR="00E10480">
        <w:rPr>
          <w:w w:val="103"/>
        </w:rPr>
        <w:t>2</w:t>
      </w:r>
      <w:r w:rsidRPr="006115B8">
        <w:rPr>
          <w:w w:val="103"/>
        </w:rPr>
        <w:t xml:space="preserve">. It endorsed the report of the Working Group on Inquiries under the Optional Protocol regarding its </w:t>
      </w:r>
      <w:r w:rsidR="001233AB">
        <w:rPr>
          <w:w w:val="103"/>
        </w:rPr>
        <w:t>twent</w:t>
      </w:r>
      <w:r w:rsidR="00E10480">
        <w:rPr>
          <w:w w:val="103"/>
        </w:rPr>
        <w:t>y-first</w:t>
      </w:r>
      <w:r w:rsidRPr="006115B8">
        <w:rPr>
          <w:w w:val="103"/>
        </w:rPr>
        <w:t xml:space="preserve"> session (</w:t>
      </w:r>
      <w:hyperlink r:id="rId20" w:history="1">
        <w:r w:rsidRPr="00E63931">
          <w:rPr>
            <w:rStyle w:val="Hyperlink"/>
            <w:w w:val="103"/>
          </w:rPr>
          <w:t>see annex 2</w:t>
        </w:r>
      </w:hyperlink>
      <w:r w:rsidRPr="006115B8">
        <w:rPr>
          <w:w w:val="103"/>
        </w:rPr>
        <w:t>).</w:t>
      </w:r>
    </w:p>
    <w:p w14:paraId="2D87201B" w14:textId="1B9C104D" w:rsidR="00597A6B" w:rsidRPr="00820BF5" w:rsidRDefault="00597A6B" w:rsidP="00820BF5">
      <w:pPr>
        <w:pStyle w:val="HChG"/>
      </w:pPr>
      <w:r w:rsidRPr="00820BF5">
        <w:tab/>
      </w:r>
      <w:r w:rsidRPr="00820BF5">
        <w:tab/>
        <w:t>Chapter VI</w:t>
      </w:r>
    </w:p>
    <w:p w14:paraId="33E765BB" w14:textId="77777777" w:rsidR="00597A6B" w:rsidRPr="00820BF5" w:rsidRDefault="00597A6B" w:rsidP="00820BF5">
      <w:pPr>
        <w:pStyle w:val="H1G"/>
        <w:rPr>
          <w:rFonts w:eastAsia="SimSun"/>
        </w:rPr>
      </w:pPr>
      <w:r w:rsidRPr="00820BF5">
        <w:rPr>
          <w:rFonts w:eastAsia="SimSun"/>
        </w:rPr>
        <w:tab/>
        <w:t>A.</w:t>
      </w:r>
      <w:r w:rsidRPr="00820BF5">
        <w:rPr>
          <w:rFonts w:eastAsia="SimSun"/>
        </w:rPr>
        <w:tab/>
        <w:t>Ways and means of expediting the work of the Committee</w:t>
      </w:r>
    </w:p>
    <w:p w14:paraId="4F368592" w14:textId="5AA0A361" w:rsidR="00597A6B" w:rsidRPr="002B176B" w:rsidRDefault="00EB422C" w:rsidP="00597A6B">
      <w:pPr>
        <w:pStyle w:val="SingleTxtG"/>
        <w:rPr>
          <w:rFonts w:eastAsia="SimSun"/>
        </w:rPr>
      </w:pPr>
      <w:r w:rsidRPr="00820BF5">
        <w:t>The</w:t>
      </w:r>
      <w:r w:rsidRPr="00820BF5">
        <w:rPr>
          <w:rFonts w:eastAsia="SimSun"/>
        </w:rPr>
        <w:t xml:space="preserve"> Secretariat informed the Committee about the status of submission of overdue reports by States parties </w:t>
      </w:r>
      <w:r>
        <w:rPr>
          <w:rFonts w:eastAsia="SimSun"/>
        </w:rPr>
        <w:t xml:space="preserve">and the backlog of reports received </w:t>
      </w:r>
      <w:r w:rsidRPr="00820BF5">
        <w:rPr>
          <w:rFonts w:eastAsia="SimSun"/>
        </w:rPr>
        <w:t>under article 18 of the Convention</w:t>
      </w:r>
      <w:r>
        <w:rPr>
          <w:rFonts w:eastAsia="SimSun"/>
        </w:rPr>
        <w:t>.</w:t>
      </w:r>
    </w:p>
    <w:p w14:paraId="79AF10EF" w14:textId="77777777" w:rsidR="00597A6B" w:rsidRPr="00820BF5" w:rsidRDefault="00597A6B" w:rsidP="00820BF5">
      <w:pPr>
        <w:pStyle w:val="H1G"/>
        <w:rPr>
          <w:rFonts w:eastAsia="SimSun"/>
        </w:rPr>
      </w:pPr>
      <w:r w:rsidRPr="00820BF5">
        <w:rPr>
          <w:rFonts w:eastAsia="SimSun"/>
        </w:rPr>
        <w:tab/>
        <w:t>B.</w:t>
      </w:r>
      <w:r w:rsidRPr="00820BF5">
        <w:rPr>
          <w:rFonts w:eastAsia="SimSun"/>
        </w:rPr>
        <w:tab/>
        <w:t xml:space="preserve">Action taken by the Committee under agenda item 7 </w:t>
      </w:r>
    </w:p>
    <w:p w14:paraId="4C298FB8" w14:textId="11763B1E" w:rsidR="00597A6B" w:rsidRPr="00584196" w:rsidRDefault="00820BF5" w:rsidP="00820BF5">
      <w:pPr>
        <w:pStyle w:val="H23G"/>
        <w:rPr>
          <w:w w:val="103"/>
        </w:rPr>
      </w:pPr>
      <w:r>
        <w:tab/>
      </w:r>
      <w:r>
        <w:tab/>
      </w:r>
      <w:r w:rsidR="00597A6B" w:rsidRPr="00584196">
        <w:t>Dates</w:t>
      </w:r>
      <w:r w:rsidR="00597A6B" w:rsidRPr="00584196">
        <w:rPr>
          <w:w w:val="103"/>
        </w:rPr>
        <w:t xml:space="preserve"> of future sessions of the Committee</w:t>
      </w:r>
    </w:p>
    <w:p w14:paraId="717B5916" w14:textId="5FA894AE" w:rsidR="00597A6B" w:rsidRPr="00820BF5" w:rsidRDefault="00597A6B" w:rsidP="00820BF5">
      <w:pPr>
        <w:pStyle w:val="SingleTxtG"/>
      </w:pPr>
      <w:r w:rsidRPr="00820BF5">
        <w:t xml:space="preserve">In accordance with the calendar of conferences, the following dates are </w:t>
      </w:r>
      <w:r w:rsidR="00E97553" w:rsidRPr="00820BF5">
        <w:t xml:space="preserve">tentatively </w:t>
      </w:r>
      <w:r w:rsidRPr="00820BF5">
        <w:t xml:space="preserve">confirmed for the Committee’s </w:t>
      </w:r>
      <w:r w:rsidR="009A1171">
        <w:t>eighty-second and eighty-third</w:t>
      </w:r>
      <w:r w:rsidR="00420D7C">
        <w:t xml:space="preserve"> </w:t>
      </w:r>
      <w:r w:rsidRPr="00820BF5">
        <w:t>session</w:t>
      </w:r>
      <w:r w:rsidR="009A1171">
        <w:t>s</w:t>
      </w:r>
      <w:r w:rsidR="00017EE7" w:rsidRPr="00820BF5">
        <w:t xml:space="preserve">, subject to </w:t>
      </w:r>
      <w:r w:rsidR="00F95DD1" w:rsidRPr="00820BF5">
        <w:t xml:space="preserve">possible </w:t>
      </w:r>
      <w:r w:rsidR="00017EE7" w:rsidRPr="00820BF5">
        <w:t xml:space="preserve">restrictions on travel and physical meetings </w:t>
      </w:r>
      <w:r w:rsidR="003F7ED8" w:rsidRPr="00820BF5">
        <w:t>that may be</w:t>
      </w:r>
      <w:r w:rsidR="00017EE7" w:rsidRPr="00820BF5">
        <w:t xml:space="preserve"> required by the ongoing COVID-19 pandemic</w:t>
      </w:r>
      <w:r w:rsidRPr="00820BF5">
        <w:t>:</w:t>
      </w:r>
    </w:p>
    <w:p w14:paraId="0B792F08" w14:textId="615CCC3F" w:rsidR="00420D7C" w:rsidRPr="00820BF5" w:rsidRDefault="00420D7C" w:rsidP="00420D7C">
      <w:pPr>
        <w:pStyle w:val="SingleTxtG"/>
        <w:rPr>
          <w:u w:val="single"/>
        </w:rPr>
      </w:pPr>
      <w:r>
        <w:rPr>
          <w:u w:val="single"/>
        </w:rPr>
        <w:t>Eight</w:t>
      </w:r>
      <w:r w:rsidR="00BA6357">
        <w:rPr>
          <w:u w:val="single"/>
        </w:rPr>
        <w:t>y-</w:t>
      </w:r>
      <w:r w:rsidR="009A1171">
        <w:rPr>
          <w:u w:val="single"/>
        </w:rPr>
        <w:t>second</w:t>
      </w:r>
      <w:r w:rsidRPr="00820BF5">
        <w:rPr>
          <w:u w:val="single"/>
        </w:rPr>
        <w:t xml:space="preserve"> Session</w:t>
      </w:r>
    </w:p>
    <w:p w14:paraId="430DFA82" w14:textId="2E6E7855" w:rsidR="00420D7C" w:rsidRPr="00820BF5" w:rsidRDefault="00420D7C" w:rsidP="00420D7C">
      <w:pPr>
        <w:pStyle w:val="SingleTxtG"/>
      </w:pPr>
      <w:r w:rsidRPr="00820BF5">
        <w:lastRenderedPageBreak/>
        <w:t>F</w:t>
      </w:r>
      <w:r>
        <w:t>ifty-</w:t>
      </w:r>
      <w:r w:rsidR="009A1171">
        <w:t>third</w:t>
      </w:r>
      <w:r>
        <w:t xml:space="preserve"> </w:t>
      </w:r>
      <w:r w:rsidRPr="00820BF5">
        <w:t xml:space="preserve">session of the Working Group on Communications under the Optional Protocol: </w:t>
      </w:r>
      <w:r w:rsidR="009A1171">
        <w:t>8</w:t>
      </w:r>
      <w:r w:rsidR="006115B8">
        <w:t xml:space="preserve"> to</w:t>
      </w:r>
      <w:r>
        <w:t xml:space="preserve"> </w:t>
      </w:r>
      <w:r w:rsidR="009A1171">
        <w:t>10</w:t>
      </w:r>
      <w:r w:rsidRPr="00820BF5">
        <w:t xml:space="preserve"> </w:t>
      </w:r>
      <w:r w:rsidR="009A1171">
        <w:t>June</w:t>
      </w:r>
      <w:r w:rsidRPr="00820BF5">
        <w:t xml:space="preserve"> 202</w:t>
      </w:r>
      <w:r w:rsidR="00BA6357">
        <w:t>2</w:t>
      </w:r>
    </w:p>
    <w:p w14:paraId="3D28E92E" w14:textId="1198C596" w:rsidR="00420D7C" w:rsidRPr="00820BF5" w:rsidRDefault="00420D7C" w:rsidP="00420D7C">
      <w:pPr>
        <w:pStyle w:val="SingleTxtG"/>
      </w:pPr>
      <w:r>
        <w:t>Twent</w:t>
      </w:r>
      <w:r w:rsidR="00BA6357">
        <w:t>y-</w:t>
      </w:r>
      <w:r w:rsidR="009A1171">
        <w:t>second</w:t>
      </w:r>
      <w:r>
        <w:t xml:space="preserve"> </w:t>
      </w:r>
      <w:r w:rsidRPr="00820BF5">
        <w:t>session of the Working Group on Inquiries under the Optional Protocol:</w:t>
      </w:r>
      <w:r>
        <w:t xml:space="preserve"> </w:t>
      </w:r>
      <w:r w:rsidR="009A1171">
        <w:t>9</w:t>
      </w:r>
      <w:r>
        <w:t xml:space="preserve"> and </w:t>
      </w:r>
      <w:r w:rsidR="009A1171">
        <w:t>10</w:t>
      </w:r>
      <w:r w:rsidRPr="00820BF5">
        <w:t xml:space="preserve"> </w:t>
      </w:r>
      <w:r w:rsidR="009A1171">
        <w:t>June</w:t>
      </w:r>
      <w:r w:rsidRPr="00820BF5">
        <w:t xml:space="preserve"> 202</w:t>
      </w:r>
      <w:r w:rsidR="00BA6357">
        <w:t>2</w:t>
      </w:r>
    </w:p>
    <w:p w14:paraId="65865D8E" w14:textId="5CDB179F" w:rsidR="00420D7C" w:rsidRPr="00820BF5" w:rsidRDefault="00420D7C" w:rsidP="00420D7C">
      <w:pPr>
        <w:pStyle w:val="SingleTxtG"/>
      </w:pPr>
      <w:r>
        <w:t>Eight</w:t>
      </w:r>
      <w:r w:rsidR="00BA6357">
        <w:t>y-</w:t>
      </w:r>
      <w:r w:rsidR="009A1171">
        <w:t>second</w:t>
      </w:r>
      <w:r>
        <w:t xml:space="preserve"> </w:t>
      </w:r>
      <w:r w:rsidRPr="00820BF5">
        <w:t xml:space="preserve">session: </w:t>
      </w:r>
      <w:r w:rsidR="009A1171">
        <w:t>13</w:t>
      </w:r>
      <w:r>
        <w:t xml:space="preserve"> </w:t>
      </w:r>
      <w:r w:rsidR="009A1171">
        <w:t xml:space="preserve">June </w:t>
      </w:r>
      <w:r w:rsidRPr="00820BF5">
        <w:t xml:space="preserve">to </w:t>
      </w:r>
      <w:r w:rsidR="009A1171">
        <w:t>1</w:t>
      </w:r>
      <w:r>
        <w:t xml:space="preserve"> </w:t>
      </w:r>
      <w:r w:rsidR="009A1171">
        <w:t>July</w:t>
      </w:r>
      <w:r>
        <w:t xml:space="preserve"> </w:t>
      </w:r>
      <w:r w:rsidRPr="00820BF5">
        <w:t>202</w:t>
      </w:r>
      <w:r w:rsidR="00BA6357">
        <w:t>2</w:t>
      </w:r>
    </w:p>
    <w:p w14:paraId="14B8AAB2" w14:textId="7EDA2D9E" w:rsidR="00420D7C" w:rsidRDefault="00420D7C" w:rsidP="00420D7C">
      <w:pPr>
        <w:pStyle w:val="SingleTxtG"/>
      </w:pPr>
      <w:r w:rsidRPr="00820BF5">
        <w:t>Pre-session</w:t>
      </w:r>
      <w:r w:rsidR="00BA6357">
        <w:t>al</w:t>
      </w:r>
      <w:r w:rsidRPr="00820BF5">
        <w:t xml:space="preserve"> working group for the eigh</w:t>
      </w:r>
      <w:r>
        <w:t>ty-</w:t>
      </w:r>
      <w:r w:rsidR="009A1171">
        <w:t>fourth</w:t>
      </w:r>
      <w:r>
        <w:t xml:space="preserve"> </w:t>
      </w:r>
      <w:r w:rsidRPr="00820BF5">
        <w:t xml:space="preserve">session: </w:t>
      </w:r>
      <w:r w:rsidR="009A1171">
        <w:t>4</w:t>
      </w:r>
      <w:r w:rsidR="00BA6357">
        <w:t xml:space="preserve"> </w:t>
      </w:r>
      <w:r w:rsidRPr="00820BF5">
        <w:t xml:space="preserve">to </w:t>
      </w:r>
      <w:r w:rsidR="009A1171">
        <w:t>8</w:t>
      </w:r>
      <w:r w:rsidR="00BA6357">
        <w:t xml:space="preserve"> </w:t>
      </w:r>
      <w:r w:rsidR="009A1171">
        <w:t>July</w:t>
      </w:r>
      <w:r>
        <w:t xml:space="preserve"> </w:t>
      </w:r>
      <w:r w:rsidRPr="00820BF5">
        <w:t>202</w:t>
      </w:r>
      <w:r w:rsidR="00BA6357">
        <w:t>2</w:t>
      </w:r>
    </w:p>
    <w:p w14:paraId="5ABFD1B9" w14:textId="10B59F64" w:rsidR="009A1171" w:rsidRPr="00820BF5" w:rsidRDefault="009A1171" w:rsidP="009A1171">
      <w:pPr>
        <w:pStyle w:val="SingleTxtG"/>
        <w:rPr>
          <w:u w:val="single"/>
        </w:rPr>
      </w:pPr>
      <w:r>
        <w:rPr>
          <w:u w:val="single"/>
        </w:rPr>
        <w:t>Eighty-third</w:t>
      </w:r>
      <w:r w:rsidRPr="00820BF5">
        <w:rPr>
          <w:u w:val="single"/>
        </w:rPr>
        <w:t xml:space="preserve"> Session</w:t>
      </w:r>
    </w:p>
    <w:p w14:paraId="0BDD8A2A" w14:textId="5D437214" w:rsidR="009A1171" w:rsidRPr="00820BF5" w:rsidRDefault="009A1171" w:rsidP="009A1171">
      <w:pPr>
        <w:pStyle w:val="SingleTxtG"/>
      </w:pPr>
      <w:r w:rsidRPr="00820BF5">
        <w:t>F</w:t>
      </w:r>
      <w:r>
        <w:t xml:space="preserve">ifty-fourth </w:t>
      </w:r>
      <w:r w:rsidRPr="00820BF5">
        <w:t xml:space="preserve">session of the Working Group on Communications under the Optional Protocol: </w:t>
      </w:r>
      <w:r>
        <w:t>5 to 7 October</w:t>
      </w:r>
      <w:r w:rsidRPr="00820BF5">
        <w:t xml:space="preserve"> 202</w:t>
      </w:r>
      <w:r>
        <w:t>2</w:t>
      </w:r>
    </w:p>
    <w:p w14:paraId="4D0A2C92" w14:textId="72ACB161" w:rsidR="009A1171" w:rsidRPr="00820BF5" w:rsidRDefault="009A1171" w:rsidP="009A1171">
      <w:pPr>
        <w:pStyle w:val="SingleTxtG"/>
      </w:pPr>
      <w:r>
        <w:t xml:space="preserve">Twenty-third </w:t>
      </w:r>
      <w:r w:rsidRPr="00820BF5">
        <w:t>session of the Working Group on Inquiries under the Optional Protocol:</w:t>
      </w:r>
      <w:r>
        <w:t xml:space="preserve"> 6 and 7</w:t>
      </w:r>
      <w:r w:rsidRPr="00820BF5">
        <w:t xml:space="preserve"> </w:t>
      </w:r>
      <w:r>
        <w:t>October</w:t>
      </w:r>
      <w:r w:rsidRPr="00820BF5">
        <w:t xml:space="preserve"> 202</w:t>
      </w:r>
      <w:r>
        <w:t>2</w:t>
      </w:r>
    </w:p>
    <w:p w14:paraId="1A5CC98A" w14:textId="73C382AA" w:rsidR="009A1171" w:rsidRPr="00820BF5" w:rsidRDefault="009A1171" w:rsidP="009A1171">
      <w:pPr>
        <w:pStyle w:val="SingleTxtG"/>
      </w:pPr>
      <w:r>
        <w:t xml:space="preserve">Eighty-third </w:t>
      </w:r>
      <w:r w:rsidRPr="00820BF5">
        <w:t xml:space="preserve">session: </w:t>
      </w:r>
      <w:r>
        <w:t xml:space="preserve">10 to 28 October </w:t>
      </w:r>
      <w:r w:rsidRPr="00820BF5">
        <w:t>202</w:t>
      </w:r>
      <w:r>
        <w:t>2</w:t>
      </w:r>
    </w:p>
    <w:p w14:paraId="1DE0F911" w14:textId="146D472E" w:rsidR="009A1171" w:rsidRPr="00820BF5" w:rsidRDefault="009A1171" w:rsidP="009A1171">
      <w:pPr>
        <w:pStyle w:val="SingleTxtG"/>
      </w:pPr>
      <w:r w:rsidRPr="00820BF5">
        <w:t>Pre-session</w:t>
      </w:r>
      <w:r>
        <w:t>al</w:t>
      </w:r>
      <w:r w:rsidRPr="00820BF5">
        <w:t xml:space="preserve"> working group for the eigh</w:t>
      </w:r>
      <w:r>
        <w:t xml:space="preserve">ty-fifth </w:t>
      </w:r>
      <w:r w:rsidRPr="00820BF5">
        <w:t xml:space="preserve">session: </w:t>
      </w:r>
      <w:r>
        <w:t xml:space="preserve">31 October to 4 November </w:t>
      </w:r>
      <w:r w:rsidRPr="00820BF5">
        <w:t>202</w:t>
      </w:r>
      <w:r>
        <w:t>2</w:t>
      </w:r>
    </w:p>
    <w:p w14:paraId="17989A2B" w14:textId="1A9271E9" w:rsidR="00597A6B" w:rsidRPr="00820BF5" w:rsidRDefault="00597A6B" w:rsidP="00820BF5">
      <w:pPr>
        <w:pStyle w:val="H23G"/>
      </w:pPr>
      <w:r w:rsidRPr="00820BF5">
        <w:tab/>
      </w:r>
      <w:r w:rsidRPr="00820BF5">
        <w:tab/>
      </w:r>
      <w:r w:rsidR="009E6791" w:rsidRPr="00820BF5">
        <w:tab/>
      </w:r>
      <w:r w:rsidRPr="00820BF5">
        <w:t>Reports to be considered at future sessions of the Committee</w:t>
      </w:r>
    </w:p>
    <w:p w14:paraId="18FC27FB" w14:textId="13150CF9" w:rsidR="000B1FDB" w:rsidRPr="00820BF5" w:rsidRDefault="000B1FDB" w:rsidP="00820BF5">
      <w:pPr>
        <w:pStyle w:val="SingleTxtG"/>
      </w:pPr>
      <w:r w:rsidRPr="00820BF5">
        <w:t xml:space="preserve">Subject to possible future disruptions in the holding of physical sessions due to the ongoing COVID-19 pandemic, the Committee confirmed that it will consider the reports of the following States parties at its </w:t>
      </w:r>
      <w:r w:rsidR="006115B8">
        <w:t>eight</w:t>
      </w:r>
      <w:r w:rsidR="009A1171">
        <w:t>y-second and eighty-third</w:t>
      </w:r>
      <w:r w:rsidR="006115B8">
        <w:t xml:space="preserve"> </w:t>
      </w:r>
      <w:r w:rsidRPr="00820BF5">
        <w:t>session</w:t>
      </w:r>
      <w:r w:rsidR="009A1171">
        <w:t>s</w:t>
      </w:r>
      <w:r w:rsidRPr="00820BF5">
        <w:t>:</w:t>
      </w:r>
    </w:p>
    <w:p w14:paraId="1C968FE4" w14:textId="299F68A0" w:rsidR="000B1FDB" w:rsidRPr="00820BF5" w:rsidRDefault="00044216" w:rsidP="00820BF5">
      <w:pPr>
        <w:pStyle w:val="SingleTxtG"/>
        <w:rPr>
          <w:u w:val="single"/>
        </w:rPr>
      </w:pPr>
      <w:r>
        <w:rPr>
          <w:u w:val="single"/>
        </w:rPr>
        <w:t>Eight</w:t>
      </w:r>
      <w:r w:rsidR="00BA6357">
        <w:rPr>
          <w:u w:val="single"/>
        </w:rPr>
        <w:t>y-</w:t>
      </w:r>
      <w:r w:rsidR="009A1171">
        <w:rPr>
          <w:u w:val="single"/>
        </w:rPr>
        <w:t>second</w:t>
      </w:r>
      <w:r w:rsidR="000B1FDB" w:rsidRPr="00820BF5">
        <w:rPr>
          <w:u w:val="single"/>
        </w:rPr>
        <w:t xml:space="preserve"> session</w:t>
      </w:r>
      <w:r w:rsidR="00792DA3">
        <w:rPr>
          <w:u w:val="single"/>
        </w:rPr>
        <w:t xml:space="preserve"> (States parties to be confirmed)</w:t>
      </w:r>
      <w:r w:rsidR="000B1FDB" w:rsidRPr="00820BF5">
        <w:rPr>
          <w:u w:val="single"/>
        </w:rPr>
        <w:t>:</w:t>
      </w:r>
    </w:p>
    <w:p w14:paraId="571AF126" w14:textId="51050160" w:rsidR="000B1FDB" w:rsidRPr="008A6777" w:rsidRDefault="000B1FDB" w:rsidP="000B1FDB">
      <w:pPr>
        <w:pStyle w:val="SingleTxtG"/>
        <w:ind w:right="0" w:firstLine="567"/>
        <w:rPr>
          <w:w w:val="103"/>
          <w:lang w:val="es-ES"/>
        </w:rPr>
      </w:pPr>
      <w:r w:rsidRPr="008A6777">
        <w:rPr>
          <w:w w:val="103"/>
          <w:lang w:val="es-ES"/>
        </w:rPr>
        <w:t>(1)</w:t>
      </w:r>
      <w:r w:rsidRPr="008A6777">
        <w:rPr>
          <w:w w:val="103"/>
          <w:lang w:val="es-ES"/>
        </w:rPr>
        <w:tab/>
      </w:r>
      <w:r w:rsidR="00BA6357" w:rsidRPr="008A6777">
        <w:rPr>
          <w:w w:val="103"/>
          <w:lang w:val="es-ES"/>
        </w:rPr>
        <w:t>Azerbaijan</w:t>
      </w:r>
    </w:p>
    <w:p w14:paraId="1974FDFC" w14:textId="637D967E" w:rsidR="00044216" w:rsidRPr="008A6777" w:rsidRDefault="00044216" w:rsidP="000B1FDB">
      <w:pPr>
        <w:pStyle w:val="SingleTxtG"/>
        <w:ind w:right="0" w:firstLine="567"/>
        <w:rPr>
          <w:w w:val="103"/>
          <w:lang w:val="es-ES"/>
        </w:rPr>
      </w:pPr>
      <w:r w:rsidRPr="008A6777">
        <w:rPr>
          <w:w w:val="103"/>
          <w:lang w:val="es-ES"/>
        </w:rPr>
        <w:t>(2)</w:t>
      </w:r>
      <w:r w:rsidRPr="008A6777">
        <w:rPr>
          <w:w w:val="103"/>
          <w:lang w:val="es-ES"/>
        </w:rPr>
        <w:tab/>
      </w:r>
      <w:r w:rsidR="00792DA3" w:rsidRPr="008A6777">
        <w:rPr>
          <w:w w:val="103"/>
          <w:lang w:val="es-ES"/>
        </w:rPr>
        <w:t>Bahrain</w:t>
      </w:r>
    </w:p>
    <w:p w14:paraId="4F0F74E1" w14:textId="64034DD7" w:rsidR="00044216" w:rsidRPr="008A6777" w:rsidRDefault="00044216" w:rsidP="000B1FDB">
      <w:pPr>
        <w:pStyle w:val="SingleTxtG"/>
        <w:ind w:right="0" w:firstLine="567"/>
        <w:rPr>
          <w:w w:val="103"/>
          <w:lang w:val="es-ES"/>
        </w:rPr>
      </w:pPr>
      <w:r w:rsidRPr="008A6777">
        <w:rPr>
          <w:w w:val="103"/>
          <w:lang w:val="es-ES"/>
        </w:rPr>
        <w:t>(3)</w:t>
      </w:r>
      <w:r w:rsidRPr="008A6777">
        <w:rPr>
          <w:w w:val="103"/>
          <w:lang w:val="es-ES"/>
        </w:rPr>
        <w:tab/>
      </w:r>
      <w:r w:rsidR="00792DA3" w:rsidRPr="008A6777">
        <w:rPr>
          <w:w w:val="103"/>
          <w:lang w:val="es-ES"/>
        </w:rPr>
        <w:t>Bolivia</w:t>
      </w:r>
    </w:p>
    <w:p w14:paraId="3FA2180B" w14:textId="6DCE2AC9" w:rsidR="000B1FDB" w:rsidRPr="008A6777" w:rsidRDefault="000B1FDB" w:rsidP="000B1FDB">
      <w:pPr>
        <w:pStyle w:val="SingleTxtG"/>
        <w:ind w:right="0" w:firstLine="567"/>
        <w:rPr>
          <w:w w:val="103"/>
          <w:lang w:val="es-ES"/>
        </w:rPr>
      </w:pPr>
      <w:r w:rsidRPr="008A6777">
        <w:rPr>
          <w:w w:val="103"/>
          <w:lang w:val="es-ES"/>
        </w:rPr>
        <w:t>(</w:t>
      </w:r>
      <w:r w:rsidR="00044216" w:rsidRPr="008A6777">
        <w:rPr>
          <w:w w:val="103"/>
          <w:lang w:val="es-ES"/>
        </w:rPr>
        <w:t>4</w:t>
      </w:r>
      <w:r w:rsidRPr="008A6777">
        <w:rPr>
          <w:w w:val="103"/>
          <w:lang w:val="es-ES"/>
        </w:rPr>
        <w:t>)</w:t>
      </w:r>
      <w:r w:rsidRPr="008A6777">
        <w:rPr>
          <w:w w:val="103"/>
          <w:lang w:val="es-ES"/>
        </w:rPr>
        <w:tab/>
      </w:r>
      <w:r w:rsidR="00792DA3" w:rsidRPr="008A6777">
        <w:rPr>
          <w:w w:val="103"/>
          <w:lang w:val="es-ES"/>
        </w:rPr>
        <w:t>Hungary</w:t>
      </w:r>
    </w:p>
    <w:p w14:paraId="488144A6" w14:textId="194C60A0" w:rsidR="000B1FDB" w:rsidRPr="008A6777" w:rsidRDefault="000B1FDB" w:rsidP="000B1FDB">
      <w:pPr>
        <w:pStyle w:val="SingleTxtG"/>
        <w:ind w:right="0" w:firstLine="567"/>
        <w:rPr>
          <w:w w:val="103"/>
          <w:lang w:val="es-ES"/>
        </w:rPr>
      </w:pPr>
      <w:r w:rsidRPr="008A6777">
        <w:rPr>
          <w:w w:val="103"/>
          <w:lang w:val="es-ES"/>
        </w:rPr>
        <w:t>(</w:t>
      </w:r>
      <w:r w:rsidR="00044216" w:rsidRPr="008A6777">
        <w:rPr>
          <w:w w:val="103"/>
          <w:lang w:val="es-ES"/>
        </w:rPr>
        <w:t>5</w:t>
      </w:r>
      <w:r w:rsidRPr="008A6777">
        <w:rPr>
          <w:w w:val="103"/>
          <w:lang w:val="es-ES"/>
        </w:rPr>
        <w:t>)</w:t>
      </w:r>
      <w:r w:rsidRPr="008A6777">
        <w:rPr>
          <w:w w:val="103"/>
          <w:lang w:val="es-ES"/>
        </w:rPr>
        <w:tab/>
      </w:r>
      <w:r w:rsidR="00792DA3" w:rsidRPr="008A6777">
        <w:rPr>
          <w:w w:val="103"/>
          <w:lang w:val="es-ES"/>
        </w:rPr>
        <w:t>Mongolia</w:t>
      </w:r>
    </w:p>
    <w:p w14:paraId="2233684D" w14:textId="22239A7E" w:rsidR="000B1FDB" w:rsidRPr="008A6777" w:rsidRDefault="000B1FDB" w:rsidP="000B1FDB">
      <w:pPr>
        <w:pStyle w:val="SingleTxtG"/>
        <w:ind w:right="0" w:firstLine="567"/>
        <w:rPr>
          <w:w w:val="103"/>
          <w:lang w:val="es-ES"/>
        </w:rPr>
      </w:pPr>
      <w:r w:rsidRPr="008A6777">
        <w:rPr>
          <w:w w:val="103"/>
          <w:lang w:val="es-ES"/>
        </w:rPr>
        <w:t>(</w:t>
      </w:r>
      <w:r w:rsidR="00044216" w:rsidRPr="008A6777">
        <w:rPr>
          <w:w w:val="103"/>
          <w:lang w:val="es-ES"/>
        </w:rPr>
        <w:t>6</w:t>
      </w:r>
      <w:r w:rsidRPr="008A6777">
        <w:rPr>
          <w:w w:val="103"/>
          <w:lang w:val="es-ES"/>
        </w:rPr>
        <w:t>)</w:t>
      </w:r>
      <w:r w:rsidRPr="008A6777">
        <w:rPr>
          <w:w w:val="103"/>
          <w:lang w:val="es-ES"/>
        </w:rPr>
        <w:tab/>
      </w:r>
      <w:r w:rsidR="00792DA3" w:rsidRPr="008A6777">
        <w:rPr>
          <w:w w:val="103"/>
          <w:lang w:val="es-ES"/>
        </w:rPr>
        <w:t>Morocco</w:t>
      </w:r>
    </w:p>
    <w:p w14:paraId="29351D34" w14:textId="4AEA885F" w:rsidR="000B1FDB" w:rsidRPr="008A6777" w:rsidRDefault="000B1FDB" w:rsidP="000B1FDB">
      <w:pPr>
        <w:pStyle w:val="SingleTxtG"/>
        <w:ind w:right="0" w:firstLine="567"/>
        <w:rPr>
          <w:w w:val="103"/>
          <w:lang w:val="es-ES"/>
        </w:rPr>
      </w:pPr>
      <w:r w:rsidRPr="008A6777">
        <w:rPr>
          <w:w w:val="103"/>
          <w:lang w:val="es-ES"/>
        </w:rPr>
        <w:t>(</w:t>
      </w:r>
      <w:r w:rsidR="00044216" w:rsidRPr="008A6777">
        <w:rPr>
          <w:w w:val="103"/>
          <w:lang w:val="es-ES"/>
        </w:rPr>
        <w:t>7</w:t>
      </w:r>
      <w:r w:rsidRPr="008A6777">
        <w:rPr>
          <w:w w:val="103"/>
          <w:lang w:val="es-ES"/>
        </w:rPr>
        <w:t>)</w:t>
      </w:r>
      <w:r w:rsidRPr="008A6777">
        <w:rPr>
          <w:w w:val="103"/>
          <w:lang w:val="es-ES"/>
        </w:rPr>
        <w:tab/>
      </w:r>
      <w:r w:rsidR="00792DA3" w:rsidRPr="008A6777">
        <w:rPr>
          <w:w w:val="103"/>
          <w:lang w:val="es-ES"/>
        </w:rPr>
        <w:t>Namibia</w:t>
      </w:r>
    </w:p>
    <w:p w14:paraId="026AE853" w14:textId="6CB3327B" w:rsidR="000A03B5" w:rsidRPr="008A6777" w:rsidRDefault="00044216">
      <w:pPr>
        <w:pStyle w:val="SingleTxtG"/>
        <w:ind w:right="0" w:firstLine="567"/>
        <w:rPr>
          <w:w w:val="103"/>
        </w:rPr>
      </w:pPr>
      <w:r w:rsidRPr="008A6777">
        <w:rPr>
          <w:w w:val="103"/>
        </w:rPr>
        <w:t>(8)</w:t>
      </w:r>
      <w:r w:rsidRPr="008A6777">
        <w:rPr>
          <w:w w:val="103"/>
        </w:rPr>
        <w:tab/>
      </w:r>
      <w:r w:rsidR="00792DA3" w:rsidRPr="008A6777">
        <w:rPr>
          <w:w w:val="103"/>
        </w:rPr>
        <w:t>Portugal</w:t>
      </w:r>
    </w:p>
    <w:p w14:paraId="1D458884" w14:textId="0E17ABDB" w:rsidR="00792DA3" w:rsidRPr="008A6777" w:rsidRDefault="00792DA3">
      <w:pPr>
        <w:pStyle w:val="SingleTxtG"/>
        <w:ind w:right="0" w:firstLine="567"/>
        <w:rPr>
          <w:w w:val="103"/>
        </w:rPr>
      </w:pPr>
      <w:r w:rsidRPr="008A6777">
        <w:rPr>
          <w:w w:val="103"/>
        </w:rPr>
        <w:t>(9)</w:t>
      </w:r>
      <w:r w:rsidRPr="008A6777">
        <w:rPr>
          <w:w w:val="103"/>
        </w:rPr>
        <w:tab/>
        <w:t>Turkey</w:t>
      </w:r>
    </w:p>
    <w:p w14:paraId="3D289F9D" w14:textId="26CC2259" w:rsidR="00792DA3" w:rsidRDefault="00792DA3">
      <w:pPr>
        <w:pStyle w:val="SingleTxtG"/>
        <w:ind w:right="0" w:firstLine="567"/>
        <w:rPr>
          <w:w w:val="103"/>
        </w:rPr>
      </w:pPr>
      <w:r w:rsidRPr="008A6777">
        <w:rPr>
          <w:w w:val="103"/>
        </w:rPr>
        <w:t>(10)</w:t>
      </w:r>
      <w:r w:rsidRPr="008A6777">
        <w:rPr>
          <w:w w:val="103"/>
        </w:rPr>
        <w:tab/>
      </w:r>
      <w:r>
        <w:rPr>
          <w:w w:val="103"/>
        </w:rPr>
        <w:t>United Arab Emirates</w:t>
      </w:r>
    </w:p>
    <w:p w14:paraId="51D9BA8B" w14:textId="3181A9BD" w:rsidR="00792DA3" w:rsidRPr="00820BF5" w:rsidRDefault="00792DA3" w:rsidP="00792DA3">
      <w:pPr>
        <w:pStyle w:val="SingleTxtG"/>
        <w:rPr>
          <w:u w:val="single"/>
        </w:rPr>
      </w:pPr>
      <w:r>
        <w:rPr>
          <w:u w:val="single"/>
        </w:rPr>
        <w:t>Eighty-third</w:t>
      </w:r>
      <w:r w:rsidRPr="00820BF5">
        <w:rPr>
          <w:u w:val="single"/>
        </w:rPr>
        <w:t xml:space="preserve"> session</w:t>
      </w:r>
      <w:r>
        <w:rPr>
          <w:u w:val="single"/>
        </w:rPr>
        <w:t xml:space="preserve"> (States parties to be confirmed)</w:t>
      </w:r>
      <w:r w:rsidRPr="00820BF5">
        <w:rPr>
          <w:u w:val="single"/>
        </w:rPr>
        <w:t>:</w:t>
      </w:r>
    </w:p>
    <w:p w14:paraId="28D64FFF" w14:textId="672377BD" w:rsidR="00792DA3" w:rsidRDefault="00792DA3" w:rsidP="00792DA3">
      <w:pPr>
        <w:pStyle w:val="SingleTxtG"/>
        <w:ind w:right="0" w:firstLine="567"/>
        <w:rPr>
          <w:w w:val="103"/>
        </w:rPr>
      </w:pPr>
      <w:r>
        <w:rPr>
          <w:w w:val="103"/>
        </w:rPr>
        <w:t>(</w:t>
      </w:r>
      <w:r w:rsidRPr="00643213">
        <w:rPr>
          <w:w w:val="103"/>
        </w:rPr>
        <w:t>1)</w:t>
      </w:r>
      <w:r w:rsidRPr="00643213">
        <w:rPr>
          <w:w w:val="103"/>
        </w:rPr>
        <w:tab/>
      </w:r>
      <w:r>
        <w:rPr>
          <w:w w:val="103"/>
        </w:rPr>
        <w:t>Armenia</w:t>
      </w:r>
    </w:p>
    <w:p w14:paraId="3AA8E7AD" w14:textId="6544DB6B" w:rsidR="00792DA3" w:rsidRDefault="00792DA3" w:rsidP="00792DA3">
      <w:pPr>
        <w:pStyle w:val="SingleTxtG"/>
        <w:ind w:right="0" w:firstLine="567"/>
        <w:rPr>
          <w:w w:val="103"/>
        </w:rPr>
      </w:pPr>
      <w:r w:rsidRPr="008A6777">
        <w:rPr>
          <w:w w:val="103"/>
        </w:rPr>
        <w:t>(2)</w:t>
      </w:r>
      <w:r w:rsidRPr="008A6777">
        <w:rPr>
          <w:w w:val="103"/>
        </w:rPr>
        <w:tab/>
      </w:r>
      <w:r>
        <w:rPr>
          <w:w w:val="103"/>
        </w:rPr>
        <w:t>Belgium</w:t>
      </w:r>
    </w:p>
    <w:p w14:paraId="0F5F026E" w14:textId="6203CE90" w:rsidR="00792DA3" w:rsidRPr="008A6777" w:rsidRDefault="00792DA3" w:rsidP="00792DA3">
      <w:pPr>
        <w:pStyle w:val="SingleTxtG"/>
        <w:ind w:right="0" w:firstLine="567"/>
        <w:rPr>
          <w:w w:val="103"/>
        </w:rPr>
      </w:pPr>
      <w:r w:rsidRPr="008A6777">
        <w:rPr>
          <w:w w:val="103"/>
        </w:rPr>
        <w:t>(3)</w:t>
      </w:r>
      <w:r w:rsidRPr="008A6777">
        <w:rPr>
          <w:w w:val="103"/>
        </w:rPr>
        <w:tab/>
        <w:t>China</w:t>
      </w:r>
    </w:p>
    <w:p w14:paraId="40C7B9E3" w14:textId="42561B57" w:rsidR="00792DA3" w:rsidRPr="008A6777" w:rsidRDefault="00792DA3" w:rsidP="00792DA3">
      <w:pPr>
        <w:pStyle w:val="SingleTxtG"/>
        <w:ind w:right="0" w:firstLine="567"/>
        <w:rPr>
          <w:w w:val="103"/>
        </w:rPr>
      </w:pPr>
      <w:r w:rsidRPr="008A6777">
        <w:rPr>
          <w:w w:val="103"/>
        </w:rPr>
        <w:t>(4</w:t>
      </w:r>
      <w:r w:rsidRPr="00792DA3">
        <w:rPr>
          <w:w w:val="103"/>
        </w:rPr>
        <w:t>)</w:t>
      </w:r>
      <w:r w:rsidRPr="00792DA3">
        <w:rPr>
          <w:w w:val="103"/>
        </w:rPr>
        <w:tab/>
      </w:r>
      <w:r w:rsidRPr="008A6777">
        <w:rPr>
          <w:w w:val="103"/>
        </w:rPr>
        <w:t>Finland</w:t>
      </w:r>
    </w:p>
    <w:p w14:paraId="52B6FB69" w14:textId="7DD7DC9A" w:rsidR="00792DA3" w:rsidRPr="008A6777" w:rsidRDefault="00792DA3" w:rsidP="00792DA3">
      <w:pPr>
        <w:pStyle w:val="SingleTxtG"/>
        <w:ind w:right="0" w:firstLine="567"/>
        <w:rPr>
          <w:w w:val="103"/>
        </w:rPr>
      </w:pPr>
      <w:r w:rsidRPr="008A6777">
        <w:rPr>
          <w:w w:val="103"/>
        </w:rPr>
        <w:t>(5)</w:t>
      </w:r>
      <w:r w:rsidRPr="008A6777">
        <w:rPr>
          <w:w w:val="103"/>
        </w:rPr>
        <w:tab/>
      </w:r>
      <w:r>
        <w:rPr>
          <w:w w:val="103"/>
        </w:rPr>
        <w:t xml:space="preserve">The </w:t>
      </w:r>
      <w:r w:rsidRPr="008A6777">
        <w:rPr>
          <w:w w:val="103"/>
        </w:rPr>
        <w:t>Gambia</w:t>
      </w:r>
    </w:p>
    <w:p w14:paraId="4933018C" w14:textId="56CB46D2" w:rsidR="00792DA3" w:rsidRPr="008A6777" w:rsidRDefault="00792DA3" w:rsidP="00792DA3">
      <w:pPr>
        <w:pStyle w:val="SingleTxtG"/>
        <w:ind w:right="0" w:firstLine="567"/>
        <w:rPr>
          <w:w w:val="103"/>
        </w:rPr>
      </w:pPr>
      <w:r w:rsidRPr="008A6777">
        <w:rPr>
          <w:w w:val="103"/>
        </w:rPr>
        <w:t>(6)</w:t>
      </w:r>
      <w:r w:rsidRPr="008A6777">
        <w:rPr>
          <w:w w:val="103"/>
        </w:rPr>
        <w:tab/>
        <w:t>Honduras</w:t>
      </w:r>
    </w:p>
    <w:p w14:paraId="44CF27A8" w14:textId="2DD7BA79" w:rsidR="00792DA3" w:rsidRPr="008A6777" w:rsidRDefault="00792DA3" w:rsidP="00792DA3">
      <w:pPr>
        <w:pStyle w:val="SingleTxtG"/>
        <w:ind w:right="0" w:firstLine="567"/>
        <w:rPr>
          <w:w w:val="103"/>
        </w:rPr>
      </w:pPr>
      <w:r w:rsidRPr="008A6777">
        <w:rPr>
          <w:w w:val="103"/>
        </w:rPr>
        <w:t>(</w:t>
      </w:r>
      <w:r w:rsidRPr="00792DA3">
        <w:rPr>
          <w:w w:val="103"/>
        </w:rPr>
        <w:t>7</w:t>
      </w:r>
      <w:r w:rsidRPr="008A6777">
        <w:rPr>
          <w:w w:val="103"/>
        </w:rPr>
        <w:t>)</w:t>
      </w:r>
      <w:r w:rsidRPr="008A6777">
        <w:rPr>
          <w:w w:val="103"/>
        </w:rPr>
        <w:tab/>
        <w:t>Jamaica</w:t>
      </w:r>
    </w:p>
    <w:p w14:paraId="5A314307" w14:textId="2C606E9F" w:rsidR="00792DA3" w:rsidRPr="008A6777" w:rsidRDefault="00792DA3" w:rsidP="00792DA3">
      <w:pPr>
        <w:pStyle w:val="SingleTxtG"/>
        <w:ind w:right="0" w:firstLine="567"/>
        <w:rPr>
          <w:w w:val="103"/>
        </w:rPr>
      </w:pPr>
      <w:r w:rsidRPr="008A6777">
        <w:rPr>
          <w:w w:val="103"/>
        </w:rPr>
        <w:t>(</w:t>
      </w:r>
      <w:r w:rsidRPr="00792DA3">
        <w:rPr>
          <w:w w:val="103"/>
        </w:rPr>
        <w:t>8</w:t>
      </w:r>
      <w:r w:rsidRPr="008A6777">
        <w:rPr>
          <w:w w:val="103"/>
        </w:rPr>
        <w:t>)</w:t>
      </w:r>
      <w:r w:rsidRPr="008A6777">
        <w:rPr>
          <w:w w:val="103"/>
        </w:rPr>
        <w:tab/>
        <w:t>Saint Kitts and Nevis</w:t>
      </w:r>
    </w:p>
    <w:p w14:paraId="2EE54C12" w14:textId="6AF281FE" w:rsidR="00792DA3" w:rsidRPr="008A6777" w:rsidRDefault="00792DA3" w:rsidP="00792DA3">
      <w:pPr>
        <w:pStyle w:val="SingleTxtG"/>
        <w:ind w:right="0" w:firstLine="567"/>
        <w:rPr>
          <w:w w:val="103"/>
        </w:rPr>
      </w:pPr>
      <w:r w:rsidRPr="008A6777">
        <w:rPr>
          <w:w w:val="103"/>
        </w:rPr>
        <w:t>(</w:t>
      </w:r>
      <w:r w:rsidRPr="00792DA3">
        <w:rPr>
          <w:w w:val="103"/>
        </w:rPr>
        <w:t>9</w:t>
      </w:r>
      <w:r w:rsidRPr="008A6777">
        <w:rPr>
          <w:w w:val="103"/>
        </w:rPr>
        <w:t>)</w:t>
      </w:r>
      <w:r w:rsidRPr="008A6777">
        <w:rPr>
          <w:w w:val="103"/>
        </w:rPr>
        <w:tab/>
        <w:t>Switzerland</w:t>
      </w:r>
    </w:p>
    <w:p w14:paraId="22775DF1" w14:textId="74970394" w:rsidR="00792DA3" w:rsidRPr="00792DA3" w:rsidRDefault="00792DA3" w:rsidP="00792DA3">
      <w:pPr>
        <w:pStyle w:val="SingleTxtG"/>
        <w:ind w:right="0" w:firstLine="567"/>
        <w:rPr>
          <w:w w:val="103"/>
        </w:rPr>
      </w:pPr>
      <w:r w:rsidRPr="008A6777">
        <w:rPr>
          <w:w w:val="103"/>
        </w:rPr>
        <w:t>(10)</w:t>
      </w:r>
      <w:r w:rsidRPr="008A6777">
        <w:rPr>
          <w:w w:val="103"/>
        </w:rPr>
        <w:tab/>
        <w:t>Ukraine</w:t>
      </w:r>
    </w:p>
    <w:p w14:paraId="18A53752" w14:textId="77777777" w:rsidR="00597A6B" w:rsidRPr="00820BF5" w:rsidRDefault="00597A6B" w:rsidP="00820BF5">
      <w:pPr>
        <w:pStyle w:val="HChG"/>
      </w:pPr>
      <w:r w:rsidRPr="008A6777">
        <w:lastRenderedPageBreak/>
        <w:tab/>
      </w:r>
      <w:r w:rsidRPr="008A6777">
        <w:tab/>
      </w:r>
      <w:r w:rsidRPr="00820BF5">
        <w:t>Chapter VII</w:t>
      </w:r>
    </w:p>
    <w:p w14:paraId="1547F93E" w14:textId="77777777" w:rsidR="00597A6B" w:rsidRPr="00820BF5" w:rsidRDefault="00597A6B" w:rsidP="00820BF5">
      <w:pPr>
        <w:pStyle w:val="H23G"/>
        <w:rPr>
          <w:rFonts w:eastAsia="SimSun"/>
        </w:rPr>
      </w:pPr>
      <w:r w:rsidRPr="00820BF5">
        <w:rPr>
          <w:rFonts w:eastAsia="SimSun"/>
        </w:rPr>
        <w:tab/>
      </w:r>
      <w:r w:rsidRPr="00820BF5">
        <w:rPr>
          <w:rFonts w:eastAsia="SimSun"/>
        </w:rPr>
        <w:tab/>
        <w:t>Implementation of article 21 of the Convention</w:t>
      </w:r>
    </w:p>
    <w:p w14:paraId="053178B3" w14:textId="77777777" w:rsidR="00597A6B" w:rsidRPr="00820BF5" w:rsidRDefault="00597A6B" w:rsidP="00820BF5">
      <w:pPr>
        <w:pStyle w:val="H1G"/>
      </w:pPr>
      <w:r w:rsidRPr="00820BF5">
        <w:rPr>
          <w:rFonts w:eastAsia="SimSun"/>
        </w:rPr>
        <w:tab/>
        <w:t>A.</w:t>
      </w:r>
      <w:r w:rsidRPr="00820BF5">
        <w:rPr>
          <w:rFonts w:eastAsia="SimSun"/>
        </w:rPr>
        <w:tab/>
        <w:t>Action taken by the Committee under agenda item 6</w:t>
      </w:r>
    </w:p>
    <w:p w14:paraId="55F00ED8" w14:textId="77777777" w:rsidR="00597A6B" w:rsidRPr="00820BF5" w:rsidRDefault="00597A6B" w:rsidP="00820BF5">
      <w:pPr>
        <w:pStyle w:val="H23G"/>
        <w:rPr>
          <w:rFonts w:eastAsia="SimSun"/>
        </w:rPr>
      </w:pPr>
      <w:r w:rsidRPr="00820BF5">
        <w:rPr>
          <w:rFonts w:eastAsia="SimSun"/>
        </w:rPr>
        <w:tab/>
      </w:r>
      <w:r w:rsidRPr="00820BF5">
        <w:rPr>
          <w:rFonts w:eastAsia="SimSun"/>
        </w:rPr>
        <w:tab/>
      </w:r>
      <w:r w:rsidRPr="00820BF5">
        <w:rPr>
          <w:rFonts w:eastAsia="SimSun"/>
        </w:rPr>
        <w:tab/>
        <w:t>Working Group on working methods</w:t>
      </w:r>
    </w:p>
    <w:p w14:paraId="0CF84649" w14:textId="2FA2BD7C" w:rsidR="008A6777" w:rsidRDefault="008A6777" w:rsidP="006829EA">
      <w:pPr>
        <w:pStyle w:val="H23G"/>
        <w:jc w:val="both"/>
        <w:rPr>
          <w:lang w:eastAsia="en-GB"/>
        </w:rPr>
      </w:pPr>
      <w:r>
        <w:tab/>
      </w:r>
      <w:r>
        <w:tab/>
      </w:r>
      <w:r w:rsidR="00584196" w:rsidRPr="008A6777">
        <w:rPr>
          <w:b w:val="0"/>
        </w:rPr>
        <w:t xml:space="preserve">The Working Group met </w:t>
      </w:r>
      <w:r w:rsidR="00426A53" w:rsidRPr="008A6777">
        <w:rPr>
          <w:b w:val="0"/>
        </w:rPr>
        <w:t>t</w:t>
      </w:r>
      <w:r w:rsidR="007029C0" w:rsidRPr="008A6777">
        <w:rPr>
          <w:b w:val="0"/>
        </w:rPr>
        <w:t>hree times</w:t>
      </w:r>
      <w:r w:rsidR="00426A53" w:rsidRPr="008A6777">
        <w:rPr>
          <w:b w:val="0"/>
        </w:rPr>
        <w:t xml:space="preserve"> </w:t>
      </w:r>
      <w:r w:rsidR="008A4ABC" w:rsidRPr="008A6777">
        <w:rPr>
          <w:b w:val="0"/>
        </w:rPr>
        <w:t>during the session.</w:t>
      </w:r>
      <w:r w:rsidR="0042125E" w:rsidRPr="008A6777">
        <w:rPr>
          <w:b w:val="0"/>
        </w:rPr>
        <w:t xml:space="preserve"> </w:t>
      </w:r>
      <w:r w:rsidR="006D1D47" w:rsidRPr="008A6777">
        <w:rPr>
          <w:b w:val="0"/>
        </w:rPr>
        <w:t>It</w:t>
      </w:r>
      <w:r w:rsidR="0042125E" w:rsidRPr="008A6777">
        <w:rPr>
          <w:b w:val="0"/>
        </w:rPr>
        <w:t xml:space="preserve"> discussed and submitted </w:t>
      </w:r>
      <w:r w:rsidR="00584196" w:rsidRPr="008A6777">
        <w:rPr>
          <w:b w:val="0"/>
        </w:rPr>
        <w:t xml:space="preserve">to the Committee </w:t>
      </w:r>
      <w:r w:rsidR="00881D7C" w:rsidRPr="008A6777">
        <w:rPr>
          <w:b w:val="0"/>
        </w:rPr>
        <w:t xml:space="preserve">a </w:t>
      </w:r>
      <w:r w:rsidR="00584196" w:rsidRPr="008A6777">
        <w:rPr>
          <w:b w:val="0"/>
        </w:rPr>
        <w:t>draft decision</w:t>
      </w:r>
      <w:r w:rsidR="00881D7C" w:rsidRPr="008A6777">
        <w:rPr>
          <w:b w:val="0"/>
        </w:rPr>
        <w:t xml:space="preserve"> on the </w:t>
      </w:r>
      <w:r w:rsidR="00E10480" w:rsidRPr="008A6777">
        <w:rPr>
          <w:b w:val="0"/>
        </w:rPr>
        <w:t>t</w:t>
      </w:r>
      <w:r w:rsidR="00881D7C" w:rsidRPr="008A6777">
        <w:rPr>
          <w:b w:val="0"/>
        </w:rPr>
        <w:t xml:space="preserve">reaty </w:t>
      </w:r>
      <w:r w:rsidR="00E10480" w:rsidRPr="008A6777">
        <w:rPr>
          <w:b w:val="0"/>
        </w:rPr>
        <w:t>b</w:t>
      </w:r>
      <w:r w:rsidR="00881D7C" w:rsidRPr="008A6777">
        <w:rPr>
          <w:b w:val="0"/>
        </w:rPr>
        <w:t xml:space="preserve">ody </w:t>
      </w:r>
      <w:r w:rsidR="00E10480" w:rsidRPr="008A6777">
        <w:rPr>
          <w:b w:val="0"/>
        </w:rPr>
        <w:t>s</w:t>
      </w:r>
      <w:r w:rsidR="00881D7C" w:rsidRPr="008A6777">
        <w:rPr>
          <w:b w:val="0"/>
        </w:rPr>
        <w:t xml:space="preserve">trengthening </w:t>
      </w:r>
      <w:r w:rsidR="00E10480" w:rsidRPr="008A6777">
        <w:rPr>
          <w:b w:val="0"/>
        </w:rPr>
        <w:t>p</w:t>
      </w:r>
      <w:r w:rsidR="00881D7C" w:rsidRPr="008A6777">
        <w:rPr>
          <w:b w:val="0"/>
        </w:rPr>
        <w:t xml:space="preserve">rocess and consultations on back-to-back reviews with the Committee on the Rights of the Child </w:t>
      </w:r>
      <w:r w:rsidR="00426A53" w:rsidRPr="008A6777">
        <w:rPr>
          <w:b w:val="0"/>
        </w:rPr>
        <w:t>(see decision 8</w:t>
      </w:r>
      <w:r w:rsidR="00E10480" w:rsidRPr="008A6777">
        <w:rPr>
          <w:b w:val="0"/>
        </w:rPr>
        <w:t>1</w:t>
      </w:r>
      <w:r w:rsidR="00426A53" w:rsidRPr="008A6777">
        <w:rPr>
          <w:b w:val="0"/>
        </w:rPr>
        <w:t>/</w:t>
      </w:r>
      <w:r w:rsidR="00E10480" w:rsidRPr="008A6777">
        <w:rPr>
          <w:b w:val="0"/>
        </w:rPr>
        <w:t>4</w:t>
      </w:r>
      <w:r w:rsidR="00426A53" w:rsidRPr="008A6777">
        <w:rPr>
          <w:b w:val="0"/>
        </w:rPr>
        <w:t>).</w:t>
      </w:r>
      <w:r w:rsidR="00C742A8" w:rsidRPr="008A6777">
        <w:rPr>
          <w:b w:val="0"/>
        </w:rPr>
        <w:t xml:space="preserve"> It also discussed the </w:t>
      </w:r>
      <w:r w:rsidR="00223AD8" w:rsidRPr="008A6777">
        <w:rPr>
          <w:b w:val="0"/>
        </w:rPr>
        <w:t xml:space="preserve">structure of constructive dialogues </w:t>
      </w:r>
      <w:r w:rsidR="00E10480" w:rsidRPr="008A6777">
        <w:rPr>
          <w:b w:val="0"/>
        </w:rPr>
        <w:t xml:space="preserve">with States parties </w:t>
      </w:r>
      <w:r w:rsidR="00223AD8" w:rsidRPr="008A6777">
        <w:rPr>
          <w:b w:val="0"/>
        </w:rPr>
        <w:t xml:space="preserve">and the role and responsibilities of Country Rapporteurs in the context of evolving meeting modalities due to the COVID-19 pandemic and constructive dialogues with </w:t>
      </w:r>
      <w:r w:rsidR="00E10480" w:rsidRPr="008A6777">
        <w:rPr>
          <w:b w:val="0"/>
        </w:rPr>
        <w:t xml:space="preserve">a </w:t>
      </w:r>
      <w:r w:rsidR="00223AD8" w:rsidRPr="008A6777">
        <w:rPr>
          <w:b w:val="0"/>
        </w:rPr>
        <w:t>reduced time frame.</w:t>
      </w:r>
      <w:r>
        <w:rPr>
          <w:lang w:eastAsia="en-GB"/>
        </w:rPr>
        <w:tab/>
      </w:r>
    </w:p>
    <w:p w14:paraId="6B33E00A" w14:textId="2BAD1239" w:rsidR="00C65434" w:rsidRPr="006115B8" w:rsidRDefault="008A6777" w:rsidP="00820BF5">
      <w:pPr>
        <w:pStyle w:val="H23G"/>
        <w:rPr>
          <w:highlight w:val="yellow"/>
        </w:rPr>
      </w:pPr>
      <w:r>
        <w:rPr>
          <w:lang w:eastAsia="en-GB"/>
        </w:rPr>
        <w:tab/>
      </w:r>
      <w:r>
        <w:rPr>
          <w:lang w:eastAsia="en-GB"/>
        </w:rPr>
        <w:tab/>
      </w:r>
      <w:r w:rsidR="00C65434" w:rsidRPr="000C421E">
        <w:rPr>
          <w:lang w:eastAsia="en-GB"/>
        </w:rPr>
        <w:t>Working Group on gender-based violence against women</w:t>
      </w:r>
    </w:p>
    <w:p w14:paraId="54EC2F4D" w14:textId="082482D9" w:rsidR="002418D7" w:rsidRDefault="000C421E" w:rsidP="00820BF5">
      <w:pPr>
        <w:pStyle w:val="SingleTxtG"/>
      </w:pPr>
      <w:r w:rsidRPr="00820BF5">
        <w:t xml:space="preserve">The working group met </w:t>
      </w:r>
      <w:r w:rsidR="007621DA">
        <w:t xml:space="preserve">twice </w:t>
      </w:r>
      <w:r w:rsidRPr="00820BF5">
        <w:t xml:space="preserve">during the session. </w:t>
      </w:r>
      <w:r w:rsidR="00D92969">
        <w:t xml:space="preserve">The Chair </w:t>
      </w:r>
      <w:r w:rsidR="007621DA">
        <w:t>presented</w:t>
      </w:r>
      <w:r w:rsidR="00D92969" w:rsidRPr="008C67CC">
        <w:t xml:space="preserve"> research</w:t>
      </w:r>
      <w:r w:rsidR="00D92969">
        <w:t xml:space="preserve"> and</w:t>
      </w:r>
      <w:r w:rsidR="00D92969" w:rsidRPr="008C67CC">
        <w:t xml:space="preserve"> analysis</w:t>
      </w:r>
      <w:r w:rsidR="00D92969">
        <w:t xml:space="preserve"> undertaken</w:t>
      </w:r>
      <w:r w:rsidR="00D92969" w:rsidRPr="008C67CC">
        <w:t xml:space="preserve"> in relation to</w:t>
      </w:r>
      <w:r w:rsidR="00D92969">
        <w:t xml:space="preserve"> the draft</w:t>
      </w:r>
      <w:r w:rsidR="00D92969" w:rsidRPr="00820BF5">
        <w:t xml:space="preserve"> guidance note for States parties on the implementation of their obligations and their accountability as set out in general recommendation No. 35 (2017) on gender-based violence against women</w:t>
      </w:r>
      <w:r w:rsidR="00D92969">
        <w:t xml:space="preserve">, </w:t>
      </w:r>
      <w:r w:rsidR="00290F7F">
        <w:t>updating general recommendation No. 19</w:t>
      </w:r>
      <w:r w:rsidR="00D92969">
        <w:t>. The</w:t>
      </w:r>
      <w:r w:rsidR="00290F7F">
        <w:t xml:space="preserve"> working group </w:t>
      </w:r>
      <w:r w:rsidR="007621DA">
        <w:t>agreed on a timeline for</w:t>
      </w:r>
      <w:r w:rsidR="00290F7F">
        <w:t xml:space="preserve"> the </w:t>
      </w:r>
      <w:r w:rsidR="00D92969" w:rsidRPr="008C67CC">
        <w:t xml:space="preserve">completion of </w:t>
      </w:r>
      <w:r w:rsidR="007621DA">
        <w:t>the draft guidance note in the coming months</w:t>
      </w:r>
      <w:r w:rsidR="00D92969">
        <w:t>.</w:t>
      </w:r>
    </w:p>
    <w:p w14:paraId="303C4B3C" w14:textId="1624336C" w:rsidR="007621DA" w:rsidRDefault="004E5721" w:rsidP="00820BF5">
      <w:pPr>
        <w:pStyle w:val="SingleTxtG"/>
      </w:pPr>
      <w:r>
        <w:t>The working group</w:t>
      </w:r>
      <w:r w:rsidR="007621DA">
        <w:t xml:space="preserve"> </w:t>
      </w:r>
      <w:r>
        <w:t>noted that the</w:t>
      </w:r>
      <w:r w:rsidR="007621DA">
        <w:t xml:space="preserve"> Committee </w:t>
      </w:r>
      <w:r>
        <w:t xml:space="preserve">is </w:t>
      </w:r>
      <w:r w:rsidR="007621DA">
        <w:t>prepar</w:t>
      </w:r>
      <w:r>
        <w:t>ing</w:t>
      </w:r>
      <w:r w:rsidR="007621DA">
        <w:t xml:space="preserve"> a compilation of its work on gender-based violence </w:t>
      </w:r>
      <w:r w:rsidR="00E07A7F">
        <w:t xml:space="preserve">against women </w:t>
      </w:r>
      <w:r w:rsidR="008D37AF">
        <w:t>in the context of i</w:t>
      </w:r>
      <w:r w:rsidR="007621DA">
        <w:t xml:space="preserve">ts consideration of State party reports </w:t>
      </w:r>
      <w:r w:rsidR="008D37AF">
        <w:t>(</w:t>
      </w:r>
      <w:r w:rsidR="007621DA">
        <w:t>articles 5 and 2</w:t>
      </w:r>
      <w:r w:rsidR="008D37AF">
        <w:t>)</w:t>
      </w:r>
      <w:r w:rsidR="007621DA">
        <w:t xml:space="preserve">, </w:t>
      </w:r>
      <w:r w:rsidR="008D37AF">
        <w:t xml:space="preserve">individual communications, confidential inquiries, and </w:t>
      </w:r>
      <w:r w:rsidR="007621DA">
        <w:t>follow-up to concluding observations</w:t>
      </w:r>
      <w:r w:rsidR="008D37AF">
        <w:t>,</w:t>
      </w:r>
      <w:r w:rsidR="007621DA">
        <w:t xml:space="preserve"> </w:t>
      </w:r>
      <w:r>
        <w:t>in order to</w:t>
      </w:r>
      <w:r w:rsidR="007621DA">
        <w:t xml:space="preserve"> disseminate it </w:t>
      </w:r>
      <w:r w:rsidR="008D37AF">
        <w:t>to highlight the</w:t>
      </w:r>
      <w:r w:rsidR="007621DA">
        <w:t xml:space="preserve"> impact</w:t>
      </w:r>
      <w:r w:rsidR="008D37AF">
        <w:t xml:space="preserve"> of its work in this field</w:t>
      </w:r>
      <w:r>
        <w:t xml:space="preserve"> in light of the 40</w:t>
      </w:r>
      <w:r w:rsidRPr="004E5721">
        <w:rPr>
          <w:vertAlign w:val="superscript"/>
        </w:rPr>
        <w:t>th</w:t>
      </w:r>
      <w:r>
        <w:t xml:space="preserve"> anniversary of the Committee.</w:t>
      </w:r>
    </w:p>
    <w:p w14:paraId="4989A049" w14:textId="361FB81C" w:rsidR="008F58E0" w:rsidRPr="00580757" w:rsidRDefault="008F58E0" w:rsidP="008F58E0">
      <w:pPr>
        <w:pStyle w:val="H23G"/>
      </w:pPr>
      <w:r>
        <w:tab/>
      </w:r>
      <w:r>
        <w:tab/>
      </w:r>
      <w:r w:rsidRPr="00580757">
        <w:t>Working Group on indigenous women and girls</w:t>
      </w:r>
    </w:p>
    <w:p w14:paraId="240BD90C" w14:textId="6BEA9FD0" w:rsidR="00B77BAB" w:rsidRDefault="00580757">
      <w:pPr>
        <w:pStyle w:val="SingleTxtG"/>
      </w:pPr>
      <w:r w:rsidRPr="00580757">
        <w:t>The w</w:t>
      </w:r>
      <w:r w:rsidR="008F58E0" w:rsidRPr="00580757">
        <w:t xml:space="preserve">orking </w:t>
      </w:r>
      <w:r w:rsidRPr="00580757">
        <w:t>g</w:t>
      </w:r>
      <w:r w:rsidR="008F58E0" w:rsidRPr="00580757">
        <w:t>roup met during the session.</w:t>
      </w:r>
      <w:r w:rsidR="007A3BAE">
        <w:t xml:space="preserve"> It</w:t>
      </w:r>
      <w:r w:rsidR="007A3BAE" w:rsidRPr="00893A9F">
        <w:t xml:space="preserve"> </w:t>
      </w:r>
      <w:r w:rsidR="00EE1218">
        <w:t>considered the comments received from stakeholders in response to the call for comments on</w:t>
      </w:r>
      <w:r w:rsidR="007A3BAE">
        <w:t xml:space="preserve"> the initial draft of </w:t>
      </w:r>
      <w:r w:rsidR="007A3BAE" w:rsidRPr="00893A9F">
        <w:t>the general recommendation on the rights of indigenous women and girls</w:t>
      </w:r>
      <w:r w:rsidR="007A3BAE">
        <w:t xml:space="preserve"> and </w:t>
      </w:r>
      <w:r w:rsidR="007A3BAE" w:rsidRPr="00893A9F">
        <w:t>update</w:t>
      </w:r>
      <w:r w:rsidR="007A3BAE">
        <w:t>d</w:t>
      </w:r>
      <w:r w:rsidR="007A3BAE" w:rsidRPr="00893A9F">
        <w:t xml:space="preserve"> its internal work plan for </w:t>
      </w:r>
      <w:r w:rsidR="004E5721">
        <w:t xml:space="preserve">regional consultations and </w:t>
      </w:r>
      <w:r w:rsidR="007A3BAE">
        <w:t xml:space="preserve">the elaboration and </w:t>
      </w:r>
      <w:r w:rsidR="007A3BAE" w:rsidRPr="00893A9F">
        <w:t>adopti</w:t>
      </w:r>
      <w:r w:rsidR="007A3BAE">
        <w:t>on of the general recommendation.</w:t>
      </w:r>
    </w:p>
    <w:p w14:paraId="31D8EB51" w14:textId="39B5F06D" w:rsidR="00C742A8" w:rsidRPr="008A6777" w:rsidRDefault="00C742A8" w:rsidP="008309C3">
      <w:pPr>
        <w:pStyle w:val="SingleTxtG"/>
        <w:spacing w:before="240"/>
        <w:rPr>
          <w:b/>
        </w:rPr>
      </w:pPr>
      <w:r w:rsidRPr="008A6777">
        <w:rPr>
          <w:b/>
        </w:rPr>
        <w:t xml:space="preserve">Task Force on Afghanistan </w:t>
      </w:r>
    </w:p>
    <w:p w14:paraId="441FAB49" w14:textId="1D6E3BCB" w:rsidR="008309C3" w:rsidRDefault="008309C3" w:rsidP="006829EA">
      <w:pPr>
        <w:pStyle w:val="HChG"/>
        <w:spacing w:before="0" w:after="120" w:line="240" w:lineRule="atLeast"/>
        <w:jc w:val="both"/>
      </w:pPr>
      <w:r>
        <w:rPr>
          <w:b w:val="0"/>
          <w:sz w:val="20"/>
        </w:rPr>
        <w:tab/>
      </w:r>
      <w:r>
        <w:rPr>
          <w:b w:val="0"/>
          <w:sz w:val="20"/>
        </w:rPr>
        <w:tab/>
      </w:r>
      <w:r w:rsidR="00C742A8" w:rsidRPr="008309C3">
        <w:rPr>
          <w:b w:val="0"/>
          <w:sz w:val="20"/>
        </w:rPr>
        <w:t xml:space="preserve">The Task Force on Afghanistan met during the session. </w:t>
      </w:r>
      <w:r w:rsidR="007D2910" w:rsidRPr="008309C3">
        <w:rPr>
          <w:b w:val="0"/>
          <w:sz w:val="20"/>
        </w:rPr>
        <w:t xml:space="preserve">It discussed the outcome of its inter-sessional activities since the eightieth session </w:t>
      </w:r>
      <w:r w:rsidR="00EE1218" w:rsidRPr="008309C3">
        <w:rPr>
          <w:b w:val="0"/>
          <w:sz w:val="20"/>
        </w:rPr>
        <w:t>of the Committee as well as</w:t>
      </w:r>
      <w:r w:rsidR="007D2910" w:rsidRPr="008309C3">
        <w:rPr>
          <w:b w:val="0"/>
          <w:sz w:val="20"/>
        </w:rPr>
        <w:t xml:space="preserve"> </w:t>
      </w:r>
      <w:r w:rsidR="00223AD8" w:rsidRPr="008309C3">
        <w:rPr>
          <w:b w:val="0"/>
          <w:sz w:val="20"/>
        </w:rPr>
        <w:t xml:space="preserve">recent developments concerning </w:t>
      </w:r>
      <w:r w:rsidR="007D2910" w:rsidRPr="008309C3">
        <w:rPr>
          <w:b w:val="0"/>
          <w:sz w:val="20"/>
        </w:rPr>
        <w:t xml:space="preserve">the situation of women and girls in Afghanistan. </w:t>
      </w:r>
      <w:r w:rsidR="00EE1218" w:rsidRPr="008309C3">
        <w:rPr>
          <w:b w:val="0"/>
          <w:sz w:val="20"/>
        </w:rPr>
        <w:t>It</w:t>
      </w:r>
      <w:r w:rsidR="00353DA1">
        <w:rPr>
          <w:b w:val="0"/>
          <w:sz w:val="20"/>
        </w:rPr>
        <w:t xml:space="preserve"> </w:t>
      </w:r>
      <w:r w:rsidR="007D2910" w:rsidRPr="008309C3">
        <w:rPr>
          <w:b w:val="0"/>
          <w:sz w:val="20"/>
        </w:rPr>
        <w:t xml:space="preserve">also planned activities to </w:t>
      </w:r>
      <w:r w:rsidR="00223AD8" w:rsidRPr="008309C3">
        <w:rPr>
          <w:b w:val="0"/>
          <w:sz w:val="20"/>
        </w:rPr>
        <w:t>consider the impact of the evolving political, economic and social situation in Afghanistan on the rights of women and girls and gather information, with a view to advising the Committee in relation to its request for an exceptional report on the situation of women and girls in Afghanistan, in accordance with article 18, paragraph 1 (b), of the Convention (see decision 80/1).</w:t>
      </w:r>
      <w:r w:rsidR="00597A6B" w:rsidRPr="00820BF5">
        <w:tab/>
      </w:r>
      <w:r w:rsidR="00597A6B" w:rsidRPr="00820BF5">
        <w:tab/>
      </w:r>
    </w:p>
    <w:p w14:paraId="52934460" w14:textId="70248594" w:rsidR="00597A6B" w:rsidRPr="00820BF5" w:rsidRDefault="008309C3" w:rsidP="00820BF5">
      <w:pPr>
        <w:pStyle w:val="HChG"/>
      </w:pPr>
      <w:r>
        <w:tab/>
      </w:r>
      <w:r>
        <w:tab/>
      </w:r>
      <w:r w:rsidR="00597A6B" w:rsidRPr="00820BF5">
        <w:t>Chapter VIII</w:t>
      </w:r>
    </w:p>
    <w:p w14:paraId="76B2EB2B" w14:textId="42E82408" w:rsidR="00597A6B" w:rsidRPr="00820BF5" w:rsidRDefault="00597A6B" w:rsidP="00820BF5">
      <w:pPr>
        <w:pStyle w:val="H23G"/>
        <w:rPr>
          <w:rFonts w:eastAsia="SimSun"/>
        </w:rPr>
      </w:pPr>
      <w:r w:rsidRPr="00820BF5">
        <w:rPr>
          <w:rFonts w:eastAsia="SimSun"/>
        </w:rPr>
        <w:tab/>
      </w:r>
      <w:r w:rsidRPr="00820BF5">
        <w:rPr>
          <w:rFonts w:eastAsia="SimSun"/>
        </w:rPr>
        <w:tab/>
        <w:t xml:space="preserve">Provisional agenda for the </w:t>
      </w:r>
      <w:r w:rsidR="003869A2">
        <w:rPr>
          <w:rFonts w:eastAsia="SimSun"/>
        </w:rPr>
        <w:t>eight</w:t>
      </w:r>
      <w:r w:rsidR="00BA6357">
        <w:rPr>
          <w:rFonts w:eastAsia="SimSun"/>
        </w:rPr>
        <w:t>y-</w:t>
      </w:r>
      <w:r w:rsidR="00792DA3">
        <w:rPr>
          <w:rFonts w:eastAsia="SimSun"/>
        </w:rPr>
        <w:t>second</w:t>
      </w:r>
      <w:r w:rsidR="00580757">
        <w:rPr>
          <w:rFonts w:eastAsia="SimSun"/>
        </w:rPr>
        <w:t xml:space="preserve"> </w:t>
      </w:r>
      <w:r w:rsidRPr="00820BF5">
        <w:rPr>
          <w:rFonts w:eastAsia="SimSun"/>
        </w:rPr>
        <w:t>session</w:t>
      </w:r>
    </w:p>
    <w:p w14:paraId="48F4B7B9" w14:textId="10E0D347" w:rsidR="00597A6B" w:rsidRPr="00B431CC" w:rsidRDefault="00597A6B" w:rsidP="00B431CC">
      <w:pPr>
        <w:pStyle w:val="SingleTxtG"/>
      </w:pPr>
      <w:r w:rsidRPr="00B431CC">
        <w:t xml:space="preserve">On </w:t>
      </w:r>
      <w:r w:rsidR="008A6777">
        <w:t>25</w:t>
      </w:r>
      <w:r w:rsidR="007A3BAE">
        <w:t xml:space="preserve"> </w:t>
      </w:r>
      <w:r w:rsidR="008A6777">
        <w:t>February</w:t>
      </w:r>
      <w:r w:rsidR="00580757">
        <w:t xml:space="preserve"> </w:t>
      </w:r>
      <w:r w:rsidRPr="00B431CC">
        <w:t>20</w:t>
      </w:r>
      <w:r w:rsidR="003406A5">
        <w:t>2</w:t>
      </w:r>
      <w:r w:rsidR="008A6777">
        <w:t>2</w:t>
      </w:r>
      <w:r w:rsidRPr="00B431CC">
        <w:t xml:space="preserve">, the Committee considered and approved the following provisional agenda for its </w:t>
      </w:r>
      <w:r w:rsidR="003869A2">
        <w:t>eight</w:t>
      </w:r>
      <w:r w:rsidR="007A3BAE">
        <w:t>y-</w:t>
      </w:r>
      <w:r w:rsidR="008A6777">
        <w:t>second</w:t>
      </w:r>
      <w:r w:rsidR="00580757">
        <w:t xml:space="preserve"> </w:t>
      </w:r>
      <w:r w:rsidRPr="00B431CC">
        <w:t>session:</w:t>
      </w:r>
    </w:p>
    <w:p w14:paraId="6F390BA5" w14:textId="77777777" w:rsidR="00597A6B" w:rsidRPr="00B431CC" w:rsidRDefault="00597A6B" w:rsidP="00B431CC">
      <w:pPr>
        <w:pStyle w:val="SingleTxtG"/>
        <w:ind w:firstLine="567"/>
      </w:pPr>
      <w:r w:rsidRPr="00B431CC">
        <w:t>1.</w:t>
      </w:r>
      <w:r w:rsidRPr="00B431CC">
        <w:tab/>
        <w:t>Opening of the session.</w:t>
      </w:r>
    </w:p>
    <w:p w14:paraId="7A80B82B" w14:textId="77777777" w:rsidR="00597A6B" w:rsidRPr="00B431CC" w:rsidRDefault="00597A6B" w:rsidP="00B431CC">
      <w:pPr>
        <w:pStyle w:val="SingleTxtG"/>
        <w:ind w:firstLine="567"/>
      </w:pPr>
      <w:r w:rsidRPr="00B431CC">
        <w:t>2.</w:t>
      </w:r>
      <w:r w:rsidRPr="00B431CC">
        <w:tab/>
        <w:t>Adoption of the agenda and organization of work.</w:t>
      </w:r>
    </w:p>
    <w:p w14:paraId="372633F2" w14:textId="157A4FB4" w:rsidR="00597A6B" w:rsidRPr="00B431CC" w:rsidRDefault="00597A6B" w:rsidP="00845059">
      <w:pPr>
        <w:pStyle w:val="SingleTxtG"/>
        <w:ind w:left="2268" w:hanging="567"/>
      </w:pPr>
      <w:r w:rsidRPr="00B431CC">
        <w:lastRenderedPageBreak/>
        <w:t>3.</w:t>
      </w:r>
      <w:r w:rsidRPr="00B431CC">
        <w:tab/>
        <w:t xml:space="preserve">Report of the Chair on activities undertaken between the </w:t>
      </w:r>
      <w:r w:rsidR="003869A2">
        <w:t>eight</w:t>
      </w:r>
      <w:r w:rsidR="008A6777">
        <w:t>y-first</w:t>
      </w:r>
      <w:r w:rsidR="00580757">
        <w:t xml:space="preserve"> </w:t>
      </w:r>
      <w:r w:rsidR="007A3BAE">
        <w:t>and eighty-</w:t>
      </w:r>
      <w:r w:rsidR="008A6777">
        <w:t>second</w:t>
      </w:r>
      <w:r w:rsidR="007A3BAE">
        <w:t xml:space="preserve"> </w:t>
      </w:r>
      <w:r w:rsidRPr="00B431CC">
        <w:t>sessions of the Committee.</w:t>
      </w:r>
    </w:p>
    <w:p w14:paraId="4FA39B29" w14:textId="77777777" w:rsidR="00597A6B" w:rsidRPr="00B431CC" w:rsidRDefault="00597A6B" w:rsidP="00845059">
      <w:pPr>
        <w:pStyle w:val="SingleTxtG"/>
        <w:ind w:left="2271" w:hanging="570"/>
      </w:pPr>
      <w:r w:rsidRPr="00B431CC">
        <w:t>4.</w:t>
      </w:r>
      <w:r w:rsidRPr="00B431CC">
        <w:tab/>
        <w:t>Consideration of reports submitted by States parties under article 18 of the Convention on the Elimination of All Forms of Discrimination against Women.</w:t>
      </w:r>
    </w:p>
    <w:p w14:paraId="52846257" w14:textId="77777777" w:rsidR="00597A6B" w:rsidRPr="00B431CC" w:rsidRDefault="00597A6B" w:rsidP="00845059">
      <w:pPr>
        <w:pStyle w:val="SingleTxtG"/>
        <w:ind w:left="2268" w:hanging="567"/>
      </w:pPr>
      <w:r w:rsidRPr="00B431CC">
        <w:t>5.</w:t>
      </w:r>
      <w:r w:rsidRPr="00B431CC">
        <w:tab/>
        <w:t>Follow-up to concluding observations o</w:t>
      </w:r>
      <w:r w:rsidR="005E1EB8" w:rsidRPr="00B431CC">
        <w:t>n</w:t>
      </w:r>
      <w:r w:rsidRPr="00B431CC">
        <w:t xml:space="preserve"> reports submitted by States parties under article 18 of the Convention on the Elimination of All Forms of Discrimination against Women. </w:t>
      </w:r>
    </w:p>
    <w:p w14:paraId="3BBD7368" w14:textId="77777777" w:rsidR="00597A6B" w:rsidRPr="00B431CC" w:rsidRDefault="00597A6B" w:rsidP="00845059">
      <w:pPr>
        <w:pStyle w:val="SingleTxtG"/>
        <w:ind w:left="2268" w:hanging="567"/>
      </w:pPr>
      <w:r w:rsidRPr="00B431CC">
        <w:t>6.</w:t>
      </w:r>
      <w:r w:rsidRPr="00B431CC">
        <w:tab/>
        <w:t>Implementation of articles 21 and 22 of the Convention on the Elimination of All Forms of Discrimination against Women.</w:t>
      </w:r>
    </w:p>
    <w:p w14:paraId="6E01216A" w14:textId="77777777" w:rsidR="00597A6B" w:rsidRPr="00B431CC" w:rsidRDefault="00597A6B" w:rsidP="00B431CC">
      <w:pPr>
        <w:pStyle w:val="SingleTxtG"/>
        <w:ind w:firstLine="567"/>
      </w:pPr>
      <w:r w:rsidRPr="00B431CC">
        <w:t>7.</w:t>
      </w:r>
      <w:r w:rsidRPr="00B431CC">
        <w:tab/>
        <w:t>Ways and means of expediting the work of the Committee.</w:t>
      </w:r>
    </w:p>
    <w:p w14:paraId="3C6BC809" w14:textId="77777777" w:rsidR="00597A6B" w:rsidRPr="00B431CC" w:rsidRDefault="00597A6B" w:rsidP="00845059">
      <w:pPr>
        <w:pStyle w:val="SingleTxtG"/>
        <w:ind w:left="2268" w:hanging="567"/>
      </w:pPr>
      <w:r w:rsidRPr="00B431CC">
        <w:t>8.</w:t>
      </w:r>
      <w:r w:rsidRPr="00B431CC">
        <w:tab/>
        <w:t>Activities of the Committee under the Optional Protocol to the Convention on the Elimination of All Forms of Discrimination against Women.</w:t>
      </w:r>
    </w:p>
    <w:p w14:paraId="0DE5C3BC" w14:textId="105067D0" w:rsidR="00597A6B" w:rsidRPr="00B431CC" w:rsidRDefault="00597A6B" w:rsidP="00B431CC">
      <w:pPr>
        <w:pStyle w:val="SingleTxtG"/>
        <w:ind w:firstLine="567"/>
      </w:pPr>
      <w:r w:rsidRPr="00B431CC">
        <w:t>9.</w:t>
      </w:r>
      <w:r w:rsidRPr="00B431CC">
        <w:tab/>
        <w:t xml:space="preserve">Provisional agenda for the </w:t>
      </w:r>
      <w:r w:rsidR="003869A2">
        <w:t>eighty-</w:t>
      </w:r>
      <w:r w:rsidR="008A6777">
        <w:t>third</w:t>
      </w:r>
      <w:r w:rsidR="00580757">
        <w:t xml:space="preserve"> </w:t>
      </w:r>
      <w:r w:rsidRPr="00B431CC">
        <w:t>session of the Committee.</w:t>
      </w:r>
    </w:p>
    <w:p w14:paraId="4292BB32" w14:textId="77AB4B9C" w:rsidR="00597A6B" w:rsidRPr="00B431CC" w:rsidRDefault="00597A6B" w:rsidP="00B431CC">
      <w:pPr>
        <w:pStyle w:val="SingleTxtG"/>
        <w:ind w:firstLine="567"/>
      </w:pPr>
      <w:r w:rsidRPr="00B431CC">
        <w:t>10.</w:t>
      </w:r>
      <w:r w:rsidRPr="00B431CC">
        <w:tab/>
        <w:t xml:space="preserve">Adoption of the report of the Committee on its </w:t>
      </w:r>
      <w:r w:rsidR="007A3BAE">
        <w:t>eighty-</w:t>
      </w:r>
      <w:r w:rsidR="008A6777">
        <w:t>second</w:t>
      </w:r>
      <w:r w:rsidR="00580757">
        <w:t xml:space="preserve"> </w:t>
      </w:r>
      <w:r w:rsidRPr="00B431CC">
        <w:t>session.</w:t>
      </w:r>
    </w:p>
    <w:p w14:paraId="122433F9" w14:textId="77777777" w:rsidR="00597A6B" w:rsidRPr="00820BF5" w:rsidRDefault="00597A6B" w:rsidP="00820BF5">
      <w:pPr>
        <w:pStyle w:val="HChG"/>
      </w:pPr>
      <w:r w:rsidRPr="00820BF5">
        <w:tab/>
      </w:r>
      <w:r w:rsidRPr="00820BF5">
        <w:tab/>
        <w:t>Chapter IX</w:t>
      </w:r>
    </w:p>
    <w:p w14:paraId="11EAA3E3" w14:textId="77777777" w:rsidR="00597A6B" w:rsidRPr="00820BF5" w:rsidRDefault="00597A6B" w:rsidP="00820BF5">
      <w:pPr>
        <w:pStyle w:val="H1G"/>
        <w:rPr>
          <w:rFonts w:eastAsia="SimSun"/>
        </w:rPr>
      </w:pPr>
      <w:r w:rsidRPr="00820BF5">
        <w:rPr>
          <w:rFonts w:eastAsia="SimSun"/>
        </w:rPr>
        <w:tab/>
        <w:t>A.</w:t>
      </w:r>
      <w:r w:rsidRPr="00820BF5">
        <w:rPr>
          <w:rFonts w:eastAsia="SimSun"/>
        </w:rPr>
        <w:tab/>
        <w:t>Adoption of the report</w:t>
      </w:r>
    </w:p>
    <w:p w14:paraId="719DF96E" w14:textId="6DADE6F7" w:rsidR="00597A6B" w:rsidRPr="00820BF5" w:rsidRDefault="00597A6B" w:rsidP="00820BF5">
      <w:pPr>
        <w:pStyle w:val="SingleTxtG"/>
      </w:pPr>
      <w:r w:rsidRPr="00820BF5">
        <w:t xml:space="preserve">The Committee considered the draft report on its </w:t>
      </w:r>
      <w:r w:rsidR="00BA6357">
        <w:t>eight</w:t>
      </w:r>
      <w:r w:rsidR="008A6777">
        <w:t>y-first</w:t>
      </w:r>
      <w:r w:rsidR="00580757">
        <w:t xml:space="preserve"> </w:t>
      </w:r>
      <w:r w:rsidRPr="00820BF5">
        <w:t xml:space="preserve">session and addenda on </w:t>
      </w:r>
      <w:r w:rsidR="008A6777">
        <w:t>25</w:t>
      </w:r>
      <w:r w:rsidR="003869A2">
        <w:t xml:space="preserve"> </w:t>
      </w:r>
      <w:r w:rsidR="008A6777">
        <w:t>February</w:t>
      </w:r>
      <w:r w:rsidR="009E33A1">
        <w:t xml:space="preserve"> </w:t>
      </w:r>
      <w:r w:rsidR="001B2688" w:rsidRPr="00820BF5">
        <w:t>20</w:t>
      </w:r>
      <w:r w:rsidR="003406A5" w:rsidRPr="00820BF5">
        <w:t>2</w:t>
      </w:r>
      <w:r w:rsidR="008A6777">
        <w:t>2</w:t>
      </w:r>
      <w:r w:rsidRPr="00820BF5">
        <w:t xml:space="preserve"> and adopted it as orally revised during the discussion.</w:t>
      </w:r>
    </w:p>
    <w:p w14:paraId="5476D31E" w14:textId="77777777" w:rsidR="00597A6B" w:rsidRPr="00B431CC" w:rsidRDefault="00597A6B" w:rsidP="00B431CC">
      <w:pPr>
        <w:pStyle w:val="SingleTxtG"/>
      </w:pPr>
      <w:r w:rsidRPr="00B431CC">
        <w:t>[Annexes will be added to the final version of the text]</w:t>
      </w:r>
    </w:p>
    <w:p w14:paraId="6D8DFDF0" w14:textId="77777777" w:rsidR="00597A6B" w:rsidRPr="00820BF5" w:rsidRDefault="00597A6B" w:rsidP="00820BF5">
      <w:pPr>
        <w:pStyle w:val="H1G"/>
        <w:rPr>
          <w:rFonts w:eastAsia="SimSun"/>
        </w:rPr>
      </w:pPr>
      <w:r w:rsidRPr="00820BF5">
        <w:rPr>
          <w:rFonts w:eastAsia="SimSun"/>
        </w:rPr>
        <w:tab/>
        <w:t>B.</w:t>
      </w:r>
      <w:r w:rsidRPr="00820BF5">
        <w:rPr>
          <w:rFonts w:eastAsia="SimSun"/>
        </w:rPr>
        <w:tab/>
        <w:t>Composition of the working groups of the Committee</w:t>
      </w:r>
    </w:p>
    <w:p w14:paraId="7B53CA6F" w14:textId="77777777" w:rsidR="00597A6B" w:rsidRPr="00B431CC" w:rsidRDefault="00597A6B" w:rsidP="00B431CC">
      <w:pPr>
        <w:pStyle w:val="SingleTxtG"/>
      </w:pPr>
      <w:r w:rsidRPr="00B431CC">
        <w:t>[To be added to the final version of the report]</w:t>
      </w:r>
    </w:p>
    <w:p w14:paraId="5889F40B" w14:textId="77777777" w:rsidR="00597A6B" w:rsidRDefault="00597A6B" w:rsidP="008309C3">
      <w:pPr>
        <w:pStyle w:val="HChG"/>
        <w:ind w:firstLine="0"/>
        <w:rPr>
          <w:rFonts w:eastAsia="SimSun"/>
          <w:lang w:eastAsia="zh-CN"/>
        </w:rPr>
      </w:pPr>
      <w:r w:rsidRPr="00643213">
        <w:rPr>
          <w:rFonts w:eastAsia="SimSun"/>
          <w:lang w:eastAsia="zh-CN"/>
        </w:rPr>
        <w:br w:type="page"/>
      </w:r>
      <w:r>
        <w:rPr>
          <w:rFonts w:eastAsia="SimSun"/>
          <w:lang w:eastAsia="zh-CN"/>
        </w:rPr>
        <w:lastRenderedPageBreak/>
        <w:t>Annexes</w:t>
      </w:r>
    </w:p>
    <w:p w14:paraId="62DBD45A" w14:textId="7E51472D" w:rsidR="00012E99" w:rsidRDefault="00597A6B" w:rsidP="001E3012">
      <w:pPr>
        <w:pStyle w:val="H1G"/>
        <w:ind w:right="0" w:firstLine="0"/>
        <w:rPr>
          <w:w w:val="103"/>
        </w:rPr>
      </w:pPr>
      <w:r>
        <w:rPr>
          <w:w w:val="103"/>
        </w:rPr>
        <w:t>Annex 1</w:t>
      </w:r>
      <w:r w:rsidR="00B00260">
        <w:rPr>
          <w:w w:val="103"/>
        </w:rPr>
        <w:t xml:space="preserve"> (available </w:t>
      </w:r>
      <w:r w:rsidR="00242542">
        <w:rPr>
          <w:w w:val="103"/>
        </w:rPr>
        <w:t>under</w:t>
      </w:r>
      <w:r w:rsidR="00B00260">
        <w:rPr>
          <w:w w:val="103"/>
        </w:rPr>
        <w:t xml:space="preserve"> the </w:t>
      </w:r>
      <w:r w:rsidR="00BA6357">
        <w:rPr>
          <w:w w:val="103"/>
        </w:rPr>
        <w:t>8</w:t>
      </w:r>
      <w:r w:rsidR="008A6777">
        <w:rPr>
          <w:w w:val="103"/>
        </w:rPr>
        <w:t>1st</w:t>
      </w:r>
      <w:r w:rsidR="00B00260">
        <w:rPr>
          <w:w w:val="103"/>
        </w:rPr>
        <w:t xml:space="preserve"> session</w:t>
      </w:r>
      <w:r w:rsidR="00242542">
        <w:rPr>
          <w:w w:val="103"/>
        </w:rPr>
        <w:t xml:space="preserve"> webpage</w:t>
      </w:r>
      <w:r w:rsidR="00B00260">
        <w:rPr>
          <w:w w:val="103"/>
        </w:rPr>
        <w:t>)</w:t>
      </w:r>
    </w:p>
    <w:p w14:paraId="2DF3CE64" w14:textId="09D17FF9" w:rsidR="00B83F88" w:rsidRDefault="00597A6B" w:rsidP="00CE215F">
      <w:pPr>
        <w:pStyle w:val="H1G"/>
        <w:ind w:right="0" w:firstLine="0"/>
        <w:rPr>
          <w:w w:val="103"/>
        </w:rPr>
      </w:pPr>
      <w:r w:rsidRPr="005F1615">
        <w:rPr>
          <w:w w:val="103"/>
        </w:rPr>
        <w:t>Annex 2</w:t>
      </w:r>
      <w:r w:rsidR="00B00260">
        <w:rPr>
          <w:w w:val="103"/>
        </w:rPr>
        <w:t xml:space="preserve"> (</w:t>
      </w:r>
      <w:r w:rsidR="00242542">
        <w:rPr>
          <w:w w:val="103"/>
        </w:rPr>
        <w:t xml:space="preserve">available under the </w:t>
      </w:r>
      <w:r w:rsidR="00BA6357">
        <w:rPr>
          <w:w w:val="103"/>
        </w:rPr>
        <w:t>8</w:t>
      </w:r>
      <w:r w:rsidR="008A6777">
        <w:rPr>
          <w:w w:val="103"/>
        </w:rPr>
        <w:t>1st</w:t>
      </w:r>
      <w:r w:rsidR="00242542">
        <w:rPr>
          <w:w w:val="103"/>
        </w:rPr>
        <w:t xml:space="preserve"> session webpage</w:t>
      </w:r>
      <w:r w:rsidR="00B00260">
        <w:rPr>
          <w:w w:val="103"/>
        </w:rPr>
        <w:t>)</w:t>
      </w:r>
    </w:p>
    <w:p w14:paraId="15AA718B" w14:textId="46D2A9E0" w:rsidR="00812B38" w:rsidRPr="00812B38" w:rsidRDefault="00812B38" w:rsidP="00812B38">
      <w:pPr>
        <w:spacing w:before="240"/>
        <w:ind w:left="1134" w:right="1134"/>
        <w:jc w:val="center"/>
        <w:rPr>
          <w:u w:val="single"/>
        </w:rPr>
      </w:pPr>
      <w:r>
        <w:rPr>
          <w:u w:val="single"/>
        </w:rPr>
        <w:tab/>
      </w:r>
      <w:r>
        <w:rPr>
          <w:u w:val="single"/>
        </w:rPr>
        <w:tab/>
      </w:r>
      <w:r>
        <w:rPr>
          <w:u w:val="single"/>
        </w:rPr>
        <w:tab/>
      </w:r>
    </w:p>
    <w:sectPr w:rsidR="00812B38" w:rsidRPr="00812B38"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246EE" w14:textId="77777777" w:rsidR="00614BA5" w:rsidRDefault="00614BA5" w:rsidP="00F95C08"/>
  </w:endnote>
  <w:endnote w:type="continuationSeparator" w:id="0">
    <w:p w14:paraId="310C2796" w14:textId="77777777" w:rsidR="00614BA5" w:rsidRPr="00AC3823" w:rsidRDefault="00614BA5" w:rsidP="00AC3823">
      <w:pPr>
        <w:pStyle w:val="Footer"/>
      </w:pPr>
    </w:p>
  </w:endnote>
  <w:endnote w:type="continuationNotice" w:id="1">
    <w:p w14:paraId="476F6C10" w14:textId="77777777" w:rsidR="00614BA5" w:rsidRDefault="00614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BD5B" w14:textId="77777777" w:rsidR="00614BA5" w:rsidRPr="00AC3823" w:rsidRDefault="00614BA5" w:rsidP="00AC3823">
      <w:pPr>
        <w:pStyle w:val="Footer"/>
        <w:tabs>
          <w:tab w:val="right" w:pos="2155"/>
        </w:tabs>
        <w:spacing w:after="80"/>
        <w:ind w:left="680"/>
        <w:rPr>
          <w:u w:val="single"/>
        </w:rPr>
      </w:pPr>
      <w:r>
        <w:rPr>
          <w:u w:val="single"/>
        </w:rPr>
        <w:tab/>
      </w:r>
    </w:p>
  </w:footnote>
  <w:footnote w:type="continuationSeparator" w:id="0">
    <w:p w14:paraId="36CE4840" w14:textId="77777777" w:rsidR="00614BA5" w:rsidRPr="00AC3823" w:rsidRDefault="00614BA5" w:rsidP="00AC3823">
      <w:pPr>
        <w:pStyle w:val="Footer"/>
        <w:tabs>
          <w:tab w:val="right" w:pos="2155"/>
        </w:tabs>
        <w:spacing w:after="80"/>
        <w:ind w:left="680"/>
        <w:rPr>
          <w:u w:val="single"/>
        </w:rPr>
      </w:pPr>
      <w:r>
        <w:rPr>
          <w:u w:val="single"/>
        </w:rPr>
        <w:tab/>
      </w:r>
    </w:p>
  </w:footnote>
  <w:footnote w:type="continuationNotice" w:id="1">
    <w:p w14:paraId="526F3547" w14:textId="77777777" w:rsidR="00614BA5" w:rsidRPr="00AC3823" w:rsidRDefault="00614BA5">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0308C2D0"/>
    <w:lvl w:ilvl="0" w:tplc="2250ACD0">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4E7502"/>
    <w:multiLevelType w:val="hybridMultilevel"/>
    <w:tmpl w:val="E042C97E"/>
    <w:lvl w:ilvl="0" w:tplc="1B9A4CE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A01321C"/>
    <w:multiLevelType w:val="hybridMultilevel"/>
    <w:tmpl w:val="B148A2AE"/>
    <w:lvl w:ilvl="0" w:tplc="43CC5BD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67C5FCE"/>
    <w:multiLevelType w:val="hybridMultilevel"/>
    <w:tmpl w:val="17D47B26"/>
    <w:lvl w:ilvl="0" w:tplc="F7F8785E">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1A51F2A"/>
    <w:multiLevelType w:val="hybridMultilevel"/>
    <w:tmpl w:val="335479D2"/>
    <w:lvl w:ilvl="0" w:tplc="F312A93E">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451C001A"/>
    <w:multiLevelType w:val="hybridMultilevel"/>
    <w:tmpl w:val="3B3CE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D12BCF"/>
    <w:multiLevelType w:val="hybridMultilevel"/>
    <w:tmpl w:val="B7CA448A"/>
    <w:lvl w:ilvl="0" w:tplc="06B6EE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580A3172"/>
    <w:multiLevelType w:val="hybridMultilevel"/>
    <w:tmpl w:val="19F2DB24"/>
    <w:lvl w:ilvl="0" w:tplc="3B64CA50">
      <w:start w:val="1"/>
      <w:numFmt w:val="lowerLetter"/>
      <w:lvlText w:val="(%1)"/>
      <w:lvlJc w:val="left"/>
      <w:pPr>
        <w:ind w:left="2154" w:hanging="720"/>
      </w:pPr>
    </w:lvl>
    <w:lvl w:ilvl="1" w:tplc="08090019">
      <w:start w:val="1"/>
      <w:numFmt w:val="lowerLetter"/>
      <w:lvlText w:val="%2."/>
      <w:lvlJc w:val="left"/>
      <w:pPr>
        <w:ind w:left="2514" w:hanging="360"/>
      </w:pPr>
    </w:lvl>
    <w:lvl w:ilvl="2" w:tplc="0809001B">
      <w:start w:val="1"/>
      <w:numFmt w:val="lowerRoman"/>
      <w:lvlText w:val="%3."/>
      <w:lvlJc w:val="right"/>
      <w:pPr>
        <w:ind w:left="3234" w:hanging="180"/>
      </w:pPr>
    </w:lvl>
    <w:lvl w:ilvl="3" w:tplc="0809000F">
      <w:start w:val="1"/>
      <w:numFmt w:val="decimal"/>
      <w:lvlText w:val="%4."/>
      <w:lvlJc w:val="left"/>
      <w:pPr>
        <w:ind w:left="3954" w:hanging="360"/>
      </w:pPr>
    </w:lvl>
    <w:lvl w:ilvl="4" w:tplc="08090019">
      <w:start w:val="1"/>
      <w:numFmt w:val="lowerLetter"/>
      <w:lvlText w:val="%5."/>
      <w:lvlJc w:val="left"/>
      <w:pPr>
        <w:ind w:left="4674" w:hanging="360"/>
      </w:pPr>
    </w:lvl>
    <w:lvl w:ilvl="5" w:tplc="0809001B">
      <w:start w:val="1"/>
      <w:numFmt w:val="lowerRoman"/>
      <w:lvlText w:val="%6."/>
      <w:lvlJc w:val="right"/>
      <w:pPr>
        <w:ind w:left="5394" w:hanging="180"/>
      </w:pPr>
    </w:lvl>
    <w:lvl w:ilvl="6" w:tplc="0809000F">
      <w:start w:val="1"/>
      <w:numFmt w:val="decimal"/>
      <w:lvlText w:val="%7."/>
      <w:lvlJc w:val="left"/>
      <w:pPr>
        <w:ind w:left="6114" w:hanging="360"/>
      </w:pPr>
    </w:lvl>
    <w:lvl w:ilvl="7" w:tplc="08090019">
      <w:start w:val="1"/>
      <w:numFmt w:val="lowerLetter"/>
      <w:lvlText w:val="%8."/>
      <w:lvlJc w:val="left"/>
      <w:pPr>
        <w:ind w:left="6834" w:hanging="360"/>
      </w:pPr>
    </w:lvl>
    <w:lvl w:ilvl="8" w:tplc="0809001B">
      <w:start w:val="1"/>
      <w:numFmt w:val="lowerRoman"/>
      <w:lvlText w:val="%9."/>
      <w:lvlJc w:val="right"/>
      <w:pPr>
        <w:ind w:left="7554" w:hanging="180"/>
      </w:pPr>
    </w:lvl>
  </w:abstractNum>
  <w:abstractNum w:abstractNumId="20" w15:restartNumberingAfterBreak="0">
    <w:nsid w:val="5D9E394A"/>
    <w:multiLevelType w:val="hybridMultilevel"/>
    <w:tmpl w:val="39A605DE"/>
    <w:lvl w:ilvl="0" w:tplc="08090001">
      <w:start w:val="1"/>
      <w:numFmt w:val="bullet"/>
      <w:lvlText w:val=""/>
      <w:lvlJc w:val="left"/>
      <w:pPr>
        <w:ind w:left="1891" w:hanging="360"/>
      </w:pPr>
      <w:rPr>
        <w:rFonts w:ascii="Symbol" w:hAnsi="Symbol"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21" w15:restartNumberingAfterBreak="0">
    <w:nsid w:val="619B4374"/>
    <w:multiLevelType w:val="hybridMultilevel"/>
    <w:tmpl w:val="0E808934"/>
    <w:lvl w:ilvl="0" w:tplc="2BD852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FF7BDD"/>
    <w:multiLevelType w:val="hybridMultilevel"/>
    <w:tmpl w:val="19F2DB24"/>
    <w:lvl w:ilvl="0" w:tplc="3B64CA50">
      <w:start w:val="1"/>
      <w:numFmt w:val="lowerLetter"/>
      <w:lvlText w:val="(%1)"/>
      <w:lvlJc w:val="left"/>
      <w:pPr>
        <w:ind w:left="2154" w:hanging="720"/>
      </w:pPr>
    </w:lvl>
    <w:lvl w:ilvl="1" w:tplc="08090019">
      <w:start w:val="1"/>
      <w:numFmt w:val="lowerLetter"/>
      <w:lvlText w:val="%2."/>
      <w:lvlJc w:val="left"/>
      <w:pPr>
        <w:ind w:left="2514" w:hanging="360"/>
      </w:pPr>
    </w:lvl>
    <w:lvl w:ilvl="2" w:tplc="0809001B">
      <w:start w:val="1"/>
      <w:numFmt w:val="lowerRoman"/>
      <w:lvlText w:val="%3."/>
      <w:lvlJc w:val="right"/>
      <w:pPr>
        <w:ind w:left="3234" w:hanging="180"/>
      </w:pPr>
    </w:lvl>
    <w:lvl w:ilvl="3" w:tplc="0809000F">
      <w:start w:val="1"/>
      <w:numFmt w:val="decimal"/>
      <w:lvlText w:val="%4."/>
      <w:lvlJc w:val="left"/>
      <w:pPr>
        <w:ind w:left="3954" w:hanging="360"/>
      </w:pPr>
    </w:lvl>
    <w:lvl w:ilvl="4" w:tplc="08090019">
      <w:start w:val="1"/>
      <w:numFmt w:val="lowerLetter"/>
      <w:lvlText w:val="%5."/>
      <w:lvlJc w:val="left"/>
      <w:pPr>
        <w:ind w:left="4674" w:hanging="360"/>
      </w:pPr>
    </w:lvl>
    <w:lvl w:ilvl="5" w:tplc="0809001B">
      <w:start w:val="1"/>
      <w:numFmt w:val="lowerRoman"/>
      <w:lvlText w:val="%6."/>
      <w:lvlJc w:val="right"/>
      <w:pPr>
        <w:ind w:left="5394" w:hanging="180"/>
      </w:pPr>
    </w:lvl>
    <w:lvl w:ilvl="6" w:tplc="0809000F">
      <w:start w:val="1"/>
      <w:numFmt w:val="decimal"/>
      <w:lvlText w:val="%7."/>
      <w:lvlJc w:val="left"/>
      <w:pPr>
        <w:ind w:left="6114" w:hanging="360"/>
      </w:pPr>
    </w:lvl>
    <w:lvl w:ilvl="7" w:tplc="08090019">
      <w:start w:val="1"/>
      <w:numFmt w:val="lowerLetter"/>
      <w:lvlText w:val="%8."/>
      <w:lvlJc w:val="left"/>
      <w:pPr>
        <w:ind w:left="6834" w:hanging="360"/>
      </w:pPr>
    </w:lvl>
    <w:lvl w:ilvl="8" w:tplc="0809001B">
      <w:start w:val="1"/>
      <w:numFmt w:val="lowerRoman"/>
      <w:lvlText w:val="%9."/>
      <w:lvlJc w:val="right"/>
      <w:pPr>
        <w:ind w:left="7554" w:hanging="180"/>
      </w:p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05C41B0"/>
    <w:multiLevelType w:val="hybridMultilevel"/>
    <w:tmpl w:val="C916CAA6"/>
    <w:lvl w:ilvl="0" w:tplc="CA444DFA">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7" w15:restartNumberingAfterBreak="0">
    <w:nsid w:val="7C9709DF"/>
    <w:multiLevelType w:val="hybridMultilevel"/>
    <w:tmpl w:val="C372A986"/>
    <w:lvl w:ilvl="0" w:tplc="770C674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5"/>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1"/>
  </w:num>
  <w:num w:numId="16">
    <w:abstractNumId w:val="10"/>
  </w:num>
  <w:num w:numId="17">
    <w:abstractNumId w:val="24"/>
  </w:num>
  <w:num w:numId="18">
    <w:abstractNumId w:val="16"/>
  </w:num>
  <w:num w:numId="19">
    <w:abstractNumId w:val="14"/>
  </w:num>
  <w:num w:numId="20">
    <w:abstractNumId w:val="26"/>
  </w:num>
  <w:num w:numId="21">
    <w:abstractNumId w:val="20"/>
  </w:num>
  <w:num w:numId="22">
    <w:abstractNumId w:val="21"/>
  </w:num>
  <w:num w:numId="23">
    <w:abstractNumId w:val="12"/>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23"/>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s-CR"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zc1MjQwMDIwNDFQ0lEKTi0uzszPAykwrAUAx7oJwSwAAAA="/>
  </w:docVars>
  <w:rsids>
    <w:rsidRoot w:val="00597A6B"/>
    <w:rsid w:val="00003531"/>
    <w:rsid w:val="00004638"/>
    <w:rsid w:val="00004D69"/>
    <w:rsid w:val="00006FFD"/>
    <w:rsid w:val="00011084"/>
    <w:rsid w:val="000115F3"/>
    <w:rsid w:val="00012E99"/>
    <w:rsid w:val="00017EE7"/>
    <w:rsid w:val="00017F94"/>
    <w:rsid w:val="00022965"/>
    <w:rsid w:val="00023842"/>
    <w:rsid w:val="00025481"/>
    <w:rsid w:val="000334F9"/>
    <w:rsid w:val="00041E4C"/>
    <w:rsid w:val="00044216"/>
    <w:rsid w:val="00045793"/>
    <w:rsid w:val="0005072C"/>
    <w:rsid w:val="00053A3F"/>
    <w:rsid w:val="00055246"/>
    <w:rsid w:val="00062B30"/>
    <w:rsid w:val="00062EF0"/>
    <w:rsid w:val="00065958"/>
    <w:rsid w:val="00067897"/>
    <w:rsid w:val="000777BB"/>
    <w:rsid w:val="0007796D"/>
    <w:rsid w:val="00083FB6"/>
    <w:rsid w:val="0009484C"/>
    <w:rsid w:val="000950A5"/>
    <w:rsid w:val="000A03B5"/>
    <w:rsid w:val="000A7443"/>
    <w:rsid w:val="000B14C9"/>
    <w:rsid w:val="000B1FDB"/>
    <w:rsid w:val="000B6A89"/>
    <w:rsid w:val="000B7790"/>
    <w:rsid w:val="000B7CA4"/>
    <w:rsid w:val="000C020F"/>
    <w:rsid w:val="000C1D6B"/>
    <w:rsid w:val="000C2B32"/>
    <w:rsid w:val="000C390E"/>
    <w:rsid w:val="000C421E"/>
    <w:rsid w:val="000C4333"/>
    <w:rsid w:val="000C47CF"/>
    <w:rsid w:val="000D44BE"/>
    <w:rsid w:val="000F251C"/>
    <w:rsid w:val="000F3150"/>
    <w:rsid w:val="000F36DF"/>
    <w:rsid w:val="000F4E0A"/>
    <w:rsid w:val="000F524E"/>
    <w:rsid w:val="00100D1A"/>
    <w:rsid w:val="00111CB2"/>
    <w:rsid w:val="00111F2F"/>
    <w:rsid w:val="001122B8"/>
    <w:rsid w:val="00114537"/>
    <w:rsid w:val="001233AB"/>
    <w:rsid w:val="0013078F"/>
    <w:rsid w:val="00133A6E"/>
    <w:rsid w:val="00134C9B"/>
    <w:rsid w:val="0013561D"/>
    <w:rsid w:val="0014365E"/>
    <w:rsid w:val="0014459D"/>
    <w:rsid w:val="0014660A"/>
    <w:rsid w:val="00150DB2"/>
    <w:rsid w:val="00153332"/>
    <w:rsid w:val="001546F2"/>
    <w:rsid w:val="00157900"/>
    <w:rsid w:val="00162C3E"/>
    <w:rsid w:val="00162FEA"/>
    <w:rsid w:val="0016509E"/>
    <w:rsid w:val="00167C56"/>
    <w:rsid w:val="00175401"/>
    <w:rsid w:val="00176178"/>
    <w:rsid w:val="00183D23"/>
    <w:rsid w:val="0019006F"/>
    <w:rsid w:val="00192DDD"/>
    <w:rsid w:val="001964FD"/>
    <w:rsid w:val="001A2732"/>
    <w:rsid w:val="001A58DB"/>
    <w:rsid w:val="001B2688"/>
    <w:rsid w:val="001B50DB"/>
    <w:rsid w:val="001C0245"/>
    <w:rsid w:val="001C0C36"/>
    <w:rsid w:val="001C2443"/>
    <w:rsid w:val="001C5877"/>
    <w:rsid w:val="001E3012"/>
    <w:rsid w:val="001E5F68"/>
    <w:rsid w:val="001E70F9"/>
    <w:rsid w:val="001F525A"/>
    <w:rsid w:val="00204ADA"/>
    <w:rsid w:val="00214065"/>
    <w:rsid w:val="00215B77"/>
    <w:rsid w:val="0021606B"/>
    <w:rsid w:val="00220A18"/>
    <w:rsid w:val="00223272"/>
    <w:rsid w:val="00223AD8"/>
    <w:rsid w:val="00225529"/>
    <w:rsid w:val="0022555A"/>
    <w:rsid w:val="002345DE"/>
    <w:rsid w:val="00240155"/>
    <w:rsid w:val="002418D7"/>
    <w:rsid w:val="00242542"/>
    <w:rsid w:val="00242A42"/>
    <w:rsid w:val="002449AB"/>
    <w:rsid w:val="0024779E"/>
    <w:rsid w:val="002503D9"/>
    <w:rsid w:val="00250762"/>
    <w:rsid w:val="00254CE9"/>
    <w:rsid w:val="0026100B"/>
    <w:rsid w:val="002616D8"/>
    <w:rsid w:val="00261E7A"/>
    <w:rsid w:val="00265D12"/>
    <w:rsid w:val="00266151"/>
    <w:rsid w:val="0028015A"/>
    <w:rsid w:val="00283BC7"/>
    <w:rsid w:val="002904CF"/>
    <w:rsid w:val="00290F7F"/>
    <w:rsid w:val="00291F1D"/>
    <w:rsid w:val="0029407C"/>
    <w:rsid w:val="002A0B0E"/>
    <w:rsid w:val="002A30D4"/>
    <w:rsid w:val="002A531D"/>
    <w:rsid w:val="002B1ED7"/>
    <w:rsid w:val="002B56FE"/>
    <w:rsid w:val="002C3CBC"/>
    <w:rsid w:val="002C3ECE"/>
    <w:rsid w:val="002D037B"/>
    <w:rsid w:val="002D11C6"/>
    <w:rsid w:val="002D7BF2"/>
    <w:rsid w:val="002E0791"/>
    <w:rsid w:val="002E2A2C"/>
    <w:rsid w:val="002E2EB4"/>
    <w:rsid w:val="002E420F"/>
    <w:rsid w:val="002F376D"/>
    <w:rsid w:val="002F5622"/>
    <w:rsid w:val="002F7DDD"/>
    <w:rsid w:val="003018D6"/>
    <w:rsid w:val="0031019B"/>
    <w:rsid w:val="00310224"/>
    <w:rsid w:val="00315FBD"/>
    <w:rsid w:val="00330F16"/>
    <w:rsid w:val="003334A4"/>
    <w:rsid w:val="0033661E"/>
    <w:rsid w:val="003406A5"/>
    <w:rsid w:val="00342833"/>
    <w:rsid w:val="00350987"/>
    <w:rsid w:val="00353DA1"/>
    <w:rsid w:val="00353ED5"/>
    <w:rsid w:val="00362E39"/>
    <w:rsid w:val="00367B88"/>
    <w:rsid w:val="003701A3"/>
    <w:rsid w:val="003801EC"/>
    <w:rsid w:val="00382A1F"/>
    <w:rsid w:val="00385E6D"/>
    <w:rsid w:val="003869A2"/>
    <w:rsid w:val="00386C76"/>
    <w:rsid w:val="00387EF7"/>
    <w:rsid w:val="00390178"/>
    <w:rsid w:val="003954D5"/>
    <w:rsid w:val="003B3DDE"/>
    <w:rsid w:val="003C1CA5"/>
    <w:rsid w:val="003C261F"/>
    <w:rsid w:val="003D0A6E"/>
    <w:rsid w:val="003D1AD0"/>
    <w:rsid w:val="003D2A6F"/>
    <w:rsid w:val="003E6A46"/>
    <w:rsid w:val="003F0CA6"/>
    <w:rsid w:val="003F0D18"/>
    <w:rsid w:val="003F296B"/>
    <w:rsid w:val="003F2B5D"/>
    <w:rsid w:val="003F54F8"/>
    <w:rsid w:val="003F6C85"/>
    <w:rsid w:val="003F6FBF"/>
    <w:rsid w:val="003F75E0"/>
    <w:rsid w:val="003F7ED8"/>
    <w:rsid w:val="00406C65"/>
    <w:rsid w:val="00412AFB"/>
    <w:rsid w:val="0041354B"/>
    <w:rsid w:val="00414401"/>
    <w:rsid w:val="00414D03"/>
    <w:rsid w:val="004201AF"/>
    <w:rsid w:val="00420D7C"/>
    <w:rsid w:val="0042125E"/>
    <w:rsid w:val="00426029"/>
    <w:rsid w:val="00426A53"/>
    <w:rsid w:val="00437363"/>
    <w:rsid w:val="00443EDF"/>
    <w:rsid w:val="00446E1A"/>
    <w:rsid w:val="00446FE5"/>
    <w:rsid w:val="00452396"/>
    <w:rsid w:val="00452E7C"/>
    <w:rsid w:val="00454230"/>
    <w:rsid w:val="00454239"/>
    <w:rsid w:val="004605C8"/>
    <w:rsid w:val="0046383A"/>
    <w:rsid w:val="00464F59"/>
    <w:rsid w:val="004663CA"/>
    <w:rsid w:val="0047638D"/>
    <w:rsid w:val="0047669C"/>
    <w:rsid w:val="00477514"/>
    <w:rsid w:val="00482EA6"/>
    <w:rsid w:val="004902F8"/>
    <w:rsid w:val="004A12E5"/>
    <w:rsid w:val="004A413A"/>
    <w:rsid w:val="004A7BB7"/>
    <w:rsid w:val="004B15E2"/>
    <w:rsid w:val="004B3BE1"/>
    <w:rsid w:val="004B3EBC"/>
    <w:rsid w:val="004B415F"/>
    <w:rsid w:val="004B56D6"/>
    <w:rsid w:val="004B76E9"/>
    <w:rsid w:val="004C54C4"/>
    <w:rsid w:val="004C7C5D"/>
    <w:rsid w:val="004D1CEB"/>
    <w:rsid w:val="004D37BD"/>
    <w:rsid w:val="004E1C31"/>
    <w:rsid w:val="004E5721"/>
    <w:rsid w:val="004E6C86"/>
    <w:rsid w:val="004F522C"/>
    <w:rsid w:val="005034C7"/>
    <w:rsid w:val="00506255"/>
    <w:rsid w:val="00507677"/>
    <w:rsid w:val="00515101"/>
    <w:rsid w:val="0052186C"/>
    <w:rsid w:val="005233EA"/>
    <w:rsid w:val="0052508A"/>
    <w:rsid w:val="005322BF"/>
    <w:rsid w:val="00534A7E"/>
    <w:rsid w:val="005353C5"/>
    <w:rsid w:val="005439B4"/>
    <w:rsid w:val="0054578B"/>
    <w:rsid w:val="00546D01"/>
    <w:rsid w:val="00547B2C"/>
    <w:rsid w:val="00547D8D"/>
    <w:rsid w:val="005505B7"/>
    <w:rsid w:val="005706C8"/>
    <w:rsid w:val="005710D7"/>
    <w:rsid w:val="00573BE5"/>
    <w:rsid w:val="00580757"/>
    <w:rsid w:val="00584196"/>
    <w:rsid w:val="005863AC"/>
    <w:rsid w:val="00586ED3"/>
    <w:rsid w:val="00592A91"/>
    <w:rsid w:val="0059371C"/>
    <w:rsid w:val="00596AA9"/>
    <w:rsid w:val="00597A6B"/>
    <w:rsid w:val="005A7A75"/>
    <w:rsid w:val="005B35A6"/>
    <w:rsid w:val="005B45A9"/>
    <w:rsid w:val="005B58C7"/>
    <w:rsid w:val="005B5DE9"/>
    <w:rsid w:val="005C0275"/>
    <w:rsid w:val="005D04A2"/>
    <w:rsid w:val="005D2325"/>
    <w:rsid w:val="005D2D60"/>
    <w:rsid w:val="005E17A9"/>
    <w:rsid w:val="005E1EB8"/>
    <w:rsid w:val="005E29E5"/>
    <w:rsid w:val="005E48B2"/>
    <w:rsid w:val="005E707B"/>
    <w:rsid w:val="005F2340"/>
    <w:rsid w:val="005F3321"/>
    <w:rsid w:val="006115B8"/>
    <w:rsid w:val="006122C4"/>
    <w:rsid w:val="00614BA5"/>
    <w:rsid w:val="00620119"/>
    <w:rsid w:val="0062042A"/>
    <w:rsid w:val="00633246"/>
    <w:rsid w:val="0063452A"/>
    <w:rsid w:val="00635D39"/>
    <w:rsid w:val="00636554"/>
    <w:rsid w:val="00640B94"/>
    <w:rsid w:val="006508E6"/>
    <w:rsid w:val="006517CE"/>
    <w:rsid w:val="006567C0"/>
    <w:rsid w:val="00661E08"/>
    <w:rsid w:val="00665760"/>
    <w:rsid w:val="00665C17"/>
    <w:rsid w:val="00667F43"/>
    <w:rsid w:val="0067098F"/>
    <w:rsid w:val="006829EA"/>
    <w:rsid w:val="00687824"/>
    <w:rsid w:val="00696BFC"/>
    <w:rsid w:val="006A45AE"/>
    <w:rsid w:val="006C0359"/>
    <w:rsid w:val="006C7463"/>
    <w:rsid w:val="006D1D47"/>
    <w:rsid w:val="006D1D7D"/>
    <w:rsid w:val="006D2CEB"/>
    <w:rsid w:val="006D7086"/>
    <w:rsid w:val="006E1FCD"/>
    <w:rsid w:val="006E2C9B"/>
    <w:rsid w:val="006E665C"/>
    <w:rsid w:val="006F38F6"/>
    <w:rsid w:val="007029C0"/>
    <w:rsid w:val="007055D2"/>
    <w:rsid w:val="00712674"/>
    <w:rsid w:val="007130C1"/>
    <w:rsid w:val="00715508"/>
    <w:rsid w:val="0071601D"/>
    <w:rsid w:val="007258B0"/>
    <w:rsid w:val="007261E4"/>
    <w:rsid w:val="00731B28"/>
    <w:rsid w:val="00731F35"/>
    <w:rsid w:val="0073234D"/>
    <w:rsid w:val="00737063"/>
    <w:rsid w:val="00743C48"/>
    <w:rsid w:val="007447FC"/>
    <w:rsid w:val="007465EE"/>
    <w:rsid w:val="0075302D"/>
    <w:rsid w:val="0075466D"/>
    <w:rsid w:val="007621DA"/>
    <w:rsid w:val="0076624F"/>
    <w:rsid w:val="00766CEC"/>
    <w:rsid w:val="00770252"/>
    <w:rsid w:val="007713CC"/>
    <w:rsid w:val="00772014"/>
    <w:rsid w:val="00780B05"/>
    <w:rsid w:val="0078437E"/>
    <w:rsid w:val="00792C35"/>
    <w:rsid w:val="00792DA3"/>
    <w:rsid w:val="00795020"/>
    <w:rsid w:val="007A100B"/>
    <w:rsid w:val="007A3BAE"/>
    <w:rsid w:val="007A62E6"/>
    <w:rsid w:val="007C364D"/>
    <w:rsid w:val="007D2910"/>
    <w:rsid w:val="007E4E10"/>
    <w:rsid w:val="007E6BF1"/>
    <w:rsid w:val="007F10F2"/>
    <w:rsid w:val="008048CB"/>
    <w:rsid w:val="0080684C"/>
    <w:rsid w:val="008069B3"/>
    <w:rsid w:val="00812B38"/>
    <w:rsid w:val="00813DCF"/>
    <w:rsid w:val="00815502"/>
    <w:rsid w:val="00820179"/>
    <w:rsid w:val="00820BF5"/>
    <w:rsid w:val="00821936"/>
    <w:rsid w:val="00821FFA"/>
    <w:rsid w:val="008309C3"/>
    <w:rsid w:val="008322D4"/>
    <w:rsid w:val="00836DDC"/>
    <w:rsid w:val="00845059"/>
    <w:rsid w:val="00845D2D"/>
    <w:rsid w:val="00847924"/>
    <w:rsid w:val="00855E8D"/>
    <w:rsid w:val="0085697C"/>
    <w:rsid w:val="008571EE"/>
    <w:rsid w:val="008609A4"/>
    <w:rsid w:val="00866768"/>
    <w:rsid w:val="00871C75"/>
    <w:rsid w:val="00873BB0"/>
    <w:rsid w:val="00874AD7"/>
    <w:rsid w:val="008776DC"/>
    <w:rsid w:val="0088018D"/>
    <w:rsid w:val="00881D7C"/>
    <w:rsid w:val="008823E6"/>
    <w:rsid w:val="008840F2"/>
    <w:rsid w:val="00885F0A"/>
    <w:rsid w:val="00887C3E"/>
    <w:rsid w:val="008A431B"/>
    <w:rsid w:val="008A4ABC"/>
    <w:rsid w:val="008A6777"/>
    <w:rsid w:val="008C0F7A"/>
    <w:rsid w:val="008C6AC2"/>
    <w:rsid w:val="008D213B"/>
    <w:rsid w:val="008D2899"/>
    <w:rsid w:val="008D37AF"/>
    <w:rsid w:val="008D5DFE"/>
    <w:rsid w:val="008D5E1F"/>
    <w:rsid w:val="008E0D61"/>
    <w:rsid w:val="008E3F69"/>
    <w:rsid w:val="008E5348"/>
    <w:rsid w:val="008E6A9B"/>
    <w:rsid w:val="008F0BE2"/>
    <w:rsid w:val="008F2A1D"/>
    <w:rsid w:val="008F58E0"/>
    <w:rsid w:val="008F77CE"/>
    <w:rsid w:val="00906720"/>
    <w:rsid w:val="00911A2E"/>
    <w:rsid w:val="00911AC2"/>
    <w:rsid w:val="00912CF3"/>
    <w:rsid w:val="00912FB2"/>
    <w:rsid w:val="0091785C"/>
    <w:rsid w:val="00920B06"/>
    <w:rsid w:val="00920CF2"/>
    <w:rsid w:val="0092418E"/>
    <w:rsid w:val="0093191D"/>
    <w:rsid w:val="00936E95"/>
    <w:rsid w:val="00940DF4"/>
    <w:rsid w:val="009464C1"/>
    <w:rsid w:val="009513FB"/>
    <w:rsid w:val="009541D5"/>
    <w:rsid w:val="009555DA"/>
    <w:rsid w:val="00957790"/>
    <w:rsid w:val="009622DC"/>
    <w:rsid w:val="00962649"/>
    <w:rsid w:val="0096353E"/>
    <w:rsid w:val="009703C4"/>
    <w:rsid w:val="009705C8"/>
    <w:rsid w:val="00970744"/>
    <w:rsid w:val="009743D5"/>
    <w:rsid w:val="00976935"/>
    <w:rsid w:val="00977796"/>
    <w:rsid w:val="00985D89"/>
    <w:rsid w:val="0099322D"/>
    <w:rsid w:val="009A1171"/>
    <w:rsid w:val="009A134E"/>
    <w:rsid w:val="009A45D8"/>
    <w:rsid w:val="009A58C1"/>
    <w:rsid w:val="009B579C"/>
    <w:rsid w:val="009B7AF4"/>
    <w:rsid w:val="009C2821"/>
    <w:rsid w:val="009C341C"/>
    <w:rsid w:val="009C3B3B"/>
    <w:rsid w:val="009D5560"/>
    <w:rsid w:val="009D655C"/>
    <w:rsid w:val="009E2361"/>
    <w:rsid w:val="009E33A1"/>
    <w:rsid w:val="009E3C30"/>
    <w:rsid w:val="009E6791"/>
    <w:rsid w:val="009F5F28"/>
    <w:rsid w:val="009F704D"/>
    <w:rsid w:val="00A04DD5"/>
    <w:rsid w:val="00A0710D"/>
    <w:rsid w:val="00A07EDD"/>
    <w:rsid w:val="00A10707"/>
    <w:rsid w:val="00A12AB5"/>
    <w:rsid w:val="00A15FF9"/>
    <w:rsid w:val="00A250F4"/>
    <w:rsid w:val="00A405D3"/>
    <w:rsid w:val="00A420AB"/>
    <w:rsid w:val="00A42151"/>
    <w:rsid w:val="00A4508B"/>
    <w:rsid w:val="00A546E5"/>
    <w:rsid w:val="00A60BB9"/>
    <w:rsid w:val="00A67187"/>
    <w:rsid w:val="00A726EC"/>
    <w:rsid w:val="00A77F5B"/>
    <w:rsid w:val="00A81EE1"/>
    <w:rsid w:val="00A86500"/>
    <w:rsid w:val="00AA7AF7"/>
    <w:rsid w:val="00AC0E6D"/>
    <w:rsid w:val="00AC3112"/>
    <w:rsid w:val="00AC3823"/>
    <w:rsid w:val="00AD008A"/>
    <w:rsid w:val="00AD428F"/>
    <w:rsid w:val="00AE0659"/>
    <w:rsid w:val="00AE1521"/>
    <w:rsid w:val="00AE1847"/>
    <w:rsid w:val="00AE30B7"/>
    <w:rsid w:val="00AE323C"/>
    <w:rsid w:val="00AE35A5"/>
    <w:rsid w:val="00AE4997"/>
    <w:rsid w:val="00AE7D9F"/>
    <w:rsid w:val="00AF57F0"/>
    <w:rsid w:val="00AF709C"/>
    <w:rsid w:val="00AF74C7"/>
    <w:rsid w:val="00B00181"/>
    <w:rsid w:val="00B0019D"/>
    <w:rsid w:val="00B00260"/>
    <w:rsid w:val="00B01C2D"/>
    <w:rsid w:val="00B068EE"/>
    <w:rsid w:val="00B137F6"/>
    <w:rsid w:val="00B320FA"/>
    <w:rsid w:val="00B377E8"/>
    <w:rsid w:val="00B431CC"/>
    <w:rsid w:val="00B43C66"/>
    <w:rsid w:val="00B477DB"/>
    <w:rsid w:val="00B54511"/>
    <w:rsid w:val="00B55090"/>
    <w:rsid w:val="00B61ED5"/>
    <w:rsid w:val="00B6419A"/>
    <w:rsid w:val="00B70F87"/>
    <w:rsid w:val="00B713AA"/>
    <w:rsid w:val="00B765F7"/>
    <w:rsid w:val="00B77BAB"/>
    <w:rsid w:val="00B8137E"/>
    <w:rsid w:val="00B81393"/>
    <w:rsid w:val="00B83F88"/>
    <w:rsid w:val="00B84D73"/>
    <w:rsid w:val="00B90DA3"/>
    <w:rsid w:val="00B90DF0"/>
    <w:rsid w:val="00B91C47"/>
    <w:rsid w:val="00B93F64"/>
    <w:rsid w:val="00BA0CA9"/>
    <w:rsid w:val="00BA49CA"/>
    <w:rsid w:val="00BA5989"/>
    <w:rsid w:val="00BA6357"/>
    <w:rsid w:val="00BB01E9"/>
    <w:rsid w:val="00BB0881"/>
    <w:rsid w:val="00BB24D3"/>
    <w:rsid w:val="00BB3E59"/>
    <w:rsid w:val="00BB450D"/>
    <w:rsid w:val="00BB6062"/>
    <w:rsid w:val="00BC11F7"/>
    <w:rsid w:val="00BC43BB"/>
    <w:rsid w:val="00BC4991"/>
    <w:rsid w:val="00BC4FEE"/>
    <w:rsid w:val="00BC6768"/>
    <w:rsid w:val="00BC6B4B"/>
    <w:rsid w:val="00BD12F9"/>
    <w:rsid w:val="00BE1F4C"/>
    <w:rsid w:val="00BE4745"/>
    <w:rsid w:val="00BE621C"/>
    <w:rsid w:val="00BF3555"/>
    <w:rsid w:val="00BF3C2C"/>
    <w:rsid w:val="00BF720A"/>
    <w:rsid w:val="00C02897"/>
    <w:rsid w:val="00C10A2F"/>
    <w:rsid w:val="00C12601"/>
    <w:rsid w:val="00C12CEC"/>
    <w:rsid w:val="00C17890"/>
    <w:rsid w:val="00C17E05"/>
    <w:rsid w:val="00C20C97"/>
    <w:rsid w:val="00C23CC0"/>
    <w:rsid w:val="00C25DE0"/>
    <w:rsid w:val="00C31E56"/>
    <w:rsid w:val="00C3466C"/>
    <w:rsid w:val="00C34BCB"/>
    <w:rsid w:val="00C359C0"/>
    <w:rsid w:val="00C360F7"/>
    <w:rsid w:val="00C37470"/>
    <w:rsid w:val="00C539BF"/>
    <w:rsid w:val="00C55CDB"/>
    <w:rsid w:val="00C60836"/>
    <w:rsid w:val="00C62922"/>
    <w:rsid w:val="00C63996"/>
    <w:rsid w:val="00C65068"/>
    <w:rsid w:val="00C65434"/>
    <w:rsid w:val="00C676A2"/>
    <w:rsid w:val="00C713C2"/>
    <w:rsid w:val="00C719FF"/>
    <w:rsid w:val="00C72D67"/>
    <w:rsid w:val="00C742A8"/>
    <w:rsid w:val="00C7670E"/>
    <w:rsid w:val="00C778D7"/>
    <w:rsid w:val="00C82CE6"/>
    <w:rsid w:val="00C82E3F"/>
    <w:rsid w:val="00C82F15"/>
    <w:rsid w:val="00C91E14"/>
    <w:rsid w:val="00C96E15"/>
    <w:rsid w:val="00CA3958"/>
    <w:rsid w:val="00CA64AD"/>
    <w:rsid w:val="00CA65E6"/>
    <w:rsid w:val="00CA66A3"/>
    <w:rsid w:val="00CB099A"/>
    <w:rsid w:val="00CB2466"/>
    <w:rsid w:val="00CB7D6A"/>
    <w:rsid w:val="00CC3D75"/>
    <w:rsid w:val="00CD25F2"/>
    <w:rsid w:val="00CD416A"/>
    <w:rsid w:val="00CD60B7"/>
    <w:rsid w:val="00CD7E64"/>
    <w:rsid w:val="00CE0DA4"/>
    <w:rsid w:val="00CE215F"/>
    <w:rsid w:val="00CE4E73"/>
    <w:rsid w:val="00CE6D4E"/>
    <w:rsid w:val="00CF3AE1"/>
    <w:rsid w:val="00D00B49"/>
    <w:rsid w:val="00D0626B"/>
    <w:rsid w:val="00D13F0D"/>
    <w:rsid w:val="00D20D48"/>
    <w:rsid w:val="00D22B2E"/>
    <w:rsid w:val="00D266D0"/>
    <w:rsid w:val="00D337C4"/>
    <w:rsid w:val="00D3439C"/>
    <w:rsid w:val="00D3670B"/>
    <w:rsid w:val="00D40AEB"/>
    <w:rsid w:val="00D44871"/>
    <w:rsid w:val="00D44BD4"/>
    <w:rsid w:val="00D560A1"/>
    <w:rsid w:val="00D57B67"/>
    <w:rsid w:val="00D57B6E"/>
    <w:rsid w:val="00D626FD"/>
    <w:rsid w:val="00D63005"/>
    <w:rsid w:val="00D70AC6"/>
    <w:rsid w:val="00D743F6"/>
    <w:rsid w:val="00D84709"/>
    <w:rsid w:val="00D87A7F"/>
    <w:rsid w:val="00D90473"/>
    <w:rsid w:val="00D91001"/>
    <w:rsid w:val="00D91961"/>
    <w:rsid w:val="00D92969"/>
    <w:rsid w:val="00D97728"/>
    <w:rsid w:val="00DA06A2"/>
    <w:rsid w:val="00DA22F4"/>
    <w:rsid w:val="00DA2CED"/>
    <w:rsid w:val="00DA4159"/>
    <w:rsid w:val="00DB1831"/>
    <w:rsid w:val="00DB4691"/>
    <w:rsid w:val="00DC0744"/>
    <w:rsid w:val="00DC3786"/>
    <w:rsid w:val="00DC5B87"/>
    <w:rsid w:val="00DD3BFD"/>
    <w:rsid w:val="00DE27C2"/>
    <w:rsid w:val="00DE4D1B"/>
    <w:rsid w:val="00DE5851"/>
    <w:rsid w:val="00DE7847"/>
    <w:rsid w:val="00DE79B4"/>
    <w:rsid w:val="00DF143D"/>
    <w:rsid w:val="00DF6678"/>
    <w:rsid w:val="00E000EB"/>
    <w:rsid w:val="00E041D4"/>
    <w:rsid w:val="00E07A7F"/>
    <w:rsid w:val="00E10480"/>
    <w:rsid w:val="00E11515"/>
    <w:rsid w:val="00E136D5"/>
    <w:rsid w:val="00E20264"/>
    <w:rsid w:val="00E22CF2"/>
    <w:rsid w:val="00E22FCF"/>
    <w:rsid w:val="00E24B6F"/>
    <w:rsid w:val="00E2606D"/>
    <w:rsid w:val="00E33F14"/>
    <w:rsid w:val="00E34FA6"/>
    <w:rsid w:val="00E3523F"/>
    <w:rsid w:val="00E41875"/>
    <w:rsid w:val="00E42F4E"/>
    <w:rsid w:val="00E44A12"/>
    <w:rsid w:val="00E52D9F"/>
    <w:rsid w:val="00E5313C"/>
    <w:rsid w:val="00E61037"/>
    <w:rsid w:val="00E63931"/>
    <w:rsid w:val="00E645A1"/>
    <w:rsid w:val="00E8186C"/>
    <w:rsid w:val="00E859E9"/>
    <w:rsid w:val="00E907C5"/>
    <w:rsid w:val="00E97553"/>
    <w:rsid w:val="00EA0A58"/>
    <w:rsid w:val="00EA35C4"/>
    <w:rsid w:val="00EA36AF"/>
    <w:rsid w:val="00EB07DC"/>
    <w:rsid w:val="00EB335B"/>
    <w:rsid w:val="00EB422C"/>
    <w:rsid w:val="00EB6966"/>
    <w:rsid w:val="00EC373B"/>
    <w:rsid w:val="00EC427B"/>
    <w:rsid w:val="00ED323F"/>
    <w:rsid w:val="00ED7FAF"/>
    <w:rsid w:val="00EE1218"/>
    <w:rsid w:val="00EE3120"/>
    <w:rsid w:val="00F027AD"/>
    <w:rsid w:val="00F12269"/>
    <w:rsid w:val="00F12CEE"/>
    <w:rsid w:val="00F136CC"/>
    <w:rsid w:val="00F164B0"/>
    <w:rsid w:val="00F21715"/>
    <w:rsid w:val="00F23606"/>
    <w:rsid w:val="00F27338"/>
    <w:rsid w:val="00F33871"/>
    <w:rsid w:val="00F3757F"/>
    <w:rsid w:val="00F37C47"/>
    <w:rsid w:val="00F51617"/>
    <w:rsid w:val="00F5373E"/>
    <w:rsid w:val="00F56EDF"/>
    <w:rsid w:val="00F660DF"/>
    <w:rsid w:val="00F6644A"/>
    <w:rsid w:val="00F66D7D"/>
    <w:rsid w:val="00F72F61"/>
    <w:rsid w:val="00F77FB9"/>
    <w:rsid w:val="00F80094"/>
    <w:rsid w:val="00F8021C"/>
    <w:rsid w:val="00F811A7"/>
    <w:rsid w:val="00F81D54"/>
    <w:rsid w:val="00F82AB9"/>
    <w:rsid w:val="00F83033"/>
    <w:rsid w:val="00F83461"/>
    <w:rsid w:val="00F86F7C"/>
    <w:rsid w:val="00F945E7"/>
    <w:rsid w:val="00F95C08"/>
    <w:rsid w:val="00F95DD1"/>
    <w:rsid w:val="00F97771"/>
    <w:rsid w:val="00FA4219"/>
    <w:rsid w:val="00FA7E7D"/>
    <w:rsid w:val="00FB039A"/>
    <w:rsid w:val="00FB319B"/>
    <w:rsid w:val="00FC430E"/>
    <w:rsid w:val="00FD0DF6"/>
    <w:rsid w:val="00FD196C"/>
    <w:rsid w:val="00FD6780"/>
    <w:rsid w:val="00FD6A12"/>
    <w:rsid w:val="00FE1E36"/>
    <w:rsid w:val="00FE20BC"/>
    <w:rsid w:val="00FE77B9"/>
    <w:rsid w:val="00FE7FD9"/>
    <w:rsid w:val="00FF081C"/>
    <w:rsid w:val="00FF21B8"/>
    <w:rsid w:val="00FF72A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D81A7"/>
  <w15:docId w15:val="{F8D36A2D-6D0F-443F-A2EE-8BF41744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6B"/>
    <w:pPr>
      <w:suppressAutoHyphens/>
      <w:spacing w:line="240" w:lineRule="atLeast"/>
    </w:pPr>
    <w:rPr>
      <w:rFonts w:eastAsia="Times New Roman"/>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character" w:customStyle="1" w:styleId="SingleTxtGChar">
    <w:name w:val="_ Single Txt_G Char"/>
    <w:link w:val="SingleTxtG"/>
    <w:locked/>
    <w:rsid w:val="00597A6B"/>
  </w:style>
  <w:style w:type="paragraph" w:styleId="BalloonText">
    <w:name w:val="Balloon Text"/>
    <w:basedOn w:val="Normal"/>
    <w:link w:val="BalloonTextChar"/>
    <w:uiPriority w:val="99"/>
    <w:semiHidden/>
    <w:unhideWhenUsed/>
    <w:rsid w:val="00DC5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87"/>
    <w:rPr>
      <w:rFonts w:ascii="Segoe UI" w:eastAsia="Times New Roman" w:hAnsi="Segoe UI" w:cs="Segoe UI"/>
      <w:sz w:val="18"/>
      <w:szCs w:val="18"/>
      <w:lang w:val="en-GB"/>
    </w:rPr>
  </w:style>
  <w:style w:type="paragraph" w:styleId="ListParagraph">
    <w:name w:val="List Paragraph"/>
    <w:basedOn w:val="Normal"/>
    <w:uiPriority w:val="34"/>
    <w:qFormat/>
    <w:rsid w:val="001E70F9"/>
    <w:pPr>
      <w:ind w:left="720"/>
      <w:contextualSpacing/>
    </w:pPr>
  </w:style>
  <w:style w:type="character" w:styleId="CommentReference">
    <w:name w:val="annotation reference"/>
    <w:basedOn w:val="DefaultParagraphFont"/>
    <w:uiPriority w:val="99"/>
    <w:semiHidden/>
    <w:unhideWhenUsed/>
    <w:rsid w:val="00214065"/>
    <w:rPr>
      <w:sz w:val="16"/>
      <w:szCs w:val="16"/>
    </w:rPr>
  </w:style>
  <w:style w:type="paragraph" w:styleId="CommentText">
    <w:name w:val="annotation text"/>
    <w:basedOn w:val="Normal"/>
    <w:link w:val="CommentTextChar"/>
    <w:uiPriority w:val="99"/>
    <w:semiHidden/>
    <w:unhideWhenUsed/>
    <w:rsid w:val="00214065"/>
    <w:pPr>
      <w:spacing w:line="240" w:lineRule="auto"/>
    </w:pPr>
  </w:style>
  <w:style w:type="character" w:customStyle="1" w:styleId="CommentTextChar">
    <w:name w:val="Comment Text Char"/>
    <w:basedOn w:val="DefaultParagraphFont"/>
    <w:link w:val="CommentText"/>
    <w:uiPriority w:val="99"/>
    <w:semiHidden/>
    <w:rsid w:val="00214065"/>
    <w:rPr>
      <w:rFonts w:eastAsia="Times New Roman"/>
      <w:lang w:val="en-GB"/>
    </w:rPr>
  </w:style>
  <w:style w:type="paragraph" w:styleId="CommentSubject">
    <w:name w:val="annotation subject"/>
    <w:basedOn w:val="CommentText"/>
    <w:next w:val="CommentText"/>
    <w:link w:val="CommentSubjectChar"/>
    <w:uiPriority w:val="99"/>
    <w:semiHidden/>
    <w:unhideWhenUsed/>
    <w:rsid w:val="00214065"/>
    <w:rPr>
      <w:b/>
      <w:bCs/>
    </w:rPr>
  </w:style>
  <w:style w:type="character" w:customStyle="1" w:styleId="CommentSubjectChar">
    <w:name w:val="Comment Subject Char"/>
    <w:basedOn w:val="CommentTextChar"/>
    <w:link w:val="CommentSubject"/>
    <w:uiPriority w:val="99"/>
    <w:semiHidden/>
    <w:rsid w:val="00214065"/>
    <w:rPr>
      <w:rFonts w:eastAsia="Times New Roman"/>
      <w:b/>
      <w:bCs/>
      <w:lang w:val="en-GB"/>
    </w:rPr>
  </w:style>
  <w:style w:type="paragraph" w:customStyle="1" w:styleId="Default">
    <w:name w:val="Default"/>
    <w:rsid w:val="00635D39"/>
    <w:pPr>
      <w:autoSpaceDE w:val="0"/>
      <w:autoSpaceDN w:val="0"/>
      <w:adjustRightInd w:val="0"/>
    </w:pPr>
    <w:rPr>
      <w:color w:val="000000"/>
      <w:sz w:val="24"/>
      <w:szCs w:val="24"/>
      <w:lang w:val="en-GB"/>
    </w:rPr>
  </w:style>
  <w:style w:type="paragraph" w:customStyle="1" w:styleId="SingleTxt">
    <w:name w:val="__Single Txt"/>
    <w:basedOn w:val="Normal"/>
    <w:link w:val="SingleTxtChar"/>
    <w:rsid w:val="002E07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h2">
    <w:name w:val="h2"/>
    <w:basedOn w:val="DefaultParagraphFont"/>
    <w:rsid w:val="0073234D"/>
  </w:style>
  <w:style w:type="character" w:customStyle="1" w:styleId="SingleTxtChar">
    <w:name w:val="__Single Txt Char"/>
    <w:link w:val="SingleTxt"/>
    <w:rsid w:val="002418D7"/>
    <w:rPr>
      <w:spacing w:val="4"/>
      <w:w w:val="103"/>
      <w:kern w:val="14"/>
      <w:lang w:val="en-GB"/>
    </w:rPr>
  </w:style>
  <w:style w:type="character" w:styleId="UnresolvedMention">
    <w:name w:val="Unresolved Mention"/>
    <w:basedOn w:val="DefaultParagraphFont"/>
    <w:uiPriority w:val="99"/>
    <w:semiHidden/>
    <w:unhideWhenUsed/>
    <w:rsid w:val="0022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3617">
      <w:bodyDiv w:val="1"/>
      <w:marLeft w:val="0"/>
      <w:marRight w:val="0"/>
      <w:marTop w:val="0"/>
      <w:marBottom w:val="0"/>
      <w:divBdr>
        <w:top w:val="none" w:sz="0" w:space="0" w:color="auto"/>
        <w:left w:val="none" w:sz="0" w:space="0" w:color="auto"/>
        <w:bottom w:val="none" w:sz="0" w:space="0" w:color="auto"/>
        <w:right w:val="none" w:sz="0" w:space="0" w:color="auto"/>
      </w:divBdr>
    </w:div>
    <w:div w:id="672685153">
      <w:bodyDiv w:val="1"/>
      <w:marLeft w:val="0"/>
      <w:marRight w:val="0"/>
      <w:marTop w:val="0"/>
      <w:marBottom w:val="0"/>
      <w:divBdr>
        <w:top w:val="none" w:sz="0" w:space="0" w:color="auto"/>
        <w:left w:val="none" w:sz="0" w:space="0" w:color="auto"/>
        <w:bottom w:val="none" w:sz="0" w:space="0" w:color="auto"/>
        <w:right w:val="none" w:sz="0" w:space="0" w:color="auto"/>
      </w:divBdr>
    </w:div>
    <w:div w:id="893348065">
      <w:bodyDiv w:val="1"/>
      <w:marLeft w:val="0"/>
      <w:marRight w:val="0"/>
      <w:marTop w:val="0"/>
      <w:marBottom w:val="0"/>
      <w:divBdr>
        <w:top w:val="none" w:sz="0" w:space="0" w:color="auto"/>
        <w:left w:val="none" w:sz="0" w:space="0" w:color="auto"/>
        <w:bottom w:val="none" w:sz="0" w:space="0" w:color="auto"/>
        <w:right w:val="none" w:sz="0" w:space="0" w:color="auto"/>
      </w:divBdr>
    </w:div>
    <w:div w:id="978387462">
      <w:bodyDiv w:val="1"/>
      <w:marLeft w:val="0"/>
      <w:marRight w:val="0"/>
      <w:marTop w:val="0"/>
      <w:marBottom w:val="0"/>
      <w:divBdr>
        <w:top w:val="none" w:sz="0" w:space="0" w:color="auto"/>
        <w:left w:val="none" w:sz="0" w:space="0" w:color="auto"/>
        <w:bottom w:val="none" w:sz="0" w:space="0" w:color="auto"/>
        <w:right w:val="none" w:sz="0" w:space="0" w:color="auto"/>
      </w:divBdr>
    </w:div>
    <w:div w:id="1227686990">
      <w:bodyDiv w:val="1"/>
      <w:marLeft w:val="0"/>
      <w:marRight w:val="0"/>
      <w:marTop w:val="0"/>
      <w:marBottom w:val="0"/>
      <w:divBdr>
        <w:top w:val="none" w:sz="0" w:space="0" w:color="auto"/>
        <w:left w:val="none" w:sz="0" w:space="0" w:color="auto"/>
        <w:bottom w:val="none" w:sz="0" w:space="0" w:color="auto"/>
        <w:right w:val="none" w:sz="0" w:space="0" w:color="auto"/>
      </w:divBdr>
    </w:div>
    <w:div w:id="1527912674">
      <w:bodyDiv w:val="1"/>
      <w:marLeft w:val="0"/>
      <w:marRight w:val="0"/>
      <w:marTop w:val="0"/>
      <w:marBottom w:val="0"/>
      <w:divBdr>
        <w:top w:val="none" w:sz="0" w:space="0" w:color="auto"/>
        <w:left w:val="none" w:sz="0" w:space="0" w:color="auto"/>
        <w:bottom w:val="none" w:sz="0" w:space="0" w:color="auto"/>
        <w:right w:val="none" w:sz="0" w:space="0" w:color="auto"/>
      </w:divBdr>
    </w:div>
    <w:div w:id="1939679282">
      <w:bodyDiv w:val="1"/>
      <w:marLeft w:val="0"/>
      <w:marRight w:val="0"/>
      <w:marTop w:val="0"/>
      <w:marBottom w:val="0"/>
      <w:divBdr>
        <w:top w:val="none" w:sz="0" w:space="0" w:color="auto"/>
        <w:left w:val="none" w:sz="0" w:space="0" w:color="auto"/>
        <w:bottom w:val="none" w:sz="0" w:space="0" w:color="auto"/>
        <w:right w:val="none" w:sz="0" w:space="0" w:color="auto"/>
      </w:divBdr>
    </w:div>
    <w:div w:id="2043479621">
      <w:bodyDiv w:val="1"/>
      <w:marLeft w:val="0"/>
      <w:marRight w:val="0"/>
      <w:marTop w:val="0"/>
      <w:marBottom w:val="0"/>
      <w:divBdr>
        <w:top w:val="none" w:sz="0" w:space="0" w:color="auto"/>
        <w:left w:val="none" w:sz="0" w:space="0" w:color="auto"/>
        <w:bottom w:val="none" w:sz="0" w:space="0" w:color="auto"/>
        <w:right w:val="none" w:sz="0" w:space="0" w:color="auto"/>
      </w:divBdr>
    </w:div>
    <w:div w:id="20809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ohchr.org/,DanaInfo=documents.un.org+" TargetMode="External"/><Relationship Id="rId13" Type="http://schemas.openxmlformats.org/officeDocument/2006/relationships/hyperlink" Target="https://tbinternet.ohchr.org/_layouts/15/treatybodyexternal/Download.aspx?symbolno=CEDAW%2fC%2fPER%2fCO%2f9&amp;Lang=en" TargetMode="External"/><Relationship Id="rId18" Type="http://schemas.openxmlformats.org/officeDocument/2006/relationships/hyperlink" Target="http://documents.u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EDAW%2fC%2fPAN%2fCO%2f8&amp;Lang=en" TargetMode="External"/><Relationship Id="rId17" Type="http://schemas.openxmlformats.org/officeDocument/2006/relationships/hyperlink" Target="https://tbinternet.ohchr.org/_layouts/15/treatybodyexternal/Download.aspx?symbolno=INT%2fCEDAW%2fSED%2f81%2f33582&amp;Lang=e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EDAW%2fC%2fUZB%2fCO%2f6&amp;Lang=en" TargetMode="External"/><Relationship Id="rId20" Type="http://schemas.openxmlformats.org/officeDocument/2006/relationships/hyperlink" Target="https://tbinternet.ohchr.org/_layouts/15/treatybodyexternal/Download.aspx?symbolno=INT%2fCEDAW%2fSED%2f81%2f33583&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EDAW%2fC%2fLBN%2fCO%2f6&amp;Lang=e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EDAW%2fC%2fUGA%2fCO%2f8-9&amp;Lang=en" TargetMode="External"/><Relationship Id="rId23" Type="http://schemas.openxmlformats.org/officeDocument/2006/relationships/customXml" Target="../customXml/item2.xml"/><Relationship Id="rId10" Type="http://schemas.openxmlformats.org/officeDocument/2006/relationships/hyperlink" Target="https://tbinternet.ohchr.org/_layouts/15/treatybodyexternal/Download.aspx?symbolno=CEDAW%2fC%2fGAB%2fCO%2f7&amp;Lang=en" TargetMode="External"/><Relationship Id="rId19" Type="http://schemas.openxmlformats.org/officeDocument/2006/relationships/hyperlink" Target="http://juris.ohchr.org/"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EDAW%2fC%2fDOM%2fCO%2f8&amp;Lang=en" TargetMode="External"/><Relationship Id="rId14" Type="http://schemas.openxmlformats.org/officeDocument/2006/relationships/hyperlink" Target="https://tbinternet.ohchr.org/_layouts/15/treatybodyexternal/Download.aspx?symbolno=CEDAW%2fC%2fSEN%2fCO%2f8&amp;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CC1F3-FEEA-4350-9E98-440CB167A7B7}">
  <ds:schemaRefs>
    <ds:schemaRef ds:uri="http://schemas.openxmlformats.org/officeDocument/2006/bibliography"/>
  </ds:schemaRefs>
</ds:datastoreItem>
</file>

<file path=customXml/itemProps2.xml><?xml version="1.0" encoding="utf-8"?>
<ds:datastoreItem xmlns:ds="http://schemas.openxmlformats.org/officeDocument/2006/customXml" ds:itemID="{27CBC23A-0989-46FF-B171-B365B61CA5C8}"/>
</file>

<file path=customXml/itemProps3.xml><?xml version="1.0" encoding="utf-8"?>
<ds:datastoreItem xmlns:ds="http://schemas.openxmlformats.org/officeDocument/2006/customXml" ds:itemID="{045EBD04-DE48-4EDF-BDFD-EA63A3865AC4}"/>
</file>

<file path=customXml/itemProps4.xml><?xml version="1.0" encoding="utf-8"?>
<ds:datastoreItem xmlns:ds="http://schemas.openxmlformats.org/officeDocument/2006/customXml" ds:itemID="{D5E1C264-F964-494C-A7DB-FD534837139C}"/>
</file>

<file path=docProps/app.xml><?xml version="1.0" encoding="utf-8"?>
<Properties xmlns="http://schemas.openxmlformats.org/officeDocument/2006/extended-properties" xmlns:vt="http://schemas.openxmlformats.org/officeDocument/2006/docPropsVTypes">
  <Template>Normal.dotm</Template>
  <TotalTime>33</TotalTime>
  <Pages>10</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del Pilar Sandoval</dc:creator>
  <cp:keywords/>
  <dc:description/>
  <cp:lastModifiedBy>SEERATHUN Jamila</cp:lastModifiedBy>
  <cp:revision>4</cp:revision>
  <cp:lastPrinted>2018-11-09T11:12:00Z</cp:lastPrinted>
  <dcterms:created xsi:type="dcterms:W3CDTF">2022-03-04T09:45:00Z</dcterms:created>
  <dcterms:modified xsi:type="dcterms:W3CDTF">2022-03-04T10:57:00Z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