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28D3" w:rsidR="00014566" w:rsidP="001428D3" w:rsidRDefault="00014566">
      <w:pPr>
        <w:pStyle w:val="ECHRDecisionBody"/>
      </w:pPr>
      <w:bookmarkStart w:name="_GoBack" w:id="0"/>
      <w:bookmarkEnd w:id="0"/>
    </w:p>
    <w:p w:rsidRPr="001428D3" w:rsidR="009845BA" w:rsidP="001428D3" w:rsidRDefault="009845BA">
      <w:pPr>
        <w:pStyle w:val="ECHRDecisionBody"/>
      </w:pPr>
    </w:p>
    <w:p w:rsidRPr="001428D3" w:rsidR="009845BA" w:rsidP="001428D3" w:rsidRDefault="009845BA">
      <w:pPr>
        <w:pStyle w:val="ECHRDecisionBody"/>
      </w:pPr>
    </w:p>
    <w:p w:rsidRPr="001428D3" w:rsidR="00014566" w:rsidP="001428D3" w:rsidRDefault="007133FE">
      <w:pPr>
        <w:jc w:val="center"/>
      </w:pPr>
      <w:r w:rsidRPr="001428D3">
        <w:t>FIRST SECTION</w:t>
      </w:r>
    </w:p>
    <w:p w:rsidRPr="001428D3" w:rsidR="00014566" w:rsidP="001428D3" w:rsidRDefault="00014566">
      <w:pPr>
        <w:jc w:val="center"/>
      </w:pPr>
    </w:p>
    <w:p w:rsidRPr="001428D3" w:rsidR="00E665A8" w:rsidP="001428D3" w:rsidRDefault="00E665A8">
      <w:pPr>
        <w:jc w:val="center"/>
      </w:pPr>
    </w:p>
    <w:p w:rsidRPr="001428D3" w:rsidR="009845BA" w:rsidP="001428D3" w:rsidRDefault="009845BA">
      <w:pPr>
        <w:jc w:val="center"/>
      </w:pPr>
    </w:p>
    <w:p w:rsidRPr="001428D3" w:rsidR="00E665A8" w:rsidP="001428D3" w:rsidRDefault="00E665A8">
      <w:pPr>
        <w:jc w:val="center"/>
      </w:pPr>
    </w:p>
    <w:p w:rsidRPr="001428D3" w:rsidR="009845BA" w:rsidP="001428D3" w:rsidRDefault="009845BA">
      <w:pPr>
        <w:jc w:val="center"/>
      </w:pPr>
    </w:p>
    <w:p w:rsidRPr="001428D3" w:rsidR="009845BA" w:rsidP="001428D3" w:rsidRDefault="009845BA">
      <w:pPr>
        <w:jc w:val="center"/>
      </w:pPr>
    </w:p>
    <w:p w:rsidRPr="001428D3" w:rsidR="009845BA" w:rsidP="001428D3" w:rsidRDefault="009845BA">
      <w:pPr>
        <w:jc w:val="center"/>
      </w:pPr>
    </w:p>
    <w:p w:rsidRPr="001428D3" w:rsidR="009B4889" w:rsidP="001428D3" w:rsidRDefault="009B4889">
      <w:pPr>
        <w:pStyle w:val="JuCase"/>
      </w:pPr>
    </w:p>
    <w:p w:rsidRPr="001428D3" w:rsidR="00020384" w:rsidP="001428D3" w:rsidRDefault="00020384">
      <w:pPr>
        <w:jc w:val="center"/>
        <w:outlineLvl w:val="0"/>
        <w:rPr>
          <w:b/>
        </w:rPr>
      </w:pPr>
      <w:bookmarkStart w:name="_Toc501375608" w:id="1"/>
      <w:r w:rsidRPr="001428D3">
        <w:rPr>
          <w:b/>
        </w:rPr>
        <w:t>CASE OF SHARXHI AND OTHERS v. ALBANIA</w:t>
      </w:r>
      <w:bookmarkEnd w:id="1"/>
    </w:p>
    <w:p w:rsidRPr="001428D3" w:rsidR="00020384" w:rsidP="001428D3" w:rsidRDefault="00020384">
      <w:pPr>
        <w:jc w:val="right"/>
      </w:pPr>
    </w:p>
    <w:p w:rsidRPr="001428D3" w:rsidR="00020384" w:rsidP="001428D3" w:rsidRDefault="00020384">
      <w:pPr>
        <w:jc w:val="center"/>
        <w:rPr>
          <w:i/>
        </w:rPr>
      </w:pPr>
      <w:r w:rsidRPr="001428D3">
        <w:rPr>
          <w:i/>
        </w:rPr>
        <w:t>(Application no. 10613/16)</w:t>
      </w: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pPr>
    </w:p>
    <w:p w:rsidRPr="001428D3" w:rsidR="00020384" w:rsidP="001428D3" w:rsidRDefault="00020384">
      <w:pPr>
        <w:jc w:val="center"/>
        <w:outlineLvl w:val="0"/>
      </w:pPr>
      <w:bookmarkStart w:name="_Toc501375609" w:id="2"/>
      <w:r w:rsidRPr="001428D3">
        <w:t>JUDGMENT</w:t>
      </w:r>
      <w:bookmarkEnd w:id="2"/>
    </w:p>
    <w:p w:rsidRPr="001428D3" w:rsidR="00020384" w:rsidP="001428D3" w:rsidRDefault="00020384">
      <w:pPr>
        <w:jc w:val="center"/>
      </w:pPr>
    </w:p>
    <w:p w:rsidRPr="001428D3" w:rsidR="00020384" w:rsidP="001428D3" w:rsidRDefault="00020384">
      <w:pPr>
        <w:jc w:val="center"/>
        <w:rPr>
          <w:i/>
        </w:rPr>
      </w:pPr>
    </w:p>
    <w:p w:rsidRPr="001428D3" w:rsidR="00020384" w:rsidP="001428D3" w:rsidRDefault="00020384">
      <w:pPr>
        <w:jc w:val="center"/>
        <w:outlineLvl w:val="0"/>
      </w:pPr>
      <w:bookmarkStart w:name="_Toc501375610" w:id="3"/>
      <w:r w:rsidRPr="001428D3">
        <w:t>STRASBOURG</w:t>
      </w:r>
      <w:bookmarkEnd w:id="3"/>
    </w:p>
    <w:p w:rsidRPr="001428D3" w:rsidR="00020384" w:rsidP="001428D3" w:rsidRDefault="00020384">
      <w:pPr>
        <w:jc w:val="center"/>
      </w:pPr>
    </w:p>
    <w:p w:rsidRPr="001428D3" w:rsidR="00020384" w:rsidP="001428D3" w:rsidRDefault="00020384">
      <w:pPr>
        <w:jc w:val="center"/>
      </w:pPr>
      <w:r w:rsidRPr="001428D3">
        <w:t>11 January 2018</w:t>
      </w:r>
    </w:p>
    <w:p w:rsidRPr="001428D3" w:rsidR="00020384" w:rsidP="001428D3" w:rsidRDefault="00020384">
      <w:pPr>
        <w:jc w:val="center"/>
      </w:pPr>
    </w:p>
    <w:p w:rsidRPr="001428D3" w:rsidR="00C95B46" w:rsidP="001428D3" w:rsidRDefault="00C95B46">
      <w:pPr>
        <w:jc w:val="center"/>
      </w:pPr>
    </w:p>
    <w:p w:rsidRPr="001428D3" w:rsidR="001428D3" w:rsidP="001428D3" w:rsidRDefault="001428D3">
      <w:pPr>
        <w:pStyle w:val="jucase0"/>
        <w:ind w:firstLine="0"/>
        <w:jc w:val="center"/>
        <w:rPr>
          <w:color w:val="FF0000"/>
          <w:sz w:val="28"/>
          <w:szCs w:val="28"/>
          <w:u w:val="single"/>
        </w:rPr>
      </w:pPr>
      <w:r w:rsidRPr="001428D3">
        <w:rPr>
          <w:color w:val="FF0000"/>
          <w:sz w:val="28"/>
          <w:szCs w:val="28"/>
          <w:u w:val="single"/>
        </w:rPr>
        <w:t>FINAL</w:t>
      </w:r>
    </w:p>
    <w:p w:rsidRPr="001428D3" w:rsidR="001428D3" w:rsidP="001428D3" w:rsidRDefault="001428D3">
      <w:pPr>
        <w:pStyle w:val="jupara"/>
        <w:tabs>
          <w:tab w:val="left" w:pos="4650"/>
        </w:tabs>
        <w:ind w:firstLine="0"/>
        <w:jc w:val="center"/>
        <w:rPr>
          <w:color w:val="FF0000"/>
          <w:sz w:val="28"/>
          <w:szCs w:val="28"/>
        </w:rPr>
      </w:pPr>
    </w:p>
    <w:p w:rsidRPr="001428D3" w:rsidR="001428D3" w:rsidP="001428D3" w:rsidRDefault="001428D3">
      <w:pPr>
        <w:pStyle w:val="jupara"/>
        <w:ind w:firstLine="0"/>
        <w:jc w:val="center"/>
        <w:rPr>
          <w:color w:val="FF0000"/>
          <w:sz w:val="28"/>
          <w:szCs w:val="28"/>
        </w:rPr>
      </w:pPr>
      <w:r w:rsidRPr="001428D3">
        <w:rPr>
          <w:color w:val="FF0000"/>
          <w:sz w:val="28"/>
          <w:szCs w:val="28"/>
        </w:rPr>
        <w:t>28/05/2018</w:t>
      </w:r>
    </w:p>
    <w:p w:rsidRPr="001428D3" w:rsidR="001428D3" w:rsidP="001428D3" w:rsidRDefault="001428D3">
      <w:pPr>
        <w:pStyle w:val="jupara"/>
        <w:ind w:firstLine="0"/>
        <w:jc w:val="center"/>
      </w:pPr>
    </w:p>
    <w:p w:rsidRPr="001428D3" w:rsidR="001428D3" w:rsidP="001428D3" w:rsidRDefault="001428D3">
      <w:pPr>
        <w:jc w:val="center"/>
        <w:rPr>
          <w:i/>
          <w:iCs/>
          <w:sz w:val="22"/>
        </w:rPr>
      </w:pPr>
      <w:r w:rsidRPr="001428D3">
        <w:rPr>
          <w:i/>
          <w:iCs/>
          <w:sz w:val="22"/>
        </w:rPr>
        <w:t>This judgment has become final under Article 44 § 2 of the Convention. It may be subject to editorial revision.</w:t>
      </w:r>
    </w:p>
    <w:p w:rsidRPr="001428D3" w:rsidR="009845BA" w:rsidP="001428D3" w:rsidRDefault="009845BA">
      <w:pPr>
        <w:jc w:val="left"/>
        <w:rPr>
          <w:b/>
        </w:rPr>
      </w:pPr>
    </w:p>
    <w:p w:rsidRPr="001428D3" w:rsidR="00E665A8" w:rsidP="001428D3" w:rsidRDefault="00E665A8">
      <w:pPr>
        <w:jc w:val="left"/>
        <w:rPr>
          <w:b/>
        </w:rPr>
        <w:sectPr w:rsidRPr="001428D3" w:rsidR="00E665A8" w:rsidSect="009845BA">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sdtContent>
      <w:p w:rsidRPr="001428D3" w:rsidR="009845BA" w:rsidP="001428D3" w:rsidRDefault="009845BA">
        <w:pPr>
          <w:pStyle w:val="TOCHeading"/>
          <w:rPr>
            <w:rFonts w:asciiTheme="minorHAnsi" w:hAnsiTheme="minorHAnsi" w:eastAsiaTheme="minorEastAsia"/>
            <w:b w:val="0"/>
            <w:color w:val="auto"/>
            <w:sz w:val="24"/>
            <w:lang w:val="en-US"/>
          </w:rPr>
        </w:pPr>
      </w:p>
      <w:p w:rsidRPr="001428D3" w:rsidR="004B0F33" w:rsidP="001428D3" w:rsidRDefault="004B0F33">
        <w:pPr>
          <w:pStyle w:val="TOCHeading"/>
        </w:pPr>
        <w:r w:rsidRPr="001428D3">
          <w:t>Table of Contents</w:t>
        </w:r>
      </w:p>
      <w:p w:rsidRPr="001428D3" w:rsidR="00E12A1E" w:rsidP="001428D3" w:rsidRDefault="00E12A1E">
        <w:pPr>
          <w:pStyle w:val="TOC1"/>
          <w:rPr>
            <w:b w:val="0"/>
            <w:noProof/>
          </w:rPr>
        </w:pPr>
        <w:r w:rsidRPr="001428D3">
          <w:rPr>
            <w:b w:val="0"/>
          </w:rPr>
          <w:fldChar w:fldCharType="begin"/>
        </w:r>
        <w:r w:rsidRPr="001428D3">
          <w:instrText xml:space="preserve"> TOC \o "1-3" \h \z \u </w:instrText>
        </w:r>
        <w:r w:rsidRPr="001428D3">
          <w:rPr>
            <w:b w:val="0"/>
          </w:rPr>
          <w:fldChar w:fldCharType="separate"/>
        </w:r>
        <w:hyperlink w:history="1" w:anchor="_Toc498016729">
          <w:r w:rsidRPr="001428D3">
            <w:rPr>
              <w:rStyle w:val="Hyperlink"/>
              <w:noProof/>
            </w:rPr>
            <w:t>PROCEDURE</w:t>
          </w:r>
          <w:r w:rsidRPr="001428D3">
            <w:rPr>
              <w:noProof/>
              <w:webHidden/>
            </w:rPr>
            <w:tab/>
          </w:r>
          <w:r w:rsidRPr="001428D3">
            <w:rPr>
              <w:noProof/>
              <w:webHidden/>
            </w:rPr>
            <w:fldChar w:fldCharType="begin"/>
          </w:r>
          <w:r w:rsidRPr="001428D3">
            <w:rPr>
              <w:noProof/>
              <w:webHidden/>
            </w:rPr>
            <w:instrText xml:space="preserve"> PAGEREF _Toc498016729 \h </w:instrText>
          </w:r>
          <w:r w:rsidRPr="001428D3">
            <w:rPr>
              <w:noProof/>
              <w:webHidden/>
            </w:rPr>
          </w:r>
          <w:r w:rsidRPr="001428D3">
            <w:rPr>
              <w:noProof/>
              <w:webHidden/>
            </w:rPr>
            <w:fldChar w:fldCharType="separate"/>
          </w:r>
          <w:r w:rsidRPr="001428D3" w:rsidR="001428D3">
            <w:rPr>
              <w:noProof/>
              <w:webHidden/>
            </w:rPr>
            <w:t>3</w:t>
          </w:r>
          <w:r w:rsidRPr="001428D3">
            <w:rPr>
              <w:noProof/>
              <w:webHidden/>
            </w:rPr>
            <w:fldChar w:fldCharType="end"/>
          </w:r>
        </w:hyperlink>
      </w:p>
      <w:p w:rsidRPr="001428D3" w:rsidR="00E12A1E" w:rsidP="001428D3" w:rsidRDefault="0023523E">
        <w:pPr>
          <w:pStyle w:val="TOC1"/>
          <w:rPr>
            <w:b w:val="0"/>
            <w:noProof/>
          </w:rPr>
        </w:pPr>
        <w:hyperlink w:history="1" w:anchor="_Toc498016730">
          <w:r w:rsidRPr="001428D3" w:rsidR="00E12A1E">
            <w:rPr>
              <w:rStyle w:val="Hyperlink"/>
              <w:noProof/>
            </w:rPr>
            <w:t>THE FACTS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_Toc498016730 \h </w:instrText>
          </w:r>
          <w:r w:rsidRPr="001428D3" w:rsidR="00E12A1E">
            <w:rPr>
              <w:noProof/>
              <w:webHidden/>
            </w:rPr>
          </w:r>
          <w:r w:rsidRPr="001428D3" w:rsidR="00E12A1E">
            <w:rPr>
              <w:noProof/>
              <w:webHidden/>
            </w:rPr>
            <w:fldChar w:fldCharType="separate"/>
          </w:r>
          <w:r w:rsidRPr="001428D3" w:rsidR="001428D3">
            <w:rPr>
              <w:noProof/>
              <w:webHidden/>
            </w:rPr>
            <w:t>4</w:t>
          </w:r>
          <w:r w:rsidRPr="001428D3" w:rsidR="00E12A1E">
            <w:rPr>
              <w:noProof/>
              <w:webHidden/>
            </w:rPr>
            <w:fldChar w:fldCharType="end"/>
          </w:r>
        </w:hyperlink>
      </w:p>
      <w:p w:rsidRPr="001428D3" w:rsidR="00E12A1E" w:rsidP="001428D3" w:rsidRDefault="0023523E">
        <w:pPr>
          <w:pStyle w:val="TOC1"/>
          <w:rPr>
            <w:b w:val="0"/>
            <w:noProof/>
          </w:rPr>
        </w:pPr>
        <w:hyperlink w:history="1" w:anchor="_Toc498016731">
          <w:r w:rsidRPr="001428D3" w:rsidR="00E12A1E">
            <w:rPr>
              <w:rStyle w:val="Hyperlink"/>
              <w:noProof/>
            </w:rPr>
            <w:t>I.  THE CIRCUMSTANCES OF THE CASE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_Toc498016731 \h </w:instrText>
          </w:r>
          <w:r w:rsidRPr="001428D3" w:rsidR="00E12A1E">
            <w:rPr>
              <w:noProof/>
              <w:webHidden/>
            </w:rPr>
          </w:r>
          <w:r w:rsidRPr="001428D3" w:rsidR="00E12A1E">
            <w:rPr>
              <w:noProof/>
              <w:webHidden/>
            </w:rPr>
            <w:fldChar w:fldCharType="separate"/>
          </w:r>
          <w:r w:rsidRPr="001428D3" w:rsidR="001428D3">
            <w:rPr>
              <w:noProof/>
              <w:webHidden/>
            </w:rPr>
            <w:t>4</w:t>
          </w:r>
          <w:r w:rsidRPr="001428D3" w:rsidR="00E12A1E">
            <w:rPr>
              <w:noProof/>
              <w:webHidden/>
            </w:rPr>
            <w:fldChar w:fldCharType="end"/>
          </w:r>
        </w:hyperlink>
      </w:p>
      <w:p w:rsidRPr="001428D3" w:rsidR="00E12A1E" w:rsidP="001428D3" w:rsidRDefault="0023523E">
        <w:pPr>
          <w:pStyle w:val="TOC2"/>
          <w:rPr>
            <w:noProof/>
          </w:rPr>
        </w:pPr>
        <w:hyperlink w:history="1" w:anchor="_Toc498016732">
          <w:r w:rsidRPr="001428D3" w:rsidR="00E12A1E">
            <w:rPr>
              <w:rStyle w:val="Hyperlink"/>
              <w:noProof/>
            </w:rPr>
            <w:t>A.  Background to the case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_Toc498016732 \h </w:instrText>
          </w:r>
          <w:r w:rsidRPr="001428D3" w:rsidR="00E12A1E">
            <w:rPr>
              <w:noProof/>
              <w:webHidden/>
            </w:rPr>
          </w:r>
          <w:r w:rsidRPr="001428D3" w:rsidR="00E12A1E">
            <w:rPr>
              <w:noProof/>
              <w:webHidden/>
            </w:rPr>
            <w:fldChar w:fldCharType="separate"/>
          </w:r>
          <w:r w:rsidRPr="001428D3" w:rsidR="001428D3">
            <w:rPr>
              <w:noProof/>
              <w:webHidden/>
            </w:rPr>
            <w:t>4</w:t>
          </w:r>
          <w:r w:rsidRPr="001428D3" w:rsidR="00E12A1E">
            <w:rPr>
              <w:noProof/>
              <w:webHidden/>
            </w:rPr>
            <w:fldChar w:fldCharType="end"/>
          </w:r>
        </w:hyperlink>
      </w:p>
      <w:p w:rsidRPr="001428D3" w:rsidR="00E12A1E" w:rsidP="001428D3" w:rsidRDefault="0023523E">
        <w:pPr>
          <w:pStyle w:val="TOC2"/>
          <w:rPr>
            <w:noProof/>
          </w:rPr>
        </w:pPr>
        <w:hyperlink w:history="1" w:anchor="_Toc498016733">
          <w:r w:rsidRPr="001428D3" w:rsidR="00E12A1E">
            <w:rPr>
              <w:rStyle w:val="Hyperlink"/>
              <w:noProof/>
            </w:rPr>
            <w:t>B.  Judicial proceedings concerning the interim measure and proceedings for its enforcement</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_Toc498016733 \h </w:instrText>
          </w:r>
          <w:r w:rsidRPr="001428D3" w:rsidR="00E12A1E">
            <w:rPr>
              <w:noProof/>
              <w:webHidden/>
            </w:rPr>
          </w:r>
          <w:r w:rsidRPr="001428D3" w:rsidR="00E12A1E">
            <w:rPr>
              <w:noProof/>
              <w:webHidden/>
            </w:rPr>
            <w:fldChar w:fldCharType="separate"/>
          </w:r>
          <w:r w:rsidRPr="001428D3" w:rsidR="001428D3">
            <w:rPr>
              <w:noProof/>
              <w:webHidden/>
            </w:rPr>
            <w:t>6</w:t>
          </w:r>
          <w:r w:rsidRPr="001428D3" w:rsidR="00E12A1E">
            <w:rPr>
              <w:noProof/>
              <w:webHidden/>
            </w:rPr>
            <w:fldChar w:fldCharType="end"/>
          </w:r>
        </w:hyperlink>
      </w:p>
      <w:p w:rsidRPr="001428D3" w:rsidR="00E12A1E" w:rsidP="001428D3" w:rsidRDefault="0023523E">
        <w:pPr>
          <w:pStyle w:val="TOC2"/>
          <w:rPr>
            <w:noProof/>
          </w:rPr>
        </w:pPr>
        <w:hyperlink w:history="1" w:anchor="_Toc498016734">
          <w:r w:rsidRPr="001428D3" w:rsidR="00E12A1E">
            <w:rPr>
              <w:rStyle w:val="Hyperlink"/>
              <w:noProof/>
            </w:rPr>
            <w:t>C.  Complaint to the Ombudsman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_Toc498016734 \h </w:instrText>
          </w:r>
          <w:r w:rsidRPr="001428D3" w:rsidR="00E12A1E">
            <w:rPr>
              <w:noProof/>
              <w:webHidden/>
            </w:rPr>
          </w:r>
          <w:r w:rsidRPr="001428D3" w:rsidR="00E12A1E">
            <w:rPr>
              <w:noProof/>
              <w:webHidden/>
            </w:rPr>
            <w:fldChar w:fldCharType="separate"/>
          </w:r>
          <w:r w:rsidRPr="001428D3" w:rsidR="001428D3">
            <w:rPr>
              <w:noProof/>
              <w:webHidden/>
            </w:rPr>
            <w:t>8</w:t>
          </w:r>
          <w:r w:rsidRPr="001428D3" w:rsidR="00E12A1E">
            <w:rPr>
              <w:noProof/>
              <w:webHidden/>
            </w:rPr>
            <w:fldChar w:fldCharType="end"/>
          </w:r>
        </w:hyperlink>
      </w:p>
      <w:p w:rsidRPr="001428D3" w:rsidR="00E12A1E" w:rsidP="001428D3" w:rsidRDefault="0023523E">
        <w:pPr>
          <w:pStyle w:val="TOC2"/>
          <w:rPr>
            <w:noProof/>
          </w:rPr>
        </w:pPr>
        <w:hyperlink w:history="1" w:anchor="_Toc498016735">
          <w:r w:rsidRPr="001428D3" w:rsidR="00E12A1E">
            <w:rPr>
              <w:rStyle w:val="Hyperlink"/>
              <w:noProof/>
            </w:rPr>
            <w:t>D.  Proceedings concerning the merits of the case related to the seizure of the building</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_Toc498016735 \h </w:instrText>
          </w:r>
          <w:r w:rsidRPr="001428D3" w:rsidR="00E12A1E">
            <w:rPr>
              <w:noProof/>
              <w:webHidden/>
            </w:rPr>
          </w:r>
          <w:r w:rsidRPr="001428D3" w:rsidR="00E12A1E">
            <w:rPr>
              <w:noProof/>
              <w:webHidden/>
            </w:rPr>
            <w:fldChar w:fldCharType="separate"/>
          </w:r>
          <w:r w:rsidRPr="001428D3" w:rsidR="001428D3">
            <w:rPr>
              <w:noProof/>
              <w:webHidden/>
            </w:rPr>
            <w:t>9</w:t>
          </w:r>
          <w:r w:rsidRPr="001428D3" w:rsidR="00E12A1E">
            <w:rPr>
              <w:noProof/>
              <w:webHidden/>
            </w:rPr>
            <w:fldChar w:fldCharType="end"/>
          </w:r>
        </w:hyperlink>
      </w:p>
      <w:p w:rsidRPr="001428D3" w:rsidR="00E12A1E" w:rsidP="001428D3" w:rsidRDefault="0023523E">
        <w:pPr>
          <w:pStyle w:val="TOC2"/>
          <w:rPr>
            <w:noProof/>
          </w:rPr>
        </w:pPr>
        <w:hyperlink w:history="1" w:anchor="_Toc498016736">
          <w:r w:rsidRPr="001428D3" w:rsidR="00E12A1E">
            <w:rPr>
              <w:rStyle w:val="Hyperlink"/>
              <w:noProof/>
            </w:rPr>
            <w:t>E.  Administrative and judicial proceedings concerning the expropriation and demolition of the applicants</w:t>
          </w:r>
          <w:r w:rsidRPr="001428D3" w:rsidR="001428D3">
            <w:rPr>
              <w:rStyle w:val="Hyperlink"/>
              <w:noProof/>
            </w:rPr>
            <w:t>’</w:t>
          </w:r>
          <w:r w:rsidRPr="001428D3" w:rsidR="00E12A1E">
            <w:rPr>
              <w:rStyle w:val="Hyperlink"/>
              <w:noProof/>
            </w:rPr>
            <w:t xml:space="preserve"> building</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_Toc498016736 \h </w:instrText>
          </w:r>
          <w:r w:rsidRPr="001428D3" w:rsidR="00E12A1E">
            <w:rPr>
              <w:noProof/>
              <w:webHidden/>
            </w:rPr>
          </w:r>
          <w:r w:rsidRPr="001428D3" w:rsidR="00E12A1E">
            <w:rPr>
              <w:noProof/>
              <w:webHidden/>
            </w:rPr>
            <w:fldChar w:fldCharType="separate"/>
          </w:r>
          <w:r w:rsidRPr="001428D3" w:rsidR="001428D3">
            <w:rPr>
              <w:noProof/>
              <w:webHidden/>
            </w:rPr>
            <w:t>10</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37">
          <w:r w:rsidRPr="001428D3" w:rsidR="00E12A1E">
            <w:rPr>
              <w:rStyle w:val="Hyperlink"/>
              <w:noProof/>
            </w:rPr>
            <w:t>1.  Administrative proceedings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_Toc498016737 \h </w:instrText>
          </w:r>
          <w:r w:rsidRPr="001428D3" w:rsidR="00E12A1E">
            <w:rPr>
              <w:noProof/>
              <w:webHidden/>
            </w:rPr>
          </w:r>
          <w:r w:rsidRPr="001428D3" w:rsidR="00E12A1E">
            <w:rPr>
              <w:noProof/>
              <w:webHidden/>
            </w:rPr>
            <w:fldChar w:fldCharType="separate"/>
          </w:r>
          <w:r w:rsidRPr="001428D3" w:rsidR="001428D3">
            <w:rPr>
              <w:noProof/>
              <w:webHidden/>
            </w:rPr>
            <w:t>10</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38">
          <w:r w:rsidRPr="001428D3" w:rsidR="00E12A1E">
            <w:rPr>
              <w:rStyle w:val="Hyperlink"/>
              <w:noProof/>
            </w:rPr>
            <w:t>2.  Judicial proceedings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_Toc498016738 \h </w:instrText>
          </w:r>
          <w:r w:rsidRPr="001428D3" w:rsidR="00E12A1E">
            <w:rPr>
              <w:noProof/>
              <w:webHidden/>
            </w:rPr>
          </w:r>
          <w:r w:rsidRPr="001428D3" w:rsidR="00E12A1E">
            <w:rPr>
              <w:noProof/>
              <w:webHidden/>
            </w:rPr>
            <w:fldChar w:fldCharType="separate"/>
          </w:r>
          <w:r w:rsidRPr="001428D3" w:rsidR="001428D3">
            <w:rPr>
              <w:noProof/>
              <w:webHidden/>
            </w:rPr>
            <w:t>11</w:t>
          </w:r>
          <w:r w:rsidRPr="001428D3" w:rsidR="00E12A1E">
            <w:rPr>
              <w:noProof/>
              <w:webHidden/>
            </w:rPr>
            <w:fldChar w:fldCharType="end"/>
          </w:r>
        </w:hyperlink>
      </w:p>
      <w:p w:rsidRPr="001428D3" w:rsidR="00E12A1E" w:rsidP="001428D3" w:rsidRDefault="0023523E">
        <w:pPr>
          <w:pStyle w:val="TOC2"/>
          <w:rPr>
            <w:noProof/>
          </w:rPr>
        </w:pPr>
        <w:hyperlink w:history="1" w:anchor="_Toc498016739">
          <w:r w:rsidRPr="001428D3" w:rsidR="00E12A1E">
            <w:rPr>
              <w:rStyle w:val="Hyperlink"/>
              <w:noProof/>
            </w:rPr>
            <w:t>F.  Criminal proceedings against State officials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_Toc498016739 \h </w:instrText>
          </w:r>
          <w:r w:rsidRPr="001428D3" w:rsidR="00E12A1E">
            <w:rPr>
              <w:noProof/>
              <w:webHidden/>
            </w:rPr>
          </w:r>
          <w:r w:rsidRPr="001428D3" w:rsidR="00E12A1E">
            <w:rPr>
              <w:noProof/>
              <w:webHidden/>
            </w:rPr>
            <w:fldChar w:fldCharType="separate"/>
          </w:r>
          <w:r w:rsidRPr="001428D3" w:rsidR="001428D3">
            <w:rPr>
              <w:noProof/>
              <w:webHidden/>
            </w:rPr>
            <w:t>15</w:t>
          </w:r>
          <w:r w:rsidRPr="001428D3" w:rsidR="00E12A1E">
            <w:rPr>
              <w:noProof/>
              <w:webHidden/>
            </w:rPr>
            <w:fldChar w:fldCharType="end"/>
          </w:r>
        </w:hyperlink>
      </w:p>
      <w:p w:rsidRPr="001428D3" w:rsidR="00E12A1E" w:rsidP="001428D3" w:rsidRDefault="0023523E">
        <w:pPr>
          <w:pStyle w:val="TOC2"/>
          <w:rPr>
            <w:noProof/>
          </w:rPr>
        </w:pPr>
        <w:hyperlink w:history="1" w:anchor="_Toc498016740">
          <w:r w:rsidRPr="001428D3" w:rsidR="00E12A1E">
            <w:rPr>
              <w:rStyle w:val="Hyperlink"/>
              <w:noProof/>
            </w:rPr>
            <w:t>G.  Other information submitted by the parties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_Toc498016740 \h </w:instrText>
          </w:r>
          <w:r w:rsidRPr="001428D3" w:rsidR="00E12A1E">
            <w:rPr>
              <w:noProof/>
              <w:webHidden/>
            </w:rPr>
          </w:r>
          <w:r w:rsidRPr="001428D3" w:rsidR="00E12A1E">
            <w:rPr>
              <w:noProof/>
              <w:webHidden/>
            </w:rPr>
            <w:fldChar w:fldCharType="separate"/>
          </w:r>
          <w:r w:rsidRPr="001428D3" w:rsidR="001428D3">
            <w:rPr>
              <w:noProof/>
              <w:webHidden/>
            </w:rPr>
            <w:t>17</w:t>
          </w:r>
          <w:r w:rsidRPr="001428D3" w:rsidR="00E12A1E">
            <w:rPr>
              <w:noProof/>
              <w:webHidden/>
            </w:rPr>
            <w:fldChar w:fldCharType="end"/>
          </w:r>
        </w:hyperlink>
      </w:p>
      <w:p w:rsidRPr="001428D3" w:rsidR="00E12A1E" w:rsidP="001428D3" w:rsidRDefault="0023523E">
        <w:pPr>
          <w:pStyle w:val="TOC1"/>
          <w:rPr>
            <w:b w:val="0"/>
            <w:noProof/>
          </w:rPr>
        </w:pPr>
        <w:hyperlink w:history="1" w:anchor="_Toc498016741">
          <w:r w:rsidRPr="001428D3" w:rsidR="00E12A1E">
            <w:rPr>
              <w:rStyle w:val="Hyperlink"/>
              <w:noProof/>
            </w:rPr>
            <w:t>II.  RELEVANT DOMESTIC LAW AND PRACTICE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_Toc498016741 \h </w:instrText>
          </w:r>
          <w:r w:rsidRPr="001428D3" w:rsidR="00E12A1E">
            <w:rPr>
              <w:noProof/>
              <w:webHidden/>
            </w:rPr>
          </w:r>
          <w:r w:rsidRPr="001428D3" w:rsidR="00E12A1E">
            <w:rPr>
              <w:noProof/>
              <w:webHidden/>
            </w:rPr>
            <w:fldChar w:fldCharType="separate"/>
          </w:r>
          <w:r w:rsidRPr="001428D3" w:rsidR="001428D3">
            <w:rPr>
              <w:noProof/>
              <w:webHidden/>
            </w:rPr>
            <w:t>19</w:t>
          </w:r>
          <w:r w:rsidRPr="001428D3" w:rsidR="00E12A1E">
            <w:rPr>
              <w:noProof/>
              <w:webHidden/>
            </w:rPr>
            <w:fldChar w:fldCharType="end"/>
          </w:r>
        </w:hyperlink>
      </w:p>
      <w:p w:rsidRPr="001428D3" w:rsidR="00E12A1E" w:rsidP="001428D3" w:rsidRDefault="0023523E">
        <w:pPr>
          <w:pStyle w:val="TOC2"/>
          <w:rPr>
            <w:noProof/>
          </w:rPr>
        </w:pPr>
        <w:hyperlink w:history="1" w:anchor="_Toc498016742">
          <w:r w:rsidRPr="001428D3" w:rsidR="00E12A1E">
            <w:rPr>
              <w:rStyle w:val="Hyperlink"/>
              <w:noProof/>
            </w:rPr>
            <w:t>A.  Constitution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_Toc498016742 \h </w:instrText>
          </w:r>
          <w:r w:rsidRPr="001428D3" w:rsidR="00E12A1E">
            <w:rPr>
              <w:noProof/>
              <w:webHidden/>
            </w:rPr>
          </w:r>
          <w:r w:rsidRPr="001428D3" w:rsidR="00E12A1E">
            <w:rPr>
              <w:noProof/>
              <w:webHidden/>
            </w:rPr>
            <w:fldChar w:fldCharType="separate"/>
          </w:r>
          <w:r w:rsidRPr="001428D3" w:rsidR="001428D3">
            <w:rPr>
              <w:noProof/>
              <w:webHidden/>
            </w:rPr>
            <w:t>19</w:t>
          </w:r>
          <w:r w:rsidRPr="001428D3" w:rsidR="00E12A1E">
            <w:rPr>
              <w:noProof/>
              <w:webHidden/>
            </w:rPr>
            <w:fldChar w:fldCharType="end"/>
          </w:r>
        </w:hyperlink>
      </w:p>
      <w:p w:rsidRPr="001428D3" w:rsidR="00E12A1E" w:rsidP="001428D3" w:rsidRDefault="0023523E">
        <w:pPr>
          <w:pStyle w:val="TOC2"/>
          <w:rPr>
            <w:noProof/>
          </w:rPr>
        </w:pPr>
        <w:hyperlink w:history="1" w:anchor="_Toc498016743">
          <w:r w:rsidRPr="001428D3" w:rsidR="00E12A1E">
            <w:rPr>
              <w:rStyle w:val="Hyperlink"/>
              <w:noProof/>
            </w:rPr>
            <w:t>B.  Civil Code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_Toc498016743 \h </w:instrText>
          </w:r>
          <w:r w:rsidRPr="001428D3" w:rsidR="00E12A1E">
            <w:rPr>
              <w:noProof/>
              <w:webHidden/>
            </w:rPr>
          </w:r>
          <w:r w:rsidRPr="001428D3" w:rsidR="00E12A1E">
            <w:rPr>
              <w:noProof/>
              <w:webHidden/>
            </w:rPr>
            <w:fldChar w:fldCharType="separate"/>
          </w:r>
          <w:r w:rsidRPr="001428D3" w:rsidR="001428D3">
            <w:rPr>
              <w:noProof/>
              <w:webHidden/>
            </w:rPr>
            <w:t>20</w:t>
          </w:r>
          <w:r w:rsidRPr="001428D3" w:rsidR="00E12A1E">
            <w:rPr>
              <w:noProof/>
              <w:webHidden/>
            </w:rPr>
            <w:fldChar w:fldCharType="end"/>
          </w:r>
        </w:hyperlink>
      </w:p>
      <w:p w:rsidRPr="001428D3" w:rsidR="00E12A1E" w:rsidP="001428D3" w:rsidRDefault="0023523E">
        <w:pPr>
          <w:pStyle w:val="TOC2"/>
          <w:rPr>
            <w:noProof/>
          </w:rPr>
        </w:pPr>
        <w:hyperlink w:history="1" w:anchor="_Toc498016744">
          <w:r w:rsidRPr="001428D3" w:rsidR="00E12A1E">
            <w:rPr>
              <w:rStyle w:val="Hyperlink"/>
              <w:noProof/>
            </w:rPr>
            <w:t>C.  Code of Civil Procedure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_Toc498016744 \h </w:instrText>
          </w:r>
          <w:r w:rsidRPr="001428D3" w:rsidR="00E12A1E">
            <w:rPr>
              <w:noProof/>
              <w:webHidden/>
            </w:rPr>
          </w:r>
          <w:r w:rsidRPr="001428D3" w:rsidR="00E12A1E">
            <w:rPr>
              <w:noProof/>
              <w:webHidden/>
            </w:rPr>
            <w:fldChar w:fldCharType="separate"/>
          </w:r>
          <w:r w:rsidRPr="001428D3" w:rsidR="001428D3">
            <w:rPr>
              <w:noProof/>
              <w:webHidden/>
            </w:rPr>
            <w:t>20</w:t>
          </w:r>
          <w:r w:rsidRPr="001428D3" w:rsidR="00E12A1E">
            <w:rPr>
              <w:noProof/>
              <w:webHidden/>
            </w:rPr>
            <w:fldChar w:fldCharType="end"/>
          </w:r>
        </w:hyperlink>
      </w:p>
      <w:p w:rsidRPr="001428D3" w:rsidR="00E12A1E" w:rsidP="001428D3" w:rsidRDefault="0023523E">
        <w:pPr>
          <w:pStyle w:val="TOC2"/>
          <w:rPr>
            <w:noProof/>
          </w:rPr>
        </w:pPr>
        <w:hyperlink w:history="1" w:anchor="_Toc498016745">
          <w:r w:rsidRPr="001428D3" w:rsidR="00E12A1E">
            <w:rPr>
              <w:rStyle w:val="Hyperlink"/>
              <w:noProof/>
            </w:rPr>
            <w:t>D.  Administrative Disputes Act</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_Toc498016745 \h </w:instrText>
          </w:r>
          <w:r w:rsidRPr="001428D3" w:rsidR="00E12A1E">
            <w:rPr>
              <w:noProof/>
              <w:webHidden/>
            </w:rPr>
          </w:r>
          <w:r w:rsidRPr="001428D3" w:rsidR="00E12A1E">
            <w:rPr>
              <w:noProof/>
              <w:webHidden/>
            </w:rPr>
            <w:fldChar w:fldCharType="separate"/>
          </w:r>
          <w:r w:rsidRPr="001428D3" w:rsidR="001428D3">
            <w:rPr>
              <w:noProof/>
              <w:webHidden/>
            </w:rPr>
            <w:t>21</w:t>
          </w:r>
          <w:r w:rsidRPr="001428D3" w:rsidR="00E12A1E">
            <w:rPr>
              <w:noProof/>
              <w:webHidden/>
            </w:rPr>
            <w:fldChar w:fldCharType="end"/>
          </w:r>
        </w:hyperlink>
      </w:p>
      <w:p w:rsidRPr="001428D3" w:rsidR="00E12A1E" w:rsidP="001428D3" w:rsidRDefault="0023523E">
        <w:pPr>
          <w:pStyle w:val="TOC2"/>
          <w:rPr>
            <w:noProof/>
          </w:rPr>
        </w:pPr>
        <w:hyperlink w:history="1" w:anchor="_Toc498016746">
          <w:r w:rsidRPr="001428D3" w:rsidR="00E12A1E">
            <w:rPr>
              <w:rStyle w:val="Hyperlink"/>
              <w:noProof/>
            </w:rPr>
            <w:t>E.  Expropriation Act</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_Toc498016746 \h </w:instrText>
          </w:r>
          <w:r w:rsidRPr="001428D3" w:rsidR="00E12A1E">
            <w:rPr>
              <w:noProof/>
              <w:webHidden/>
            </w:rPr>
          </w:r>
          <w:r w:rsidRPr="001428D3" w:rsidR="00E12A1E">
            <w:rPr>
              <w:noProof/>
              <w:webHidden/>
            </w:rPr>
            <w:fldChar w:fldCharType="separate"/>
          </w:r>
          <w:r w:rsidRPr="001428D3" w:rsidR="001428D3">
            <w:rPr>
              <w:noProof/>
              <w:webHidden/>
            </w:rPr>
            <w:t>21</w:t>
          </w:r>
          <w:r w:rsidRPr="001428D3" w:rsidR="00E12A1E">
            <w:rPr>
              <w:noProof/>
              <w:webHidden/>
            </w:rPr>
            <w:fldChar w:fldCharType="end"/>
          </w:r>
        </w:hyperlink>
      </w:p>
      <w:p w:rsidRPr="001428D3" w:rsidR="00E12A1E" w:rsidP="001428D3" w:rsidRDefault="0023523E">
        <w:pPr>
          <w:pStyle w:val="TOC2"/>
          <w:rPr>
            <w:noProof/>
          </w:rPr>
        </w:pPr>
        <w:hyperlink w:history="1" w:anchor="_Toc498016747">
          <w:r w:rsidRPr="001428D3" w:rsidR="00E12A1E">
            <w:rPr>
              <w:rStyle w:val="Hyperlink"/>
              <w:noProof/>
            </w:rPr>
            <w:t>F.  Other Acts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_Toc498016747 \h </w:instrText>
          </w:r>
          <w:r w:rsidRPr="001428D3" w:rsidR="00E12A1E">
            <w:rPr>
              <w:noProof/>
              <w:webHidden/>
            </w:rPr>
          </w:r>
          <w:r w:rsidRPr="001428D3" w:rsidR="00E12A1E">
            <w:rPr>
              <w:noProof/>
              <w:webHidden/>
            </w:rPr>
            <w:fldChar w:fldCharType="separate"/>
          </w:r>
          <w:r w:rsidRPr="001428D3" w:rsidR="001428D3">
            <w:rPr>
              <w:noProof/>
              <w:webHidden/>
            </w:rPr>
            <w:t>23</w:t>
          </w:r>
          <w:r w:rsidRPr="001428D3" w:rsidR="00E12A1E">
            <w:rPr>
              <w:noProof/>
              <w:webHidden/>
            </w:rPr>
            <w:fldChar w:fldCharType="end"/>
          </w:r>
        </w:hyperlink>
      </w:p>
      <w:p w:rsidRPr="001428D3" w:rsidR="00E12A1E" w:rsidP="001428D3" w:rsidRDefault="0023523E">
        <w:pPr>
          <w:pStyle w:val="TOC2"/>
          <w:rPr>
            <w:noProof/>
          </w:rPr>
        </w:pPr>
        <w:hyperlink w:history="1" w:anchor="_Toc498016748">
          <w:r w:rsidRPr="001428D3" w:rsidR="00E12A1E">
            <w:rPr>
              <w:rStyle w:val="Hyperlink"/>
              <w:noProof/>
            </w:rPr>
            <w:t>G.  Relevant domestic case-law</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_Toc498016748 \h </w:instrText>
          </w:r>
          <w:r w:rsidRPr="001428D3" w:rsidR="00E12A1E">
            <w:rPr>
              <w:noProof/>
              <w:webHidden/>
            </w:rPr>
          </w:r>
          <w:r w:rsidRPr="001428D3" w:rsidR="00E12A1E">
            <w:rPr>
              <w:noProof/>
              <w:webHidden/>
            </w:rPr>
            <w:fldChar w:fldCharType="separate"/>
          </w:r>
          <w:r w:rsidRPr="001428D3" w:rsidR="001428D3">
            <w:rPr>
              <w:noProof/>
              <w:webHidden/>
            </w:rPr>
            <w:t>24</w:t>
          </w:r>
          <w:r w:rsidRPr="001428D3" w:rsidR="00E12A1E">
            <w:rPr>
              <w:noProof/>
              <w:webHidden/>
            </w:rPr>
            <w:fldChar w:fldCharType="end"/>
          </w:r>
        </w:hyperlink>
      </w:p>
      <w:p w:rsidRPr="001428D3" w:rsidR="00E12A1E" w:rsidP="001428D3" w:rsidRDefault="0023523E">
        <w:pPr>
          <w:pStyle w:val="TOC1"/>
          <w:rPr>
            <w:b w:val="0"/>
            <w:noProof/>
          </w:rPr>
        </w:pPr>
        <w:hyperlink w:history="1" w:anchor="_Toc498016749">
          <w:r w:rsidRPr="001428D3" w:rsidR="00E12A1E">
            <w:rPr>
              <w:rStyle w:val="Hyperlink"/>
              <w:noProof/>
            </w:rPr>
            <w:t>THE LAW</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_Toc498016749 \h </w:instrText>
          </w:r>
          <w:r w:rsidRPr="001428D3" w:rsidR="00E12A1E">
            <w:rPr>
              <w:noProof/>
              <w:webHidden/>
            </w:rPr>
          </w:r>
          <w:r w:rsidRPr="001428D3" w:rsidR="00E12A1E">
            <w:rPr>
              <w:noProof/>
              <w:webHidden/>
            </w:rPr>
            <w:fldChar w:fldCharType="separate"/>
          </w:r>
          <w:r w:rsidRPr="001428D3" w:rsidR="001428D3">
            <w:rPr>
              <w:noProof/>
              <w:webHidden/>
            </w:rPr>
            <w:t>24</w:t>
          </w:r>
          <w:r w:rsidRPr="001428D3" w:rsidR="00E12A1E">
            <w:rPr>
              <w:noProof/>
              <w:webHidden/>
            </w:rPr>
            <w:fldChar w:fldCharType="end"/>
          </w:r>
        </w:hyperlink>
      </w:p>
      <w:p w:rsidRPr="001428D3" w:rsidR="00E12A1E" w:rsidP="001428D3" w:rsidRDefault="0023523E">
        <w:pPr>
          <w:pStyle w:val="TOC1"/>
          <w:rPr>
            <w:b w:val="0"/>
            <w:noProof/>
          </w:rPr>
        </w:pPr>
        <w:hyperlink w:history="1" w:anchor="_Toc498016750">
          <w:r w:rsidRPr="001428D3" w:rsidR="00E12A1E">
            <w:rPr>
              <w:rStyle w:val="Hyperlink"/>
              <w:noProof/>
            </w:rPr>
            <w:t>I.  ALLEGED VIOLATION OF ARTICLE 6 § 1 TAKEN ALONE AND IN CONJUNCTION WITH ARTICLE 13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_Toc498016750 \h </w:instrText>
          </w:r>
          <w:r w:rsidRPr="001428D3" w:rsidR="00E12A1E">
            <w:rPr>
              <w:noProof/>
              <w:webHidden/>
            </w:rPr>
          </w:r>
          <w:r w:rsidRPr="001428D3" w:rsidR="00E12A1E">
            <w:rPr>
              <w:noProof/>
              <w:webHidden/>
            </w:rPr>
            <w:fldChar w:fldCharType="separate"/>
          </w:r>
          <w:r w:rsidRPr="001428D3" w:rsidR="001428D3">
            <w:rPr>
              <w:noProof/>
              <w:webHidden/>
            </w:rPr>
            <w:t>24</w:t>
          </w:r>
          <w:r w:rsidRPr="001428D3" w:rsidR="00E12A1E">
            <w:rPr>
              <w:noProof/>
              <w:webHidden/>
            </w:rPr>
            <w:fldChar w:fldCharType="end"/>
          </w:r>
        </w:hyperlink>
      </w:p>
      <w:p w:rsidRPr="001428D3" w:rsidR="00E12A1E" w:rsidP="001428D3" w:rsidRDefault="0023523E">
        <w:pPr>
          <w:pStyle w:val="TOC2"/>
          <w:rPr>
            <w:noProof/>
          </w:rPr>
        </w:pPr>
        <w:hyperlink w:history="1" w:anchor="_Toc498016751">
          <w:r w:rsidRPr="001428D3" w:rsidR="00E12A1E">
            <w:rPr>
              <w:rStyle w:val="Hyperlink"/>
              <w:noProof/>
            </w:rPr>
            <w:t>A.  Admissibility</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_Toc498016751 \h </w:instrText>
          </w:r>
          <w:r w:rsidRPr="001428D3" w:rsidR="00E12A1E">
            <w:rPr>
              <w:noProof/>
              <w:webHidden/>
            </w:rPr>
          </w:r>
          <w:r w:rsidRPr="001428D3" w:rsidR="00E12A1E">
            <w:rPr>
              <w:noProof/>
              <w:webHidden/>
            </w:rPr>
            <w:fldChar w:fldCharType="separate"/>
          </w:r>
          <w:r w:rsidRPr="001428D3" w:rsidR="001428D3">
            <w:rPr>
              <w:noProof/>
              <w:webHidden/>
            </w:rPr>
            <w:t>25</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52">
          <w:r w:rsidRPr="001428D3" w:rsidR="00E12A1E">
            <w:rPr>
              <w:rStyle w:val="Hyperlink"/>
              <w:noProof/>
            </w:rPr>
            <w:t>1.  Whether the applicants have exhausted domestic remedies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_Toc498016752 \h </w:instrText>
          </w:r>
          <w:r w:rsidRPr="001428D3" w:rsidR="00E12A1E">
            <w:rPr>
              <w:noProof/>
              <w:webHidden/>
            </w:rPr>
          </w:r>
          <w:r w:rsidRPr="001428D3" w:rsidR="00E12A1E">
            <w:rPr>
              <w:noProof/>
              <w:webHidden/>
            </w:rPr>
            <w:fldChar w:fldCharType="separate"/>
          </w:r>
          <w:r w:rsidRPr="001428D3" w:rsidR="001428D3">
            <w:rPr>
              <w:noProof/>
              <w:webHidden/>
            </w:rPr>
            <w:t>25</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53">
          <w:r w:rsidRPr="001428D3" w:rsidR="00E12A1E">
            <w:rPr>
              <w:rStyle w:val="Hyperlink"/>
              <w:noProof/>
            </w:rPr>
            <w:t>2.  Whether the applicants lack “victim status”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_Toc498016753 \h </w:instrText>
          </w:r>
          <w:r w:rsidRPr="001428D3" w:rsidR="00E12A1E">
            <w:rPr>
              <w:noProof/>
              <w:webHidden/>
            </w:rPr>
          </w:r>
          <w:r w:rsidRPr="001428D3" w:rsidR="00E12A1E">
            <w:rPr>
              <w:noProof/>
              <w:webHidden/>
            </w:rPr>
            <w:fldChar w:fldCharType="separate"/>
          </w:r>
          <w:r w:rsidRPr="001428D3" w:rsidR="001428D3">
            <w:rPr>
              <w:noProof/>
              <w:webHidden/>
            </w:rPr>
            <w:t>25</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54">
          <w:r w:rsidRPr="001428D3" w:rsidR="00E12A1E">
            <w:rPr>
              <w:rStyle w:val="Hyperlink"/>
              <w:noProof/>
            </w:rPr>
            <w:t>3.  Conclusion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_Toc498016754 \h </w:instrText>
          </w:r>
          <w:r w:rsidRPr="001428D3" w:rsidR="00E12A1E">
            <w:rPr>
              <w:noProof/>
              <w:webHidden/>
            </w:rPr>
          </w:r>
          <w:r w:rsidRPr="001428D3" w:rsidR="00E12A1E">
            <w:rPr>
              <w:noProof/>
              <w:webHidden/>
            </w:rPr>
            <w:fldChar w:fldCharType="separate"/>
          </w:r>
          <w:r w:rsidRPr="001428D3" w:rsidR="001428D3">
            <w:rPr>
              <w:noProof/>
              <w:webHidden/>
            </w:rPr>
            <w:t>26</w:t>
          </w:r>
          <w:r w:rsidRPr="001428D3" w:rsidR="00E12A1E">
            <w:rPr>
              <w:noProof/>
              <w:webHidden/>
            </w:rPr>
            <w:fldChar w:fldCharType="end"/>
          </w:r>
        </w:hyperlink>
      </w:p>
      <w:p w:rsidRPr="001428D3" w:rsidR="00E12A1E" w:rsidP="001428D3" w:rsidRDefault="0023523E">
        <w:pPr>
          <w:pStyle w:val="TOC2"/>
          <w:rPr>
            <w:noProof/>
          </w:rPr>
        </w:pPr>
        <w:hyperlink w:history="1" w:anchor="_Toc498016755">
          <w:r w:rsidRPr="001428D3" w:rsidR="00E12A1E">
            <w:rPr>
              <w:rStyle w:val="Hyperlink"/>
              <w:noProof/>
            </w:rPr>
            <w:t>B.  Merits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_Toc498016755 \h </w:instrText>
          </w:r>
          <w:r w:rsidRPr="001428D3" w:rsidR="00E12A1E">
            <w:rPr>
              <w:noProof/>
              <w:webHidden/>
            </w:rPr>
          </w:r>
          <w:r w:rsidRPr="001428D3" w:rsidR="00E12A1E">
            <w:rPr>
              <w:noProof/>
              <w:webHidden/>
            </w:rPr>
            <w:fldChar w:fldCharType="separate"/>
          </w:r>
          <w:r w:rsidRPr="001428D3" w:rsidR="001428D3">
            <w:rPr>
              <w:noProof/>
              <w:webHidden/>
            </w:rPr>
            <w:t>27</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56">
          <w:r w:rsidRPr="001428D3" w:rsidR="00E12A1E">
            <w:rPr>
              <w:rStyle w:val="Hyperlink"/>
              <w:noProof/>
            </w:rPr>
            <w:t>1.  Compliance with Article 13 in conjunction with Article 6 § 1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_Toc498016756 \h </w:instrText>
          </w:r>
          <w:r w:rsidRPr="001428D3" w:rsidR="00E12A1E">
            <w:rPr>
              <w:noProof/>
              <w:webHidden/>
            </w:rPr>
          </w:r>
          <w:r w:rsidRPr="001428D3" w:rsidR="00E12A1E">
            <w:rPr>
              <w:noProof/>
              <w:webHidden/>
            </w:rPr>
            <w:fldChar w:fldCharType="separate"/>
          </w:r>
          <w:r w:rsidRPr="001428D3" w:rsidR="001428D3">
            <w:rPr>
              <w:noProof/>
              <w:webHidden/>
            </w:rPr>
            <w:t>27</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57">
          <w:r w:rsidRPr="001428D3" w:rsidR="00E12A1E">
            <w:rPr>
              <w:rStyle w:val="Hyperlink"/>
              <w:noProof/>
            </w:rPr>
            <w:t>2.  Compliance with Article 6 § 1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_Toc498016757 \h </w:instrText>
          </w:r>
          <w:r w:rsidRPr="001428D3" w:rsidR="00E12A1E">
            <w:rPr>
              <w:noProof/>
              <w:webHidden/>
            </w:rPr>
          </w:r>
          <w:r w:rsidRPr="001428D3" w:rsidR="00E12A1E">
            <w:rPr>
              <w:noProof/>
              <w:webHidden/>
            </w:rPr>
            <w:fldChar w:fldCharType="separate"/>
          </w:r>
          <w:r w:rsidRPr="001428D3" w:rsidR="001428D3">
            <w:rPr>
              <w:noProof/>
              <w:webHidden/>
            </w:rPr>
            <w:t>28</w:t>
          </w:r>
          <w:r w:rsidRPr="001428D3" w:rsidR="00E12A1E">
            <w:rPr>
              <w:noProof/>
              <w:webHidden/>
            </w:rPr>
            <w:fldChar w:fldCharType="end"/>
          </w:r>
        </w:hyperlink>
      </w:p>
      <w:p w:rsidRPr="001428D3" w:rsidR="00E12A1E" w:rsidP="001428D3" w:rsidRDefault="0023523E">
        <w:pPr>
          <w:pStyle w:val="TOC1"/>
          <w:rPr>
            <w:b w:val="0"/>
            <w:noProof/>
          </w:rPr>
        </w:pPr>
        <w:hyperlink w:history="1" w:anchor="_Toc498016758">
          <w:r w:rsidRPr="001428D3" w:rsidR="00E12A1E">
            <w:rPr>
              <w:rStyle w:val="Hyperlink"/>
              <w:noProof/>
            </w:rPr>
            <w:t>II.  ALLEGED VIOLATIONS OF ARTICLE 8 TAKEN ALONE AND IN CONJUNCTION WITH ARTICLE 13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_Toc498016758 \h </w:instrText>
          </w:r>
          <w:r w:rsidRPr="001428D3" w:rsidR="00E12A1E">
            <w:rPr>
              <w:noProof/>
              <w:webHidden/>
            </w:rPr>
          </w:r>
          <w:r w:rsidRPr="001428D3" w:rsidR="00E12A1E">
            <w:rPr>
              <w:noProof/>
              <w:webHidden/>
            </w:rPr>
            <w:fldChar w:fldCharType="separate"/>
          </w:r>
          <w:r w:rsidRPr="001428D3" w:rsidR="001428D3">
            <w:rPr>
              <w:noProof/>
              <w:webHidden/>
            </w:rPr>
            <w:t>31</w:t>
          </w:r>
          <w:r w:rsidRPr="001428D3" w:rsidR="00E12A1E">
            <w:rPr>
              <w:noProof/>
              <w:webHidden/>
            </w:rPr>
            <w:fldChar w:fldCharType="end"/>
          </w:r>
        </w:hyperlink>
      </w:p>
      <w:p w:rsidRPr="001428D3" w:rsidR="00E12A1E" w:rsidP="001428D3" w:rsidRDefault="0023523E">
        <w:pPr>
          <w:pStyle w:val="TOC2"/>
          <w:rPr>
            <w:noProof/>
          </w:rPr>
        </w:pPr>
        <w:hyperlink w:history="1" w:anchor="_Toc498016759">
          <w:r w:rsidRPr="001428D3" w:rsidR="00E12A1E">
            <w:rPr>
              <w:rStyle w:val="Hyperlink"/>
              <w:noProof/>
            </w:rPr>
            <w:t>A.  Complaint concerning the seizure of the building</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_Toc498016759 \h </w:instrText>
          </w:r>
          <w:r w:rsidRPr="001428D3" w:rsidR="00E12A1E">
            <w:rPr>
              <w:noProof/>
              <w:webHidden/>
            </w:rPr>
          </w:r>
          <w:r w:rsidRPr="001428D3" w:rsidR="00E12A1E">
            <w:rPr>
              <w:noProof/>
              <w:webHidden/>
            </w:rPr>
            <w:fldChar w:fldCharType="separate"/>
          </w:r>
          <w:r w:rsidRPr="001428D3" w:rsidR="001428D3">
            <w:rPr>
              <w:noProof/>
              <w:webHidden/>
            </w:rPr>
            <w:t>32</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60">
          <w:r w:rsidRPr="001428D3" w:rsidR="00E12A1E">
            <w:rPr>
              <w:rStyle w:val="Hyperlink"/>
              <w:noProof/>
            </w:rPr>
            <w:t>1.  Admissibility</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_Toc498016760 \h </w:instrText>
          </w:r>
          <w:r w:rsidRPr="001428D3" w:rsidR="00E12A1E">
            <w:rPr>
              <w:noProof/>
              <w:webHidden/>
            </w:rPr>
          </w:r>
          <w:r w:rsidRPr="001428D3" w:rsidR="00E12A1E">
            <w:rPr>
              <w:noProof/>
              <w:webHidden/>
            </w:rPr>
            <w:fldChar w:fldCharType="separate"/>
          </w:r>
          <w:r w:rsidRPr="001428D3" w:rsidR="001428D3">
            <w:rPr>
              <w:noProof/>
              <w:webHidden/>
            </w:rPr>
            <w:t>32</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61">
          <w:r w:rsidRPr="001428D3" w:rsidR="00E12A1E">
            <w:rPr>
              <w:rStyle w:val="Hyperlink"/>
              <w:noProof/>
            </w:rPr>
            <w:t>2.  Merits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_Toc498016761 \h </w:instrText>
          </w:r>
          <w:r w:rsidRPr="001428D3" w:rsidR="00E12A1E">
            <w:rPr>
              <w:noProof/>
              <w:webHidden/>
            </w:rPr>
          </w:r>
          <w:r w:rsidRPr="001428D3" w:rsidR="00E12A1E">
            <w:rPr>
              <w:noProof/>
              <w:webHidden/>
            </w:rPr>
            <w:fldChar w:fldCharType="separate"/>
          </w:r>
          <w:r w:rsidRPr="001428D3" w:rsidR="001428D3">
            <w:rPr>
              <w:noProof/>
              <w:webHidden/>
            </w:rPr>
            <w:t>33</w:t>
          </w:r>
          <w:r w:rsidRPr="001428D3" w:rsidR="00E12A1E">
            <w:rPr>
              <w:noProof/>
              <w:webHidden/>
            </w:rPr>
            <w:fldChar w:fldCharType="end"/>
          </w:r>
        </w:hyperlink>
      </w:p>
      <w:p w:rsidRPr="001428D3" w:rsidR="00E12A1E" w:rsidP="001428D3" w:rsidRDefault="0023523E">
        <w:pPr>
          <w:pStyle w:val="TOC2"/>
          <w:rPr>
            <w:noProof/>
          </w:rPr>
        </w:pPr>
        <w:hyperlink w:history="1" w:anchor="_Toc498016762">
          <w:r w:rsidRPr="001428D3" w:rsidR="00E12A1E">
            <w:rPr>
              <w:rStyle w:val="Hyperlink"/>
              <w:noProof/>
            </w:rPr>
            <w:t>B.  Complaint concerning the expropriation and demolition of the building</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_Toc498016762 \h </w:instrText>
          </w:r>
          <w:r w:rsidRPr="001428D3" w:rsidR="00E12A1E">
            <w:rPr>
              <w:noProof/>
              <w:webHidden/>
            </w:rPr>
          </w:r>
          <w:r w:rsidRPr="001428D3" w:rsidR="00E12A1E">
            <w:rPr>
              <w:noProof/>
              <w:webHidden/>
            </w:rPr>
            <w:fldChar w:fldCharType="separate"/>
          </w:r>
          <w:r w:rsidRPr="001428D3" w:rsidR="001428D3">
            <w:rPr>
              <w:noProof/>
              <w:webHidden/>
            </w:rPr>
            <w:t>37</w:t>
          </w:r>
          <w:r w:rsidRPr="001428D3" w:rsidR="00E12A1E">
            <w:rPr>
              <w:noProof/>
              <w:webHidden/>
            </w:rPr>
            <w:fldChar w:fldCharType="end"/>
          </w:r>
        </w:hyperlink>
      </w:p>
      <w:p w:rsidRPr="001428D3" w:rsidR="00E12A1E" w:rsidP="001428D3" w:rsidRDefault="0023523E">
        <w:pPr>
          <w:pStyle w:val="TOC1"/>
          <w:rPr>
            <w:b w:val="0"/>
            <w:noProof/>
          </w:rPr>
        </w:pPr>
        <w:hyperlink w:history="1" w:anchor="_Toc498016763">
          <w:r w:rsidRPr="001428D3" w:rsidR="00E12A1E">
            <w:rPr>
              <w:rStyle w:val="Hyperlink"/>
              <w:noProof/>
            </w:rPr>
            <w:t>III.  ALLEGED VIOLATIONS OF ARTICLE 1 OF PROTOCOL NO. 1 TO THE CONVENTION TAKEN ALONE AND IN CONJUNCTION WITH ARTICLE 13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_Toc498016763 \h </w:instrText>
          </w:r>
          <w:r w:rsidRPr="001428D3" w:rsidR="00E12A1E">
            <w:rPr>
              <w:noProof/>
              <w:webHidden/>
            </w:rPr>
          </w:r>
          <w:r w:rsidRPr="001428D3" w:rsidR="00E12A1E">
            <w:rPr>
              <w:noProof/>
              <w:webHidden/>
            </w:rPr>
            <w:fldChar w:fldCharType="separate"/>
          </w:r>
          <w:r w:rsidRPr="001428D3" w:rsidR="001428D3">
            <w:rPr>
              <w:noProof/>
              <w:webHidden/>
            </w:rPr>
            <w:t>37</w:t>
          </w:r>
          <w:r w:rsidRPr="001428D3" w:rsidR="00E12A1E">
            <w:rPr>
              <w:noProof/>
              <w:webHidden/>
            </w:rPr>
            <w:fldChar w:fldCharType="end"/>
          </w:r>
        </w:hyperlink>
      </w:p>
      <w:p w:rsidRPr="001428D3" w:rsidR="00E12A1E" w:rsidP="001428D3" w:rsidRDefault="0023523E">
        <w:pPr>
          <w:pStyle w:val="TOC2"/>
          <w:rPr>
            <w:noProof/>
          </w:rPr>
        </w:pPr>
        <w:hyperlink w:history="1" w:anchor="_Toc498016764">
          <w:r w:rsidRPr="001428D3" w:rsidR="00E12A1E">
            <w:rPr>
              <w:rStyle w:val="Hyperlink"/>
              <w:noProof/>
            </w:rPr>
            <w:t>A.  Complaint concerning the seizure of the building</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_Toc498016764 \h </w:instrText>
          </w:r>
          <w:r w:rsidRPr="001428D3" w:rsidR="00E12A1E">
            <w:rPr>
              <w:noProof/>
              <w:webHidden/>
            </w:rPr>
          </w:r>
          <w:r w:rsidRPr="001428D3" w:rsidR="00E12A1E">
            <w:rPr>
              <w:noProof/>
              <w:webHidden/>
            </w:rPr>
            <w:fldChar w:fldCharType="separate"/>
          </w:r>
          <w:r w:rsidRPr="001428D3" w:rsidR="001428D3">
            <w:rPr>
              <w:noProof/>
              <w:webHidden/>
            </w:rPr>
            <w:t>38</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65">
          <w:r w:rsidRPr="001428D3" w:rsidR="00E12A1E">
            <w:rPr>
              <w:rStyle w:val="Hyperlink"/>
              <w:noProof/>
            </w:rPr>
            <w:t>1.  Admissibility</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_Toc498016765 \h </w:instrText>
          </w:r>
          <w:r w:rsidRPr="001428D3" w:rsidR="00E12A1E">
            <w:rPr>
              <w:noProof/>
              <w:webHidden/>
            </w:rPr>
          </w:r>
          <w:r w:rsidRPr="001428D3" w:rsidR="00E12A1E">
            <w:rPr>
              <w:noProof/>
              <w:webHidden/>
            </w:rPr>
            <w:fldChar w:fldCharType="separate"/>
          </w:r>
          <w:r w:rsidRPr="001428D3" w:rsidR="001428D3">
            <w:rPr>
              <w:noProof/>
              <w:webHidden/>
            </w:rPr>
            <w:t>38</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66">
          <w:r w:rsidRPr="001428D3" w:rsidR="00E12A1E">
            <w:rPr>
              <w:rStyle w:val="Hyperlink"/>
              <w:noProof/>
            </w:rPr>
            <w:t>2.  Merits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_Toc498016766 \h </w:instrText>
          </w:r>
          <w:r w:rsidRPr="001428D3" w:rsidR="00E12A1E">
            <w:rPr>
              <w:noProof/>
              <w:webHidden/>
            </w:rPr>
          </w:r>
          <w:r w:rsidRPr="001428D3" w:rsidR="00E12A1E">
            <w:rPr>
              <w:noProof/>
              <w:webHidden/>
            </w:rPr>
            <w:fldChar w:fldCharType="separate"/>
          </w:r>
          <w:r w:rsidRPr="001428D3" w:rsidR="001428D3">
            <w:rPr>
              <w:noProof/>
              <w:webHidden/>
            </w:rPr>
            <w:t>38</w:t>
          </w:r>
          <w:r w:rsidRPr="001428D3" w:rsidR="00E12A1E">
            <w:rPr>
              <w:noProof/>
              <w:webHidden/>
            </w:rPr>
            <w:fldChar w:fldCharType="end"/>
          </w:r>
        </w:hyperlink>
      </w:p>
      <w:p w:rsidRPr="001428D3" w:rsidR="00E12A1E" w:rsidP="001428D3" w:rsidRDefault="0023523E">
        <w:pPr>
          <w:pStyle w:val="TOC2"/>
          <w:rPr>
            <w:noProof/>
          </w:rPr>
        </w:pPr>
        <w:hyperlink w:history="1" w:anchor="_Toc498016767">
          <w:r w:rsidRPr="001428D3" w:rsidR="00E12A1E">
            <w:rPr>
              <w:rStyle w:val="Hyperlink"/>
              <w:noProof/>
            </w:rPr>
            <w:t>B.  Complaint concerning the expropriation and demolition of the property</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_Toc498016767 \h </w:instrText>
          </w:r>
          <w:r w:rsidRPr="001428D3" w:rsidR="00E12A1E">
            <w:rPr>
              <w:noProof/>
              <w:webHidden/>
            </w:rPr>
          </w:r>
          <w:r w:rsidRPr="001428D3" w:rsidR="00E12A1E">
            <w:rPr>
              <w:noProof/>
              <w:webHidden/>
            </w:rPr>
            <w:fldChar w:fldCharType="separate"/>
          </w:r>
          <w:r w:rsidRPr="001428D3" w:rsidR="001428D3">
            <w:rPr>
              <w:noProof/>
              <w:webHidden/>
            </w:rPr>
            <w:t>40</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68">
          <w:r w:rsidRPr="001428D3" w:rsidR="00E12A1E">
            <w:rPr>
              <w:rStyle w:val="Hyperlink"/>
              <w:noProof/>
            </w:rPr>
            <w:t>1.  Admissibility</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_Toc498016768 \h </w:instrText>
          </w:r>
          <w:r w:rsidRPr="001428D3" w:rsidR="00E12A1E">
            <w:rPr>
              <w:noProof/>
              <w:webHidden/>
            </w:rPr>
          </w:r>
          <w:r w:rsidRPr="001428D3" w:rsidR="00E12A1E">
            <w:rPr>
              <w:noProof/>
              <w:webHidden/>
            </w:rPr>
            <w:fldChar w:fldCharType="separate"/>
          </w:r>
          <w:r w:rsidRPr="001428D3" w:rsidR="001428D3">
            <w:rPr>
              <w:noProof/>
              <w:webHidden/>
            </w:rPr>
            <w:t>40</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69">
          <w:r w:rsidRPr="001428D3" w:rsidR="00E12A1E">
            <w:rPr>
              <w:rStyle w:val="Hyperlink"/>
              <w:noProof/>
            </w:rPr>
            <w:t>2.  Merits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_Toc498016769 \h </w:instrText>
          </w:r>
          <w:r w:rsidRPr="001428D3" w:rsidR="00E12A1E">
            <w:rPr>
              <w:noProof/>
              <w:webHidden/>
            </w:rPr>
          </w:r>
          <w:r w:rsidRPr="001428D3" w:rsidR="00E12A1E">
            <w:rPr>
              <w:noProof/>
              <w:webHidden/>
            </w:rPr>
            <w:fldChar w:fldCharType="separate"/>
          </w:r>
          <w:r w:rsidRPr="001428D3" w:rsidR="001428D3">
            <w:rPr>
              <w:noProof/>
              <w:webHidden/>
            </w:rPr>
            <w:t>44</w:t>
          </w:r>
          <w:r w:rsidRPr="001428D3" w:rsidR="00E12A1E">
            <w:rPr>
              <w:noProof/>
              <w:webHidden/>
            </w:rPr>
            <w:fldChar w:fldCharType="end"/>
          </w:r>
        </w:hyperlink>
      </w:p>
      <w:p w:rsidRPr="001428D3" w:rsidR="00E12A1E" w:rsidP="001428D3" w:rsidRDefault="0023523E">
        <w:pPr>
          <w:pStyle w:val="TOC1"/>
          <w:rPr>
            <w:b w:val="0"/>
            <w:noProof/>
          </w:rPr>
        </w:pPr>
        <w:hyperlink w:history="1" w:anchor="_Toc498016770">
          <w:r w:rsidRPr="001428D3" w:rsidR="00E12A1E">
            <w:rPr>
              <w:rStyle w:val="Hyperlink"/>
              <w:noProof/>
            </w:rPr>
            <w:t>IV.  OTHER ALLEGED VIOLATIONS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_Toc498016770 \h </w:instrText>
          </w:r>
          <w:r w:rsidRPr="001428D3" w:rsidR="00E12A1E">
            <w:rPr>
              <w:noProof/>
              <w:webHidden/>
            </w:rPr>
          </w:r>
          <w:r w:rsidRPr="001428D3" w:rsidR="00E12A1E">
            <w:rPr>
              <w:noProof/>
              <w:webHidden/>
            </w:rPr>
            <w:fldChar w:fldCharType="separate"/>
          </w:r>
          <w:r w:rsidRPr="001428D3" w:rsidR="001428D3">
            <w:rPr>
              <w:noProof/>
              <w:webHidden/>
            </w:rPr>
            <w:t>50</w:t>
          </w:r>
          <w:r w:rsidRPr="001428D3" w:rsidR="00E12A1E">
            <w:rPr>
              <w:noProof/>
              <w:webHidden/>
            </w:rPr>
            <w:fldChar w:fldCharType="end"/>
          </w:r>
        </w:hyperlink>
      </w:p>
      <w:p w:rsidRPr="001428D3" w:rsidR="00E12A1E" w:rsidP="001428D3" w:rsidRDefault="0023523E">
        <w:pPr>
          <w:pStyle w:val="TOC2"/>
          <w:rPr>
            <w:noProof/>
          </w:rPr>
        </w:pPr>
        <w:hyperlink w:history="1" w:anchor="_Toc498016771">
          <w:r w:rsidRPr="001428D3" w:rsidR="00E12A1E">
            <w:rPr>
              <w:rStyle w:val="Hyperlink"/>
              <w:noProof/>
            </w:rPr>
            <w:t>A.  Complaints under Article 6 § 2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_Toc498016771 \h </w:instrText>
          </w:r>
          <w:r w:rsidRPr="001428D3" w:rsidR="00E12A1E">
            <w:rPr>
              <w:noProof/>
              <w:webHidden/>
            </w:rPr>
          </w:r>
          <w:r w:rsidRPr="001428D3" w:rsidR="00E12A1E">
            <w:rPr>
              <w:noProof/>
              <w:webHidden/>
            </w:rPr>
            <w:fldChar w:fldCharType="separate"/>
          </w:r>
          <w:r w:rsidRPr="001428D3" w:rsidR="001428D3">
            <w:rPr>
              <w:noProof/>
              <w:webHidden/>
            </w:rPr>
            <w:t>50</w:t>
          </w:r>
          <w:r w:rsidRPr="001428D3" w:rsidR="00E12A1E">
            <w:rPr>
              <w:noProof/>
              <w:webHidden/>
            </w:rPr>
            <w:fldChar w:fldCharType="end"/>
          </w:r>
        </w:hyperlink>
      </w:p>
      <w:p w:rsidRPr="001428D3" w:rsidR="00E12A1E" w:rsidP="001428D3" w:rsidRDefault="0023523E">
        <w:pPr>
          <w:pStyle w:val="TOC2"/>
          <w:rPr>
            <w:noProof/>
          </w:rPr>
        </w:pPr>
        <w:hyperlink w:history="1" w:anchor="_Toc498016772">
          <w:r w:rsidRPr="001428D3" w:rsidR="00E12A1E">
            <w:rPr>
              <w:rStyle w:val="Hyperlink"/>
              <w:noProof/>
            </w:rPr>
            <w:t>B.  Complaints under Article 8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_Toc498016772 \h </w:instrText>
          </w:r>
          <w:r w:rsidRPr="001428D3" w:rsidR="00E12A1E">
            <w:rPr>
              <w:noProof/>
              <w:webHidden/>
            </w:rPr>
          </w:r>
          <w:r w:rsidRPr="001428D3" w:rsidR="00E12A1E">
            <w:rPr>
              <w:noProof/>
              <w:webHidden/>
            </w:rPr>
            <w:fldChar w:fldCharType="separate"/>
          </w:r>
          <w:r w:rsidRPr="001428D3" w:rsidR="001428D3">
            <w:rPr>
              <w:noProof/>
              <w:webHidden/>
            </w:rPr>
            <w:t>51</w:t>
          </w:r>
          <w:r w:rsidRPr="001428D3" w:rsidR="00E12A1E">
            <w:rPr>
              <w:noProof/>
              <w:webHidden/>
            </w:rPr>
            <w:fldChar w:fldCharType="end"/>
          </w:r>
        </w:hyperlink>
      </w:p>
      <w:p w:rsidRPr="001428D3" w:rsidR="00E12A1E" w:rsidP="001428D3" w:rsidRDefault="0023523E">
        <w:pPr>
          <w:pStyle w:val="TOC2"/>
          <w:rPr>
            <w:noProof/>
          </w:rPr>
        </w:pPr>
        <w:hyperlink w:history="1" w:anchor="_Toc498016773">
          <w:r w:rsidRPr="001428D3" w:rsidR="00E12A1E">
            <w:rPr>
              <w:rStyle w:val="Hyperlink"/>
              <w:noProof/>
            </w:rPr>
            <w:t>C.  Alleged violation of Article 14 read in conjunction with Article 6 § 1 and Article 8 of the Convention as well as Article 1 of Protocol No. 1 to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_Toc498016773 \h </w:instrText>
          </w:r>
          <w:r w:rsidRPr="001428D3" w:rsidR="00E12A1E">
            <w:rPr>
              <w:noProof/>
              <w:webHidden/>
            </w:rPr>
          </w:r>
          <w:r w:rsidRPr="001428D3" w:rsidR="00E12A1E">
            <w:rPr>
              <w:noProof/>
              <w:webHidden/>
            </w:rPr>
            <w:fldChar w:fldCharType="separate"/>
          </w:r>
          <w:r w:rsidRPr="001428D3" w:rsidR="001428D3">
            <w:rPr>
              <w:noProof/>
              <w:webHidden/>
            </w:rPr>
            <w:t>52</w:t>
          </w:r>
          <w:r w:rsidRPr="001428D3" w:rsidR="00E12A1E">
            <w:rPr>
              <w:noProof/>
              <w:webHidden/>
            </w:rPr>
            <w:fldChar w:fldCharType="end"/>
          </w:r>
        </w:hyperlink>
      </w:p>
      <w:p w:rsidRPr="001428D3" w:rsidR="00E12A1E" w:rsidP="001428D3" w:rsidRDefault="0023523E">
        <w:pPr>
          <w:pStyle w:val="TOC1"/>
          <w:rPr>
            <w:b w:val="0"/>
            <w:noProof/>
          </w:rPr>
        </w:pPr>
        <w:hyperlink w:history="1" w:anchor="_Toc498016774">
          <w:r w:rsidRPr="001428D3" w:rsidR="00E12A1E">
            <w:rPr>
              <w:rStyle w:val="Hyperlink"/>
              <w:noProof/>
            </w:rPr>
            <w:t>V.  APPLICATION OF ARTICLE 41 OF THE CONVENTION</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_Toc498016774 \h </w:instrText>
          </w:r>
          <w:r w:rsidRPr="001428D3" w:rsidR="00E12A1E">
            <w:rPr>
              <w:noProof/>
              <w:webHidden/>
            </w:rPr>
          </w:r>
          <w:r w:rsidRPr="001428D3" w:rsidR="00E12A1E">
            <w:rPr>
              <w:noProof/>
              <w:webHidden/>
            </w:rPr>
            <w:fldChar w:fldCharType="separate"/>
          </w:r>
          <w:r w:rsidRPr="001428D3" w:rsidR="001428D3">
            <w:rPr>
              <w:noProof/>
              <w:webHidden/>
            </w:rPr>
            <w:t>52</w:t>
          </w:r>
          <w:r w:rsidRPr="001428D3" w:rsidR="00E12A1E">
            <w:rPr>
              <w:noProof/>
              <w:webHidden/>
            </w:rPr>
            <w:fldChar w:fldCharType="end"/>
          </w:r>
        </w:hyperlink>
      </w:p>
      <w:p w:rsidRPr="001428D3" w:rsidR="00E12A1E" w:rsidP="001428D3" w:rsidRDefault="0023523E">
        <w:pPr>
          <w:pStyle w:val="TOC2"/>
          <w:rPr>
            <w:noProof/>
          </w:rPr>
        </w:pPr>
        <w:hyperlink w:history="1" w:anchor="_Toc498016775">
          <w:r w:rsidRPr="001428D3" w:rsidR="00E12A1E">
            <w:rPr>
              <w:rStyle w:val="Hyperlink"/>
              <w:noProof/>
            </w:rPr>
            <w:t>A.  Damage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_Toc498016775 \h </w:instrText>
          </w:r>
          <w:r w:rsidRPr="001428D3" w:rsidR="00E12A1E">
            <w:rPr>
              <w:noProof/>
              <w:webHidden/>
            </w:rPr>
          </w:r>
          <w:r w:rsidRPr="001428D3" w:rsidR="00E12A1E">
            <w:rPr>
              <w:noProof/>
              <w:webHidden/>
            </w:rPr>
            <w:fldChar w:fldCharType="separate"/>
          </w:r>
          <w:r w:rsidRPr="001428D3" w:rsidR="001428D3">
            <w:rPr>
              <w:noProof/>
              <w:webHidden/>
            </w:rPr>
            <w:t>52</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76">
          <w:r w:rsidRPr="001428D3" w:rsidR="00E12A1E">
            <w:rPr>
              <w:rStyle w:val="Hyperlink"/>
              <w:noProof/>
            </w:rPr>
            <w:t>1.  Pecuniary damage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_Toc498016776 \h </w:instrText>
          </w:r>
          <w:r w:rsidRPr="001428D3" w:rsidR="00E12A1E">
            <w:rPr>
              <w:noProof/>
              <w:webHidden/>
            </w:rPr>
          </w:r>
          <w:r w:rsidRPr="001428D3" w:rsidR="00E12A1E">
            <w:rPr>
              <w:noProof/>
              <w:webHidden/>
            </w:rPr>
            <w:fldChar w:fldCharType="separate"/>
          </w:r>
          <w:r w:rsidRPr="001428D3" w:rsidR="001428D3">
            <w:rPr>
              <w:noProof/>
              <w:webHidden/>
            </w:rPr>
            <w:t>52</w:t>
          </w:r>
          <w:r w:rsidRPr="001428D3" w:rsidR="00E12A1E">
            <w:rPr>
              <w:noProof/>
              <w:webHidden/>
            </w:rPr>
            <w:fldChar w:fldCharType="end"/>
          </w:r>
        </w:hyperlink>
      </w:p>
      <w:p w:rsidRPr="001428D3" w:rsidR="00E12A1E" w:rsidP="001428D3" w:rsidRDefault="0023523E">
        <w:pPr>
          <w:pStyle w:val="TOC3"/>
          <w:rPr>
            <w:noProof/>
            <w:sz w:val="22"/>
          </w:rPr>
        </w:pPr>
        <w:hyperlink w:history="1" w:anchor="_Toc498016777">
          <w:r w:rsidRPr="001428D3" w:rsidR="00E12A1E">
            <w:rPr>
              <w:rStyle w:val="Hyperlink"/>
              <w:noProof/>
            </w:rPr>
            <w:t>2.  Non-pecuniary damage</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_Toc498016777 \h </w:instrText>
          </w:r>
          <w:r w:rsidRPr="001428D3" w:rsidR="00E12A1E">
            <w:rPr>
              <w:noProof/>
              <w:webHidden/>
            </w:rPr>
          </w:r>
          <w:r w:rsidRPr="001428D3" w:rsidR="00E12A1E">
            <w:rPr>
              <w:noProof/>
              <w:webHidden/>
            </w:rPr>
            <w:fldChar w:fldCharType="separate"/>
          </w:r>
          <w:r w:rsidRPr="001428D3" w:rsidR="001428D3">
            <w:rPr>
              <w:noProof/>
              <w:webHidden/>
            </w:rPr>
            <w:t>57</w:t>
          </w:r>
          <w:r w:rsidRPr="001428D3" w:rsidR="00E12A1E">
            <w:rPr>
              <w:noProof/>
              <w:webHidden/>
            </w:rPr>
            <w:fldChar w:fldCharType="end"/>
          </w:r>
        </w:hyperlink>
      </w:p>
      <w:p w:rsidRPr="001428D3" w:rsidR="00E12A1E" w:rsidP="001428D3" w:rsidRDefault="0023523E">
        <w:pPr>
          <w:pStyle w:val="TOC2"/>
          <w:rPr>
            <w:noProof/>
          </w:rPr>
        </w:pPr>
        <w:hyperlink w:history="1" w:anchor="_Toc498016778">
          <w:r w:rsidRPr="001428D3" w:rsidR="00E12A1E">
            <w:rPr>
              <w:rStyle w:val="Hyperlink"/>
              <w:noProof/>
            </w:rPr>
            <w:t>B.  Costs and expenses</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_Toc498016778 \h </w:instrText>
          </w:r>
          <w:r w:rsidRPr="001428D3" w:rsidR="00E12A1E">
            <w:rPr>
              <w:noProof/>
              <w:webHidden/>
            </w:rPr>
          </w:r>
          <w:r w:rsidRPr="001428D3" w:rsidR="00E12A1E">
            <w:rPr>
              <w:noProof/>
              <w:webHidden/>
            </w:rPr>
            <w:fldChar w:fldCharType="separate"/>
          </w:r>
          <w:r w:rsidRPr="001428D3" w:rsidR="001428D3">
            <w:rPr>
              <w:noProof/>
              <w:webHidden/>
            </w:rPr>
            <w:t>58</w:t>
          </w:r>
          <w:r w:rsidRPr="001428D3" w:rsidR="00E12A1E">
            <w:rPr>
              <w:noProof/>
              <w:webHidden/>
            </w:rPr>
            <w:fldChar w:fldCharType="end"/>
          </w:r>
        </w:hyperlink>
      </w:p>
      <w:p w:rsidRPr="001428D3" w:rsidR="00E12A1E" w:rsidP="001428D3" w:rsidRDefault="0023523E">
        <w:pPr>
          <w:pStyle w:val="TOC2"/>
          <w:rPr>
            <w:noProof/>
          </w:rPr>
        </w:pPr>
        <w:hyperlink w:history="1" w:anchor="_Toc498016779">
          <w:r w:rsidRPr="001428D3" w:rsidR="00E12A1E">
            <w:rPr>
              <w:rStyle w:val="Hyperlink"/>
              <w:noProof/>
            </w:rPr>
            <w:t>C.  Default interest</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_Toc498016779 \h </w:instrText>
          </w:r>
          <w:r w:rsidRPr="001428D3" w:rsidR="00E12A1E">
            <w:rPr>
              <w:noProof/>
              <w:webHidden/>
            </w:rPr>
          </w:r>
          <w:r w:rsidRPr="001428D3" w:rsidR="00E12A1E">
            <w:rPr>
              <w:noProof/>
              <w:webHidden/>
            </w:rPr>
            <w:fldChar w:fldCharType="separate"/>
          </w:r>
          <w:r w:rsidRPr="001428D3" w:rsidR="001428D3">
            <w:rPr>
              <w:noProof/>
              <w:webHidden/>
            </w:rPr>
            <w:t>60</w:t>
          </w:r>
          <w:r w:rsidRPr="001428D3" w:rsidR="00E12A1E">
            <w:rPr>
              <w:noProof/>
              <w:webHidden/>
            </w:rPr>
            <w:fldChar w:fldCharType="end"/>
          </w:r>
        </w:hyperlink>
      </w:p>
      <w:p w:rsidRPr="001428D3" w:rsidR="00E12A1E" w:rsidP="001428D3" w:rsidRDefault="0023523E">
        <w:pPr>
          <w:pStyle w:val="TOC1"/>
          <w:rPr>
            <w:b w:val="0"/>
            <w:noProof/>
          </w:rPr>
        </w:pPr>
        <w:hyperlink w:history="1" w:anchor="_Toc498016781">
          <w:r w:rsidRPr="001428D3" w:rsidR="00E12A1E">
            <w:rPr>
              <w:rStyle w:val="Hyperlink"/>
              <w:rFonts w:asciiTheme="majorHAnsi" w:hAnsiTheme="majorHAnsi"/>
              <w:caps/>
              <w:noProof/>
            </w:rPr>
            <w:t>APPENDIX</w:t>
          </w:r>
          <w:r w:rsidRPr="001428D3" w:rsidR="00E12A1E">
            <w:rPr>
              <w:noProof/>
              <w:webHidden/>
            </w:rPr>
            <w:tab/>
          </w:r>
          <w:r w:rsidRPr="001428D3" w:rsidR="00E12A1E">
            <w:rPr>
              <w:noProof/>
              <w:webHidden/>
            </w:rPr>
            <w:fldChar w:fldCharType="begin"/>
          </w:r>
          <w:r w:rsidRPr="001428D3" w:rsidR="00E12A1E">
            <w:rPr>
              <w:noProof/>
              <w:webHidden/>
            </w:rPr>
            <w:instrText xml:space="preserve"> PAGEREF _Toc498016781 \h </w:instrText>
          </w:r>
          <w:r w:rsidRPr="001428D3" w:rsidR="00E12A1E">
            <w:rPr>
              <w:noProof/>
              <w:webHidden/>
            </w:rPr>
          </w:r>
          <w:r w:rsidRPr="001428D3" w:rsidR="00E12A1E">
            <w:rPr>
              <w:noProof/>
              <w:webHidden/>
            </w:rPr>
            <w:fldChar w:fldCharType="separate"/>
          </w:r>
          <w:r w:rsidRPr="001428D3" w:rsidR="001428D3">
            <w:rPr>
              <w:noProof/>
              <w:webHidden/>
            </w:rPr>
            <w:t>63</w:t>
          </w:r>
          <w:r w:rsidRPr="001428D3" w:rsidR="00E12A1E">
            <w:rPr>
              <w:noProof/>
              <w:webHidden/>
            </w:rPr>
            <w:fldChar w:fldCharType="end"/>
          </w:r>
        </w:hyperlink>
      </w:p>
      <w:p w:rsidRPr="001428D3" w:rsidR="00E12A1E" w:rsidP="001428D3" w:rsidRDefault="00E12A1E">
        <w:r w:rsidRPr="001428D3">
          <w:rPr>
            <w:b/>
            <w:bCs/>
            <w:noProof/>
          </w:rPr>
          <w:fldChar w:fldCharType="end"/>
        </w:r>
      </w:p>
    </w:sdtContent>
    <w:p w:rsidRPr="001428D3" w:rsidR="00014566" w:rsidP="001428D3" w:rsidRDefault="00014566">
      <w:pPr>
        <w:pStyle w:val="JuCase"/>
        <w:rPr>
          <w:bCs/>
        </w:rPr>
      </w:pPr>
      <w:r w:rsidRPr="001428D3">
        <w:br w:type="page"/>
        <w:t xml:space="preserve">In the case of </w:t>
      </w:r>
      <w:r w:rsidRPr="001428D3" w:rsidR="007133FE">
        <w:t>Sharxhi and Others v. Albania</w:t>
      </w:r>
      <w:r w:rsidRPr="001428D3">
        <w:t>,</w:t>
      </w:r>
    </w:p>
    <w:p w:rsidRPr="001428D3" w:rsidR="00014566" w:rsidP="001428D3" w:rsidRDefault="00014566">
      <w:pPr>
        <w:pStyle w:val="ECHRPara"/>
      </w:pPr>
      <w:r w:rsidRPr="001428D3">
        <w:t>The European Court of Human Rights (</w:t>
      </w:r>
      <w:r w:rsidRPr="001428D3" w:rsidR="007133FE">
        <w:t>First Section</w:t>
      </w:r>
      <w:r w:rsidRPr="001428D3">
        <w:t xml:space="preserve">), sitting as a </w:t>
      </w:r>
      <w:r w:rsidRPr="001428D3" w:rsidR="007133FE">
        <w:t>Chamber</w:t>
      </w:r>
      <w:r w:rsidRPr="001428D3">
        <w:t xml:space="preserve"> composed of:</w:t>
      </w:r>
    </w:p>
    <w:p w:rsidRPr="001428D3" w:rsidR="00014566" w:rsidP="001428D3" w:rsidRDefault="009845BA">
      <w:pPr>
        <w:pStyle w:val="ECHRDecisionBody"/>
      </w:pPr>
      <w:r w:rsidRPr="001428D3">
        <w:tab/>
        <w:t>Linos-Alexandre Sicilianos,</w:t>
      </w:r>
      <w:r w:rsidRPr="001428D3">
        <w:rPr>
          <w:i/>
        </w:rPr>
        <w:t xml:space="preserve"> President,</w:t>
      </w:r>
      <w:r w:rsidRPr="001428D3">
        <w:rPr>
          <w:i/>
        </w:rPr>
        <w:br/>
      </w:r>
      <w:r w:rsidRPr="001428D3">
        <w:tab/>
        <w:t>Kristina Pardalos,</w:t>
      </w:r>
      <w:r w:rsidRPr="001428D3">
        <w:rPr>
          <w:i/>
        </w:rPr>
        <w:br/>
      </w:r>
      <w:r w:rsidRPr="001428D3">
        <w:tab/>
        <w:t>Ledi Bianku,</w:t>
      </w:r>
      <w:r w:rsidRPr="001428D3">
        <w:rPr>
          <w:i/>
        </w:rPr>
        <w:br/>
      </w:r>
      <w:r w:rsidRPr="001428D3">
        <w:tab/>
        <w:t>Aleš Pejchal,</w:t>
      </w:r>
      <w:r w:rsidRPr="001428D3">
        <w:rPr>
          <w:i/>
        </w:rPr>
        <w:br/>
      </w:r>
      <w:r w:rsidRPr="001428D3">
        <w:tab/>
        <w:t>Armen Harutyunyan,</w:t>
      </w:r>
      <w:r w:rsidRPr="001428D3">
        <w:rPr>
          <w:i/>
        </w:rPr>
        <w:br/>
      </w:r>
      <w:r w:rsidRPr="001428D3">
        <w:tab/>
        <w:t>Pauliine Koskelo,</w:t>
      </w:r>
      <w:r w:rsidRPr="001428D3">
        <w:rPr>
          <w:i/>
        </w:rPr>
        <w:br/>
      </w:r>
      <w:r w:rsidRPr="001428D3">
        <w:tab/>
        <w:t>Tim Eicke,</w:t>
      </w:r>
      <w:r w:rsidRPr="001428D3">
        <w:rPr>
          <w:i/>
        </w:rPr>
        <w:t xml:space="preserve"> judges,</w:t>
      </w:r>
      <w:r w:rsidRPr="001428D3">
        <w:rPr>
          <w:i/>
        </w:rPr>
        <w:br/>
      </w:r>
      <w:r w:rsidRPr="001428D3" w:rsidR="00014566">
        <w:t xml:space="preserve">and </w:t>
      </w:r>
      <w:r w:rsidRPr="001428D3" w:rsidR="007133FE">
        <w:t>Abel Campos</w:t>
      </w:r>
      <w:r w:rsidRPr="001428D3" w:rsidR="00014566">
        <w:t xml:space="preserve">, </w:t>
      </w:r>
      <w:r w:rsidRPr="001428D3" w:rsidR="007133FE">
        <w:rPr>
          <w:i/>
        </w:rPr>
        <w:t xml:space="preserve">Section </w:t>
      </w:r>
      <w:r w:rsidRPr="001428D3" w:rsidR="007133FE">
        <w:rPr>
          <w:i/>
          <w:iCs/>
        </w:rPr>
        <w:t>Registrar</w:t>
      </w:r>
      <w:r w:rsidRPr="001428D3" w:rsidR="00014566">
        <w:rPr>
          <w:i/>
        </w:rPr>
        <w:t>,</w:t>
      </w:r>
    </w:p>
    <w:p w:rsidRPr="001428D3" w:rsidR="00014566" w:rsidP="001428D3" w:rsidRDefault="00014566">
      <w:pPr>
        <w:pStyle w:val="ECHRPara"/>
      </w:pPr>
      <w:r w:rsidRPr="001428D3">
        <w:t>Having deliberated in private on</w:t>
      </w:r>
      <w:r w:rsidRPr="001428D3" w:rsidR="00291027">
        <w:t xml:space="preserve"> 23 May and</w:t>
      </w:r>
      <w:r w:rsidRPr="001428D3">
        <w:t xml:space="preserve"> </w:t>
      </w:r>
      <w:r w:rsidRPr="001428D3" w:rsidR="009845BA">
        <w:t>5</w:t>
      </w:r>
      <w:r w:rsidRPr="001428D3" w:rsidR="00020384">
        <w:t xml:space="preserve"> December 2017</w:t>
      </w:r>
      <w:r w:rsidRPr="001428D3">
        <w:t>,</w:t>
      </w:r>
    </w:p>
    <w:p w:rsidRPr="001428D3" w:rsidR="00014566" w:rsidP="001428D3" w:rsidRDefault="00014566">
      <w:pPr>
        <w:pStyle w:val="ECHRPara"/>
      </w:pPr>
      <w:r w:rsidRPr="001428D3">
        <w:t>Delivers the following jud</w:t>
      </w:r>
      <w:r w:rsidRPr="001428D3" w:rsidR="0013172A">
        <w:t>gment, which was adopted on the last-mentioned</w:t>
      </w:r>
      <w:r w:rsidRPr="001428D3">
        <w:t xml:space="preserve"> date:</w:t>
      </w:r>
    </w:p>
    <w:p w:rsidRPr="001428D3" w:rsidR="00014566" w:rsidP="001428D3" w:rsidRDefault="00014566">
      <w:pPr>
        <w:pStyle w:val="ECHRTitle1"/>
        <w:spacing w:before="640"/>
      </w:pPr>
      <w:bookmarkStart w:name="_Toc498016729" w:id="4"/>
      <w:r w:rsidRPr="001428D3">
        <w:t>PROCEDURE</w:t>
      </w:r>
      <w:bookmarkEnd w:id="4"/>
    </w:p>
    <w:p w:rsidRPr="001428D3" w:rsidR="005521CC" w:rsidP="001428D3" w:rsidRDefault="000F1C70">
      <w:pPr>
        <w:pStyle w:val="ECHRPara"/>
      </w:pPr>
      <w:r w:rsidRPr="001428D3">
        <w:fldChar w:fldCharType="begin"/>
      </w:r>
      <w:r w:rsidRPr="001428D3">
        <w:instrText xml:space="preserve"> SEQ level0 \*arabic </w:instrText>
      </w:r>
      <w:r w:rsidRPr="001428D3">
        <w:fldChar w:fldCharType="separate"/>
      </w:r>
      <w:r w:rsidRPr="001428D3" w:rsidR="001428D3">
        <w:rPr>
          <w:noProof/>
        </w:rPr>
        <w:t>1</w:t>
      </w:r>
      <w:r w:rsidRPr="001428D3">
        <w:fldChar w:fldCharType="end"/>
      </w:r>
      <w:r w:rsidRPr="001428D3">
        <w:t>.  </w:t>
      </w:r>
      <w:r w:rsidRPr="001428D3" w:rsidR="00014566">
        <w:t xml:space="preserve">The case originated in </w:t>
      </w:r>
      <w:r w:rsidRPr="001428D3" w:rsidR="007133FE">
        <w:t>an application (no. 10613/16)</w:t>
      </w:r>
      <w:r w:rsidRPr="001428D3" w:rsidR="00014566">
        <w:t xml:space="preserve"> against </w:t>
      </w:r>
      <w:r w:rsidRPr="001428D3" w:rsidR="007133FE">
        <w:t>the Republic of Albania</w:t>
      </w:r>
      <w:r w:rsidRPr="001428D3" w:rsidR="00014566">
        <w:t xml:space="preserve"> lodged with the </w:t>
      </w:r>
      <w:r w:rsidRPr="001428D3" w:rsidR="007133FE">
        <w:t>Court under Article 34</w:t>
      </w:r>
      <w:r w:rsidRPr="001428D3" w:rsidR="00014566">
        <w:t xml:space="preserve"> of the Convention for the Protection of Human Rights and Fundamental Freedoms (“the Convention”) by </w:t>
      </w:r>
      <w:r w:rsidRPr="001428D3" w:rsidR="00D07650">
        <w:t>eighteen</w:t>
      </w:r>
      <w:r w:rsidRPr="001428D3" w:rsidR="007133FE">
        <w:t xml:space="preserve"> Albanian nationals</w:t>
      </w:r>
      <w:r w:rsidRPr="001428D3" w:rsidR="00D07650">
        <w:t xml:space="preserve"> and one Italian national</w:t>
      </w:r>
      <w:r w:rsidRPr="001428D3" w:rsidR="007133FE">
        <w:t>, on 19 February 2016</w:t>
      </w:r>
      <w:r w:rsidRPr="001428D3" w:rsidR="00D07650">
        <w:t>. The applicants</w:t>
      </w:r>
      <w:r w:rsidRPr="001428D3" w:rsidR="001428D3">
        <w:t>’</w:t>
      </w:r>
      <w:r w:rsidRPr="001428D3" w:rsidR="00D07650">
        <w:t xml:space="preserve"> details are set out in the appended table.</w:t>
      </w:r>
    </w:p>
    <w:p w:rsidRPr="001428D3" w:rsidR="009845BA"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2</w:t>
      </w:r>
      <w:r w:rsidRPr="001428D3">
        <w:fldChar w:fldCharType="end"/>
      </w:r>
      <w:r w:rsidRPr="001428D3" w:rsidR="00014566">
        <w:t>.  </w:t>
      </w:r>
      <w:r w:rsidRPr="001428D3">
        <w:t>The applicants were represented by Mr A. Saccucci</w:t>
      </w:r>
      <w:r w:rsidRPr="001428D3" w:rsidR="00D07650">
        <w:t>, a</w:t>
      </w:r>
      <w:r w:rsidRPr="001428D3">
        <w:t xml:space="preserve"> lawyer practising in Rome. </w:t>
      </w:r>
      <w:r w:rsidRPr="001428D3" w:rsidR="00014566">
        <w:t xml:space="preserve">The </w:t>
      </w:r>
      <w:r w:rsidRPr="001428D3">
        <w:t>Albanian</w:t>
      </w:r>
      <w:r w:rsidRPr="001428D3" w:rsidR="00014566">
        <w:t xml:space="preserve"> Government (“the Government”) wer</w:t>
      </w:r>
      <w:r w:rsidRPr="001428D3" w:rsidR="00D07650">
        <w:t>e represented by their Agent, M</w:t>
      </w:r>
      <w:r w:rsidRPr="001428D3" w:rsidR="00014566">
        <w:t xml:space="preserve">s </w:t>
      </w:r>
      <w:r w:rsidRPr="001428D3" w:rsidR="00D07650">
        <w:t>A. Hicka of the State Advocate</w:t>
      </w:r>
      <w:r w:rsidRPr="001428D3" w:rsidR="001428D3">
        <w:t>’</w:t>
      </w:r>
      <w:r w:rsidRPr="001428D3" w:rsidR="00D07650">
        <w:t>s Office.</w:t>
      </w:r>
    </w:p>
    <w:p w:rsidRPr="001428D3" w:rsidR="005521CC"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3</w:t>
      </w:r>
      <w:r w:rsidRPr="001428D3">
        <w:fldChar w:fldCharType="end"/>
      </w:r>
      <w:r w:rsidRPr="001428D3">
        <w:t>.  The applicants alleged</w:t>
      </w:r>
      <w:r w:rsidRPr="001428D3" w:rsidR="003F529A">
        <w:t xml:space="preserve"> that</w:t>
      </w:r>
      <w:r w:rsidRPr="001428D3" w:rsidR="0091277B">
        <w:t>,</w:t>
      </w:r>
      <w:r w:rsidRPr="001428D3" w:rsidR="003F529A">
        <w:t xml:space="preserve"> as a result of the authorities</w:t>
      </w:r>
      <w:r w:rsidRPr="001428D3" w:rsidR="001428D3">
        <w:t>’</w:t>
      </w:r>
      <w:r w:rsidRPr="001428D3" w:rsidR="003F529A">
        <w:t xml:space="preserve"> disregard of an administrative court injunction</w:t>
      </w:r>
      <w:r w:rsidRPr="001428D3" w:rsidR="0091277B">
        <w:t>,</w:t>
      </w:r>
      <w:r w:rsidRPr="001428D3" w:rsidR="003F529A">
        <w:t xml:space="preserve"> there had been a breach of Article 6 § 1 of the Convention. </w:t>
      </w:r>
      <w:r w:rsidRPr="001428D3" w:rsidR="00BE2EA9">
        <w:t xml:space="preserve">They </w:t>
      </w:r>
      <w:r w:rsidRPr="001428D3" w:rsidR="00F67483">
        <w:t xml:space="preserve">also </w:t>
      </w:r>
      <w:r w:rsidRPr="001428D3" w:rsidR="00BE2EA9">
        <w:t xml:space="preserve">complained under Article 1 of Protocol No. 1 to the Convention of </w:t>
      </w:r>
      <w:r w:rsidRPr="001428D3" w:rsidR="0091277B">
        <w:t>an</w:t>
      </w:r>
      <w:r w:rsidRPr="001428D3" w:rsidR="00BE2EA9">
        <w:t xml:space="preserve"> interference with the pe</w:t>
      </w:r>
      <w:r w:rsidRPr="001428D3" w:rsidR="00F67483">
        <w:t xml:space="preserve">aceful enjoyment of </w:t>
      </w:r>
      <w:r w:rsidRPr="001428D3" w:rsidR="00F8213F">
        <w:t xml:space="preserve">their </w:t>
      </w:r>
      <w:r w:rsidRPr="001428D3" w:rsidR="00F67483">
        <w:t xml:space="preserve">possessions and </w:t>
      </w:r>
      <w:r w:rsidRPr="001428D3" w:rsidR="00BE2EA9">
        <w:t xml:space="preserve">under Article 8 of the Convention </w:t>
      </w:r>
      <w:r w:rsidRPr="001428D3" w:rsidR="00CF2C7E">
        <w:t xml:space="preserve">of an interference with their right to respect for </w:t>
      </w:r>
      <w:r w:rsidRPr="001428D3" w:rsidR="00F8213F">
        <w:t xml:space="preserve">their </w:t>
      </w:r>
      <w:r w:rsidRPr="001428D3" w:rsidR="00CF2C7E">
        <w:t>home</w:t>
      </w:r>
      <w:r w:rsidRPr="001428D3" w:rsidR="00F8213F">
        <w:t>s</w:t>
      </w:r>
      <w:r w:rsidRPr="001428D3" w:rsidR="00CF2C7E">
        <w:t xml:space="preserve">. </w:t>
      </w:r>
      <w:r w:rsidRPr="001428D3" w:rsidR="00F67483">
        <w:t>T</w:t>
      </w:r>
      <w:r w:rsidRPr="001428D3" w:rsidR="00CF2C7E">
        <w:t xml:space="preserve">hey further complained under Article 13 of the Convention </w:t>
      </w:r>
      <w:r w:rsidRPr="001428D3" w:rsidR="007F3B1B">
        <w:t>of a lack of</w:t>
      </w:r>
      <w:r w:rsidRPr="001428D3" w:rsidR="00CF2C7E">
        <w:t xml:space="preserve"> an</w:t>
      </w:r>
      <w:r w:rsidRPr="001428D3" w:rsidR="007F3B1B">
        <w:t xml:space="preserve"> </w:t>
      </w:r>
      <w:r w:rsidRPr="001428D3" w:rsidR="00CF2C7E">
        <w:t xml:space="preserve">effective domestic remedy </w:t>
      </w:r>
      <w:r w:rsidRPr="001428D3" w:rsidR="00DB11E6">
        <w:t>for the above complaints, as required by Article 13 of the Convention.</w:t>
      </w:r>
    </w:p>
    <w:p w:rsidRPr="001428D3" w:rsidR="007133FE"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4</w:t>
      </w:r>
      <w:r w:rsidRPr="001428D3">
        <w:fldChar w:fldCharType="end"/>
      </w:r>
      <w:r w:rsidRPr="001428D3" w:rsidR="00014566">
        <w:t>.  </w:t>
      </w:r>
      <w:r w:rsidRPr="001428D3">
        <w:t xml:space="preserve">On </w:t>
      </w:r>
      <w:r w:rsidRPr="001428D3">
        <w:rPr>
          <w:szCs w:val="24"/>
        </w:rPr>
        <w:t>19 April 2016</w:t>
      </w:r>
      <w:r w:rsidRPr="001428D3" w:rsidR="00014566">
        <w:t xml:space="preserve"> the </w:t>
      </w:r>
      <w:r w:rsidRPr="001428D3">
        <w:rPr>
          <w:szCs w:val="24"/>
        </w:rPr>
        <w:t>application was communicated to the Government</w:t>
      </w:r>
      <w:r w:rsidRPr="001428D3" w:rsidR="007509D5">
        <w:t>.</w:t>
      </w:r>
      <w:r w:rsidRPr="001428D3" w:rsidR="00B92899">
        <w:t xml:space="preserve"> The </w:t>
      </w:r>
      <w:sdt>
        <w:sdtPr>
          <w:id w:val="-1245718516"/>
        </w:sdtPr>
        <w:sdtEndPr/>
        <w:sdtContent>
          <w:r w:rsidRPr="001428D3" w:rsidR="00B92899">
            <w:t>Italian</w:t>
          </w:r>
        </w:sdtContent>
      </w:sdt>
      <w:r w:rsidRPr="001428D3" w:rsidR="00B92899">
        <w:t xml:space="preserve"> Government did not make use of their right to intervene in the proceedings (Article 36 § 1 of the Convention).</w:t>
      </w:r>
    </w:p>
    <w:p w:rsidRPr="001428D3" w:rsidR="005521CC"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5</w:t>
      </w:r>
      <w:r w:rsidRPr="001428D3">
        <w:fldChar w:fldCharType="end"/>
      </w:r>
      <w:r w:rsidRPr="001428D3">
        <w:t>.  A hearing took place in public in the Human Rights Building, Strasbourg, on 23 May 2017 (Rule 59 § 3).</w:t>
      </w:r>
    </w:p>
    <w:p w:rsidRPr="001428D3" w:rsidR="007133FE" w:rsidP="001428D3" w:rsidRDefault="007133FE">
      <w:pPr>
        <w:pStyle w:val="ECHRPara"/>
      </w:pPr>
      <w:r w:rsidRPr="001428D3">
        <w:t>There appeared before the Court:</w:t>
      </w:r>
    </w:p>
    <w:p w:rsidRPr="001428D3" w:rsidR="007133FE" w:rsidP="001428D3" w:rsidRDefault="007133FE">
      <w:pPr>
        <w:pStyle w:val="JuCourt"/>
      </w:pPr>
      <w:r w:rsidRPr="001428D3">
        <w:t>(a)  </w:t>
      </w:r>
      <w:r w:rsidRPr="001428D3">
        <w:rPr>
          <w:i/>
        </w:rPr>
        <w:t>for the</w:t>
      </w:r>
      <w:r w:rsidRPr="001428D3" w:rsidR="00540F91">
        <w:rPr>
          <w:i/>
        </w:rPr>
        <w:t xml:space="preserve"> Albanian</w:t>
      </w:r>
      <w:r w:rsidRPr="001428D3">
        <w:rPr>
          <w:i/>
        </w:rPr>
        <w:t xml:space="preserve"> Government</w:t>
      </w:r>
      <w:r w:rsidRPr="001428D3" w:rsidR="00B544CD">
        <w:br/>
        <w:t>Ms</w:t>
      </w:r>
      <w:r w:rsidRPr="001428D3">
        <w:tab/>
      </w:r>
      <w:r w:rsidRPr="001428D3" w:rsidR="00B544CD">
        <w:rPr>
          <w:rStyle w:val="JuNames0"/>
        </w:rPr>
        <w:t>A. Hicka</w:t>
      </w:r>
      <w:r w:rsidRPr="001428D3">
        <w:t xml:space="preserve">, </w:t>
      </w:r>
      <w:r w:rsidRPr="001428D3" w:rsidR="00E7544A">
        <w:t xml:space="preserve">Ministry of Justice, </w:t>
      </w:r>
      <w:r w:rsidRPr="001428D3">
        <w:rPr>
          <w:i/>
        </w:rPr>
        <w:t>Agent</w:t>
      </w:r>
      <w:r w:rsidRPr="001428D3">
        <w:t>,</w:t>
      </w:r>
      <w:r w:rsidRPr="001428D3">
        <w:br/>
        <w:t>M</w:t>
      </w:r>
      <w:r w:rsidRPr="001428D3" w:rsidR="00291027">
        <w:t>r</w:t>
      </w:r>
      <w:r w:rsidRPr="001428D3" w:rsidR="00291027">
        <w:tab/>
      </w:r>
      <w:r w:rsidRPr="001428D3" w:rsidR="00B544CD">
        <w:rPr>
          <w:rStyle w:val="JuNames0"/>
        </w:rPr>
        <w:t>A.</w:t>
      </w:r>
      <w:r w:rsidRPr="001428D3" w:rsidR="00540F91">
        <w:rPr>
          <w:rStyle w:val="JuNames0"/>
        </w:rPr>
        <w:t xml:space="preserve"> </w:t>
      </w:r>
      <w:r w:rsidRPr="001428D3" w:rsidR="00B544CD">
        <w:rPr>
          <w:rStyle w:val="JuNames0"/>
        </w:rPr>
        <w:t>H</w:t>
      </w:r>
      <w:r w:rsidRPr="001428D3" w:rsidR="005D1D11">
        <w:rPr>
          <w:rStyle w:val="JuNames0"/>
        </w:rPr>
        <w:t>ysi</w:t>
      </w:r>
      <w:r w:rsidRPr="001428D3">
        <w:rPr>
          <w:rStyle w:val="JuNames0"/>
        </w:rPr>
        <w:t>,</w:t>
      </w:r>
      <w:r w:rsidRPr="001428D3">
        <w:t xml:space="preserve"> </w:t>
      </w:r>
      <w:r w:rsidRPr="001428D3" w:rsidR="00E7544A">
        <w:t xml:space="preserve">Ministry of Justice, </w:t>
      </w:r>
      <w:r w:rsidRPr="001428D3" w:rsidR="00B544CD">
        <w:rPr>
          <w:i/>
        </w:rPr>
        <w:t>Advise</w:t>
      </w:r>
      <w:r w:rsidRPr="001428D3" w:rsidR="001045F5">
        <w:rPr>
          <w:i/>
        </w:rPr>
        <w:t>r</w:t>
      </w:r>
      <w:r w:rsidRPr="001428D3" w:rsidR="00B544CD">
        <w:t>,</w:t>
      </w:r>
      <w:r w:rsidRPr="001428D3">
        <w:tab/>
      </w:r>
      <w:r w:rsidRPr="001428D3">
        <w:br/>
        <w:t>M</w:t>
      </w:r>
      <w:r w:rsidRPr="001428D3" w:rsidR="00291027">
        <w:t>r</w:t>
      </w:r>
      <w:r w:rsidRPr="001428D3" w:rsidR="00291027">
        <w:tab/>
      </w:r>
      <w:r w:rsidRPr="001428D3" w:rsidR="00B544CD">
        <w:rPr>
          <w:rStyle w:val="JuNames0"/>
        </w:rPr>
        <w:t>R. H</w:t>
      </w:r>
      <w:r w:rsidRPr="001428D3" w:rsidR="005D1D11">
        <w:rPr>
          <w:rStyle w:val="JuNames0"/>
        </w:rPr>
        <w:t>oxha</w:t>
      </w:r>
      <w:r w:rsidRPr="001428D3" w:rsidR="00B544CD">
        <w:t xml:space="preserve">, </w:t>
      </w:r>
      <w:r w:rsidRPr="001428D3" w:rsidR="00E7544A">
        <w:t xml:space="preserve">Ministry of Justice, </w:t>
      </w:r>
      <w:r w:rsidRPr="001428D3" w:rsidR="00B544CD">
        <w:rPr>
          <w:i/>
        </w:rPr>
        <w:t>Adviser</w:t>
      </w:r>
      <w:r w:rsidRPr="001428D3" w:rsidR="00B544CD">
        <w:t xml:space="preserve">, </w:t>
      </w:r>
      <w:r w:rsidRPr="001428D3">
        <w:br/>
        <w:t>M</w:t>
      </w:r>
      <w:r w:rsidRPr="001428D3" w:rsidR="00291027">
        <w:t>s</w:t>
      </w:r>
      <w:r w:rsidRPr="001428D3" w:rsidR="00291027">
        <w:tab/>
      </w:r>
      <w:r w:rsidRPr="001428D3" w:rsidR="00B544CD">
        <w:rPr>
          <w:rStyle w:val="JuNames0"/>
        </w:rPr>
        <w:t xml:space="preserve">E. </w:t>
      </w:r>
      <w:r w:rsidRPr="001428D3" w:rsidR="005D1D11">
        <w:rPr>
          <w:rStyle w:val="JuNames0"/>
        </w:rPr>
        <w:t>Sadushaj</w:t>
      </w:r>
      <w:r w:rsidRPr="001428D3">
        <w:t xml:space="preserve">, </w:t>
      </w:r>
      <w:r w:rsidRPr="001428D3" w:rsidR="00E7544A">
        <w:t xml:space="preserve">Ministry of </w:t>
      </w:r>
      <w:r w:rsidRPr="001428D3" w:rsidR="003C7C47">
        <w:t>Justice</w:t>
      </w:r>
      <w:r w:rsidRPr="001428D3" w:rsidR="00E7544A">
        <w:t xml:space="preserve">, </w:t>
      </w:r>
      <w:r w:rsidRPr="001428D3">
        <w:rPr>
          <w:i/>
        </w:rPr>
        <w:t>Adviser</w:t>
      </w:r>
      <w:r w:rsidRPr="001428D3">
        <w:t>;</w:t>
      </w:r>
    </w:p>
    <w:p w:rsidRPr="001428D3" w:rsidR="007133FE" w:rsidP="001428D3" w:rsidRDefault="007133FE">
      <w:pPr>
        <w:pStyle w:val="JuCourt"/>
      </w:pPr>
      <w:r w:rsidRPr="001428D3">
        <w:t>(b)  for the applicants</w:t>
      </w:r>
      <w:r w:rsidRPr="001428D3">
        <w:br/>
        <w:t>Mr</w:t>
      </w:r>
      <w:r w:rsidRPr="001428D3">
        <w:tab/>
      </w:r>
      <w:r w:rsidRPr="001428D3" w:rsidR="00EE565E">
        <w:rPr>
          <w:rStyle w:val="JuNames0"/>
        </w:rPr>
        <w:t>A. S</w:t>
      </w:r>
      <w:r w:rsidRPr="001428D3" w:rsidR="005D1D11">
        <w:rPr>
          <w:rStyle w:val="JuNames0"/>
        </w:rPr>
        <w:t>accucci</w:t>
      </w:r>
      <w:r w:rsidRPr="001428D3">
        <w:t xml:space="preserve">, </w:t>
      </w:r>
      <w:r w:rsidRPr="001428D3">
        <w:rPr>
          <w:i/>
        </w:rPr>
        <w:t>Counsel</w:t>
      </w:r>
      <w:r w:rsidRPr="001428D3" w:rsidR="00EE565E">
        <w:t>,</w:t>
      </w:r>
      <w:r w:rsidRPr="001428D3">
        <w:br/>
        <w:t>M</w:t>
      </w:r>
      <w:r w:rsidRPr="001428D3" w:rsidR="0032555A">
        <w:t>s</w:t>
      </w:r>
      <w:r w:rsidRPr="001428D3">
        <w:tab/>
      </w:r>
      <w:r w:rsidRPr="001428D3" w:rsidR="00EE565E">
        <w:rPr>
          <w:rStyle w:val="JuNames0"/>
        </w:rPr>
        <w:t>G. borgna</w:t>
      </w:r>
      <w:r w:rsidRPr="001428D3">
        <w:t xml:space="preserve">, </w:t>
      </w:r>
      <w:r w:rsidRPr="001428D3" w:rsidR="0032555A">
        <w:rPr>
          <w:i/>
        </w:rPr>
        <w:t>Counsel</w:t>
      </w:r>
      <w:r w:rsidRPr="001428D3">
        <w:t>,</w:t>
      </w:r>
      <w:r w:rsidRPr="001428D3">
        <w:br/>
        <w:t>M</w:t>
      </w:r>
      <w:r w:rsidRPr="001428D3" w:rsidR="0032555A">
        <w:t>s</w:t>
      </w:r>
      <w:r w:rsidRPr="001428D3">
        <w:tab/>
      </w:r>
      <w:r w:rsidRPr="001428D3" w:rsidR="00EE565E">
        <w:rPr>
          <w:rStyle w:val="JuNames0"/>
        </w:rPr>
        <w:t>E. Ballanca</w:t>
      </w:r>
      <w:r w:rsidRPr="001428D3">
        <w:t xml:space="preserve">, </w:t>
      </w:r>
      <w:r w:rsidRPr="001428D3">
        <w:rPr>
          <w:i/>
        </w:rPr>
        <w:t>Adviser</w:t>
      </w:r>
      <w:r w:rsidRPr="001428D3" w:rsidR="0032555A">
        <w:t>.</w:t>
      </w:r>
    </w:p>
    <w:p w:rsidRPr="001428D3" w:rsidR="007133FE" w:rsidP="001428D3" w:rsidRDefault="007133FE">
      <w:pPr>
        <w:pStyle w:val="ECHRPara"/>
      </w:pPr>
    </w:p>
    <w:p w:rsidRPr="001428D3" w:rsidR="005521CC" w:rsidP="001428D3" w:rsidRDefault="007133FE">
      <w:pPr>
        <w:pStyle w:val="ECHRPara"/>
      </w:pPr>
      <w:r w:rsidRPr="001428D3">
        <w:t xml:space="preserve">The Court heard addresses by </w:t>
      </w:r>
      <w:r w:rsidRPr="001428D3" w:rsidR="009B4498">
        <w:t>Ms Hicka, Mr Saccucci and Ms Borgna</w:t>
      </w:r>
      <w:r w:rsidRPr="001428D3" w:rsidR="00B82BF2">
        <w:t xml:space="preserve"> and replies to questions from the Court.</w:t>
      </w:r>
    </w:p>
    <w:p w:rsidRPr="001428D3" w:rsidR="00014566" w:rsidP="001428D3" w:rsidRDefault="00014566">
      <w:pPr>
        <w:pStyle w:val="ECHRTitle1"/>
      </w:pPr>
      <w:bookmarkStart w:name="_Toc498016730" w:id="5"/>
      <w:r w:rsidRPr="001428D3">
        <w:t>THE FACTS</w:t>
      </w:r>
      <w:bookmarkEnd w:id="5"/>
    </w:p>
    <w:p w:rsidRPr="001428D3" w:rsidR="00014566" w:rsidP="001428D3" w:rsidRDefault="00014566">
      <w:pPr>
        <w:pStyle w:val="ECHRHeading1"/>
      </w:pPr>
      <w:bookmarkStart w:name="_Toc498016731" w:id="6"/>
      <w:r w:rsidRPr="001428D3">
        <w:t>I.  THE CIRCUMSTANCES OF THE CASE</w:t>
      </w:r>
      <w:bookmarkEnd w:id="6"/>
    </w:p>
    <w:p w:rsidRPr="001428D3" w:rsidR="00A81D63" w:rsidP="001428D3" w:rsidRDefault="00A81D63">
      <w:pPr>
        <w:pStyle w:val="ECHRHeading2"/>
      </w:pPr>
      <w:bookmarkStart w:name="_Toc498016732" w:id="7"/>
      <w:r w:rsidRPr="001428D3">
        <w:t>A.  Background to the case</w:t>
      </w:r>
      <w:bookmarkEnd w:id="7"/>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6</w:t>
      </w:r>
      <w:r w:rsidRPr="001428D3">
        <w:rPr>
          <w:noProof/>
        </w:rPr>
        <w:fldChar w:fldCharType="end"/>
      </w:r>
      <w:r w:rsidRPr="001428D3" w:rsidR="00F8213F">
        <w:t>.  </w:t>
      </w:r>
      <w:r w:rsidRPr="001428D3" w:rsidR="001045F5">
        <w:t xml:space="preserve">On 11 November 2009 two of the </w:t>
      </w:r>
      <w:r w:rsidRPr="001428D3" w:rsidR="007A6B8B">
        <w:t xml:space="preserve">applicants, Xhuvi Sharxhi </w:t>
      </w:r>
      <w:r w:rsidRPr="001428D3" w:rsidR="00A94048">
        <w:t>(“the </w:t>
      </w:r>
      <w:r w:rsidRPr="001428D3" w:rsidR="007A6B8B">
        <w:t xml:space="preserve">first applicant”) and Xhafer Isufi (“the second applicant”), </w:t>
      </w:r>
      <w:r w:rsidRPr="001428D3" w:rsidR="001045F5">
        <w:t xml:space="preserve">purchased a plot of land </w:t>
      </w:r>
      <w:r w:rsidRPr="001428D3" w:rsidR="007A6B8B">
        <w:t>measuring 1,663 square metres</w:t>
      </w:r>
      <w:r w:rsidRPr="001428D3" w:rsidR="001045F5">
        <w:t xml:space="preserve"> </w:t>
      </w:r>
      <w:r w:rsidRPr="001428D3" w:rsidR="00C406D4">
        <w:t>from</w:t>
      </w:r>
      <w:r w:rsidRPr="001428D3" w:rsidR="001045F5">
        <w:t xml:space="preserve"> several individuals whose property was recognised and returned in 1995 by a decision of </w:t>
      </w:r>
      <w:r w:rsidRPr="001428D3" w:rsidR="007A6B8B">
        <w:t xml:space="preserve">the Commission on </w:t>
      </w:r>
      <w:r w:rsidRPr="001428D3" w:rsidR="00641A3E">
        <w:t xml:space="preserve">Property </w:t>
      </w:r>
      <w:r w:rsidRPr="001428D3" w:rsidR="007A6B8B">
        <w:t xml:space="preserve">Restitution </w:t>
      </w:r>
      <w:r w:rsidRPr="001428D3" w:rsidR="00641A3E">
        <w:t>and Compensation</w:t>
      </w:r>
      <w:r w:rsidRPr="001428D3" w:rsidR="007A6B8B">
        <w:t xml:space="preserve">. The </w:t>
      </w:r>
      <w:r w:rsidRPr="001428D3" w:rsidR="00017B15">
        <w:t xml:space="preserve">land </w:t>
      </w:r>
      <w:r w:rsidRPr="001428D3" w:rsidR="006D4C4A">
        <w:t>is</w:t>
      </w:r>
      <w:r w:rsidRPr="001428D3" w:rsidR="007A6B8B">
        <w:t xml:space="preserve"> situated on the coastline of the </w:t>
      </w:r>
      <w:r w:rsidRPr="001428D3" w:rsidR="0001044B">
        <w:t xml:space="preserve">city </w:t>
      </w:r>
      <w:r w:rsidRPr="001428D3" w:rsidR="007A6B8B">
        <w:t>of Vlora</w:t>
      </w:r>
      <w:r w:rsidRPr="001428D3" w:rsidR="001045F5">
        <w:t xml:space="preserve"> in the so-called area of Uji i Ftohtë</w:t>
      </w:r>
      <w:r w:rsidRPr="001428D3" w:rsidR="00D6243C">
        <w:t xml:space="preserve"> - Tuneli</w:t>
      </w:r>
      <w:r w:rsidRPr="001428D3" w:rsidR="007A6B8B">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7</w:t>
      </w:r>
      <w:r w:rsidRPr="001428D3">
        <w:rPr>
          <w:noProof/>
        </w:rPr>
        <w:fldChar w:fldCharType="end"/>
      </w:r>
      <w:r w:rsidRPr="001428D3" w:rsidR="007A6B8B">
        <w:t xml:space="preserve">.  On an unspecified date the first and second applicants entered into an agreement with a company for the construction of </w:t>
      </w:r>
      <w:r w:rsidRPr="001428D3" w:rsidR="004B705F">
        <w:t xml:space="preserve">a </w:t>
      </w:r>
      <w:r w:rsidRPr="001428D3" w:rsidR="00DE5A96">
        <w:t xml:space="preserve">five-storey </w:t>
      </w:r>
      <w:r w:rsidRPr="001428D3" w:rsidR="004B705F">
        <w:t xml:space="preserve">residential and service building, </w:t>
      </w:r>
      <w:r w:rsidRPr="001428D3" w:rsidR="00DE5A96">
        <w:t xml:space="preserve">with a </w:t>
      </w:r>
      <w:r w:rsidRPr="001428D3" w:rsidR="00641A3E">
        <w:t xml:space="preserve">penthouse </w:t>
      </w:r>
      <w:r w:rsidRPr="001428D3" w:rsidR="00FE046F">
        <w:t>floor</w:t>
      </w:r>
      <w:r w:rsidRPr="001428D3" w:rsidR="004B705F">
        <w:t xml:space="preserve"> and </w:t>
      </w:r>
      <w:r w:rsidRPr="001428D3" w:rsidR="00E01B6D">
        <w:t xml:space="preserve">an </w:t>
      </w:r>
      <w:r w:rsidRPr="001428D3" w:rsidR="00FE046F">
        <w:t xml:space="preserve">underground </w:t>
      </w:r>
      <w:r w:rsidRPr="001428D3" w:rsidR="004B705F">
        <w:t xml:space="preserve">floor </w:t>
      </w:r>
      <w:r w:rsidRPr="001428D3" w:rsidR="00641A3E">
        <w:t>containing shop</w:t>
      </w:r>
      <w:r w:rsidRPr="001428D3" w:rsidR="00D0352C">
        <w:t xml:space="preserve">s </w:t>
      </w:r>
      <w:r w:rsidRPr="001428D3" w:rsidR="003E3675">
        <w:t xml:space="preserve">(hereinafter </w:t>
      </w:r>
      <w:r w:rsidRPr="001428D3" w:rsidR="00E01B6D">
        <w:t>“</w:t>
      </w:r>
      <w:r w:rsidRPr="001428D3" w:rsidR="003E3675">
        <w:t xml:space="preserve">the </w:t>
      </w:r>
      <w:r w:rsidRPr="001428D3" w:rsidR="007A6B8B">
        <w:t>Jon Residence</w:t>
      </w:r>
      <w:r w:rsidRPr="001428D3" w:rsidR="00D0352C">
        <w:t>” or “</w:t>
      </w:r>
      <w:r w:rsidRPr="001428D3" w:rsidR="003C5C08">
        <w:t>the building</w:t>
      </w:r>
      <w:r w:rsidRPr="001428D3" w:rsidR="00D0352C">
        <w:t>”</w:t>
      </w:r>
      <w:r w:rsidRPr="001428D3" w:rsidR="003E3675">
        <w:t>)</w:t>
      </w:r>
      <w:r w:rsidRPr="001428D3" w:rsidR="007A6B8B">
        <w:t xml:space="preserve"> on the above-mentioned plot of land.</w:t>
      </w:r>
    </w:p>
    <w:p w:rsidRPr="001428D3" w:rsidR="007A6B8B"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8</w:t>
      </w:r>
      <w:r w:rsidRPr="001428D3">
        <w:rPr>
          <w:noProof/>
        </w:rPr>
        <w:fldChar w:fldCharType="end"/>
      </w:r>
      <w:r w:rsidRPr="001428D3" w:rsidR="007A6B8B">
        <w:t xml:space="preserve">.  On 17 August 2010 the Vlora </w:t>
      </w:r>
      <w:r w:rsidRPr="001428D3" w:rsidR="003D208D">
        <w:t>Municipal Council for Territorial Planning</w:t>
      </w:r>
      <w:r w:rsidRPr="001428D3" w:rsidR="007A6B8B">
        <w:t xml:space="preserve"> </w:t>
      </w:r>
      <w:r w:rsidRPr="001428D3" w:rsidR="007A6B8B">
        <w:rPr>
          <w:i/>
        </w:rPr>
        <w:t>(Këshilli i Rregullimit të Territorit të Bashkisë Vlorë</w:t>
      </w:r>
      <w:r w:rsidRPr="001428D3" w:rsidR="003D208D">
        <w:rPr>
          <w:i/>
        </w:rPr>
        <w:t xml:space="preserve"> – </w:t>
      </w:r>
      <w:r w:rsidRPr="001428D3" w:rsidR="003D208D">
        <w:t>“</w:t>
      </w:r>
      <w:r w:rsidRPr="001428D3" w:rsidR="00E01B6D">
        <w:t xml:space="preserve">the </w:t>
      </w:r>
      <w:r w:rsidRPr="001428D3" w:rsidR="003D208D">
        <w:t>CTP”</w:t>
      </w:r>
      <w:r w:rsidRPr="001428D3" w:rsidR="007A6B8B">
        <w:rPr>
          <w:i/>
        </w:rPr>
        <w:t>)</w:t>
      </w:r>
      <w:r w:rsidRPr="001428D3" w:rsidR="007A6B8B">
        <w:t xml:space="preserve"> issued a building permit </w:t>
      </w:r>
      <w:r w:rsidRPr="001428D3" w:rsidR="00E01B6D">
        <w:t>to</w:t>
      </w:r>
      <w:r w:rsidRPr="001428D3" w:rsidR="007A6B8B">
        <w:t xml:space="preserve"> the company and the first and second applicants. </w:t>
      </w:r>
      <w:r w:rsidRPr="001428D3" w:rsidR="00017B15">
        <w:t>T</w:t>
      </w:r>
      <w:r w:rsidRPr="001428D3" w:rsidR="007A6B8B">
        <w:t>he remaining applicants entered into purchase agreements in respect of the flats to be constructed on the plot of land. The first and second applicants, by virtue of their ownership of the plot of land, were to be owners of some of the flats</w:t>
      </w:r>
      <w:r w:rsidRPr="001428D3" w:rsidR="007A5C1C">
        <w:t xml:space="preserve"> and shops</w:t>
      </w:r>
      <w:r w:rsidRPr="001428D3" w:rsidR="007A6B8B">
        <w:t xml:space="preserve"> in the Jon Residence. On 27 December 2012 the </w:t>
      </w:r>
      <w:r w:rsidRPr="001428D3" w:rsidR="00E01B6D">
        <w:t>building</w:t>
      </w:r>
      <w:r w:rsidRPr="001428D3" w:rsidR="007A6B8B">
        <w:t xml:space="preserve"> was registered with the I</w:t>
      </w:r>
      <w:r w:rsidRPr="001428D3" w:rsidR="00FE046F">
        <w:t>mmovable Property Registration Office (“</w:t>
      </w:r>
      <w:r w:rsidRPr="001428D3" w:rsidR="00641A3E">
        <w:t xml:space="preserve">the </w:t>
      </w:r>
      <w:r w:rsidRPr="001428D3" w:rsidR="00FE046F">
        <w:t>I</w:t>
      </w:r>
      <w:r w:rsidRPr="001428D3" w:rsidR="007A6B8B">
        <w:t>PRO</w:t>
      </w:r>
      <w:r w:rsidRPr="001428D3" w:rsidR="00FE046F">
        <w:t>”)</w:t>
      </w:r>
      <w:r w:rsidRPr="001428D3" w:rsidR="007A6B8B">
        <w:t>.</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9</w:t>
      </w:r>
      <w:r w:rsidRPr="001428D3">
        <w:rPr>
          <w:noProof/>
        </w:rPr>
        <w:fldChar w:fldCharType="end"/>
      </w:r>
      <w:r w:rsidRPr="001428D3" w:rsidR="007A6B8B">
        <w:t>.  Upon completion of the construction works</w:t>
      </w:r>
      <w:r w:rsidRPr="001428D3" w:rsidR="001678AF">
        <w:t xml:space="preserve"> </w:t>
      </w:r>
      <w:r w:rsidRPr="001428D3" w:rsidR="00C406D4">
        <w:t>in</w:t>
      </w:r>
      <w:r w:rsidRPr="001428D3" w:rsidR="001678AF">
        <w:t xml:space="preserve"> September 2012</w:t>
      </w:r>
      <w:r w:rsidRPr="001428D3" w:rsidR="007A6B8B">
        <w:t>, it appears that the majority of the flats and shops were furnished, the owners moved into their respective flats, and a pool bar/pizzeria was opened. The adjacent stretch of beach was opened for public use.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10</w:t>
      </w:r>
      <w:r w:rsidRPr="001428D3">
        <w:rPr>
          <w:noProof/>
        </w:rPr>
        <w:fldChar w:fldCharType="end"/>
      </w:r>
      <w:r w:rsidRPr="001428D3" w:rsidR="007A6B8B">
        <w:t>.  </w:t>
      </w:r>
      <w:r w:rsidRPr="001428D3" w:rsidR="00CA7A57">
        <w:t>It appears</w:t>
      </w:r>
      <w:r w:rsidRPr="001428D3" w:rsidR="00C0410B">
        <w:t xml:space="preserve"> from </w:t>
      </w:r>
      <w:r w:rsidRPr="001428D3" w:rsidR="00CA7A57">
        <w:t>a</w:t>
      </w:r>
      <w:r w:rsidRPr="001428D3" w:rsidR="002D7A96">
        <w:t xml:space="preserve"> letter </w:t>
      </w:r>
      <w:r w:rsidRPr="001428D3" w:rsidR="00CA7A57">
        <w:t xml:space="preserve">from the Ombudsman dated </w:t>
      </w:r>
      <w:r w:rsidRPr="001428D3" w:rsidR="00A94048">
        <w:t>13 </w:t>
      </w:r>
      <w:r w:rsidRPr="001428D3" w:rsidR="002D7A96">
        <w:t>No</w:t>
      </w:r>
      <w:r w:rsidRPr="001428D3" w:rsidR="00A94048">
        <w:t>vember </w:t>
      </w:r>
      <w:r w:rsidRPr="001428D3" w:rsidR="004800A2">
        <w:t xml:space="preserve">2013 (see paragraph </w:t>
      </w:r>
      <w:r w:rsidRPr="001428D3" w:rsidR="00551A61">
        <w:t xml:space="preserve">24 </w:t>
      </w:r>
      <w:r w:rsidRPr="001428D3" w:rsidR="002D7A96">
        <w:t>below) that</w:t>
      </w:r>
      <w:r w:rsidRPr="001428D3" w:rsidR="007A6B8B">
        <w:t xml:space="preserve"> </w:t>
      </w:r>
      <w:r w:rsidRPr="001428D3" w:rsidR="00E01B6D">
        <w:t xml:space="preserve">on 30 October 2013 </w:t>
      </w:r>
      <w:r w:rsidRPr="001428D3" w:rsidR="007A6B8B">
        <w:t xml:space="preserve">the </w:t>
      </w:r>
      <w:r w:rsidRPr="001428D3" w:rsidR="00390C1D">
        <w:t xml:space="preserve">National </w:t>
      </w:r>
      <w:r w:rsidRPr="001428D3" w:rsidR="00EB1A48">
        <w:t xml:space="preserve">Construction and </w:t>
      </w:r>
      <w:r w:rsidRPr="001428D3" w:rsidR="00390C1D">
        <w:t xml:space="preserve">Urban </w:t>
      </w:r>
      <w:r w:rsidRPr="001428D3" w:rsidR="00EB1A48">
        <w:t xml:space="preserve">Planning </w:t>
      </w:r>
      <w:r w:rsidRPr="001428D3" w:rsidR="00390C1D">
        <w:t>Inspectorate (</w:t>
      </w:r>
      <w:r w:rsidRPr="001428D3" w:rsidR="00390C1D">
        <w:rPr>
          <w:i/>
        </w:rPr>
        <w:t>Inspektoriati Ndërtimor dhe Urbanistik Kombëtar</w:t>
      </w:r>
      <w:r w:rsidRPr="001428D3" w:rsidR="007A5C1C">
        <w:t xml:space="preserve"> </w:t>
      </w:r>
      <w:r w:rsidRPr="001428D3" w:rsidR="007A5C1C">
        <w:rPr>
          <w:i/>
        </w:rPr>
        <w:t>–</w:t>
      </w:r>
      <w:r w:rsidRPr="001428D3" w:rsidR="007A5C1C">
        <w:t xml:space="preserve"> </w:t>
      </w:r>
      <w:r w:rsidRPr="001428D3" w:rsidR="00390C1D">
        <w:t>“</w:t>
      </w:r>
      <w:r w:rsidRPr="001428D3" w:rsidR="007A45C3">
        <w:t xml:space="preserve">the </w:t>
      </w:r>
      <w:r w:rsidRPr="001428D3" w:rsidR="00390C1D">
        <w:t xml:space="preserve">NUCI”) </w:t>
      </w:r>
      <w:r w:rsidRPr="001428D3" w:rsidR="007A6B8B">
        <w:t xml:space="preserve">requested support from the Vlora district police </w:t>
      </w:r>
      <w:r w:rsidRPr="001428D3" w:rsidR="00C406D4">
        <w:t xml:space="preserve">for </w:t>
      </w:r>
      <w:r w:rsidRPr="001428D3" w:rsidR="007A6B8B">
        <w:t>the demolition of illegal constructions along the Vlora coastline,</w:t>
      </w:r>
      <w:r w:rsidRPr="001428D3" w:rsidR="007F6741">
        <w:t xml:space="preserve"> </w:t>
      </w:r>
      <w:r w:rsidRPr="001428D3" w:rsidR="007A6B8B">
        <w:t xml:space="preserve">to be carried </w:t>
      </w:r>
      <w:r w:rsidRPr="001428D3" w:rsidR="007A45C3">
        <w:t>out the</w:t>
      </w:r>
      <w:r w:rsidRPr="001428D3" w:rsidR="007A6B8B">
        <w:t xml:space="preserve"> same day</w:t>
      </w:r>
      <w:r w:rsidRPr="001428D3" w:rsidR="007A45C3">
        <w:t xml:space="preserve">. Further </w:t>
      </w:r>
      <w:r w:rsidRPr="001428D3" w:rsidR="007A6B8B">
        <w:t xml:space="preserve">demolition </w:t>
      </w:r>
      <w:r w:rsidRPr="001428D3" w:rsidR="007A45C3">
        <w:t xml:space="preserve">work </w:t>
      </w:r>
      <w:r w:rsidRPr="001428D3" w:rsidR="007A6B8B">
        <w:t>was to continue the next day on other parts of the Vlora coastline.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11</w:t>
      </w:r>
      <w:r w:rsidRPr="001428D3">
        <w:rPr>
          <w:noProof/>
        </w:rPr>
        <w:fldChar w:fldCharType="end"/>
      </w:r>
      <w:r w:rsidRPr="001428D3" w:rsidR="0044160A">
        <w:t>.  </w:t>
      </w:r>
      <w:r w:rsidRPr="001428D3" w:rsidR="007A6B8B">
        <w:t>On 3 November 2013</w:t>
      </w:r>
      <w:r w:rsidRPr="001428D3" w:rsidR="00C406D4">
        <w:t>,</w:t>
      </w:r>
      <w:r w:rsidRPr="001428D3" w:rsidR="007A6B8B">
        <w:t xml:space="preserve"> </w:t>
      </w:r>
      <w:r w:rsidRPr="001428D3" w:rsidR="00C406D4">
        <w:t xml:space="preserve">without prior notice, </w:t>
      </w:r>
      <w:r w:rsidRPr="001428D3" w:rsidR="007A6B8B">
        <w:t xml:space="preserve">officials of the NUCI and the </w:t>
      </w:r>
      <w:r w:rsidRPr="001428D3" w:rsidR="00280682">
        <w:t xml:space="preserve">Vlora </w:t>
      </w:r>
      <w:r w:rsidRPr="001428D3" w:rsidR="00390C1D">
        <w:t xml:space="preserve">Construction </w:t>
      </w:r>
      <w:r w:rsidRPr="001428D3" w:rsidR="00EB1A48">
        <w:t xml:space="preserve">and Urban Planning </w:t>
      </w:r>
      <w:r w:rsidRPr="001428D3" w:rsidR="00390C1D">
        <w:t>Inspectorate (</w:t>
      </w:r>
      <w:r w:rsidRPr="001428D3" w:rsidR="00390C1D">
        <w:rPr>
          <w:i/>
        </w:rPr>
        <w:t>Inspektoriati Ndërtimor dhe Urbanistik Vlorë</w:t>
      </w:r>
      <w:r w:rsidRPr="001428D3" w:rsidR="007B2E81">
        <w:rPr>
          <w:i/>
        </w:rPr>
        <w:t xml:space="preserve"> –</w:t>
      </w:r>
      <w:r w:rsidRPr="001428D3" w:rsidR="007B2E81">
        <w:t xml:space="preserve"> </w:t>
      </w:r>
      <w:r w:rsidRPr="001428D3" w:rsidR="00390C1D">
        <w:t>“</w:t>
      </w:r>
      <w:r w:rsidRPr="001428D3" w:rsidR="007A45C3">
        <w:t xml:space="preserve">the </w:t>
      </w:r>
      <w:r w:rsidRPr="001428D3" w:rsidR="00390C1D">
        <w:t>MUCI”)</w:t>
      </w:r>
      <w:r w:rsidRPr="001428D3" w:rsidR="007A6B8B">
        <w:t xml:space="preserve">, supported by the State </w:t>
      </w:r>
      <w:r w:rsidRPr="001428D3" w:rsidR="003731B7">
        <w:t>P</w:t>
      </w:r>
      <w:r w:rsidRPr="001428D3" w:rsidR="007A6B8B">
        <w:t>olice, surrounded the Jon Residence and cordoned it off with yellow police tape</w:t>
      </w:r>
      <w:r w:rsidRPr="001428D3" w:rsidR="0063165A">
        <w:t xml:space="preserve"> marked</w:t>
      </w:r>
      <w:r w:rsidRPr="001428D3" w:rsidR="007A6B8B">
        <w:t xml:space="preserve"> “Crime scene – </w:t>
      </w:r>
      <w:r w:rsidRPr="001428D3" w:rsidR="00017B15">
        <w:t xml:space="preserve">no </w:t>
      </w:r>
      <w:r w:rsidRPr="001428D3" w:rsidR="007A6B8B">
        <w:t>entry” (</w:t>
      </w:r>
      <w:r w:rsidRPr="001428D3" w:rsidR="007A6B8B">
        <w:rPr>
          <w:i/>
        </w:rPr>
        <w:t>Skenë krimi, nuk lejohet kalimi</w:t>
      </w:r>
      <w:r w:rsidRPr="001428D3" w:rsidR="007A6B8B">
        <w:t xml:space="preserve">). </w:t>
      </w:r>
      <w:r w:rsidRPr="001428D3" w:rsidR="00912E55">
        <w:t xml:space="preserve">According to </w:t>
      </w:r>
      <w:r w:rsidRPr="001428D3" w:rsidR="001678AF">
        <w:t>the evidence</w:t>
      </w:r>
      <w:r w:rsidRPr="001428D3" w:rsidR="008E6953">
        <w:t xml:space="preserve"> </w:t>
      </w:r>
      <w:r w:rsidRPr="001428D3" w:rsidR="007A45C3">
        <w:t xml:space="preserve">submitted by the applicants, which were </w:t>
      </w:r>
      <w:r w:rsidRPr="001428D3" w:rsidR="008E6953">
        <w:t>widely published in the media</w:t>
      </w:r>
      <w:r w:rsidRPr="001428D3" w:rsidR="00912E55">
        <w:t>, t</w:t>
      </w:r>
      <w:r w:rsidRPr="001428D3" w:rsidR="007A6B8B">
        <w:t xml:space="preserve">he </w:t>
      </w:r>
      <w:r w:rsidRPr="001428D3" w:rsidR="00912E55">
        <w:t>residents</w:t>
      </w:r>
      <w:r w:rsidRPr="001428D3" w:rsidR="007A6B8B">
        <w:t xml:space="preserve"> </w:t>
      </w:r>
      <w:r w:rsidRPr="001428D3" w:rsidR="00912E55">
        <w:t xml:space="preserve">of the building </w:t>
      </w:r>
      <w:r w:rsidRPr="001428D3" w:rsidR="007A6B8B">
        <w:t>were told that the authorities were seizing the building</w:t>
      </w:r>
      <w:r w:rsidRPr="001428D3" w:rsidR="00CC4D9B">
        <w:t>. They</w:t>
      </w:r>
      <w:r w:rsidRPr="001428D3" w:rsidR="007A6B8B">
        <w:t xml:space="preserve"> were prevented from entering their flats and retrieving their valuables. </w:t>
      </w:r>
      <w:r w:rsidRPr="001428D3" w:rsidR="00DC0B6B">
        <w:t>T</w:t>
      </w:r>
      <w:r w:rsidRPr="001428D3" w:rsidR="007D7FBC">
        <w:t xml:space="preserve">he </w:t>
      </w:r>
      <w:r w:rsidRPr="001428D3" w:rsidR="007A6B8B">
        <w:t xml:space="preserve">applicants </w:t>
      </w:r>
      <w:r w:rsidRPr="001428D3" w:rsidR="0063165A">
        <w:t xml:space="preserve">only </w:t>
      </w:r>
      <w:r w:rsidRPr="001428D3" w:rsidR="007A6B8B">
        <w:t xml:space="preserve">learned </w:t>
      </w:r>
      <w:r w:rsidRPr="001428D3" w:rsidR="00F8022B">
        <w:t>of the situation through</w:t>
      </w:r>
      <w:r w:rsidRPr="001428D3" w:rsidR="007A6B8B">
        <w:t xml:space="preserve"> the media or by telephone from the building</w:t>
      </w:r>
      <w:r w:rsidRPr="001428D3" w:rsidR="001428D3">
        <w:t>’</w:t>
      </w:r>
      <w:r w:rsidRPr="001428D3" w:rsidR="007A6B8B">
        <w:t xml:space="preserve">s security guards. They were told that the authorities were examining the legality of the </w:t>
      </w:r>
      <w:r w:rsidRPr="001428D3" w:rsidR="0065282A">
        <w:t xml:space="preserve">building </w:t>
      </w:r>
      <w:r w:rsidRPr="001428D3" w:rsidR="007A6B8B">
        <w:t>permit and other relevant documents.</w:t>
      </w:r>
      <w:r w:rsidRPr="001428D3" w:rsidR="00912E55">
        <w:t xml:space="preserve"> </w:t>
      </w:r>
      <w:r w:rsidRPr="001428D3" w:rsidR="008E6953">
        <w:t xml:space="preserve">It </w:t>
      </w:r>
      <w:r w:rsidRPr="001428D3" w:rsidR="0065282A">
        <w:t xml:space="preserve">appears </w:t>
      </w:r>
      <w:r w:rsidRPr="001428D3" w:rsidR="00CC4D9B">
        <w:t xml:space="preserve">from the documents </w:t>
      </w:r>
      <w:r w:rsidRPr="001428D3" w:rsidR="0065282A">
        <w:t>submitted</w:t>
      </w:r>
      <w:r w:rsidRPr="001428D3" w:rsidR="00CC4D9B">
        <w:t xml:space="preserve"> </w:t>
      </w:r>
      <w:r w:rsidRPr="001428D3" w:rsidR="008E6953">
        <w:t>that the building</w:t>
      </w:r>
      <w:r w:rsidRPr="001428D3" w:rsidR="00912E55">
        <w:t xml:space="preserve"> </w:t>
      </w:r>
      <w:r w:rsidRPr="001428D3" w:rsidR="008E6953">
        <w:t xml:space="preserve">was </w:t>
      </w:r>
      <w:r w:rsidRPr="001428D3" w:rsidR="00F8213F">
        <w:t>guarded</w:t>
      </w:r>
      <w:r w:rsidRPr="001428D3" w:rsidR="00912E55">
        <w:t xml:space="preserve"> by armed police officers</w:t>
      </w:r>
      <w:r w:rsidRPr="001428D3" w:rsidR="0065282A">
        <w:t>, who were</w:t>
      </w:r>
      <w:r w:rsidRPr="001428D3" w:rsidR="00912E55">
        <w:t xml:space="preserve"> positioned in </w:t>
      </w:r>
      <w:r w:rsidRPr="001428D3" w:rsidR="0065282A">
        <w:t xml:space="preserve">such a </w:t>
      </w:r>
      <w:r w:rsidRPr="001428D3" w:rsidR="00912E55">
        <w:t xml:space="preserve">way </w:t>
      </w:r>
      <w:r w:rsidRPr="001428D3" w:rsidR="00F8213F">
        <w:t>as to prevent</w:t>
      </w:r>
      <w:r w:rsidRPr="001428D3" w:rsidR="00912E55">
        <w:t xml:space="preserve"> the </w:t>
      </w:r>
      <w:r w:rsidRPr="001428D3" w:rsidR="00FD7CFB">
        <w:t>residents of the building (</w:t>
      </w:r>
      <w:r w:rsidRPr="001428D3" w:rsidR="0065282A">
        <w:t>including</w:t>
      </w:r>
      <w:r w:rsidRPr="001428D3" w:rsidR="00FD7CFB">
        <w:t xml:space="preserve"> some </w:t>
      </w:r>
      <w:r w:rsidRPr="001428D3" w:rsidR="00CC4D9B">
        <w:t xml:space="preserve">of the </w:t>
      </w:r>
      <w:r w:rsidRPr="001428D3" w:rsidR="00FD7CFB">
        <w:t>applicants)</w:t>
      </w:r>
      <w:r w:rsidRPr="001428D3" w:rsidR="00912E55">
        <w:t xml:space="preserve"> </w:t>
      </w:r>
      <w:r w:rsidRPr="001428D3" w:rsidR="00F8213F">
        <w:t>from entering</w:t>
      </w:r>
      <w:r w:rsidRPr="001428D3" w:rsidR="00912E55">
        <w:t xml:space="preserve">. </w:t>
      </w:r>
      <w:r w:rsidRPr="001428D3" w:rsidR="007D7FBC">
        <w:t xml:space="preserve">Furthermore, </w:t>
      </w:r>
      <w:r w:rsidRPr="001428D3" w:rsidR="0065282A">
        <w:t>when</w:t>
      </w:r>
      <w:r w:rsidRPr="001428D3" w:rsidR="00876616">
        <w:t xml:space="preserve"> </w:t>
      </w:r>
      <w:r w:rsidRPr="001428D3" w:rsidR="007D7FBC">
        <w:t xml:space="preserve">one of </w:t>
      </w:r>
      <w:r w:rsidRPr="001428D3" w:rsidR="00876616">
        <w:t xml:space="preserve">the residents </w:t>
      </w:r>
      <w:r w:rsidRPr="001428D3" w:rsidR="0065282A">
        <w:t xml:space="preserve">asked </w:t>
      </w:r>
      <w:r w:rsidRPr="001428D3" w:rsidR="00876616">
        <w:t xml:space="preserve">one of </w:t>
      </w:r>
      <w:r w:rsidRPr="001428D3" w:rsidR="007D7FBC">
        <w:t>the State employees</w:t>
      </w:r>
      <w:r w:rsidRPr="001428D3" w:rsidR="00876616">
        <w:t xml:space="preserve"> </w:t>
      </w:r>
      <w:r w:rsidRPr="001428D3" w:rsidR="007D7FBC">
        <w:t xml:space="preserve">to provide identification or </w:t>
      </w:r>
      <w:r w:rsidRPr="001428D3" w:rsidR="00876616">
        <w:t>an</w:t>
      </w:r>
      <w:r w:rsidRPr="001428D3" w:rsidR="007D7FBC">
        <w:t xml:space="preserve">other </w:t>
      </w:r>
      <w:r w:rsidRPr="001428D3" w:rsidR="00876616">
        <w:t xml:space="preserve">official </w:t>
      </w:r>
      <w:r w:rsidRPr="001428D3" w:rsidR="007D7FBC">
        <w:t xml:space="preserve">document </w:t>
      </w:r>
      <w:r w:rsidRPr="001428D3" w:rsidR="00D0352C">
        <w:t>to</w:t>
      </w:r>
      <w:r w:rsidRPr="001428D3" w:rsidR="007D7FBC">
        <w:t xml:space="preserve"> justify the</w:t>
      </w:r>
      <w:r w:rsidRPr="001428D3" w:rsidR="00876616">
        <w:t xml:space="preserve"> authorities</w:t>
      </w:r>
      <w:r w:rsidRPr="001428D3" w:rsidR="001428D3">
        <w:t>’</w:t>
      </w:r>
      <w:r w:rsidRPr="001428D3" w:rsidR="00876616">
        <w:t xml:space="preserve"> </w:t>
      </w:r>
      <w:r w:rsidRPr="001428D3" w:rsidR="007D7FBC">
        <w:t>interference</w:t>
      </w:r>
      <w:r w:rsidRPr="001428D3" w:rsidR="00876616">
        <w:t xml:space="preserve"> </w:t>
      </w:r>
      <w:r w:rsidRPr="001428D3" w:rsidR="0063165A">
        <w:t xml:space="preserve">with </w:t>
      </w:r>
      <w:r w:rsidRPr="001428D3" w:rsidR="00876616">
        <w:t>their property rights</w:t>
      </w:r>
      <w:r w:rsidRPr="001428D3" w:rsidR="007D7FBC">
        <w:t xml:space="preserve">, </w:t>
      </w:r>
      <w:r w:rsidRPr="001428D3" w:rsidR="00C406D4">
        <w:t xml:space="preserve">the State employee </w:t>
      </w:r>
      <w:r w:rsidRPr="001428D3" w:rsidR="00876616">
        <w:t xml:space="preserve">declared that </w:t>
      </w:r>
      <w:r w:rsidRPr="001428D3" w:rsidR="007D7FBC">
        <w:t xml:space="preserve">they were not obliged to give any information </w:t>
      </w:r>
      <w:r w:rsidRPr="001428D3" w:rsidR="00876616">
        <w:t xml:space="preserve">because they </w:t>
      </w:r>
      <w:r w:rsidRPr="001428D3" w:rsidR="007D7FBC">
        <w:t xml:space="preserve">were </w:t>
      </w:r>
      <w:r w:rsidRPr="001428D3" w:rsidR="006D4C4A">
        <w:t>an official body</w:t>
      </w:r>
      <w:r w:rsidRPr="001428D3" w:rsidR="007D7FBC">
        <w:t>.</w:t>
      </w:r>
    </w:p>
    <w:p w:rsidRPr="001428D3" w:rsidR="000B6BD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12</w:t>
      </w:r>
      <w:r w:rsidRPr="001428D3">
        <w:rPr>
          <w:noProof/>
        </w:rPr>
        <w:fldChar w:fldCharType="end"/>
      </w:r>
      <w:r w:rsidRPr="001428D3" w:rsidR="000B6BDC">
        <w:t xml:space="preserve">.  On an unspecified date the NUCI prepared an information </w:t>
      </w:r>
      <w:r w:rsidRPr="001428D3" w:rsidR="00280682">
        <w:t xml:space="preserve">report concerning </w:t>
      </w:r>
      <w:r w:rsidRPr="001428D3" w:rsidR="000B6BDC">
        <w:t xml:space="preserve">the </w:t>
      </w:r>
      <w:r w:rsidRPr="001428D3" w:rsidR="00D0352C">
        <w:t xml:space="preserve">inspection </w:t>
      </w:r>
      <w:r w:rsidRPr="001428D3" w:rsidR="000B6BDC">
        <w:t xml:space="preserve">they </w:t>
      </w:r>
      <w:r w:rsidRPr="001428D3" w:rsidR="00280682">
        <w:t xml:space="preserve">had </w:t>
      </w:r>
      <w:r w:rsidRPr="001428D3" w:rsidR="000B6BDC">
        <w:t xml:space="preserve">carried out </w:t>
      </w:r>
      <w:r w:rsidRPr="001428D3" w:rsidR="00E77AA7">
        <w:t>at</w:t>
      </w:r>
      <w:r w:rsidRPr="001428D3" w:rsidR="000B6BDC">
        <w:t xml:space="preserve"> the Jon Residence on 3</w:t>
      </w:r>
      <w:r w:rsidRPr="001428D3" w:rsidR="00280682">
        <w:t> </w:t>
      </w:r>
      <w:r w:rsidRPr="001428D3" w:rsidR="000B6BDC">
        <w:t xml:space="preserve">November 2013. According to </w:t>
      </w:r>
      <w:r w:rsidRPr="001428D3" w:rsidR="0063165A">
        <w:t>the report</w:t>
      </w:r>
      <w:r w:rsidRPr="001428D3" w:rsidR="003D208D">
        <w:t xml:space="preserve">, </w:t>
      </w:r>
      <w:r w:rsidRPr="001428D3" w:rsidR="00C406D4">
        <w:t xml:space="preserve">neither had the </w:t>
      </w:r>
      <w:r w:rsidRPr="001428D3" w:rsidR="004D6C30">
        <w:t>members</w:t>
      </w:r>
      <w:r w:rsidRPr="001428D3" w:rsidR="000B6BDC">
        <w:t xml:space="preserve"> of the </w:t>
      </w:r>
      <w:r w:rsidRPr="001428D3" w:rsidR="003D208D">
        <w:t>CTP</w:t>
      </w:r>
      <w:r w:rsidRPr="001428D3" w:rsidR="000B6BDC">
        <w:t xml:space="preserve">, </w:t>
      </w:r>
      <w:r w:rsidRPr="001428D3" w:rsidR="00C406D4">
        <w:t xml:space="preserve">the </w:t>
      </w:r>
      <w:r w:rsidRPr="001428D3" w:rsidR="000474C2">
        <w:t xml:space="preserve">employees </w:t>
      </w:r>
      <w:r w:rsidRPr="001428D3" w:rsidR="000B6BDC">
        <w:t xml:space="preserve">of the </w:t>
      </w:r>
      <w:r w:rsidRPr="001428D3" w:rsidR="00BE44F2">
        <w:t xml:space="preserve">Vlora </w:t>
      </w:r>
      <w:r w:rsidRPr="001428D3" w:rsidR="000B6BDC">
        <w:t xml:space="preserve">Urban Planning Department </w:t>
      </w:r>
      <w:r w:rsidRPr="001428D3" w:rsidR="00C406D4">
        <w:t xml:space="preserve">nor the </w:t>
      </w:r>
      <w:r w:rsidRPr="001428D3" w:rsidR="000B6BDC">
        <w:t>inspectors of the MUCI</w:t>
      </w:r>
      <w:r w:rsidRPr="001428D3" w:rsidR="004D6C30">
        <w:t xml:space="preserve"> ha</w:t>
      </w:r>
      <w:r w:rsidRPr="001428D3" w:rsidR="003D208D">
        <w:t>d</w:t>
      </w:r>
      <w:r w:rsidRPr="001428D3" w:rsidR="00051090">
        <w:t xml:space="preserve"> </w:t>
      </w:r>
      <w:r w:rsidRPr="001428D3" w:rsidR="001678AF">
        <w:t xml:space="preserve">at no stage </w:t>
      </w:r>
      <w:r w:rsidRPr="001428D3" w:rsidR="00F8213F">
        <w:t>carried out the</w:t>
      </w:r>
      <w:r w:rsidRPr="001428D3" w:rsidR="00E77AA7">
        <w:t xml:space="preserve"> necessary building and planning inspections</w:t>
      </w:r>
      <w:r w:rsidRPr="001428D3" w:rsidR="00F8213F">
        <w:t xml:space="preserve"> </w:t>
      </w:r>
      <w:r w:rsidRPr="001428D3" w:rsidR="00E77AA7">
        <w:t>of</w:t>
      </w:r>
      <w:r w:rsidRPr="001428D3" w:rsidR="004D6C30">
        <w:t xml:space="preserve"> the </w:t>
      </w:r>
      <w:r w:rsidRPr="001428D3" w:rsidR="00E77AA7">
        <w:t>site</w:t>
      </w:r>
      <w:r w:rsidRPr="001428D3" w:rsidR="004D6C30">
        <w:t xml:space="preserve">. </w:t>
      </w:r>
      <w:r w:rsidRPr="001428D3" w:rsidR="00CD1326">
        <w:t>With their continuous actions and omissions they ha</w:t>
      </w:r>
      <w:r w:rsidRPr="001428D3" w:rsidR="00D13F5B">
        <w:t>d</w:t>
      </w:r>
      <w:r w:rsidRPr="001428D3" w:rsidR="00CD1326">
        <w:t xml:space="preserve"> allowed irregularities and unlawfulness throughout the </w:t>
      </w:r>
      <w:r w:rsidRPr="001428D3" w:rsidR="00D13F5B">
        <w:t>whole</w:t>
      </w:r>
      <w:r w:rsidRPr="001428D3" w:rsidR="00CD1326">
        <w:t xml:space="preserve"> period from the</w:t>
      </w:r>
      <w:r w:rsidRPr="001428D3" w:rsidR="00D13F5B">
        <w:t xml:space="preserve"> very</w:t>
      </w:r>
      <w:r w:rsidRPr="001428D3" w:rsidR="00CD1326">
        <w:t xml:space="preserve"> moment the relevant </w:t>
      </w:r>
      <w:r w:rsidRPr="001428D3" w:rsidR="00B14301">
        <w:t xml:space="preserve">permits had been approved </w:t>
      </w:r>
      <w:r w:rsidRPr="001428D3" w:rsidR="00CD1326">
        <w:t xml:space="preserve">in clear </w:t>
      </w:r>
      <w:r w:rsidRPr="001428D3" w:rsidR="009F1FE6">
        <w:t>breach of</w:t>
      </w:r>
      <w:r w:rsidRPr="001428D3" w:rsidR="00CD1326">
        <w:t xml:space="preserve"> the law,</w:t>
      </w:r>
      <w:r w:rsidRPr="001428D3" w:rsidR="004317C1">
        <w:t xml:space="preserve"> as well as </w:t>
      </w:r>
      <w:r w:rsidRPr="001428D3" w:rsidR="00B51E85">
        <w:t xml:space="preserve">throughout </w:t>
      </w:r>
      <w:r w:rsidRPr="001428D3" w:rsidR="004317C1">
        <w:t xml:space="preserve">the </w:t>
      </w:r>
      <w:r w:rsidRPr="001428D3" w:rsidR="00CD1326">
        <w:t>construction and</w:t>
      </w:r>
      <w:r w:rsidRPr="001428D3" w:rsidR="00DF3261">
        <w:t xml:space="preserve"> project</w:t>
      </w:r>
      <w:r w:rsidRPr="001428D3" w:rsidR="00CD1326">
        <w:t xml:space="preserve"> </w:t>
      </w:r>
      <w:r w:rsidRPr="001428D3" w:rsidR="00D13F5B">
        <w:t>implementation</w:t>
      </w:r>
      <w:r w:rsidRPr="001428D3" w:rsidR="000474C2">
        <w:t xml:space="preserve"> process</w:t>
      </w:r>
      <w:r w:rsidRPr="001428D3" w:rsidR="00D13F5B">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13</w:t>
      </w:r>
      <w:r w:rsidRPr="001428D3">
        <w:rPr>
          <w:noProof/>
        </w:rPr>
        <w:fldChar w:fldCharType="end"/>
      </w:r>
      <w:r w:rsidRPr="001428D3" w:rsidR="006050E7">
        <w:t>.  </w:t>
      </w:r>
      <w:r w:rsidRPr="001428D3" w:rsidR="007A6B8B">
        <w:t>On 20 November 2013</w:t>
      </w:r>
      <w:r w:rsidRPr="001428D3" w:rsidR="00F7373C">
        <w:t xml:space="preserve">, according to </w:t>
      </w:r>
      <w:r w:rsidRPr="001428D3" w:rsidR="000B5645">
        <w:t>the evidence</w:t>
      </w:r>
      <w:r w:rsidRPr="001428D3" w:rsidR="00F7373C">
        <w:t xml:space="preserve"> submitted by the applicants, </w:t>
      </w:r>
      <w:r w:rsidRPr="001428D3" w:rsidR="007A6B8B">
        <w:t xml:space="preserve">the </w:t>
      </w:r>
      <w:r w:rsidRPr="001428D3" w:rsidR="007C2A68">
        <w:t xml:space="preserve">then </w:t>
      </w:r>
      <w:r w:rsidRPr="001428D3" w:rsidR="007A6B8B">
        <w:t xml:space="preserve">Deputy Minister of Transport and Infrastructure, in an </w:t>
      </w:r>
      <w:r w:rsidRPr="001428D3" w:rsidR="000474C2">
        <w:t xml:space="preserve">television </w:t>
      </w:r>
      <w:r w:rsidRPr="001428D3" w:rsidR="007A6B8B">
        <w:t xml:space="preserve">interview for </w:t>
      </w:r>
      <w:r w:rsidRPr="001428D3" w:rsidR="001678AF">
        <w:t xml:space="preserve">national TV </w:t>
      </w:r>
      <w:r w:rsidRPr="001428D3" w:rsidR="007A6B8B">
        <w:t>Top Channel</w:t>
      </w:r>
      <w:r w:rsidRPr="001428D3" w:rsidR="000A3333">
        <w:t xml:space="preserve"> given in relation to the Jon Residence</w:t>
      </w:r>
      <w:r w:rsidRPr="001428D3" w:rsidR="007A6B8B">
        <w:t>, stated:</w:t>
      </w:r>
    </w:p>
    <w:p w:rsidRPr="001428D3" w:rsidR="007A6B8B" w:rsidP="001428D3" w:rsidRDefault="007A6B8B">
      <w:pPr>
        <w:pStyle w:val="ECHRParaQuote"/>
      </w:pPr>
      <w:r w:rsidRPr="001428D3">
        <w:t>“</w:t>
      </w:r>
      <w:r w:rsidRPr="001428D3" w:rsidR="005521CC">
        <w:t>...</w:t>
      </w:r>
      <w:r w:rsidRPr="001428D3">
        <w:t xml:space="preserve">The State is entitled to have the land back in its previous state. The demolition of the building is an indisputable consequence. The land should be </w:t>
      </w:r>
      <w:r w:rsidRPr="001428D3" w:rsidR="00436C8E">
        <w:t>cleared</w:t>
      </w:r>
      <w:r w:rsidRPr="001428D3">
        <w:t>. If this means that the building should be demolished</w:t>
      </w:r>
      <w:r w:rsidRPr="001428D3" w:rsidR="00F429C0">
        <w:t>,</w:t>
      </w:r>
      <w:r w:rsidRPr="001428D3">
        <w:t xml:space="preserve"> then demolition should take place. The demolition is not a purpose </w:t>
      </w:r>
      <w:r w:rsidRPr="001428D3">
        <w:rPr>
          <w:i/>
        </w:rPr>
        <w:t>per se</w:t>
      </w:r>
      <w:r w:rsidRPr="001428D3">
        <w:t>. It is the result of a series of unlawful acts, a series of flagrant violations of Albanian law</w:t>
      </w:r>
      <w:r w:rsidRPr="001428D3" w:rsidR="005521CC">
        <w:t>...</w:t>
      </w:r>
      <w:r w:rsidRPr="001428D3">
        <w:t>The Immovable Property Registration Office has been involved in this illegality (</w:t>
      </w:r>
      <w:r w:rsidRPr="001428D3">
        <w:rPr>
          <w:i/>
        </w:rPr>
        <w:t>futet në këtë valle të paligjshmërisë</w:t>
      </w:r>
      <w:r w:rsidRPr="001428D3">
        <w:t>); then there is Vlora Municipal Council, which – in contravention of the urban plan and in respect of land which does not exist –</w:t>
      </w:r>
      <w:r w:rsidRPr="001428D3" w:rsidR="009F1FE6">
        <w:t xml:space="preserve"> </w:t>
      </w:r>
      <w:r w:rsidRPr="001428D3">
        <w:t xml:space="preserve">issued a </w:t>
      </w:r>
      <w:r w:rsidRPr="001428D3" w:rsidR="000474C2">
        <w:t>building</w:t>
      </w:r>
      <w:r w:rsidRPr="001428D3">
        <w:t xml:space="preserve"> permit. The Immovable Property Registration Office has registered a building that has zero – nil – value (</w:t>
      </w:r>
      <w:r w:rsidRPr="001428D3">
        <w:rPr>
          <w:i/>
        </w:rPr>
        <w:t>ndërtim me vlerë zero, nul</w:t>
      </w:r>
      <w:r w:rsidRPr="001428D3">
        <w:t xml:space="preserve">). There is a 3,000-square-metre construction on a plot of land that only measures 600 square metres </w:t>
      </w:r>
      <w:r w:rsidRPr="001428D3" w:rsidR="005521CC">
        <w:t>...</w:t>
      </w:r>
      <w:r w:rsidRPr="001428D3">
        <w:t xml:space="preserve"> it</w:t>
      </w:r>
      <w:r w:rsidRPr="001428D3" w:rsidR="001428D3">
        <w:t>’</w:t>
      </w:r>
      <w:r w:rsidRPr="001428D3">
        <w:t xml:space="preserve">s like a stage set for a show put on by corrupt authorities. We have reached this point in flagrant violation of the law </w:t>
      </w:r>
      <w:r w:rsidRPr="001428D3" w:rsidR="005521CC">
        <w:t>...</w:t>
      </w:r>
      <w:r w:rsidRPr="001428D3" w:rsidR="001575DF">
        <w:t xml:space="preserve"> </w:t>
      </w:r>
      <w:r w:rsidRPr="001428D3">
        <w:t xml:space="preserve">Everyone could have been a victim as a result of </w:t>
      </w:r>
      <w:r w:rsidRPr="001428D3" w:rsidR="000474C2">
        <w:t xml:space="preserve">this </w:t>
      </w:r>
      <w:r w:rsidRPr="001428D3">
        <w:t xml:space="preserve">series of illegalities. Those that have bought </w:t>
      </w:r>
      <w:r w:rsidRPr="001428D3" w:rsidR="000571AB">
        <w:t xml:space="preserve">flats </w:t>
      </w:r>
      <w:r w:rsidRPr="001428D3">
        <w:t xml:space="preserve">in this building are victims. These people cannot be treated </w:t>
      </w:r>
      <w:r w:rsidRPr="001428D3" w:rsidR="000474C2">
        <w:t xml:space="preserve">the same as </w:t>
      </w:r>
      <w:r w:rsidRPr="001428D3">
        <w:t xml:space="preserve">those who have flagrantly violated the law. The Government should approve a fund for the full compensation of the people who have bought flats in this building </w:t>
      </w:r>
      <w:r w:rsidRPr="001428D3" w:rsidR="005521CC">
        <w:t>...</w:t>
      </w:r>
      <w:r w:rsidRPr="001428D3">
        <w:t>”</w:t>
      </w:r>
    </w:p>
    <w:p w:rsidRPr="001428D3" w:rsidR="00A879AB"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14</w:t>
      </w:r>
      <w:r w:rsidRPr="001428D3">
        <w:rPr>
          <w:noProof/>
        </w:rPr>
        <w:fldChar w:fldCharType="end"/>
      </w:r>
      <w:r w:rsidRPr="001428D3" w:rsidR="006050E7">
        <w:t>.  On 28</w:t>
      </w:r>
      <w:r w:rsidRPr="001428D3" w:rsidR="00B50F8D">
        <w:t xml:space="preserve"> November 2013, according to </w:t>
      </w:r>
      <w:r w:rsidRPr="001428D3" w:rsidR="00EA4E3D">
        <w:t>the evidence</w:t>
      </w:r>
      <w:r w:rsidRPr="001428D3" w:rsidR="00B50F8D">
        <w:t xml:space="preserve"> submitted by the applicants, </w:t>
      </w:r>
      <w:r w:rsidRPr="001428D3" w:rsidR="006050E7">
        <w:t xml:space="preserve">the Prime Minister </w:t>
      </w:r>
      <w:r w:rsidRPr="001428D3" w:rsidR="001575DF">
        <w:t xml:space="preserve">publicly </w:t>
      </w:r>
      <w:r w:rsidRPr="001428D3" w:rsidR="006050E7">
        <w:t>declared that the Government intended to realise a project for the construction of Lungomare</w:t>
      </w:r>
      <w:r w:rsidRPr="001428D3" w:rsidR="000474C2">
        <w:t>, a seaside</w:t>
      </w:r>
      <w:r w:rsidRPr="001428D3" w:rsidR="006050E7">
        <w:t xml:space="preserve"> promenade in Vlora</w:t>
      </w:r>
      <w:r w:rsidRPr="001428D3" w:rsidR="001575DF">
        <w:t>,</w:t>
      </w:r>
      <w:r w:rsidRPr="001428D3" w:rsidR="006050E7">
        <w:t xml:space="preserve"> with a view </w:t>
      </w:r>
      <w:r w:rsidRPr="001428D3" w:rsidR="00F8213F">
        <w:t xml:space="preserve">to </w:t>
      </w:r>
      <w:r w:rsidRPr="001428D3" w:rsidR="00537DAF">
        <w:t>completion by</w:t>
      </w:r>
      <w:r w:rsidRPr="001428D3" w:rsidR="006050E7">
        <w:t xml:space="preserve"> the summer of 2015. He also declared that the Government w</w:t>
      </w:r>
      <w:r w:rsidRPr="001428D3" w:rsidR="006D4C4A">
        <w:t xml:space="preserve">ould </w:t>
      </w:r>
      <w:r w:rsidRPr="001428D3" w:rsidR="000474C2">
        <w:t>put</w:t>
      </w:r>
      <w:r w:rsidRPr="001428D3" w:rsidR="00D330E0">
        <w:t xml:space="preserve"> out a tender for the design</w:t>
      </w:r>
      <w:r w:rsidRPr="001428D3" w:rsidR="000474C2">
        <w:t xml:space="preserve"> </w:t>
      </w:r>
      <w:r w:rsidRPr="001428D3" w:rsidR="00D330E0">
        <w:t xml:space="preserve">of </w:t>
      </w:r>
      <w:r w:rsidRPr="001428D3" w:rsidR="006050E7">
        <w:t>the project.</w:t>
      </w:r>
    </w:p>
    <w:p w:rsidRPr="001428D3" w:rsidR="00A879AB" w:rsidP="001428D3" w:rsidRDefault="004051AE">
      <w:pPr>
        <w:pStyle w:val="ECHRPara"/>
      </w:pPr>
      <w:r w:rsidRPr="001428D3">
        <w:fldChar w:fldCharType="begin"/>
      </w:r>
      <w:r w:rsidRPr="001428D3">
        <w:instrText xml:space="preserve"> SEQ level0 \*arabic </w:instrText>
      </w:r>
      <w:r w:rsidRPr="001428D3">
        <w:fldChar w:fldCharType="separate"/>
      </w:r>
      <w:r w:rsidRPr="001428D3" w:rsidR="001428D3">
        <w:rPr>
          <w:noProof/>
        </w:rPr>
        <w:t>15</w:t>
      </w:r>
      <w:r w:rsidRPr="001428D3">
        <w:fldChar w:fldCharType="end"/>
      </w:r>
      <w:r w:rsidRPr="001428D3">
        <w:t>.  </w:t>
      </w:r>
      <w:r w:rsidRPr="001428D3" w:rsidR="00A879AB">
        <w:t xml:space="preserve">The </w:t>
      </w:r>
      <w:r w:rsidRPr="001428D3">
        <w:t>Jon Residence</w:t>
      </w:r>
      <w:r w:rsidRPr="001428D3" w:rsidR="00A879AB">
        <w:t xml:space="preserve"> was demolished </w:t>
      </w:r>
      <w:r w:rsidRPr="001428D3" w:rsidR="00C406D4">
        <w:t xml:space="preserve">with explosives </w:t>
      </w:r>
      <w:r w:rsidRPr="001428D3" w:rsidR="00A879AB">
        <w:t>between 4</w:t>
      </w:r>
      <w:r w:rsidRPr="001428D3" w:rsidR="00C406D4">
        <w:t> </w:t>
      </w:r>
      <w:r w:rsidRPr="001428D3" w:rsidR="00A879AB">
        <w:t>December 2013 and 8 December 2013.</w:t>
      </w:r>
    </w:p>
    <w:p w:rsidRPr="001428D3" w:rsidR="00A82713" w:rsidP="001428D3" w:rsidRDefault="00063E37">
      <w:pPr>
        <w:pStyle w:val="ECHRHeading2"/>
      </w:pPr>
      <w:bookmarkStart w:name="_Toc480367216" w:id="8"/>
      <w:bookmarkStart w:name="_Toc480559183" w:id="9"/>
      <w:bookmarkStart w:name="_Toc481504543" w:id="10"/>
      <w:bookmarkStart w:name="_Toc498016733" w:id="11"/>
      <w:r w:rsidRPr="001428D3">
        <w:t>B</w:t>
      </w:r>
      <w:r w:rsidRPr="001428D3" w:rsidR="00A82713">
        <w:t>.  Judicial proceedings concerning the interim measure</w:t>
      </w:r>
      <w:bookmarkEnd w:id="8"/>
      <w:bookmarkEnd w:id="9"/>
      <w:bookmarkEnd w:id="10"/>
      <w:r w:rsidRPr="001428D3" w:rsidR="008D1272">
        <w:t xml:space="preserve"> and proceedings for its enforcement</w:t>
      </w:r>
      <w:bookmarkEnd w:id="11"/>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16</w:t>
      </w:r>
      <w:r w:rsidRPr="001428D3">
        <w:rPr>
          <w:noProof/>
        </w:rPr>
        <w:fldChar w:fldCharType="end"/>
      </w:r>
      <w:r w:rsidRPr="001428D3" w:rsidR="00A82713">
        <w:t xml:space="preserve">.  On 4 November 2013 </w:t>
      </w:r>
      <w:r w:rsidRPr="001428D3" w:rsidR="008E1939">
        <w:t xml:space="preserve">eleven </w:t>
      </w:r>
      <w:r w:rsidRPr="001428D3" w:rsidR="0048237E">
        <w:t xml:space="preserve">residents, </w:t>
      </w:r>
      <w:r w:rsidRPr="001428D3" w:rsidR="003A463A">
        <w:t>including</w:t>
      </w:r>
      <w:r w:rsidRPr="001428D3" w:rsidR="0048237E">
        <w:t xml:space="preserve"> nine</w:t>
      </w:r>
      <w:r w:rsidRPr="001428D3" w:rsidR="003A463A">
        <w:t xml:space="preserve"> of the</w:t>
      </w:r>
      <w:r w:rsidRPr="001428D3" w:rsidR="0048237E">
        <w:t xml:space="preserve"> applicants (E. Durolli, A. Deromemaj, V. Kacorri, P. Rakipaj, G. Calliku, V. Calliku, B. Rakipaj, Xh. Sharxhi and E. Ballanca)</w:t>
      </w:r>
      <w:r w:rsidRPr="001428D3" w:rsidR="00A82713">
        <w:t xml:space="preserve"> lodged a claim with the </w:t>
      </w:r>
      <w:r w:rsidRPr="001428D3" w:rsidR="00C618AF">
        <w:t xml:space="preserve">Vlora Administrative </w:t>
      </w:r>
      <w:r w:rsidRPr="001428D3" w:rsidR="00A82713">
        <w:t xml:space="preserve">District Court </w:t>
      </w:r>
      <w:r w:rsidRPr="001428D3" w:rsidR="00C618AF">
        <w:t xml:space="preserve">(“the District Court”) </w:t>
      </w:r>
      <w:r w:rsidRPr="001428D3" w:rsidR="006050E7">
        <w:t>against</w:t>
      </w:r>
      <w:r w:rsidRPr="001428D3" w:rsidR="00D330E0">
        <w:t xml:space="preserve"> the</w:t>
      </w:r>
      <w:r w:rsidRPr="001428D3" w:rsidR="006050E7">
        <w:t xml:space="preserve"> NUCI and MUCI</w:t>
      </w:r>
      <w:r w:rsidRPr="001428D3" w:rsidR="008405C7">
        <w:t>,</w:t>
      </w:r>
      <w:r w:rsidRPr="001428D3" w:rsidR="006050E7">
        <w:t xml:space="preserve"> </w:t>
      </w:r>
      <w:r w:rsidRPr="001428D3" w:rsidR="007E6488">
        <w:t xml:space="preserve">requesting </w:t>
      </w:r>
      <w:r w:rsidRPr="001428D3" w:rsidR="00D330E0">
        <w:t xml:space="preserve">an </w:t>
      </w:r>
      <w:r w:rsidRPr="001428D3" w:rsidR="00F8213F">
        <w:t>“</w:t>
      </w:r>
      <w:r w:rsidRPr="001428D3" w:rsidR="007E6488">
        <w:t xml:space="preserve">acknowledgment of the unlawfulness of the administrative actions carried out on </w:t>
      </w:r>
      <w:r w:rsidRPr="001428D3" w:rsidR="005B6D61">
        <w:t>3 November 2013, which ha</w:t>
      </w:r>
      <w:r w:rsidRPr="001428D3" w:rsidR="00F8213F">
        <w:t>d resulted in a violation of their</w:t>
      </w:r>
      <w:r w:rsidRPr="001428D3" w:rsidR="005B6D61">
        <w:t xml:space="preserve"> property rights,</w:t>
      </w:r>
      <w:r w:rsidRPr="001428D3" w:rsidR="00A82713">
        <w:t xml:space="preserve"> and </w:t>
      </w:r>
      <w:r w:rsidRPr="001428D3" w:rsidR="007E6488">
        <w:t xml:space="preserve">the obligation of administrative authorities, </w:t>
      </w:r>
      <w:r w:rsidRPr="001428D3" w:rsidR="00A82713">
        <w:t>the NUCI and MUCI</w:t>
      </w:r>
      <w:r w:rsidRPr="001428D3" w:rsidR="007E6488">
        <w:t xml:space="preserve"> to re</w:t>
      </w:r>
      <w:r w:rsidRPr="001428D3" w:rsidR="006D4C4A">
        <w:t>frain</w:t>
      </w:r>
      <w:r w:rsidRPr="001428D3" w:rsidR="00A82713">
        <w:t xml:space="preserve"> from taking any further administrative action, necessary for the protection of the applicants</w:t>
      </w:r>
      <w:r w:rsidRPr="001428D3" w:rsidR="001428D3">
        <w:t>’</w:t>
      </w:r>
      <w:r w:rsidRPr="001428D3" w:rsidR="00A82713">
        <w:t xml:space="preserve"> property rights</w:t>
      </w:r>
      <w:r w:rsidRPr="001428D3" w:rsidR="00F8213F">
        <w:t>”</w:t>
      </w:r>
      <w:r w:rsidRPr="001428D3" w:rsidR="00745C65">
        <w:t xml:space="preserve"> </w:t>
      </w:r>
      <w:r w:rsidRPr="001428D3" w:rsidR="00745C65">
        <w:rPr>
          <w:i/>
        </w:rPr>
        <w:t>(konstatimi i paligjshmërisë së veprimit administrativ të kryer nga pala e paditur i datës 3 Nëntor 2013, që kanë sjellë cënimin e të drejtave të pronësisë së paditësave; detyrimi i organit administrativ INUK dhe INUV Vlorë për të ndaluar kryerjen e një veprimi tjetër administrativ, të nevojshëm për mbrojtjen e të drejtave të paditësave).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17</w:t>
      </w:r>
      <w:r w:rsidRPr="001428D3">
        <w:rPr>
          <w:noProof/>
        </w:rPr>
        <w:fldChar w:fldCharType="end"/>
      </w:r>
      <w:r w:rsidRPr="001428D3" w:rsidR="00A84FC7">
        <w:t>.  It appears from the District Court</w:t>
      </w:r>
      <w:r w:rsidRPr="001428D3" w:rsidR="001428D3">
        <w:t>’</w:t>
      </w:r>
      <w:r w:rsidRPr="001428D3" w:rsidR="00A84FC7">
        <w:t xml:space="preserve">s decision </w:t>
      </w:r>
      <w:r w:rsidRPr="001428D3" w:rsidR="007F0D6F">
        <w:t>dated</w:t>
      </w:r>
      <w:r w:rsidRPr="001428D3" w:rsidR="00A84FC7">
        <w:t xml:space="preserve"> 7</w:t>
      </w:r>
      <w:r w:rsidRPr="001428D3" w:rsidR="00B97364">
        <w:t> </w:t>
      </w:r>
      <w:r w:rsidRPr="001428D3" w:rsidR="00A84FC7">
        <w:t>November 2013 (see paragraph</w:t>
      </w:r>
      <w:r w:rsidRPr="001428D3" w:rsidR="00B97364">
        <w:t xml:space="preserve"> </w:t>
      </w:r>
      <w:r w:rsidRPr="001428D3" w:rsidR="00551A61">
        <w:t xml:space="preserve">19 </w:t>
      </w:r>
      <w:r w:rsidRPr="001428D3" w:rsidR="00A84FC7">
        <w:t>below) that d</w:t>
      </w:r>
      <w:r w:rsidRPr="001428D3" w:rsidR="00A82713">
        <w:t>u</w:t>
      </w:r>
      <w:r w:rsidRPr="001428D3" w:rsidR="00792018">
        <w:t xml:space="preserve">ring the proceedings </w:t>
      </w:r>
      <w:r w:rsidRPr="001428D3" w:rsidR="00A82713">
        <w:t xml:space="preserve">the applicants </w:t>
      </w:r>
      <w:r w:rsidRPr="001428D3" w:rsidR="006D4C4A">
        <w:t>argued</w:t>
      </w:r>
      <w:r w:rsidRPr="001428D3" w:rsidR="00A82713">
        <w:t xml:space="preserve"> that the actions taken by the NUCI and MUCI had been arbitrary </w:t>
      </w:r>
      <w:r w:rsidRPr="001428D3" w:rsidR="00D330E0">
        <w:t>because</w:t>
      </w:r>
      <w:r w:rsidRPr="001428D3" w:rsidR="00A82713">
        <w:t xml:space="preserve"> the construction had been lawful and in accordance with urban </w:t>
      </w:r>
      <w:r w:rsidRPr="001428D3" w:rsidR="006D4C4A">
        <w:t>planning</w:t>
      </w:r>
      <w:r w:rsidRPr="001428D3" w:rsidR="00F8213F">
        <w:t xml:space="preserve"> regulations</w:t>
      </w:r>
      <w:r w:rsidRPr="001428D3" w:rsidR="00A82713">
        <w:t xml:space="preserve">. </w:t>
      </w:r>
      <w:r w:rsidRPr="001428D3" w:rsidR="00EE161D">
        <w:t xml:space="preserve">They claimed that police officers and representatives of </w:t>
      </w:r>
      <w:r w:rsidRPr="001428D3" w:rsidR="00D330E0">
        <w:t xml:space="preserve">the </w:t>
      </w:r>
      <w:r w:rsidRPr="001428D3" w:rsidR="00EE161D">
        <w:t xml:space="preserve">MUCI and NUCI </w:t>
      </w:r>
      <w:r w:rsidRPr="001428D3" w:rsidR="00F8213F">
        <w:t xml:space="preserve">had refused to </w:t>
      </w:r>
      <w:r w:rsidRPr="001428D3" w:rsidR="00EE161D">
        <w:t xml:space="preserve">allow them to enter the building </w:t>
      </w:r>
      <w:r w:rsidRPr="001428D3" w:rsidR="00071D18">
        <w:t xml:space="preserve">by </w:t>
      </w:r>
      <w:r w:rsidRPr="001428D3" w:rsidR="00EE161D">
        <w:t>surrounding the building with crime scene tape. The cordoning of</w:t>
      </w:r>
      <w:r w:rsidRPr="001428D3" w:rsidR="00071D18">
        <w:t>f</w:t>
      </w:r>
      <w:r w:rsidRPr="001428D3" w:rsidR="00D330E0">
        <w:t xml:space="preserve"> of</w:t>
      </w:r>
      <w:r w:rsidRPr="001428D3" w:rsidR="00EE161D">
        <w:t xml:space="preserve"> the building had been </w:t>
      </w:r>
      <w:r w:rsidRPr="001428D3" w:rsidR="00071D18">
        <w:t>done</w:t>
      </w:r>
      <w:r w:rsidRPr="001428D3" w:rsidR="00EE161D">
        <w:t xml:space="preserve"> with </w:t>
      </w:r>
      <w:r w:rsidRPr="001428D3" w:rsidR="0099483A">
        <w:t>a view</w:t>
      </w:r>
      <w:r w:rsidRPr="001428D3" w:rsidR="00EE161D">
        <w:t xml:space="preserve"> to</w:t>
      </w:r>
      <w:r w:rsidRPr="001428D3" w:rsidR="0099483A">
        <w:t xml:space="preserve"> its</w:t>
      </w:r>
      <w:r w:rsidRPr="001428D3" w:rsidR="00EE161D">
        <w:t xml:space="preserve"> </w:t>
      </w:r>
      <w:r w:rsidRPr="001428D3" w:rsidR="0099483A">
        <w:t>demolition</w:t>
      </w:r>
      <w:r w:rsidRPr="001428D3" w:rsidR="00EE161D">
        <w:t xml:space="preserve"> because the authorities had already proceeded in the same manner with other buildings, a fact which made </w:t>
      </w:r>
      <w:r w:rsidRPr="001428D3" w:rsidR="007F0D6F">
        <w:t xml:space="preserve">it ever more </w:t>
      </w:r>
      <w:r w:rsidRPr="001428D3" w:rsidR="0036431C">
        <w:t xml:space="preserve">apparent </w:t>
      </w:r>
      <w:r w:rsidRPr="001428D3" w:rsidR="007F0D6F">
        <w:t xml:space="preserve">that </w:t>
      </w:r>
      <w:r w:rsidRPr="001428D3" w:rsidR="00EE161D">
        <w:t>the</w:t>
      </w:r>
      <w:r w:rsidRPr="001428D3" w:rsidR="007F0D6F">
        <w:t>re was a</w:t>
      </w:r>
      <w:r w:rsidRPr="001428D3" w:rsidR="00EE161D">
        <w:t xml:space="preserve"> risk of </w:t>
      </w:r>
      <w:r w:rsidRPr="001428D3" w:rsidR="007F0D6F">
        <w:t xml:space="preserve">adverse </w:t>
      </w:r>
      <w:r w:rsidRPr="001428D3" w:rsidR="00EE161D">
        <w:t xml:space="preserve">consequences for the </w:t>
      </w:r>
      <w:r w:rsidRPr="001428D3" w:rsidR="0099483A">
        <w:t>applicants</w:t>
      </w:r>
      <w:r w:rsidRPr="001428D3" w:rsidR="00EE161D">
        <w:t xml:space="preserve">. </w:t>
      </w:r>
      <w:r w:rsidRPr="001428D3" w:rsidR="00A82713">
        <w:t>The actions taken</w:t>
      </w:r>
      <w:r w:rsidRPr="001428D3" w:rsidR="00667E86">
        <w:t>, namely the surrounding of the building</w:t>
      </w:r>
      <w:r w:rsidRPr="001428D3" w:rsidR="00A82713">
        <w:t xml:space="preserve"> with a view to </w:t>
      </w:r>
      <w:r w:rsidRPr="001428D3" w:rsidR="00667E86">
        <w:t>its demoli</w:t>
      </w:r>
      <w:r w:rsidRPr="001428D3" w:rsidR="006D4C4A">
        <w:t>tion</w:t>
      </w:r>
      <w:r w:rsidRPr="001428D3" w:rsidR="00A82713">
        <w:t xml:space="preserve"> without </w:t>
      </w:r>
      <w:r w:rsidRPr="001428D3" w:rsidR="00C406D4">
        <w:t xml:space="preserve">conducting </w:t>
      </w:r>
      <w:r w:rsidRPr="001428D3" w:rsidR="00A82713">
        <w:t xml:space="preserve">a detailed analysis of </w:t>
      </w:r>
      <w:r w:rsidRPr="001428D3" w:rsidR="00D330E0">
        <w:t>whether</w:t>
      </w:r>
      <w:r w:rsidRPr="001428D3" w:rsidR="00A82713">
        <w:t xml:space="preserve"> the documentation</w:t>
      </w:r>
      <w:r w:rsidRPr="001428D3" w:rsidR="00D330E0">
        <w:t xml:space="preserve"> was unlawful</w:t>
      </w:r>
      <w:r w:rsidRPr="001428D3" w:rsidR="00A82713">
        <w:t>, and without the situ</w:t>
      </w:r>
      <w:r w:rsidRPr="001428D3" w:rsidR="00071D18">
        <w:t xml:space="preserve">ation being examined by a court, </w:t>
      </w:r>
      <w:r w:rsidRPr="001428D3" w:rsidR="00A82713">
        <w:t>had resulted in an extreme interference with the applicants</w:t>
      </w:r>
      <w:r w:rsidRPr="001428D3" w:rsidR="001428D3">
        <w:t>’</w:t>
      </w:r>
      <w:r w:rsidRPr="001428D3" w:rsidR="00A82713">
        <w:t xml:space="preserve"> property rights.</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18</w:t>
      </w:r>
      <w:r w:rsidRPr="001428D3">
        <w:rPr>
          <w:noProof/>
        </w:rPr>
        <w:fldChar w:fldCharType="end"/>
      </w:r>
      <w:r w:rsidRPr="001428D3" w:rsidR="006050E7">
        <w:t>.  </w:t>
      </w:r>
      <w:r w:rsidRPr="001428D3" w:rsidR="00363345">
        <w:t>During th</w:t>
      </w:r>
      <w:r w:rsidRPr="001428D3" w:rsidR="000232F6">
        <w:t>ose</w:t>
      </w:r>
      <w:r w:rsidRPr="001428D3" w:rsidR="00363345">
        <w:t xml:space="preserve"> proceedings t</w:t>
      </w:r>
      <w:r w:rsidRPr="001428D3" w:rsidR="00A82713">
        <w:t xml:space="preserve">he applicants further </w:t>
      </w:r>
      <w:r w:rsidRPr="001428D3" w:rsidR="00477482">
        <w:t xml:space="preserve">requested the District Court to issue an interim order </w:t>
      </w:r>
      <w:r w:rsidRPr="001428D3" w:rsidR="005E0855">
        <w:t xml:space="preserve">for </w:t>
      </w:r>
      <w:r w:rsidRPr="001428D3" w:rsidR="00C406D4">
        <w:t xml:space="preserve">the </w:t>
      </w:r>
      <w:r w:rsidRPr="001428D3" w:rsidR="008B51CA">
        <w:t xml:space="preserve">necessary measures </w:t>
      </w:r>
      <w:r w:rsidRPr="001428D3" w:rsidR="00D330E0">
        <w:t>to</w:t>
      </w:r>
      <w:r w:rsidRPr="001428D3" w:rsidR="00477482">
        <w:t xml:space="preserve"> </w:t>
      </w:r>
      <w:r w:rsidRPr="001428D3" w:rsidR="00A82713">
        <w:t xml:space="preserve">stay the </w:t>
      </w:r>
      <w:r w:rsidRPr="001428D3" w:rsidR="005E0855">
        <w:t>implementation of the above-</w:t>
      </w:r>
      <w:r w:rsidRPr="001428D3" w:rsidR="00477482">
        <w:t xml:space="preserve">mentioned administrative action </w:t>
      </w:r>
      <w:r w:rsidRPr="001428D3" w:rsidR="00EA4E3D">
        <w:t xml:space="preserve">and </w:t>
      </w:r>
      <w:r w:rsidRPr="001428D3" w:rsidR="00477482">
        <w:t xml:space="preserve">for the removal of </w:t>
      </w:r>
      <w:r w:rsidRPr="001428D3" w:rsidR="008B51CA">
        <w:t xml:space="preserve">the </w:t>
      </w:r>
      <w:r w:rsidRPr="001428D3" w:rsidR="00477482">
        <w:t xml:space="preserve">obstacles which </w:t>
      </w:r>
      <w:r w:rsidRPr="001428D3" w:rsidR="008B51CA">
        <w:t xml:space="preserve">had made </w:t>
      </w:r>
      <w:r w:rsidRPr="001428D3" w:rsidR="00477482">
        <w:t xml:space="preserve">the seizure of the building </w:t>
      </w:r>
      <w:r w:rsidRPr="001428D3" w:rsidR="007F0D6F">
        <w:t xml:space="preserve">possible </w:t>
      </w:r>
      <w:r w:rsidRPr="001428D3" w:rsidR="00EA4E3D">
        <w:t xml:space="preserve">and had made </w:t>
      </w:r>
      <w:r w:rsidRPr="001428D3" w:rsidR="00477482">
        <w:t>it impossible</w:t>
      </w:r>
      <w:r w:rsidRPr="001428D3" w:rsidR="005E0855">
        <w:t xml:space="preserve"> for them</w:t>
      </w:r>
      <w:r w:rsidRPr="001428D3" w:rsidR="00477482">
        <w:t xml:space="preserve"> t</w:t>
      </w:r>
      <w:r w:rsidRPr="001428D3" w:rsidR="0001266C">
        <w:t>o</w:t>
      </w:r>
      <w:r w:rsidRPr="001428D3" w:rsidR="00477482">
        <w:t xml:space="preserve"> use their </w:t>
      </w:r>
      <w:r w:rsidRPr="001428D3" w:rsidR="00DD285D">
        <w:t>properties</w:t>
      </w:r>
      <w:r w:rsidRPr="001428D3" w:rsidR="008B51CA">
        <w:t>,</w:t>
      </w:r>
      <w:r w:rsidRPr="001428D3" w:rsidR="00477482">
        <w:t xml:space="preserve"> as well as </w:t>
      </w:r>
      <w:r w:rsidRPr="001428D3" w:rsidR="005E0855">
        <w:t>a stay of</w:t>
      </w:r>
      <w:r w:rsidRPr="001428D3" w:rsidR="00477482">
        <w:t xml:space="preserve"> all </w:t>
      </w:r>
      <w:r w:rsidRPr="001428D3" w:rsidR="00A82713">
        <w:t xml:space="preserve">administrative </w:t>
      </w:r>
      <w:r w:rsidRPr="001428D3" w:rsidR="00D330E0">
        <w:t xml:space="preserve">decisions </w:t>
      </w:r>
      <w:r w:rsidRPr="001428D3" w:rsidR="00A82713">
        <w:t xml:space="preserve">already issued or which were </w:t>
      </w:r>
      <w:r w:rsidRPr="001428D3" w:rsidR="00D330E0">
        <w:t xml:space="preserve">in </w:t>
      </w:r>
      <w:r w:rsidRPr="001428D3" w:rsidR="00A82713">
        <w:t xml:space="preserve">the process of being issued </w:t>
      </w:r>
      <w:r w:rsidRPr="001428D3" w:rsidR="0001266C">
        <w:t>related to</w:t>
      </w:r>
      <w:r w:rsidRPr="001428D3" w:rsidR="00A82713">
        <w:t xml:space="preserve"> the demolition of </w:t>
      </w:r>
      <w:r w:rsidRPr="001428D3" w:rsidR="008B51CA">
        <w:t>a lawful construction</w:t>
      </w:r>
      <w:r w:rsidRPr="001428D3" w:rsidR="00063E37">
        <w:t>.</w:t>
      </w:r>
    </w:p>
    <w:p w:rsidRPr="001428D3" w:rsidR="000F7022"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w:t>
      </w:r>
      <w:r w:rsidRPr="001428D3">
        <w:rPr>
          <w:noProof/>
        </w:rPr>
        <w:fldChar w:fldCharType="end"/>
      </w:r>
      <w:r w:rsidRPr="001428D3" w:rsidR="003C45E9">
        <w:t>.  </w:t>
      </w:r>
      <w:r w:rsidRPr="001428D3" w:rsidR="00A82713">
        <w:t>On 7 November 2013 the District Court</w:t>
      </w:r>
      <w:r w:rsidRPr="001428D3" w:rsidR="005700BC">
        <w:t>,</w:t>
      </w:r>
      <w:r w:rsidRPr="001428D3" w:rsidR="00A82713">
        <w:t xml:space="preserve"> </w:t>
      </w:r>
      <w:r w:rsidRPr="001428D3" w:rsidR="007F0D6F">
        <w:t>under</w:t>
      </w:r>
      <w:r w:rsidRPr="001428D3" w:rsidR="00A82713">
        <w:t xml:space="preserve"> Articles 202 </w:t>
      </w:r>
      <w:r w:rsidRPr="001428D3" w:rsidR="005700BC">
        <w:t>et seq.</w:t>
      </w:r>
      <w:r w:rsidRPr="001428D3" w:rsidR="00A82713">
        <w:t xml:space="preserve"> of the C</w:t>
      </w:r>
      <w:r w:rsidRPr="001428D3" w:rsidR="005B6D61">
        <w:t xml:space="preserve">ode of </w:t>
      </w:r>
      <w:r w:rsidRPr="001428D3" w:rsidR="00A82713">
        <w:t>C</w:t>
      </w:r>
      <w:r w:rsidRPr="001428D3" w:rsidR="005B6D61">
        <w:t xml:space="preserve">ivil </w:t>
      </w:r>
      <w:r w:rsidRPr="001428D3" w:rsidR="00A82713">
        <w:t>P</w:t>
      </w:r>
      <w:r w:rsidRPr="001428D3" w:rsidR="005B6D61">
        <w:t xml:space="preserve">rocedure </w:t>
      </w:r>
      <w:r w:rsidRPr="001428D3" w:rsidR="00227DA2">
        <w:t xml:space="preserve">(“CCP”) </w:t>
      </w:r>
      <w:r w:rsidRPr="001428D3" w:rsidR="007F0D6F">
        <w:t>and</w:t>
      </w:r>
      <w:r w:rsidRPr="001428D3" w:rsidR="00A82713">
        <w:t xml:space="preserve"> Articles 28, 29 and 30 of the Administrative Disputes Act</w:t>
      </w:r>
      <w:r w:rsidRPr="001428D3" w:rsidR="00794808">
        <w:t xml:space="preserve"> (see “Relevant domestic law and practice” below)</w:t>
      </w:r>
      <w:r w:rsidRPr="001428D3" w:rsidR="00A82713">
        <w:t xml:space="preserve">, </w:t>
      </w:r>
      <w:r w:rsidRPr="001428D3" w:rsidR="00894BB2">
        <w:t xml:space="preserve">in its operative provisions </w:t>
      </w:r>
      <w:r w:rsidRPr="001428D3" w:rsidR="00EA4E3D">
        <w:t>ordered</w:t>
      </w:r>
      <w:r w:rsidRPr="001428D3" w:rsidR="000232F6">
        <w:t xml:space="preserve">: </w:t>
      </w:r>
      <w:r w:rsidRPr="001428D3" w:rsidR="00D22C0D">
        <w:t>“</w:t>
      </w:r>
      <w:r w:rsidRPr="001428D3" w:rsidR="00185863">
        <w:t xml:space="preserve">the </w:t>
      </w:r>
      <w:r w:rsidRPr="001428D3" w:rsidR="00D22C0D">
        <w:t xml:space="preserve">issuance of </w:t>
      </w:r>
      <w:r w:rsidRPr="001428D3" w:rsidR="00A82713">
        <w:t xml:space="preserve">an interim order staying the administrative actions of any public authority that </w:t>
      </w:r>
      <w:r w:rsidRPr="001428D3" w:rsidR="00B035C5">
        <w:t xml:space="preserve">can </w:t>
      </w:r>
      <w:r w:rsidRPr="001428D3" w:rsidR="00A82713">
        <w:t>interfere with the peaceful enjoyment by the applicants of their respective propert</w:t>
      </w:r>
      <w:r w:rsidRPr="001428D3" w:rsidR="00996654">
        <w:t>ies</w:t>
      </w:r>
      <w:r w:rsidRPr="001428D3" w:rsidR="009845BA">
        <w:t>...</w:t>
      </w:r>
      <w:r w:rsidRPr="001428D3" w:rsidR="00D22C0D">
        <w:t>t</w:t>
      </w:r>
      <w:r w:rsidRPr="001428D3" w:rsidR="00A82713">
        <w:t xml:space="preserve">he interim order </w:t>
      </w:r>
      <w:r w:rsidRPr="001428D3" w:rsidR="00D22C0D">
        <w:t xml:space="preserve">is </w:t>
      </w:r>
      <w:r w:rsidRPr="001428D3" w:rsidR="00A82713">
        <w:t xml:space="preserve">to remain in place until a decision </w:t>
      </w:r>
      <w:r w:rsidRPr="001428D3" w:rsidR="00D22C0D">
        <w:t xml:space="preserve">is </w:t>
      </w:r>
      <w:r w:rsidRPr="001428D3" w:rsidR="00A82713">
        <w:t xml:space="preserve">given on the merits, provided that the applicants themselves institute proceedings on the merits within ten days of the </w:t>
      </w:r>
      <w:r w:rsidRPr="001428D3" w:rsidR="00792018">
        <w:t>interim order</w:t>
      </w:r>
      <w:r w:rsidRPr="001428D3" w:rsidR="00A82713">
        <w:t xml:space="preserve"> </w:t>
      </w:r>
      <w:r w:rsidRPr="001428D3" w:rsidR="008D4588">
        <w:t>to challenge</w:t>
      </w:r>
      <w:r w:rsidRPr="001428D3" w:rsidR="00A82713">
        <w:t xml:space="preserve"> the administrative actions or any administrative </w:t>
      </w:r>
      <w:r w:rsidRPr="001428D3" w:rsidR="005700BC">
        <w:t xml:space="preserve">decision </w:t>
      </w:r>
      <w:r w:rsidRPr="001428D3" w:rsidR="00A82713">
        <w:t xml:space="preserve">that </w:t>
      </w:r>
      <w:r w:rsidRPr="001428D3" w:rsidR="00B035C5">
        <w:t xml:space="preserve">will </w:t>
      </w:r>
      <w:r w:rsidRPr="001428D3" w:rsidR="00A82713">
        <w:t>be adopted in resp</w:t>
      </w:r>
      <w:r w:rsidRPr="001428D3" w:rsidR="00792018">
        <w:t>e</w:t>
      </w:r>
      <w:r w:rsidRPr="001428D3" w:rsidR="0077744B">
        <w:t>ct of the</w:t>
      </w:r>
      <w:r w:rsidRPr="001428D3" w:rsidR="007F0D6F">
        <w:t>ir</w:t>
      </w:r>
      <w:r w:rsidRPr="001428D3" w:rsidR="0077744B">
        <w:t xml:space="preserve"> propert</w:t>
      </w:r>
      <w:r w:rsidRPr="001428D3" w:rsidR="007F0D6F">
        <w:t>ies</w:t>
      </w:r>
      <w:r w:rsidRPr="001428D3" w:rsidR="00B035C5">
        <w:t>”</w:t>
      </w:r>
      <w:r w:rsidRPr="001428D3" w:rsidR="00937318">
        <w:t>.</w:t>
      </w:r>
      <w:r w:rsidRPr="001428D3" w:rsidR="0077744B">
        <w:t xml:space="preserve"> </w:t>
      </w:r>
      <w:r w:rsidRPr="001428D3" w:rsidR="000F7022">
        <w:t xml:space="preserve">The decision, in so far as relevant, </w:t>
      </w:r>
      <w:r w:rsidRPr="001428D3" w:rsidR="00D22C0D">
        <w:t xml:space="preserve">is reasoned </w:t>
      </w:r>
      <w:r w:rsidRPr="001428D3" w:rsidR="000F7022">
        <w:t>as follows:</w:t>
      </w:r>
    </w:p>
    <w:p w:rsidRPr="001428D3" w:rsidR="005521CC" w:rsidP="001428D3" w:rsidRDefault="000F7022">
      <w:pPr>
        <w:pStyle w:val="ECHRParaQuote"/>
      </w:pPr>
      <w:r w:rsidRPr="001428D3">
        <w:t>“</w:t>
      </w:r>
      <w:r w:rsidRPr="001428D3" w:rsidR="005521CC">
        <w:t>...</w:t>
      </w:r>
      <w:r w:rsidRPr="001428D3" w:rsidR="00F442B4">
        <w:t xml:space="preserve">it is proved that the applicants </w:t>
      </w:r>
      <w:r w:rsidRPr="001428D3" w:rsidR="00996654">
        <w:rPr>
          <w:rFonts w:cstheme="minorHAnsi"/>
        </w:rPr>
        <w:t>–</w:t>
      </w:r>
      <w:r w:rsidRPr="001428D3" w:rsidR="00F442B4">
        <w:t xml:space="preserve"> owners of the flats in the Jon Residence </w:t>
      </w:r>
      <w:r w:rsidRPr="001428D3" w:rsidR="00996654">
        <w:sym w:font="Symbol" w:char="F02D"/>
      </w:r>
      <w:r w:rsidRPr="001428D3" w:rsidR="00087F30">
        <w:t xml:space="preserve"> </w:t>
      </w:r>
      <w:r w:rsidRPr="001428D3" w:rsidR="00F442B4">
        <w:t>have not been allowed to enter their r</w:t>
      </w:r>
      <w:r w:rsidRPr="001428D3" w:rsidR="00087F30">
        <w:t>espective properties, thus impe</w:t>
      </w:r>
      <w:r w:rsidRPr="001428D3" w:rsidR="00F442B4">
        <w:t>ding them</w:t>
      </w:r>
      <w:r w:rsidRPr="001428D3" w:rsidR="006D4C4A">
        <w:t xml:space="preserve"> in the</w:t>
      </w:r>
      <w:r w:rsidRPr="001428D3" w:rsidR="00F442B4">
        <w:t xml:space="preserve"> exercise </w:t>
      </w:r>
      <w:r w:rsidRPr="001428D3" w:rsidR="006D4C4A">
        <w:t xml:space="preserve">of </w:t>
      </w:r>
      <w:r w:rsidRPr="001428D3" w:rsidR="00F442B4">
        <w:t xml:space="preserve">their property rights </w:t>
      </w:r>
      <w:r w:rsidRPr="001428D3" w:rsidR="00087F30">
        <w:t>to</w:t>
      </w:r>
      <w:r w:rsidRPr="001428D3" w:rsidR="00F442B4">
        <w:t xml:space="preserve"> a property which they have acquired legally in accordance with domestic law</w:t>
      </w:r>
      <w:r w:rsidRPr="001428D3" w:rsidR="005521CC">
        <w:t>...</w:t>
      </w:r>
      <w:r w:rsidRPr="001428D3">
        <w:t>the court considers that the request for the interim order should be accepted because the app</w:t>
      </w:r>
      <w:r w:rsidRPr="001428D3" w:rsidR="009D6EEA">
        <w:t>lica</w:t>
      </w:r>
      <w:r w:rsidRPr="001428D3">
        <w:t>nts submitted evidence which prove</w:t>
      </w:r>
      <w:r w:rsidRPr="001428D3" w:rsidR="00087F30">
        <w:t>s</w:t>
      </w:r>
      <w:r w:rsidRPr="001428D3" w:rsidR="005521CC">
        <w:t>...</w:t>
      </w:r>
      <w:r w:rsidRPr="001428D3">
        <w:t xml:space="preserve">that in the event that </w:t>
      </w:r>
      <w:r w:rsidRPr="001428D3" w:rsidR="00996654">
        <w:t xml:space="preserve">a </w:t>
      </w:r>
      <w:r w:rsidRPr="001428D3">
        <w:t xml:space="preserve">civil claim on the merits </w:t>
      </w:r>
      <w:r w:rsidRPr="001428D3" w:rsidR="007F0D6F">
        <w:t>is allowed</w:t>
      </w:r>
      <w:r w:rsidRPr="001428D3">
        <w:t>, the execution of that decision would be difficult or impossible, thus creating a situation where the legal interest or subjective right recognised by a final judicial decision remain</w:t>
      </w:r>
      <w:r w:rsidRPr="001428D3" w:rsidR="00996654">
        <w:t>s</w:t>
      </w:r>
      <w:r w:rsidRPr="001428D3">
        <w:t xml:space="preserve"> ineffective</w:t>
      </w:r>
      <w:r w:rsidRPr="001428D3" w:rsidR="009D6EEA">
        <w:t xml:space="preserve"> </w:t>
      </w:r>
      <w:r w:rsidRPr="001428D3" w:rsidR="005521CC">
        <w:t>...</w:t>
      </w:r>
      <w:r w:rsidRPr="001428D3" w:rsidR="009D6EEA">
        <w:t xml:space="preserve"> </w:t>
      </w:r>
      <w:r w:rsidRPr="001428D3">
        <w:t xml:space="preserve">in the present case the interim order requested by the </w:t>
      </w:r>
      <w:r w:rsidRPr="001428D3" w:rsidR="009D6EEA">
        <w:t xml:space="preserve">applicants </w:t>
      </w:r>
      <w:r w:rsidRPr="001428D3" w:rsidR="00887A11">
        <w:t>represents</w:t>
      </w:r>
      <w:r w:rsidRPr="001428D3">
        <w:t xml:space="preserve"> their right to access the court with the purpose </w:t>
      </w:r>
      <w:r w:rsidRPr="001428D3" w:rsidR="00996654">
        <w:t>of pr</w:t>
      </w:r>
      <w:r w:rsidRPr="001428D3" w:rsidR="00354D64">
        <w:t>ohibitin</w:t>
      </w:r>
      <w:r w:rsidRPr="001428D3" w:rsidR="00996654">
        <w:t>g</w:t>
      </w:r>
      <w:r w:rsidRPr="001428D3">
        <w:t xml:space="preserve"> any further </w:t>
      </w:r>
      <w:r w:rsidRPr="001428D3" w:rsidR="00996654">
        <w:t xml:space="preserve">action by the </w:t>
      </w:r>
      <w:r w:rsidRPr="001428D3">
        <w:t>administrative authority</w:t>
      </w:r>
      <w:r w:rsidRPr="001428D3" w:rsidR="005521CC">
        <w:t>...</w:t>
      </w:r>
      <w:r w:rsidRPr="001428D3">
        <w:t>in this way protecting their fundamental constitutional and legal rights until the examination of the merits of their claims</w:t>
      </w:r>
      <w:r w:rsidRPr="001428D3" w:rsidR="005521CC">
        <w:t>...</w:t>
      </w:r>
      <w:r w:rsidRPr="001428D3">
        <w:t xml:space="preserve">the court considers that </w:t>
      </w:r>
      <w:r w:rsidRPr="001428D3" w:rsidR="00996654">
        <w:t xml:space="preserve">the </w:t>
      </w:r>
      <w:r w:rsidRPr="001428D3">
        <w:t xml:space="preserve">NUCI and MUCI have not documented their administrative </w:t>
      </w:r>
      <w:r w:rsidRPr="001428D3" w:rsidR="005700BC">
        <w:t xml:space="preserve">decision </w:t>
      </w:r>
      <w:r w:rsidRPr="001428D3">
        <w:t xml:space="preserve">in the form </w:t>
      </w:r>
      <w:r w:rsidRPr="001428D3" w:rsidR="00996654">
        <w:t>required</w:t>
      </w:r>
      <w:r w:rsidRPr="001428D3">
        <w:t xml:space="preserve"> by law</w:t>
      </w:r>
      <w:r w:rsidRPr="001428D3" w:rsidR="005521CC">
        <w:t>...</w:t>
      </w:r>
      <w:r w:rsidRPr="001428D3">
        <w:t xml:space="preserve">under administrative law this </w:t>
      </w:r>
      <w:r w:rsidRPr="001428D3" w:rsidR="00887A11">
        <w:t xml:space="preserve">[undocumented administrative action] </w:t>
      </w:r>
      <w:r w:rsidRPr="001428D3">
        <w:t xml:space="preserve">is also considered an administrative </w:t>
      </w:r>
      <w:r w:rsidRPr="001428D3" w:rsidR="005700BC">
        <w:t>decision</w:t>
      </w:r>
      <w:r w:rsidRPr="001428D3" w:rsidR="005521CC">
        <w:t>...</w:t>
      </w:r>
      <w:r w:rsidRPr="001428D3">
        <w:t xml:space="preserve">this does not affect the actual consequences </w:t>
      </w:r>
      <w:r w:rsidRPr="001428D3" w:rsidR="007026A3">
        <w:t>of</w:t>
      </w:r>
      <w:r w:rsidRPr="001428D3" w:rsidR="000B0343">
        <w:t xml:space="preserve"> </w:t>
      </w:r>
      <w:r w:rsidRPr="001428D3">
        <w:t xml:space="preserve">the execution of the </w:t>
      </w:r>
      <w:r w:rsidRPr="001428D3" w:rsidR="00996654">
        <w:t>decision</w:t>
      </w:r>
      <w:r w:rsidRPr="001428D3">
        <w:t xml:space="preserve">, consequences which may </w:t>
      </w:r>
      <w:r w:rsidRPr="001428D3" w:rsidR="007B3367">
        <w:t>bring about</w:t>
      </w:r>
      <w:r w:rsidRPr="001428D3">
        <w:t xml:space="preserve"> irreparable damage </w:t>
      </w:r>
      <w:r w:rsidRPr="001428D3" w:rsidR="00996654">
        <w:t xml:space="preserve">to </w:t>
      </w:r>
      <w:r w:rsidRPr="001428D3">
        <w:t xml:space="preserve">the legal interest and subjective rights of the </w:t>
      </w:r>
      <w:r w:rsidRPr="001428D3" w:rsidR="009D6EEA">
        <w:t>applicants</w:t>
      </w:r>
      <w:r w:rsidRPr="001428D3" w:rsidR="005521CC">
        <w:t>...</w:t>
      </w:r>
      <w:r w:rsidRPr="001428D3" w:rsidR="00E16EF5">
        <w:t xml:space="preserve">The </w:t>
      </w:r>
      <w:r w:rsidRPr="001428D3" w:rsidR="00087F30">
        <w:t xml:space="preserve">District </w:t>
      </w:r>
      <w:r w:rsidRPr="001428D3" w:rsidR="00E16EF5">
        <w:t xml:space="preserve">Court considers that it is the duty of the administrative authority to issue </w:t>
      </w:r>
      <w:r w:rsidRPr="001428D3" w:rsidR="00996654">
        <w:t xml:space="preserve">an </w:t>
      </w:r>
      <w:r w:rsidRPr="001428D3" w:rsidR="00E16EF5">
        <w:t xml:space="preserve">administrative </w:t>
      </w:r>
      <w:r w:rsidRPr="001428D3" w:rsidR="005700BC">
        <w:t xml:space="preserve">decision </w:t>
      </w:r>
      <w:r w:rsidRPr="001428D3" w:rsidR="00E16EF5">
        <w:t xml:space="preserve">in </w:t>
      </w:r>
      <w:r w:rsidRPr="001428D3" w:rsidR="00996654">
        <w:t xml:space="preserve">the </w:t>
      </w:r>
      <w:r w:rsidRPr="001428D3" w:rsidR="004F7420">
        <w:t xml:space="preserve">written </w:t>
      </w:r>
      <w:r w:rsidRPr="001428D3" w:rsidR="00E16EF5">
        <w:t xml:space="preserve">form </w:t>
      </w:r>
      <w:r w:rsidRPr="001428D3" w:rsidR="00996654">
        <w:t>required</w:t>
      </w:r>
      <w:r w:rsidRPr="001428D3" w:rsidR="00E16EF5">
        <w:t xml:space="preserve"> by law, in this way </w:t>
      </w:r>
      <w:r w:rsidRPr="001428D3" w:rsidR="004F7420">
        <w:t xml:space="preserve">there is compliance with </w:t>
      </w:r>
      <w:r w:rsidRPr="001428D3" w:rsidR="00E16EF5">
        <w:t xml:space="preserve">the principle of </w:t>
      </w:r>
      <w:r w:rsidRPr="001428D3" w:rsidR="00AE2875">
        <w:t>good governance</w:t>
      </w:r>
      <w:r w:rsidRPr="001428D3" w:rsidR="00E16EF5">
        <w:t xml:space="preserve"> of </w:t>
      </w:r>
      <w:r w:rsidRPr="001428D3" w:rsidR="00AE2875">
        <w:t xml:space="preserve">the </w:t>
      </w:r>
      <w:r w:rsidRPr="001428D3" w:rsidR="00E16EF5">
        <w:t>pu</w:t>
      </w:r>
      <w:r w:rsidRPr="001428D3" w:rsidR="004F7420">
        <w:t xml:space="preserve">blic administration authorities </w:t>
      </w:r>
      <w:r w:rsidRPr="001428D3" w:rsidR="00E16EF5">
        <w:t xml:space="preserve">as well as effective </w:t>
      </w:r>
      <w:r w:rsidRPr="001428D3" w:rsidR="004F7420">
        <w:t>compliance with</w:t>
      </w:r>
      <w:r w:rsidRPr="001428D3" w:rsidR="00E16EF5">
        <w:t xml:space="preserve"> the rights of </w:t>
      </w:r>
      <w:r w:rsidRPr="001428D3" w:rsidR="00996654">
        <w:t xml:space="preserve">the </w:t>
      </w:r>
      <w:r w:rsidRPr="001428D3" w:rsidR="00E16EF5">
        <w:t xml:space="preserve">party against which the administrative </w:t>
      </w:r>
      <w:r w:rsidRPr="001428D3" w:rsidR="005700BC">
        <w:t xml:space="preserve">decision </w:t>
      </w:r>
      <w:r w:rsidRPr="001428D3" w:rsidR="00996654">
        <w:t xml:space="preserve">has </w:t>
      </w:r>
      <w:r w:rsidRPr="001428D3" w:rsidR="00E16EF5">
        <w:t xml:space="preserve">been issued, so that that party </w:t>
      </w:r>
      <w:r w:rsidRPr="001428D3" w:rsidR="004F7420">
        <w:t>is able to institute judicial proceedings and always in respect of the principle of the right to a fair trial</w:t>
      </w:r>
      <w:r w:rsidRPr="001428D3" w:rsidR="005521CC">
        <w:t>...</w:t>
      </w:r>
      <w:r w:rsidRPr="001428D3" w:rsidR="00851B97">
        <w:t xml:space="preserve">the principle of proportionality </w:t>
      </w:r>
      <w:r w:rsidRPr="001428D3" w:rsidR="00D52C28">
        <w:t>during</w:t>
      </w:r>
      <w:r w:rsidRPr="001428D3" w:rsidR="00851B97">
        <w:t xml:space="preserve"> the administrative procedure followed </w:t>
      </w:r>
      <w:r w:rsidRPr="001428D3" w:rsidR="00D52C28">
        <w:t xml:space="preserve">by the authorities in the present case </w:t>
      </w:r>
      <w:r w:rsidRPr="001428D3" w:rsidR="00887A11">
        <w:t>is</w:t>
      </w:r>
      <w:r w:rsidRPr="001428D3" w:rsidR="00D52C28">
        <w:t xml:space="preserve"> similar to the constitutional principles of proportionality examined above, which essentially</w:t>
      </w:r>
      <w:r w:rsidRPr="001428D3" w:rsidR="00887A11">
        <w:t xml:space="preserve"> </w:t>
      </w:r>
      <w:r w:rsidRPr="001428D3" w:rsidR="00AE2875">
        <w:t xml:space="preserve">aim </w:t>
      </w:r>
      <w:r w:rsidRPr="001428D3" w:rsidR="00D52C28">
        <w:t xml:space="preserve">to </w:t>
      </w:r>
      <w:r w:rsidRPr="001428D3" w:rsidR="00887A11">
        <w:t>strike</w:t>
      </w:r>
      <w:r w:rsidRPr="001428D3" w:rsidR="00D52C28">
        <w:t xml:space="preserve"> a balance between the purpose to be achieved </w:t>
      </w:r>
      <w:r w:rsidRPr="001428D3" w:rsidR="00887A11">
        <w:t>through</w:t>
      </w:r>
      <w:r w:rsidRPr="001428D3" w:rsidR="00D52C28">
        <w:t xml:space="preserve"> the administrative act and </w:t>
      </w:r>
      <w:r w:rsidRPr="001428D3" w:rsidR="00887A11">
        <w:t xml:space="preserve">the means to be </w:t>
      </w:r>
      <w:r w:rsidRPr="001428D3" w:rsidR="00D52C28">
        <w:t xml:space="preserve">used, </w:t>
      </w:r>
      <w:r w:rsidRPr="001428D3" w:rsidR="007C3CE1">
        <w:t>without</w:t>
      </w:r>
      <w:r w:rsidRPr="001428D3" w:rsidR="00D52C28">
        <w:t xml:space="preserve"> disregarding fundamental freedoms and rights and the achievement of legal public interests</w:t>
      </w:r>
      <w:r w:rsidRPr="001428D3" w:rsidR="005521CC">
        <w:t>...</w:t>
      </w:r>
      <w:r w:rsidRPr="001428D3">
        <w:t>”</w:t>
      </w:r>
    </w:p>
    <w:p w:rsidRPr="001428D3" w:rsidR="00751463"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20</w:t>
      </w:r>
      <w:r w:rsidRPr="001428D3">
        <w:rPr>
          <w:noProof/>
        </w:rPr>
        <w:fldChar w:fldCharType="end"/>
      </w:r>
      <w:r w:rsidRPr="001428D3" w:rsidR="00751463">
        <w:t>.  On an unspecified date the applicants</w:t>
      </w:r>
      <w:r w:rsidRPr="001428D3" w:rsidR="001428D3">
        <w:t>’</w:t>
      </w:r>
      <w:r w:rsidRPr="001428D3" w:rsidR="00751463">
        <w:t xml:space="preserve"> representative submitted a request </w:t>
      </w:r>
      <w:r w:rsidRPr="001428D3" w:rsidR="00087F30">
        <w:t>to</w:t>
      </w:r>
      <w:r w:rsidRPr="001428D3" w:rsidR="00751463">
        <w:t xml:space="preserve"> the NUCI</w:t>
      </w:r>
      <w:r w:rsidRPr="001428D3" w:rsidR="007F0D6F">
        <w:t>,</w:t>
      </w:r>
      <w:r w:rsidRPr="001428D3" w:rsidR="00751463">
        <w:t xml:space="preserve"> informing </w:t>
      </w:r>
      <w:r w:rsidRPr="001428D3" w:rsidR="006466DC">
        <w:t xml:space="preserve">it </w:t>
      </w:r>
      <w:r w:rsidRPr="001428D3" w:rsidR="00996654">
        <w:t>of</w:t>
      </w:r>
      <w:r w:rsidRPr="001428D3" w:rsidR="00751463">
        <w:t xml:space="preserve"> the interim order of 7 November</w:t>
      </w:r>
      <w:r w:rsidRPr="001428D3" w:rsidR="00087F30">
        <w:t> </w:t>
      </w:r>
      <w:r w:rsidRPr="001428D3" w:rsidR="00751463">
        <w:t>2013</w:t>
      </w:r>
      <w:r w:rsidRPr="001428D3" w:rsidR="000E7ED8">
        <w:t xml:space="preserve">. He stressed the fact that </w:t>
      </w:r>
      <w:r w:rsidRPr="001428D3" w:rsidR="00751463">
        <w:t xml:space="preserve">under Article 210 of the </w:t>
      </w:r>
      <w:r w:rsidRPr="001428D3" w:rsidR="00227DA2">
        <w:t>CCP</w:t>
      </w:r>
      <w:r w:rsidRPr="001428D3" w:rsidR="00751463">
        <w:t xml:space="preserve"> </w:t>
      </w:r>
      <w:r w:rsidRPr="001428D3" w:rsidR="007F0D6F">
        <w:t xml:space="preserve">an </w:t>
      </w:r>
      <w:r w:rsidRPr="001428D3" w:rsidR="000E7ED8">
        <w:t xml:space="preserve">interim order </w:t>
      </w:r>
      <w:r w:rsidRPr="001428D3" w:rsidR="00751463">
        <w:t xml:space="preserve">was an executable </w:t>
      </w:r>
      <w:r w:rsidRPr="001428D3" w:rsidR="000E7ED8">
        <w:t>decision</w:t>
      </w:r>
      <w:r w:rsidRPr="001428D3" w:rsidR="007F0D6F">
        <w:t>,</w:t>
      </w:r>
      <w:r w:rsidRPr="001428D3" w:rsidR="000E7ED8">
        <w:t xml:space="preserve"> </w:t>
      </w:r>
      <w:r w:rsidRPr="001428D3" w:rsidR="00751463">
        <w:t>even in the event of an appeal</w:t>
      </w:r>
      <w:r w:rsidRPr="001428D3" w:rsidR="00087F30">
        <w:t xml:space="preserve"> against it</w:t>
      </w:r>
      <w:r w:rsidRPr="001428D3" w:rsidR="00751463">
        <w:t xml:space="preserve">. He urged the authorities to take the necessary measures for the immediate enforcement of the interim order. </w:t>
      </w:r>
      <w:r w:rsidRPr="001428D3" w:rsidR="00C878C6">
        <w:t>It appears that no reply was give</w:t>
      </w:r>
      <w:r w:rsidRPr="001428D3" w:rsidR="000E7ED8">
        <w:t>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21</w:t>
      </w:r>
      <w:r w:rsidRPr="001428D3">
        <w:rPr>
          <w:noProof/>
        </w:rPr>
        <w:fldChar w:fldCharType="end"/>
      </w:r>
      <w:r w:rsidRPr="001428D3" w:rsidR="00412181">
        <w:t>.  </w:t>
      </w:r>
      <w:r w:rsidRPr="001428D3" w:rsidR="00A82713">
        <w:t>On 11 November 2013 the NUCI lodged an appeal against the interim order of 7 November 2013.</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22</w:t>
      </w:r>
      <w:r w:rsidRPr="001428D3">
        <w:rPr>
          <w:noProof/>
        </w:rPr>
        <w:fldChar w:fldCharType="end"/>
      </w:r>
      <w:r w:rsidRPr="001428D3" w:rsidR="005A3B29">
        <w:t>.  On 20 January 2014 the Administrative Court of Appeal terminated the proceedings concerning the interim measure on the ground</w:t>
      </w:r>
      <w:r w:rsidRPr="001428D3" w:rsidR="00B25A74">
        <w:t>s</w:t>
      </w:r>
      <w:r w:rsidRPr="001428D3" w:rsidR="005A3B29">
        <w:t xml:space="preserve"> that the subject matter of the proceedings had ceased to exist, as the Jon Residence had already been demolished in December 2013 (see paragraph </w:t>
      </w:r>
      <w:r w:rsidRPr="001428D3" w:rsidR="00551A61">
        <w:t>15</w:t>
      </w:r>
      <w:r w:rsidRPr="001428D3" w:rsidR="005A3B29">
        <w:t xml:space="preserve"> </w:t>
      </w:r>
      <w:r w:rsidRPr="001428D3" w:rsidR="00551A61">
        <w:t>above</w:t>
      </w:r>
      <w:r w:rsidRPr="001428D3" w:rsidR="005A3B29">
        <w:t>). The decision, in so far as relevant, reads as follows:</w:t>
      </w:r>
    </w:p>
    <w:p w:rsidRPr="001428D3" w:rsidR="005A3B29" w:rsidP="001428D3" w:rsidRDefault="005A3B29">
      <w:pPr>
        <w:pStyle w:val="ECHRParaQuote"/>
      </w:pPr>
      <w:r w:rsidRPr="001428D3">
        <w:t>“</w:t>
      </w:r>
      <w:r w:rsidRPr="001428D3" w:rsidR="005521CC">
        <w:t>...</w:t>
      </w:r>
      <w:r w:rsidRPr="001428D3">
        <w:t xml:space="preserve">it was already </w:t>
      </w:r>
      <w:r w:rsidRPr="001428D3" w:rsidR="005521CC">
        <w:t>...</w:t>
      </w:r>
      <w:r w:rsidRPr="001428D3" w:rsidR="00B25A74">
        <w:t>a</w:t>
      </w:r>
      <w:r w:rsidRPr="001428D3">
        <w:t xml:space="preserve"> well-known public fact that the Jon Residence had been demolished, in relation to which the District Court had decided to stay the administrative actions </w:t>
      </w:r>
      <w:r w:rsidRPr="001428D3" w:rsidR="00B25A74">
        <w:t xml:space="preserve">of </w:t>
      </w:r>
      <w:r w:rsidRPr="001428D3">
        <w:t xml:space="preserve">any State authority with the aim </w:t>
      </w:r>
      <w:r w:rsidRPr="001428D3" w:rsidR="008871CC">
        <w:t xml:space="preserve">of </w:t>
      </w:r>
      <w:r w:rsidRPr="001428D3">
        <w:t>the peaceful enjoyment of the property by the applicants until the final solution of the dispute</w:t>
      </w:r>
      <w:r w:rsidRPr="001428D3" w:rsidR="008871CC">
        <w:t xml:space="preserve"> </w:t>
      </w:r>
      <w:r w:rsidRPr="001428D3" w:rsidR="005521CC">
        <w:t>...</w:t>
      </w:r>
      <w:r w:rsidRPr="001428D3" w:rsidR="008871CC">
        <w:t xml:space="preserve"> </w:t>
      </w:r>
      <w:r w:rsidRPr="001428D3">
        <w:t xml:space="preserve">The </w:t>
      </w:r>
      <w:r w:rsidRPr="001428D3" w:rsidR="00B25A74">
        <w:t xml:space="preserve">outcome </w:t>
      </w:r>
      <w:r w:rsidRPr="001428D3">
        <w:t>which the interim order</w:t>
      </w:r>
      <w:r w:rsidRPr="001428D3" w:rsidR="00B25A74">
        <w:t xml:space="preserve"> was</w:t>
      </w:r>
      <w:r w:rsidRPr="001428D3">
        <w:t xml:space="preserve"> </w:t>
      </w:r>
      <w:r w:rsidRPr="001428D3" w:rsidR="00B25A74">
        <w:t xml:space="preserve">trying </w:t>
      </w:r>
      <w:r w:rsidRPr="001428D3">
        <w:t xml:space="preserve">to stay, has </w:t>
      </w:r>
      <w:r w:rsidRPr="001428D3" w:rsidR="00B25A74">
        <w:t xml:space="preserve">now </w:t>
      </w:r>
      <w:r w:rsidRPr="001428D3">
        <w:t>occurred</w:t>
      </w:r>
      <w:r w:rsidRPr="001428D3" w:rsidR="005521CC">
        <w:t>...</w:t>
      </w:r>
      <w:r w:rsidRPr="001428D3">
        <w:t>”</w:t>
      </w:r>
    </w:p>
    <w:p w:rsidRPr="001428D3" w:rsidR="00D35FF7" w:rsidP="001428D3" w:rsidRDefault="00753AD3">
      <w:pPr>
        <w:pStyle w:val="ECHRHeading2"/>
      </w:pPr>
      <w:bookmarkStart w:name="_Toc498016734" w:id="12"/>
      <w:r w:rsidRPr="001428D3">
        <w:t>C</w:t>
      </w:r>
      <w:r w:rsidRPr="001428D3" w:rsidR="00D35FF7">
        <w:t>.  Complaint to the Ombudsman</w:t>
      </w:r>
      <w:bookmarkEnd w:id="12"/>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23</w:t>
      </w:r>
      <w:r w:rsidRPr="001428D3">
        <w:rPr>
          <w:noProof/>
        </w:rPr>
        <w:fldChar w:fldCharType="end"/>
      </w:r>
      <w:r w:rsidRPr="001428D3" w:rsidR="00A82713">
        <w:t xml:space="preserve">.  It appears that on an unspecified date </w:t>
      </w:r>
      <w:r w:rsidRPr="001428D3" w:rsidR="00D5456A">
        <w:t>one</w:t>
      </w:r>
      <w:r w:rsidRPr="001428D3" w:rsidR="00A82713">
        <w:t xml:space="preserve"> of the applicants complained </w:t>
      </w:r>
      <w:r w:rsidRPr="001428D3" w:rsidR="00B25A74">
        <w:t xml:space="preserve">to </w:t>
      </w:r>
      <w:r w:rsidRPr="001428D3" w:rsidR="00A82713">
        <w:t>the Ombudsman (</w:t>
      </w:r>
      <w:r w:rsidRPr="001428D3" w:rsidR="00A82713">
        <w:rPr>
          <w:i/>
        </w:rPr>
        <w:t>Avokati i Popullit</w:t>
      </w:r>
      <w:r w:rsidRPr="001428D3" w:rsidR="00A82713">
        <w:t>) about the authorities</w:t>
      </w:r>
      <w:r w:rsidRPr="001428D3" w:rsidR="001428D3">
        <w:t>’</w:t>
      </w:r>
      <w:r w:rsidRPr="001428D3" w:rsidR="00A82713">
        <w:t xml:space="preserve"> interference with </w:t>
      </w:r>
      <w:r w:rsidRPr="001428D3" w:rsidR="00087F30">
        <w:t xml:space="preserve">her </w:t>
      </w:r>
      <w:r w:rsidRPr="001428D3" w:rsidR="00A82713">
        <w:t xml:space="preserve">entering </w:t>
      </w:r>
      <w:r w:rsidRPr="001428D3" w:rsidR="00D5456A">
        <w:t xml:space="preserve">her flat </w:t>
      </w:r>
      <w:r w:rsidRPr="001428D3" w:rsidR="00C11451">
        <w:t xml:space="preserve">and </w:t>
      </w:r>
      <w:r w:rsidRPr="001428D3" w:rsidR="00D5456A">
        <w:t xml:space="preserve">other </w:t>
      </w:r>
      <w:r w:rsidRPr="001428D3" w:rsidR="00B25A74">
        <w:t>residents</w:t>
      </w:r>
      <w:r w:rsidRPr="001428D3" w:rsidR="00D5456A">
        <w:t xml:space="preserve"> entering their flats</w:t>
      </w:r>
      <w:r w:rsidRPr="001428D3" w:rsidR="00466A5B">
        <w:t xml:space="preserve"> (see </w:t>
      </w:r>
      <w:r w:rsidRPr="001428D3" w:rsidR="002F6323">
        <w:t xml:space="preserve">also </w:t>
      </w:r>
      <w:r w:rsidRPr="001428D3" w:rsidR="00466A5B">
        <w:t xml:space="preserve">paragraph </w:t>
      </w:r>
      <w:r w:rsidRPr="001428D3" w:rsidR="00551A61">
        <w:t xml:space="preserve">24 </w:t>
      </w:r>
      <w:r w:rsidRPr="001428D3" w:rsidR="00466A5B">
        <w:t>below)</w:t>
      </w:r>
      <w:r w:rsidRPr="001428D3" w:rsidR="00A82713">
        <w:t xml:space="preserve">. </w:t>
      </w:r>
      <w:r w:rsidRPr="001428D3" w:rsidR="00C11451">
        <w:t>She</w:t>
      </w:r>
      <w:r w:rsidRPr="001428D3" w:rsidR="00A82713">
        <w:t xml:space="preserve"> complained that the authorities had arbitrarily cordoned off the building using yellow police</w:t>
      </w:r>
      <w:r w:rsidRPr="001428D3" w:rsidR="002972D6">
        <w:t xml:space="preserve"> “crime scene”</w:t>
      </w:r>
      <w:r w:rsidRPr="001428D3" w:rsidR="00A82713">
        <w:t xml:space="preserve"> tape.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24</w:t>
      </w:r>
      <w:r w:rsidRPr="001428D3">
        <w:rPr>
          <w:noProof/>
        </w:rPr>
        <w:fldChar w:fldCharType="end"/>
      </w:r>
      <w:r w:rsidRPr="001428D3" w:rsidR="00A82713">
        <w:t xml:space="preserve">.  On 13 November </w:t>
      </w:r>
      <w:r w:rsidRPr="001428D3" w:rsidR="0048384E">
        <w:t>2013, in reply to the applicant</w:t>
      </w:r>
      <w:r w:rsidRPr="001428D3" w:rsidR="001428D3">
        <w:t>’</w:t>
      </w:r>
      <w:r w:rsidRPr="001428D3" w:rsidR="00E6116F">
        <w:t>s</w:t>
      </w:r>
      <w:r w:rsidRPr="001428D3" w:rsidR="00A82713">
        <w:t xml:space="preserve"> complaints</w:t>
      </w:r>
      <w:r w:rsidRPr="001428D3" w:rsidR="00E6116F">
        <w:t xml:space="preserve"> and</w:t>
      </w:r>
      <w:r w:rsidRPr="001428D3" w:rsidR="0036431C">
        <w:t xml:space="preserve"> to</w:t>
      </w:r>
      <w:r w:rsidRPr="001428D3" w:rsidR="00E6116F">
        <w:t xml:space="preserve"> other residents</w:t>
      </w:r>
      <w:r w:rsidRPr="001428D3" w:rsidR="001428D3">
        <w:t>’</w:t>
      </w:r>
      <w:r w:rsidRPr="001428D3" w:rsidR="00E6116F">
        <w:t xml:space="preserve"> complaints </w:t>
      </w:r>
      <w:r w:rsidRPr="001428D3" w:rsidR="001272E2">
        <w:t xml:space="preserve">appearing </w:t>
      </w:r>
      <w:r w:rsidRPr="001428D3" w:rsidR="00E6116F">
        <w:t>in the media</w:t>
      </w:r>
      <w:r w:rsidRPr="001428D3" w:rsidR="00A82713">
        <w:t xml:space="preserve">, the Ombudsman sent an official letter to the </w:t>
      </w:r>
      <w:r w:rsidRPr="001428D3" w:rsidR="003D4C55">
        <w:t>c</w:t>
      </w:r>
      <w:r w:rsidRPr="001428D3" w:rsidR="00A82713">
        <w:t xml:space="preserve">hief of Vlora police station </w:t>
      </w:r>
      <w:r w:rsidRPr="001428D3" w:rsidR="00880BD8">
        <w:rPr>
          <w:i/>
        </w:rPr>
        <w:t>(Komisariati</w:t>
      </w:r>
      <w:r w:rsidRPr="001428D3" w:rsidR="00C11451">
        <w:rPr>
          <w:i/>
        </w:rPr>
        <w:t xml:space="preserve"> i Policis</w:t>
      </w:r>
      <w:r w:rsidRPr="001428D3" w:rsidR="00BD44E2">
        <w:rPr>
          <w:i/>
        </w:rPr>
        <w:t>ë</w:t>
      </w:r>
      <w:r w:rsidRPr="001428D3" w:rsidR="00C11451">
        <w:rPr>
          <w:i/>
        </w:rPr>
        <w:t>)</w:t>
      </w:r>
      <w:r w:rsidRPr="001428D3" w:rsidR="00F74973">
        <w:t xml:space="preserve">, </w:t>
      </w:r>
      <w:r w:rsidRPr="001428D3" w:rsidR="00A82713">
        <w:t>the head of Vlora district police</w:t>
      </w:r>
      <w:r w:rsidRPr="001428D3" w:rsidR="00C11451">
        <w:t xml:space="preserve"> </w:t>
      </w:r>
      <w:r w:rsidRPr="001428D3" w:rsidR="00C11451">
        <w:rPr>
          <w:i/>
        </w:rPr>
        <w:t>(Policia e Qarkut)</w:t>
      </w:r>
      <w:r w:rsidRPr="001428D3" w:rsidR="00F74973">
        <w:t xml:space="preserve">, and for </w:t>
      </w:r>
      <w:r w:rsidRPr="001428D3" w:rsidR="00B25A74">
        <w:t xml:space="preserve">information </w:t>
      </w:r>
      <w:r w:rsidRPr="001428D3" w:rsidR="00F74973">
        <w:t xml:space="preserve">to the Director </w:t>
      </w:r>
      <w:r w:rsidRPr="001428D3" w:rsidR="00C828EC">
        <w:t xml:space="preserve">General </w:t>
      </w:r>
      <w:r w:rsidRPr="001428D3" w:rsidR="00F74973">
        <w:t>of the State Police</w:t>
      </w:r>
      <w:r w:rsidRPr="001428D3" w:rsidR="00DD5160">
        <w:t xml:space="preserve"> </w:t>
      </w:r>
      <w:r w:rsidRPr="001428D3" w:rsidR="00DD5160">
        <w:rPr>
          <w:i/>
        </w:rPr>
        <w:t>(Policia e Shtetit)</w:t>
      </w:r>
      <w:r w:rsidRPr="001428D3" w:rsidR="00B25A74">
        <w:t>,</w:t>
      </w:r>
      <w:r w:rsidRPr="001428D3" w:rsidR="00F74973">
        <w:t xml:space="preserve"> </w:t>
      </w:r>
      <w:r w:rsidRPr="001428D3" w:rsidR="00C11451">
        <w:t>recommend</w:t>
      </w:r>
      <w:r w:rsidRPr="001428D3" w:rsidR="00B25A74">
        <w:t xml:space="preserve">ing </w:t>
      </w:r>
      <w:r w:rsidRPr="001428D3" w:rsidR="008C4C4A">
        <w:t>that they</w:t>
      </w:r>
      <w:r w:rsidRPr="001428D3" w:rsidR="00A82713">
        <w:t xml:space="preserve"> take all appropriate measures to </w:t>
      </w:r>
      <w:r w:rsidRPr="001428D3" w:rsidR="00076423">
        <w:t xml:space="preserve">stop </w:t>
      </w:r>
      <w:r w:rsidRPr="001428D3" w:rsidR="00A82713">
        <w:t>the unlawful actions that</w:t>
      </w:r>
      <w:r w:rsidRPr="001428D3" w:rsidR="008871CC">
        <w:t xml:space="preserve"> had</w:t>
      </w:r>
      <w:r w:rsidRPr="001428D3" w:rsidR="00A82713">
        <w:t xml:space="preserve"> result</w:t>
      </w:r>
      <w:r w:rsidRPr="001428D3" w:rsidR="00624311">
        <w:t>ed</w:t>
      </w:r>
      <w:r w:rsidRPr="001428D3" w:rsidR="00A82713">
        <w:t xml:space="preserve"> in a violation of the </w:t>
      </w:r>
      <w:r w:rsidRPr="001428D3" w:rsidR="00E6116F">
        <w:t>Jon Residence residents</w:t>
      </w:r>
      <w:r w:rsidRPr="001428D3" w:rsidR="001428D3">
        <w:t>’</w:t>
      </w:r>
      <w:r w:rsidRPr="001428D3" w:rsidR="00E6116F">
        <w:t xml:space="preserve"> </w:t>
      </w:r>
      <w:r w:rsidRPr="001428D3" w:rsidR="00A82713">
        <w:t xml:space="preserve">property rights. The Ombudsman stated that the NUCI had seized the building without any formal act. The cordoning off of the building </w:t>
      </w:r>
      <w:r w:rsidRPr="001428D3" w:rsidR="00B25A74">
        <w:t xml:space="preserve">preventing </w:t>
      </w:r>
      <w:r w:rsidRPr="001428D3" w:rsidR="00A82713">
        <w:t xml:space="preserve">the applicants </w:t>
      </w:r>
      <w:r w:rsidRPr="001428D3" w:rsidR="00B25A74">
        <w:t xml:space="preserve">from </w:t>
      </w:r>
      <w:r w:rsidRPr="001428D3" w:rsidR="00A82713">
        <w:t>enjoy</w:t>
      </w:r>
      <w:r w:rsidRPr="001428D3" w:rsidR="00B25A74">
        <w:t>ing</w:t>
      </w:r>
      <w:r w:rsidRPr="001428D3" w:rsidR="00A82713">
        <w:t xml:space="preserve"> their properties </w:t>
      </w:r>
      <w:r w:rsidRPr="001428D3" w:rsidR="008871CC">
        <w:t>was</w:t>
      </w:r>
      <w:r w:rsidRPr="001428D3" w:rsidR="00A82713">
        <w:t xml:space="preserve"> unlawful and had consequently resulted in a violation of their legal interests. Moreover, the use of</w:t>
      </w:r>
      <w:r w:rsidRPr="001428D3" w:rsidR="008C4C4A">
        <w:t xml:space="preserve"> yellow</w:t>
      </w:r>
      <w:r w:rsidRPr="001428D3" w:rsidR="00A82713">
        <w:t xml:space="preserve"> police “crime scene” </w:t>
      </w:r>
      <w:r w:rsidRPr="001428D3" w:rsidR="0037527E">
        <w:t xml:space="preserve">tape </w:t>
      </w:r>
      <w:r w:rsidRPr="001428D3" w:rsidR="008871CC">
        <w:t xml:space="preserve">was </w:t>
      </w:r>
      <w:r w:rsidRPr="001428D3" w:rsidR="00A82713">
        <w:t xml:space="preserve">not </w:t>
      </w:r>
      <w:r w:rsidRPr="001428D3" w:rsidR="006D4C4A">
        <w:t>appropriate</w:t>
      </w:r>
      <w:r w:rsidRPr="001428D3" w:rsidR="00A82713">
        <w:t xml:space="preserve"> since the events in the present case </w:t>
      </w:r>
      <w:r w:rsidRPr="001428D3" w:rsidR="008871CC">
        <w:t xml:space="preserve">did </w:t>
      </w:r>
      <w:r w:rsidRPr="001428D3" w:rsidR="00A82713">
        <w:t xml:space="preserve">not involve </w:t>
      </w:r>
      <w:r w:rsidRPr="001428D3" w:rsidR="003D4C55">
        <w:t xml:space="preserve">a </w:t>
      </w:r>
      <w:r w:rsidRPr="001428D3" w:rsidR="00A82713">
        <w:t>crime scene. He further suggested that it was necessary to examine the case and undertake organisational measures aimed at ensuring that such actions were not repeated in the future.</w:t>
      </w:r>
      <w:bookmarkStart w:name="_Toc480367217" w:id="13"/>
      <w:bookmarkStart w:name="_Toc480559184" w:id="14"/>
      <w:bookmarkStart w:name="_Toc481504544" w:id="15"/>
    </w:p>
    <w:p w:rsidRPr="001428D3" w:rsidR="00A82713" w:rsidP="001428D3" w:rsidRDefault="00753AD3">
      <w:pPr>
        <w:pStyle w:val="ECHRHeading2"/>
      </w:pPr>
      <w:bookmarkStart w:name="_Toc498016735" w:id="16"/>
      <w:r w:rsidRPr="001428D3">
        <w:t>D</w:t>
      </w:r>
      <w:r w:rsidRPr="001428D3" w:rsidR="00A82713">
        <w:t>.  </w:t>
      </w:r>
      <w:r w:rsidRPr="001428D3" w:rsidR="00BA4591">
        <w:t>P</w:t>
      </w:r>
      <w:r w:rsidRPr="001428D3" w:rsidR="00A82713">
        <w:t xml:space="preserve">roceedings concerning the merits of the case </w:t>
      </w:r>
      <w:bookmarkEnd w:id="13"/>
      <w:bookmarkEnd w:id="14"/>
      <w:bookmarkEnd w:id="15"/>
      <w:r w:rsidRPr="001428D3" w:rsidR="00EB729B">
        <w:t xml:space="preserve">related to the </w:t>
      </w:r>
      <w:r w:rsidRPr="001428D3" w:rsidR="00376A78">
        <w:t>seizure of the building</w:t>
      </w:r>
      <w:bookmarkEnd w:id="16"/>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25</w:t>
      </w:r>
      <w:r w:rsidRPr="001428D3">
        <w:rPr>
          <w:noProof/>
        </w:rPr>
        <w:fldChar w:fldCharType="end"/>
      </w:r>
      <w:r w:rsidRPr="001428D3" w:rsidR="00A82713">
        <w:t>.  On an unspecified date</w:t>
      </w:r>
      <w:r w:rsidRPr="001428D3" w:rsidR="00B74924">
        <w:t xml:space="preserve">, </w:t>
      </w:r>
      <w:r w:rsidRPr="001428D3" w:rsidR="004F6A81">
        <w:t xml:space="preserve">but </w:t>
      </w:r>
      <w:r w:rsidRPr="001428D3" w:rsidR="00B74924">
        <w:t xml:space="preserve">within ten days from the interim order, </w:t>
      </w:r>
      <w:r w:rsidRPr="001428D3" w:rsidR="00D70F22">
        <w:t xml:space="preserve">eleven residents, </w:t>
      </w:r>
      <w:r w:rsidRPr="001428D3" w:rsidR="003A463A">
        <w:t xml:space="preserve">including </w:t>
      </w:r>
      <w:r w:rsidRPr="001428D3" w:rsidR="00D70F22">
        <w:t>nine</w:t>
      </w:r>
      <w:r w:rsidRPr="001428D3" w:rsidR="003A463A">
        <w:t xml:space="preserve"> of the</w:t>
      </w:r>
      <w:r w:rsidRPr="001428D3" w:rsidR="00D70F22">
        <w:t xml:space="preserve"> applicants (E. Durolli, A.</w:t>
      </w:r>
      <w:r w:rsidRPr="001428D3" w:rsidR="00D24563">
        <w:t> </w:t>
      </w:r>
      <w:r w:rsidRPr="001428D3" w:rsidR="00D70F22">
        <w:t xml:space="preserve">Deromemaj, V. Kacorri, P. Rakipaj, G. Calliku, V. Calliku, B. Rakipaj, Xh. Sharxhi and E. Ballanca), </w:t>
      </w:r>
      <w:r w:rsidRPr="001428D3" w:rsidR="00A82713">
        <w:t xml:space="preserve">lodged a </w:t>
      </w:r>
      <w:r w:rsidRPr="001428D3" w:rsidR="003D4C55">
        <w:t>claim</w:t>
      </w:r>
      <w:r w:rsidRPr="001428D3" w:rsidR="00A82713">
        <w:t xml:space="preserve"> </w:t>
      </w:r>
      <w:r w:rsidRPr="001428D3" w:rsidR="00B74924">
        <w:t xml:space="preserve">on the merits with the District Court. </w:t>
      </w:r>
      <w:r w:rsidRPr="001428D3" w:rsidR="003D4C55">
        <w:t>It appears from</w:t>
      </w:r>
      <w:r w:rsidRPr="001428D3" w:rsidR="00DF3875">
        <w:t xml:space="preserve"> the District Court</w:t>
      </w:r>
      <w:r w:rsidRPr="001428D3" w:rsidR="001428D3">
        <w:t>’</w:t>
      </w:r>
      <w:r w:rsidRPr="001428D3" w:rsidR="00DF3875">
        <w:t>s d</w:t>
      </w:r>
      <w:r w:rsidRPr="001428D3" w:rsidR="00A71C38">
        <w:t>ecision of 28 January 2014 (see </w:t>
      </w:r>
      <w:r w:rsidRPr="001428D3" w:rsidR="00DF3875">
        <w:t xml:space="preserve">paragraph </w:t>
      </w:r>
      <w:r w:rsidRPr="001428D3" w:rsidR="00551A61">
        <w:t xml:space="preserve">26 </w:t>
      </w:r>
      <w:r w:rsidRPr="001428D3" w:rsidR="00DF3875">
        <w:t>below) that t</w:t>
      </w:r>
      <w:r w:rsidRPr="001428D3" w:rsidR="00B74924">
        <w:t xml:space="preserve">he object of the </w:t>
      </w:r>
      <w:r w:rsidRPr="001428D3" w:rsidR="003D4C55">
        <w:t>claim</w:t>
      </w:r>
      <w:r w:rsidRPr="001428D3" w:rsidR="00B74924">
        <w:t xml:space="preserve"> was the same as that </w:t>
      </w:r>
      <w:r w:rsidRPr="001428D3" w:rsidR="008871CC">
        <w:t xml:space="preserve">lodged </w:t>
      </w:r>
      <w:r w:rsidRPr="001428D3" w:rsidR="00B74924">
        <w:t xml:space="preserve">on 4 November 2013 (see paragraph </w:t>
      </w:r>
      <w:r w:rsidRPr="001428D3" w:rsidR="00AB71AD">
        <w:t xml:space="preserve">16 </w:t>
      </w:r>
      <w:r w:rsidRPr="001428D3" w:rsidR="00B74924">
        <w:t>above).</w:t>
      </w:r>
    </w:p>
    <w:p w:rsidRPr="001428D3" w:rsidR="00AC1A84"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26</w:t>
      </w:r>
      <w:r w:rsidRPr="001428D3">
        <w:rPr>
          <w:noProof/>
        </w:rPr>
        <w:fldChar w:fldCharType="end"/>
      </w:r>
      <w:r w:rsidRPr="001428D3" w:rsidR="00A82713">
        <w:t xml:space="preserve">.  On 28 January 2014 the District Court declared that the actions carried out by the MUCI and NUCI </w:t>
      </w:r>
      <w:r w:rsidRPr="001428D3" w:rsidR="00DD1A91">
        <w:t>on 3 November 2013</w:t>
      </w:r>
      <w:r w:rsidRPr="001428D3" w:rsidR="000402EE">
        <w:t xml:space="preserve"> </w:t>
      </w:r>
      <w:r w:rsidRPr="001428D3" w:rsidR="00A82713">
        <w:t xml:space="preserve">had been arbitrary and in flagrant breach of the Albanian </w:t>
      </w:r>
      <w:r w:rsidRPr="001428D3" w:rsidR="00DD1A91">
        <w:t>C</w:t>
      </w:r>
      <w:r w:rsidRPr="001428D3" w:rsidR="00A82713">
        <w:t>onstitution and</w:t>
      </w:r>
      <w:r w:rsidRPr="001428D3" w:rsidR="00161544">
        <w:t xml:space="preserve"> the</w:t>
      </w:r>
      <w:r w:rsidRPr="001428D3" w:rsidR="00A82713">
        <w:t xml:space="preserve"> law. </w:t>
      </w:r>
      <w:r w:rsidRPr="001428D3" w:rsidR="00AB7732">
        <w:t>The decision i</w:t>
      </w:r>
      <w:r w:rsidRPr="001428D3" w:rsidR="00AC1A84">
        <w:t>n so far as relevant read</w:t>
      </w:r>
      <w:r w:rsidRPr="001428D3" w:rsidR="00AB7732">
        <w:t>s</w:t>
      </w:r>
      <w:r w:rsidRPr="001428D3" w:rsidR="00AC1A84">
        <w:t xml:space="preserve"> as follows:</w:t>
      </w:r>
    </w:p>
    <w:p w:rsidRPr="001428D3" w:rsidR="005521CC" w:rsidP="001428D3" w:rsidRDefault="00AC1A84">
      <w:pPr>
        <w:pStyle w:val="ECHRParaQuote"/>
      </w:pPr>
      <w:r w:rsidRPr="001428D3">
        <w:t>“</w:t>
      </w:r>
      <w:r w:rsidRPr="001428D3" w:rsidR="005521CC">
        <w:t>...</w:t>
      </w:r>
      <w:r w:rsidRPr="001428D3" w:rsidR="00161544">
        <w:t xml:space="preserve">[the] </w:t>
      </w:r>
      <w:r w:rsidRPr="001428D3" w:rsidR="00A82713">
        <w:t>MUCI and</w:t>
      </w:r>
      <w:r w:rsidRPr="001428D3" w:rsidR="00161544">
        <w:t xml:space="preserve"> [the]</w:t>
      </w:r>
      <w:r w:rsidRPr="001428D3" w:rsidR="00A82713">
        <w:t xml:space="preserve"> NUCI </w:t>
      </w:r>
      <w:r w:rsidRPr="001428D3">
        <w:t xml:space="preserve">abusively and </w:t>
      </w:r>
      <w:r w:rsidRPr="001428D3" w:rsidR="00A82713">
        <w:t xml:space="preserve">without </w:t>
      </w:r>
      <w:r w:rsidRPr="001428D3">
        <w:t xml:space="preserve">any administrative </w:t>
      </w:r>
      <w:r w:rsidRPr="001428D3" w:rsidR="005700BC">
        <w:t xml:space="preserve">decision </w:t>
      </w:r>
      <w:r w:rsidRPr="001428D3">
        <w:t>to justify their illegal actions t</w:t>
      </w:r>
      <w:r w:rsidRPr="001428D3" w:rsidR="00161544">
        <w:t>ook</w:t>
      </w:r>
      <w:r w:rsidRPr="001428D3">
        <w:t xml:space="preserve"> arbitrary act</w:t>
      </w:r>
      <w:r w:rsidRPr="001428D3" w:rsidR="00AE2875">
        <w:t>ion</w:t>
      </w:r>
      <w:r w:rsidRPr="001428D3">
        <w:t xml:space="preserve"> with the aim </w:t>
      </w:r>
      <w:r w:rsidRPr="001428D3" w:rsidR="00161544">
        <w:t>of demolishing</w:t>
      </w:r>
      <w:r w:rsidRPr="001428D3">
        <w:t xml:space="preserve"> a property which had been acquired in accordance with </w:t>
      </w:r>
      <w:r w:rsidRPr="001428D3" w:rsidR="00161544">
        <w:t xml:space="preserve">the </w:t>
      </w:r>
      <w:r w:rsidRPr="001428D3">
        <w:t>law</w:t>
      </w:r>
      <w:r w:rsidRPr="001428D3" w:rsidR="00874AB2">
        <w:t xml:space="preserve">. </w:t>
      </w:r>
      <w:r w:rsidRPr="001428D3" w:rsidR="00161544">
        <w:t xml:space="preserve">The </w:t>
      </w:r>
      <w:r w:rsidRPr="001428D3" w:rsidR="00874AB2">
        <w:t xml:space="preserve">NUCI </w:t>
      </w:r>
      <w:r w:rsidRPr="001428D3" w:rsidR="00161544">
        <w:t>had no</w:t>
      </w:r>
      <w:r w:rsidRPr="001428D3" w:rsidR="00874AB2">
        <w:t xml:space="preserve"> </w:t>
      </w:r>
      <w:r w:rsidRPr="001428D3" w:rsidR="00254E29">
        <w:t>legal reason to take thi</w:t>
      </w:r>
      <w:r w:rsidRPr="001428D3" w:rsidR="00874AB2">
        <w:t xml:space="preserve">s administrative action, and therefore its actions </w:t>
      </w:r>
      <w:r w:rsidRPr="001428D3" w:rsidR="00161544">
        <w:t xml:space="preserve">were totally </w:t>
      </w:r>
      <w:r w:rsidRPr="001428D3" w:rsidR="00874AB2">
        <w:t>illegal</w:t>
      </w:r>
      <w:r w:rsidRPr="001428D3" w:rsidR="005521CC">
        <w:t>...</w:t>
      </w:r>
      <w:r w:rsidRPr="001428D3" w:rsidR="00874AB2">
        <w:t xml:space="preserve">the administrative action for the demolition of </w:t>
      </w:r>
      <w:r w:rsidRPr="001428D3" w:rsidR="00161544">
        <w:t xml:space="preserve">the </w:t>
      </w:r>
      <w:r w:rsidRPr="001428D3" w:rsidR="00874AB2">
        <w:t xml:space="preserve">construction </w:t>
      </w:r>
      <w:r w:rsidRPr="001428D3" w:rsidR="00254E29">
        <w:t xml:space="preserve">as </w:t>
      </w:r>
      <w:r w:rsidRPr="001428D3" w:rsidR="00874AB2">
        <w:t xml:space="preserve">duly authorised by the competent authorities without </w:t>
      </w:r>
      <w:r w:rsidRPr="001428D3" w:rsidR="00161544">
        <w:t xml:space="preserve">first analysing </w:t>
      </w:r>
      <w:r w:rsidRPr="001428D3" w:rsidR="00EF6117">
        <w:t xml:space="preserve">in detail the </w:t>
      </w:r>
      <w:r w:rsidRPr="001428D3" w:rsidR="00254E29">
        <w:t>il</w:t>
      </w:r>
      <w:r w:rsidRPr="001428D3" w:rsidR="00EF6117">
        <w:t>legality of the act</w:t>
      </w:r>
      <w:r w:rsidRPr="001428D3" w:rsidR="00161544">
        <w:t>ion</w:t>
      </w:r>
      <w:r w:rsidRPr="001428D3" w:rsidR="00EF6117">
        <w:t xml:space="preserve">s and without </w:t>
      </w:r>
      <w:r w:rsidRPr="001428D3" w:rsidR="00161544">
        <w:t xml:space="preserve">an </w:t>
      </w:r>
      <w:r w:rsidRPr="001428D3" w:rsidR="00EF6117">
        <w:t xml:space="preserve">assessment of </w:t>
      </w:r>
      <w:r w:rsidRPr="001428D3" w:rsidR="00161544">
        <w:t xml:space="preserve">the </w:t>
      </w:r>
      <w:r w:rsidRPr="001428D3" w:rsidR="00254E29">
        <w:t>situation</w:t>
      </w:r>
      <w:r w:rsidRPr="001428D3" w:rsidR="00EF6117">
        <w:t xml:space="preserve"> by an independent court </w:t>
      </w:r>
      <w:r w:rsidRPr="001428D3" w:rsidR="00161544">
        <w:t>of</w:t>
      </w:r>
      <w:r w:rsidRPr="001428D3" w:rsidR="00EF6117">
        <w:t xml:space="preserve"> law, </w:t>
      </w:r>
      <w:r w:rsidRPr="001428D3" w:rsidR="00161544">
        <w:t xml:space="preserve">was </w:t>
      </w:r>
      <w:r w:rsidRPr="001428D3" w:rsidR="00EF6117">
        <w:t>within the limits of extreme illegality</w:t>
      </w:r>
      <w:r w:rsidRPr="001428D3" w:rsidR="005521CC">
        <w:t>...</w:t>
      </w:r>
      <w:r w:rsidRPr="001428D3">
        <w:t>The authorities unilaterally and without a full and comprehensive administrative investigation surround</w:t>
      </w:r>
      <w:r w:rsidRPr="001428D3" w:rsidR="00BF3E39">
        <w:t>ed</w:t>
      </w:r>
      <w:r w:rsidRPr="001428D3">
        <w:t xml:space="preserve"> the building</w:t>
      </w:r>
      <w:r w:rsidRPr="001428D3" w:rsidR="005521CC">
        <w:t>...</w:t>
      </w:r>
      <w:r w:rsidRPr="001428D3" w:rsidR="00254E29">
        <w:t xml:space="preserve"> </w:t>
      </w:r>
      <w:r w:rsidRPr="001428D3" w:rsidR="00E0733C">
        <w:t>T</w:t>
      </w:r>
      <w:r w:rsidRPr="001428D3" w:rsidR="00254E29">
        <w:t>he authorities</w:t>
      </w:r>
      <w:r w:rsidRPr="001428D3" w:rsidR="00E0733C">
        <w:t xml:space="preserve"> with their arbitrary actions</w:t>
      </w:r>
      <w:r w:rsidRPr="001428D3" w:rsidR="00254E29">
        <w:t xml:space="preserve"> gravely violated the principle of legal certainty</w:t>
      </w:r>
      <w:r w:rsidRPr="001428D3" w:rsidR="00161544">
        <w:t>,</w:t>
      </w:r>
      <w:r w:rsidRPr="001428D3" w:rsidR="00254E29">
        <w:t xml:space="preserve"> according to which no one should </w:t>
      </w:r>
      <w:r w:rsidRPr="001428D3" w:rsidR="00B352FE">
        <w:t xml:space="preserve">suffer an interference </w:t>
      </w:r>
      <w:r w:rsidRPr="001428D3" w:rsidR="00254E29">
        <w:t xml:space="preserve">with their rights obtained by law and has the expectation that no State authority </w:t>
      </w:r>
      <w:r w:rsidRPr="001428D3" w:rsidR="00B352FE">
        <w:t xml:space="preserve">will </w:t>
      </w:r>
      <w:r w:rsidRPr="001428D3" w:rsidR="00254E29">
        <w:t xml:space="preserve">take any administrative </w:t>
      </w:r>
      <w:r w:rsidRPr="001428D3" w:rsidR="005700BC">
        <w:t xml:space="preserve">decision </w:t>
      </w:r>
      <w:r w:rsidRPr="001428D3" w:rsidR="00254E29">
        <w:t xml:space="preserve">or </w:t>
      </w:r>
      <w:r w:rsidRPr="001428D3" w:rsidR="00D70F22">
        <w:t>action</w:t>
      </w:r>
      <w:r w:rsidRPr="001428D3" w:rsidR="00254E29">
        <w:t xml:space="preserve"> </w:t>
      </w:r>
      <w:r w:rsidRPr="001428D3" w:rsidR="00161544">
        <w:t>by</w:t>
      </w:r>
      <w:r w:rsidRPr="001428D3" w:rsidR="00254E29">
        <w:t xml:space="preserve"> which the rights</w:t>
      </w:r>
      <w:r w:rsidRPr="001428D3" w:rsidR="002F3A76">
        <w:t xml:space="preserve"> obtained</w:t>
      </w:r>
      <w:r w:rsidRPr="001428D3" w:rsidR="00254E29">
        <w:t xml:space="preserve"> by law </w:t>
      </w:r>
      <w:r w:rsidRPr="001428D3" w:rsidR="002F3A76">
        <w:t>could later be violated as a consequence of the State authorities</w:t>
      </w:r>
      <w:r w:rsidRPr="001428D3" w:rsidR="001428D3">
        <w:t>’</w:t>
      </w:r>
      <w:r w:rsidRPr="001428D3" w:rsidR="002F3A76">
        <w:t xml:space="preserve"> actions</w:t>
      </w:r>
      <w:r w:rsidRPr="001428D3" w:rsidR="005521CC">
        <w:t>...</w:t>
      </w:r>
      <w:r w:rsidRPr="001428D3" w:rsidR="002F3A76">
        <w:t>”</w:t>
      </w:r>
    </w:p>
    <w:p w:rsidRPr="001428D3" w:rsidR="005521CC" w:rsidP="001428D3" w:rsidRDefault="007400EC">
      <w:pPr>
        <w:pStyle w:val="ECHRPara"/>
      </w:pPr>
      <w:r w:rsidRPr="001428D3">
        <w:t xml:space="preserve">The District Court </w:t>
      </w:r>
      <w:r w:rsidRPr="001428D3" w:rsidR="0038081B">
        <w:t>accordingly</w:t>
      </w:r>
      <w:r w:rsidRPr="001428D3" w:rsidR="00161544">
        <w:t xml:space="preserve"> allowed</w:t>
      </w:r>
      <w:r w:rsidRPr="001428D3" w:rsidR="007E6488">
        <w:t xml:space="preserve"> </w:t>
      </w:r>
      <w:r w:rsidRPr="001428D3" w:rsidR="00B21883">
        <w:t xml:space="preserve">the </w:t>
      </w:r>
      <w:r w:rsidRPr="001428D3" w:rsidR="003D4C55">
        <w:t>claim</w:t>
      </w:r>
      <w:r w:rsidRPr="001428D3" w:rsidR="008753A8">
        <w:t xml:space="preserve">. </w:t>
      </w:r>
      <w:r w:rsidRPr="001428D3" w:rsidR="00A82713">
        <w:t>The applicants</w:t>
      </w:r>
      <w:r w:rsidRPr="001428D3" w:rsidR="0038081B">
        <w:t>, however,</w:t>
      </w:r>
      <w:r w:rsidRPr="001428D3" w:rsidR="00A82713">
        <w:t xml:space="preserve"> withdrew their request </w:t>
      </w:r>
      <w:r w:rsidRPr="001428D3" w:rsidR="007765F7">
        <w:t xml:space="preserve">for </w:t>
      </w:r>
      <w:r w:rsidRPr="001428D3" w:rsidR="00A82713">
        <w:t>the authorities</w:t>
      </w:r>
      <w:r w:rsidRPr="001428D3" w:rsidR="007765F7">
        <w:t xml:space="preserve"> to</w:t>
      </w:r>
      <w:r w:rsidRPr="001428D3" w:rsidR="00A82713">
        <w:t xml:space="preserve"> be </w:t>
      </w:r>
      <w:r w:rsidRPr="001428D3" w:rsidR="00354D64">
        <w:t xml:space="preserve">prohibited </w:t>
      </w:r>
      <w:r w:rsidRPr="001428D3" w:rsidR="00A82713">
        <w:t>from taking any further action</w:t>
      </w:r>
      <w:r w:rsidRPr="001428D3" w:rsidR="0038081B">
        <w:t>, which had become devoid of purpose,</w:t>
      </w:r>
      <w:r w:rsidRPr="001428D3" w:rsidR="00A82713">
        <w:t xml:space="preserve"> since the Jon Residence had in the meantime been demolished by the authorities</w:t>
      </w:r>
      <w:r w:rsidRPr="001428D3" w:rsidR="00AB71AD">
        <w:t>.</w:t>
      </w:r>
      <w:r w:rsidRPr="001428D3" w:rsidR="00A82713">
        <w:t xml:space="preserve"> </w:t>
      </w:r>
      <w:r w:rsidRPr="001428D3" w:rsidR="00B810A5">
        <w:t xml:space="preserve">The District Court therefore discontinued the examination of this part of </w:t>
      </w:r>
      <w:r w:rsidRPr="001428D3" w:rsidR="00DD1A91">
        <w:t xml:space="preserve">the </w:t>
      </w:r>
      <w:r w:rsidRPr="001428D3" w:rsidR="003D4C55">
        <w:t>claim</w:t>
      </w:r>
      <w:r w:rsidRPr="001428D3" w:rsidR="00B810A5">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27</w:t>
      </w:r>
      <w:r w:rsidRPr="001428D3">
        <w:rPr>
          <w:noProof/>
        </w:rPr>
        <w:fldChar w:fldCharType="end"/>
      </w:r>
      <w:r w:rsidRPr="001428D3" w:rsidR="007B396B">
        <w:t>.  O</w:t>
      </w:r>
      <w:r w:rsidRPr="001428D3" w:rsidR="00A82713">
        <w:t>n 6 May 2016</w:t>
      </w:r>
      <w:r w:rsidRPr="001428D3" w:rsidR="00756DC3">
        <w:t>,</w:t>
      </w:r>
      <w:r w:rsidRPr="001428D3" w:rsidR="00A82713">
        <w:t xml:space="preserve"> </w:t>
      </w:r>
      <w:r w:rsidRPr="001428D3" w:rsidR="007B396B">
        <w:t>following an appeal by the authorities</w:t>
      </w:r>
      <w:r w:rsidRPr="001428D3" w:rsidR="00756DC3">
        <w:t>,</w:t>
      </w:r>
      <w:r w:rsidRPr="001428D3" w:rsidR="007B396B">
        <w:t xml:space="preserve"> </w:t>
      </w:r>
      <w:r w:rsidRPr="001428D3" w:rsidR="00A82713">
        <w:t xml:space="preserve">the </w:t>
      </w:r>
      <w:r w:rsidRPr="001428D3" w:rsidR="00E62DCC">
        <w:t>Administrative</w:t>
      </w:r>
      <w:r w:rsidRPr="001428D3" w:rsidR="00A82713">
        <w:t xml:space="preserve"> Court of Appeal upheld the District Court</w:t>
      </w:r>
      <w:r w:rsidRPr="001428D3" w:rsidR="001428D3">
        <w:t>’</w:t>
      </w:r>
      <w:r w:rsidRPr="001428D3" w:rsidR="00A82713">
        <w:t>s decision of 28</w:t>
      </w:r>
      <w:r w:rsidRPr="001428D3" w:rsidR="00E62DCC">
        <w:t> </w:t>
      </w:r>
      <w:r w:rsidRPr="001428D3" w:rsidR="00A82713">
        <w:t>January 2014.</w:t>
      </w:r>
      <w:r w:rsidRPr="001428D3" w:rsidR="005E39E6">
        <w:t xml:space="preserve"> </w:t>
      </w:r>
      <w:r w:rsidRPr="001428D3" w:rsidR="003D4C55">
        <w:t>I</w:t>
      </w:r>
      <w:r w:rsidRPr="001428D3" w:rsidR="00596BA1">
        <w:t xml:space="preserve">t </w:t>
      </w:r>
      <w:r w:rsidRPr="001428D3" w:rsidR="000F50CC">
        <w:t xml:space="preserve">appears </w:t>
      </w:r>
      <w:r w:rsidRPr="001428D3" w:rsidR="003D4C55">
        <w:t xml:space="preserve">from the decision </w:t>
      </w:r>
      <w:r w:rsidRPr="001428D3" w:rsidR="00596BA1">
        <w:t xml:space="preserve">that the applicants </w:t>
      </w:r>
      <w:r w:rsidRPr="001428D3" w:rsidR="004F0F19">
        <w:t>argued</w:t>
      </w:r>
      <w:r w:rsidRPr="001428D3" w:rsidR="00596BA1">
        <w:t xml:space="preserve"> that </w:t>
      </w:r>
      <w:r w:rsidRPr="001428D3" w:rsidR="000F50CC">
        <w:t xml:space="preserve">the </w:t>
      </w:r>
      <w:r w:rsidRPr="001428D3" w:rsidR="00596BA1">
        <w:t xml:space="preserve">MUCI and NUCI </w:t>
      </w:r>
      <w:r w:rsidRPr="001428D3" w:rsidR="003D4C55">
        <w:t xml:space="preserve">had </w:t>
      </w:r>
      <w:r w:rsidRPr="001428D3" w:rsidR="00596BA1">
        <w:t xml:space="preserve">abusively and without any administrative </w:t>
      </w:r>
      <w:r w:rsidRPr="001428D3" w:rsidR="005700BC">
        <w:t xml:space="preserve">decision </w:t>
      </w:r>
      <w:r w:rsidRPr="001428D3" w:rsidR="00596BA1">
        <w:t xml:space="preserve">to justify their illegal actions taken arbitrary action with </w:t>
      </w:r>
      <w:r w:rsidRPr="001428D3" w:rsidR="004F0F19">
        <w:t>a view to</w:t>
      </w:r>
      <w:r w:rsidRPr="001428D3" w:rsidR="00596BA1">
        <w:t xml:space="preserve"> demoli</w:t>
      </w:r>
      <w:r w:rsidRPr="001428D3" w:rsidR="000F50CC">
        <w:t>shing</w:t>
      </w:r>
      <w:r w:rsidRPr="001428D3" w:rsidR="00596BA1">
        <w:t xml:space="preserve"> a </w:t>
      </w:r>
      <w:r w:rsidRPr="001428D3" w:rsidR="004F0F19">
        <w:t>lawful</w:t>
      </w:r>
      <w:r w:rsidRPr="001428D3" w:rsidR="00596BA1">
        <w:t xml:space="preserve"> property. The Administrative Court of Appeal reasoned that </w:t>
      </w:r>
      <w:r w:rsidRPr="001428D3" w:rsidR="008C4C4A">
        <w:t xml:space="preserve">the </w:t>
      </w:r>
      <w:r w:rsidRPr="001428D3" w:rsidR="00596BA1">
        <w:t xml:space="preserve">cordoning off </w:t>
      </w:r>
      <w:r w:rsidRPr="001428D3" w:rsidR="008C4C4A">
        <w:t xml:space="preserve">of </w:t>
      </w:r>
      <w:r w:rsidRPr="001428D3" w:rsidR="00596BA1">
        <w:t xml:space="preserve">the building and </w:t>
      </w:r>
      <w:r w:rsidRPr="001428D3" w:rsidR="008C4C4A">
        <w:t>prevention</w:t>
      </w:r>
      <w:r w:rsidRPr="001428D3" w:rsidR="00596BA1">
        <w:t xml:space="preserve"> of the applicants </w:t>
      </w:r>
      <w:r w:rsidRPr="001428D3" w:rsidR="000F50CC">
        <w:t xml:space="preserve">from </w:t>
      </w:r>
      <w:r w:rsidRPr="001428D3" w:rsidR="00596BA1">
        <w:t>enter</w:t>
      </w:r>
      <w:r w:rsidRPr="001428D3" w:rsidR="000F50CC">
        <w:t>ing</w:t>
      </w:r>
      <w:r w:rsidRPr="001428D3" w:rsidR="00596BA1">
        <w:t xml:space="preserve"> it ha</w:t>
      </w:r>
      <w:r w:rsidRPr="001428D3" w:rsidR="00E6115F">
        <w:t>d</w:t>
      </w:r>
      <w:r w:rsidRPr="001428D3" w:rsidR="00596BA1">
        <w:t xml:space="preserve"> been arbitrary</w:t>
      </w:r>
      <w:r w:rsidRPr="001428D3" w:rsidR="003206F1">
        <w:t xml:space="preserve">, </w:t>
      </w:r>
      <w:r w:rsidRPr="001428D3" w:rsidR="00596BA1">
        <w:t>not in accordance with the law</w:t>
      </w:r>
      <w:r w:rsidRPr="001428D3" w:rsidR="003206F1">
        <w:t xml:space="preserve"> and </w:t>
      </w:r>
      <w:r w:rsidRPr="001428D3" w:rsidR="003D4C55">
        <w:t xml:space="preserve">in </w:t>
      </w:r>
      <w:r w:rsidRPr="001428D3" w:rsidR="003206F1">
        <w:t>breach</w:t>
      </w:r>
      <w:r w:rsidRPr="001428D3" w:rsidR="003D4C55">
        <w:t xml:space="preserve"> of </w:t>
      </w:r>
      <w:r w:rsidRPr="001428D3" w:rsidR="003206F1">
        <w:t>the</w:t>
      </w:r>
      <w:r w:rsidRPr="001428D3" w:rsidR="00B01CEC">
        <w:t>ir</w:t>
      </w:r>
      <w:r w:rsidRPr="001428D3" w:rsidR="003206F1">
        <w:t xml:space="preserve"> property rights</w:t>
      </w:r>
      <w:r w:rsidRPr="001428D3" w:rsidR="00596BA1">
        <w:t>.</w:t>
      </w:r>
      <w:r w:rsidRPr="001428D3" w:rsidR="003206F1">
        <w:t xml:space="preserve"> It further noted that the NUCI </w:t>
      </w:r>
      <w:r w:rsidRPr="001428D3" w:rsidR="000F50CC">
        <w:t>were obliged</w:t>
      </w:r>
      <w:r w:rsidRPr="001428D3" w:rsidR="003206F1">
        <w:t xml:space="preserve"> to compensate the applicants for their illegal actions </w:t>
      </w:r>
      <w:r w:rsidRPr="001428D3" w:rsidR="003D4C55">
        <w:t>under</w:t>
      </w:r>
      <w:r w:rsidRPr="001428D3" w:rsidR="003206F1">
        <w:t xml:space="preserve"> the </w:t>
      </w:r>
      <w:r w:rsidRPr="001428D3" w:rsidR="00CB327F">
        <w:t>Non-Contractual Liability of the State Act</w:t>
      </w:r>
      <w:r w:rsidRPr="001428D3" w:rsidDel="00023EB7" w:rsidR="00023EB7">
        <w:t xml:space="preserve"> </w:t>
      </w:r>
      <w:r w:rsidRPr="001428D3" w:rsidR="003206F1">
        <w:t xml:space="preserve">(see “Relevant domestic law and practice” below) and Article 608 of the Civil Code. </w:t>
      </w:r>
      <w:r w:rsidRPr="001428D3" w:rsidR="009115BA">
        <w:t>Only after the actions taken by the authorities were</w:t>
      </w:r>
      <w:r w:rsidRPr="001428D3" w:rsidR="00B01CEC">
        <w:t xml:space="preserve"> declared unlawful</w:t>
      </w:r>
      <w:r w:rsidRPr="001428D3" w:rsidR="009115BA">
        <w:t xml:space="preserve"> </w:t>
      </w:r>
      <w:r w:rsidRPr="001428D3" w:rsidR="00B01CEC">
        <w:t xml:space="preserve">were </w:t>
      </w:r>
      <w:r w:rsidRPr="001428D3" w:rsidR="00E529B8">
        <w:t xml:space="preserve">the applicants </w:t>
      </w:r>
      <w:r w:rsidRPr="001428D3" w:rsidR="009115BA">
        <w:t xml:space="preserve">entitled to </w:t>
      </w:r>
      <w:r w:rsidRPr="001428D3" w:rsidR="008C4C4A">
        <w:t>bring a</w:t>
      </w:r>
      <w:r w:rsidRPr="001428D3" w:rsidR="009115BA">
        <w:t xml:space="preserve"> claim for damages under </w:t>
      </w:r>
      <w:r w:rsidRPr="001428D3" w:rsidR="000F50CC">
        <w:t>s</w:t>
      </w:r>
      <w:r w:rsidRPr="001428D3" w:rsidR="005852B3">
        <w:t>ection</w:t>
      </w:r>
      <w:r w:rsidRPr="001428D3" w:rsidR="009115BA">
        <w:t xml:space="preserve"> 14 of the Inspection </w:t>
      </w:r>
      <w:r w:rsidRPr="001428D3" w:rsidR="00C509F3">
        <w:t>of Buildings</w:t>
      </w:r>
      <w:r w:rsidRPr="001428D3" w:rsidR="009115BA">
        <w:t xml:space="preserve"> Act (see “Relevant domestic law and practice” below). However, it did not decide this issue as it had not been part of the claim. </w:t>
      </w:r>
      <w:r w:rsidRPr="001428D3" w:rsidR="005E39E6">
        <w:t>It appears that the proceedings are pending before the Supreme Court.</w:t>
      </w:r>
      <w:bookmarkStart w:name="_Toc480367218" w:id="17"/>
      <w:bookmarkStart w:name="_Toc480559185" w:id="18"/>
      <w:bookmarkStart w:name="_Toc481504545" w:id="19"/>
    </w:p>
    <w:p w:rsidRPr="001428D3" w:rsidR="00A82713" w:rsidP="001428D3" w:rsidRDefault="00753AD3">
      <w:pPr>
        <w:pStyle w:val="ECHRHeading2"/>
      </w:pPr>
      <w:bookmarkStart w:name="_Toc498016736" w:id="20"/>
      <w:r w:rsidRPr="001428D3">
        <w:t>E</w:t>
      </w:r>
      <w:r w:rsidRPr="001428D3" w:rsidR="00A82713">
        <w:t>.  Administrative and judicial proceedings concerning the expropriation and demolition of the applicants</w:t>
      </w:r>
      <w:r w:rsidRPr="001428D3" w:rsidR="001428D3">
        <w:t>’</w:t>
      </w:r>
      <w:r w:rsidRPr="001428D3" w:rsidR="00A82713">
        <w:t xml:space="preserve"> building</w:t>
      </w:r>
      <w:bookmarkEnd w:id="17"/>
      <w:bookmarkEnd w:id="18"/>
      <w:bookmarkEnd w:id="19"/>
      <w:bookmarkEnd w:id="20"/>
    </w:p>
    <w:p w:rsidRPr="001428D3" w:rsidR="005521CC" w:rsidP="001428D3" w:rsidRDefault="00171B30">
      <w:pPr>
        <w:pStyle w:val="ECHRHeading3"/>
      </w:pPr>
      <w:bookmarkStart w:name="_Toc498016737" w:id="21"/>
      <w:r w:rsidRPr="001428D3">
        <w:t>1.  Administrative proceedings</w:t>
      </w:r>
      <w:bookmarkEnd w:id="21"/>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28</w:t>
      </w:r>
      <w:r w:rsidRPr="001428D3">
        <w:rPr>
          <w:noProof/>
        </w:rPr>
        <w:fldChar w:fldCharType="end"/>
      </w:r>
      <w:r w:rsidRPr="001428D3" w:rsidR="00171B30">
        <w:t>.  </w:t>
      </w:r>
      <w:r w:rsidRPr="001428D3" w:rsidR="00A82713">
        <w:t xml:space="preserve">On 8 October 2013 the National Council </w:t>
      </w:r>
      <w:r w:rsidRPr="001428D3" w:rsidR="00F02BCC">
        <w:t>for</w:t>
      </w:r>
      <w:r w:rsidRPr="001428D3" w:rsidR="00A82713">
        <w:t xml:space="preserve"> Territor</w:t>
      </w:r>
      <w:r w:rsidRPr="001428D3" w:rsidR="00F02BCC">
        <w:t>ial Planning</w:t>
      </w:r>
      <w:r w:rsidRPr="001428D3" w:rsidR="00A82713">
        <w:t xml:space="preserve"> </w:t>
      </w:r>
      <w:r w:rsidRPr="001428D3" w:rsidR="00A82713">
        <w:rPr>
          <w:i/>
        </w:rPr>
        <w:t>(Këshilli Kombëtar për Rregullimin e Territorit</w:t>
      </w:r>
      <w:r w:rsidRPr="001428D3" w:rsidR="00F02BCC">
        <w:rPr>
          <w:i/>
        </w:rPr>
        <w:t xml:space="preserve"> </w:t>
      </w:r>
      <w:r w:rsidRPr="001428D3" w:rsidR="00F02BCC">
        <w:t>– “</w:t>
      </w:r>
      <w:r w:rsidRPr="001428D3" w:rsidR="000F50CC">
        <w:t xml:space="preserve">the </w:t>
      </w:r>
      <w:r w:rsidRPr="001428D3" w:rsidR="00F02BCC">
        <w:t>NCTP”</w:t>
      </w:r>
      <w:r w:rsidRPr="001428D3" w:rsidR="00A82713">
        <w:t>) adopted a decision on emergency measures to be undertaken for the protection and rehabilitation of</w:t>
      </w:r>
      <w:r w:rsidRPr="001428D3" w:rsidR="004658F3">
        <w:t xml:space="preserve"> the environment in</w:t>
      </w:r>
      <w:r w:rsidRPr="001428D3" w:rsidR="00A82713">
        <w:t xml:space="preserve"> some areas of national importance</w:t>
      </w:r>
      <w:r w:rsidRPr="001428D3" w:rsidR="008D331F">
        <w:t>,</w:t>
      </w:r>
      <w:r w:rsidRPr="001428D3" w:rsidR="00A82713">
        <w:t xml:space="preserve"> as well as </w:t>
      </w:r>
      <w:r w:rsidRPr="001428D3" w:rsidR="00E85E23">
        <w:t>a</w:t>
      </w:r>
      <w:r w:rsidRPr="001428D3" w:rsidR="00A82713">
        <w:t xml:space="preserve"> procedure for the preparation of </w:t>
      </w:r>
      <w:r w:rsidRPr="001428D3" w:rsidR="000F50CC">
        <w:t xml:space="preserve">an </w:t>
      </w:r>
      <w:r w:rsidRPr="001428D3" w:rsidR="00A82713">
        <w:t xml:space="preserve">integrated sectoral plan concerning stretches of coastline. </w:t>
      </w:r>
      <w:r w:rsidRPr="001428D3" w:rsidR="001C7FD1">
        <w:t>The decision stated</w:t>
      </w:r>
      <w:r w:rsidRPr="001428D3" w:rsidR="00A82713">
        <w:t xml:space="preserve"> that stretches of coastline were areas of national importance where measures of </w:t>
      </w:r>
      <w:r w:rsidRPr="001428D3" w:rsidR="00E85E23">
        <w:t xml:space="preserve">an </w:t>
      </w:r>
      <w:r w:rsidRPr="001428D3" w:rsidR="00A82713">
        <w:t xml:space="preserve">emergency nature were to be undertaken with a view to protecting </w:t>
      </w:r>
      <w:r w:rsidRPr="001428D3" w:rsidR="004658F3">
        <w:t xml:space="preserve">and rehabilitating </w:t>
      </w:r>
      <w:r w:rsidRPr="001428D3" w:rsidR="00A82713">
        <w:t xml:space="preserve">the territory and environment. Furthermore, </w:t>
      </w:r>
      <w:r w:rsidRPr="001428D3" w:rsidR="000F50CC">
        <w:t>it was decided that</w:t>
      </w:r>
      <w:r w:rsidRPr="001428D3" w:rsidR="00A82713">
        <w:t xml:space="preserve"> the granting of new development </w:t>
      </w:r>
      <w:r w:rsidRPr="001428D3" w:rsidR="000F50CC">
        <w:t xml:space="preserve">building </w:t>
      </w:r>
      <w:r w:rsidRPr="001428D3" w:rsidR="00A82713">
        <w:t xml:space="preserve">permits for individual buildings </w:t>
      </w:r>
      <w:r w:rsidRPr="001428D3" w:rsidR="000F50CC">
        <w:t xml:space="preserve">on </w:t>
      </w:r>
      <w:r w:rsidRPr="001428D3" w:rsidR="00A82713">
        <w:t>stretches of coastline and</w:t>
      </w:r>
      <w:r w:rsidRPr="001428D3" w:rsidR="000F50CC">
        <w:t xml:space="preserve"> in</w:t>
      </w:r>
      <w:r w:rsidRPr="001428D3" w:rsidR="00A82713">
        <w:t xml:space="preserve"> other areas of national importance</w:t>
      </w:r>
      <w:r w:rsidRPr="001428D3" w:rsidR="000F50CC">
        <w:t xml:space="preserve"> would be suspended</w:t>
      </w:r>
      <w:r w:rsidRPr="001428D3" w:rsidR="00A82713">
        <w:t xml:space="preserve"> </w:t>
      </w:r>
      <w:r w:rsidRPr="001428D3" w:rsidR="00E85E23">
        <w:t>pending</w:t>
      </w:r>
      <w:r w:rsidRPr="001428D3" w:rsidR="00A82713">
        <w:t xml:space="preserve"> the preparation of the integrated sectoral plan.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29</w:t>
      </w:r>
      <w:r w:rsidRPr="001428D3">
        <w:rPr>
          <w:noProof/>
        </w:rPr>
        <w:fldChar w:fldCharType="end"/>
      </w:r>
      <w:r w:rsidRPr="001428D3" w:rsidR="00A82713">
        <w:t>.  </w:t>
      </w:r>
      <w:r w:rsidRPr="001428D3" w:rsidR="00232252">
        <w:t xml:space="preserve">On 27 November 2013 the Council of Ministers issued a decision, which came into effect immediately, ordering the expropriation in the public interest of immovable private properties affected by the environmental rehabilitation of Uji i Ftohtë – Tuneli, a protected stretch of coastline in the Vlora Municipality. </w:t>
      </w:r>
      <w:r w:rsidRPr="001428D3" w:rsidR="00F53930">
        <w:t xml:space="preserve">The expropriation was made in favour of Vlora Municipality within thirty days </w:t>
      </w:r>
      <w:r w:rsidRPr="001428D3" w:rsidR="00B96768">
        <w:t>of</w:t>
      </w:r>
      <w:r w:rsidRPr="001428D3" w:rsidR="00F53930">
        <w:t xml:space="preserve"> the decision. </w:t>
      </w:r>
      <w:r w:rsidRPr="001428D3" w:rsidR="00A82713">
        <w:t xml:space="preserve">The total compensation awarded was 462,919,230 </w:t>
      </w:r>
      <w:r w:rsidRPr="001428D3" w:rsidR="00361119">
        <w:t xml:space="preserve">Albanian Leks (ALL) </w:t>
      </w:r>
      <w:r w:rsidRPr="001428D3" w:rsidR="00335710">
        <w:t>(approximately 3,456,600 euros</w:t>
      </w:r>
      <w:r w:rsidRPr="001428D3" w:rsidR="002F07FC">
        <w:t xml:space="preserve"> (EUR</w:t>
      </w:r>
      <w:r w:rsidRPr="001428D3" w:rsidR="00335710">
        <w:t>)</w:t>
      </w:r>
      <w:r w:rsidRPr="001428D3" w:rsidR="002F07FC">
        <w:t>)</w:t>
      </w:r>
      <w:r w:rsidRPr="001428D3" w:rsidR="00335710">
        <w:t xml:space="preserve"> </w:t>
      </w:r>
      <w:r w:rsidRPr="001428D3" w:rsidR="00A82713">
        <w:t xml:space="preserve">in respect of the construction measuring </w:t>
      </w:r>
      <w:r w:rsidRPr="001428D3" w:rsidR="004C693C">
        <w:t>8,121.39</w:t>
      </w:r>
      <w:r w:rsidRPr="001428D3" w:rsidR="00A82713">
        <w:t> square metres</w:t>
      </w:r>
      <w:r w:rsidRPr="001428D3" w:rsidR="001C7FD1">
        <w:t xml:space="preserve"> in total</w:t>
      </w:r>
      <w:r w:rsidRPr="001428D3" w:rsidR="00A82713">
        <w:t xml:space="preserve">, to be divided among the owners. </w:t>
      </w:r>
      <w:r w:rsidRPr="001428D3" w:rsidR="00F53930">
        <w:t xml:space="preserve">The decision was taken </w:t>
      </w:r>
      <w:r w:rsidRPr="001428D3" w:rsidR="008C4C4A">
        <w:t>under</w:t>
      </w:r>
      <w:r w:rsidRPr="001428D3" w:rsidR="00F53930">
        <w:t xml:space="preserve"> the Expropriation Act</w:t>
      </w:r>
      <w:r w:rsidRPr="001428D3" w:rsidR="007F5DDA">
        <w:t xml:space="preserve"> and on</w:t>
      </w:r>
      <w:r w:rsidRPr="001428D3" w:rsidR="00F53930">
        <w:t xml:space="preserve"> </w:t>
      </w:r>
      <w:r w:rsidRPr="001428D3" w:rsidR="00E1016A">
        <w:t xml:space="preserve">the </w:t>
      </w:r>
      <w:r w:rsidRPr="001428D3" w:rsidR="007F5DDA">
        <w:t xml:space="preserve">basis of two </w:t>
      </w:r>
      <w:r w:rsidRPr="001428D3" w:rsidR="00F53930">
        <w:t>decision</w:t>
      </w:r>
      <w:r w:rsidRPr="001428D3" w:rsidR="007F5DDA">
        <w:t>s</w:t>
      </w:r>
      <w:r w:rsidRPr="001428D3" w:rsidR="00F53930">
        <w:t xml:space="preserve"> of the NCTP </w:t>
      </w:r>
      <w:r w:rsidRPr="001428D3" w:rsidR="007F5DDA">
        <w:t>– the above-mentioned decision of 8</w:t>
      </w:r>
      <w:r w:rsidRPr="001428D3" w:rsidR="007E5A4B">
        <w:t> </w:t>
      </w:r>
      <w:r w:rsidRPr="001428D3" w:rsidR="007F5DDA">
        <w:t xml:space="preserve">October 2013 </w:t>
      </w:r>
      <w:r w:rsidRPr="001428D3" w:rsidR="00F53930">
        <w:t xml:space="preserve">(see paragraph </w:t>
      </w:r>
      <w:r w:rsidRPr="001428D3" w:rsidR="00AB71AD">
        <w:t xml:space="preserve">28 </w:t>
      </w:r>
      <w:r w:rsidRPr="001428D3" w:rsidR="00F53930">
        <w:t>above) and a</w:t>
      </w:r>
      <w:r w:rsidRPr="001428D3" w:rsidR="007F5DDA">
        <w:t>n earlier</w:t>
      </w:r>
      <w:r w:rsidRPr="001428D3" w:rsidR="00F53930">
        <w:t xml:space="preserve"> decision of 23 June 2004 on the approval of the Vlora city </w:t>
      </w:r>
      <w:r w:rsidRPr="001428D3" w:rsidR="00E77C2F">
        <w:t xml:space="preserve">centre </w:t>
      </w:r>
      <w:r w:rsidRPr="001428D3" w:rsidR="00F53930">
        <w:t>plan. According to the decision</w:t>
      </w:r>
      <w:r w:rsidRPr="001428D3" w:rsidR="00FB103B">
        <w:t>,</w:t>
      </w:r>
      <w:r w:rsidRPr="001428D3" w:rsidR="00F53930">
        <w:t xml:space="preserve"> </w:t>
      </w:r>
      <w:r w:rsidRPr="001428D3" w:rsidR="00E77C2F">
        <w:t>after</w:t>
      </w:r>
      <w:r w:rsidRPr="001428D3" w:rsidR="00F53930">
        <w:t xml:space="preserve"> the expropriation</w:t>
      </w:r>
      <w:r w:rsidRPr="001428D3" w:rsidR="007C0CF5">
        <w:t xml:space="preserve"> </w:t>
      </w:r>
      <w:r w:rsidRPr="001428D3" w:rsidR="00F53930">
        <w:t xml:space="preserve">the legal owners of the property would be compensated </w:t>
      </w:r>
      <w:r w:rsidRPr="001428D3" w:rsidR="00E77C2F">
        <w:t>(</w:t>
      </w:r>
      <w:r w:rsidRPr="001428D3" w:rsidR="00F53930">
        <w:t>by the authorities</w:t>
      </w:r>
      <w:r w:rsidRPr="001428D3" w:rsidR="00E77C2F">
        <w:t>)</w:t>
      </w:r>
      <w:r w:rsidRPr="001428D3" w:rsidR="00F53930">
        <w:t xml:space="preserve"> </w:t>
      </w:r>
      <w:r w:rsidRPr="001428D3" w:rsidR="007C0CF5">
        <w:t>on presentation of</w:t>
      </w:r>
      <w:r w:rsidRPr="001428D3" w:rsidR="00F53930">
        <w:t xml:space="preserve"> </w:t>
      </w:r>
      <w:r w:rsidRPr="001428D3" w:rsidR="00E77C2F">
        <w:t xml:space="preserve">their </w:t>
      </w:r>
      <w:r w:rsidRPr="001428D3" w:rsidR="00F53930">
        <w:t>property title</w:t>
      </w:r>
      <w:r w:rsidRPr="001428D3" w:rsidR="00E77C2F">
        <w:t xml:space="preserve"> documents</w:t>
      </w:r>
      <w:r w:rsidRPr="001428D3" w:rsidR="00F53930">
        <w:t xml:space="preserve">. The deadline for the termination of the expropriation </w:t>
      </w:r>
      <w:r w:rsidRPr="001428D3" w:rsidR="0005724F">
        <w:t xml:space="preserve">procedure </w:t>
      </w:r>
      <w:r w:rsidRPr="001428D3" w:rsidR="00F53930">
        <w:t xml:space="preserve">was set </w:t>
      </w:r>
      <w:r w:rsidRPr="001428D3" w:rsidR="0005724F">
        <w:t xml:space="preserve">for </w:t>
      </w:r>
      <w:r w:rsidRPr="001428D3" w:rsidR="00F53930">
        <w:t>28</w:t>
      </w:r>
      <w:r w:rsidRPr="001428D3" w:rsidR="00D24563">
        <w:t> </w:t>
      </w:r>
      <w:r w:rsidRPr="001428D3" w:rsidR="00F53930">
        <w:t>December 2013.</w:t>
      </w:r>
    </w:p>
    <w:p w:rsidRPr="001428D3" w:rsidR="00A82713"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30</w:t>
      </w:r>
      <w:r w:rsidRPr="001428D3">
        <w:rPr>
          <w:noProof/>
        </w:rPr>
        <w:fldChar w:fldCharType="end"/>
      </w:r>
      <w:r w:rsidRPr="001428D3" w:rsidR="00A82713">
        <w:t xml:space="preserve">.  The decision was published in the Official </w:t>
      </w:r>
      <w:r w:rsidRPr="001428D3" w:rsidR="00E77C2F">
        <w:t xml:space="preserve">Gazette </w:t>
      </w:r>
      <w:r w:rsidRPr="001428D3" w:rsidR="00A82713">
        <w:t>on 3 December 2013. It appears that the applicants only learned of th</w:t>
      </w:r>
      <w:r w:rsidRPr="001428D3" w:rsidR="007F5DDA">
        <w:t>e</w:t>
      </w:r>
      <w:r w:rsidRPr="001428D3" w:rsidR="00A82713">
        <w:t xml:space="preserve"> decision </w:t>
      </w:r>
      <w:r w:rsidRPr="001428D3" w:rsidR="00E1016A">
        <w:t>that day</w:t>
      </w:r>
      <w:r w:rsidRPr="001428D3" w:rsidR="00A82713">
        <w:t xml:space="preserve">, when the press spokesman </w:t>
      </w:r>
      <w:r w:rsidRPr="001428D3" w:rsidR="00C92E62">
        <w:t>for</w:t>
      </w:r>
      <w:r w:rsidRPr="001428D3" w:rsidR="00A82713">
        <w:t xml:space="preserve"> the Minister of </w:t>
      </w:r>
      <w:r w:rsidRPr="001428D3" w:rsidR="001377C8">
        <w:t>Home Affairs</w:t>
      </w:r>
      <w:r w:rsidRPr="001428D3" w:rsidR="00A82713">
        <w:t xml:space="preserve"> announced that the Jon Residence was to be demolished – a process that was to start the following day (4 December 2013).</w:t>
      </w:r>
    </w:p>
    <w:p w:rsidRPr="001428D3" w:rsidR="005521CC" w:rsidP="001428D3" w:rsidRDefault="0044557D">
      <w:pPr>
        <w:pStyle w:val="ECHRPara"/>
      </w:pPr>
      <w:r w:rsidRPr="001428D3">
        <w:fldChar w:fldCharType="begin"/>
      </w:r>
      <w:r w:rsidRPr="001428D3">
        <w:instrText xml:space="preserve"> SEQ level0 \*arabic </w:instrText>
      </w:r>
      <w:r w:rsidRPr="001428D3">
        <w:fldChar w:fldCharType="separate"/>
      </w:r>
      <w:r w:rsidRPr="001428D3" w:rsidR="001428D3">
        <w:rPr>
          <w:noProof/>
        </w:rPr>
        <w:t>31</w:t>
      </w:r>
      <w:r w:rsidRPr="001428D3">
        <w:fldChar w:fldCharType="end"/>
      </w:r>
      <w:r w:rsidRPr="001428D3">
        <w:t>.  </w:t>
      </w:r>
      <w:r w:rsidRPr="001428D3" w:rsidR="00A82713">
        <w:t>On 2 December 2013 the mayor of Vlora r</w:t>
      </w:r>
      <w:r w:rsidRPr="001428D3" w:rsidR="00E31BD2">
        <w:t>equested the assistance of the N</w:t>
      </w:r>
      <w:r w:rsidRPr="001428D3" w:rsidR="00A82713">
        <w:t xml:space="preserve">UCI </w:t>
      </w:r>
      <w:r w:rsidRPr="001428D3" w:rsidR="00C92E62">
        <w:t>with</w:t>
      </w:r>
      <w:r w:rsidRPr="001428D3" w:rsidR="00A82713">
        <w:t xml:space="preserve"> the demolition of the Jon Residence in accordance with the</w:t>
      </w:r>
      <w:r w:rsidRPr="001428D3" w:rsidR="00325A1A">
        <w:t xml:space="preserve"> decision of 27 November 2013. On the same day the NUCI requested the assistance of Vlora police station</w:t>
      </w:r>
      <w:r w:rsidRPr="001428D3" w:rsidR="00C92E62">
        <w:t xml:space="preserve"> with</w:t>
      </w:r>
      <w:r w:rsidRPr="001428D3" w:rsidR="00325A1A">
        <w:t xml:space="preserve"> the demolition</w:t>
      </w:r>
      <w:r w:rsidRPr="001428D3" w:rsidR="00A74944">
        <w:t xml:space="preserve">, </w:t>
      </w:r>
      <w:r w:rsidRPr="001428D3" w:rsidR="00325A1A">
        <w:t xml:space="preserve">which </w:t>
      </w:r>
      <w:r w:rsidRPr="001428D3" w:rsidR="00EF2C20">
        <w:t xml:space="preserve">was </w:t>
      </w:r>
      <w:r w:rsidRPr="001428D3" w:rsidR="00325A1A">
        <w:t xml:space="preserve">planned to start </w:t>
      </w:r>
      <w:r w:rsidRPr="001428D3" w:rsidR="00A74944">
        <w:t xml:space="preserve">at 8 a.m. the </w:t>
      </w:r>
      <w:r w:rsidRPr="001428D3" w:rsidR="007F5DDA">
        <w:t xml:space="preserve">next </w:t>
      </w:r>
      <w:r w:rsidRPr="001428D3" w:rsidR="00A74944">
        <w:t>morning</w:t>
      </w:r>
      <w:r w:rsidRPr="001428D3" w:rsidR="00325A1A">
        <w:t>.</w:t>
      </w:r>
      <w:r w:rsidRPr="001428D3" w:rsidR="00A82713">
        <w:t xml:space="preserve">  The entire building was demolished between 4 December 2013 and 8 December 2013 </w:t>
      </w:r>
      <w:r w:rsidRPr="001428D3" w:rsidR="00D9593E">
        <w:t>(see also paragraph 15 above)</w:t>
      </w:r>
      <w:r w:rsidRPr="001428D3" w:rsidR="00A82713">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32</w:t>
      </w:r>
      <w:r w:rsidRPr="001428D3">
        <w:rPr>
          <w:noProof/>
        </w:rPr>
        <w:fldChar w:fldCharType="end"/>
      </w:r>
      <w:r w:rsidRPr="001428D3" w:rsidR="00171B30">
        <w:t xml:space="preserve">.  On 29 January 2014 the IPRO, in response to a letter sent by one of the applicants </w:t>
      </w:r>
      <w:r w:rsidRPr="001428D3" w:rsidR="00604E20">
        <w:t xml:space="preserve">asking </w:t>
      </w:r>
      <w:r w:rsidRPr="001428D3" w:rsidR="00171B30">
        <w:t xml:space="preserve">for a copy of </w:t>
      </w:r>
      <w:r w:rsidRPr="001428D3" w:rsidR="007F5DDA">
        <w:t>her</w:t>
      </w:r>
      <w:r w:rsidRPr="001428D3" w:rsidR="00171B30">
        <w:t xml:space="preserve"> </w:t>
      </w:r>
      <w:r w:rsidRPr="001428D3" w:rsidR="00A74944">
        <w:t>certificate of ownership</w:t>
      </w:r>
      <w:r w:rsidRPr="001428D3" w:rsidR="00171B30">
        <w:t xml:space="preserve">, </w:t>
      </w:r>
      <w:r w:rsidRPr="001428D3" w:rsidR="007F5DDA">
        <w:t>said</w:t>
      </w:r>
      <w:r w:rsidRPr="001428D3" w:rsidR="00171B30">
        <w:t xml:space="preserve"> that since the building </w:t>
      </w:r>
      <w:r w:rsidRPr="001428D3" w:rsidR="00A74944">
        <w:t xml:space="preserve">had been </w:t>
      </w:r>
      <w:r w:rsidRPr="001428D3" w:rsidR="00171B30">
        <w:t xml:space="preserve">demolished, </w:t>
      </w:r>
      <w:r w:rsidRPr="001428D3" w:rsidR="00C92E62">
        <w:t>it</w:t>
      </w:r>
      <w:r w:rsidRPr="001428D3" w:rsidR="00171B30">
        <w:t xml:space="preserve"> was </w:t>
      </w:r>
      <w:r w:rsidRPr="001428D3" w:rsidR="00A74944">
        <w:t>un</w:t>
      </w:r>
      <w:r w:rsidRPr="001428D3" w:rsidR="00171B30">
        <w:t xml:space="preserve">able to issue a </w:t>
      </w:r>
      <w:r w:rsidRPr="001428D3" w:rsidR="00A74944">
        <w:t>certificate of ownership</w:t>
      </w:r>
      <w:r w:rsidRPr="001428D3" w:rsidR="00171B30">
        <w:t xml:space="preserve"> in respect of a property that </w:t>
      </w:r>
      <w:r w:rsidRPr="001428D3" w:rsidR="00A74944">
        <w:t>no longer</w:t>
      </w:r>
      <w:r w:rsidRPr="001428D3" w:rsidR="00171B30">
        <w:t xml:space="preserve"> exist</w:t>
      </w:r>
      <w:r w:rsidRPr="001428D3" w:rsidR="00A74944">
        <w:t>ed</w:t>
      </w:r>
      <w:r w:rsidRPr="001428D3" w:rsidR="00171B30">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33</w:t>
      </w:r>
      <w:r w:rsidRPr="001428D3">
        <w:rPr>
          <w:noProof/>
        </w:rPr>
        <w:fldChar w:fldCharType="end"/>
      </w:r>
      <w:r w:rsidRPr="001428D3" w:rsidR="00171B30">
        <w:t xml:space="preserve">.  On 9 April 2014 the </w:t>
      </w:r>
      <w:r w:rsidRPr="001428D3" w:rsidR="000F50CC">
        <w:t>Council of Ministers</w:t>
      </w:r>
      <w:r w:rsidRPr="001428D3" w:rsidR="00171B30">
        <w:t xml:space="preserve"> issued another decision</w:t>
      </w:r>
      <w:r w:rsidRPr="001428D3" w:rsidR="007F5DDA">
        <w:t xml:space="preserve">, </w:t>
      </w:r>
      <w:r w:rsidRPr="001428D3" w:rsidR="00171B30">
        <w:t>“On some amendments to the C</w:t>
      </w:r>
      <w:r w:rsidRPr="001428D3" w:rsidR="006D0EAE">
        <w:t>ouncil of Ministers</w:t>
      </w:r>
      <w:r w:rsidRPr="001428D3" w:rsidR="001428D3">
        <w:t>’</w:t>
      </w:r>
      <w:r w:rsidRPr="001428D3" w:rsidR="00171B30">
        <w:t xml:space="preserve"> decision of 27</w:t>
      </w:r>
      <w:r w:rsidRPr="001428D3" w:rsidR="007E5A4B">
        <w:t> </w:t>
      </w:r>
      <w:r w:rsidRPr="001428D3" w:rsidR="00171B30">
        <w:t>November 2013”</w:t>
      </w:r>
      <w:r w:rsidRPr="001428D3" w:rsidR="007F5DDA">
        <w:t>,</w:t>
      </w:r>
      <w:r w:rsidRPr="001428D3" w:rsidR="00171B30">
        <w:t xml:space="preserve"> amending </w:t>
      </w:r>
      <w:r w:rsidRPr="001428D3" w:rsidR="00C92E62">
        <w:t xml:space="preserve">its </w:t>
      </w:r>
      <w:r w:rsidRPr="001428D3" w:rsidR="00171B30">
        <w:t>previous decision of 27 November 2013</w:t>
      </w:r>
      <w:r w:rsidRPr="001428D3" w:rsidR="00602953">
        <w:t xml:space="preserve"> to the effect that i</w:t>
      </w:r>
      <w:r w:rsidRPr="001428D3" w:rsidR="00171B30">
        <w:t>t awarded the applicants a total of ALL 441,168,600 in compensation in respect of a plot of land measuring 7,739.8</w:t>
      </w:r>
      <w:r w:rsidRPr="001428D3" w:rsidR="00A74944">
        <w:t>0</w:t>
      </w:r>
      <w:r w:rsidRPr="001428D3" w:rsidR="00171B30">
        <w:t xml:space="preserve"> square </w:t>
      </w:r>
      <w:r w:rsidRPr="001428D3" w:rsidR="00A74944">
        <w:t>metres</w:t>
      </w:r>
      <w:r w:rsidRPr="001428D3" w:rsidR="00171B30">
        <w:t xml:space="preserve">. The deadline for the termination of the expropriation procedure was set </w:t>
      </w:r>
      <w:r w:rsidRPr="001428D3" w:rsidR="00604E20">
        <w:t>for</w:t>
      </w:r>
      <w:r w:rsidRPr="001428D3" w:rsidR="00171B30">
        <w:t xml:space="preserve"> 30 April 2014. No appeal was lodged against this decision.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34</w:t>
      </w:r>
      <w:r w:rsidRPr="001428D3">
        <w:rPr>
          <w:noProof/>
        </w:rPr>
        <w:fldChar w:fldCharType="end"/>
      </w:r>
      <w:r w:rsidRPr="001428D3" w:rsidR="00171B30">
        <w:t>.  On 12 April 2017 the Budget Management</w:t>
      </w:r>
      <w:r w:rsidRPr="001428D3" w:rsidR="00CB5DBE">
        <w:t xml:space="preserve"> Department</w:t>
      </w:r>
      <w:r w:rsidRPr="001428D3" w:rsidR="00171B30">
        <w:t xml:space="preserve"> </w:t>
      </w:r>
      <w:r w:rsidRPr="001428D3" w:rsidR="007C0CF5">
        <w:t xml:space="preserve">of </w:t>
      </w:r>
      <w:r w:rsidRPr="001428D3" w:rsidR="00171B30">
        <w:t xml:space="preserve">the Ministry of Finance addressed a letter to the </w:t>
      </w:r>
      <w:r w:rsidRPr="001428D3" w:rsidR="007F5DDA">
        <w:t>Government</w:t>
      </w:r>
      <w:r w:rsidRPr="001428D3" w:rsidR="00171B30">
        <w:t xml:space="preserve"> Agent</w:t>
      </w:r>
      <w:r w:rsidRPr="001428D3" w:rsidR="007F5DDA">
        <w:t>,</w:t>
      </w:r>
      <w:r w:rsidRPr="001428D3" w:rsidR="00171B30">
        <w:t xml:space="preserve"> </w:t>
      </w:r>
      <w:r w:rsidRPr="001428D3" w:rsidR="00C92E62">
        <w:t>stating that</w:t>
      </w:r>
      <w:r w:rsidRPr="001428D3" w:rsidR="00171B30">
        <w:t xml:space="preserve"> the Ministry of Finance had </w:t>
      </w:r>
      <w:r w:rsidRPr="001428D3" w:rsidR="00B14301">
        <w:t xml:space="preserve">approved </w:t>
      </w:r>
      <w:r w:rsidRPr="001428D3" w:rsidR="00171B30">
        <w:t>a fund of ALL 362,919 and ALL</w:t>
      </w:r>
      <w:r w:rsidRPr="001428D3" w:rsidR="00984436">
        <w:t> </w:t>
      </w:r>
      <w:r w:rsidRPr="001428D3" w:rsidR="00171B30">
        <w:t xml:space="preserve">100,000 </w:t>
      </w:r>
      <w:r w:rsidRPr="001428D3" w:rsidR="0005724F">
        <w:t>(</w:t>
      </w:r>
      <w:r w:rsidRPr="001428D3" w:rsidR="00171B30">
        <w:t>approximately EUR 3,460 in total</w:t>
      </w:r>
      <w:r w:rsidRPr="001428D3" w:rsidR="0005724F">
        <w:t xml:space="preserve">) </w:t>
      </w:r>
      <w:r w:rsidRPr="001428D3" w:rsidR="00171B30">
        <w:t xml:space="preserve">for the implementation of the </w:t>
      </w:r>
      <w:r w:rsidRPr="001428D3" w:rsidR="000F50CC">
        <w:t>Council of Ministers</w:t>
      </w:r>
      <w:r w:rsidRPr="001428D3" w:rsidR="001428D3">
        <w:t>’</w:t>
      </w:r>
      <w:r w:rsidRPr="001428D3" w:rsidR="00171B30">
        <w:t xml:space="preserve"> decision of 27 November 2013. </w:t>
      </w:r>
      <w:r w:rsidRPr="001428D3" w:rsidR="00B725F5">
        <w:t xml:space="preserve">No payment has been </w:t>
      </w:r>
      <w:r w:rsidRPr="001428D3" w:rsidR="0005724F">
        <w:t xml:space="preserve">made </w:t>
      </w:r>
      <w:r w:rsidRPr="001428D3" w:rsidR="00B725F5">
        <w:t>to the applicants.</w:t>
      </w:r>
    </w:p>
    <w:p w:rsidRPr="001428D3" w:rsidR="00171B30" w:rsidP="001428D3" w:rsidRDefault="002232DE">
      <w:pPr>
        <w:pStyle w:val="ECHRHeading3"/>
      </w:pPr>
      <w:bookmarkStart w:name="_Toc498016738" w:id="22"/>
      <w:r w:rsidRPr="001428D3">
        <w:t>2.  </w:t>
      </w:r>
      <w:r w:rsidRPr="001428D3" w:rsidR="00171B30">
        <w:t>Judicial proceedings</w:t>
      </w:r>
      <w:bookmarkEnd w:id="22"/>
    </w:p>
    <w:p w:rsidRPr="001428D3" w:rsidR="006D4C4A" w:rsidP="001428D3" w:rsidRDefault="002232DE">
      <w:pPr>
        <w:pStyle w:val="ECHRHeading4"/>
      </w:pPr>
      <w:r w:rsidRPr="001428D3">
        <w:t>(a)  </w:t>
      </w:r>
      <w:r w:rsidRPr="001428D3" w:rsidR="006D4C4A">
        <w:t xml:space="preserve">Proceedings </w:t>
      </w:r>
      <w:r w:rsidRPr="001428D3" w:rsidR="00F62159">
        <w:t>in</w:t>
      </w:r>
      <w:r w:rsidRPr="001428D3" w:rsidR="006D4C4A">
        <w:t xml:space="preserve"> the District Court</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35</w:t>
      </w:r>
      <w:r w:rsidRPr="001428D3">
        <w:rPr>
          <w:noProof/>
        </w:rPr>
        <w:fldChar w:fldCharType="end"/>
      </w:r>
      <w:r w:rsidRPr="001428D3" w:rsidR="00A82713">
        <w:t xml:space="preserve">.  On 26 December 2013 </w:t>
      </w:r>
      <w:r w:rsidRPr="001428D3" w:rsidR="00D70F22">
        <w:t xml:space="preserve">twenty-one residents, including all </w:t>
      </w:r>
      <w:r w:rsidRPr="001428D3" w:rsidR="003A463A">
        <w:t xml:space="preserve">the </w:t>
      </w:r>
      <w:r w:rsidRPr="001428D3" w:rsidR="00D70F22">
        <w:t xml:space="preserve">applicants, </w:t>
      </w:r>
      <w:r w:rsidRPr="001428D3" w:rsidR="00A82713">
        <w:t xml:space="preserve">lodged a </w:t>
      </w:r>
      <w:r w:rsidRPr="001428D3" w:rsidR="005A1E10">
        <w:t xml:space="preserve">claim </w:t>
      </w:r>
      <w:r w:rsidRPr="001428D3" w:rsidR="00A82713">
        <w:t xml:space="preserve">with the District Court against the </w:t>
      </w:r>
      <w:r w:rsidRPr="001428D3" w:rsidR="000F50CC">
        <w:t>Council of Ministers</w:t>
      </w:r>
      <w:r w:rsidRPr="001428D3" w:rsidR="001428D3">
        <w:t>’</w:t>
      </w:r>
      <w:r w:rsidRPr="001428D3" w:rsidR="00A82713">
        <w:t xml:space="preserve"> decision of 27 November 2013</w:t>
      </w:r>
      <w:r w:rsidRPr="001428D3" w:rsidR="0005724F">
        <w:t>,</w:t>
      </w:r>
      <w:r w:rsidRPr="001428D3" w:rsidR="00A82713">
        <w:t xml:space="preserve"> </w:t>
      </w:r>
      <w:r w:rsidRPr="001428D3" w:rsidR="00976870">
        <w:t>challenging</w:t>
      </w:r>
      <w:r w:rsidRPr="001428D3" w:rsidR="00A82713">
        <w:t xml:space="preserve"> the value of the compensation awarded and the calculation of the exact </w:t>
      </w:r>
      <w:r w:rsidRPr="001428D3" w:rsidR="00C92E62">
        <w:t xml:space="preserve">surface </w:t>
      </w:r>
      <w:r w:rsidRPr="001428D3" w:rsidR="00A82713">
        <w:t>area of the prope</w:t>
      </w:r>
      <w:r w:rsidRPr="001428D3" w:rsidR="00E14343">
        <w:t xml:space="preserve">rty which </w:t>
      </w:r>
      <w:r w:rsidRPr="001428D3" w:rsidR="009F1FE6">
        <w:t xml:space="preserve">had been </w:t>
      </w:r>
      <w:r w:rsidRPr="001428D3" w:rsidR="00E14343">
        <w:t>expropriated</w:t>
      </w:r>
      <w:r w:rsidRPr="001428D3" w:rsidR="008712F8">
        <w:t xml:space="preserve">, on the basis that </w:t>
      </w:r>
      <w:r w:rsidRPr="001428D3" w:rsidR="009F1FE6">
        <w:t xml:space="preserve">the </w:t>
      </w:r>
      <w:r w:rsidRPr="001428D3" w:rsidR="008712F8">
        <w:t xml:space="preserve">decision </w:t>
      </w:r>
      <w:r w:rsidRPr="001428D3" w:rsidR="00704566">
        <w:t xml:space="preserve">had been </w:t>
      </w:r>
      <w:r w:rsidRPr="001428D3" w:rsidR="008712F8">
        <w:t>issued</w:t>
      </w:r>
      <w:r w:rsidRPr="001428D3" w:rsidR="00704566">
        <w:t xml:space="preserve"> as a result of an expropriation procedure in flagrant </w:t>
      </w:r>
      <w:r w:rsidRPr="001428D3" w:rsidR="009F1FE6">
        <w:t xml:space="preserve">breach </w:t>
      </w:r>
      <w:r w:rsidRPr="001428D3" w:rsidR="00704566">
        <w:t>of the law</w:t>
      </w:r>
      <w:r w:rsidRPr="001428D3" w:rsidR="008712F8">
        <w:t xml:space="preserve">. They also requested that the </w:t>
      </w:r>
      <w:r w:rsidRPr="001428D3" w:rsidR="000F50CC">
        <w:t>Council of Ministers</w:t>
      </w:r>
      <w:r w:rsidRPr="001428D3" w:rsidR="00704566">
        <w:t xml:space="preserve"> be ordered to change the amount of compensation </w:t>
      </w:r>
      <w:r w:rsidRPr="001428D3" w:rsidR="00FC7387">
        <w:t>(</w:t>
      </w:r>
      <w:r w:rsidRPr="001428D3" w:rsidR="00602953">
        <w:t xml:space="preserve">to </w:t>
      </w:r>
      <w:r w:rsidRPr="001428D3" w:rsidR="00704566">
        <w:t>ALL 57,000</w:t>
      </w:r>
      <w:r w:rsidRPr="001428D3" w:rsidR="00FC7387">
        <w:t xml:space="preserve"> per </w:t>
      </w:r>
      <w:r w:rsidRPr="001428D3" w:rsidR="00704566">
        <w:t xml:space="preserve">square </w:t>
      </w:r>
      <w:r w:rsidRPr="001428D3" w:rsidR="00FC7387">
        <w:t>metre)</w:t>
      </w:r>
      <w:r w:rsidRPr="001428D3" w:rsidR="00DD305E">
        <w:t xml:space="preserve"> and</w:t>
      </w:r>
      <w:r w:rsidRPr="001428D3" w:rsidR="00704566">
        <w:t xml:space="preserve"> compensat</w:t>
      </w:r>
      <w:r w:rsidRPr="001428D3" w:rsidR="00FC7387">
        <w:t>e</w:t>
      </w:r>
      <w:r w:rsidRPr="001428D3" w:rsidR="00704566">
        <w:t xml:space="preserve"> each </w:t>
      </w:r>
      <w:r w:rsidRPr="001428D3" w:rsidR="00DD305E">
        <w:t>owner</w:t>
      </w:r>
      <w:r w:rsidRPr="001428D3" w:rsidR="00704566">
        <w:t xml:space="preserve"> </w:t>
      </w:r>
      <w:r w:rsidRPr="001428D3" w:rsidR="00FC7387">
        <w:t>based upon the</w:t>
      </w:r>
      <w:r w:rsidRPr="001428D3" w:rsidR="00704566">
        <w:t xml:space="preserve"> exact </w:t>
      </w:r>
      <w:r w:rsidRPr="001428D3" w:rsidR="00FC7387">
        <w:t xml:space="preserve">size </w:t>
      </w:r>
      <w:r w:rsidRPr="001428D3" w:rsidR="00704566">
        <w:t xml:space="preserve">of </w:t>
      </w:r>
      <w:r w:rsidRPr="001428D3" w:rsidR="007C0CF5">
        <w:t>their</w:t>
      </w:r>
      <w:r w:rsidRPr="001428D3" w:rsidR="000402EE">
        <w:t xml:space="preserve"> </w:t>
      </w:r>
      <w:r w:rsidRPr="001428D3" w:rsidR="00704566">
        <w:t>property</w:t>
      </w:r>
      <w:r w:rsidRPr="001428D3" w:rsidR="00DD305E">
        <w:t>,</w:t>
      </w:r>
      <w:r w:rsidRPr="001428D3" w:rsidR="00704566">
        <w:t xml:space="preserve"> </w:t>
      </w:r>
      <w:r w:rsidRPr="001428D3" w:rsidR="00DD305E">
        <w:t xml:space="preserve">corresponding to an </w:t>
      </w:r>
      <w:r w:rsidRPr="001428D3" w:rsidR="00704566">
        <w:t xml:space="preserve">amount of fair compensation in accordance with the law and calculated by an expert </w:t>
      </w:r>
      <w:r w:rsidRPr="001428D3" w:rsidR="000402EE">
        <w:t xml:space="preserve">appointed </w:t>
      </w:r>
      <w:r w:rsidRPr="001428D3" w:rsidR="00704566">
        <w:t xml:space="preserve">by the court, </w:t>
      </w:r>
      <w:r w:rsidRPr="001428D3" w:rsidR="005A1E10">
        <w:t xml:space="preserve">also </w:t>
      </w:r>
      <w:r w:rsidRPr="001428D3" w:rsidR="00704566">
        <w:t xml:space="preserve">taking into consideration the possibility </w:t>
      </w:r>
      <w:r w:rsidRPr="001428D3" w:rsidR="00DD305E">
        <w:t>of</w:t>
      </w:r>
      <w:r w:rsidRPr="001428D3" w:rsidR="00704566">
        <w:t xml:space="preserve"> </w:t>
      </w:r>
      <w:r w:rsidRPr="001428D3" w:rsidR="00DE6C60">
        <w:t xml:space="preserve">development of the property. </w:t>
      </w:r>
      <w:r w:rsidRPr="001428D3" w:rsidR="00D4099F">
        <w:t>In their</w:t>
      </w:r>
      <w:r w:rsidRPr="001428D3" w:rsidR="005A1E10">
        <w:t xml:space="preserve"> claim</w:t>
      </w:r>
      <w:r w:rsidRPr="001428D3" w:rsidR="00D4099F">
        <w:t xml:space="preserve"> t</w:t>
      </w:r>
      <w:r w:rsidRPr="001428D3" w:rsidR="00704566">
        <w:t>he</w:t>
      </w:r>
      <w:r w:rsidRPr="001428D3" w:rsidR="00094BC7">
        <w:t xml:space="preserve"> applicants </w:t>
      </w:r>
      <w:r w:rsidRPr="001428D3" w:rsidR="009430B0">
        <w:t>maintained</w:t>
      </w:r>
      <w:r w:rsidRPr="001428D3" w:rsidR="00704566">
        <w:t xml:space="preserve"> </w:t>
      </w:r>
      <w:r w:rsidRPr="001428D3" w:rsidR="00A82713">
        <w:t xml:space="preserve">that the expropriation had been unlawful and that a </w:t>
      </w:r>
      <w:r w:rsidRPr="001428D3" w:rsidR="00C406D4">
        <w:t>“</w:t>
      </w:r>
      <w:r w:rsidRPr="001428D3" w:rsidR="00A82713">
        <w:rPr>
          <w:i/>
        </w:rPr>
        <w:t>de facto</w:t>
      </w:r>
      <w:r w:rsidRPr="001428D3" w:rsidR="00A82713">
        <w:t xml:space="preserve"> expropriation</w:t>
      </w:r>
      <w:r w:rsidRPr="001428D3" w:rsidR="00C406D4">
        <w:t>”</w:t>
      </w:r>
      <w:r w:rsidRPr="001428D3" w:rsidR="00A82713">
        <w:t xml:space="preserve"> </w:t>
      </w:r>
      <w:r w:rsidRPr="001428D3" w:rsidR="000B5645">
        <w:rPr>
          <w:i/>
        </w:rPr>
        <w:t>(shpronësim de facto)</w:t>
      </w:r>
      <w:r w:rsidRPr="001428D3" w:rsidR="000B5645">
        <w:t xml:space="preserve"> </w:t>
      </w:r>
      <w:r w:rsidRPr="001428D3" w:rsidR="00A82713">
        <w:t xml:space="preserve">had taken place. </w:t>
      </w:r>
      <w:r w:rsidRPr="001428D3" w:rsidR="000A5570">
        <w:t xml:space="preserve">They </w:t>
      </w:r>
      <w:r w:rsidRPr="001428D3" w:rsidR="00E14343">
        <w:t>also</w:t>
      </w:r>
      <w:r w:rsidRPr="001428D3" w:rsidR="000A5570">
        <w:t xml:space="preserve"> maintained that the actions of 3 November 2013 of the NUCI and MUCI had been abusive and had been taken without any administrative </w:t>
      </w:r>
      <w:r w:rsidRPr="001428D3" w:rsidR="005700BC">
        <w:t xml:space="preserve">decision </w:t>
      </w:r>
      <w:r w:rsidRPr="001428D3" w:rsidR="000A5570">
        <w:t xml:space="preserve">to justify their illegal actions with the aim </w:t>
      </w:r>
      <w:r w:rsidRPr="001428D3" w:rsidR="00604E20">
        <w:t>of demolishing</w:t>
      </w:r>
      <w:r w:rsidRPr="001428D3" w:rsidR="000A5570">
        <w:t xml:space="preserve"> a </w:t>
      </w:r>
      <w:r w:rsidRPr="001428D3" w:rsidR="00533DC9">
        <w:t>l</w:t>
      </w:r>
      <w:r w:rsidRPr="001428D3" w:rsidR="00604E20">
        <w:t>awful</w:t>
      </w:r>
      <w:r w:rsidRPr="001428D3" w:rsidR="00533DC9">
        <w:t xml:space="preserve"> </w:t>
      </w:r>
      <w:r w:rsidRPr="001428D3" w:rsidR="000A5570">
        <w:t>property</w:t>
      </w:r>
      <w:r w:rsidRPr="001428D3" w:rsidR="00533DC9">
        <w:t xml:space="preserve">. </w:t>
      </w:r>
      <w:r w:rsidRPr="001428D3" w:rsidR="00E14343">
        <w:t>They further submitted that</w:t>
      </w:r>
      <w:r w:rsidRPr="001428D3" w:rsidR="005A1E10">
        <w:t>,</w:t>
      </w:r>
      <w:r w:rsidRPr="001428D3" w:rsidR="00E14343">
        <w:t xml:space="preserve"> even though the authorities had issued an interim order and the Ombudsman had also acknowledged the illegality of the authorities</w:t>
      </w:r>
      <w:r w:rsidRPr="001428D3" w:rsidR="001428D3">
        <w:t>’</w:t>
      </w:r>
      <w:r w:rsidRPr="001428D3" w:rsidR="00E14343">
        <w:t xml:space="preserve"> actions and had recommended that similar actions in the future should not be</w:t>
      </w:r>
      <w:r w:rsidRPr="001428D3" w:rsidR="005A1E10">
        <w:t xml:space="preserve"> </w:t>
      </w:r>
      <w:r w:rsidRPr="001428D3" w:rsidR="00E14343">
        <w:t xml:space="preserve">repeated without </w:t>
      </w:r>
      <w:r w:rsidRPr="001428D3" w:rsidR="007C0CF5">
        <w:t>a</w:t>
      </w:r>
      <w:r w:rsidRPr="001428D3" w:rsidR="00E14343">
        <w:t xml:space="preserve">waiting </w:t>
      </w:r>
      <w:r w:rsidRPr="001428D3" w:rsidR="005A1E10">
        <w:t xml:space="preserve">a </w:t>
      </w:r>
      <w:r w:rsidRPr="001428D3" w:rsidR="00E14343">
        <w:t xml:space="preserve">decision of the District Court, </w:t>
      </w:r>
      <w:r w:rsidRPr="001428D3" w:rsidR="006A4836">
        <w:t xml:space="preserve">they </w:t>
      </w:r>
      <w:r w:rsidRPr="001428D3" w:rsidR="005A1E10">
        <w:t xml:space="preserve">had nevertheless </w:t>
      </w:r>
      <w:r w:rsidRPr="001428D3" w:rsidR="00E14343">
        <w:t xml:space="preserve">adopted the </w:t>
      </w:r>
      <w:r w:rsidRPr="001428D3" w:rsidR="000F50CC">
        <w:t>Council of Ministers</w:t>
      </w:r>
      <w:r w:rsidRPr="001428D3" w:rsidR="001428D3">
        <w:t>’</w:t>
      </w:r>
      <w:r w:rsidRPr="001428D3" w:rsidR="00E14343">
        <w:t xml:space="preserve"> decision of 27</w:t>
      </w:r>
      <w:r w:rsidRPr="001428D3" w:rsidR="002342E3">
        <w:t> </w:t>
      </w:r>
      <w:r w:rsidRPr="001428D3" w:rsidR="00E14343">
        <w:t>November</w:t>
      </w:r>
      <w:r w:rsidRPr="001428D3" w:rsidR="00D24563">
        <w:t> </w:t>
      </w:r>
      <w:r w:rsidRPr="001428D3" w:rsidR="00E14343">
        <w:t>2013.</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36</w:t>
      </w:r>
      <w:r w:rsidRPr="001428D3">
        <w:rPr>
          <w:noProof/>
        </w:rPr>
        <w:fldChar w:fldCharType="end"/>
      </w:r>
      <w:r w:rsidRPr="001428D3" w:rsidR="00A82713">
        <w:t xml:space="preserve">.  On 6 March 2014 the District Court </w:t>
      </w:r>
      <w:r w:rsidRPr="001428D3" w:rsidR="005A1E10">
        <w:t xml:space="preserve">allowed </w:t>
      </w:r>
      <w:r w:rsidRPr="001428D3" w:rsidR="00147E23">
        <w:t>the applicants</w:t>
      </w:r>
      <w:r w:rsidRPr="001428D3" w:rsidR="001428D3">
        <w:t>’</w:t>
      </w:r>
      <w:r w:rsidRPr="001428D3" w:rsidR="00147E23">
        <w:t xml:space="preserve"> claim. It reasoned </w:t>
      </w:r>
      <w:r w:rsidRPr="001428D3" w:rsidR="00A82713">
        <w:t xml:space="preserve">that the expropriation had been unlawful in that the </w:t>
      </w:r>
      <w:r w:rsidRPr="001428D3" w:rsidR="000F50CC">
        <w:t>Council of Ministers</w:t>
      </w:r>
      <w:r w:rsidRPr="001428D3" w:rsidR="001428D3">
        <w:t>’</w:t>
      </w:r>
      <w:r w:rsidRPr="001428D3" w:rsidR="00A82713">
        <w:t xml:space="preserve"> decision of 27 November 2013 had been adopted </w:t>
      </w:r>
      <w:r w:rsidRPr="001428D3" w:rsidR="006C7A10">
        <w:t xml:space="preserve">in </w:t>
      </w:r>
      <w:r w:rsidRPr="001428D3" w:rsidR="00A82713">
        <w:t>gross procedural violations and breach</w:t>
      </w:r>
      <w:r w:rsidRPr="001428D3" w:rsidR="006C7A10">
        <w:t>es</w:t>
      </w:r>
      <w:r w:rsidRPr="001428D3" w:rsidR="00A82713">
        <w:t xml:space="preserve"> of the </w:t>
      </w:r>
      <w:r w:rsidRPr="001428D3" w:rsidR="00E62DCC">
        <w:t>E</w:t>
      </w:r>
      <w:r w:rsidRPr="001428D3" w:rsidR="00A82713">
        <w:t>xpropriation Act</w:t>
      </w:r>
      <w:r w:rsidRPr="001428D3" w:rsidR="00310342">
        <w:t xml:space="preserve"> (see “Relevant domestic law and practice</w:t>
      </w:r>
      <w:r w:rsidRPr="001428D3" w:rsidR="00E62DCC">
        <w:t>”</w:t>
      </w:r>
      <w:r w:rsidRPr="001428D3" w:rsidR="00310342">
        <w:t xml:space="preserve"> below</w:t>
      </w:r>
      <w:r w:rsidRPr="001428D3" w:rsidR="00E62DCC">
        <w:t>)</w:t>
      </w:r>
      <w:r w:rsidRPr="001428D3" w:rsidR="00A82713">
        <w:t xml:space="preserve"> and various by</w:t>
      </w:r>
      <w:r w:rsidRPr="001428D3" w:rsidR="005A1E10">
        <w:t>-</w:t>
      </w:r>
      <w:r w:rsidRPr="001428D3" w:rsidR="00A82713">
        <w:t>laws</w:t>
      </w:r>
      <w:r w:rsidRPr="001428D3" w:rsidR="00371946">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37</w:t>
      </w:r>
      <w:r w:rsidRPr="001428D3">
        <w:rPr>
          <w:noProof/>
        </w:rPr>
        <w:fldChar w:fldCharType="end"/>
      </w:r>
      <w:r w:rsidRPr="001428D3" w:rsidR="00171B30">
        <w:t>.  </w:t>
      </w:r>
      <w:r w:rsidRPr="001428D3" w:rsidR="00860E24">
        <w:t>As regards the facts of the case</w:t>
      </w:r>
      <w:r w:rsidRPr="001428D3" w:rsidR="00147E23">
        <w:t>,</w:t>
      </w:r>
      <w:r w:rsidRPr="001428D3" w:rsidR="00860E24">
        <w:t xml:space="preserve"> the District Court mentioned that the actions taken on 3 November 2013 consisting of the cordoning off</w:t>
      </w:r>
      <w:r w:rsidRPr="001428D3" w:rsidR="00FC7387">
        <w:t xml:space="preserve"> of</w:t>
      </w:r>
      <w:r w:rsidRPr="001428D3" w:rsidR="00860E24">
        <w:t xml:space="preserve"> the building with </w:t>
      </w:r>
      <w:r w:rsidRPr="001428D3" w:rsidR="005A1E10">
        <w:t xml:space="preserve">a </w:t>
      </w:r>
      <w:r w:rsidRPr="001428D3" w:rsidR="00860E24">
        <w:t>view</w:t>
      </w:r>
      <w:r w:rsidRPr="001428D3" w:rsidR="005A1E10">
        <w:t xml:space="preserve"> to</w:t>
      </w:r>
      <w:r w:rsidRPr="001428D3" w:rsidR="00860E24">
        <w:t xml:space="preserve"> its demolition </w:t>
      </w:r>
      <w:r w:rsidRPr="001428D3" w:rsidR="00F2460D">
        <w:t>had been arbitrary and taken in breach of domestic law, as it had held in its decision of 28 January 2014</w:t>
      </w:r>
      <w:r w:rsidRPr="001428D3" w:rsidR="00A71C38">
        <w:t xml:space="preserve"> (see </w:t>
      </w:r>
      <w:r w:rsidRPr="001428D3" w:rsidR="00753AD3">
        <w:t>paragraph 2</w:t>
      </w:r>
      <w:r w:rsidRPr="001428D3" w:rsidR="00AB71AD">
        <w:t>6</w:t>
      </w:r>
      <w:r w:rsidRPr="001428D3" w:rsidR="00753AD3">
        <w:t xml:space="preserve"> above)</w:t>
      </w:r>
      <w:r w:rsidRPr="001428D3" w:rsidR="00F2460D">
        <w:t xml:space="preserve">. </w:t>
      </w:r>
      <w:r w:rsidRPr="001428D3" w:rsidR="00860E24">
        <w:t xml:space="preserve">It also reiterated the fact that the Ombudsman had recommended </w:t>
      </w:r>
      <w:r w:rsidRPr="001428D3" w:rsidR="007C0CF5">
        <w:t>that</w:t>
      </w:r>
      <w:r w:rsidRPr="001428D3" w:rsidR="00860E24">
        <w:t xml:space="preserve"> necessary measures</w:t>
      </w:r>
      <w:r w:rsidRPr="001428D3" w:rsidR="007C0CF5">
        <w:t xml:space="preserve"> be taken</w:t>
      </w:r>
      <w:r w:rsidRPr="001428D3" w:rsidR="00860E24">
        <w:t xml:space="preserve"> so that similar arbitrary actions would not be repeated in the future. It </w:t>
      </w:r>
      <w:r w:rsidRPr="001428D3" w:rsidR="00413AAB">
        <w:t xml:space="preserve">nevertheless </w:t>
      </w:r>
      <w:r w:rsidRPr="001428D3" w:rsidR="00860E24">
        <w:t xml:space="preserve">noted that the authorities </w:t>
      </w:r>
      <w:r w:rsidRPr="001428D3" w:rsidR="00693DF7">
        <w:t xml:space="preserve">had </w:t>
      </w:r>
      <w:r w:rsidRPr="001428D3" w:rsidR="00860E24">
        <w:t xml:space="preserve">adopted the </w:t>
      </w:r>
      <w:r w:rsidRPr="001428D3" w:rsidR="000F50CC">
        <w:t>Council of Ministers</w:t>
      </w:r>
      <w:r w:rsidRPr="001428D3" w:rsidR="001428D3">
        <w:t>’</w:t>
      </w:r>
      <w:r w:rsidRPr="001428D3" w:rsidR="00A71C38">
        <w:t xml:space="preserve"> decision of 27 November </w:t>
      </w:r>
      <w:r w:rsidRPr="001428D3" w:rsidR="00860E24">
        <w:t xml:space="preserve">2013 without </w:t>
      </w:r>
      <w:r w:rsidRPr="001428D3" w:rsidR="00693DF7">
        <w:t>a</w:t>
      </w:r>
      <w:r w:rsidRPr="001428D3" w:rsidR="00860E24">
        <w:t>waiting the decision on the merits</w:t>
      </w:r>
      <w:r w:rsidRPr="001428D3" w:rsidR="00484692">
        <w:t xml:space="preserve"> of the case</w:t>
      </w:r>
      <w:r w:rsidRPr="001428D3" w:rsidR="00860E24">
        <w:t>.</w:t>
      </w:r>
    </w:p>
    <w:p w:rsidRPr="001428D3" w:rsidR="005521CC" w:rsidP="001428D3" w:rsidRDefault="005521CC">
      <w:pPr>
        <w:pStyle w:val="ECHRPara"/>
      </w:pPr>
      <w:r w:rsidRPr="001428D3">
        <w:fldChar w:fldCharType="begin"/>
      </w:r>
      <w:r w:rsidRPr="001428D3">
        <w:instrText xml:space="preserve"> SEQ level0 \*arabic </w:instrText>
      </w:r>
      <w:r w:rsidRPr="001428D3">
        <w:fldChar w:fldCharType="separate"/>
      </w:r>
      <w:r w:rsidRPr="001428D3" w:rsidR="001428D3">
        <w:rPr>
          <w:noProof/>
        </w:rPr>
        <w:t>38</w:t>
      </w:r>
      <w:r w:rsidRPr="001428D3">
        <w:fldChar w:fldCharType="end"/>
      </w:r>
      <w:r w:rsidRPr="001428D3" w:rsidR="00171B30">
        <w:t>.  </w:t>
      </w:r>
      <w:r w:rsidRPr="001428D3" w:rsidR="00860E24">
        <w:t>As regards the legal arguments</w:t>
      </w:r>
      <w:r w:rsidRPr="001428D3" w:rsidR="00AA5FAE">
        <w:t xml:space="preserve"> </w:t>
      </w:r>
      <w:r w:rsidRPr="001428D3" w:rsidR="00413AAB">
        <w:t xml:space="preserve">as to </w:t>
      </w:r>
      <w:r w:rsidRPr="001428D3" w:rsidR="00AA5FAE">
        <w:t>whether the interference had been lawful</w:t>
      </w:r>
      <w:r w:rsidRPr="001428D3" w:rsidR="00860E24">
        <w:t xml:space="preserve">, the District Court reasoned that </w:t>
      </w:r>
      <w:r w:rsidRPr="001428D3" w:rsidR="000C4F0D">
        <w:t xml:space="preserve">the </w:t>
      </w:r>
      <w:r w:rsidRPr="001428D3" w:rsidR="00570DDC">
        <w:t xml:space="preserve">authorities </w:t>
      </w:r>
      <w:r w:rsidRPr="001428D3" w:rsidR="000C4F0D">
        <w:t xml:space="preserve">had not </w:t>
      </w:r>
      <w:r w:rsidRPr="001428D3" w:rsidR="00413AAB">
        <w:t xml:space="preserve">complied with </w:t>
      </w:r>
      <w:r w:rsidRPr="001428D3" w:rsidR="000C4F0D">
        <w:t xml:space="preserve">the </w:t>
      </w:r>
      <w:r w:rsidRPr="001428D3" w:rsidR="000112BC">
        <w:t xml:space="preserve">whole expropriation </w:t>
      </w:r>
      <w:r w:rsidRPr="001428D3" w:rsidR="00413AAB">
        <w:t xml:space="preserve">procedure </w:t>
      </w:r>
      <w:r w:rsidRPr="001428D3" w:rsidR="000C4F0D">
        <w:t xml:space="preserve">as </w:t>
      </w:r>
      <w:r w:rsidRPr="001428D3" w:rsidR="008E2EAA">
        <w:t>set out in</w:t>
      </w:r>
      <w:r w:rsidRPr="001428D3" w:rsidR="000C4F0D">
        <w:t xml:space="preserve"> </w:t>
      </w:r>
      <w:r w:rsidRPr="001428D3" w:rsidR="00413AAB">
        <w:t xml:space="preserve">sections </w:t>
      </w:r>
      <w:r w:rsidRPr="001428D3" w:rsidR="000C4F0D">
        <w:t>9</w:t>
      </w:r>
      <w:r w:rsidRPr="001428D3" w:rsidR="00413AAB">
        <w:t xml:space="preserve"> to </w:t>
      </w:r>
      <w:r w:rsidRPr="001428D3" w:rsidR="000C4F0D">
        <w:t>1</w:t>
      </w:r>
      <w:r w:rsidRPr="001428D3" w:rsidR="00371946">
        <w:t>6</w:t>
      </w:r>
      <w:r w:rsidRPr="001428D3" w:rsidR="00693DF7">
        <w:t xml:space="preserve"> and</w:t>
      </w:r>
      <w:r w:rsidRPr="001428D3" w:rsidR="00371946">
        <w:t xml:space="preserve"> 20</w:t>
      </w:r>
      <w:r w:rsidRPr="001428D3" w:rsidR="00413AAB">
        <w:t xml:space="preserve"> to </w:t>
      </w:r>
      <w:r w:rsidRPr="001428D3" w:rsidR="00371946">
        <w:t>21</w:t>
      </w:r>
      <w:r w:rsidRPr="001428D3" w:rsidR="000C4F0D">
        <w:t xml:space="preserve"> of the Expropriation Act</w:t>
      </w:r>
      <w:r w:rsidRPr="001428D3" w:rsidR="00D63AC3">
        <w:t>.</w:t>
      </w:r>
      <w:r w:rsidRPr="001428D3" w:rsidR="000C4F0D">
        <w:t xml:space="preserve"> </w:t>
      </w:r>
      <w:r w:rsidRPr="001428D3" w:rsidR="00A344E4">
        <w:t xml:space="preserve">The competent </w:t>
      </w:r>
      <w:r w:rsidRPr="001428D3" w:rsidR="000268F7">
        <w:t>m</w:t>
      </w:r>
      <w:r w:rsidRPr="001428D3" w:rsidR="00A344E4">
        <w:t xml:space="preserve">inistry </w:t>
      </w:r>
      <w:r w:rsidRPr="001428D3" w:rsidR="00E313AA">
        <w:t>had not informed the owners of the property</w:t>
      </w:r>
      <w:r w:rsidRPr="001428D3" w:rsidR="000C4F0D">
        <w:t xml:space="preserve"> </w:t>
      </w:r>
      <w:r w:rsidRPr="001428D3" w:rsidR="008C1852">
        <w:t xml:space="preserve">or the construction company </w:t>
      </w:r>
      <w:r w:rsidRPr="001428D3" w:rsidR="00533814">
        <w:t>of</w:t>
      </w:r>
      <w:r w:rsidRPr="001428D3" w:rsidR="000C4F0D">
        <w:t xml:space="preserve"> the expropriation, therefore the</w:t>
      </w:r>
      <w:r w:rsidRPr="001428D3" w:rsidR="00413AAB">
        <w:t>y</w:t>
      </w:r>
      <w:r w:rsidRPr="001428D3" w:rsidR="000C4F0D">
        <w:t xml:space="preserve"> </w:t>
      </w:r>
      <w:r w:rsidRPr="001428D3" w:rsidR="00533814">
        <w:t>and</w:t>
      </w:r>
      <w:r w:rsidRPr="001428D3" w:rsidR="000C4F0D">
        <w:t xml:space="preserve"> any other third part</w:t>
      </w:r>
      <w:r w:rsidRPr="001428D3" w:rsidR="00413AAB">
        <w:t>ies</w:t>
      </w:r>
      <w:r w:rsidRPr="001428D3" w:rsidR="000C4F0D">
        <w:t xml:space="preserve"> </w:t>
      </w:r>
      <w:r w:rsidRPr="001428D3" w:rsidR="00413AAB">
        <w:t xml:space="preserve">had been </w:t>
      </w:r>
      <w:r w:rsidRPr="001428D3" w:rsidR="000C4F0D">
        <w:t xml:space="preserve">deprived of the opportunity to </w:t>
      </w:r>
      <w:r w:rsidRPr="001428D3" w:rsidR="00413AAB">
        <w:t>challenge</w:t>
      </w:r>
      <w:r w:rsidRPr="001428D3" w:rsidR="00570DDC">
        <w:t xml:space="preserve"> </w:t>
      </w:r>
      <w:r w:rsidRPr="001428D3" w:rsidR="007C0CF5">
        <w:t>it</w:t>
      </w:r>
      <w:r w:rsidRPr="001428D3" w:rsidR="000C4F0D">
        <w:t xml:space="preserve">. </w:t>
      </w:r>
      <w:r w:rsidRPr="001428D3" w:rsidR="00C406D4">
        <w:t>According to their claims submitted before the district court, t</w:t>
      </w:r>
      <w:r w:rsidRPr="001428D3" w:rsidR="00E84243">
        <w:t>he applicants</w:t>
      </w:r>
      <w:r w:rsidRPr="001428D3" w:rsidR="00C406D4">
        <w:t xml:space="preserve"> </w:t>
      </w:r>
      <w:r w:rsidRPr="001428D3" w:rsidR="00183C29">
        <w:t>had only learned of</w:t>
      </w:r>
      <w:r w:rsidRPr="001428D3" w:rsidR="00E84243">
        <w:t xml:space="preserve"> the </w:t>
      </w:r>
      <w:r w:rsidRPr="001428D3" w:rsidR="009941A1">
        <w:t xml:space="preserve">expropriation </w:t>
      </w:r>
      <w:r w:rsidRPr="001428D3" w:rsidR="00C406D4">
        <w:t xml:space="preserve">decision </w:t>
      </w:r>
      <w:r w:rsidRPr="001428D3" w:rsidR="00693DF7">
        <w:t>through the</w:t>
      </w:r>
      <w:r w:rsidRPr="001428D3" w:rsidR="009941A1">
        <w:t xml:space="preserve"> media</w:t>
      </w:r>
      <w:r w:rsidRPr="001428D3" w:rsidR="00183C29">
        <w:t>,</w:t>
      </w:r>
      <w:r w:rsidRPr="001428D3" w:rsidR="009941A1">
        <w:t xml:space="preserve"> </w:t>
      </w:r>
      <w:r w:rsidRPr="001428D3" w:rsidR="00602953">
        <w:t xml:space="preserve">while </w:t>
      </w:r>
      <w:r w:rsidRPr="001428D3" w:rsidR="00C406D4">
        <w:t>the building was</w:t>
      </w:r>
      <w:r w:rsidRPr="001428D3" w:rsidR="00602953">
        <w:t xml:space="preserve"> being </w:t>
      </w:r>
      <w:r w:rsidRPr="001428D3" w:rsidR="009941A1">
        <w:t>de</w:t>
      </w:r>
      <w:r w:rsidRPr="001428D3" w:rsidR="00A81B9A">
        <w:t>molished</w:t>
      </w:r>
      <w:r w:rsidRPr="001428D3" w:rsidR="009941A1">
        <w:t xml:space="preserve">. </w:t>
      </w:r>
      <w:r w:rsidRPr="001428D3" w:rsidR="00222B04">
        <w:t>Even after</w:t>
      </w:r>
      <w:r w:rsidRPr="001428D3" w:rsidR="007C0CF5">
        <w:t>wards</w:t>
      </w:r>
      <w:r w:rsidRPr="001428D3" w:rsidR="00222B04">
        <w:t xml:space="preserve">, the applicants </w:t>
      </w:r>
      <w:r w:rsidRPr="001428D3" w:rsidR="00183C29">
        <w:t xml:space="preserve">had </w:t>
      </w:r>
      <w:r w:rsidRPr="001428D3" w:rsidR="00222B04">
        <w:t xml:space="preserve">never </w:t>
      </w:r>
      <w:r w:rsidRPr="001428D3" w:rsidR="00183C29">
        <w:t xml:space="preserve">been </w:t>
      </w:r>
      <w:r w:rsidRPr="001428D3" w:rsidR="00222B04">
        <w:t>informed</w:t>
      </w:r>
      <w:r w:rsidRPr="001428D3" w:rsidR="00183C29">
        <w:t xml:space="preserve">, </w:t>
      </w:r>
      <w:r w:rsidRPr="001428D3" w:rsidR="007D21BD">
        <w:t>despite it being a legal requirement</w:t>
      </w:r>
      <w:r w:rsidRPr="001428D3" w:rsidR="00183C29">
        <w:t>. This would have</w:t>
      </w:r>
      <w:r w:rsidRPr="001428D3" w:rsidR="00222B04">
        <w:t xml:space="preserve"> </w:t>
      </w:r>
      <w:r w:rsidRPr="001428D3" w:rsidR="00A81B9A">
        <w:t>give</w:t>
      </w:r>
      <w:r w:rsidRPr="001428D3" w:rsidR="00183C29">
        <w:t>n</w:t>
      </w:r>
      <w:r w:rsidRPr="001428D3" w:rsidR="00222B04">
        <w:t xml:space="preserve"> them </w:t>
      </w:r>
      <w:r w:rsidRPr="001428D3" w:rsidR="00A81B9A">
        <w:t xml:space="preserve">reasonable </w:t>
      </w:r>
      <w:r w:rsidRPr="001428D3" w:rsidR="00183C29">
        <w:t xml:space="preserve">time </w:t>
      </w:r>
      <w:r w:rsidRPr="001428D3" w:rsidR="00222B04">
        <w:t xml:space="preserve">to leave the building and </w:t>
      </w:r>
      <w:r w:rsidRPr="001428D3" w:rsidR="00183C29">
        <w:t xml:space="preserve">take </w:t>
      </w:r>
      <w:r w:rsidRPr="001428D3" w:rsidR="00222B04">
        <w:t xml:space="preserve">their belongings </w:t>
      </w:r>
      <w:r w:rsidRPr="001428D3" w:rsidR="00533814">
        <w:t>to</w:t>
      </w:r>
      <w:r w:rsidRPr="001428D3" w:rsidR="00222B04">
        <w:t xml:space="preserve"> other places. </w:t>
      </w:r>
      <w:r w:rsidRPr="001428D3" w:rsidR="00A81B9A">
        <w:t xml:space="preserve">The authorities </w:t>
      </w:r>
      <w:r w:rsidRPr="001428D3" w:rsidR="00693DF7">
        <w:t xml:space="preserve">had </w:t>
      </w:r>
      <w:r w:rsidRPr="001428D3" w:rsidR="00A81B9A">
        <w:t xml:space="preserve">continued with the </w:t>
      </w:r>
      <w:r w:rsidRPr="001428D3" w:rsidR="00183C29">
        <w:t>demolition</w:t>
      </w:r>
      <w:r w:rsidRPr="001428D3" w:rsidR="00A81B9A">
        <w:t xml:space="preserve"> of the property without </w:t>
      </w:r>
      <w:r w:rsidRPr="001428D3" w:rsidR="0082690A">
        <w:t>having all the information</w:t>
      </w:r>
      <w:r w:rsidRPr="001428D3" w:rsidR="007C0CF5">
        <w:t xml:space="preserve"> as to</w:t>
      </w:r>
      <w:r w:rsidRPr="001428D3" w:rsidR="0082690A">
        <w:t xml:space="preserve"> who the residents were</w:t>
      </w:r>
      <w:r w:rsidRPr="001428D3" w:rsidR="00A81B9A">
        <w:t xml:space="preserve">. </w:t>
      </w:r>
      <w:r w:rsidRPr="001428D3" w:rsidR="00222B04">
        <w:t xml:space="preserve">From the documents in the case file it </w:t>
      </w:r>
      <w:r w:rsidRPr="001428D3" w:rsidR="00415124">
        <w:t xml:space="preserve">was evident </w:t>
      </w:r>
      <w:r w:rsidRPr="001428D3" w:rsidR="00222B04">
        <w:t xml:space="preserve">that the relevant </w:t>
      </w:r>
      <w:r w:rsidRPr="001428D3" w:rsidR="0025591D">
        <w:t>m</w:t>
      </w:r>
      <w:r w:rsidRPr="001428D3" w:rsidR="00222B04">
        <w:t xml:space="preserve">inistry had </w:t>
      </w:r>
      <w:r w:rsidRPr="001428D3" w:rsidR="00602953">
        <w:t xml:space="preserve">only </w:t>
      </w:r>
      <w:r w:rsidRPr="001428D3" w:rsidR="00222B04">
        <w:t xml:space="preserve">asked </w:t>
      </w:r>
      <w:r w:rsidRPr="001428D3" w:rsidR="008C1852">
        <w:t xml:space="preserve">the Vlora Municipality </w:t>
      </w:r>
      <w:r w:rsidRPr="001428D3" w:rsidR="00693DF7">
        <w:t xml:space="preserve">for information </w:t>
      </w:r>
      <w:r w:rsidRPr="001428D3" w:rsidR="00415124">
        <w:t xml:space="preserve">about </w:t>
      </w:r>
      <w:r w:rsidRPr="001428D3" w:rsidR="008C1852">
        <w:t xml:space="preserve">the </w:t>
      </w:r>
      <w:r w:rsidRPr="001428D3" w:rsidR="00415124">
        <w:t xml:space="preserve">residents </w:t>
      </w:r>
      <w:r w:rsidRPr="001428D3" w:rsidR="008C1852">
        <w:t xml:space="preserve">of the Jon Residence </w:t>
      </w:r>
      <w:r w:rsidRPr="001428D3" w:rsidR="00183C29">
        <w:t>a</w:t>
      </w:r>
      <w:r w:rsidRPr="001428D3" w:rsidR="00222B04">
        <w:t xml:space="preserve"> month after the building </w:t>
      </w:r>
      <w:r w:rsidRPr="001428D3" w:rsidR="00183C29">
        <w:t xml:space="preserve">had been </w:t>
      </w:r>
      <w:r w:rsidRPr="001428D3" w:rsidR="00222B04">
        <w:t xml:space="preserve">demolished and more than </w:t>
      </w:r>
      <w:r w:rsidRPr="001428D3" w:rsidR="00183C29">
        <w:t>forty-five </w:t>
      </w:r>
      <w:r w:rsidRPr="001428D3" w:rsidR="00222B04">
        <w:t xml:space="preserve">days after the decision on the expropriation </w:t>
      </w:r>
      <w:r w:rsidRPr="001428D3" w:rsidR="00693DF7">
        <w:t xml:space="preserve">had been </w:t>
      </w:r>
      <w:r w:rsidRPr="001428D3" w:rsidR="00222B04">
        <w:t>issued</w:t>
      </w:r>
      <w:r w:rsidRPr="001428D3" w:rsidR="00C56F99">
        <w:t xml:space="preserve">. </w:t>
      </w:r>
      <w:r w:rsidRPr="001428D3" w:rsidR="00A82713">
        <w:t xml:space="preserve">It </w:t>
      </w:r>
      <w:r w:rsidRPr="001428D3" w:rsidR="00C56F99">
        <w:t xml:space="preserve">further held </w:t>
      </w:r>
      <w:r w:rsidRPr="001428D3" w:rsidR="00A82713">
        <w:t>that</w:t>
      </w:r>
      <w:r w:rsidRPr="001428D3" w:rsidR="00371946">
        <w:t xml:space="preserve"> t</w:t>
      </w:r>
      <w:r w:rsidRPr="001428D3" w:rsidR="00A82713">
        <w:t xml:space="preserve">he expropriation had been disguised as a formal expropriation taken in compliance with the legal provisions in force, but that in reality the </w:t>
      </w:r>
      <w:r w:rsidRPr="001428D3" w:rsidR="00BA4591">
        <w:t xml:space="preserve">seriousness </w:t>
      </w:r>
      <w:r w:rsidRPr="001428D3" w:rsidR="00A82713">
        <w:t>of</w:t>
      </w:r>
      <w:r w:rsidRPr="001428D3" w:rsidR="00183C29">
        <w:t xml:space="preserve"> the</w:t>
      </w:r>
      <w:r w:rsidRPr="001428D3" w:rsidR="00A82713">
        <w:t xml:space="preserve"> violations ha</w:t>
      </w:r>
      <w:r w:rsidRPr="001428D3" w:rsidR="00693DF7">
        <w:t>d</w:t>
      </w:r>
      <w:r w:rsidRPr="001428D3" w:rsidR="00A82713">
        <w:t xml:space="preserve"> been such as to make it a </w:t>
      </w:r>
      <w:r w:rsidRPr="001428D3" w:rsidR="00C406D4">
        <w:t>“</w:t>
      </w:r>
      <w:r w:rsidRPr="001428D3" w:rsidR="00A82713">
        <w:rPr>
          <w:i/>
        </w:rPr>
        <w:t>de facto</w:t>
      </w:r>
      <w:r w:rsidRPr="001428D3" w:rsidR="00A82713">
        <w:t xml:space="preserve"> expropriation</w:t>
      </w:r>
      <w:r w:rsidRPr="001428D3" w:rsidR="00C406D4">
        <w:t xml:space="preserve">” </w:t>
      </w:r>
      <w:r w:rsidRPr="001428D3" w:rsidR="00C406D4">
        <w:rPr>
          <w:i/>
        </w:rPr>
        <w:t>(shpronësim de facto)</w:t>
      </w:r>
      <w:r w:rsidRPr="001428D3" w:rsidR="000B5645">
        <w:t>.</w:t>
      </w:r>
      <w:r w:rsidRPr="001428D3" w:rsidR="004B1476">
        <w:t xml:space="preserve"> </w:t>
      </w:r>
      <w:r w:rsidRPr="001428D3" w:rsidR="00A82713">
        <w:t xml:space="preserve">The </w:t>
      </w:r>
      <w:r w:rsidRPr="001428D3" w:rsidR="000F50CC">
        <w:t>Council of Ministers</w:t>
      </w:r>
      <w:r w:rsidRPr="001428D3" w:rsidR="001428D3">
        <w:t>’</w:t>
      </w:r>
      <w:r w:rsidRPr="001428D3" w:rsidR="00183C29">
        <w:t xml:space="preserve"> </w:t>
      </w:r>
      <w:r w:rsidRPr="001428D3" w:rsidR="00A82713">
        <w:t xml:space="preserve">decision </w:t>
      </w:r>
      <w:r w:rsidRPr="001428D3" w:rsidR="00BA4591">
        <w:t>to</w:t>
      </w:r>
      <w:r w:rsidRPr="001428D3" w:rsidR="00A82713">
        <w:t xml:space="preserve"> </w:t>
      </w:r>
      <w:r w:rsidRPr="001428D3" w:rsidR="00BA4591">
        <w:t>expropriate</w:t>
      </w:r>
      <w:r w:rsidRPr="001428D3" w:rsidR="00A82713">
        <w:t xml:space="preserve"> the property </w:t>
      </w:r>
      <w:r w:rsidRPr="001428D3" w:rsidR="00183C29">
        <w:t xml:space="preserve">had been </w:t>
      </w:r>
      <w:r w:rsidRPr="001428D3" w:rsidR="00A82713">
        <w:t>a formal act</w:t>
      </w:r>
      <w:r w:rsidRPr="001428D3" w:rsidR="00183C29">
        <w:t>,</w:t>
      </w:r>
      <w:r w:rsidRPr="001428D3" w:rsidR="00A82713">
        <w:t xml:space="preserve"> </w:t>
      </w:r>
      <w:r w:rsidRPr="001428D3" w:rsidR="00693DF7">
        <w:t>the</w:t>
      </w:r>
      <w:r w:rsidRPr="001428D3" w:rsidR="00A82713">
        <w:t xml:space="preserve"> sole purpose </w:t>
      </w:r>
      <w:r w:rsidRPr="001428D3" w:rsidR="00693DF7">
        <w:t xml:space="preserve">of which </w:t>
      </w:r>
      <w:r w:rsidRPr="001428D3" w:rsidR="00183C29">
        <w:t xml:space="preserve">had been </w:t>
      </w:r>
      <w:r w:rsidRPr="001428D3" w:rsidR="00A82713">
        <w:t xml:space="preserve">to disguise the actual nature of the expropriation. </w:t>
      </w:r>
      <w:r w:rsidRPr="001428D3" w:rsidR="001F1864">
        <w:t xml:space="preserve">Furthermore, </w:t>
      </w:r>
      <w:r w:rsidRPr="001428D3" w:rsidR="00693DF7">
        <w:t>as a result of</w:t>
      </w:r>
      <w:r w:rsidRPr="001428D3" w:rsidR="001F1864">
        <w:t xml:space="preserve"> the immediate demolition of the building, without the authorities respecting the deadlines </w:t>
      </w:r>
      <w:r w:rsidRPr="001428D3" w:rsidR="00183C29">
        <w:t>set in</w:t>
      </w:r>
      <w:r w:rsidRPr="001428D3" w:rsidR="001F1864">
        <w:t xml:space="preserve"> the law, the applicants </w:t>
      </w:r>
      <w:r w:rsidRPr="001428D3" w:rsidR="00183C29">
        <w:t xml:space="preserve">had been </w:t>
      </w:r>
      <w:r w:rsidRPr="001428D3" w:rsidR="001F1864">
        <w:t>prevented from being returned to the</w:t>
      </w:r>
      <w:r w:rsidRPr="001428D3" w:rsidR="00533814">
        <w:t>ir</w:t>
      </w:r>
      <w:r w:rsidRPr="001428D3" w:rsidR="001F1864">
        <w:t xml:space="preserve"> previous situation, even though the </w:t>
      </w:r>
      <w:r w:rsidRPr="001428D3" w:rsidR="000F50CC">
        <w:t>Council of Ministers</w:t>
      </w:r>
      <w:r w:rsidRPr="001428D3" w:rsidR="001428D3">
        <w:t>’</w:t>
      </w:r>
      <w:r w:rsidRPr="001428D3" w:rsidR="001F1864">
        <w:t xml:space="preserve"> decision </w:t>
      </w:r>
      <w:r w:rsidRPr="001428D3" w:rsidR="00183C29">
        <w:t xml:space="preserve">had been </w:t>
      </w:r>
      <w:r w:rsidRPr="001428D3" w:rsidR="001F1864">
        <w:t xml:space="preserve">null and void. </w:t>
      </w:r>
      <w:r w:rsidRPr="001428D3" w:rsidR="00AA5FAE">
        <w:t xml:space="preserve">The District Court reasoned that the non-compliance with domestic law concerning the expropriation procedure </w:t>
      </w:r>
      <w:r w:rsidRPr="001428D3" w:rsidR="00183C29">
        <w:t xml:space="preserve">had </w:t>
      </w:r>
      <w:r w:rsidRPr="001428D3" w:rsidR="00AA5FAE">
        <w:t>aggravated the applicants</w:t>
      </w:r>
      <w:r w:rsidRPr="001428D3" w:rsidR="001428D3">
        <w:t>’</w:t>
      </w:r>
      <w:r w:rsidRPr="001428D3" w:rsidR="00AA5FAE">
        <w:t xml:space="preserve"> situation and, therefore, the violation of the property rights </w:t>
      </w:r>
      <w:r w:rsidRPr="001428D3" w:rsidR="00183C29">
        <w:t xml:space="preserve">had been </w:t>
      </w:r>
      <w:r w:rsidRPr="001428D3" w:rsidR="006D0EAE">
        <w:t xml:space="preserve">so </w:t>
      </w:r>
      <w:r w:rsidRPr="001428D3" w:rsidR="008E2EAA">
        <w:t xml:space="preserve">serious </w:t>
      </w:r>
      <w:r w:rsidRPr="001428D3" w:rsidR="00AA5FAE">
        <w:t xml:space="preserve">that </w:t>
      </w:r>
      <w:r w:rsidRPr="001428D3" w:rsidR="006D0EAE">
        <w:t xml:space="preserve">it </w:t>
      </w:r>
      <w:r w:rsidRPr="001428D3" w:rsidR="00AA5FAE">
        <w:t xml:space="preserve">was </w:t>
      </w:r>
      <w:r w:rsidRPr="001428D3" w:rsidR="008E2EAA">
        <w:t>un</w:t>
      </w:r>
      <w:r w:rsidRPr="001428D3" w:rsidR="00AA5FAE">
        <w:t xml:space="preserve">acceptable in a State </w:t>
      </w:r>
      <w:r w:rsidRPr="001428D3" w:rsidR="00EE313B">
        <w:t>governed by</w:t>
      </w:r>
      <w:r w:rsidRPr="001428D3" w:rsidR="00AA5FAE">
        <w:t xml:space="preserve"> the rule of law. It reasoned that</w:t>
      </w:r>
      <w:r w:rsidRPr="001428D3" w:rsidR="00533814">
        <w:t>,</w:t>
      </w:r>
      <w:r w:rsidRPr="001428D3" w:rsidR="00AA5FAE">
        <w:t xml:space="preserve"> </w:t>
      </w:r>
      <w:r w:rsidRPr="001428D3" w:rsidR="00EB7880">
        <w:t>according to the Court</w:t>
      </w:r>
      <w:r w:rsidRPr="001428D3" w:rsidR="001428D3">
        <w:t>’</w:t>
      </w:r>
      <w:r w:rsidRPr="001428D3" w:rsidR="00EB7880">
        <w:t xml:space="preserve">s case-law (reference </w:t>
      </w:r>
      <w:r w:rsidRPr="001428D3" w:rsidR="000F501A">
        <w:t xml:space="preserve">was </w:t>
      </w:r>
      <w:r w:rsidRPr="001428D3" w:rsidR="00EB7880">
        <w:t xml:space="preserve">made to </w:t>
      </w:r>
      <w:r w:rsidRPr="001428D3" w:rsidR="00EB7880">
        <w:rPr>
          <w:i/>
        </w:rPr>
        <w:t xml:space="preserve">Guiso-Gallisay v. Italy </w:t>
      </w:r>
      <w:r w:rsidRPr="001428D3" w:rsidR="00EB7880">
        <w:t>judgment</w:t>
      </w:r>
      <w:r w:rsidRPr="001428D3" w:rsidR="00EB7880">
        <w:rPr>
          <w:i/>
        </w:rPr>
        <w:t xml:space="preserve"> </w:t>
      </w:r>
      <w:r w:rsidRPr="001428D3" w:rsidR="00EB7880">
        <w:t>(just satisfaction) [GC], no. 58858/00</w:t>
      </w:r>
      <w:r w:rsidRPr="001428D3" w:rsidR="00EB7880">
        <w:rPr>
          <w:snapToGrid w:val="0"/>
        </w:rPr>
        <w:t>, §§</w:t>
      </w:r>
      <w:r w:rsidRPr="001428D3" w:rsidR="00E40ABC">
        <w:rPr>
          <w:snapToGrid w:val="0"/>
        </w:rPr>
        <w:t> </w:t>
      </w:r>
      <w:r w:rsidRPr="001428D3" w:rsidR="00EB7880">
        <w:rPr>
          <w:snapToGrid w:val="0"/>
        </w:rPr>
        <w:t xml:space="preserve">94-95, 22 December 2009), </w:t>
      </w:r>
      <w:r w:rsidRPr="001428D3" w:rsidR="00AA5FAE">
        <w:t xml:space="preserve">in cases of unlawful expropriation </w:t>
      </w:r>
      <w:r w:rsidRPr="001428D3" w:rsidR="00AA5FAE">
        <w:rPr>
          <w:snapToGrid w:val="0"/>
        </w:rPr>
        <w:t xml:space="preserve">the domestic courts had a strict obligation </w:t>
      </w:r>
      <w:r w:rsidRPr="001428D3" w:rsidR="00093F8D">
        <w:rPr>
          <w:snapToGrid w:val="0"/>
        </w:rPr>
        <w:t xml:space="preserve">to </w:t>
      </w:r>
      <w:r w:rsidRPr="001428D3" w:rsidR="00AA5FAE">
        <w:rPr>
          <w:snapToGrid w:val="0"/>
        </w:rPr>
        <w:t xml:space="preserve">award </w:t>
      </w:r>
      <w:r w:rsidRPr="001428D3" w:rsidR="00EE313B">
        <w:rPr>
          <w:snapToGrid w:val="0"/>
        </w:rPr>
        <w:t>higher</w:t>
      </w:r>
      <w:r w:rsidRPr="001428D3" w:rsidR="00AA5FAE">
        <w:rPr>
          <w:snapToGrid w:val="0"/>
        </w:rPr>
        <w:t xml:space="preserve"> compensation </w:t>
      </w:r>
      <w:r w:rsidRPr="001428D3" w:rsidR="000B239E">
        <w:rPr>
          <w:snapToGrid w:val="0"/>
        </w:rPr>
        <w:t xml:space="preserve">than </w:t>
      </w:r>
      <w:r w:rsidRPr="001428D3" w:rsidR="00AA5FAE">
        <w:rPr>
          <w:snapToGrid w:val="0"/>
        </w:rPr>
        <w:t xml:space="preserve">in cases </w:t>
      </w:r>
      <w:r w:rsidRPr="001428D3" w:rsidR="000B239E">
        <w:rPr>
          <w:snapToGrid w:val="0"/>
        </w:rPr>
        <w:t xml:space="preserve">of lawful expropriation. </w:t>
      </w:r>
      <w:r w:rsidRPr="001428D3" w:rsidR="00F16572">
        <w:t xml:space="preserve">Moreover, </w:t>
      </w:r>
      <w:r w:rsidRPr="001428D3" w:rsidR="00AA5FAE">
        <w:t>as regards the existence of any legitimate aim in the public interest, the District Court note</w:t>
      </w:r>
      <w:r w:rsidRPr="001428D3" w:rsidR="00EE313B">
        <w:t>d</w:t>
      </w:r>
      <w:r w:rsidRPr="001428D3" w:rsidR="00AA5FAE">
        <w:t xml:space="preserve"> that </w:t>
      </w:r>
      <w:r w:rsidRPr="001428D3" w:rsidR="00F16572">
        <w:t xml:space="preserve">there </w:t>
      </w:r>
      <w:r w:rsidRPr="001428D3" w:rsidR="00C22FA4">
        <w:t xml:space="preserve">had been </w:t>
      </w:r>
      <w:r w:rsidRPr="001428D3" w:rsidR="006D67AA">
        <w:t xml:space="preserve">no </w:t>
      </w:r>
      <w:r w:rsidRPr="001428D3" w:rsidR="00EE313B">
        <w:t>infrastructure or</w:t>
      </w:r>
      <w:r w:rsidRPr="001428D3" w:rsidR="00F16572">
        <w:t xml:space="preserve"> ecological (environmental) regulatory plan approved by law</w:t>
      </w:r>
      <w:r w:rsidRPr="001428D3" w:rsidR="006D67AA">
        <w:t>,</w:t>
      </w:r>
      <w:r w:rsidRPr="001428D3" w:rsidR="00F16572">
        <w:t xml:space="preserve"> </w:t>
      </w:r>
      <w:r w:rsidRPr="001428D3" w:rsidR="006D67AA">
        <w:t xml:space="preserve">not </w:t>
      </w:r>
      <w:r w:rsidRPr="001428D3" w:rsidR="00EE313B">
        <w:t xml:space="preserve">even </w:t>
      </w:r>
      <w:r w:rsidRPr="001428D3" w:rsidR="00F16572">
        <w:t>a plan for the development of th</w:t>
      </w:r>
      <w:r w:rsidRPr="001428D3" w:rsidR="006D67AA">
        <w:t>e</w:t>
      </w:r>
      <w:r w:rsidRPr="001428D3" w:rsidR="00F16572">
        <w:t xml:space="preserve"> protected area. </w:t>
      </w:r>
      <w:r w:rsidRPr="001428D3" w:rsidR="00F02BCC">
        <w:t xml:space="preserve">The District Court </w:t>
      </w:r>
      <w:r w:rsidRPr="001428D3" w:rsidR="00E16BDB">
        <w:t xml:space="preserve">noted </w:t>
      </w:r>
      <w:r w:rsidRPr="001428D3" w:rsidR="00F02BCC">
        <w:t xml:space="preserve">that </w:t>
      </w:r>
      <w:r w:rsidRPr="001428D3" w:rsidR="00E06A9C">
        <w:t xml:space="preserve">the </w:t>
      </w:r>
      <w:r w:rsidRPr="001428D3" w:rsidR="00F02BCC">
        <w:t>decision</w:t>
      </w:r>
      <w:r w:rsidRPr="001428D3" w:rsidR="00E06A9C">
        <w:t>s</w:t>
      </w:r>
      <w:r w:rsidRPr="001428D3" w:rsidR="00F02BCC">
        <w:t xml:space="preserve"> of </w:t>
      </w:r>
      <w:r w:rsidRPr="001428D3" w:rsidR="00093F8D">
        <w:t xml:space="preserve">the </w:t>
      </w:r>
      <w:r w:rsidRPr="001428D3" w:rsidR="005F2A28">
        <w:t>NCPT of 8</w:t>
      </w:r>
      <w:r w:rsidRPr="001428D3" w:rsidR="00E06A9C">
        <w:t> </w:t>
      </w:r>
      <w:r w:rsidRPr="001428D3" w:rsidR="005F2A28">
        <w:t>October</w:t>
      </w:r>
      <w:r w:rsidRPr="001428D3" w:rsidR="00E40ABC">
        <w:t> </w:t>
      </w:r>
      <w:r w:rsidRPr="001428D3" w:rsidR="005F2A28">
        <w:t xml:space="preserve">2013 and </w:t>
      </w:r>
      <w:r w:rsidRPr="001428D3" w:rsidR="00E06A9C">
        <w:t xml:space="preserve">23 June 2004 </w:t>
      </w:r>
      <w:r w:rsidRPr="001428D3" w:rsidR="00BA4591">
        <w:t xml:space="preserve">had </w:t>
      </w:r>
      <w:r w:rsidRPr="001428D3" w:rsidR="005F2A28">
        <w:t>not provide</w:t>
      </w:r>
      <w:r w:rsidRPr="001428D3" w:rsidR="00BA4591">
        <w:t>d</w:t>
      </w:r>
      <w:r w:rsidRPr="001428D3" w:rsidR="005F2A28">
        <w:t xml:space="preserve"> for the demolition of any legal building or </w:t>
      </w:r>
      <w:r w:rsidRPr="001428D3" w:rsidR="00EE313B">
        <w:t>its</w:t>
      </w:r>
      <w:r w:rsidRPr="001428D3" w:rsidR="005F2A28">
        <w:t xml:space="preserve"> expropriation, or the invalidity of any authorisation </w:t>
      </w:r>
      <w:r w:rsidRPr="001428D3" w:rsidR="00B45976">
        <w:t>that had already been</w:t>
      </w:r>
      <w:r w:rsidRPr="001428D3" w:rsidR="005F2A28">
        <w:t xml:space="preserve"> granted and </w:t>
      </w:r>
      <w:r w:rsidRPr="001428D3" w:rsidR="008C1852">
        <w:t xml:space="preserve">of </w:t>
      </w:r>
      <w:r w:rsidRPr="001428D3" w:rsidR="005F2A28">
        <w:t xml:space="preserve">any construction already built. </w:t>
      </w:r>
      <w:r w:rsidRPr="001428D3" w:rsidR="00147E23">
        <w:t xml:space="preserve">On the basis of the above considerations, the District Court decided to amend the </w:t>
      </w:r>
      <w:r w:rsidRPr="001428D3" w:rsidR="000F50CC">
        <w:t>Council of Ministers</w:t>
      </w:r>
      <w:r w:rsidRPr="001428D3" w:rsidR="001428D3">
        <w:t>’</w:t>
      </w:r>
      <w:r w:rsidRPr="001428D3" w:rsidR="00147E23">
        <w:t xml:space="preserve"> decision of 27</w:t>
      </w:r>
      <w:r w:rsidRPr="001428D3" w:rsidR="00171B30">
        <w:t> </w:t>
      </w:r>
      <w:r w:rsidRPr="001428D3" w:rsidR="00147E23">
        <w:t xml:space="preserve">November 2013 concerning the exact total </w:t>
      </w:r>
      <w:r w:rsidRPr="001428D3" w:rsidR="00BA4591">
        <w:t xml:space="preserve">surface </w:t>
      </w:r>
      <w:r w:rsidRPr="001428D3" w:rsidR="00147E23">
        <w:t xml:space="preserve">area of the </w:t>
      </w:r>
      <w:r w:rsidRPr="001428D3" w:rsidR="00BA4591">
        <w:t xml:space="preserve">expropriated </w:t>
      </w:r>
      <w:r w:rsidRPr="001428D3" w:rsidR="00147E23">
        <w:t>property</w:t>
      </w:r>
      <w:r w:rsidRPr="001428D3" w:rsidR="00A048F0">
        <w:t xml:space="preserve">, </w:t>
      </w:r>
      <w:r w:rsidRPr="001428D3" w:rsidR="00147E23">
        <w:t xml:space="preserve">as well as the </w:t>
      </w:r>
      <w:r w:rsidRPr="001428D3" w:rsidR="00424DC4">
        <w:t xml:space="preserve">total </w:t>
      </w:r>
      <w:r w:rsidRPr="001428D3" w:rsidR="00147E23">
        <w:t xml:space="preserve">amount of compensation and </w:t>
      </w:r>
      <w:r w:rsidRPr="001428D3" w:rsidR="007C0CF5">
        <w:t>the amounts</w:t>
      </w:r>
      <w:r w:rsidRPr="001428D3" w:rsidR="00147E23">
        <w:t xml:space="preserve"> </w:t>
      </w:r>
      <w:r w:rsidRPr="001428D3" w:rsidR="00A048F0">
        <w:t>to be paid to</w:t>
      </w:r>
      <w:r w:rsidRPr="001428D3" w:rsidR="00147E23">
        <w:t xml:space="preserve"> each applicant. More concretely, t</w:t>
      </w:r>
      <w:r w:rsidRPr="001428D3" w:rsidR="00A82713">
        <w:t xml:space="preserve">he District Court increased the </w:t>
      </w:r>
      <w:r w:rsidRPr="001428D3" w:rsidR="00147E23">
        <w:t xml:space="preserve">total </w:t>
      </w:r>
      <w:r w:rsidRPr="001428D3" w:rsidR="00A82713">
        <w:t>compensation to be awarded to the applicants</w:t>
      </w:r>
      <w:r w:rsidRPr="001428D3" w:rsidR="00EF3713">
        <w:t xml:space="preserve"> </w:t>
      </w:r>
      <w:r w:rsidRPr="001428D3" w:rsidR="00A71C38">
        <w:t>to ALL </w:t>
      </w:r>
      <w:r w:rsidRPr="001428D3" w:rsidR="00093F8D">
        <w:t xml:space="preserve">1,580,712,321, </w:t>
      </w:r>
      <w:r w:rsidRPr="001428D3" w:rsidR="00EF3713">
        <w:t xml:space="preserve">on the basis of </w:t>
      </w:r>
      <w:r w:rsidRPr="001428D3" w:rsidR="002A2B6B">
        <w:t>a court-ordered experts</w:t>
      </w:r>
      <w:r w:rsidRPr="001428D3" w:rsidR="001428D3">
        <w:t>’</w:t>
      </w:r>
      <w:r w:rsidRPr="001428D3" w:rsidR="002A2B6B">
        <w:t xml:space="preserve"> report</w:t>
      </w:r>
      <w:r w:rsidRPr="001428D3" w:rsidR="00A82713">
        <w:t xml:space="preserve">. </w:t>
      </w:r>
      <w:r w:rsidRPr="001428D3" w:rsidR="00231003">
        <w:t xml:space="preserve">The District Court </w:t>
      </w:r>
      <w:r w:rsidRPr="001428D3" w:rsidR="00025E10">
        <w:t xml:space="preserve">found </w:t>
      </w:r>
      <w:r w:rsidRPr="001428D3" w:rsidR="00231003">
        <w:t xml:space="preserve">that the authorities had </w:t>
      </w:r>
      <w:r w:rsidRPr="001428D3" w:rsidR="00346174">
        <w:t>blatantly</w:t>
      </w:r>
      <w:r w:rsidRPr="001428D3" w:rsidR="00231003">
        <w:t xml:space="preserve"> </w:t>
      </w:r>
      <w:r w:rsidRPr="001428D3" w:rsidR="007B7243">
        <w:t xml:space="preserve">violated </w:t>
      </w:r>
      <w:r w:rsidRPr="001428D3" w:rsidR="00231003">
        <w:t xml:space="preserve">the procedure </w:t>
      </w:r>
      <w:r w:rsidRPr="001428D3" w:rsidR="001D6233">
        <w:t>set out</w:t>
      </w:r>
      <w:r w:rsidRPr="001428D3" w:rsidR="00231003">
        <w:t xml:space="preserve"> in the Constitution and domestic law concerning the determination of the compensation </w:t>
      </w:r>
      <w:r w:rsidRPr="001428D3" w:rsidR="00093F8D">
        <w:t xml:space="preserve">to be paid in </w:t>
      </w:r>
      <w:r w:rsidRPr="001428D3" w:rsidR="00231003">
        <w:t>expropriation</w:t>
      </w:r>
      <w:r w:rsidRPr="001428D3" w:rsidR="00093F8D">
        <w:t xml:space="preserve"> cases</w:t>
      </w:r>
      <w:r w:rsidRPr="001428D3" w:rsidR="00231003">
        <w:t xml:space="preserve">. </w:t>
      </w:r>
      <w:r w:rsidRPr="001428D3" w:rsidR="00D623A7">
        <w:t xml:space="preserve">Therefore, the calculation by the </w:t>
      </w:r>
      <w:r w:rsidRPr="001428D3" w:rsidR="000F50CC">
        <w:t>Council of Ministers</w:t>
      </w:r>
      <w:r w:rsidRPr="001428D3" w:rsidR="00D623A7">
        <w:t xml:space="preserve"> in its decision of 27 November 2013 </w:t>
      </w:r>
      <w:r w:rsidRPr="001428D3" w:rsidR="00093F8D">
        <w:t xml:space="preserve">had </w:t>
      </w:r>
      <w:r w:rsidRPr="001428D3" w:rsidR="00D623A7">
        <w:t>not</w:t>
      </w:r>
      <w:r w:rsidRPr="001428D3" w:rsidR="00093F8D">
        <w:t xml:space="preserve"> been made</w:t>
      </w:r>
      <w:r w:rsidRPr="001428D3" w:rsidR="00D623A7">
        <w:t xml:space="preserve"> in accordance with the law. </w:t>
      </w:r>
      <w:r w:rsidRPr="001428D3" w:rsidR="00346174">
        <w:t xml:space="preserve">It accepted the report on the grounds that </w:t>
      </w:r>
      <w:r w:rsidRPr="001428D3" w:rsidR="00231003">
        <w:t xml:space="preserve">the </w:t>
      </w:r>
      <w:r w:rsidRPr="001428D3" w:rsidR="00346174">
        <w:t xml:space="preserve">valuation of the property </w:t>
      </w:r>
      <w:r w:rsidRPr="001428D3" w:rsidR="00093F8D">
        <w:t xml:space="preserve">had been </w:t>
      </w:r>
      <w:r w:rsidRPr="001428D3" w:rsidR="00346174">
        <w:t xml:space="preserve">based </w:t>
      </w:r>
      <w:r w:rsidRPr="001428D3" w:rsidR="00C510EC">
        <w:t xml:space="preserve">on the open market value </w:t>
      </w:r>
      <w:r w:rsidRPr="001428D3" w:rsidR="00D623A7">
        <w:t>following</w:t>
      </w:r>
      <w:r w:rsidRPr="001428D3" w:rsidR="00C510EC">
        <w:t xml:space="preserve"> </w:t>
      </w:r>
      <w:r w:rsidRPr="001428D3" w:rsidR="00346174">
        <w:t xml:space="preserve">contemporary valuation </w:t>
      </w:r>
      <w:r w:rsidRPr="001428D3" w:rsidR="00B45976">
        <w:t xml:space="preserve">methods for </w:t>
      </w:r>
      <w:r w:rsidRPr="001428D3" w:rsidR="00346174">
        <w:t>immovable properties</w:t>
      </w:r>
      <w:r w:rsidRPr="001428D3" w:rsidR="00B45976">
        <w:t xml:space="preserve"> such as</w:t>
      </w:r>
      <w:r w:rsidRPr="001428D3" w:rsidR="00D623A7">
        <w:t xml:space="preserve"> the direct comparison </w:t>
      </w:r>
      <w:r w:rsidRPr="001428D3" w:rsidR="005942DE">
        <w:t>and the state of the development of the property and</w:t>
      </w:r>
      <w:r w:rsidRPr="001428D3" w:rsidR="00D623A7">
        <w:t xml:space="preserve"> </w:t>
      </w:r>
      <w:r w:rsidRPr="001428D3" w:rsidR="00C510EC">
        <w:t xml:space="preserve">taking </w:t>
      </w:r>
      <w:r w:rsidRPr="001428D3" w:rsidR="007B7243">
        <w:t xml:space="preserve">also </w:t>
      </w:r>
      <w:r w:rsidRPr="001428D3" w:rsidR="00C510EC">
        <w:t xml:space="preserve">into consideration </w:t>
      </w:r>
      <w:r w:rsidRPr="001428D3" w:rsidR="00346174">
        <w:t xml:space="preserve">the </w:t>
      </w:r>
      <w:r w:rsidRPr="001428D3" w:rsidR="007B7243">
        <w:t xml:space="preserve">location of the property, the </w:t>
      </w:r>
      <w:r w:rsidRPr="001428D3" w:rsidR="00346174">
        <w:t>development of the property</w:t>
      </w:r>
      <w:r w:rsidRPr="001428D3" w:rsidR="007B7243">
        <w:t xml:space="preserve">, its actual development on the basis of legal documents as well as </w:t>
      </w:r>
      <w:r w:rsidRPr="001428D3" w:rsidR="00AD7F6B">
        <w:t xml:space="preserve">analysing </w:t>
      </w:r>
      <w:r w:rsidRPr="001428D3" w:rsidR="00346174">
        <w:t xml:space="preserve">the values of sales </w:t>
      </w:r>
      <w:r w:rsidRPr="001428D3" w:rsidR="00AD7F6B">
        <w:t>and rents of similar properties</w:t>
      </w:r>
      <w:r w:rsidRPr="001428D3" w:rsidR="00A61EC5">
        <w:t>.</w:t>
      </w:r>
      <w:r w:rsidRPr="001428D3" w:rsidR="00AD7F6B">
        <w:t xml:space="preserve"> </w:t>
      </w:r>
      <w:r w:rsidRPr="001428D3" w:rsidR="00346174">
        <w:t>The experts had also tried to analyse increase</w:t>
      </w:r>
      <w:r w:rsidRPr="001428D3" w:rsidR="002D173A">
        <w:t>s</w:t>
      </w:r>
      <w:r w:rsidRPr="001428D3" w:rsidR="00346174">
        <w:t xml:space="preserve"> or decrease</w:t>
      </w:r>
      <w:r w:rsidRPr="001428D3" w:rsidR="002D173A">
        <w:t>s in</w:t>
      </w:r>
      <w:r w:rsidRPr="001428D3" w:rsidR="00346174">
        <w:t xml:space="preserve"> the market prices of sales or purchases of similar properties</w:t>
      </w:r>
      <w:r w:rsidRPr="001428D3" w:rsidR="00AD7F6B">
        <w:t xml:space="preserve">. </w:t>
      </w:r>
      <w:r w:rsidRPr="001428D3" w:rsidR="00D623A7">
        <w:t>Under the expert report</w:t>
      </w:r>
      <w:r w:rsidRPr="001428D3" w:rsidR="007C0CF5">
        <w:t>,</w:t>
      </w:r>
      <w:r w:rsidRPr="001428D3" w:rsidR="00D623A7">
        <w:t xml:space="preserve"> the price per square </w:t>
      </w:r>
      <w:r w:rsidRPr="001428D3" w:rsidR="009A2797">
        <w:t xml:space="preserve">metre </w:t>
      </w:r>
      <w:r w:rsidRPr="001428D3" w:rsidR="00D623A7">
        <w:t xml:space="preserve">was </w:t>
      </w:r>
      <w:r w:rsidRPr="001428D3" w:rsidR="00D35EFE">
        <w:t>EUR</w:t>
      </w:r>
      <w:r w:rsidRPr="001428D3" w:rsidR="00F97527">
        <w:t> </w:t>
      </w:r>
      <w:r w:rsidRPr="001428D3" w:rsidR="00D623A7">
        <w:t>1,155</w:t>
      </w:r>
      <w:r w:rsidRPr="001428D3" w:rsidR="009E571F">
        <w:t> </w:t>
      </w:r>
      <w:r w:rsidRPr="001428D3" w:rsidR="009A2797">
        <w:t>(</w:t>
      </w:r>
      <w:r w:rsidRPr="001428D3" w:rsidR="00F9719C">
        <w:t>ALL</w:t>
      </w:r>
      <w:r w:rsidRPr="001428D3" w:rsidR="00D35EFE">
        <w:t> </w:t>
      </w:r>
      <w:r w:rsidRPr="001428D3" w:rsidR="00F9719C">
        <w:t>161,700</w:t>
      </w:r>
      <w:r w:rsidRPr="001428D3" w:rsidR="009A2797">
        <w:t>)</w:t>
      </w:r>
      <w:r w:rsidRPr="001428D3" w:rsidR="009E571F">
        <w:t xml:space="preserve"> </w:t>
      </w:r>
      <w:r w:rsidRPr="001428D3" w:rsidR="00D623A7">
        <w:t>in respect of the flats and EUR 2,000</w:t>
      </w:r>
      <w:r w:rsidRPr="001428D3" w:rsidR="009A2797">
        <w:t xml:space="preserve"> (</w:t>
      </w:r>
      <w:r w:rsidRPr="001428D3" w:rsidR="00F9719C">
        <w:t>ALL</w:t>
      </w:r>
      <w:r w:rsidRPr="001428D3" w:rsidR="00F97527">
        <w:t> </w:t>
      </w:r>
      <w:r w:rsidRPr="001428D3" w:rsidR="00F9719C">
        <w:t>280,000</w:t>
      </w:r>
      <w:r w:rsidRPr="001428D3" w:rsidR="009A2797">
        <w:t>)</w:t>
      </w:r>
      <w:r w:rsidRPr="001428D3" w:rsidR="00D623A7">
        <w:t xml:space="preserve"> in respect of the </w:t>
      </w:r>
      <w:r w:rsidRPr="001428D3" w:rsidR="00166119">
        <w:t xml:space="preserve">business </w:t>
      </w:r>
      <w:r w:rsidRPr="001428D3" w:rsidR="00D623A7">
        <w:t xml:space="preserve">premises. </w:t>
      </w:r>
      <w:r w:rsidRPr="001428D3" w:rsidR="008611EF">
        <w:t xml:space="preserve">The price </w:t>
      </w:r>
      <w:r w:rsidRPr="001428D3" w:rsidR="008B0CD2">
        <w:t>w</w:t>
      </w:r>
      <w:r w:rsidRPr="001428D3" w:rsidR="008611EF">
        <w:t>as calculated</w:t>
      </w:r>
      <w:r w:rsidRPr="001428D3" w:rsidR="008B0CD2">
        <w:t xml:space="preserve"> </w:t>
      </w:r>
      <w:r w:rsidRPr="001428D3" w:rsidR="0073427A">
        <w:t>using the</w:t>
      </w:r>
      <w:r w:rsidRPr="001428D3" w:rsidR="008B0CD2">
        <w:t xml:space="preserve"> average </w:t>
      </w:r>
      <w:r w:rsidRPr="001428D3" w:rsidR="00924867">
        <w:t xml:space="preserve">market value during the period </w:t>
      </w:r>
      <w:r w:rsidRPr="001428D3" w:rsidR="000D77A8">
        <w:t xml:space="preserve">between </w:t>
      </w:r>
      <w:r w:rsidRPr="001428D3" w:rsidR="00924867">
        <w:t>2013 and January 2014</w:t>
      </w:r>
      <w:r w:rsidRPr="001428D3" w:rsidR="008B0CD2">
        <w:t xml:space="preserve"> </w:t>
      </w:r>
      <w:r w:rsidRPr="001428D3" w:rsidR="009A2797">
        <w:t>based on</w:t>
      </w:r>
      <w:r w:rsidRPr="001428D3" w:rsidR="008611EF">
        <w:t xml:space="preserve"> </w:t>
      </w:r>
      <w:r w:rsidRPr="001428D3" w:rsidR="00AC7032">
        <w:t>a Council of Minister</w:t>
      </w:r>
      <w:r w:rsidRPr="001428D3" w:rsidR="0073427A">
        <w:t>s</w:t>
      </w:r>
      <w:r w:rsidRPr="001428D3" w:rsidR="001428D3">
        <w:t>’</w:t>
      </w:r>
      <w:r w:rsidRPr="001428D3" w:rsidR="00AC7032">
        <w:t xml:space="preserve"> decision “on </w:t>
      </w:r>
      <w:r w:rsidRPr="001428D3" w:rsidR="008611EF">
        <w:t xml:space="preserve">the valuation </w:t>
      </w:r>
      <w:r w:rsidRPr="001428D3" w:rsidR="001D6233">
        <w:t>methods</w:t>
      </w:r>
      <w:r w:rsidRPr="001428D3" w:rsidR="009A2797">
        <w:t xml:space="preserve"> for </w:t>
      </w:r>
      <w:r w:rsidRPr="001428D3" w:rsidR="008611EF">
        <w:t>immovable properties in Albania</w:t>
      </w:r>
      <w:r w:rsidRPr="001428D3" w:rsidR="00AC7032">
        <w:t>” which</w:t>
      </w:r>
      <w:r w:rsidRPr="001428D3" w:rsidR="00F779AC">
        <w:t xml:space="preserve"> stated that</w:t>
      </w:r>
      <w:r w:rsidRPr="001428D3" w:rsidR="00AC7032">
        <w:t xml:space="preserve"> </w:t>
      </w:r>
      <w:r w:rsidRPr="001428D3" w:rsidR="0073427A">
        <w:t xml:space="preserve">such </w:t>
      </w:r>
      <w:r w:rsidRPr="001428D3" w:rsidR="00AC7032">
        <w:t>calculation</w:t>
      </w:r>
      <w:r w:rsidRPr="001428D3" w:rsidR="0073427A">
        <w:t>s</w:t>
      </w:r>
      <w:r w:rsidRPr="001428D3" w:rsidR="00AC7032">
        <w:t xml:space="preserve"> </w:t>
      </w:r>
      <w:r w:rsidRPr="001428D3" w:rsidR="0073427A">
        <w:t xml:space="preserve">are </w:t>
      </w:r>
      <w:r w:rsidRPr="001428D3" w:rsidR="00AC7032">
        <w:t xml:space="preserve">made </w:t>
      </w:r>
      <w:r w:rsidRPr="001428D3" w:rsidR="0073427A">
        <w:t>in accordance with</w:t>
      </w:r>
      <w:r w:rsidRPr="001428D3" w:rsidR="00AC7032">
        <w:t xml:space="preserve"> international valuation standards</w:t>
      </w:r>
      <w:r w:rsidRPr="001428D3" w:rsidR="0073427A">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39</w:t>
      </w:r>
      <w:r w:rsidRPr="001428D3">
        <w:rPr>
          <w:noProof/>
        </w:rPr>
        <w:fldChar w:fldCharType="end"/>
      </w:r>
      <w:r w:rsidRPr="001428D3" w:rsidR="00171B30">
        <w:t>.  </w:t>
      </w:r>
      <w:r w:rsidRPr="001428D3" w:rsidR="00A90FA5">
        <w:t>The District Court also</w:t>
      </w:r>
      <w:r w:rsidRPr="001428D3" w:rsidR="00A82713">
        <w:t xml:space="preserve"> recalculated the surface area of the expropriated property, stating that </w:t>
      </w:r>
      <w:r w:rsidRPr="001428D3" w:rsidR="009A2797">
        <w:t>it actually</w:t>
      </w:r>
      <w:r w:rsidRPr="001428D3" w:rsidR="00A82713">
        <w:t xml:space="preserve"> measured 8,396 square </w:t>
      </w:r>
      <w:r w:rsidRPr="001428D3" w:rsidR="00A74944">
        <w:t>metres</w:t>
      </w:r>
      <w:r w:rsidRPr="001428D3" w:rsidR="00A82713">
        <w:t xml:space="preserve">. Furthermore, </w:t>
      </w:r>
      <w:r w:rsidRPr="001428D3" w:rsidR="001D6233">
        <w:t>it</w:t>
      </w:r>
      <w:r w:rsidRPr="001428D3" w:rsidR="00A82713">
        <w:t xml:space="preserve"> included all the owners of the Jon Residence in the list of parties to be compensated</w:t>
      </w:r>
      <w:r w:rsidRPr="001428D3" w:rsidR="009A2797">
        <w:t>,</w:t>
      </w:r>
      <w:r w:rsidRPr="001428D3" w:rsidR="00A82713">
        <w:t xml:space="preserve"> as some of the applicants had been excluded from th</w:t>
      </w:r>
      <w:r w:rsidRPr="001428D3" w:rsidR="001D6233">
        <w:t>e</w:t>
      </w:r>
      <w:r w:rsidRPr="001428D3" w:rsidR="00A82713">
        <w:t xml:space="preserve"> list under the </w:t>
      </w:r>
      <w:r w:rsidRPr="001428D3" w:rsidR="000F50CC">
        <w:t>Council of Ministers</w:t>
      </w:r>
      <w:r w:rsidRPr="001428D3" w:rsidR="001428D3">
        <w:t>’</w:t>
      </w:r>
      <w:r w:rsidRPr="001428D3" w:rsidR="007E05D8">
        <w:t xml:space="preserve"> decision of 27</w:t>
      </w:r>
      <w:r w:rsidRPr="001428D3" w:rsidR="00171B30">
        <w:t> </w:t>
      </w:r>
      <w:r w:rsidRPr="001428D3" w:rsidR="007E05D8">
        <w:t>November 2013</w:t>
      </w:r>
      <w:r w:rsidRPr="001428D3" w:rsidR="00A82713">
        <w:t xml:space="preserve">. Lastly, the </w:t>
      </w:r>
      <w:r w:rsidRPr="001428D3" w:rsidR="001D6233">
        <w:t>court</w:t>
      </w:r>
      <w:r w:rsidRPr="001428D3" w:rsidR="00A82713">
        <w:t xml:space="preserve"> ruled that the compen</w:t>
      </w:r>
      <w:r w:rsidRPr="001428D3" w:rsidR="00EB3CA0">
        <w:t xml:space="preserve">sation was to be paid by the </w:t>
      </w:r>
      <w:r w:rsidRPr="001428D3" w:rsidR="000F50CC">
        <w:t>Council of Ministers</w:t>
      </w:r>
      <w:r w:rsidRPr="001428D3" w:rsidR="00EB3CA0">
        <w:t xml:space="preserve"> </w:t>
      </w:r>
      <w:r w:rsidRPr="001428D3" w:rsidR="006555D1">
        <w:t xml:space="preserve">and the Vlora Municipality </w:t>
      </w:r>
      <w:r w:rsidRPr="001428D3" w:rsidR="00A82713">
        <w:t>in three tranches over a period of eighteen months</w:t>
      </w:r>
      <w:r w:rsidRPr="001428D3" w:rsidR="00EB3CA0">
        <w:t xml:space="preserve"> from the moment the </w:t>
      </w:r>
      <w:r w:rsidRPr="001428D3" w:rsidR="00456BDF">
        <w:t>court</w:t>
      </w:r>
      <w:r w:rsidRPr="001428D3" w:rsidR="001428D3">
        <w:t>’</w:t>
      </w:r>
      <w:r w:rsidRPr="001428D3" w:rsidR="00456BDF">
        <w:t xml:space="preserve">s </w:t>
      </w:r>
      <w:r w:rsidRPr="001428D3" w:rsidR="00EB3CA0">
        <w:t>decision became final</w:t>
      </w:r>
      <w:r w:rsidRPr="001428D3" w:rsidR="00A82713">
        <w:t xml:space="preserve">. </w:t>
      </w:r>
      <w:r w:rsidRPr="001428D3" w:rsidR="006555D1">
        <w:t xml:space="preserve">Both </w:t>
      </w:r>
      <w:r w:rsidRPr="001428D3" w:rsidR="00F9719C">
        <w:t xml:space="preserve">the </w:t>
      </w:r>
      <w:r w:rsidRPr="001428D3" w:rsidR="000F50CC">
        <w:t>Council of Ministers</w:t>
      </w:r>
      <w:r w:rsidRPr="001428D3" w:rsidR="006555D1">
        <w:t xml:space="preserve"> and the Vlora Municipality were obliged to pay jointly the judicial costs and expenses</w:t>
      </w:r>
      <w:r w:rsidRPr="001428D3" w:rsidR="003A4455">
        <w:t xml:space="preserve"> </w:t>
      </w:r>
      <w:r w:rsidRPr="001428D3" w:rsidR="009A2797">
        <w:t>including</w:t>
      </w:r>
      <w:r w:rsidRPr="001428D3" w:rsidR="003A4455">
        <w:t xml:space="preserve"> the </w:t>
      </w:r>
      <w:r w:rsidRPr="001428D3" w:rsidR="00F9719C">
        <w:t>experts</w:t>
      </w:r>
      <w:r w:rsidRPr="001428D3" w:rsidR="001428D3">
        <w:t>’</w:t>
      </w:r>
      <w:r w:rsidRPr="001428D3" w:rsidR="002836CC">
        <w:t xml:space="preserve"> fee</w:t>
      </w:r>
      <w:r w:rsidRPr="001428D3" w:rsidR="009A2797">
        <w:t xml:space="preserve">, </w:t>
      </w:r>
      <w:r w:rsidRPr="001428D3" w:rsidR="003A4455">
        <w:t>the</w:t>
      </w:r>
      <w:r w:rsidRPr="001428D3" w:rsidR="009A2797">
        <w:t xml:space="preserve"> court</w:t>
      </w:r>
      <w:r w:rsidRPr="001428D3" w:rsidR="003A4455">
        <w:t xml:space="preserve"> </w:t>
      </w:r>
      <w:r w:rsidRPr="001428D3" w:rsidR="009F1DA6">
        <w:t>fees</w:t>
      </w:r>
      <w:r w:rsidRPr="001428D3" w:rsidR="003A4455">
        <w:t xml:space="preserve"> for </w:t>
      </w:r>
      <w:r w:rsidRPr="001428D3" w:rsidR="009A2797">
        <w:t>lodging</w:t>
      </w:r>
      <w:r w:rsidRPr="001428D3" w:rsidR="003A4455">
        <w:t xml:space="preserve"> t</w:t>
      </w:r>
      <w:r w:rsidRPr="001428D3" w:rsidR="00F9719C">
        <w:t xml:space="preserve">he </w:t>
      </w:r>
      <w:r w:rsidRPr="001428D3" w:rsidR="009F1DA6">
        <w:t>claim</w:t>
      </w:r>
      <w:r w:rsidRPr="001428D3" w:rsidR="00EB7880">
        <w:t xml:space="preserve"> </w:t>
      </w:r>
      <w:r w:rsidRPr="001428D3" w:rsidR="009A2797">
        <w:t>(</w:t>
      </w:r>
      <w:r w:rsidRPr="001428D3" w:rsidR="00EB7880">
        <w:t>ALL 11,409,852</w:t>
      </w:r>
      <w:r w:rsidRPr="001428D3" w:rsidR="009A2797">
        <w:t>)</w:t>
      </w:r>
      <w:r w:rsidRPr="001428D3" w:rsidR="00F9719C">
        <w:t xml:space="preserve"> and the lawyers</w:t>
      </w:r>
      <w:r w:rsidRPr="001428D3" w:rsidR="001428D3">
        <w:t>’</w:t>
      </w:r>
      <w:r w:rsidRPr="001428D3" w:rsidR="00F9719C">
        <w:t xml:space="preserve"> </w:t>
      </w:r>
      <w:r w:rsidRPr="001428D3" w:rsidR="003A4455">
        <w:t xml:space="preserve">fee for the representation of </w:t>
      </w:r>
      <w:r w:rsidRPr="001428D3" w:rsidR="007F53AC">
        <w:t xml:space="preserve">G. Calliku, V. Calliku, M. </w:t>
      </w:r>
      <w:r w:rsidRPr="001428D3" w:rsidR="002836CC">
        <w:t>M</w:t>
      </w:r>
      <w:r w:rsidRPr="001428D3" w:rsidR="007F53AC">
        <w:t>ecaj, A. Deromemaj, E.</w:t>
      </w:r>
      <w:r w:rsidRPr="001428D3" w:rsidR="00E40ABC">
        <w:t> </w:t>
      </w:r>
      <w:r w:rsidRPr="001428D3" w:rsidR="007F53AC">
        <w:t xml:space="preserve">Durolli, M. Hanxhari, P. Rakipaj, B. Rakipaj, K. </w:t>
      </w:r>
      <w:r w:rsidRPr="001428D3" w:rsidR="002836CC">
        <w:t>Kapedani (applicants in the proceedings before the Court), J.</w:t>
      </w:r>
      <w:r w:rsidRPr="001428D3" w:rsidR="009B0EA9">
        <w:t> </w:t>
      </w:r>
      <w:r w:rsidRPr="001428D3" w:rsidR="002836CC">
        <w:t xml:space="preserve">Ismailaj and </w:t>
      </w:r>
      <w:r w:rsidRPr="001428D3" w:rsidR="007F53AC">
        <w:t>S. Ismailaj</w:t>
      </w:r>
      <w:r w:rsidRPr="001428D3" w:rsidR="002836CC">
        <w:t xml:space="preserve"> (not applicants before the Court)</w:t>
      </w:r>
      <w:r w:rsidRPr="001428D3" w:rsidR="001D6233">
        <w:t>,</w:t>
      </w:r>
      <w:r w:rsidRPr="001428D3" w:rsidR="00EB7880">
        <w:t xml:space="preserve"> </w:t>
      </w:r>
      <w:r w:rsidRPr="001428D3" w:rsidR="001D6233">
        <w:t>which</w:t>
      </w:r>
      <w:r w:rsidRPr="001428D3" w:rsidR="000D3BD0">
        <w:t xml:space="preserve"> </w:t>
      </w:r>
      <w:r w:rsidRPr="001428D3" w:rsidR="003A4455">
        <w:t>amount</w:t>
      </w:r>
      <w:r w:rsidRPr="001428D3" w:rsidR="001D6233">
        <w:t>ed to</w:t>
      </w:r>
      <w:r w:rsidRPr="001428D3" w:rsidR="003A4455">
        <w:t xml:space="preserve"> </w:t>
      </w:r>
      <w:r w:rsidRPr="001428D3" w:rsidR="00EB7880">
        <w:t>EUR 12,000</w:t>
      </w:r>
      <w:r w:rsidRPr="001428D3" w:rsidR="009A2797">
        <w:t xml:space="preserve"> (</w:t>
      </w:r>
      <w:r w:rsidRPr="001428D3" w:rsidR="003A4455">
        <w:t>ALL 1,680,000</w:t>
      </w:r>
      <w:r w:rsidRPr="001428D3" w:rsidR="009A2797">
        <w:t>)</w:t>
      </w:r>
      <w:r w:rsidRPr="001428D3" w:rsidR="001D6233">
        <w:t xml:space="preserve"> in total</w:t>
      </w:r>
      <w:r w:rsidRPr="001428D3" w:rsidR="003A4455">
        <w:t>.</w:t>
      </w:r>
    </w:p>
    <w:p w:rsidRPr="001428D3" w:rsidR="006D4C4A" w:rsidP="001428D3" w:rsidRDefault="006D4C4A">
      <w:pPr>
        <w:pStyle w:val="ECHRHeading4"/>
      </w:pPr>
      <w:r w:rsidRPr="001428D3">
        <w:t xml:space="preserve">(b)  Proceedings </w:t>
      </w:r>
      <w:r w:rsidRPr="001428D3" w:rsidR="00F62159">
        <w:t>in</w:t>
      </w:r>
      <w:r w:rsidRPr="001428D3">
        <w:t xml:space="preserve"> the Court of Appeal</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40</w:t>
      </w:r>
      <w:r w:rsidRPr="001428D3">
        <w:rPr>
          <w:noProof/>
        </w:rPr>
        <w:fldChar w:fldCharType="end"/>
      </w:r>
      <w:r w:rsidRPr="001428D3" w:rsidR="00A82713">
        <w:t>.  On an unspecified date thereafter the applica</w:t>
      </w:r>
      <w:r w:rsidRPr="001428D3" w:rsidR="00D34DE2">
        <w:t xml:space="preserve">nts lodged an appeal against </w:t>
      </w:r>
      <w:r w:rsidRPr="001428D3" w:rsidR="007A6D07">
        <w:t xml:space="preserve">the </w:t>
      </w:r>
      <w:r w:rsidRPr="001428D3" w:rsidR="00A82713">
        <w:t>part of the District Court</w:t>
      </w:r>
      <w:r w:rsidRPr="001428D3" w:rsidR="001428D3">
        <w:t>’</w:t>
      </w:r>
      <w:r w:rsidRPr="001428D3" w:rsidR="00A82713">
        <w:t xml:space="preserve">s decision of 6 March 2014 concerning the amount of compensation and the manner in which it was to be paid. </w:t>
      </w:r>
      <w:r w:rsidRPr="001428D3" w:rsidR="002945B0">
        <w:t>They argued that the expert report did not reflect the market value of the property</w:t>
      </w:r>
      <w:r w:rsidRPr="001428D3" w:rsidR="007A6D07">
        <w:t>,</w:t>
      </w:r>
      <w:r w:rsidRPr="001428D3" w:rsidR="002945B0">
        <w:t xml:space="preserve"> which was much higher than the </w:t>
      </w:r>
      <w:r w:rsidRPr="001428D3" w:rsidR="00874ECD">
        <w:t xml:space="preserve">value </w:t>
      </w:r>
      <w:r w:rsidRPr="001428D3" w:rsidR="002945B0">
        <w:t>indicated</w:t>
      </w:r>
      <w:r w:rsidRPr="001428D3" w:rsidR="00D34DE2">
        <w:t>,</w:t>
      </w:r>
      <w:r w:rsidRPr="001428D3" w:rsidR="00CD7D70">
        <w:t xml:space="preserve"> and that </w:t>
      </w:r>
      <w:r w:rsidRPr="001428D3" w:rsidR="003858C6">
        <w:t xml:space="preserve">the </w:t>
      </w:r>
      <w:r w:rsidRPr="001428D3" w:rsidR="00CD7D70">
        <w:t xml:space="preserve">valuation standards </w:t>
      </w:r>
      <w:r w:rsidRPr="001428D3" w:rsidR="007A6D07">
        <w:t xml:space="preserve">for expropriated </w:t>
      </w:r>
      <w:r w:rsidRPr="001428D3" w:rsidR="00CD7D70">
        <w:t xml:space="preserve">properties </w:t>
      </w:r>
      <w:r w:rsidRPr="001428D3" w:rsidR="007A6D07">
        <w:t xml:space="preserve">had </w:t>
      </w:r>
      <w:r w:rsidRPr="001428D3" w:rsidR="00CD7D70">
        <w:t>not</w:t>
      </w:r>
      <w:r w:rsidRPr="001428D3" w:rsidR="007A6D07">
        <w:t xml:space="preserve"> been</w:t>
      </w:r>
      <w:r w:rsidRPr="001428D3" w:rsidR="00CD7D70">
        <w:t xml:space="preserve"> complied with</w:t>
      </w:r>
      <w:r w:rsidRPr="001428D3" w:rsidR="002945B0">
        <w:t xml:space="preserve">. </w:t>
      </w:r>
      <w:r w:rsidRPr="001428D3" w:rsidR="00DD4308">
        <w:t>More concretely, t</w:t>
      </w:r>
      <w:r w:rsidRPr="001428D3" w:rsidR="002945B0">
        <w:t>he expert</w:t>
      </w:r>
      <w:r w:rsidRPr="001428D3" w:rsidR="00CD7D70">
        <w:t>s</w:t>
      </w:r>
      <w:r w:rsidRPr="001428D3" w:rsidR="002945B0">
        <w:t xml:space="preserve"> had not complied with the criteria and standar</w:t>
      </w:r>
      <w:r w:rsidRPr="001428D3" w:rsidR="00A82BA6">
        <w:t>d</w:t>
      </w:r>
      <w:r w:rsidRPr="001428D3" w:rsidR="002945B0">
        <w:t xml:space="preserve">s provided for </w:t>
      </w:r>
      <w:r w:rsidRPr="001428D3" w:rsidR="007A6D07">
        <w:t>by</w:t>
      </w:r>
      <w:r w:rsidRPr="001428D3" w:rsidR="002945B0">
        <w:t xml:space="preserve"> The European Group of Valuers</w:t>
      </w:r>
      <w:r w:rsidRPr="001428D3" w:rsidR="001428D3">
        <w:t>’</w:t>
      </w:r>
      <w:r w:rsidRPr="001428D3" w:rsidR="002945B0">
        <w:t xml:space="preserve"> Associations</w:t>
      </w:r>
      <w:r w:rsidRPr="001428D3" w:rsidR="00D34DE2">
        <w:t xml:space="preserve"> </w:t>
      </w:r>
      <w:r w:rsidRPr="001428D3" w:rsidR="00EA5EFD">
        <w:t xml:space="preserve">(TEGOVA) </w:t>
      </w:r>
      <w:r w:rsidRPr="001428D3" w:rsidR="00D34DE2">
        <w:t xml:space="preserve">and the </w:t>
      </w:r>
      <w:r w:rsidRPr="001428D3" w:rsidR="002945B0">
        <w:t xml:space="preserve">valuation </w:t>
      </w:r>
      <w:r w:rsidRPr="001428D3" w:rsidR="007A6D07">
        <w:t xml:space="preserve">standards </w:t>
      </w:r>
      <w:r w:rsidRPr="001428D3" w:rsidR="002945B0">
        <w:t xml:space="preserve">based on the </w:t>
      </w:r>
      <w:r w:rsidRPr="001428D3" w:rsidR="007A6D07">
        <w:t>financial and</w:t>
      </w:r>
      <w:r w:rsidRPr="001428D3" w:rsidR="002945B0">
        <w:t xml:space="preserve"> legal interests of the applicants. </w:t>
      </w:r>
      <w:r w:rsidRPr="001428D3" w:rsidR="000502F5">
        <w:t xml:space="preserve">The property had </w:t>
      </w:r>
      <w:r w:rsidRPr="001428D3" w:rsidR="007A6D07">
        <w:t xml:space="preserve">had </w:t>
      </w:r>
      <w:r w:rsidRPr="001428D3" w:rsidR="000502F5">
        <w:t xml:space="preserve">a higher value at the time of its expropriation. The experts had not specified the value of the specific </w:t>
      </w:r>
      <w:r w:rsidRPr="001428D3" w:rsidR="00FC28E7">
        <w:t xml:space="preserve">components of </w:t>
      </w:r>
      <w:r w:rsidRPr="001428D3" w:rsidR="000502F5">
        <w:t xml:space="preserve">the </w:t>
      </w:r>
      <w:r w:rsidRPr="001428D3" w:rsidR="00D34DE2">
        <w:t xml:space="preserve">relevant </w:t>
      </w:r>
      <w:r w:rsidRPr="001428D3" w:rsidR="000502F5">
        <w:t xml:space="preserve">calculation formula </w:t>
      </w:r>
      <w:r w:rsidRPr="001428D3" w:rsidR="007A6D07">
        <w:t>or</w:t>
      </w:r>
      <w:r w:rsidRPr="001428D3" w:rsidR="00D34DE2">
        <w:t xml:space="preserve"> </w:t>
      </w:r>
      <w:r w:rsidRPr="001428D3" w:rsidR="000502F5">
        <w:t xml:space="preserve">the market value for every flat in order to reflect the market value of the building. </w:t>
      </w:r>
      <w:r w:rsidRPr="001428D3" w:rsidR="00EA5EFD">
        <w:t xml:space="preserve">Nor had they </w:t>
      </w:r>
      <w:r w:rsidRPr="001428D3" w:rsidR="00966431">
        <w:t xml:space="preserve">taken into consideration all the official data </w:t>
      </w:r>
      <w:r w:rsidRPr="001428D3" w:rsidR="007A6D07">
        <w:t xml:space="preserve">in </w:t>
      </w:r>
      <w:r w:rsidRPr="001428D3" w:rsidR="00966431">
        <w:t xml:space="preserve">the </w:t>
      </w:r>
      <w:r w:rsidRPr="001428D3" w:rsidR="006532F0">
        <w:t>purchase agreements</w:t>
      </w:r>
      <w:r w:rsidRPr="001428D3" w:rsidR="00966431">
        <w:t xml:space="preserve"> for the flats. They also complained </w:t>
      </w:r>
      <w:r w:rsidRPr="001428D3" w:rsidR="007A6D07">
        <w:t>of</w:t>
      </w:r>
      <w:r w:rsidRPr="001428D3" w:rsidR="00966431">
        <w:t xml:space="preserve"> factual </w:t>
      </w:r>
      <w:r w:rsidRPr="001428D3" w:rsidR="00315D1E">
        <w:t xml:space="preserve">and calculation errors </w:t>
      </w:r>
      <w:r w:rsidRPr="001428D3" w:rsidR="00966431">
        <w:t>in the expert report</w:t>
      </w:r>
      <w:r w:rsidRPr="001428D3" w:rsidR="007A6D07">
        <w:t xml:space="preserve"> and</w:t>
      </w:r>
      <w:r w:rsidRPr="001428D3" w:rsidR="00821561">
        <w:t xml:space="preserve"> </w:t>
      </w:r>
      <w:r w:rsidRPr="001428D3" w:rsidR="0037283A">
        <w:t xml:space="preserve">requested </w:t>
      </w:r>
      <w:r w:rsidRPr="001428D3" w:rsidR="007A6D07">
        <w:t xml:space="preserve">that </w:t>
      </w:r>
      <w:r w:rsidRPr="001428D3" w:rsidR="0037283A">
        <w:t>another</w:t>
      </w:r>
      <w:r w:rsidRPr="001428D3" w:rsidR="007A6D07">
        <w:t xml:space="preserve"> be produced</w:t>
      </w:r>
      <w:r w:rsidRPr="001428D3" w:rsidR="0037283A">
        <w:t xml:space="preserve">. </w:t>
      </w:r>
      <w:r w:rsidRPr="001428D3" w:rsidR="00FD046E">
        <w:t>A</w:t>
      </w:r>
      <w:r w:rsidRPr="001428D3" w:rsidR="00A82713">
        <w:t>n appeal was also lodged by the Attorney General</w:t>
      </w:r>
      <w:r w:rsidRPr="001428D3" w:rsidR="001428D3">
        <w:t>’</w:t>
      </w:r>
      <w:r w:rsidRPr="001428D3" w:rsidR="00A82713">
        <w:t>s Office.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41</w:t>
      </w:r>
      <w:r w:rsidRPr="001428D3">
        <w:rPr>
          <w:noProof/>
        </w:rPr>
        <w:fldChar w:fldCharType="end"/>
      </w:r>
      <w:r w:rsidRPr="001428D3" w:rsidR="00A82713">
        <w:t xml:space="preserve">.  On 23 September 2014 the </w:t>
      </w:r>
      <w:r w:rsidRPr="001428D3" w:rsidR="00D703C0">
        <w:t>Administrative</w:t>
      </w:r>
      <w:r w:rsidRPr="001428D3" w:rsidR="00A82713">
        <w:t xml:space="preserve"> Court of Appeal upheld in part the District Court</w:t>
      </w:r>
      <w:r w:rsidRPr="001428D3" w:rsidR="001428D3">
        <w:t>’</w:t>
      </w:r>
      <w:r w:rsidRPr="001428D3" w:rsidR="00A82713">
        <w:t xml:space="preserve">s decision of 6 March 2014. </w:t>
      </w:r>
      <w:r w:rsidRPr="001428D3" w:rsidR="00EE30E4">
        <w:t>It reiterated the facts of the case as noted by the District Court</w:t>
      </w:r>
      <w:r w:rsidRPr="001428D3" w:rsidR="00C35877">
        <w:t xml:space="preserve"> and </w:t>
      </w:r>
      <w:r w:rsidRPr="001428D3" w:rsidR="00A82713">
        <w:t>upheld the amount of compensation awarded</w:t>
      </w:r>
      <w:r w:rsidRPr="001428D3" w:rsidR="006555D1">
        <w:t xml:space="preserve">, the </w:t>
      </w:r>
      <w:r w:rsidRPr="001428D3" w:rsidR="00AC0FB8">
        <w:t xml:space="preserve">size of the </w:t>
      </w:r>
      <w:r w:rsidRPr="001428D3" w:rsidR="006555D1">
        <w:t xml:space="preserve">construction land and the list of owners </w:t>
      </w:r>
      <w:r w:rsidRPr="001428D3" w:rsidR="0025591D">
        <w:t>concerned</w:t>
      </w:r>
      <w:r w:rsidRPr="001428D3" w:rsidR="00A82713">
        <w:t xml:space="preserve">. </w:t>
      </w:r>
      <w:r w:rsidRPr="001428D3" w:rsidR="00EE30E4">
        <w:t>It</w:t>
      </w:r>
      <w:r w:rsidRPr="001428D3" w:rsidR="00D703C0">
        <w:t xml:space="preserve"> </w:t>
      </w:r>
      <w:r w:rsidRPr="001428D3" w:rsidR="00D82C90">
        <w:t xml:space="preserve">decided that the </w:t>
      </w:r>
      <w:r w:rsidRPr="001428D3" w:rsidR="000A77E3">
        <w:t xml:space="preserve">applicants should be compensated individually </w:t>
      </w:r>
      <w:r w:rsidRPr="001428D3" w:rsidR="005B4ECA">
        <w:t>based on the size of</w:t>
      </w:r>
      <w:r w:rsidRPr="001428D3" w:rsidR="000A77E3">
        <w:t xml:space="preserve"> their property</w:t>
      </w:r>
      <w:r w:rsidRPr="001428D3" w:rsidR="005B4ECA">
        <w:t>. The</w:t>
      </w:r>
      <w:r w:rsidRPr="001428D3" w:rsidR="00544305">
        <w:t xml:space="preserve"> total amount of compensation </w:t>
      </w:r>
      <w:r w:rsidRPr="001428D3" w:rsidR="005B4ECA">
        <w:t>(</w:t>
      </w:r>
      <w:r w:rsidRPr="001428D3" w:rsidR="00544305">
        <w:t>ALL 1,580,712,321</w:t>
      </w:r>
      <w:r w:rsidRPr="001428D3" w:rsidR="005B4ECA">
        <w:t>) was to be</w:t>
      </w:r>
      <w:r w:rsidRPr="001428D3" w:rsidR="00544305">
        <w:t xml:space="preserve"> divided as follows: </w:t>
      </w:r>
      <w:r w:rsidRPr="001428D3" w:rsidR="00A71C38">
        <w:t>ALL </w:t>
      </w:r>
      <w:r w:rsidRPr="001428D3" w:rsidR="005B0745">
        <w:t>161,700 (</w:t>
      </w:r>
      <w:r w:rsidRPr="001428D3" w:rsidR="00D82C90">
        <w:t>EUR 1,155</w:t>
      </w:r>
      <w:r w:rsidRPr="001428D3" w:rsidR="005B4ECA">
        <w:t xml:space="preserve">) per </w:t>
      </w:r>
      <w:r w:rsidRPr="001428D3" w:rsidR="000A77E3">
        <w:t xml:space="preserve">square </w:t>
      </w:r>
      <w:r w:rsidRPr="001428D3" w:rsidR="005B4ECA">
        <w:t xml:space="preserve">metre </w:t>
      </w:r>
      <w:r w:rsidRPr="001428D3" w:rsidR="005B0745">
        <w:t>in respect of</w:t>
      </w:r>
      <w:r w:rsidRPr="001428D3" w:rsidR="00D82C90">
        <w:t xml:space="preserve"> </w:t>
      </w:r>
      <w:r w:rsidRPr="001428D3" w:rsidR="00874ECD">
        <w:t xml:space="preserve">the </w:t>
      </w:r>
      <w:r w:rsidRPr="001428D3" w:rsidR="005B4ECA">
        <w:t xml:space="preserve">flats, which measured </w:t>
      </w:r>
      <w:r w:rsidRPr="001428D3" w:rsidR="00D82C90">
        <w:t xml:space="preserve">6,564.79 square </w:t>
      </w:r>
      <w:r w:rsidRPr="001428D3" w:rsidR="00A74944">
        <w:t>metre</w:t>
      </w:r>
      <w:r w:rsidRPr="001428D3" w:rsidR="005B4ECA">
        <w:t>s in total</w:t>
      </w:r>
      <w:r w:rsidRPr="001428D3" w:rsidR="000A77E3">
        <w:t xml:space="preserve">, </w:t>
      </w:r>
      <w:r w:rsidRPr="001428D3" w:rsidR="00D82C90">
        <w:t xml:space="preserve">and </w:t>
      </w:r>
      <w:r w:rsidRPr="001428D3" w:rsidR="005B0745">
        <w:t>ALL</w:t>
      </w:r>
      <w:r w:rsidRPr="001428D3" w:rsidR="009B0EA9">
        <w:t> </w:t>
      </w:r>
      <w:r w:rsidRPr="001428D3" w:rsidR="005B0745">
        <w:t>280,000 (</w:t>
      </w:r>
      <w:r w:rsidRPr="001428D3" w:rsidR="00D82C90">
        <w:t>EUR 2,000</w:t>
      </w:r>
      <w:r w:rsidRPr="001428D3" w:rsidR="005B0745">
        <w:t>)</w:t>
      </w:r>
      <w:r w:rsidRPr="001428D3" w:rsidR="005B4ECA">
        <w:t xml:space="preserve"> per </w:t>
      </w:r>
      <w:r w:rsidRPr="001428D3" w:rsidR="000A77E3">
        <w:t xml:space="preserve">square </w:t>
      </w:r>
      <w:r w:rsidRPr="001428D3" w:rsidR="005B4ECA">
        <w:t xml:space="preserve">metre </w:t>
      </w:r>
      <w:r w:rsidRPr="001428D3" w:rsidR="005B0745">
        <w:t xml:space="preserve">in respect of </w:t>
      </w:r>
      <w:r w:rsidRPr="001428D3" w:rsidR="00874ECD">
        <w:t xml:space="preserve">the </w:t>
      </w:r>
      <w:r w:rsidRPr="001428D3" w:rsidR="00166119">
        <w:t xml:space="preserve">business </w:t>
      </w:r>
      <w:r w:rsidRPr="001428D3" w:rsidR="00D82C90">
        <w:t>premises</w:t>
      </w:r>
      <w:r w:rsidRPr="001428D3" w:rsidR="005B4ECA">
        <w:t>, which measured</w:t>
      </w:r>
      <w:r w:rsidRPr="001428D3" w:rsidR="00D82C90">
        <w:t xml:space="preserve"> 1,831.63 square </w:t>
      </w:r>
      <w:r w:rsidRPr="001428D3" w:rsidR="00A74944">
        <w:t>metres</w:t>
      </w:r>
      <w:r w:rsidRPr="001428D3" w:rsidR="005B4ECA">
        <w:t xml:space="preserve"> in total</w:t>
      </w:r>
      <w:r w:rsidRPr="001428D3" w:rsidR="00171B30">
        <w:t xml:space="preserve">. </w:t>
      </w:r>
      <w:r w:rsidRPr="001428D3" w:rsidR="00AC0FB8">
        <w:t xml:space="preserve">It decided that the value calculated in the expert report represented </w:t>
      </w:r>
      <w:r w:rsidRPr="001428D3" w:rsidR="005B4ECA">
        <w:t xml:space="preserve">the </w:t>
      </w:r>
      <w:r w:rsidRPr="001428D3" w:rsidR="00AC0FB8">
        <w:t>real value and just compensation in accordance with the Constitution, the European Convention, the Expropriation Act and other by</w:t>
      </w:r>
      <w:r w:rsidRPr="001428D3" w:rsidR="005B4ECA">
        <w:t>-</w:t>
      </w:r>
      <w:r w:rsidRPr="001428D3" w:rsidR="00AC0FB8">
        <w:t>laws. I</w:t>
      </w:r>
      <w:r w:rsidRPr="001428D3" w:rsidR="00A82713">
        <w:t xml:space="preserve">t ruled that the compensation was to be paid by the </w:t>
      </w:r>
      <w:r w:rsidRPr="001428D3" w:rsidR="000F50CC">
        <w:t>Council of Ministers</w:t>
      </w:r>
      <w:r w:rsidRPr="001428D3" w:rsidR="00A82713">
        <w:t xml:space="preserve"> in one </w:t>
      </w:r>
      <w:r w:rsidRPr="001428D3" w:rsidR="0025591D">
        <w:t>lump sum</w:t>
      </w:r>
      <w:r w:rsidRPr="001428D3" w:rsidR="00A82713">
        <w:t xml:space="preserve">. </w:t>
      </w:r>
      <w:r w:rsidRPr="001428D3" w:rsidR="006555D1">
        <w:t xml:space="preserve">The </w:t>
      </w:r>
      <w:r w:rsidRPr="001428D3" w:rsidR="000F50CC">
        <w:t>Council of Ministers</w:t>
      </w:r>
      <w:r w:rsidRPr="001428D3" w:rsidR="006555D1">
        <w:t xml:space="preserve"> was also obliged to pay the </w:t>
      </w:r>
      <w:r w:rsidRPr="001428D3" w:rsidR="0083526F">
        <w:t>legal</w:t>
      </w:r>
      <w:r w:rsidRPr="001428D3" w:rsidR="006555D1">
        <w:t xml:space="preserve"> costs and expenses.</w:t>
      </w:r>
    </w:p>
    <w:p w:rsidRPr="001428D3" w:rsidR="005521CC" w:rsidP="001428D3" w:rsidRDefault="0083526F">
      <w:pPr>
        <w:pStyle w:val="ECHRHeading4"/>
      </w:pPr>
      <w:r w:rsidRPr="001428D3">
        <w:t xml:space="preserve">(c)  Proceedings </w:t>
      </w:r>
      <w:r w:rsidRPr="001428D3" w:rsidR="00F62159">
        <w:t>in</w:t>
      </w:r>
      <w:r w:rsidRPr="001428D3">
        <w:t xml:space="preserve"> the Supreme Court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42</w:t>
      </w:r>
      <w:r w:rsidRPr="001428D3">
        <w:rPr>
          <w:noProof/>
        </w:rPr>
        <w:fldChar w:fldCharType="end"/>
      </w:r>
      <w:r w:rsidRPr="001428D3" w:rsidR="00A82713">
        <w:t>.  Both the applicants and the Attorney General</w:t>
      </w:r>
      <w:r w:rsidRPr="001428D3" w:rsidR="001428D3">
        <w:t>’</w:t>
      </w:r>
      <w:r w:rsidRPr="001428D3" w:rsidR="00A82713">
        <w:t>s Office lodged an appeal with the Supreme Court against the lower courts</w:t>
      </w:r>
      <w:r w:rsidRPr="001428D3" w:rsidR="001428D3">
        <w:t>’</w:t>
      </w:r>
      <w:r w:rsidRPr="001428D3" w:rsidR="00A82713">
        <w:t xml:space="preserve"> judgments. The applicants requested a higher </w:t>
      </w:r>
      <w:r w:rsidRPr="001428D3" w:rsidR="0025591D">
        <w:t>amount of</w:t>
      </w:r>
      <w:r w:rsidRPr="001428D3" w:rsidR="00A82713">
        <w:t xml:space="preserve"> compensation for their expropriated property. The </w:t>
      </w:r>
      <w:r w:rsidRPr="001428D3" w:rsidR="000F50CC">
        <w:t>Council of Ministers</w:t>
      </w:r>
      <w:r w:rsidRPr="001428D3" w:rsidR="00A82713">
        <w:t>, however, requested that the execution of the</w:t>
      </w:r>
      <w:r w:rsidRPr="001428D3" w:rsidR="00A2493B">
        <w:t xml:space="preserve"> decision</w:t>
      </w:r>
      <w:r w:rsidRPr="001428D3" w:rsidR="00A82713">
        <w:t xml:space="preserve"> be stayed.</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43</w:t>
      </w:r>
      <w:r w:rsidRPr="001428D3">
        <w:rPr>
          <w:noProof/>
        </w:rPr>
        <w:fldChar w:fldCharType="end"/>
      </w:r>
      <w:r w:rsidRPr="001428D3" w:rsidR="00A82713">
        <w:t>.  On 15 January 2015 the Supreme Court</w:t>
      </w:r>
      <w:r w:rsidRPr="001428D3" w:rsidR="00CA7A57">
        <w:t>,</w:t>
      </w:r>
      <w:r w:rsidRPr="001428D3" w:rsidR="00A82713">
        <w:t xml:space="preserve"> on the basis of Article 479 of the CCP allowed the request of the </w:t>
      </w:r>
      <w:r w:rsidRPr="001428D3" w:rsidR="000F50CC">
        <w:t>Council of Ministers</w:t>
      </w:r>
      <w:r w:rsidRPr="001428D3" w:rsidR="00A82713">
        <w:t xml:space="preserve"> and the proceedings were stayed. </w:t>
      </w:r>
      <w:r w:rsidRPr="001428D3" w:rsidR="007224CC">
        <w:t xml:space="preserve">The decision </w:t>
      </w:r>
      <w:r w:rsidRPr="001428D3" w:rsidR="00CA7A57">
        <w:t>contained no reasoning</w:t>
      </w:r>
      <w:r w:rsidRPr="001428D3" w:rsidR="007224CC">
        <w:t xml:space="preserve">. </w:t>
      </w:r>
      <w:r w:rsidRPr="001428D3" w:rsidR="00A82713">
        <w:t xml:space="preserve">The case is still pending before the Supreme Court. There is no information in the case file on what grounds the </w:t>
      </w:r>
      <w:r w:rsidRPr="001428D3" w:rsidR="000F50CC">
        <w:t>Council of Ministers</w:t>
      </w:r>
      <w:r w:rsidRPr="001428D3" w:rsidR="00A82713">
        <w:t xml:space="preserve"> appealed </w:t>
      </w:r>
      <w:r w:rsidRPr="001428D3" w:rsidR="00CA7A57">
        <w:t xml:space="preserve">against </w:t>
      </w:r>
      <w:r w:rsidRPr="001428D3" w:rsidR="00A82713">
        <w:t>the lower courts</w:t>
      </w:r>
      <w:r w:rsidRPr="001428D3" w:rsidR="001428D3">
        <w:t>’</w:t>
      </w:r>
      <w:r w:rsidRPr="001428D3" w:rsidR="00A82713">
        <w:t xml:space="preserve"> </w:t>
      </w:r>
      <w:r w:rsidRPr="001428D3" w:rsidR="00A2493B">
        <w:t>decisions</w:t>
      </w:r>
      <w:r w:rsidRPr="001428D3" w:rsidR="00A82713">
        <w:t xml:space="preserve"> and requested </w:t>
      </w:r>
      <w:r w:rsidRPr="001428D3" w:rsidR="00263368">
        <w:t xml:space="preserve">a </w:t>
      </w:r>
      <w:r w:rsidRPr="001428D3" w:rsidR="00A82713">
        <w:t>stay of execution.</w:t>
      </w:r>
      <w:bookmarkStart w:name="_Toc480367219" w:id="23"/>
      <w:bookmarkStart w:name="_Toc480559186" w:id="24"/>
      <w:bookmarkStart w:name="_Toc481504546" w:id="25"/>
    </w:p>
    <w:p w:rsidRPr="001428D3" w:rsidR="00A82713" w:rsidP="001428D3" w:rsidRDefault="000C68A1">
      <w:pPr>
        <w:pStyle w:val="ECHRHeading2"/>
      </w:pPr>
      <w:bookmarkStart w:name="_Toc498016739" w:id="26"/>
      <w:r w:rsidRPr="001428D3">
        <w:t>F</w:t>
      </w:r>
      <w:r w:rsidRPr="001428D3" w:rsidR="00A82713">
        <w:t>.  Criminal proceedings against State officials</w:t>
      </w:r>
      <w:bookmarkEnd w:id="23"/>
      <w:bookmarkEnd w:id="24"/>
      <w:bookmarkEnd w:id="25"/>
      <w:bookmarkEnd w:id="26"/>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44</w:t>
      </w:r>
      <w:r w:rsidRPr="001428D3">
        <w:rPr>
          <w:noProof/>
        </w:rPr>
        <w:fldChar w:fldCharType="end"/>
      </w:r>
      <w:r w:rsidRPr="001428D3" w:rsidR="00A82713">
        <w:t>.  </w:t>
      </w:r>
      <w:r w:rsidRPr="001428D3" w:rsidR="003302A0">
        <w:t>It appears from the Ombudsman</w:t>
      </w:r>
      <w:r w:rsidRPr="001428D3" w:rsidR="001428D3">
        <w:t>’</w:t>
      </w:r>
      <w:r w:rsidRPr="001428D3" w:rsidR="003302A0">
        <w:t>s letter of 13</w:t>
      </w:r>
      <w:r w:rsidRPr="001428D3" w:rsidR="00B95966">
        <w:t> </w:t>
      </w:r>
      <w:r w:rsidRPr="001428D3" w:rsidR="00A71C38">
        <w:t>November 2013 (see </w:t>
      </w:r>
      <w:r w:rsidRPr="001428D3" w:rsidR="003302A0">
        <w:t xml:space="preserve">paragraph </w:t>
      </w:r>
      <w:r w:rsidRPr="001428D3" w:rsidR="00AB71AD">
        <w:t xml:space="preserve">24 </w:t>
      </w:r>
      <w:r w:rsidRPr="001428D3" w:rsidR="003302A0">
        <w:t xml:space="preserve">above) that on </w:t>
      </w:r>
      <w:r w:rsidRPr="001428D3" w:rsidR="00A82713">
        <w:t>18 February 2011</w:t>
      </w:r>
      <w:r w:rsidRPr="001428D3" w:rsidR="00CD7AAC">
        <w:t xml:space="preserve"> </w:t>
      </w:r>
      <w:r w:rsidRPr="001428D3" w:rsidR="003302A0">
        <w:t xml:space="preserve">the </w:t>
      </w:r>
      <w:r w:rsidRPr="001428D3" w:rsidR="00A82713">
        <w:t xml:space="preserve">NUCI lodged a criminal complaint with the Vlora District Prosecutor against the head of </w:t>
      </w:r>
      <w:r w:rsidRPr="001428D3" w:rsidR="0025591D">
        <w:t xml:space="preserve">the </w:t>
      </w:r>
      <w:r w:rsidRPr="001428D3" w:rsidR="00A82713">
        <w:t xml:space="preserve">Vlora Urban </w:t>
      </w:r>
      <w:r w:rsidRPr="001428D3" w:rsidR="00BE44F2">
        <w:t xml:space="preserve">Planning </w:t>
      </w:r>
      <w:r w:rsidRPr="001428D3" w:rsidR="00A82713">
        <w:t xml:space="preserve">Department, alleging irregularities in the proceedings leading to the granting of the </w:t>
      </w:r>
      <w:r w:rsidRPr="001428D3" w:rsidR="00F82678">
        <w:t>building</w:t>
      </w:r>
      <w:r w:rsidRPr="001428D3" w:rsidR="00A82713">
        <w:t xml:space="preserve"> permit</w:t>
      </w:r>
      <w:r w:rsidRPr="001428D3" w:rsidR="00F82678">
        <w:t xml:space="preserve"> on 17 August 2010</w:t>
      </w:r>
      <w:r w:rsidRPr="001428D3" w:rsidR="00A82713">
        <w:t xml:space="preserve">. The case was sent </w:t>
      </w:r>
      <w:r w:rsidRPr="001428D3" w:rsidR="00F82678">
        <w:t>to</w:t>
      </w:r>
      <w:r w:rsidRPr="001428D3" w:rsidR="00A82713">
        <w:t xml:space="preserve"> the Vlora District Court</w:t>
      </w:r>
      <w:r w:rsidRPr="001428D3" w:rsidR="00F82678">
        <w:t xml:space="preserve"> for trial</w:t>
      </w:r>
      <w:r w:rsidRPr="001428D3" w:rsidR="00A82713">
        <w:t>. There is no information about the outcome of th</w:t>
      </w:r>
      <w:r w:rsidRPr="001428D3" w:rsidR="00DD5CCE">
        <w:t>o</w:t>
      </w:r>
      <w:r w:rsidRPr="001428D3" w:rsidR="00A82713">
        <w:t>se proceedings.</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45</w:t>
      </w:r>
      <w:r w:rsidRPr="001428D3">
        <w:rPr>
          <w:noProof/>
        </w:rPr>
        <w:fldChar w:fldCharType="end"/>
      </w:r>
      <w:r w:rsidRPr="001428D3" w:rsidR="00A82713">
        <w:t xml:space="preserve">.  On 4 November 2013 </w:t>
      </w:r>
      <w:r w:rsidRPr="001428D3" w:rsidR="00F43218">
        <w:t>the first applicant</w:t>
      </w:r>
      <w:r w:rsidRPr="001428D3" w:rsidR="00E41F6A">
        <w:t xml:space="preserve"> and another resident</w:t>
      </w:r>
      <w:r w:rsidRPr="001428D3" w:rsidR="0012455E">
        <w:t xml:space="preserve"> </w:t>
      </w:r>
      <w:r w:rsidRPr="001428D3" w:rsidR="00A82713">
        <w:t xml:space="preserve">lodged </w:t>
      </w:r>
      <w:r w:rsidRPr="001428D3" w:rsidR="00E41F6A">
        <w:t>two</w:t>
      </w:r>
      <w:r w:rsidRPr="001428D3" w:rsidR="00A82713">
        <w:t xml:space="preserve"> </w:t>
      </w:r>
      <w:r w:rsidRPr="001428D3" w:rsidR="00F82678">
        <w:t xml:space="preserve">separate </w:t>
      </w:r>
      <w:r w:rsidRPr="001428D3" w:rsidR="00A82713">
        <w:t>criminal complaint</w:t>
      </w:r>
      <w:r w:rsidRPr="001428D3" w:rsidR="00E41F6A">
        <w:t>s</w:t>
      </w:r>
      <w:r w:rsidRPr="001428D3" w:rsidR="00A82713">
        <w:t xml:space="preserve"> with the District Prosecutor, alleging abuse of power on the part of officials of </w:t>
      </w:r>
      <w:r w:rsidRPr="001428D3" w:rsidR="00F82678">
        <w:t xml:space="preserve">the </w:t>
      </w:r>
      <w:r w:rsidRPr="001428D3" w:rsidR="00A82713">
        <w:t xml:space="preserve">NUCI and the police officers </w:t>
      </w:r>
      <w:r w:rsidRPr="001428D3" w:rsidR="00575F4A">
        <w:t xml:space="preserve">of the State Police </w:t>
      </w:r>
      <w:r w:rsidRPr="001428D3" w:rsidR="00A82713">
        <w:t xml:space="preserve">involved in the seizure of the Jon Residence on 3 </w:t>
      </w:r>
      <w:r w:rsidRPr="001428D3" w:rsidR="00904AFF">
        <w:t>and 4</w:t>
      </w:r>
      <w:r w:rsidRPr="001428D3" w:rsidR="00E40ABC">
        <w:t> </w:t>
      </w:r>
      <w:r w:rsidRPr="001428D3" w:rsidR="00A82713">
        <w:t>November 2013</w:t>
      </w:r>
      <w:r w:rsidRPr="001428D3" w:rsidR="00904AFF">
        <w:t>.</w:t>
      </w:r>
      <w:r w:rsidRPr="001428D3" w:rsidR="00A82713">
        <w:t xml:space="preserve"> </w:t>
      </w:r>
      <w:r w:rsidRPr="001428D3" w:rsidR="00E41F6A">
        <w:t>They</w:t>
      </w:r>
      <w:r w:rsidRPr="001428D3" w:rsidR="00A82713">
        <w:t xml:space="preserve"> complained that </w:t>
      </w:r>
      <w:r w:rsidRPr="001428D3" w:rsidR="00E41F6A">
        <w:t xml:space="preserve">they </w:t>
      </w:r>
      <w:r w:rsidRPr="001428D3" w:rsidR="00820A6E">
        <w:t xml:space="preserve">had </w:t>
      </w:r>
      <w:r w:rsidRPr="001428D3" w:rsidR="00EF010C">
        <w:t xml:space="preserve">not </w:t>
      </w:r>
      <w:r w:rsidRPr="001428D3" w:rsidR="00820A6E">
        <w:t xml:space="preserve">been </w:t>
      </w:r>
      <w:r w:rsidRPr="001428D3" w:rsidR="00EF010C">
        <w:t xml:space="preserve">allowed to enter </w:t>
      </w:r>
      <w:r w:rsidRPr="001428D3" w:rsidR="00E41F6A">
        <w:t>their</w:t>
      </w:r>
      <w:r w:rsidRPr="001428D3" w:rsidR="00EF010C">
        <w:t xml:space="preserve"> home</w:t>
      </w:r>
      <w:r w:rsidRPr="001428D3" w:rsidR="00C976E9">
        <w:t>s</w:t>
      </w:r>
      <w:r w:rsidRPr="001428D3" w:rsidR="00820A6E">
        <w:t xml:space="preserve">, </w:t>
      </w:r>
      <w:r w:rsidRPr="001428D3" w:rsidR="00EF010C">
        <w:t>that the State Police had cordoned off the building with</w:t>
      </w:r>
      <w:r w:rsidRPr="001428D3" w:rsidR="00DD5CCE">
        <w:t xml:space="preserve"> police</w:t>
      </w:r>
      <w:r w:rsidRPr="001428D3" w:rsidR="00EF010C">
        <w:t xml:space="preserve"> crime scene tape and that inspectors of </w:t>
      </w:r>
      <w:r w:rsidRPr="001428D3" w:rsidR="00820A6E">
        <w:t xml:space="preserve">the </w:t>
      </w:r>
      <w:r w:rsidRPr="001428D3" w:rsidR="00EF010C">
        <w:t>NUCI had entered the building.</w:t>
      </w:r>
      <w:r w:rsidRPr="001428D3" w:rsidR="00A82713">
        <w:t xml:space="preserve"> </w:t>
      </w:r>
      <w:r w:rsidRPr="001428D3" w:rsidR="002C3D37">
        <w:t xml:space="preserve">They also asked the authorities to </w:t>
      </w:r>
      <w:r w:rsidRPr="001428D3" w:rsidR="007D7FBC">
        <w:t xml:space="preserve">take measures </w:t>
      </w:r>
      <w:r w:rsidRPr="001428D3" w:rsidR="00820A6E">
        <w:t xml:space="preserve">to </w:t>
      </w:r>
      <w:r w:rsidRPr="001428D3" w:rsidR="002C3D37">
        <w:t xml:space="preserve">end </w:t>
      </w:r>
      <w:r w:rsidRPr="001428D3" w:rsidR="00820A6E">
        <w:t xml:space="preserve">the </w:t>
      </w:r>
      <w:r w:rsidRPr="001428D3" w:rsidR="002C3D37">
        <w:t xml:space="preserve">arbitrary interference </w:t>
      </w:r>
      <w:r w:rsidRPr="001428D3" w:rsidR="00820A6E">
        <w:t xml:space="preserve">with </w:t>
      </w:r>
      <w:r w:rsidRPr="001428D3" w:rsidR="002C3D37">
        <w:t>their property rights</w:t>
      </w:r>
      <w:r w:rsidRPr="001428D3" w:rsidR="00820A6E">
        <w:t>,</w:t>
      </w:r>
      <w:r w:rsidRPr="001428D3" w:rsidR="002C3D37">
        <w:t xml:space="preserve"> which was still continuing the day that they </w:t>
      </w:r>
      <w:r w:rsidRPr="001428D3" w:rsidR="00820A6E">
        <w:t>lodged</w:t>
      </w:r>
      <w:r w:rsidRPr="001428D3" w:rsidR="002C3D37">
        <w:t xml:space="preserve"> the criminal complaint.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46</w:t>
      </w:r>
      <w:r w:rsidRPr="001428D3">
        <w:rPr>
          <w:noProof/>
        </w:rPr>
        <w:fldChar w:fldCharType="end"/>
      </w:r>
      <w:r w:rsidRPr="001428D3" w:rsidR="00C54EFC">
        <w:t>.  </w:t>
      </w:r>
      <w:r w:rsidRPr="001428D3" w:rsidR="00FF7947">
        <w:t>In February 2014 the District Prosecutor decided not to initiate criminal proceedings</w:t>
      </w:r>
      <w:r w:rsidRPr="001428D3" w:rsidR="00820A6E">
        <w:t>,</w:t>
      </w:r>
      <w:r w:rsidRPr="001428D3" w:rsidR="00FF7947">
        <w:t xml:space="preserve"> on the ground</w:t>
      </w:r>
      <w:r w:rsidRPr="001428D3" w:rsidR="0073427A">
        <w:t>s</w:t>
      </w:r>
      <w:r w:rsidRPr="001428D3" w:rsidR="00FF7947">
        <w:t xml:space="preserve"> that the </w:t>
      </w:r>
      <w:r w:rsidRPr="001428D3" w:rsidR="0073427A">
        <w:t xml:space="preserve">actions </w:t>
      </w:r>
      <w:r w:rsidRPr="001428D3" w:rsidR="000F688F">
        <w:t>did not constitute</w:t>
      </w:r>
      <w:r w:rsidRPr="001428D3" w:rsidR="00FF7947">
        <w:t xml:space="preserve"> a criminal offence</w:t>
      </w:r>
      <w:r w:rsidRPr="001428D3" w:rsidR="000F688F">
        <w:t xml:space="preserve"> </w:t>
      </w:r>
      <w:r w:rsidRPr="001428D3" w:rsidR="000F688F">
        <w:rPr>
          <w:i/>
        </w:rPr>
        <w:t xml:space="preserve">(fakti </w:t>
      </w:r>
      <w:r w:rsidRPr="001428D3" w:rsidR="0032518D">
        <w:rPr>
          <w:i/>
        </w:rPr>
        <w:t xml:space="preserve">i kallëzuar </w:t>
      </w:r>
      <w:r w:rsidRPr="001428D3" w:rsidR="000F688F">
        <w:rPr>
          <w:i/>
        </w:rPr>
        <w:t>nuk parashikohet nga ligji si vepër penale)</w:t>
      </w:r>
      <w:r w:rsidRPr="001428D3" w:rsidR="00FF7947">
        <w:rPr>
          <w:i/>
        </w:rPr>
        <w:t>.</w:t>
      </w:r>
      <w:r w:rsidRPr="001428D3" w:rsidR="00FF7947">
        <w:t xml:space="preserve"> </w:t>
      </w:r>
      <w:r w:rsidRPr="001428D3" w:rsidR="00820A6E">
        <w:t xml:space="preserve">It </w:t>
      </w:r>
      <w:r w:rsidRPr="001428D3" w:rsidR="008000EA">
        <w:t>reasoned that the NUCI</w:t>
      </w:r>
      <w:r w:rsidRPr="001428D3" w:rsidR="001428D3">
        <w:t>’</w:t>
      </w:r>
      <w:r w:rsidRPr="001428D3" w:rsidR="00820A6E">
        <w:t>s</w:t>
      </w:r>
      <w:r w:rsidRPr="001428D3" w:rsidR="008000EA">
        <w:t xml:space="preserve"> employe</w:t>
      </w:r>
      <w:r w:rsidRPr="001428D3" w:rsidR="00BF237F">
        <w:t>e</w:t>
      </w:r>
      <w:r w:rsidRPr="001428D3" w:rsidR="008000EA">
        <w:t xml:space="preserve">s under domestic law had been entitled to carry out the </w:t>
      </w:r>
      <w:r w:rsidRPr="001428D3" w:rsidR="00BF237F">
        <w:t xml:space="preserve">inspection </w:t>
      </w:r>
      <w:r w:rsidRPr="001428D3" w:rsidR="008000EA">
        <w:t xml:space="preserve">and verify the regularity of the documents concerning the approval of the </w:t>
      </w:r>
      <w:r w:rsidRPr="001428D3" w:rsidR="00820A6E">
        <w:t xml:space="preserve">building </w:t>
      </w:r>
      <w:r w:rsidRPr="001428D3" w:rsidR="008000EA">
        <w:t xml:space="preserve">permit and the implementation of </w:t>
      </w:r>
      <w:r w:rsidRPr="001428D3" w:rsidR="005514F4">
        <w:t>its</w:t>
      </w:r>
      <w:r w:rsidRPr="001428D3" w:rsidR="008000EA">
        <w:t xml:space="preserve"> technical </w:t>
      </w:r>
      <w:r w:rsidRPr="001428D3" w:rsidR="00272787">
        <w:t xml:space="preserve">standards </w:t>
      </w:r>
      <w:r w:rsidRPr="001428D3" w:rsidR="005514F4">
        <w:t xml:space="preserve">by the </w:t>
      </w:r>
      <w:r w:rsidRPr="001428D3" w:rsidR="00820A6E">
        <w:t xml:space="preserve">construction </w:t>
      </w:r>
      <w:r w:rsidRPr="001428D3" w:rsidR="005514F4">
        <w:t xml:space="preserve">company. </w:t>
      </w:r>
      <w:r w:rsidRPr="001428D3" w:rsidR="008000EA">
        <w:t xml:space="preserve">They had </w:t>
      </w:r>
      <w:r w:rsidRPr="001428D3" w:rsidR="005514F4">
        <w:t xml:space="preserve">accordingly been entitled to enter the premises of the Jon Residence. </w:t>
      </w:r>
      <w:r w:rsidRPr="001428D3" w:rsidR="00820A6E">
        <w:t xml:space="preserve">Furthermore, </w:t>
      </w:r>
      <w:r w:rsidRPr="001428D3" w:rsidR="00541BDC">
        <w:t>the officers of the State Police had been entitled to cooperate</w:t>
      </w:r>
      <w:r w:rsidRPr="001428D3" w:rsidR="00272787">
        <w:t xml:space="preserve"> with</w:t>
      </w:r>
      <w:r w:rsidRPr="001428D3" w:rsidR="00541BDC">
        <w:t xml:space="preserve"> and support the NUCI. After the authorities had carried out</w:t>
      </w:r>
      <w:r w:rsidRPr="001428D3" w:rsidR="00820A6E">
        <w:t xml:space="preserve"> the </w:t>
      </w:r>
      <w:r w:rsidRPr="001428D3" w:rsidR="00BF237F">
        <w:t xml:space="preserve">inspection </w:t>
      </w:r>
      <w:r w:rsidRPr="001428D3" w:rsidR="00541BDC">
        <w:t xml:space="preserve">criminal proceedings </w:t>
      </w:r>
      <w:r w:rsidRPr="001428D3" w:rsidR="00820A6E">
        <w:t xml:space="preserve">had been </w:t>
      </w:r>
      <w:r w:rsidRPr="001428D3" w:rsidR="00541BDC">
        <w:t xml:space="preserve">instituted, therefore the suspicion </w:t>
      </w:r>
      <w:r w:rsidRPr="001428D3" w:rsidR="00FC273E">
        <w:t>of</w:t>
      </w:r>
      <w:r w:rsidRPr="001428D3" w:rsidR="00541BDC">
        <w:t xml:space="preserve"> non-compliance with the rules and urban </w:t>
      </w:r>
      <w:r w:rsidRPr="001428D3" w:rsidR="005942DE">
        <w:t xml:space="preserve">planning </w:t>
      </w:r>
      <w:r w:rsidRPr="001428D3" w:rsidR="00541BDC">
        <w:t>conditions had been real</w:t>
      </w:r>
      <w:r w:rsidRPr="001428D3" w:rsidR="00FC273E">
        <w:t>istic</w:t>
      </w:r>
      <w:r w:rsidRPr="001428D3" w:rsidR="00541BDC">
        <w:t xml:space="preserve">. </w:t>
      </w:r>
      <w:r w:rsidRPr="001428D3" w:rsidR="00DD3E73">
        <w:t xml:space="preserve">The </w:t>
      </w:r>
      <w:r w:rsidRPr="001428D3" w:rsidR="001D78C2">
        <w:t xml:space="preserve">District </w:t>
      </w:r>
      <w:r w:rsidRPr="001428D3" w:rsidR="00DD3E73">
        <w:t>Prosecutor</w:t>
      </w:r>
      <w:r w:rsidRPr="001428D3" w:rsidR="00541BDC">
        <w:t xml:space="preserve"> further reasone</w:t>
      </w:r>
      <w:r w:rsidRPr="001428D3" w:rsidR="00444F53">
        <w:t xml:space="preserve">d that one of the complainants </w:t>
      </w:r>
      <w:r w:rsidRPr="001428D3" w:rsidR="00541BDC">
        <w:t xml:space="preserve">had </w:t>
      </w:r>
      <w:r w:rsidRPr="001428D3" w:rsidR="00820A6E">
        <w:t xml:space="preserve">said </w:t>
      </w:r>
      <w:r w:rsidRPr="001428D3" w:rsidR="00541BDC">
        <w:t xml:space="preserve">that when he </w:t>
      </w:r>
      <w:r w:rsidRPr="001428D3" w:rsidR="00904AFF">
        <w:t xml:space="preserve">had </w:t>
      </w:r>
      <w:r w:rsidRPr="001428D3" w:rsidR="00820A6E">
        <w:t>returned</w:t>
      </w:r>
      <w:r w:rsidRPr="001428D3" w:rsidR="00F43218">
        <w:t xml:space="preserve"> </w:t>
      </w:r>
      <w:r w:rsidRPr="001428D3" w:rsidR="00820A6E">
        <w:t xml:space="preserve">to </w:t>
      </w:r>
      <w:r w:rsidRPr="001428D3" w:rsidR="00904AFF">
        <w:t xml:space="preserve">the building </w:t>
      </w:r>
      <w:r w:rsidRPr="001428D3" w:rsidR="00543016">
        <w:t xml:space="preserve">the following day </w:t>
      </w:r>
      <w:r w:rsidRPr="001428D3" w:rsidR="00904AFF">
        <w:t>he ha</w:t>
      </w:r>
      <w:r w:rsidRPr="001428D3" w:rsidR="00543016">
        <w:t>d</w:t>
      </w:r>
      <w:r w:rsidRPr="001428D3" w:rsidR="00904AFF">
        <w:t xml:space="preserve"> seen officers of the State Police in</w:t>
      </w:r>
      <w:r w:rsidRPr="001428D3" w:rsidR="00820A6E">
        <w:t>side</w:t>
      </w:r>
      <w:r w:rsidRPr="001428D3" w:rsidR="00904AFF">
        <w:t xml:space="preserve"> </w:t>
      </w:r>
      <w:r w:rsidRPr="001428D3" w:rsidR="00820A6E">
        <w:t>and</w:t>
      </w:r>
      <w:r w:rsidRPr="001428D3" w:rsidR="00541BDC">
        <w:t xml:space="preserve"> </w:t>
      </w:r>
      <w:r w:rsidRPr="001428D3" w:rsidR="00904AFF">
        <w:t xml:space="preserve">had been allowed to enter </w:t>
      </w:r>
      <w:r w:rsidRPr="001428D3" w:rsidR="00820A6E">
        <w:t xml:space="preserve">his </w:t>
      </w:r>
      <w:r w:rsidRPr="001428D3" w:rsidR="00C62010">
        <w:t xml:space="preserve">flat </w:t>
      </w:r>
      <w:r w:rsidRPr="001428D3" w:rsidR="00904AFF">
        <w:t xml:space="preserve">freely </w:t>
      </w:r>
      <w:r w:rsidRPr="001428D3" w:rsidR="00820A6E">
        <w:t>after showing them his certificate of ownership</w:t>
      </w:r>
      <w:r w:rsidRPr="001428D3" w:rsidR="00904AFF">
        <w:t>. Th</w:t>
      </w:r>
      <w:r w:rsidRPr="001428D3" w:rsidR="00B70DAA">
        <w:t>at</w:t>
      </w:r>
      <w:r w:rsidRPr="001428D3" w:rsidR="00904AFF">
        <w:t xml:space="preserve"> statement had also been corroborated with the information given by the NUCI and the Vlora </w:t>
      </w:r>
      <w:r w:rsidRPr="001428D3" w:rsidR="00820A6E">
        <w:t>p</w:t>
      </w:r>
      <w:r w:rsidRPr="001428D3" w:rsidR="00904AFF">
        <w:t>olice</w:t>
      </w:r>
      <w:r w:rsidRPr="001428D3" w:rsidR="00AF2A1C">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47</w:t>
      </w:r>
      <w:r w:rsidRPr="001428D3">
        <w:rPr>
          <w:noProof/>
        </w:rPr>
        <w:fldChar w:fldCharType="end"/>
      </w:r>
      <w:r w:rsidRPr="001428D3" w:rsidR="00162AAE">
        <w:t>.  </w:t>
      </w:r>
      <w:r w:rsidRPr="001428D3" w:rsidR="00A82713">
        <w:t xml:space="preserve">On 18 December 2013 the District Prosecutor, following a request lodged by the Taskforce for </w:t>
      </w:r>
      <w:r w:rsidRPr="001428D3" w:rsidR="00820A6E">
        <w:t xml:space="preserve">Territorial </w:t>
      </w:r>
      <w:r w:rsidRPr="001428D3" w:rsidR="00A82713">
        <w:t>Protection (</w:t>
      </w:r>
      <w:r w:rsidRPr="001428D3" w:rsidR="00A82713">
        <w:rPr>
          <w:i/>
        </w:rPr>
        <w:t>Task-Forca për Mbrojtjen e Territorit</w:t>
      </w:r>
      <w:r w:rsidRPr="001428D3" w:rsidR="00A82713">
        <w:t xml:space="preserve"> – a body under the authority of the Minister of </w:t>
      </w:r>
      <w:r w:rsidRPr="001428D3" w:rsidR="00575F4A">
        <w:t>Home</w:t>
      </w:r>
      <w:r w:rsidRPr="001428D3" w:rsidR="00A82713">
        <w:t xml:space="preserve"> Affairs), instituted a criminal investigation against six public officials (</w:t>
      </w:r>
      <w:r w:rsidRPr="001428D3" w:rsidR="004317C1">
        <w:t>some</w:t>
      </w:r>
      <w:r w:rsidRPr="001428D3" w:rsidR="00A82713">
        <w:t xml:space="preserve"> of them employees of the IPRO</w:t>
      </w:r>
      <w:r w:rsidRPr="001428D3" w:rsidR="004317C1">
        <w:t>, others</w:t>
      </w:r>
      <w:r w:rsidRPr="001428D3" w:rsidR="002C2146">
        <w:t xml:space="preserve"> employees</w:t>
      </w:r>
      <w:r w:rsidRPr="001428D3" w:rsidR="004317C1">
        <w:t xml:space="preserve"> of the Vlora Municipality</w:t>
      </w:r>
      <w:r w:rsidRPr="001428D3" w:rsidR="00A82713">
        <w:t xml:space="preserve">) </w:t>
      </w:r>
      <w:r w:rsidRPr="001428D3" w:rsidR="00820A6E">
        <w:t>for</w:t>
      </w:r>
      <w:r w:rsidRPr="001428D3" w:rsidR="00A82713">
        <w:t xml:space="preserve"> possible abuse of power </w:t>
      </w:r>
      <w:r w:rsidRPr="001428D3" w:rsidR="00436C8E">
        <w:t>because of</w:t>
      </w:r>
      <w:r w:rsidRPr="001428D3" w:rsidR="00A82713">
        <w:t xml:space="preserve"> the irregularity of the proceedings concerning the restitution of the </w:t>
      </w:r>
      <w:r w:rsidRPr="001428D3" w:rsidR="006D0748">
        <w:t>applicants</w:t>
      </w:r>
      <w:r w:rsidRPr="001428D3" w:rsidR="001428D3">
        <w:t>’</w:t>
      </w:r>
      <w:r w:rsidRPr="001428D3" w:rsidR="006D0748">
        <w:t xml:space="preserve"> property</w:t>
      </w:r>
      <w:r w:rsidRPr="001428D3" w:rsidR="00A82713">
        <w:t xml:space="preserve"> and the subsequent proceedings concerning the issuance of the </w:t>
      </w:r>
      <w:r w:rsidRPr="001428D3" w:rsidR="00436C8E">
        <w:t xml:space="preserve">building </w:t>
      </w:r>
      <w:r w:rsidRPr="001428D3" w:rsidR="00A82713">
        <w:t xml:space="preserve">permit. On </w:t>
      </w:r>
      <w:r w:rsidRPr="001428D3" w:rsidR="00FF7947">
        <w:t xml:space="preserve">20 April </w:t>
      </w:r>
      <w:r w:rsidRPr="001428D3" w:rsidR="00A82713">
        <w:t>2016 the Vlora Court of Appeal terminated the proceedings in respect of four</w:t>
      </w:r>
      <w:r w:rsidRPr="001428D3" w:rsidR="00436C8E">
        <w:t xml:space="preserve"> of the</w:t>
      </w:r>
      <w:r w:rsidRPr="001428D3" w:rsidR="00A82713">
        <w:t xml:space="preserve"> public officials and the remaining two were acquitted. The proceedings are currently pending before the Supreme Court</w:t>
      </w:r>
      <w:r w:rsidRPr="001428D3" w:rsidR="00D17A78">
        <w:t xml:space="preserve"> following an appeal by the</w:t>
      </w:r>
      <w:r w:rsidRPr="001428D3" w:rsidR="001D78C2">
        <w:t xml:space="preserve"> District</w:t>
      </w:r>
      <w:r w:rsidRPr="001428D3" w:rsidR="00D17A78">
        <w:t xml:space="preserve"> Prosecutor</w:t>
      </w:r>
      <w:r w:rsidRPr="001428D3" w:rsidR="00A82713">
        <w:t>.</w:t>
      </w:r>
      <w:bookmarkStart w:name="_Toc480367220" w:id="27"/>
      <w:bookmarkStart w:name="_Toc480559187" w:id="28"/>
      <w:bookmarkStart w:name="_Toc481504547" w:id="29"/>
    </w:p>
    <w:p w:rsidRPr="001428D3" w:rsidR="00A82713" w:rsidP="001428D3" w:rsidRDefault="000C68A1">
      <w:pPr>
        <w:pStyle w:val="ECHRHeading2"/>
      </w:pPr>
      <w:bookmarkStart w:name="_Toc498016740" w:id="30"/>
      <w:r w:rsidRPr="001428D3">
        <w:t>G</w:t>
      </w:r>
      <w:r w:rsidRPr="001428D3" w:rsidR="00A82713">
        <w:t>.  Other information submitted by the parties</w:t>
      </w:r>
      <w:bookmarkEnd w:id="27"/>
      <w:bookmarkEnd w:id="28"/>
      <w:bookmarkEnd w:id="29"/>
      <w:bookmarkEnd w:id="30"/>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48</w:t>
      </w:r>
      <w:r w:rsidRPr="001428D3">
        <w:rPr>
          <w:noProof/>
        </w:rPr>
        <w:fldChar w:fldCharType="end"/>
      </w:r>
      <w:r w:rsidRPr="001428D3" w:rsidR="00A82713">
        <w:t xml:space="preserve">.  On 14 August 2013 an article was published on the official website of the Vlora Municipality reading, </w:t>
      </w:r>
      <w:r w:rsidRPr="001428D3" w:rsidR="00A82713">
        <w:rPr>
          <w:i/>
        </w:rPr>
        <w:t xml:space="preserve">inter alia, </w:t>
      </w:r>
      <w:r w:rsidRPr="001428D3" w:rsidR="00A82713">
        <w:t>as follows:</w:t>
      </w:r>
    </w:p>
    <w:p w:rsidRPr="001428D3" w:rsidR="00A82713" w:rsidP="001428D3" w:rsidRDefault="00A82713">
      <w:pPr>
        <w:pStyle w:val="ECHRParaQuote"/>
      </w:pPr>
      <w:r w:rsidRPr="001428D3">
        <w:t>“Today the Vlora Municipality instituted an action for the demolition of illegal buildings in the</w:t>
      </w:r>
      <w:r w:rsidRPr="001428D3" w:rsidR="00436C8E">
        <w:t xml:space="preserve"> Old Beach</w:t>
      </w:r>
      <w:r w:rsidRPr="001428D3">
        <w:t xml:space="preserve"> area of Vlora. The </w:t>
      </w:r>
      <w:r w:rsidRPr="001428D3" w:rsidR="00436C8E">
        <w:t>h</w:t>
      </w:r>
      <w:r w:rsidRPr="001428D3">
        <w:t xml:space="preserve">ead of the Vlora Municipality declared that </w:t>
      </w:r>
      <w:r w:rsidRPr="001428D3" w:rsidR="005942DE">
        <w:t xml:space="preserve">three weeks ago </w:t>
      </w:r>
      <w:r w:rsidRPr="001428D3">
        <w:t xml:space="preserve">the Municipality had already demolished 130 other illegal buildings situated in Radhimë village in </w:t>
      </w:r>
      <w:r w:rsidRPr="001428D3" w:rsidR="0001044B">
        <w:t xml:space="preserve">the city of </w:t>
      </w:r>
      <w:r w:rsidRPr="001428D3">
        <w:t>Vlora. These actions</w:t>
      </w:r>
      <w:r w:rsidRPr="001428D3" w:rsidR="00272787">
        <w:t xml:space="preserve"> [were]</w:t>
      </w:r>
      <w:r w:rsidRPr="001428D3" w:rsidR="00173995">
        <w:t xml:space="preserve"> </w:t>
      </w:r>
      <w:r w:rsidRPr="001428D3">
        <w:t>aimed at clea</w:t>
      </w:r>
      <w:r w:rsidRPr="001428D3" w:rsidR="00436C8E">
        <w:t>r</w:t>
      </w:r>
      <w:r w:rsidRPr="001428D3">
        <w:t xml:space="preserve">ing and </w:t>
      </w:r>
      <w:r w:rsidRPr="001428D3" w:rsidR="00436C8E">
        <w:t xml:space="preserve">releasing </w:t>
      </w:r>
      <w:r w:rsidRPr="001428D3">
        <w:t>territory which had been unlawfully occupied</w:t>
      </w:r>
      <w:r w:rsidRPr="001428D3" w:rsidR="00E35D7C">
        <w:t>,</w:t>
      </w:r>
      <w:r w:rsidRPr="001428D3">
        <w:t xml:space="preserve"> as well as the management of the urban territory. He also declared that the process for the demolition of all illegal buildings would continue </w:t>
      </w:r>
      <w:r w:rsidRPr="001428D3" w:rsidR="00E35D7C">
        <w:t xml:space="preserve">on </w:t>
      </w:r>
      <w:r w:rsidRPr="001428D3">
        <w:t xml:space="preserve">the whole Vlora coastline. The second phase would deal with the revaluation of lawful constructions which have not been constructed in accordance with the regulatory planning and the touristic perspective of Vlora </w:t>
      </w:r>
      <w:r w:rsidRPr="001428D3" w:rsidR="005521CC">
        <w:t>...</w:t>
      </w:r>
      <w:r w:rsidRPr="001428D3">
        <w:t xml:space="preserve">the Vlora Municipality in cooperation with the new Government will provide for legal forms of compensation or if necessary, financial indemnification. In this category there were </w:t>
      </w:r>
      <w:r w:rsidRPr="001428D3" w:rsidR="00272787">
        <w:t>[two to three]</w:t>
      </w:r>
      <w:r w:rsidRPr="001428D3">
        <w:t xml:space="preserve"> buildings, amongst others, </w:t>
      </w:r>
      <w:r w:rsidRPr="001428D3" w:rsidR="00E35D7C">
        <w:t>[which]</w:t>
      </w:r>
      <w:r w:rsidRPr="001428D3">
        <w:t xml:space="preserve"> impeded the implementation </w:t>
      </w:r>
      <w:r w:rsidRPr="001428D3" w:rsidR="00E35D7C">
        <w:t xml:space="preserve">of the </w:t>
      </w:r>
      <w:r w:rsidRPr="001428D3">
        <w:t xml:space="preserve">Lungomare [promenade] </w:t>
      </w:r>
      <w:r w:rsidRPr="001428D3" w:rsidR="00E35D7C">
        <w:t xml:space="preserve">construction </w:t>
      </w:r>
      <w:r w:rsidRPr="001428D3">
        <w:t>project</w:t>
      </w:r>
      <w:r w:rsidRPr="001428D3" w:rsidR="00E35D7C">
        <w:t>.</w:t>
      </w:r>
      <w:r w:rsidRPr="001428D3">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49</w:t>
      </w:r>
      <w:r w:rsidRPr="001428D3">
        <w:rPr>
          <w:noProof/>
        </w:rPr>
        <w:fldChar w:fldCharType="end"/>
      </w:r>
      <w:r w:rsidRPr="001428D3" w:rsidR="00A82713">
        <w:t xml:space="preserve">.  On 2 November 2013 an article was published on an online portal, </w:t>
      </w:r>
      <w:r w:rsidRPr="001428D3" w:rsidR="00A82713">
        <w:rPr>
          <w:i/>
        </w:rPr>
        <w:t>Shqiptarja.com</w:t>
      </w:r>
      <w:r w:rsidRPr="001428D3" w:rsidR="00A82713">
        <w:t xml:space="preserve">, </w:t>
      </w:r>
      <w:r w:rsidRPr="001428D3" w:rsidR="00B70DAA">
        <w:t>stating that</w:t>
      </w:r>
      <w:r w:rsidRPr="001428D3" w:rsidR="00A82713">
        <w:t xml:space="preserve"> the authorities in</w:t>
      </w:r>
      <w:r w:rsidRPr="001428D3" w:rsidR="0001044B">
        <w:t xml:space="preserve"> </w:t>
      </w:r>
      <w:r w:rsidRPr="001428D3" w:rsidR="00A82713">
        <w:t>Vlora</w:t>
      </w:r>
      <w:r w:rsidRPr="001428D3" w:rsidR="0001044B">
        <w:t xml:space="preserve"> </w:t>
      </w:r>
      <w:r w:rsidRPr="001428D3" w:rsidR="00A82713">
        <w:t xml:space="preserve">were continuing with the demolition of buildings in the area where the promenade would be constructed. Provisional permits </w:t>
      </w:r>
      <w:r w:rsidRPr="001428D3" w:rsidR="00E35D7C">
        <w:t xml:space="preserve">had been </w:t>
      </w:r>
      <w:r w:rsidRPr="001428D3" w:rsidR="00A82713">
        <w:t xml:space="preserve">issued by the authorities for the buildings which </w:t>
      </w:r>
      <w:r w:rsidRPr="001428D3" w:rsidR="00272787">
        <w:t xml:space="preserve">operated </w:t>
      </w:r>
      <w:r w:rsidRPr="001428D3" w:rsidR="00A82713">
        <w:t>as bars and restaurants during the summer.</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50</w:t>
      </w:r>
      <w:r w:rsidRPr="001428D3">
        <w:rPr>
          <w:noProof/>
        </w:rPr>
        <w:fldChar w:fldCharType="end"/>
      </w:r>
      <w:r w:rsidRPr="001428D3" w:rsidR="00A82713">
        <w:t xml:space="preserve">.  On 4 November 2013 an article was published on an online portal, </w:t>
      </w:r>
      <w:r w:rsidRPr="001428D3" w:rsidR="00A82713">
        <w:rPr>
          <w:i/>
        </w:rPr>
        <w:t>Tema</w:t>
      </w:r>
      <w:r w:rsidRPr="001428D3" w:rsidR="00A82713">
        <w:t xml:space="preserve">, </w:t>
      </w:r>
      <w:r w:rsidRPr="001428D3" w:rsidR="00B70DAA">
        <w:t>stating that</w:t>
      </w:r>
      <w:r w:rsidRPr="001428D3" w:rsidR="00A82713">
        <w:t xml:space="preserve"> the </w:t>
      </w:r>
      <w:r w:rsidRPr="001428D3" w:rsidR="00AC3658">
        <w:t xml:space="preserve">residents of the Jon Residence </w:t>
      </w:r>
      <w:r w:rsidRPr="001428D3" w:rsidR="00A82713">
        <w:t>were unable to enter the building. The article mentioned that</w:t>
      </w:r>
      <w:r w:rsidRPr="001428D3" w:rsidR="004C2373">
        <w:t>,</w:t>
      </w:r>
      <w:r w:rsidRPr="001428D3" w:rsidR="00A82713">
        <w:t xml:space="preserve"> according to the NUCI</w:t>
      </w:r>
      <w:r w:rsidRPr="001428D3" w:rsidR="004C2373">
        <w:t>,</w:t>
      </w:r>
      <w:r w:rsidRPr="001428D3" w:rsidR="00A82713">
        <w:t xml:space="preserve"> the building had been seized so </w:t>
      </w:r>
      <w:r w:rsidRPr="001428D3" w:rsidR="00543016">
        <w:t>that</w:t>
      </w:r>
      <w:r w:rsidRPr="001428D3" w:rsidR="00A82713">
        <w:t xml:space="preserve"> the authorities could inspect the </w:t>
      </w:r>
      <w:r w:rsidRPr="001428D3" w:rsidR="00E35D7C">
        <w:t xml:space="preserve">building </w:t>
      </w:r>
      <w:r w:rsidRPr="001428D3" w:rsidR="00A82713">
        <w:t xml:space="preserve">permit, the relevant documentation for the construction, and whether </w:t>
      </w:r>
      <w:r w:rsidRPr="001428D3" w:rsidR="00E35D7C">
        <w:t xml:space="preserve">or not </w:t>
      </w:r>
      <w:r w:rsidRPr="001428D3" w:rsidR="00A82713">
        <w:t>the</w:t>
      </w:r>
      <w:r w:rsidRPr="001428D3" w:rsidR="00E35D7C">
        <w:t xml:space="preserve"> building</w:t>
      </w:r>
      <w:r w:rsidRPr="001428D3" w:rsidR="00A82713">
        <w:t xml:space="preserve"> permit had been carried out in compliance with the law. The Ministry of Home Affairs</w:t>
      </w:r>
      <w:r w:rsidRPr="001428D3" w:rsidR="00543016">
        <w:t>,</w:t>
      </w:r>
      <w:r w:rsidRPr="001428D3" w:rsidR="00A82713">
        <w:t xml:space="preserve"> having been contacted by </w:t>
      </w:r>
      <w:r w:rsidRPr="001428D3" w:rsidR="00A82713">
        <w:rPr>
          <w:i/>
        </w:rPr>
        <w:t>Vizion Plus</w:t>
      </w:r>
      <w:r w:rsidRPr="001428D3" w:rsidR="00A82713">
        <w:t xml:space="preserve"> (a national </w:t>
      </w:r>
      <w:r w:rsidRPr="001428D3" w:rsidR="001A3E9B">
        <w:t xml:space="preserve">television </w:t>
      </w:r>
      <w:r w:rsidRPr="001428D3" w:rsidR="00A82713">
        <w:t>station)</w:t>
      </w:r>
      <w:r w:rsidRPr="001428D3" w:rsidR="00543016">
        <w:t>,</w:t>
      </w:r>
      <w:r w:rsidRPr="001428D3" w:rsidR="00A82713">
        <w:t xml:space="preserve"> had clarified that the police had taken part in the actions taken on 3 November 2013 to support the NUCI. The </w:t>
      </w:r>
      <w:r w:rsidRPr="001428D3" w:rsidR="004C2373">
        <w:t>h</w:t>
      </w:r>
      <w:r w:rsidRPr="001428D3" w:rsidR="00A82713">
        <w:t>ead of the NUCI had declared that they were still examining the case and if any shortcoming</w:t>
      </w:r>
      <w:r w:rsidRPr="001428D3" w:rsidR="0018771F">
        <w:t>s</w:t>
      </w:r>
      <w:r w:rsidRPr="001428D3" w:rsidR="00A82713">
        <w:t xml:space="preserve"> result</w:t>
      </w:r>
      <w:r w:rsidRPr="001428D3" w:rsidR="0018771F">
        <w:t>ed</w:t>
      </w:r>
      <w:r w:rsidRPr="001428D3" w:rsidR="00A82713">
        <w:t>, the Tas</w:t>
      </w:r>
      <w:r w:rsidRPr="001428D3" w:rsidR="0018771F">
        <w:t>kf</w:t>
      </w:r>
      <w:r w:rsidRPr="001428D3" w:rsidR="00A82713">
        <w:t xml:space="preserve">orce would </w:t>
      </w:r>
      <w:r w:rsidRPr="001428D3" w:rsidR="0018771F">
        <w:t xml:space="preserve">then </w:t>
      </w:r>
      <w:r w:rsidRPr="001428D3" w:rsidR="00A82713">
        <w:t xml:space="preserve">have to decide whether </w:t>
      </w:r>
      <w:r w:rsidRPr="001428D3" w:rsidR="0018771F">
        <w:t xml:space="preserve">or not </w:t>
      </w:r>
      <w:r w:rsidRPr="001428D3" w:rsidR="00A82713">
        <w:t>to demolish the building.</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51</w:t>
      </w:r>
      <w:r w:rsidRPr="001428D3">
        <w:rPr>
          <w:noProof/>
        </w:rPr>
        <w:fldChar w:fldCharType="end"/>
      </w:r>
      <w:r w:rsidRPr="001428D3" w:rsidR="00171B30">
        <w:t>.  </w:t>
      </w:r>
      <w:r w:rsidRPr="001428D3" w:rsidR="00D86E7C">
        <w:t xml:space="preserve">It </w:t>
      </w:r>
      <w:r w:rsidRPr="001428D3" w:rsidR="00FC7387">
        <w:t xml:space="preserve">appears </w:t>
      </w:r>
      <w:r w:rsidRPr="001428D3" w:rsidR="00D86E7C">
        <w:t xml:space="preserve">from </w:t>
      </w:r>
      <w:r w:rsidRPr="001428D3" w:rsidR="007B3067">
        <w:t xml:space="preserve">the evidence </w:t>
      </w:r>
      <w:r w:rsidRPr="001428D3" w:rsidR="00D86E7C">
        <w:t>submitted by the applicants that o</w:t>
      </w:r>
      <w:r w:rsidRPr="001428D3" w:rsidR="00171B30">
        <w:t>n 4</w:t>
      </w:r>
      <w:r w:rsidRPr="001428D3" w:rsidR="004874E0">
        <w:t> </w:t>
      </w:r>
      <w:r w:rsidRPr="001428D3" w:rsidR="00171B30">
        <w:t xml:space="preserve">December 2013 a local </w:t>
      </w:r>
      <w:r w:rsidRPr="001428D3" w:rsidR="001A3E9B">
        <w:t xml:space="preserve">television </w:t>
      </w:r>
      <w:r w:rsidRPr="001428D3" w:rsidR="00171B30">
        <w:t>channel broadcast in their news</w:t>
      </w:r>
      <w:r w:rsidRPr="001428D3" w:rsidR="00FC7387">
        <w:t xml:space="preserve"> bulletin</w:t>
      </w:r>
      <w:r w:rsidRPr="001428D3" w:rsidR="00171B30">
        <w:t xml:space="preserve"> that </w:t>
      </w:r>
      <w:r w:rsidRPr="001428D3" w:rsidR="00FC7387">
        <w:t xml:space="preserve">the </w:t>
      </w:r>
      <w:r w:rsidRPr="001428D3" w:rsidR="00171B30">
        <w:t xml:space="preserve">NUCI, supported by police officers, had started the procedure for the demolition of the building. According to </w:t>
      </w:r>
      <w:r w:rsidRPr="001428D3" w:rsidR="00EE318D">
        <w:t xml:space="preserve">the </w:t>
      </w:r>
      <w:r w:rsidRPr="001428D3" w:rsidR="00171B30">
        <w:t>broadcast</w:t>
      </w:r>
      <w:r w:rsidRPr="001428D3" w:rsidR="00D86E7C">
        <w:t>,</w:t>
      </w:r>
      <w:r w:rsidRPr="001428D3" w:rsidR="00171B30">
        <w:t xml:space="preserve"> on that day the demolition was considered </w:t>
      </w:r>
      <w:r w:rsidRPr="001428D3" w:rsidR="00B70DAA">
        <w:t>to be</w:t>
      </w:r>
      <w:r w:rsidRPr="001428D3" w:rsidR="00171B30">
        <w:t xml:space="preserve"> partial, and the residents of the building were </w:t>
      </w:r>
      <w:r w:rsidRPr="001428D3" w:rsidR="00EE318D">
        <w:t xml:space="preserve">given </w:t>
      </w:r>
      <w:r w:rsidRPr="001428D3" w:rsidR="00171B30">
        <w:t xml:space="preserve">five days to </w:t>
      </w:r>
      <w:r w:rsidRPr="001428D3" w:rsidR="00D17A78">
        <w:t>re</w:t>
      </w:r>
      <w:r w:rsidRPr="001428D3" w:rsidR="00171B30">
        <w:t xml:space="preserve">move their movable </w:t>
      </w:r>
      <w:r w:rsidRPr="001428D3" w:rsidR="00EE318D">
        <w:t xml:space="preserve">property </w:t>
      </w:r>
      <w:r w:rsidRPr="001428D3" w:rsidR="00171B30">
        <w:t xml:space="preserve">from their </w:t>
      </w:r>
      <w:r w:rsidRPr="001428D3" w:rsidR="0015254B">
        <w:t>flats.</w:t>
      </w:r>
      <w:r w:rsidRPr="001428D3" w:rsidR="00171B30">
        <w:t xml:space="preserve"> The owners of </w:t>
      </w:r>
      <w:r w:rsidRPr="001428D3" w:rsidR="00EE318D">
        <w:t xml:space="preserve">the </w:t>
      </w:r>
      <w:r w:rsidRPr="001428D3" w:rsidR="00171B30">
        <w:t xml:space="preserve">residential premises had not </w:t>
      </w:r>
      <w:r w:rsidRPr="001428D3" w:rsidR="00D17A78">
        <w:t>re</w:t>
      </w:r>
      <w:r w:rsidRPr="001428D3" w:rsidR="00171B30">
        <w:t xml:space="preserve">moved their movable </w:t>
      </w:r>
      <w:r w:rsidRPr="001428D3" w:rsidR="00EE318D">
        <w:t xml:space="preserve">property </w:t>
      </w:r>
      <w:r w:rsidRPr="001428D3" w:rsidR="00171B30">
        <w:t>on the ground</w:t>
      </w:r>
      <w:r w:rsidRPr="001428D3" w:rsidR="00EE318D">
        <w:t>s</w:t>
      </w:r>
      <w:r w:rsidRPr="001428D3" w:rsidR="00171B30">
        <w:t xml:space="preserve"> that the authorities had not properly</w:t>
      </w:r>
      <w:r w:rsidRPr="001428D3" w:rsidR="00D86E7C">
        <w:t xml:space="preserve"> valued</w:t>
      </w:r>
      <w:r w:rsidRPr="001428D3" w:rsidR="00171B30">
        <w:t xml:space="preserve"> their flats, whereas the owners of </w:t>
      </w:r>
      <w:r w:rsidRPr="001428D3" w:rsidR="00EE318D">
        <w:t xml:space="preserve">the </w:t>
      </w:r>
      <w:r w:rsidRPr="001428D3" w:rsidR="00166119">
        <w:t xml:space="preserve">business </w:t>
      </w:r>
      <w:r w:rsidRPr="001428D3" w:rsidR="00171B30">
        <w:t xml:space="preserve">premises had </w:t>
      </w:r>
      <w:r w:rsidRPr="001428D3" w:rsidR="00D86E7C">
        <w:t xml:space="preserve">duly </w:t>
      </w:r>
      <w:r w:rsidRPr="001428D3" w:rsidR="00D17A78">
        <w:t>re</w:t>
      </w:r>
      <w:r w:rsidRPr="001428D3" w:rsidR="00171B30">
        <w:t>moved their movable propert</w:t>
      </w:r>
      <w:r w:rsidRPr="001428D3" w:rsidR="00EE318D">
        <w:t>y</w:t>
      </w:r>
      <w:r w:rsidRPr="001428D3" w:rsidR="00171B30">
        <w:t xml:space="preserve">. The authorities had </w:t>
      </w:r>
      <w:r w:rsidRPr="001428D3" w:rsidR="00D86E7C">
        <w:t xml:space="preserve">valued </w:t>
      </w:r>
      <w:r w:rsidRPr="001428D3" w:rsidR="00171B30">
        <w:t xml:space="preserve">their flats </w:t>
      </w:r>
      <w:r w:rsidRPr="001428D3" w:rsidR="00272787">
        <w:t xml:space="preserve">as being worth </w:t>
      </w:r>
      <w:r w:rsidRPr="001428D3" w:rsidR="00171B30">
        <w:t>EUR 350</w:t>
      </w:r>
      <w:r w:rsidRPr="001428D3" w:rsidR="00EE318D">
        <w:t xml:space="preserve"> per square metre</w:t>
      </w:r>
      <w:r w:rsidRPr="001428D3" w:rsidR="00272787">
        <w:t>,</w:t>
      </w:r>
      <w:r w:rsidRPr="001428D3" w:rsidR="00171B30">
        <w:t xml:space="preserve"> whereas they had </w:t>
      </w:r>
      <w:r w:rsidRPr="001428D3" w:rsidR="00EE318D">
        <w:t>paid</w:t>
      </w:r>
      <w:r w:rsidRPr="001428D3" w:rsidR="00171B30">
        <w:t xml:space="preserve"> EUR</w:t>
      </w:r>
      <w:r w:rsidRPr="001428D3" w:rsidR="008B6076">
        <w:t> </w:t>
      </w:r>
      <w:r w:rsidRPr="001428D3" w:rsidR="00171B30">
        <w:t xml:space="preserve">1,300 </w:t>
      </w:r>
      <w:r w:rsidRPr="001428D3" w:rsidR="00EE318D">
        <w:t>per square metre when they had bought the</w:t>
      </w:r>
      <w:r w:rsidRPr="001428D3" w:rsidR="00272787">
        <w:t>m</w:t>
      </w:r>
      <w:r w:rsidRPr="001428D3" w:rsidR="00171B30">
        <w:t xml:space="preserve">. However, according to the broadcast it was noted that the procedure for the demolition of the property had already </w:t>
      </w:r>
      <w:r w:rsidRPr="001428D3" w:rsidR="00EE318D">
        <w:t xml:space="preserve">been </w:t>
      </w:r>
      <w:r w:rsidRPr="001428D3" w:rsidR="00171B30">
        <w:t>started by the authorities</w:t>
      </w:r>
      <w:r w:rsidRPr="001428D3" w:rsidR="007B3067">
        <w:t xml:space="preserve"> following the Jon Residence having been blocked </w:t>
      </w:r>
      <w:r w:rsidRPr="001428D3" w:rsidR="00171B30">
        <w:t xml:space="preserve">for </w:t>
      </w:r>
      <w:r w:rsidRPr="001428D3" w:rsidR="00EE318D">
        <w:t xml:space="preserve">a </w:t>
      </w:r>
      <w:r w:rsidRPr="001428D3" w:rsidR="00171B30">
        <w:t>long time.</w:t>
      </w:r>
    </w:p>
    <w:p w:rsidRPr="001428D3" w:rsidR="00A82713"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52</w:t>
      </w:r>
      <w:r w:rsidRPr="001428D3">
        <w:rPr>
          <w:noProof/>
        </w:rPr>
        <w:fldChar w:fldCharType="end"/>
      </w:r>
      <w:r w:rsidRPr="001428D3" w:rsidR="00A82713">
        <w:t xml:space="preserve">.  On 20 June 2016 an online portal, </w:t>
      </w:r>
      <w:r w:rsidRPr="001428D3" w:rsidR="00A82713">
        <w:rPr>
          <w:i/>
        </w:rPr>
        <w:t>Vizioplus.tv</w:t>
      </w:r>
      <w:r w:rsidRPr="001428D3" w:rsidR="00A82713">
        <w:t xml:space="preserve">, published an article </w:t>
      </w:r>
      <w:r w:rsidRPr="001428D3" w:rsidR="00DA6741">
        <w:t>stating that</w:t>
      </w:r>
      <w:r w:rsidRPr="001428D3" w:rsidR="00A82713">
        <w:t xml:space="preserve"> the National Inspectorate for </w:t>
      </w:r>
      <w:r w:rsidRPr="001428D3" w:rsidR="00EE318D">
        <w:t>Territorial</w:t>
      </w:r>
      <w:r w:rsidRPr="001428D3" w:rsidR="00A82713">
        <w:t xml:space="preserve"> Protection (</w:t>
      </w:r>
      <w:r w:rsidRPr="001428D3" w:rsidR="00A82713">
        <w:rPr>
          <w:i/>
        </w:rPr>
        <w:t>Inspektoriati Kombëtar për Mbrojtjen e Territorit</w:t>
      </w:r>
      <w:r w:rsidRPr="001428D3" w:rsidR="00EE318D">
        <w:t xml:space="preserve"> – “the </w:t>
      </w:r>
      <w:r w:rsidRPr="001428D3" w:rsidR="00A82713">
        <w:t>NIPT</w:t>
      </w:r>
      <w:r w:rsidRPr="001428D3" w:rsidR="00433111">
        <w:t>”, the</w:t>
      </w:r>
      <w:r w:rsidRPr="001428D3" w:rsidR="00CA5AC2">
        <w:t xml:space="preserve"> former NUCI</w:t>
      </w:r>
      <w:r w:rsidRPr="001428D3" w:rsidR="00AA25E9">
        <w:t>)</w:t>
      </w:r>
      <w:r w:rsidRPr="001428D3" w:rsidR="00433111">
        <w:t>,</w:t>
      </w:r>
      <w:r w:rsidRPr="001428D3" w:rsidR="00A82713">
        <w:t xml:space="preserve"> had initiated proceedings for the demolition of illegal buildings so as to make possible the</w:t>
      </w:r>
      <w:r w:rsidRPr="001428D3" w:rsidR="00EE318D">
        <w:t xml:space="preserve"> implementation of</w:t>
      </w:r>
      <w:r w:rsidRPr="001428D3" w:rsidR="00A82713">
        <w:t xml:space="preserve"> the Lungomare</w:t>
      </w:r>
      <w:r w:rsidRPr="001428D3" w:rsidR="00EE318D">
        <w:t xml:space="preserve"> </w:t>
      </w:r>
      <w:r w:rsidRPr="001428D3" w:rsidR="00A82713">
        <w:t xml:space="preserve">project. </w:t>
      </w:r>
      <w:r w:rsidRPr="001428D3" w:rsidR="00EE318D">
        <w:t>A</w:t>
      </w:r>
      <w:r w:rsidRPr="001428D3" w:rsidR="00A82713">
        <w:t xml:space="preserve"> two-storey building </w:t>
      </w:r>
      <w:r w:rsidRPr="001428D3" w:rsidR="00EE318D">
        <w:t xml:space="preserve">had already </w:t>
      </w:r>
      <w:r w:rsidRPr="001428D3" w:rsidR="00A82713">
        <w:t xml:space="preserve">been demolished on </w:t>
      </w:r>
      <w:r w:rsidRPr="001428D3" w:rsidR="00EE318D">
        <w:t xml:space="preserve">the </w:t>
      </w:r>
      <w:r w:rsidRPr="001428D3" w:rsidR="00A82713">
        <w:t xml:space="preserve">Monday, </w:t>
      </w:r>
      <w:r w:rsidRPr="001428D3" w:rsidR="00433111">
        <w:t xml:space="preserve">and </w:t>
      </w:r>
      <w:r w:rsidRPr="001428D3" w:rsidR="00A82713">
        <w:t xml:space="preserve">the demolition of two other buildings (bars) would </w:t>
      </w:r>
      <w:r w:rsidRPr="001428D3" w:rsidR="00EE318D">
        <w:t>happen in</w:t>
      </w:r>
      <w:r w:rsidRPr="001428D3" w:rsidR="00A82713">
        <w:t xml:space="preserve"> the days</w:t>
      </w:r>
      <w:r w:rsidRPr="001428D3" w:rsidR="00433111">
        <w:t xml:space="preserve"> that followed</w:t>
      </w:r>
      <w:r w:rsidRPr="001428D3" w:rsidR="00A82713">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53</w:t>
      </w:r>
      <w:r w:rsidRPr="001428D3">
        <w:rPr>
          <w:noProof/>
        </w:rPr>
        <w:fldChar w:fldCharType="end"/>
      </w:r>
      <w:r w:rsidRPr="001428D3" w:rsidR="00A82713">
        <w:t xml:space="preserve">.  On 29 June 2016 an online portal, </w:t>
      </w:r>
      <w:r w:rsidRPr="001428D3" w:rsidR="00A82713">
        <w:rPr>
          <w:i/>
        </w:rPr>
        <w:t>JavaNews</w:t>
      </w:r>
      <w:r w:rsidRPr="001428D3" w:rsidR="00A82713">
        <w:t xml:space="preserve">, published an article </w:t>
      </w:r>
      <w:r w:rsidRPr="001428D3" w:rsidR="00B70DAA">
        <w:t>stating that</w:t>
      </w:r>
      <w:r w:rsidRPr="001428D3" w:rsidR="00A82713">
        <w:t xml:space="preserve"> the NIPT had initiated an operation</w:t>
      </w:r>
      <w:r w:rsidRPr="001428D3" w:rsidR="007D6BE3">
        <w:t xml:space="preserve"> in Vlora city</w:t>
      </w:r>
      <w:r w:rsidRPr="001428D3" w:rsidR="00A82713">
        <w:t xml:space="preserve"> for the implementation of the Lungomare </w:t>
      </w:r>
      <w:r w:rsidRPr="001428D3" w:rsidR="00EE318D">
        <w:t>p</w:t>
      </w:r>
      <w:r w:rsidRPr="001428D3" w:rsidR="00A82713">
        <w:t xml:space="preserve">roject. The NIPT had already demolished </w:t>
      </w:r>
      <w:r w:rsidRPr="001428D3" w:rsidR="00EE318D">
        <w:t>a single-storey</w:t>
      </w:r>
      <w:r w:rsidRPr="001428D3" w:rsidR="00A82713">
        <w:t xml:space="preserve"> building. It would </w:t>
      </w:r>
      <w:r w:rsidRPr="001428D3" w:rsidR="00EE318D">
        <w:t xml:space="preserve">also </w:t>
      </w:r>
      <w:r w:rsidRPr="001428D3" w:rsidR="00A82713">
        <w:t xml:space="preserve">demolish another building. During the first part of </w:t>
      </w:r>
      <w:r w:rsidRPr="001428D3" w:rsidR="00EE318D">
        <w:t xml:space="preserve">the </w:t>
      </w:r>
      <w:r w:rsidRPr="001428D3" w:rsidR="00A82713">
        <w:t>operation the NIPT had already demolished three other buildings</w:t>
      </w:r>
      <w:r w:rsidRPr="001428D3" w:rsidR="00D86E7C">
        <w:t>.</w:t>
      </w:r>
    </w:p>
    <w:p w:rsidRPr="001428D3" w:rsidR="008922A9"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54</w:t>
      </w:r>
      <w:r w:rsidRPr="001428D3">
        <w:rPr>
          <w:noProof/>
        </w:rPr>
        <w:fldChar w:fldCharType="end"/>
      </w:r>
      <w:r w:rsidRPr="001428D3" w:rsidR="008922A9">
        <w:t xml:space="preserve">.  On 31 March 2017 the NIPT addressed a letter to the </w:t>
      </w:r>
      <w:r w:rsidRPr="001428D3" w:rsidR="007F5DDA">
        <w:t>Government</w:t>
      </w:r>
      <w:r w:rsidRPr="001428D3" w:rsidR="008922A9">
        <w:t xml:space="preserve"> Agent. In so far as relevant, the letter reads as follows:</w:t>
      </w:r>
    </w:p>
    <w:p w:rsidRPr="001428D3" w:rsidR="005521CC" w:rsidP="001428D3" w:rsidRDefault="008922A9">
      <w:pPr>
        <w:pStyle w:val="ECHRParaQuote"/>
      </w:pPr>
      <w:r w:rsidRPr="001428D3">
        <w:t>“</w:t>
      </w:r>
      <w:r w:rsidRPr="001428D3" w:rsidR="005521CC">
        <w:t>...</w:t>
      </w:r>
      <w:r w:rsidRPr="001428D3">
        <w:t xml:space="preserve"> </w:t>
      </w:r>
      <w:r w:rsidRPr="001428D3" w:rsidR="00EE318D">
        <w:t xml:space="preserve">[The] </w:t>
      </w:r>
      <w:r w:rsidRPr="001428D3">
        <w:t xml:space="preserve">NUCI had exercised their </w:t>
      </w:r>
      <w:r w:rsidRPr="001428D3" w:rsidR="00CB327F">
        <w:t xml:space="preserve">functions </w:t>
      </w:r>
      <w:r w:rsidRPr="001428D3">
        <w:t>in accordance with domestic law. On 3 November 2013 the NUCI</w:t>
      </w:r>
      <w:r w:rsidRPr="001428D3" w:rsidR="00EE318D">
        <w:t>,</w:t>
      </w:r>
      <w:r w:rsidRPr="001428D3">
        <w:t xml:space="preserve"> in the presence of </w:t>
      </w:r>
      <w:r w:rsidRPr="001428D3" w:rsidR="00EE318D">
        <w:t xml:space="preserve">a </w:t>
      </w:r>
      <w:r w:rsidRPr="001428D3">
        <w:t>representative of the Vlora Urban Planning Department</w:t>
      </w:r>
      <w:r w:rsidRPr="001428D3" w:rsidR="00EE318D">
        <w:t>,</w:t>
      </w:r>
      <w:r w:rsidRPr="001428D3">
        <w:t xml:space="preserve"> </w:t>
      </w:r>
      <w:r w:rsidRPr="001428D3" w:rsidR="00CB327F">
        <w:t>inspected</w:t>
      </w:r>
      <w:r w:rsidRPr="001428D3">
        <w:t xml:space="preserve"> the construction site of the Jon Residence. All the remaining procedures followed by</w:t>
      </w:r>
      <w:r w:rsidRPr="001428D3" w:rsidR="00EA47FE">
        <w:t xml:space="preserve"> the</w:t>
      </w:r>
      <w:r w:rsidRPr="001428D3">
        <w:t xml:space="preserve"> NUCI were based on the Council of Minister</w:t>
      </w:r>
      <w:r w:rsidRPr="001428D3" w:rsidR="00EA47FE">
        <w:t>s</w:t>
      </w:r>
      <w:r w:rsidRPr="001428D3" w:rsidR="001428D3">
        <w:t>’</w:t>
      </w:r>
      <w:r w:rsidRPr="001428D3">
        <w:t xml:space="preserve"> decision of 27 November 2013. On the basis of the expropriation </w:t>
      </w:r>
      <w:r w:rsidRPr="001428D3" w:rsidR="00EC50A2">
        <w:t xml:space="preserve">procedure </w:t>
      </w:r>
      <w:r w:rsidRPr="001428D3">
        <w:t>the Vlora Municipality on 2 December 2013 had requested the NUCI</w:t>
      </w:r>
      <w:r w:rsidRPr="001428D3" w:rsidR="001428D3">
        <w:t>’</w:t>
      </w:r>
      <w:r w:rsidRPr="001428D3">
        <w:t xml:space="preserve">s cooperation </w:t>
      </w:r>
      <w:r w:rsidRPr="001428D3" w:rsidR="00EA47FE">
        <w:t xml:space="preserve">with </w:t>
      </w:r>
      <w:r w:rsidRPr="001428D3">
        <w:t xml:space="preserve">the implementation of the </w:t>
      </w:r>
      <w:r w:rsidRPr="001428D3" w:rsidR="000F50CC">
        <w:t>Council of Ministers</w:t>
      </w:r>
      <w:r w:rsidRPr="001428D3">
        <w:t xml:space="preserve"> decision </w:t>
      </w:r>
      <w:r w:rsidRPr="001428D3" w:rsidR="00BA4591">
        <w:t>to</w:t>
      </w:r>
      <w:r w:rsidRPr="001428D3">
        <w:t xml:space="preserve"> </w:t>
      </w:r>
      <w:r w:rsidRPr="001428D3" w:rsidR="00BA4591">
        <w:t>demolish</w:t>
      </w:r>
      <w:r w:rsidRPr="001428D3">
        <w:t xml:space="preserve"> immovable properties which would be expropriated. On the basis of this request, </w:t>
      </w:r>
      <w:r w:rsidRPr="001428D3" w:rsidR="00EA47FE">
        <w:t xml:space="preserve">the </w:t>
      </w:r>
      <w:r w:rsidRPr="001428D3">
        <w:t>NUCI had carried out the demolition of the building in cooperation with the Ministry of Home Affairs, the Defen</w:t>
      </w:r>
      <w:r w:rsidRPr="001428D3" w:rsidR="00EA47FE">
        <w:t>c</w:t>
      </w:r>
      <w:r w:rsidRPr="001428D3">
        <w:t>e Ministry, the Environmental Ministry and the Vlora Municipality</w:t>
      </w:r>
      <w:r w:rsidRPr="001428D3" w:rsidR="005521CC">
        <w:t>...</w:t>
      </w:r>
      <w:r w:rsidRPr="001428D3">
        <w:t xml:space="preserve"> In the present case the NUCI had complied with the interim order of 7 November 2013 and had not taken any action in </w:t>
      </w:r>
      <w:r w:rsidRPr="001428D3" w:rsidR="00FC7387">
        <w:t xml:space="preserve">breach </w:t>
      </w:r>
      <w:r w:rsidRPr="001428D3">
        <w:t xml:space="preserve">of this decision. In compliance with the </w:t>
      </w:r>
      <w:r w:rsidRPr="001428D3" w:rsidR="000F50CC">
        <w:t>Council of Ministers</w:t>
      </w:r>
      <w:r w:rsidRPr="001428D3" w:rsidR="001428D3">
        <w:t>’</w:t>
      </w:r>
      <w:r w:rsidRPr="001428D3">
        <w:t xml:space="preserve"> decision of 27 November 2013 and following the request of the Vlora Municipality </w:t>
      </w:r>
      <w:r w:rsidRPr="001428D3" w:rsidR="00131848">
        <w:t xml:space="preserve">it </w:t>
      </w:r>
      <w:r w:rsidRPr="001428D3">
        <w:t>had undertaken all the necessary steps for the demolition of the building</w:t>
      </w:r>
      <w:r w:rsidRPr="001428D3" w:rsidR="005521CC">
        <w:t>...</w:t>
      </w:r>
      <w:r w:rsidRPr="001428D3">
        <w:t>in the present case there had not been any administrative or criminal investigation in respect of the applicants</w:t>
      </w:r>
      <w:r w:rsidRPr="001428D3" w:rsidR="001428D3">
        <w:t>’</w:t>
      </w:r>
      <w:r w:rsidRPr="001428D3">
        <w:t xml:space="preserve"> claims concerning the non-enforcement of the interim order</w:t>
      </w:r>
      <w:r w:rsidRPr="001428D3" w:rsidR="005521CC">
        <w:t>...</w:t>
      </w:r>
      <w:r w:rsidRPr="001428D3">
        <w:t>the use of yellow crime scene tape had not been made by</w:t>
      </w:r>
      <w:r w:rsidRPr="001428D3" w:rsidR="00537DAF">
        <w:t xml:space="preserve"> the</w:t>
      </w:r>
      <w:r w:rsidRPr="001428D3">
        <w:t xml:space="preserve"> NUCI. It is true that </w:t>
      </w:r>
      <w:r w:rsidRPr="001428D3" w:rsidR="00EA47FE">
        <w:t xml:space="preserve">the </w:t>
      </w:r>
      <w:r w:rsidRPr="001428D3">
        <w:t xml:space="preserve">NUCI had requested the support of the </w:t>
      </w:r>
      <w:r w:rsidRPr="001428D3" w:rsidR="00F82678">
        <w:t>S</w:t>
      </w:r>
      <w:r w:rsidRPr="001428D3">
        <w:t xml:space="preserve">tate </w:t>
      </w:r>
      <w:r w:rsidRPr="001428D3" w:rsidR="003731B7">
        <w:t>P</w:t>
      </w:r>
      <w:r w:rsidRPr="001428D3">
        <w:t>olice, however it is not</w:t>
      </w:r>
      <w:r w:rsidRPr="001428D3" w:rsidR="00EA47FE">
        <w:t xml:space="preserve"> the</w:t>
      </w:r>
      <w:r w:rsidRPr="001428D3">
        <w:t xml:space="preserve"> NUCI</w:t>
      </w:r>
      <w:r w:rsidRPr="001428D3" w:rsidR="001428D3">
        <w:t>’</w:t>
      </w:r>
      <w:r w:rsidRPr="001428D3">
        <w:t xml:space="preserve">s competence to dictate or examine the manner and </w:t>
      </w:r>
      <w:r w:rsidRPr="001428D3" w:rsidR="00EA47FE">
        <w:t>equipment</w:t>
      </w:r>
      <w:r w:rsidRPr="001428D3">
        <w:t xml:space="preserve"> used by the </w:t>
      </w:r>
      <w:r w:rsidRPr="001428D3" w:rsidR="00F82678">
        <w:t>S</w:t>
      </w:r>
      <w:r w:rsidRPr="001428D3">
        <w:t xml:space="preserve">tate Police for securing the perimeter of the </w:t>
      </w:r>
      <w:r w:rsidRPr="001428D3" w:rsidR="00E77AA7">
        <w:t xml:space="preserve">site </w:t>
      </w:r>
      <w:r w:rsidRPr="001428D3" w:rsidR="00EA47FE">
        <w:t>under</w:t>
      </w:r>
      <w:r w:rsidRPr="001428D3">
        <w:t xml:space="preserve"> the authorities</w:t>
      </w:r>
      <w:r w:rsidRPr="001428D3" w:rsidR="001428D3">
        <w:t>’</w:t>
      </w:r>
      <w:r w:rsidRPr="001428D3">
        <w:t xml:space="preserve"> control</w:t>
      </w:r>
      <w:r w:rsidRPr="001428D3" w:rsidR="005521CC">
        <w:t>...</w:t>
      </w:r>
      <w:r w:rsidRPr="001428D3" w:rsidR="00EA47FE">
        <w:t xml:space="preserve">the </w:t>
      </w:r>
      <w:r w:rsidRPr="001428D3">
        <w:t xml:space="preserve">NUCI had not taken any action that could have impeded the applicants in exercising their property rights. The object of the </w:t>
      </w:r>
      <w:r w:rsidRPr="001428D3" w:rsidR="00CB327F">
        <w:t xml:space="preserve">inspection </w:t>
      </w:r>
      <w:r w:rsidRPr="001428D3">
        <w:t xml:space="preserve">had been the building and the subject of the </w:t>
      </w:r>
      <w:r w:rsidRPr="001428D3" w:rsidR="00537DAF">
        <w:t xml:space="preserve">inspection </w:t>
      </w:r>
      <w:r w:rsidRPr="001428D3">
        <w:t xml:space="preserve">had not been the </w:t>
      </w:r>
      <w:r w:rsidRPr="001428D3" w:rsidR="00537DAF">
        <w:t xml:space="preserve">residents </w:t>
      </w:r>
      <w:r w:rsidRPr="001428D3">
        <w:t xml:space="preserve">but the </w:t>
      </w:r>
      <w:r w:rsidRPr="001428D3" w:rsidR="00EA47FE">
        <w:t xml:space="preserve">construction </w:t>
      </w:r>
      <w:r w:rsidRPr="001428D3">
        <w:t xml:space="preserve">company </w:t>
      </w:r>
      <w:r w:rsidRPr="001428D3" w:rsidR="00EA47FE">
        <w:t>and</w:t>
      </w:r>
      <w:r w:rsidRPr="001428D3">
        <w:t xml:space="preserve"> the </w:t>
      </w:r>
      <w:r w:rsidRPr="001428D3" w:rsidR="00EA47FE">
        <w:t xml:space="preserve">activities </w:t>
      </w:r>
      <w:r w:rsidRPr="001428D3">
        <w:t>of the MUCI</w:t>
      </w:r>
      <w:r w:rsidRPr="001428D3" w:rsidR="001428D3">
        <w:t>’</w:t>
      </w:r>
      <w:r w:rsidRPr="001428D3">
        <w:t>s employees</w:t>
      </w:r>
      <w:r w:rsidRPr="001428D3" w:rsidR="00EA47FE">
        <w:t>.</w:t>
      </w:r>
      <w:r w:rsidRPr="001428D3">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55</w:t>
      </w:r>
      <w:r w:rsidRPr="001428D3">
        <w:rPr>
          <w:noProof/>
        </w:rPr>
        <w:fldChar w:fldCharType="end"/>
      </w:r>
      <w:r w:rsidRPr="001428D3" w:rsidR="00386C9E">
        <w:t xml:space="preserve">.  The Government submitted as part of their observations </w:t>
      </w:r>
      <w:r w:rsidRPr="001428D3" w:rsidR="00B86F93">
        <w:t xml:space="preserve">domestic case-law consisting of </w:t>
      </w:r>
      <w:r w:rsidRPr="001428D3" w:rsidR="00386C9E">
        <w:t>two</w:t>
      </w:r>
      <w:r w:rsidRPr="001428D3" w:rsidR="00D860B7">
        <w:t xml:space="preserve"> </w:t>
      </w:r>
      <w:r w:rsidRPr="001428D3" w:rsidR="00386C9E">
        <w:t>decisions of</w:t>
      </w:r>
      <w:r w:rsidRPr="001428D3" w:rsidR="001C2AF0">
        <w:t xml:space="preserve"> the</w:t>
      </w:r>
      <w:r w:rsidRPr="001428D3" w:rsidR="00386C9E">
        <w:t xml:space="preserve"> district courts</w:t>
      </w:r>
      <w:r w:rsidRPr="001428D3" w:rsidR="00C22FA4">
        <w:t xml:space="preserve"> a</w:t>
      </w:r>
      <w:r w:rsidRPr="001428D3" w:rsidR="00D860B7">
        <w:t>llowing</w:t>
      </w:r>
      <w:r w:rsidRPr="001428D3" w:rsidR="00386C9E">
        <w:t xml:space="preserve"> appellants</w:t>
      </w:r>
      <w:r w:rsidRPr="001428D3" w:rsidR="001428D3">
        <w:t>’</w:t>
      </w:r>
      <w:r w:rsidRPr="001428D3" w:rsidR="00386C9E">
        <w:t xml:space="preserve"> claims for compensation in respect of pecuniary damage </w:t>
      </w:r>
      <w:r w:rsidRPr="001428D3" w:rsidR="00131848">
        <w:t xml:space="preserve">suffered </w:t>
      </w:r>
      <w:r w:rsidRPr="001428D3" w:rsidR="00386C9E">
        <w:t xml:space="preserve">as a result of the demolition of their properties by the MUCI and NUCI. In one case the demolition had occurred in respect of a property which </w:t>
      </w:r>
      <w:r w:rsidRPr="001428D3" w:rsidR="00131848">
        <w:t xml:space="preserve">had been </w:t>
      </w:r>
      <w:r w:rsidRPr="001428D3" w:rsidR="00386C9E">
        <w:t>illegal</w:t>
      </w:r>
      <w:r w:rsidRPr="001428D3" w:rsidR="001C2AF0">
        <w:t>ly built</w:t>
      </w:r>
      <w:r w:rsidRPr="001428D3" w:rsidR="00386C9E">
        <w:t xml:space="preserve"> but </w:t>
      </w:r>
      <w:r w:rsidRPr="001428D3" w:rsidR="00D860B7">
        <w:t xml:space="preserve">for </w:t>
      </w:r>
      <w:r w:rsidRPr="001428D3" w:rsidR="00386C9E">
        <w:t xml:space="preserve">which proceedings for its legalisation were ongoing. The claim was </w:t>
      </w:r>
      <w:r w:rsidRPr="001428D3" w:rsidR="001C2AF0">
        <w:t>allowed under</w:t>
      </w:r>
      <w:r w:rsidRPr="001428D3" w:rsidR="00386C9E">
        <w:t xml:space="preserve"> the </w:t>
      </w:r>
      <w:r w:rsidRPr="001428D3" w:rsidR="00CB327F">
        <w:t>Non-Contractual Liability of the State Act</w:t>
      </w:r>
      <w:r w:rsidRPr="001428D3" w:rsidDel="00023EB7" w:rsidR="00023EB7">
        <w:t xml:space="preserve"> </w:t>
      </w:r>
      <w:r w:rsidRPr="001428D3" w:rsidR="00386C9E">
        <w:t xml:space="preserve">and </w:t>
      </w:r>
      <w:r w:rsidRPr="001428D3" w:rsidR="001C2AF0">
        <w:t>A</w:t>
      </w:r>
      <w:r w:rsidRPr="001428D3" w:rsidR="00386C9E">
        <w:t>rticles 608</w:t>
      </w:r>
      <w:r w:rsidRPr="001428D3" w:rsidR="001C2AF0">
        <w:t xml:space="preserve"> to </w:t>
      </w:r>
      <w:r w:rsidRPr="001428D3" w:rsidR="00386C9E">
        <w:t xml:space="preserve">640 of the Civil Code. In the other case the district court </w:t>
      </w:r>
      <w:r w:rsidRPr="001428D3" w:rsidR="001C2AF0">
        <w:t xml:space="preserve">allowed </w:t>
      </w:r>
      <w:r w:rsidRPr="001428D3" w:rsidR="00386C9E">
        <w:t>the appellants</w:t>
      </w:r>
      <w:r w:rsidRPr="001428D3" w:rsidR="001428D3">
        <w:t>’</w:t>
      </w:r>
      <w:r w:rsidRPr="001428D3" w:rsidR="00386C9E">
        <w:t xml:space="preserve"> claim for compensation on the ground</w:t>
      </w:r>
      <w:r w:rsidRPr="001428D3" w:rsidR="001C2AF0">
        <w:t>s</w:t>
      </w:r>
      <w:r w:rsidRPr="001428D3" w:rsidR="00386C9E">
        <w:t xml:space="preserve"> that the demolition of the property had occurred </w:t>
      </w:r>
      <w:r w:rsidRPr="001428D3" w:rsidR="001C2AF0">
        <w:t xml:space="preserve">despite </w:t>
      </w:r>
      <w:r w:rsidRPr="001428D3" w:rsidR="00386C9E">
        <w:t xml:space="preserve">another </w:t>
      </w:r>
      <w:r w:rsidRPr="001428D3" w:rsidR="001C2AF0">
        <w:t xml:space="preserve">court taking a </w:t>
      </w:r>
      <w:r w:rsidRPr="001428D3" w:rsidR="00386C9E">
        <w:t xml:space="preserve">decision </w:t>
      </w:r>
      <w:r w:rsidRPr="001428D3" w:rsidR="001C2AF0">
        <w:t>to</w:t>
      </w:r>
      <w:r w:rsidRPr="001428D3" w:rsidR="00386C9E">
        <w:t xml:space="preserve"> suspend the NUCI</w:t>
      </w:r>
      <w:r w:rsidRPr="001428D3" w:rsidR="001428D3">
        <w:t>’</w:t>
      </w:r>
      <w:r w:rsidRPr="001428D3" w:rsidR="00386C9E">
        <w:t xml:space="preserve">s decision </w:t>
      </w:r>
      <w:r w:rsidRPr="001428D3" w:rsidR="001C2AF0">
        <w:t>to demolish the property for being</w:t>
      </w:r>
      <w:r w:rsidRPr="001428D3" w:rsidR="00386C9E">
        <w:t xml:space="preserve"> </w:t>
      </w:r>
      <w:r w:rsidRPr="001428D3" w:rsidR="001C2AF0">
        <w:t>illegally built</w:t>
      </w:r>
      <w:r w:rsidRPr="001428D3" w:rsidR="00386C9E">
        <w:t xml:space="preserve">. The claim was </w:t>
      </w:r>
      <w:r w:rsidRPr="001428D3" w:rsidR="001C2AF0">
        <w:t>allowed under</w:t>
      </w:r>
      <w:r w:rsidRPr="001428D3" w:rsidR="00386C9E">
        <w:t xml:space="preserve"> Articles 608 and 640 of the Civil Code. </w:t>
      </w:r>
      <w:r w:rsidRPr="001428D3" w:rsidR="001C2AF0">
        <w:t xml:space="preserve">It is unclear </w:t>
      </w:r>
      <w:r w:rsidRPr="001428D3" w:rsidR="00386C9E">
        <w:t>whether the two district court decisions bec</w:t>
      </w:r>
      <w:r w:rsidRPr="001428D3" w:rsidR="001C2AF0">
        <w:t>a</w:t>
      </w:r>
      <w:r w:rsidRPr="001428D3" w:rsidR="00386C9E">
        <w:t>me final.</w:t>
      </w:r>
    </w:p>
    <w:p w:rsidRPr="001428D3" w:rsidR="00386C9E"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56</w:t>
      </w:r>
      <w:r w:rsidRPr="001428D3">
        <w:rPr>
          <w:noProof/>
        </w:rPr>
        <w:fldChar w:fldCharType="end"/>
      </w:r>
      <w:r w:rsidRPr="001428D3" w:rsidR="00386C9E">
        <w:t xml:space="preserve">.  The Government also submitted three other domestic court decisions </w:t>
      </w:r>
      <w:r w:rsidRPr="001428D3" w:rsidR="00131848">
        <w:t>in</w:t>
      </w:r>
      <w:r w:rsidRPr="001428D3" w:rsidR="00386C9E">
        <w:t xml:space="preserve"> which the domestic courts </w:t>
      </w:r>
      <w:r w:rsidRPr="001428D3" w:rsidR="00131848">
        <w:t>allowed</w:t>
      </w:r>
      <w:r w:rsidRPr="001428D3" w:rsidR="00386C9E">
        <w:t xml:space="preserve"> the appellants</w:t>
      </w:r>
      <w:r w:rsidRPr="001428D3" w:rsidR="001428D3">
        <w:t>’</w:t>
      </w:r>
      <w:r w:rsidRPr="001428D3" w:rsidR="00386C9E">
        <w:t xml:space="preserve"> claim for a higher </w:t>
      </w:r>
      <w:r w:rsidRPr="001428D3" w:rsidR="00131848">
        <w:t>amount of</w:t>
      </w:r>
      <w:r w:rsidRPr="001428D3" w:rsidR="00386C9E">
        <w:t xml:space="preserve"> compensation for their expropriated property in the public interest.</w:t>
      </w:r>
    </w:p>
    <w:p w:rsidRPr="001428D3" w:rsidR="005521CC" w:rsidP="001428D3" w:rsidRDefault="00840068">
      <w:pPr>
        <w:pStyle w:val="ECHRPara"/>
      </w:pPr>
      <w:r w:rsidRPr="001428D3">
        <w:fldChar w:fldCharType="begin"/>
      </w:r>
      <w:r w:rsidRPr="001428D3">
        <w:instrText xml:space="preserve"> SEQ level0 \*arabic </w:instrText>
      </w:r>
      <w:r w:rsidRPr="001428D3">
        <w:fldChar w:fldCharType="separate"/>
      </w:r>
      <w:r w:rsidRPr="001428D3" w:rsidR="001428D3">
        <w:rPr>
          <w:noProof/>
        </w:rPr>
        <w:t>57</w:t>
      </w:r>
      <w:r w:rsidRPr="001428D3">
        <w:fldChar w:fldCharType="end"/>
      </w:r>
      <w:r w:rsidRPr="001428D3">
        <w:t>.  At the hearing the applicants</w:t>
      </w:r>
      <w:r w:rsidRPr="001428D3" w:rsidR="001428D3">
        <w:t>’</w:t>
      </w:r>
      <w:r w:rsidRPr="001428D3">
        <w:t xml:space="preserve"> representative </w:t>
      </w:r>
      <w:r w:rsidRPr="001428D3" w:rsidR="00DB7D4E">
        <w:t>pleaded</w:t>
      </w:r>
      <w:r w:rsidRPr="001428D3">
        <w:t xml:space="preserve"> that on 9 December 2013 the applicants had lodged a request with the Vlora Municipality for compensation. </w:t>
      </w:r>
      <w:r w:rsidRPr="001428D3" w:rsidR="00131848">
        <w:t>O</w:t>
      </w:r>
      <w:r w:rsidRPr="001428D3">
        <w:t>n 20 January 2014 the Vlora Municipality had asked the applicants to produce a copy of the</w:t>
      </w:r>
      <w:r w:rsidRPr="001428D3" w:rsidR="001C2AF0">
        <w:t>ir</w:t>
      </w:r>
      <w:r w:rsidRPr="001428D3">
        <w:t xml:space="preserve"> certificate of ownership accompanied by </w:t>
      </w:r>
      <w:r w:rsidRPr="001428D3" w:rsidR="001C2AF0">
        <w:t xml:space="preserve">a </w:t>
      </w:r>
      <w:r w:rsidRPr="001428D3">
        <w:t xml:space="preserve">map of flats issued by the IPRO </w:t>
      </w:r>
      <w:r w:rsidRPr="001428D3" w:rsidR="0073427A">
        <w:t xml:space="preserve">within </w:t>
      </w:r>
      <w:r w:rsidRPr="001428D3">
        <w:t xml:space="preserve">the last </w:t>
      </w:r>
      <w:r w:rsidRPr="001428D3" w:rsidR="00176407">
        <w:t>seventy-two </w:t>
      </w:r>
      <w:r w:rsidRPr="001428D3">
        <w:t xml:space="preserve">hours. </w:t>
      </w:r>
      <w:r w:rsidRPr="001428D3" w:rsidR="009C0004">
        <w:t xml:space="preserve">The applicants </w:t>
      </w:r>
      <w:r w:rsidRPr="001428D3" w:rsidR="00DB7D4E">
        <w:t xml:space="preserve">did not submit the two documents. </w:t>
      </w:r>
      <w:r w:rsidRPr="001428D3" w:rsidR="00C23D5C">
        <w:t>They further submitted that t</w:t>
      </w:r>
      <w:r w:rsidRPr="001428D3" w:rsidR="00DB7D4E">
        <w:t>he IPRO</w:t>
      </w:r>
      <w:r w:rsidRPr="001428D3" w:rsidR="0021024D">
        <w:t xml:space="preserve"> had refused to issue </w:t>
      </w:r>
      <w:r w:rsidRPr="001428D3" w:rsidR="00176407">
        <w:t xml:space="preserve">the </w:t>
      </w:r>
      <w:r w:rsidRPr="001428D3" w:rsidR="0021024D">
        <w:t xml:space="preserve">certificates </w:t>
      </w:r>
      <w:r w:rsidRPr="001428D3" w:rsidR="00DB7D4E">
        <w:t>(see also paragraph 32 above).</w:t>
      </w:r>
    </w:p>
    <w:p w:rsidRPr="001428D3" w:rsidR="00014566" w:rsidP="001428D3" w:rsidRDefault="00014566">
      <w:pPr>
        <w:pStyle w:val="ECHRHeading1"/>
      </w:pPr>
      <w:bookmarkStart w:name="_Toc498016741" w:id="31"/>
      <w:r w:rsidRPr="001428D3">
        <w:t xml:space="preserve">II.  RELEVANT DOMESTIC LAW </w:t>
      </w:r>
      <w:r w:rsidRPr="001428D3" w:rsidR="00A41BF4">
        <w:t>AND PRACTICE</w:t>
      </w:r>
      <w:bookmarkEnd w:id="31"/>
    </w:p>
    <w:p w:rsidRPr="001428D3" w:rsidR="004D4FA6" w:rsidP="001428D3" w:rsidRDefault="004D4FA6">
      <w:pPr>
        <w:pStyle w:val="ECHRHeading2"/>
      </w:pPr>
      <w:bookmarkStart w:name="_Toc498016742" w:id="32"/>
      <w:r w:rsidRPr="001428D3">
        <w:t>A.  Constitution</w:t>
      </w:r>
      <w:bookmarkEnd w:id="32"/>
    </w:p>
    <w:p w:rsidRPr="001428D3" w:rsidR="006D0748"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58</w:t>
      </w:r>
      <w:r w:rsidRPr="001428D3">
        <w:rPr>
          <w:noProof/>
        </w:rPr>
        <w:fldChar w:fldCharType="end"/>
      </w:r>
      <w:r w:rsidRPr="001428D3" w:rsidR="008517FA">
        <w:t>.  </w:t>
      </w:r>
      <w:r w:rsidRPr="001428D3" w:rsidR="001C6F5D">
        <w:t>The relevant part of the Constitution reads as follows:</w:t>
      </w:r>
    </w:p>
    <w:p w:rsidRPr="001428D3" w:rsidR="001C6F5D" w:rsidP="001428D3" w:rsidRDefault="001C6F5D">
      <w:pPr>
        <w:pStyle w:val="ECHRPara"/>
      </w:pPr>
    </w:p>
    <w:p w:rsidRPr="001428D3" w:rsidR="000C6032" w:rsidP="001428D3" w:rsidRDefault="000C6032">
      <w:pPr>
        <w:pStyle w:val="JuQuotSub"/>
      </w:pPr>
      <w:r w:rsidRPr="001428D3">
        <w:t>“</w:t>
      </w:r>
      <w:r w:rsidRPr="001428D3" w:rsidR="00501D3E">
        <w:t>Article 37</w:t>
      </w:r>
    </w:p>
    <w:p w:rsidRPr="001428D3" w:rsidR="001C6F5D" w:rsidP="001428D3" w:rsidRDefault="000C6032">
      <w:pPr>
        <w:pStyle w:val="ECHRParaQuote"/>
      </w:pPr>
      <w:r w:rsidRPr="001428D3">
        <w:t>1.  The inviolability of residence is guaranteed.</w:t>
      </w:r>
    </w:p>
    <w:p w:rsidRPr="001428D3" w:rsidR="006652A4" w:rsidP="001428D3" w:rsidRDefault="000C6032">
      <w:pPr>
        <w:pStyle w:val="ECHRParaQuote"/>
      </w:pPr>
      <w:r w:rsidRPr="001428D3">
        <w:t>2.  Searches of a residence, as well as of equivalent premises may be carried out only in the cases and manner provided for by law</w:t>
      </w:r>
      <w:r w:rsidRPr="001428D3" w:rsidR="006652A4">
        <w:t>.</w:t>
      </w:r>
    </w:p>
    <w:p w:rsidRPr="001428D3" w:rsidR="009845BA" w:rsidP="001428D3" w:rsidRDefault="009845BA">
      <w:pPr>
        <w:pStyle w:val="ECHRParaQuote"/>
      </w:pPr>
      <w:r w:rsidRPr="001428D3">
        <w:t>...</w:t>
      </w:r>
    </w:p>
    <w:p w:rsidRPr="001428D3" w:rsidR="000C6032" w:rsidP="001428D3" w:rsidRDefault="000C6032">
      <w:pPr>
        <w:pStyle w:val="JuQuotSub"/>
      </w:pPr>
      <w:r w:rsidRPr="001428D3">
        <w:t>Article 41</w:t>
      </w:r>
    </w:p>
    <w:p w:rsidRPr="001428D3" w:rsidR="009845BA" w:rsidP="001428D3" w:rsidRDefault="000C6032">
      <w:pPr>
        <w:pStyle w:val="ECHRParaQuote"/>
      </w:pPr>
      <w:r w:rsidRPr="001428D3">
        <w:t>1.  The right of private property is guaranteed.</w:t>
      </w:r>
    </w:p>
    <w:p w:rsidRPr="001428D3" w:rsidR="000C6032" w:rsidP="001428D3" w:rsidRDefault="009845BA">
      <w:pPr>
        <w:pStyle w:val="ECHRParaQuote"/>
      </w:pPr>
      <w:r w:rsidRPr="001428D3">
        <w:t>...</w:t>
      </w:r>
    </w:p>
    <w:p w:rsidRPr="001428D3" w:rsidR="009845BA" w:rsidP="001428D3" w:rsidRDefault="000C6032">
      <w:pPr>
        <w:pStyle w:val="ECHRParaQuote"/>
      </w:pPr>
      <w:r w:rsidRPr="001428D3">
        <w:t>3.  </w:t>
      </w:r>
      <w:r w:rsidRPr="001428D3" w:rsidR="008517FA">
        <w:t>The law may provide for expropriations or limitations in the exercise of a property right only in the public interest.</w:t>
      </w:r>
    </w:p>
    <w:p w:rsidRPr="001428D3" w:rsidR="009845BA" w:rsidP="001428D3" w:rsidRDefault="00FC2892">
      <w:pPr>
        <w:pStyle w:val="ECHRParaQuote"/>
      </w:pPr>
      <w:r w:rsidRPr="001428D3">
        <w:t>4.  </w:t>
      </w:r>
      <w:r w:rsidRPr="001428D3" w:rsidR="008517FA">
        <w:t xml:space="preserve">Expropriations, or limitations of a property right that are equivalent to expropriation, </w:t>
      </w:r>
      <w:r w:rsidRPr="001428D3" w:rsidR="004909F7">
        <w:t>are</w:t>
      </w:r>
      <w:r w:rsidRPr="001428D3" w:rsidR="008517FA">
        <w:t xml:space="preserve"> permitted only in return </w:t>
      </w:r>
      <w:r w:rsidRPr="001428D3" w:rsidR="003942A6">
        <w:t>for</w:t>
      </w:r>
      <w:r w:rsidRPr="001428D3" w:rsidR="008517FA">
        <w:t xml:space="preserve"> fair compensation.</w:t>
      </w:r>
    </w:p>
    <w:p w:rsidRPr="001428D3" w:rsidR="009845BA" w:rsidP="001428D3" w:rsidRDefault="00FC2892">
      <w:pPr>
        <w:pStyle w:val="ECHRParaQuote"/>
      </w:pPr>
      <w:r w:rsidRPr="001428D3">
        <w:t>5.  </w:t>
      </w:r>
      <w:r w:rsidRPr="001428D3" w:rsidR="008517FA">
        <w:t xml:space="preserve">A complaint may be lodged with a court to resolve disputes regarding the amount or </w:t>
      </w:r>
      <w:r w:rsidRPr="001428D3" w:rsidR="00501D3E">
        <w:t>extent of the co</w:t>
      </w:r>
      <w:r w:rsidRPr="001428D3" w:rsidR="003942A6">
        <w:t>mpensation.</w:t>
      </w:r>
    </w:p>
    <w:p w:rsidRPr="001428D3" w:rsidR="009845BA" w:rsidP="001428D3" w:rsidRDefault="003942A6">
      <w:pPr>
        <w:pStyle w:val="JuQuotSub"/>
      </w:pPr>
      <w:r w:rsidRPr="001428D3">
        <w:t>Article 42</w:t>
      </w:r>
    </w:p>
    <w:p w:rsidRPr="001428D3" w:rsidR="009845BA" w:rsidP="001428D3" w:rsidRDefault="00FC2892">
      <w:pPr>
        <w:pStyle w:val="ECHRParaQuote"/>
      </w:pPr>
      <w:r w:rsidRPr="001428D3">
        <w:t>1.  F</w:t>
      </w:r>
      <w:r w:rsidRPr="001428D3" w:rsidR="008517FA">
        <w:t>reedom, property and other rights recognised in the Constitution and by law may not be infringed without a fair hearing.</w:t>
      </w:r>
    </w:p>
    <w:p w:rsidRPr="001428D3" w:rsidR="008517FA" w:rsidP="001428D3" w:rsidRDefault="00FC2892">
      <w:pPr>
        <w:pStyle w:val="ECHRParaQuote"/>
      </w:pPr>
      <w:r w:rsidRPr="001428D3">
        <w:t>2.  </w:t>
      </w:r>
      <w:r w:rsidRPr="001428D3" w:rsidR="008517FA">
        <w:t xml:space="preserve">In order to protect </w:t>
      </w:r>
      <w:r w:rsidRPr="001428D3" w:rsidR="003942A6">
        <w:t>their</w:t>
      </w:r>
      <w:r w:rsidRPr="001428D3" w:rsidR="008517FA">
        <w:t xml:space="preserve"> constitutional and legal rights, freedoms and interests, or when an accusation has been made against </w:t>
      </w:r>
      <w:r w:rsidRPr="001428D3" w:rsidR="003942A6">
        <w:t>them</w:t>
      </w:r>
      <w:r w:rsidRPr="001428D3" w:rsidR="008517FA">
        <w:t>, everyone has the right to a fair and public trial, within a reasonable time, by an independent and impartial tribunal established by law</w:t>
      </w:r>
      <w:r w:rsidRPr="001428D3" w:rsidR="006652A4">
        <w:t>”.</w:t>
      </w:r>
    </w:p>
    <w:p w:rsidRPr="001428D3" w:rsidR="004D4FA6" w:rsidP="001428D3" w:rsidRDefault="00D855E5">
      <w:pPr>
        <w:pStyle w:val="ECHRHeading2"/>
      </w:pPr>
      <w:bookmarkStart w:name="_Toc498016743" w:id="33"/>
      <w:r w:rsidRPr="001428D3">
        <w:t>B</w:t>
      </w:r>
      <w:r w:rsidRPr="001428D3" w:rsidR="004D4FA6">
        <w:t>.  Civil Code</w:t>
      </w:r>
      <w:bookmarkEnd w:id="33"/>
    </w:p>
    <w:p w:rsidRPr="001428D3" w:rsidR="005521CC" w:rsidP="001428D3" w:rsidRDefault="00D6444E">
      <w:pPr>
        <w:pStyle w:val="ECHRPara"/>
      </w:pPr>
      <w:r w:rsidRPr="001428D3">
        <w:fldChar w:fldCharType="begin"/>
      </w:r>
      <w:r w:rsidRPr="001428D3">
        <w:instrText xml:space="preserve"> SEQ level0 \*arabic </w:instrText>
      </w:r>
      <w:r w:rsidRPr="001428D3">
        <w:fldChar w:fldCharType="separate"/>
      </w:r>
      <w:r w:rsidRPr="001428D3" w:rsidR="001428D3">
        <w:rPr>
          <w:noProof/>
        </w:rPr>
        <w:t>59</w:t>
      </w:r>
      <w:r w:rsidRPr="001428D3">
        <w:fldChar w:fldCharType="end"/>
      </w:r>
      <w:r w:rsidRPr="001428D3">
        <w:t>.  </w:t>
      </w:r>
      <w:r w:rsidRPr="001428D3" w:rsidR="00795705">
        <w:t>Article 608 of t</w:t>
      </w:r>
      <w:r w:rsidRPr="001428D3">
        <w:t xml:space="preserve">he Civil Code </w:t>
      </w:r>
      <w:r w:rsidRPr="001428D3" w:rsidR="00795705">
        <w:t xml:space="preserve">provides that </w:t>
      </w:r>
      <w:r w:rsidRPr="001428D3" w:rsidR="004909F7">
        <w:t>anyone</w:t>
      </w:r>
      <w:r w:rsidRPr="001428D3">
        <w:t xml:space="preserve"> who unlawfully causes damage to another person or to </w:t>
      </w:r>
      <w:r w:rsidRPr="001428D3" w:rsidR="00650C0E">
        <w:t>that person</w:t>
      </w:r>
      <w:r w:rsidRPr="001428D3" w:rsidR="001428D3">
        <w:t>’</w:t>
      </w:r>
      <w:r w:rsidRPr="001428D3" w:rsidR="00650C0E">
        <w:t>s</w:t>
      </w:r>
      <w:r w:rsidRPr="001428D3">
        <w:t xml:space="preserve"> property </w:t>
      </w:r>
      <w:r w:rsidRPr="001428D3" w:rsidR="004909F7">
        <w:t>is</w:t>
      </w:r>
      <w:r w:rsidRPr="001428D3">
        <w:t xml:space="preserve"> obliged to pay compensation for the damage. </w:t>
      </w:r>
      <w:r w:rsidRPr="001428D3" w:rsidR="00795705">
        <w:t>He is</w:t>
      </w:r>
      <w:r w:rsidRPr="001428D3">
        <w:t xml:space="preserve"> not liable if he proves that he </w:t>
      </w:r>
      <w:r w:rsidRPr="001428D3" w:rsidR="00767C2A">
        <w:t>is not at</w:t>
      </w:r>
      <w:r w:rsidRPr="001428D3" w:rsidR="00E30D09">
        <w:t xml:space="preserve"> fault</w:t>
      </w:r>
      <w:r w:rsidRPr="001428D3">
        <w:t>.</w:t>
      </w:r>
      <w:r w:rsidRPr="001428D3" w:rsidR="00650C0E">
        <w:t xml:space="preserve"> </w:t>
      </w:r>
      <w:r w:rsidRPr="001428D3" w:rsidR="00795705">
        <w:t xml:space="preserve">Article 609 </w:t>
      </w:r>
      <w:r w:rsidRPr="001428D3" w:rsidR="00767C2A">
        <w:t xml:space="preserve">provides that </w:t>
      </w:r>
      <w:r w:rsidRPr="001428D3" w:rsidR="00795705">
        <w:t xml:space="preserve">the damage </w:t>
      </w:r>
      <w:r w:rsidRPr="001428D3">
        <w:t xml:space="preserve">should </w:t>
      </w:r>
      <w:r w:rsidRPr="001428D3" w:rsidR="00650C0E">
        <w:t xml:space="preserve">be the </w:t>
      </w:r>
      <w:r w:rsidRPr="001428D3">
        <w:t>result of a</w:t>
      </w:r>
      <w:r w:rsidRPr="001428D3" w:rsidR="00767C2A">
        <w:t xml:space="preserve"> person</w:t>
      </w:r>
      <w:r w:rsidRPr="001428D3" w:rsidR="001428D3">
        <w:t>’</w:t>
      </w:r>
      <w:r w:rsidRPr="001428D3" w:rsidR="00767C2A">
        <w:t>s</w:t>
      </w:r>
      <w:r w:rsidRPr="001428D3">
        <w:t xml:space="preserve"> direct and immediate act or </w:t>
      </w:r>
      <w:r w:rsidRPr="001428D3" w:rsidR="00795705">
        <w:t xml:space="preserve">omission. Article 625 provides that a person who suffers </w:t>
      </w:r>
      <w:r w:rsidRPr="001428D3">
        <w:t>non-pecuniary damage is entitled to compensation</w:t>
      </w:r>
      <w:r w:rsidRPr="001428D3" w:rsidR="00767C2A">
        <w:t xml:space="preserve"> </w:t>
      </w:r>
      <w:r w:rsidRPr="001428D3">
        <w:t>if</w:t>
      </w:r>
      <w:r w:rsidRPr="001428D3" w:rsidR="00795705">
        <w:t xml:space="preserve"> </w:t>
      </w:r>
      <w:r w:rsidRPr="001428D3">
        <w:t>there has been damage to his health, physical or mental integrity;</w:t>
      </w:r>
      <w:r w:rsidRPr="001428D3" w:rsidR="00795705">
        <w:t xml:space="preserve"> </w:t>
      </w:r>
      <w:r w:rsidRPr="001428D3">
        <w:t>his</w:t>
      </w:r>
      <w:r w:rsidRPr="001428D3" w:rsidR="005521CC">
        <w:t xml:space="preserve"> </w:t>
      </w:r>
      <w:r w:rsidRPr="001428D3">
        <w:t>honour, personality o</w:t>
      </w:r>
      <w:r w:rsidRPr="001428D3" w:rsidR="00650C0E">
        <w:t xml:space="preserve">r reputation </w:t>
      </w:r>
      <w:r w:rsidRPr="001428D3" w:rsidR="00767C2A">
        <w:t xml:space="preserve">have </w:t>
      </w:r>
      <w:r w:rsidRPr="001428D3" w:rsidR="00650C0E">
        <w:t xml:space="preserve">been infringed </w:t>
      </w:r>
      <w:r w:rsidRPr="001428D3" w:rsidR="00767C2A">
        <w:t xml:space="preserve">or his </w:t>
      </w:r>
      <w:r w:rsidRPr="001428D3" w:rsidR="004909F7">
        <w:t xml:space="preserve">right </w:t>
      </w:r>
      <w:r w:rsidRPr="001428D3" w:rsidR="00767C2A">
        <w:t xml:space="preserve">to </w:t>
      </w:r>
      <w:r w:rsidRPr="001428D3">
        <w:t xml:space="preserve">respect </w:t>
      </w:r>
      <w:r w:rsidRPr="001428D3" w:rsidR="00767C2A">
        <w:t xml:space="preserve">for </w:t>
      </w:r>
      <w:r w:rsidRPr="001428D3">
        <w:t xml:space="preserve">his </w:t>
      </w:r>
      <w:r w:rsidRPr="001428D3" w:rsidR="00795705">
        <w:t>private life has been infringed. Under Article 640</w:t>
      </w:r>
      <w:r w:rsidRPr="001428D3" w:rsidR="004909F7">
        <w:t>,</w:t>
      </w:r>
      <w:r w:rsidRPr="001428D3" w:rsidR="00795705">
        <w:t xml:space="preserve"> p</w:t>
      </w:r>
      <w:r w:rsidRPr="001428D3">
        <w:t>ecuniary damage consists of the</w:t>
      </w:r>
      <w:r w:rsidRPr="001428D3" w:rsidR="004909F7">
        <w:t xml:space="preserve"> </w:t>
      </w:r>
      <w:r w:rsidRPr="001428D3" w:rsidR="00767C2A">
        <w:t>actual</w:t>
      </w:r>
      <w:r w:rsidRPr="001428D3">
        <w:t xml:space="preserve"> loss </w:t>
      </w:r>
      <w:r w:rsidRPr="001428D3" w:rsidR="00795705">
        <w:t>suffered and loss of profit.</w:t>
      </w:r>
    </w:p>
    <w:p w:rsidRPr="001428D3" w:rsidR="00A85E40" w:rsidP="001428D3" w:rsidRDefault="00F80C6D">
      <w:pPr>
        <w:pStyle w:val="ECHRHeading2"/>
      </w:pPr>
      <w:bookmarkStart w:name="_Toc498016744" w:id="34"/>
      <w:r w:rsidRPr="001428D3">
        <w:t>C</w:t>
      </w:r>
      <w:r w:rsidRPr="001428D3" w:rsidR="00A85E40">
        <w:t>.  Code of Civil Procedure</w:t>
      </w:r>
      <w:bookmarkEnd w:id="34"/>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60</w:t>
      </w:r>
      <w:r w:rsidRPr="001428D3">
        <w:rPr>
          <w:noProof/>
        </w:rPr>
        <w:fldChar w:fldCharType="end"/>
      </w:r>
      <w:r w:rsidRPr="001428D3" w:rsidR="008517FA">
        <w:t xml:space="preserve">.  Under Article 202 of the </w:t>
      </w:r>
      <w:r w:rsidRPr="001428D3" w:rsidR="004A6D7A">
        <w:t>C</w:t>
      </w:r>
      <w:r w:rsidRPr="001428D3" w:rsidR="008517FA">
        <w:t>CP</w:t>
      </w:r>
      <w:r w:rsidRPr="001428D3" w:rsidR="005A5FB4">
        <w:t>,</w:t>
      </w:r>
      <w:r w:rsidRPr="001428D3" w:rsidR="008517FA">
        <w:t xml:space="preserve"> an interim order </w:t>
      </w:r>
      <w:r w:rsidRPr="001428D3" w:rsidR="005E4747">
        <w:t>may be</w:t>
      </w:r>
      <w:r w:rsidRPr="001428D3" w:rsidR="008517FA">
        <w:t xml:space="preserve"> issued when there </w:t>
      </w:r>
      <w:r w:rsidRPr="001428D3" w:rsidR="00767C2A">
        <w:t xml:space="preserve">is </w:t>
      </w:r>
      <w:r w:rsidRPr="001428D3" w:rsidR="008517FA">
        <w:t xml:space="preserve">reason to suspect that the execution of a </w:t>
      </w:r>
      <w:r w:rsidRPr="001428D3" w:rsidR="007B3067">
        <w:t xml:space="preserve">final </w:t>
      </w:r>
      <w:r w:rsidRPr="001428D3" w:rsidR="008517FA">
        <w:t xml:space="preserve">decision </w:t>
      </w:r>
      <w:r w:rsidRPr="001428D3" w:rsidR="007B3067">
        <w:t xml:space="preserve">may be </w:t>
      </w:r>
      <w:r w:rsidRPr="001428D3" w:rsidR="008517FA">
        <w:t xml:space="preserve">impossible or difficult. </w:t>
      </w:r>
      <w:r w:rsidRPr="001428D3" w:rsidR="005E4747">
        <w:t>An</w:t>
      </w:r>
      <w:r w:rsidRPr="001428D3" w:rsidR="008517FA">
        <w:t xml:space="preserve"> interim order is allowed when the </w:t>
      </w:r>
      <w:r w:rsidRPr="001428D3" w:rsidR="009F1DA6">
        <w:t>claim</w:t>
      </w:r>
      <w:r w:rsidRPr="001428D3" w:rsidR="008517FA">
        <w:t xml:space="preserve"> is based on evidence and the claimant party </w:t>
      </w:r>
      <w:r w:rsidRPr="001428D3" w:rsidR="00FB619A">
        <w:t xml:space="preserve">gives an undertaking </w:t>
      </w:r>
      <w:r w:rsidRPr="001428D3" w:rsidR="005E4747">
        <w:t>for any</w:t>
      </w:r>
      <w:r w:rsidRPr="001428D3" w:rsidR="008517FA">
        <w:t xml:space="preserve"> damage that the defendant party may </w:t>
      </w:r>
      <w:r w:rsidRPr="001428D3" w:rsidR="005E4747">
        <w:t>suffer</w:t>
      </w:r>
      <w:r w:rsidRPr="001428D3" w:rsidR="008517FA">
        <w:t xml:space="preserve"> as a result of the interim order. Under Article 204</w:t>
      </w:r>
      <w:r w:rsidRPr="001428D3" w:rsidR="004909F7">
        <w:t>,</w:t>
      </w:r>
      <w:r w:rsidRPr="001428D3" w:rsidR="008517FA">
        <w:t xml:space="preserve"> an interim order may also be issued </w:t>
      </w:r>
      <w:r w:rsidRPr="001428D3" w:rsidR="00767C2A">
        <w:t>before the</w:t>
      </w:r>
      <w:r w:rsidRPr="001428D3" w:rsidR="008517FA">
        <w:t xml:space="preserve"> main proceedings have been instituted. In such case</w:t>
      </w:r>
      <w:r w:rsidRPr="001428D3" w:rsidR="00767C2A">
        <w:t>s</w:t>
      </w:r>
      <w:r w:rsidRPr="001428D3" w:rsidR="008517FA">
        <w:t xml:space="preserve"> the claim on the merits shoul</w:t>
      </w:r>
      <w:r w:rsidRPr="001428D3" w:rsidR="009C4384">
        <w:t xml:space="preserve">d be </w:t>
      </w:r>
      <w:r w:rsidRPr="001428D3" w:rsidR="00A048F0">
        <w:t xml:space="preserve">brought </w:t>
      </w:r>
      <w:r w:rsidRPr="001428D3" w:rsidR="009C4384">
        <w:t xml:space="preserve">within </w:t>
      </w:r>
      <w:r w:rsidRPr="001428D3" w:rsidR="00767C2A">
        <w:t>the time</w:t>
      </w:r>
      <w:r w:rsidRPr="001428D3" w:rsidR="009C4384">
        <w:t xml:space="preserve"> fixed </w:t>
      </w:r>
      <w:r w:rsidRPr="001428D3" w:rsidR="00B552DF">
        <w:t>by the court but</w:t>
      </w:r>
      <w:r w:rsidRPr="001428D3" w:rsidR="00767C2A">
        <w:t xml:space="preserve"> within</w:t>
      </w:r>
      <w:r w:rsidRPr="001428D3" w:rsidR="009C4384">
        <w:t xml:space="preserve"> no more than fifteen days</w:t>
      </w:r>
      <w:r w:rsidRPr="001428D3" w:rsidR="008517FA">
        <w:t xml:space="preserve">. </w:t>
      </w:r>
      <w:r w:rsidRPr="001428D3" w:rsidR="005E4747">
        <w:t>An</w:t>
      </w:r>
      <w:r w:rsidRPr="001428D3" w:rsidR="008517FA">
        <w:t xml:space="preserve"> appeal against the interim order does not stay its execution (Article 210). In the event </w:t>
      </w:r>
      <w:r w:rsidRPr="001428D3" w:rsidR="005E4747">
        <w:t xml:space="preserve">that </w:t>
      </w:r>
      <w:r w:rsidRPr="001428D3" w:rsidR="008517FA">
        <w:t xml:space="preserve">the claim </w:t>
      </w:r>
      <w:r w:rsidRPr="001428D3" w:rsidR="009F1DA6">
        <w:t xml:space="preserve">is </w:t>
      </w:r>
      <w:r w:rsidRPr="001428D3" w:rsidR="008517FA">
        <w:t xml:space="preserve">not </w:t>
      </w:r>
      <w:r w:rsidRPr="001428D3" w:rsidR="009F1DA6">
        <w:t>lodged</w:t>
      </w:r>
      <w:r w:rsidRPr="001428D3" w:rsidR="008517FA">
        <w:t xml:space="preserve"> within the </w:t>
      </w:r>
      <w:r w:rsidRPr="001428D3" w:rsidR="00767C2A">
        <w:t xml:space="preserve">time </w:t>
      </w:r>
      <w:r w:rsidRPr="001428D3" w:rsidR="008517FA">
        <w:t xml:space="preserve">fixed by the court, the interim order ceases to have </w:t>
      </w:r>
      <w:r w:rsidRPr="001428D3" w:rsidR="005E4747">
        <w:t>effect</w:t>
      </w:r>
      <w:r w:rsidRPr="001428D3" w:rsidR="008517FA">
        <w:t xml:space="preserve"> (Article 211). </w:t>
      </w:r>
      <w:r w:rsidRPr="001428D3" w:rsidR="00DF333F">
        <w:t xml:space="preserve">If the </w:t>
      </w:r>
      <w:r w:rsidRPr="001428D3" w:rsidR="009F1DA6">
        <w:t>claim</w:t>
      </w:r>
      <w:r w:rsidRPr="001428D3" w:rsidR="00DF333F">
        <w:t xml:space="preserve"> </w:t>
      </w:r>
      <w:r w:rsidRPr="001428D3" w:rsidR="003A45FC">
        <w:t xml:space="preserve">is allowed </w:t>
      </w:r>
      <w:r w:rsidRPr="001428D3" w:rsidR="005E7880">
        <w:t>in the final decision</w:t>
      </w:r>
      <w:r w:rsidRPr="001428D3" w:rsidR="00DF333F">
        <w:t xml:space="preserve">, the </w:t>
      </w:r>
      <w:r w:rsidRPr="001428D3" w:rsidR="005E7880">
        <w:t xml:space="preserve">domestic </w:t>
      </w:r>
      <w:r w:rsidRPr="001428D3" w:rsidR="00DF333F">
        <w:t xml:space="preserve">court also </w:t>
      </w:r>
      <w:r w:rsidRPr="001428D3" w:rsidR="00F42249">
        <w:t xml:space="preserve">validates </w:t>
      </w:r>
      <w:r w:rsidRPr="001428D3" w:rsidR="00DF333F">
        <w:t xml:space="preserve">the interim order (Article 212). </w:t>
      </w:r>
      <w:r w:rsidRPr="001428D3" w:rsidR="008517FA">
        <w:t xml:space="preserve">Article 510 provides that an interim order constitutes an </w:t>
      </w:r>
      <w:r w:rsidRPr="001428D3" w:rsidR="00453413">
        <w:t>“</w:t>
      </w:r>
      <w:r w:rsidRPr="001428D3" w:rsidR="008517FA">
        <w:t>executable decision</w:t>
      </w:r>
      <w:r w:rsidRPr="001428D3" w:rsidR="00453413">
        <w:t>”</w:t>
      </w:r>
      <w:r w:rsidRPr="001428D3" w:rsidR="008517FA">
        <w:t xml:space="preserve"> (</w:t>
      </w:r>
      <w:r w:rsidRPr="001428D3" w:rsidR="008517FA">
        <w:rPr>
          <w:i/>
        </w:rPr>
        <w:t>titull ekzekutiv</w:t>
      </w:r>
      <w:r w:rsidRPr="001428D3" w:rsidR="008517FA">
        <w:t>)</w:t>
      </w:r>
      <w:r w:rsidRPr="001428D3" w:rsidR="0073427A">
        <w:t>, which is subject to mandatory enforcement</w:t>
      </w:r>
      <w:r w:rsidRPr="001428D3" w:rsidR="008517FA">
        <w:t>. Under Articles 511 and 515</w:t>
      </w:r>
      <w:r w:rsidRPr="001428D3" w:rsidR="00B4619C">
        <w:t>, enforcement of</w:t>
      </w:r>
      <w:r w:rsidRPr="001428D3" w:rsidR="008517FA">
        <w:t xml:space="preserve"> the interim order is </w:t>
      </w:r>
      <w:r w:rsidRPr="001428D3" w:rsidR="00B4619C">
        <w:t>carried out</w:t>
      </w:r>
      <w:r w:rsidRPr="001428D3" w:rsidR="00213FBA">
        <w:t xml:space="preserve"> </w:t>
      </w:r>
      <w:r w:rsidRPr="001428D3" w:rsidR="005E4747">
        <w:t>directly by the bailiff</w:t>
      </w:r>
      <w:r w:rsidRPr="001428D3" w:rsidR="001428D3">
        <w:t>’</w:t>
      </w:r>
      <w:r w:rsidRPr="001428D3" w:rsidR="005E4747">
        <w:t xml:space="preserve">s </w:t>
      </w:r>
      <w:r w:rsidRPr="001428D3" w:rsidR="008517FA">
        <w:t>office at the creditor</w:t>
      </w:r>
      <w:r w:rsidRPr="001428D3" w:rsidR="001428D3">
        <w:t>’</w:t>
      </w:r>
      <w:r w:rsidRPr="001428D3" w:rsidR="008517FA">
        <w:t>s request.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61</w:t>
      </w:r>
      <w:r w:rsidRPr="001428D3">
        <w:rPr>
          <w:noProof/>
        </w:rPr>
        <w:fldChar w:fldCharType="end"/>
      </w:r>
      <w:r w:rsidRPr="001428D3" w:rsidR="008517FA">
        <w:t xml:space="preserve">.  Article 479 provides that the Supreme Court may stay </w:t>
      </w:r>
      <w:r w:rsidRPr="001428D3" w:rsidR="00406EF2">
        <w:t>execution</w:t>
      </w:r>
      <w:r w:rsidRPr="001428D3" w:rsidR="008517FA">
        <w:t xml:space="preserve"> of a </w:t>
      </w:r>
      <w:r w:rsidRPr="001428D3" w:rsidR="00406EF2">
        <w:t>decision</w:t>
      </w:r>
      <w:r w:rsidRPr="001428D3" w:rsidR="008517FA">
        <w:t xml:space="preserve"> </w:t>
      </w:r>
      <w:r w:rsidRPr="001428D3" w:rsidR="00406EF2">
        <w:t>when</w:t>
      </w:r>
      <w:r w:rsidRPr="001428D3" w:rsidR="008517FA">
        <w:t xml:space="preserve">: (a) immediate </w:t>
      </w:r>
      <w:r w:rsidRPr="001428D3" w:rsidR="00406EF2">
        <w:t>execution of the decision</w:t>
      </w:r>
      <w:r w:rsidRPr="001428D3" w:rsidR="008517FA">
        <w:t xml:space="preserve"> would </w:t>
      </w:r>
      <w:r w:rsidRPr="001428D3" w:rsidR="00406EF2">
        <w:t xml:space="preserve">bring about </w:t>
      </w:r>
      <w:r w:rsidRPr="001428D3" w:rsidR="003A45FC">
        <w:t xml:space="preserve">serious </w:t>
      </w:r>
      <w:r w:rsidRPr="001428D3" w:rsidR="00AB1EE7">
        <w:t>and irreparable damage, and/or</w:t>
      </w:r>
      <w:r w:rsidRPr="001428D3" w:rsidR="008517FA">
        <w:t xml:space="preserve"> (b) the party </w:t>
      </w:r>
      <w:r w:rsidRPr="001428D3" w:rsidR="00406EF2">
        <w:t xml:space="preserve">making the </w:t>
      </w:r>
      <w:r w:rsidRPr="001428D3" w:rsidR="00086167">
        <w:t xml:space="preserve">application </w:t>
      </w:r>
      <w:r w:rsidRPr="001428D3" w:rsidR="00EB5CE0">
        <w:t>gives an undertaking in damages</w:t>
      </w:r>
      <w:r w:rsidRPr="001428D3" w:rsidR="00406EF2">
        <w:t xml:space="preserve"> which ensure</w:t>
      </w:r>
      <w:r w:rsidRPr="001428D3" w:rsidR="00EB5CE0">
        <w:t>s</w:t>
      </w:r>
      <w:r w:rsidRPr="001428D3" w:rsidR="00406EF2">
        <w:t xml:space="preserve"> the execution of the </w:t>
      </w:r>
      <w:r w:rsidRPr="001428D3" w:rsidR="009011E7">
        <w:t xml:space="preserve">eventual </w:t>
      </w:r>
      <w:r w:rsidRPr="001428D3" w:rsidR="00406EF2">
        <w:t>decision.</w:t>
      </w:r>
    </w:p>
    <w:p w:rsidRPr="001428D3" w:rsidR="009845BA" w:rsidP="001428D3" w:rsidRDefault="00F80C6D">
      <w:pPr>
        <w:pStyle w:val="ECHRHeading2"/>
      </w:pPr>
      <w:bookmarkStart w:name="_Toc498016745" w:id="35"/>
      <w:r w:rsidRPr="001428D3">
        <w:t>D</w:t>
      </w:r>
      <w:r w:rsidRPr="001428D3" w:rsidR="00463A5F">
        <w:t>.</w:t>
      </w:r>
      <w:r w:rsidRPr="001428D3" w:rsidR="00090B6D">
        <w:t>  Administrative Disputes Act</w:t>
      </w:r>
      <w:bookmarkEnd w:id="35"/>
      <w:r w:rsidRPr="001428D3" w:rsidR="00463A5F">
        <w:t> </w:t>
      </w:r>
      <w:r w:rsidRPr="001428D3" w:rsidR="00A54DB5">
        <w:t>and relevant domestic case-law</w:t>
      </w:r>
    </w:p>
    <w:p w:rsidRPr="001428D3" w:rsidR="00020384"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62</w:t>
      </w:r>
      <w:r w:rsidRPr="001428D3">
        <w:fldChar w:fldCharType="end"/>
      </w:r>
      <w:r w:rsidRPr="001428D3" w:rsidR="008517FA">
        <w:t>.  </w:t>
      </w:r>
      <w:r w:rsidRPr="001428D3" w:rsidR="00086167">
        <w:t>Section</w:t>
      </w:r>
      <w:r w:rsidRPr="001428D3" w:rsidR="005132DF">
        <w:t xml:space="preserve"> 1 </w:t>
      </w:r>
      <w:r w:rsidRPr="001428D3" w:rsidR="00086167">
        <w:t xml:space="preserve">of </w:t>
      </w:r>
      <w:r w:rsidRPr="001428D3" w:rsidR="004A6D7A">
        <w:t>Law no. 49/2012 of 18 May 2013 “On the administrative courts and the examination of administrative disputes</w:t>
      </w:r>
      <w:r w:rsidRPr="001428D3" w:rsidR="00E94C7B">
        <w:t>”</w:t>
      </w:r>
      <w:r w:rsidRPr="001428D3" w:rsidR="00A71C38">
        <w:t xml:space="preserve"> (“the </w:t>
      </w:r>
      <w:r w:rsidRPr="001428D3" w:rsidR="004A6D7A">
        <w:t>Administrative Disputes Act”)</w:t>
      </w:r>
      <w:r w:rsidRPr="001428D3" w:rsidR="005132DF">
        <w:t>,</w:t>
      </w:r>
      <w:r w:rsidRPr="001428D3" w:rsidR="004A6D7A">
        <w:t xml:space="preserve"> </w:t>
      </w:r>
      <w:r w:rsidRPr="001428D3" w:rsidR="005132DF">
        <w:t>provides that provisions of this Act are supplemented by provisions of the CCP unless it is provided otherwise. Section 14 provides that</w:t>
      </w:r>
      <w:r w:rsidRPr="001428D3" w:rsidR="00860B25">
        <w:t xml:space="preserve"> during judicial proceedings</w:t>
      </w:r>
      <w:r w:rsidRPr="001428D3" w:rsidR="00FD7911">
        <w:t xml:space="preserve"> </w:t>
      </w:r>
      <w:r w:rsidRPr="001428D3" w:rsidR="0045098F">
        <w:t xml:space="preserve">the </w:t>
      </w:r>
      <w:r w:rsidRPr="001428D3" w:rsidR="00FD7911">
        <w:t>parties</w:t>
      </w:r>
      <w:r w:rsidRPr="001428D3" w:rsidR="001428D3">
        <w:t>’</w:t>
      </w:r>
      <w:r w:rsidRPr="001428D3" w:rsidR="00FD7911">
        <w:t xml:space="preserve"> </w:t>
      </w:r>
      <w:r w:rsidRPr="001428D3" w:rsidR="005132DF">
        <w:t>rights and obligations</w:t>
      </w:r>
      <w:r w:rsidRPr="001428D3" w:rsidR="00FD7911">
        <w:t xml:space="preserve"> are governed by the provisions of the CCP unless there is incompatibility. </w:t>
      </w:r>
      <w:r w:rsidRPr="001428D3" w:rsidR="005132DF">
        <w:t xml:space="preserve">Section 28 </w:t>
      </w:r>
      <w:r w:rsidRPr="001428D3" w:rsidR="008517FA">
        <w:t xml:space="preserve">provides that, until the adoption of a decision on the merits of the case, a claimant may </w:t>
      </w:r>
      <w:r w:rsidRPr="001428D3" w:rsidR="003A45FC">
        <w:t xml:space="preserve">apply to </w:t>
      </w:r>
      <w:r w:rsidRPr="001428D3" w:rsidR="008517FA">
        <w:t xml:space="preserve">the court </w:t>
      </w:r>
      <w:r w:rsidRPr="001428D3" w:rsidR="003A45FC">
        <w:t>for</w:t>
      </w:r>
      <w:r w:rsidRPr="001428D3" w:rsidR="008517FA">
        <w:t xml:space="preserve"> an interim order if </w:t>
      </w:r>
      <w:r w:rsidRPr="001428D3" w:rsidR="003A45FC">
        <w:t>serious</w:t>
      </w:r>
      <w:r w:rsidRPr="001428D3" w:rsidR="008517FA">
        <w:t xml:space="preserve"> and irreparable damage may result as a result of the execution of an administrative </w:t>
      </w:r>
      <w:r w:rsidRPr="001428D3" w:rsidR="00173995">
        <w:t>decision</w:t>
      </w:r>
      <w:r w:rsidRPr="001428D3" w:rsidR="008517FA">
        <w:t xml:space="preserve">. The claim on the merits should be lodged within ten days. Under </w:t>
      </w:r>
      <w:r w:rsidRPr="001428D3" w:rsidR="00086167">
        <w:t>s</w:t>
      </w:r>
      <w:r w:rsidRPr="001428D3" w:rsidR="00A05869">
        <w:t>ection</w:t>
      </w:r>
      <w:r w:rsidRPr="001428D3" w:rsidR="008517FA">
        <w:t xml:space="preserve"> 29</w:t>
      </w:r>
      <w:r w:rsidRPr="001428D3" w:rsidR="00086167">
        <w:t>,</w:t>
      </w:r>
      <w:r w:rsidRPr="001428D3" w:rsidR="008517FA">
        <w:t xml:space="preserve"> the interim order is issued if there is reasonable suspicion </w:t>
      </w:r>
      <w:r w:rsidRPr="001428D3" w:rsidR="00A048F0">
        <w:t xml:space="preserve">that </w:t>
      </w:r>
      <w:r w:rsidRPr="001428D3" w:rsidR="008517FA">
        <w:t>serious damage</w:t>
      </w:r>
      <w:r w:rsidRPr="001428D3" w:rsidR="00086167">
        <w:t xml:space="preserve"> may</w:t>
      </w:r>
      <w:r w:rsidRPr="001428D3" w:rsidR="008517FA">
        <w:t xml:space="preserve"> </w:t>
      </w:r>
      <w:r w:rsidRPr="001428D3" w:rsidR="00086167">
        <w:t xml:space="preserve">result </w:t>
      </w:r>
      <w:r w:rsidRPr="001428D3" w:rsidR="008517FA">
        <w:t xml:space="preserve">and that no breach of any public interest exists. Under </w:t>
      </w:r>
      <w:r w:rsidRPr="001428D3" w:rsidR="00086167">
        <w:t>s</w:t>
      </w:r>
      <w:r w:rsidRPr="001428D3" w:rsidR="00A05869">
        <w:t>ection</w:t>
      </w:r>
      <w:r w:rsidRPr="001428D3" w:rsidR="008517FA">
        <w:t xml:space="preserve"> 32</w:t>
      </w:r>
      <w:r w:rsidRPr="001428D3" w:rsidR="00086167">
        <w:t>,</w:t>
      </w:r>
      <w:r w:rsidRPr="001428D3" w:rsidR="008517FA">
        <w:t xml:space="preserve"> </w:t>
      </w:r>
      <w:r w:rsidRPr="001428D3" w:rsidR="00086167">
        <w:t xml:space="preserve">an </w:t>
      </w:r>
      <w:r w:rsidRPr="001428D3" w:rsidR="008517FA">
        <w:t xml:space="preserve">appeal against the interim order does not stay its execution. Under </w:t>
      </w:r>
      <w:r w:rsidRPr="001428D3" w:rsidR="00086167">
        <w:t>s</w:t>
      </w:r>
      <w:r w:rsidRPr="001428D3" w:rsidR="00A05869">
        <w:t>ection</w:t>
      </w:r>
      <w:r w:rsidRPr="001428D3" w:rsidR="008517FA">
        <w:t xml:space="preserve"> 33</w:t>
      </w:r>
      <w:r w:rsidRPr="001428D3" w:rsidR="00086167">
        <w:t>,</w:t>
      </w:r>
      <w:r w:rsidRPr="001428D3" w:rsidR="008517FA">
        <w:t xml:space="preserve"> the interim order is executed in accordance with the rules </w:t>
      </w:r>
      <w:r w:rsidRPr="001428D3" w:rsidR="00FB619A">
        <w:t xml:space="preserve">concerning the execution of administrative court decisions </w:t>
      </w:r>
      <w:r w:rsidRPr="001428D3" w:rsidR="008517FA">
        <w:t>provided for in th</w:t>
      </w:r>
      <w:r w:rsidRPr="001428D3" w:rsidR="00FB619A">
        <w:t>e</w:t>
      </w:r>
      <w:r w:rsidRPr="001428D3" w:rsidR="008517FA">
        <w:t xml:space="preserve"> </w:t>
      </w:r>
      <w:r w:rsidRPr="001428D3" w:rsidR="00FB619A">
        <w:t>Act</w:t>
      </w:r>
      <w:r w:rsidRPr="001428D3" w:rsidR="008517FA">
        <w:t xml:space="preserve">. </w:t>
      </w:r>
      <w:r w:rsidRPr="001428D3" w:rsidR="001B0EDE">
        <w:t xml:space="preserve">Under </w:t>
      </w:r>
      <w:r w:rsidRPr="001428D3" w:rsidR="00C842B6">
        <w:t>s</w:t>
      </w:r>
      <w:r w:rsidRPr="001428D3" w:rsidR="00A05869">
        <w:t>ection</w:t>
      </w:r>
      <w:r w:rsidRPr="001428D3" w:rsidR="001B0EDE">
        <w:t xml:space="preserve"> 40</w:t>
      </w:r>
      <w:r w:rsidRPr="001428D3" w:rsidR="00C842B6">
        <w:t>,</w:t>
      </w:r>
      <w:r w:rsidRPr="001428D3" w:rsidR="001B0EDE">
        <w:t xml:space="preserve"> the domestic court in its final decision on the merits of the case, </w:t>
      </w:r>
      <w:r w:rsidRPr="001428D3" w:rsidR="004506BA">
        <w:t>when</w:t>
      </w:r>
      <w:r w:rsidRPr="001428D3" w:rsidR="001B0EDE">
        <w:t xml:space="preserve"> it </w:t>
      </w:r>
      <w:r w:rsidRPr="001428D3" w:rsidR="004506BA">
        <w:t xml:space="preserve">has </w:t>
      </w:r>
      <w:r w:rsidRPr="001428D3" w:rsidR="003A45FC">
        <w:t xml:space="preserve">allowed </w:t>
      </w:r>
      <w:r w:rsidRPr="001428D3" w:rsidR="001B0EDE">
        <w:t xml:space="preserve">the </w:t>
      </w:r>
      <w:r w:rsidRPr="001428D3" w:rsidR="005A7CA1">
        <w:t>claim</w:t>
      </w:r>
      <w:r w:rsidRPr="001428D3" w:rsidR="00D91761">
        <w:t xml:space="preserve"> in full or in part</w:t>
      </w:r>
      <w:r w:rsidRPr="001428D3" w:rsidR="001B0EDE">
        <w:t xml:space="preserve">, </w:t>
      </w:r>
      <w:r w:rsidRPr="001428D3" w:rsidR="00F42249">
        <w:t xml:space="preserve">validates </w:t>
      </w:r>
      <w:r w:rsidRPr="001428D3" w:rsidR="001B0EDE">
        <w:t xml:space="preserve">the interim order. </w:t>
      </w:r>
      <w:r w:rsidRPr="001428D3" w:rsidR="00AB1EE7">
        <w:t xml:space="preserve">Under </w:t>
      </w:r>
      <w:r w:rsidRPr="001428D3" w:rsidR="00C842B6">
        <w:t>s</w:t>
      </w:r>
      <w:r w:rsidRPr="001428D3" w:rsidR="00A05869">
        <w:t>ection</w:t>
      </w:r>
      <w:r w:rsidRPr="001428D3" w:rsidR="00AB1EE7">
        <w:t xml:space="preserve"> 65</w:t>
      </w:r>
      <w:r w:rsidRPr="001428D3" w:rsidR="00B4619C">
        <w:t>, enforcement of</w:t>
      </w:r>
      <w:r w:rsidRPr="001428D3" w:rsidR="00AB1EE7">
        <w:t xml:space="preserve"> the interim order is</w:t>
      </w:r>
      <w:r w:rsidRPr="001428D3" w:rsidR="00B4619C">
        <w:t xml:space="preserve"> carried out</w:t>
      </w:r>
      <w:r w:rsidRPr="001428D3" w:rsidR="00AB1EE7">
        <w:t xml:space="preserve"> by the bailiff</w:t>
      </w:r>
      <w:r w:rsidRPr="001428D3" w:rsidR="001428D3">
        <w:t>’</w:t>
      </w:r>
      <w:r w:rsidRPr="001428D3" w:rsidR="003A45FC">
        <w:t>s</w:t>
      </w:r>
      <w:r w:rsidRPr="001428D3" w:rsidR="00AB1EE7">
        <w:t xml:space="preserve"> office at the creditor</w:t>
      </w:r>
      <w:r w:rsidRPr="001428D3" w:rsidR="001428D3">
        <w:t>’</w:t>
      </w:r>
      <w:r w:rsidRPr="001428D3" w:rsidR="00AB1EE7">
        <w:t>s request.</w:t>
      </w:r>
      <w:r w:rsidRPr="001428D3" w:rsidR="007B3067">
        <w:t xml:space="preserve"> </w:t>
      </w:r>
      <w:r w:rsidRPr="001428D3" w:rsidR="00A54DB5">
        <w:t>According to</w:t>
      </w:r>
      <w:r w:rsidRPr="001428D3" w:rsidR="0045098F">
        <w:t xml:space="preserve"> a consisting</w:t>
      </w:r>
      <w:r w:rsidRPr="001428D3" w:rsidR="00A54DB5">
        <w:t xml:space="preserve"> </w:t>
      </w:r>
      <w:r w:rsidRPr="001428D3" w:rsidR="007B3067">
        <w:t>domestic case</w:t>
      </w:r>
      <w:r w:rsidRPr="001428D3" w:rsidR="00A54DB5">
        <w:t>-</w:t>
      </w:r>
      <w:r w:rsidRPr="001428D3" w:rsidR="007B3067">
        <w:t>law</w:t>
      </w:r>
      <w:r w:rsidRPr="001428D3" w:rsidR="00A54DB5">
        <w:t xml:space="preserve">, administrative courts </w:t>
      </w:r>
      <w:r w:rsidRPr="001428D3" w:rsidR="007B3067">
        <w:t xml:space="preserve">decide their cases </w:t>
      </w:r>
      <w:r w:rsidRPr="001428D3" w:rsidR="00A54DB5">
        <w:t xml:space="preserve">based on </w:t>
      </w:r>
      <w:r w:rsidRPr="001428D3" w:rsidR="007B3067">
        <w:t xml:space="preserve">both </w:t>
      </w:r>
      <w:r w:rsidRPr="001428D3" w:rsidR="00A54DB5">
        <w:t xml:space="preserve">the </w:t>
      </w:r>
      <w:r w:rsidRPr="001428D3" w:rsidR="007B3067">
        <w:t xml:space="preserve">administrative law, namely the </w:t>
      </w:r>
      <w:r w:rsidRPr="001428D3" w:rsidR="00A54DB5">
        <w:t>A</w:t>
      </w:r>
      <w:r w:rsidRPr="001428D3" w:rsidR="007B3067">
        <w:t xml:space="preserve">dministrative </w:t>
      </w:r>
      <w:r w:rsidRPr="001428D3" w:rsidR="00A54DB5">
        <w:t>D</w:t>
      </w:r>
      <w:r w:rsidRPr="001428D3" w:rsidR="007B3067">
        <w:t xml:space="preserve">isputes </w:t>
      </w:r>
      <w:r w:rsidRPr="001428D3" w:rsidR="00A54DB5">
        <w:t>A</w:t>
      </w:r>
      <w:r w:rsidRPr="001428D3" w:rsidR="007B3067">
        <w:t>ct</w:t>
      </w:r>
      <w:r w:rsidRPr="001428D3" w:rsidR="0045098F">
        <w:t>,</w:t>
      </w:r>
      <w:r w:rsidRPr="001428D3" w:rsidR="007B3067">
        <w:t xml:space="preserve"> and the provisions of the </w:t>
      </w:r>
      <w:r w:rsidRPr="001428D3" w:rsidR="00A54DB5">
        <w:t>CCP.</w:t>
      </w:r>
    </w:p>
    <w:p w:rsidRPr="001428D3" w:rsidR="009845BA" w:rsidP="001428D3" w:rsidRDefault="00F80C6D">
      <w:pPr>
        <w:pStyle w:val="ECHRHeading2"/>
      </w:pPr>
      <w:bookmarkStart w:name="_Toc498016746" w:id="36"/>
      <w:r w:rsidRPr="001428D3">
        <w:t>E</w:t>
      </w:r>
      <w:r w:rsidRPr="001428D3" w:rsidR="00A05869">
        <w:t>.  Expropriation Act</w:t>
      </w:r>
      <w:bookmarkEnd w:id="36"/>
    </w:p>
    <w:p w:rsidRPr="001428D3" w:rsidR="005A4FD4" w:rsidP="001428D3" w:rsidRDefault="00C35B88">
      <w:pPr>
        <w:pStyle w:val="ECHRPara"/>
        <w:rPr>
          <w:rFonts w:eastAsiaTheme="minorHAnsi"/>
        </w:rPr>
      </w:pPr>
      <w:r w:rsidRPr="001428D3">
        <w:fldChar w:fldCharType="begin"/>
      </w:r>
      <w:r w:rsidRPr="001428D3">
        <w:instrText xml:space="preserve"> SEQ level0 \*arabic </w:instrText>
      </w:r>
      <w:r w:rsidRPr="001428D3">
        <w:fldChar w:fldCharType="separate"/>
      </w:r>
      <w:r w:rsidRPr="001428D3" w:rsidR="001428D3">
        <w:rPr>
          <w:noProof/>
        </w:rPr>
        <w:t>63</w:t>
      </w:r>
      <w:r w:rsidRPr="001428D3">
        <w:rPr>
          <w:noProof/>
        </w:rPr>
        <w:fldChar w:fldCharType="end"/>
      </w:r>
      <w:r w:rsidRPr="001428D3" w:rsidR="00A84DC5">
        <w:t>. </w:t>
      </w:r>
      <w:r w:rsidRPr="001428D3" w:rsidR="005521CC">
        <w:t> </w:t>
      </w:r>
      <w:r w:rsidRPr="001428D3" w:rsidR="00794808">
        <w:t xml:space="preserve">Law no. 8561 of 22 December 1999 “On Expropriations and Temporary </w:t>
      </w:r>
      <w:r w:rsidRPr="001428D3" w:rsidR="002E3187">
        <w:t xml:space="preserve">Use </w:t>
      </w:r>
      <w:r w:rsidRPr="001428D3" w:rsidR="00794808">
        <w:t>of Private Property in the Public Interest” (“</w:t>
      </w:r>
      <w:r w:rsidRPr="001428D3" w:rsidR="00A71C38">
        <w:t>the </w:t>
      </w:r>
      <w:r w:rsidRPr="001428D3" w:rsidR="00794808">
        <w:t>Expropriation Act</w:t>
      </w:r>
      <w:r w:rsidRPr="001428D3" w:rsidR="0060468D">
        <w:t xml:space="preserve">”) </w:t>
      </w:r>
      <w:r w:rsidRPr="001428D3" w:rsidR="00E94C7B">
        <w:t>set</w:t>
      </w:r>
      <w:r w:rsidRPr="001428D3" w:rsidR="00571B0C">
        <w:t>s</w:t>
      </w:r>
      <w:r w:rsidRPr="001428D3" w:rsidR="00E94C7B">
        <w:t xml:space="preserve"> out</w:t>
      </w:r>
      <w:r w:rsidRPr="001428D3" w:rsidR="0060468D">
        <w:t xml:space="preserve"> the expropriation procedure of </w:t>
      </w:r>
      <w:r w:rsidRPr="001428D3" w:rsidR="003F4754">
        <w:t xml:space="preserve">private </w:t>
      </w:r>
      <w:r w:rsidRPr="001428D3" w:rsidR="0060468D">
        <w:t>properties in the public interest. Section</w:t>
      </w:r>
      <w:r w:rsidRPr="001428D3" w:rsidR="00A35C69">
        <w:t>s</w:t>
      </w:r>
      <w:r w:rsidRPr="001428D3" w:rsidR="0060468D">
        <w:t xml:space="preserve"> 2 </w:t>
      </w:r>
      <w:r w:rsidRPr="001428D3" w:rsidR="00A35C69">
        <w:t xml:space="preserve">and 4 </w:t>
      </w:r>
      <w:r w:rsidRPr="001428D3" w:rsidR="004909F7">
        <w:t>provide</w:t>
      </w:r>
      <w:r w:rsidRPr="001428D3" w:rsidR="00E70B66">
        <w:t xml:space="preserve"> that an </w:t>
      </w:r>
      <w:r w:rsidRPr="001428D3" w:rsidR="0060468D">
        <w:t>expropriation is only in the public interest</w:t>
      </w:r>
      <w:r w:rsidRPr="001428D3" w:rsidR="002E3187">
        <w:t>,</w:t>
      </w:r>
      <w:r w:rsidRPr="001428D3" w:rsidR="0060468D">
        <w:t xml:space="preserve"> </w:t>
      </w:r>
      <w:r w:rsidRPr="001428D3" w:rsidR="002E3187">
        <w:t>where</w:t>
      </w:r>
      <w:r w:rsidRPr="001428D3" w:rsidR="0060468D">
        <w:t xml:space="preserve"> th</w:t>
      </w:r>
      <w:r w:rsidRPr="001428D3" w:rsidR="002E3187">
        <w:t>e public</w:t>
      </w:r>
      <w:r w:rsidRPr="001428D3" w:rsidR="0060468D">
        <w:t xml:space="preserve"> interest prevails over the private interest, </w:t>
      </w:r>
      <w:r w:rsidRPr="001428D3" w:rsidR="00E70B66">
        <w:t xml:space="preserve">and </w:t>
      </w:r>
      <w:r w:rsidRPr="001428D3" w:rsidR="0060468D">
        <w:t xml:space="preserve">only for </w:t>
      </w:r>
      <w:r w:rsidRPr="001428D3" w:rsidR="00E94C7B">
        <w:t xml:space="preserve">the </w:t>
      </w:r>
      <w:r w:rsidRPr="001428D3" w:rsidR="0060468D">
        <w:t>reasons and in accordance with</w:t>
      </w:r>
      <w:r w:rsidRPr="001428D3" w:rsidR="00E94C7B">
        <w:t xml:space="preserve"> the</w:t>
      </w:r>
      <w:r w:rsidRPr="001428D3" w:rsidR="0060468D">
        <w:t xml:space="preserve"> procedures expressly set out in </w:t>
      </w:r>
      <w:r w:rsidRPr="001428D3" w:rsidR="00E94C7B">
        <w:t>the Act</w:t>
      </w:r>
      <w:r w:rsidRPr="001428D3" w:rsidR="0060468D">
        <w:t xml:space="preserve">, to the extent that </w:t>
      </w:r>
      <w:r w:rsidRPr="001428D3" w:rsidR="00391448">
        <w:t xml:space="preserve">it </w:t>
      </w:r>
      <w:r w:rsidRPr="001428D3" w:rsidR="0060468D">
        <w:t xml:space="preserve">is essential for the achievement of the </w:t>
      </w:r>
      <w:r w:rsidRPr="001428D3" w:rsidR="002E3187">
        <w:t xml:space="preserve">purpose </w:t>
      </w:r>
      <w:r w:rsidRPr="001428D3" w:rsidR="00E94C7B">
        <w:t xml:space="preserve">of the </w:t>
      </w:r>
      <w:r w:rsidRPr="001428D3" w:rsidR="0060468D">
        <w:t xml:space="preserve">expropriation and </w:t>
      </w:r>
      <w:r w:rsidRPr="001428D3" w:rsidR="00E70B66">
        <w:t>is</w:t>
      </w:r>
      <w:r w:rsidRPr="001428D3" w:rsidR="0060468D">
        <w:t xml:space="preserve"> in exchange </w:t>
      </w:r>
      <w:r w:rsidRPr="001428D3" w:rsidR="00883A28">
        <w:t>for</w:t>
      </w:r>
      <w:r w:rsidRPr="001428D3" w:rsidR="0060468D">
        <w:t xml:space="preserve"> fair compensation. </w:t>
      </w:r>
      <w:r w:rsidRPr="001428D3" w:rsidR="00E94C7B">
        <w:t>The p</w:t>
      </w:r>
      <w:r w:rsidRPr="001428D3" w:rsidR="0060468D">
        <w:t xml:space="preserve">rinciples of transparency, equality of citizens and protection of their property interests and rights </w:t>
      </w:r>
      <w:r w:rsidRPr="001428D3" w:rsidR="001C7AE7">
        <w:t xml:space="preserve">must </w:t>
      </w:r>
      <w:r w:rsidRPr="001428D3" w:rsidR="0060468D">
        <w:t>be respected (</w:t>
      </w:r>
      <w:r w:rsidRPr="001428D3" w:rsidR="00E94C7B">
        <w:t>s</w:t>
      </w:r>
      <w:r w:rsidRPr="001428D3" w:rsidR="00F360CD">
        <w:t>ection</w:t>
      </w:r>
      <w:r w:rsidRPr="001428D3" w:rsidR="00A71C38">
        <w:t> </w:t>
      </w:r>
      <w:r w:rsidRPr="001428D3" w:rsidR="00704FED">
        <w:t>3</w:t>
      </w:r>
      <w:r w:rsidRPr="001428D3" w:rsidR="0060468D">
        <w:t xml:space="preserve">). </w:t>
      </w:r>
      <w:r w:rsidRPr="001428D3" w:rsidR="003F4754">
        <w:t>An</w:t>
      </w:r>
      <w:r w:rsidRPr="001428D3" w:rsidR="000212F0">
        <w:t xml:space="preserve"> expropriation </w:t>
      </w:r>
      <w:r w:rsidRPr="001428D3" w:rsidR="00391448">
        <w:t>can be</w:t>
      </w:r>
      <w:r w:rsidRPr="001428D3" w:rsidR="000212F0">
        <w:t xml:space="preserve"> made</w:t>
      </w:r>
      <w:r w:rsidRPr="001428D3" w:rsidR="00C56D15">
        <w:t xml:space="preserve"> for </w:t>
      </w:r>
      <w:r w:rsidRPr="001428D3" w:rsidR="00E70B66">
        <w:t>various reasons</w:t>
      </w:r>
      <w:r w:rsidRPr="001428D3" w:rsidR="000212F0">
        <w:t xml:space="preserve">, </w:t>
      </w:r>
      <w:r w:rsidRPr="001428D3" w:rsidR="00E70B66">
        <w:t>including</w:t>
      </w:r>
      <w:r w:rsidRPr="001428D3" w:rsidR="000212F0">
        <w:t xml:space="preserve"> </w:t>
      </w:r>
      <w:r w:rsidRPr="001428D3" w:rsidR="006968CF">
        <w:t>the reali</w:t>
      </w:r>
      <w:r w:rsidRPr="001428D3" w:rsidR="009B5105">
        <w:t>s</w:t>
      </w:r>
      <w:r w:rsidRPr="001428D3" w:rsidR="006968CF">
        <w:t xml:space="preserve">ation of national or local projects and investments in the </w:t>
      </w:r>
      <w:r w:rsidRPr="001428D3" w:rsidR="003F5F3A">
        <w:t>interest</w:t>
      </w:r>
      <w:r w:rsidRPr="001428D3" w:rsidR="00883A28">
        <w:t>s</w:t>
      </w:r>
      <w:r w:rsidRPr="001428D3" w:rsidR="006968CF">
        <w:t xml:space="preserve"> of </w:t>
      </w:r>
      <w:r w:rsidRPr="001428D3" w:rsidR="008F2B88">
        <w:t xml:space="preserve">the </w:t>
      </w:r>
      <w:r w:rsidRPr="001428D3" w:rsidR="006968CF">
        <w:t>environm</w:t>
      </w:r>
      <w:r w:rsidRPr="001428D3" w:rsidR="008F2B88">
        <w:t xml:space="preserve">ent, health, </w:t>
      </w:r>
      <w:r w:rsidRPr="001428D3" w:rsidR="00391448">
        <w:t xml:space="preserve">etc. as well as </w:t>
      </w:r>
      <w:r w:rsidRPr="001428D3" w:rsidR="008F2B88">
        <w:t>infrastructure protection</w:t>
      </w:r>
      <w:r w:rsidRPr="001428D3" w:rsidR="006968CF">
        <w:t xml:space="preserve"> in the public</w:t>
      </w:r>
      <w:r w:rsidRPr="001428D3" w:rsidR="00BC26DF">
        <w:t xml:space="preserve"> interest</w:t>
      </w:r>
      <w:r w:rsidRPr="001428D3" w:rsidR="000212F0">
        <w:t xml:space="preserve"> (</w:t>
      </w:r>
      <w:r w:rsidRPr="001428D3" w:rsidR="00E94C7B">
        <w:t>s</w:t>
      </w:r>
      <w:r w:rsidRPr="001428D3" w:rsidR="000212F0">
        <w:t xml:space="preserve">ection 8). </w:t>
      </w:r>
      <w:r w:rsidRPr="001428D3" w:rsidR="00ED5130">
        <w:t xml:space="preserve">Under </w:t>
      </w:r>
      <w:r w:rsidRPr="001428D3" w:rsidR="004909F7">
        <w:t>se</w:t>
      </w:r>
      <w:r w:rsidRPr="001428D3" w:rsidR="00ED5130">
        <w:t>ction 10</w:t>
      </w:r>
      <w:r w:rsidRPr="001428D3" w:rsidR="004909F7">
        <w:t>,</w:t>
      </w:r>
      <w:r w:rsidRPr="001428D3" w:rsidR="00ED5130">
        <w:t xml:space="preserve"> t</w:t>
      </w:r>
      <w:r w:rsidRPr="001428D3" w:rsidR="00F147D1">
        <w:t xml:space="preserve">he </w:t>
      </w:r>
      <w:r w:rsidRPr="001428D3" w:rsidR="0065391E">
        <w:t>applicant</w:t>
      </w:r>
      <w:r w:rsidRPr="001428D3" w:rsidR="00F147D1">
        <w:t xml:space="preserve"> in </w:t>
      </w:r>
      <w:r w:rsidRPr="001428D3" w:rsidR="00E94C7B">
        <w:t xml:space="preserve">whose </w:t>
      </w:r>
      <w:r w:rsidRPr="001428D3" w:rsidR="00F147D1">
        <w:t xml:space="preserve">favour the expropriation is </w:t>
      </w:r>
      <w:r w:rsidRPr="001428D3" w:rsidR="00A72924">
        <w:t>to be</w:t>
      </w:r>
      <w:r w:rsidRPr="001428D3" w:rsidR="003F5F3A">
        <w:t xml:space="preserve"> carried out</w:t>
      </w:r>
      <w:r w:rsidRPr="001428D3" w:rsidR="00055FEF">
        <w:t>, including a municipal authority,</w:t>
      </w:r>
      <w:r w:rsidRPr="001428D3" w:rsidR="00F147D1">
        <w:t xml:space="preserve"> </w:t>
      </w:r>
      <w:r w:rsidRPr="001428D3" w:rsidR="00E94C7B">
        <w:t>must apply</w:t>
      </w:r>
      <w:r w:rsidRPr="001428D3" w:rsidR="00F147D1">
        <w:t xml:space="preserve"> to the ministry that is competent </w:t>
      </w:r>
      <w:r w:rsidRPr="001428D3" w:rsidR="00A01601">
        <w:t>under the</w:t>
      </w:r>
      <w:r w:rsidRPr="001428D3" w:rsidR="00F147D1">
        <w:t xml:space="preserve"> law. The application </w:t>
      </w:r>
      <w:r w:rsidRPr="001428D3" w:rsidR="00E70B66">
        <w:t xml:space="preserve">must </w:t>
      </w:r>
      <w:r w:rsidRPr="001428D3" w:rsidR="00F147D1">
        <w:t xml:space="preserve">be accompanied by </w:t>
      </w:r>
      <w:r w:rsidRPr="001428D3" w:rsidR="00CC04AE">
        <w:t>several</w:t>
      </w:r>
      <w:r w:rsidRPr="001428D3" w:rsidR="00F147D1">
        <w:t xml:space="preserve"> </w:t>
      </w:r>
      <w:r w:rsidRPr="001428D3" w:rsidR="00E70B66">
        <w:t>documents</w:t>
      </w:r>
      <w:r w:rsidRPr="001428D3" w:rsidR="001008B8">
        <w:t xml:space="preserve">, </w:t>
      </w:r>
      <w:r w:rsidRPr="001428D3" w:rsidR="00E70B66">
        <w:t>including</w:t>
      </w:r>
      <w:r w:rsidRPr="001428D3" w:rsidR="001008B8">
        <w:t xml:space="preserve"> </w:t>
      </w:r>
      <w:r w:rsidRPr="001428D3" w:rsidR="00C1284C">
        <w:t>a</w:t>
      </w:r>
      <w:r w:rsidRPr="001428D3" w:rsidR="00F147D1">
        <w:t xml:space="preserve"> list of the owners of the private properties</w:t>
      </w:r>
      <w:r w:rsidRPr="001428D3" w:rsidR="0049423A">
        <w:t xml:space="preserve"> </w:t>
      </w:r>
      <w:r w:rsidRPr="001428D3" w:rsidR="003F5F3A">
        <w:t>to be expropriated</w:t>
      </w:r>
      <w:r w:rsidRPr="001428D3" w:rsidR="00F147D1">
        <w:t>, together with</w:t>
      </w:r>
      <w:r w:rsidRPr="001428D3" w:rsidR="00A84C78">
        <w:t xml:space="preserve"> </w:t>
      </w:r>
      <w:r w:rsidRPr="001428D3" w:rsidR="00F147D1">
        <w:t xml:space="preserve">explanations and </w:t>
      </w:r>
      <w:r w:rsidRPr="001428D3" w:rsidR="0020333B">
        <w:t xml:space="preserve">information concerning </w:t>
      </w:r>
      <w:r w:rsidRPr="001428D3" w:rsidR="00F147D1">
        <w:t xml:space="preserve">each </w:t>
      </w:r>
      <w:r w:rsidRPr="001428D3" w:rsidR="00A84C78">
        <w:t>owner</w:t>
      </w:r>
      <w:r w:rsidRPr="001428D3" w:rsidR="00F147D1">
        <w:t xml:space="preserve">, </w:t>
      </w:r>
      <w:r w:rsidRPr="001428D3" w:rsidR="00677700">
        <w:t xml:space="preserve">including their addresses and last known residences, </w:t>
      </w:r>
      <w:r w:rsidRPr="001428D3" w:rsidR="00F147D1">
        <w:t xml:space="preserve">with respective </w:t>
      </w:r>
      <w:r w:rsidRPr="001428D3" w:rsidR="00FE1A97">
        <w:t>estimates in respect of</w:t>
      </w:r>
      <w:r w:rsidRPr="001428D3" w:rsidR="00F147D1">
        <w:t xml:space="preserve"> the valuation of the properties, </w:t>
      </w:r>
      <w:r w:rsidRPr="001428D3" w:rsidR="00677700">
        <w:t xml:space="preserve">and the amount of compensation that is </w:t>
      </w:r>
      <w:r w:rsidRPr="001428D3" w:rsidR="0020333B">
        <w:t xml:space="preserve">to be paid </w:t>
      </w:r>
      <w:r w:rsidRPr="001428D3" w:rsidR="00677700">
        <w:t xml:space="preserve">for each of them. </w:t>
      </w:r>
      <w:r w:rsidRPr="001428D3" w:rsidR="006109C2">
        <w:t xml:space="preserve">Section 11 </w:t>
      </w:r>
      <w:r w:rsidRPr="001428D3" w:rsidR="003F5F3A">
        <w:t xml:space="preserve">provides that </w:t>
      </w:r>
      <w:r w:rsidRPr="001428D3" w:rsidR="00EC3564">
        <w:t xml:space="preserve">the competent </w:t>
      </w:r>
      <w:r w:rsidRPr="001428D3" w:rsidR="0020333B">
        <w:t>m</w:t>
      </w:r>
      <w:r w:rsidRPr="001428D3" w:rsidR="00EC3564">
        <w:t>inister</w:t>
      </w:r>
      <w:r w:rsidRPr="001428D3" w:rsidR="0020333B">
        <w:t xml:space="preserve"> must</w:t>
      </w:r>
      <w:r w:rsidRPr="001428D3" w:rsidR="00EC3564">
        <w:t xml:space="preserve"> order the setting up of a special commission</w:t>
      </w:r>
      <w:r w:rsidRPr="001428D3" w:rsidR="0020333B">
        <w:t xml:space="preserve"> to </w:t>
      </w:r>
      <w:r w:rsidRPr="001428D3" w:rsidR="007057CB">
        <w:t xml:space="preserve">supervise the </w:t>
      </w:r>
      <w:r w:rsidRPr="001428D3" w:rsidR="001C7AE7">
        <w:t>implement</w:t>
      </w:r>
      <w:r w:rsidRPr="001428D3" w:rsidR="00E70B66">
        <w:t>a</w:t>
      </w:r>
      <w:r w:rsidRPr="001428D3" w:rsidR="001C7AE7">
        <w:t xml:space="preserve">tion </w:t>
      </w:r>
      <w:r w:rsidRPr="001428D3" w:rsidR="007057CB">
        <w:t>of</w:t>
      </w:r>
      <w:r w:rsidRPr="001428D3" w:rsidR="0020333B">
        <w:t xml:space="preserve"> the</w:t>
      </w:r>
      <w:r w:rsidRPr="001428D3" w:rsidR="007057CB">
        <w:t xml:space="preserve"> expropriation </w:t>
      </w:r>
      <w:r w:rsidRPr="001428D3" w:rsidR="00436C57">
        <w:t>procedure</w:t>
      </w:r>
      <w:r w:rsidRPr="001428D3" w:rsidR="006109C2">
        <w:t xml:space="preserve">. Section 12 </w:t>
      </w:r>
      <w:r w:rsidRPr="001428D3" w:rsidR="00360DE0">
        <w:t xml:space="preserve">provides that </w:t>
      </w:r>
      <w:r w:rsidRPr="001428D3" w:rsidR="006109C2">
        <w:t>the</w:t>
      </w:r>
      <w:r w:rsidRPr="001428D3" w:rsidR="00814185">
        <w:rPr>
          <w:rFonts w:eastAsiaTheme="minorHAnsi"/>
        </w:rPr>
        <w:t xml:space="preserve"> competent ministry </w:t>
      </w:r>
      <w:r w:rsidRPr="001428D3" w:rsidR="0020333B">
        <w:rPr>
          <w:rFonts w:eastAsiaTheme="minorHAnsi"/>
        </w:rPr>
        <w:t xml:space="preserve">must </w:t>
      </w:r>
      <w:r w:rsidRPr="001428D3" w:rsidR="00B23EC4">
        <w:rPr>
          <w:rFonts w:eastAsiaTheme="minorHAnsi"/>
        </w:rPr>
        <w:t xml:space="preserve">verify the application and </w:t>
      </w:r>
      <w:r w:rsidRPr="001428D3" w:rsidR="006146A5">
        <w:rPr>
          <w:rFonts w:eastAsiaTheme="minorHAnsi"/>
        </w:rPr>
        <w:t xml:space="preserve">supporting </w:t>
      </w:r>
      <w:r w:rsidRPr="001428D3" w:rsidR="00B23EC4">
        <w:rPr>
          <w:rFonts w:eastAsiaTheme="minorHAnsi"/>
        </w:rPr>
        <w:t>documents.</w:t>
      </w:r>
      <w:r w:rsidRPr="001428D3" w:rsidR="000441C0">
        <w:rPr>
          <w:rFonts w:eastAsiaTheme="minorHAnsi"/>
        </w:rPr>
        <w:t xml:space="preserve"> </w:t>
      </w:r>
      <w:r w:rsidRPr="001428D3" w:rsidR="00436D3E">
        <w:rPr>
          <w:rFonts w:eastAsiaTheme="minorHAnsi"/>
        </w:rPr>
        <w:t xml:space="preserve">Section 13 provides that </w:t>
      </w:r>
      <w:r w:rsidRPr="001428D3" w:rsidR="00C534F6">
        <w:rPr>
          <w:rFonts w:eastAsiaTheme="minorHAnsi"/>
        </w:rPr>
        <w:t xml:space="preserve">if </w:t>
      </w:r>
      <w:r w:rsidRPr="001428D3" w:rsidR="006C5911">
        <w:t xml:space="preserve">the application </w:t>
      </w:r>
      <w:r w:rsidRPr="001428D3" w:rsidR="00C534F6">
        <w:t xml:space="preserve">is </w:t>
      </w:r>
      <w:r w:rsidRPr="001428D3" w:rsidR="00EB146C">
        <w:t xml:space="preserve">in accordance with </w:t>
      </w:r>
      <w:r w:rsidRPr="001428D3" w:rsidR="0020333B">
        <w:t>the Act</w:t>
      </w:r>
      <w:r w:rsidRPr="001428D3" w:rsidR="006C5911">
        <w:t xml:space="preserve">, </w:t>
      </w:r>
      <w:r w:rsidRPr="001428D3" w:rsidR="00C534F6">
        <w:t xml:space="preserve">the competent ministry </w:t>
      </w:r>
      <w:r w:rsidRPr="001428D3" w:rsidR="00E121BC">
        <w:t>accept</w:t>
      </w:r>
      <w:r w:rsidRPr="001428D3" w:rsidR="00C534F6">
        <w:t>s</w:t>
      </w:r>
      <w:r w:rsidRPr="001428D3" w:rsidR="00EB146C">
        <w:t xml:space="preserve"> </w:t>
      </w:r>
      <w:r w:rsidRPr="001428D3" w:rsidR="0020333B">
        <w:t xml:space="preserve">it </w:t>
      </w:r>
      <w:r w:rsidRPr="001428D3" w:rsidR="00E121BC">
        <w:t>and</w:t>
      </w:r>
      <w:r w:rsidRPr="001428D3" w:rsidR="00EB146C">
        <w:t xml:space="preserve"> </w:t>
      </w:r>
      <w:r w:rsidRPr="001428D3" w:rsidR="006C5911">
        <w:t>i</w:t>
      </w:r>
      <w:r w:rsidRPr="001428D3" w:rsidR="00E121BC">
        <w:t>mmediately notif</w:t>
      </w:r>
      <w:r w:rsidRPr="001428D3" w:rsidR="00C534F6">
        <w:t>ies</w:t>
      </w:r>
      <w:r w:rsidRPr="001428D3" w:rsidR="006C5911">
        <w:t xml:space="preserve"> </w:t>
      </w:r>
      <w:r w:rsidRPr="001428D3" w:rsidR="0048404E">
        <w:t xml:space="preserve">the applicant </w:t>
      </w:r>
      <w:r w:rsidRPr="001428D3" w:rsidR="006C5911">
        <w:t xml:space="preserve">in </w:t>
      </w:r>
      <w:r w:rsidRPr="001428D3" w:rsidR="0020333B">
        <w:t xml:space="preserve">whose </w:t>
      </w:r>
      <w:r w:rsidRPr="001428D3" w:rsidR="006C5911">
        <w:t>favour the expropriation is sought</w:t>
      </w:r>
      <w:r w:rsidRPr="001428D3" w:rsidR="0045098F">
        <w:t xml:space="preserve"> in writing</w:t>
      </w:r>
      <w:r w:rsidRPr="001428D3" w:rsidR="006C5911">
        <w:t>.</w:t>
      </w:r>
      <w:r w:rsidRPr="001428D3" w:rsidR="00436D3E">
        <w:t xml:space="preserve"> </w:t>
      </w:r>
      <w:r w:rsidRPr="001428D3" w:rsidR="00C534F6">
        <w:t>A</w:t>
      </w:r>
      <w:r w:rsidRPr="001428D3" w:rsidR="006C5911">
        <w:t xml:space="preserve">n agreement </w:t>
      </w:r>
      <w:r w:rsidRPr="001428D3" w:rsidR="00E70B66">
        <w:t>must</w:t>
      </w:r>
      <w:r w:rsidRPr="001428D3" w:rsidR="005E778D">
        <w:t xml:space="preserve"> be </w:t>
      </w:r>
      <w:r w:rsidRPr="001428D3" w:rsidR="006C5911">
        <w:t>entered into between th</w:t>
      </w:r>
      <w:r w:rsidRPr="001428D3" w:rsidR="00E70B66">
        <w:t>e</w:t>
      </w:r>
      <w:r w:rsidRPr="001428D3" w:rsidR="006C5911">
        <w:t xml:space="preserve"> applicant and the competent ministry </w:t>
      </w:r>
      <w:r w:rsidRPr="001428D3" w:rsidR="001C7AE7">
        <w:t>on</w:t>
      </w:r>
      <w:r w:rsidRPr="001428D3" w:rsidR="006C5911">
        <w:t xml:space="preserve"> </w:t>
      </w:r>
      <w:r w:rsidRPr="001428D3" w:rsidR="0020333B">
        <w:t xml:space="preserve">the </w:t>
      </w:r>
      <w:r w:rsidRPr="001428D3" w:rsidR="006C5911">
        <w:t xml:space="preserve">mutual rights and obligations </w:t>
      </w:r>
      <w:r w:rsidRPr="001428D3" w:rsidR="001C7AE7">
        <w:t xml:space="preserve">related to </w:t>
      </w:r>
      <w:r w:rsidRPr="001428D3" w:rsidR="006C5911">
        <w:t xml:space="preserve">the expropriation procedure. </w:t>
      </w:r>
      <w:r w:rsidRPr="001428D3" w:rsidR="00C534F6">
        <w:t>Section 14 provide</w:t>
      </w:r>
      <w:r w:rsidRPr="001428D3" w:rsidR="003F5F3A">
        <w:t>s</w:t>
      </w:r>
      <w:r w:rsidRPr="001428D3" w:rsidR="00C534F6">
        <w:t xml:space="preserve"> that within </w:t>
      </w:r>
      <w:r w:rsidRPr="001428D3" w:rsidR="007D21BD">
        <w:t xml:space="preserve">ten </w:t>
      </w:r>
      <w:r w:rsidRPr="001428D3" w:rsidR="00C534F6">
        <w:t xml:space="preserve">days </w:t>
      </w:r>
      <w:r w:rsidRPr="001428D3" w:rsidR="007D21BD">
        <w:t>of the</w:t>
      </w:r>
      <w:r w:rsidRPr="001428D3" w:rsidR="00C534F6">
        <w:t xml:space="preserve"> agreement</w:t>
      </w:r>
      <w:r w:rsidRPr="001428D3" w:rsidR="00196C29">
        <w:rPr>
          <w:rFonts w:eastAsiaTheme="minorHAnsi"/>
        </w:rPr>
        <w:t xml:space="preserve"> the competent ministry </w:t>
      </w:r>
      <w:r w:rsidRPr="001428D3" w:rsidR="007D21BD">
        <w:rPr>
          <w:rFonts w:eastAsiaTheme="minorHAnsi"/>
        </w:rPr>
        <w:t xml:space="preserve">must </w:t>
      </w:r>
      <w:r w:rsidRPr="001428D3" w:rsidR="001C7AE7">
        <w:rPr>
          <w:rFonts w:eastAsiaTheme="minorHAnsi"/>
        </w:rPr>
        <w:t xml:space="preserve">directly </w:t>
      </w:r>
      <w:r w:rsidRPr="001428D3" w:rsidR="006612B2">
        <w:rPr>
          <w:rFonts w:eastAsiaTheme="minorHAnsi"/>
        </w:rPr>
        <w:t xml:space="preserve">notify </w:t>
      </w:r>
      <w:r w:rsidRPr="001428D3" w:rsidR="00FA7FC9">
        <w:rPr>
          <w:rFonts w:eastAsiaTheme="minorHAnsi"/>
        </w:rPr>
        <w:t xml:space="preserve">each owner </w:t>
      </w:r>
      <w:r w:rsidRPr="001428D3" w:rsidR="00C534F6">
        <w:rPr>
          <w:rFonts w:eastAsiaTheme="minorHAnsi"/>
        </w:rPr>
        <w:t xml:space="preserve">or co-owner </w:t>
      </w:r>
      <w:r w:rsidRPr="001428D3" w:rsidR="00FA7FC9">
        <w:rPr>
          <w:rFonts w:eastAsiaTheme="minorHAnsi"/>
        </w:rPr>
        <w:t xml:space="preserve">of the private properties to be expropriated </w:t>
      </w:r>
      <w:r w:rsidRPr="001428D3" w:rsidR="006146A5">
        <w:rPr>
          <w:rFonts w:eastAsiaTheme="minorHAnsi"/>
        </w:rPr>
        <w:t xml:space="preserve">of </w:t>
      </w:r>
      <w:r w:rsidRPr="001428D3" w:rsidR="001E6B17">
        <w:rPr>
          <w:rFonts w:eastAsiaTheme="minorHAnsi"/>
        </w:rPr>
        <w:t>their compensation</w:t>
      </w:r>
      <w:r w:rsidRPr="001428D3" w:rsidR="00C534F6">
        <w:rPr>
          <w:rFonts w:eastAsiaTheme="minorHAnsi"/>
        </w:rPr>
        <w:t>.</w:t>
      </w:r>
      <w:r w:rsidRPr="001428D3" w:rsidR="00436D3E">
        <w:rPr>
          <w:rFonts w:eastAsiaTheme="minorHAnsi"/>
        </w:rPr>
        <w:t xml:space="preserve"> </w:t>
      </w:r>
      <w:r w:rsidRPr="001428D3" w:rsidR="00E70B66">
        <w:rPr>
          <w:rFonts w:eastAsiaTheme="minorHAnsi"/>
        </w:rPr>
        <w:t>Under</w:t>
      </w:r>
      <w:r w:rsidRPr="001428D3" w:rsidR="003F5F3A">
        <w:rPr>
          <w:rFonts w:eastAsiaTheme="minorHAnsi"/>
        </w:rPr>
        <w:t xml:space="preserve"> </w:t>
      </w:r>
      <w:r w:rsidRPr="001428D3" w:rsidR="00E70B66">
        <w:rPr>
          <w:rFonts w:eastAsiaTheme="minorHAnsi"/>
        </w:rPr>
        <w:t>s</w:t>
      </w:r>
      <w:r w:rsidRPr="001428D3" w:rsidR="008B6A10">
        <w:rPr>
          <w:rFonts w:eastAsiaTheme="minorHAnsi"/>
        </w:rPr>
        <w:t>ection 15</w:t>
      </w:r>
      <w:r w:rsidRPr="001428D3" w:rsidR="00E70B66">
        <w:rPr>
          <w:rFonts w:eastAsiaTheme="minorHAnsi"/>
        </w:rPr>
        <w:t>,</w:t>
      </w:r>
      <w:r w:rsidRPr="001428D3" w:rsidR="008B6A10">
        <w:rPr>
          <w:rFonts w:eastAsiaTheme="minorHAnsi"/>
        </w:rPr>
        <w:t xml:space="preserve"> t</w:t>
      </w:r>
      <w:r w:rsidRPr="001428D3" w:rsidR="0022430C">
        <w:rPr>
          <w:rFonts w:eastAsiaTheme="minorHAnsi"/>
        </w:rPr>
        <w:t>he competent ministry</w:t>
      </w:r>
      <w:r w:rsidRPr="001428D3" w:rsidR="00436D3E">
        <w:rPr>
          <w:rFonts w:eastAsiaTheme="minorHAnsi"/>
        </w:rPr>
        <w:t xml:space="preserve"> </w:t>
      </w:r>
      <w:r w:rsidRPr="001428D3" w:rsidR="007D21BD">
        <w:rPr>
          <w:rFonts w:eastAsiaTheme="minorHAnsi"/>
        </w:rPr>
        <w:t xml:space="preserve">must </w:t>
      </w:r>
      <w:r w:rsidRPr="001428D3" w:rsidR="00436D3E">
        <w:rPr>
          <w:rFonts w:eastAsiaTheme="minorHAnsi"/>
        </w:rPr>
        <w:t xml:space="preserve">publish the application for expropriation in the Official </w:t>
      </w:r>
      <w:r w:rsidRPr="001428D3" w:rsidR="00E77C2F">
        <w:rPr>
          <w:rFonts w:eastAsiaTheme="minorHAnsi"/>
        </w:rPr>
        <w:t>Gazette</w:t>
      </w:r>
      <w:r w:rsidRPr="001428D3" w:rsidR="00436D3E">
        <w:rPr>
          <w:rFonts w:eastAsiaTheme="minorHAnsi"/>
        </w:rPr>
        <w:t>,</w:t>
      </w:r>
      <w:r w:rsidRPr="001428D3" w:rsidR="0098390E">
        <w:rPr>
          <w:rFonts w:eastAsiaTheme="minorHAnsi"/>
        </w:rPr>
        <w:t xml:space="preserve"> and</w:t>
      </w:r>
      <w:r w:rsidRPr="001428D3" w:rsidR="00436D3E">
        <w:rPr>
          <w:rFonts w:eastAsiaTheme="minorHAnsi"/>
        </w:rPr>
        <w:t xml:space="preserve"> in a </w:t>
      </w:r>
      <w:r w:rsidRPr="001428D3" w:rsidR="00E70B66">
        <w:rPr>
          <w:rFonts w:eastAsiaTheme="minorHAnsi"/>
        </w:rPr>
        <w:t xml:space="preserve">national and local </w:t>
      </w:r>
      <w:r w:rsidRPr="001428D3" w:rsidR="00436D3E">
        <w:rPr>
          <w:rFonts w:eastAsiaTheme="minorHAnsi"/>
        </w:rPr>
        <w:t xml:space="preserve">newspaper for </w:t>
      </w:r>
      <w:r w:rsidRPr="001428D3" w:rsidR="0098390E">
        <w:rPr>
          <w:rFonts w:eastAsiaTheme="minorHAnsi"/>
        </w:rPr>
        <w:t xml:space="preserve">a </w:t>
      </w:r>
      <w:r w:rsidRPr="001428D3" w:rsidR="00436D3E">
        <w:rPr>
          <w:rFonts w:eastAsiaTheme="minorHAnsi"/>
        </w:rPr>
        <w:t xml:space="preserve">one week period. </w:t>
      </w:r>
      <w:r w:rsidRPr="001428D3" w:rsidR="006A0284">
        <w:rPr>
          <w:rFonts w:eastAsiaTheme="minorHAnsi"/>
        </w:rPr>
        <w:t xml:space="preserve">Section 16 § 2 provides that </w:t>
      </w:r>
      <w:r w:rsidRPr="001428D3" w:rsidR="0045098F">
        <w:rPr>
          <w:rFonts w:eastAsiaTheme="minorHAnsi"/>
        </w:rPr>
        <w:t>upon</w:t>
      </w:r>
      <w:r w:rsidRPr="001428D3" w:rsidR="006A0284">
        <w:rPr>
          <w:rFonts w:eastAsiaTheme="minorHAnsi"/>
        </w:rPr>
        <w:t xml:space="preserve"> the completion of the expropriation proceedings, the competent Ministry is obliged to decide on the amount of compensation. That amount is paid to the person concerned as decided by the final court decision</w:t>
      </w:r>
      <w:r w:rsidRPr="001428D3" w:rsidR="00D87D69">
        <w:rPr>
          <w:rFonts w:eastAsiaTheme="minorHAnsi"/>
        </w:rPr>
        <w:t>, in case of appeal,</w:t>
      </w:r>
      <w:r w:rsidRPr="001428D3" w:rsidR="006A0284">
        <w:rPr>
          <w:rFonts w:eastAsiaTheme="minorHAnsi"/>
        </w:rPr>
        <w:t xml:space="preserve"> after having informed the competent ministry. Section </w:t>
      </w:r>
      <w:r w:rsidRPr="001428D3" w:rsidR="008B6A10">
        <w:rPr>
          <w:rFonts w:eastAsiaTheme="minorHAnsi"/>
        </w:rPr>
        <w:t xml:space="preserve">16 </w:t>
      </w:r>
      <w:r w:rsidRPr="001428D3" w:rsidR="006A0284">
        <w:rPr>
          <w:rFonts w:eastAsiaTheme="minorHAnsi"/>
        </w:rPr>
        <w:t xml:space="preserve">§ 3 </w:t>
      </w:r>
      <w:r w:rsidRPr="001428D3" w:rsidR="0065391E">
        <w:rPr>
          <w:rFonts w:eastAsiaTheme="minorHAnsi"/>
        </w:rPr>
        <w:t xml:space="preserve">provides that </w:t>
      </w:r>
      <w:r w:rsidRPr="001428D3" w:rsidR="008B6A10">
        <w:rPr>
          <w:rFonts w:eastAsiaTheme="minorHAnsi"/>
        </w:rPr>
        <w:t xml:space="preserve">the owners of the private properties </w:t>
      </w:r>
      <w:r w:rsidRPr="001428D3" w:rsidR="0098390E">
        <w:rPr>
          <w:rFonts w:eastAsiaTheme="minorHAnsi"/>
        </w:rPr>
        <w:t>must inform</w:t>
      </w:r>
      <w:r w:rsidRPr="001428D3" w:rsidR="00980860">
        <w:rPr>
          <w:rFonts w:eastAsiaTheme="minorHAnsi"/>
        </w:rPr>
        <w:t xml:space="preserve"> the competent ministry whether they accept the voluntary transfer of the property. </w:t>
      </w:r>
      <w:r w:rsidRPr="001428D3" w:rsidR="00341E6F">
        <w:t xml:space="preserve">Within </w:t>
      </w:r>
      <w:r w:rsidRPr="001428D3" w:rsidR="0098390E">
        <w:t xml:space="preserve">fifteen </w:t>
      </w:r>
      <w:r w:rsidRPr="001428D3" w:rsidR="00341E6F">
        <w:t>days of</w:t>
      </w:r>
      <w:r w:rsidRPr="001428D3" w:rsidR="006146A5">
        <w:t xml:space="preserve"> receipt of</w:t>
      </w:r>
      <w:r w:rsidRPr="001428D3" w:rsidR="00341E6F">
        <w:t xml:space="preserve"> the answer </w:t>
      </w:r>
      <w:r w:rsidRPr="001428D3" w:rsidR="006146A5">
        <w:t>of</w:t>
      </w:r>
      <w:r w:rsidRPr="001428D3" w:rsidR="00341E6F">
        <w:t xml:space="preserve"> the </w:t>
      </w:r>
      <w:r w:rsidRPr="001428D3" w:rsidR="00980860">
        <w:t>owners</w:t>
      </w:r>
      <w:r w:rsidRPr="001428D3" w:rsidR="007F0046">
        <w:t>, and</w:t>
      </w:r>
      <w:r w:rsidRPr="001428D3" w:rsidR="00341E6F">
        <w:t xml:space="preserve"> in any </w:t>
      </w:r>
      <w:r w:rsidRPr="001428D3" w:rsidR="0098390E">
        <w:t>event no less than</w:t>
      </w:r>
      <w:r w:rsidRPr="001428D3" w:rsidR="00341E6F">
        <w:t xml:space="preserve"> one month from the publication of the </w:t>
      </w:r>
      <w:r w:rsidRPr="001428D3" w:rsidR="001C7AE7">
        <w:t xml:space="preserve">application </w:t>
      </w:r>
      <w:r w:rsidRPr="001428D3" w:rsidR="00341E6F">
        <w:t xml:space="preserve">for expropriation, the competent ministry, in </w:t>
      </w:r>
      <w:r w:rsidRPr="001428D3" w:rsidR="00002427">
        <w:t xml:space="preserve">the event </w:t>
      </w:r>
      <w:r w:rsidRPr="001428D3" w:rsidR="0098390E">
        <w:t xml:space="preserve">that </w:t>
      </w:r>
      <w:r w:rsidRPr="001428D3" w:rsidR="00341E6F">
        <w:t xml:space="preserve">the parties have accepted the conditions </w:t>
      </w:r>
      <w:r w:rsidRPr="001428D3" w:rsidR="00980860">
        <w:t xml:space="preserve">of expropriation, </w:t>
      </w:r>
      <w:r w:rsidRPr="001428D3" w:rsidR="0098390E">
        <w:t xml:space="preserve">must initiate </w:t>
      </w:r>
      <w:r w:rsidRPr="001428D3" w:rsidR="007F0046">
        <w:t>the procedure</w:t>
      </w:r>
      <w:r w:rsidRPr="001428D3" w:rsidR="00341E6F">
        <w:t xml:space="preserve"> for transfer</w:t>
      </w:r>
      <w:r w:rsidRPr="001428D3" w:rsidR="0098390E">
        <w:t>ring</w:t>
      </w:r>
      <w:r w:rsidRPr="001428D3" w:rsidR="00341E6F">
        <w:t xml:space="preserve"> ow</w:t>
      </w:r>
      <w:r w:rsidRPr="001428D3" w:rsidR="003D3EEA">
        <w:t xml:space="preserve">nership </w:t>
      </w:r>
      <w:r w:rsidRPr="001428D3" w:rsidR="0098390E">
        <w:t>to</w:t>
      </w:r>
      <w:r w:rsidRPr="001428D3" w:rsidR="003D3EEA">
        <w:t xml:space="preserve"> the </w:t>
      </w:r>
      <w:r w:rsidRPr="001428D3" w:rsidR="007D21BD">
        <w:t>S</w:t>
      </w:r>
      <w:r w:rsidRPr="001428D3" w:rsidR="003D3EEA">
        <w:t xml:space="preserve">tate in </w:t>
      </w:r>
      <w:r w:rsidRPr="001428D3" w:rsidR="0009729E">
        <w:t>exchange</w:t>
      </w:r>
      <w:r w:rsidRPr="001428D3" w:rsidR="003D3EEA">
        <w:t xml:space="preserve"> </w:t>
      </w:r>
      <w:r w:rsidRPr="001428D3" w:rsidR="0098390E">
        <w:t>for</w:t>
      </w:r>
      <w:r w:rsidRPr="001428D3" w:rsidR="003D3EEA">
        <w:t xml:space="preserve"> </w:t>
      </w:r>
      <w:r w:rsidRPr="001428D3" w:rsidR="0043740A">
        <w:t xml:space="preserve">fair </w:t>
      </w:r>
      <w:r w:rsidRPr="001428D3" w:rsidR="00341E6F">
        <w:t>compensation</w:t>
      </w:r>
      <w:r w:rsidRPr="001428D3" w:rsidR="006A0284">
        <w:t xml:space="preserve"> (section 16 § 4)</w:t>
      </w:r>
      <w:r w:rsidRPr="001428D3" w:rsidR="00341E6F">
        <w:t xml:space="preserve">. </w:t>
      </w:r>
      <w:r w:rsidRPr="001428D3" w:rsidR="00980860">
        <w:t>Section 17</w:t>
      </w:r>
      <w:r w:rsidRPr="001428D3" w:rsidR="00C91C28">
        <w:t xml:space="preserve"> provides that</w:t>
      </w:r>
      <w:r w:rsidRPr="001428D3" w:rsidR="00980860">
        <w:t xml:space="preserve"> </w:t>
      </w:r>
      <w:r w:rsidRPr="001428D3" w:rsidR="00341E6F">
        <w:t xml:space="preserve">the special commission </w:t>
      </w:r>
      <w:r w:rsidRPr="001428D3" w:rsidR="0098390E">
        <w:t xml:space="preserve">must </w:t>
      </w:r>
      <w:r w:rsidRPr="001428D3" w:rsidR="008F7D0C">
        <w:t xml:space="preserve">calculate </w:t>
      </w:r>
      <w:r w:rsidRPr="001428D3" w:rsidR="00341E6F">
        <w:t xml:space="preserve">the amount of compensation </w:t>
      </w:r>
      <w:r w:rsidRPr="001428D3" w:rsidR="00481A40">
        <w:t xml:space="preserve">related to </w:t>
      </w:r>
      <w:r w:rsidRPr="001428D3" w:rsidR="00341E6F">
        <w:t xml:space="preserve">the </w:t>
      </w:r>
      <w:r w:rsidRPr="001428D3" w:rsidR="0098390E">
        <w:t xml:space="preserve">property </w:t>
      </w:r>
      <w:r w:rsidRPr="001428D3" w:rsidR="00481A40">
        <w:t xml:space="preserve">to be </w:t>
      </w:r>
      <w:r w:rsidRPr="001428D3" w:rsidR="00341E6F">
        <w:t>expropriated</w:t>
      </w:r>
      <w:r w:rsidRPr="001428D3" w:rsidR="00980860">
        <w:t xml:space="preserve">. </w:t>
      </w:r>
      <w:r w:rsidRPr="001428D3" w:rsidR="00571B0C">
        <w:t>Section 20 provides that t</w:t>
      </w:r>
      <w:r w:rsidRPr="001428D3" w:rsidR="00341E6F">
        <w:rPr>
          <w:rFonts w:eastAsiaTheme="minorHAnsi"/>
        </w:rPr>
        <w:t xml:space="preserve">he competent minister </w:t>
      </w:r>
      <w:r w:rsidRPr="001428D3" w:rsidR="0098390E">
        <w:rPr>
          <w:rFonts w:eastAsiaTheme="minorHAnsi"/>
        </w:rPr>
        <w:t>must then</w:t>
      </w:r>
      <w:r w:rsidRPr="001428D3" w:rsidR="00481A40">
        <w:rPr>
          <w:rFonts w:eastAsiaTheme="minorHAnsi"/>
        </w:rPr>
        <w:t xml:space="preserve"> </w:t>
      </w:r>
      <w:r w:rsidRPr="001428D3" w:rsidR="00341E6F">
        <w:rPr>
          <w:rFonts w:eastAsiaTheme="minorHAnsi"/>
        </w:rPr>
        <w:t xml:space="preserve">submit to the Council of Ministers </w:t>
      </w:r>
      <w:r w:rsidRPr="001428D3" w:rsidR="00980860">
        <w:rPr>
          <w:rFonts w:eastAsiaTheme="minorHAnsi"/>
        </w:rPr>
        <w:t xml:space="preserve">the proposal for expropriation </w:t>
      </w:r>
      <w:r w:rsidRPr="001428D3" w:rsidR="00341E6F">
        <w:rPr>
          <w:rFonts w:eastAsiaTheme="minorHAnsi"/>
        </w:rPr>
        <w:t xml:space="preserve">accompanied by </w:t>
      </w:r>
      <w:r w:rsidRPr="001428D3" w:rsidR="00481A40">
        <w:rPr>
          <w:rFonts w:eastAsiaTheme="minorHAnsi"/>
        </w:rPr>
        <w:t>s</w:t>
      </w:r>
      <w:r w:rsidRPr="001428D3" w:rsidR="008F7D0C">
        <w:rPr>
          <w:rFonts w:eastAsiaTheme="minorHAnsi"/>
        </w:rPr>
        <w:t>e</w:t>
      </w:r>
      <w:r w:rsidRPr="001428D3" w:rsidR="00980860">
        <w:rPr>
          <w:rFonts w:eastAsiaTheme="minorHAnsi"/>
        </w:rPr>
        <w:t>veral documents</w:t>
      </w:r>
      <w:r w:rsidRPr="001428D3" w:rsidR="00885A7E">
        <w:rPr>
          <w:rFonts w:eastAsiaTheme="minorHAnsi"/>
        </w:rPr>
        <w:t xml:space="preserve">. </w:t>
      </w:r>
      <w:r w:rsidRPr="001428D3" w:rsidR="00980860">
        <w:rPr>
          <w:rFonts w:eastAsiaTheme="minorHAnsi"/>
        </w:rPr>
        <w:t xml:space="preserve">Under </w:t>
      </w:r>
      <w:r w:rsidRPr="001428D3" w:rsidR="00C91C28">
        <w:rPr>
          <w:rFonts w:eastAsiaTheme="minorHAnsi"/>
        </w:rPr>
        <w:t>s</w:t>
      </w:r>
      <w:r w:rsidRPr="001428D3" w:rsidR="00980860">
        <w:rPr>
          <w:rFonts w:eastAsiaTheme="minorHAnsi"/>
        </w:rPr>
        <w:t>ection 21</w:t>
      </w:r>
      <w:r w:rsidRPr="001428D3" w:rsidR="00C91C28">
        <w:rPr>
          <w:rFonts w:eastAsiaTheme="minorHAnsi"/>
        </w:rPr>
        <w:t>,</w:t>
      </w:r>
      <w:r w:rsidRPr="001428D3" w:rsidR="00980860">
        <w:rPr>
          <w:rFonts w:eastAsiaTheme="minorHAnsi"/>
        </w:rPr>
        <w:t xml:space="preserve"> </w:t>
      </w:r>
      <w:r w:rsidRPr="001428D3" w:rsidR="00391448">
        <w:t xml:space="preserve">the Council of Ministers decides on the expropriation </w:t>
      </w:r>
      <w:r w:rsidRPr="001428D3" w:rsidR="00391448">
        <w:rPr>
          <w:rFonts w:eastAsiaTheme="minorHAnsi"/>
        </w:rPr>
        <w:t xml:space="preserve">when </w:t>
      </w:r>
      <w:r w:rsidRPr="001428D3" w:rsidR="00341E6F">
        <w:t xml:space="preserve">the proposal </w:t>
      </w:r>
      <w:r w:rsidRPr="001428D3" w:rsidR="00391448">
        <w:t xml:space="preserve">for expropriation is </w:t>
      </w:r>
      <w:r w:rsidRPr="001428D3" w:rsidR="00055FEF">
        <w:t xml:space="preserve">considered to have a basis </w:t>
      </w:r>
      <w:r w:rsidRPr="001428D3" w:rsidR="00341E6F">
        <w:t>in law and in fact.</w:t>
      </w:r>
      <w:r w:rsidRPr="001428D3" w:rsidR="00885A7E">
        <w:t xml:space="preserve"> </w:t>
      </w:r>
      <w:r w:rsidRPr="001428D3" w:rsidR="00341E6F">
        <w:t>The decision o</w:t>
      </w:r>
      <w:r w:rsidRPr="001428D3" w:rsidR="0065391E">
        <w:t xml:space="preserve">n </w:t>
      </w:r>
      <w:r w:rsidRPr="001428D3" w:rsidR="00341E6F">
        <w:t>expropriation</w:t>
      </w:r>
      <w:r w:rsidRPr="001428D3" w:rsidR="0098390E">
        <w:t xml:space="preserve"> must</w:t>
      </w:r>
      <w:r w:rsidRPr="001428D3" w:rsidR="00341E6F">
        <w:t xml:space="preserve"> </w:t>
      </w:r>
      <w:r w:rsidRPr="001428D3" w:rsidR="0098390E">
        <w:t>include the</w:t>
      </w:r>
      <w:r w:rsidRPr="001428D3" w:rsidR="00341E6F">
        <w:t xml:space="preserve"> private properties</w:t>
      </w:r>
      <w:r w:rsidRPr="001428D3" w:rsidR="0098390E">
        <w:t xml:space="preserve"> </w:t>
      </w:r>
      <w:r w:rsidRPr="001428D3" w:rsidR="00C91C28">
        <w:t xml:space="preserve">to be </w:t>
      </w:r>
      <w:r w:rsidRPr="001428D3" w:rsidR="00341E6F">
        <w:t>expropriated and the</w:t>
      </w:r>
      <w:r w:rsidRPr="001428D3" w:rsidR="0098390E">
        <w:t>ir</w:t>
      </w:r>
      <w:r w:rsidRPr="001428D3" w:rsidR="00341E6F">
        <w:t xml:space="preserve"> respective owners</w:t>
      </w:r>
      <w:r w:rsidRPr="001428D3" w:rsidR="003F5F3A">
        <w:t xml:space="preserve">, </w:t>
      </w:r>
      <w:r w:rsidRPr="001428D3" w:rsidR="00341E6F">
        <w:t>the amount of compensation</w:t>
      </w:r>
      <w:r w:rsidRPr="001428D3" w:rsidR="006E0E0B">
        <w:t xml:space="preserve"> </w:t>
      </w:r>
      <w:r w:rsidRPr="001428D3" w:rsidR="003F5F3A">
        <w:t xml:space="preserve">to be awarded </w:t>
      </w:r>
      <w:r w:rsidRPr="001428D3" w:rsidR="00341E6F">
        <w:t xml:space="preserve">as well as the time </w:t>
      </w:r>
      <w:r w:rsidRPr="001428D3" w:rsidR="006E0E0B">
        <w:t>limit</w:t>
      </w:r>
      <w:r w:rsidRPr="001428D3" w:rsidR="00341E6F">
        <w:t xml:space="preserve"> and </w:t>
      </w:r>
      <w:r w:rsidRPr="001428D3" w:rsidR="006E0E0B">
        <w:t xml:space="preserve">the </w:t>
      </w:r>
      <w:r w:rsidRPr="001428D3" w:rsidR="00341E6F">
        <w:t xml:space="preserve">manner </w:t>
      </w:r>
      <w:r w:rsidRPr="001428D3" w:rsidR="006E0E0B">
        <w:t>for</w:t>
      </w:r>
      <w:r w:rsidRPr="001428D3" w:rsidR="003F5F3A">
        <w:t xml:space="preserve"> pay</w:t>
      </w:r>
      <w:r w:rsidRPr="001428D3" w:rsidR="00571B0C">
        <w:t>ment</w:t>
      </w:r>
      <w:r w:rsidRPr="001428D3" w:rsidR="003F5F3A">
        <w:t xml:space="preserve">. </w:t>
      </w:r>
      <w:r w:rsidRPr="001428D3" w:rsidR="006E0E0B">
        <w:t>T</w:t>
      </w:r>
      <w:r w:rsidRPr="001428D3" w:rsidR="00341E6F">
        <w:t>he decision o</w:t>
      </w:r>
      <w:r w:rsidRPr="001428D3" w:rsidR="006E0E0B">
        <w:t>n</w:t>
      </w:r>
      <w:r w:rsidRPr="001428D3" w:rsidR="00341E6F">
        <w:t xml:space="preserve"> expropriation </w:t>
      </w:r>
      <w:r w:rsidRPr="001428D3" w:rsidR="000268F7">
        <w:t xml:space="preserve">comes </w:t>
      </w:r>
      <w:r w:rsidRPr="001428D3" w:rsidR="00341E6F">
        <w:t xml:space="preserve">into </w:t>
      </w:r>
      <w:r w:rsidRPr="001428D3" w:rsidR="00744EFE">
        <w:t xml:space="preserve">effect </w:t>
      </w:r>
      <w:r w:rsidRPr="001428D3" w:rsidR="00341E6F">
        <w:t>immediately</w:t>
      </w:r>
      <w:r w:rsidRPr="001428D3" w:rsidR="007C7A9D">
        <w:t xml:space="preserve"> and </w:t>
      </w:r>
      <w:r w:rsidRPr="001428D3" w:rsidR="00341E6F">
        <w:t xml:space="preserve">is published in the Official </w:t>
      </w:r>
      <w:r w:rsidRPr="001428D3" w:rsidR="00E77C2F">
        <w:t>Gazette</w:t>
      </w:r>
      <w:r w:rsidRPr="001428D3" w:rsidR="00980860">
        <w:t xml:space="preserve">. </w:t>
      </w:r>
      <w:r w:rsidRPr="001428D3" w:rsidR="00572A37">
        <w:t xml:space="preserve">Section 23 </w:t>
      </w:r>
      <w:r w:rsidRPr="001428D3" w:rsidR="007C7A9D">
        <w:t xml:space="preserve">provides that the </w:t>
      </w:r>
      <w:r w:rsidRPr="001428D3" w:rsidR="001D33D9">
        <w:t xml:space="preserve">amount of compensation </w:t>
      </w:r>
      <w:r w:rsidRPr="001428D3" w:rsidR="0098390E">
        <w:t xml:space="preserve">must </w:t>
      </w:r>
      <w:r w:rsidRPr="001428D3" w:rsidR="001334D0">
        <w:t>be</w:t>
      </w:r>
      <w:r w:rsidRPr="001428D3" w:rsidR="00894062">
        <w:t xml:space="preserve"> </w:t>
      </w:r>
      <w:r w:rsidRPr="001428D3" w:rsidR="001D33D9">
        <w:t xml:space="preserve">given to the person </w:t>
      </w:r>
      <w:r w:rsidRPr="001428D3" w:rsidR="0098390E">
        <w:t>concerned</w:t>
      </w:r>
      <w:r w:rsidRPr="001428D3" w:rsidR="001334D0">
        <w:t xml:space="preserve"> </w:t>
      </w:r>
      <w:r w:rsidRPr="001428D3" w:rsidR="001D33D9">
        <w:t>within the time</w:t>
      </w:r>
      <w:r w:rsidRPr="001428D3" w:rsidR="00B709C6">
        <w:t>-</w:t>
      </w:r>
      <w:r w:rsidRPr="001428D3" w:rsidR="00894062">
        <w:t>limit</w:t>
      </w:r>
      <w:r w:rsidRPr="001428D3" w:rsidR="001D33D9">
        <w:t xml:space="preserve"> indicated in </w:t>
      </w:r>
      <w:r w:rsidRPr="001428D3" w:rsidR="00572A37">
        <w:t>the decision of the Council of Ministers</w:t>
      </w:r>
      <w:r w:rsidRPr="001428D3" w:rsidR="001D33D9">
        <w:t>, or from the date when the court decision become</w:t>
      </w:r>
      <w:r w:rsidRPr="001428D3" w:rsidR="00C91C28">
        <w:t>s</w:t>
      </w:r>
      <w:r w:rsidRPr="001428D3" w:rsidR="001D33D9">
        <w:t xml:space="preserve"> final</w:t>
      </w:r>
      <w:r w:rsidRPr="001428D3" w:rsidR="00391448">
        <w:t xml:space="preserve"> in accordance with sections 16 § 2 and 24 of this Act</w:t>
      </w:r>
      <w:r w:rsidRPr="001428D3" w:rsidR="00572A37">
        <w:t xml:space="preserve">. Section 24 </w:t>
      </w:r>
      <w:r w:rsidRPr="001428D3" w:rsidR="007C7A9D">
        <w:t xml:space="preserve">provides that </w:t>
      </w:r>
      <w:r w:rsidRPr="001428D3" w:rsidR="00572A37">
        <w:t>t</w:t>
      </w:r>
      <w:r w:rsidRPr="001428D3" w:rsidR="001D33D9">
        <w:rPr>
          <w:rFonts w:eastAsiaTheme="minorHAnsi"/>
        </w:rPr>
        <w:t xml:space="preserve">he decision of the Council of Ministers on expropriation </w:t>
      </w:r>
      <w:r w:rsidRPr="001428D3" w:rsidR="0098390E">
        <w:rPr>
          <w:rFonts w:eastAsiaTheme="minorHAnsi"/>
        </w:rPr>
        <w:t>must be sent</w:t>
      </w:r>
      <w:r w:rsidRPr="001428D3" w:rsidR="001D33D9">
        <w:rPr>
          <w:rFonts w:eastAsiaTheme="minorHAnsi"/>
        </w:rPr>
        <w:t xml:space="preserve"> by the competent ministry directly to the owners </w:t>
      </w:r>
      <w:r w:rsidRPr="001428D3" w:rsidR="0098390E">
        <w:rPr>
          <w:rFonts w:eastAsiaTheme="minorHAnsi"/>
        </w:rPr>
        <w:t>concerned</w:t>
      </w:r>
      <w:r w:rsidRPr="001428D3" w:rsidR="001334D0">
        <w:rPr>
          <w:rFonts w:eastAsiaTheme="minorHAnsi"/>
        </w:rPr>
        <w:t xml:space="preserve">. They </w:t>
      </w:r>
      <w:r w:rsidRPr="001428D3" w:rsidR="00C91C28">
        <w:rPr>
          <w:rFonts w:eastAsiaTheme="minorHAnsi"/>
        </w:rPr>
        <w:t>may</w:t>
      </w:r>
      <w:r w:rsidRPr="001428D3" w:rsidR="00FD3F77">
        <w:rPr>
          <w:rFonts w:eastAsiaTheme="minorHAnsi"/>
        </w:rPr>
        <w:t xml:space="preserve"> appeal </w:t>
      </w:r>
      <w:r w:rsidRPr="001428D3" w:rsidR="00B141BE">
        <w:rPr>
          <w:rFonts w:eastAsiaTheme="minorHAnsi"/>
        </w:rPr>
        <w:t xml:space="preserve">to a </w:t>
      </w:r>
      <w:r w:rsidRPr="001428D3" w:rsidR="00FD3F77">
        <w:rPr>
          <w:rFonts w:eastAsiaTheme="minorHAnsi"/>
        </w:rPr>
        <w:t xml:space="preserve">court </w:t>
      </w:r>
      <w:r w:rsidRPr="001428D3" w:rsidR="00572A37">
        <w:rPr>
          <w:rFonts w:eastAsiaTheme="minorHAnsi"/>
        </w:rPr>
        <w:t xml:space="preserve">within </w:t>
      </w:r>
      <w:r w:rsidRPr="001428D3" w:rsidR="0098390E">
        <w:rPr>
          <w:rFonts w:eastAsiaTheme="minorHAnsi"/>
        </w:rPr>
        <w:t xml:space="preserve">thirty </w:t>
      </w:r>
      <w:r w:rsidRPr="001428D3" w:rsidR="00572A37">
        <w:rPr>
          <w:rFonts w:eastAsiaTheme="minorHAnsi"/>
        </w:rPr>
        <w:t xml:space="preserve">days </w:t>
      </w:r>
      <w:r w:rsidRPr="001428D3" w:rsidR="00B141BE">
        <w:rPr>
          <w:rFonts w:eastAsiaTheme="minorHAnsi"/>
        </w:rPr>
        <w:t xml:space="preserve">against </w:t>
      </w:r>
      <w:r w:rsidRPr="001428D3" w:rsidR="00FD3F77">
        <w:rPr>
          <w:rFonts w:eastAsiaTheme="minorHAnsi"/>
        </w:rPr>
        <w:t xml:space="preserve">the </w:t>
      </w:r>
      <w:r w:rsidRPr="001428D3" w:rsidR="001D33D9">
        <w:rPr>
          <w:rFonts w:eastAsiaTheme="minorHAnsi"/>
        </w:rPr>
        <w:t>amount of compensation specified in the decision</w:t>
      </w:r>
      <w:r w:rsidRPr="001428D3" w:rsidR="00FD3F77">
        <w:rPr>
          <w:rFonts w:eastAsiaTheme="minorHAnsi"/>
        </w:rPr>
        <w:t>.</w:t>
      </w:r>
      <w:r w:rsidRPr="001428D3" w:rsidR="001D33D9">
        <w:rPr>
          <w:rFonts w:eastAsiaTheme="minorHAnsi"/>
        </w:rPr>
        <w:t xml:space="preserve"> An appeal against a decision of the Council of Ministers </w:t>
      </w:r>
      <w:r w:rsidRPr="001428D3" w:rsidR="00C154A3">
        <w:rPr>
          <w:rFonts w:eastAsiaTheme="minorHAnsi"/>
        </w:rPr>
        <w:t>on</w:t>
      </w:r>
      <w:r w:rsidRPr="001428D3" w:rsidR="001D33D9">
        <w:rPr>
          <w:rFonts w:eastAsiaTheme="minorHAnsi"/>
        </w:rPr>
        <w:t xml:space="preserve"> the expropriation does not s</w:t>
      </w:r>
      <w:r w:rsidRPr="001428D3" w:rsidR="00C154A3">
        <w:rPr>
          <w:rFonts w:eastAsiaTheme="minorHAnsi"/>
        </w:rPr>
        <w:t>tay</w:t>
      </w:r>
      <w:r w:rsidRPr="001428D3" w:rsidR="001D33D9">
        <w:rPr>
          <w:rFonts w:eastAsiaTheme="minorHAnsi"/>
        </w:rPr>
        <w:t xml:space="preserve"> </w:t>
      </w:r>
      <w:r w:rsidRPr="001428D3" w:rsidR="00572A37">
        <w:rPr>
          <w:rFonts w:eastAsiaTheme="minorHAnsi"/>
        </w:rPr>
        <w:t>implementation of th</w:t>
      </w:r>
      <w:r w:rsidRPr="001428D3" w:rsidR="00C91C28">
        <w:rPr>
          <w:rFonts w:eastAsiaTheme="minorHAnsi"/>
        </w:rPr>
        <w:t>e</w:t>
      </w:r>
      <w:r w:rsidRPr="001428D3" w:rsidR="00572A37">
        <w:rPr>
          <w:rFonts w:eastAsiaTheme="minorHAnsi"/>
        </w:rPr>
        <w:t xml:space="preserve"> decision. </w:t>
      </w:r>
      <w:r w:rsidRPr="001428D3" w:rsidR="001D33D9">
        <w:rPr>
          <w:rFonts w:eastAsiaTheme="minorHAnsi"/>
        </w:rPr>
        <w:t>As</w:t>
      </w:r>
      <w:r w:rsidRPr="001428D3" w:rsidR="001334D0">
        <w:rPr>
          <w:rFonts w:eastAsiaTheme="minorHAnsi"/>
        </w:rPr>
        <w:t xml:space="preserve"> regards</w:t>
      </w:r>
      <w:r w:rsidRPr="001428D3" w:rsidR="001D33D9">
        <w:rPr>
          <w:rFonts w:eastAsiaTheme="minorHAnsi"/>
        </w:rPr>
        <w:t xml:space="preserve"> the amount of compensation, if an appeal </w:t>
      </w:r>
      <w:r w:rsidRPr="001428D3" w:rsidR="000268F7">
        <w:rPr>
          <w:rFonts w:eastAsiaTheme="minorHAnsi"/>
        </w:rPr>
        <w:t xml:space="preserve">to </w:t>
      </w:r>
      <w:r w:rsidRPr="001428D3" w:rsidR="000D4096">
        <w:rPr>
          <w:rFonts w:eastAsiaTheme="minorHAnsi"/>
        </w:rPr>
        <w:t>the</w:t>
      </w:r>
      <w:r w:rsidRPr="001428D3" w:rsidR="001D33D9">
        <w:rPr>
          <w:rFonts w:eastAsiaTheme="minorHAnsi"/>
        </w:rPr>
        <w:t xml:space="preserve"> court is not </w:t>
      </w:r>
      <w:r w:rsidRPr="001428D3" w:rsidR="000D4096">
        <w:rPr>
          <w:rFonts w:eastAsiaTheme="minorHAnsi"/>
        </w:rPr>
        <w:t xml:space="preserve">submitted </w:t>
      </w:r>
      <w:r w:rsidRPr="001428D3" w:rsidR="001D33D9">
        <w:rPr>
          <w:rFonts w:eastAsiaTheme="minorHAnsi"/>
        </w:rPr>
        <w:t xml:space="preserve">within </w:t>
      </w:r>
      <w:r w:rsidRPr="001428D3" w:rsidR="0098390E">
        <w:rPr>
          <w:rFonts w:eastAsiaTheme="minorHAnsi"/>
        </w:rPr>
        <w:t xml:space="preserve">thirty </w:t>
      </w:r>
      <w:r w:rsidRPr="001428D3" w:rsidR="000D4096">
        <w:rPr>
          <w:rFonts w:eastAsiaTheme="minorHAnsi"/>
        </w:rPr>
        <w:t>days in accordance with th</w:t>
      </w:r>
      <w:r w:rsidRPr="001428D3" w:rsidR="00C91C28">
        <w:rPr>
          <w:rFonts w:eastAsiaTheme="minorHAnsi"/>
        </w:rPr>
        <w:t>e</w:t>
      </w:r>
      <w:r w:rsidRPr="001428D3" w:rsidR="001D33D9">
        <w:rPr>
          <w:rFonts w:eastAsiaTheme="minorHAnsi"/>
        </w:rPr>
        <w:t xml:space="preserve"> </w:t>
      </w:r>
      <w:r w:rsidRPr="001428D3" w:rsidR="00C91C28">
        <w:rPr>
          <w:rFonts w:eastAsiaTheme="minorHAnsi"/>
        </w:rPr>
        <w:t>Act</w:t>
      </w:r>
      <w:r w:rsidRPr="001428D3" w:rsidR="001D33D9">
        <w:rPr>
          <w:rFonts w:eastAsiaTheme="minorHAnsi"/>
        </w:rPr>
        <w:t>, the decision</w:t>
      </w:r>
      <w:r w:rsidRPr="001428D3" w:rsidR="000D4096">
        <w:rPr>
          <w:rFonts w:eastAsiaTheme="minorHAnsi"/>
        </w:rPr>
        <w:t xml:space="preserve"> of the Council of Ministers on</w:t>
      </w:r>
      <w:r w:rsidRPr="001428D3" w:rsidR="001D33D9">
        <w:rPr>
          <w:rFonts w:eastAsiaTheme="minorHAnsi"/>
        </w:rPr>
        <w:t xml:space="preserve"> the expropriation becomes executable</w:t>
      </w:r>
      <w:r w:rsidRPr="001428D3" w:rsidR="00572A37">
        <w:rPr>
          <w:rFonts w:eastAsiaTheme="minorHAnsi"/>
        </w:rPr>
        <w:t xml:space="preserve">. </w:t>
      </w:r>
      <w:r w:rsidRPr="001428D3" w:rsidR="00571B0C">
        <w:rPr>
          <w:rFonts w:eastAsiaTheme="minorHAnsi"/>
        </w:rPr>
        <w:t>Under s</w:t>
      </w:r>
      <w:r w:rsidRPr="001428D3" w:rsidR="00885A7E">
        <w:rPr>
          <w:rFonts w:eastAsiaTheme="minorHAnsi"/>
        </w:rPr>
        <w:t>ection 26</w:t>
      </w:r>
      <w:r w:rsidRPr="001428D3" w:rsidR="00571B0C">
        <w:rPr>
          <w:rFonts w:eastAsiaTheme="minorHAnsi"/>
        </w:rPr>
        <w:t>,</w:t>
      </w:r>
      <w:r w:rsidRPr="001428D3" w:rsidR="00885A7E">
        <w:rPr>
          <w:rFonts w:eastAsiaTheme="minorHAnsi"/>
        </w:rPr>
        <w:t xml:space="preserve"> </w:t>
      </w:r>
      <w:r w:rsidRPr="001428D3" w:rsidR="00572A37">
        <w:rPr>
          <w:rFonts w:eastAsiaTheme="minorHAnsi"/>
        </w:rPr>
        <w:t>the expropriation procedure</w:t>
      </w:r>
      <w:r w:rsidRPr="001428D3" w:rsidR="00571B0C">
        <w:rPr>
          <w:rFonts w:eastAsiaTheme="minorHAnsi"/>
        </w:rPr>
        <w:t xml:space="preserve"> is considere</w:t>
      </w:r>
      <w:r w:rsidRPr="001428D3" w:rsidR="00366996">
        <w:rPr>
          <w:rFonts w:eastAsiaTheme="minorHAnsi"/>
        </w:rPr>
        <w:t>d</w:t>
      </w:r>
      <w:r w:rsidRPr="001428D3" w:rsidR="00571B0C">
        <w:rPr>
          <w:rFonts w:eastAsiaTheme="minorHAnsi"/>
        </w:rPr>
        <w:t xml:space="preserve"> invalid</w:t>
      </w:r>
      <w:r w:rsidRPr="001428D3" w:rsidR="00572A37">
        <w:rPr>
          <w:rFonts w:eastAsiaTheme="minorHAnsi"/>
        </w:rPr>
        <w:t xml:space="preserve"> when the </w:t>
      </w:r>
      <w:r w:rsidRPr="001428D3" w:rsidR="003A6109">
        <w:rPr>
          <w:rFonts w:eastAsiaTheme="minorHAnsi"/>
        </w:rPr>
        <w:t xml:space="preserve">subject </w:t>
      </w:r>
      <w:r w:rsidRPr="001428D3" w:rsidR="005A4FD4">
        <w:t xml:space="preserve">in </w:t>
      </w:r>
      <w:r w:rsidRPr="001428D3" w:rsidR="007D21BD">
        <w:t xml:space="preserve">whose </w:t>
      </w:r>
      <w:r w:rsidRPr="001428D3" w:rsidR="005A4FD4">
        <w:t>favour</w:t>
      </w:r>
      <w:r w:rsidRPr="001428D3" w:rsidR="00612336">
        <w:t xml:space="preserve"> the expropriation was done </w:t>
      </w:r>
      <w:r w:rsidRPr="001428D3" w:rsidR="005A4FD4">
        <w:t xml:space="preserve">does not </w:t>
      </w:r>
      <w:r w:rsidRPr="001428D3" w:rsidR="00612336">
        <w:t>commence</w:t>
      </w:r>
      <w:r w:rsidRPr="001428D3" w:rsidR="005A4FD4">
        <w:t xml:space="preserve"> or </w:t>
      </w:r>
      <w:r w:rsidRPr="001428D3" w:rsidR="00514552">
        <w:t>terminate</w:t>
      </w:r>
      <w:r w:rsidRPr="001428D3" w:rsidR="005A4FD4">
        <w:t xml:space="preserve"> the works within three months </w:t>
      </w:r>
      <w:r w:rsidRPr="001428D3" w:rsidR="001A5B3A">
        <w:t xml:space="preserve">of </w:t>
      </w:r>
      <w:r w:rsidRPr="001428D3" w:rsidR="005A4FD4">
        <w:t xml:space="preserve">the </w:t>
      </w:r>
      <w:r w:rsidRPr="001428D3" w:rsidR="001A5B3A">
        <w:t>date</w:t>
      </w:r>
      <w:r w:rsidRPr="001428D3" w:rsidR="005A4FD4">
        <w:t xml:space="preserve"> </w:t>
      </w:r>
      <w:r w:rsidRPr="001428D3" w:rsidR="001A5B3A">
        <w:t xml:space="preserve">specified </w:t>
      </w:r>
      <w:r w:rsidRPr="001428D3" w:rsidR="005A4FD4">
        <w:t>in the decis</w:t>
      </w:r>
      <w:r w:rsidRPr="001428D3" w:rsidR="003A6109">
        <w:t>ion of the Council of Ministers</w:t>
      </w:r>
      <w:r w:rsidRPr="001428D3" w:rsidR="00A075EB">
        <w:t xml:space="preserve">. The expropriation is also invalid when the subject </w:t>
      </w:r>
      <w:r w:rsidRPr="001428D3" w:rsidR="005A4FD4">
        <w:rPr>
          <w:rFonts w:eastAsiaTheme="minorHAnsi"/>
        </w:rPr>
        <w:t xml:space="preserve">uses the </w:t>
      </w:r>
      <w:r w:rsidRPr="001428D3" w:rsidR="00941EE4">
        <w:rPr>
          <w:rFonts w:eastAsiaTheme="minorHAnsi"/>
        </w:rPr>
        <w:t xml:space="preserve">expropriated </w:t>
      </w:r>
      <w:r w:rsidRPr="001428D3" w:rsidR="005A4FD4">
        <w:rPr>
          <w:rFonts w:eastAsiaTheme="minorHAnsi"/>
        </w:rPr>
        <w:t xml:space="preserve">properties or performs actions in </w:t>
      </w:r>
      <w:r w:rsidRPr="001428D3" w:rsidR="00A71C38">
        <w:rPr>
          <w:rFonts w:eastAsiaTheme="minorHAnsi"/>
        </w:rPr>
        <w:t>non</w:t>
      </w:r>
      <w:r w:rsidRPr="001428D3" w:rsidR="00A71C38">
        <w:rPr>
          <w:rFonts w:eastAsiaTheme="minorHAnsi"/>
        </w:rPr>
        <w:noBreakHyphen/>
      </w:r>
      <w:r w:rsidRPr="001428D3" w:rsidR="00941EE4">
        <w:rPr>
          <w:rFonts w:eastAsiaTheme="minorHAnsi"/>
        </w:rPr>
        <w:t xml:space="preserve">compliance </w:t>
      </w:r>
      <w:r w:rsidRPr="001428D3" w:rsidR="005A4FD4">
        <w:rPr>
          <w:rFonts w:eastAsiaTheme="minorHAnsi"/>
        </w:rPr>
        <w:t xml:space="preserve">with </w:t>
      </w:r>
      <w:r w:rsidRPr="001428D3" w:rsidR="007B181C">
        <w:rPr>
          <w:rFonts w:eastAsiaTheme="minorHAnsi"/>
        </w:rPr>
        <w:t xml:space="preserve">the </w:t>
      </w:r>
      <w:r w:rsidRPr="001428D3" w:rsidR="005A4FD4">
        <w:rPr>
          <w:rFonts w:eastAsiaTheme="minorHAnsi"/>
        </w:rPr>
        <w:t xml:space="preserve">purpose of </w:t>
      </w:r>
      <w:r w:rsidRPr="001428D3" w:rsidR="001A5B3A">
        <w:rPr>
          <w:rFonts w:eastAsiaTheme="minorHAnsi"/>
        </w:rPr>
        <w:t xml:space="preserve">the </w:t>
      </w:r>
      <w:r w:rsidRPr="001428D3" w:rsidR="005A4FD4">
        <w:rPr>
          <w:rFonts w:eastAsiaTheme="minorHAnsi"/>
        </w:rPr>
        <w:t xml:space="preserve">expropriation, </w:t>
      </w:r>
      <w:r w:rsidRPr="001428D3" w:rsidR="00A075EB">
        <w:rPr>
          <w:rFonts w:eastAsiaTheme="minorHAnsi"/>
        </w:rPr>
        <w:t xml:space="preserve">or when he </w:t>
      </w:r>
      <w:r w:rsidRPr="001428D3" w:rsidR="005A4FD4">
        <w:rPr>
          <w:rFonts w:eastAsiaTheme="minorHAnsi"/>
        </w:rPr>
        <w:t xml:space="preserve">changes the </w:t>
      </w:r>
      <w:r w:rsidRPr="001428D3" w:rsidR="001A5B3A">
        <w:rPr>
          <w:rFonts w:eastAsiaTheme="minorHAnsi"/>
        </w:rPr>
        <w:t xml:space="preserve">intended use </w:t>
      </w:r>
      <w:r w:rsidRPr="001428D3" w:rsidR="00941EE4">
        <w:rPr>
          <w:rFonts w:eastAsiaTheme="minorHAnsi"/>
        </w:rPr>
        <w:t xml:space="preserve">of the properties or projects already performed on them </w:t>
      </w:r>
      <w:r w:rsidRPr="001428D3" w:rsidR="005A4FD4">
        <w:rPr>
          <w:rFonts w:eastAsiaTheme="minorHAnsi"/>
        </w:rPr>
        <w:t xml:space="preserve">before the </w:t>
      </w:r>
      <w:r w:rsidRPr="001428D3" w:rsidR="00941EE4">
        <w:rPr>
          <w:rFonts w:eastAsiaTheme="minorHAnsi"/>
        </w:rPr>
        <w:t>expir</w:t>
      </w:r>
      <w:r w:rsidRPr="001428D3" w:rsidR="00B12BCA">
        <w:rPr>
          <w:rFonts w:eastAsiaTheme="minorHAnsi"/>
        </w:rPr>
        <w:t>y</w:t>
      </w:r>
      <w:r w:rsidRPr="001428D3" w:rsidR="005A4FD4">
        <w:rPr>
          <w:rFonts w:eastAsiaTheme="minorHAnsi"/>
        </w:rPr>
        <w:t xml:space="preserve"> of the period </w:t>
      </w:r>
      <w:r w:rsidRPr="001428D3" w:rsidR="00941EE4">
        <w:rPr>
          <w:rFonts w:eastAsiaTheme="minorHAnsi"/>
        </w:rPr>
        <w:t>as</w:t>
      </w:r>
      <w:r w:rsidRPr="001428D3" w:rsidR="005A4FD4">
        <w:rPr>
          <w:rFonts w:eastAsiaTheme="minorHAnsi"/>
        </w:rPr>
        <w:t xml:space="preserve"> set </w:t>
      </w:r>
      <w:r w:rsidRPr="001428D3" w:rsidR="00941EE4">
        <w:rPr>
          <w:rFonts w:eastAsiaTheme="minorHAnsi"/>
        </w:rPr>
        <w:t xml:space="preserve">out </w:t>
      </w:r>
      <w:r w:rsidRPr="001428D3" w:rsidR="005A4FD4">
        <w:rPr>
          <w:rFonts w:eastAsiaTheme="minorHAnsi"/>
        </w:rPr>
        <w:t>in the expropriation</w:t>
      </w:r>
      <w:r w:rsidRPr="001428D3" w:rsidR="000B4C88">
        <w:rPr>
          <w:rFonts w:eastAsiaTheme="minorHAnsi"/>
        </w:rPr>
        <w:t xml:space="preserve"> decision</w:t>
      </w:r>
      <w:r w:rsidRPr="001428D3" w:rsidR="005A4FD4">
        <w:rPr>
          <w:rFonts w:eastAsiaTheme="minorHAnsi"/>
        </w:rPr>
        <w:t>.</w:t>
      </w:r>
      <w:r w:rsidRPr="001428D3" w:rsidR="003A6109">
        <w:rPr>
          <w:rFonts w:eastAsiaTheme="minorHAnsi"/>
        </w:rPr>
        <w:t xml:space="preserve"> </w:t>
      </w:r>
      <w:r w:rsidRPr="001428D3" w:rsidR="005A4FD4">
        <w:rPr>
          <w:rFonts w:eastAsiaTheme="minorHAnsi"/>
        </w:rPr>
        <w:t xml:space="preserve">An expropriation is </w:t>
      </w:r>
      <w:r w:rsidRPr="001428D3" w:rsidR="00A075EB">
        <w:rPr>
          <w:rFonts w:eastAsiaTheme="minorHAnsi"/>
        </w:rPr>
        <w:t xml:space="preserve">also </w:t>
      </w:r>
      <w:r w:rsidRPr="001428D3" w:rsidR="005A4FD4">
        <w:rPr>
          <w:rFonts w:eastAsiaTheme="minorHAnsi"/>
        </w:rPr>
        <w:t xml:space="preserve">considered invalid if </w:t>
      </w:r>
      <w:r w:rsidRPr="001428D3" w:rsidR="00B2667F">
        <w:rPr>
          <w:rFonts w:eastAsiaTheme="minorHAnsi"/>
        </w:rPr>
        <w:t xml:space="preserve">no payment has been made or no amount of compensation has been </w:t>
      </w:r>
      <w:r w:rsidRPr="001428D3" w:rsidR="000E0F9E">
        <w:rPr>
          <w:rFonts w:eastAsiaTheme="minorHAnsi"/>
        </w:rPr>
        <w:t xml:space="preserve">given </w:t>
      </w:r>
      <w:r w:rsidRPr="001428D3" w:rsidR="00B2667F">
        <w:rPr>
          <w:rFonts w:eastAsiaTheme="minorHAnsi"/>
        </w:rPr>
        <w:t>in favour of the expropriated party and other owners</w:t>
      </w:r>
      <w:r w:rsidRPr="001428D3" w:rsidR="00A075EB">
        <w:rPr>
          <w:rFonts w:eastAsiaTheme="minorHAnsi"/>
        </w:rPr>
        <w:t xml:space="preserve"> in accordance with th</w:t>
      </w:r>
      <w:r w:rsidRPr="001428D3" w:rsidR="00C91C28">
        <w:rPr>
          <w:rFonts w:eastAsiaTheme="minorHAnsi"/>
        </w:rPr>
        <w:t>e</w:t>
      </w:r>
      <w:r w:rsidRPr="001428D3" w:rsidR="00A075EB">
        <w:rPr>
          <w:rFonts w:eastAsiaTheme="minorHAnsi"/>
        </w:rPr>
        <w:t xml:space="preserve"> </w:t>
      </w:r>
      <w:r w:rsidRPr="001428D3" w:rsidR="00C91C28">
        <w:rPr>
          <w:rFonts w:eastAsiaTheme="minorHAnsi"/>
        </w:rPr>
        <w:t>Act</w:t>
      </w:r>
      <w:r w:rsidRPr="001428D3" w:rsidR="00A075EB">
        <w:rPr>
          <w:rFonts w:eastAsiaTheme="minorHAnsi"/>
        </w:rPr>
        <w:t xml:space="preserve">. </w:t>
      </w:r>
      <w:r w:rsidRPr="001428D3" w:rsidR="005A4FD4">
        <w:rPr>
          <w:rFonts w:eastAsiaTheme="minorHAnsi"/>
        </w:rPr>
        <w:t>I</w:t>
      </w:r>
      <w:r w:rsidRPr="001428D3" w:rsidR="007B181C">
        <w:rPr>
          <w:rFonts w:eastAsiaTheme="minorHAnsi"/>
        </w:rPr>
        <w:t xml:space="preserve">f the expropriation is invalid, </w:t>
      </w:r>
      <w:r w:rsidRPr="001428D3" w:rsidR="00C91C28">
        <w:rPr>
          <w:rFonts w:eastAsiaTheme="minorHAnsi"/>
        </w:rPr>
        <w:t>upon an</w:t>
      </w:r>
      <w:r w:rsidRPr="001428D3" w:rsidR="00A075EB">
        <w:rPr>
          <w:rFonts w:eastAsiaTheme="minorHAnsi"/>
        </w:rPr>
        <w:t xml:space="preserve"> </w:t>
      </w:r>
      <w:r w:rsidRPr="001428D3" w:rsidR="005A4FD4">
        <w:rPr>
          <w:rFonts w:eastAsiaTheme="minorHAnsi"/>
        </w:rPr>
        <w:t xml:space="preserve">application </w:t>
      </w:r>
      <w:r w:rsidRPr="001428D3" w:rsidR="00A075EB">
        <w:rPr>
          <w:rFonts w:eastAsiaTheme="minorHAnsi"/>
        </w:rPr>
        <w:t>by</w:t>
      </w:r>
      <w:r w:rsidRPr="001428D3" w:rsidR="005A4FD4">
        <w:rPr>
          <w:rFonts w:eastAsiaTheme="minorHAnsi"/>
        </w:rPr>
        <w:t xml:space="preserve"> the respective owners, the private properties </w:t>
      </w:r>
      <w:r w:rsidRPr="001428D3" w:rsidR="00A075EB">
        <w:rPr>
          <w:rFonts w:eastAsiaTheme="minorHAnsi"/>
        </w:rPr>
        <w:t>are</w:t>
      </w:r>
      <w:r w:rsidRPr="001428D3" w:rsidR="005A4FD4">
        <w:rPr>
          <w:rFonts w:eastAsiaTheme="minorHAnsi"/>
        </w:rPr>
        <w:t xml:space="preserve"> returned to them </w:t>
      </w:r>
      <w:r w:rsidRPr="001428D3" w:rsidR="00BB58DE">
        <w:rPr>
          <w:rFonts w:eastAsiaTheme="minorHAnsi"/>
        </w:rPr>
        <w:t>with</w:t>
      </w:r>
      <w:r w:rsidRPr="001428D3" w:rsidR="005A4FD4">
        <w:rPr>
          <w:rFonts w:eastAsiaTheme="minorHAnsi"/>
        </w:rPr>
        <w:t xml:space="preserve"> </w:t>
      </w:r>
      <w:r w:rsidRPr="001428D3" w:rsidR="00A075EB">
        <w:rPr>
          <w:rFonts w:eastAsiaTheme="minorHAnsi"/>
        </w:rPr>
        <w:t xml:space="preserve">the same </w:t>
      </w:r>
      <w:r w:rsidRPr="001428D3" w:rsidR="005A4FD4">
        <w:rPr>
          <w:rFonts w:eastAsiaTheme="minorHAnsi"/>
        </w:rPr>
        <w:t xml:space="preserve">rights </w:t>
      </w:r>
      <w:r w:rsidRPr="001428D3" w:rsidR="00A075EB">
        <w:rPr>
          <w:rFonts w:eastAsiaTheme="minorHAnsi"/>
        </w:rPr>
        <w:t xml:space="preserve">they had </w:t>
      </w:r>
      <w:r w:rsidRPr="001428D3" w:rsidR="005A4FD4">
        <w:rPr>
          <w:rFonts w:eastAsiaTheme="minorHAnsi"/>
        </w:rPr>
        <w:t xml:space="preserve">at the </w:t>
      </w:r>
      <w:r w:rsidRPr="001428D3" w:rsidR="00C91C28">
        <w:rPr>
          <w:rFonts w:eastAsiaTheme="minorHAnsi"/>
        </w:rPr>
        <w:t xml:space="preserve">time </w:t>
      </w:r>
      <w:r w:rsidRPr="001428D3" w:rsidR="005A4FD4">
        <w:rPr>
          <w:rFonts w:eastAsiaTheme="minorHAnsi"/>
        </w:rPr>
        <w:t>of expropriation</w:t>
      </w:r>
      <w:r w:rsidRPr="001428D3" w:rsidR="00A075EB">
        <w:rPr>
          <w:rFonts w:eastAsiaTheme="minorHAnsi"/>
        </w:rPr>
        <w:t>. T</w:t>
      </w:r>
      <w:r w:rsidRPr="001428D3" w:rsidR="005A4FD4">
        <w:rPr>
          <w:rFonts w:eastAsiaTheme="minorHAnsi"/>
        </w:rPr>
        <w:t>h</w:t>
      </w:r>
      <w:r w:rsidRPr="001428D3" w:rsidR="00BB7186">
        <w:rPr>
          <w:rFonts w:eastAsiaTheme="minorHAnsi"/>
        </w:rPr>
        <w:t xml:space="preserve">e owners </w:t>
      </w:r>
      <w:r w:rsidRPr="001428D3" w:rsidR="001A5B3A">
        <w:rPr>
          <w:rFonts w:eastAsiaTheme="minorHAnsi"/>
        </w:rPr>
        <w:t>concerned</w:t>
      </w:r>
      <w:r w:rsidRPr="001428D3" w:rsidR="00BB7186">
        <w:rPr>
          <w:rFonts w:eastAsiaTheme="minorHAnsi"/>
        </w:rPr>
        <w:t xml:space="preserve"> </w:t>
      </w:r>
      <w:r w:rsidRPr="001428D3" w:rsidR="001A5B3A">
        <w:rPr>
          <w:rFonts w:eastAsiaTheme="minorHAnsi"/>
        </w:rPr>
        <w:t>may</w:t>
      </w:r>
      <w:r w:rsidRPr="001428D3" w:rsidR="005A4FD4">
        <w:rPr>
          <w:rFonts w:eastAsiaTheme="minorHAnsi"/>
        </w:rPr>
        <w:t xml:space="preserve"> </w:t>
      </w:r>
      <w:r w:rsidRPr="001428D3" w:rsidR="00BB58DE">
        <w:rPr>
          <w:rFonts w:eastAsiaTheme="minorHAnsi"/>
        </w:rPr>
        <w:t>request compensation</w:t>
      </w:r>
      <w:r w:rsidRPr="001428D3" w:rsidR="001A5B3A">
        <w:rPr>
          <w:rFonts w:eastAsiaTheme="minorHAnsi"/>
        </w:rPr>
        <w:t xml:space="preserve"> in respect</w:t>
      </w:r>
      <w:r w:rsidRPr="001428D3" w:rsidR="00BB58DE">
        <w:rPr>
          <w:rFonts w:eastAsiaTheme="minorHAnsi"/>
        </w:rPr>
        <w:t xml:space="preserve"> of damage</w:t>
      </w:r>
      <w:r w:rsidRPr="001428D3" w:rsidR="001A5B3A">
        <w:rPr>
          <w:rFonts w:eastAsiaTheme="minorHAnsi"/>
        </w:rPr>
        <w:t xml:space="preserve"> </w:t>
      </w:r>
      <w:r w:rsidRPr="001428D3" w:rsidR="00BB58DE">
        <w:rPr>
          <w:rFonts w:eastAsiaTheme="minorHAnsi"/>
        </w:rPr>
        <w:t>s</w:t>
      </w:r>
      <w:r w:rsidRPr="001428D3" w:rsidR="00C91C28">
        <w:rPr>
          <w:rFonts w:eastAsiaTheme="minorHAnsi"/>
        </w:rPr>
        <w:t>uffered</w:t>
      </w:r>
      <w:r w:rsidRPr="001428D3" w:rsidR="00BB58DE">
        <w:rPr>
          <w:rFonts w:eastAsiaTheme="minorHAnsi"/>
        </w:rPr>
        <w:t xml:space="preserve"> </w:t>
      </w:r>
      <w:r w:rsidRPr="001428D3" w:rsidR="000B4C88">
        <w:rPr>
          <w:rFonts w:eastAsiaTheme="minorHAnsi"/>
        </w:rPr>
        <w:t>as</w:t>
      </w:r>
      <w:r w:rsidRPr="001428D3" w:rsidR="00A075EB">
        <w:rPr>
          <w:rFonts w:eastAsiaTheme="minorHAnsi"/>
        </w:rPr>
        <w:t xml:space="preserve"> a</w:t>
      </w:r>
      <w:r w:rsidRPr="001428D3" w:rsidR="000B4C88">
        <w:rPr>
          <w:rFonts w:eastAsiaTheme="minorHAnsi"/>
        </w:rPr>
        <w:t xml:space="preserve"> result of </w:t>
      </w:r>
      <w:r w:rsidRPr="001428D3" w:rsidR="00BB58DE">
        <w:rPr>
          <w:rFonts w:eastAsiaTheme="minorHAnsi"/>
        </w:rPr>
        <w:t xml:space="preserve">the </w:t>
      </w:r>
      <w:r w:rsidRPr="001428D3" w:rsidR="00A075EB">
        <w:rPr>
          <w:rFonts w:eastAsiaTheme="minorHAnsi"/>
        </w:rPr>
        <w:t xml:space="preserve">invalid </w:t>
      </w:r>
      <w:r w:rsidRPr="001428D3" w:rsidR="00BB58DE">
        <w:rPr>
          <w:rFonts w:eastAsiaTheme="minorHAnsi"/>
        </w:rPr>
        <w:t>expropriation</w:t>
      </w:r>
      <w:r w:rsidRPr="001428D3" w:rsidR="00A075EB">
        <w:rPr>
          <w:rFonts w:eastAsiaTheme="minorHAnsi"/>
        </w:rPr>
        <w:t>.</w:t>
      </w:r>
    </w:p>
    <w:p w:rsidRPr="001428D3" w:rsidR="008310C0" w:rsidP="001428D3" w:rsidRDefault="005942DE">
      <w:pPr>
        <w:pStyle w:val="ECHRHeading2"/>
      </w:pPr>
      <w:bookmarkStart w:name="_Toc498016747" w:id="37"/>
      <w:r w:rsidRPr="001428D3">
        <w:t>F</w:t>
      </w:r>
      <w:r w:rsidRPr="001428D3" w:rsidR="008310C0">
        <w:t>.  </w:t>
      </w:r>
      <w:r w:rsidRPr="001428D3" w:rsidR="008F1B9F">
        <w:t>Other Acts</w:t>
      </w:r>
      <w:bookmarkEnd w:id="37"/>
    </w:p>
    <w:p w:rsidRPr="001428D3" w:rsidR="005521CC" w:rsidP="001428D3" w:rsidRDefault="0041394B">
      <w:pPr>
        <w:pStyle w:val="ECHRPara"/>
      </w:pPr>
      <w:r w:rsidRPr="001428D3">
        <w:fldChar w:fldCharType="begin"/>
      </w:r>
      <w:r w:rsidRPr="001428D3">
        <w:instrText xml:space="preserve"> SEQ level0 \*arabic </w:instrText>
      </w:r>
      <w:r w:rsidRPr="001428D3">
        <w:fldChar w:fldCharType="separate"/>
      </w:r>
      <w:r w:rsidRPr="001428D3" w:rsidR="001428D3">
        <w:rPr>
          <w:noProof/>
        </w:rPr>
        <w:t>64</w:t>
      </w:r>
      <w:r w:rsidRPr="001428D3">
        <w:fldChar w:fldCharType="end"/>
      </w:r>
      <w:r w:rsidRPr="001428D3">
        <w:t>.  </w:t>
      </w:r>
      <w:r w:rsidRPr="001428D3" w:rsidR="006D7D19">
        <w:t xml:space="preserve">Under the </w:t>
      </w:r>
      <w:r w:rsidRPr="001428D3" w:rsidR="00C91C28">
        <w:t xml:space="preserve">Non-Contractual Liability of the State </w:t>
      </w:r>
      <w:r w:rsidRPr="001428D3" w:rsidR="006D7D19">
        <w:t>Act (</w:t>
      </w:r>
      <w:r w:rsidRPr="001428D3" w:rsidR="00C91C28">
        <w:t>L</w:t>
      </w:r>
      <w:r w:rsidRPr="001428D3" w:rsidR="006D7D19">
        <w:t>aw no. 8510 of 15</w:t>
      </w:r>
      <w:r w:rsidRPr="001428D3" w:rsidR="0046194D">
        <w:t> </w:t>
      </w:r>
      <w:r w:rsidRPr="001428D3" w:rsidR="006D7D19">
        <w:t>July 1999</w:t>
      </w:r>
      <w:r w:rsidRPr="001428D3" w:rsidR="00467678">
        <w:t xml:space="preserve"> “O</w:t>
      </w:r>
      <w:r w:rsidRPr="001428D3" w:rsidR="00D8167B">
        <w:t xml:space="preserve">n the </w:t>
      </w:r>
      <w:r w:rsidRPr="001428D3" w:rsidR="00023EB7">
        <w:t>non</w:t>
      </w:r>
      <w:r w:rsidRPr="001428D3" w:rsidR="00D8167B">
        <w:t>-contractual liability of State administrative authorities”</w:t>
      </w:r>
      <w:r w:rsidRPr="001428D3" w:rsidR="006D7D19">
        <w:t xml:space="preserve">), a State entity is obliged to compensate the </w:t>
      </w:r>
      <w:r w:rsidRPr="001428D3" w:rsidR="00A71C38">
        <w:t>pecuniary and non</w:t>
      </w:r>
      <w:r w:rsidRPr="001428D3" w:rsidR="00A71C38">
        <w:noBreakHyphen/>
      </w:r>
      <w:r w:rsidRPr="001428D3" w:rsidR="00D8167B">
        <w:t xml:space="preserve">pecuniary </w:t>
      </w:r>
      <w:r w:rsidRPr="001428D3" w:rsidR="006D7D19">
        <w:t>damage caused to third part</w:t>
      </w:r>
      <w:r w:rsidRPr="001428D3" w:rsidR="00CB327F">
        <w:t>ies</w:t>
      </w:r>
      <w:r w:rsidRPr="001428D3" w:rsidR="006D7D19">
        <w:t xml:space="preserve"> during the ex</w:t>
      </w:r>
      <w:r w:rsidRPr="001428D3" w:rsidR="00C356CA">
        <w:t>ercise of its public functions.</w:t>
      </w:r>
    </w:p>
    <w:p w:rsidRPr="001428D3" w:rsidR="005521CC" w:rsidP="001428D3" w:rsidRDefault="005C1D1E">
      <w:pPr>
        <w:pStyle w:val="ECHRPara"/>
      </w:pPr>
      <w:r w:rsidRPr="001428D3">
        <w:fldChar w:fldCharType="begin"/>
      </w:r>
      <w:r w:rsidRPr="001428D3">
        <w:instrText xml:space="preserve"> SEQ level0 \*arabic </w:instrText>
      </w:r>
      <w:r w:rsidRPr="001428D3">
        <w:fldChar w:fldCharType="separate"/>
      </w:r>
      <w:r w:rsidRPr="001428D3" w:rsidR="001428D3">
        <w:rPr>
          <w:noProof/>
        </w:rPr>
        <w:t>65</w:t>
      </w:r>
      <w:r w:rsidRPr="001428D3">
        <w:fldChar w:fldCharType="end"/>
      </w:r>
      <w:r w:rsidRPr="001428D3">
        <w:t>.  </w:t>
      </w:r>
      <w:r w:rsidRPr="001428D3" w:rsidR="00C91C28">
        <w:t xml:space="preserve">Section 14 of </w:t>
      </w:r>
      <w:r w:rsidRPr="001428D3">
        <w:t xml:space="preserve">the </w:t>
      </w:r>
      <w:r w:rsidRPr="001428D3" w:rsidR="00AF1012">
        <w:t xml:space="preserve">Inspection of </w:t>
      </w:r>
      <w:r w:rsidRPr="001428D3" w:rsidR="00C509F3">
        <w:t xml:space="preserve">Buildings </w:t>
      </w:r>
      <w:r w:rsidRPr="001428D3" w:rsidR="00AF1012">
        <w:t>Act (</w:t>
      </w:r>
      <w:r w:rsidRPr="001428D3" w:rsidR="00C509F3">
        <w:t>L</w:t>
      </w:r>
      <w:r w:rsidRPr="001428D3" w:rsidR="00AF1012">
        <w:t>aw no. 9780 of 16</w:t>
      </w:r>
      <w:r w:rsidRPr="001428D3" w:rsidR="00E40ABC">
        <w:t> </w:t>
      </w:r>
      <w:r w:rsidRPr="001428D3" w:rsidR="00AF1012">
        <w:t>July 2007</w:t>
      </w:r>
      <w:r w:rsidRPr="001428D3" w:rsidR="00467678">
        <w:t xml:space="preserve"> “On the inspection of </w:t>
      </w:r>
      <w:r w:rsidRPr="001428D3" w:rsidR="003F7719">
        <w:t>buildings</w:t>
      </w:r>
      <w:r w:rsidRPr="001428D3" w:rsidR="00467678">
        <w:t>”)</w:t>
      </w:r>
      <w:r w:rsidRPr="001428D3" w:rsidR="00AF1012">
        <w:t xml:space="preserve"> </w:t>
      </w:r>
      <w:r w:rsidRPr="001428D3" w:rsidR="000A5710">
        <w:t xml:space="preserve">at the material time </w:t>
      </w:r>
      <w:r w:rsidRPr="001428D3" w:rsidR="00AF1012">
        <w:t>provided</w:t>
      </w:r>
      <w:r w:rsidRPr="001428D3" w:rsidR="00C509F3">
        <w:t xml:space="preserve"> </w:t>
      </w:r>
      <w:r w:rsidRPr="001428D3" w:rsidR="00AF1012">
        <w:t>that</w:t>
      </w:r>
      <w:r w:rsidRPr="001428D3" w:rsidR="00CB327F">
        <w:t xml:space="preserve"> an</w:t>
      </w:r>
      <w:r w:rsidRPr="001428D3" w:rsidR="00AF1012">
        <w:t xml:space="preserve"> </w:t>
      </w:r>
      <w:r w:rsidRPr="001428D3" w:rsidR="00233D49">
        <w:t>a</w:t>
      </w:r>
      <w:r w:rsidRPr="001428D3" w:rsidR="00CB327F">
        <w:t>ppeal</w:t>
      </w:r>
      <w:r w:rsidRPr="001428D3" w:rsidR="00AF1012">
        <w:t xml:space="preserve"> </w:t>
      </w:r>
      <w:r w:rsidRPr="001428D3" w:rsidR="00CB327F">
        <w:t xml:space="preserve">against a </w:t>
      </w:r>
      <w:r w:rsidRPr="001428D3" w:rsidR="00AF1012">
        <w:t xml:space="preserve">decision </w:t>
      </w:r>
      <w:r w:rsidRPr="001428D3" w:rsidR="00CB327F">
        <w:t xml:space="preserve">of the </w:t>
      </w:r>
      <w:r w:rsidRPr="001428D3" w:rsidR="00AF1012">
        <w:t>NUC</w:t>
      </w:r>
      <w:r w:rsidRPr="001428D3" w:rsidR="003B518E">
        <w:t>I</w:t>
      </w:r>
      <w:r w:rsidRPr="001428D3" w:rsidR="00CB327F">
        <w:t xml:space="preserve"> or </w:t>
      </w:r>
      <w:r w:rsidRPr="001428D3" w:rsidR="00AF1012">
        <w:t xml:space="preserve">MUCI </w:t>
      </w:r>
      <w:r w:rsidRPr="001428D3" w:rsidR="000A5710">
        <w:t xml:space="preserve">taking urgent measures </w:t>
      </w:r>
      <w:r w:rsidRPr="001428D3" w:rsidR="003B518E">
        <w:t xml:space="preserve">or issuing </w:t>
      </w:r>
      <w:r w:rsidRPr="001428D3" w:rsidR="00116709">
        <w:t>administrative sanctions could</w:t>
      </w:r>
      <w:r w:rsidRPr="001428D3" w:rsidR="00AF1012">
        <w:t xml:space="preserve"> be </w:t>
      </w:r>
      <w:r w:rsidRPr="001428D3" w:rsidR="003B518E">
        <w:t xml:space="preserve">brought </w:t>
      </w:r>
      <w:r w:rsidRPr="001428D3" w:rsidR="00CB327F">
        <w:t xml:space="preserve">to a </w:t>
      </w:r>
      <w:r w:rsidRPr="001428D3" w:rsidR="00AF1012">
        <w:t xml:space="preserve">court. In the event that </w:t>
      </w:r>
      <w:r w:rsidRPr="001428D3" w:rsidR="00233D49">
        <w:t xml:space="preserve">the court </w:t>
      </w:r>
      <w:r w:rsidRPr="001428D3" w:rsidR="00CB327F">
        <w:t xml:space="preserve">allowed </w:t>
      </w:r>
      <w:r w:rsidRPr="001428D3" w:rsidR="00233D49">
        <w:t>the claim and the decision bec</w:t>
      </w:r>
      <w:r w:rsidRPr="001428D3" w:rsidR="00116709">
        <w:t>ame</w:t>
      </w:r>
      <w:r w:rsidRPr="001428D3" w:rsidR="00233D49">
        <w:t xml:space="preserve"> final, </w:t>
      </w:r>
      <w:r w:rsidRPr="001428D3" w:rsidR="00AF1012">
        <w:t xml:space="preserve">the damaged party </w:t>
      </w:r>
      <w:r w:rsidRPr="001428D3" w:rsidR="00116709">
        <w:t>was</w:t>
      </w:r>
      <w:r w:rsidRPr="001428D3" w:rsidR="00AF1012">
        <w:t xml:space="preserve"> entitled to request </w:t>
      </w:r>
      <w:r w:rsidRPr="001428D3" w:rsidR="00CB327F">
        <w:t xml:space="preserve">the </w:t>
      </w:r>
      <w:r w:rsidRPr="001428D3" w:rsidR="00AF1012">
        <w:t>NUCI</w:t>
      </w:r>
      <w:r w:rsidRPr="001428D3" w:rsidR="00CB327F">
        <w:t xml:space="preserve"> or </w:t>
      </w:r>
      <w:r w:rsidRPr="001428D3" w:rsidR="00AF1012">
        <w:t xml:space="preserve">MUCI </w:t>
      </w:r>
      <w:r w:rsidRPr="001428D3" w:rsidR="00CB327F">
        <w:t>(</w:t>
      </w:r>
      <w:r w:rsidRPr="001428D3" w:rsidR="00233D49">
        <w:t>which</w:t>
      </w:r>
      <w:r w:rsidRPr="001428D3" w:rsidR="00CB327F">
        <w:t>ever</w:t>
      </w:r>
      <w:r w:rsidRPr="001428D3" w:rsidR="00233D49">
        <w:t xml:space="preserve"> issued the decision</w:t>
      </w:r>
      <w:r w:rsidRPr="001428D3" w:rsidR="00CB327F">
        <w:t>)</w:t>
      </w:r>
      <w:r w:rsidRPr="001428D3" w:rsidR="00233D49">
        <w:t xml:space="preserve"> </w:t>
      </w:r>
      <w:r w:rsidRPr="001428D3" w:rsidR="00AF1012">
        <w:t>to award compensation for the damage</w:t>
      </w:r>
      <w:r w:rsidRPr="001428D3" w:rsidR="003D4DEC">
        <w:t xml:space="preserve"> caused</w:t>
      </w:r>
      <w:r w:rsidRPr="001428D3" w:rsidR="00AF1012">
        <w:t>.</w:t>
      </w:r>
    </w:p>
    <w:p w:rsidRPr="001428D3" w:rsidR="005521CC" w:rsidP="001428D3" w:rsidRDefault="0067347B">
      <w:pPr>
        <w:pStyle w:val="ECHRPara"/>
      </w:pPr>
      <w:r w:rsidRPr="001428D3">
        <w:fldChar w:fldCharType="begin"/>
      </w:r>
      <w:r w:rsidRPr="001428D3">
        <w:instrText xml:space="preserve"> SEQ level0 \*arabic </w:instrText>
      </w:r>
      <w:r w:rsidRPr="001428D3">
        <w:fldChar w:fldCharType="separate"/>
      </w:r>
      <w:r w:rsidRPr="001428D3" w:rsidR="001428D3">
        <w:rPr>
          <w:noProof/>
        </w:rPr>
        <w:t>66</w:t>
      </w:r>
      <w:r w:rsidRPr="001428D3">
        <w:fldChar w:fldCharType="end"/>
      </w:r>
      <w:r w:rsidRPr="001428D3">
        <w:t>.  </w:t>
      </w:r>
      <w:r w:rsidRPr="001428D3" w:rsidR="004C6292">
        <w:t>The</w:t>
      </w:r>
      <w:r w:rsidRPr="001428D3">
        <w:t xml:space="preserve"> </w:t>
      </w:r>
      <w:r w:rsidRPr="001428D3" w:rsidR="00D70869">
        <w:t>Prevention and Payment of Arrears Act (Council of Ministers</w:t>
      </w:r>
      <w:r w:rsidRPr="001428D3" w:rsidR="001428D3">
        <w:t>’</w:t>
      </w:r>
      <w:r w:rsidRPr="001428D3" w:rsidR="00D70869">
        <w:t xml:space="preserve"> decision no. 50 of 5 February 2014 “On the approval of the strategy for the prevention and payment of arrears and the action plan”</w:t>
      </w:r>
      <w:r w:rsidRPr="001428D3" w:rsidR="0072622F">
        <w:t>)</w:t>
      </w:r>
      <w:r w:rsidRPr="001428D3" w:rsidR="00D70869">
        <w:t xml:space="preserve"> </w:t>
      </w:r>
      <w:r w:rsidRPr="001428D3" w:rsidR="00AC2647">
        <w:t>sets out</w:t>
      </w:r>
      <w:r w:rsidRPr="001428D3" w:rsidR="0072622F">
        <w:t xml:space="preserve"> the procedure</w:t>
      </w:r>
      <w:r w:rsidRPr="001428D3" w:rsidR="00D70869">
        <w:t xml:space="preserve"> </w:t>
      </w:r>
      <w:r w:rsidRPr="001428D3" w:rsidR="0072622F">
        <w:t xml:space="preserve">that </w:t>
      </w:r>
      <w:r w:rsidRPr="001428D3" w:rsidR="00D70869">
        <w:t xml:space="preserve">the Albanian Government </w:t>
      </w:r>
      <w:r w:rsidRPr="001428D3" w:rsidR="004C6292">
        <w:t>should</w:t>
      </w:r>
      <w:r w:rsidRPr="001428D3" w:rsidR="00D70869">
        <w:t xml:space="preserve"> </w:t>
      </w:r>
      <w:r w:rsidRPr="001428D3" w:rsidR="0072622F">
        <w:t>follow in respect of</w:t>
      </w:r>
      <w:r w:rsidRPr="001428D3" w:rsidR="00196944">
        <w:t xml:space="preserve"> the payment of </w:t>
      </w:r>
      <w:r w:rsidRPr="001428D3" w:rsidR="00D70869">
        <w:t xml:space="preserve">central government </w:t>
      </w:r>
      <w:r w:rsidRPr="001428D3" w:rsidR="00196944">
        <w:t>financial arrears</w:t>
      </w:r>
      <w:r w:rsidRPr="001428D3" w:rsidR="00CC6937">
        <w:t>,</w:t>
      </w:r>
      <w:r w:rsidRPr="001428D3" w:rsidR="00196944">
        <w:t xml:space="preserve"> </w:t>
      </w:r>
      <w:r w:rsidRPr="001428D3" w:rsidR="00D70869">
        <w:t xml:space="preserve">as well as measures </w:t>
      </w:r>
      <w:r w:rsidRPr="001428D3" w:rsidR="00B66B81">
        <w:t>to</w:t>
      </w:r>
      <w:r w:rsidRPr="001428D3" w:rsidR="00D70869">
        <w:t xml:space="preserve"> be taken for the prevention of </w:t>
      </w:r>
      <w:r w:rsidRPr="001428D3" w:rsidR="003B518E">
        <w:t xml:space="preserve">an accumulation of </w:t>
      </w:r>
      <w:r w:rsidRPr="001428D3" w:rsidR="00D70869">
        <w:t xml:space="preserve">financial debt in the future. </w:t>
      </w:r>
      <w:r w:rsidRPr="001428D3" w:rsidR="00745A45">
        <w:t xml:space="preserve">One of the measures </w:t>
      </w:r>
      <w:r w:rsidRPr="001428D3" w:rsidR="00C91C28">
        <w:t>is</w:t>
      </w:r>
      <w:r w:rsidRPr="001428D3" w:rsidR="00745A45">
        <w:t xml:space="preserve"> the amendment </w:t>
      </w:r>
      <w:r w:rsidRPr="001428D3" w:rsidR="00B66B81">
        <w:t>of</w:t>
      </w:r>
      <w:r w:rsidRPr="001428D3" w:rsidR="00745A45">
        <w:t xml:space="preserve"> </w:t>
      </w:r>
      <w:r w:rsidRPr="001428D3" w:rsidR="00B66B81">
        <w:t>certain legislation</w:t>
      </w:r>
      <w:r w:rsidRPr="001428D3" w:rsidR="00745A45">
        <w:t xml:space="preserve"> such as </w:t>
      </w:r>
      <w:r w:rsidRPr="001428D3" w:rsidR="00B66B81">
        <w:t>laws</w:t>
      </w:r>
      <w:r w:rsidRPr="001428D3" w:rsidR="00745A45">
        <w:t xml:space="preserve"> on the manag</w:t>
      </w:r>
      <w:r w:rsidRPr="001428D3" w:rsidR="00C91C28">
        <w:t>ement</w:t>
      </w:r>
      <w:r w:rsidRPr="001428D3" w:rsidR="00745A45">
        <w:t xml:space="preserve"> of the budget, financial management and control, procurement and</w:t>
      </w:r>
      <w:r w:rsidRPr="001428D3" w:rsidR="005521CC">
        <w:t xml:space="preserve"> </w:t>
      </w:r>
      <w:r w:rsidRPr="001428D3" w:rsidR="004A24F3">
        <w:t xml:space="preserve">various related </w:t>
      </w:r>
      <w:r w:rsidRPr="001428D3" w:rsidR="00FC171E">
        <w:t>by</w:t>
      </w:r>
      <w:r w:rsidRPr="001428D3" w:rsidR="00B66B81">
        <w:t>-</w:t>
      </w:r>
      <w:r w:rsidRPr="001428D3" w:rsidR="00FC171E">
        <w:t>laws</w:t>
      </w:r>
      <w:r w:rsidRPr="001428D3" w:rsidR="00745A45">
        <w:t xml:space="preserve">. </w:t>
      </w:r>
      <w:r w:rsidRPr="001428D3" w:rsidR="00D70869">
        <w:t>Under the Act</w:t>
      </w:r>
      <w:r w:rsidRPr="001428D3" w:rsidR="00B66B81">
        <w:t>,</w:t>
      </w:r>
      <w:r w:rsidRPr="001428D3" w:rsidR="00D70869">
        <w:t xml:space="preserve"> unpaid financial obligations </w:t>
      </w:r>
      <w:r w:rsidRPr="001428D3" w:rsidR="00B66B81">
        <w:t>include</w:t>
      </w:r>
      <w:r w:rsidRPr="001428D3" w:rsidR="00D70869">
        <w:t xml:space="preserve"> obligations </w:t>
      </w:r>
      <w:r w:rsidRPr="001428D3" w:rsidR="0072622F">
        <w:t>stemming from</w:t>
      </w:r>
      <w:r w:rsidRPr="001428D3" w:rsidR="002E113F">
        <w:t xml:space="preserve"> final court</w:t>
      </w:r>
      <w:r w:rsidRPr="001428D3" w:rsidR="00D70869">
        <w:t xml:space="preserve"> decisions</w:t>
      </w:r>
      <w:r w:rsidRPr="001428D3" w:rsidR="00183126">
        <w:t xml:space="preserve"> and compensation in the public interest</w:t>
      </w:r>
      <w:r w:rsidRPr="001428D3" w:rsidR="00D70869">
        <w:t>.</w:t>
      </w:r>
    </w:p>
    <w:p w:rsidRPr="001428D3" w:rsidR="009845BA" w:rsidP="001428D3" w:rsidRDefault="00381CF6">
      <w:pPr>
        <w:pStyle w:val="ECHRPara"/>
      </w:pPr>
      <w:r w:rsidRPr="001428D3">
        <w:fldChar w:fldCharType="begin"/>
      </w:r>
      <w:r w:rsidRPr="001428D3">
        <w:instrText xml:space="preserve"> SEQ level0 \*arabic </w:instrText>
      </w:r>
      <w:r w:rsidRPr="001428D3">
        <w:fldChar w:fldCharType="separate"/>
      </w:r>
      <w:r w:rsidRPr="001428D3" w:rsidR="001428D3">
        <w:rPr>
          <w:noProof/>
        </w:rPr>
        <w:t>67</w:t>
      </w:r>
      <w:r w:rsidRPr="001428D3">
        <w:fldChar w:fldCharType="end"/>
      </w:r>
      <w:r w:rsidRPr="001428D3">
        <w:t>.  </w:t>
      </w:r>
      <w:r w:rsidRPr="001428D3" w:rsidR="00ED5F7D">
        <w:t xml:space="preserve">The </w:t>
      </w:r>
      <w:r w:rsidRPr="001428D3" w:rsidR="005942DE">
        <w:t>Council of Ministers</w:t>
      </w:r>
      <w:r w:rsidRPr="001428D3" w:rsidR="001428D3">
        <w:t>’</w:t>
      </w:r>
      <w:r w:rsidRPr="001428D3" w:rsidR="005942DE">
        <w:t xml:space="preserve"> decision “on the valuation methods for immovable properties in Albania”</w:t>
      </w:r>
      <w:r w:rsidRPr="001428D3" w:rsidR="00ED5F7D">
        <w:t xml:space="preserve"> no. 658 of 26 September 2012</w:t>
      </w:r>
      <w:r w:rsidRPr="001428D3" w:rsidR="006E1585">
        <w:t>,</w:t>
      </w:r>
      <w:r w:rsidRPr="001428D3" w:rsidR="00ED5F7D">
        <w:t xml:space="preserve"> </w:t>
      </w:r>
      <w:r w:rsidRPr="001428D3" w:rsidR="001231C3">
        <w:t xml:space="preserve">provides that, in evaluating immovable properties, authorities have </w:t>
      </w:r>
      <w:r w:rsidRPr="001428D3" w:rsidR="0045098F">
        <w:t xml:space="preserve">to have </w:t>
      </w:r>
      <w:r w:rsidRPr="001428D3" w:rsidR="001231C3">
        <w:t xml:space="preserve">regard, amongst others, to the protection of the right to property, the right of expropriation in return for fair compensation, the principle of legality, international immovable properties </w:t>
      </w:r>
      <w:r w:rsidRPr="001428D3" w:rsidR="006E1585">
        <w:t xml:space="preserve">valuation standards </w:t>
      </w:r>
      <w:r w:rsidRPr="001428D3" w:rsidR="001231C3">
        <w:t>based on the market price, type of property and the purpose of its use.</w:t>
      </w:r>
      <w:r w:rsidRPr="001428D3" w:rsidR="006E1585">
        <w:t xml:space="preserve"> The calculation of the value of the property is made in accordance with the price of sale contracts, which </w:t>
      </w:r>
      <w:r w:rsidRPr="001428D3" w:rsidR="0045098F">
        <w:t xml:space="preserve">take into account </w:t>
      </w:r>
      <w:r w:rsidRPr="001428D3" w:rsidR="006E1585">
        <w:t>the market price according to the type of property and the purpose of its use. The market price is set by official data of sale contracts registered with the IPRO.</w:t>
      </w:r>
    </w:p>
    <w:p w:rsidRPr="001428D3" w:rsidR="00366F31" w:rsidP="001428D3" w:rsidRDefault="005942DE">
      <w:pPr>
        <w:pStyle w:val="ECHRHeading2"/>
      </w:pPr>
      <w:bookmarkStart w:name="_Toc498016748" w:id="38"/>
      <w:r w:rsidRPr="001428D3">
        <w:t>G</w:t>
      </w:r>
      <w:r w:rsidRPr="001428D3" w:rsidR="00366F31">
        <w:t xml:space="preserve">.  Relevant domestic </w:t>
      </w:r>
      <w:r w:rsidRPr="001428D3" w:rsidR="00145837">
        <w:t>case-law</w:t>
      </w:r>
      <w:bookmarkEnd w:id="38"/>
    </w:p>
    <w:p w:rsidRPr="001428D3" w:rsidR="005521CC" w:rsidP="001428D3" w:rsidRDefault="007B69A7">
      <w:pPr>
        <w:pStyle w:val="ECHRPara"/>
      </w:pPr>
      <w:r w:rsidRPr="001428D3">
        <w:fldChar w:fldCharType="begin"/>
      </w:r>
      <w:r w:rsidRPr="001428D3">
        <w:instrText xml:space="preserve"> SEQ level0 \*arabic </w:instrText>
      </w:r>
      <w:r w:rsidRPr="001428D3">
        <w:fldChar w:fldCharType="separate"/>
      </w:r>
      <w:r w:rsidRPr="001428D3" w:rsidR="001428D3">
        <w:rPr>
          <w:noProof/>
        </w:rPr>
        <w:t>68</w:t>
      </w:r>
      <w:r w:rsidRPr="001428D3">
        <w:fldChar w:fldCharType="end"/>
      </w:r>
      <w:r w:rsidRPr="001428D3">
        <w:t>.  </w:t>
      </w:r>
      <w:r w:rsidRPr="001428D3" w:rsidR="006A15CB">
        <w:t>The Constitutional Court has reaffirmed its long</w:t>
      </w:r>
      <w:r w:rsidRPr="001428D3" w:rsidR="006A15CB">
        <w:noBreakHyphen/>
        <w:t>established practice of finding a breach of appellants</w:t>
      </w:r>
      <w:r w:rsidRPr="001428D3" w:rsidR="001428D3">
        <w:t>’</w:t>
      </w:r>
      <w:r w:rsidRPr="001428D3" w:rsidR="006A15CB">
        <w:t xml:space="preserve"> rights on account of the non-enforcement of final domestic court decisions (decisions nos. </w:t>
      </w:r>
      <w:r w:rsidRPr="001428D3" w:rsidR="00751BB6">
        <w:t>63/17 of 31</w:t>
      </w:r>
      <w:r w:rsidRPr="001428D3" w:rsidR="00D40C4A">
        <w:t> </w:t>
      </w:r>
      <w:r w:rsidRPr="001428D3" w:rsidR="00751BB6">
        <w:t xml:space="preserve">July 2017, </w:t>
      </w:r>
      <w:r w:rsidRPr="001428D3" w:rsidR="006A15CB">
        <w:t>50/17 of 3</w:t>
      </w:r>
      <w:r w:rsidRPr="001428D3">
        <w:t xml:space="preserve"> July 2017, </w:t>
      </w:r>
      <w:r w:rsidRPr="001428D3" w:rsidR="006A15CB">
        <w:t>35/17 of 18 April 2017, 25/17 of 27</w:t>
      </w:r>
      <w:r w:rsidRPr="001428D3" w:rsidR="00D40C4A">
        <w:t> </w:t>
      </w:r>
      <w:r w:rsidRPr="001428D3" w:rsidR="006A15CB">
        <w:t>March 2017, 89/16 of 30</w:t>
      </w:r>
      <w:r w:rsidRPr="001428D3">
        <w:t> </w:t>
      </w:r>
      <w:r w:rsidRPr="001428D3" w:rsidR="006A15CB">
        <w:t>December 2016, 79/16 of 27 December 2016, 66</w:t>
      </w:r>
      <w:r w:rsidRPr="001428D3">
        <w:t>/16</w:t>
      </w:r>
      <w:r w:rsidRPr="001428D3" w:rsidR="00751BB6">
        <w:t xml:space="preserve"> of 7</w:t>
      </w:r>
      <w:r w:rsidRPr="001428D3" w:rsidR="00E40ABC">
        <w:t> </w:t>
      </w:r>
      <w:r w:rsidRPr="001428D3" w:rsidR="00A71C38">
        <w:t xml:space="preserve">November </w:t>
      </w:r>
      <w:r w:rsidRPr="001428D3" w:rsidR="00751BB6">
        <w:t>2016</w:t>
      </w:r>
      <w:r w:rsidRPr="001428D3" w:rsidR="006A15CB">
        <w:t>)</w:t>
      </w:r>
      <w:r w:rsidRPr="001428D3" w:rsidR="00B66B81">
        <w:t xml:space="preserve"> and</w:t>
      </w:r>
      <w:r w:rsidRPr="001428D3" w:rsidR="006908EE">
        <w:t xml:space="preserve"> </w:t>
      </w:r>
      <w:r w:rsidRPr="001428D3" w:rsidR="004A24F3">
        <w:t>where</w:t>
      </w:r>
      <w:r w:rsidRPr="001428D3" w:rsidR="00B709C6">
        <w:t xml:space="preserve"> </w:t>
      </w:r>
      <w:r w:rsidRPr="001428D3" w:rsidR="006908EE">
        <w:t>proceedings</w:t>
      </w:r>
      <w:r w:rsidRPr="001428D3" w:rsidR="004051A0">
        <w:t xml:space="preserve"> </w:t>
      </w:r>
      <w:r w:rsidRPr="001428D3" w:rsidR="00B709C6">
        <w:t>have been</w:t>
      </w:r>
      <w:r w:rsidRPr="001428D3" w:rsidR="004051A0">
        <w:t xml:space="preserve"> excessively long</w:t>
      </w:r>
      <w:r w:rsidRPr="001428D3" w:rsidR="006908EE">
        <w:t xml:space="preserve"> (decisions nos. 51/17 of 3 July 2017, 42/17 of 25 May 2017, 32/17 of 30</w:t>
      </w:r>
      <w:r w:rsidRPr="001428D3" w:rsidR="00E40ABC">
        <w:t> </w:t>
      </w:r>
      <w:r w:rsidRPr="001428D3" w:rsidR="006908EE">
        <w:t>March 2017, 22/17 of 20 March 2017, 36/16 of 27</w:t>
      </w:r>
      <w:r w:rsidRPr="001428D3" w:rsidR="00981074">
        <w:t> </w:t>
      </w:r>
      <w:r w:rsidRPr="001428D3" w:rsidR="006908EE">
        <w:t xml:space="preserve">June 2016, 14/16 of 10 March 2016). </w:t>
      </w:r>
      <w:r w:rsidRPr="001428D3" w:rsidR="006A15CB">
        <w:t>No award</w:t>
      </w:r>
      <w:r w:rsidRPr="001428D3" w:rsidR="00B709C6">
        <w:t>s</w:t>
      </w:r>
      <w:r w:rsidRPr="001428D3" w:rsidR="006A15CB">
        <w:t xml:space="preserve"> w</w:t>
      </w:r>
      <w:r w:rsidRPr="001428D3" w:rsidR="00B709C6">
        <w:t>ere</w:t>
      </w:r>
      <w:r w:rsidRPr="001428D3" w:rsidR="006A15CB">
        <w:t xml:space="preserve"> made to the appellants in </w:t>
      </w:r>
      <w:r w:rsidRPr="001428D3" w:rsidR="00A71C38">
        <w:t>the above</w:t>
      </w:r>
      <w:r w:rsidRPr="001428D3" w:rsidR="00A71C38">
        <w:noBreakHyphen/>
      </w:r>
      <w:r w:rsidRPr="001428D3" w:rsidR="001F0C07">
        <w:t xml:space="preserve">mentioned </w:t>
      </w:r>
      <w:r w:rsidRPr="001428D3" w:rsidR="006908EE">
        <w:t>decisions</w:t>
      </w:r>
      <w:r w:rsidRPr="001428D3" w:rsidR="006A15CB">
        <w:t>, nor was any other means of redress provided in relation to the continued non-enforcement</w:t>
      </w:r>
      <w:r w:rsidRPr="001428D3" w:rsidR="006908EE">
        <w:t xml:space="preserve"> or the length of proceedings</w:t>
      </w:r>
      <w:r w:rsidRPr="001428D3" w:rsidR="006A15CB">
        <w:t>.</w:t>
      </w:r>
    </w:p>
    <w:p w:rsidRPr="001428D3" w:rsidR="009547AD" w:rsidP="001428D3" w:rsidRDefault="009547AD">
      <w:pPr>
        <w:pStyle w:val="ECHRTitle1"/>
      </w:pPr>
      <w:bookmarkStart w:name="_Toc498016749" w:id="39"/>
      <w:r w:rsidRPr="001428D3">
        <w:t>THE LAW</w:t>
      </w:r>
      <w:bookmarkEnd w:id="39"/>
    </w:p>
    <w:p w:rsidRPr="001428D3" w:rsidR="005521CC" w:rsidP="001428D3" w:rsidRDefault="009547AD">
      <w:pPr>
        <w:pStyle w:val="ECHRHeading1"/>
      </w:pPr>
      <w:bookmarkStart w:name="_Toc498016750" w:id="40"/>
      <w:r w:rsidRPr="001428D3">
        <w:t xml:space="preserve">I.  ALLEGED VIOLATION OF ARTICLE 6 § 1 </w:t>
      </w:r>
      <w:r w:rsidRPr="001428D3" w:rsidR="00AB76F1">
        <w:t>TAKEN ALONE AND IN</w:t>
      </w:r>
      <w:r w:rsidRPr="001428D3" w:rsidR="005521CC">
        <w:t xml:space="preserve"> </w:t>
      </w:r>
      <w:r w:rsidRPr="001428D3" w:rsidR="00AB76F1">
        <w:t>CONJU</w:t>
      </w:r>
      <w:r w:rsidRPr="001428D3" w:rsidR="00593A08">
        <w:t>N</w:t>
      </w:r>
      <w:r w:rsidRPr="001428D3" w:rsidR="00AB76F1">
        <w:t xml:space="preserve">CTION WITH ARTICLE </w:t>
      </w:r>
      <w:r w:rsidRPr="001428D3">
        <w:t>13 OF THE CONVENTION</w:t>
      </w:r>
      <w:bookmarkEnd w:id="40"/>
    </w:p>
    <w:p w:rsidRPr="001428D3" w:rsidR="005521CC" w:rsidP="001428D3" w:rsidRDefault="008172FC">
      <w:pPr>
        <w:pStyle w:val="ECHRPara"/>
      </w:pPr>
      <w:r w:rsidRPr="001428D3">
        <w:fldChar w:fldCharType="begin"/>
      </w:r>
      <w:r w:rsidRPr="001428D3">
        <w:instrText xml:space="preserve"> SEQ level0 \*arabic </w:instrText>
      </w:r>
      <w:r w:rsidRPr="001428D3">
        <w:fldChar w:fldCharType="separate"/>
      </w:r>
      <w:r w:rsidRPr="001428D3" w:rsidR="001428D3">
        <w:rPr>
          <w:noProof/>
        </w:rPr>
        <w:t>69</w:t>
      </w:r>
      <w:r w:rsidRPr="001428D3">
        <w:fldChar w:fldCharType="end"/>
      </w:r>
      <w:r w:rsidRPr="001428D3">
        <w:t>.  </w:t>
      </w:r>
      <w:r w:rsidRPr="001428D3" w:rsidR="009547AD">
        <w:t xml:space="preserve">The applicants alleged that there </w:t>
      </w:r>
      <w:r w:rsidRPr="001428D3" w:rsidR="004B0B06">
        <w:t xml:space="preserve">has </w:t>
      </w:r>
      <w:r w:rsidRPr="001428D3" w:rsidR="009547AD">
        <w:t>been a breach of Article 6 § 1 of the Convention on account of the authorities</w:t>
      </w:r>
      <w:r w:rsidRPr="001428D3" w:rsidR="001428D3">
        <w:t>’</w:t>
      </w:r>
      <w:r w:rsidRPr="001428D3" w:rsidR="009547AD">
        <w:t xml:space="preserve"> disregard of the interim order of 7 November 2013 </w:t>
      </w:r>
      <w:r w:rsidRPr="001428D3" w:rsidR="00B4619C">
        <w:t xml:space="preserve">granting </w:t>
      </w:r>
      <w:r w:rsidRPr="001428D3" w:rsidR="009547AD">
        <w:t>a stay of execution of the demolition order. They further submitted that the authorities</w:t>
      </w:r>
      <w:r w:rsidRPr="001428D3" w:rsidR="001428D3">
        <w:t>’</w:t>
      </w:r>
      <w:r w:rsidRPr="001428D3" w:rsidR="009547AD">
        <w:t xml:space="preserve"> failure to comply with the interim order </w:t>
      </w:r>
      <w:r w:rsidRPr="001428D3" w:rsidR="0093100D">
        <w:t xml:space="preserve">had </w:t>
      </w:r>
      <w:r w:rsidRPr="001428D3" w:rsidR="009547AD">
        <w:t xml:space="preserve">entailed a </w:t>
      </w:r>
      <w:r w:rsidRPr="001428D3" w:rsidR="00C56DAC">
        <w:t xml:space="preserve">violation </w:t>
      </w:r>
      <w:r w:rsidRPr="001428D3" w:rsidR="0093100D">
        <w:t xml:space="preserve">of </w:t>
      </w:r>
      <w:r w:rsidRPr="001428D3" w:rsidR="009547AD">
        <w:t xml:space="preserve">their procedural rights and </w:t>
      </w:r>
      <w:r w:rsidRPr="001428D3" w:rsidR="001F0C07">
        <w:t xml:space="preserve">had </w:t>
      </w:r>
      <w:r w:rsidRPr="001428D3" w:rsidR="009547AD">
        <w:t>prevented them from having the merits of their complaint properly</w:t>
      </w:r>
      <w:r w:rsidRPr="001428D3" w:rsidR="0093100D">
        <w:t xml:space="preserve"> examined</w:t>
      </w:r>
      <w:r w:rsidRPr="001428D3" w:rsidR="009547AD">
        <w:t xml:space="preserve"> in the proceedings before the District Court. They also complained </w:t>
      </w:r>
      <w:r w:rsidRPr="001428D3" w:rsidR="007F3B1B">
        <w:t>of a lack of an</w:t>
      </w:r>
      <w:r w:rsidRPr="001428D3" w:rsidR="009547AD">
        <w:t xml:space="preserve"> effective remedy in that </w:t>
      </w:r>
      <w:r w:rsidRPr="001428D3" w:rsidR="00AC6A14">
        <w:t>regard</w:t>
      </w:r>
      <w:r w:rsidRPr="001428D3" w:rsidR="009547AD">
        <w:t>.</w:t>
      </w:r>
    </w:p>
    <w:p w:rsidRPr="001428D3" w:rsidR="009547AD" w:rsidP="001428D3" w:rsidRDefault="009547AD">
      <w:pPr>
        <w:pStyle w:val="ECHRPara"/>
      </w:pPr>
      <w:r w:rsidRPr="001428D3">
        <w:t>Article 6 § 1 of the Convention, insofar as relevant, reads as follows:</w:t>
      </w:r>
    </w:p>
    <w:p w:rsidRPr="001428D3" w:rsidR="009547AD" w:rsidP="001428D3" w:rsidRDefault="009547AD">
      <w:pPr>
        <w:pStyle w:val="ECHRParaQuote"/>
      </w:pPr>
      <w:r w:rsidRPr="001428D3">
        <w:t>“In the determination of his civil rights and obligations ... everyone is entitled to a fair ... hearing ... by [a] ... tribunal ...”</w:t>
      </w:r>
    </w:p>
    <w:p w:rsidRPr="001428D3" w:rsidR="009547AD" w:rsidP="001428D3" w:rsidRDefault="009547AD">
      <w:pPr>
        <w:pStyle w:val="ECHRPara"/>
      </w:pPr>
      <w:r w:rsidRPr="001428D3">
        <w:t>Article 13 of the Convention reads as follows:</w:t>
      </w:r>
    </w:p>
    <w:p w:rsidRPr="001428D3" w:rsidR="009547AD" w:rsidP="001428D3" w:rsidRDefault="009547AD">
      <w:pPr>
        <w:pStyle w:val="ECHRParaQuote"/>
      </w:pPr>
      <w:r w:rsidRPr="001428D3">
        <w:t>“Everyone whose rights and freedoms as set forth in [the] Convention are violated shall have an effective remedy before a national authority notwithstanding that the violation has been committed by persons acting in an official capacity.”</w:t>
      </w:r>
    </w:p>
    <w:p w:rsidRPr="001428D3" w:rsidR="005521CC" w:rsidP="001428D3" w:rsidRDefault="009547AD">
      <w:pPr>
        <w:pStyle w:val="ECHRHeading2"/>
      </w:pPr>
      <w:bookmarkStart w:name="_Toc498016751" w:id="41"/>
      <w:r w:rsidRPr="001428D3">
        <w:t>A.  Admissibility</w:t>
      </w:r>
      <w:bookmarkEnd w:id="41"/>
    </w:p>
    <w:p w:rsidRPr="001428D3" w:rsidR="009547AD" w:rsidP="001428D3" w:rsidRDefault="00324769">
      <w:pPr>
        <w:pStyle w:val="ECHRHeading3"/>
      </w:pPr>
      <w:bookmarkStart w:name="_Toc498016752" w:id="42"/>
      <w:r w:rsidRPr="001428D3">
        <w:t>1.</w:t>
      </w:r>
      <w:r w:rsidRPr="001428D3" w:rsidR="009547AD">
        <w:t>  Whether the applicants have exhausted domestic remedies</w:t>
      </w:r>
      <w:bookmarkEnd w:id="42"/>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70</w:t>
      </w:r>
      <w:r w:rsidRPr="001428D3">
        <w:fldChar w:fldCharType="end"/>
      </w:r>
      <w:r w:rsidRPr="001428D3">
        <w:t xml:space="preserve">.  The Government submitted that the applicants had failed to exhaust </w:t>
      </w:r>
      <w:r w:rsidRPr="001428D3" w:rsidR="00C56DAC">
        <w:t xml:space="preserve">the </w:t>
      </w:r>
      <w:r w:rsidRPr="001428D3">
        <w:t xml:space="preserve">available domestic remedies. In particular </w:t>
      </w:r>
      <w:r w:rsidRPr="001428D3" w:rsidR="00C56DAC">
        <w:t>they</w:t>
      </w:r>
      <w:r w:rsidRPr="001428D3">
        <w:t xml:space="preserve"> had not </w:t>
      </w:r>
      <w:r w:rsidRPr="001428D3" w:rsidR="00C56DAC">
        <w:t xml:space="preserve">brought </w:t>
      </w:r>
      <w:r w:rsidRPr="001428D3">
        <w:t xml:space="preserve">a claim for compensation for the unlawful acts of 3 November 2013 </w:t>
      </w:r>
      <w:r w:rsidRPr="001428D3" w:rsidR="00CB5DBE">
        <w:t>under</w:t>
      </w:r>
      <w:r w:rsidRPr="001428D3">
        <w:t xml:space="preserve"> the </w:t>
      </w:r>
      <w:r w:rsidRPr="001428D3" w:rsidR="00A71C38">
        <w:t>Non</w:t>
      </w:r>
      <w:r w:rsidRPr="001428D3" w:rsidR="00A71C38">
        <w:noBreakHyphen/>
      </w:r>
      <w:r w:rsidRPr="001428D3" w:rsidR="00CB327F">
        <w:t>Contractual Liability of the State Act</w:t>
      </w:r>
      <w:r w:rsidRPr="001428D3" w:rsidDel="00023EB7" w:rsidR="00023EB7">
        <w:t xml:space="preserve"> </w:t>
      </w:r>
      <w:r w:rsidRPr="001428D3">
        <w:t xml:space="preserve">or </w:t>
      </w:r>
      <w:r w:rsidRPr="001428D3" w:rsidR="003B518E">
        <w:t xml:space="preserve">the </w:t>
      </w:r>
      <w:r w:rsidRPr="001428D3">
        <w:t xml:space="preserve">Inspection of </w:t>
      </w:r>
      <w:r w:rsidRPr="001428D3" w:rsidR="00CB5DBE">
        <w:t xml:space="preserve">Buildings </w:t>
      </w:r>
      <w:r w:rsidRPr="001428D3">
        <w:t>Act</w:t>
      </w:r>
      <w:r w:rsidRPr="001428D3" w:rsidR="0062721B">
        <w:t>,</w:t>
      </w:r>
      <w:r w:rsidRPr="001428D3">
        <w:t xml:space="preserve"> either in separate proceedings or during the domestic proceedings concerning those events. The Government submitted domestic case-law </w:t>
      </w:r>
      <w:r w:rsidRPr="001428D3" w:rsidR="003B518E">
        <w:t xml:space="preserve">in support of this submission </w:t>
      </w:r>
      <w:r w:rsidRPr="001428D3">
        <w:t xml:space="preserve">(see paragraph </w:t>
      </w:r>
      <w:r w:rsidRPr="001428D3" w:rsidR="00D6695B">
        <w:t>5</w:t>
      </w:r>
      <w:r w:rsidRPr="001428D3">
        <w:t>5 above).</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71</w:t>
      </w:r>
      <w:r w:rsidRPr="001428D3">
        <w:fldChar w:fldCharType="end"/>
      </w:r>
      <w:r w:rsidRPr="001428D3">
        <w:t xml:space="preserve">.  The applicants argued that there </w:t>
      </w:r>
      <w:r w:rsidRPr="001428D3" w:rsidR="001F0C07">
        <w:t xml:space="preserve">had been </w:t>
      </w:r>
      <w:r w:rsidRPr="001428D3">
        <w:t xml:space="preserve">no effective remedies that they could make use of. In their oral </w:t>
      </w:r>
      <w:r w:rsidRPr="001428D3" w:rsidR="00F245C4">
        <w:t xml:space="preserve">submissions </w:t>
      </w:r>
      <w:r w:rsidRPr="001428D3">
        <w:t xml:space="preserve">they argued that, by failing to enforce the interim order, </w:t>
      </w:r>
      <w:r w:rsidRPr="001428D3" w:rsidR="00F245C4">
        <w:t xml:space="preserve">the authorities </w:t>
      </w:r>
      <w:r w:rsidRPr="001428D3" w:rsidR="00BE4A93">
        <w:t>had</w:t>
      </w:r>
      <w:r w:rsidRPr="001428D3" w:rsidR="00F245C4">
        <w:t xml:space="preserve"> </w:t>
      </w:r>
      <w:r w:rsidRPr="001428D3">
        <w:t>irreversibly deprived the</w:t>
      </w:r>
      <w:r w:rsidRPr="001428D3" w:rsidR="00BE4A93">
        <w:t>m</w:t>
      </w:r>
      <w:r w:rsidRPr="001428D3">
        <w:t xml:space="preserve"> not only </w:t>
      </w:r>
      <w:r w:rsidRPr="001428D3" w:rsidR="00CA1EB5">
        <w:t>of</w:t>
      </w:r>
      <w:r w:rsidRPr="001428D3">
        <w:t xml:space="preserve"> their </w:t>
      </w:r>
      <w:r w:rsidRPr="001428D3" w:rsidR="00486454">
        <w:t xml:space="preserve">property </w:t>
      </w:r>
      <w:r w:rsidRPr="001428D3">
        <w:t>right</w:t>
      </w:r>
      <w:r w:rsidRPr="001428D3" w:rsidR="00486454">
        <w:t>s</w:t>
      </w:r>
      <w:r w:rsidRPr="001428D3">
        <w:t xml:space="preserve"> but also of the opportunity </w:t>
      </w:r>
      <w:r w:rsidRPr="001428D3" w:rsidR="00BE4A93">
        <w:t>to have</w:t>
      </w:r>
      <w:r w:rsidRPr="001428D3">
        <w:t xml:space="preserve"> the merits of their complaint effectively examined by a court. No domestic remedy could redress </w:t>
      </w:r>
      <w:r w:rsidRPr="001428D3" w:rsidR="00BE4A93">
        <w:t xml:space="preserve">such a </w:t>
      </w:r>
      <w:r w:rsidRPr="001428D3">
        <w:t xml:space="preserve">denial of justice. Furthermore, they submitted that it had been well-established that the </w:t>
      </w:r>
      <w:r w:rsidRPr="001428D3" w:rsidR="00B00945">
        <w:t xml:space="preserve">disregard </w:t>
      </w:r>
      <w:r w:rsidRPr="001428D3">
        <w:t>of the interim order</w:t>
      </w:r>
      <w:r w:rsidRPr="001428D3" w:rsidR="00BE4A93">
        <w:t xml:space="preserve"> had</w:t>
      </w:r>
      <w:r w:rsidRPr="001428D3">
        <w:t xml:space="preserve"> deprived the applicants </w:t>
      </w:r>
      <w:r w:rsidRPr="001428D3" w:rsidR="00CA1EB5">
        <w:t>of</w:t>
      </w:r>
      <w:r w:rsidRPr="001428D3">
        <w:t xml:space="preserve"> any effective judicial protection.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72</w:t>
      </w:r>
      <w:r w:rsidRPr="001428D3">
        <w:rPr>
          <w:noProof/>
        </w:rPr>
        <w:fldChar w:fldCharType="end"/>
      </w:r>
      <w:r w:rsidRPr="001428D3" w:rsidR="009547AD">
        <w:t>.  The Court considers that the question of exhaustion of domestic remedies is closely related to the merits of the applicants</w:t>
      </w:r>
      <w:r w:rsidRPr="001428D3" w:rsidR="001428D3">
        <w:t>’</w:t>
      </w:r>
      <w:r w:rsidRPr="001428D3" w:rsidR="009547AD">
        <w:t xml:space="preserve"> complaint </w:t>
      </w:r>
      <w:r w:rsidRPr="001428D3" w:rsidR="007F3B1B">
        <w:t>of a lack of</w:t>
      </w:r>
      <w:r w:rsidRPr="001428D3" w:rsidR="009547AD">
        <w:t xml:space="preserve"> an effective remedy for the alleged interference with their right to a fair trial.</w:t>
      </w:r>
    </w:p>
    <w:p w:rsidRPr="001428D3" w:rsidR="009547AD"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73</w:t>
      </w:r>
      <w:r w:rsidRPr="001428D3">
        <w:rPr>
          <w:noProof/>
        </w:rPr>
        <w:fldChar w:fldCharType="end"/>
      </w:r>
      <w:r w:rsidRPr="001428D3" w:rsidR="009547AD">
        <w:t xml:space="preserve">.  Thus, the Court </w:t>
      </w:r>
      <w:r w:rsidRPr="001428D3" w:rsidR="00BE4A93">
        <w:t>joins</w:t>
      </w:r>
      <w:r w:rsidRPr="001428D3" w:rsidR="009547AD">
        <w:t xml:space="preserve"> the issue of whether the applicants exhausted the domestic remedies to the merits of their complaint under Article 13, in conjunction with Article 6 § 1 of the Convention.</w:t>
      </w:r>
    </w:p>
    <w:p w:rsidRPr="001428D3" w:rsidR="005521CC" w:rsidP="001428D3" w:rsidRDefault="00324769">
      <w:pPr>
        <w:pStyle w:val="ECHRHeading3"/>
      </w:pPr>
      <w:bookmarkStart w:name="_Toc498016753" w:id="43"/>
      <w:r w:rsidRPr="001428D3">
        <w:t>2.</w:t>
      </w:r>
      <w:r w:rsidRPr="001428D3" w:rsidR="009547AD">
        <w:t>  Whether the applicants lack “victim status”</w:t>
      </w:r>
      <w:bookmarkEnd w:id="43"/>
    </w:p>
    <w:p w:rsidRPr="001428D3" w:rsidR="005521CC" w:rsidP="001428D3" w:rsidRDefault="00403597">
      <w:pPr>
        <w:pStyle w:val="ECHRPara"/>
      </w:pPr>
      <w:r w:rsidRPr="001428D3">
        <w:fldChar w:fldCharType="begin"/>
      </w:r>
      <w:r w:rsidRPr="001428D3">
        <w:instrText xml:space="preserve"> SEQ level0 \*arabic </w:instrText>
      </w:r>
      <w:r w:rsidRPr="001428D3">
        <w:fldChar w:fldCharType="separate"/>
      </w:r>
      <w:r w:rsidRPr="001428D3" w:rsidR="001428D3">
        <w:rPr>
          <w:noProof/>
        </w:rPr>
        <w:t>74</w:t>
      </w:r>
      <w:r w:rsidRPr="001428D3">
        <w:fldChar w:fldCharType="end"/>
      </w:r>
      <w:r w:rsidRPr="001428D3">
        <w:t>.  </w:t>
      </w:r>
      <w:r w:rsidRPr="001428D3" w:rsidR="009547AD">
        <w:t>The Government submitted that the domestic courts had issued reasoned decisions</w:t>
      </w:r>
      <w:r w:rsidRPr="001428D3" w:rsidR="00D02A5D">
        <w:t>,</w:t>
      </w:r>
      <w:r w:rsidRPr="001428D3" w:rsidR="009547AD">
        <w:t xml:space="preserve"> properly addressing </w:t>
      </w:r>
      <w:r w:rsidRPr="001428D3" w:rsidR="000C68A1">
        <w:t>the applicants</w:t>
      </w:r>
      <w:r w:rsidRPr="001428D3" w:rsidR="001428D3">
        <w:t>’</w:t>
      </w:r>
      <w:r w:rsidRPr="001428D3" w:rsidR="000C68A1">
        <w:t xml:space="preserve"> </w:t>
      </w:r>
      <w:r w:rsidRPr="001428D3" w:rsidR="009547AD">
        <w:t xml:space="preserve">arguments and finding </w:t>
      </w:r>
      <w:r w:rsidRPr="001428D3" w:rsidR="00E54632">
        <w:t xml:space="preserve">in </w:t>
      </w:r>
      <w:r w:rsidRPr="001428D3" w:rsidR="009547AD">
        <w:t xml:space="preserve">their favour. The applicants had therefore abused their right </w:t>
      </w:r>
      <w:r w:rsidRPr="001428D3" w:rsidR="00D53DEA">
        <w:t xml:space="preserve">of </w:t>
      </w:r>
      <w:r w:rsidRPr="001428D3" w:rsidR="009547AD">
        <w:t>individual application.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75</w:t>
      </w:r>
      <w:r w:rsidRPr="001428D3">
        <w:rPr>
          <w:noProof/>
        </w:rPr>
        <w:fldChar w:fldCharType="end"/>
      </w:r>
      <w:r w:rsidRPr="001428D3" w:rsidR="009547AD">
        <w:t>.  The applicants did not submit any particular comment</w:t>
      </w:r>
      <w:r w:rsidRPr="001428D3" w:rsidR="00E54632">
        <w:t>s</w:t>
      </w:r>
      <w:r w:rsidRPr="001428D3" w:rsidR="009547AD">
        <w:t>.</w:t>
      </w:r>
    </w:p>
    <w:p w:rsidRPr="001428D3" w:rsidR="009547AD" w:rsidP="001428D3" w:rsidRDefault="009547AD">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76</w:t>
      </w:r>
      <w:r w:rsidRPr="001428D3">
        <w:rPr>
          <w:rFonts w:eastAsia="Times New Roman"/>
        </w:rPr>
        <w:fldChar w:fldCharType="end"/>
      </w:r>
      <w:r w:rsidRPr="001428D3">
        <w:rPr>
          <w:rFonts w:eastAsia="Times New Roman"/>
        </w:rPr>
        <w:t xml:space="preserve">.  The Court reiterates that the adoption of a measure favourable to the applicant by the domestic authorities will deprive the applicant of victim status only if the violation is acknowledged expressly, or at least in substance, and is subsequently redressed (see </w:t>
      </w:r>
      <w:r w:rsidRPr="001428D3">
        <w:rPr>
          <w:rFonts w:eastAsia="Times New Roman"/>
          <w:i/>
        </w:rPr>
        <w:t>Scordino v. Italy</w:t>
      </w:r>
      <w:r w:rsidRPr="001428D3">
        <w:rPr>
          <w:rFonts w:eastAsia="Times New Roman"/>
        </w:rPr>
        <w:t xml:space="preserve"> (no. 1) [GC], no. 36813/97, §§ 178 et seq. and § 193, ECHR 2006</w:t>
      </w:r>
      <w:r w:rsidRPr="001428D3">
        <w:rPr>
          <w:rFonts w:eastAsia="Times New Roman"/>
        </w:rPr>
        <w:noBreakHyphen/>
        <w:t xml:space="preserve">V, and </w:t>
      </w:r>
      <w:r w:rsidRPr="001428D3" w:rsidR="00825097">
        <w:rPr>
          <w:rFonts w:ascii="Times New Roman" w:hAnsi="Times New Roman" w:eastAsia="Times New Roman" w:cs="Times New Roman"/>
          <w:i/>
          <w:szCs w:val="24"/>
        </w:rPr>
        <w:t>Dalban v. </w:t>
      </w:r>
      <w:r w:rsidRPr="001428D3" w:rsidR="00F74C1B">
        <w:rPr>
          <w:rFonts w:ascii="Times New Roman" w:hAnsi="Times New Roman" w:eastAsia="Times New Roman" w:cs="Times New Roman"/>
          <w:i/>
          <w:szCs w:val="24"/>
        </w:rPr>
        <w:t>Romania</w:t>
      </w:r>
      <w:r w:rsidRPr="001428D3" w:rsidR="00F74C1B">
        <w:rPr>
          <w:rFonts w:ascii="Times New Roman" w:hAnsi="Times New Roman" w:eastAsia="Times New Roman" w:cs="Times New Roman"/>
          <w:szCs w:val="24"/>
        </w:rPr>
        <w:t xml:space="preserve"> [GC], </w:t>
      </w:r>
      <w:r w:rsidRPr="001428D3" w:rsidR="00F74C1B">
        <w:rPr>
          <w:rFonts w:eastAsia="Times New Roman"/>
        </w:rPr>
        <w:t>no.</w:t>
      </w:r>
      <w:r w:rsidRPr="001428D3" w:rsidR="00945AD3">
        <w:rPr>
          <w:rFonts w:eastAsia="Times New Roman"/>
        </w:rPr>
        <w:t xml:space="preserve"> 28114/95</w:t>
      </w:r>
      <w:r w:rsidRPr="001428D3" w:rsidR="00F74C1B">
        <w:rPr>
          <w:rFonts w:eastAsia="Times New Roman"/>
        </w:rPr>
        <w:t>,</w:t>
      </w:r>
      <w:r w:rsidRPr="001428D3" w:rsidR="00F74C1B">
        <w:rPr>
          <w:rFonts w:ascii="Times New Roman" w:hAnsi="Times New Roman" w:eastAsia="Times New Roman" w:cs="Times New Roman"/>
          <w:szCs w:val="24"/>
        </w:rPr>
        <w:t xml:space="preserve"> § 44, ECHR 1999-VI</w:t>
      </w:r>
      <w:r w:rsidRPr="001428D3">
        <w:rPr>
          <w:rFonts w:eastAsia="Times New Roman"/>
        </w:rPr>
        <w:t>).</w:t>
      </w:r>
    </w:p>
    <w:p w:rsidRPr="001428D3" w:rsidR="00B1640E" w:rsidP="001428D3" w:rsidRDefault="00A71C38">
      <w:pPr>
        <w:pStyle w:val="ECHRPara"/>
      </w:pPr>
      <w:r w:rsidRPr="001428D3">
        <w:fldChar w:fldCharType="begin"/>
      </w:r>
      <w:r w:rsidRPr="001428D3">
        <w:instrText xml:space="preserve"> SEQ level0 \*arabic </w:instrText>
      </w:r>
      <w:r w:rsidRPr="001428D3">
        <w:fldChar w:fldCharType="separate"/>
      </w:r>
      <w:r w:rsidRPr="001428D3" w:rsidR="001428D3">
        <w:rPr>
          <w:noProof/>
        </w:rPr>
        <w:t>77</w:t>
      </w:r>
      <w:r w:rsidRPr="001428D3">
        <w:rPr>
          <w:noProof/>
        </w:rPr>
        <w:fldChar w:fldCharType="end"/>
      </w:r>
      <w:r w:rsidRPr="001428D3" w:rsidR="00B1640E">
        <w:t xml:space="preserve">.  The issue as to whether a person may still claim to be the victim of an alleged violation of the Convention essentially entails on the part of the Court an </w:t>
      </w:r>
      <w:r w:rsidRPr="001428D3" w:rsidR="00B1640E">
        <w:rPr>
          <w:i/>
        </w:rPr>
        <w:t>ex post facto</w:t>
      </w:r>
      <w:r w:rsidRPr="001428D3" w:rsidR="00B1640E">
        <w:t xml:space="preserve"> examination of his or her situation</w:t>
      </w:r>
      <w:r w:rsidRPr="001428D3" w:rsidR="00F74C1B">
        <w:t xml:space="preserve"> (see</w:t>
      </w:r>
      <w:r w:rsidRPr="001428D3" w:rsidR="00B1640E">
        <w:t xml:space="preserve"> </w:t>
      </w:r>
      <w:r w:rsidRPr="001428D3" w:rsidR="00F74C1B">
        <w:rPr>
          <w:rFonts w:ascii="Times New Roman" w:hAnsi="Times New Roman" w:eastAsia="Times New Roman" w:cs="Times New Roman"/>
          <w:i/>
          <w:szCs w:val="24"/>
        </w:rPr>
        <w:t>Scordino,</w:t>
      </w:r>
      <w:r w:rsidRPr="001428D3" w:rsidR="00F74C1B">
        <w:rPr>
          <w:rFonts w:ascii="Times New Roman" w:hAnsi="Times New Roman" w:eastAsia="Times New Roman" w:cs="Times New Roman"/>
          <w:szCs w:val="24"/>
        </w:rPr>
        <w:t xml:space="preserve"> cited above, </w:t>
      </w:r>
      <w:r w:rsidRPr="001428D3" w:rsidR="00EC2B51">
        <w:rPr>
          <w:rFonts w:ascii="Times New Roman" w:hAnsi="Times New Roman" w:eastAsia="Times New Roman" w:cs="Times New Roman"/>
          <w:szCs w:val="24"/>
        </w:rPr>
        <w:t xml:space="preserve">§ </w:t>
      </w:r>
      <w:r w:rsidRPr="001428D3" w:rsidR="00F74C1B">
        <w:rPr>
          <w:rFonts w:ascii="Times New Roman" w:hAnsi="Times New Roman" w:eastAsia="Times New Roman" w:cs="Times New Roman"/>
          <w:szCs w:val="24"/>
        </w:rPr>
        <w:t xml:space="preserve">181, and </w:t>
      </w:r>
      <w:r w:rsidRPr="001428D3" w:rsidR="00F74C1B">
        <w:rPr>
          <w:rFonts w:ascii="Times New Roman" w:hAnsi="Times New Roman" w:eastAsia="Times New Roman" w:cs="Times New Roman"/>
          <w:i/>
          <w:szCs w:val="24"/>
        </w:rPr>
        <w:t>Centro Europa 7 S.r.l. and Di Stefano v. Italy</w:t>
      </w:r>
      <w:r w:rsidRPr="001428D3" w:rsidR="00F74C1B">
        <w:rPr>
          <w:rFonts w:ascii="Times New Roman" w:hAnsi="Times New Roman" w:eastAsia="Times New Roman" w:cs="Times New Roman"/>
          <w:szCs w:val="24"/>
        </w:rPr>
        <w:t xml:space="preserve"> [GC], </w:t>
      </w:r>
      <w:r w:rsidRPr="001428D3" w:rsidR="00F74C1B">
        <w:t>no.</w:t>
      </w:r>
      <w:r w:rsidRPr="001428D3" w:rsidR="00063996">
        <w:t xml:space="preserve"> 38433/09</w:t>
      </w:r>
      <w:r w:rsidRPr="001428D3" w:rsidR="00F74C1B">
        <w:t>,</w:t>
      </w:r>
      <w:r w:rsidRPr="001428D3" w:rsidR="00F74C1B">
        <w:rPr>
          <w:rFonts w:ascii="Times New Roman" w:hAnsi="Times New Roman" w:eastAsia="Times New Roman" w:cs="Times New Roman"/>
          <w:szCs w:val="24"/>
        </w:rPr>
        <w:t xml:space="preserve"> § 82, ECHR 2012). </w:t>
      </w:r>
      <w:r w:rsidRPr="001428D3" w:rsidR="00B1640E">
        <w:rPr>
          <w:rFonts w:eastAsia="Times New Roman"/>
        </w:rPr>
        <w:t xml:space="preserve">Whether the redress given is effective will depend, among other things, on the nature of the right alleged to have been breached, the reasons given for the decision and the persistence of the unfavourable consequences for the person concerned after that decision (see </w:t>
      </w:r>
      <w:r w:rsidRPr="001428D3" w:rsidR="00B1640E">
        <w:rPr>
          <w:rFonts w:eastAsia="Times New Roman"/>
          <w:i/>
        </w:rPr>
        <w:t>Oliari and Others v. Italy</w:t>
      </w:r>
      <w:r w:rsidRPr="001428D3" w:rsidR="00B1640E">
        <w:rPr>
          <w:rFonts w:eastAsia="Times New Roman"/>
        </w:rPr>
        <w:t xml:space="preserve">, nos. 18766/11 and 36030/11, § 78, 21 July 2015). The redress afforded must be appropriate and sufficient. Whether an individual has victim status may also depend on the amount of compensation awarded by the domestic courts and the effectiveness (including the promptness) of the </w:t>
      </w:r>
      <w:r w:rsidRPr="001428D3" w:rsidR="00825097">
        <w:rPr>
          <w:rFonts w:eastAsia="Times New Roman"/>
        </w:rPr>
        <w:t>remedy affording the award (see </w:t>
      </w:r>
      <w:r w:rsidRPr="001428D3" w:rsidR="00B1640E">
        <w:rPr>
          <w:rFonts w:eastAsia="Times New Roman"/>
          <w:i/>
        </w:rPr>
        <w:t>Paplauskienė v. Lithuania</w:t>
      </w:r>
      <w:r w:rsidRPr="001428D3" w:rsidR="00B1640E">
        <w:rPr>
          <w:rFonts w:eastAsia="Times New Roman"/>
        </w:rPr>
        <w:t>, no. 31102/06, § 51, 14 October 2014).</w:t>
      </w:r>
    </w:p>
    <w:p w:rsidRPr="001428D3" w:rsidR="005521CC" w:rsidP="001428D3" w:rsidRDefault="009547AD">
      <w:pPr>
        <w:pStyle w:val="ECHRPara"/>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78</w:t>
      </w:r>
      <w:r w:rsidRPr="001428D3">
        <w:rPr>
          <w:rFonts w:eastAsia="Times New Roman"/>
        </w:rPr>
        <w:fldChar w:fldCharType="end"/>
      </w:r>
      <w:r w:rsidRPr="001428D3">
        <w:rPr>
          <w:rFonts w:eastAsia="Times New Roman"/>
        </w:rPr>
        <w:t>.  The Court observes that</w:t>
      </w:r>
      <w:r w:rsidRPr="001428D3" w:rsidR="00F175A5">
        <w:rPr>
          <w:rFonts w:eastAsia="Times New Roman"/>
        </w:rPr>
        <w:t>,</w:t>
      </w:r>
      <w:r w:rsidRPr="001428D3">
        <w:rPr>
          <w:rFonts w:eastAsia="Times New Roman"/>
        </w:rPr>
        <w:t xml:space="preserve"> </w:t>
      </w:r>
      <w:r w:rsidRPr="001428D3">
        <w:t>following the applicants</w:t>
      </w:r>
      <w:r w:rsidRPr="001428D3" w:rsidR="001428D3">
        <w:t>’</w:t>
      </w:r>
      <w:r w:rsidRPr="001428D3">
        <w:t xml:space="preserve"> specific submissions, </w:t>
      </w:r>
      <w:r w:rsidRPr="001428D3" w:rsidR="00D02A5D">
        <w:t xml:space="preserve">made </w:t>
      </w:r>
      <w:r w:rsidRPr="001428D3">
        <w:t>during the proceedings concerning the expropriation and demolition of the applicants</w:t>
      </w:r>
      <w:r w:rsidRPr="001428D3" w:rsidR="001428D3">
        <w:t>’</w:t>
      </w:r>
      <w:r w:rsidRPr="001428D3">
        <w:t xml:space="preserve"> building </w:t>
      </w:r>
      <w:r w:rsidRPr="001428D3" w:rsidR="00D02A5D">
        <w:t xml:space="preserve">the domestic courts held </w:t>
      </w:r>
      <w:r w:rsidRPr="001428D3">
        <w:t xml:space="preserve">that the authorities had adopted the </w:t>
      </w:r>
      <w:r w:rsidRPr="001428D3" w:rsidR="000F50CC">
        <w:t>Council of Ministers</w:t>
      </w:r>
      <w:r w:rsidRPr="001428D3" w:rsidR="001428D3">
        <w:t>’</w:t>
      </w:r>
      <w:r w:rsidRPr="001428D3">
        <w:t xml:space="preserve"> decision of 27</w:t>
      </w:r>
      <w:r w:rsidRPr="001428D3" w:rsidR="00E40ABC">
        <w:t> </w:t>
      </w:r>
      <w:r w:rsidRPr="001428D3">
        <w:t>November</w:t>
      </w:r>
      <w:r w:rsidRPr="001428D3" w:rsidR="00E40ABC">
        <w:t> </w:t>
      </w:r>
      <w:r w:rsidRPr="001428D3">
        <w:t xml:space="preserve">2013 without awaiting the decision on the merits and in </w:t>
      </w:r>
      <w:r w:rsidRPr="001428D3" w:rsidR="00B00945">
        <w:t xml:space="preserve">disregard </w:t>
      </w:r>
      <w:r w:rsidRPr="001428D3">
        <w:t>of the interim order (see paragraphs 3</w:t>
      </w:r>
      <w:r w:rsidRPr="001428D3" w:rsidR="00E10D2C">
        <w:t>7</w:t>
      </w:r>
      <w:r w:rsidRPr="001428D3">
        <w:t xml:space="preserve"> and 4</w:t>
      </w:r>
      <w:r w:rsidRPr="001428D3" w:rsidR="00E10D2C">
        <w:t>1</w:t>
      </w:r>
      <w:r w:rsidRPr="001428D3">
        <w:t xml:space="preserve"> above). </w:t>
      </w:r>
      <w:r w:rsidRPr="001428D3" w:rsidR="00F07923">
        <w:t xml:space="preserve">However, they did not award the applicants any compensation. </w:t>
      </w:r>
      <w:r w:rsidRPr="001428D3">
        <w:t xml:space="preserve">Furthermore, the Court notes that the fact that the domestic courts in the interim and main proceedings found </w:t>
      </w:r>
      <w:r w:rsidRPr="001428D3" w:rsidR="00883899">
        <w:t xml:space="preserve">in </w:t>
      </w:r>
      <w:r w:rsidRPr="001428D3">
        <w:t>the applicants</w:t>
      </w:r>
      <w:r w:rsidRPr="001428D3" w:rsidR="001428D3">
        <w:t>’</w:t>
      </w:r>
      <w:r w:rsidRPr="001428D3">
        <w:t xml:space="preserve"> favour is irrelevant</w:t>
      </w:r>
      <w:r w:rsidRPr="001428D3" w:rsidR="00883899">
        <w:t>,</w:t>
      </w:r>
      <w:r w:rsidRPr="001428D3">
        <w:t xml:space="preserve"> since those decisions remained unexecuted and failed to prevent the demolition of the building.</w:t>
      </w:r>
    </w:p>
    <w:p w:rsidRPr="001428D3" w:rsidR="009547AD" w:rsidP="001428D3" w:rsidRDefault="009547AD">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79</w:t>
      </w:r>
      <w:r w:rsidRPr="001428D3">
        <w:rPr>
          <w:rFonts w:eastAsia="Times New Roman"/>
        </w:rPr>
        <w:fldChar w:fldCharType="end"/>
      </w:r>
      <w:r w:rsidRPr="001428D3">
        <w:rPr>
          <w:rFonts w:eastAsia="Times New Roman"/>
        </w:rPr>
        <w:t>.  Accordingly, the Court considers that the national authorities did not afford redress to the applicants in respect o</w:t>
      </w:r>
      <w:r w:rsidRPr="001428D3" w:rsidR="00825097">
        <w:rPr>
          <w:rFonts w:eastAsia="Times New Roman"/>
        </w:rPr>
        <w:t>f their complaint about the non</w:t>
      </w:r>
      <w:r w:rsidRPr="001428D3" w:rsidR="00825097">
        <w:rPr>
          <w:rFonts w:eastAsia="Times New Roman"/>
        </w:rPr>
        <w:noBreakHyphen/>
      </w:r>
      <w:r w:rsidRPr="001428D3">
        <w:rPr>
          <w:rFonts w:eastAsia="Times New Roman"/>
        </w:rPr>
        <w:t xml:space="preserve">enforcement of the interim order in their favour and </w:t>
      </w:r>
      <w:r w:rsidRPr="001428D3" w:rsidR="0001044B">
        <w:rPr>
          <w:rFonts w:eastAsia="Times New Roman"/>
        </w:rPr>
        <w:t xml:space="preserve">that </w:t>
      </w:r>
      <w:r w:rsidRPr="001428D3">
        <w:rPr>
          <w:rFonts w:eastAsia="Times New Roman"/>
        </w:rPr>
        <w:t>they can still claim to be victims of the violation</w:t>
      </w:r>
      <w:r w:rsidRPr="001428D3" w:rsidR="0001044B">
        <w:rPr>
          <w:rFonts w:eastAsia="Times New Roman"/>
        </w:rPr>
        <w:t xml:space="preserve"> alleged</w:t>
      </w:r>
      <w:r w:rsidRPr="001428D3">
        <w:rPr>
          <w:rFonts w:eastAsia="Times New Roman"/>
        </w:rPr>
        <w:t>.</w:t>
      </w:r>
    </w:p>
    <w:p w:rsidRPr="001428D3" w:rsidR="009547AD" w:rsidP="001428D3" w:rsidRDefault="00324769">
      <w:pPr>
        <w:pStyle w:val="ECHRHeading3"/>
      </w:pPr>
      <w:bookmarkStart w:name="_Toc498016754" w:id="44"/>
      <w:r w:rsidRPr="001428D3">
        <w:t>3.</w:t>
      </w:r>
      <w:r w:rsidRPr="001428D3" w:rsidR="009547AD">
        <w:t>  Conclusion</w:t>
      </w:r>
      <w:bookmarkEnd w:id="44"/>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80</w:t>
      </w:r>
      <w:r w:rsidRPr="001428D3">
        <w:fldChar w:fldCharType="end"/>
      </w:r>
      <w:r w:rsidRPr="001428D3">
        <w:t>.  The Court considers that the applicants</w:t>
      </w:r>
      <w:r w:rsidRPr="001428D3" w:rsidR="001428D3">
        <w:t>’</w:t>
      </w:r>
      <w:r w:rsidRPr="001428D3" w:rsidR="00825097">
        <w:t xml:space="preserve"> complaint under Article </w:t>
      </w:r>
      <w:r w:rsidRPr="001428D3">
        <w:t xml:space="preserve">6 § 1 </w:t>
      </w:r>
      <w:r w:rsidRPr="001428D3" w:rsidR="00E05945">
        <w:t xml:space="preserve">and </w:t>
      </w:r>
      <w:r w:rsidRPr="001428D3" w:rsidR="00883899">
        <w:t xml:space="preserve">Article </w:t>
      </w:r>
      <w:r w:rsidRPr="001428D3">
        <w:t>13 of the Convention are not manifestly ill-founded within the meaning of Article 35 § 3 of the Convention. It further notes that they are not inadmissible on any other grounds. They must t</w:t>
      </w:r>
      <w:r w:rsidRPr="001428D3" w:rsidR="00C0235F">
        <w:t>herefore be declared admissible, without prejudice to the decision ultimately to be taken on the Government</w:t>
      </w:r>
      <w:r w:rsidRPr="001428D3" w:rsidR="001428D3">
        <w:t>’</w:t>
      </w:r>
      <w:r w:rsidRPr="001428D3" w:rsidR="00C0235F">
        <w:t>s objection of non-exhaustion of domestic remedies.</w:t>
      </w:r>
    </w:p>
    <w:p w:rsidRPr="001428D3" w:rsidR="005521CC" w:rsidP="001428D3" w:rsidRDefault="009547AD">
      <w:pPr>
        <w:pStyle w:val="ECHRHeading2"/>
      </w:pPr>
      <w:bookmarkStart w:name="_Toc498016755" w:id="45"/>
      <w:r w:rsidRPr="001428D3">
        <w:t>B.  Merits</w:t>
      </w:r>
      <w:bookmarkEnd w:id="45"/>
    </w:p>
    <w:p w:rsidRPr="001428D3" w:rsidR="0047108C" w:rsidP="001428D3" w:rsidRDefault="0047108C">
      <w:pPr>
        <w:pStyle w:val="ECHRHeading3"/>
      </w:pPr>
      <w:bookmarkStart w:name="_Toc498016756" w:id="46"/>
      <w:r w:rsidRPr="001428D3">
        <w:t>1.  Compliance with Article 13 in conjunction with Article 6 § 1 of the Convention</w:t>
      </w:r>
      <w:bookmarkEnd w:id="46"/>
    </w:p>
    <w:p w:rsidRPr="001428D3" w:rsidR="00A55628" w:rsidP="001428D3" w:rsidRDefault="002071D7">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81</w:t>
      </w:r>
      <w:r w:rsidRPr="001428D3">
        <w:rPr>
          <w:rFonts w:eastAsia="Times New Roman"/>
        </w:rPr>
        <w:fldChar w:fldCharType="end"/>
      </w:r>
      <w:r w:rsidRPr="001428D3">
        <w:rPr>
          <w:rFonts w:eastAsia="Times New Roman"/>
        </w:rPr>
        <w:t xml:space="preserve">.  The Court reiterates that </w:t>
      </w:r>
      <w:r w:rsidRPr="001428D3" w:rsidR="00A55628">
        <w:rPr>
          <w:rFonts w:eastAsia="Times New Roman"/>
        </w:rPr>
        <w:t xml:space="preserve">Article 13 of the Convention requires domestic legal systems to make available an effective remedy empowering the competent national authority to address the substance of an “arguable” complaint under the Convention (see </w:t>
      </w:r>
      <w:r w:rsidRPr="001428D3" w:rsidR="00A55628">
        <w:rPr>
          <w:rFonts w:eastAsia="Times New Roman"/>
          <w:i/>
        </w:rPr>
        <w:t>Z and Others v. the United Kingdom</w:t>
      </w:r>
      <w:r w:rsidRPr="001428D3" w:rsidR="00A55628">
        <w:rPr>
          <w:rFonts w:eastAsia="Times New Roman"/>
        </w:rPr>
        <w:t xml:space="preserve"> [GC], no.</w:t>
      </w:r>
      <w:r w:rsidRPr="001428D3" w:rsidR="00945AD3">
        <w:rPr>
          <w:rFonts w:eastAsia="Times New Roman"/>
        </w:rPr>
        <w:t xml:space="preserve"> 29392/95</w:t>
      </w:r>
      <w:r w:rsidRPr="001428D3" w:rsidR="00A55628">
        <w:rPr>
          <w:rFonts w:eastAsia="Times New Roman"/>
        </w:rPr>
        <w:t xml:space="preserve">, § 108, ECHR 2001-V). Its object is to provide a means whereby individuals can obtain appropriate relief at national level for violations of their Convention rights before having to set in motion the international machinery of complaint before the Court (see </w:t>
      </w:r>
      <w:r w:rsidRPr="001428D3" w:rsidR="00A55628">
        <w:rPr>
          <w:rFonts w:eastAsia="Times New Roman"/>
          <w:i/>
        </w:rPr>
        <w:t>Kudła v. Poland</w:t>
      </w:r>
      <w:r w:rsidRPr="001428D3" w:rsidR="00A55628">
        <w:rPr>
          <w:rFonts w:eastAsia="Times New Roman"/>
        </w:rPr>
        <w:t xml:space="preserve"> [GC], no.</w:t>
      </w:r>
      <w:r w:rsidRPr="001428D3" w:rsidR="00945AD3">
        <w:rPr>
          <w:rFonts w:eastAsia="Times New Roman"/>
        </w:rPr>
        <w:t xml:space="preserve"> 31210/96</w:t>
      </w:r>
      <w:r w:rsidRPr="001428D3" w:rsidR="00A55628">
        <w:rPr>
          <w:rFonts w:eastAsia="Times New Roman"/>
        </w:rPr>
        <w:t>, § 152, ECHR 2000-XI).</w:t>
      </w:r>
    </w:p>
    <w:p w:rsidRPr="001428D3" w:rsidR="005521CC" w:rsidP="001428D3" w:rsidRDefault="00A55628">
      <w:pPr>
        <w:pStyle w:val="ECHRPara"/>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82</w:t>
      </w:r>
      <w:r w:rsidRPr="001428D3">
        <w:rPr>
          <w:rFonts w:eastAsia="Times New Roman"/>
        </w:rPr>
        <w:fldChar w:fldCharType="end"/>
      </w:r>
      <w:r w:rsidRPr="001428D3">
        <w:rPr>
          <w:rFonts w:eastAsia="Times New Roman"/>
        </w:rPr>
        <w:t xml:space="preserve">.  However, the protection afforded by Article 13 does not go so far as to require any particular form of remedy, Contracting States being afforded a margin of discretion in conforming to their obligations under this provision (see, for example, </w:t>
      </w:r>
      <w:r w:rsidRPr="001428D3" w:rsidR="00BE66B0">
        <w:rPr>
          <w:i/>
        </w:rPr>
        <w:t>Kaya v. Turkey</w:t>
      </w:r>
      <w:r w:rsidRPr="001428D3" w:rsidR="00BE66B0">
        <w:t xml:space="preserve">, 19 February 1998, § 106, </w:t>
      </w:r>
      <w:r w:rsidRPr="001428D3" w:rsidR="00BE66B0">
        <w:rPr>
          <w:i/>
        </w:rPr>
        <w:t xml:space="preserve">Reports </w:t>
      </w:r>
      <w:r w:rsidRPr="001428D3" w:rsidR="00BE66B0">
        <w:t>1998</w:t>
      </w:r>
      <w:r w:rsidRPr="001428D3" w:rsidR="00BE66B0">
        <w:noBreakHyphen/>
        <w:t>I).</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83</w:t>
      </w:r>
      <w:r w:rsidRPr="001428D3">
        <w:rPr>
          <w:noProof/>
        </w:rPr>
        <w:fldChar w:fldCharType="end"/>
      </w:r>
      <w:r w:rsidRPr="001428D3" w:rsidR="001E12C0">
        <w:t>.  </w:t>
      </w:r>
      <w:r w:rsidRPr="001428D3" w:rsidR="002071D7">
        <w:t>Turning to the present case, t</w:t>
      </w:r>
      <w:r w:rsidRPr="001428D3" w:rsidR="00A55628">
        <w:t>he Court is not convinced by the Government</w:t>
      </w:r>
      <w:r w:rsidRPr="001428D3" w:rsidR="001428D3">
        <w:t>’</w:t>
      </w:r>
      <w:r w:rsidRPr="001428D3" w:rsidR="00A55628">
        <w:t xml:space="preserve">s arguments that a claim for compensation under the </w:t>
      </w:r>
      <w:r w:rsidRPr="001428D3" w:rsidR="00825097">
        <w:t>Non</w:t>
      </w:r>
      <w:r w:rsidRPr="001428D3" w:rsidR="00825097">
        <w:noBreakHyphen/>
      </w:r>
      <w:r w:rsidRPr="001428D3" w:rsidR="00CB327F">
        <w:t>Contractual Liability of the State Act</w:t>
      </w:r>
      <w:r w:rsidRPr="001428D3" w:rsidR="00A55628">
        <w:t xml:space="preserve">, </w:t>
      </w:r>
      <w:r w:rsidRPr="001428D3" w:rsidR="00D02A5D">
        <w:t xml:space="preserve">the </w:t>
      </w:r>
      <w:r w:rsidRPr="001428D3" w:rsidR="00A55628">
        <w:t xml:space="preserve">Inspection of </w:t>
      </w:r>
      <w:r w:rsidRPr="001428D3" w:rsidR="00C509F3">
        <w:t xml:space="preserve">Buildings </w:t>
      </w:r>
      <w:r w:rsidRPr="001428D3" w:rsidR="00A55628">
        <w:t xml:space="preserve">Act or </w:t>
      </w:r>
      <w:r w:rsidRPr="001428D3" w:rsidR="00D02A5D">
        <w:t xml:space="preserve">the </w:t>
      </w:r>
      <w:r w:rsidRPr="001428D3" w:rsidR="00A55628">
        <w:t xml:space="preserve">Civil Code as </w:t>
      </w:r>
      <w:r w:rsidRPr="001428D3" w:rsidR="00D02A5D">
        <w:t xml:space="preserve">exemplified by </w:t>
      </w:r>
      <w:r w:rsidRPr="001428D3" w:rsidR="00A55628">
        <w:t xml:space="preserve">the domestic </w:t>
      </w:r>
      <w:r w:rsidRPr="001428D3" w:rsidR="005A5FB4">
        <w:t xml:space="preserve">case-law </w:t>
      </w:r>
      <w:r w:rsidRPr="001428D3" w:rsidR="00A55628">
        <w:t xml:space="preserve">submitted by </w:t>
      </w:r>
      <w:r w:rsidRPr="001428D3" w:rsidR="00D02A5D">
        <w:t xml:space="preserve">the Government </w:t>
      </w:r>
      <w:r w:rsidRPr="001428D3" w:rsidR="00A55628">
        <w:t>(see para</w:t>
      </w:r>
      <w:r w:rsidRPr="001428D3" w:rsidR="00D6695B">
        <w:t>graph 5</w:t>
      </w:r>
      <w:r w:rsidRPr="001428D3" w:rsidR="00A55628">
        <w:t xml:space="preserve">5 above), would have been effective in the particular circumstances of the case. Firstly, </w:t>
      </w:r>
      <w:r w:rsidRPr="001428D3" w:rsidR="008B1D70">
        <w:t>the Court notes that</w:t>
      </w:r>
      <w:r w:rsidRPr="001428D3" w:rsidR="00A55628">
        <w:t xml:space="preserve"> the </w:t>
      </w:r>
      <w:r w:rsidRPr="001428D3" w:rsidR="005A5FB4">
        <w:t>examples given</w:t>
      </w:r>
      <w:r w:rsidRPr="001428D3" w:rsidR="00A55628">
        <w:t xml:space="preserve"> by the Government refer to claims for damages in cases where the MUCI</w:t>
      </w:r>
      <w:r w:rsidRPr="001428D3" w:rsidR="005A5FB4">
        <w:t xml:space="preserve"> or </w:t>
      </w:r>
      <w:r w:rsidRPr="001428D3" w:rsidR="00A55628">
        <w:t>NUCI had demolished illegal buildings or where the legalisation procedure was still ongoing. However, the Court notes that there is no information in the case file</w:t>
      </w:r>
      <w:r w:rsidRPr="001428D3" w:rsidR="000A6D87">
        <w:t xml:space="preserve"> as to</w:t>
      </w:r>
      <w:r w:rsidRPr="001428D3" w:rsidR="00A55628">
        <w:t xml:space="preserve"> whether those decisions bec</w:t>
      </w:r>
      <w:r w:rsidRPr="001428D3" w:rsidR="004051A0">
        <w:t>a</w:t>
      </w:r>
      <w:r w:rsidRPr="001428D3" w:rsidR="00A55628">
        <w:t>me final at domestic level, and if so, whether the authorities enforced th</w:t>
      </w:r>
      <w:r w:rsidRPr="001428D3" w:rsidR="004051A0">
        <w:t>em</w:t>
      </w:r>
      <w:r w:rsidRPr="001428D3" w:rsidR="00A55628">
        <w:t xml:space="preserve">. </w:t>
      </w:r>
      <w:r w:rsidRPr="001428D3" w:rsidR="00BB0454">
        <w:t>Furthermore</w:t>
      </w:r>
      <w:r w:rsidRPr="001428D3" w:rsidR="00894FCA">
        <w:t xml:space="preserve">, the </w:t>
      </w:r>
      <w:r w:rsidRPr="001428D3" w:rsidR="00DA0523">
        <w:t xml:space="preserve">Court notes </w:t>
      </w:r>
      <w:r w:rsidRPr="001428D3" w:rsidR="00956550">
        <w:t>that in the cases</w:t>
      </w:r>
      <w:r w:rsidRPr="001428D3" w:rsidR="004051A0">
        <w:t xml:space="preserve"> concerned</w:t>
      </w:r>
      <w:r w:rsidRPr="001428D3" w:rsidR="00956550">
        <w:t xml:space="preserve"> </w:t>
      </w:r>
      <w:r w:rsidRPr="001428D3" w:rsidR="00DA0523">
        <w:t xml:space="preserve">the </w:t>
      </w:r>
      <w:r w:rsidRPr="001428D3" w:rsidR="00894FCA">
        <w:t xml:space="preserve">authorities </w:t>
      </w:r>
      <w:r w:rsidRPr="001428D3" w:rsidR="004051A0">
        <w:t xml:space="preserve">did </w:t>
      </w:r>
      <w:r w:rsidRPr="001428D3" w:rsidR="00894FCA">
        <w:t xml:space="preserve">not proceed with </w:t>
      </w:r>
      <w:r w:rsidRPr="001428D3" w:rsidR="00DA0523">
        <w:t xml:space="preserve">any </w:t>
      </w:r>
      <w:r w:rsidRPr="001428D3" w:rsidR="0057034C">
        <w:t xml:space="preserve">subsequent </w:t>
      </w:r>
      <w:r w:rsidRPr="001428D3" w:rsidR="00894FCA">
        <w:t>expropriation in the public interest</w:t>
      </w:r>
      <w:r w:rsidRPr="001428D3" w:rsidR="00BD6D8F">
        <w:t xml:space="preserve">, the circumstances </w:t>
      </w:r>
      <w:r w:rsidRPr="001428D3" w:rsidR="00BB0454">
        <w:t>being different</w:t>
      </w:r>
      <w:r w:rsidRPr="001428D3" w:rsidR="00BD6D8F">
        <w:t xml:space="preserve"> from those in the present case</w:t>
      </w:r>
      <w:r w:rsidRPr="001428D3" w:rsidR="00894FCA">
        <w:t xml:space="preserve">. </w:t>
      </w:r>
      <w:r w:rsidRPr="001428D3" w:rsidR="00BB0454">
        <w:t>Secondly</w:t>
      </w:r>
      <w:r w:rsidRPr="001428D3" w:rsidR="00A55628">
        <w:t xml:space="preserve">, the Court notes that the applicants did not complain </w:t>
      </w:r>
      <w:r w:rsidRPr="001428D3" w:rsidR="004051A0">
        <w:t xml:space="preserve">to the </w:t>
      </w:r>
      <w:r w:rsidRPr="001428D3" w:rsidR="00A55628">
        <w:t xml:space="preserve">Court </w:t>
      </w:r>
      <w:r w:rsidRPr="001428D3" w:rsidR="00D53DEA">
        <w:t>of a</w:t>
      </w:r>
      <w:r w:rsidRPr="001428D3" w:rsidR="00A55628">
        <w:t xml:space="preserve"> lack of </w:t>
      </w:r>
      <w:r w:rsidRPr="001428D3" w:rsidR="00087059">
        <w:t xml:space="preserve">compensation for </w:t>
      </w:r>
      <w:r w:rsidRPr="001428D3" w:rsidR="00A55628">
        <w:t xml:space="preserve">pecuniary damage for the non-enforcement of the interim order of 7 November 2013, rather </w:t>
      </w:r>
      <w:r w:rsidRPr="001428D3" w:rsidR="00D53DEA">
        <w:t>that</w:t>
      </w:r>
      <w:r w:rsidRPr="001428D3" w:rsidR="00A55628">
        <w:t xml:space="preserve"> the authorities</w:t>
      </w:r>
      <w:r w:rsidRPr="001428D3" w:rsidR="00D53DEA">
        <w:t xml:space="preserve"> failed </w:t>
      </w:r>
      <w:r w:rsidRPr="001428D3" w:rsidR="00A55628">
        <w:t xml:space="preserve">to enforce the interim measure, which made it impossible for them to have the merits of their case properly </w:t>
      </w:r>
      <w:r w:rsidRPr="001428D3" w:rsidR="004051A0">
        <w:t>examined</w:t>
      </w:r>
      <w:r w:rsidRPr="001428D3" w:rsidR="00A55628">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84</w:t>
      </w:r>
      <w:r w:rsidRPr="001428D3">
        <w:fldChar w:fldCharType="end"/>
      </w:r>
      <w:r w:rsidRPr="001428D3" w:rsidR="001E12C0">
        <w:t>.  </w:t>
      </w:r>
      <w:r w:rsidRPr="001428D3" w:rsidR="00BB0CB1">
        <w:t xml:space="preserve">Furthermore, </w:t>
      </w:r>
      <w:r w:rsidRPr="001428D3" w:rsidR="004C5349">
        <w:t xml:space="preserve">the Court reiterates that the principle of the rule of law which the Contracting States undertook to respect when they ratified the Convention encompasses the duty to ensure that the competent authorities enforce judicial remedies when granted (see, </w:t>
      </w:r>
      <w:r w:rsidRPr="001428D3" w:rsidR="004C5349">
        <w:rPr>
          <w:i/>
        </w:rPr>
        <w:t>Iatrid</w:t>
      </w:r>
      <w:r w:rsidRPr="001428D3" w:rsidR="00825097">
        <w:rPr>
          <w:i/>
        </w:rPr>
        <w:t>is v. Greece</w:t>
      </w:r>
      <w:r w:rsidRPr="001428D3" w:rsidR="00825097">
        <w:t xml:space="preserve"> [GC], no. </w:t>
      </w:r>
      <w:r w:rsidRPr="001428D3" w:rsidR="004C5349">
        <w:t>31107/96, § 66, ECHR 1999</w:t>
      </w:r>
      <w:r w:rsidRPr="001428D3" w:rsidR="004C5349">
        <w:noBreakHyphen/>
        <w:t xml:space="preserve">II, and </w:t>
      </w:r>
      <w:r w:rsidRPr="001428D3" w:rsidR="004C5349">
        <w:rPr>
          <w:i/>
        </w:rPr>
        <w:t>Pa</w:t>
      </w:r>
      <w:r w:rsidRPr="001428D3" w:rsidR="00825097">
        <w:rPr>
          <w:i/>
        </w:rPr>
        <w:t>vić v. Croatia</w:t>
      </w:r>
      <w:r w:rsidRPr="001428D3" w:rsidR="00825097">
        <w:t>, no. 21846/08, § </w:t>
      </w:r>
      <w:r w:rsidRPr="001428D3" w:rsidR="004C5349">
        <w:t xml:space="preserve">38, 28 January 2010). Moreover, </w:t>
      </w:r>
      <w:r w:rsidRPr="001428D3" w:rsidR="004D06DB">
        <w:t xml:space="preserve">referring to the cases of </w:t>
      </w:r>
      <w:r w:rsidRPr="001428D3" w:rsidR="004D06DB">
        <w:rPr>
          <w:i/>
        </w:rPr>
        <w:t xml:space="preserve">Gjyli v. Albania </w:t>
      </w:r>
      <w:r w:rsidRPr="001428D3" w:rsidR="004D06DB">
        <w:t>(no. 32907/07</w:t>
      </w:r>
      <w:r w:rsidRPr="001428D3" w:rsidR="0021150A">
        <w:rPr>
          <w:snapToGrid w:val="0"/>
        </w:rPr>
        <w:t xml:space="preserve">, §§ 55-61, 29 September 2009), </w:t>
      </w:r>
      <w:r w:rsidRPr="001428D3" w:rsidR="00825097">
        <w:rPr>
          <w:i/>
        </w:rPr>
        <w:t>Manushaqe Puto and Others </w:t>
      </w:r>
      <w:r w:rsidRPr="001428D3" w:rsidR="004D06DB">
        <w:rPr>
          <w:i/>
        </w:rPr>
        <w:t>v. Albania</w:t>
      </w:r>
      <w:r w:rsidRPr="001428D3" w:rsidR="004D06DB">
        <w:t xml:space="preserve"> (nos. 604/07 and 3 others, </w:t>
      </w:r>
      <w:r w:rsidRPr="001428D3" w:rsidR="004D06DB">
        <w:rPr>
          <w:snapToGrid w:val="0"/>
        </w:rPr>
        <w:t>§§ 33-35, 31 July 2012)</w:t>
      </w:r>
      <w:r w:rsidRPr="001428D3" w:rsidR="0021150A">
        <w:rPr>
          <w:snapToGrid w:val="0"/>
        </w:rPr>
        <w:t xml:space="preserve"> and</w:t>
      </w:r>
      <w:r w:rsidRPr="001428D3" w:rsidR="004D06DB">
        <w:rPr>
          <w:snapToGrid w:val="0"/>
        </w:rPr>
        <w:t xml:space="preserve"> </w:t>
      </w:r>
      <w:r w:rsidRPr="001428D3" w:rsidR="0021150A">
        <w:rPr>
          <w:i/>
        </w:rPr>
        <w:t>Luli and Others v. Albania</w:t>
      </w:r>
      <w:r w:rsidRPr="001428D3" w:rsidR="0021150A">
        <w:rPr>
          <w:snapToGrid w:val="0"/>
        </w:rPr>
        <w:t xml:space="preserve"> (no</w:t>
      </w:r>
      <w:r w:rsidRPr="001428D3" w:rsidR="0021150A">
        <w:t>s</w:t>
      </w:r>
      <w:r w:rsidRPr="001428D3" w:rsidR="0021150A">
        <w:rPr>
          <w:snapToGrid w:val="0"/>
        </w:rPr>
        <w:t>.</w:t>
      </w:r>
      <w:r w:rsidRPr="001428D3" w:rsidR="0021150A">
        <w:t xml:space="preserve"> 64480/09</w:t>
      </w:r>
      <w:r w:rsidRPr="001428D3" w:rsidR="00825097">
        <w:t xml:space="preserve"> and 5 others, §§ 77-84, and §§ </w:t>
      </w:r>
      <w:r w:rsidRPr="001428D3" w:rsidR="0021150A">
        <w:t>114-119, 1</w:t>
      </w:r>
      <w:r w:rsidRPr="001428D3" w:rsidR="00FB74A2">
        <w:t> </w:t>
      </w:r>
      <w:r w:rsidRPr="001428D3" w:rsidR="0021150A">
        <w:t xml:space="preserve">April 2014), </w:t>
      </w:r>
      <w:r w:rsidRPr="001428D3" w:rsidR="004D06DB">
        <w:t xml:space="preserve">the Court </w:t>
      </w:r>
      <w:r w:rsidRPr="001428D3" w:rsidR="004051A0">
        <w:t xml:space="preserve">finds </w:t>
      </w:r>
      <w:r w:rsidRPr="001428D3" w:rsidR="004D06DB">
        <w:t xml:space="preserve">that there was no effective remedy in Albania in respect of the non-enforcement of final decisions </w:t>
      </w:r>
      <w:r w:rsidRPr="001428D3" w:rsidR="0021150A">
        <w:t xml:space="preserve">and length of proceedings </w:t>
      </w:r>
      <w:r w:rsidRPr="001428D3" w:rsidR="004D06DB">
        <w:t xml:space="preserve">at the material time. </w:t>
      </w:r>
      <w:r w:rsidRPr="001428D3" w:rsidR="004051A0">
        <w:t>It</w:t>
      </w:r>
      <w:r w:rsidRPr="001428D3" w:rsidR="008172FC">
        <w:t xml:space="preserve"> </w:t>
      </w:r>
      <w:r w:rsidRPr="001428D3" w:rsidR="00BB0CB1">
        <w:t xml:space="preserve">further observes that the Constitutional Court, other than making a declaratory finding of a breach </w:t>
      </w:r>
      <w:r w:rsidRPr="001428D3" w:rsidR="004051A0">
        <w:t xml:space="preserve">where </w:t>
      </w:r>
      <w:r w:rsidRPr="001428D3" w:rsidR="00BB0CB1">
        <w:t xml:space="preserve">final court decisions </w:t>
      </w:r>
      <w:r w:rsidRPr="001428D3" w:rsidR="004051A0">
        <w:t xml:space="preserve">are not enforced </w:t>
      </w:r>
      <w:r w:rsidRPr="001428D3" w:rsidR="00BB0CB1">
        <w:t xml:space="preserve">(see paragraph </w:t>
      </w:r>
      <w:r w:rsidRPr="001428D3" w:rsidR="00E2077E">
        <w:t xml:space="preserve">68 </w:t>
      </w:r>
      <w:r w:rsidRPr="001428D3" w:rsidR="00BB0CB1">
        <w:t>above), is unable to offer any means of redress to remedy the situation. In such circumstances, the Court finds that there was, and still is, no effective remedy available to the applicants in respect of the non-enforcement of the interim order</w:t>
      </w:r>
      <w:r w:rsidRPr="001428D3" w:rsidR="001E12C0">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85</w:t>
      </w:r>
      <w:r w:rsidRPr="001428D3">
        <w:rPr>
          <w:noProof/>
        </w:rPr>
        <w:fldChar w:fldCharType="end"/>
      </w:r>
      <w:r w:rsidRPr="001428D3" w:rsidR="002071D7">
        <w:t>.  </w:t>
      </w:r>
      <w:r w:rsidRPr="001428D3" w:rsidR="001E12C0">
        <w:t xml:space="preserve">It </w:t>
      </w:r>
      <w:r w:rsidRPr="001428D3" w:rsidR="002071D7">
        <w:t>view of the above, the Court concludes that there has been</w:t>
      </w:r>
      <w:r w:rsidRPr="001428D3" w:rsidR="001E12C0">
        <w:t xml:space="preserve"> a violation of Article 13 </w:t>
      </w:r>
      <w:r w:rsidRPr="001428D3" w:rsidR="002071D7">
        <w:t xml:space="preserve">in conjunction with Article 6 § 1 </w:t>
      </w:r>
      <w:r w:rsidRPr="001428D3" w:rsidR="001E12C0">
        <w:t>of the Convention.</w:t>
      </w:r>
      <w:r w:rsidRPr="001428D3" w:rsidR="002071D7">
        <w:t xml:space="preserve"> It follows that the Government</w:t>
      </w:r>
      <w:r w:rsidRPr="001428D3" w:rsidR="001428D3">
        <w:t>’</w:t>
      </w:r>
      <w:r w:rsidRPr="001428D3" w:rsidR="002071D7">
        <w:t xml:space="preserve">s preliminary objection </w:t>
      </w:r>
      <w:r w:rsidRPr="001428D3" w:rsidR="00195BCC">
        <w:t xml:space="preserve">of non-exhaustion </w:t>
      </w:r>
      <w:r w:rsidRPr="001428D3" w:rsidR="00E812D6">
        <w:t>in this respect</w:t>
      </w:r>
      <w:r w:rsidRPr="001428D3" w:rsidR="00195BCC">
        <w:t xml:space="preserve"> </w:t>
      </w:r>
      <w:r w:rsidRPr="001428D3" w:rsidR="002071D7">
        <w:t>must be dismissed.</w:t>
      </w:r>
    </w:p>
    <w:p w:rsidRPr="001428D3" w:rsidR="0047108C" w:rsidP="001428D3" w:rsidRDefault="0047108C">
      <w:pPr>
        <w:pStyle w:val="ECHRHeading3"/>
      </w:pPr>
      <w:bookmarkStart w:name="_Toc498016757" w:id="47"/>
      <w:r w:rsidRPr="001428D3">
        <w:t>2.  Compliance with Article 6 § 1 of the Convention</w:t>
      </w:r>
      <w:bookmarkEnd w:id="47"/>
    </w:p>
    <w:p w:rsidRPr="001428D3" w:rsidR="009547AD" w:rsidP="001428D3" w:rsidRDefault="0047108C">
      <w:pPr>
        <w:pStyle w:val="ECHRHeading4"/>
      </w:pPr>
      <w:r w:rsidRPr="001428D3">
        <w:t>(a)</w:t>
      </w:r>
      <w:r w:rsidRPr="001428D3" w:rsidR="009547AD">
        <w:t>  The parties</w:t>
      </w:r>
      <w:r w:rsidRPr="001428D3" w:rsidR="001428D3">
        <w:t>’</w:t>
      </w:r>
      <w:r w:rsidRPr="001428D3" w:rsidR="009547AD">
        <w:t xml:space="preserve"> submissions</w:t>
      </w:r>
    </w:p>
    <w:p w:rsidRPr="001428D3" w:rsidR="009547AD" w:rsidP="001428D3" w:rsidRDefault="0092166A">
      <w:pPr>
        <w:pStyle w:val="ECHRHeading5"/>
      </w:pPr>
      <w:r w:rsidRPr="001428D3">
        <w:t>(i</w:t>
      </w:r>
      <w:r w:rsidRPr="001428D3" w:rsidR="009547AD">
        <w:t>) </w:t>
      </w:r>
      <w:r w:rsidRPr="001428D3" w:rsidR="00CC3167">
        <w:t> </w:t>
      </w:r>
      <w:r w:rsidRPr="001428D3" w:rsidR="009547AD">
        <w:t>The applicants</w:t>
      </w:r>
    </w:p>
    <w:p w:rsidRPr="001428D3" w:rsidR="005521CC" w:rsidP="001428D3" w:rsidRDefault="007E4722">
      <w:pPr>
        <w:pStyle w:val="ECHRPara"/>
      </w:pPr>
      <w:r w:rsidRPr="001428D3">
        <w:fldChar w:fldCharType="begin"/>
      </w:r>
      <w:r w:rsidRPr="001428D3">
        <w:instrText xml:space="preserve"> SEQ level0 \*arabic </w:instrText>
      </w:r>
      <w:r w:rsidRPr="001428D3">
        <w:fldChar w:fldCharType="separate"/>
      </w:r>
      <w:r w:rsidRPr="001428D3" w:rsidR="001428D3">
        <w:rPr>
          <w:noProof/>
        </w:rPr>
        <w:t>86</w:t>
      </w:r>
      <w:r w:rsidRPr="001428D3">
        <w:fldChar w:fldCharType="end"/>
      </w:r>
      <w:r w:rsidRPr="001428D3">
        <w:t>.  </w:t>
      </w:r>
      <w:r w:rsidRPr="001428D3" w:rsidR="009547AD">
        <w:t xml:space="preserve">The applicants submitted that there </w:t>
      </w:r>
      <w:r w:rsidRPr="001428D3" w:rsidR="00D02A5D">
        <w:t xml:space="preserve">has </w:t>
      </w:r>
      <w:r w:rsidRPr="001428D3" w:rsidR="009547AD">
        <w:t>been a violation of Article</w:t>
      </w:r>
      <w:r w:rsidRPr="001428D3" w:rsidR="00E23744">
        <w:t> </w:t>
      </w:r>
      <w:r w:rsidRPr="001428D3" w:rsidR="009547AD">
        <w:t>6 § 1 of the Convention as a result of the non-enforcement of the interim order of 7 November 2013. The interim order</w:t>
      </w:r>
      <w:r w:rsidRPr="001428D3" w:rsidR="00793BDF">
        <w:t>,</w:t>
      </w:r>
      <w:r w:rsidRPr="001428D3" w:rsidR="009547AD">
        <w:t xml:space="preserve"> </w:t>
      </w:r>
      <w:r w:rsidRPr="001428D3" w:rsidR="00793BDF">
        <w:t xml:space="preserve">which </w:t>
      </w:r>
      <w:r w:rsidRPr="001428D3" w:rsidR="00ED73E0">
        <w:t xml:space="preserve">had </w:t>
      </w:r>
      <w:r w:rsidRPr="001428D3" w:rsidR="00793BDF">
        <w:t>prohibited</w:t>
      </w:r>
      <w:r w:rsidRPr="001428D3" w:rsidR="009547AD">
        <w:t xml:space="preserve"> any further action by any State authority against the Jon Residence that could hinder the</w:t>
      </w:r>
      <w:r w:rsidRPr="001428D3" w:rsidR="00866A8B">
        <w:t>ir</w:t>
      </w:r>
      <w:r w:rsidRPr="001428D3" w:rsidR="009547AD">
        <w:t xml:space="preserve"> right to peaceful enjoyment of their properties</w:t>
      </w:r>
      <w:r w:rsidRPr="001428D3" w:rsidR="00621822">
        <w:t>,</w:t>
      </w:r>
      <w:r w:rsidRPr="001428D3" w:rsidR="009547AD">
        <w:t xml:space="preserve"> </w:t>
      </w:r>
      <w:r w:rsidRPr="001428D3" w:rsidR="00ED73E0">
        <w:t xml:space="preserve">had </w:t>
      </w:r>
      <w:r w:rsidRPr="001428D3" w:rsidR="009547AD">
        <w:t xml:space="preserve">clearly </w:t>
      </w:r>
      <w:r w:rsidRPr="001428D3" w:rsidR="00ED73E0">
        <w:t xml:space="preserve">stated </w:t>
      </w:r>
      <w:r w:rsidRPr="001428D3" w:rsidR="009547AD">
        <w:t xml:space="preserve">that the building should not be demolished. However, the Albanian authorities demolished the Jon Residence despite the interim </w:t>
      </w:r>
      <w:r w:rsidRPr="001428D3" w:rsidR="00874ECD">
        <w:t xml:space="preserve">order </w:t>
      </w:r>
      <w:r w:rsidRPr="001428D3" w:rsidR="009547AD">
        <w:t xml:space="preserve">issued by the District Court and just a few days before the hearing scheduled before the Administrative Court of Appeal. There was no public evidence of any demolition order ever being </w:t>
      </w:r>
      <w:r w:rsidRPr="001428D3" w:rsidR="00D02A5D">
        <w:t xml:space="preserve">either </w:t>
      </w:r>
      <w:r w:rsidRPr="001428D3" w:rsidR="009547AD">
        <w:t xml:space="preserve">adopted by the Vlora Municipality </w:t>
      </w:r>
      <w:r w:rsidRPr="001428D3" w:rsidR="00D02A5D">
        <w:t>or</w:t>
      </w:r>
      <w:r w:rsidRPr="001428D3" w:rsidR="009547AD">
        <w:t xml:space="preserve"> notified to the applicants.</w:t>
      </w:r>
    </w:p>
    <w:p w:rsidRPr="001428D3" w:rsidR="005521CC" w:rsidP="001428D3" w:rsidRDefault="000C0342">
      <w:pPr>
        <w:pStyle w:val="ECHRPara"/>
      </w:pPr>
      <w:r w:rsidRPr="001428D3">
        <w:fldChar w:fldCharType="begin"/>
      </w:r>
      <w:r w:rsidRPr="001428D3">
        <w:instrText xml:space="preserve"> SEQ level0 \*arabic </w:instrText>
      </w:r>
      <w:r w:rsidRPr="001428D3">
        <w:fldChar w:fldCharType="separate"/>
      </w:r>
      <w:r w:rsidRPr="001428D3" w:rsidR="001428D3">
        <w:rPr>
          <w:noProof/>
        </w:rPr>
        <w:t>87</w:t>
      </w:r>
      <w:r w:rsidRPr="001428D3">
        <w:fldChar w:fldCharType="end"/>
      </w:r>
      <w:r w:rsidRPr="001428D3">
        <w:t>.  </w:t>
      </w:r>
      <w:r w:rsidRPr="001428D3" w:rsidR="009547AD">
        <w:t>Moreover, as the domestic courts had ruled</w:t>
      </w:r>
      <w:r w:rsidRPr="001428D3" w:rsidR="00793BDF">
        <w:t>,</w:t>
      </w:r>
      <w:r w:rsidRPr="001428D3" w:rsidR="009547AD">
        <w:t xml:space="preserve"> the expropriation decision </w:t>
      </w:r>
      <w:r w:rsidRPr="001428D3" w:rsidR="00ED73E0">
        <w:t xml:space="preserve">had been </w:t>
      </w:r>
      <w:r w:rsidRPr="001428D3" w:rsidR="009547AD">
        <w:t xml:space="preserve">unlawful and overtly aimed at circumventing the interim order. </w:t>
      </w:r>
      <w:r w:rsidRPr="001428D3" w:rsidR="00793BDF">
        <w:t>T</w:t>
      </w:r>
      <w:r w:rsidRPr="001428D3" w:rsidR="009547AD">
        <w:t xml:space="preserve">he authorities had failed to comply with the interim order as the applicants </w:t>
      </w:r>
      <w:r w:rsidRPr="001428D3" w:rsidR="00ED73E0">
        <w:t xml:space="preserve">had </w:t>
      </w:r>
      <w:r w:rsidRPr="001428D3" w:rsidR="009547AD">
        <w:t xml:space="preserve">not </w:t>
      </w:r>
      <w:r w:rsidRPr="001428D3" w:rsidR="00ED73E0">
        <w:t xml:space="preserve">been </w:t>
      </w:r>
      <w:r w:rsidRPr="001428D3" w:rsidR="009547AD">
        <w:t>allowed unrestricted access to their properties following the seizure and the public announcement of the demolition.</w:t>
      </w:r>
    </w:p>
    <w:p w:rsidRPr="001428D3" w:rsidR="005521CC" w:rsidP="001428D3" w:rsidRDefault="000C0342">
      <w:pPr>
        <w:pStyle w:val="ECHRPara"/>
      </w:pPr>
      <w:r w:rsidRPr="001428D3">
        <w:fldChar w:fldCharType="begin"/>
      </w:r>
      <w:r w:rsidRPr="001428D3">
        <w:instrText xml:space="preserve"> SEQ level0 \*arabic </w:instrText>
      </w:r>
      <w:r w:rsidRPr="001428D3">
        <w:fldChar w:fldCharType="separate"/>
      </w:r>
      <w:r w:rsidRPr="001428D3" w:rsidR="001428D3">
        <w:rPr>
          <w:noProof/>
        </w:rPr>
        <w:t>88</w:t>
      </w:r>
      <w:r w:rsidRPr="001428D3">
        <w:fldChar w:fldCharType="end"/>
      </w:r>
      <w:r w:rsidRPr="001428D3">
        <w:t>.  </w:t>
      </w:r>
      <w:r w:rsidRPr="001428D3" w:rsidR="00ED73E0">
        <w:t>Lastly</w:t>
      </w:r>
      <w:r w:rsidRPr="001428D3" w:rsidR="00793BDF">
        <w:t xml:space="preserve">, the </w:t>
      </w:r>
      <w:r w:rsidRPr="001428D3" w:rsidR="009547AD">
        <w:t>authorities</w:t>
      </w:r>
      <w:r w:rsidRPr="001428D3" w:rsidR="001428D3">
        <w:t>’</w:t>
      </w:r>
      <w:r w:rsidRPr="001428D3" w:rsidR="009547AD">
        <w:t xml:space="preserve"> failure to comply with the interim order and the demolition of the Jon Residence in just a matter of days</w:t>
      </w:r>
      <w:r w:rsidRPr="001428D3" w:rsidR="00ED73E0">
        <w:t xml:space="preserve"> had</w:t>
      </w:r>
      <w:r w:rsidRPr="001428D3" w:rsidR="009547AD">
        <w:t xml:space="preserve"> entailed a </w:t>
      </w:r>
      <w:r w:rsidRPr="001428D3" w:rsidR="00CC1811">
        <w:t xml:space="preserve">violation </w:t>
      </w:r>
      <w:r w:rsidRPr="001428D3" w:rsidR="00621822">
        <w:t>of</w:t>
      </w:r>
      <w:r w:rsidRPr="001428D3" w:rsidR="009547AD">
        <w:t xml:space="preserve"> the applicants</w:t>
      </w:r>
      <w:r w:rsidRPr="001428D3" w:rsidR="001428D3">
        <w:t>’</w:t>
      </w:r>
      <w:r w:rsidRPr="001428D3" w:rsidR="009547AD">
        <w:t xml:space="preserve"> procedural rights by irreversibly frustrating their claims in the main proceedings.</w:t>
      </w:r>
    </w:p>
    <w:p w:rsidRPr="001428D3" w:rsidR="00EB5902" w:rsidP="001428D3" w:rsidRDefault="00EB5902">
      <w:pPr>
        <w:pStyle w:val="ECHRHeading5"/>
      </w:pPr>
      <w:r w:rsidRPr="001428D3">
        <w:t>(ii)  The Government</w:t>
      </w:r>
    </w:p>
    <w:p w:rsidRPr="001428D3" w:rsidR="00EB5902" w:rsidP="001428D3" w:rsidRDefault="00EB5902">
      <w:pPr>
        <w:pStyle w:val="ECHRPara"/>
      </w:pPr>
      <w:r w:rsidRPr="001428D3">
        <w:fldChar w:fldCharType="begin"/>
      </w:r>
      <w:r w:rsidRPr="001428D3">
        <w:instrText xml:space="preserve"> SEQ level0 \*arabic </w:instrText>
      </w:r>
      <w:r w:rsidRPr="001428D3">
        <w:fldChar w:fldCharType="separate"/>
      </w:r>
      <w:r w:rsidRPr="001428D3" w:rsidR="001428D3">
        <w:rPr>
          <w:noProof/>
        </w:rPr>
        <w:t>89</w:t>
      </w:r>
      <w:r w:rsidRPr="001428D3">
        <w:fldChar w:fldCharType="end"/>
      </w:r>
      <w:r w:rsidRPr="001428D3">
        <w:t xml:space="preserve">.  The Government initially submitted that the authorities had not challenged the interim order of 7 November 2013 as it had not been issued in accordance with domestic law. In their oral submissions the Government argued that the Court had to have regard to the general situation faced by the new Government of June 2013: 400,000 illegal buildings had been constructed for a population of only 2.8 million and illegal constructions had been tolerated for twenty-five years. Accordingly, the Jon Residence </w:t>
      </w:r>
      <w:r w:rsidRPr="001428D3" w:rsidR="00D02A5D">
        <w:t xml:space="preserve">having </w:t>
      </w:r>
      <w:r w:rsidRPr="001428D3">
        <w:t xml:space="preserve">been </w:t>
      </w:r>
      <w:r w:rsidRPr="001428D3" w:rsidR="00D02A5D">
        <w:t xml:space="preserve">built on the basis of a permit issued by the local authorities instead of the central authorities, had initially been </w:t>
      </w:r>
      <w:r w:rsidRPr="001428D3">
        <w:t xml:space="preserve">considered a construction without a regular permit registered with the IPRO. Moreover, the building had not complied with urban planning. It had been under these circumstances that the NUCI and MUCI had taken action on 3 November 2013 in view of </w:t>
      </w:r>
      <w:r w:rsidRPr="001428D3" w:rsidR="00D02A5D">
        <w:t xml:space="preserve">the </w:t>
      </w:r>
      <w:r w:rsidRPr="001428D3">
        <w:t>irregularities observed during the procedures concerning the issuance of the building permit, with a view, potentially, to having the State employees responsible punished, as well as the building demolished as an administrative sanction under the Inspection of Buildings Act.</w:t>
      </w:r>
    </w:p>
    <w:p w:rsidRPr="001428D3" w:rsidR="00EB5902" w:rsidP="001428D3" w:rsidRDefault="00EB5902">
      <w:pPr>
        <w:pStyle w:val="ECHRPara"/>
      </w:pPr>
      <w:r w:rsidRPr="001428D3">
        <w:fldChar w:fldCharType="begin"/>
      </w:r>
      <w:r w:rsidRPr="001428D3">
        <w:instrText xml:space="preserve"> SEQ level0 \*arabic </w:instrText>
      </w:r>
      <w:r w:rsidRPr="001428D3">
        <w:fldChar w:fldCharType="separate"/>
      </w:r>
      <w:r w:rsidRPr="001428D3" w:rsidR="001428D3">
        <w:rPr>
          <w:noProof/>
        </w:rPr>
        <w:t>90</w:t>
      </w:r>
      <w:r w:rsidRPr="001428D3">
        <w:fldChar w:fldCharType="end"/>
      </w:r>
      <w:r w:rsidRPr="001428D3">
        <w:t>.  The Government further submitted that the interim order, for as long as it had any effect, had been complied with by the domestic authorities in that the NUCI and MUCI had not taken any unlawful action except for the actions taken on 3 November 2013. The interim order of 7 November 2013 had to be read and interpreted together with the District Court</w:t>
      </w:r>
      <w:r w:rsidRPr="001428D3" w:rsidR="001428D3">
        <w:t>’</w:t>
      </w:r>
      <w:r w:rsidRPr="001428D3">
        <w:t>s decision of 28 January 2014. The building had been considered by the authorities to be illegal until the adoption of the District Court</w:t>
      </w:r>
      <w:r w:rsidRPr="001428D3" w:rsidR="001428D3">
        <w:t>’</w:t>
      </w:r>
      <w:r w:rsidRPr="001428D3" w:rsidR="00825097">
        <w:t>s decision of 7 November </w:t>
      </w:r>
      <w:r w:rsidRPr="001428D3">
        <w:t>2013. After its adoption, the authorities could no longer deal with the applicants</w:t>
      </w:r>
      <w:r w:rsidRPr="001428D3" w:rsidR="001428D3">
        <w:t>’</w:t>
      </w:r>
      <w:r w:rsidRPr="001428D3">
        <w:t xml:space="preserve"> building as a </w:t>
      </w:r>
      <w:r w:rsidRPr="001428D3">
        <w:rPr>
          <w:i/>
        </w:rPr>
        <w:t>prima facie</w:t>
      </w:r>
      <w:r w:rsidRPr="001428D3">
        <w:t xml:space="preserve"> illegal construction. However, at the site of the Jon Residence an infrastructure project in the public interest had been planned. All other buildings had been demolished solely for the implementation of that project. The effects of the interim order had been extended until 27 November 2013, when the property had been subsequently expropriated and demolished in accordance with domestic law as it had then been presumed to be a lawful construction.</w:t>
      </w:r>
    </w:p>
    <w:p w:rsidRPr="001428D3" w:rsidR="00EB5902" w:rsidP="001428D3" w:rsidRDefault="00EB5902">
      <w:pPr>
        <w:pStyle w:val="ECHRPara"/>
      </w:pPr>
      <w:r w:rsidRPr="001428D3">
        <w:fldChar w:fldCharType="begin"/>
      </w:r>
      <w:r w:rsidRPr="001428D3">
        <w:instrText xml:space="preserve"> SEQ level0 \*arabic </w:instrText>
      </w:r>
      <w:r w:rsidRPr="001428D3">
        <w:fldChar w:fldCharType="separate"/>
      </w:r>
      <w:r w:rsidRPr="001428D3" w:rsidR="001428D3">
        <w:rPr>
          <w:noProof/>
        </w:rPr>
        <w:t>91</w:t>
      </w:r>
      <w:r w:rsidRPr="001428D3">
        <w:fldChar w:fldCharType="end"/>
      </w:r>
      <w:r w:rsidRPr="001428D3">
        <w:t>.  The Government further submitted that in fact the applicants were erroneously considering the Council of Ministers</w:t>
      </w:r>
      <w:r w:rsidRPr="001428D3" w:rsidR="001428D3">
        <w:t>’</w:t>
      </w:r>
      <w:r w:rsidRPr="001428D3" w:rsidR="00825097">
        <w:t xml:space="preserve"> decision of 27 November </w:t>
      </w:r>
      <w:r w:rsidRPr="001428D3">
        <w:t xml:space="preserve">2013 as one which had not implemented the interim order. The interim order of 7 November 2013 had not prevented the expropriation procedure. It had been addressed only to the NUCI and MUCI and not the Council of Ministers. Therefore, the case in hand was different to that of </w:t>
      </w:r>
      <w:r w:rsidRPr="001428D3">
        <w:rPr>
          <w:i/>
        </w:rPr>
        <w:t>Okyay and Others v. Turkey</w:t>
      </w:r>
      <w:r w:rsidRPr="001428D3">
        <w:t xml:space="preserve"> (no. 36220/97, ECHR 2005</w:t>
      </w:r>
      <w:r w:rsidRPr="001428D3">
        <w:noBreakHyphen/>
        <w:t>VII), in which the circumstances were different. The interim proceedings in relation to the events of 3 November 2013 had been unrelated to the main proceedings for the demolition of the building taken from 4 to 8 December 2013 in that the interim order had not concerned the demolition of the building, only the conduct of the authorities prior to the decision on expropriation. They also pointed to the fact that during the interim proceedings before the Administrative Court of Appeal the applicants themselves had withdrawn their application for the adoption of an interim measure.</w:t>
      </w:r>
    </w:p>
    <w:p w:rsidRPr="001428D3" w:rsidR="009547AD" w:rsidP="001428D3" w:rsidRDefault="0092166A">
      <w:pPr>
        <w:pStyle w:val="ECHRHeading4"/>
      </w:pPr>
      <w:r w:rsidRPr="001428D3">
        <w:t>(b)</w:t>
      </w:r>
      <w:r w:rsidRPr="001428D3" w:rsidR="009547AD">
        <w:t>  The Court</w:t>
      </w:r>
      <w:r w:rsidRPr="001428D3" w:rsidR="001428D3">
        <w:t>’</w:t>
      </w:r>
      <w:r w:rsidRPr="001428D3" w:rsidR="009547AD">
        <w:t>s assessment</w:t>
      </w:r>
    </w:p>
    <w:p w:rsidRPr="001428D3" w:rsidR="009547AD" w:rsidP="001428D3" w:rsidRDefault="00E2077E">
      <w:pPr>
        <w:pStyle w:val="ECHRPara"/>
      </w:pPr>
      <w:r w:rsidRPr="001428D3">
        <w:fldChar w:fldCharType="begin"/>
      </w:r>
      <w:r w:rsidRPr="001428D3">
        <w:instrText xml:space="preserve"> SEQ level0 \*arabic </w:instrText>
      </w:r>
      <w:r w:rsidRPr="001428D3">
        <w:fldChar w:fldCharType="separate"/>
      </w:r>
      <w:r w:rsidRPr="001428D3" w:rsidR="001428D3">
        <w:rPr>
          <w:noProof/>
        </w:rPr>
        <w:t>92</w:t>
      </w:r>
      <w:r w:rsidRPr="001428D3">
        <w:fldChar w:fldCharType="end"/>
      </w:r>
      <w:r w:rsidRPr="001428D3">
        <w:t>.  </w:t>
      </w:r>
      <w:r w:rsidRPr="001428D3" w:rsidR="009547AD">
        <w:t xml:space="preserve">The Court reiterates that the execution of a judgment given by a court </w:t>
      </w:r>
      <w:r w:rsidRPr="001428D3">
        <w:t xml:space="preserve">– including a judgment given in interim proceedings (see, amongst many other authorities, </w:t>
      </w:r>
      <w:r w:rsidRPr="001428D3">
        <w:rPr>
          <w:i/>
        </w:rPr>
        <w:t>Okyay</w:t>
      </w:r>
      <w:r w:rsidRPr="001428D3" w:rsidR="00576E75">
        <w:rPr>
          <w:i/>
        </w:rPr>
        <w:t xml:space="preserve"> and Others</w:t>
      </w:r>
      <w:r w:rsidRPr="001428D3" w:rsidR="006C66E4">
        <w:rPr>
          <w:i/>
        </w:rPr>
        <w:t xml:space="preserve">, </w:t>
      </w:r>
      <w:r w:rsidRPr="001428D3">
        <w:t>cited above, and</w:t>
      </w:r>
      <w:r w:rsidRPr="001428D3">
        <w:rPr>
          <w:i/>
        </w:rPr>
        <w:t xml:space="preserve"> Micallef v. Malta</w:t>
      </w:r>
      <w:r w:rsidRPr="001428D3" w:rsidR="00825097">
        <w:t xml:space="preserve"> [GC], no. </w:t>
      </w:r>
      <w:r w:rsidRPr="001428D3">
        <w:t xml:space="preserve">17056/06, §§ 87-89, ECHR 2009) - </w:t>
      </w:r>
      <w:r w:rsidRPr="001428D3" w:rsidR="009547AD">
        <w:t>is to be regarded as an integral part of the “trial” for the purposes of A</w:t>
      </w:r>
      <w:r w:rsidRPr="001428D3" w:rsidR="00825097">
        <w:t>rticle 6 of the Convention (see </w:t>
      </w:r>
      <w:r w:rsidRPr="001428D3" w:rsidR="00825097">
        <w:rPr>
          <w:i/>
        </w:rPr>
        <w:t>Hornsby v. </w:t>
      </w:r>
      <w:r w:rsidRPr="001428D3" w:rsidR="00A869DC">
        <w:rPr>
          <w:i/>
        </w:rPr>
        <w:t>Greece</w:t>
      </w:r>
      <w:r w:rsidRPr="001428D3" w:rsidR="00A869DC">
        <w:t xml:space="preserve">, 19 March 1997, § 40, </w:t>
      </w:r>
      <w:r w:rsidRPr="001428D3" w:rsidR="00A869DC">
        <w:rPr>
          <w:i/>
        </w:rPr>
        <w:t>Reports</w:t>
      </w:r>
      <w:r w:rsidRPr="001428D3" w:rsidR="0066141E">
        <w:rPr>
          <w:i/>
        </w:rPr>
        <w:t xml:space="preserve"> </w:t>
      </w:r>
      <w:r w:rsidRPr="001428D3" w:rsidR="00A869DC">
        <w:t>1997</w:t>
      </w:r>
      <w:r w:rsidRPr="001428D3" w:rsidR="00A869DC">
        <w:noBreakHyphen/>
        <w:t xml:space="preserve">II). </w:t>
      </w:r>
      <w:r w:rsidRPr="001428D3" w:rsidR="009547AD">
        <w:t>The right of access to a court guaranteed under that Article would be rendered illusory if a Contracting State</w:t>
      </w:r>
      <w:r w:rsidRPr="001428D3" w:rsidR="001428D3">
        <w:t>’</w:t>
      </w:r>
      <w:r w:rsidRPr="001428D3" w:rsidR="009547AD">
        <w:t>s legal system allowed a final binding judicial decision or an interlocutory order made pending the outcome of a final decision to remain inoperative to the detriment of one party. This principle is of even greater importance in the context of administrative proceedings concerning a dispute whose outcome is decisive for a litigant</w:t>
      </w:r>
      <w:r w:rsidRPr="001428D3" w:rsidR="001428D3">
        <w:t>’</w:t>
      </w:r>
      <w:r w:rsidRPr="001428D3" w:rsidR="009547AD">
        <w:t xml:space="preserve">s civil rights (see </w:t>
      </w:r>
      <w:r w:rsidRPr="001428D3" w:rsidR="009547AD">
        <w:rPr>
          <w:i/>
        </w:rPr>
        <w:t>Okyay</w:t>
      </w:r>
      <w:r w:rsidRPr="001428D3" w:rsidR="006C66E4">
        <w:rPr>
          <w:i/>
        </w:rPr>
        <w:t xml:space="preserve"> and Others</w:t>
      </w:r>
      <w:r w:rsidRPr="001428D3" w:rsidR="009547AD">
        <w:t>, cited above, §</w:t>
      </w:r>
      <w:r w:rsidRPr="001428D3" w:rsidR="00E40ABC">
        <w:t> </w:t>
      </w:r>
      <w:r w:rsidRPr="001428D3" w:rsidR="009547AD">
        <w:t>72).</w:t>
      </w:r>
    </w:p>
    <w:p w:rsidRPr="001428D3" w:rsidR="005521CC" w:rsidP="001428D3" w:rsidRDefault="000F4743">
      <w:pPr>
        <w:pStyle w:val="ECHRPara"/>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93</w:t>
      </w:r>
      <w:r w:rsidRPr="001428D3">
        <w:rPr>
          <w:rFonts w:eastAsia="Times New Roman"/>
        </w:rPr>
        <w:fldChar w:fldCharType="end"/>
      </w:r>
      <w:r w:rsidRPr="001428D3">
        <w:rPr>
          <w:rFonts w:eastAsia="Times New Roman"/>
        </w:rPr>
        <w:t>.  </w:t>
      </w:r>
      <w:r w:rsidRPr="001428D3" w:rsidR="00A55628">
        <w:rPr>
          <w:rFonts w:eastAsia="Times New Roman"/>
        </w:rPr>
        <w:t xml:space="preserve">The Court also reiterates that a person who has obtained a judgment against the State at the end of legal proceedings </w:t>
      </w:r>
      <w:r w:rsidRPr="001428D3" w:rsidR="00125057">
        <w:rPr>
          <w:rFonts w:eastAsia="Times New Roman"/>
        </w:rPr>
        <w:t xml:space="preserve">should </w:t>
      </w:r>
      <w:r w:rsidRPr="001428D3" w:rsidR="00A55628">
        <w:rPr>
          <w:rFonts w:eastAsia="Times New Roman"/>
        </w:rPr>
        <w:t>not be expected to bring separate enforcement proceedings (</w:t>
      </w:r>
      <w:r w:rsidRPr="001428D3" w:rsidR="00ED539D">
        <w:rPr>
          <w:rFonts w:eastAsia="Times New Roman"/>
        </w:rPr>
        <w:t xml:space="preserve">see </w:t>
      </w:r>
      <w:r w:rsidRPr="001428D3" w:rsidR="00A55628">
        <w:rPr>
          <w:i/>
        </w:rPr>
        <w:t>Burdov v. Russia (no. 2)</w:t>
      </w:r>
      <w:r w:rsidRPr="001428D3" w:rsidR="00A55628">
        <w:t>, no. 33509/04, § 68, ECHR 2009).</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94</w:t>
      </w:r>
      <w:r w:rsidRPr="001428D3">
        <w:rPr>
          <w:noProof/>
        </w:rPr>
        <w:fldChar w:fldCharType="end"/>
      </w:r>
      <w:r w:rsidRPr="001428D3" w:rsidR="009547AD">
        <w:t>.  </w:t>
      </w:r>
      <w:r w:rsidRPr="001428D3" w:rsidR="00E2077E">
        <w:t>Turning to the present case, t</w:t>
      </w:r>
      <w:r w:rsidRPr="001428D3" w:rsidR="009547AD">
        <w:t>he Court</w:t>
      </w:r>
      <w:r w:rsidRPr="001428D3" w:rsidR="004B0B06">
        <w:t xml:space="preserve"> notes that it is not in dispute that Article 6 § 1 is applicable to the interim proceedings in issue. T</w:t>
      </w:r>
      <w:r w:rsidRPr="001428D3" w:rsidR="009547AD">
        <w:t>aking into consideration the Government</w:t>
      </w:r>
      <w:r w:rsidRPr="001428D3" w:rsidR="001428D3">
        <w:t>’</w:t>
      </w:r>
      <w:r w:rsidRPr="001428D3" w:rsidR="009547AD">
        <w:t xml:space="preserve">s submissions, </w:t>
      </w:r>
      <w:r w:rsidRPr="001428D3" w:rsidR="004B0B06">
        <w:t xml:space="preserve">it </w:t>
      </w:r>
      <w:r w:rsidRPr="001428D3" w:rsidR="009547AD">
        <w:t xml:space="preserve">should firstly examine whether the interim proceedings were related to the demolition of the building which took place one month </w:t>
      </w:r>
      <w:r w:rsidRPr="001428D3" w:rsidR="0066141E">
        <w:t xml:space="preserve">after </w:t>
      </w:r>
      <w:r w:rsidRPr="001428D3" w:rsidR="009547AD">
        <w:t xml:space="preserve">the issuance of the interim order. </w:t>
      </w:r>
      <w:r w:rsidRPr="001428D3" w:rsidR="00073C10">
        <w:t>F</w:t>
      </w:r>
      <w:r w:rsidRPr="001428D3" w:rsidR="009547AD">
        <w:t xml:space="preserve">ollowing </w:t>
      </w:r>
      <w:r w:rsidRPr="001428D3" w:rsidR="00073C10">
        <w:t>the applicants</w:t>
      </w:r>
      <w:r w:rsidRPr="001428D3" w:rsidR="001428D3">
        <w:t>’</w:t>
      </w:r>
      <w:r w:rsidRPr="001428D3" w:rsidR="00073C10">
        <w:t xml:space="preserve"> </w:t>
      </w:r>
      <w:r w:rsidRPr="001428D3" w:rsidR="00F34456">
        <w:t xml:space="preserve">explicit </w:t>
      </w:r>
      <w:r w:rsidRPr="001428D3" w:rsidR="00073C10">
        <w:t xml:space="preserve">request </w:t>
      </w:r>
      <w:r w:rsidRPr="001428D3" w:rsidR="00C82D33">
        <w:t>to</w:t>
      </w:r>
      <w:r w:rsidRPr="001428D3" w:rsidR="00073C10">
        <w:t xml:space="preserve"> stay the adoption of all administrative </w:t>
      </w:r>
      <w:r w:rsidRPr="001428D3" w:rsidR="00AE2875">
        <w:t xml:space="preserve">decisions </w:t>
      </w:r>
      <w:r w:rsidRPr="001428D3" w:rsidR="00073C10">
        <w:t xml:space="preserve">related to the demolition of the building </w:t>
      </w:r>
      <w:r w:rsidRPr="001428D3" w:rsidR="00825097">
        <w:t>(see </w:t>
      </w:r>
      <w:r w:rsidRPr="001428D3" w:rsidR="009547AD">
        <w:t xml:space="preserve">paragraphs </w:t>
      </w:r>
      <w:r w:rsidRPr="001428D3" w:rsidR="00AB71AD">
        <w:t>17</w:t>
      </w:r>
      <w:r w:rsidRPr="001428D3" w:rsidR="00E10D2C">
        <w:t>-</w:t>
      </w:r>
      <w:r w:rsidRPr="001428D3" w:rsidR="00AB71AD">
        <w:t xml:space="preserve">18 </w:t>
      </w:r>
      <w:r w:rsidRPr="001428D3" w:rsidR="00E10D2C">
        <w:t>above)</w:t>
      </w:r>
      <w:r w:rsidRPr="001428D3" w:rsidR="009547AD">
        <w:t xml:space="preserve">, the District Court in </w:t>
      </w:r>
      <w:r w:rsidRPr="001428D3" w:rsidR="00073C10">
        <w:t xml:space="preserve">the </w:t>
      </w:r>
      <w:r w:rsidRPr="001428D3" w:rsidR="009547AD">
        <w:t xml:space="preserve">operative part </w:t>
      </w:r>
      <w:r w:rsidRPr="001428D3" w:rsidR="00073C10">
        <w:t xml:space="preserve">of its decision </w:t>
      </w:r>
      <w:r w:rsidRPr="001428D3" w:rsidR="009547AD">
        <w:t xml:space="preserve">explicitly </w:t>
      </w:r>
      <w:r w:rsidRPr="001428D3" w:rsidR="00125057">
        <w:t xml:space="preserve">suspended </w:t>
      </w:r>
      <w:r w:rsidRPr="001428D3" w:rsidR="00C82D33">
        <w:t>all</w:t>
      </w:r>
      <w:r w:rsidRPr="001428D3" w:rsidR="009547AD">
        <w:t xml:space="preserve"> administrative actions of </w:t>
      </w:r>
      <w:r w:rsidRPr="001428D3" w:rsidR="00C82D33">
        <w:t>any</w:t>
      </w:r>
      <w:r w:rsidRPr="001428D3" w:rsidR="009547AD">
        <w:t xml:space="preserve"> public authority that could interfere with the peaceful enjoyment by the applicant</w:t>
      </w:r>
      <w:r w:rsidRPr="001428D3" w:rsidR="00073C10">
        <w:t xml:space="preserve">s of their respective </w:t>
      </w:r>
      <w:r w:rsidRPr="001428D3" w:rsidR="0066141E">
        <w:t>properties</w:t>
      </w:r>
      <w:r w:rsidRPr="001428D3" w:rsidR="00015096">
        <w:t>.</w:t>
      </w:r>
      <w:r w:rsidRPr="001428D3" w:rsidR="00073C10">
        <w:t xml:space="preserve"> </w:t>
      </w:r>
      <w:r w:rsidRPr="001428D3" w:rsidR="00A037A2">
        <w:t>It</w:t>
      </w:r>
      <w:r w:rsidRPr="001428D3" w:rsidR="00015096">
        <w:t xml:space="preserve"> further gave extensive reasons why the interim order </w:t>
      </w:r>
      <w:r w:rsidRPr="001428D3" w:rsidR="00A037A2">
        <w:t xml:space="preserve">had been </w:t>
      </w:r>
      <w:r w:rsidRPr="001428D3" w:rsidR="00015096">
        <w:t xml:space="preserve">issued </w:t>
      </w:r>
      <w:r w:rsidRPr="001428D3" w:rsidR="009547AD">
        <w:t xml:space="preserve">(see paragraph </w:t>
      </w:r>
      <w:r w:rsidRPr="001428D3" w:rsidR="00AB71AD">
        <w:t xml:space="preserve">19 </w:t>
      </w:r>
      <w:r w:rsidRPr="001428D3" w:rsidR="009547AD">
        <w:t>above).</w:t>
      </w:r>
      <w:r w:rsidRPr="001428D3" w:rsidR="00015096">
        <w:t xml:space="preserve"> </w:t>
      </w:r>
      <w:r w:rsidRPr="001428D3" w:rsidR="00F34456">
        <w:t>On 20</w:t>
      </w:r>
      <w:r w:rsidRPr="001428D3" w:rsidR="00426DB9">
        <w:t> </w:t>
      </w:r>
      <w:r w:rsidRPr="001428D3" w:rsidR="00F34456">
        <w:t xml:space="preserve">January 2014 the Administrative Court of Appeal noted that the consequence which the interim order </w:t>
      </w:r>
      <w:r w:rsidRPr="001428D3" w:rsidR="00A037A2">
        <w:t xml:space="preserve">had </w:t>
      </w:r>
      <w:r w:rsidRPr="001428D3" w:rsidR="00F34456">
        <w:t>tried to st</w:t>
      </w:r>
      <w:r w:rsidRPr="001428D3" w:rsidR="00125057">
        <w:t>op</w:t>
      </w:r>
      <w:r w:rsidRPr="001428D3" w:rsidR="00F34456">
        <w:t xml:space="preserve"> </w:t>
      </w:r>
      <w:r w:rsidRPr="001428D3" w:rsidR="006E2D6B">
        <w:t xml:space="preserve">– namely the demolition of the building – </w:t>
      </w:r>
      <w:r w:rsidRPr="001428D3" w:rsidR="00F34456">
        <w:t xml:space="preserve">had occurred (see paragraph </w:t>
      </w:r>
      <w:r w:rsidRPr="001428D3" w:rsidR="00AB71AD">
        <w:t xml:space="preserve">22 </w:t>
      </w:r>
      <w:r w:rsidRPr="001428D3" w:rsidR="00F34456">
        <w:t>above). Also</w:t>
      </w:r>
      <w:r w:rsidRPr="001428D3" w:rsidR="00A037A2">
        <w:t>,</w:t>
      </w:r>
      <w:r w:rsidRPr="001428D3" w:rsidR="00F34456">
        <w:t xml:space="preserve"> subsequent </w:t>
      </w:r>
      <w:r w:rsidRPr="001428D3" w:rsidR="009547AD">
        <w:t>decisions of</w:t>
      </w:r>
      <w:r w:rsidRPr="001428D3" w:rsidR="00A037A2">
        <w:t xml:space="preserve"> the</w:t>
      </w:r>
      <w:r w:rsidRPr="001428D3" w:rsidR="009547AD">
        <w:t xml:space="preserve"> domestic courts </w:t>
      </w:r>
      <w:r w:rsidRPr="001428D3" w:rsidR="00F34456">
        <w:t>noted that</w:t>
      </w:r>
      <w:r w:rsidRPr="001428D3" w:rsidR="004051A0">
        <w:t xml:space="preserve"> the</w:t>
      </w:r>
      <w:r w:rsidRPr="001428D3" w:rsidR="00F34456">
        <w:t xml:space="preserve"> NUCI and MUCI </w:t>
      </w:r>
      <w:r w:rsidRPr="001428D3" w:rsidR="00A037A2">
        <w:t xml:space="preserve">had </w:t>
      </w:r>
      <w:r w:rsidRPr="001428D3" w:rsidR="00F34456">
        <w:t xml:space="preserve">abusively </w:t>
      </w:r>
      <w:r w:rsidRPr="001428D3" w:rsidR="00A60E72">
        <w:t>taken arbitrary act</w:t>
      </w:r>
      <w:r w:rsidRPr="001428D3" w:rsidR="00A037A2">
        <w:t>ion</w:t>
      </w:r>
      <w:r w:rsidRPr="001428D3" w:rsidR="00A60E72">
        <w:t xml:space="preserve"> with the aim </w:t>
      </w:r>
      <w:r w:rsidRPr="001428D3" w:rsidR="004A24F3">
        <w:t xml:space="preserve">of </w:t>
      </w:r>
      <w:r w:rsidRPr="001428D3" w:rsidR="00A037A2">
        <w:t>demolishing</w:t>
      </w:r>
      <w:r w:rsidRPr="001428D3" w:rsidR="00A60E72">
        <w:t xml:space="preserve"> the building</w:t>
      </w:r>
      <w:r w:rsidRPr="001428D3" w:rsidR="00E71999">
        <w:t xml:space="preserve"> </w:t>
      </w:r>
      <w:r w:rsidRPr="001428D3" w:rsidR="009547AD">
        <w:t xml:space="preserve">(see paragraphs </w:t>
      </w:r>
      <w:r w:rsidRPr="001428D3" w:rsidR="00825097">
        <w:t>26 </w:t>
      </w:r>
      <w:r w:rsidRPr="001428D3" w:rsidR="009547AD">
        <w:t xml:space="preserve">– </w:t>
      </w:r>
      <w:r w:rsidRPr="001428D3" w:rsidR="00AB71AD">
        <w:t>27</w:t>
      </w:r>
      <w:r w:rsidRPr="001428D3" w:rsidR="0092635E">
        <w:t xml:space="preserve">, and paragraphs </w:t>
      </w:r>
      <w:r w:rsidRPr="001428D3" w:rsidR="009547AD">
        <w:t>3</w:t>
      </w:r>
      <w:r w:rsidRPr="001428D3" w:rsidR="0092635E">
        <w:t>7</w:t>
      </w:r>
      <w:r w:rsidRPr="001428D3" w:rsidR="00102D3F">
        <w:t xml:space="preserve"> and</w:t>
      </w:r>
      <w:r w:rsidRPr="001428D3" w:rsidR="009547AD">
        <w:t xml:space="preserve"> 4</w:t>
      </w:r>
      <w:r w:rsidRPr="001428D3" w:rsidR="0092635E">
        <w:t>1</w:t>
      </w:r>
      <w:r w:rsidRPr="001428D3" w:rsidR="009547AD">
        <w:t xml:space="preserve"> above). For all the above considerations, the Court concludes that the interim order was issued with </w:t>
      </w:r>
      <w:r w:rsidRPr="001428D3" w:rsidR="00A037A2">
        <w:t xml:space="preserve">a </w:t>
      </w:r>
      <w:r w:rsidRPr="001428D3" w:rsidR="009547AD">
        <w:t>view to prevent</w:t>
      </w:r>
      <w:r w:rsidRPr="001428D3" w:rsidR="00A037A2">
        <w:t>ing</w:t>
      </w:r>
      <w:r w:rsidRPr="001428D3" w:rsidR="009547AD">
        <w:t xml:space="preserve"> </w:t>
      </w:r>
      <w:r w:rsidRPr="001428D3" w:rsidR="0044412D">
        <w:t>a</w:t>
      </w:r>
      <w:r w:rsidRPr="001428D3" w:rsidR="006E2D6B">
        <w:t>ny</w:t>
      </w:r>
      <w:r w:rsidRPr="001428D3" w:rsidR="0044412D">
        <w:t xml:space="preserve"> </w:t>
      </w:r>
      <w:r w:rsidRPr="001428D3" w:rsidR="009547AD">
        <w:t>possible demolition</w:t>
      </w:r>
      <w:r w:rsidRPr="001428D3" w:rsidR="0044412D">
        <w:t xml:space="preserve"> of the applicants</w:t>
      </w:r>
      <w:r w:rsidRPr="001428D3" w:rsidR="001428D3">
        <w:t>’</w:t>
      </w:r>
      <w:r w:rsidRPr="001428D3" w:rsidR="0044412D">
        <w:t xml:space="preserve"> building</w:t>
      </w:r>
      <w:r w:rsidRPr="001428D3" w:rsidR="009547AD">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95</w:t>
      </w:r>
      <w:r w:rsidRPr="001428D3">
        <w:rPr>
          <w:noProof/>
        </w:rPr>
        <w:fldChar w:fldCharType="end"/>
      </w:r>
      <w:r w:rsidRPr="001428D3" w:rsidR="00200D0F">
        <w:t>.  </w:t>
      </w:r>
      <w:r w:rsidRPr="001428D3" w:rsidR="00C82D33">
        <w:t>T</w:t>
      </w:r>
      <w:r w:rsidRPr="001428D3" w:rsidR="009547AD">
        <w:t xml:space="preserve">he Court will </w:t>
      </w:r>
      <w:r w:rsidRPr="001428D3" w:rsidR="00C82D33">
        <w:t xml:space="preserve">now </w:t>
      </w:r>
      <w:r w:rsidRPr="001428D3" w:rsidR="009547AD">
        <w:t xml:space="preserve">turn to the question whether the authorities complied with the interim order of 7 November 2013. </w:t>
      </w:r>
      <w:r w:rsidRPr="001428D3" w:rsidR="00A037A2">
        <w:t>It</w:t>
      </w:r>
      <w:r w:rsidRPr="001428D3" w:rsidR="009547AD">
        <w:t xml:space="preserve"> notes that </w:t>
      </w:r>
      <w:r w:rsidRPr="001428D3" w:rsidR="000E22E1">
        <w:t>under Article 510 of the Code of Civil Procedure an interim order is directly enforceable and binding to all state institutions</w:t>
      </w:r>
      <w:r w:rsidRPr="001428D3" w:rsidR="006E2D6B">
        <w:t xml:space="preserve"> (see paragraphs 19 and 62 above)</w:t>
      </w:r>
      <w:r w:rsidRPr="001428D3" w:rsidR="000E22E1">
        <w:t>. Turning to the present case</w:t>
      </w:r>
      <w:r w:rsidRPr="001428D3" w:rsidR="00952EC0">
        <w:t>,</w:t>
      </w:r>
      <w:r w:rsidRPr="001428D3" w:rsidR="000E22E1">
        <w:t xml:space="preserve"> the Court notes that </w:t>
      </w:r>
      <w:r w:rsidRPr="001428D3" w:rsidR="009547AD">
        <w:t>the interim order</w:t>
      </w:r>
      <w:r w:rsidRPr="001428D3" w:rsidR="002A3743">
        <w:t>, directed to any official body,</w:t>
      </w:r>
      <w:r w:rsidRPr="001428D3" w:rsidR="009547AD">
        <w:t xml:space="preserve"> was to remain in place until a decision was given on the merits of the case (see paragraph </w:t>
      </w:r>
      <w:r w:rsidRPr="001428D3" w:rsidR="00AB71AD">
        <w:t xml:space="preserve">19 </w:t>
      </w:r>
      <w:r w:rsidRPr="001428D3" w:rsidR="009547AD">
        <w:t xml:space="preserve">above). </w:t>
      </w:r>
      <w:r w:rsidRPr="001428D3" w:rsidR="00A037A2">
        <w:t>By contrast</w:t>
      </w:r>
      <w:r w:rsidRPr="001428D3" w:rsidR="009547AD">
        <w:t xml:space="preserve">, by the time the domestic courts should have decided on the merits of the case, the Council of Ministers </w:t>
      </w:r>
      <w:r w:rsidRPr="001428D3" w:rsidR="00125057">
        <w:t xml:space="preserve">had </w:t>
      </w:r>
      <w:r w:rsidRPr="001428D3" w:rsidR="009547AD">
        <w:t xml:space="preserve">decided that the </w:t>
      </w:r>
      <w:r w:rsidRPr="001428D3" w:rsidR="009D3279">
        <w:t>Jon Residence</w:t>
      </w:r>
      <w:r w:rsidRPr="001428D3" w:rsidR="009547AD">
        <w:t xml:space="preserve"> should be expropriated in the public interest and the building </w:t>
      </w:r>
      <w:r w:rsidRPr="001428D3" w:rsidR="006E2D6B">
        <w:t>had been</w:t>
      </w:r>
      <w:r w:rsidRPr="001428D3" w:rsidR="009547AD">
        <w:t xml:space="preserve"> demolished. Therefore, the enforcement of the interim order and the outcome of the main proceedings became redundant (see paragraphs </w:t>
      </w:r>
      <w:r w:rsidRPr="001428D3" w:rsidR="00AB71AD">
        <w:t xml:space="preserve">22 </w:t>
      </w:r>
      <w:r w:rsidRPr="001428D3" w:rsidR="009547AD">
        <w:t xml:space="preserve">and </w:t>
      </w:r>
      <w:r w:rsidRPr="001428D3" w:rsidR="00AB71AD">
        <w:t>26</w:t>
      </w:r>
      <w:r w:rsidRPr="001428D3" w:rsidR="009547AD">
        <w:t>-</w:t>
      </w:r>
      <w:r w:rsidRPr="001428D3" w:rsidR="00AB71AD">
        <w:t xml:space="preserve">27 </w:t>
      </w:r>
      <w:r w:rsidRPr="001428D3" w:rsidR="009547AD">
        <w:t>above).</w:t>
      </w:r>
      <w:r w:rsidRPr="001428D3" w:rsidR="00C82D33">
        <w:t> </w:t>
      </w:r>
      <w:r w:rsidRPr="001428D3" w:rsidR="009547AD">
        <w:t xml:space="preserve">The Court also notes that the domestic courts </w:t>
      </w:r>
      <w:r w:rsidRPr="001428D3" w:rsidR="00A037A2">
        <w:t>at all levels</w:t>
      </w:r>
      <w:r w:rsidRPr="001428D3" w:rsidR="009547AD">
        <w:t xml:space="preserve"> observed that the Albanian authorities </w:t>
      </w:r>
      <w:r w:rsidRPr="001428D3" w:rsidR="005703E7">
        <w:t>had failed to</w:t>
      </w:r>
      <w:r w:rsidRPr="001428D3" w:rsidR="009547AD">
        <w:t xml:space="preserve"> comply with the interim order (see </w:t>
      </w:r>
      <w:r w:rsidRPr="001428D3" w:rsidR="00A57874">
        <w:t xml:space="preserve">also </w:t>
      </w:r>
      <w:r w:rsidRPr="001428D3" w:rsidR="009547AD">
        <w:t>paragraph</w:t>
      </w:r>
      <w:r w:rsidRPr="001428D3" w:rsidR="00015096">
        <w:t xml:space="preserve">s </w:t>
      </w:r>
      <w:r w:rsidRPr="001428D3" w:rsidR="00952EC0">
        <w:t xml:space="preserve">78 </w:t>
      </w:r>
      <w:r w:rsidRPr="001428D3" w:rsidR="00015096">
        <w:t>and</w:t>
      </w:r>
      <w:r w:rsidRPr="001428D3" w:rsidR="009547AD">
        <w:t xml:space="preserve"> </w:t>
      </w:r>
      <w:r w:rsidRPr="001428D3" w:rsidR="00063996">
        <w:t xml:space="preserve">94 </w:t>
      </w:r>
      <w:r w:rsidRPr="001428D3" w:rsidR="009547AD">
        <w:t>above).</w:t>
      </w:r>
    </w:p>
    <w:p w:rsidRPr="001428D3" w:rsidR="009547AD" w:rsidP="001428D3" w:rsidRDefault="00C35B88">
      <w:pPr>
        <w:pStyle w:val="ECHRPara"/>
        <w:rPr>
          <w:i/>
          <w:iCs/>
        </w:rPr>
      </w:pPr>
      <w:r w:rsidRPr="001428D3">
        <w:fldChar w:fldCharType="begin"/>
      </w:r>
      <w:r w:rsidRPr="001428D3">
        <w:instrText xml:space="preserve"> SEQ level0 \*arabic </w:instrText>
      </w:r>
      <w:r w:rsidRPr="001428D3">
        <w:fldChar w:fldCharType="separate"/>
      </w:r>
      <w:r w:rsidRPr="001428D3" w:rsidR="001428D3">
        <w:rPr>
          <w:noProof/>
        </w:rPr>
        <w:t>96</w:t>
      </w:r>
      <w:r w:rsidRPr="001428D3">
        <w:rPr>
          <w:noProof/>
        </w:rPr>
        <w:fldChar w:fldCharType="end"/>
      </w:r>
      <w:r w:rsidRPr="001428D3" w:rsidR="00200D0F">
        <w:t>.  </w:t>
      </w:r>
      <w:r w:rsidRPr="001428D3" w:rsidR="009547AD">
        <w:t xml:space="preserve">In the light of the foregoing, the Court considers that the national authorities failed to comply in practice with the decision rendered by the Vlora Administrative District Court </w:t>
      </w:r>
      <w:r w:rsidRPr="001428D3" w:rsidR="00A037A2">
        <w:t xml:space="preserve">on </w:t>
      </w:r>
      <w:r w:rsidRPr="001428D3" w:rsidR="009547AD">
        <w:t xml:space="preserve">7 November 2013, thus depriving Article 6 § 1 of any useful effect (see, </w:t>
      </w:r>
      <w:r w:rsidRPr="001428D3" w:rsidR="009547AD">
        <w:rPr>
          <w:i/>
        </w:rPr>
        <w:t>mutatis mutandis</w:t>
      </w:r>
      <w:r w:rsidRPr="001428D3" w:rsidR="009547AD">
        <w:t xml:space="preserve">, </w:t>
      </w:r>
      <w:r w:rsidRPr="001428D3" w:rsidR="009547AD">
        <w:rPr>
          <w:i/>
        </w:rPr>
        <w:t>Okyay</w:t>
      </w:r>
      <w:r w:rsidRPr="001428D3" w:rsidR="006C66E4">
        <w:rPr>
          <w:i/>
        </w:rPr>
        <w:t xml:space="preserve"> and Others</w:t>
      </w:r>
      <w:r w:rsidRPr="001428D3" w:rsidR="009547AD">
        <w:t xml:space="preserve">, cited above, §§ 72-73, and </w:t>
      </w:r>
      <w:r w:rsidRPr="001428D3" w:rsidR="009547AD">
        <w:rPr>
          <w:i/>
          <w:iCs/>
        </w:rPr>
        <w:t>Kübler v. Germany</w:t>
      </w:r>
      <w:r w:rsidRPr="001428D3" w:rsidR="009547AD">
        <w:t>, no. 32715/06</w:t>
      </w:r>
      <w:r w:rsidRPr="001428D3" w:rsidR="009547AD">
        <w:rPr>
          <w:snapToGrid w:val="0"/>
        </w:rPr>
        <w:t>, §§ 60-66, 13</w:t>
      </w:r>
      <w:r w:rsidRPr="001428D3" w:rsidR="00E40ABC">
        <w:rPr>
          <w:snapToGrid w:val="0"/>
        </w:rPr>
        <w:t> </w:t>
      </w:r>
      <w:r w:rsidRPr="001428D3" w:rsidR="009547AD">
        <w:rPr>
          <w:snapToGrid w:val="0"/>
        </w:rPr>
        <w:t>January 2011</w:t>
      </w:r>
      <w:r w:rsidRPr="001428D3" w:rsidR="009547AD">
        <w:t>).</w:t>
      </w:r>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97</w:t>
      </w:r>
      <w:r w:rsidRPr="001428D3">
        <w:fldChar w:fldCharType="end"/>
      </w:r>
      <w:r w:rsidRPr="001428D3">
        <w:t>.  There has therefore been a violation of Article 6 § 1 of the Convention.</w:t>
      </w:r>
    </w:p>
    <w:p w:rsidRPr="001428D3" w:rsidR="005521CC" w:rsidP="001428D3" w:rsidRDefault="009547AD">
      <w:pPr>
        <w:pStyle w:val="ECHRHeading1"/>
      </w:pPr>
      <w:bookmarkStart w:name="_Toc498016758" w:id="48"/>
      <w:r w:rsidRPr="001428D3">
        <w:t xml:space="preserve">II.  ALLEGED VIOLATIONS OF ARTICLE 8 </w:t>
      </w:r>
      <w:r w:rsidRPr="001428D3" w:rsidR="00DA569F">
        <w:t xml:space="preserve">TAKEN ALONE </w:t>
      </w:r>
      <w:r w:rsidRPr="001428D3" w:rsidR="00C47682">
        <w:t xml:space="preserve">AND </w:t>
      </w:r>
      <w:r w:rsidRPr="001428D3" w:rsidR="00DA569F">
        <w:t>IN CONJU</w:t>
      </w:r>
      <w:r w:rsidRPr="001428D3" w:rsidR="00593A08">
        <w:t>N</w:t>
      </w:r>
      <w:r w:rsidRPr="001428D3" w:rsidR="00DA569F">
        <w:t xml:space="preserve">CTION WITH ARTICLE </w:t>
      </w:r>
      <w:r w:rsidRPr="001428D3" w:rsidR="00C47682">
        <w:t xml:space="preserve">13 </w:t>
      </w:r>
      <w:r w:rsidRPr="001428D3">
        <w:t>OF THE CONVENTION</w:t>
      </w:r>
      <w:bookmarkEnd w:id="48"/>
    </w:p>
    <w:p w:rsidRPr="001428D3" w:rsidR="0039555B"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98</w:t>
      </w:r>
      <w:r w:rsidRPr="001428D3">
        <w:fldChar w:fldCharType="end"/>
      </w:r>
      <w:r w:rsidRPr="001428D3">
        <w:t>.  The applicants complained that the</w:t>
      </w:r>
      <w:r w:rsidRPr="001428D3" w:rsidR="006B4A38">
        <w:t>ir</w:t>
      </w:r>
      <w:r w:rsidRPr="001428D3">
        <w:t xml:space="preserve"> forcible removal from their homes without any prior notice and the seizure of the building had been in breach o</w:t>
      </w:r>
      <w:r w:rsidRPr="001428D3" w:rsidR="004A4470">
        <w:t xml:space="preserve">f Article 8 of the Convention. </w:t>
      </w:r>
      <w:r w:rsidRPr="001428D3">
        <w:t xml:space="preserve">They further complained that the expropriation and subsequent demolition of the building had violated their right </w:t>
      </w:r>
      <w:r w:rsidRPr="001428D3" w:rsidR="006B4A38">
        <w:t>to respect for their</w:t>
      </w:r>
      <w:r w:rsidRPr="001428D3">
        <w:t xml:space="preserve"> home</w:t>
      </w:r>
      <w:r w:rsidRPr="001428D3" w:rsidR="006B4A38">
        <w:t>s</w:t>
      </w:r>
      <w:r w:rsidRPr="001428D3">
        <w:t xml:space="preserve"> under </w:t>
      </w:r>
      <w:r w:rsidRPr="001428D3" w:rsidR="00AC6A14">
        <w:t>that</w:t>
      </w:r>
      <w:r w:rsidRPr="001428D3">
        <w:t xml:space="preserve"> provision. </w:t>
      </w:r>
      <w:r w:rsidRPr="001428D3" w:rsidR="0039555B">
        <w:t xml:space="preserve">They also complained </w:t>
      </w:r>
      <w:r w:rsidRPr="001428D3" w:rsidR="007F3B1B">
        <w:t>of a lack of</w:t>
      </w:r>
      <w:r w:rsidRPr="001428D3" w:rsidR="0039555B">
        <w:t xml:space="preserve"> an effective remedy in that </w:t>
      </w:r>
      <w:r w:rsidRPr="001428D3" w:rsidR="00AC6A14">
        <w:t>regard</w:t>
      </w:r>
      <w:r w:rsidRPr="001428D3" w:rsidR="0039555B">
        <w:t>.</w:t>
      </w:r>
    </w:p>
    <w:p w:rsidRPr="001428D3" w:rsidR="009547AD" w:rsidP="001428D3" w:rsidRDefault="009547AD">
      <w:pPr>
        <w:pStyle w:val="ECHRPara"/>
      </w:pPr>
      <w:r w:rsidRPr="001428D3">
        <w:t>Article 8 of the Convention reads as follows:</w:t>
      </w:r>
    </w:p>
    <w:p w:rsidRPr="001428D3" w:rsidR="009547AD" w:rsidP="001428D3" w:rsidRDefault="009547AD">
      <w:pPr>
        <w:pStyle w:val="ECHRParaQuote"/>
      </w:pPr>
      <w:r w:rsidRPr="001428D3">
        <w:t>“1.  Everyone has the right to respect for his private and family life, his home and his correspondence.</w:t>
      </w:r>
    </w:p>
    <w:p w:rsidRPr="001428D3" w:rsidR="009547AD" w:rsidP="001428D3" w:rsidRDefault="009547AD">
      <w:pPr>
        <w:pStyle w:val="ECHRParaQuote"/>
      </w:pPr>
      <w:r w:rsidRPr="001428D3">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1428D3" w:rsidR="005521CC" w:rsidP="001428D3" w:rsidRDefault="009547AD">
      <w:pPr>
        <w:pStyle w:val="ECHRHeading2"/>
      </w:pPr>
      <w:bookmarkStart w:name="_Toc498016759" w:id="49"/>
      <w:r w:rsidRPr="001428D3">
        <w:t>A.  Complaint concerning the seizure of the building</w:t>
      </w:r>
      <w:bookmarkEnd w:id="49"/>
    </w:p>
    <w:p w:rsidRPr="001428D3" w:rsidR="005521CC" w:rsidP="001428D3" w:rsidRDefault="009547AD">
      <w:pPr>
        <w:pStyle w:val="ECHRHeading3"/>
      </w:pPr>
      <w:bookmarkStart w:name="_Toc498016760" w:id="50"/>
      <w:r w:rsidRPr="001428D3">
        <w:t>1.  Admissibility</w:t>
      </w:r>
      <w:bookmarkEnd w:id="50"/>
    </w:p>
    <w:p w:rsidRPr="001428D3" w:rsidR="00952EC0" w:rsidP="001428D3" w:rsidRDefault="00952EC0">
      <w:pPr>
        <w:pStyle w:val="ECHRHeading4"/>
      </w:pPr>
      <w:r w:rsidRPr="001428D3">
        <w:t>(a)  In respect of the first and second applicants</w:t>
      </w:r>
    </w:p>
    <w:p w:rsidRPr="001428D3" w:rsidR="009845BA" w:rsidP="001428D3" w:rsidRDefault="004C7759">
      <w:pPr>
        <w:pStyle w:val="ECHRPara"/>
      </w:pPr>
      <w:r w:rsidRPr="001428D3">
        <w:fldChar w:fldCharType="begin"/>
      </w:r>
      <w:r w:rsidRPr="001428D3">
        <w:instrText xml:space="preserve"> SEQ level0 \*arabic </w:instrText>
      </w:r>
      <w:r w:rsidRPr="001428D3">
        <w:fldChar w:fldCharType="separate"/>
      </w:r>
      <w:r w:rsidRPr="001428D3" w:rsidR="001428D3">
        <w:rPr>
          <w:noProof/>
        </w:rPr>
        <w:t>99</w:t>
      </w:r>
      <w:r w:rsidRPr="001428D3">
        <w:fldChar w:fldCharType="end"/>
      </w:r>
      <w:r w:rsidRPr="001428D3">
        <w:t>.  </w:t>
      </w:r>
      <w:r w:rsidRPr="001428D3" w:rsidR="00952EC0">
        <w:t xml:space="preserve">The Court notes that the first and second applicants became owners of several flats and shops in the Jon Residence by virtue of their ownership of the plot of land (see paragraph 8 above). </w:t>
      </w:r>
      <w:r w:rsidRPr="001428D3" w:rsidR="00133FB8">
        <w:t>However, the Court notes that, the first and second applicants did not submit any documentary evidence to prove that they were actually using the</w:t>
      </w:r>
      <w:r w:rsidRPr="001428D3" w:rsidR="00C77065">
        <w:t xml:space="preserve">m </w:t>
      </w:r>
      <w:r w:rsidRPr="001428D3" w:rsidR="00133FB8">
        <w:t xml:space="preserve">as their homes </w:t>
      </w:r>
      <w:r w:rsidRPr="001428D3" w:rsidR="004B0B06">
        <w:t xml:space="preserve">or business premises </w:t>
      </w:r>
      <w:r w:rsidRPr="001428D3" w:rsidR="004B1076">
        <w:t xml:space="preserve">(see, </w:t>
      </w:r>
      <w:r w:rsidRPr="001428D3" w:rsidR="004B1076">
        <w:rPr>
          <w:i/>
        </w:rPr>
        <w:t>a contrario</w:t>
      </w:r>
      <w:r w:rsidRPr="001428D3" w:rsidR="004B1076">
        <w:t xml:space="preserve">, </w:t>
      </w:r>
      <w:r w:rsidRPr="001428D3" w:rsidR="004B1076">
        <w:rPr>
          <w:i/>
          <w:lang w:val="en-US"/>
        </w:rPr>
        <w:t>Société Colas Est and Others v. France</w:t>
      </w:r>
      <w:r w:rsidRPr="001428D3" w:rsidR="005B2DBE">
        <w:rPr>
          <w:lang w:val="en-US"/>
        </w:rPr>
        <w:t>, no. </w:t>
      </w:r>
      <w:r w:rsidRPr="001428D3" w:rsidR="004B1076">
        <w:rPr>
          <w:lang w:val="en-US"/>
        </w:rPr>
        <w:t>37971/97, §</w:t>
      </w:r>
      <w:r w:rsidRPr="001428D3" w:rsidR="0004201B">
        <w:rPr>
          <w:lang w:val="en-US"/>
        </w:rPr>
        <w:t xml:space="preserve"> §</w:t>
      </w:r>
      <w:r w:rsidRPr="001428D3" w:rsidR="009845BA">
        <w:rPr>
          <w:lang w:val="en-US"/>
        </w:rPr>
        <w:t xml:space="preserve"> </w:t>
      </w:r>
      <w:r w:rsidRPr="001428D3" w:rsidR="0004201B">
        <w:rPr>
          <w:lang w:val="en-US"/>
        </w:rPr>
        <w:t>41-42</w:t>
      </w:r>
      <w:r w:rsidRPr="001428D3" w:rsidR="004B1076">
        <w:rPr>
          <w:lang w:val="en-US"/>
        </w:rPr>
        <w:t>, ECHR 2002</w:t>
      </w:r>
      <w:r w:rsidRPr="001428D3" w:rsidR="004B1076">
        <w:rPr>
          <w:lang w:val="en-US"/>
        </w:rPr>
        <w:noBreakHyphen/>
        <w:t xml:space="preserve">III) </w:t>
      </w:r>
      <w:r w:rsidRPr="001428D3" w:rsidR="00133FB8">
        <w:t>for the purpose of Article 8 of the Convention</w:t>
      </w:r>
      <w:r w:rsidRPr="001428D3" w:rsidR="004B0B06">
        <w:t xml:space="preserve">. </w:t>
      </w:r>
      <w:r w:rsidRPr="001428D3" w:rsidR="00133FB8">
        <w:t xml:space="preserve">Accordingly, this complaint in respect of the first and second applicants is incompatible </w:t>
      </w:r>
      <w:r w:rsidRPr="001428D3" w:rsidR="00133FB8">
        <w:rPr>
          <w:i/>
        </w:rPr>
        <w:t>ratione materiae</w:t>
      </w:r>
      <w:r w:rsidRPr="001428D3" w:rsidR="00133FB8">
        <w:t xml:space="preserve"> with the provisions of the Convention within the meaning of Article 35 § 3 (a) and must be rejected in accordance with Article 35 § 4.</w:t>
      </w:r>
      <w:r w:rsidRPr="001428D3" w:rsidR="0090072E">
        <w:t xml:space="preserve"> </w:t>
      </w:r>
      <w:r w:rsidRPr="001428D3" w:rsidR="004B0B06">
        <w:t>O</w:t>
      </w:r>
      <w:r w:rsidRPr="001428D3" w:rsidR="0090072E">
        <w:t xml:space="preserve">n the same basis, </w:t>
      </w:r>
      <w:r w:rsidRPr="001428D3" w:rsidR="004B0B06">
        <w:t xml:space="preserve">the Court </w:t>
      </w:r>
      <w:r w:rsidRPr="001428D3" w:rsidR="0090072E">
        <w:t>also rejects the</w:t>
      </w:r>
      <w:r w:rsidRPr="001428D3" w:rsidR="00FB46C2">
        <w:t>ir</w:t>
      </w:r>
      <w:r w:rsidRPr="001428D3" w:rsidR="0090072E">
        <w:t xml:space="preserve"> complaint under Article 13 of the Convention</w:t>
      </w:r>
      <w:r w:rsidRPr="001428D3" w:rsidR="00B5521E">
        <w:t xml:space="preserve"> taken in conjunction with Article 8</w:t>
      </w:r>
      <w:r w:rsidRPr="001428D3" w:rsidR="0090072E">
        <w:t>.</w:t>
      </w:r>
    </w:p>
    <w:p w:rsidRPr="001428D3" w:rsidR="00133FB8" w:rsidP="001428D3" w:rsidRDefault="00133FB8">
      <w:pPr>
        <w:pStyle w:val="ECHRHeading4"/>
      </w:pPr>
      <w:r w:rsidRPr="001428D3">
        <w:t>(b)  In respect of the remaining applicants</w:t>
      </w:r>
    </w:p>
    <w:p w:rsidRPr="001428D3" w:rsidR="00441D56" w:rsidP="001428D3" w:rsidRDefault="00950CCE">
      <w:pPr>
        <w:pStyle w:val="ECHRHeading5"/>
      </w:pPr>
      <w:r w:rsidRPr="001428D3" w:rsidDel="00950CCE">
        <w:t xml:space="preserve"> </w:t>
      </w:r>
      <w:r w:rsidRPr="001428D3" w:rsidR="00441D56">
        <w:t>(</w:t>
      </w:r>
      <w:r w:rsidRPr="001428D3" w:rsidR="00133FB8">
        <w:t>i</w:t>
      </w:r>
      <w:r w:rsidRPr="001428D3" w:rsidR="00441D56">
        <w:t>)  Whether the applicants have exhausted the domestic remedies</w:t>
      </w:r>
    </w:p>
    <w:p w:rsidRPr="001428D3" w:rsidR="005521CC" w:rsidP="001428D3" w:rsidRDefault="00950CCE">
      <w:pPr>
        <w:pStyle w:val="ECHRPara"/>
      </w:pPr>
      <w:r w:rsidRPr="001428D3">
        <w:fldChar w:fldCharType="begin"/>
      </w:r>
      <w:r w:rsidRPr="001428D3">
        <w:instrText xml:space="preserve"> SEQ level0 \*arabic </w:instrText>
      </w:r>
      <w:r w:rsidRPr="001428D3">
        <w:fldChar w:fldCharType="separate"/>
      </w:r>
      <w:r w:rsidRPr="001428D3" w:rsidR="001428D3">
        <w:rPr>
          <w:noProof/>
        </w:rPr>
        <w:t>100</w:t>
      </w:r>
      <w:r w:rsidRPr="001428D3">
        <w:fldChar w:fldCharType="end"/>
      </w:r>
      <w:r w:rsidRPr="001428D3">
        <w:t>.  </w:t>
      </w:r>
      <w:r w:rsidRPr="001428D3" w:rsidR="009547AD">
        <w:t xml:space="preserve">The Government submitted that the applicants had not complained </w:t>
      </w:r>
      <w:r w:rsidRPr="001428D3" w:rsidR="0054665B">
        <w:t xml:space="preserve">to </w:t>
      </w:r>
      <w:r w:rsidRPr="001428D3" w:rsidR="009547AD">
        <w:t>the domestic courts</w:t>
      </w:r>
      <w:r w:rsidRPr="001428D3" w:rsidR="003A7FB3">
        <w:t xml:space="preserve"> </w:t>
      </w:r>
      <w:r w:rsidRPr="001428D3" w:rsidR="0054665B">
        <w:t xml:space="preserve">of </w:t>
      </w:r>
      <w:r w:rsidRPr="001428D3" w:rsidR="009547AD">
        <w:t>a breach of their right to</w:t>
      </w:r>
      <w:r w:rsidRPr="001428D3" w:rsidR="00125057">
        <w:t xml:space="preserve"> respect for their</w:t>
      </w:r>
      <w:r w:rsidRPr="001428D3" w:rsidR="009547AD">
        <w:t xml:space="preserve"> home. The applicants had only</w:t>
      </w:r>
      <w:r w:rsidRPr="001428D3" w:rsidR="0054665B">
        <w:t xml:space="preserve"> challenged</w:t>
      </w:r>
      <w:r w:rsidRPr="001428D3" w:rsidR="009547AD">
        <w:t xml:space="preserve"> the expropriation value. They had not claimed any compensation in the proceedings which </w:t>
      </w:r>
      <w:r w:rsidRPr="001428D3" w:rsidR="0054665B">
        <w:t>had ended</w:t>
      </w:r>
      <w:r w:rsidRPr="001428D3" w:rsidR="009547AD">
        <w:t xml:space="preserve"> with the Administrative Court of Appeal</w:t>
      </w:r>
      <w:r w:rsidRPr="001428D3" w:rsidR="001428D3">
        <w:t>’</w:t>
      </w:r>
      <w:r w:rsidRPr="001428D3" w:rsidR="009547AD">
        <w:t>s decision of 21 January 2014</w:t>
      </w:r>
      <w:r w:rsidRPr="001428D3" w:rsidR="006B4A38">
        <w:t xml:space="preserve">; alternatively, </w:t>
      </w:r>
      <w:r w:rsidRPr="001428D3" w:rsidR="009547AD">
        <w:t>they could</w:t>
      </w:r>
      <w:r w:rsidRPr="001428D3" w:rsidR="00866A8B">
        <w:t xml:space="preserve"> have</w:t>
      </w:r>
      <w:r w:rsidRPr="001428D3" w:rsidR="009547AD">
        <w:t xml:space="preserve"> </w:t>
      </w:r>
      <w:r w:rsidRPr="001428D3" w:rsidR="0054665B">
        <w:t>brought claims</w:t>
      </w:r>
      <w:r w:rsidRPr="001428D3" w:rsidR="009547AD">
        <w:t xml:space="preserve"> under the Civil Code, </w:t>
      </w:r>
      <w:r w:rsidRPr="001428D3" w:rsidR="00B068B9">
        <w:t xml:space="preserve">the </w:t>
      </w:r>
      <w:r w:rsidRPr="001428D3" w:rsidR="00CB327F">
        <w:t>Non-Contractual Liability of the State Act</w:t>
      </w:r>
      <w:r w:rsidRPr="001428D3" w:rsidR="009547AD">
        <w:t xml:space="preserve"> and </w:t>
      </w:r>
      <w:r w:rsidRPr="001428D3" w:rsidR="00B068B9">
        <w:t xml:space="preserve">the </w:t>
      </w:r>
      <w:r w:rsidRPr="001428D3" w:rsidR="009547AD">
        <w:t xml:space="preserve">Inspection of </w:t>
      </w:r>
      <w:r w:rsidRPr="001428D3" w:rsidR="00C509F3">
        <w:t xml:space="preserve">Buildings </w:t>
      </w:r>
      <w:r w:rsidRPr="001428D3" w:rsidR="009547AD">
        <w:t>Act.</w:t>
      </w:r>
    </w:p>
    <w:p w:rsidRPr="001428D3" w:rsidR="005521CC" w:rsidP="001428D3" w:rsidRDefault="0007764E">
      <w:pPr>
        <w:pStyle w:val="ECHRPara"/>
      </w:pPr>
      <w:r w:rsidRPr="001428D3">
        <w:fldChar w:fldCharType="begin"/>
      </w:r>
      <w:r w:rsidRPr="001428D3">
        <w:instrText xml:space="preserve"> SEQ level0 \*arabic </w:instrText>
      </w:r>
      <w:r w:rsidRPr="001428D3">
        <w:fldChar w:fldCharType="separate"/>
      </w:r>
      <w:r w:rsidRPr="001428D3" w:rsidR="001428D3">
        <w:rPr>
          <w:noProof/>
        </w:rPr>
        <w:t>101</w:t>
      </w:r>
      <w:r w:rsidRPr="001428D3">
        <w:fldChar w:fldCharType="end"/>
      </w:r>
      <w:r w:rsidRPr="001428D3">
        <w:t>.  </w:t>
      </w:r>
      <w:r w:rsidRPr="001428D3" w:rsidR="009547AD">
        <w:t xml:space="preserve">The applicants reiterated that they had complained </w:t>
      </w:r>
      <w:r w:rsidRPr="001428D3" w:rsidR="0054665B">
        <w:t xml:space="preserve">to </w:t>
      </w:r>
      <w:r w:rsidRPr="001428D3" w:rsidR="009547AD">
        <w:t>the domestic courts about the seizure and surrounding of the building. They had challenged the unlawful acts of the administrative authorities (seizure, expropriation and demolition) interfering with their right to</w:t>
      </w:r>
      <w:r w:rsidRPr="001428D3" w:rsidR="00EB1A48">
        <w:t xml:space="preserve"> respect for their</w:t>
      </w:r>
      <w:r w:rsidRPr="001428D3" w:rsidR="009547AD">
        <w:t xml:space="preserve"> home, thereby raising at least in substance a complaint under Article 8 of the Convention.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102</w:t>
      </w:r>
      <w:r w:rsidRPr="001428D3">
        <w:rPr>
          <w:noProof/>
        </w:rPr>
        <w:fldChar w:fldCharType="end"/>
      </w:r>
      <w:r w:rsidRPr="001428D3" w:rsidR="00EE500F">
        <w:t>.  The Court considers that the question of exhaustion of domestic remedies is so closely related to the merits of the applicants</w:t>
      </w:r>
      <w:r w:rsidRPr="001428D3" w:rsidR="001428D3">
        <w:t>’</w:t>
      </w:r>
      <w:r w:rsidRPr="001428D3" w:rsidR="00EE500F">
        <w:t xml:space="preserve"> complaint </w:t>
      </w:r>
      <w:r w:rsidRPr="001428D3" w:rsidR="007F3B1B">
        <w:t xml:space="preserve">of a </w:t>
      </w:r>
      <w:r w:rsidRPr="001428D3" w:rsidR="00EE500F">
        <w:t>lack</w:t>
      </w:r>
      <w:r w:rsidRPr="001428D3" w:rsidR="007F3B1B">
        <w:t xml:space="preserve"> of</w:t>
      </w:r>
      <w:r w:rsidRPr="001428D3" w:rsidR="00EE500F">
        <w:t xml:space="preserve"> an effective remedy for the alleged interference with their right to home that they cannot be detached from it.</w:t>
      </w:r>
    </w:p>
    <w:p w:rsidRPr="001428D3" w:rsidR="00EE500F"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103</w:t>
      </w:r>
      <w:r w:rsidRPr="001428D3">
        <w:rPr>
          <w:noProof/>
        </w:rPr>
        <w:fldChar w:fldCharType="end"/>
      </w:r>
      <w:r w:rsidRPr="001428D3" w:rsidR="00EE500F">
        <w:t>.  Thus, the Court holds that the issue of whether the applicants exhausted the domestic remedies should be joined to the merits of their complaint under Article 13, in conjunction with Article 8 of the Convention.</w:t>
      </w:r>
    </w:p>
    <w:p w:rsidRPr="001428D3" w:rsidR="00EE500F" w:rsidP="001428D3" w:rsidRDefault="003673F1">
      <w:pPr>
        <w:pStyle w:val="ECHRHeading5"/>
      </w:pPr>
      <w:r w:rsidRPr="001428D3">
        <w:t>(</w:t>
      </w:r>
      <w:r w:rsidRPr="001428D3" w:rsidR="00133FB8">
        <w:t>ii</w:t>
      </w:r>
      <w:r w:rsidRPr="001428D3">
        <w:t>)  </w:t>
      </w:r>
      <w:r w:rsidRPr="001428D3" w:rsidR="00EE500F">
        <w:t>Whether the applicants lack “victim status”</w:t>
      </w:r>
    </w:p>
    <w:p w:rsidRPr="001428D3" w:rsidR="005521CC" w:rsidP="001428D3" w:rsidRDefault="002725A3">
      <w:pPr>
        <w:pStyle w:val="ECHRPara"/>
      </w:pPr>
      <w:r w:rsidRPr="001428D3">
        <w:fldChar w:fldCharType="begin"/>
      </w:r>
      <w:r w:rsidRPr="001428D3">
        <w:instrText xml:space="preserve"> SEQ level0 \*arabic </w:instrText>
      </w:r>
      <w:r w:rsidRPr="001428D3">
        <w:fldChar w:fldCharType="separate"/>
      </w:r>
      <w:r w:rsidRPr="001428D3" w:rsidR="001428D3">
        <w:rPr>
          <w:noProof/>
        </w:rPr>
        <w:t>104</w:t>
      </w:r>
      <w:r w:rsidRPr="001428D3">
        <w:fldChar w:fldCharType="end"/>
      </w:r>
      <w:r w:rsidRPr="001428D3">
        <w:t>.  </w:t>
      </w:r>
      <w:r w:rsidRPr="001428D3" w:rsidR="008040B1">
        <w:t>The</w:t>
      </w:r>
      <w:r w:rsidRPr="001428D3" w:rsidR="00EE500F">
        <w:t xml:space="preserve"> Government</w:t>
      </w:r>
      <w:r w:rsidRPr="001428D3">
        <w:t xml:space="preserve"> submitted that</w:t>
      </w:r>
      <w:r w:rsidRPr="001428D3" w:rsidR="008040B1">
        <w:t xml:space="preserve"> </w:t>
      </w:r>
      <w:r w:rsidRPr="001428D3">
        <w:t>the Administrative Court of Appeal in its decision of 21 January 2014 had declared the NUCI</w:t>
      </w:r>
      <w:r w:rsidRPr="001428D3" w:rsidR="001428D3">
        <w:t>’</w:t>
      </w:r>
      <w:r w:rsidRPr="001428D3">
        <w:t>s actions of 3</w:t>
      </w:r>
      <w:r w:rsidRPr="001428D3" w:rsidR="00CB2388">
        <w:t> </w:t>
      </w:r>
      <w:r w:rsidRPr="001428D3">
        <w:t>November 2013 unlawful; therefore</w:t>
      </w:r>
      <w:r w:rsidRPr="001428D3" w:rsidR="00EB1A48">
        <w:t>,</w:t>
      </w:r>
      <w:r w:rsidRPr="001428D3">
        <w:t xml:space="preserve"> </w:t>
      </w:r>
      <w:r w:rsidRPr="001428D3" w:rsidR="00EB1A48">
        <w:t xml:space="preserve">the </w:t>
      </w:r>
      <w:r w:rsidRPr="001428D3">
        <w:t xml:space="preserve">issue had </w:t>
      </w:r>
      <w:r w:rsidRPr="001428D3" w:rsidR="00EB1A48">
        <w:t xml:space="preserve">already </w:t>
      </w:r>
      <w:r w:rsidRPr="001428D3">
        <w:t>been addressed at domestic level.</w:t>
      </w:r>
    </w:p>
    <w:p w:rsidRPr="001428D3" w:rsidR="005521CC" w:rsidP="001428D3" w:rsidRDefault="002725A3">
      <w:pPr>
        <w:pStyle w:val="ECHRPara"/>
      </w:pPr>
      <w:r w:rsidRPr="001428D3">
        <w:fldChar w:fldCharType="begin"/>
      </w:r>
      <w:r w:rsidRPr="001428D3">
        <w:instrText xml:space="preserve"> SEQ level0 \*arabic </w:instrText>
      </w:r>
      <w:r w:rsidRPr="001428D3">
        <w:fldChar w:fldCharType="separate"/>
      </w:r>
      <w:r w:rsidRPr="001428D3" w:rsidR="001428D3">
        <w:rPr>
          <w:noProof/>
        </w:rPr>
        <w:t>105</w:t>
      </w:r>
      <w:r w:rsidRPr="001428D3">
        <w:fldChar w:fldCharType="end"/>
      </w:r>
      <w:r w:rsidRPr="001428D3">
        <w:t>.  The applicants did not submit any particular comment</w:t>
      </w:r>
      <w:r w:rsidRPr="001428D3" w:rsidR="00EB1A48">
        <w:t>s</w:t>
      </w:r>
      <w:r w:rsidRPr="001428D3">
        <w:t>.</w:t>
      </w:r>
    </w:p>
    <w:p w:rsidRPr="001428D3" w:rsidR="00A22E8B" w:rsidP="001428D3" w:rsidRDefault="00DF4450">
      <w:pPr>
        <w:pStyle w:val="ECHRPara"/>
        <w:rPr>
          <w:rFonts w:eastAsia="Times New Roman"/>
        </w:rPr>
      </w:pPr>
      <w:r w:rsidRPr="001428D3">
        <w:fldChar w:fldCharType="begin"/>
      </w:r>
      <w:r w:rsidRPr="001428D3">
        <w:instrText xml:space="preserve"> SEQ level0 \*arabic </w:instrText>
      </w:r>
      <w:r w:rsidRPr="001428D3">
        <w:fldChar w:fldCharType="separate"/>
      </w:r>
      <w:r w:rsidRPr="001428D3" w:rsidR="001428D3">
        <w:rPr>
          <w:noProof/>
        </w:rPr>
        <w:t>106</w:t>
      </w:r>
      <w:r w:rsidRPr="001428D3">
        <w:fldChar w:fldCharType="end"/>
      </w:r>
      <w:r w:rsidRPr="001428D3">
        <w:t>.  </w:t>
      </w:r>
      <w:r w:rsidRPr="001428D3" w:rsidR="0001044B">
        <w:t>In the light of the foregoing (see</w:t>
      </w:r>
      <w:r w:rsidRPr="001428D3">
        <w:t xml:space="preserve"> paragraphs </w:t>
      </w:r>
      <w:r w:rsidRPr="001428D3" w:rsidR="006E0815">
        <w:t>76</w:t>
      </w:r>
      <w:r w:rsidRPr="001428D3">
        <w:t>-</w:t>
      </w:r>
      <w:r w:rsidRPr="001428D3" w:rsidR="006E0815">
        <w:t xml:space="preserve">79 </w:t>
      </w:r>
      <w:r w:rsidRPr="001428D3">
        <w:t>above</w:t>
      </w:r>
      <w:r w:rsidRPr="001428D3" w:rsidR="0001044B">
        <w:t>)</w:t>
      </w:r>
      <w:r w:rsidRPr="001428D3" w:rsidR="00EB1A48">
        <w:t>, the Court</w:t>
      </w:r>
      <w:r w:rsidRPr="001428D3" w:rsidR="00A22E8B">
        <w:rPr>
          <w:rFonts w:eastAsia="Times New Roman"/>
        </w:rPr>
        <w:t xml:space="preserve"> considers that the national authorities did not afford redress to the applicants in respect of their complaint </w:t>
      </w:r>
      <w:r w:rsidRPr="001428D3" w:rsidR="00EB1A48">
        <w:rPr>
          <w:rFonts w:eastAsia="Times New Roman"/>
        </w:rPr>
        <w:t xml:space="preserve">of </w:t>
      </w:r>
      <w:r w:rsidRPr="001428D3" w:rsidR="00D95B7E">
        <w:rPr>
          <w:rFonts w:eastAsia="Times New Roman"/>
        </w:rPr>
        <w:t>a</w:t>
      </w:r>
      <w:r w:rsidRPr="001428D3" w:rsidR="00EB1A48">
        <w:rPr>
          <w:rFonts w:eastAsia="Times New Roman"/>
        </w:rPr>
        <w:t xml:space="preserve"> </w:t>
      </w:r>
      <w:r w:rsidRPr="001428D3" w:rsidR="00D95B7E">
        <w:rPr>
          <w:rFonts w:eastAsia="Times New Roman"/>
        </w:rPr>
        <w:t>breach of their right to</w:t>
      </w:r>
      <w:r w:rsidRPr="001428D3" w:rsidR="00EB1A48">
        <w:rPr>
          <w:rFonts w:eastAsia="Times New Roman"/>
        </w:rPr>
        <w:t xml:space="preserve"> respect for their </w:t>
      </w:r>
      <w:r w:rsidRPr="001428D3" w:rsidR="00D95B7E">
        <w:rPr>
          <w:rFonts w:eastAsia="Times New Roman"/>
        </w:rPr>
        <w:t>home</w:t>
      </w:r>
      <w:r w:rsidRPr="001428D3" w:rsidR="0001044B">
        <w:rPr>
          <w:rFonts w:eastAsia="Times New Roman"/>
        </w:rPr>
        <w:t xml:space="preserve"> and that</w:t>
      </w:r>
      <w:r w:rsidRPr="001428D3" w:rsidR="00A22E8B">
        <w:rPr>
          <w:rFonts w:eastAsia="Times New Roman"/>
        </w:rPr>
        <w:t xml:space="preserve"> they can still claim to be victims of the violation</w:t>
      </w:r>
      <w:r w:rsidRPr="001428D3" w:rsidR="0001044B">
        <w:rPr>
          <w:rFonts w:eastAsia="Times New Roman"/>
        </w:rPr>
        <w:t xml:space="preserve"> alleged</w:t>
      </w:r>
      <w:r w:rsidRPr="001428D3" w:rsidR="00A22E8B">
        <w:rPr>
          <w:rFonts w:eastAsia="Times New Roman"/>
        </w:rPr>
        <w:t>.</w:t>
      </w:r>
    </w:p>
    <w:p w:rsidRPr="001428D3" w:rsidR="00DF4450" w:rsidP="001428D3" w:rsidRDefault="00DF4450">
      <w:pPr>
        <w:pStyle w:val="ECHRHeading5"/>
      </w:pPr>
      <w:r w:rsidRPr="001428D3">
        <w:t>(</w:t>
      </w:r>
      <w:r w:rsidRPr="001428D3" w:rsidR="003A7FB3">
        <w:t>iii</w:t>
      </w:r>
      <w:r w:rsidRPr="001428D3">
        <w:t>)  Conclusion</w:t>
      </w:r>
    </w:p>
    <w:p w:rsidRPr="001428D3" w:rsidR="005521CC" w:rsidP="001428D3" w:rsidRDefault="00DF4450">
      <w:pPr>
        <w:pStyle w:val="ECHRPara"/>
      </w:pPr>
      <w:r w:rsidRPr="001428D3">
        <w:fldChar w:fldCharType="begin"/>
      </w:r>
      <w:r w:rsidRPr="001428D3">
        <w:instrText xml:space="preserve"> SEQ level0 \*arabic </w:instrText>
      </w:r>
      <w:r w:rsidRPr="001428D3">
        <w:fldChar w:fldCharType="separate"/>
      </w:r>
      <w:r w:rsidRPr="001428D3" w:rsidR="001428D3">
        <w:rPr>
          <w:noProof/>
        </w:rPr>
        <w:t>107</w:t>
      </w:r>
      <w:r w:rsidRPr="001428D3">
        <w:fldChar w:fldCharType="end"/>
      </w:r>
      <w:r w:rsidRPr="001428D3">
        <w:t>.  The Court considers that the</w:t>
      </w:r>
      <w:r w:rsidRPr="001428D3" w:rsidR="003A7FB3">
        <w:t xml:space="preserve"> </w:t>
      </w:r>
      <w:r w:rsidRPr="001428D3">
        <w:t>applicants</w:t>
      </w:r>
      <w:r w:rsidRPr="001428D3" w:rsidR="001428D3">
        <w:t>’</w:t>
      </w:r>
      <w:r w:rsidRPr="001428D3">
        <w:t xml:space="preserve"> complaint under Articles 8 </w:t>
      </w:r>
      <w:r w:rsidRPr="001428D3" w:rsidR="00A67C19">
        <w:t xml:space="preserve">and </w:t>
      </w:r>
      <w:r w:rsidRPr="001428D3">
        <w:t>13 of the Convention are not manifestly ill-founded within the meaning of Article 35 § 3 of the Convention. It further notes that they are not inadmissible on any other grounds. They must t</w:t>
      </w:r>
      <w:r w:rsidRPr="001428D3" w:rsidR="00CB2388">
        <w:t>herefore be declared admissible, without prejudice to the decision ultimately to be taken on the Government</w:t>
      </w:r>
      <w:r w:rsidRPr="001428D3" w:rsidR="001428D3">
        <w:t>’</w:t>
      </w:r>
      <w:r w:rsidRPr="001428D3" w:rsidR="00CB2388">
        <w:t>s objection of non-exhaustion of domestic remedies.</w:t>
      </w:r>
    </w:p>
    <w:p w:rsidRPr="001428D3" w:rsidR="005521CC" w:rsidP="001428D3" w:rsidRDefault="009547AD">
      <w:pPr>
        <w:pStyle w:val="ECHRHeading3"/>
      </w:pPr>
      <w:bookmarkStart w:name="_Toc498016761" w:id="51"/>
      <w:r w:rsidRPr="001428D3">
        <w:t>2.  Merits</w:t>
      </w:r>
      <w:bookmarkEnd w:id="51"/>
    </w:p>
    <w:p w:rsidRPr="001428D3" w:rsidR="00DF4450" w:rsidP="001428D3" w:rsidRDefault="00A67C19">
      <w:pPr>
        <w:pStyle w:val="ECHRHeading4"/>
      </w:pPr>
      <w:r w:rsidRPr="001428D3">
        <w:t>(</w:t>
      </w:r>
      <w:r w:rsidRPr="001428D3" w:rsidR="002D6658">
        <w:t>a</w:t>
      </w:r>
      <w:r w:rsidRPr="001428D3">
        <w:t>)  </w:t>
      </w:r>
      <w:r w:rsidRPr="001428D3" w:rsidR="00DF4450">
        <w:t>Compliance with Article 8 of the Convention</w:t>
      </w:r>
    </w:p>
    <w:p w:rsidRPr="001428D3" w:rsidR="009547AD" w:rsidP="001428D3" w:rsidRDefault="009547AD">
      <w:pPr>
        <w:pStyle w:val="ECHRHeading5"/>
      </w:pPr>
      <w:r w:rsidRPr="001428D3">
        <w:t>(</w:t>
      </w:r>
      <w:r w:rsidRPr="001428D3" w:rsidR="00A67C19">
        <w:t>i</w:t>
      </w:r>
      <w:r w:rsidRPr="001428D3">
        <w:t>)  The parties</w:t>
      </w:r>
      <w:r w:rsidRPr="001428D3" w:rsidR="001428D3">
        <w:t>’</w:t>
      </w:r>
      <w:r w:rsidRPr="001428D3">
        <w:t xml:space="preserve"> submissions</w:t>
      </w:r>
    </w:p>
    <w:p w:rsidRPr="001428D3" w:rsidR="00AD5459" w:rsidP="001428D3" w:rsidRDefault="00AD5459">
      <w:pPr>
        <w:pStyle w:val="ECHRPara"/>
      </w:pPr>
      <w:r w:rsidRPr="001428D3">
        <w:fldChar w:fldCharType="begin"/>
      </w:r>
      <w:r w:rsidRPr="001428D3">
        <w:instrText xml:space="preserve"> SEQ level0 \*arabic </w:instrText>
      </w:r>
      <w:r w:rsidRPr="001428D3">
        <w:fldChar w:fldCharType="separate"/>
      </w:r>
      <w:r w:rsidRPr="001428D3" w:rsidR="001428D3">
        <w:rPr>
          <w:noProof/>
        </w:rPr>
        <w:t>108</w:t>
      </w:r>
      <w:r w:rsidRPr="001428D3">
        <w:fldChar w:fldCharType="end"/>
      </w:r>
      <w:r w:rsidRPr="001428D3">
        <w:t xml:space="preserve">.  The applicants submitted that their right to respect for their home had been violated on account of their sudden, forced, unlawful and permanent eviction from their homes without any prior official notice. They alleged that on 3 November 2013 officials of the NUCI and MUCI, assisted by the State Police, had suddenly surrounded the building and cordoned it off with yellow police tape. Most of them had only learned of the situation by chance through the media or </w:t>
      </w:r>
      <w:r w:rsidRPr="001428D3" w:rsidR="00B068B9">
        <w:t xml:space="preserve">by telephone </w:t>
      </w:r>
      <w:r w:rsidRPr="001428D3">
        <w:t>from the guards of the building. Those of them who had been inside their properties at the time had been forcibly removed and, from that moment onwards, all of them had been prevented from having access to their homes, even to recover their most essential belongings and valuables before the building was demolished. They also submitted that upon delivery of the interim decision, they had finally been allowed to return to their homes, provided they showed a certificate of ownership and a valid identity card (ID).</w:t>
      </w:r>
    </w:p>
    <w:p w:rsidRPr="001428D3" w:rsidR="00AD5459" w:rsidP="001428D3" w:rsidRDefault="00AD5459">
      <w:pPr>
        <w:pStyle w:val="ECHRPara"/>
      </w:pPr>
      <w:r w:rsidRPr="001428D3">
        <w:fldChar w:fldCharType="begin"/>
      </w:r>
      <w:r w:rsidRPr="001428D3">
        <w:instrText xml:space="preserve"> SEQ level0 \*arabic </w:instrText>
      </w:r>
      <w:r w:rsidRPr="001428D3">
        <w:fldChar w:fldCharType="separate"/>
      </w:r>
      <w:r w:rsidRPr="001428D3" w:rsidR="001428D3">
        <w:rPr>
          <w:noProof/>
        </w:rPr>
        <w:t>109</w:t>
      </w:r>
      <w:r w:rsidRPr="001428D3">
        <w:fldChar w:fldCharType="end"/>
      </w:r>
      <w:r w:rsidRPr="001428D3">
        <w:t>.  The applicants further submitted that the seizure of the building and ensuing impossibility for them to have access to their properties had not been based on a court decision. Furthermore, the seizure of the building had continued in spite of the interim order. The unlawfulness of the administrative authorities</w:t>
      </w:r>
      <w:r w:rsidRPr="001428D3" w:rsidR="001428D3">
        <w:t>’</w:t>
      </w:r>
      <w:r w:rsidRPr="001428D3">
        <w:t xml:space="preserve"> conduct had already been established by the domestic courts. Therefore, the seizure of the applicants</w:t>
      </w:r>
      <w:r w:rsidRPr="001428D3" w:rsidR="001428D3">
        <w:t>’</w:t>
      </w:r>
      <w:r w:rsidRPr="001428D3">
        <w:t xml:space="preserve"> homes and possessions had not been lawful, had not pursued a legitimate aim, and had not been proportionate to any aim pursued.</w:t>
      </w:r>
    </w:p>
    <w:p w:rsidRPr="001428D3" w:rsidR="005521CC" w:rsidP="001428D3" w:rsidRDefault="002D6658">
      <w:pPr>
        <w:pStyle w:val="ECHRPara"/>
      </w:pPr>
      <w:r w:rsidRPr="001428D3">
        <w:fldChar w:fldCharType="begin"/>
      </w:r>
      <w:r w:rsidRPr="001428D3">
        <w:instrText xml:space="preserve"> SEQ level0 \*arabic </w:instrText>
      </w:r>
      <w:r w:rsidRPr="001428D3">
        <w:fldChar w:fldCharType="separate"/>
      </w:r>
      <w:r w:rsidRPr="001428D3" w:rsidR="001428D3">
        <w:rPr>
          <w:noProof/>
        </w:rPr>
        <w:t>110</w:t>
      </w:r>
      <w:r w:rsidRPr="001428D3">
        <w:fldChar w:fldCharType="end"/>
      </w:r>
      <w:r w:rsidRPr="001428D3">
        <w:t>.  </w:t>
      </w:r>
      <w:r w:rsidRPr="001428D3" w:rsidR="009547AD">
        <w:t>The Government</w:t>
      </w:r>
      <w:r w:rsidRPr="001428D3" w:rsidR="0001044B">
        <w:t xml:space="preserve"> acknowledged</w:t>
      </w:r>
      <w:r w:rsidRPr="001428D3" w:rsidR="009547AD">
        <w:t xml:space="preserve"> that there had been an interference with the applicants</w:t>
      </w:r>
      <w:r w:rsidRPr="001428D3" w:rsidR="001428D3">
        <w:t>’</w:t>
      </w:r>
      <w:r w:rsidRPr="001428D3" w:rsidR="009547AD">
        <w:t xml:space="preserve"> right</w:t>
      </w:r>
      <w:r w:rsidRPr="001428D3" w:rsidR="0001044B">
        <w:t>s</w:t>
      </w:r>
      <w:r w:rsidRPr="001428D3" w:rsidR="009547AD">
        <w:t xml:space="preserve"> under Article 8 of the Convention but that interference had </w:t>
      </w:r>
      <w:r w:rsidRPr="001428D3" w:rsidR="0001044B">
        <w:t xml:space="preserve">had </w:t>
      </w:r>
      <w:r w:rsidRPr="001428D3" w:rsidR="006E2D6B">
        <w:t xml:space="preserve">a </w:t>
      </w:r>
      <w:r w:rsidRPr="001428D3" w:rsidR="0001044B">
        <w:t>basis in</w:t>
      </w:r>
      <w:r w:rsidRPr="001428D3" w:rsidR="009547AD">
        <w:t xml:space="preserve"> law and had also pursued a legitimate aim</w:t>
      </w:r>
      <w:r w:rsidRPr="001428D3" w:rsidR="0001044B">
        <w:t>, namely</w:t>
      </w:r>
      <w:r w:rsidRPr="001428D3" w:rsidR="009547AD">
        <w:t xml:space="preserve"> the recovery and reconstruction of the seafront of the city. As to the proportionality </w:t>
      </w:r>
      <w:r w:rsidRPr="001428D3" w:rsidR="00CA72BA">
        <w:t xml:space="preserve">test, </w:t>
      </w:r>
      <w:r w:rsidRPr="001428D3" w:rsidR="009547AD">
        <w:t>the Government submitted that a balance had been maintained between the applicants</w:t>
      </w:r>
      <w:r w:rsidRPr="001428D3" w:rsidR="001428D3">
        <w:t>’</w:t>
      </w:r>
      <w:r w:rsidRPr="001428D3" w:rsidR="009547AD">
        <w:t xml:space="preserve"> rights and the public interest. The applicants had </w:t>
      </w:r>
      <w:r w:rsidRPr="001428D3" w:rsidR="0001044B">
        <w:t xml:space="preserve">also </w:t>
      </w:r>
      <w:r w:rsidRPr="001428D3" w:rsidR="009547AD">
        <w:t xml:space="preserve">been awarded </w:t>
      </w:r>
      <w:r w:rsidRPr="001428D3" w:rsidR="00537DAF">
        <w:t>fair</w:t>
      </w:r>
      <w:r w:rsidRPr="001428D3" w:rsidR="009547AD">
        <w:t xml:space="preserve"> compensation. The circumstances in the present case were different </w:t>
      </w:r>
      <w:r w:rsidRPr="001428D3" w:rsidR="0001044B">
        <w:t xml:space="preserve">to </w:t>
      </w:r>
      <w:r w:rsidRPr="001428D3" w:rsidR="009547AD">
        <w:t xml:space="preserve">those in the cases of </w:t>
      </w:r>
      <w:r w:rsidRPr="001428D3" w:rsidR="009547AD">
        <w:rPr>
          <w:i/>
        </w:rPr>
        <w:t xml:space="preserve">Demades v. Turkey </w:t>
      </w:r>
      <w:r w:rsidRPr="001428D3" w:rsidR="009547AD">
        <w:t>(no. 16219/90, 31 July 2003), and</w:t>
      </w:r>
      <w:r w:rsidRPr="001428D3" w:rsidR="009547AD">
        <w:rPr>
          <w:i/>
        </w:rPr>
        <w:t xml:space="preserve"> Loizidou v. Turkey</w:t>
      </w:r>
      <w:r w:rsidRPr="001428D3" w:rsidR="005B2DBE">
        <w:t xml:space="preserve"> (merits) (18 December </w:t>
      </w:r>
      <w:r w:rsidRPr="001428D3" w:rsidR="009547AD">
        <w:t xml:space="preserve">1996, </w:t>
      </w:r>
      <w:r w:rsidRPr="001428D3" w:rsidR="009547AD">
        <w:rPr>
          <w:i/>
        </w:rPr>
        <w:t xml:space="preserve">Reports </w:t>
      </w:r>
      <w:r w:rsidRPr="001428D3" w:rsidR="009547AD">
        <w:t>1996</w:t>
      </w:r>
      <w:r w:rsidRPr="001428D3" w:rsidR="009547AD">
        <w:noBreakHyphen/>
        <w:t>VI).</w:t>
      </w:r>
    </w:p>
    <w:p w:rsidRPr="001428D3" w:rsidR="005521CC" w:rsidP="001428D3" w:rsidRDefault="001E5C58">
      <w:pPr>
        <w:pStyle w:val="ECHRPara"/>
      </w:pPr>
      <w:r w:rsidRPr="001428D3">
        <w:fldChar w:fldCharType="begin"/>
      </w:r>
      <w:r w:rsidRPr="001428D3">
        <w:instrText xml:space="preserve"> SEQ level0 \*arabic </w:instrText>
      </w:r>
      <w:r w:rsidRPr="001428D3">
        <w:fldChar w:fldCharType="separate"/>
      </w:r>
      <w:r w:rsidRPr="001428D3" w:rsidR="001428D3">
        <w:rPr>
          <w:noProof/>
        </w:rPr>
        <w:t>111</w:t>
      </w:r>
      <w:r w:rsidRPr="001428D3">
        <w:fldChar w:fldCharType="end"/>
      </w:r>
      <w:r w:rsidRPr="001428D3">
        <w:t>.  </w:t>
      </w:r>
      <w:r w:rsidRPr="001428D3" w:rsidR="009547AD">
        <w:t>Furthermore, the Government submitted that the applicants</w:t>
      </w:r>
      <w:r w:rsidRPr="001428D3" w:rsidR="001428D3">
        <w:t>’</w:t>
      </w:r>
      <w:r w:rsidRPr="001428D3" w:rsidR="009547AD">
        <w:t xml:space="preserve"> </w:t>
      </w:r>
      <w:r w:rsidRPr="001428D3" w:rsidR="0015254B">
        <w:t xml:space="preserve">flats </w:t>
      </w:r>
      <w:r w:rsidRPr="001428D3" w:rsidR="00EE075F">
        <w:t xml:space="preserve">had been </w:t>
      </w:r>
      <w:r w:rsidRPr="001428D3" w:rsidR="009547AD">
        <w:t>mainly summer homes and that the</w:t>
      </w:r>
      <w:r w:rsidRPr="001428D3" w:rsidR="00EE075F">
        <w:t>y</w:t>
      </w:r>
      <w:r w:rsidRPr="001428D3" w:rsidR="009547AD">
        <w:t xml:space="preserve"> </w:t>
      </w:r>
      <w:r w:rsidRPr="001428D3" w:rsidR="00EE075F">
        <w:t xml:space="preserve">had </w:t>
      </w:r>
      <w:r w:rsidRPr="001428D3" w:rsidR="009547AD">
        <w:t xml:space="preserve">not </w:t>
      </w:r>
      <w:r w:rsidRPr="001428D3" w:rsidR="00EE075F">
        <w:t xml:space="preserve">had </w:t>
      </w:r>
      <w:r w:rsidRPr="001428D3" w:rsidR="00B96E72">
        <w:t xml:space="preserve">to bear </w:t>
      </w:r>
      <w:r w:rsidRPr="001428D3" w:rsidR="009547AD">
        <w:t xml:space="preserve">too much of a burden. </w:t>
      </w:r>
      <w:r w:rsidRPr="001428D3" w:rsidR="009D6B7D">
        <w:t>They noted that after the interim order of 7 November 2013 the applicants themselves</w:t>
      </w:r>
      <w:r w:rsidRPr="001428D3" w:rsidR="00EE075F">
        <w:t xml:space="preserve"> had</w:t>
      </w:r>
      <w:r w:rsidRPr="001428D3" w:rsidR="009D6B7D">
        <w:t xml:space="preserve"> admitted that they </w:t>
      </w:r>
      <w:r w:rsidRPr="001428D3" w:rsidR="00EE075F">
        <w:t xml:space="preserve">had been </w:t>
      </w:r>
      <w:r w:rsidRPr="001428D3" w:rsidR="009D6B7D">
        <w:t xml:space="preserve">allowed to enter their </w:t>
      </w:r>
      <w:r w:rsidRPr="001428D3" w:rsidR="0015254B">
        <w:t>flats</w:t>
      </w:r>
      <w:r w:rsidRPr="001428D3" w:rsidR="009D6B7D">
        <w:t xml:space="preserve">. </w:t>
      </w:r>
      <w:r w:rsidRPr="001428D3" w:rsidR="009547AD">
        <w:t>The</w:t>
      </w:r>
      <w:r w:rsidRPr="001428D3" w:rsidR="009D6B7D">
        <w:t xml:space="preserve"> Government</w:t>
      </w:r>
      <w:r w:rsidRPr="001428D3" w:rsidR="009547AD">
        <w:t xml:space="preserve"> also submitted that the use of yellow police crime scene </w:t>
      </w:r>
      <w:r w:rsidRPr="001428D3" w:rsidR="00D35FA9">
        <w:t xml:space="preserve">tape </w:t>
      </w:r>
      <w:r w:rsidRPr="001428D3" w:rsidR="00EE075F">
        <w:t xml:space="preserve">had been </w:t>
      </w:r>
      <w:r w:rsidRPr="001428D3" w:rsidR="009547AD">
        <w:t xml:space="preserve">standard procedure </w:t>
      </w:r>
      <w:r w:rsidRPr="001428D3" w:rsidR="00202778">
        <w:t xml:space="preserve">for </w:t>
      </w:r>
      <w:r w:rsidRPr="001428D3" w:rsidR="009547AD">
        <w:t xml:space="preserve">the NUCI (see also paragraph </w:t>
      </w:r>
      <w:r w:rsidRPr="001428D3" w:rsidR="00094F07">
        <w:t>17</w:t>
      </w:r>
      <w:r w:rsidRPr="001428D3" w:rsidR="00EA6D20">
        <w:t>7</w:t>
      </w:r>
      <w:r w:rsidRPr="001428D3" w:rsidR="00094F07">
        <w:t xml:space="preserve"> </w:t>
      </w:r>
      <w:r w:rsidRPr="001428D3" w:rsidR="009547AD">
        <w:t>below).</w:t>
      </w:r>
      <w:r w:rsidRPr="001428D3" w:rsidR="009D6B7D">
        <w:t xml:space="preserve"> </w:t>
      </w:r>
      <w:r w:rsidRPr="001428D3" w:rsidR="009547AD">
        <w:t xml:space="preserve">In their oral </w:t>
      </w:r>
      <w:r w:rsidRPr="001428D3" w:rsidR="00F245C4">
        <w:t xml:space="preserve">submissions </w:t>
      </w:r>
      <w:r w:rsidRPr="001428D3" w:rsidR="009547AD">
        <w:t xml:space="preserve">the Government submitted that </w:t>
      </w:r>
      <w:r w:rsidRPr="001428D3" w:rsidR="00EE075F">
        <w:t xml:space="preserve">the </w:t>
      </w:r>
      <w:r w:rsidRPr="001428D3" w:rsidR="009547AD">
        <w:t xml:space="preserve">issue was closely related to the examination of the case under Article 1 of Protocol No. 1 concerning the expropriation </w:t>
      </w:r>
      <w:r w:rsidRPr="001428D3" w:rsidR="00EC50A2">
        <w:t>procedure</w:t>
      </w:r>
      <w:r w:rsidRPr="001428D3" w:rsidR="009547AD">
        <w:t>.</w:t>
      </w:r>
    </w:p>
    <w:p w:rsidRPr="001428D3" w:rsidR="009547AD" w:rsidP="001428D3" w:rsidRDefault="003F295C">
      <w:pPr>
        <w:pStyle w:val="ECHRHeading5"/>
      </w:pPr>
      <w:r w:rsidRPr="001428D3">
        <w:t>(ii</w:t>
      </w:r>
      <w:r w:rsidRPr="001428D3" w:rsidR="009547AD">
        <w:t>)  The Court</w:t>
      </w:r>
      <w:r w:rsidRPr="001428D3" w:rsidR="001428D3">
        <w:t>’</w:t>
      </w:r>
      <w:r w:rsidRPr="001428D3" w:rsidR="009547AD">
        <w:t>s assessment</w:t>
      </w:r>
    </w:p>
    <w:p w:rsidRPr="001428D3" w:rsidR="009547AD" w:rsidP="001428D3" w:rsidRDefault="009547AD">
      <w:pPr>
        <w:pStyle w:val="ECHRHeading6"/>
      </w:pPr>
      <w:r w:rsidRPr="001428D3">
        <w:t>(</w:t>
      </w:r>
      <w:r w:rsidRPr="001428D3" w:rsidR="003F295C">
        <w:rPr>
          <w:rFonts w:cstheme="majorHAnsi"/>
        </w:rPr>
        <w:t>α</w:t>
      </w:r>
      <w:r w:rsidRPr="001428D3">
        <w:t>)  Whether the Jon Residence was the applicants</w:t>
      </w:r>
      <w:r w:rsidRPr="001428D3" w:rsidR="001428D3">
        <w:t>’</w:t>
      </w:r>
      <w:r w:rsidRPr="001428D3">
        <w:t xml:space="preserve"> “home” within the meaning of Article 8 of the Convention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112</w:t>
      </w:r>
      <w:r w:rsidRPr="001428D3">
        <w:rPr>
          <w:noProof/>
        </w:rPr>
        <w:fldChar w:fldCharType="end"/>
      </w:r>
      <w:r w:rsidRPr="001428D3" w:rsidR="009547AD">
        <w:t xml:space="preserve">.  The Court notes </w:t>
      </w:r>
      <w:r w:rsidRPr="001428D3" w:rsidR="00D86A58">
        <w:t xml:space="preserve">at the outset </w:t>
      </w:r>
      <w:r w:rsidRPr="001428D3" w:rsidR="009547AD">
        <w:t xml:space="preserve">that </w:t>
      </w:r>
      <w:r w:rsidRPr="001428D3" w:rsidR="00950CCE">
        <w:t xml:space="preserve">applicants </w:t>
      </w:r>
      <w:r w:rsidRPr="001428D3" w:rsidR="00B068B9">
        <w:t>nos. 3-19, a</w:t>
      </w:r>
      <w:r w:rsidRPr="001428D3" w:rsidR="00FB74A2">
        <w:t>s</w:t>
      </w:r>
      <w:r w:rsidRPr="001428D3" w:rsidR="00B068B9">
        <w:t xml:space="preserve"> listed in the appendix, </w:t>
      </w:r>
      <w:r w:rsidRPr="001428D3" w:rsidR="00950CCE">
        <w:t>became owners of flats by virtue of</w:t>
      </w:r>
      <w:r w:rsidRPr="001428D3" w:rsidR="005B2DBE">
        <w:t xml:space="preserve"> purchase agreements (see </w:t>
      </w:r>
      <w:r w:rsidRPr="001428D3" w:rsidR="00950CCE">
        <w:t xml:space="preserve">paragraph 8 above). </w:t>
      </w:r>
      <w:r w:rsidRPr="001428D3" w:rsidR="00D86A58">
        <w:t xml:space="preserve">It observes that they had </w:t>
      </w:r>
      <w:r w:rsidRPr="001428D3" w:rsidR="00950CCE">
        <w:t xml:space="preserve">submitted </w:t>
      </w:r>
      <w:r w:rsidRPr="001428D3" w:rsidR="00D86A58">
        <w:t xml:space="preserve">sufficient </w:t>
      </w:r>
      <w:r w:rsidRPr="001428D3" w:rsidR="00950CCE">
        <w:t xml:space="preserve">documentary evidence </w:t>
      </w:r>
      <w:r w:rsidRPr="001428D3" w:rsidR="00D86A58">
        <w:t xml:space="preserve">showing that, </w:t>
      </w:r>
      <w:r w:rsidRPr="001428D3" w:rsidR="003362D2">
        <w:t xml:space="preserve">upon completion of the construction works, </w:t>
      </w:r>
      <w:r w:rsidRPr="001428D3" w:rsidR="00D86A58">
        <w:t>their</w:t>
      </w:r>
      <w:r w:rsidRPr="001428D3" w:rsidR="003362D2">
        <w:t xml:space="preserve"> flats were furnished and </w:t>
      </w:r>
      <w:r w:rsidRPr="001428D3" w:rsidR="00D86A58">
        <w:t xml:space="preserve">used as holiday homes (see paragraph 9 above). It also notes that </w:t>
      </w:r>
      <w:r w:rsidRPr="001428D3" w:rsidR="003362D2">
        <w:t xml:space="preserve">some of the applicants already started to make regular use of and lived </w:t>
      </w:r>
      <w:r w:rsidRPr="001428D3" w:rsidR="00B068B9">
        <w:t xml:space="preserve">in their flats. </w:t>
      </w:r>
      <w:r w:rsidRPr="001428D3" w:rsidR="00E810F5">
        <w:t>The Court further notes that the applicants</w:t>
      </w:r>
      <w:r w:rsidRPr="001428D3" w:rsidR="001428D3">
        <w:t>’</w:t>
      </w:r>
      <w:r w:rsidRPr="001428D3" w:rsidR="00E810F5">
        <w:t xml:space="preserve"> flats were treated by them as a home. </w:t>
      </w:r>
      <w:r w:rsidRPr="001428D3" w:rsidR="004D0362">
        <w:t>For all the above considerations, t</w:t>
      </w:r>
      <w:r w:rsidRPr="001428D3" w:rsidR="00E810F5">
        <w:t xml:space="preserve">he Court, having regard </w:t>
      </w:r>
      <w:r w:rsidRPr="001428D3" w:rsidR="004D0362">
        <w:t xml:space="preserve">also </w:t>
      </w:r>
      <w:r w:rsidRPr="001428D3" w:rsidR="00E810F5">
        <w:t xml:space="preserve">to the documents in the case file, </w:t>
      </w:r>
      <w:r w:rsidRPr="001428D3" w:rsidR="001E5C58">
        <w:t>concludes</w:t>
      </w:r>
      <w:r w:rsidRPr="001428D3" w:rsidR="00E810F5">
        <w:t xml:space="preserve"> that </w:t>
      </w:r>
      <w:r w:rsidRPr="001428D3" w:rsidR="00202778">
        <w:t xml:space="preserve">although some of </w:t>
      </w:r>
      <w:r w:rsidRPr="001428D3" w:rsidR="009547AD">
        <w:t>the applicants</w:t>
      </w:r>
      <w:r w:rsidRPr="001428D3" w:rsidR="001428D3">
        <w:t>’</w:t>
      </w:r>
      <w:r w:rsidRPr="001428D3" w:rsidR="009547AD">
        <w:t xml:space="preserve"> flats</w:t>
      </w:r>
      <w:r w:rsidRPr="001428D3" w:rsidR="00AC5E66">
        <w:t xml:space="preserve"> were</w:t>
      </w:r>
      <w:r w:rsidRPr="001428D3" w:rsidR="009547AD">
        <w:t xml:space="preserve"> used as holiday homes </w:t>
      </w:r>
      <w:r w:rsidRPr="001428D3" w:rsidR="00202778">
        <w:t xml:space="preserve">they </w:t>
      </w:r>
      <w:r w:rsidRPr="001428D3" w:rsidR="006E6100">
        <w:t xml:space="preserve">qualify </w:t>
      </w:r>
      <w:r w:rsidRPr="001428D3" w:rsidR="009547AD">
        <w:t xml:space="preserve">as </w:t>
      </w:r>
      <w:r w:rsidRPr="001428D3" w:rsidR="00AC5E66">
        <w:t>“</w:t>
      </w:r>
      <w:r w:rsidRPr="001428D3" w:rsidR="009547AD">
        <w:t>home</w:t>
      </w:r>
      <w:r w:rsidRPr="001428D3" w:rsidR="00AC5E66">
        <w:t>s”</w:t>
      </w:r>
      <w:r w:rsidRPr="001428D3" w:rsidR="009547AD">
        <w:t xml:space="preserve"> for the purpose</w:t>
      </w:r>
      <w:r w:rsidRPr="001428D3" w:rsidR="00202778">
        <w:t>s</w:t>
      </w:r>
      <w:r w:rsidRPr="001428D3" w:rsidR="009547AD">
        <w:t xml:space="preserve"> of Article 8 of the Convention</w:t>
      </w:r>
      <w:r w:rsidRPr="001428D3" w:rsidR="00202778">
        <w:t xml:space="preserve"> as</w:t>
      </w:r>
      <w:r w:rsidRPr="001428D3" w:rsidR="009547AD">
        <w:t xml:space="preserve"> the applicants </w:t>
      </w:r>
      <w:r w:rsidRPr="001428D3" w:rsidR="00202778">
        <w:t xml:space="preserve">would have also </w:t>
      </w:r>
      <w:r w:rsidRPr="001428D3" w:rsidR="009547AD">
        <w:t>formed emotional tie</w:t>
      </w:r>
      <w:r w:rsidRPr="001428D3" w:rsidR="00866A8B">
        <w:t>s</w:t>
      </w:r>
      <w:r w:rsidRPr="001428D3" w:rsidR="009547AD">
        <w:t xml:space="preserve"> with their second homes (see </w:t>
      </w:r>
      <w:r w:rsidRPr="001428D3" w:rsidR="009547AD">
        <w:rPr>
          <w:i/>
        </w:rPr>
        <w:t>Demades</w:t>
      </w:r>
      <w:r w:rsidRPr="001428D3" w:rsidR="009547AD">
        <w:t>, cited above, § 34).</w:t>
      </w:r>
    </w:p>
    <w:p w:rsidRPr="001428D3" w:rsidR="009547AD" w:rsidP="001428D3" w:rsidRDefault="009547AD">
      <w:pPr>
        <w:pStyle w:val="ECHRHeading6"/>
      </w:pPr>
      <w:r w:rsidRPr="001428D3">
        <w:t>(</w:t>
      </w:r>
      <w:r w:rsidRPr="001428D3" w:rsidR="003F295C">
        <w:rPr>
          <w:rFonts w:cstheme="majorHAnsi"/>
        </w:rPr>
        <w:t>ß</w:t>
      </w:r>
      <w:r w:rsidRPr="001428D3">
        <w:t>)  </w:t>
      </w:r>
      <w:r w:rsidRPr="001428D3" w:rsidR="00646C87">
        <w:t xml:space="preserve">Whether there was an </w:t>
      </w:r>
      <w:r w:rsidRPr="001428D3">
        <w:t>interference by a public authority with the applicants</w:t>
      </w:r>
      <w:r w:rsidRPr="001428D3" w:rsidR="001428D3">
        <w:t>’</w:t>
      </w:r>
      <w:r w:rsidRPr="001428D3">
        <w:t xml:space="preserve"> right to respect for their homes</w:t>
      </w:r>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113</w:t>
      </w:r>
      <w:r w:rsidRPr="001428D3">
        <w:fldChar w:fldCharType="end"/>
      </w:r>
      <w:r w:rsidRPr="001428D3">
        <w:t>.  Having established that the flats in question were the applicants</w:t>
      </w:r>
      <w:r w:rsidRPr="001428D3" w:rsidR="001428D3">
        <w:t>’</w:t>
      </w:r>
      <w:r w:rsidRPr="001428D3">
        <w:t xml:space="preserve"> homes for the purposes of Article 8 of the Convention, the Court has to determine whether there was an interference with their right to respect for their homes by a public authority.</w:t>
      </w:r>
    </w:p>
    <w:p w:rsidRPr="001428D3" w:rsidR="009547AD"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114</w:t>
      </w:r>
      <w:r w:rsidRPr="001428D3">
        <w:rPr>
          <w:noProof/>
        </w:rPr>
        <w:fldChar w:fldCharType="end"/>
      </w:r>
      <w:r w:rsidRPr="001428D3" w:rsidR="009547AD">
        <w:t xml:space="preserve">.  The Court notes that the domestic courts established that the applicants </w:t>
      </w:r>
      <w:r w:rsidRPr="001428D3" w:rsidR="005A6CC6">
        <w:t xml:space="preserve">had been </w:t>
      </w:r>
      <w:r w:rsidRPr="001428D3" w:rsidR="009547AD">
        <w:t xml:space="preserve">unable to have access to their homes (see paragraphs </w:t>
      </w:r>
      <w:r w:rsidRPr="001428D3" w:rsidR="00AB71AD">
        <w:t>19</w:t>
      </w:r>
      <w:r w:rsidRPr="001428D3" w:rsidR="009547AD">
        <w:t xml:space="preserve">, </w:t>
      </w:r>
      <w:r w:rsidRPr="001428D3" w:rsidR="00AB71AD">
        <w:t>26</w:t>
      </w:r>
      <w:r w:rsidRPr="001428D3" w:rsidR="009547AD">
        <w:t>-</w:t>
      </w:r>
      <w:r w:rsidRPr="001428D3" w:rsidR="00AB71AD">
        <w:t>27</w:t>
      </w:r>
      <w:r w:rsidRPr="001428D3" w:rsidR="009547AD">
        <w:t>, 3</w:t>
      </w:r>
      <w:r w:rsidRPr="001428D3" w:rsidR="005E75C7">
        <w:t>7</w:t>
      </w:r>
      <w:r w:rsidRPr="001428D3" w:rsidR="009547AD">
        <w:t xml:space="preserve"> above). The Court further notes that the applicants </w:t>
      </w:r>
      <w:r w:rsidRPr="001428D3" w:rsidR="00AD5459">
        <w:t xml:space="preserve">nevertheless </w:t>
      </w:r>
      <w:r w:rsidRPr="001428D3" w:rsidR="00203770">
        <w:t xml:space="preserve">made </w:t>
      </w:r>
      <w:r w:rsidRPr="001428D3" w:rsidR="00AD5459">
        <w:t xml:space="preserve">clear </w:t>
      </w:r>
      <w:r w:rsidRPr="001428D3" w:rsidR="009547AD">
        <w:t xml:space="preserve">in their written submissions that they </w:t>
      </w:r>
      <w:r w:rsidRPr="001428D3" w:rsidR="005A6CC6">
        <w:t xml:space="preserve">had been </w:t>
      </w:r>
      <w:r w:rsidRPr="001428D3" w:rsidR="009547AD">
        <w:t>allowed to return</w:t>
      </w:r>
      <w:r w:rsidRPr="001428D3" w:rsidR="006E2D6B">
        <w:t xml:space="preserve"> to</w:t>
      </w:r>
      <w:r w:rsidRPr="001428D3" w:rsidR="009547AD">
        <w:t xml:space="preserve"> their homes</w:t>
      </w:r>
      <w:r w:rsidRPr="001428D3" w:rsidR="001D78C2">
        <w:t xml:space="preserve"> in the Jon Residence</w:t>
      </w:r>
      <w:r w:rsidRPr="001428D3" w:rsidR="009547AD">
        <w:t xml:space="preserve">. However, that access was </w:t>
      </w:r>
      <w:r w:rsidRPr="001428D3" w:rsidR="001D78C2">
        <w:t xml:space="preserve">only </w:t>
      </w:r>
      <w:r w:rsidRPr="001428D3" w:rsidR="009547AD">
        <w:t xml:space="preserve">possible </w:t>
      </w:r>
      <w:r w:rsidRPr="001428D3" w:rsidR="001D78C2">
        <w:t>if</w:t>
      </w:r>
      <w:r w:rsidRPr="001428D3" w:rsidR="009547AD">
        <w:t xml:space="preserve"> residents presented a certificate of ownership and valid ID to the authorities. The Court also notes that one of the residents </w:t>
      </w:r>
      <w:r w:rsidRPr="001428D3" w:rsidR="00B068B9">
        <w:t xml:space="preserve">declared </w:t>
      </w:r>
      <w:r w:rsidRPr="001428D3" w:rsidR="009547AD">
        <w:t xml:space="preserve">during the proceedings before the District Prosecutor that he had </w:t>
      </w:r>
      <w:r w:rsidRPr="001428D3" w:rsidR="006D0FC4">
        <w:t xml:space="preserve">only </w:t>
      </w:r>
      <w:r w:rsidRPr="001428D3" w:rsidR="009547AD">
        <w:t xml:space="preserve">been allowed to enter his </w:t>
      </w:r>
      <w:r w:rsidRPr="001428D3" w:rsidR="00C62010">
        <w:t xml:space="preserve">flat </w:t>
      </w:r>
      <w:r w:rsidRPr="001428D3" w:rsidR="009547AD">
        <w:t xml:space="preserve">the day after </w:t>
      </w:r>
      <w:r w:rsidRPr="001428D3" w:rsidR="006D0FC4">
        <w:t>he had</w:t>
      </w:r>
      <w:r w:rsidRPr="001428D3" w:rsidR="009547AD">
        <w:t xml:space="preserve"> shown the authorities </w:t>
      </w:r>
      <w:r w:rsidRPr="001428D3" w:rsidR="0079051C">
        <w:t xml:space="preserve">his </w:t>
      </w:r>
      <w:r w:rsidRPr="001428D3" w:rsidR="00A74944">
        <w:t>certificate of ownership</w:t>
      </w:r>
      <w:r w:rsidRPr="001428D3" w:rsidR="009547AD">
        <w:t xml:space="preserve"> (see paragraph 46 above). The fact that the </w:t>
      </w:r>
      <w:r w:rsidRPr="001428D3" w:rsidR="001D78C2">
        <w:t xml:space="preserve">District </w:t>
      </w:r>
      <w:r w:rsidRPr="001428D3" w:rsidR="009547AD">
        <w:t>Prosecutor, following the first applicant</w:t>
      </w:r>
      <w:r w:rsidRPr="001428D3" w:rsidR="001428D3">
        <w:t>’</w:t>
      </w:r>
      <w:r w:rsidRPr="001428D3" w:rsidR="009547AD">
        <w:t>s criminal complaint, decided not to initiate any criminal proceedings on the ground</w:t>
      </w:r>
      <w:r w:rsidRPr="001428D3" w:rsidR="001D78C2">
        <w:t>s</w:t>
      </w:r>
      <w:r w:rsidRPr="001428D3" w:rsidR="009547AD">
        <w:t xml:space="preserve"> that on 3 November 2013 the authorities had acted in accordance with the law does not alter the decisions of the domestic courts which </w:t>
      </w:r>
      <w:r w:rsidRPr="001428D3" w:rsidR="001D78C2">
        <w:t xml:space="preserve">stated </w:t>
      </w:r>
      <w:r w:rsidRPr="001428D3" w:rsidR="009547AD">
        <w:t>that the actions of 3 November 2013 had been arbitrary</w:t>
      </w:r>
      <w:r w:rsidRPr="001428D3" w:rsidR="006D0FC4">
        <w:t xml:space="preserve"> (see paragraphs </w:t>
      </w:r>
      <w:r w:rsidRPr="001428D3" w:rsidR="00AB71AD">
        <w:t>19</w:t>
      </w:r>
      <w:r w:rsidRPr="001428D3" w:rsidR="006D0FC4">
        <w:t xml:space="preserve">, </w:t>
      </w:r>
      <w:r w:rsidRPr="001428D3" w:rsidR="00AB71AD">
        <w:t>26</w:t>
      </w:r>
      <w:r w:rsidRPr="001428D3" w:rsidR="006D0FC4">
        <w:t>-</w:t>
      </w:r>
      <w:r w:rsidRPr="001428D3" w:rsidR="00AB71AD">
        <w:t xml:space="preserve">27 </w:t>
      </w:r>
      <w:r w:rsidRPr="001428D3" w:rsidR="006D0FC4">
        <w:t>and 37 above)</w:t>
      </w:r>
      <w:r w:rsidRPr="001428D3" w:rsidR="009547AD">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115</w:t>
      </w:r>
      <w:r w:rsidRPr="001428D3">
        <w:rPr>
          <w:noProof/>
        </w:rPr>
        <w:fldChar w:fldCharType="end"/>
      </w:r>
      <w:r w:rsidRPr="001428D3" w:rsidR="009547AD">
        <w:t xml:space="preserve">.  Based on the above considerations, the Court concludes that the applicants </w:t>
      </w:r>
      <w:r w:rsidRPr="001428D3" w:rsidR="001D78C2">
        <w:t>were</w:t>
      </w:r>
      <w:r w:rsidRPr="001428D3" w:rsidR="009547AD">
        <w:t xml:space="preserve"> unable to gain access to and use their homes</w:t>
      </w:r>
      <w:r w:rsidRPr="001428D3" w:rsidR="001D78C2">
        <w:t>, and</w:t>
      </w:r>
      <w:r w:rsidRPr="001428D3" w:rsidR="009547AD">
        <w:t xml:space="preserve"> that access </w:t>
      </w:r>
      <w:r w:rsidRPr="001428D3" w:rsidR="001D78C2">
        <w:t>was</w:t>
      </w:r>
      <w:r w:rsidRPr="001428D3" w:rsidR="009547AD">
        <w:t xml:space="preserve"> only </w:t>
      </w:r>
      <w:r w:rsidRPr="001428D3" w:rsidR="001D78C2">
        <w:t xml:space="preserve">possible if </w:t>
      </w:r>
      <w:r w:rsidRPr="001428D3" w:rsidR="009547AD">
        <w:t>a certificate of ownership and valid ID</w:t>
      </w:r>
      <w:r w:rsidRPr="001428D3" w:rsidR="001D78C2">
        <w:t xml:space="preserve"> were presented</w:t>
      </w:r>
      <w:r w:rsidRPr="001428D3" w:rsidR="009547AD">
        <w:t xml:space="preserve"> to the authorities. </w:t>
      </w:r>
      <w:r w:rsidRPr="001428D3" w:rsidR="006B142E">
        <w:t>Furthermore</w:t>
      </w:r>
      <w:r w:rsidRPr="001428D3" w:rsidR="00203770">
        <w:t>,</w:t>
      </w:r>
      <w:r w:rsidRPr="001428D3" w:rsidR="006B142E">
        <w:t xml:space="preserve"> the Court notes that the fact that some applicants had limited access to their homes under particular conditions does not change the fact that </w:t>
      </w:r>
      <w:r w:rsidRPr="001428D3" w:rsidR="00203770">
        <w:t xml:space="preserve">the </w:t>
      </w:r>
      <w:r w:rsidRPr="001428D3" w:rsidR="006B142E">
        <w:t xml:space="preserve">full and free access </w:t>
      </w:r>
      <w:r w:rsidRPr="001428D3" w:rsidR="006E2D6B">
        <w:t xml:space="preserve">required </w:t>
      </w:r>
      <w:r w:rsidRPr="001428D3" w:rsidR="006B142E">
        <w:t xml:space="preserve">by the interim order was not permitted. </w:t>
      </w:r>
      <w:r w:rsidRPr="001428D3" w:rsidR="009547AD">
        <w:t>The Court thus finds that the police intervention</w:t>
      </w:r>
      <w:r w:rsidRPr="001428D3" w:rsidR="001D78C2">
        <w:t xml:space="preserve">, which led to the </w:t>
      </w:r>
      <w:r w:rsidRPr="001428D3" w:rsidR="009547AD">
        <w:t>building</w:t>
      </w:r>
      <w:r w:rsidRPr="001428D3" w:rsidR="001D78C2">
        <w:t xml:space="preserve"> being surrounded and</w:t>
      </w:r>
      <w:r w:rsidRPr="001428D3" w:rsidR="009547AD">
        <w:t xml:space="preserve"> the applicants </w:t>
      </w:r>
      <w:r w:rsidRPr="001428D3" w:rsidR="001D78C2">
        <w:t>being unable</w:t>
      </w:r>
      <w:r w:rsidRPr="001428D3" w:rsidR="009547AD">
        <w:t xml:space="preserve"> to gain access </w:t>
      </w:r>
      <w:r w:rsidRPr="001428D3" w:rsidR="001D78C2">
        <w:t xml:space="preserve">to </w:t>
      </w:r>
      <w:r w:rsidRPr="001428D3" w:rsidR="009547AD">
        <w:t>and use their homes</w:t>
      </w:r>
      <w:r w:rsidRPr="001428D3" w:rsidR="001D78C2">
        <w:t>,</w:t>
      </w:r>
      <w:r w:rsidRPr="001428D3" w:rsidR="009547AD">
        <w:t xml:space="preserve"> constituted an interference by a public authority with their right to respect for their homes.</w:t>
      </w:r>
    </w:p>
    <w:p w:rsidRPr="001428D3" w:rsidR="009547AD" w:rsidP="001428D3" w:rsidRDefault="009547AD">
      <w:pPr>
        <w:pStyle w:val="ECHRHeading6"/>
      </w:pPr>
      <w:r w:rsidRPr="001428D3">
        <w:t>(</w:t>
      </w:r>
      <w:r w:rsidRPr="001428D3" w:rsidR="003F295C">
        <w:rPr>
          <w:rFonts w:cstheme="majorHAnsi"/>
        </w:rPr>
        <w:t>ʏ</w:t>
      </w:r>
      <w:r w:rsidRPr="001428D3">
        <w:t>)  Whether the interference was justified</w:t>
      </w:r>
    </w:p>
    <w:p w:rsidRPr="001428D3" w:rsidR="00F06307"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116</w:t>
      </w:r>
      <w:r w:rsidRPr="001428D3">
        <w:rPr>
          <w:noProof/>
        </w:rPr>
        <w:fldChar w:fldCharType="end"/>
      </w:r>
      <w:r w:rsidRPr="001428D3" w:rsidR="009F4040">
        <w:t>.  </w:t>
      </w:r>
      <w:r w:rsidRPr="001428D3" w:rsidR="00594199">
        <w:t>According to the Court</w:t>
      </w:r>
      <w:r w:rsidRPr="001428D3" w:rsidR="001428D3">
        <w:t>’</w:t>
      </w:r>
      <w:r w:rsidRPr="001428D3" w:rsidR="00594199">
        <w:t>s</w:t>
      </w:r>
      <w:r w:rsidRPr="001428D3" w:rsidR="0000404B">
        <w:t xml:space="preserve"> case-law, the expression “in accordance with the law” not only requires that the impugned measure should have some basis in domestic law, but also refers to the quality of the law in question, requiring that it should be accessible to the person concerned and foreseeable as to its effects. However, it is for the national authorities, notably the courts, to interpret and apply domestic law (see, among many other authorities, </w:t>
      </w:r>
      <w:r w:rsidRPr="001428D3" w:rsidR="0000404B">
        <w:rPr>
          <w:i/>
        </w:rPr>
        <w:t>Paradiso and Campanelli v. Italy</w:t>
      </w:r>
      <w:r w:rsidRPr="001428D3" w:rsidR="0000404B">
        <w:t xml:space="preserve"> [GC], no. 25358/12, §</w:t>
      </w:r>
      <w:r w:rsidRPr="001428D3" w:rsidR="00E40ABC">
        <w:t> </w:t>
      </w:r>
      <w:r w:rsidRPr="001428D3" w:rsidR="0000404B">
        <w:t>169, ECHR 2017).</w:t>
      </w:r>
    </w:p>
    <w:p w:rsidRPr="001428D3" w:rsidR="005521CC" w:rsidP="001428D3" w:rsidRDefault="009547AD">
      <w:pPr>
        <w:pStyle w:val="ECHRPara"/>
        <w:rPr>
          <w:snapToGrid w:val="0"/>
        </w:rPr>
      </w:pPr>
      <w:r w:rsidRPr="001428D3">
        <w:fldChar w:fldCharType="begin"/>
      </w:r>
      <w:r w:rsidRPr="001428D3">
        <w:instrText xml:space="preserve"> SEQ level0 \*arabic </w:instrText>
      </w:r>
      <w:r w:rsidRPr="001428D3">
        <w:fldChar w:fldCharType="separate"/>
      </w:r>
      <w:r w:rsidRPr="001428D3" w:rsidR="001428D3">
        <w:rPr>
          <w:noProof/>
        </w:rPr>
        <w:t>117</w:t>
      </w:r>
      <w:r w:rsidRPr="001428D3">
        <w:fldChar w:fldCharType="end"/>
      </w:r>
      <w:r w:rsidRPr="001428D3">
        <w:t>.  The Court observes that the Government</w:t>
      </w:r>
      <w:r w:rsidRPr="001428D3" w:rsidR="001428D3">
        <w:t>’</w:t>
      </w:r>
      <w:r w:rsidRPr="001428D3">
        <w:t xml:space="preserve">s submissions concerning the regularity of the seizure and surrounding of the building </w:t>
      </w:r>
      <w:r w:rsidRPr="001428D3" w:rsidR="00594199">
        <w:t xml:space="preserve">were </w:t>
      </w:r>
      <w:r w:rsidRPr="001428D3">
        <w:t xml:space="preserve">rejected by the domestic courts. More concretely, the District Court in its decision of 28 January 2014 concluded that the surrounding of the building had taken place without informing the owners or the </w:t>
      </w:r>
      <w:r w:rsidRPr="001428D3" w:rsidR="00376EA7">
        <w:t xml:space="preserve">construction </w:t>
      </w:r>
      <w:r w:rsidRPr="001428D3">
        <w:t xml:space="preserve">company, and that no order </w:t>
      </w:r>
      <w:r w:rsidRPr="001428D3" w:rsidR="000C226B">
        <w:t xml:space="preserve">had been </w:t>
      </w:r>
      <w:r w:rsidRPr="001428D3">
        <w:t xml:space="preserve">issued by the authorities </w:t>
      </w:r>
      <w:r w:rsidRPr="001428D3" w:rsidR="00354D64">
        <w:t>prohibiting</w:t>
      </w:r>
      <w:r w:rsidRPr="001428D3">
        <w:t xml:space="preserve"> the applicants from entering their flats</w:t>
      </w:r>
      <w:r w:rsidRPr="001428D3" w:rsidR="004579A1">
        <w:t xml:space="preserve"> (see paragraphs </w:t>
      </w:r>
      <w:r w:rsidRPr="001428D3" w:rsidR="00AB71AD">
        <w:t xml:space="preserve">19 </w:t>
      </w:r>
      <w:r w:rsidRPr="001428D3" w:rsidR="004579A1">
        <w:t xml:space="preserve">and </w:t>
      </w:r>
      <w:r w:rsidRPr="001428D3" w:rsidR="00AB71AD">
        <w:t xml:space="preserve">26 </w:t>
      </w:r>
      <w:r w:rsidRPr="001428D3" w:rsidR="004579A1">
        <w:t>above).</w:t>
      </w:r>
      <w:r w:rsidRPr="001428D3">
        <w:t xml:space="preserve"> That decision was </w:t>
      </w:r>
      <w:r w:rsidRPr="001428D3" w:rsidR="00594199">
        <w:t xml:space="preserve">upheld </w:t>
      </w:r>
      <w:r w:rsidRPr="001428D3">
        <w:t>by the Administrative Court of Appeal in 6 May 2016 (see</w:t>
      </w:r>
      <w:r w:rsidRPr="001428D3" w:rsidR="005B2DBE">
        <w:t> </w:t>
      </w:r>
      <w:r w:rsidRPr="001428D3">
        <w:t>paragraph</w:t>
      </w:r>
      <w:r w:rsidRPr="001428D3" w:rsidR="004579A1">
        <w:t xml:space="preserve"> </w:t>
      </w:r>
      <w:r w:rsidRPr="001428D3" w:rsidR="00AB71AD">
        <w:t xml:space="preserve">27 </w:t>
      </w:r>
      <w:r w:rsidRPr="001428D3" w:rsidR="00442417">
        <w:t>above)</w:t>
      </w:r>
      <w:r w:rsidRPr="001428D3">
        <w:t>. The Court also notes that the interim order to remove the yellow police tape was not respected</w:t>
      </w:r>
      <w:r w:rsidRPr="001428D3" w:rsidR="00E321D2">
        <w:t>,</w:t>
      </w:r>
      <w:r w:rsidRPr="001428D3">
        <w:t xml:space="preserve"> in clear </w:t>
      </w:r>
      <w:r w:rsidRPr="001428D3" w:rsidR="00FC7387">
        <w:t xml:space="preserve">breach </w:t>
      </w:r>
      <w:r w:rsidRPr="001428D3">
        <w:t>of national law</w:t>
      </w:r>
      <w:r w:rsidRPr="001428D3" w:rsidR="00594199">
        <w:t>,</w:t>
      </w:r>
      <w:r w:rsidRPr="001428D3">
        <w:t xml:space="preserve"> as the Albanian courts stated (see also paragraph 3</w:t>
      </w:r>
      <w:r w:rsidRPr="001428D3" w:rsidR="00AD48A7">
        <w:t>7</w:t>
      </w:r>
      <w:r w:rsidRPr="001428D3">
        <w:t xml:space="preserve"> above). I</w:t>
      </w:r>
      <w:r w:rsidRPr="001428D3">
        <w:rPr>
          <w:rFonts w:eastAsia="Times New Roman"/>
        </w:rPr>
        <w:t>t is clear that in the present case there was no legal basis for the police intervention in the seizure and surrounding of the building</w:t>
      </w:r>
      <w:r w:rsidRPr="001428D3" w:rsidR="00594199">
        <w:rPr>
          <w:rFonts w:eastAsia="Times New Roman"/>
        </w:rPr>
        <w:t xml:space="preserve">. Furthermore, </w:t>
      </w:r>
      <w:r w:rsidRPr="001428D3">
        <w:rPr>
          <w:rFonts w:eastAsia="Times New Roman"/>
        </w:rPr>
        <w:t>the</w:t>
      </w:r>
      <w:r w:rsidRPr="001428D3" w:rsidR="00594199">
        <w:rPr>
          <w:rFonts w:eastAsia="Times New Roman"/>
        </w:rPr>
        <w:t xml:space="preserve"> requirement for the</w:t>
      </w:r>
      <w:r w:rsidRPr="001428D3">
        <w:rPr>
          <w:rFonts w:eastAsia="Times New Roman"/>
        </w:rPr>
        <w:t xml:space="preserve"> applicants</w:t>
      </w:r>
      <w:r w:rsidRPr="001428D3" w:rsidR="00594199">
        <w:rPr>
          <w:rFonts w:eastAsia="Times New Roman"/>
        </w:rPr>
        <w:t xml:space="preserve"> to show</w:t>
      </w:r>
      <w:r w:rsidRPr="001428D3">
        <w:rPr>
          <w:rFonts w:eastAsia="Times New Roman"/>
        </w:rPr>
        <w:t xml:space="preserve"> the authorities a certificate of ownership </w:t>
      </w:r>
      <w:r w:rsidRPr="001428D3" w:rsidR="00594199">
        <w:rPr>
          <w:rFonts w:eastAsia="Times New Roman"/>
        </w:rPr>
        <w:t xml:space="preserve">or </w:t>
      </w:r>
      <w:r w:rsidRPr="001428D3">
        <w:rPr>
          <w:rFonts w:eastAsia="Times New Roman"/>
        </w:rPr>
        <w:t>ID</w:t>
      </w:r>
      <w:r w:rsidRPr="001428D3" w:rsidR="00594199">
        <w:rPr>
          <w:rFonts w:eastAsia="Times New Roman"/>
        </w:rPr>
        <w:t xml:space="preserve"> to access their properties</w:t>
      </w:r>
      <w:r w:rsidRPr="001428D3">
        <w:rPr>
          <w:rFonts w:eastAsia="Times New Roman"/>
        </w:rPr>
        <w:t xml:space="preserve"> was not based on </w:t>
      </w:r>
      <w:r w:rsidRPr="001428D3" w:rsidR="006E2D6B">
        <w:rPr>
          <w:rFonts w:eastAsia="Times New Roman"/>
        </w:rPr>
        <w:t xml:space="preserve">any </w:t>
      </w:r>
      <w:r w:rsidRPr="001428D3">
        <w:rPr>
          <w:rFonts w:eastAsia="Times New Roman"/>
        </w:rPr>
        <w:t xml:space="preserve">domestic law or a court decision. </w:t>
      </w:r>
      <w:r w:rsidRPr="001428D3" w:rsidR="006B142E">
        <w:rPr>
          <w:rFonts w:eastAsia="Times New Roman"/>
        </w:rPr>
        <w:t>At this juncture</w:t>
      </w:r>
      <w:r w:rsidRPr="001428D3">
        <w:rPr>
          <w:rFonts w:eastAsia="Times New Roman"/>
        </w:rPr>
        <w:t xml:space="preserve">, the Court considers it necessary to emphasise that the practice of </w:t>
      </w:r>
      <w:r w:rsidRPr="001428D3" w:rsidR="00E321D2">
        <w:rPr>
          <w:rFonts w:eastAsia="Times New Roman"/>
        </w:rPr>
        <w:t xml:space="preserve">police forces preventing people from entering their homes </w:t>
      </w:r>
      <w:r w:rsidRPr="001428D3">
        <w:rPr>
          <w:rFonts w:eastAsia="Times New Roman"/>
        </w:rPr>
        <w:t xml:space="preserve">without any legal basis, and </w:t>
      </w:r>
      <w:r w:rsidRPr="001428D3">
        <w:t xml:space="preserve">the seizure and </w:t>
      </w:r>
      <w:r w:rsidRPr="001428D3" w:rsidR="00E321D2">
        <w:t>cordoning off</w:t>
      </w:r>
      <w:r w:rsidRPr="001428D3">
        <w:t xml:space="preserve"> </w:t>
      </w:r>
      <w:r w:rsidRPr="001428D3" w:rsidR="00594199">
        <w:t xml:space="preserve">of a </w:t>
      </w:r>
      <w:r w:rsidRPr="001428D3">
        <w:t xml:space="preserve">building </w:t>
      </w:r>
      <w:r w:rsidRPr="001428D3" w:rsidR="00E321D2">
        <w:t>contrary to</w:t>
      </w:r>
      <w:r w:rsidRPr="001428D3">
        <w:t xml:space="preserve"> domestic law, are</w:t>
      </w:r>
      <w:r w:rsidRPr="001428D3">
        <w:rPr>
          <w:rFonts w:eastAsia="Times New Roman"/>
        </w:rPr>
        <w:t xml:space="preserve"> not compatible with the rule of law in a democratic society respecting the fundamental rights and freedoms guaranteed under the Convention</w:t>
      </w:r>
      <w:r w:rsidRPr="001428D3">
        <w:t xml:space="preserve"> (see, </w:t>
      </w:r>
      <w:r w:rsidRPr="001428D3">
        <w:rPr>
          <w:i/>
        </w:rPr>
        <w:t>mutatis mutandis</w:t>
      </w:r>
      <w:r w:rsidRPr="001428D3">
        <w:t xml:space="preserve">, </w:t>
      </w:r>
      <w:r w:rsidRPr="001428D3" w:rsidR="005B2DBE">
        <w:rPr>
          <w:i/>
        </w:rPr>
        <w:t>Khalikova </w:t>
      </w:r>
      <w:r w:rsidRPr="001428D3" w:rsidR="00426DB9">
        <w:rPr>
          <w:i/>
        </w:rPr>
        <w:t>v.</w:t>
      </w:r>
      <w:r w:rsidRPr="001428D3" w:rsidR="00E40ABC">
        <w:rPr>
          <w:i/>
        </w:rPr>
        <w:t> </w:t>
      </w:r>
      <w:r w:rsidRPr="001428D3" w:rsidR="00426DB9">
        <w:rPr>
          <w:i/>
        </w:rPr>
        <w:t>Azerbaijan</w:t>
      </w:r>
      <w:r w:rsidRPr="001428D3" w:rsidR="00426DB9">
        <w:t>, no. 42883/11</w:t>
      </w:r>
      <w:r w:rsidRPr="001428D3" w:rsidR="00426DB9">
        <w:rPr>
          <w:snapToGrid w:val="0"/>
        </w:rPr>
        <w:t>, § 128, 22 October 2015).</w:t>
      </w:r>
    </w:p>
    <w:p w:rsidRPr="001428D3" w:rsidR="005521CC" w:rsidP="001428D3" w:rsidRDefault="009547AD">
      <w:pPr>
        <w:pStyle w:val="ECHRPara"/>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118</w:t>
      </w:r>
      <w:r w:rsidRPr="001428D3">
        <w:rPr>
          <w:rFonts w:eastAsia="Times New Roman"/>
        </w:rPr>
        <w:fldChar w:fldCharType="end"/>
      </w:r>
      <w:r w:rsidRPr="001428D3">
        <w:rPr>
          <w:rFonts w:eastAsia="Times New Roman"/>
        </w:rPr>
        <w:t xml:space="preserve">.  It follows that the interference in the present case cannot be considered to </w:t>
      </w:r>
      <w:r w:rsidRPr="001428D3" w:rsidR="00017E0E">
        <w:rPr>
          <w:rFonts w:eastAsia="Times New Roman"/>
        </w:rPr>
        <w:t xml:space="preserve">have been </w:t>
      </w:r>
      <w:r w:rsidRPr="001428D3">
        <w:rPr>
          <w:rFonts w:eastAsia="Times New Roman"/>
        </w:rPr>
        <w:t xml:space="preserve">“in accordance with the law”, as required by Article 8 § 2 of the Convention. Having reached this conclusion, the Court is not required to determine whether the interference was “necessary in a democratic society” for one of the aims </w:t>
      </w:r>
      <w:r w:rsidRPr="001428D3" w:rsidR="00725FAE">
        <w:rPr>
          <w:rFonts w:eastAsia="Times New Roman"/>
        </w:rPr>
        <w:t xml:space="preserve">listed </w:t>
      </w:r>
      <w:r w:rsidRPr="001428D3">
        <w:rPr>
          <w:rFonts w:eastAsia="Times New Roman"/>
        </w:rPr>
        <w:t xml:space="preserve">in paragraph 2 of Article 8. There has accordingly been a violation of </w:t>
      </w:r>
      <w:r w:rsidRPr="001428D3" w:rsidR="00725FAE">
        <w:t>the</w:t>
      </w:r>
      <w:r w:rsidRPr="001428D3" w:rsidR="00D86A58">
        <w:t>se</w:t>
      </w:r>
      <w:r w:rsidRPr="001428D3" w:rsidR="009F5F79">
        <w:t xml:space="preserve"> </w:t>
      </w:r>
      <w:r w:rsidRPr="001428D3" w:rsidR="00725FAE">
        <w:t>applicants</w:t>
      </w:r>
      <w:r w:rsidRPr="001428D3" w:rsidR="001428D3">
        <w:t>’</w:t>
      </w:r>
      <w:r w:rsidRPr="001428D3" w:rsidR="00725FAE">
        <w:t xml:space="preserve"> right to respect for their home, within the meaning of </w:t>
      </w:r>
      <w:r w:rsidRPr="001428D3">
        <w:rPr>
          <w:rFonts w:eastAsia="Times New Roman"/>
        </w:rPr>
        <w:t>Article 8</w:t>
      </w:r>
      <w:r w:rsidRPr="001428D3" w:rsidR="00725FAE">
        <w:rPr>
          <w:rFonts w:eastAsia="Times New Roman"/>
        </w:rPr>
        <w:t>,</w:t>
      </w:r>
      <w:r w:rsidRPr="001428D3">
        <w:rPr>
          <w:rFonts w:eastAsia="Times New Roman"/>
        </w:rPr>
        <w:t xml:space="preserve"> </w:t>
      </w:r>
      <w:r w:rsidRPr="001428D3" w:rsidR="00725FAE">
        <w:t xml:space="preserve">on account of </w:t>
      </w:r>
      <w:r w:rsidRPr="001428D3">
        <w:t xml:space="preserve">the seizure and surrounding of the building (see among many other authorities, </w:t>
      </w:r>
      <w:r w:rsidRPr="001428D3">
        <w:rPr>
          <w:i/>
        </w:rPr>
        <w:t>Khalikova</w:t>
      </w:r>
      <w:r w:rsidRPr="001428D3">
        <w:t xml:space="preserve">, cited above, § 129, and </w:t>
      </w:r>
      <w:r w:rsidRPr="001428D3">
        <w:rPr>
          <w:i/>
        </w:rPr>
        <w:t>Demades</w:t>
      </w:r>
      <w:r w:rsidRPr="001428D3">
        <w:t>, cited above, § 37).</w:t>
      </w:r>
    </w:p>
    <w:p w:rsidRPr="001428D3" w:rsidR="00111C21" w:rsidP="001428D3" w:rsidRDefault="00111C21">
      <w:pPr>
        <w:pStyle w:val="ECHRHeading4"/>
      </w:pPr>
      <w:r w:rsidRPr="001428D3">
        <w:t>(b)  Compliance with Article 13 in conjunction with Article 8 of the Convention</w:t>
      </w:r>
    </w:p>
    <w:p w:rsidRPr="001428D3" w:rsidR="005521CC" w:rsidP="001428D3" w:rsidRDefault="0074471A">
      <w:pPr>
        <w:pStyle w:val="ECHRPara"/>
      </w:pPr>
      <w:r w:rsidRPr="001428D3">
        <w:fldChar w:fldCharType="begin"/>
      </w:r>
      <w:r w:rsidRPr="001428D3">
        <w:instrText xml:space="preserve"> SEQ level0 \*arabic </w:instrText>
      </w:r>
      <w:r w:rsidRPr="001428D3">
        <w:fldChar w:fldCharType="separate"/>
      </w:r>
      <w:r w:rsidRPr="001428D3" w:rsidR="001428D3">
        <w:rPr>
          <w:noProof/>
        </w:rPr>
        <w:t>119</w:t>
      </w:r>
      <w:r w:rsidRPr="001428D3">
        <w:fldChar w:fldCharType="end"/>
      </w:r>
      <w:r w:rsidRPr="001428D3">
        <w:t>.  </w:t>
      </w:r>
      <w:r w:rsidRPr="001428D3" w:rsidR="00FF0C34">
        <w:t>Having regard to</w:t>
      </w:r>
      <w:r w:rsidRPr="001428D3" w:rsidR="00111C21">
        <w:t xml:space="preserve"> </w:t>
      </w:r>
      <w:r w:rsidRPr="001428D3" w:rsidR="00FF0C34">
        <w:t>its</w:t>
      </w:r>
      <w:r w:rsidRPr="001428D3" w:rsidR="00111C21">
        <w:t xml:space="preserve"> findings with respect to Article 8 of the Convention</w:t>
      </w:r>
      <w:r w:rsidRPr="001428D3" w:rsidR="00FF0C34">
        <w:t>,</w:t>
      </w:r>
      <w:r w:rsidRPr="001428D3" w:rsidR="00111C21">
        <w:t xml:space="preserve"> </w:t>
      </w:r>
      <w:r w:rsidRPr="001428D3" w:rsidR="00FF0C34">
        <w:t xml:space="preserve">the Court considers </w:t>
      </w:r>
      <w:r w:rsidRPr="001428D3" w:rsidR="00111C21">
        <w:t xml:space="preserve">that the complaints under that Article were “arguable” for </w:t>
      </w:r>
      <w:r w:rsidRPr="001428D3" w:rsidR="005E2288">
        <w:t xml:space="preserve">the </w:t>
      </w:r>
      <w:r w:rsidRPr="001428D3" w:rsidR="00111C21">
        <w:t>purposes of Article 13 of the Convention (see</w:t>
      </w:r>
      <w:r w:rsidRPr="001428D3" w:rsidR="00363357">
        <w:t>,</w:t>
      </w:r>
      <w:r w:rsidRPr="001428D3" w:rsidR="00111C21">
        <w:t xml:space="preserve"> </w:t>
      </w:r>
      <w:r w:rsidRPr="001428D3" w:rsidR="00111C21">
        <w:rPr>
          <w:i/>
        </w:rPr>
        <w:t>mutatis mutandis</w:t>
      </w:r>
      <w:r w:rsidRPr="001428D3" w:rsidR="00111C21">
        <w:t xml:space="preserve">, </w:t>
      </w:r>
      <w:r w:rsidRPr="001428D3" w:rsidR="00111C21">
        <w:rPr>
          <w:i/>
        </w:rPr>
        <w:t>Boyle and Rice v. the United Kingdom</w:t>
      </w:r>
      <w:r w:rsidRPr="001428D3" w:rsidR="00111C21">
        <w:t xml:space="preserve">, 27 April 1988, § 52, Series A no. 131, and </w:t>
      </w:r>
      <w:r w:rsidRPr="001428D3" w:rsidR="00111C21">
        <w:rPr>
          <w:i/>
        </w:rPr>
        <w:t>Sabanchiyeva and Others v. Russia</w:t>
      </w:r>
      <w:r w:rsidRPr="001428D3" w:rsidR="00111C21">
        <w:t>, no. 38450/05</w:t>
      </w:r>
      <w:r w:rsidRPr="001428D3" w:rsidR="00111C21">
        <w:rPr>
          <w:snapToGrid w:val="0"/>
        </w:rPr>
        <w:t>, §</w:t>
      </w:r>
      <w:r w:rsidRPr="001428D3" w:rsidR="00E40ABC">
        <w:rPr>
          <w:snapToGrid w:val="0"/>
        </w:rPr>
        <w:t> </w:t>
      </w:r>
      <w:r w:rsidRPr="001428D3" w:rsidR="00111C21">
        <w:rPr>
          <w:snapToGrid w:val="0"/>
        </w:rPr>
        <w:t xml:space="preserve">153, </w:t>
      </w:r>
      <w:r w:rsidRPr="001428D3" w:rsidR="00111C21">
        <w:t>ECHR 2013 (extracts)).</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120</w:t>
      </w:r>
      <w:r w:rsidRPr="001428D3">
        <w:rPr>
          <w:noProof/>
        </w:rPr>
        <w:fldChar w:fldCharType="end"/>
      </w:r>
      <w:r w:rsidRPr="001428D3" w:rsidR="00111C21">
        <w:t xml:space="preserve">.  The Court notes that the applicants complained about the seizure and surrounding of the building </w:t>
      </w:r>
      <w:r w:rsidRPr="001428D3" w:rsidR="006E2D6B">
        <w:t xml:space="preserve">both in </w:t>
      </w:r>
      <w:r w:rsidRPr="001428D3" w:rsidR="00111C21">
        <w:t xml:space="preserve">the interim and </w:t>
      </w:r>
      <w:r w:rsidRPr="001428D3" w:rsidR="006E2D6B">
        <w:t xml:space="preserve">in the </w:t>
      </w:r>
      <w:r w:rsidRPr="001428D3" w:rsidR="00111C21">
        <w:t>main proceedings concerning the actions of 3 November 2013, and that the domestic courts accordingly decided the</w:t>
      </w:r>
      <w:r w:rsidRPr="001428D3" w:rsidR="00FF0C34">
        <w:t>ir</w:t>
      </w:r>
      <w:r w:rsidRPr="001428D3" w:rsidR="00111C21">
        <w:t xml:space="preserve"> claims</w:t>
      </w:r>
      <w:r w:rsidRPr="001428D3" w:rsidR="00FF0C34">
        <w:t>,</w:t>
      </w:r>
      <w:r w:rsidRPr="001428D3" w:rsidR="00111C21">
        <w:t xml:space="preserve"> noting that the</w:t>
      </w:r>
      <w:r w:rsidRPr="001428D3" w:rsidR="00FF0C34">
        <w:t>y</w:t>
      </w:r>
      <w:r w:rsidRPr="001428D3" w:rsidR="00111C21">
        <w:t xml:space="preserve"> </w:t>
      </w:r>
      <w:r w:rsidRPr="001428D3" w:rsidR="00FF0C34">
        <w:t xml:space="preserve">had been </w:t>
      </w:r>
      <w:r w:rsidRPr="001428D3" w:rsidR="00111C21">
        <w:t xml:space="preserve">prevented from entering their homes (see paragraphs </w:t>
      </w:r>
      <w:r w:rsidRPr="001428D3" w:rsidR="00AB71AD">
        <w:t>16</w:t>
      </w:r>
      <w:r w:rsidRPr="001428D3" w:rsidR="00111C21">
        <w:t>-</w:t>
      </w:r>
      <w:r w:rsidRPr="001428D3" w:rsidR="00AB71AD">
        <w:t>19</w:t>
      </w:r>
      <w:r w:rsidRPr="001428D3" w:rsidR="00111C21">
        <w:t xml:space="preserve">, </w:t>
      </w:r>
      <w:r w:rsidRPr="001428D3" w:rsidR="00AB71AD">
        <w:t>22</w:t>
      </w:r>
      <w:r w:rsidRPr="001428D3" w:rsidR="00111C21">
        <w:t xml:space="preserve">, </w:t>
      </w:r>
      <w:r w:rsidRPr="001428D3" w:rsidR="00AB71AD">
        <w:t>25</w:t>
      </w:r>
      <w:r w:rsidRPr="001428D3" w:rsidR="00111C21">
        <w:t>-</w:t>
      </w:r>
      <w:r w:rsidRPr="001428D3" w:rsidR="00AB71AD">
        <w:t xml:space="preserve">26 </w:t>
      </w:r>
      <w:r w:rsidRPr="001428D3" w:rsidR="00111C21">
        <w:t xml:space="preserve">and </w:t>
      </w:r>
      <w:r w:rsidRPr="001428D3" w:rsidR="006272AE">
        <w:t>94</w:t>
      </w:r>
      <w:r w:rsidRPr="001428D3" w:rsidR="00111C21">
        <w:t>-</w:t>
      </w:r>
      <w:r w:rsidRPr="001428D3" w:rsidR="006272AE">
        <w:t xml:space="preserve">95 </w:t>
      </w:r>
      <w:r w:rsidRPr="001428D3" w:rsidR="00111C21">
        <w:t xml:space="preserve">above). Criminal proceedings were </w:t>
      </w:r>
      <w:r w:rsidRPr="001428D3" w:rsidR="00FF0C34">
        <w:t xml:space="preserve">also </w:t>
      </w:r>
      <w:r w:rsidRPr="001428D3" w:rsidR="00111C21">
        <w:t>brought (see paragraph 45 above). The Court notes that all th</w:t>
      </w:r>
      <w:r w:rsidRPr="001428D3" w:rsidR="00363357">
        <w:t>o</w:t>
      </w:r>
      <w:r w:rsidRPr="001428D3" w:rsidR="00111C21">
        <w:t xml:space="preserve">se claims were made before the applicants were in a position to know that the building was to be </w:t>
      </w:r>
      <w:r w:rsidRPr="001428D3" w:rsidR="001D78C2">
        <w:t xml:space="preserve">demolished </w:t>
      </w:r>
      <w:r w:rsidRPr="001428D3" w:rsidR="00111C21">
        <w:t xml:space="preserve">on 4 December 2013, </w:t>
      </w:r>
      <w:r w:rsidRPr="001428D3" w:rsidR="006E2D6B">
        <w:t xml:space="preserve">irrespective of </w:t>
      </w:r>
      <w:r w:rsidRPr="001428D3" w:rsidR="00111C21">
        <w:t xml:space="preserve">the property and compensation claims. </w:t>
      </w:r>
      <w:r w:rsidRPr="001428D3" w:rsidR="00FF0C34">
        <w:t>In view of</w:t>
      </w:r>
      <w:r w:rsidRPr="001428D3" w:rsidR="00111C21">
        <w:t xml:space="preserve"> the above considerations, the Court accepts that the applicants </w:t>
      </w:r>
      <w:r w:rsidRPr="001428D3" w:rsidR="00FF0C34">
        <w:t xml:space="preserve">did </w:t>
      </w:r>
      <w:r w:rsidRPr="001428D3" w:rsidR="00111C21">
        <w:t xml:space="preserve">complain </w:t>
      </w:r>
      <w:r w:rsidRPr="001428D3" w:rsidR="00771254">
        <w:t>in substance</w:t>
      </w:r>
      <w:r w:rsidRPr="001428D3" w:rsidDel="0054665B" w:rsidR="00771254">
        <w:t xml:space="preserve"> </w:t>
      </w:r>
      <w:r w:rsidRPr="001428D3" w:rsidR="0054665B">
        <w:t xml:space="preserve">to </w:t>
      </w:r>
      <w:r w:rsidRPr="001428D3" w:rsidR="00111C21">
        <w:t xml:space="preserve">the domestic courts under Article 8 of the Convention – </w:t>
      </w:r>
      <w:r w:rsidRPr="001428D3" w:rsidR="00FF0C34">
        <w:t xml:space="preserve">right </w:t>
      </w:r>
      <w:r w:rsidRPr="001428D3" w:rsidR="00111C21">
        <w:t>to</w:t>
      </w:r>
      <w:r w:rsidRPr="001428D3" w:rsidR="00FF0C34">
        <w:t xml:space="preserve"> respect for their</w:t>
      </w:r>
      <w:r w:rsidRPr="001428D3" w:rsidR="00111C21">
        <w:t xml:space="preserve"> home.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121</w:t>
      </w:r>
      <w:r w:rsidRPr="001428D3">
        <w:rPr>
          <w:noProof/>
        </w:rPr>
        <w:fldChar w:fldCharType="end"/>
      </w:r>
      <w:r w:rsidRPr="001428D3" w:rsidR="00111C21">
        <w:t xml:space="preserve">.  As regards a claim for compensation under the Civil Code, </w:t>
      </w:r>
      <w:r w:rsidRPr="001428D3" w:rsidR="00017E0E">
        <w:t xml:space="preserve">the </w:t>
      </w:r>
      <w:r w:rsidRPr="001428D3" w:rsidR="00CB327F">
        <w:t>Non-Contractual Liability of the State Act</w:t>
      </w:r>
      <w:r w:rsidRPr="001428D3" w:rsidR="00111C21">
        <w:t xml:space="preserve"> and </w:t>
      </w:r>
      <w:r w:rsidRPr="001428D3" w:rsidR="00017E0E">
        <w:t xml:space="preserve">the </w:t>
      </w:r>
      <w:r w:rsidRPr="001428D3" w:rsidR="00111C21">
        <w:t xml:space="preserve">Inspection of </w:t>
      </w:r>
      <w:r w:rsidRPr="001428D3" w:rsidR="00C509F3">
        <w:t xml:space="preserve">Buildings </w:t>
      </w:r>
      <w:r w:rsidRPr="001428D3" w:rsidR="00111C21">
        <w:t>Act, the Court rejects the Government</w:t>
      </w:r>
      <w:r w:rsidRPr="001428D3" w:rsidR="001428D3">
        <w:t>’</w:t>
      </w:r>
      <w:r w:rsidRPr="001428D3" w:rsidR="00111C21">
        <w:t>s objections on the same grounds</w:t>
      </w:r>
      <w:r w:rsidRPr="001428D3" w:rsidR="00363357">
        <w:t xml:space="preserve"> </w:t>
      </w:r>
      <w:r w:rsidRPr="001428D3" w:rsidR="00111C21">
        <w:t xml:space="preserve">as </w:t>
      </w:r>
      <w:r w:rsidRPr="001428D3" w:rsidR="00363357">
        <w:t>previously (see</w:t>
      </w:r>
      <w:r w:rsidRPr="001428D3" w:rsidR="00111C21">
        <w:t xml:space="preserve"> paragraph </w:t>
      </w:r>
      <w:r w:rsidRPr="001428D3" w:rsidR="009F5F79">
        <w:t xml:space="preserve">83 </w:t>
      </w:r>
      <w:r w:rsidRPr="001428D3" w:rsidR="00111C21">
        <w:t>above</w:t>
      </w:r>
      <w:r w:rsidRPr="001428D3" w:rsidR="00363357">
        <w:t>)</w:t>
      </w:r>
      <w:r w:rsidRPr="001428D3" w:rsidR="00111C21">
        <w:t>.</w:t>
      </w:r>
    </w:p>
    <w:p w:rsidRPr="001428D3" w:rsidR="009845BA" w:rsidP="001428D3" w:rsidRDefault="00111C21">
      <w:pPr>
        <w:pStyle w:val="ECHRPara"/>
      </w:pPr>
      <w:r w:rsidRPr="001428D3">
        <w:fldChar w:fldCharType="begin"/>
      </w:r>
      <w:r w:rsidRPr="001428D3">
        <w:instrText xml:space="preserve"> SEQ level0 \*arabic </w:instrText>
      </w:r>
      <w:r w:rsidRPr="001428D3">
        <w:fldChar w:fldCharType="separate"/>
      </w:r>
      <w:r w:rsidRPr="001428D3" w:rsidR="001428D3">
        <w:rPr>
          <w:noProof/>
        </w:rPr>
        <w:t>122</w:t>
      </w:r>
      <w:r w:rsidRPr="001428D3">
        <w:fldChar w:fldCharType="end"/>
      </w:r>
      <w:r w:rsidRPr="001428D3">
        <w:t xml:space="preserve">.  Furthermore, the Court notes that the cordoning off </w:t>
      </w:r>
      <w:r w:rsidRPr="001428D3" w:rsidR="00E47E8E">
        <w:t xml:space="preserve">of </w:t>
      </w:r>
      <w:r w:rsidRPr="001428D3">
        <w:t>the building was clearly considered a violation of the applicants</w:t>
      </w:r>
      <w:r w:rsidRPr="001428D3" w:rsidR="001428D3">
        <w:t>’</w:t>
      </w:r>
      <w:r w:rsidRPr="001428D3">
        <w:t xml:space="preserve"> rights by the domestic courts. However, the Administrative Court did not award the applicants any compensation for this violation.</w:t>
      </w:r>
    </w:p>
    <w:p w:rsidRPr="001428D3" w:rsidR="009845BA" w:rsidP="001428D3" w:rsidRDefault="00111C21">
      <w:pPr>
        <w:pStyle w:val="ECHRPara"/>
      </w:pPr>
      <w:r w:rsidRPr="001428D3">
        <w:fldChar w:fldCharType="begin"/>
      </w:r>
      <w:r w:rsidRPr="001428D3">
        <w:instrText xml:space="preserve"> SEQ level0 \*arabic </w:instrText>
      </w:r>
      <w:r w:rsidRPr="001428D3">
        <w:fldChar w:fldCharType="separate"/>
      </w:r>
      <w:r w:rsidRPr="001428D3" w:rsidR="001428D3">
        <w:rPr>
          <w:noProof/>
        </w:rPr>
        <w:t>123</w:t>
      </w:r>
      <w:r w:rsidRPr="001428D3">
        <w:fldChar w:fldCharType="end"/>
      </w:r>
      <w:r w:rsidRPr="001428D3">
        <w:t>.  For the above reasons, the Court considers that there has been a violation of Article 13 in conjunction with Article 8 of the Convention.</w:t>
      </w:r>
      <w:r w:rsidRPr="001428D3" w:rsidR="000527A3">
        <w:t xml:space="preserve"> It follows that the Government</w:t>
      </w:r>
      <w:r w:rsidRPr="001428D3" w:rsidR="001428D3">
        <w:t>’</w:t>
      </w:r>
      <w:r w:rsidRPr="001428D3" w:rsidR="000527A3">
        <w:t>s preliminary objection of non-exhaustion in this respect must be dismissed.</w:t>
      </w:r>
    </w:p>
    <w:p w:rsidRPr="001428D3" w:rsidR="009547AD" w:rsidP="001428D3" w:rsidRDefault="009547AD">
      <w:pPr>
        <w:pStyle w:val="ECHRHeading2"/>
      </w:pPr>
      <w:bookmarkStart w:name="_Toc498016762" w:id="52"/>
      <w:r w:rsidRPr="001428D3">
        <w:t>B.  Complaint concerning the expropriation and demolition of the building</w:t>
      </w:r>
      <w:bookmarkEnd w:id="52"/>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124</w:t>
      </w:r>
      <w:r w:rsidRPr="001428D3">
        <w:fldChar w:fldCharType="end"/>
      </w:r>
      <w:r w:rsidRPr="001428D3">
        <w:t xml:space="preserve">.  The Government submitted that the applicants had failed to raise this complaint before the domestic courts. They also submitted that the Court should </w:t>
      </w:r>
      <w:r w:rsidRPr="001428D3" w:rsidR="00D50693">
        <w:t xml:space="preserve">not </w:t>
      </w:r>
      <w:r w:rsidRPr="001428D3">
        <w:t xml:space="preserve">examine Article 8 of the Convention </w:t>
      </w:r>
      <w:r w:rsidRPr="001428D3" w:rsidR="00D50693">
        <w:t xml:space="preserve">separately but </w:t>
      </w:r>
      <w:r w:rsidRPr="001428D3" w:rsidR="00593A08">
        <w:t>should</w:t>
      </w:r>
      <w:r w:rsidRPr="001428D3" w:rsidR="00D50693">
        <w:t xml:space="preserve"> do so </w:t>
      </w:r>
      <w:r w:rsidRPr="001428D3">
        <w:t>under Article 1 of Protocol No. 1 to the Conventi</w:t>
      </w:r>
      <w:r w:rsidRPr="001428D3" w:rsidR="00D50693">
        <w:t>on.</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125</w:t>
      </w:r>
      <w:r w:rsidRPr="001428D3">
        <w:fldChar w:fldCharType="end"/>
      </w:r>
      <w:r w:rsidRPr="001428D3">
        <w:t>.  The applicants submitted that there had</w:t>
      </w:r>
      <w:r w:rsidRPr="001428D3" w:rsidR="00C02F42">
        <w:t xml:space="preserve"> been</w:t>
      </w:r>
      <w:r w:rsidRPr="001428D3">
        <w:t xml:space="preserve"> a breach of Article 8 of the Convention on account of the demolition of their homes. Since the demolition of the building </w:t>
      </w:r>
      <w:r w:rsidRPr="001428D3" w:rsidR="00593A08">
        <w:t xml:space="preserve">had been </w:t>
      </w:r>
      <w:r w:rsidRPr="001428D3">
        <w:t>carried out in violation of Article 1 of Protocol No.1</w:t>
      </w:r>
      <w:r w:rsidRPr="001428D3" w:rsidR="00593A08">
        <w:t>,</w:t>
      </w:r>
      <w:r w:rsidRPr="001428D3">
        <w:t xml:space="preserve"> it </w:t>
      </w:r>
      <w:r w:rsidRPr="001428D3" w:rsidR="00ED73E0">
        <w:t xml:space="preserve">had </w:t>
      </w:r>
      <w:r w:rsidRPr="001428D3">
        <w:t>automatically entailed a violation of Article 8 of the Convention.</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126</w:t>
      </w:r>
      <w:r w:rsidRPr="001428D3">
        <w:fldChar w:fldCharType="end"/>
      </w:r>
      <w:r w:rsidRPr="001428D3">
        <w:t>. </w:t>
      </w:r>
      <w:r w:rsidRPr="001428D3" w:rsidR="005521CC">
        <w:t> </w:t>
      </w:r>
      <w:r w:rsidRPr="001428D3">
        <w:t xml:space="preserve">The Court considers that it is not necessary to examine this complaint separately under Article 8 </w:t>
      </w:r>
      <w:r w:rsidRPr="001428D3" w:rsidR="00814C12">
        <w:t>taken alone and in conjunction with Article 13 of the Convention</w:t>
      </w:r>
      <w:r w:rsidRPr="001428D3">
        <w:t xml:space="preserve">. It </w:t>
      </w:r>
      <w:r w:rsidRPr="001428D3" w:rsidR="002A3743">
        <w:t xml:space="preserve">considers that </w:t>
      </w:r>
      <w:r w:rsidRPr="001428D3" w:rsidR="000527A3">
        <w:t xml:space="preserve">it </w:t>
      </w:r>
      <w:r w:rsidRPr="001428D3">
        <w:t xml:space="preserve">is more appropriate to examine this complaint under Article 1 of Protocol No. 1 to the Convention </w:t>
      </w:r>
      <w:r w:rsidRPr="001428D3" w:rsidR="00111C21">
        <w:t xml:space="preserve">taken alone and in conjunction with Article 13 of the Convention </w:t>
      </w:r>
      <w:r w:rsidRPr="001428D3" w:rsidR="005B2DBE">
        <w:t>(see </w:t>
      </w:r>
      <w:r w:rsidRPr="001428D3">
        <w:t xml:space="preserve">paragraphs </w:t>
      </w:r>
      <w:r w:rsidRPr="001428D3" w:rsidR="00094F07">
        <w:t>13</w:t>
      </w:r>
      <w:r w:rsidRPr="001428D3" w:rsidR="00EA6D20">
        <w:t>7</w:t>
      </w:r>
      <w:r w:rsidRPr="001428D3" w:rsidR="00BC250A">
        <w:t>-</w:t>
      </w:r>
      <w:r w:rsidRPr="001428D3" w:rsidR="00094F07">
        <w:t>17</w:t>
      </w:r>
      <w:r w:rsidRPr="001428D3" w:rsidR="00EA6D20">
        <w:t>5</w:t>
      </w:r>
      <w:r w:rsidRPr="001428D3" w:rsidR="00094F07">
        <w:t xml:space="preserve"> </w:t>
      </w:r>
      <w:r w:rsidRPr="001428D3">
        <w:t>below).</w:t>
      </w:r>
    </w:p>
    <w:p w:rsidRPr="001428D3" w:rsidR="009547AD" w:rsidP="001428D3" w:rsidRDefault="009547AD">
      <w:pPr>
        <w:pStyle w:val="ECHRHeading1"/>
      </w:pPr>
      <w:bookmarkStart w:name="_Toc498016763" w:id="53"/>
      <w:r w:rsidRPr="001428D3">
        <w:t>III.  ALLEGED VIOLATIONS OF ARTICLE 1 OF PROTOCOL NO. 1 TO THE CONVENTION</w:t>
      </w:r>
      <w:r w:rsidRPr="001428D3" w:rsidR="00206BBF">
        <w:t xml:space="preserve"> </w:t>
      </w:r>
      <w:r w:rsidRPr="001428D3" w:rsidR="006876F7">
        <w:t xml:space="preserve">TAKEN ALONE AND IN CONJUNCTION WITH </w:t>
      </w:r>
      <w:r w:rsidRPr="001428D3" w:rsidR="00206BBF">
        <w:t>ARTICLE 13 OF THE CONVENTION</w:t>
      </w:r>
      <w:bookmarkEnd w:id="53"/>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127</w:t>
      </w:r>
      <w:r w:rsidRPr="001428D3">
        <w:fldChar w:fldCharType="end"/>
      </w:r>
      <w:r w:rsidRPr="001428D3">
        <w:t>.  </w:t>
      </w:r>
      <w:r w:rsidRPr="001428D3" w:rsidR="009F5F79">
        <w:t xml:space="preserve">All </w:t>
      </w:r>
      <w:r w:rsidRPr="001428D3" w:rsidR="00017E0E">
        <w:t xml:space="preserve">the </w:t>
      </w:r>
      <w:r w:rsidRPr="001428D3">
        <w:t xml:space="preserve">applicants complained that the seizure, expropriation and demolition of their </w:t>
      </w:r>
      <w:r w:rsidRPr="001428D3" w:rsidR="009F5F79">
        <w:t xml:space="preserve">properties </w:t>
      </w:r>
      <w:r w:rsidRPr="001428D3">
        <w:t xml:space="preserve">without compensation had violated their right to </w:t>
      </w:r>
      <w:r w:rsidRPr="001428D3" w:rsidR="00391ED4">
        <w:t xml:space="preserve">the </w:t>
      </w:r>
      <w:r w:rsidRPr="001428D3">
        <w:t xml:space="preserve">peaceful enjoyment of </w:t>
      </w:r>
      <w:r w:rsidRPr="001428D3" w:rsidR="00391ED4">
        <w:t xml:space="preserve">their </w:t>
      </w:r>
      <w:r w:rsidRPr="001428D3">
        <w:t xml:space="preserve">possessions under Article 1 of Protocol No. 1 to the Convention. They also complained </w:t>
      </w:r>
      <w:r w:rsidRPr="001428D3" w:rsidR="007F3B1B">
        <w:t>of a lack of</w:t>
      </w:r>
      <w:r w:rsidRPr="001428D3">
        <w:t xml:space="preserve"> an effective remedy in that </w:t>
      </w:r>
      <w:r w:rsidRPr="001428D3" w:rsidR="00AC6A14">
        <w:t>regard</w:t>
      </w:r>
      <w:r w:rsidRPr="001428D3">
        <w:t>.</w:t>
      </w:r>
    </w:p>
    <w:p w:rsidRPr="001428D3" w:rsidR="009547AD" w:rsidP="001428D3" w:rsidRDefault="009547AD">
      <w:pPr>
        <w:pStyle w:val="ECHRPara"/>
      </w:pPr>
      <w:r w:rsidRPr="001428D3">
        <w:t>Article 1 of Protocol No. 1 to the Convention reads as follows:</w:t>
      </w:r>
    </w:p>
    <w:p w:rsidRPr="001428D3" w:rsidR="009547AD" w:rsidP="001428D3" w:rsidRDefault="009547AD">
      <w:pPr>
        <w:pStyle w:val="ECHRParaQuote"/>
      </w:pPr>
      <w:r w:rsidRPr="001428D3">
        <w:t xml:space="preserve"> “Every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1428D3" w:rsidR="005521CC" w:rsidP="001428D3" w:rsidRDefault="009547AD">
      <w:pPr>
        <w:pStyle w:val="ECHRParaQuote"/>
      </w:pPr>
      <w:r w:rsidRPr="001428D3">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1428D3" w:rsidR="009547AD" w:rsidP="001428D3" w:rsidRDefault="009547AD">
      <w:pPr>
        <w:pStyle w:val="ECHRHeading2"/>
      </w:pPr>
      <w:bookmarkStart w:name="_Toc498016764" w:id="54"/>
      <w:r w:rsidRPr="001428D3">
        <w:t>A.  Complaint concerning the seizure of the building</w:t>
      </w:r>
      <w:bookmarkEnd w:id="54"/>
    </w:p>
    <w:p w:rsidRPr="001428D3" w:rsidR="009547AD" w:rsidP="001428D3" w:rsidRDefault="009547AD">
      <w:pPr>
        <w:pStyle w:val="ECHRHeading3"/>
      </w:pPr>
      <w:bookmarkStart w:name="_Toc498016765" w:id="55"/>
      <w:r w:rsidRPr="001428D3">
        <w:t>1.  Admissibility</w:t>
      </w:r>
      <w:bookmarkEnd w:id="55"/>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128</w:t>
      </w:r>
      <w:r w:rsidRPr="001428D3">
        <w:fldChar w:fldCharType="end"/>
      </w:r>
      <w:r w:rsidRPr="001428D3">
        <w:t>.  The Government did not submit any specific objections concerning the complaint under Article 1 of Protocol No. 1 to the Convention. The</w:t>
      </w:r>
      <w:r w:rsidRPr="001428D3" w:rsidR="006876F7">
        <w:t>ir arguments</w:t>
      </w:r>
      <w:r w:rsidRPr="001428D3">
        <w:t xml:space="preserve"> were essentially focused on the inadmissibility of </w:t>
      </w:r>
      <w:r w:rsidRPr="001428D3" w:rsidR="000F6529">
        <w:t>the applicants</w:t>
      </w:r>
      <w:r w:rsidRPr="001428D3" w:rsidR="001428D3">
        <w:t>’</w:t>
      </w:r>
      <w:r w:rsidRPr="001428D3" w:rsidR="000F6529">
        <w:t xml:space="preserve"> </w:t>
      </w:r>
      <w:r w:rsidRPr="001428D3">
        <w:t xml:space="preserve">complaints concerning the demolition of the property and the expropriation </w:t>
      </w:r>
      <w:r w:rsidRPr="001428D3" w:rsidR="00EC50A2">
        <w:t>procedure</w:t>
      </w:r>
      <w:r w:rsidRPr="001428D3">
        <w:t>.</w:t>
      </w:r>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129</w:t>
      </w:r>
      <w:r w:rsidRPr="001428D3">
        <w:fldChar w:fldCharType="end"/>
      </w:r>
      <w:r w:rsidRPr="001428D3">
        <w:t xml:space="preserve">.  The Court, taking into consideration the findings concerning the admissibility of </w:t>
      </w:r>
      <w:r w:rsidRPr="001428D3" w:rsidR="00A009F5">
        <w:t xml:space="preserve">complaints under </w:t>
      </w:r>
      <w:r w:rsidRPr="001428D3">
        <w:t>Article</w:t>
      </w:r>
      <w:r w:rsidRPr="001428D3" w:rsidR="00565149">
        <w:t>s</w:t>
      </w:r>
      <w:r w:rsidRPr="001428D3">
        <w:t xml:space="preserve"> 8 </w:t>
      </w:r>
      <w:r w:rsidRPr="001428D3" w:rsidR="00565149">
        <w:t>and 13</w:t>
      </w:r>
      <w:r w:rsidRPr="001428D3" w:rsidR="00A009F5">
        <w:t xml:space="preserve"> of the Convention</w:t>
      </w:r>
      <w:r w:rsidRPr="001428D3">
        <w:t xml:space="preserve"> </w:t>
      </w:r>
      <w:r w:rsidRPr="001428D3" w:rsidR="005B2DBE">
        <w:t>(see </w:t>
      </w:r>
      <w:r w:rsidRPr="001428D3">
        <w:t xml:space="preserve">paragraphs </w:t>
      </w:r>
      <w:r w:rsidRPr="001428D3" w:rsidR="00C43934">
        <w:t>100</w:t>
      </w:r>
      <w:r w:rsidRPr="001428D3" w:rsidR="009935F2">
        <w:t>-</w:t>
      </w:r>
      <w:r w:rsidRPr="001428D3" w:rsidR="00C43934">
        <w:t>10</w:t>
      </w:r>
      <w:r w:rsidRPr="001428D3" w:rsidR="00EA6D20">
        <w:t>7</w:t>
      </w:r>
      <w:r w:rsidRPr="001428D3" w:rsidR="00C43934">
        <w:t xml:space="preserve"> </w:t>
      </w:r>
      <w:r w:rsidRPr="001428D3">
        <w:t>above</w:t>
      </w:r>
      <w:r w:rsidRPr="001428D3" w:rsidR="000F6529">
        <w:t>)</w:t>
      </w:r>
      <w:r w:rsidRPr="001428D3" w:rsidR="00C43934">
        <w:t xml:space="preserve"> and that the first and second applicants complained about a breach of their </w:t>
      </w:r>
      <w:r w:rsidRPr="001428D3" w:rsidR="00017E0E">
        <w:t xml:space="preserve">property </w:t>
      </w:r>
      <w:r w:rsidRPr="001428D3" w:rsidR="00C43934">
        <w:t xml:space="preserve">rights also in respect of their </w:t>
      </w:r>
      <w:r w:rsidRPr="001428D3" w:rsidR="00017E0E">
        <w:t>flats and business premises</w:t>
      </w:r>
      <w:r w:rsidRPr="001428D3" w:rsidR="00C43934">
        <w:t xml:space="preserve">, </w:t>
      </w:r>
      <w:r w:rsidRPr="001428D3">
        <w:t>notes that th</w:t>
      </w:r>
      <w:r w:rsidRPr="001428D3" w:rsidR="00565149">
        <w:t>ese</w:t>
      </w:r>
      <w:r w:rsidRPr="001428D3">
        <w:t xml:space="preserve"> complaint</w:t>
      </w:r>
      <w:r w:rsidRPr="001428D3" w:rsidR="00565149">
        <w:t>s</w:t>
      </w:r>
      <w:r w:rsidRPr="001428D3">
        <w:t xml:space="preserve"> </w:t>
      </w:r>
      <w:r w:rsidRPr="001428D3" w:rsidR="00565149">
        <w:t>are</w:t>
      </w:r>
      <w:r w:rsidRPr="001428D3">
        <w:t xml:space="preserve"> not manifestly ill-founded within the meaning of Article 35 § 3 (a) of the Convention. It further notes that </w:t>
      </w:r>
      <w:r w:rsidRPr="001428D3" w:rsidR="00565149">
        <w:t>they are no</w:t>
      </w:r>
      <w:r w:rsidRPr="001428D3">
        <w:t xml:space="preserve">t inadmissible on any other grounds. </w:t>
      </w:r>
      <w:r w:rsidRPr="001428D3" w:rsidR="00565149">
        <w:t>They</w:t>
      </w:r>
      <w:r w:rsidRPr="001428D3">
        <w:t xml:space="preserve"> must therefore be declared admissible.</w:t>
      </w:r>
    </w:p>
    <w:p w:rsidRPr="001428D3" w:rsidR="005521CC" w:rsidP="001428D3" w:rsidRDefault="009547AD">
      <w:pPr>
        <w:pStyle w:val="ECHRHeading3"/>
      </w:pPr>
      <w:bookmarkStart w:name="_Toc498016766" w:id="56"/>
      <w:r w:rsidRPr="001428D3">
        <w:t>2.  Merits</w:t>
      </w:r>
      <w:bookmarkEnd w:id="56"/>
    </w:p>
    <w:p w:rsidRPr="001428D3" w:rsidR="009547AD" w:rsidP="001428D3" w:rsidRDefault="009547AD">
      <w:pPr>
        <w:pStyle w:val="ECHRHeading4"/>
      </w:pPr>
      <w:r w:rsidRPr="001428D3">
        <w:t>(a)  The parties</w:t>
      </w:r>
      <w:r w:rsidRPr="001428D3" w:rsidR="001428D3">
        <w:t>’</w:t>
      </w:r>
      <w:r w:rsidRPr="001428D3">
        <w:t xml:space="preserve"> submissions</w:t>
      </w:r>
    </w:p>
    <w:p w:rsidRPr="001428D3" w:rsidR="006272AE" w:rsidP="001428D3" w:rsidRDefault="006272AE">
      <w:pPr>
        <w:pStyle w:val="ECHRPara"/>
      </w:pPr>
      <w:r w:rsidRPr="001428D3">
        <w:fldChar w:fldCharType="begin"/>
      </w:r>
      <w:r w:rsidRPr="001428D3">
        <w:instrText xml:space="preserve"> SEQ level0 \*arabic </w:instrText>
      </w:r>
      <w:r w:rsidRPr="001428D3">
        <w:fldChar w:fldCharType="separate"/>
      </w:r>
      <w:r w:rsidRPr="001428D3" w:rsidR="001428D3">
        <w:rPr>
          <w:noProof/>
        </w:rPr>
        <w:t>130</w:t>
      </w:r>
      <w:r w:rsidRPr="001428D3">
        <w:fldChar w:fldCharType="end"/>
      </w:r>
      <w:r w:rsidRPr="001428D3">
        <w:t>.  </w:t>
      </w:r>
      <w:r w:rsidRPr="001428D3" w:rsidR="009547AD">
        <w:t>The applicants raised the same arguments as those submitted in respect</w:t>
      </w:r>
      <w:r w:rsidRPr="001428D3" w:rsidR="00802862">
        <w:t xml:space="preserve"> of Article 8 of the Convention and Article 13 in conjunction with Article 8 of the Convention.</w:t>
      </w:r>
    </w:p>
    <w:p w:rsidRPr="001428D3" w:rsidR="006272AE" w:rsidP="001428D3" w:rsidRDefault="006272AE">
      <w:pPr>
        <w:pStyle w:val="ECHRPara"/>
      </w:pPr>
      <w:r w:rsidRPr="001428D3">
        <w:fldChar w:fldCharType="begin"/>
      </w:r>
      <w:r w:rsidRPr="001428D3">
        <w:instrText xml:space="preserve"> SEQ level0 \*arabic </w:instrText>
      </w:r>
      <w:r w:rsidRPr="001428D3">
        <w:fldChar w:fldCharType="separate"/>
      </w:r>
      <w:r w:rsidRPr="001428D3" w:rsidR="001428D3">
        <w:rPr>
          <w:noProof/>
        </w:rPr>
        <w:t>131</w:t>
      </w:r>
      <w:r w:rsidRPr="001428D3">
        <w:fldChar w:fldCharType="end"/>
      </w:r>
      <w:r w:rsidRPr="001428D3">
        <w:t xml:space="preserve">.  The Government submitted that the applicants had not been deprived of their properties and hindered in their access for similar reasons to the </w:t>
      </w:r>
      <w:r w:rsidRPr="001428D3">
        <w:rPr>
          <w:i/>
        </w:rPr>
        <w:t>Demades</w:t>
      </w:r>
      <w:r w:rsidRPr="001428D3">
        <w:t xml:space="preserve"> case (cited above) as they had been expropriated in the public interest in exchange for fair compensation.</w:t>
      </w:r>
    </w:p>
    <w:p w:rsidRPr="001428D3" w:rsidR="009547AD" w:rsidP="001428D3" w:rsidRDefault="009547AD">
      <w:pPr>
        <w:pStyle w:val="ECHRHeading4"/>
      </w:pPr>
      <w:r w:rsidRPr="001428D3">
        <w:t>(b)  The Court</w:t>
      </w:r>
      <w:r w:rsidRPr="001428D3" w:rsidR="001428D3">
        <w:t>’</w:t>
      </w:r>
      <w:r w:rsidRPr="001428D3">
        <w:t>s assessment</w:t>
      </w:r>
    </w:p>
    <w:p w:rsidRPr="001428D3" w:rsidR="009547AD" w:rsidP="001428D3" w:rsidRDefault="009547AD">
      <w:pPr>
        <w:pStyle w:val="ECHRHeading5"/>
      </w:pPr>
      <w:r w:rsidRPr="001428D3">
        <w:t>(i)  General principles</w:t>
      </w:r>
    </w:p>
    <w:p w:rsidRPr="001428D3" w:rsidR="009547AD" w:rsidP="001428D3" w:rsidRDefault="009547AD">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132</w:t>
      </w:r>
      <w:r w:rsidRPr="001428D3">
        <w:rPr>
          <w:rFonts w:eastAsia="Times New Roman"/>
        </w:rPr>
        <w:fldChar w:fldCharType="end"/>
      </w:r>
      <w:r w:rsidRPr="001428D3">
        <w:rPr>
          <w:rFonts w:eastAsia="Times New Roman"/>
        </w:rPr>
        <w:t xml:space="preserve">.  The Court reiterates that Article 1 of Protocol No. 1, which guarantees in substance the right of property, comprises three distinct rules. The first rule, which is set out in the first sentence of the first paragraph, is of a general nature and enunciates the principle of peaceful enjoyment of property. The second rule, contained in the second sentence of the </w:t>
      </w:r>
      <w:r w:rsidRPr="001428D3" w:rsidR="00901775">
        <w:rPr>
          <w:rFonts w:eastAsia="Times New Roman"/>
        </w:rPr>
        <w:t xml:space="preserve">same </w:t>
      </w:r>
      <w:r w:rsidRPr="001428D3">
        <w:rPr>
          <w:rFonts w:eastAsia="Times New Roman"/>
        </w:rPr>
        <w:t xml:space="preserve">paragraph, covers deprivation of possessions and subjects it to certain conditions. The third rule, stated in the second paragraph, recognises that the Contracting States are entitled, amongst other things, to control the use of property in accordance with the general interest, by enforcing such laws as they deem necessary for the purpose. However, the rules are not “distinct” in the sense of being unconnected. The second and third rules are concerned with particular instances of interference with the right to peaceful enjoyment of property and should therefore be construed in the light of the general principle enunciated in the first rule (see, among many other authorities, </w:t>
      </w:r>
      <w:r w:rsidRPr="001428D3">
        <w:rPr>
          <w:rFonts w:eastAsia="Times New Roman"/>
          <w:i/>
        </w:rPr>
        <w:t>James and Others v. the United Kingdom</w:t>
      </w:r>
      <w:r w:rsidRPr="001428D3">
        <w:rPr>
          <w:rFonts w:eastAsia="Times New Roman"/>
        </w:rPr>
        <w:t>, 21 February 1986, §</w:t>
      </w:r>
      <w:r w:rsidRPr="001428D3" w:rsidR="00984436">
        <w:rPr>
          <w:rFonts w:eastAsia="Times New Roman"/>
        </w:rPr>
        <w:t> </w:t>
      </w:r>
      <w:r w:rsidRPr="001428D3">
        <w:rPr>
          <w:rFonts w:eastAsia="Times New Roman"/>
        </w:rPr>
        <w:t xml:space="preserve">37, Series A no. 98; and </w:t>
      </w:r>
      <w:r w:rsidRPr="001428D3">
        <w:rPr>
          <w:rFonts w:eastAsia="Times New Roman"/>
          <w:i/>
        </w:rPr>
        <w:t>Sargsyan v. Azerbaijan</w:t>
      </w:r>
      <w:r w:rsidRPr="001428D3" w:rsidR="005B2DBE">
        <w:rPr>
          <w:rFonts w:eastAsia="Times New Roman"/>
        </w:rPr>
        <w:t xml:space="preserve"> [GC], no. 40167/06, § </w:t>
      </w:r>
      <w:r w:rsidRPr="001428D3">
        <w:rPr>
          <w:rFonts w:eastAsia="Times New Roman"/>
        </w:rPr>
        <w:t>217, ECHR 2015).</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133</w:t>
      </w:r>
      <w:r w:rsidRPr="001428D3">
        <w:fldChar w:fldCharType="end"/>
      </w:r>
      <w:r w:rsidRPr="001428D3">
        <w:t>.  The first and most important requirement of Article 1 of Protocol No. 1 is that any interference by a public authority with the peaceful enjoyment of possessions should be lawful: the second sentence of the first paragraph authorises a deprivation of possessions only “subject to the conditions provided for by law” and the second paragraph recognises that States have the right to control the use of property by enforcing “laws”. Moreover, the rule of law, one of the fundamental principles of a democratic society, is inherent in all the Articles of the Convention. It follows that the issue of whether a fair balance has been struck between the demands of the general interest of the community and the requirements of the protection of the individual</w:t>
      </w:r>
      <w:r w:rsidRPr="001428D3" w:rsidR="001428D3">
        <w:t>’</w:t>
      </w:r>
      <w:r w:rsidRPr="001428D3">
        <w:t xml:space="preserve">s fundamental rights becomes relevant only once it has been established that the interference in question satisfied the requirement of lawfulness and was not arbitrary (see, among many other authorities, </w:t>
      </w:r>
      <w:r w:rsidRPr="001428D3">
        <w:rPr>
          <w:i/>
        </w:rPr>
        <w:t>Serkov</w:t>
      </w:r>
      <w:r w:rsidRPr="001428D3" w:rsidR="00E40ABC">
        <w:rPr>
          <w:i/>
        </w:rPr>
        <w:t> </w:t>
      </w:r>
      <w:r w:rsidRPr="001428D3">
        <w:rPr>
          <w:i/>
        </w:rPr>
        <w:t>v. Ukraine</w:t>
      </w:r>
      <w:r w:rsidRPr="001428D3">
        <w:t>, no. 39766/05, § 33, 7 July 2011).</w:t>
      </w:r>
    </w:p>
    <w:p w:rsidRPr="001428D3" w:rsidR="009547AD" w:rsidP="001428D3" w:rsidRDefault="009547AD">
      <w:pPr>
        <w:pStyle w:val="ECHRHeading5"/>
      </w:pPr>
      <w:r w:rsidRPr="001428D3">
        <w:t>(ii)  Application to the present case</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134</w:t>
      </w:r>
      <w:r w:rsidRPr="001428D3">
        <w:fldChar w:fldCharType="end"/>
      </w:r>
      <w:r w:rsidRPr="001428D3">
        <w:t>.  The Court notes that, as established by the domestic courts, as a consequence of the fact that the applicants were refused access to their properties for a period of one month from 3 November to 4 December 2013, they effectively lost</w:t>
      </w:r>
      <w:r w:rsidRPr="001428D3" w:rsidR="00C07DA2">
        <w:t xml:space="preserve"> complete</w:t>
      </w:r>
      <w:r w:rsidRPr="001428D3">
        <w:t xml:space="preserve"> control over</w:t>
      </w:r>
      <w:r w:rsidRPr="001428D3" w:rsidR="00C07DA2">
        <w:t xml:space="preserve"> their properties</w:t>
      </w:r>
      <w:r w:rsidRPr="001428D3">
        <w:t xml:space="preserve">, </w:t>
      </w:r>
      <w:r w:rsidRPr="001428D3" w:rsidR="00C07DA2">
        <w:t>and</w:t>
      </w:r>
      <w:r w:rsidRPr="001428D3">
        <w:t xml:space="preserve"> </w:t>
      </w:r>
      <w:r w:rsidRPr="001428D3" w:rsidR="00C07DA2">
        <w:t>the opportunity</w:t>
      </w:r>
      <w:r w:rsidRPr="001428D3">
        <w:t xml:space="preserve"> to use and enjoy </w:t>
      </w:r>
      <w:r w:rsidRPr="001428D3" w:rsidR="00C07DA2">
        <w:t>them</w:t>
      </w:r>
      <w:r w:rsidRPr="001428D3">
        <w:t xml:space="preserve">. The continuous denial of access for a period of one month must therefore be regarded as an interference with their rights under Article 1 of Protocol No. 1. Such an interference, in the view of the fact that the measures were taken with the purpose </w:t>
      </w:r>
      <w:r w:rsidRPr="001428D3" w:rsidR="00C07DA2">
        <w:t>of demolishing</w:t>
      </w:r>
      <w:r w:rsidRPr="001428D3">
        <w:t xml:space="preserve"> the </w:t>
      </w:r>
      <w:r w:rsidRPr="001428D3" w:rsidR="009D3279">
        <w:t>Jon Residence</w:t>
      </w:r>
      <w:r w:rsidRPr="001428D3">
        <w:t xml:space="preserve"> </w:t>
      </w:r>
      <w:r w:rsidRPr="001428D3" w:rsidR="00C07DA2">
        <w:t xml:space="preserve">between </w:t>
      </w:r>
      <w:r w:rsidRPr="001428D3">
        <w:t>4</w:t>
      </w:r>
      <w:r w:rsidRPr="001428D3" w:rsidR="00C07DA2">
        <w:t xml:space="preserve"> and </w:t>
      </w:r>
      <w:r w:rsidRPr="001428D3">
        <w:t>8 December 2013, clearly falls within the meaning of the first sentence of that provision as an interference with the peaceful enjoyment of possessions. Based on the reasons given by the domestic courts, the Court notes that the Government did not provide any legal justification whatsoever for this interference. The Court observes, as it did under Article</w:t>
      </w:r>
      <w:r w:rsidRPr="001428D3" w:rsidR="006876F7">
        <w:t> </w:t>
      </w:r>
      <w:r w:rsidRPr="001428D3">
        <w:t xml:space="preserve">8 of the Convention above, that the seizure and surrounding of the Jon Residence with yellow police tape, </w:t>
      </w:r>
      <w:r w:rsidRPr="001428D3" w:rsidR="005F3814">
        <w:t>and</w:t>
      </w:r>
      <w:r w:rsidRPr="001428D3">
        <w:t xml:space="preserve"> impe</w:t>
      </w:r>
      <w:r w:rsidRPr="001428D3" w:rsidR="005F3814">
        <w:t>ding the applicants</w:t>
      </w:r>
      <w:r w:rsidRPr="001428D3" w:rsidR="001428D3">
        <w:t>’</w:t>
      </w:r>
      <w:r w:rsidRPr="001428D3">
        <w:t xml:space="preserve"> use </w:t>
      </w:r>
      <w:r w:rsidRPr="001428D3" w:rsidR="005F3814">
        <w:t xml:space="preserve">of </w:t>
      </w:r>
      <w:r w:rsidRPr="001428D3">
        <w:t xml:space="preserve">their </w:t>
      </w:r>
      <w:r w:rsidRPr="001428D3" w:rsidR="00C43934">
        <w:t xml:space="preserve">properties </w:t>
      </w:r>
      <w:r w:rsidRPr="001428D3">
        <w:t>for about one month</w:t>
      </w:r>
      <w:r w:rsidRPr="001428D3" w:rsidR="005F3814">
        <w:t>,</w:t>
      </w:r>
      <w:r w:rsidRPr="001428D3">
        <w:t xml:space="preserve"> were not lawful under domestic law because the authorities disregarded the interim order </w:t>
      </w:r>
      <w:r w:rsidRPr="001428D3" w:rsidR="00C07DA2">
        <w:t xml:space="preserve">issued </w:t>
      </w:r>
      <w:r w:rsidRPr="001428D3">
        <w:t>by the domestic courts.</w:t>
      </w:r>
    </w:p>
    <w:p w:rsidRPr="001428D3" w:rsidR="00D04556"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135</w:t>
      </w:r>
      <w:r w:rsidRPr="001428D3">
        <w:rPr>
          <w:noProof/>
        </w:rPr>
        <w:fldChar w:fldCharType="end"/>
      </w:r>
      <w:r w:rsidRPr="001428D3" w:rsidR="00D04556">
        <w:t>.  For the above reasons, the Court co</w:t>
      </w:r>
      <w:r w:rsidRPr="001428D3" w:rsidR="00F76B58">
        <w:t>ncludes</w:t>
      </w:r>
      <w:r w:rsidRPr="001428D3" w:rsidR="00D04556">
        <w:t xml:space="preserve"> that there has been a violation of Article 1 of Protocol no. 1 to the Convention.</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136</w:t>
      </w:r>
      <w:r w:rsidRPr="001428D3">
        <w:rPr>
          <w:noProof/>
        </w:rPr>
        <w:fldChar w:fldCharType="end"/>
      </w:r>
      <w:r w:rsidRPr="001428D3" w:rsidR="00D04556">
        <w:t>.  </w:t>
      </w:r>
      <w:r w:rsidRPr="001428D3" w:rsidR="00681F4C">
        <w:t>A</w:t>
      </w:r>
      <w:r w:rsidRPr="001428D3" w:rsidR="007C5CDB">
        <w:t xml:space="preserve">s regards the complaint under Article 13 in conjunction with Article 1 of Protocol No. 1 to the Convention, the Court </w:t>
      </w:r>
      <w:r w:rsidRPr="001428D3" w:rsidR="00CB2C3D">
        <w:t>notes that the applicants were not awarded any compensation by the domestic courts concerning the seizure of the building</w:t>
      </w:r>
      <w:r w:rsidRPr="001428D3" w:rsidR="007C5CDB">
        <w:t>.</w:t>
      </w:r>
      <w:r w:rsidRPr="001428D3" w:rsidR="009547AD">
        <w:t> </w:t>
      </w:r>
      <w:r w:rsidRPr="001428D3" w:rsidR="00CB2C3D">
        <w:t xml:space="preserve">The applicants did not therefore </w:t>
      </w:r>
      <w:r w:rsidRPr="001428D3" w:rsidR="00017E0E">
        <w:t xml:space="preserve">have </w:t>
      </w:r>
      <w:r w:rsidRPr="001428D3" w:rsidR="00CB2C3D">
        <w:t xml:space="preserve">any effective remedy at their disposal for the purpose of Article 13 of the Convention. </w:t>
      </w:r>
      <w:r w:rsidRPr="001428D3" w:rsidR="009547AD">
        <w:t xml:space="preserve">Accordingly, </w:t>
      </w:r>
      <w:r w:rsidRPr="001428D3" w:rsidR="00C07DA2">
        <w:t>it</w:t>
      </w:r>
      <w:r w:rsidRPr="001428D3" w:rsidR="009547AD">
        <w:t xml:space="preserve"> concludes that there has been </w:t>
      </w:r>
      <w:r w:rsidRPr="001428D3" w:rsidR="00B17C69">
        <w:t>a violation of Article 13 in conjunction with Article 1 of Protocol No. 1 to the Convention</w:t>
      </w:r>
      <w:r w:rsidRPr="001428D3" w:rsidR="009547AD">
        <w:t>.</w:t>
      </w:r>
    </w:p>
    <w:p w:rsidRPr="001428D3" w:rsidR="009547AD" w:rsidP="001428D3" w:rsidRDefault="009547AD">
      <w:pPr>
        <w:pStyle w:val="ECHRHeading2"/>
      </w:pPr>
      <w:bookmarkStart w:name="_Toc498016767" w:id="57"/>
      <w:r w:rsidRPr="001428D3">
        <w:t>B.  Complaint concerning the expropriation and demolition of the property</w:t>
      </w:r>
      <w:bookmarkEnd w:id="57"/>
    </w:p>
    <w:p w:rsidRPr="001428D3" w:rsidR="009547AD" w:rsidP="001428D3" w:rsidRDefault="009547AD">
      <w:pPr>
        <w:pStyle w:val="ECHRHeading3"/>
      </w:pPr>
      <w:bookmarkStart w:name="_Toc498016768" w:id="58"/>
      <w:r w:rsidRPr="001428D3">
        <w:t>1.  Admissibility</w:t>
      </w:r>
      <w:bookmarkEnd w:id="58"/>
    </w:p>
    <w:p w:rsidRPr="001428D3" w:rsidR="007B5D38" w:rsidP="001428D3" w:rsidRDefault="007B5D38">
      <w:pPr>
        <w:pStyle w:val="ECHRHeading4"/>
        <w:rPr>
          <w:lang w:bidi="en-US"/>
        </w:rPr>
      </w:pPr>
      <w:r w:rsidRPr="001428D3">
        <w:rPr>
          <w:lang w:bidi="en-US"/>
        </w:rPr>
        <w:t>(</w:t>
      </w:r>
      <w:r w:rsidRPr="001428D3" w:rsidR="006F4A33">
        <w:rPr>
          <w:lang w:bidi="en-US"/>
        </w:rPr>
        <w:t>a</w:t>
      </w:r>
      <w:r w:rsidRPr="001428D3">
        <w:rPr>
          <w:lang w:bidi="en-US"/>
        </w:rPr>
        <w:t>)  Whether the applicants have exhausted domestic remedies</w:t>
      </w:r>
    </w:p>
    <w:p w:rsidRPr="001428D3" w:rsidR="006F4A33" w:rsidP="001428D3" w:rsidRDefault="006F4A33">
      <w:pPr>
        <w:pStyle w:val="ECHRHeading5"/>
        <w:rPr>
          <w:lang w:bidi="en-US"/>
        </w:rPr>
      </w:pPr>
      <w:r w:rsidRPr="001428D3">
        <w:rPr>
          <w:lang w:bidi="en-US"/>
        </w:rPr>
        <w:t>(i)  Government</w:t>
      </w:r>
      <w:r w:rsidRPr="001428D3" w:rsidR="001428D3">
        <w:rPr>
          <w:lang w:bidi="en-US"/>
        </w:rPr>
        <w:t>’</w:t>
      </w:r>
      <w:r w:rsidRPr="001428D3">
        <w:rPr>
          <w:lang w:bidi="en-US"/>
        </w:rPr>
        <w:t>s submissions</w:t>
      </w:r>
    </w:p>
    <w:p w:rsidRPr="001428D3" w:rsidR="005521CC" w:rsidP="001428D3" w:rsidRDefault="007B5D38">
      <w:pPr>
        <w:pStyle w:val="ECHRPara"/>
      </w:pPr>
      <w:r w:rsidRPr="001428D3">
        <w:fldChar w:fldCharType="begin"/>
      </w:r>
      <w:r w:rsidRPr="001428D3">
        <w:instrText xml:space="preserve"> SEQ level0 \*arabic </w:instrText>
      </w:r>
      <w:r w:rsidRPr="001428D3">
        <w:fldChar w:fldCharType="separate"/>
      </w:r>
      <w:r w:rsidRPr="001428D3" w:rsidR="001428D3">
        <w:rPr>
          <w:noProof/>
        </w:rPr>
        <w:t>137</w:t>
      </w:r>
      <w:r w:rsidRPr="001428D3">
        <w:fldChar w:fldCharType="end"/>
      </w:r>
      <w:r w:rsidRPr="001428D3">
        <w:t>.  </w:t>
      </w:r>
      <w:r w:rsidRPr="001428D3" w:rsidR="009547AD">
        <w:t xml:space="preserve">The Government submitted that the </w:t>
      </w:r>
      <w:r w:rsidRPr="001428D3" w:rsidR="0056322E">
        <w:t>applicants</w:t>
      </w:r>
      <w:r w:rsidRPr="001428D3" w:rsidR="001428D3">
        <w:t>’</w:t>
      </w:r>
      <w:r w:rsidRPr="001428D3" w:rsidR="0056322E">
        <w:t xml:space="preserve"> appeal </w:t>
      </w:r>
      <w:r w:rsidRPr="001428D3" w:rsidR="009547AD">
        <w:t xml:space="preserve">pending before the Supreme Court was an effective remedy. The </w:t>
      </w:r>
      <w:r w:rsidRPr="001428D3" w:rsidR="00DA6741">
        <w:t xml:space="preserve">proceedings had been stayed </w:t>
      </w:r>
      <w:r w:rsidRPr="001428D3" w:rsidR="009547AD">
        <w:t>under Article 479 of the CCP on the ground</w:t>
      </w:r>
      <w:r w:rsidRPr="001428D3" w:rsidR="00DA6741">
        <w:t>s</w:t>
      </w:r>
      <w:r w:rsidRPr="001428D3" w:rsidR="009547AD">
        <w:t xml:space="preserve"> that the State </w:t>
      </w:r>
      <w:r w:rsidRPr="001428D3" w:rsidR="00DA6741">
        <w:t xml:space="preserve">had been </w:t>
      </w:r>
      <w:r w:rsidRPr="001428D3" w:rsidR="009547AD">
        <w:t xml:space="preserve">unable to pay the compensation all at once. They </w:t>
      </w:r>
      <w:r w:rsidRPr="001428D3" w:rsidR="00DA6741">
        <w:t xml:space="preserve">submitted </w:t>
      </w:r>
      <w:r w:rsidRPr="001428D3" w:rsidR="009547AD">
        <w:t>th</w:t>
      </w:r>
      <w:r w:rsidRPr="001428D3" w:rsidR="00431DA4">
        <w:t xml:space="preserve">at the </w:t>
      </w:r>
      <w:r w:rsidRPr="001428D3" w:rsidR="000F50CC">
        <w:t>Council of Ministers</w:t>
      </w:r>
      <w:r w:rsidRPr="001428D3" w:rsidR="00431DA4">
        <w:t xml:space="preserve"> had approved the decision </w:t>
      </w:r>
      <w:r w:rsidRPr="001428D3" w:rsidR="009547AD">
        <w:t xml:space="preserve">of 5 February 2014 in order to prevent the accumulation of financial debts stemming from judicial decisions and the adequate planning of their payment. Under the </w:t>
      </w:r>
      <w:r w:rsidRPr="001428D3" w:rsidR="009547AD">
        <w:rPr>
          <w:i/>
        </w:rPr>
        <w:t>Gjyli</w:t>
      </w:r>
      <w:r w:rsidRPr="001428D3" w:rsidR="009547AD">
        <w:t xml:space="preserve"> judgment</w:t>
      </w:r>
      <w:r w:rsidRPr="001428D3" w:rsidR="00DA6741">
        <w:t xml:space="preserve"> (</w:t>
      </w:r>
      <w:r w:rsidRPr="001428D3" w:rsidR="009547AD">
        <w:t>cited above</w:t>
      </w:r>
      <w:r w:rsidRPr="001428D3" w:rsidR="00DA6741">
        <w:t>)</w:t>
      </w:r>
      <w:r w:rsidRPr="001428D3" w:rsidR="009547AD">
        <w:t xml:space="preserve"> and Article 479 of CCP</w:t>
      </w:r>
      <w:r w:rsidRPr="001428D3" w:rsidR="00431DA4">
        <w:t>,</w:t>
      </w:r>
      <w:r w:rsidRPr="001428D3" w:rsidR="009547AD">
        <w:t xml:space="preserve"> the final decision on compensation would be the Supreme Court</w:t>
      </w:r>
      <w:r w:rsidRPr="001428D3" w:rsidR="001428D3">
        <w:t>’</w:t>
      </w:r>
      <w:r w:rsidRPr="001428D3" w:rsidR="009547AD">
        <w:t xml:space="preserve">s decision. They also submitted domestic </w:t>
      </w:r>
      <w:r w:rsidRPr="001428D3" w:rsidR="009B75B7">
        <w:t>case-</w:t>
      </w:r>
      <w:r w:rsidRPr="001428D3" w:rsidR="009547AD">
        <w:t xml:space="preserve">law according to which legal proceedings </w:t>
      </w:r>
      <w:r w:rsidRPr="001428D3" w:rsidR="00CC6937">
        <w:t>to</w:t>
      </w:r>
      <w:r w:rsidRPr="001428D3" w:rsidR="009547AD">
        <w:t xml:space="preserve"> challenge the amount of compensation had been su</w:t>
      </w:r>
      <w:r w:rsidRPr="001428D3" w:rsidR="005B2DBE">
        <w:t>ccessful at domestic level (see </w:t>
      </w:r>
      <w:r w:rsidRPr="001428D3" w:rsidR="009547AD">
        <w:t xml:space="preserve">paragraph </w:t>
      </w:r>
      <w:r w:rsidRPr="001428D3" w:rsidR="00CB192C">
        <w:t>5</w:t>
      </w:r>
      <w:r w:rsidRPr="001428D3" w:rsidR="005C0629">
        <w:t>6</w:t>
      </w:r>
      <w:r w:rsidRPr="001428D3" w:rsidR="009547AD">
        <w:t xml:space="preserve"> above). The proceedings before the Supreme Court</w:t>
      </w:r>
      <w:r w:rsidRPr="001428D3" w:rsidR="00CC6937">
        <w:t xml:space="preserve"> had not been excessively long</w:t>
      </w:r>
      <w:r w:rsidRPr="001428D3" w:rsidR="009547AD">
        <w:t xml:space="preserve">, taking into account the complexity of the case, the </w:t>
      </w:r>
      <w:r w:rsidRPr="001428D3" w:rsidR="00CC6937">
        <w:t xml:space="preserve">need </w:t>
      </w:r>
      <w:r w:rsidRPr="001428D3" w:rsidR="009547AD">
        <w:t xml:space="preserve">to call different experts for the valuation of the property and the backlog before </w:t>
      </w:r>
      <w:r w:rsidRPr="001428D3" w:rsidR="00CC6937">
        <w:t>it</w:t>
      </w:r>
      <w:r w:rsidRPr="001428D3" w:rsidR="009547AD">
        <w:t>. They further submitted that the Albanian authorities, in view of an ongoing reform in the justice system, were taking measures to address the length of judicial proceedings at domestic level.</w:t>
      </w:r>
    </w:p>
    <w:p w:rsidRPr="001428D3" w:rsidR="005521CC" w:rsidP="001428D3" w:rsidRDefault="00431DA4">
      <w:pPr>
        <w:pStyle w:val="ECHRPara"/>
      </w:pPr>
      <w:r w:rsidRPr="001428D3">
        <w:fldChar w:fldCharType="begin"/>
      </w:r>
      <w:r w:rsidRPr="001428D3">
        <w:instrText xml:space="preserve"> SEQ level0 \*arabic </w:instrText>
      </w:r>
      <w:r w:rsidRPr="001428D3">
        <w:fldChar w:fldCharType="separate"/>
      </w:r>
      <w:r w:rsidRPr="001428D3" w:rsidR="001428D3">
        <w:rPr>
          <w:noProof/>
        </w:rPr>
        <w:t>138</w:t>
      </w:r>
      <w:r w:rsidRPr="001428D3">
        <w:fldChar w:fldCharType="end"/>
      </w:r>
      <w:r w:rsidRPr="001428D3">
        <w:t>.  </w:t>
      </w:r>
      <w:r w:rsidRPr="001428D3" w:rsidR="003F295C">
        <w:t xml:space="preserve">In their oral </w:t>
      </w:r>
      <w:r w:rsidRPr="001428D3" w:rsidR="00F245C4">
        <w:t xml:space="preserve">submissions </w:t>
      </w:r>
      <w:r w:rsidRPr="001428D3" w:rsidR="003F295C">
        <w:t xml:space="preserve">the Government </w:t>
      </w:r>
      <w:r w:rsidRPr="001428D3" w:rsidR="006272AE">
        <w:t xml:space="preserve">stressed </w:t>
      </w:r>
      <w:r w:rsidRPr="001428D3" w:rsidR="003F295C">
        <w:t xml:space="preserve">that the applicants had failed to </w:t>
      </w:r>
      <w:r w:rsidRPr="001428D3" w:rsidR="00293A4A">
        <w:t>seek</w:t>
      </w:r>
      <w:r w:rsidRPr="001428D3" w:rsidR="0056150C">
        <w:t xml:space="preserve"> </w:t>
      </w:r>
      <w:r w:rsidRPr="001428D3" w:rsidR="003F295C">
        <w:t xml:space="preserve">compensation </w:t>
      </w:r>
      <w:r w:rsidRPr="001428D3" w:rsidR="00293A4A">
        <w:t xml:space="preserve">from </w:t>
      </w:r>
      <w:r w:rsidRPr="001428D3" w:rsidR="003F295C">
        <w:t xml:space="preserve">the domestic authorities on the basis of the </w:t>
      </w:r>
      <w:r w:rsidRPr="001428D3" w:rsidR="000F50CC">
        <w:t>Council of Ministers</w:t>
      </w:r>
      <w:r w:rsidRPr="001428D3" w:rsidR="001428D3">
        <w:t>’</w:t>
      </w:r>
      <w:r w:rsidRPr="001428D3" w:rsidR="003F295C">
        <w:t xml:space="preserve"> decision of 27 November 2013 as amended by </w:t>
      </w:r>
      <w:r w:rsidRPr="001428D3" w:rsidR="00CC6937">
        <w:t>its</w:t>
      </w:r>
      <w:r w:rsidRPr="001428D3" w:rsidR="003F295C">
        <w:t xml:space="preserve"> decision of 9 April 2014, which </w:t>
      </w:r>
      <w:r w:rsidRPr="001428D3" w:rsidR="00835DD5">
        <w:t xml:space="preserve">had been </w:t>
      </w:r>
      <w:r w:rsidRPr="001428D3" w:rsidR="003F295C">
        <w:t xml:space="preserve">the only enforceable decision at domestic level </w:t>
      </w:r>
      <w:r w:rsidRPr="001428D3" w:rsidR="00C06DF8">
        <w:t>to date</w:t>
      </w:r>
      <w:r w:rsidRPr="001428D3" w:rsidR="003F295C">
        <w:t xml:space="preserve">. The expropriation value had been available to the applicants </w:t>
      </w:r>
      <w:r w:rsidRPr="001428D3" w:rsidR="00CC6937">
        <w:t xml:space="preserve">for </w:t>
      </w:r>
      <w:r w:rsidRPr="001428D3" w:rsidR="003F295C">
        <w:t>three years</w:t>
      </w:r>
      <w:r w:rsidRPr="001428D3" w:rsidR="0056150C">
        <w:t xml:space="preserve"> but they had failed to </w:t>
      </w:r>
      <w:r w:rsidRPr="001428D3" w:rsidR="00CC6937">
        <w:t>say to which</w:t>
      </w:r>
      <w:r w:rsidRPr="001428D3" w:rsidR="003F295C">
        <w:t xml:space="preserve"> bank account the award </w:t>
      </w:r>
      <w:r w:rsidRPr="001428D3" w:rsidR="00CC6937">
        <w:t xml:space="preserve">should </w:t>
      </w:r>
      <w:r w:rsidRPr="001428D3" w:rsidR="003F295C">
        <w:t xml:space="preserve">be transferred. The </w:t>
      </w:r>
      <w:r w:rsidRPr="001428D3" w:rsidR="00446C85">
        <w:t>addition</w:t>
      </w:r>
      <w:r w:rsidRPr="001428D3" w:rsidR="00CC6937">
        <w:t>al</w:t>
      </w:r>
      <w:r w:rsidRPr="001428D3" w:rsidR="003F295C">
        <w:t xml:space="preserve"> compensation had not yet been awarded by a final decision.</w:t>
      </w:r>
    </w:p>
    <w:p w:rsidRPr="001428D3" w:rsidR="003F295C" w:rsidP="001428D3" w:rsidRDefault="00E35258">
      <w:pPr>
        <w:pStyle w:val="ECHRPara"/>
      </w:pPr>
      <w:r w:rsidRPr="001428D3">
        <w:fldChar w:fldCharType="begin"/>
      </w:r>
      <w:r w:rsidRPr="001428D3">
        <w:instrText xml:space="preserve"> SEQ level0 \*arabic </w:instrText>
      </w:r>
      <w:r w:rsidRPr="001428D3">
        <w:fldChar w:fldCharType="separate"/>
      </w:r>
      <w:r w:rsidRPr="001428D3" w:rsidR="001428D3">
        <w:rPr>
          <w:noProof/>
        </w:rPr>
        <w:t>139</w:t>
      </w:r>
      <w:r w:rsidRPr="001428D3">
        <w:fldChar w:fldCharType="end"/>
      </w:r>
      <w:r w:rsidRPr="001428D3">
        <w:t>.  </w:t>
      </w:r>
      <w:r w:rsidRPr="001428D3" w:rsidR="003F295C">
        <w:t xml:space="preserve">Furthermore, the applicants had </w:t>
      </w:r>
      <w:r w:rsidRPr="001428D3" w:rsidR="00A5329F">
        <w:t xml:space="preserve">had </w:t>
      </w:r>
      <w:r w:rsidRPr="001428D3" w:rsidR="003F295C">
        <w:t xml:space="preserve">the following </w:t>
      </w:r>
      <w:r w:rsidRPr="001428D3" w:rsidR="00B51FE1">
        <w:t>remedies</w:t>
      </w:r>
      <w:r w:rsidRPr="001428D3" w:rsidR="00A5329F">
        <w:t xml:space="preserve"> at their disposal</w:t>
      </w:r>
      <w:r w:rsidRPr="001428D3" w:rsidR="003F295C">
        <w:t>: property rights claims, claims for possession</w:t>
      </w:r>
      <w:r w:rsidRPr="001428D3" w:rsidR="00E96A1B">
        <w:t xml:space="preserve"> and</w:t>
      </w:r>
      <w:r w:rsidRPr="001428D3" w:rsidR="003F295C">
        <w:t xml:space="preserve"> claims under the Inspection of </w:t>
      </w:r>
      <w:r w:rsidRPr="001428D3" w:rsidR="00C509F3">
        <w:t xml:space="preserve">Buildings </w:t>
      </w:r>
      <w:r w:rsidRPr="001428D3" w:rsidR="003F295C">
        <w:t xml:space="preserve">Act, </w:t>
      </w:r>
      <w:r w:rsidRPr="001428D3" w:rsidR="000527A3">
        <w:t xml:space="preserve">all of </w:t>
      </w:r>
      <w:r w:rsidRPr="001428D3" w:rsidR="003F295C">
        <w:t xml:space="preserve">which </w:t>
      </w:r>
      <w:r w:rsidRPr="001428D3" w:rsidR="00A5329F">
        <w:t>were compensatory</w:t>
      </w:r>
      <w:r w:rsidRPr="001428D3" w:rsidR="005F4664">
        <w:t>.</w:t>
      </w:r>
    </w:p>
    <w:p w:rsidRPr="001428D3" w:rsidR="005521CC" w:rsidP="001428D3" w:rsidRDefault="009547AD">
      <w:pPr>
        <w:pStyle w:val="ECHRPara"/>
        <w:rPr>
          <w:lang w:bidi="en-US"/>
        </w:rPr>
      </w:pPr>
      <w:r w:rsidRPr="001428D3">
        <w:rPr>
          <w:lang w:bidi="en-US"/>
        </w:rPr>
        <w:fldChar w:fldCharType="begin"/>
      </w:r>
      <w:r w:rsidRPr="001428D3">
        <w:rPr>
          <w:lang w:bidi="en-US"/>
        </w:rPr>
        <w:instrText xml:space="preserve"> SEQ level0 \*arabic </w:instrText>
      </w:r>
      <w:r w:rsidRPr="001428D3">
        <w:rPr>
          <w:lang w:bidi="en-US"/>
        </w:rPr>
        <w:fldChar w:fldCharType="separate"/>
      </w:r>
      <w:r w:rsidRPr="001428D3" w:rsidR="001428D3">
        <w:rPr>
          <w:noProof/>
          <w:lang w:bidi="en-US"/>
        </w:rPr>
        <w:t>140</w:t>
      </w:r>
      <w:r w:rsidRPr="001428D3">
        <w:rPr>
          <w:lang w:bidi="en-US"/>
        </w:rPr>
        <w:fldChar w:fldCharType="end"/>
      </w:r>
      <w:r w:rsidRPr="001428D3">
        <w:rPr>
          <w:lang w:bidi="en-US"/>
        </w:rPr>
        <w:t xml:space="preserve">.  The Government further submitted that the applicants had failed to challenge the decision </w:t>
      </w:r>
      <w:r w:rsidRPr="001428D3" w:rsidR="00A5329F">
        <w:rPr>
          <w:lang w:bidi="en-US"/>
        </w:rPr>
        <w:t>to</w:t>
      </w:r>
      <w:r w:rsidRPr="001428D3">
        <w:rPr>
          <w:lang w:bidi="en-US"/>
        </w:rPr>
        <w:t xml:space="preserve"> </w:t>
      </w:r>
      <w:r w:rsidRPr="001428D3" w:rsidR="00A5329F">
        <w:rPr>
          <w:lang w:bidi="en-US"/>
        </w:rPr>
        <w:t xml:space="preserve">demolish </w:t>
      </w:r>
      <w:r w:rsidRPr="001428D3">
        <w:rPr>
          <w:lang w:bidi="en-US"/>
        </w:rPr>
        <w:t>the Jon Residence</w:t>
      </w:r>
      <w:r w:rsidRPr="001428D3" w:rsidR="00C06DF8">
        <w:rPr>
          <w:lang w:bidi="en-US"/>
        </w:rPr>
        <w:t xml:space="preserve"> before the domestic courts</w:t>
      </w:r>
      <w:r w:rsidRPr="001428D3">
        <w:rPr>
          <w:lang w:bidi="en-US"/>
        </w:rPr>
        <w:t xml:space="preserve">. </w:t>
      </w:r>
      <w:r w:rsidRPr="001428D3">
        <w:t xml:space="preserve">They could have </w:t>
      </w:r>
      <w:r w:rsidRPr="001428D3" w:rsidR="00A5329F">
        <w:t>applied</w:t>
      </w:r>
      <w:r w:rsidRPr="001428D3">
        <w:t xml:space="preserve"> for</w:t>
      </w:r>
      <w:r w:rsidRPr="001428D3" w:rsidR="00A5329F">
        <w:t xml:space="preserve"> an</w:t>
      </w:r>
      <w:r w:rsidRPr="001428D3">
        <w:t xml:space="preserve"> interim order to stay the demolition of the building since they had </w:t>
      </w:r>
      <w:r w:rsidRPr="001428D3" w:rsidR="00A5329F">
        <w:t xml:space="preserve">known </w:t>
      </w:r>
      <w:r w:rsidRPr="001428D3">
        <w:t xml:space="preserve">about the demolition from </w:t>
      </w:r>
      <w:r w:rsidRPr="001428D3" w:rsidR="00A5329F">
        <w:t xml:space="preserve">at least </w:t>
      </w:r>
      <w:r w:rsidRPr="001428D3" w:rsidR="005B2DBE">
        <w:t>27 </w:t>
      </w:r>
      <w:r w:rsidRPr="001428D3">
        <w:t xml:space="preserve">November 2013, the date of the </w:t>
      </w:r>
      <w:r w:rsidRPr="001428D3" w:rsidR="000F50CC">
        <w:t>Council of Ministers</w:t>
      </w:r>
      <w:r w:rsidRPr="001428D3" w:rsidR="001428D3">
        <w:t>’</w:t>
      </w:r>
      <w:r w:rsidRPr="001428D3">
        <w:t xml:space="preserve"> decision, or alternatively from </w:t>
      </w:r>
      <w:r w:rsidRPr="001428D3" w:rsidR="00DC033A">
        <w:t xml:space="preserve">28 </w:t>
      </w:r>
      <w:r w:rsidRPr="001428D3">
        <w:t>November 2013, when the Prime Minister had declared that the Lungomare project would be constructed, or from 3</w:t>
      </w:r>
      <w:r w:rsidRPr="001428D3" w:rsidR="0026374E">
        <w:t> </w:t>
      </w:r>
      <w:r w:rsidRPr="001428D3">
        <w:t xml:space="preserve">December 2013, when the </w:t>
      </w:r>
      <w:r w:rsidRPr="001428D3" w:rsidR="000F50CC">
        <w:t>Council of Ministers</w:t>
      </w:r>
      <w:r w:rsidRPr="001428D3" w:rsidR="001428D3">
        <w:t>’</w:t>
      </w:r>
      <w:r w:rsidRPr="001428D3" w:rsidR="00BA7F07">
        <w:t xml:space="preserve"> decision</w:t>
      </w:r>
      <w:r w:rsidRPr="001428D3">
        <w:t xml:space="preserve"> </w:t>
      </w:r>
      <w:r w:rsidRPr="001428D3" w:rsidR="00BA7F07">
        <w:t xml:space="preserve">had been </w:t>
      </w:r>
      <w:r w:rsidRPr="001428D3">
        <w:t xml:space="preserve">published, until 8 December 2013, when the building </w:t>
      </w:r>
      <w:r w:rsidRPr="001428D3" w:rsidR="00BA7F07">
        <w:t xml:space="preserve">had been </w:t>
      </w:r>
      <w:r w:rsidRPr="001428D3">
        <w:t xml:space="preserve">demolished. </w:t>
      </w:r>
      <w:r w:rsidRPr="001428D3" w:rsidR="00BA7F07">
        <w:rPr>
          <w:lang w:bidi="en-US"/>
        </w:rPr>
        <w:t>Furthermore,</w:t>
      </w:r>
      <w:r w:rsidRPr="001428D3" w:rsidR="00BA7F07">
        <w:t xml:space="preserve"> t</w:t>
      </w:r>
      <w:r w:rsidRPr="001428D3">
        <w:rPr>
          <w:lang w:bidi="en-US"/>
        </w:rPr>
        <w:t xml:space="preserve">he applicants had failed to challenge the alleged </w:t>
      </w:r>
      <w:r w:rsidRPr="001428D3" w:rsidR="00FA0D6C">
        <w:rPr>
          <w:lang w:bidi="en-US"/>
        </w:rPr>
        <w:t>“</w:t>
      </w:r>
      <w:r w:rsidRPr="001428D3">
        <w:rPr>
          <w:i/>
          <w:lang w:bidi="en-US"/>
        </w:rPr>
        <w:t>de facto</w:t>
      </w:r>
      <w:r w:rsidRPr="001428D3">
        <w:rPr>
          <w:lang w:bidi="en-US"/>
        </w:rPr>
        <w:t xml:space="preserve"> expropriation</w:t>
      </w:r>
      <w:r w:rsidRPr="001428D3" w:rsidR="00FA0D6C">
        <w:rPr>
          <w:lang w:bidi="en-US"/>
        </w:rPr>
        <w:t>”</w:t>
      </w:r>
      <w:r w:rsidRPr="001428D3">
        <w:rPr>
          <w:lang w:bidi="en-US"/>
        </w:rPr>
        <w:t xml:space="preserve"> </w:t>
      </w:r>
      <w:r w:rsidRPr="001428D3" w:rsidR="00680592">
        <w:rPr>
          <w:i/>
          <w:lang w:bidi="en-US"/>
        </w:rPr>
        <w:t>(shpronësim de facto)</w:t>
      </w:r>
      <w:r w:rsidRPr="001428D3" w:rsidR="00680592">
        <w:rPr>
          <w:lang w:bidi="en-US"/>
        </w:rPr>
        <w:t xml:space="preserve"> </w:t>
      </w:r>
      <w:r w:rsidRPr="001428D3">
        <w:rPr>
          <w:lang w:bidi="en-US"/>
        </w:rPr>
        <w:t xml:space="preserve">under </w:t>
      </w:r>
      <w:r w:rsidRPr="001428D3" w:rsidR="00C06DF8">
        <w:rPr>
          <w:lang w:bidi="en-US"/>
        </w:rPr>
        <w:t xml:space="preserve">section </w:t>
      </w:r>
      <w:r w:rsidRPr="001428D3" w:rsidR="006241EE">
        <w:rPr>
          <w:lang w:bidi="en-US"/>
        </w:rPr>
        <w:t xml:space="preserve">26 of the Expropriation Act. </w:t>
      </w:r>
      <w:r w:rsidRPr="001428D3">
        <w:rPr>
          <w:lang w:bidi="en-US"/>
        </w:rPr>
        <w:t xml:space="preserve">The unlawfulness of the expropriation procedure had not been part of the claim </w:t>
      </w:r>
      <w:r w:rsidRPr="001428D3" w:rsidR="00BA7F07">
        <w:rPr>
          <w:lang w:bidi="en-US"/>
        </w:rPr>
        <w:t>lodged with</w:t>
      </w:r>
      <w:r w:rsidRPr="001428D3">
        <w:rPr>
          <w:lang w:bidi="en-US"/>
        </w:rPr>
        <w:t xml:space="preserve"> the domestic courts.</w:t>
      </w:r>
    </w:p>
    <w:p w:rsidRPr="001428D3" w:rsidR="005521CC" w:rsidP="001428D3" w:rsidRDefault="00CB04B9">
      <w:pPr>
        <w:pStyle w:val="ECHRPara"/>
        <w:rPr>
          <w:lang w:bidi="en-US"/>
        </w:rPr>
      </w:pPr>
      <w:r w:rsidRPr="001428D3">
        <w:rPr>
          <w:lang w:bidi="en-US"/>
        </w:rPr>
        <w:fldChar w:fldCharType="begin"/>
      </w:r>
      <w:r w:rsidRPr="001428D3">
        <w:rPr>
          <w:lang w:bidi="en-US"/>
        </w:rPr>
        <w:instrText xml:space="preserve"> SEQ level0 \*arabic </w:instrText>
      </w:r>
      <w:r w:rsidRPr="001428D3">
        <w:rPr>
          <w:lang w:bidi="en-US"/>
        </w:rPr>
        <w:fldChar w:fldCharType="separate"/>
      </w:r>
      <w:r w:rsidRPr="001428D3" w:rsidR="001428D3">
        <w:rPr>
          <w:noProof/>
          <w:lang w:bidi="en-US"/>
        </w:rPr>
        <w:t>141</w:t>
      </w:r>
      <w:r w:rsidRPr="001428D3">
        <w:rPr>
          <w:lang w:bidi="en-US"/>
        </w:rPr>
        <w:fldChar w:fldCharType="end"/>
      </w:r>
      <w:r w:rsidRPr="001428D3">
        <w:rPr>
          <w:lang w:bidi="en-US"/>
        </w:rPr>
        <w:t>.  </w:t>
      </w:r>
      <w:r w:rsidRPr="001428D3" w:rsidR="009547AD">
        <w:rPr>
          <w:lang w:bidi="en-US"/>
        </w:rPr>
        <w:t xml:space="preserve">The Government also submitted that the applicants had failed to complain </w:t>
      </w:r>
      <w:r w:rsidRPr="001428D3" w:rsidR="0054665B">
        <w:rPr>
          <w:lang w:bidi="en-US"/>
        </w:rPr>
        <w:t xml:space="preserve">to </w:t>
      </w:r>
      <w:r w:rsidRPr="001428D3" w:rsidR="009547AD">
        <w:rPr>
          <w:lang w:bidi="en-US"/>
        </w:rPr>
        <w:t>the domestic courts about the</w:t>
      </w:r>
      <w:r w:rsidRPr="001428D3" w:rsidR="00BA7F07">
        <w:rPr>
          <w:lang w:bidi="en-US"/>
        </w:rPr>
        <w:t>ir</w:t>
      </w:r>
      <w:r w:rsidRPr="001428D3" w:rsidR="009547AD">
        <w:rPr>
          <w:lang w:bidi="en-US"/>
        </w:rPr>
        <w:t xml:space="preserve"> movable </w:t>
      </w:r>
      <w:r w:rsidRPr="001428D3" w:rsidR="00C06DF8">
        <w:rPr>
          <w:lang w:bidi="en-US"/>
        </w:rPr>
        <w:t xml:space="preserve">property </w:t>
      </w:r>
      <w:r w:rsidRPr="001428D3" w:rsidR="009547AD">
        <w:rPr>
          <w:lang w:bidi="en-US"/>
        </w:rPr>
        <w:t xml:space="preserve">and the relevant compensation. </w:t>
      </w:r>
      <w:r w:rsidRPr="001428D3" w:rsidR="00A52DCC">
        <w:rPr>
          <w:lang w:bidi="en-US"/>
        </w:rPr>
        <w:t>In any case</w:t>
      </w:r>
      <w:r w:rsidRPr="001428D3" w:rsidR="00BA7F07">
        <w:rPr>
          <w:lang w:bidi="en-US"/>
        </w:rPr>
        <w:t>,</w:t>
      </w:r>
      <w:r w:rsidRPr="001428D3" w:rsidR="00A52DCC">
        <w:rPr>
          <w:lang w:bidi="en-US"/>
        </w:rPr>
        <w:t xml:space="preserve"> f</w:t>
      </w:r>
      <w:r w:rsidRPr="001428D3" w:rsidR="009547AD">
        <w:rPr>
          <w:lang w:bidi="en-US"/>
        </w:rPr>
        <w:t>rom 7 November 2013 to 8</w:t>
      </w:r>
      <w:r w:rsidRPr="001428D3" w:rsidR="00E40ABC">
        <w:rPr>
          <w:lang w:bidi="en-US"/>
        </w:rPr>
        <w:t> </w:t>
      </w:r>
      <w:r w:rsidRPr="001428D3" w:rsidR="009547AD">
        <w:rPr>
          <w:lang w:bidi="en-US"/>
        </w:rPr>
        <w:t>December</w:t>
      </w:r>
      <w:r w:rsidRPr="001428D3" w:rsidR="00E40ABC">
        <w:rPr>
          <w:lang w:bidi="en-US"/>
        </w:rPr>
        <w:t> </w:t>
      </w:r>
      <w:r w:rsidRPr="001428D3" w:rsidR="009547AD">
        <w:rPr>
          <w:lang w:bidi="en-US"/>
        </w:rPr>
        <w:t xml:space="preserve">2013 the applicants had </w:t>
      </w:r>
      <w:r w:rsidRPr="001428D3" w:rsidR="00BA7F07">
        <w:rPr>
          <w:lang w:bidi="en-US"/>
        </w:rPr>
        <w:t xml:space="preserve">had </w:t>
      </w:r>
      <w:r w:rsidRPr="001428D3" w:rsidR="009547AD">
        <w:rPr>
          <w:lang w:bidi="en-US"/>
        </w:rPr>
        <w:t xml:space="preserve">all the time </w:t>
      </w:r>
      <w:r w:rsidRPr="001428D3" w:rsidR="00835DD5">
        <w:rPr>
          <w:lang w:bidi="en-US"/>
        </w:rPr>
        <w:t xml:space="preserve">needed </w:t>
      </w:r>
      <w:r w:rsidRPr="001428D3" w:rsidR="009547AD">
        <w:rPr>
          <w:lang w:bidi="en-US"/>
        </w:rPr>
        <w:t>to remove the</w:t>
      </w:r>
      <w:r w:rsidRPr="001428D3" w:rsidR="00BA7F07">
        <w:rPr>
          <w:lang w:bidi="en-US"/>
        </w:rPr>
        <w:t>ir</w:t>
      </w:r>
      <w:r w:rsidRPr="001428D3" w:rsidR="009547AD">
        <w:rPr>
          <w:lang w:bidi="en-US"/>
        </w:rPr>
        <w:t xml:space="preserve"> movable propert</w:t>
      </w:r>
      <w:r w:rsidRPr="001428D3" w:rsidR="00C06DF8">
        <w:rPr>
          <w:lang w:bidi="en-US"/>
        </w:rPr>
        <w:t>y</w:t>
      </w:r>
      <w:r w:rsidRPr="001428D3" w:rsidR="009547AD">
        <w:rPr>
          <w:lang w:bidi="en-US"/>
        </w:rPr>
        <w:t>.</w:t>
      </w:r>
    </w:p>
    <w:p w:rsidRPr="001428D3" w:rsidR="009547AD" w:rsidP="001428D3" w:rsidRDefault="009547AD">
      <w:pPr>
        <w:pStyle w:val="ECHRHeading5"/>
      </w:pPr>
      <w:r w:rsidRPr="001428D3">
        <w:t>(</w:t>
      </w:r>
      <w:r w:rsidRPr="001428D3" w:rsidR="00E117A2">
        <w:t>ii</w:t>
      </w:r>
      <w:r w:rsidRPr="001428D3">
        <w:t>)  Applicants</w:t>
      </w:r>
      <w:r w:rsidRPr="001428D3" w:rsidR="001428D3">
        <w:t>’</w:t>
      </w:r>
      <w:r w:rsidRPr="001428D3">
        <w:t xml:space="preserve"> submissions</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142</w:t>
      </w:r>
      <w:r w:rsidRPr="001428D3">
        <w:fldChar w:fldCharType="end"/>
      </w:r>
      <w:r w:rsidRPr="001428D3">
        <w:t>.  The applicants contended that the</w:t>
      </w:r>
      <w:r w:rsidRPr="001428D3" w:rsidR="00BA7F07">
        <w:t>ir</w:t>
      </w:r>
      <w:r w:rsidRPr="001428D3">
        <w:t xml:space="preserve"> appeal </w:t>
      </w:r>
      <w:r w:rsidRPr="001428D3" w:rsidR="00BA7F07">
        <w:t xml:space="preserve">pending </w:t>
      </w:r>
      <w:r w:rsidRPr="001428D3">
        <w:t>before the Supreme Court was not an effective remedy for the purpose</w:t>
      </w:r>
      <w:r w:rsidRPr="001428D3" w:rsidR="00BA7F07">
        <w:t>s</w:t>
      </w:r>
      <w:r w:rsidRPr="001428D3">
        <w:t xml:space="preserve"> of Article 13 of the Convention. Firstly, the proceedings concerned only the amount of compensation</w:t>
      </w:r>
      <w:r w:rsidRPr="001428D3" w:rsidR="00C06DF8">
        <w:t xml:space="preserve"> due to them</w:t>
      </w:r>
      <w:r w:rsidRPr="001428D3">
        <w:t xml:space="preserve"> for the unlawful expropriation and not the issue </w:t>
      </w:r>
      <w:r w:rsidRPr="001428D3" w:rsidR="00835DD5">
        <w:t xml:space="preserve">of </w:t>
      </w:r>
      <w:r w:rsidRPr="001428D3">
        <w:t xml:space="preserve">whether the demolition </w:t>
      </w:r>
      <w:r w:rsidRPr="001428D3" w:rsidR="00BA7F07">
        <w:t xml:space="preserve">had been </w:t>
      </w:r>
      <w:r w:rsidRPr="001428D3">
        <w:t>in breach of the</w:t>
      </w:r>
      <w:r w:rsidRPr="001428D3" w:rsidR="00BA7F07">
        <w:t>ir</w:t>
      </w:r>
      <w:r w:rsidRPr="001428D3">
        <w:t xml:space="preserve"> right to</w:t>
      </w:r>
      <w:r w:rsidRPr="001428D3" w:rsidR="00BA7F07">
        <w:t xml:space="preserve"> respect for their</w:t>
      </w:r>
      <w:r w:rsidRPr="001428D3">
        <w:t xml:space="preserve"> home and property. Secondly, the proceedings </w:t>
      </w:r>
      <w:r w:rsidRPr="001428D3" w:rsidR="00BA7F07">
        <w:t xml:space="preserve">had been </w:t>
      </w:r>
      <w:r w:rsidRPr="001428D3">
        <w:t>pending since 2013 and despite repeated requests by the</w:t>
      </w:r>
      <w:r w:rsidRPr="001428D3" w:rsidR="00C06DF8">
        <w:t>m</w:t>
      </w:r>
      <w:r w:rsidRPr="001428D3">
        <w:t xml:space="preserve"> for the case </w:t>
      </w:r>
      <w:r w:rsidRPr="001428D3" w:rsidR="00BA7F07">
        <w:t>to be dealt with urgently</w:t>
      </w:r>
      <w:r w:rsidRPr="001428D3" w:rsidR="00C06DF8">
        <w:t>,</w:t>
      </w:r>
      <w:r w:rsidRPr="001428D3" w:rsidR="00BA7F07">
        <w:t xml:space="preserve"> </w:t>
      </w:r>
      <w:r w:rsidRPr="001428D3">
        <w:t xml:space="preserve">not even the first hearing had been scheduled. Thirdly, the proceedings had no reasonable prospect of success since it was unlikely that the Supreme Court would </w:t>
      </w:r>
      <w:r w:rsidRPr="001428D3" w:rsidR="00BA7F07">
        <w:t>allow their</w:t>
      </w:r>
      <w:r w:rsidRPr="001428D3">
        <w:t xml:space="preserve"> appeal and rule against the Government and </w:t>
      </w:r>
      <w:r w:rsidRPr="001428D3" w:rsidR="000527A3">
        <w:t xml:space="preserve">order them to </w:t>
      </w:r>
      <w:r w:rsidRPr="001428D3" w:rsidR="00BA7F07">
        <w:t xml:space="preserve">pay </w:t>
      </w:r>
      <w:r w:rsidRPr="001428D3" w:rsidR="000527A3">
        <w:t>the</w:t>
      </w:r>
      <w:r w:rsidRPr="001428D3" w:rsidR="00F811EC">
        <w:t>m</w:t>
      </w:r>
      <w:r w:rsidRPr="001428D3" w:rsidR="000527A3">
        <w:t xml:space="preserve"> </w:t>
      </w:r>
      <w:r w:rsidRPr="001428D3">
        <w:t>compensat</w:t>
      </w:r>
      <w:r w:rsidRPr="001428D3" w:rsidR="00BA7F07">
        <w:t>ion</w:t>
      </w:r>
      <w:r w:rsidRPr="001428D3">
        <w:t xml:space="preserve"> </w:t>
      </w:r>
      <w:r w:rsidRPr="001428D3" w:rsidR="00BA7F07">
        <w:t>at</w:t>
      </w:r>
      <w:r w:rsidRPr="001428D3">
        <w:t xml:space="preserve"> full market value</w:t>
      </w:r>
      <w:r w:rsidRPr="001428D3" w:rsidR="00C06DF8">
        <w:t>,</w:t>
      </w:r>
      <w:r w:rsidRPr="001428D3">
        <w:t xml:space="preserve"> considering both the high political profile of the present case and the broader context of growing governmental interferences in the administration of justice. They relied on </w:t>
      </w:r>
      <w:r w:rsidRPr="001428D3" w:rsidR="00396D15">
        <w:rPr>
          <w:i/>
        </w:rPr>
        <w:t xml:space="preserve">Kozacıoğlu v. Turkey </w:t>
      </w:r>
      <w:r w:rsidRPr="001428D3" w:rsidR="00BA7F07">
        <w:t>(</w:t>
      </w:r>
      <w:r w:rsidRPr="001428D3" w:rsidR="00396D15">
        <w:t>[GC]</w:t>
      </w:r>
      <w:r w:rsidRPr="001428D3" w:rsidR="00396D15">
        <w:rPr>
          <w:snapToGrid w:val="0"/>
        </w:rPr>
        <w:t>, no.</w:t>
      </w:r>
      <w:r w:rsidRPr="001428D3" w:rsidR="005B2DBE">
        <w:t xml:space="preserve"> 2334/03, 19 </w:t>
      </w:r>
      <w:r w:rsidRPr="001428D3" w:rsidR="00396D15">
        <w:t xml:space="preserve">February 2009). </w:t>
      </w:r>
      <w:r w:rsidRPr="001428D3">
        <w:t xml:space="preserve">Lastly, even if the appeal before the Supreme Court turned out to be successful, </w:t>
      </w:r>
      <w:r w:rsidRPr="001428D3" w:rsidR="00BA7F07">
        <w:t xml:space="preserve">the </w:t>
      </w:r>
      <w:r w:rsidRPr="001428D3">
        <w:t xml:space="preserve">decision was doomed to remain unexecuted as the Government had clearly shown no intention </w:t>
      </w:r>
      <w:r w:rsidRPr="001428D3" w:rsidR="00BA7F07">
        <w:t xml:space="preserve">of </w:t>
      </w:r>
      <w:r w:rsidRPr="001428D3">
        <w:t>comply</w:t>
      </w:r>
      <w:r w:rsidRPr="001428D3" w:rsidR="00BA7F07">
        <w:t>ing</w:t>
      </w:r>
      <w:r w:rsidRPr="001428D3">
        <w:t xml:space="preserve"> with the domestic decisions or even its own decisions. Payment of compensation was thus at the State</w:t>
      </w:r>
      <w:r w:rsidRPr="001428D3" w:rsidR="001428D3">
        <w:t>’</w:t>
      </w:r>
      <w:r w:rsidRPr="001428D3">
        <w:t xml:space="preserve">s discretion and dependent on their willingness. They relied on </w:t>
      </w:r>
      <w:r w:rsidRPr="001428D3">
        <w:rPr>
          <w:i/>
        </w:rPr>
        <w:t xml:space="preserve">Driza v. Albania </w:t>
      </w:r>
      <w:r w:rsidRPr="001428D3">
        <w:t>(no. 33771/02, §§ 119-120, ECHR 2007</w:t>
      </w:r>
      <w:r w:rsidRPr="001428D3">
        <w:noBreakHyphen/>
        <w:t>V (extracts)</w:t>
      </w:r>
      <w:r w:rsidRPr="001428D3" w:rsidR="00BA7F07">
        <w:t>)</w:t>
      </w:r>
      <w:r w:rsidRPr="001428D3">
        <w:t>.</w:t>
      </w:r>
    </w:p>
    <w:p w:rsidRPr="001428D3" w:rsidR="005521CC" w:rsidP="001428D3" w:rsidRDefault="00537DAF">
      <w:pPr>
        <w:pStyle w:val="ECHRPara"/>
      </w:pPr>
      <w:r w:rsidRPr="001428D3">
        <w:fldChar w:fldCharType="begin"/>
      </w:r>
      <w:r w:rsidRPr="001428D3">
        <w:instrText xml:space="preserve"> SEQ level0 \*arabic </w:instrText>
      </w:r>
      <w:r w:rsidRPr="001428D3">
        <w:fldChar w:fldCharType="separate"/>
      </w:r>
      <w:r w:rsidRPr="001428D3" w:rsidR="001428D3">
        <w:rPr>
          <w:noProof/>
        </w:rPr>
        <w:t>143</w:t>
      </w:r>
      <w:r w:rsidRPr="001428D3">
        <w:rPr>
          <w:noProof/>
        </w:rPr>
        <w:fldChar w:fldCharType="end"/>
      </w:r>
      <w:r w:rsidRPr="001428D3" w:rsidR="0054536C">
        <w:t>.  </w:t>
      </w:r>
      <w:r w:rsidRPr="001428D3" w:rsidR="005C127F">
        <w:t>A</w:t>
      </w:r>
      <w:r w:rsidRPr="001428D3" w:rsidR="0054536C">
        <w:t>s regards the</w:t>
      </w:r>
      <w:r w:rsidRPr="001428D3" w:rsidR="005C127F">
        <w:t xml:space="preserve"> applicants</w:t>
      </w:r>
      <w:r w:rsidRPr="001428D3" w:rsidR="001428D3">
        <w:t>’</w:t>
      </w:r>
      <w:r w:rsidRPr="001428D3" w:rsidR="005C127F">
        <w:t xml:space="preserve"> </w:t>
      </w:r>
      <w:r w:rsidRPr="001428D3" w:rsidR="000527A3">
        <w:t xml:space="preserve">asserted </w:t>
      </w:r>
      <w:r w:rsidRPr="001428D3" w:rsidR="0054536C">
        <w:t>failure to seek compensation, they submitted that they had done so (see paragraph 57 above).</w:t>
      </w:r>
    </w:p>
    <w:p w:rsidRPr="001428D3" w:rsidR="005521CC" w:rsidP="001428D3" w:rsidRDefault="00E014C9">
      <w:pPr>
        <w:pStyle w:val="ECHRPara"/>
      </w:pPr>
      <w:r w:rsidRPr="001428D3">
        <w:fldChar w:fldCharType="begin"/>
      </w:r>
      <w:r w:rsidRPr="001428D3">
        <w:instrText xml:space="preserve"> SEQ level0 \*arabic </w:instrText>
      </w:r>
      <w:r w:rsidRPr="001428D3">
        <w:fldChar w:fldCharType="separate"/>
      </w:r>
      <w:r w:rsidRPr="001428D3" w:rsidR="001428D3">
        <w:rPr>
          <w:noProof/>
        </w:rPr>
        <w:t>144</w:t>
      </w:r>
      <w:r w:rsidRPr="001428D3">
        <w:fldChar w:fldCharType="end"/>
      </w:r>
      <w:r w:rsidRPr="001428D3">
        <w:t>.  The applicants further submitted that the ordinary judicial remedies available at domestic level could not be considered effective given that they did not allow the</w:t>
      </w:r>
      <w:r w:rsidRPr="001428D3" w:rsidR="004C4E75">
        <w:t>m</w:t>
      </w:r>
      <w:r w:rsidRPr="001428D3">
        <w:t xml:space="preserve"> to assert their right </w:t>
      </w:r>
      <w:r w:rsidRPr="001428D3" w:rsidR="00BA7F07">
        <w:t xml:space="preserve">to </w:t>
      </w:r>
      <w:r w:rsidRPr="001428D3">
        <w:t>full redress</w:t>
      </w:r>
      <w:r w:rsidRPr="001428D3" w:rsidR="00BA7F07">
        <w:t xml:space="preserve"> for</w:t>
      </w:r>
      <w:r w:rsidRPr="001428D3">
        <w:t xml:space="preserve"> the adverse consequences of the unlawful deprivation of </w:t>
      </w:r>
      <w:r w:rsidRPr="001428D3" w:rsidR="00BA7F07">
        <w:t xml:space="preserve">their </w:t>
      </w:r>
      <w:r w:rsidRPr="001428D3">
        <w:t>property.</w:t>
      </w:r>
    </w:p>
    <w:p w:rsidRPr="001428D3" w:rsidR="009845BA" w:rsidP="001428D3" w:rsidRDefault="009547AD">
      <w:pPr>
        <w:pStyle w:val="ECHRPara"/>
      </w:pPr>
      <w:r w:rsidRPr="001428D3">
        <w:rPr>
          <w:lang w:bidi="en-US"/>
        </w:rPr>
        <w:fldChar w:fldCharType="begin"/>
      </w:r>
      <w:r w:rsidRPr="001428D3">
        <w:rPr>
          <w:lang w:bidi="en-US"/>
        </w:rPr>
        <w:instrText xml:space="preserve"> SEQ level0 \*arabic </w:instrText>
      </w:r>
      <w:r w:rsidRPr="001428D3">
        <w:rPr>
          <w:lang w:bidi="en-US"/>
        </w:rPr>
        <w:fldChar w:fldCharType="separate"/>
      </w:r>
      <w:r w:rsidRPr="001428D3" w:rsidR="001428D3">
        <w:rPr>
          <w:noProof/>
          <w:lang w:bidi="en-US"/>
        </w:rPr>
        <w:t>145</w:t>
      </w:r>
      <w:r w:rsidRPr="001428D3">
        <w:rPr>
          <w:lang w:bidi="en-US"/>
        </w:rPr>
        <w:fldChar w:fldCharType="end"/>
      </w:r>
      <w:r w:rsidRPr="001428D3">
        <w:rPr>
          <w:lang w:bidi="en-US"/>
        </w:rPr>
        <w:t xml:space="preserve">.  The applicants further submitted that the expropriation procedure had </w:t>
      </w:r>
      <w:r w:rsidRPr="001428D3" w:rsidR="00EC321B">
        <w:rPr>
          <w:lang w:bidi="en-US"/>
        </w:rPr>
        <w:t xml:space="preserve">only </w:t>
      </w:r>
      <w:r w:rsidRPr="001428D3">
        <w:rPr>
          <w:lang w:bidi="en-US"/>
        </w:rPr>
        <w:t xml:space="preserve">lasted </w:t>
      </w:r>
      <w:r w:rsidRPr="001428D3" w:rsidR="00EC321B">
        <w:rPr>
          <w:lang w:bidi="en-US"/>
        </w:rPr>
        <w:t xml:space="preserve">three </w:t>
      </w:r>
      <w:r w:rsidRPr="001428D3">
        <w:rPr>
          <w:lang w:bidi="en-US"/>
        </w:rPr>
        <w:t xml:space="preserve">days. </w:t>
      </w:r>
      <w:r w:rsidRPr="001428D3">
        <w:t>Therefore, the</w:t>
      </w:r>
      <w:r w:rsidRPr="001428D3" w:rsidR="00EC321B">
        <w:t xml:space="preserve">y </w:t>
      </w:r>
      <w:r w:rsidRPr="001428D3">
        <w:t>could in no way have preventively challenged the unlawfulness of the authorities</w:t>
      </w:r>
      <w:r w:rsidRPr="001428D3" w:rsidR="001428D3">
        <w:t>’</w:t>
      </w:r>
      <w:r w:rsidRPr="001428D3">
        <w:t xml:space="preserve"> actions </w:t>
      </w:r>
      <w:r w:rsidRPr="001428D3" w:rsidR="000527A3">
        <w:t xml:space="preserve">before the domestic courts </w:t>
      </w:r>
      <w:r w:rsidRPr="001428D3">
        <w:t xml:space="preserve">before the demolition of the building </w:t>
      </w:r>
      <w:r w:rsidRPr="001428D3" w:rsidR="00EC321B">
        <w:t xml:space="preserve">had actually been </w:t>
      </w:r>
      <w:r w:rsidRPr="001428D3">
        <w:t xml:space="preserve">carried out. They had </w:t>
      </w:r>
      <w:r w:rsidRPr="001428D3" w:rsidR="00EC321B">
        <w:t xml:space="preserve">only </w:t>
      </w:r>
      <w:r w:rsidRPr="001428D3">
        <w:t xml:space="preserve">learned </w:t>
      </w:r>
      <w:r w:rsidRPr="001428D3" w:rsidR="00EC321B">
        <w:t xml:space="preserve">of </w:t>
      </w:r>
      <w:r w:rsidRPr="001428D3">
        <w:t xml:space="preserve">the </w:t>
      </w:r>
      <w:r w:rsidRPr="001428D3" w:rsidR="000F50CC">
        <w:t>Council of Ministers</w:t>
      </w:r>
      <w:r w:rsidRPr="001428D3" w:rsidR="001428D3">
        <w:t>’</w:t>
      </w:r>
      <w:r w:rsidRPr="001428D3">
        <w:t xml:space="preserve"> decision on 3 December 2013. They also submitted that the administrative courts had duly assessed the unlawfulness of the expropriation procedure. They had challenged the expropriation decision both on substantive and procedural grounds and the domestic courts had explicitly acknowledged that the expropriation had been invalid under domestic law.</w:t>
      </w:r>
    </w:p>
    <w:p w:rsidRPr="001428D3" w:rsidR="009547AD" w:rsidP="001428D3" w:rsidRDefault="00CB04B9">
      <w:pPr>
        <w:pStyle w:val="ECHRPara"/>
      </w:pPr>
      <w:r w:rsidRPr="001428D3">
        <w:fldChar w:fldCharType="begin"/>
      </w:r>
      <w:r w:rsidRPr="001428D3">
        <w:instrText xml:space="preserve"> SEQ level0 \*arabic </w:instrText>
      </w:r>
      <w:r w:rsidRPr="001428D3">
        <w:fldChar w:fldCharType="separate"/>
      </w:r>
      <w:r w:rsidRPr="001428D3" w:rsidR="001428D3">
        <w:rPr>
          <w:noProof/>
        </w:rPr>
        <w:t>146</w:t>
      </w:r>
      <w:r w:rsidRPr="001428D3">
        <w:fldChar w:fldCharType="end"/>
      </w:r>
      <w:r w:rsidRPr="001428D3">
        <w:t>.  </w:t>
      </w:r>
      <w:r w:rsidRPr="001428D3" w:rsidR="009547AD">
        <w:t>The</w:t>
      </w:r>
      <w:r w:rsidRPr="001428D3" w:rsidR="00555A86">
        <w:t xml:space="preserve"> applicants </w:t>
      </w:r>
      <w:r w:rsidRPr="001428D3" w:rsidR="009547AD">
        <w:t>submitted that they</w:t>
      </w:r>
      <w:r w:rsidRPr="001428D3" w:rsidR="00EC321B">
        <w:t xml:space="preserve"> </w:t>
      </w:r>
      <w:r w:rsidRPr="001428D3" w:rsidR="004C4E75">
        <w:t>had had</w:t>
      </w:r>
      <w:r w:rsidRPr="001428D3" w:rsidR="009547AD">
        <w:t xml:space="preserve"> </w:t>
      </w:r>
      <w:r w:rsidRPr="001428D3" w:rsidR="004C4E75">
        <w:t>no</w:t>
      </w:r>
      <w:r w:rsidRPr="001428D3" w:rsidR="009547AD">
        <w:t xml:space="preserve"> time to save their most essential belongings and valuables before the building was demolished.</w:t>
      </w:r>
    </w:p>
    <w:p w:rsidRPr="001428D3" w:rsidR="009547AD" w:rsidP="001428D3" w:rsidRDefault="009547AD">
      <w:pPr>
        <w:pStyle w:val="ECHRHeading5"/>
      </w:pPr>
      <w:r w:rsidRPr="001428D3">
        <w:t>(</w:t>
      </w:r>
      <w:r w:rsidRPr="001428D3" w:rsidR="00B82BA2">
        <w:t>iii</w:t>
      </w:r>
      <w:r w:rsidRPr="001428D3" w:rsidR="00CC3167">
        <w:t>)  </w:t>
      </w:r>
      <w:r w:rsidRPr="001428D3">
        <w:t>Court</w:t>
      </w:r>
      <w:r w:rsidRPr="001428D3" w:rsidR="001428D3">
        <w:t>’</w:t>
      </w:r>
      <w:r w:rsidRPr="001428D3">
        <w:t>s assessment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147</w:t>
      </w:r>
      <w:r w:rsidRPr="001428D3">
        <w:rPr>
          <w:noProof/>
        </w:rPr>
        <w:fldChar w:fldCharType="end"/>
      </w:r>
      <w:r w:rsidRPr="001428D3" w:rsidR="00640FEC">
        <w:t>.  </w:t>
      </w:r>
      <w:r w:rsidRPr="001428D3" w:rsidR="009547AD">
        <w:t>The Court considers that the question of exhaustion of domestic remedies is so closely related to the merits of the applicants</w:t>
      </w:r>
      <w:r w:rsidRPr="001428D3" w:rsidR="001428D3">
        <w:t>’</w:t>
      </w:r>
      <w:r w:rsidRPr="001428D3" w:rsidR="009547AD">
        <w:t xml:space="preserve"> complaint </w:t>
      </w:r>
      <w:r w:rsidRPr="001428D3" w:rsidR="007F3B1B">
        <w:t xml:space="preserve">of a lack of </w:t>
      </w:r>
      <w:r w:rsidRPr="001428D3" w:rsidR="009547AD">
        <w:t>an effective remedy for the alleged interference with their property rights that they cannot be detached from it.</w:t>
      </w:r>
    </w:p>
    <w:p w:rsidRPr="001428D3" w:rsidR="009547AD"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148</w:t>
      </w:r>
      <w:r w:rsidRPr="001428D3">
        <w:rPr>
          <w:noProof/>
        </w:rPr>
        <w:fldChar w:fldCharType="end"/>
      </w:r>
      <w:r w:rsidRPr="001428D3" w:rsidR="009547AD">
        <w:t>.  Thus, the Court holds that the issue of whether the applicants exhausted domestic remedies should be joined to the merits of their complaint under Article 13, in conjunction with Article 1 of Protocol No. 1 to the Convention.</w:t>
      </w:r>
    </w:p>
    <w:p w:rsidRPr="001428D3" w:rsidR="00B82BA2" w:rsidP="001428D3" w:rsidRDefault="00B82BA2">
      <w:pPr>
        <w:pStyle w:val="ECHRHeading4"/>
      </w:pPr>
      <w:r w:rsidRPr="001428D3">
        <w:t>(</w:t>
      </w:r>
      <w:r w:rsidRPr="001428D3" w:rsidR="00467D85">
        <w:t>b</w:t>
      </w:r>
      <w:r w:rsidRPr="001428D3" w:rsidR="00CC3167">
        <w:t>)  </w:t>
      </w:r>
      <w:r w:rsidRPr="001428D3">
        <w:t>Whether the applicants lack “victim status”</w:t>
      </w:r>
    </w:p>
    <w:p w:rsidRPr="001428D3" w:rsidR="005521CC" w:rsidP="001428D3" w:rsidRDefault="00BA12B5">
      <w:pPr>
        <w:pStyle w:val="ECHRPara"/>
      </w:pPr>
      <w:r w:rsidRPr="001428D3">
        <w:fldChar w:fldCharType="begin"/>
      </w:r>
      <w:r w:rsidRPr="001428D3">
        <w:instrText xml:space="preserve"> SEQ level0 \*arabic </w:instrText>
      </w:r>
      <w:r w:rsidRPr="001428D3">
        <w:fldChar w:fldCharType="separate"/>
      </w:r>
      <w:r w:rsidRPr="001428D3" w:rsidR="001428D3">
        <w:rPr>
          <w:noProof/>
        </w:rPr>
        <w:t>149</w:t>
      </w:r>
      <w:r w:rsidRPr="001428D3">
        <w:fldChar w:fldCharType="end"/>
      </w:r>
      <w:r w:rsidRPr="001428D3">
        <w:t>.  </w:t>
      </w:r>
      <w:r w:rsidRPr="001428D3" w:rsidR="00B82BA2">
        <w:t>The Government further submitted that the domestic courts</w:t>
      </w:r>
      <w:r w:rsidRPr="001428D3" w:rsidR="003E6902">
        <w:t xml:space="preserve"> at all levels</w:t>
      </w:r>
      <w:r w:rsidRPr="001428D3" w:rsidR="00B82BA2">
        <w:t xml:space="preserve"> had found in the applicants</w:t>
      </w:r>
      <w:r w:rsidRPr="001428D3" w:rsidR="001428D3">
        <w:t>’</w:t>
      </w:r>
      <w:r w:rsidRPr="001428D3" w:rsidR="00B82BA2">
        <w:t xml:space="preserve"> favour. They had allowed the parties to present their claims on all issues on the merits and ha</w:t>
      </w:r>
      <w:r w:rsidRPr="001428D3" w:rsidR="00F36ECE">
        <w:t>d</w:t>
      </w:r>
      <w:r w:rsidRPr="001428D3" w:rsidR="00B82BA2">
        <w:t xml:space="preserve"> drawn the relevant conclusions. </w:t>
      </w:r>
      <w:r w:rsidRPr="001428D3" w:rsidR="00DC033A">
        <w:t xml:space="preserve">Therefore, </w:t>
      </w:r>
      <w:r w:rsidRPr="001428D3" w:rsidR="00B82BA2">
        <w:t>the applicants lacked victim status.</w:t>
      </w:r>
    </w:p>
    <w:p w:rsidRPr="001428D3" w:rsidR="005521CC" w:rsidP="001428D3" w:rsidRDefault="00B82BA2">
      <w:pPr>
        <w:pStyle w:val="ECHRPara"/>
      </w:pPr>
      <w:r w:rsidRPr="001428D3">
        <w:fldChar w:fldCharType="begin"/>
      </w:r>
      <w:r w:rsidRPr="001428D3">
        <w:instrText xml:space="preserve"> SEQ level0 \*arabic </w:instrText>
      </w:r>
      <w:r w:rsidRPr="001428D3">
        <w:fldChar w:fldCharType="separate"/>
      </w:r>
      <w:r w:rsidRPr="001428D3" w:rsidR="001428D3">
        <w:rPr>
          <w:noProof/>
        </w:rPr>
        <w:t>150</w:t>
      </w:r>
      <w:r w:rsidRPr="001428D3">
        <w:fldChar w:fldCharType="end"/>
      </w:r>
      <w:r w:rsidRPr="001428D3">
        <w:t>.  The applicants submitted that</w:t>
      </w:r>
      <w:r w:rsidRPr="001428D3" w:rsidR="003E6902">
        <w:t xml:space="preserve"> to date</w:t>
      </w:r>
      <w:r w:rsidRPr="001428D3">
        <w:t xml:space="preserve"> they </w:t>
      </w:r>
      <w:r w:rsidRPr="001428D3" w:rsidR="003E6902">
        <w:t xml:space="preserve">had </w:t>
      </w:r>
      <w:r w:rsidRPr="001428D3">
        <w:t xml:space="preserve">not received any compensation and that there was no </w:t>
      </w:r>
      <w:r w:rsidRPr="001428D3" w:rsidR="003E6902">
        <w:t>prospect of them</w:t>
      </w:r>
      <w:r w:rsidRPr="001428D3">
        <w:t xml:space="preserve"> ever receiving </w:t>
      </w:r>
      <w:r w:rsidRPr="001428D3" w:rsidR="00835DD5">
        <w:t>payment</w:t>
      </w:r>
      <w:r w:rsidRPr="001428D3">
        <w:t>.</w:t>
      </w:r>
    </w:p>
    <w:p w:rsidRPr="001428D3" w:rsidR="005521CC" w:rsidP="001428D3" w:rsidRDefault="00282932">
      <w:pPr>
        <w:pStyle w:val="ECHRPara"/>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151</w:t>
      </w:r>
      <w:r w:rsidRPr="001428D3">
        <w:rPr>
          <w:rFonts w:eastAsia="Times New Roman"/>
        </w:rPr>
        <w:fldChar w:fldCharType="end"/>
      </w:r>
      <w:r w:rsidRPr="001428D3">
        <w:rPr>
          <w:rFonts w:eastAsia="Times New Roman"/>
        </w:rPr>
        <w:t>.  </w:t>
      </w:r>
      <w:r w:rsidRPr="001428D3" w:rsidR="00DC033A">
        <w:rPr>
          <w:rFonts w:eastAsia="Times New Roman"/>
        </w:rPr>
        <w:t xml:space="preserve">Referring to the applicable principles in </w:t>
      </w:r>
      <w:r w:rsidRPr="001428D3" w:rsidR="008C223A">
        <w:rPr>
          <w:rFonts w:eastAsia="Times New Roman"/>
        </w:rPr>
        <w:t>respect</w:t>
      </w:r>
      <w:r w:rsidRPr="001428D3" w:rsidR="00DC033A">
        <w:rPr>
          <w:rFonts w:eastAsia="Times New Roman"/>
        </w:rPr>
        <w:t xml:space="preserve"> of victim status (see paragraphs </w:t>
      </w:r>
      <w:r w:rsidRPr="001428D3" w:rsidR="00002A34">
        <w:rPr>
          <w:rFonts w:eastAsia="Times New Roman"/>
        </w:rPr>
        <w:t>76</w:t>
      </w:r>
      <w:r w:rsidRPr="001428D3" w:rsidR="00DC033A">
        <w:rPr>
          <w:rFonts w:eastAsia="Times New Roman"/>
        </w:rPr>
        <w:t>-</w:t>
      </w:r>
      <w:r w:rsidRPr="001428D3" w:rsidR="00002A34">
        <w:rPr>
          <w:rFonts w:eastAsia="Times New Roman"/>
        </w:rPr>
        <w:t xml:space="preserve">77 </w:t>
      </w:r>
      <w:r w:rsidRPr="001428D3" w:rsidR="00DC033A">
        <w:rPr>
          <w:rFonts w:eastAsia="Times New Roman"/>
        </w:rPr>
        <w:t>above), t</w:t>
      </w:r>
      <w:r w:rsidRPr="001428D3" w:rsidR="00BA12B5">
        <w:rPr>
          <w:rFonts w:eastAsia="Times New Roman"/>
        </w:rPr>
        <w:t xml:space="preserve">he Court notes that the first criterion, namely acknowledgment of a violation, has been met. </w:t>
      </w:r>
      <w:r w:rsidRPr="001428D3" w:rsidR="00BA12B5">
        <w:t xml:space="preserve">Both the District Court and the Court of Appeal found that the Expropriation Act had been breached and that </w:t>
      </w:r>
      <w:r w:rsidRPr="001428D3" w:rsidR="00036E79">
        <w:t xml:space="preserve">the authorities had </w:t>
      </w:r>
      <w:r w:rsidRPr="001428D3" w:rsidR="00FA0D6C">
        <w:t>“</w:t>
      </w:r>
      <w:r w:rsidRPr="001428D3" w:rsidR="00FA0D6C">
        <w:rPr>
          <w:i/>
        </w:rPr>
        <w:t>de facto</w:t>
      </w:r>
      <w:r w:rsidRPr="001428D3" w:rsidR="00FA0D6C">
        <w:t xml:space="preserve"> </w:t>
      </w:r>
      <w:r w:rsidRPr="001428D3" w:rsidR="00036E79">
        <w:t>expropriated</w:t>
      </w:r>
      <w:r w:rsidRPr="001428D3" w:rsidR="00FA0D6C">
        <w:t>”</w:t>
      </w:r>
      <w:r w:rsidRPr="001428D3" w:rsidR="00036E79">
        <w:t xml:space="preserve"> </w:t>
      </w:r>
      <w:r w:rsidRPr="001428D3" w:rsidR="00FA0D6C">
        <w:rPr>
          <w:i/>
        </w:rPr>
        <w:t>(shpronësuar de facto)</w:t>
      </w:r>
      <w:r w:rsidRPr="001428D3" w:rsidR="00FA0D6C">
        <w:t xml:space="preserve"> </w:t>
      </w:r>
      <w:r w:rsidRPr="001428D3" w:rsidR="00036E79">
        <w:t>the applicants</w:t>
      </w:r>
      <w:r w:rsidRPr="001428D3" w:rsidR="001428D3">
        <w:t>’</w:t>
      </w:r>
      <w:r w:rsidRPr="001428D3" w:rsidR="00036E79">
        <w:t xml:space="preserve"> properties</w:t>
      </w:r>
      <w:r w:rsidRPr="001428D3" w:rsidR="000B5645">
        <w:t xml:space="preserve">. </w:t>
      </w:r>
      <w:r w:rsidRPr="001428D3" w:rsidR="00BE7F95">
        <w:t xml:space="preserve">An appeal </w:t>
      </w:r>
      <w:r w:rsidRPr="001428D3" w:rsidR="00FA0D6C">
        <w:t>has been pending</w:t>
      </w:r>
      <w:r w:rsidRPr="001428D3" w:rsidR="00BE7F95">
        <w:t xml:space="preserve"> before the Supreme Court since 2014. </w:t>
      </w:r>
      <w:r w:rsidRPr="001428D3" w:rsidR="00BA12B5">
        <w:rPr>
          <w:rFonts w:ascii="Times New Roman" w:hAnsi="Times New Roman" w:eastAsia="Times New Roman" w:cs="Times New Roman"/>
          <w:szCs w:val="24"/>
        </w:rPr>
        <w:t>As to the second criterion, t</w:t>
      </w:r>
      <w:r w:rsidRPr="001428D3" w:rsidR="00BA12B5">
        <w:t xml:space="preserve">he Court notes that both courts awarded compensation to the applicants and that the Court of Appeal increased the amount of that compensation. However, the Court notes that the Ministry of Finance </w:t>
      </w:r>
      <w:r w:rsidRPr="001428D3" w:rsidR="00B14301">
        <w:t xml:space="preserve">approved </w:t>
      </w:r>
      <w:r w:rsidRPr="001428D3" w:rsidR="00BA12B5">
        <w:t xml:space="preserve">a fund of </w:t>
      </w:r>
      <w:r w:rsidRPr="001428D3" w:rsidR="00BE7F95">
        <w:t xml:space="preserve">only </w:t>
      </w:r>
      <w:r w:rsidRPr="001428D3" w:rsidR="00BA12B5">
        <w:t xml:space="preserve">EUR 3,460 for the implementation of the </w:t>
      </w:r>
      <w:r w:rsidRPr="001428D3" w:rsidR="000F50CC">
        <w:t>Council of Ministers</w:t>
      </w:r>
      <w:r w:rsidRPr="001428D3" w:rsidR="001428D3">
        <w:t>’</w:t>
      </w:r>
      <w:r w:rsidRPr="001428D3" w:rsidR="00BA12B5">
        <w:t xml:space="preserve"> decision of 27 November 2013, that is to say one thousand times less than the amount awarded </w:t>
      </w:r>
      <w:r w:rsidRPr="001428D3" w:rsidR="003E6902">
        <w:t>in the</w:t>
      </w:r>
      <w:r w:rsidRPr="001428D3" w:rsidR="005521CC">
        <w:t xml:space="preserve"> </w:t>
      </w:r>
      <w:r w:rsidRPr="001428D3" w:rsidR="00BA12B5">
        <w:t xml:space="preserve">decision. </w:t>
      </w:r>
      <w:r w:rsidRPr="001428D3" w:rsidR="00BE7F95">
        <w:t>Even t</w:t>
      </w:r>
      <w:r w:rsidRPr="001428D3" w:rsidR="00BA12B5">
        <w:t>hat amount ha</w:t>
      </w:r>
      <w:r w:rsidRPr="001428D3" w:rsidR="004C4E75">
        <w:t>s</w:t>
      </w:r>
      <w:r w:rsidRPr="001428D3" w:rsidR="00BA12B5">
        <w:t xml:space="preserve"> not yet b</w:t>
      </w:r>
      <w:r w:rsidRPr="001428D3" w:rsidR="005B2DBE">
        <w:t>een paid to the applicants (see </w:t>
      </w:r>
      <w:r w:rsidRPr="001428D3" w:rsidR="00BA12B5">
        <w:t xml:space="preserve">paragraph 34 above). Under domestic law, expropriation should be made against fair compensation. Furthermore, in its own case-law the Court has recognised that the mere acceptance of </w:t>
      </w:r>
      <w:r w:rsidRPr="001428D3" w:rsidR="003E6902">
        <w:t xml:space="preserve">a </w:t>
      </w:r>
      <w:r w:rsidRPr="001428D3" w:rsidR="00BA12B5">
        <w:t>violation without adequate compensation does not deprive the applicants of their victim status. The Court, taking into consideration the fact that the applicants ha</w:t>
      </w:r>
      <w:r w:rsidRPr="001428D3" w:rsidR="00077E12">
        <w:t>ve</w:t>
      </w:r>
      <w:r w:rsidRPr="001428D3" w:rsidR="00BA12B5">
        <w:t xml:space="preserve"> not received any compensation for the demolition of their propert</w:t>
      </w:r>
      <w:r w:rsidRPr="001428D3" w:rsidR="00487305">
        <w:t>ies</w:t>
      </w:r>
      <w:r w:rsidRPr="001428D3" w:rsidR="00BA12B5">
        <w:t xml:space="preserve"> (see also paragraph </w:t>
      </w:r>
      <w:r w:rsidRPr="001428D3" w:rsidR="00094F07">
        <w:t>15</w:t>
      </w:r>
      <w:r w:rsidRPr="001428D3" w:rsidR="00EA6D20">
        <w:t>3</w:t>
      </w:r>
      <w:r w:rsidRPr="001428D3" w:rsidR="00094F07">
        <w:t xml:space="preserve"> </w:t>
      </w:r>
      <w:r w:rsidRPr="001428D3" w:rsidR="003F5E84">
        <w:t>below</w:t>
      </w:r>
      <w:r w:rsidRPr="001428D3" w:rsidR="00BA12B5">
        <w:t xml:space="preserve">), and that no sufficient relief </w:t>
      </w:r>
      <w:r w:rsidRPr="001428D3" w:rsidR="0074040C">
        <w:t xml:space="preserve">has </w:t>
      </w:r>
      <w:r w:rsidRPr="001428D3" w:rsidR="00BA12B5">
        <w:t xml:space="preserve">been provided </w:t>
      </w:r>
      <w:r w:rsidRPr="001428D3" w:rsidR="0074040C">
        <w:t xml:space="preserve">to them </w:t>
      </w:r>
      <w:r w:rsidRPr="001428D3" w:rsidR="00835DD5">
        <w:t xml:space="preserve">to date </w:t>
      </w:r>
      <w:r w:rsidRPr="001428D3" w:rsidR="00BA12B5">
        <w:t xml:space="preserve">at domestic level, </w:t>
      </w:r>
      <w:r w:rsidRPr="001428D3" w:rsidR="0074040C">
        <w:rPr>
          <w:rFonts w:eastAsia="Times New Roman"/>
        </w:rPr>
        <w:t xml:space="preserve">meaning that they </w:t>
      </w:r>
      <w:r w:rsidRPr="001428D3" w:rsidR="00BA12B5">
        <w:rPr>
          <w:rFonts w:eastAsia="Times New Roman"/>
        </w:rPr>
        <w:t xml:space="preserve">continue to suffer the consequences of </w:t>
      </w:r>
      <w:r w:rsidRPr="001428D3" w:rsidR="0074040C">
        <w:rPr>
          <w:rFonts w:eastAsia="Times New Roman"/>
        </w:rPr>
        <w:t xml:space="preserve">a </w:t>
      </w:r>
      <w:r w:rsidRPr="001428D3" w:rsidR="00BA12B5">
        <w:rPr>
          <w:rFonts w:eastAsia="Times New Roman"/>
        </w:rPr>
        <w:t xml:space="preserve">breach of their rights, </w:t>
      </w:r>
      <w:r w:rsidRPr="001428D3" w:rsidR="00BA12B5">
        <w:t xml:space="preserve">considers that the applicants </w:t>
      </w:r>
      <w:r w:rsidRPr="001428D3" w:rsidR="00BA12B5">
        <w:rPr>
          <w:rFonts w:eastAsia="Times New Roman"/>
        </w:rPr>
        <w:t xml:space="preserve">thus retain victim status for the purposes of this complaint </w:t>
      </w:r>
      <w:r w:rsidRPr="001428D3" w:rsidR="00BA12B5">
        <w:t xml:space="preserve">(see </w:t>
      </w:r>
      <w:r w:rsidRPr="001428D3" w:rsidR="00BA12B5">
        <w:rPr>
          <w:i/>
        </w:rPr>
        <w:t>Almeida Garrett, Mascarenhas Falcão and Others v. Portugal</w:t>
      </w:r>
      <w:r w:rsidRPr="001428D3" w:rsidR="00BA12B5">
        <w:t>, nos. 29813/96 and 30229/96, § 54, ECHR 2000</w:t>
      </w:r>
      <w:r w:rsidRPr="001428D3" w:rsidR="00BA12B5">
        <w:noBreakHyphen/>
        <w:t>I</w:t>
      </w:r>
      <w:r w:rsidRPr="001428D3" w:rsidR="0074040C">
        <w:t xml:space="preserve">; </w:t>
      </w:r>
      <w:r w:rsidRPr="001428D3" w:rsidR="00BA12B5">
        <w:rPr>
          <w:i/>
        </w:rPr>
        <w:t xml:space="preserve">Öneryıldız v. Turkey </w:t>
      </w:r>
      <w:r w:rsidRPr="001428D3" w:rsidR="005B2DBE">
        <w:t>[GC], no. 48939/99, § 156, ECHR </w:t>
      </w:r>
      <w:r w:rsidRPr="001428D3" w:rsidR="00BA12B5">
        <w:t>2004</w:t>
      </w:r>
      <w:r w:rsidRPr="001428D3" w:rsidR="00BA12B5">
        <w:noBreakHyphen/>
        <w:t>XII</w:t>
      </w:r>
      <w:r w:rsidRPr="001428D3" w:rsidR="0074040C">
        <w:t xml:space="preserve">; </w:t>
      </w:r>
      <w:r w:rsidRPr="001428D3" w:rsidR="00BA12B5">
        <w:t xml:space="preserve">and </w:t>
      </w:r>
      <w:r w:rsidRPr="001428D3" w:rsidR="00BA12B5">
        <w:rPr>
          <w:i/>
        </w:rPr>
        <w:t>Montanaro Gauci</w:t>
      </w:r>
      <w:r w:rsidRPr="001428D3" w:rsidR="00BA12B5">
        <w:t xml:space="preserve"> </w:t>
      </w:r>
      <w:r w:rsidRPr="001428D3" w:rsidR="00BA12B5">
        <w:rPr>
          <w:i/>
        </w:rPr>
        <w:t>and Others v. Malta</w:t>
      </w:r>
      <w:r w:rsidRPr="001428D3" w:rsidR="00BA12B5">
        <w:t>, no. 31454/12</w:t>
      </w:r>
      <w:r w:rsidRPr="001428D3" w:rsidR="00BA12B5">
        <w:rPr>
          <w:snapToGrid w:val="0"/>
        </w:rPr>
        <w:t>, §§ 41-48, 30 August 2016</w:t>
      </w:r>
      <w:r w:rsidRPr="001428D3" w:rsidR="00BA12B5">
        <w:t>).</w:t>
      </w:r>
    </w:p>
    <w:p w:rsidRPr="001428D3" w:rsidR="00640FEC" w:rsidP="001428D3" w:rsidRDefault="00640FEC">
      <w:pPr>
        <w:pStyle w:val="ECHRHeading4"/>
      </w:pPr>
      <w:r w:rsidRPr="001428D3">
        <w:t>(c)  Conclusion</w:t>
      </w:r>
    </w:p>
    <w:p w:rsidRPr="001428D3" w:rsidR="00640FEC" w:rsidP="001428D3" w:rsidRDefault="00401B62">
      <w:pPr>
        <w:pStyle w:val="ECHRPara"/>
      </w:pPr>
      <w:r w:rsidRPr="001428D3">
        <w:fldChar w:fldCharType="begin"/>
      </w:r>
      <w:r w:rsidRPr="001428D3">
        <w:instrText xml:space="preserve"> SEQ level0 \*arabic </w:instrText>
      </w:r>
      <w:r w:rsidRPr="001428D3">
        <w:fldChar w:fldCharType="separate"/>
      </w:r>
      <w:r w:rsidRPr="001428D3" w:rsidR="001428D3">
        <w:rPr>
          <w:noProof/>
        </w:rPr>
        <w:t>152</w:t>
      </w:r>
      <w:r w:rsidRPr="001428D3">
        <w:fldChar w:fldCharType="end"/>
      </w:r>
      <w:r w:rsidRPr="001428D3">
        <w:t>.  </w:t>
      </w:r>
      <w:r w:rsidRPr="001428D3" w:rsidR="00640FEC">
        <w:t>The Court considers that the applicants</w:t>
      </w:r>
      <w:r w:rsidRPr="001428D3" w:rsidR="001428D3">
        <w:t>’</w:t>
      </w:r>
      <w:r w:rsidRPr="001428D3" w:rsidR="00640FEC">
        <w:t xml:space="preserve"> complaint</w:t>
      </w:r>
      <w:r w:rsidRPr="001428D3" w:rsidR="0074040C">
        <w:t>s</w:t>
      </w:r>
      <w:r w:rsidRPr="001428D3" w:rsidR="00640FEC">
        <w:t xml:space="preserve"> under Article</w:t>
      </w:r>
      <w:r w:rsidRPr="001428D3" w:rsidR="005B2DBE">
        <w:t>s </w:t>
      </w:r>
      <w:r w:rsidRPr="001428D3" w:rsidR="00640FEC">
        <w:t>1 of Protocol No. 1 to the Convention and Article 13 of the Convention are not manifestly ill-founded within the meaning of Article 35 § 3 of the Convention. It further notes that they are not inadmissible on any other grounds. They must therefore be declared admissible</w:t>
      </w:r>
      <w:r w:rsidRPr="001428D3" w:rsidR="000B5288">
        <w:t>, without prejudice to the decisions ultimately to be taken on the Government</w:t>
      </w:r>
      <w:r w:rsidRPr="001428D3" w:rsidR="001428D3">
        <w:t>’</w:t>
      </w:r>
      <w:r w:rsidRPr="001428D3" w:rsidR="000B5288">
        <w:t>s objections of non-exhaustion of domestic remedies</w:t>
      </w:r>
      <w:r w:rsidRPr="001428D3" w:rsidR="00640FEC">
        <w:t>.</w:t>
      </w:r>
    </w:p>
    <w:p w:rsidRPr="001428D3" w:rsidR="009547AD" w:rsidP="001428D3" w:rsidRDefault="009547AD">
      <w:pPr>
        <w:pStyle w:val="ECHRHeading3"/>
      </w:pPr>
      <w:bookmarkStart w:name="_Toc498016769" w:id="59"/>
      <w:r w:rsidRPr="001428D3">
        <w:t>2.  Merits</w:t>
      </w:r>
      <w:bookmarkEnd w:id="59"/>
    </w:p>
    <w:p w:rsidRPr="001428D3" w:rsidR="009547AD" w:rsidP="001428D3" w:rsidRDefault="00CC3167">
      <w:pPr>
        <w:pStyle w:val="ECHRHeading4"/>
      </w:pPr>
      <w:r w:rsidRPr="001428D3">
        <w:t>(a)  </w:t>
      </w:r>
      <w:r w:rsidRPr="001428D3" w:rsidR="009547AD">
        <w:t>Compliance with Article 13 in conjunction with Article 1 of Protocol No. 1 to the Convention</w:t>
      </w:r>
    </w:p>
    <w:p w:rsidRPr="001428D3" w:rsidR="005521CC" w:rsidP="001428D3" w:rsidRDefault="006D32A3">
      <w:pPr>
        <w:pStyle w:val="ECHRPara"/>
      </w:pPr>
      <w:r w:rsidRPr="001428D3">
        <w:fldChar w:fldCharType="begin"/>
      </w:r>
      <w:r w:rsidRPr="001428D3">
        <w:instrText xml:space="preserve"> SEQ level0 \*arabic </w:instrText>
      </w:r>
      <w:r w:rsidRPr="001428D3">
        <w:fldChar w:fldCharType="separate"/>
      </w:r>
      <w:r w:rsidRPr="001428D3" w:rsidR="001428D3">
        <w:rPr>
          <w:noProof/>
        </w:rPr>
        <w:t>153</w:t>
      </w:r>
      <w:r w:rsidRPr="001428D3">
        <w:fldChar w:fldCharType="end"/>
      </w:r>
      <w:r w:rsidRPr="001428D3">
        <w:t>.  </w:t>
      </w:r>
      <w:r w:rsidRPr="001428D3" w:rsidR="009547AD">
        <w:t xml:space="preserve">The Court notes that the case </w:t>
      </w:r>
      <w:r w:rsidRPr="001428D3" w:rsidR="00647508">
        <w:t xml:space="preserve">regarding the level of compensation has been </w:t>
      </w:r>
      <w:r w:rsidRPr="001428D3" w:rsidR="009547AD">
        <w:t>pending before the Supreme Court</w:t>
      </w:r>
      <w:r w:rsidRPr="001428D3" w:rsidR="00647508">
        <w:t xml:space="preserve"> since 2014</w:t>
      </w:r>
      <w:r w:rsidRPr="001428D3" w:rsidR="00B26D47">
        <w:t xml:space="preserve">. </w:t>
      </w:r>
      <w:r w:rsidRPr="001428D3" w:rsidR="009547AD">
        <w:t>On 15 January 2015 the Supreme Court stayed the proceedings</w:t>
      </w:r>
      <w:r w:rsidRPr="001428D3" w:rsidR="00E4792A">
        <w:t xml:space="preserve">, without giving any reasons </w:t>
      </w:r>
      <w:r w:rsidRPr="001428D3" w:rsidR="009547AD">
        <w:t>(see paragraph</w:t>
      </w:r>
      <w:r w:rsidRPr="001428D3" w:rsidR="00B26D47">
        <w:t>s 4</w:t>
      </w:r>
      <w:r w:rsidRPr="001428D3" w:rsidR="00AD48A7">
        <w:t>2</w:t>
      </w:r>
      <w:r w:rsidRPr="001428D3" w:rsidR="00B26D47">
        <w:t>-</w:t>
      </w:r>
      <w:r w:rsidRPr="001428D3" w:rsidR="009547AD">
        <w:t xml:space="preserve"> 4</w:t>
      </w:r>
      <w:r w:rsidRPr="001428D3" w:rsidR="00AD48A7">
        <w:t>3</w:t>
      </w:r>
      <w:r w:rsidRPr="001428D3" w:rsidR="009547AD">
        <w:t xml:space="preserve"> above). The Court notes that the applicants </w:t>
      </w:r>
      <w:r w:rsidRPr="001428D3" w:rsidR="00E4792A">
        <w:t xml:space="preserve">have </w:t>
      </w:r>
      <w:r w:rsidRPr="001428D3" w:rsidR="009547AD">
        <w:t xml:space="preserve">not </w:t>
      </w:r>
      <w:r w:rsidRPr="001428D3" w:rsidR="00E4792A">
        <w:t>to date</w:t>
      </w:r>
      <w:r w:rsidRPr="001428D3" w:rsidR="009547AD">
        <w:t xml:space="preserve"> been compensated</w:t>
      </w:r>
      <w:r w:rsidRPr="001428D3" w:rsidR="00647508">
        <w:t xml:space="preserve"> at all</w:t>
      </w:r>
      <w:r w:rsidRPr="001428D3" w:rsidR="009547AD">
        <w:t xml:space="preserve">, not even </w:t>
      </w:r>
      <w:r w:rsidRPr="001428D3" w:rsidR="00647508">
        <w:t xml:space="preserve">in </w:t>
      </w:r>
      <w:r w:rsidRPr="001428D3" w:rsidR="009547AD">
        <w:t xml:space="preserve">the amount awarded under the </w:t>
      </w:r>
      <w:r w:rsidRPr="001428D3" w:rsidR="000F50CC">
        <w:t>Council of Ministers</w:t>
      </w:r>
      <w:r w:rsidRPr="001428D3" w:rsidR="001428D3">
        <w:t>’</w:t>
      </w:r>
      <w:r w:rsidRPr="001428D3" w:rsidR="009547AD">
        <w:t xml:space="preserve"> decision of 27 November 2013. </w:t>
      </w:r>
      <w:r w:rsidRPr="001428D3" w:rsidR="00CC16B1">
        <w:t>In addition</w:t>
      </w:r>
      <w:r w:rsidRPr="001428D3" w:rsidR="00B2684D">
        <w:t xml:space="preserve">, </w:t>
      </w:r>
      <w:r w:rsidRPr="001428D3" w:rsidR="00DC5AB1">
        <w:t>the Court notes that the Council of Ministers</w:t>
      </w:r>
      <w:r w:rsidRPr="001428D3" w:rsidR="00647508">
        <w:t>,</w:t>
      </w:r>
      <w:r w:rsidRPr="001428D3" w:rsidR="00DC5AB1">
        <w:t xml:space="preserve"> by its decision of 9</w:t>
      </w:r>
      <w:r w:rsidRPr="001428D3" w:rsidR="00180F3F">
        <w:t> </w:t>
      </w:r>
      <w:r w:rsidRPr="001428D3" w:rsidR="00DC5AB1">
        <w:t>April 2014</w:t>
      </w:r>
      <w:r w:rsidRPr="001428D3" w:rsidR="00647508">
        <w:t>,</w:t>
      </w:r>
      <w:r w:rsidRPr="001428D3" w:rsidR="00DC5AB1">
        <w:t xml:space="preserve"> unilaterally reduced the </w:t>
      </w:r>
      <w:r w:rsidRPr="001428D3">
        <w:t xml:space="preserve">amount of compensation as awarded by the </w:t>
      </w:r>
      <w:r w:rsidRPr="001428D3" w:rsidR="00DC5AB1">
        <w:t>District Court</w:t>
      </w:r>
      <w:r w:rsidRPr="001428D3" w:rsidR="001428D3">
        <w:t>’</w:t>
      </w:r>
      <w:r w:rsidRPr="001428D3" w:rsidR="00DC5AB1">
        <w:t>s decision of 6 March 2014</w:t>
      </w:r>
      <w:r w:rsidRPr="001428D3">
        <w:t xml:space="preserve">, </w:t>
      </w:r>
      <w:r w:rsidRPr="001428D3" w:rsidR="00B2684D">
        <w:t>and that only E</w:t>
      </w:r>
      <w:r w:rsidRPr="001428D3" w:rsidR="00DC5AB1">
        <w:t>UR 3,460</w:t>
      </w:r>
      <w:r w:rsidRPr="001428D3" w:rsidR="00A655E1">
        <w:t xml:space="preserve"> </w:t>
      </w:r>
      <w:r w:rsidRPr="001428D3" w:rsidR="00B2684D">
        <w:t>h</w:t>
      </w:r>
      <w:r w:rsidRPr="001428D3" w:rsidR="00CC16B1">
        <w:t xml:space="preserve">ave been allocated so far to the applicants. </w:t>
      </w:r>
      <w:r w:rsidRPr="001428D3" w:rsidR="009547AD">
        <w:t xml:space="preserve">Therefore, </w:t>
      </w:r>
      <w:r w:rsidRPr="001428D3" w:rsidR="00647508">
        <w:t xml:space="preserve">in the circumstances of this case, the duration, and in particular the lengthy stay, of </w:t>
      </w:r>
      <w:r w:rsidRPr="001428D3" w:rsidR="009547AD">
        <w:t>the Supreme Court</w:t>
      </w:r>
      <w:r w:rsidRPr="001428D3" w:rsidR="00647508">
        <w:t xml:space="preserve"> proceedings further exacerbates the applicants</w:t>
      </w:r>
      <w:r w:rsidRPr="001428D3" w:rsidR="001428D3">
        <w:t>’</w:t>
      </w:r>
      <w:r w:rsidRPr="001428D3" w:rsidR="00647508">
        <w:t xml:space="preserve"> situation. </w:t>
      </w:r>
      <w:r w:rsidRPr="001428D3" w:rsidR="00C24C5F">
        <w:t>A delay of four years in paying</w:t>
      </w:r>
      <w:r w:rsidRPr="001428D3" w:rsidR="009547AD">
        <w:t xml:space="preserve"> compensation</w:t>
      </w:r>
      <w:r w:rsidRPr="001428D3" w:rsidR="00E4792A">
        <w:t xml:space="preserve"> </w:t>
      </w:r>
      <w:r w:rsidRPr="001428D3" w:rsidR="009547AD">
        <w:t>to the applicants, who have lost their homes and belongings, cannot be considered effective for the purpose</w:t>
      </w:r>
      <w:r w:rsidRPr="001428D3" w:rsidR="00C24C5F">
        <w:t>s</w:t>
      </w:r>
      <w:r w:rsidRPr="001428D3" w:rsidR="009547AD">
        <w:t xml:space="preserve"> of effective compensation. Such</w:t>
      </w:r>
      <w:r w:rsidRPr="001428D3" w:rsidR="00C24C5F">
        <w:t xml:space="preserve"> a</w:t>
      </w:r>
      <w:r w:rsidRPr="001428D3" w:rsidR="009547AD">
        <w:t xml:space="preserve"> delay </w:t>
      </w:r>
      <w:r w:rsidRPr="001428D3" w:rsidR="00C24C5F">
        <w:t>already</w:t>
      </w:r>
      <w:r w:rsidRPr="001428D3" w:rsidDel="00C24C5F" w:rsidR="00C24C5F">
        <w:t xml:space="preserve"> </w:t>
      </w:r>
      <w:r w:rsidRPr="001428D3" w:rsidR="009547AD">
        <w:t xml:space="preserve">constitutes a violation of Article 1 of Protocol No. 1 to the Convention (see </w:t>
      </w:r>
      <w:r w:rsidRPr="001428D3" w:rsidR="009547AD">
        <w:rPr>
          <w:i/>
        </w:rPr>
        <w:t xml:space="preserve">Öneryıldız </w:t>
      </w:r>
      <w:r w:rsidRPr="001428D3" w:rsidR="00396D15">
        <w:t>cited above, § 137</w:t>
      </w:r>
      <w:r w:rsidRPr="001428D3" w:rsidR="009547AD">
        <w:t>).</w:t>
      </w:r>
      <w:r w:rsidRPr="001428D3" w:rsidR="00642EC5">
        <w:t xml:space="preserve"> The Court also notes that</w:t>
      </w:r>
      <w:r w:rsidRPr="001428D3" w:rsidR="00C24C5F">
        <w:t>,</w:t>
      </w:r>
      <w:r w:rsidRPr="001428D3" w:rsidR="00642EC5">
        <w:t xml:space="preserve"> in view of the lack of compensation</w:t>
      </w:r>
      <w:r w:rsidRPr="001428D3" w:rsidR="00C24C5F">
        <w:t>,</w:t>
      </w:r>
      <w:r w:rsidRPr="001428D3" w:rsidR="00642EC5">
        <w:t xml:space="preserve"> the applicants were denied an effective remedy for the alleged breach of their rights under Article 1 of Protocol No. 1 to the Convention (see </w:t>
      </w:r>
      <w:r w:rsidRPr="001428D3" w:rsidR="00642EC5">
        <w:rPr>
          <w:i/>
        </w:rPr>
        <w:t>Öneryıldız</w:t>
      </w:r>
      <w:r w:rsidRPr="001428D3" w:rsidR="00396D15">
        <w:rPr>
          <w:i/>
        </w:rPr>
        <w:t xml:space="preserve">, </w:t>
      </w:r>
      <w:r w:rsidRPr="001428D3" w:rsidR="00396D15">
        <w:t>cited above</w:t>
      </w:r>
      <w:r w:rsidRPr="001428D3" w:rsidR="00642EC5">
        <w:t>, §</w:t>
      </w:r>
      <w:r w:rsidRPr="001428D3" w:rsidR="00984436">
        <w:t> </w:t>
      </w:r>
      <w:r w:rsidRPr="001428D3" w:rsidR="00642EC5">
        <w:t>156).</w:t>
      </w:r>
    </w:p>
    <w:p w:rsidRPr="001428D3" w:rsidR="005521CC" w:rsidP="001428D3" w:rsidRDefault="00642EC5">
      <w:pPr>
        <w:pStyle w:val="ECHRPara"/>
      </w:pPr>
      <w:r w:rsidRPr="001428D3">
        <w:fldChar w:fldCharType="begin"/>
      </w:r>
      <w:r w:rsidRPr="001428D3">
        <w:instrText xml:space="preserve"> SEQ level0 \*arabic </w:instrText>
      </w:r>
      <w:r w:rsidRPr="001428D3">
        <w:fldChar w:fldCharType="separate"/>
      </w:r>
      <w:r w:rsidRPr="001428D3" w:rsidR="001428D3">
        <w:rPr>
          <w:noProof/>
        </w:rPr>
        <w:t>154</w:t>
      </w:r>
      <w:r w:rsidRPr="001428D3">
        <w:fldChar w:fldCharType="end"/>
      </w:r>
      <w:r w:rsidRPr="001428D3">
        <w:t>.  </w:t>
      </w:r>
      <w:r w:rsidRPr="001428D3" w:rsidR="009547AD">
        <w:t xml:space="preserve">Furthermore, the Court reiterates that is has already noted on many occasions that it is not open to a State authority to cite lack of funds as an excuse for not honouring a judgment debt (see, among many other authorities, </w:t>
      </w:r>
      <w:r w:rsidRPr="001428D3" w:rsidR="009547AD">
        <w:rPr>
          <w:i/>
        </w:rPr>
        <w:t>Burdov v. Russia</w:t>
      </w:r>
      <w:r w:rsidRPr="001428D3" w:rsidR="009547AD">
        <w:t>, no. 59498/00, § 35, ECHR 2002</w:t>
      </w:r>
      <w:r w:rsidRPr="001428D3" w:rsidR="009547AD">
        <w:noBreakHyphen/>
        <w:t>III).</w:t>
      </w:r>
    </w:p>
    <w:p w:rsidRPr="001428D3" w:rsidR="005521CC" w:rsidP="001428D3" w:rsidRDefault="00D2556A">
      <w:pPr>
        <w:pStyle w:val="ECHRPara"/>
      </w:pPr>
      <w:r w:rsidRPr="001428D3">
        <w:fldChar w:fldCharType="begin"/>
      </w:r>
      <w:r w:rsidRPr="001428D3">
        <w:instrText xml:space="preserve"> SEQ level0 \*arabic </w:instrText>
      </w:r>
      <w:r w:rsidRPr="001428D3">
        <w:fldChar w:fldCharType="separate"/>
      </w:r>
      <w:r w:rsidRPr="001428D3" w:rsidR="001428D3">
        <w:rPr>
          <w:noProof/>
        </w:rPr>
        <w:t>155</w:t>
      </w:r>
      <w:r w:rsidRPr="001428D3">
        <w:fldChar w:fldCharType="end"/>
      </w:r>
      <w:r w:rsidRPr="001428D3">
        <w:t>.  </w:t>
      </w:r>
      <w:r w:rsidRPr="001428D3" w:rsidR="00B147E6">
        <w:t>T</w:t>
      </w:r>
      <w:r w:rsidRPr="001428D3" w:rsidR="00425C84">
        <w:t xml:space="preserve">he Court </w:t>
      </w:r>
      <w:r w:rsidRPr="001428D3" w:rsidR="00B147E6">
        <w:t xml:space="preserve">also </w:t>
      </w:r>
      <w:r w:rsidRPr="001428D3" w:rsidR="00425C84">
        <w:t xml:space="preserve">notes that even though the applicants did not submit the request </w:t>
      </w:r>
      <w:r w:rsidRPr="001428D3" w:rsidR="00C24C5F">
        <w:t xml:space="preserve">sent </w:t>
      </w:r>
      <w:r w:rsidRPr="001428D3" w:rsidR="0051657E">
        <w:t>to</w:t>
      </w:r>
      <w:r w:rsidRPr="001428D3" w:rsidR="00425C84">
        <w:t xml:space="preserve"> the Vlora Municipality </w:t>
      </w:r>
      <w:r w:rsidRPr="001428D3" w:rsidR="005F33F9">
        <w:t>seeking</w:t>
      </w:r>
      <w:r w:rsidRPr="001428D3" w:rsidR="00425C84">
        <w:t xml:space="preserve"> the payment of compensation</w:t>
      </w:r>
      <w:r w:rsidRPr="001428D3" w:rsidR="00647508">
        <w:t xml:space="preserve"> to the Court</w:t>
      </w:r>
      <w:r w:rsidRPr="001428D3" w:rsidR="00425C84">
        <w:t>, they did submit the IPRO</w:t>
      </w:r>
      <w:r w:rsidRPr="001428D3" w:rsidR="001428D3">
        <w:t>’</w:t>
      </w:r>
      <w:r w:rsidRPr="001428D3" w:rsidR="00425C84">
        <w:t xml:space="preserve">s reply of 29 January 2014 </w:t>
      </w:r>
      <w:r w:rsidRPr="001428D3" w:rsidR="00C24C5F">
        <w:t>stating that it</w:t>
      </w:r>
      <w:r w:rsidRPr="001428D3" w:rsidR="00425C84">
        <w:t xml:space="preserve"> was </w:t>
      </w:r>
      <w:r w:rsidRPr="001428D3" w:rsidR="00C24C5F">
        <w:t>un</w:t>
      </w:r>
      <w:r w:rsidRPr="001428D3" w:rsidR="00425C84">
        <w:t xml:space="preserve">able to issue a </w:t>
      </w:r>
      <w:r w:rsidRPr="001428D3" w:rsidR="00A74944">
        <w:t>certificate of ownership</w:t>
      </w:r>
      <w:r w:rsidRPr="001428D3" w:rsidR="00425C84">
        <w:t xml:space="preserve"> </w:t>
      </w:r>
      <w:r w:rsidRPr="001428D3" w:rsidR="00C24C5F">
        <w:t xml:space="preserve">for </w:t>
      </w:r>
      <w:r w:rsidRPr="001428D3" w:rsidR="00425C84">
        <w:t xml:space="preserve">a property that </w:t>
      </w:r>
      <w:r w:rsidRPr="001428D3" w:rsidR="00A74944">
        <w:t xml:space="preserve">no </w:t>
      </w:r>
      <w:r w:rsidRPr="001428D3" w:rsidR="00425C84">
        <w:t>longer</w:t>
      </w:r>
      <w:r w:rsidRPr="001428D3" w:rsidR="00A74944">
        <w:t xml:space="preserve"> existed</w:t>
      </w:r>
      <w:r w:rsidRPr="001428D3" w:rsidR="00425C84">
        <w:t xml:space="preserve"> (see paragraph</w:t>
      </w:r>
      <w:r w:rsidRPr="001428D3" w:rsidR="00F512C5">
        <w:t>s</w:t>
      </w:r>
      <w:r w:rsidRPr="001428D3" w:rsidR="00425C84">
        <w:t xml:space="preserve"> 3</w:t>
      </w:r>
      <w:r w:rsidRPr="001428D3" w:rsidR="00A9431F">
        <w:t>2</w:t>
      </w:r>
      <w:r w:rsidRPr="001428D3" w:rsidR="00425C84">
        <w:t xml:space="preserve"> </w:t>
      </w:r>
      <w:r w:rsidRPr="001428D3" w:rsidR="009807E1">
        <w:t xml:space="preserve">and 57 </w:t>
      </w:r>
      <w:r w:rsidRPr="001428D3" w:rsidR="00425C84">
        <w:t>above).</w:t>
      </w:r>
      <w:r w:rsidRPr="001428D3" w:rsidR="00EF4967">
        <w:t xml:space="preserve"> It appears that </w:t>
      </w:r>
      <w:r w:rsidRPr="001428D3" w:rsidR="00062C76">
        <w:t>the authorities had asked</w:t>
      </w:r>
      <w:r w:rsidRPr="001428D3" w:rsidR="00C54297">
        <w:t xml:space="preserve"> for</w:t>
      </w:r>
      <w:r w:rsidRPr="001428D3" w:rsidR="00062C76">
        <w:t xml:space="preserve"> t</w:t>
      </w:r>
      <w:r w:rsidRPr="001428D3" w:rsidR="00EF4967">
        <w:t xml:space="preserve">he </w:t>
      </w:r>
      <w:r w:rsidRPr="001428D3" w:rsidR="00062C76">
        <w:t>applicants</w:t>
      </w:r>
      <w:r w:rsidRPr="001428D3" w:rsidR="001428D3">
        <w:t>’</w:t>
      </w:r>
      <w:r w:rsidRPr="001428D3" w:rsidR="00062C76">
        <w:t xml:space="preserve"> </w:t>
      </w:r>
      <w:r w:rsidRPr="001428D3" w:rsidR="00A74944">
        <w:t>certificate</w:t>
      </w:r>
      <w:r w:rsidRPr="001428D3" w:rsidR="00C54297">
        <w:t>s</w:t>
      </w:r>
      <w:r w:rsidRPr="001428D3" w:rsidR="00A74944">
        <w:t xml:space="preserve"> of ownership</w:t>
      </w:r>
      <w:r w:rsidRPr="001428D3" w:rsidR="00EF4967">
        <w:t xml:space="preserve"> as a supporting document </w:t>
      </w:r>
      <w:r w:rsidRPr="001428D3" w:rsidR="00216FB8">
        <w:t>when they sought</w:t>
      </w:r>
      <w:r w:rsidRPr="001428D3" w:rsidR="00F512C5">
        <w:t xml:space="preserve"> </w:t>
      </w:r>
      <w:r w:rsidRPr="001428D3" w:rsidR="00062C76">
        <w:t>compensation</w:t>
      </w:r>
      <w:r w:rsidRPr="001428D3" w:rsidR="00EF4967">
        <w:t xml:space="preserve">. </w:t>
      </w:r>
      <w:r w:rsidRPr="001428D3" w:rsidR="00425C84">
        <w:t xml:space="preserve">The Court notes that, </w:t>
      </w:r>
      <w:r w:rsidRPr="001428D3" w:rsidR="00C24C5F">
        <w:t>under</w:t>
      </w:r>
      <w:r w:rsidRPr="001428D3" w:rsidR="00425C84">
        <w:t xml:space="preserve"> the Expropriation Act, it is up to the authorities to initiate the relevant compensation proceedings (see paragraph 6</w:t>
      </w:r>
      <w:r w:rsidRPr="001428D3" w:rsidR="00D66D0B">
        <w:t>3</w:t>
      </w:r>
      <w:r w:rsidRPr="001428D3" w:rsidR="00425C84">
        <w:t xml:space="preserve"> above). Therefore, the Court considers that, in such cases, owners </w:t>
      </w:r>
      <w:r w:rsidRPr="001428D3" w:rsidR="0051657E">
        <w:t>should</w:t>
      </w:r>
      <w:r w:rsidRPr="001428D3" w:rsidR="00425C84">
        <w:t xml:space="preserve"> not be expected to incur the expense and burden of instituting proceedings to ensure the authorities</w:t>
      </w:r>
      <w:r w:rsidRPr="001428D3" w:rsidR="001428D3">
        <w:t>’</w:t>
      </w:r>
      <w:r w:rsidRPr="001428D3" w:rsidR="00425C84">
        <w:t xml:space="preserve"> fulfilment of their legal obligation (see, </w:t>
      </w:r>
      <w:r w:rsidRPr="001428D3" w:rsidR="00425C84">
        <w:rPr>
          <w:i/>
        </w:rPr>
        <w:t>mutatis mutandis</w:t>
      </w:r>
      <w:r w:rsidRPr="001428D3" w:rsidR="00425C84">
        <w:t xml:space="preserve">, </w:t>
      </w:r>
      <w:r w:rsidRPr="001428D3" w:rsidR="005B2DBE">
        <w:rPr>
          <w:i/>
        </w:rPr>
        <w:t>Apostol </w:t>
      </w:r>
      <w:r w:rsidRPr="001428D3" w:rsidR="00425C84">
        <w:rPr>
          <w:i/>
        </w:rPr>
        <w:t>v.</w:t>
      </w:r>
      <w:r w:rsidRPr="001428D3" w:rsidR="00E40ABC">
        <w:rPr>
          <w:i/>
        </w:rPr>
        <w:t> </w:t>
      </w:r>
      <w:r w:rsidRPr="001428D3" w:rsidR="00425C84">
        <w:rPr>
          <w:i/>
        </w:rPr>
        <w:t>Georgia</w:t>
      </w:r>
      <w:r w:rsidRPr="001428D3" w:rsidR="00425C84">
        <w:t>, no. 40765/02, §§ 64-65, ECHR 2006</w:t>
      </w:r>
      <w:r w:rsidRPr="001428D3" w:rsidR="00425C84">
        <w:rPr>
          <w:rFonts w:hint="eastAsia" w:ascii="MS Mincho" w:hAnsi="MS Mincho" w:eastAsia="MS Mincho" w:cs="MS Mincho"/>
        </w:rPr>
        <w:t>‑</w:t>
      </w:r>
      <w:r w:rsidRPr="001428D3" w:rsidR="00425C84">
        <w:t xml:space="preserve">XI, and </w:t>
      </w:r>
      <w:r w:rsidRPr="001428D3" w:rsidR="005B2DBE">
        <w:rPr>
          <w:i/>
        </w:rPr>
        <w:t>Frendo </w:t>
      </w:r>
      <w:r w:rsidRPr="001428D3" w:rsidR="00396D15">
        <w:rPr>
          <w:i/>
        </w:rPr>
        <w:t>Randon and Others v. Malta</w:t>
      </w:r>
      <w:r w:rsidRPr="001428D3" w:rsidR="00396D15">
        <w:t xml:space="preserve">, no. 2226/10, § 65, 22 November 2011, </w:t>
      </w:r>
      <w:r w:rsidRPr="001428D3" w:rsidR="00425C84">
        <w:t>in relation to enforcement proceedings).</w:t>
      </w:r>
    </w:p>
    <w:p w:rsidRPr="001428D3" w:rsidR="00B51FE1" w:rsidP="001428D3" w:rsidRDefault="005957B0">
      <w:pPr>
        <w:pStyle w:val="ECHRPara"/>
      </w:pPr>
      <w:r w:rsidRPr="001428D3">
        <w:fldChar w:fldCharType="begin"/>
      </w:r>
      <w:r w:rsidRPr="001428D3">
        <w:instrText xml:space="preserve"> SEQ level0 \*arabic </w:instrText>
      </w:r>
      <w:r w:rsidRPr="001428D3">
        <w:fldChar w:fldCharType="separate"/>
      </w:r>
      <w:r w:rsidRPr="001428D3" w:rsidR="001428D3">
        <w:rPr>
          <w:noProof/>
        </w:rPr>
        <w:t>156</w:t>
      </w:r>
      <w:r w:rsidRPr="001428D3">
        <w:fldChar w:fldCharType="end"/>
      </w:r>
      <w:r w:rsidRPr="001428D3">
        <w:t xml:space="preserve">.  The Court notes that the </w:t>
      </w:r>
      <w:r w:rsidRPr="001428D3" w:rsidR="00B51FE1">
        <w:t>Government</w:t>
      </w:r>
      <w:r w:rsidRPr="001428D3" w:rsidR="001F6D39">
        <w:t xml:space="preserve"> failed to specify</w:t>
      </w:r>
      <w:r w:rsidRPr="001428D3" w:rsidR="003B091D">
        <w:t xml:space="preserve"> </w:t>
      </w:r>
      <w:r w:rsidRPr="001428D3" w:rsidR="0095400C">
        <w:t xml:space="preserve">what remedies </w:t>
      </w:r>
      <w:r w:rsidRPr="001428D3" w:rsidR="00647508">
        <w:t xml:space="preserve">under domestic law </w:t>
      </w:r>
      <w:r w:rsidRPr="001428D3" w:rsidR="0095400C">
        <w:t xml:space="preserve">they </w:t>
      </w:r>
      <w:r w:rsidRPr="001428D3" w:rsidR="00C24C5F">
        <w:t>were referring to</w:t>
      </w:r>
      <w:r w:rsidRPr="001428D3" w:rsidR="0095400C">
        <w:t xml:space="preserve"> </w:t>
      </w:r>
      <w:r w:rsidRPr="001428D3" w:rsidR="00647508">
        <w:t xml:space="preserve">in respect of </w:t>
      </w:r>
      <w:r w:rsidRPr="001428D3" w:rsidR="00B51FE1">
        <w:t xml:space="preserve">property </w:t>
      </w:r>
      <w:r w:rsidRPr="001428D3" w:rsidR="00314008">
        <w:t xml:space="preserve">rights </w:t>
      </w:r>
      <w:r w:rsidRPr="001428D3" w:rsidR="00B51FE1">
        <w:t>claims</w:t>
      </w:r>
      <w:r w:rsidRPr="001428D3" w:rsidR="003B091D">
        <w:t xml:space="preserve"> and </w:t>
      </w:r>
      <w:r w:rsidRPr="001428D3" w:rsidR="00B51FE1">
        <w:t xml:space="preserve">claims for possession </w:t>
      </w:r>
      <w:r w:rsidRPr="001428D3" w:rsidR="001F6D39">
        <w:t xml:space="preserve">(see also paragraph </w:t>
      </w:r>
      <w:r w:rsidRPr="001428D3" w:rsidR="00524AA8">
        <w:t>1</w:t>
      </w:r>
      <w:r w:rsidRPr="001428D3" w:rsidR="00EA6D20">
        <w:t>39</w:t>
      </w:r>
      <w:r w:rsidRPr="001428D3" w:rsidR="00524AA8">
        <w:t xml:space="preserve"> </w:t>
      </w:r>
      <w:r w:rsidRPr="001428D3" w:rsidR="001F6D39">
        <w:t xml:space="preserve">above). In any event, </w:t>
      </w:r>
      <w:r w:rsidRPr="001428D3" w:rsidR="00C509F3">
        <w:t xml:space="preserve">the Government made a </w:t>
      </w:r>
      <w:r w:rsidRPr="001428D3" w:rsidR="001F6D39">
        <w:t xml:space="preserve">similar argument under the Inspection of </w:t>
      </w:r>
      <w:r w:rsidRPr="001428D3" w:rsidR="00C509F3">
        <w:t xml:space="preserve">Buildings </w:t>
      </w:r>
      <w:r w:rsidRPr="001428D3" w:rsidR="001F6D39">
        <w:t>Act</w:t>
      </w:r>
      <w:r w:rsidRPr="001428D3" w:rsidR="00C509F3">
        <w:t xml:space="preserve"> </w:t>
      </w:r>
      <w:r w:rsidRPr="001428D3" w:rsidR="003B091D">
        <w:t xml:space="preserve">in the context of the complaint under Articles 6 § 1 and 13 </w:t>
      </w:r>
      <w:r w:rsidRPr="001428D3" w:rsidR="00C509F3">
        <w:t>which</w:t>
      </w:r>
      <w:r w:rsidRPr="001428D3" w:rsidR="001F6D39">
        <w:t xml:space="preserve"> was rejected by the Court </w:t>
      </w:r>
      <w:r w:rsidRPr="001428D3" w:rsidR="00C509F3">
        <w:t xml:space="preserve">(see </w:t>
      </w:r>
      <w:r w:rsidRPr="001428D3" w:rsidR="001F6D39">
        <w:t xml:space="preserve">paragraph </w:t>
      </w:r>
      <w:r w:rsidRPr="001428D3" w:rsidR="00524AA8">
        <w:t xml:space="preserve">83 </w:t>
      </w:r>
      <w:r w:rsidRPr="001428D3" w:rsidR="001F6D39">
        <w:t>above</w:t>
      </w:r>
      <w:r w:rsidRPr="001428D3" w:rsidR="00C509F3">
        <w:t>)</w:t>
      </w:r>
      <w:r w:rsidRPr="001428D3" w:rsidR="001F6D39">
        <w:t>.</w:t>
      </w:r>
    </w:p>
    <w:p w:rsidRPr="001428D3" w:rsidR="00EF4967"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157</w:t>
      </w:r>
      <w:r w:rsidRPr="001428D3">
        <w:fldChar w:fldCharType="end"/>
      </w:r>
      <w:r w:rsidRPr="001428D3">
        <w:t xml:space="preserve">.  As regards the </w:t>
      </w:r>
      <w:r w:rsidRPr="001428D3" w:rsidR="00981C49">
        <w:t xml:space="preserve">purported failure to bring a </w:t>
      </w:r>
      <w:r w:rsidRPr="001428D3">
        <w:t xml:space="preserve">challenge against the demolition order and </w:t>
      </w:r>
      <w:r w:rsidRPr="001428D3" w:rsidR="00C509F3">
        <w:t xml:space="preserve">the </w:t>
      </w:r>
      <w:r w:rsidRPr="001428D3">
        <w:t xml:space="preserve">ensuing interim order </w:t>
      </w:r>
      <w:r w:rsidRPr="001428D3" w:rsidR="00354D64">
        <w:t>prohibiting</w:t>
      </w:r>
      <w:r w:rsidRPr="001428D3">
        <w:t xml:space="preserve"> the authorities from </w:t>
      </w:r>
      <w:r w:rsidRPr="001428D3" w:rsidR="00C509F3">
        <w:t xml:space="preserve">carrying out </w:t>
      </w:r>
      <w:r w:rsidRPr="001428D3">
        <w:t>the demolition, the Court is not convinced by the Government</w:t>
      </w:r>
      <w:r w:rsidRPr="001428D3" w:rsidR="001428D3">
        <w:t>’</w:t>
      </w:r>
      <w:r w:rsidRPr="001428D3">
        <w:t>s argument</w:t>
      </w:r>
      <w:r w:rsidRPr="001428D3" w:rsidR="00C509F3">
        <w:t>,</w:t>
      </w:r>
      <w:r w:rsidRPr="001428D3">
        <w:t xml:space="preserve"> having regard to the particular circumstances of the case. </w:t>
      </w:r>
      <w:r w:rsidRPr="001428D3" w:rsidR="00C509F3">
        <w:t>A</w:t>
      </w:r>
      <w:r w:rsidRPr="001428D3">
        <w:t>n applicant who has exhausted a remedy that is apparently effective and sufficient cannot be required also to have tried others that were available but probably no mo</w:t>
      </w:r>
      <w:r w:rsidRPr="001428D3" w:rsidR="005B2DBE">
        <w:t>re likely to be successful (see </w:t>
      </w:r>
      <w:r w:rsidRPr="001428D3">
        <w:rPr>
          <w:i/>
        </w:rPr>
        <w:t>O</w:t>
      </w:r>
      <w:r w:rsidRPr="001428D3" w:rsidR="001428D3">
        <w:rPr>
          <w:i/>
        </w:rPr>
        <w:t>’</w:t>
      </w:r>
      <w:r w:rsidRPr="001428D3" w:rsidR="005B2DBE">
        <w:rPr>
          <w:i/>
        </w:rPr>
        <w:t>Keeffe v. </w:t>
      </w:r>
      <w:r w:rsidRPr="001428D3">
        <w:rPr>
          <w:i/>
        </w:rPr>
        <w:t>Ireland</w:t>
      </w:r>
      <w:r w:rsidRPr="001428D3">
        <w:t xml:space="preserve"> [GC], no. 35810/09, §§ 109-111, ECHR 2014 (extracts)), and the cases cited therein). </w:t>
      </w:r>
      <w:r w:rsidRPr="001428D3" w:rsidR="00C509F3">
        <w:t>T</w:t>
      </w:r>
      <w:r w:rsidRPr="001428D3">
        <w:t xml:space="preserve">he applicants requested the authorities to refrain from any future actions </w:t>
      </w:r>
      <w:r w:rsidRPr="001428D3" w:rsidR="00487305">
        <w:t xml:space="preserve">in </w:t>
      </w:r>
      <w:r w:rsidRPr="001428D3" w:rsidR="00732804">
        <w:t xml:space="preserve">respect of </w:t>
      </w:r>
      <w:r w:rsidRPr="001428D3" w:rsidR="00487305">
        <w:t>the building</w:t>
      </w:r>
      <w:r w:rsidRPr="001428D3">
        <w:t xml:space="preserve"> with </w:t>
      </w:r>
      <w:r w:rsidRPr="001428D3" w:rsidR="00C509F3">
        <w:t xml:space="preserve">a </w:t>
      </w:r>
      <w:r w:rsidRPr="001428D3">
        <w:t>view</w:t>
      </w:r>
      <w:r w:rsidRPr="001428D3" w:rsidR="00C509F3">
        <w:t xml:space="preserve"> to its</w:t>
      </w:r>
      <w:r w:rsidRPr="001428D3">
        <w:t xml:space="preserve"> demolition. The </w:t>
      </w:r>
      <w:r w:rsidRPr="001428D3" w:rsidR="00AC4FE2">
        <w:t xml:space="preserve">judicial </w:t>
      </w:r>
      <w:r w:rsidRPr="001428D3">
        <w:t>authorities granted the interim order</w:t>
      </w:r>
      <w:r w:rsidRPr="001428D3" w:rsidR="00981C49">
        <w:t xml:space="preserve"> to that effect</w:t>
      </w:r>
      <w:r w:rsidRPr="001428D3">
        <w:t xml:space="preserve">, which was disregarded by the </w:t>
      </w:r>
      <w:r w:rsidRPr="001428D3" w:rsidR="00AC4FE2">
        <w:t xml:space="preserve">executive </w:t>
      </w:r>
      <w:r w:rsidRPr="001428D3">
        <w:t xml:space="preserve">authorities and became futile. Therefore, the Court is left to wonder how a similar remedy could have been effective. </w:t>
      </w:r>
      <w:r w:rsidRPr="001428D3" w:rsidR="00C509F3">
        <w:t>At no point</w:t>
      </w:r>
      <w:r w:rsidRPr="001428D3">
        <w:t xml:space="preserve"> did the authorities inform the applicants </w:t>
      </w:r>
      <w:r w:rsidRPr="001428D3" w:rsidR="00EF4967">
        <w:t xml:space="preserve">or the </w:t>
      </w:r>
      <w:r w:rsidRPr="001428D3" w:rsidR="00C509F3">
        <w:t xml:space="preserve">construction </w:t>
      </w:r>
      <w:r w:rsidRPr="001428D3" w:rsidR="00EF4967">
        <w:t xml:space="preserve">company </w:t>
      </w:r>
      <w:r w:rsidRPr="001428D3" w:rsidR="003477BC">
        <w:t xml:space="preserve">of </w:t>
      </w:r>
      <w:r w:rsidRPr="001428D3">
        <w:t>the demolition of the property or the initiation of the expropriation procedure (see paragraphs 3</w:t>
      </w:r>
      <w:r w:rsidRPr="001428D3" w:rsidR="00A9431F">
        <w:t>6</w:t>
      </w:r>
      <w:r w:rsidRPr="001428D3">
        <w:t>-3</w:t>
      </w:r>
      <w:r w:rsidRPr="001428D3" w:rsidR="00A9431F">
        <w:t>8</w:t>
      </w:r>
      <w:r w:rsidRPr="001428D3">
        <w:t xml:space="preserve"> and 4</w:t>
      </w:r>
      <w:r w:rsidRPr="001428D3" w:rsidR="00A9431F">
        <w:t>1</w:t>
      </w:r>
      <w:r w:rsidRPr="001428D3">
        <w:t xml:space="preserve"> above). In view of the above, the applicants had no apparent opportunity to challenge the demolition when no demolition order </w:t>
      </w:r>
      <w:r w:rsidRPr="001428D3" w:rsidR="0031337B">
        <w:t xml:space="preserve">had been </w:t>
      </w:r>
      <w:r w:rsidRPr="001428D3" w:rsidR="003477BC">
        <w:t xml:space="preserve">issued </w:t>
      </w:r>
      <w:r w:rsidRPr="001428D3">
        <w:t xml:space="preserve">except the </w:t>
      </w:r>
      <w:r w:rsidRPr="001428D3" w:rsidR="000F50CC">
        <w:t>Council of Ministers</w:t>
      </w:r>
      <w:r w:rsidRPr="001428D3" w:rsidR="001428D3">
        <w:t>’</w:t>
      </w:r>
      <w:r w:rsidRPr="001428D3">
        <w:t xml:space="preserve"> decision on expropriation</w:t>
      </w:r>
      <w:r w:rsidRPr="001428D3" w:rsidR="00EF4967">
        <w:t>,</w:t>
      </w:r>
      <w:r w:rsidRPr="001428D3">
        <w:t xml:space="preserve"> or to </w:t>
      </w:r>
      <w:r w:rsidRPr="001428D3" w:rsidR="00F36ECE">
        <w:t>apply</w:t>
      </w:r>
      <w:r w:rsidRPr="001428D3" w:rsidR="00EF4967">
        <w:t xml:space="preserve"> for </w:t>
      </w:r>
      <w:r w:rsidRPr="001428D3" w:rsidR="00AC4FE2">
        <w:t xml:space="preserve">a new </w:t>
      </w:r>
      <w:r w:rsidRPr="001428D3" w:rsidR="00EF4967">
        <w:t>interim order.</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158</w:t>
      </w:r>
      <w:r w:rsidRPr="001428D3">
        <w:rPr>
          <w:noProof/>
        </w:rPr>
        <w:fldChar w:fldCharType="end"/>
      </w:r>
      <w:r w:rsidRPr="001428D3" w:rsidR="009547AD">
        <w:t>.  The Court also notes that</w:t>
      </w:r>
      <w:r w:rsidRPr="001428D3" w:rsidR="00216FB8">
        <w:t xml:space="preserve"> while</w:t>
      </w:r>
      <w:r w:rsidRPr="001428D3" w:rsidR="009547AD">
        <w:t xml:space="preserve"> it is true that the applicants did not</w:t>
      </w:r>
      <w:r w:rsidRPr="001428D3" w:rsidR="003477BC">
        <w:t xml:space="preserve"> specifically</w:t>
      </w:r>
      <w:r w:rsidRPr="001428D3" w:rsidR="009547AD">
        <w:t xml:space="preserve"> </w:t>
      </w:r>
      <w:r w:rsidRPr="001428D3" w:rsidR="003477BC">
        <w:t xml:space="preserve">lodge </w:t>
      </w:r>
      <w:r w:rsidRPr="001428D3" w:rsidR="009547AD">
        <w:t xml:space="preserve">a claim </w:t>
      </w:r>
      <w:r w:rsidRPr="001428D3" w:rsidR="003477BC">
        <w:t xml:space="preserve">with </w:t>
      </w:r>
      <w:r w:rsidRPr="001428D3" w:rsidR="009547AD">
        <w:t xml:space="preserve">the domestic courts </w:t>
      </w:r>
      <w:r w:rsidRPr="001428D3" w:rsidR="003477BC">
        <w:t>to have</w:t>
      </w:r>
      <w:r w:rsidRPr="001428D3" w:rsidR="009547AD">
        <w:t xml:space="preserve"> the expropriation procedure </w:t>
      </w:r>
      <w:r w:rsidRPr="001428D3" w:rsidR="003477BC">
        <w:t xml:space="preserve">acknowledged as </w:t>
      </w:r>
      <w:r w:rsidRPr="001428D3" w:rsidR="00931012">
        <w:t>in</w:t>
      </w:r>
      <w:r w:rsidRPr="001428D3" w:rsidR="003477BC">
        <w:t>valid</w:t>
      </w:r>
      <w:r w:rsidRPr="001428D3" w:rsidR="009547AD">
        <w:t xml:space="preserve">, they expressly </w:t>
      </w:r>
      <w:r w:rsidRPr="001428D3" w:rsidR="00F36ECE">
        <w:t xml:space="preserve">complained to </w:t>
      </w:r>
      <w:r w:rsidRPr="001428D3" w:rsidR="009547AD">
        <w:t xml:space="preserve">the domestic courts </w:t>
      </w:r>
      <w:r w:rsidRPr="001428D3" w:rsidR="00F36ECE">
        <w:t>of</w:t>
      </w:r>
      <w:r w:rsidRPr="001428D3" w:rsidR="009547AD">
        <w:t xml:space="preserve"> the unlawfulness of those proceedings. The domestic courts found that the expropriation had been unlawful and that a </w:t>
      </w:r>
      <w:r w:rsidRPr="001428D3" w:rsidR="00732804">
        <w:t>“</w:t>
      </w:r>
      <w:r w:rsidRPr="001428D3" w:rsidR="009547AD">
        <w:rPr>
          <w:i/>
        </w:rPr>
        <w:t>de facto</w:t>
      </w:r>
      <w:r w:rsidRPr="001428D3" w:rsidR="009547AD">
        <w:t xml:space="preserve"> expropriation</w:t>
      </w:r>
      <w:r w:rsidRPr="001428D3" w:rsidR="00732804">
        <w:t xml:space="preserve">” </w:t>
      </w:r>
      <w:r w:rsidRPr="001428D3" w:rsidR="00732804">
        <w:rPr>
          <w:i/>
        </w:rPr>
        <w:t>(shpronësim de facto)</w:t>
      </w:r>
      <w:r w:rsidRPr="001428D3" w:rsidR="009547AD">
        <w:t xml:space="preserve"> had taken place. Accordingly, they found that the </w:t>
      </w:r>
      <w:r w:rsidRPr="001428D3" w:rsidR="000F50CC">
        <w:t>Council of Ministers</w:t>
      </w:r>
      <w:r w:rsidRPr="001428D3" w:rsidR="001428D3">
        <w:t>’</w:t>
      </w:r>
      <w:r w:rsidRPr="001428D3" w:rsidR="009547AD">
        <w:t xml:space="preserve"> decision of 27 November 2013 had been adopted </w:t>
      </w:r>
      <w:r w:rsidRPr="001428D3" w:rsidR="00931012">
        <w:t xml:space="preserve">in </w:t>
      </w:r>
      <w:r w:rsidRPr="001428D3" w:rsidR="009547AD">
        <w:t xml:space="preserve">gross procedural violations and </w:t>
      </w:r>
      <w:r w:rsidRPr="001428D3" w:rsidR="003477BC">
        <w:t xml:space="preserve">accordingly </w:t>
      </w:r>
      <w:r w:rsidRPr="001428D3" w:rsidR="009547AD">
        <w:t>amended the amount of compensation. Therefore, the Court finds it difficult</w:t>
      </w:r>
      <w:r w:rsidRPr="001428D3" w:rsidR="003477BC">
        <w:t xml:space="preserve"> to </w:t>
      </w:r>
      <w:r w:rsidRPr="001428D3" w:rsidR="007F5358">
        <w:t>accept that</w:t>
      </w:r>
      <w:r w:rsidRPr="001428D3" w:rsidR="009547AD">
        <w:t xml:space="preserve"> a claim under </w:t>
      </w:r>
      <w:r w:rsidRPr="001428D3" w:rsidR="00486454">
        <w:t xml:space="preserve">section </w:t>
      </w:r>
      <w:r w:rsidRPr="001428D3" w:rsidR="009547AD">
        <w:t>26 of the Expropriation Act could have been successful and redressed the applicants</w:t>
      </w:r>
      <w:r w:rsidRPr="001428D3" w:rsidR="001428D3">
        <w:t>’</w:t>
      </w:r>
      <w:r w:rsidRPr="001428D3" w:rsidR="009547AD">
        <w:t xml:space="preserve"> situation at a time when, as the District Court noted in its decision of 6 March 2014, the applicants </w:t>
      </w:r>
      <w:r w:rsidRPr="001428D3" w:rsidR="007F5358">
        <w:t>were</w:t>
      </w:r>
      <w:r w:rsidRPr="001428D3" w:rsidR="009547AD">
        <w:t xml:space="preserve"> prevented from being returned to their previous situation.</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159</w:t>
      </w:r>
      <w:r w:rsidRPr="001428D3">
        <w:fldChar w:fldCharType="end"/>
      </w:r>
      <w:r w:rsidRPr="001428D3">
        <w:t>.  As regards the applicants</w:t>
      </w:r>
      <w:r w:rsidRPr="001428D3" w:rsidR="001428D3">
        <w:t>’</w:t>
      </w:r>
      <w:r w:rsidRPr="001428D3">
        <w:t xml:space="preserve"> complaints about the</w:t>
      </w:r>
      <w:r w:rsidRPr="001428D3" w:rsidR="007F5358">
        <w:t>ir</w:t>
      </w:r>
      <w:r w:rsidRPr="001428D3">
        <w:t xml:space="preserve"> movable </w:t>
      </w:r>
      <w:r w:rsidRPr="001428D3" w:rsidR="007F5358">
        <w:t>property</w:t>
      </w:r>
      <w:r w:rsidRPr="001428D3">
        <w:t xml:space="preserve">, assuming that </w:t>
      </w:r>
      <w:r w:rsidRPr="001428D3" w:rsidR="007F5358">
        <w:t>they</w:t>
      </w:r>
      <w:r w:rsidRPr="001428D3">
        <w:t xml:space="preserve"> were </w:t>
      </w:r>
      <w:r w:rsidRPr="001428D3" w:rsidR="007F5358">
        <w:t>told</w:t>
      </w:r>
      <w:r w:rsidRPr="001428D3">
        <w:t xml:space="preserve"> to move their </w:t>
      </w:r>
      <w:r w:rsidRPr="001428D3" w:rsidR="007F5358">
        <w:t>belongings</w:t>
      </w:r>
      <w:r w:rsidRPr="001428D3">
        <w:t xml:space="preserve"> on 4 December 2013 (see paragraph 51 above), the Court is left to wonder how and when the applicants</w:t>
      </w:r>
      <w:r w:rsidRPr="001428D3" w:rsidR="007F5358">
        <w:t xml:space="preserve"> could have</w:t>
      </w:r>
      <w:r w:rsidRPr="001428D3">
        <w:t xml:space="preserve"> </w:t>
      </w:r>
      <w:r w:rsidRPr="001428D3" w:rsidR="007F5358">
        <w:t xml:space="preserve">moved </w:t>
      </w:r>
      <w:r w:rsidRPr="001428D3">
        <w:t>the</w:t>
      </w:r>
      <w:r w:rsidRPr="001428D3" w:rsidR="007F5358">
        <w:t>ir</w:t>
      </w:r>
      <w:r w:rsidRPr="001428D3">
        <w:t xml:space="preserve"> movable </w:t>
      </w:r>
      <w:r w:rsidRPr="001428D3" w:rsidR="007F5358">
        <w:t xml:space="preserve">property </w:t>
      </w:r>
      <w:r w:rsidRPr="001428D3">
        <w:t>to other place</w:t>
      </w:r>
      <w:r w:rsidRPr="001428D3" w:rsidR="00216FB8">
        <w:t>s</w:t>
      </w:r>
      <w:r w:rsidRPr="001428D3">
        <w:t xml:space="preserve"> when</w:t>
      </w:r>
      <w:r w:rsidRPr="001428D3" w:rsidR="007F5358">
        <w:t xml:space="preserve"> on</w:t>
      </w:r>
      <w:r w:rsidRPr="001428D3">
        <w:t xml:space="preserve"> the day that they were </w:t>
      </w:r>
      <w:r w:rsidRPr="001428D3" w:rsidR="007F5358">
        <w:t xml:space="preserve">told </w:t>
      </w:r>
      <w:r w:rsidRPr="001428D3">
        <w:t xml:space="preserve">to do so, the authorities had continued with the demolition of the building. Furthermore, the Court notes that in the </w:t>
      </w:r>
      <w:r w:rsidRPr="001428D3" w:rsidR="000F50CC">
        <w:t>Council of Ministers</w:t>
      </w:r>
      <w:r w:rsidRPr="001428D3" w:rsidR="001428D3">
        <w:t>’</w:t>
      </w:r>
      <w:r w:rsidRPr="001428D3">
        <w:t xml:space="preserve"> decision of 27 November 2013 the authorities failed to decide the </w:t>
      </w:r>
      <w:r w:rsidRPr="001428D3" w:rsidR="007F5358">
        <w:t xml:space="preserve">issue of the </w:t>
      </w:r>
      <w:r w:rsidRPr="001428D3">
        <w:t>applicants</w:t>
      </w:r>
      <w:r w:rsidRPr="001428D3" w:rsidR="001428D3">
        <w:t>’</w:t>
      </w:r>
      <w:r w:rsidRPr="001428D3">
        <w:t xml:space="preserve"> movable </w:t>
      </w:r>
      <w:r w:rsidRPr="001428D3" w:rsidR="007F5358">
        <w:t>property</w:t>
      </w:r>
      <w:r w:rsidRPr="001428D3">
        <w:t xml:space="preserve">, no assessment being made as to </w:t>
      </w:r>
      <w:r w:rsidRPr="001428D3" w:rsidR="007F5358">
        <w:t>that property</w:t>
      </w:r>
      <w:r w:rsidRPr="001428D3">
        <w:t>.</w:t>
      </w:r>
    </w:p>
    <w:p w:rsidRPr="001428D3" w:rsidR="009C6070" w:rsidP="001428D3" w:rsidRDefault="00756996">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160</w:t>
      </w:r>
      <w:r w:rsidRPr="001428D3">
        <w:rPr>
          <w:rFonts w:eastAsia="Times New Roman"/>
        </w:rPr>
        <w:fldChar w:fldCharType="end"/>
      </w:r>
      <w:r w:rsidRPr="001428D3">
        <w:rPr>
          <w:rFonts w:eastAsia="Times New Roman"/>
        </w:rPr>
        <w:t>.  </w:t>
      </w:r>
      <w:r w:rsidRPr="001428D3" w:rsidR="00A26656">
        <w:rPr>
          <w:rFonts w:eastAsia="Times New Roman"/>
        </w:rPr>
        <w:t>For all the above reasons, the C</w:t>
      </w:r>
      <w:r w:rsidRPr="001428D3" w:rsidR="00140EA3">
        <w:rPr>
          <w:rFonts w:eastAsia="Times New Roman"/>
        </w:rPr>
        <w:t>ourt concludes that</w:t>
      </w:r>
      <w:r w:rsidRPr="001428D3" w:rsidR="009C6070">
        <w:rPr>
          <w:rFonts w:eastAsia="Times New Roman"/>
        </w:rPr>
        <w:t xml:space="preserve"> there has been a violation of Article 13 in conjunction with Article 1 of Protocol No. 1 to the Convention. It follows that the Government</w:t>
      </w:r>
      <w:r w:rsidRPr="001428D3" w:rsidR="001428D3">
        <w:rPr>
          <w:rFonts w:eastAsia="Times New Roman"/>
        </w:rPr>
        <w:t>’</w:t>
      </w:r>
      <w:r w:rsidRPr="001428D3" w:rsidR="005B2DBE">
        <w:rPr>
          <w:rFonts w:eastAsia="Times New Roman"/>
        </w:rPr>
        <w:t>s objection about the non</w:t>
      </w:r>
      <w:r w:rsidRPr="001428D3" w:rsidR="005B2DBE">
        <w:rPr>
          <w:rFonts w:eastAsia="Times New Roman"/>
        </w:rPr>
        <w:noBreakHyphen/>
      </w:r>
      <w:r w:rsidRPr="001428D3" w:rsidR="009C6070">
        <w:rPr>
          <w:rFonts w:eastAsia="Times New Roman"/>
        </w:rPr>
        <w:t>exhaustion of domestic remedies</w:t>
      </w:r>
      <w:r w:rsidRPr="001428D3" w:rsidR="00140EA3">
        <w:rPr>
          <w:rFonts w:eastAsia="Times New Roman"/>
        </w:rPr>
        <w:t xml:space="preserve"> </w:t>
      </w:r>
      <w:r w:rsidRPr="001428D3" w:rsidR="009C6070">
        <w:rPr>
          <w:rFonts w:eastAsia="Times New Roman"/>
        </w:rPr>
        <w:t>must be dismissed.</w:t>
      </w:r>
    </w:p>
    <w:p w:rsidRPr="001428D3" w:rsidR="009547AD" w:rsidP="001428D3" w:rsidRDefault="009547AD">
      <w:pPr>
        <w:pStyle w:val="ECHRHeading4"/>
      </w:pPr>
      <w:r w:rsidRPr="001428D3">
        <w:t>(b)  Compliance with Article 1 of Protocol No. 1 to the Convention</w:t>
      </w:r>
    </w:p>
    <w:p w:rsidRPr="001428D3" w:rsidR="005521CC" w:rsidP="001428D3" w:rsidRDefault="009547AD">
      <w:pPr>
        <w:pStyle w:val="ECHRHeading5"/>
        <w:rPr>
          <w:lang w:bidi="en-US"/>
        </w:rPr>
      </w:pPr>
      <w:r w:rsidRPr="001428D3">
        <w:rPr>
          <w:lang w:bidi="en-US"/>
        </w:rPr>
        <w:t>(i)  The applicants</w:t>
      </w:r>
      <w:r w:rsidRPr="001428D3" w:rsidR="001428D3">
        <w:rPr>
          <w:lang w:bidi="en-US"/>
        </w:rPr>
        <w:t>’</w:t>
      </w:r>
      <w:r w:rsidRPr="001428D3">
        <w:rPr>
          <w:lang w:bidi="en-US"/>
        </w:rPr>
        <w:t xml:space="preserve"> submissions</w:t>
      </w:r>
    </w:p>
    <w:p w:rsidRPr="001428D3" w:rsidR="005521CC" w:rsidP="001428D3" w:rsidRDefault="00756996">
      <w:pPr>
        <w:pStyle w:val="ECHRPara"/>
      </w:pPr>
      <w:r w:rsidRPr="001428D3">
        <w:fldChar w:fldCharType="begin"/>
      </w:r>
      <w:r w:rsidRPr="001428D3">
        <w:instrText xml:space="preserve"> SEQ level0 \*arabic </w:instrText>
      </w:r>
      <w:r w:rsidRPr="001428D3">
        <w:fldChar w:fldCharType="separate"/>
      </w:r>
      <w:r w:rsidRPr="001428D3" w:rsidR="001428D3">
        <w:rPr>
          <w:noProof/>
        </w:rPr>
        <w:t>161</w:t>
      </w:r>
      <w:r w:rsidRPr="001428D3">
        <w:fldChar w:fldCharType="end"/>
      </w:r>
      <w:r w:rsidRPr="001428D3">
        <w:t>.  </w:t>
      </w:r>
      <w:r w:rsidRPr="001428D3" w:rsidR="009547AD">
        <w:t xml:space="preserve">The applicants </w:t>
      </w:r>
      <w:r w:rsidRPr="001428D3" w:rsidR="004F7EF5">
        <w:t>alleged</w:t>
      </w:r>
      <w:r w:rsidRPr="001428D3" w:rsidR="009547AD">
        <w:t xml:space="preserve"> a breach of their property rights </w:t>
      </w:r>
      <w:r w:rsidRPr="001428D3" w:rsidR="004F7EF5">
        <w:t>as a result of</w:t>
      </w:r>
      <w:r w:rsidRPr="001428D3" w:rsidR="009547AD">
        <w:t xml:space="preserve"> the unlawful expropriation and demolition of the building in violation of the Expropriation Act and </w:t>
      </w:r>
      <w:r w:rsidRPr="001428D3" w:rsidR="004F7EF5">
        <w:t xml:space="preserve">in </w:t>
      </w:r>
      <w:r w:rsidRPr="001428D3" w:rsidR="009547AD">
        <w:t>disregard</w:t>
      </w:r>
      <w:r w:rsidRPr="001428D3" w:rsidR="004F7EF5">
        <w:t xml:space="preserve"> of</w:t>
      </w:r>
      <w:r w:rsidRPr="001428D3" w:rsidR="009547AD">
        <w:t xml:space="preserve"> the interim order, and the authorities</w:t>
      </w:r>
      <w:r w:rsidRPr="001428D3" w:rsidR="001428D3">
        <w:t>’</w:t>
      </w:r>
      <w:r w:rsidRPr="001428D3" w:rsidR="009547AD">
        <w:t xml:space="preserve"> failure to pay the</w:t>
      </w:r>
      <w:r w:rsidRPr="001428D3" w:rsidR="00A1531D">
        <w:t>m</w:t>
      </w:r>
      <w:r w:rsidRPr="001428D3" w:rsidR="009547AD">
        <w:t xml:space="preserve"> any compensation. They submitted that they had</w:t>
      </w:r>
      <w:r w:rsidRPr="001428D3" w:rsidR="00977642">
        <w:t xml:space="preserve"> had</w:t>
      </w:r>
      <w:r w:rsidRPr="001428D3" w:rsidR="009547AD">
        <w:t xml:space="preserve"> all the ne</w:t>
      </w:r>
      <w:r w:rsidRPr="001428D3" w:rsidR="004F7EF5">
        <w:t>cessary permits, the residence had been</w:t>
      </w:r>
      <w:r w:rsidRPr="001428D3" w:rsidR="009547AD">
        <w:t xml:space="preserve"> built in full conformity with the provisions of the building permit and domestic law, and that the</w:t>
      </w:r>
      <w:r w:rsidRPr="001428D3" w:rsidR="00D518FB">
        <w:t>y</w:t>
      </w:r>
      <w:r w:rsidRPr="001428D3" w:rsidR="009547AD">
        <w:t xml:space="preserve"> themselves </w:t>
      </w:r>
      <w:r w:rsidRPr="001428D3" w:rsidR="004F7EF5">
        <w:t xml:space="preserve">had </w:t>
      </w:r>
      <w:r w:rsidRPr="001428D3" w:rsidR="009547AD">
        <w:t xml:space="preserve">bought their properties in good faith. The authorities had ignored the interim measure and accelerated the expropriation </w:t>
      </w:r>
      <w:r w:rsidRPr="001428D3" w:rsidR="00EC50A2">
        <w:t xml:space="preserve">procedure </w:t>
      </w:r>
      <w:r w:rsidRPr="001428D3" w:rsidR="009547AD">
        <w:t xml:space="preserve">with a view </w:t>
      </w:r>
      <w:r w:rsidRPr="001428D3" w:rsidR="004F7EF5">
        <w:t>to</w:t>
      </w:r>
      <w:r w:rsidRPr="001428D3" w:rsidR="009547AD">
        <w:t xml:space="preserve"> demolition. </w:t>
      </w:r>
      <w:r w:rsidRPr="001428D3" w:rsidR="00A1531D">
        <w:t>T</w:t>
      </w:r>
      <w:r w:rsidRPr="001428D3" w:rsidR="009547AD">
        <w:t xml:space="preserve">he expropriation order </w:t>
      </w:r>
      <w:r w:rsidRPr="001428D3" w:rsidR="00D518FB">
        <w:t xml:space="preserve">had been </w:t>
      </w:r>
      <w:r w:rsidRPr="001428D3" w:rsidR="009547AD">
        <w:t>adopted on Wednesday 27 November 2013</w:t>
      </w:r>
      <w:r w:rsidRPr="001428D3" w:rsidR="00D518FB">
        <w:t xml:space="preserve"> and</w:t>
      </w:r>
      <w:r w:rsidRPr="001428D3" w:rsidR="009547AD">
        <w:t xml:space="preserve"> the following two days </w:t>
      </w:r>
      <w:r w:rsidRPr="001428D3" w:rsidR="004F7EF5">
        <w:t>had been</w:t>
      </w:r>
      <w:r w:rsidRPr="001428D3" w:rsidR="009547AD">
        <w:t xml:space="preserve"> public holidays. </w:t>
      </w:r>
      <w:r w:rsidRPr="001428D3" w:rsidR="00D518FB">
        <w:t xml:space="preserve">On </w:t>
      </w:r>
      <w:r w:rsidRPr="001428D3" w:rsidR="009547AD">
        <w:t>2</w:t>
      </w:r>
      <w:r w:rsidRPr="001428D3" w:rsidR="0012026E">
        <w:t> </w:t>
      </w:r>
      <w:r w:rsidRPr="001428D3" w:rsidR="009547AD">
        <w:t>December</w:t>
      </w:r>
      <w:r w:rsidRPr="001428D3" w:rsidR="00D518FB">
        <w:t>,</w:t>
      </w:r>
      <w:r w:rsidRPr="001428D3" w:rsidR="009547AD">
        <w:t xml:space="preserve"> </w:t>
      </w:r>
      <w:r w:rsidRPr="001428D3" w:rsidR="00D518FB">
        <w:t xml:space="preserve">the first working day thereafter, </w:t>
      </w:r>
      <w:r w:rsidRPr="001428D3" w:rsidR="009547AD">
        <w:t xml:space="preserve">the </w:t>
      </w:r>
      <w:r w:rsidRPr="001428D3" w:rsidR="00D518FB">
        <w:t xml:space="preserve">mayor </w:t>
      </w:r>
      <w:r w:rsidRPr="001428D3" w:rsidR="009547AD">
        <w:t>of Vlora had requested the NUCI</w:t>
      </w:r>
      <w:r w:rsidRPr="001428D3" w:rsidR="001428D3">
        <w:t>’</w:t>
      </w:r>
      <w:r w:rsidRPr="001428D3" w:rsidR="009547AD">
        <w:t xml:space="preserve">s assistance in demolishing the Jon Residence </w:t>
      </w:r>
      <w:r w:rsidRPr="001428D3" w:rsidR="00D518FB">
        <w:t xml:space="preserve">before </w:t>
      </w:r>
      <w:r w:rsidRPr="001428D3" w:rsidR="009547AD">
        <w:t xml:space="preserve">the </w:t>
      </w:r>
      <w:r w:rsidRPr="001428D3" w:rsidR="000F50CC">
        <w:t>Council of Ministers</w:t>
      </w:r>
      <w:r w:rsidRPr="001428D3" w:rsidR="001428D3">
        <w:t>’</w:t>
      </w:r>
      <w:r w:rsidRPr="001428D3" w:rsidR="009547AD">
        <w:t xml:space="preserve"> decision </w:t>
      </w:r>
      <w:r w:rsidRPr="001428D3" w:rsidR="00D518FB">
        <w:t xml:space="preserve">had even </w:t>
      </w:r>
      <w:r w:rsidRPr="001428D3" w:rsidR="009547AD">
        <w:t xml:space="preserve">been published </w:t>
      </w:r>
      <w:r w:rsidRPr="001428D3" w:rsidR="00D518FB">
        <w:t xml:space="preserve">in </w:t>
      </w:r>
      <w:r w:rsidRPr="001428D3" w:rsidR="009547AD">
        <w:t xml:space="preserve">the Official </w:t>
      </w:r>
      <w:r w:rsidRPr="001428D3" w:rsidR="00D518FB">
        <w:t>Gazette.</w:t>
      </w:r>
      <w:r w:rsidRPr="001428D3" w:rsidR="009547AD">
        <w:t xml:space="preserve"> Therefore, in no way could </w:t>
      </w:r>
      <w:r w:rsidRPr="001428D3" w:rsidR="00D518FB">
        <w:t xml:space="preserve">they </w:t>
      </w:r>
      <w:r w:rsidRPr="001428D3" w:rsidR="009547AD">
        <w:t>have preventively challenged in court the lawfulness of the authorities</w:t>
      </w:r>
      <w:r w:rsidRPr="001428D3" w:rsidR="001428D3">
        <w:t>’</w:t>
      </w:r>
      <w:r w:rsidRPr="001428D3" w:rsidR="009547AD">
        <w:t xml:space="preserve"> actions before the demolition of the building </w:t>
      </w:r>
      <w:r w:rsidRPr="001428D3" w:rsidR="00D518FB">
        <w:t xml:space="preserve">had </w:t>
      </w:r>
      <w:r w:rsidRPr="001428D3" w:rsidR="009547AD">
        <w:t xml:space="preserve">actually </w:t>
      </w:r>
      <w:r w:rsidRPr="001428D3" w:rsidR="000268F7">
        <w:t xml:space="preserve">been </w:t>
      </w:r>
      <w:r w:rsidRPr="001428D3" w:rsidR="009547AD">
        <w:t>carried out.</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162</w:t>
      </w:r>
      <w:r w:rsidRPr="001428D3">
        <w:fldChar w:fldCharType="end"/>
      </w:r>
      <w:r w:rsidRPr="001428D3">
        <w:t xml:space="preserve">.  The interference </w:t>
      </w:r>
      <w:r w:rsidRPr="001428D3" w:rsidR="004F7EF5">
        <w:t>with</w:t>
      </w:r>
      <w:r w:rsidRPr="001428D3">
        <w:t xml:space="preserve"> </w:t>
      </w:r>
      <w:r w:rsidRPr="001428D3" w:rsidR="00D518FB">
        <w:t>their</w:t>
      </w:r>
      <w:r w:rsidRPr="001428D3">
        <w:t xml:space="preserve"> property </w:t>
      </w:r>
      <w:r w:rsidRPr="001428D3" w:rsidR="004F7EF5">
        <w:t xml:space="preserve">rights </w:t>
      </w:r>
      <w:r w:rsidRPr="001428D3">
        <w:t xml:space="preserve">had been unlawful and </w:t>
      </w:r>
      <w:r w:rsidRPr="001428D3" w:rsidR="004F7EF5">
        <w:t>contrary to</w:t>
      </w:r>
      <w:r w:rsidRPr="001428D3">
        <w:t xml:space="preserve"> the Expropriation Act</w:t>
      </w:r>
      <w:r w:rsidRPr="001428D3" w:rsidR="00D518FB">
        <w:t xml:space="preserve"> because</w:t>
      </w:r>
      <w:r w:rsidRPr="001428D3">
        <w:t>, amongst other</w:t>
      </w:r>
      <w:r w:rsidRPr="001428D3" w:rsidR="004F7EF5">
        <w:t xml:space="preserve"> reasons</w:t>
      </w:r>
      <w:r w:rsidRPr="001428D3" w:rsidR="00D518FB">
        <w:t>,</w:t>
      </w:r>
      <w:r w:rsidRPr="001428D3" w:rsidR="004F7EF5">
        <w:t xml:space="preserve"> </w:t>
      </w:r>
      <w:r w:rsidRPr="001428D3">
        <w:t xml:space="preserve">no application for expropriation </w:t>
      </w:r>
      <w:r w:rsidRPr="001428D3" w:rsidR="004F7EF5">
        <w:t>had been</w:t>
      </w:r>
      <w:r w:rsidRPr="001428D3">
        <w:t xml:space="preserve"> submitted by the Vlora Municipality </w:t>
      </w:r>
      <w:r w:rsidRPr="001428D3" w:rsidR="004F7EF5">
        <w:t>to</w:t>
      </w:r>
      <w:r w:rsidRPr="001428D3">
        <w:t xml:space="preserve"> the competent </w:t>
      </w:r>
      <w:r w:rsidRPr="001428D3" w:rsidR="00F36ECE">
        <w:t>m</w:t>
      </w:r>
      <w:r w:rsidRPr="001428D3">
        <w:t xml:space="preserve">inister, no preliminary assessment </w:t>
      </w:r>
      <w:r w:rsidRPr="001428D3" w:rsidR="004F7EF5">
        <w:t>had been</w:t>
      </w:r>
      <w:r w:rsidRPr="001428D3">
        <w:t xml:space="preserve"> carried out by the competent </w:t>
      </w:r>
      <w:r w:rsidRPr="001428D3" w:rsidR="00F36ECE">
        <w:t>m</w:t>
      </w:r>
      <w:r w:rsidRPr="001428D3">
        <w:t xml:space="preserve">inistry, and no public notice of the planned expropriation </w:t>
      </w:r>
      <w:r w:rsidRPr="001428D3" w:rsidR="004F7EF5">
        <w:t>had been</w:t>
      </w:r>
      <w:r w:rsidRPr="001428D3">
        <w:t xml:space="preserve"> given, let alone direct notification to </w:t>
      </w:r>
      <w:r w:rsidRPr="001428D3" w:rsidR="00F56674">
        <w:t>them</w:t>
      </w:r>
      <w:r w:rsidRPr="001428D3">
        <w:t xml:space="preserve">. The </w:t>
      </w:r>
      <w:r w:rsidRPr="001428D3" w:rsidR="00D518FB">
        <w:t xml:space="preserve">statutory </w:t>
      </w:r>
      <w:r w:rsidRPr="001428D3">
        <w:t xml:space="preserve">time-limits </w:t>
      </w:r>
      <w:r w:rsidRPr="001428D3" w:rsidR="004F7EF5">
        <w:t>had been</w:t>
      </w:r>
      <w:r w:rsidRPr="001428D3">
        <w:t xml:space="preserve"> disregarded. The expropriation procedure had lasted only three days. The disregard of the procedural safeguards provided for by law </w:t>
      </w:r>
      <w:r w:rsidRPr="001428D3" w:rsidR="004F7EF5">
        <w:t xml:space="preserve">had </w:t>
      </w:r>
      <w:r w:rsidRPr="001428D3">
        <w:t xml:space="preserve">made </w:t>
      </w:r>
      <w:r w:rsidRPr="001428D3" w:rsidR="00F56674">
        <w:t xml:space="preserve">it </w:t>
      </w:r>
      <w:r w:rsidRPr="001428D3">
        <w:t>impossible for the</w:t>
      </w:r>
      <w:r w:rsidRPr="001428D3" w:rsidR="00F56674">
        <w:t>m</w:t>
      </w:r>
      <w:r w:rsidRPr="001428D3">
        <w:t xml:space="preserve"> to present their case </w:t>
      </w:r>
      <w:r w:rsidRPr="001428D3" w:rsidR="00F56674">
        <w:t xml:space="preserve">to </w:t>
      </w:r>
      <w:r w:rsidRPr="001428D3">
        <w:t xml:space="preserve">the competent authorities challenging the interference with their property rights. The applicants further submitted that the expropriation and demolition of the Jon Residence </w:t>
      </w:r>
      <w:r w:rsidRPr="001428D3" w:rsidR="00F56674">
        <w:t xml:space="preserve">had </w:t>
      </w:r>
      <w:r w:rsidRPr="001428D3">
        <w:t>not pursue</w:t>
      </w:r>
      <w:r w:rsidRPr="001428D3" w:rsidR="00F56674">
        <w:t>d</w:t>
      </w:r>
      <w:r w:rsidRPr="001428D3">
        <w:t xml:space="preserve"> any legitimate objective in the public interest at the time of the expropriation. </w:t>
      </w:r>
      <w:r w:rsidRPr="001428D3" w:rsidR="004F7EF5">
        <w:t>Ostensibly</w:t>
      </w:r>
      <w:r w:rsidRPr="001428D3">
        <w:t xml:space="preserve"> the expropriation </w:t>
      </w:r>
      <w:r w:rsidRPr="001428D3" w:rsidR="004F7EF5">
        <w:t>had been</w:t>
      </w:r>
      <w:r w:rsidRPr="001428D3">
        <w:t xml:space="preserve"> ordered for purposes of environmental rehabilitation of the coastline. </w:t>
      </w:r>
      <w:r w:rsidRPr="001428D3" w:rsidR="004F7EF5">
        <w:t xml:space="preserve">However, </w:t>
      </w:r>
      <w:r w:rsidRPr="001428D3">
        <w:t xml:space="preserve">the Prime Minister had publicly </w:t>
      </w:r>
      <w:r w:rsidRPr="001428D3" w:rsidR="00747F60">
        <w:t xml:space="preserve">announced </w:t>
      </w:r>
      <w:r w:rsidRPr="001428D3">
        <w:t xml:space="preserve">that the expropriation </w:t>
      </w:r>
      <w:r w:rsidRPr="001428D3" w:rsidR="004F7EF5">
        <w:t>had been</w:t>
      </w:r>
      <w:r w:rsidRPr="001428D3">
        <w:t xml:space="preserve"> necessary in order to build the so-called “Lungomare of Vlora” for leisure and tourism</w:t>
      </w:r>
      <w:r w:rsidRPr="001428D3" w:rsidR="00F56674">
        <w:t xml:space="preserve"> purposes.</w:t>
      </w:r>
    </w:p>
    <w:p w:rsidRPr="001428D3" w:rsidR="00756996"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163</w:t>
      </w:r>
      <w:r w:rsidRPr="001428D3">
        <w:fldChar w:fldCharType="end"/>
      </w:r>
      <w:r w:rsidRPr="001428D3">
        <w:t xml:space="preserve">.  Furthermore, the Albanian authorities had failed to establish a fair balance between the competing interests. They </w:t>
      </w:r>
      <w:r w:rsidRPr="001428D3" w:rsidR="00F56674">
        <w:t xml:space="preserve">should </w:t>
      </w:r>
      <w:r w:rsidRPr="001428D3">
        <w:t xml:space="preserve">have </w:t>
      </w:r>
      <w:r w:rsidRPr="001428D3" w:rsidR="00F56674">
        <w:t xml:space="preserve">carried out a </w:t>
      </w:r>
      <w:r w:rsidRPr="001428D3">
        <w:t xml:space="preserve">preventive </w:t>
      </w:r>
      <w:r w:rsidRPr="001428D3" w:rsidR="00F56674">
        <w:t>building inspection</w:t>
      </w:r>
      <w:r w:rsidRPr="001428D3">
        <w:t xml:space="preserve"> to </w:t>
      </w:r>
      <w:r w:rsidRPr="001428D3" w:rsidR="00F56674">
        <w:t xml:space="preserve">assess </w:t>
      </w:r>
      <w:r w:rsidRPr="001428D3">
        <w:t>possible opposing interests well before issuing legitimate building permits and not arbitrarily change their mind immediately after the building</w:t>
      </w:r>
      <w:r w:rsidRPr="001428D3" w:rsidR="00166119">
        <w:t xml:space="preserve"> had been completed</w:t>
      </w:r>
      <w:r w:rsidRPr="001428D3">
        <w:t>. The applicants</w:t>
      </w:r>
      <w:r w:rsidRPr="001428D3" w:rsidR="00F56674">
        <w:t xml:space="preserve"> submitted that they</w:t>
      </w:r>
      <w:r w:rsidRPr="001428D3">
        <w:t xml:space="preserve"> had not received any compensation to date and </w:t>
      </w:r>
      <w:r w:rsidRPr="001428D3" w:rsidR="00747F60">
        <w:t xml:space="preserve">were uncertain </w:t>
      </w:r>
      <w:r w:rsidRPr="001428D3">
        <w:t>as to whe</w:t>
      </w:r>
      <w:r w:rsidRPr="001428D3" w:rsidR="00747F60">
        <w:t>ther</w:t>
      </w:r>
      <w:r w:rsidRPr="001428D3">
        <w:t xml:space="preserve"> they might receive any </w:t>
      </w:r>
      <w:r w:rsidRPr="001428D3" w:rsidR="004F7EF5">
        <w:t>at all</w:t>
      </w:r>
      <w:r w:rsidRPr="001428D3">
        <w:t xml:space="preserve">. </w:t>
      </w:r>
      <w:r w:rsidRPr="001428D3">
        <w:rPr>
          <w:snapToGrid w:val="0"/>
        </w:rPr>
        <w:t xml:space="preserve">Furthermore, they had not received any compensation for the </w:t>
      </w:r>
      <w:r w:rsidRPr="001428D3" w:rsidR="00EF6AC5">
        <w:rPr>
          <w:snapToGrid w:val="0"/>
        </w:rPr>
        <w:t xml:space="preserve">loss </w:t>
      </w:r>
      <w:r w:rsidRPr="001428D3">
        <w:rPr>
          <w:snapToGrid w:val="0"/>
        </w:rPr>
        <w:t xml:space="preserve">of their movable assets and personal belongings. </w:t>
      </w:r>
      <w:r w:rsidRPr="001428D3">
        <w:t xml:space="preserve">They submitted that the stay </w:t>
      </w:r>
      <w:r w:rsidRPr="001428D3" w:rsidR="00F56674">
        <w:t>of</w:t>
      </w:r>
      <w:r w:rsidRPr="001428D3">
        <w:t xml:space="preserve"> execution of the Court of Appeal</w:t>
      </w:r>
      <w:r w:rsidRPr="001428D3" w:rsidR="001428D3">
        <w:t>’</w:t>
      </w:r>
      <w:r w:rsidRPr="001428D3">
        <w:t xml:space="preserve">s decision on 15 January 2015 by the Supreme Court </w:t>
      </w:r>
      <w:r w:rsidRPr="001428D3" w:rsidR="00B4619C">
        <w:t xml:space="preserve">had </w:t>
      </w:r>
      <w:r w:rsidRPr="001428D3" w:rsidR="00F56674">
        <w:t xml:space="preserve">had </w:t>
      </w:r>
      <w:r w:rsidRPr="001428D3">
        <w:t xml:space="preserve">nothing to do with the 2014 </w:t>
      </w:r>
      <w:r w:rsidRPr="001428D3" w:rsidR="000F50CC">
        <w:t>Council of Ministers</w:t>
      </w:r>
      <w:r w:rsidRPr="001428D3" w:rsidR="001428D3">
        <w:t>’</w:t>
      </w:r>
      <w:r w:rsidRPr="001428D3">
        <w:t xml:space="preserve"> decision on compensation, which was still in force, and for unspecified reasons remained unexecuted. They also claimed an arbitrary legislative interference as a result of the </w:t>
      </w:r>
      <w:r w:rsidRPr="001428D3" w:rsidR="000F50CC">
        <w:t>Council of Ministers</w:t>
      </w:r>
      <w:r w:rsidRPr="001428D3" w:rsidR="001428D3">
        <w:t>’</w:t>
      </w:r>
      <w:r w:rsidRPr="001428D3">
        <w:t xml:space="preserve"> decision of 9 April 2014 which had </w:t>
      </w:r>
      <w:r w:rsidRPr="001428D3" w:rsidR="00F56674">
        <w:t xml:space="preserve">unilaterally </w:t>
      </w:r>
      <w:r w:rsidRPr="001428D3">
        <w:t>decreased the amount of compensation awarded for the deprivation of their property under the District Court</w:t>
      </w:r>
      <w:r w:rsidRPr="001428D3" w:rsidR="001428D3">
        <w:t>’</w:t>
      </w:r>
      <w:r w:rsidRPr="001428D3" w:rsidR="005B2DBE">
        <w:t>s decision of 6 March </w:t>
      </w:r>
      <w:r w:rsidRPr="001428D3">
        <w:t>2014.</w:t>
      </w:r>
    </w:p>
    <w:p w:rsidRPr="001428D3" w:rsidR="00756996" w:rsidP="001428D3" w:rsidRDefault="00756996">
      <w:pPr>
        <w:pStyle w:val="ECHRHeading5"/>
      </w:pPr>
      <w:r w:rsidRPr="001428D3">
        <w:t>(ii)  The Government</w:t>
      </w:r>
      <w:r w:rsidRPr="001428D3" w:rsidR="001428D3">
        <w:t>’</w:t>
      </w:r>
      <w:r w:rsidRPr="001428D3">
        <w:t>s submissions</w:t>
      </w:r>
    </w:p>
    <w:p w:rsidRPr="001428D3" w:rsidR="00756996" w:rsidP="001428D3" w:rsidRDefault="00756996">
      <w:pPr>
        <w:pStyle w:val="ECHRPara"/>
        <w:rPr>
          <w:lang w:bidi="en-US"/>
        </w:rPr>
      </w:pPr>
      <w:r w:rsidRPr="001428D3">
        <w:fldChar w:fldCharType="begin"/>
      </w:r>
      <w:r w:rsidRPr="001428D3">
        <w:instrText xml:space="preserve"> SEQ level0 \*arabic </w:instrText>
      </w:r>
      <w:r w:rsidRPr="001428D3">
        <w:fldChar w:fldCharType="separate"/>
      </w:r>
      <w:r w:rsidRPr="001428D3" w:rsidR="001428D3">
        <w:rPr>
          <w:noProof/>
        </w:rPr>
        <w:t>164</w:t>
      </w:r>
      <w:r w:rsidRPr="001428D3">
        <w:fldChar w:fldCharType="end"/>
      </w:r>
      <w:r w:rsidRPr="001428D3">
        <w:t>.  The Government initially submitted that since the proceedings were still pending before the Supreme Court, it was impossible for them to provide their opinion with regard to Article 1 Protocol No. 1. In their oral submissions they</w:t>
      </w:r>
      <w:r w:rsidRPr="001428D3" w:rsidR="00981C49">
        <w:t xml:space="preserve"> reiterated that</w:t>
      </w:r>
      <w:r w:rsidRPr="001428D3">
        <w:t>, while acknowledging that there had been an interference with the applicants</w:t>
      </w:r>
      <w:r w:rsidRPr="001428D3" w:rsidR="001428D3">
        <w:t>’</w:t>
      </w:r>
      <w:r w:rsidRPr="001428D3">
        <w:t xml:space="preserve"> property rights on account of the expropriation procedure, there had been no interference with the applicants</w:t>
      </w:r>
      <w:r w:rsidRPr="001428D3" w:rsidR="001428D3">
        <w:t>’</w:t>
      </w:r>
      <w:r w:rsidRPr="001428D3">
        <w:t xml:space="preserve"> property rights as a result of the actual demolition. According to the Government, there had existed a legitimate aim in the public interest for the applicants</w:t>
      </w:r>
      <w:r w:rsidRPr="001428D3" w:rsidR="001428D3">
        <w:t>’</w:t>
      </w:r>
      <w:r w:rsidRPr="001428D3">
        <w:t xml:space="preserve"> expropriation, namely the realisation of the infrastructure project, which also included a reclassification of the area and an environmental intervention, mainly due to problems of flooding in the area. Despite the difficulties encountered, the project was now complete and most of Lungomare had come into use. The expropriation procedure had been undertaken in accordance with domestic law and the Council of Ministers</w:t>
      </w:r>
      <w:r w:rsidRPr="001428D3" w:rsidR="001428D3">
        <w:t>’</w:t>
      </w:r>
      <w:r w:rsidRPr="001428D3">
        <w:t xml:space="preserve"> decision of 27 November 2013. It was on that basis that the Vlora Municipality had requested the assistance of the NUCI with the demolition of the property. According to the Government, the applicants had been aware that a legitimate reason for the expropriation had existed, that is why they had only challenged the expropriation value before the domestic courts. Even supposing that the expropriation had been declared invalid, that would have simply delayed matters – an expropriation would have taken place one day. T</w:t>
      </w:r>
      <w:r w:rsidRPr="001428D3">
        <w:rPr>
          <w:lang w:bidi="en-US"/>
        </w:rPr>
        <w:t>he domestic courts had amended the Council of Ministers</w:t>
      </w:r>
      <w:r w:rsidRPr="001428D3" w:rsidR="001428D3">
        <w:rPr>
          <w:lang w:bidi="en-US"/>
        </w:rPr>
        <w:t>’</w:t>
      </w:r>
      <w:r w:rsidRPr="001428D3">
        <w:rPr>
          <w:lang w:bidi="en-US"/>
        </w:rPr>
        <w:t xml:space="preserve"> decision of 27 November 2013 concerning the amount of compensation but not the expropriation. </w:t>
      </w:r>
      <w:r w:rsidRPr="001428D3">
        <w:t xml:space="preserve">The applicants had claimed for the first time before the Court that the expropriation had not been legitimate or in the public interest. </w:t>
      </w:r>
      <w:r w:rsidRPr="001428D3">
        <w:rPr>
          <w:lang w:bidi="en-US"/>
        </w:rPr>
        <w:t>Furthermore, the Council of Ministers had amended its own decision of 27 November 2013 with its decision of 9 April 2014 because at the time it had considered that the decision of 27 November 2013 had lacked certain elements (some of the residents had been excluded). The Council of Ministers</w:t>
      </w:r>
      <w:r w:rsidRPr="001428D3" w:rsidR="001428D3">
        <w:rPr>
          <w:lang w:bidi="en-US"/>
        </w:rPr>
        <w:t>’</w:t>
      </w:r>
      <w:r w:rsidRPr="001428D3">
        <w:rPr>
          <w:lang w:bidi="en-US"/>
        </w:rPr>
        <w:t xml:space="preserve"> decision of 9 April 2014 was unrelated to the domestic courts</w:t>
      </w:r>
      <w:r w:rsidRPr="001428D3" w:rsidR="001428D3">
        <w:rPr>
          <w:lang w:bidi="en-US"/>
        </w:rPr>
        <w:t>’</w:t>
      </w:r>
      <w:r w:rsidRPr="001428D3">
        <w:rPr>
          <w:lang w:bidi="en-US"/>
        </w:rPr>
        <w:t xml:space="preserve"> decisions of 6 March and 23 September 2014.</w:t>
      </w:r>
    </w:p>
    <w:p w:rsidRPr="001428D3" w:rsidR="009547AD" w:rsidP="001428D3" w:rsidRDefault="00D45AE0">
      <w:pPr>
        <w:pStyle w:val="ECHRHeading4"/>
      </w:pPr>
      <w:r w:rsidRPr="001428D3">
        <w:t>(c</w:t>
      </w:r>
      <w:r w:rsidRPr="001428D3" w:rsidR="009547AD">
        <w:t>)  The Court</w:t>
      </w:r>
      <w:r w:rsidRPr="001428D3" w:rsidR="001428D3">
        <w:t>’</w:t>
      </w:r>
      <w:r w:rsidRPr="001428D3" w:rsidR="009547AD">
        <w:t>s assessment</w:t>
      </w:r>
    </w:p>
    <w:p w:rsidRPr="001428D3" w:rsidR="009547AD" w:rsidP="001428D3" w:rsidRDefault="009547AD">
      <w:pPr>
        <w:pStyle w:val="ECHRHeading5"/>
      </w:pPr>
      <w:r w:rsidRPr="001428D3">
        <w:t>(i)  General principles</w:t>
      </w:r>
    </w:p>
    <w:p w:rsidRPr="001428D3" w:rsidR="009547AD" w:rsidP="001428D3" w:rsidRDefault="009547AD">
      <w:pPr>
        <w:pStyle w:val="ECHRPara"/>
        <w:rPr>
          <w:rFonts w:eastAsia="Times New Roman"/>
        </w:rPr>
      </w:pPr>
      <w:r w:rsidRPr="001428D3">
        <w:fldChar w:fldCharType="begin"/>
      </w:r>
      <w:r w:rsidRPr="001428D3">
        <w:instrText xml:space="preserve"> SEQ level0 \*arabic </w:instrText>
      </w:r>
      <w:r w:rsidRPr="001428D3">
        <w:fldChar w:fldCharType="separate"/>
      </w:r>
      <w:r w:rsidRPr="001428D3" w:rsidR="001428D3">
        <w:rPr>
          <w:noProof/>
        </w:rPr>
        <w:t>165</w:t>
      </w:r>
      <w:r w:rsidRPr="001428D3">
        <w:fldChar w:fldCharType="end"/>
      </w:r>
      <w:r w:rsidRPr="001428D3">
        <w:t>.  R</w:t>
      </w:r>
      <w:r w:rsidRPr="001428D3">
        <w:rPr>
          <w:rFonts w:eastAsia="Times New Roman"/>
        </w:rPr>
        <w:t xml:space="preserve">egarding whether or not there has been an interference, the Court reiterates that, in determining whether there has been a deprivation of possessions within the second “rule”, it is necessary not only to consider whether there has been a formal taking or expropriation of property but to look behind the appearances and investigate the realities of the situation complained of. Since the Convention is intended to guarantee rights that are “practical and effective”, it has to be ascertained whether the situation amounted to a </w:t>
      </w:r>
      <w:r w:rsidRPr="001428D3">
        <w:rPr>
          <w:rFonts w:eastAsia="Times New Roman"/>
          <w:i/>
        </w:rPr>
        <w:t>de facto</w:t>
      </w:r>
      <w:r w:rsidRPr="001428D3">
        <w:rPr>
          <w:rFonts w:eastAsia="Times New Roman"/>
        </w:rPr>
        <w:t xml:space="preserve"> expropriation (see</w:t>
      </w:r>
      <w:r w:rsidRPr="001428D3" w:rsidR="0003729E">
        <w:rPr>
          <w:rFonts w:eastAsia="Times New Roman"/>
        </w:rPr>
        <w:t xml:space="preserve"> </w:t>
      </w:r>
      <w:r w:rsidRPr="001428D3" w:rsidR="0003729E">
        <w:rPr>
          <w:i/>
        </w:rPr>
        <w:t>Brumărescu v. Romania</w:t>
      </w:r>
      <w:r w:rsidRPr="001428D3" w:rsidR="005B2DBE">
        <w:t xml:space="preserve"> [GC], no. </w:t>
      </w:r>
      <w:r w:rsidRPr="001428D3" w:rsidR="0003729E">
        <w:t>28342/95, § 76, ECHR 1999</w:t>
      </w:r>
      <w:r w:rsidRPr="001428D3" w:rsidR="0003729E">
        <w:noBreakHyphen/>
        <w:t xml:space="preserve">VII, </w:t>
      </w:r>
      <w:r w:rsidRPr="001428D3">
        <w:rPr>
          <w:rFonts w:eastAsia="Times New Roman"/>
        </w:rPr>
        <w:t xml:space="preserve">and </w:t>
      </w:r>
      <w:r w:rsidRPr="001428D3">
        <w:rPr>
          <w:rFonts w:eastAsia="Times New Roman"/>
          <w:i/>
        </w:rPr>
        <w:t>Sporrong and Lönnrot</w:t>
      </w:r>
      <w:r w:rsidRPr="001428D3" w:rsidR="005B2DBE">
        <w:rPr>
          <w:rFonts w:eastAsia="Times New Roman"/>
          <w:i/>
        </w:rPr>
        <w:t>h </w:t>
      </w:r>
      <w:r w:rsidRPr="001428D3">
        <w:rPr>
          <w:rFonts w:eastAsia="Times New Roman"/>
          <w:i/>
        </w:rPr>
        <w:t>v.</w:t>
      </w:r>
      <w:r w:rsidRPr="001428D3" w:rsidR="005B2DBE">
        <w:rPr>
          <w:rFonts w:eastAsia="Times New Roman"/>
          <w:i/>
        </w:rPr>
        <w:t> </w:t>
      </w:r>
      <w:r w:rsidRPr="001428D3">
        <w:rPr>
          <w:rFonts w:eastAsia="Times New Roman"/>
          <w:i/>
        </w:rPr>
        <w:t>Sweden</w:t>
      </w:r>
      <w:r w:rsidRPr="001428D3">
        <w:rPr>
          <w:rFonts w:eastAsia="Times New Roman"/>
        </w:rPr>
        <w:t>, 23 September 1982, §§ 63 and 69-74, Series A no. 52).</w:t>
      </w:r>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166</w:t>
      </w:r>
      <w:r w:rsidRPr="001428D3">
        <w:fldChar w:fldCharType="end"/>
      </w:r>
      <w:r w:rsidRPr="001428D3">
        <w:t xml:space="preserve">.  The taking of property can be justified only if it is shown, </w:t>
      </w:r>
      <w:r w:rsidRPr="001428D3">
        <w:rPr>
          <w:i/>
        </w:rPr>
        <w:t>inter alia</w:t>
      </w:r>
      <w:r w:rsidRPr="001428D3">
        <w:t xml:space="preserve">, to be “in the public interest” and “subject to the conditions provided for by law” (see </w:t>
      </w:r>
      <w:r w:rsidRPr="001428D3">
        <w:rPr>
          <w:i/>
        </w:rPr>
        <w:t>Jahn and Others v. Germany</w:t>
      </w:r>
      <w:r w:rsidRPr="001428D3">
        <w:t xml:space="preserve"> [GC], nos. 46720/99, 72203/01 and 72552/01, § 91, ECHR 2005-VI; </w:t>
      </w:r>
      <w:r w:rsidRPr="001428D3">
        <w:rPr>
          <w:i/>
        </w:rPr>
        <w:t>Immobiliare Saffi v. Italy</w:t>
      </w:r>
      <w:r w:rsidRPr="001428D3">
        <w:t xml:space="preserve">, [GC], no. 22774/93, § 49, ECHR 1999-V; and, </w:t>
      </w:r>
      <w:r w:rsidRPr="001428D3">
        <w:rPr>
          <w:i/>
        </w:rPr>
        <w:t>mutatis mutandis</w:t>
      </w:r>
      <w:r w:rsidRPr="001428D3">
        <w:t xml:space="preserve">, </w:t>
      </w:r>
      <w:r w:rsidRPr="001428D3">
        <w:rPr>
          <w:i/>
        </w:rPr>
        <w:t>Fleri Soler and Camilleri v. Malta</w:t>
      </w:r>
      <w:r w:rsidRPr="001428D3">
        <w:t>, no. 35349/05, § 65, 26 September 2006). Any interference with property must also satisfy the requirement of proportionality. As the Court has repeatedly stated, a fair balance must be struck between the demands of the general interest of the community and the requirements of the protection of the individual</w:t>
      </w:r>
      <w:r w:rsidRPr="001428D3" w:rsidR="001428D3">
        <w:t>’</w:t>
      </w:r>
      <w:r w:rsidRPr="001428D3">
        <w:t xml:space="preserve">s fundamental rights, the search for such a fair balance being inherent in the whole of the Convention. (see </w:t>
      </w:r>
      <w:r w:rsidRPr="001428D3">
        <w:rPr>
          <w:i/>
        </w:rPr>
        <w:t>Sporrong and Lönnroth</w:t>
      </w:r>
      <w:r w:rsidRPr="001428D3">
        <w:t>, cited above, §§ 69-74</w:t>
      </w:r>
      <w:r w:rsidRPr="001428D3" w:rsidR="0003392E">
        <w:t xml:space="preserve">, </w:t>
      </w:r>
      <w:r w:rsidRPr="001428D3">
        <w:t xml:space="preserve">and </w:t>
      </w:r>
      <w:r w:rsidRPr="001428D3">
        <w:rPr>
          <w:i/>
        </w:rPr>
        <w:t>Brumărescu</w:t>
      </w:r>
      <w:r w:rsidRPr="001428D3" w:rsidR="00826BB4">
        <w:rPr>
          <w:i/>
        </w:rPr>
        <w:t>,</w:t>
      </w:r>
      <w:r w:rsidRPr="001428D3">
        <w:rPr>
          <w:i/>
        </w:rPr>
        <w:t xml:space="preserve"> </w:t>
      </w:r>
      <w:r w:rsidRPr="001428D3" w:rsidR="00826BB4">
        <w:t>cited above, § 78</w:t>
      </w:r>
      <w:r w:rsidRPr="001428D3">
        <w:t>).</w:t>
      </w:r>
    </w:p>
    <w:p w:rsidRPr="001428D3" w:rsidR="009547AD"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167</w:t>
      </w:r>
      <w:r w:rsidRPr="001428D3">
        <w:rPr>
          <w:noProof/>
        </w:rPr>
        <w:fldChar w:fldCharType="end"/>
      </w:r>
      <w:r w:rsidRPr="001428D3" w:rsidR="009547AD">
        <w:t xml:space="preserve">.  Compensation terms under the relevant legislation are material to the assessment of whether the contested measure respects the requisite fair balance and, notably, whether it imposes a disproportionate burden on the individuals (see </w:t>
      </w:r>
      <w:r w:rsidRPr="001428D3" w:rsidR="009547AD">
        <w:rPr>
          <w:i/>
        </w:rPr>
        <w:t>Jahn and Others</w:t>
      </w:r>
      <w:r w:rsidRPr="001428D3" w:rsidR="009547AD">
        <w:t xml:space="preserve">, cited above, § 94). In this connection, the taking of property without payment of an amount reasonably related to its value will normally constitute a disproportionate interference, and a total lack of compensation can be considered justifiable under Article 1 of Protocol No.1 only in exceptional circumstances (see </w:t>
      </w:r>
      <w:r w:rsidRPr="001428D3" w:rsidR="009547AD">
        <w:rPr>
          <w:i/>
        </w:rPr>
        <w:t>The Holy Monasteries v. Greece</w:t>
      </w:r>
      <w:r w:rsidRPr="001428D3" w:rsidR="009547AD">
        <w:t xml:space="preserve">, 9 December 1994, § 71, Series A no. 301-A). However, while it is true that in many cases of lawful expropriation only full compensation can be regarded as reasonably related to the value of the property, Article 1 of Protocol No. 1 does not guarantee a right to full compensation in all circumstances. Legitimate objectives in the “public interest”, such as those pursued in measures of economic reform or measures designed to achieve greater social justice, may call for less than reimbursement of the full market value (see </w:t>
      </w:r>
      <w:r w:rsidRPr="001428D3" w:rsidR="009547AD">
        <w:rPr>
          <w:i/>
        </w:rPr>
        <w:t>Urbárska Obec Trenčianske Biskupice v. Slovakia</w:t>
      </w:r>
      <w:r w:rsidRPr="001428D3" w:rsidR="009547AD">
        <w:t>, no.</w:t>
      </w:r>
      <w:r w:rsidRPr="001428D3" w:rsidR="00E40ABC">
        <w:t> </w:t>
      </w:r>
      <w:r w:rsidRPr="001428D3" w:rsidR="009547AD">
        <w:t>74258/01, § 115, ECHR 2007-XIII).</w:t>
      </w:r>
    </w:p>
    <w:p w:rsidRPr="001428D3" w:rsidR="005521CC" w:rsidP="001428D3" w:rsidRDefault="00981C49">
      <w:pPr>
        <w:pStyle w:val="ECHRPara"/>
      </w:pPr>
      <w:r w:rsidRPr="001428D3">
        <w:fldChar w:fldCharType="begin"/>
      </w:r>
      <w:r w:rsidRPr="001428D3">
        <w:instrText xml:space="preserve"> SEQ level0 \*arabic </w:instrText>
      </w:r>
      <w:r w:rsidRPr="001428D3">
        <w:fldChar w:fldCharType="separate"/>
      </w:r>
      <w:r w:rsidRPr="001428D3" w:rsidR="001428D3">
        <w:rPr>
          <w:noProof/>
        </w:rPr>
        <w:t>168</w:t>
      </w:r>
      <w:r w:rsidRPr="001428D3">
        <w:fldChar w:fldCharType="end"/>
      </w:r>
      <w:r w:rsidRPr="001428D3">
        <w:t>.  </w:t>
      </w:r>
      <w:r w:rsidRPr="001428D3" w:rsidR="009547AD">
        <w:t xml:space="preserve">The Court reiterates, however, that the adequacy of the compensation would be diminished if it were to be paid without reference to various circumstances liable to reduce its value, such as unreasonable delay. Abnormally lengthy delays in the payment of compensation for expropriation lead to increased financial loss for the person whose </w:t>
      </w:r>
      <w:r w:rsidRPr="001428D3" w:rsidR="00BD6D98">
        <w:t>property</w:t>
      </w:r>
      <w:r w:rsidRPr="001428D3" w:rsidR="009547AD">
        <w:t xml:space="preserve"> has been expropriated, putting him in a position of uncerta</w:t>
      </w:r>
      <w:r w:rsidRPr="001428D3" w:rsidR="005B2DBE">
        <w:t>inty (see </w:t>
      </w:r>
      <w:r w:rsidRPr="001428D3" w:rsidR="005B2DBE">
        <w:rPr>
          <w:i/>
        </w:rPr>
        <w:t>Akkuş </w:t>
      </w:r>
      <w:r w:rsidRPr="001428D3" w:rsidR="009547AD">
        <w:rPr>
          <w:i/>
        </w:rPr>
        <w:t>v.</w:t>
      </w:r>
      <w:r w:rsidRPr="001428D3" w:rsidR="00E40ABC">
        <w:rPr>
          <w:i/>
        </w:rPr>
        <w:t> </w:t>
      </w:r>
      <w:r w:rsidRPr="001428D3" w:rsidR="009547AD">
        <w:rPr>
          <w:i/>
        </w:rPr>
        <w:t>Turkey</w:t>
      </w:r>
      <w:r w:rsidRPr="001428D3" w:rsidR="009547AD">
        <w:t xml:space="preserve">, 9 July 1997, § 29, </w:t>
      </w:r>
      <w:r w:rsidRPr="001428D3" w:rsidR="009547AD">
        <w:rPr>
          <w:i/>
        </w:rPr>
        <w:t xml:space="preserve">Reports </w:t>
      </w:r>
      <w:r w:rsidRPr="001428D3" w:rsidR="009547AD">
        <w:t>1997-IV).</w:t>
      </w:r>
    </w:p>
    <w:p w:rsidRPr="001428D3" w:rsidR="009547AD" w:rsidP="001428D3" w:rsidRDefault="009547AD">
      <w:pPr>
        <w:pStyle w:val="ECHRHeading5"/>
        <w:rPr>
          <w:rFonts w:eastAsia="Times New Roman"/>
        </w:rPr>
      </w:pPr>
      <w:r w:rsidRPr="001428D3">
        <w:rPr>
          <w:rFonts w:eastAsia="Times New Roman"/>
        </w:rPr>
        <w:t>(ii)  Application of the above principles to the present case</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169</w:t>
      </w:r>
      <w:r w:rsidRPr="001428D3">
        <w:fldChar w:fldCharType="end"/>
      </w:r>
      <w:r w:rsidRPr="001428D3">
        <w:t xml:space="preserve">.  The Court notes that it is undisputed that the applicants had “a possession” within the meaning of Article 1 of Protocol No. 1 to the Convention. They had purchased the flats in good faith, whereas the first and second applicants had given their plot of land for construction and had subsequently enjoyed </w:t>
      </w:r>
      <w:r w:rsidRPr="001428D3" w:rsidR="0003392E">
        <w:t>ownership of</w:t>
      </w:r>
      <w:r w:rsidRPr="001428D3">
        <w:t xml:space="preserve"> several </w:t>
      </w:r>
      <w:r w:rsidRPr="001428D3" w:rsidR="0015254B">
        <w:t xml:space="preserve">flats </w:t>
      </w:r>
      <w:r w:rsidRPr="001428D3">
        <w:t xml:space="preserve">and shops. The Court notes that even though an interim order was issued by the domestic courts </w:t>
      </w:r>
      <w:r w:rsidRPr="001428D3" w:rsidR="00354D64">
        <w:t>prohibiting</w:t>
      </w:r>
      <w:r w:rsidRPr="001428D3">
        <w:t xml:space="preserve"> the authorities from taking any other action on the </w:t>
      </w:r>
      <w:r w:rsidRPr="001428D3" w:rsidR="009D3279">
        <w:t>Jon Residence</w:t>
      </w:r>
      <w:r w:rsidRPr="001428D3">
        <w:t xml:space="preserve">, the applicants could not enjoy their </w:t>
      </w:r>
      <w:r w:rsidRPr="001428D3" w:rsidR="009D3279">
        <w:t>properties</w:t>
      </w:r>
      <w:r w:rsidRPr="001428D3">
        <w:t>.</w:t>
      </w:r>
    </w:p>
    <w:p w:rsidRPr="001428D3" w:rsidR="009547AD"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170</w:t>
      </w:r>
      <w:r w:rsidRPr="001428D3">
        <w:fldChar w:fldCharType="end"/>
      </w:r>
      <w:r w:rsidRPr="001428D3">
        <w:t>.  The Court notes that the demolition of the building d</w:t>
      </w:r>
      <w:r w:rsidRPr="001428D3" w:rsidR="006C5C75">
        <w:t>eprived</w:t>
      </w:r>
      <w:r w:rsidRPr="001428D3">
        <w:t xml:space="preserve"> the applicants</w:t>
      </w:r>
      <w:r w:rsidRPr="001428D3" w:rsidR="006C5C75">
        <w:t xml:space="preserve"> of</w:t>
      </w:r>
      <w:r w:rsidRPr="001428D3">
        <w:t xml:space="preserve"> any future possibility </w:t>
      </w:r>
      <w:r w:rsidRPr="001428D3" w:rsidR="00C11D34">
        <w:t xml:space="preserve">of </w:t>
      </w:r>
      <w:r w:rsidRPr="001428D3">
        <w:t>enjoy</w:t>
      </w:r>
      <w:r w:rsidRPr="001428D3" w:rsidR="00C11D34">
        <w:t>ing</w:t>
      </w:r>
      <w:r w:rsidRPr="001428D3">
        <w:t xml:space="preserve"> their </w:t>
      </w:r>
      <w:r w:rsidRPr="001428D3" w:rsidR="00487305">
        <w:t>properties</w:t>
      </w:r>
      <w:r w:rsidRPr="001428D3">
        <w:t>. In these circumstances, there has been an interference with the applicants</w:t>
      </w:r>
      <w:r w:rsidRPr="001428D3" w:rsidR="001428D3">
        <w:t>’</w:t>
      </w:r>
      <w:r w:rsidRPr="001428D3">
        <w:t xml:space="preserve"> </w:t>
      </w:r>
      <w:r w:rsidRPr="001428D3" w:rsidR="00486454">
        <w:t xml:space="preserve">property </w:t>
      </w:r>
      <w:r w:rsidRPr="001428D3">
        <w:t>right</w:t>
      </w:r>
      <w:r w:rsidRPr="001428D3" w:rsidR="00486454">
        <w:t>s</w:t>
      </w:r>
      <w:r w:rsidRPr="001428D3">
        <w:t xml:space="preserve"> in the form of “a deprivation” </w:t>
      </w:r>
      <w:r w:rsidRPr="001428D3">
        <w:rPr>
          <w:rFonts w:eastAsia="Times New Roman"/>
        </w:rPr>
        <w:t>within the meaning of the second sentence of the first paragraph of Article 1 of Protocol No. 1.</w:t>
      </w:r>
    </w:p>
    <w:p w:rsidRPr="001428D3" w:rsidR="005521CC" w:rsidP="001428D3" w:rsidRDefault="009547AD">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171</w:t>
      </w:r>
      <w:r w:rsidRPr="001428D3">
        <w:rPr>
          <w:rFonts w:eastAsia="Times New Roman"/>
        </w:rPr>
        <w:fldChar w:fldCharType="end"/>
      </w:r>
      <w:r w:rsidRPr="001428D3">
        <w:rPr>
          <w:rFonts w:eastAsia="Times New Roman"/>
        </w:rPr>
        <w:t>.  The Court must therefore now determine whether this deprivation was justified in accordance with the requirements of Article 1 of Protocol No. 1.  In the instant case the lawfulness of the demolition has been disputed by the parties.</w:t>
      </w:r>
    </w:p>
    <w:p w:rsidRPr="001428D3" w:rsidR="00867070" w:rsidP="001428D3" w:rsidRDefault="009547AD">
      <w:pPr>
        <w:pStyle w:val="ECHRPara"/>
        <w:rPr>
          <w:rFonts w:eastAsia="Times New Roman"/>
        </w:rPr>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172</w:t>
      </w:r>
      <w:r w:rsidRPr="001428D3">
        <w:rPr>
          <w:rFonts w:eastAsia="Times New Roman"/>
        </w:rPr>
        <w:fldChar w:fldCharType="end"/>
      </w:r>
      <w:r w:rsidRPr="001428D3">
        <w:rPr>
          <w:rFonts w:eastAsia="Times New Roman"/>
        </w:rPr>
        <w:t xml:space="preserve">.  The Court notes that </w:t>
      </w:r>
      <w:r w:rsidRPr="001428D3" w:rsidR="00867070">
        <w:rPr>
          <w:rFonts w:eastAsia="Times New Roman"/>
        </w:rPr>
        <w:t xml:space="preserve">on 3 November 2013 the authorities cordoned off the building, alleging </w:t>
      </w:r>
      <w:r w:rsidRPr="001428D3" w:rsidR="00203770">
        <w:rPr>
          <w:rFonts w:eastAsia="Times New Roman"/>
        </w:rPr>
        <w:t xml:space="preserve">that </w:t>
      </w:r>
      <w:r w:rsidRPr="001428D3" w:rsidR="00867070">
        <w:rPr>
          <w:rFonts w:eastAsia="Times New Roman"/>
        </w:rPr>
        <w:t>it was illegal. On 7 November 2013 the domestic court ruled that the authorities</w:t>
      </w:r>
      <w:r w:rsidRPr="001428D3" w:rsidR="001428D3">
        <w:rPr>
          <w:rFonts w:eastAsia="Times New Roman"/>
        </w:rPr>
        <w:t>’</w:t>
      </w:r>
      <w:r w:rsidRPr="001428D3" w:rsidR="00867070">
        <w:rPr>
          <w:rFonts w:eastAsia="Times New Roman"/>
        </w:rPr>
        <w:t xml:space="preserve"> actions of 3 November 2013 had been unlawful and accordingly issued a</w:t>
      </w:r>
      <w:r w:rsidRPr="001428D3" w:rsidR="005B2DBE">
        <w:rPr>
          <w:rFonts w:eastAsia="Times New Roman"/>
        </w:rPr>
        <w:t>n interim order. On 27 November </w:t>
      </w:r>
      <w:r w:rsidRPr="001428D3" w:rsidR="00867070">
        <w:rPr>
          <w:rFonts w:eastAsia="Times New Roman"/>
        </w:rPr>
        <w:t>2013, despite the interim order and twenty days after it had been issued, the Council of Ministers issued the decision to expropriate the applicants</w:t>
      </w:r>
      <w:r w:rsidRPr="001428D3" w:rsidR="001428D3">
        <w:rPr>
          <w:rFonts w:eastAsia="Times New Roman"/>
        </w:rPr>
        <w:t>’</w:t>
      </w:r>
      <w:r w:rsidRPr="001428D3" w:rsidR="00867070">
        <w:rPr>
          <w:rFonts w:eastAsia="Times New Roman"/>
        </w:rPr>
        <w:t xml:space="preserve"> properties, without informing them or the construction company. By 8 December 2013 the building had already been demolished. Taking into consideration the described sequence of events, the Court finds that legitimate concerns arise about the adequacy of a procedure whereby the authorities </w:t>
      </w:r>
      <w:r w:rsidRPr="001428D3" w:rsidR="00203770">
        <w:rPr>
          <w:rFonts w:eastAsia="Times New Roman"/>
        </w:rPr>
        <w:t xml:space="preserve">could </w:t>
      </w:r>
      <w:r w:rsidRPr="001428D3" w:rsidR="00867070">
        <w:rPr>
          <w:rFonts w:eastAsia="Times New Roman"/>
        </w:rPr>
        <w:t>decide, in such a short time, to expropriate the applicants</w:t>
      </w:r>
      <w:r w:rsidRPr="001428D3" w:rsidR="001428D3">
        <w:rPr>
          <w:rFonts w:eastAsia="Times New Roman"/>
        </w:rPr>
        <w:t>’</w:t>
      </w:r>
      <w:r w:rsidRPr="001428D3" w:rsidR="00867070">
        <w:rPr>
          <w:rFonts w:eastAsia="Times New Roman"/>
        </w:rPr>
        <w:t xml:space="preserve"> properties in the public interest, and immediately proceed with the demolition.</w:t>
      </w:r>
      <w:r w:rsidRPr="001428D3" w:rsidR="006D32A3">
        <w:rPr>
          <w:rFonts w:eastAsia="Times New Roman"/>
        </w:rPr>
        <w:t xml:space="preserve"> </w:t>
      </w:r>
      <w:r w:rsidRPr="001428D3" w:rsidR="00874770">
        <w:rPr>
          <w:rFonts w:eastAsia="Times New Roman"/>
        </w:rPr>
        <w:t xml:space="preserve">The Court also </w:t>
      </w:r>
      <w:r w:rsidRPr="001428D3" w:rsidR="005A7077">
        <w:rPr>
          <w:rFonts w:eastAsia="Times New Roman"/>
        </w:rPr>
        <w:t xml:space="preserve">notes that </w:t>
      </w:r>
      <w:r w:rsidRPr="001428D3" w:rsidR="00874770">
        <w:rPr>
          <w:rFonts w:eastAsia="Times New Roman"/>
        </w:rPr>
        <w:t xml:space="preserve">in their decisions </w:t>
      </w:r>
      <w:r w:rsidRPr="001428D3" w:rsidR="006D32A3">
        <w:rPr>
          <w:rFonts w:eastAsia="Times New Roman"/>
        </w:rPr>
        <w:t xml:space="preserve">the domestic courts </w:t>
      </w:r>
      <w:r w:rsidRPr="001428D3" w:rsidR="00874770">
        <w:rPr>
          <w:rFonts w:eastAsia="Times New Roman"/>
        </w:rPr>
        <w:t xml:space="preserve">concluded that </w:t>
      </w:r>
      <w:r w:rsidRPr="001428D3" w:rsidR="00F8714B">
        <w:rPr>
          <w:rFonts w:eastAsia="Times New Roman"/>
        </w:rPr>
        <w:t xml:space="preserve">both </w:t>
      </w:r>
      <w:r w:rsidRPr="001428D3" w:rsidR="00874770">
        <w:rPr>
          <w:rFonts w:eastAsia="Times New Roman"/>
        </w:rPr>
        <w:t>the authorities</w:t>
      </w:r>
      <w:r w:rsidRPr="001428D3" w:rsidR="001428D3">
        <w:rPr>
          <w:rFonts w:eastAsia="Times New Roman"/>
        </w:rPr>
        <w:t>’</w:t>
      </w:r>
      <w:r w:rsidRPr="001428D3" w:rsidR="00F8714B">
        <w:rPr>
          <w:rFonts w:eastAsia="Times New Roman"/>
        </w:rPr>
        <w:t xml:space="preserve"> failure </w:t>
      </w:r>
      <w:r w:rsidRPr="001428D3" w:rsidR="00874770">
        <w:rPr>
          <w:rFonts w:eastAsia="Times New Roman"/>
        </w:rPr>
        <w:t>to comply with the interim order</w:t>
      </w:r>
      <w:r w:rsidRPr="001428D3" w:rsidR="005A7077">
        <w:rPr>
          <w:rFonts w:eastAsia="Times New Roman"/>
        </w:rPr>
        <w:t xml:space="preserve">, </w:t>
      </w:r>
      <w:r w:rsidRPr="001428D3" w:rsidR="00874770">
        <w:rPr>
          <w:rFonts w:eastAsia="Times New Roman"/>
        </w:rPr>
        <w:t xml:space="preserve">and the demolition of the Jon Residence had been </w:t>
      </w:r>
      <w:r w:rsidRPr="001428D3" w:rsidR="005A7077">
        <w:rPr>
          <w:rFonts w:eastAsia="Times New Roman"/>
        </w:rPr>
        <w:t>unlawful</w:t>
      </w:r>
      <w:r w:rsidRPr="001428D3" w:rsidR="00874770">
        <w:rPr>
          <w:rFonts w:eastAsia="Times New Roman"/>
        </w:rPr>
        <w:t>.</w:t>
      </w:r>
      <w:r w:rsidRPr="001428D3" w:rsidR="00A20E44">
        <w:rPr>
          <w:rFonts w:eastAsia="Times New Roman"/>
        </w:rPr>
        <w:t xml:space="preserve"> Therefore, the Court, as the domestic courts rightly pointed out (see paragraphs 36, 38 and 41 above), concludes that in the present case the whole procedure on the applicants</w:t>
      </w:r>
      <w:r w:rsidRPr="001428D3" w:rsidR="001428D3">
        <w:rPr>
          <w:rFonts w:eastAsia="Times New Roman"/>
        </w:rPr>
        <w:t>’</w:t>
      </w:r>
      <w:r w:rsidRPr="001428D3" w:rsidR="00A20E44">
        <w:rPr>
          <w:rFonts w:eastAsia="Times New Roman"/>
        </w:rPr>
        <w:t xml:space="preserve"> expropriation was carried out hastily and was thus not in accordance with domestic law.</w:t>
      </w:r>
    </w:p>
    <w:p w:rsidRPr="001428D3" w:rsidR="009845BA" w:rsidP="001428D3" w:rsidRDefault="00867070">
      <w:pPr>
        <w:pStyle w:val="ECHRPara"/>
      </w:pPr>
      <w:r w:rsidRPr="001428D3">
        <w:rPr>
          <w:rFonts w:eastAsia="Times New Roman"/>
        </w:rPr>
        <w:fldChar w:fldCharType="begin"/>
      </w:r>
      <w:r w:rsidRPr="001428D3">
        <w:rPr>
          <w:rFonts w:eastAsia="Times New Roman"/>
        </w:rPr>
        <w:instrText xml:space="preserve"> SEQ level0 \*arabic </w:instrText>
      </w:r>
      <w:r w:rsidRPr="001428D3">
        <w:rPr>
          <w:rFonts w:eastAsia="Times New Roman"/>
        </w:rPr>
        <w:fldChar w:fldCharType="separate"/>
      </w:r>
      <w:r w:rsidRPr="001428D3" w:rsidR="001428D3">
        <w:rPr>
          <w:rFonts w:eastAsia="Times New Roman"/>
          <w:noProof/>
        </w:rPr>
        <w:t>173</w:t>
      </w:r>
      <w:r w:rsidRPr="001428D3">
        <w:rPr>
          <w:rFonts w:eastAsia="Times New Roman"/>
        </w:rPr>
        <w:fldChar w:fldCharType="end"/>
      </w:r>
      <w:r w:rsidRPr="001428D3">
        <w:rPr>
          <w:rFonts w:eastAsia="Times New Roman"/>
        </w:rPr>
        <w:t>.  </w:t>
      </w:r>
      <w:r w:rsidRPr="001428D3" w:rsidR="006D46D0">
        <w:t>T</w:t>
      </w:r>
      <w:r w:rsidRPr="001428D3" w:rsidR="009547AD">
        <w:t xml:space="preserve">he Court </w:t>
      </w:r>
      <w:r w:rsidRPr="001428D3" w:rsidR="006D46D0">
        <w:t xml:space="preserve">further </w:t>
      </w:r>
      <w:r w:rsidRPr="001428D3" w:rsidR="009547AD">
        <w:t xml:space="preserve">considers that the taking of the </w:t>
      </w:r>
      <w:r w:rsidRPr="001428D3" w:rsidR="009D3279">
        <w:t>Jon Residence</w:t>
      </w:r>
      <w:r w:rsidRPr="001428D3" w:rsidR="009547AD">
        <w:t xml:space="preserve"> entailed sufficiently serious consequences for the applicants </w:t>
      </w:r>
      <w:r w:rsidRPr="001428D3" w:rsidR="000023AF">
        <w:t>as their properties had</w:t>
      </w:r>
      <w:r w:rsidRPr="001428D3" w:rsidR="009547AD">
        <w:t xml:space="preserve"> been </w:t>
      </w:r>
      <w:r w:rsidRPr="001428D3" w:rsidR="00036E79">
        <w:t>unlawfully dispos</w:t>
      </w:r>
      <w:r w:rsidRPr="001428D3" w:rsidR="00183B5E">
        <w:t>s</w:t>
      </w:r>
      <w:r w:rsidRPr="001428D3" w:rsidR="00036E79">
        <w:t>e</w:t>
      </w:r>
      <w:r w:rsidRPr="001428D3" w:rsidR="00183B5E">
        <w:t>sse</w:t>
      </w:r>
      <w:r w:rsidRPr="001428D3" w:rsidR="00036E79">
        <w:t xml:space="preserve">d, </w:t>
      </w:r>
      <w:r w:rsidRPr="001428D3" w:rsidR="009547AD">
        <w:t>in a manner incompatible with their right to the peaceful enjoyment of their possessions (see</w:t>
      </w:r>
      <w:r w:rsidRPr="001428D3" w:rsidR="0012026E">
        <w:t>,</w:t>
      </w:r>
      <w:r w:rsidRPr="001428D3" w:rsidR="009547AD">
        <w:t xml:space="preserve"> among many other authorities, </w:t>
      </w:r>
      <w:r w:rsidRPr="001428D3" w:rsidR="009547AD">
        <w:rPr>
          <w:i/>
          <w:iCs/>
        </w:rPr>
        <w:t>Iatridis</w:t>
      </w:r>
      <w:r w:rsidRPr="001428D3" w:rsidR="00381CF6">
        <w:rPr>
          <w:iCs/>
        </w:rPr>
        <w:t>, cited above</w:t>
      </w:r>
      <w:r w:rsidRPr="001428D3" w:rsidR="009547AD">
        <w:t xml:space="preserve">, </w:t>
      </w:r>
      <w:r w:rsidRPr="001428D3" w:rsidR="005B2DBE">
        <w:rPr>
          <w:i/>
          <w:iCs/>
        </w:rPr>
        <w:t>Papamichalopoulos and Others v. </w:t>
      </w:r>
      <w:r w:rsidRPr="001428D3" w:rsidR="009547AD">
        <w:rPr>
          <w:i/>
          <w:iCs/>
        </w:rPr>
        <w:t>Greece</w:t>
      </w:r>
      <w:r w:rsidRPr="001428D3" w:rsidR="009547AD">
        <w:t>, 24 June 1993, Series A no. 260</w:t>
      </w:r>
      <w:r w:rsidRPr="001428D3" w:rsidR="009547AD">
        <w:noBreakHyphen/>
        <w:t xml:space="preserve">B, </w:t>
      </w:r>
      <w:r w:rsidRPr="001428D3" w:rsidR="009547AD">
        <w:rPr>
          <w:i/>
        </w:rPr>
        <w:t>Kolona v. Cyprus</w:t>
      </w:r>
      <w:r w:rsidRPr="001428D3" w:rsidR="005B2DBE">
        <w:t>, no. </w:t>
      </w:r>
      <w:r w:rsidRPr="001428D3" w:rsidR="009547AD">
        <w:t xml:space="preserve">28025/03, §§ 70-78, 27 September 2007, </w:t>
      </w:r>
      <w:r w:rsidRPr="001428D3" w:rsidR="009547AD">
        <w:rPr>
          <w:i/>
        </w:rPr>
        <w:t>Loizidou</w:t>
      </w:r>
      <w:r w:rsidRPr="001428D3" w:rsidR="00CD527C">
        <w:rPr>
          <w:i/>
        </w:rPr>
        <w:t>,</w:t>
      </w:r>
      <w:r w:rsidRPr="001428D3" w:rsidR="009547AD">
        <w:rPr>
          <w:i/>
        </w:rPr>
        <w:t xml:space="preserve"> </w:t>
      </w:r>
      <w:r w:rsidRPr="001428D3" w:rsidR="009547AD">
        <w:t xml:space="preserve">cited above, §§ 63-64, </w:t>
      </w:r>
      <w:r w:rsidRPr="001428D3" w:rsidR="00426DB9">
        <w:t xml:space="preserve">and </w:t>
      </w:r>
      <w:r w:rsidRPr="001428D3" w:rsidR="009547AD">
        <w:rPr>
          <w:i/>
        </w:rPr>
        <w:t>Demades</w:t>
      </w:r>
      <w:r w:rsidRPr="001428D3" w:rsidR="009547AD">
        <w:t>, cited above, § 46).</w:t>
      </w:r>
    </w:p>
    <w:p w:rsidRPr="001428D3" w:rsidR="005521CC" w:rsidP="001428D3" w:rsidRDefault="009547AD">
      <w:pPr>
        <w:pStyle w:val="ECHRPara"/>
      </w:pPr>
      <w:r w:rsidRPr="001428D3">
        <w:fldChar w:fldCharType="begin"/>
      </w:r>
      <w:r w:rsidRPr="001428D3">
        <w:instrText xml:space="preserve"> SEQ level0 \*arabic </w:instrText>
      </w:r>
      <w:r w:rsidRPr="001428D3">
        <w:fldChar w:fldCharType="separate"/>
      </w:r>
      <w:r w:rsidRPr="001428D3" w:rsidR="001428D3">
        <w:rPr>
          <w:noProof/>
        </w:rPr>
        <w:t>174</w:t>
      </w:r>
      <w:r w:rsidRPr="001428D3">
        <w:fldChar w:fldCharType="end"/>
      </w:r>
      <w:r w:rsidRPr="001428D3">
        <w:t xml:space="preserve">.  In view of all the above, the Court </w:t>
      </w:r>
      <w:r w:rsidRPr="001428D3" w:rsidR="00867070">
        <w:t>con</w:t>
      </w:r>
      <w:r w:rsidRPr="001428D3" w:rsidR="00A42C3D">
        <w:t xml:space="preserve">siders that the interference in question </w:t>
      </w:r>
      <w:r w:rsidRPr="001428D3" w:rsidR="006F0BC0">
        <w:t xml:space="preserve">was </w:t>
      </w:r>
      <w:r w:rsidRPr="001428D3" w:rsidR="00A42C3D">
        <w:t>manifestly in breach of Albanian law</w:t>
      </w:r>
      <w:r w:rsidRPr="001428D3" w:rsidR="00B71EB0">
        <w:t xml:space="preserve"> </w:t>
      </w:r>
      <w:r w:rsidRPr="001428D3" w:rsidR="00A42C3D">
        <w:t>and</w:t>
      </w:r>
      <w:r w:rsidRPr="001428D3" w:rsidR="00B71EB0">
        <w:t xml:space="preserve">, therefore, </w:t>
      </w:r>
      <w:r w:rsidRPr="001428D3" w:rsidR="006F0BC0">
        <w:t>un</w:t>
      </w:r>
      <w:r w:rsidRPr="001428D3" w:rsidR="00B71EB0">
        <w:t xml:space="preserve">lawful (see paragraph </w:t>
      </w:r>
      <w:r w:rsidRPr="001428D3" w:rsidR="00524AA8">
        <w:t>13</w:t>
      </w:r>
      <w:r w:rsidRPr="001428D3" w:rsidR="00EA6D20">
        <w:t>3</w:t>
      </w:r>
      <w:r w:rsidRPr="001428D3" w:rsidR="00524AA8">
        <w:t xml:space="preserve"> </w:t>
      </w:r>
      <w:r w:rsidRPr="001428D3" w:rsidR="00B71EB0">
        <w:t>above</w:t>
      </w:r>
      <w:r w:rsidRPr="001428D3" w:rsidR="00AD1980">
        <w:t xml:space="preserve"> concerning the relevant principles</w:t>
      </w:r>
      <w:r w:rsidRPr="001428D3" w:rsidR="00B71EB0">
        <w:t xml:space="preserve">). It </w:t>
      </w:r>
      <w:r w:rsidRPr="001428D3" w:rsidR="00A77ED2">
        <w:t xml:space="preserve">was </w:t>
      </w:r>
      <w:r w:rsidRPr="001428D3" w:rsidR="00A42C3D">
        <w:t>accordingly incompatible with the applicants</w:t>
      </w:r>
      <w:r w:rsidRPr="001428D3" w:rsidR="001428D3">
        <w:t>’</w:t>
      </w:r>
      <w:r w:rsidRPr="001428D3" w:rsidR="00A42C3D">
        <w:t xml:space="preserve"> right to the peaceful enjoyment of their possessions. This conclusion </w:t>
      </w:r>
      <w:r w:rsidRPr="001428D3">
        <w:t xml:space="preserve">makes it unnecessary to ascertain whether a fair balance </w:t>
      </w:r>
      <w:r w:rsidRPr="001428D3" w:rsidR="00A77ED2">
        <w:t>was</w:t>
      </w:r>
      <w:r w:rsidRPr="001428D3">
        <w:t xml:space="preserve"> struck between the demands of the general interest of the community and the requirements of the protection of the individual</w:t>
      </w:r>
      <w:r w:rsidRPr="001428D3" w:rsidR="001428D3">
        <w:t>’</w:t>
      </w:r>
      <w:r w:rsidRPr="001428D3">
        <w:t>s fundamental rights.</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175</w:t>
      </w:r>
      <w:r w:rsidRPr="001428D3">
        <w:rPr>
          <w:noProof/>
        </w:rPr>
        <w:fldChar w:fldCharType="end"/>
      </w:r>
      <w:r w:rsidRPr="001428D3" w:rsidR="009547AD">
        <w:t>.  There has, accordingly, been a breach of Article 1 of Protocol No. 1 to the Convention an account of the expropriation and demolition of the applicants</w:t>
      </w:r>
      <w:r w:rsidRPr="001428D3" w:rsidR="001428D3">
        <w:t>’</w:t>
      </w:r>
      <w:r w:rsidRPr="001428D3" w:rsidR="009547AD">
        <w:t xml:space="preserve"> </w:t>
      </w:r>
      <w:r w:rsidRPr="001428D3" w:rsidR="00BF5551">
        <w:t>properties</w:t>
      </w:r>
      <w:r w:rsidRPr="001428D3" w:rsidR="009547AD">
        <w:t>.</w:t>
      </w:r>
    </w:p>
    <w:p w:rsidRPr="001428D3" w:rsidR="005521CC" w:rsidP="001428D3" w:rsidRDefault="00CC731D">
      <w:pPr>
        <w:pStyle w:val="ECHRHeading1"/>
      </w:pPr>
      <w:bookmarkStart w:name="_Toc498016770" w:id="60"/>
      <w:r w:rsidRPr="001428D3">
        <w:t>IV</w:t>
      </w:r>
      <w:r w:rsidRPr="001428D3" w:rsidR="00724655">
        <w:t>.  </w:t>
      </w:r>
      <w:r w:rsidRPr="001428D3" w:rsidR="00077C15">
        <w:t xml:space="preserve">OTHER </w:t>
      </w:r>
      <w:r w:rsidRPr="001428D3" w:rsidR="00724655">
        <w:t>ALLEGED VIOLATION</w:t>
      </w:r>
      <w:r w:rsidRPr="001428D3" w:rsidR="00077C15">
        <w:t>S</w:t>
      </w:r>
      <w:r w:rsidRPr="001428D3" w:rsidR="00724655">
        <w:t xml:space="preserve"> OF </w:t>
      </w:r>
      <w:r w:rsidRPr="001428D3" w:rsidR="00077C15">
        <w:t>THE CONVENTION</w:t>
      </w:r>
      <w:bookmarkEnd w:id="60"/>
    </w:p>
    <w:p w:rsidRPr="001428D3" w:rsidR="005521CC" w:rsidP="001428D3" w:rsidRDefault="008D4582">
      <w:pPr>
        <w:pStyle w:val="ECHRHeading2"/>
      </w:pPr>
      <w:bookmarkStart w:name="_Toc498016771" w:id="61"/>
      <w:r w:rsidRPr="001428D3">
        <w:t>A</w:t>
      </w:r>
      <w:r w:rsidRPr="001428D3" w:rsidR="00724655">
        <w:t>. </w:t>
      </w:r>
      <w:r w:rsidRPr="001428D3" w:rsidR="0034134A">
        <w:t> </w:t>
      </w:r>
      <w:r w:rsidRPr="001428D3">
        <w:t>Complaint</w:t>
      </w:r>
      <w:r w:rsidRPr="001428D3" w:rsidR="008D5BE7">
        <w:t>s</w:t>
      </w:r>
      <w:r w:rsidRPr="001428D3">
        <w:t xml:space="preserve"> </w:t>
      </w:r>
      <w:r w:rsidRPr="001428D3" w:rsidR="008F4D9D">
        <w:t>under Article 6 § 2 of the Convention</w:t>
      </w:r>
      <w:bookmarkEnd w:id="61"/>
    </w:p>
    <w:p w:rsidRPr="001428D3" w:rsidR="005521CC" w:rsidP="001428D3" w:rsidRDefault="00F9062A">
      <w:pPr>
        <w:pStyle w:val="ECHRPara"/>
      </w:pPr>
      <w:r w:rsidRPr="001428D3">
        <w:fldChar w:fldCharType="begin"/>
      </w:r>
      <w:r w:rsidRPr="001428D3">
        <w:instrText xml:space="preserve"> SEQ level0 \*arabic </w:instrText>
      </w:r>
      <w:r w:rsidRPr="001428D3">
        <w:fldChar w:fldCharType="separate"/>
      </w:r>
      <w:r w:rsidRPr="001428D3" w:rsidR="001428D3">
        <w:rPr>
          <w:noProof/>
        </w:rPr>
        <w:t>176</w:t>
      </w:r>
      <w:r w:rsidRPr="001428D3">
        <w:fldChar w:fldCharType="end"/>
      </w:r>
      <w:r w:rsidRPr="001428D3">
        <w:t xml:space="preserve">.  The applicants submitted that the use of yellow tape by the police </w:t>
      </w:r>
      <w:r w:rsidRPr="001428D3" w:rsidR="008F4D9D">
        <w:t xml:space="preserve">for over six weeks </w:t>
      </w:r>
      <w:r w:rsidRPr="001428D3">
        <w:t xml:space="preserve">to prevent them </w:t>
      </w:r>
      <w:r w:rsidRPr="001428D3" w:rsidR="00106B94">
        <w:t xml:space="preserve">from </w:t>
      </w:r>
      <w:r w:rsidRPr="001428D3">
        <w:t xml:space="preserve">having access to their homes </w:t>
      </w:r>
      <w:r w:rsidRPr="001428D3" w:rsidR="00AE517A">
        <w:t xml:space="preserve">had </w:t>
      </w:r>
      <w:r w:rsidRPr="001428D3">
        <w:t>amounted to a breach of the presumption of innocence under Article 6 § 2 of the Convention</w:t>
      </w:r>
      <w:r w:rsidRPr="001428D3" w:rsidR="00A12825">
        <w:t>.</w:t>
      </w:r>
    </w:p>
    <w:p w:rsidRPr="001428D3" w:rsidR="005521CC" w:rsidP="001428D3" w:rsidRDefault="008F4D9D">
      <w:pPr>
        <w:pStyle w:val="ECHRPara"/>
      </w:pPr>
      <w:r w:rsidRPr="001428D3">
        <w:t xml:space="preserve">They also complained that the Prime Minister, members of the Government and other high-ranking police officers </w:t>
      </w:r>
      <w:r w:rsidRPr="001428D3" w:rsidR="00E979F8">
        <w:t xml:space="preserve">had </w:t>
      </w:r>
      <w:r w:rsidRPr="001428D3">
        <w:t>made numerous statements in the press aimed at creating doubt</w:t>
      </w:r>
      <w:r w:rsidRPr="001428D3" w:rsidR="000023AF">
        <w:t>s</w:t>
      </w:r>
      <w:r w:rsidRPr="001428D3">
        <w:t xml:space="preserve"> as to the</w:t>
      </w:r>
      <w:r w:rsidRPr="001428D3" w:rsidR="000023AF">
        <w:t>ir</w:t>
      </w:r>
      <w:r w:rsidRPr="001428D3">
        <w:t xml:space="preserve"> innocence. They also relied on the fact that criminal proceedings </w:t>
      </w:r>
      <w:r w:rsidRPr="001428D3" w:rsidR="00E979F8">
        <w:t xml:space="preserve">had been </w:t>
      </w:r>
      <w:r w:rsidRPr="001428D3">
        <w:t xml:space="preserve">instituted against State officials </w:t>
      </w:r>
      <w:r w:rsidRPr="001428D3" w:rsidR="000023AF">
        <w:t>for</w:t>
      </w:r>
      <w:r w:rsidRPr="001428D3">
        <w:t xml:space="preserve"> abuse of power concerning the regularity of the restitution process in respect of the applicants</w:t>
      </w:r>
      <w:r w:rsidRPr="001428D3" w:rsidR="001428D3">
        <w:t>’</w:t>
      </w:r>
      <w:r w:rsidRPr="001428D3">
        <w:t xml:space="preserve"> </w:t>
      </w:r>
      <w:r w:rsidRPr="001428D3" w:rsidR="000023AF">
        <w:t>properties</w:t>
      </w:r>
      <w:r w:rsidRPr="001428D3">
        <w:t>.</w:t>
      </w:r>
    </w:p>
    <w:p w:rsidRPr="001428D3" w:rsidR="005521CC" w:rsidP="001428D3" w:rsidRDefault="00CB1C4B">
      <w:pPr>
        <w:pStyle w:val="ECHRPara"/>
      </w:pPr>
      <w:r w:rsidRPr="001428D3">
        <w:t>Article 6 § 2 of the Convention, i</w:t>
      </w:r>
      <w:r w:rsidRPr="001428D3" w:rsidR="00534C92">
        <w:t>n so far as relevant</w:t>
      </w:r>
      <w:r w:rsidRPr="001428D3">
        <w:t>,</w:t>
      </w:r>
      <w:r w:rsidRPr="001428D3" w:rsidR="00534C92">
        <w:t xml:space="preserve"> read</w:t>
      </w:r>
      <w:r w:rsidRPr="001428D3">
        <w:t>s</w:t>
      </w:r>
      <w:r w:rsidRPr="001428D3" w:rsidR="00534C92">
        <w:t xml:space="preserve"> as follows:</w:t>
      </w:r>
    </w:p>
    <w:p w:rsidRPr="001428D3" w:rsidR="00534C92" w:rsidP="001428D3" w:rsidRDefault="00534C92">
      <w:pPr>
        <w:pStyle w:val="ECHRParaQuote"/>
      </w:pPr>
      <w:r w:rsidRPr="001428D3">
        <w:t>“2.  Everyone charged with a criminal offence shall be presumed innocent until proved guilty according to law</w:t>
      </w:r>
      <w:r w:rsidRPr="001428D3" w:rsidR="00B938D6">
        <w:t>..</w:t>
      </w:r>
      <w:r w:rsidRPr="001428D3">
        <w:t>.</w:t>
      </w:r>
    </w:p>
    <w:p w:rsidRPr="001428D3" w:rsidR="005521CC" w:rsidP="001428D3" w:rsidRDefault="00BD6CAE">
      <w:pPr>
        <w:pStyle w:val="ECHRPara"/>
      </w:pPr>
      <w:r w:rsidRPr="001428D3">
        <w:fldChar w:fldCharType="begin"/>
      </w:r>
      <w:r w:rsidRPr="001428D3">
        <w:instrText xml:space="preserve"> SEQ level0 \*arabic </w:instrText>
      </w:r>
      <w:r w:rsidRPr="001428D3">
        <w:fldChar w:fldCharType="separate"/>
      </w:r>
      <w:r w:rsidRPr="001428D3" w:rsidR="001428D3">
        <w:rPr>
          <w:noProof/>
        </w:rPr>
        <w:t>177</w:t>
      </w:r>
      <w:r w:rsidRPr="001428D3">
        <w:fldChar w:fldCharType="end"/>
      </w:r>
      <w:r w:rsidRPr="001428D3">
        <w:t>.  </w:t>
      </w:r>
      <w:r w:rsidRPr="001428D3" w:rsidR="00724655">
        <w:t>The Government submit</w:t>
      </w:r>
      <w:r w:rsidRPr="001428D3" w:rsidR="000A4461">
        <w:t>ted</w:t>
      </w:r>
      <w:r w:rsidRPr="001428D3" w:rsidR="00724655">
        <w:t xml:space="preserve"> that the applicants </w:t>
      </w:r>
      <w:r w:rsidRPr="001428D3" w:rsidR="000023AF">
        <w:t xml:space="preserve">had </w:t>
      </w:r>
      <w:r w:rsidRPr="001428D3" w:rsidR="00724655">
        <w:t>not raised this complaint before the domestic courts. Moreover, no criminal charge had been brought against the applicants. They also argue</w:t>
      </w:r>
      <w:r w:rsidRPr="001428D3" w:rsidR="00B15924">
        <w:t>d</w:t>
      </w:r>
      <w:r w:rsidRPr="001428D3" w:rsidR="00724655">
        <w:t xml:space="preserve"> that the use of yellow police “crime scene” </w:t>
      </w:r>
      <w:r w:rsidRPr="001428D3" w:rsidR="000023AF">
        <w:t xml:space="preserve">tape </w:t>
      </w:r>
      <w:r w:rsidRPr="001428D3" w:rsidR="00B15924">
        <w:t>was</w:t>
      </w:r>
      <w:r w:rsidRPr="001428D3" w:rsidR="00724655">
        <w:t xml:space="preserve"> standard procedure </w:t>
      </w:r>
      <w:r w:rsidRPr="001428D3" w:rsidR="000023AF">
        <w:t>for</w:t>
      </w:r>
      <w:r w:rsidRPr="001428D3" w:rsidR="00724655">
        <w:t xml:space="preserve"> the NUCI for the suspension of any possible activity in a building </w:t>
      </w:r>
      <w:r w:rsidRPr="001428D3" w:rsidR="000023AF">
        <w:t>where the</w:t>
      </w:r>
      <w:r w:rsidRPr="001428D3" w:rsidR="00724655">
        <w:t xml:space="preserve"> lawfulness of the </w:t>
      </w:r>
      <w:r w:rsidRPr="001428D3" w:rsidR="00E35D7C">
        <w:t xml:space="preserve">building </w:t>
      </w:r>
      <w:r w:rsidRPr="001428D3" w:rsidR="00724655">
        <w:t>permit</w:t>
      </w:r>
      <w:r w:rsidRPr="001428D3" w:rsidR="000023AF">
        <w:t xml:space="preserve"> was in question</w:t>
      </w:r>
      <w:r w:rsidRPr="001428D3" w:rsidR="00724655">
        <w:t>. They further submit</w:t>
      </w:r>
      <w:r w:rsidRPr="001428D3" w:rsidR="00B15924">
        <w:t>ted</w:t>
      </w:r>
      <w:r w:rsidRPr="001428D3" w:rsidR="00724655">
        <w:t xml:space="preserve"> that the authorities </w:t>
      </w:r>
      <w:r w:rsidRPr="001428D3" w:rsidR="000023AF">
        <w:t xml:space="preserve">had </w:t>
      </w:r>
      <w:r w:rsidRPr="001428D3" w:rsidR="00724655">
        <w:t>never mentioned the applicants</w:t>
      </w:r>
      <w:r w:rsidRPr="001428D3" w:rsidR="001428D3">
        <w:t>’</w:t>
      </w:r>
      <w:r w:rsidRPr="001428D3" w:rsidR="00724655">
        <w:t xml:space="preserve"> names in the media. </w:t>
      </w:r>
      <w:r w:rsidRPr="001428D3">
        <w:t xml:space="preserve">No investigation </w:t>
      </w:r>
      <w:r w:rsidRPr="001428D3" w:rsidR="000023AF">
        <w:t xml:space="preserve">had </w:t>
      </w:r>
      <w:r w:rsidRPr="001428D3">
        <w:t xml:space="preserve">taken place against them either. </w:t>
      </w:r>
      <w:r w:rsidRPr="001428D3" w:rsidR="00E925FB">
        <w:t>In the</w:t>
      </w:r>
      <w:r w:rsidRPr="001428D3" w:rsidR="008B59FC">
        <w:t xml:space="preserve">ir oral </w:t>
      </w:r>
      <w:r w:rsidRPr="001428D3" w:rsidR="00F245C4">
        <w:t xml:space="preserve">submissions </w:t>
      </w:r>
      <w:r w:rsidRPr="001428D3" w:rsidR="008B59FC">
        <w:t>the G</w:t>
      </w:r>
      <w:r w:rsidRPr="001428D3" w:rsidR="00E925FB">
        <w:t xml:space="preserve">overnment submitted that Article 6 § 2 </w:t>
      </w:r>
      <w:r w:rsidRPr="001428D3" w:rsidR="00A12825">
        <w:t>was</w:t>
      </w:r>
      <w:r w:rsidRPr="001428D3" w:rsidR="00E925FB">
        <w:t xml:space="preserve"> not applicable.</w:t>
      </w:r>
    </w:p>
    <w:p w:rsidRPr="001428D3" w:rsidR="005521CC" w:rsidP="001428D3" w:rsidRDefault="00A36064">
      <w:pPr>
        <w:pStyle w:val="ECHRPara"/>
        <w:rPr>
          <w:i/>
        </w:rPr>
      </w:pPr>
      <w:r w:rsidRPr="001428D3">
        <w:fldChar w:fldCharType="begin"/>
      </w:r>
      <w:r w:rsidRPr="001428D3">
        <w:instrText xml:space="preserve"> SEQ level0 \*arabic </w:instrText>
      </w:r>
      <w:r w:rsidRPr="001428D3">
        <w:fldChar w:fldCharType="separate"/>
      </w:r>
      <w:r w:rsidRPr="001428D3" w:rsidR="001428D3">
        <w:rPr>
          <w:noProof/>
        </w:rPr>
        <w:t>178</w:t>
      </w:r>
      <w:r w:rsidRPr="001428D3">
        <w:fldChar w:fldCharType="end"/>
      </w:r>
      <w:r w:rsidRPr="001428D3">
        <w:t>.  </w:t>
      </w:r>
      <w:r w:rsidRPr="001428D3" w:rsidR="00BD034B">
        <w:t>The Court reiterates that Article 6 § 2</w:t>
      </w:r>
      <w:r w:rsidRPr="001428D3" w:rsidR="00C034B1">
        <w:t xml:space="preserve"> of the Convention applies only when a criminal accusation is pending. </w:t>
      </w:r>
      <w:r w:rsidRPr="001428D3" w:rsidR="00BD034B">
        <w:t xml:space="preserve">Where no such proceedings are, or have been in existence, statements attributing criminal or other reprehensible conduct </w:t>
      </w:r>
      <w:r w:rsidRPr="001428D3" w:rsidR="00981C49">
        <w:t>may, nevertheless, be</w:t>
      </w:r>
      <w:r w:rsidRPr="001428D3" w:rsidR="00BD034B">
        <w:t xml:space="preserve"> relevant to considerations of protection against defamation and adequate access to court to determine civil rights and raising potential issues under Articles 8 and 6 of the Convention (see </w:t>
      </w:r>
      <w:r w:rsidRPr="001428D3" w:rsidR="00BD034B">
        <w:rPr>
          <w:i/>
        </w:rPr>
        <w:t>Zollmann v. the United Kingdom</w:t>
      </w:r>
      <w:r w:rsidRPr="001428D3" w:rsidR="00BD034B">
        <w:t xml:space="preserve"> (dec.), no. 62902/00, </w:t>
      </w:r>
      <w:r w:rsidRPr="001428D3" w:rsidR="009F2E51">
        <w:t>ECHR 2003-XII</w:t>
      </w:r>
      <w:r w:rsidRPr="001428D3" w:rsidR="00BD034B">
        <w:t>).</w:t>
      </w:r>
      <w:r w:rsidRPr="001428D3" w:rsidR="00724655">
        <w:t>  </w:t>
      </w:r>
      <w:r w:rsidRPr="001428D3" w:rsidR="00C034B1">
        <w:t>I</w:t>
      </w:r>
      <w:r w:rsidRPr="001428D3" w:rsidR="00724655">
        <w:t>n the absence of a criminal charge against the applicants</w:t>
      </w:r>
      <w:r w:rsidRPr="001428D3" w:rsidR="00BD034B">
        <w:t xml:space="preserve"> the Court concludes that </w:t>
      </w:r>
      <w:r w:rsidRPr="001428D3" w:rsidR="00724655">
        <w:t xml:space="preserve">Article 6 § 2 of the Convention </w:t>
      </w:r>
      <w:r w:rsidRPr="001428D3" w:rsidR="00226E4F">
        <w:t>is</w:t>
      </w:r>
      <w:r w:rsidRPr="001428D3" w:rsidR="00724655">
        <w:t xml:space="preserve"> </w:t>
      </w:r>
      <w:r w:rsidRPr="001428D3" w:rsidR="008B59FC">
        <w:t xml:space="preserve">not </w:t>
      </w:r>
      <w:r w:rsidRPr="001428D3" w:rsidR="00BD034B">
        <w:t>applicable.</w:t>
      </w:r>
      <w:r w:rsidRPr="001428D3" w:rsidR="00E7524D">
        <w:rPr>
          <w:i/>
        </w:rPr>
        <w:t>  </w:t>
      </w:r>
      <w:r w:rsidRPr="001428D3" w:rsidR="00BD034B">
        <w:t xml:space="preserve">This part of the application is therefore incompatible </w:t>
      </w:r>
      <w:r w:rsidRPr="001428D3" w:rsidR="00BD034B">
        <w:rPr>
          <w:i/>
        </w:rPr>
        <w:t>ratione materiae</w:t>
      </w:r>
      <w:r w:rsidRPr="001428D3" w:rsidR="00BD034B">
        <w:t xml:space="preserve"> with the provisions of the Convention, within the meaning of Article 35 § 3</w:t>
      </w:r>
      <w:r w:rsidRPr="001428D3" w:rsidR="00C034B1">
        <w:t xml:space="preserve">. </w:t>
      </w:r>
      <w:r w:rsidRPr="001428D3" w:rsidR="00EF1561">
        <w:t>Furthermore, the Court notes that</w:t>
      </w:r>
      <w:r w:rsidRPr="001428D3" w:rsidR="00C034B1">
        <w:t xml:space="preserve"> </w:t>
      </w:r>
      <w:r w:rsidRPr="001428D3" w:rsidR="00715D21">
        <w:t xml:space="preserve">the applicants failed to substantiate their allegations in </w:t>
      </w:r>
      <w:r w:rsidRPr="001428D3" w:rsidR="003A46C2">
        <w:t xml:space="preserve">this </w:t>
      </w:r>
      <w:r w:rsidRPr="001428D3" w:rsidR="00715D21">
        <w:t>respect</w:t>
      </w:r>
      <w:r w:rsidRPr="001428D3" w:rsidR="00EF1561">
        <w:t xml:space="preserve">. Therefore, in any event </w:t>
      </w:r>
      <w:r w:rsidRPr="001428D3" w:rsidR="00C034B1">
        <w:t xml:space="preserve">this </w:t>
      </w:r>
      <w:r w:rsidRPr="001428D3" w:rsidR="00611FE3">
        <w:t xml:space="preserve">part of the application is manifestly ill-founded. </w:t>
      </w:r>
      <w:r w:rsidRPr="001428D3" w:rsidR="00EF1561">
        <w:t xml:space="preserve">For all the above reasons, </w:t>
      </w:r>
      <w:r w:rsidRPr="001428D3" w:rsidR="00B1396B">
        <w:t xml:space="preserve">it </w:t>
      </w:r>
      <w:r w:rsidRPr="001428D3" w:rsidR="00A643B1">
        <w:t xml:space="preserve">must be rejected pursuant to </w:t>
      </w:r>
      <w:r w:rsidRPr="001428D3" w:rsidR="00BD034B">
        <w:t>Article 35 § 4</w:t>
      </w:r>
      <w:r w:rsidRPr="001428D3" w:rsidR="00A643B1">
        <w:t xml:space="preserve"> of the Convention</w:t>
      </w:r>
      <w:r w:rsidRPr="001428D3" w:rsidR="00BD034B">
        <w:t>.</w:t>
      </w:r>
    </w:p>
    <w:p w:rsidRPr="001428D3" w:rsidR="00224694" w:rsidP="001428D3" w:rsidRDefault="00224694">
      <w:pPr>
        <w:pStyle w:val="ECHRHeading2"/>
      </w:pPr>
      <w:bookmarkStart w:name="_Toc498016772" w:id="62"/>
      <w:r w:rsidRPr="001428D3">
        <w:t>B.  Complaints under Article 8 of the Convention</w:t>
      </w:r>
      <w:bookmarkEnd w:id="62"/>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179</w:t>
      </w:r>
      <w:r w:rsidRPr="001428D3">
        <w:rPr>
          <w:noProof/>
        </w:rPr>
        <w:fldChar w:fldCharType="end"/>
      </w:r>
      <w:r w:rsidRPr="001428D3" w:rsidR="001D6DC7">
        <w:t xml:space="preserve">.  The applicants also complained of the right to reputation as guaranteed under the head of “private life” by Article 8 of the Convention </w:t>
      </w:r>
      <w:r w:rsidRPr="001428D3" w:rsidR="00277040">
        <w:t>for</w:t>
      </w:r>
      <w:r w:rsidRPr="001428D3" w:rsidR="001D6DC7">
        <w:t xml:space="preserve"> the same reasons as </w:t>
      </w:r>
      <w:r w:rsidRPr="001428D3" w:rsidR="00306111">
        <w:t>given earlier (see</w:t>
      </w:r>
      <w:r w:rsidRPr="001428D3" w:rsidR="001D6DC7">
        <w:t xml:space="preserve"> paragraph </w:t>
      </w:r>
      <w:r w:rsidRPr="001428D3" w:rsidR="00381CF6">
        <w:t>17</w:t>
      </w:r>
      <w:r w:rsidRPr="001428D3" w:rsidR="00EA6D20">
        <w:t>6</w:t>
      </w:r>
      <w:r w:rsidRPr="001428D3" w:rsidR="00381CF6">
        <w:t xml:space="preserve"> </w:t>
      </w:r>
      <w:r w:rsidRPr="001428D3" w:rsidR="001D6DC7">
        <w:t>above</w:t>
      </w:r>
      <w:r w:rsidRPr="001428D3" w:rsidR="00306111">
        <w:t>)</w:t>
      </w:r>
      <w:r w:rsidRPr="001428D3" w:rsidR="001D6DC7">
        <w:t>.</w:t>
      </w:r>
    </w:p>
    <w:p w:rsidRPr="001428D3" w:rsidR="005521CC" w:rsidP="001428D3" w:rsidRDefault="001D6DC7">
      <w:pPr>
        <w:pStyle w:val="ECHRPara"/>
      </w:pPr>
      <w:r w:rsidRPr="001428D3">
        <w:fldChar w:fldCharType="begin"/>
      </w:r>
      <w:r w:rsidRPr="001428D3">
        <w:instrText xml:space="preserve"> SEQ level0 \*arabic </w:instrText>
      </w:r>
      <w:r w:rsidRPr="001428D3">
        <w:fldChar w:fldCharType="separate"/>
      </w:r>
      <w:r w:rsidRPr="001428D3" w:rsidR="001428D3">
        <w:rPr>
          <w:noProof/>
        </w:rPr>
        <w:t>180</w:t>
      </w:r>
      <w:r w:rsidRPr="001428D3">
        <w:fldChar w:fldCharType="end"/>
      </w:r>
      <w:r w:rsidRPr="001428D3">
        <w:t>.  </w:t>
      </w:r>
      <w:r w:rsidRPr="001428D3" w:rsidR="00277040">
        <w:t>T</w:t>
      </w:r>
      <w:r w:rsidRPr="001428D3">
        <w:t xml:space="preserve">he Government </w:t>
      </w:r>
      <w:r w:rsidRPr="001428D3" w:rsidR="00277040">
        <w:t>submitted</w:t>
      </w:r>
      <w:r w:rsidRPr="001428D3">
        <w:t xml:space="preserve"> the same </w:t>
      </w:r>
      <w:r w:rsidRPr="001428D3" w:rsidR="00277040">
        <w:t>arguments</w:t>
      </w:r>
      <w:r w:rsidRPr="001428D3">
        <w:t xml:space="preserve"> as those made under Article 6 § 2 of the Convention.</w:t>
      </w:r>
    </w:p>
    <w:p w:rsidRPr="001428D3" w:rsidR="00226E4F"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181</w:t>
      </w:r>
      <w:r w:rsidRPr="001428D3">
        <w:rPr>
          <w:noProof/>
        </w:rPr>
        <w:fldChar w:fldCharType="end"/>
      </w:r>
      <w:r w:rsidRPr="001428D3" w:rsidR="001D6DC7">
        <w:t>.  T</w:t>
      </w:r>
      <w:r w:rsidRPr="001428D3" w:rsidR="007F76B8">
        <w:t xml:space="preserve">he Court notes that there is no documentary evidence in the case file that </w:t>
      </w:r>
      <w:r w:rsidRPr="001428D3" w:rsidR="00166119">
        <w:t xml:space="preserve">any statement made by public officials cast </w:t>
      </w:r>
      <w:r w:rsidRPr="001428D3" w:rsidR="007F76B8">
        <w:t>doubt</w:t>
      </w:r>
      <w:r w:rsidRPr="001428D3" w:rsidR="00A92E40">
        <w:t>s</w:t>
      </w:r>
      <w:r w:rsidRPr="001428D3" w:rsidR="007F76B8">
        <w:t xml:space="preserve"> </w:t>
      </w:r>
      <w:r w:rsidRPr="001428D3" w:rsidR="00166119">
        <w:t>on</w:t>
      </w:r>
      <w:r w:rsidRPr="001428D3" w:rsidR="00A92E40">
        <w:t xml:space="preserve"> the applicants</w:t>
      </w:r>
      <w:r w:rsidRPr="001428D3" w:rsidR="001428D3">
        <w:t>’</w:t>
      </w:r>
      <w:r w:rsidRPr="001428D3" w:rsidR="00A92E40">
        <w:t xml:space="preserve"> innocence, or </w:t>
      </w:r>
      <w:r w:rsidRPr="001428D3" w:rsidR="007F76B8">
        <w:t xml:space="preserve">that </w:t>
      </w:r>
      <w:r w:rsidRPr="001428D3" w:rsidR="00A26656">
        <w:t xml:space="preserve">declarations of </w:t>
      </w:r>
      <w:r w:rsidRPr="001428D3" w:rsidR="007F76B8">
        <w:t>members</w:t>
      </w:r>
      <w:r w:rsidRPr="001428D3" w:rsidR="00306111">
        <w:t xml:space="preserve"> of the Government</w:t>
      </w:r>
      <w:r w:rsidRPr="001428D3" w:rsidR="007F76B8">
        <w:t xml:space="preserve"> or </w:t>
      </w:r>
      <w:r w:rsidRPr="001428D3" w:rsidR="00A26656">
        <w:t xml:space="preserve">statements of </w:t>
      </w:r>
      <w:r w:rsidRPr="001428D3" w:rsidR="007F76B8">
        <w:t xml:space="preserve">other high-ranking officials, the institution of criminal proceedings against police officers </w:t>
      </w:r>
      <w:r w:rsidRPr="001428D3" w:rsidR="00306111">
        <w:t>for</w:t>
      </w:r>
      <w:r w:rsidRPr="001428D3" w:rsidR="007F76B8">
        <w:t xml:space="preserve"> abuse </w:t>
      </w:r>
      <w:r w:rsidRPr="001428D3" w:rsidR="00306111">
        <w:t xml:space="preserve">of </w:t>
      </w:r>
      <w:r w:rsidRPr="001428D3" w:rsidR="007F76B8">
        <w:t>power, or the cordoning off the building with yellow police tape, were directed against the applicants</w:t>
      </w:r>
      <w:r w:rsidRPr="001428D3" w:rsidR="001428D3">
        <w:t>’</w:t>
      </w:r>
      <w:r w:rsidRPr="001428D3" w:rsidR="007F76B8">
        <w:t xml:space="preserve"> reputation (see paragraphs 1</w:t>
      </w:r>
      <w:r w:rsidRPr="001428D3" w:rsidR="00A9431F">
        <w:t>3</w:t>
      </w:r>
      <w:r w:rsidRPr="001428D3" w:rsidR="007F76B8">
        <w:t>-1</w:t>
      </w:r>
      <w:r w:rsidRPr="001428D3" w:rsidR="00A9431F">
        <w:t>4</w:t>
      </w:r>
      <w:r w:rsidRPr="001428D3" w:rsidR="007F76B8">
        <w:t xml:space="preserve"> and 4</w:t>
      </w:r>
      <w:r w:rsidRPr="001428D3" w:rsidR="00A9431F">
        <w:t>4</w:t>
      </w:r>
      <w:r w:rsidRPr="001428D3" w:rsidR="007F76B8">
        <w:t>-47 above). Therefore</w:t>
      </w:r>
      <w:r w:rsidRPr="001428D3" w:rsidR="00731174">
        <w:t xml:space="preserve">, in the light of all the material in its possession, and in so far as the matters complained of are within its competence, the Court finds that </w:t>
      </w:r>
      <w:r w:rsidRPr="001428D3" w:rsidR="007F76B8">
        <w:t>they</w:t>
      </w:r>
      <w:r w:rsidRPr="001428D3" w:rsidR="00731174">
        <w:t xml:space="preserve"> do not disclose any appearance of a violation of the rights and freedoms set out in the Convention or its Protocols</w:t>
      </w:r>
      <w:r w:rsidRPr="001428D3" w:rsidR="0012026E">
        <w:t xml:space="preserve">. </w:t>
      </w:r>
      <w:r w:rsidRPr="001428D3" w:rsidR="00731174">
        <w:t>It follows that this part of the application is manifestly ill-founded and must be rejected in accordance with Article 35 §§ 3 (a) and 4 of the Convention.</w:t>
      </w:r>
    </w:p>
    <w:p w:rsidRPr="001428D3" w:rsidR="00FF12CF" w:rsidP="001428D3" w:rsidRDefault="00677942">
      <w:pPr>
        <w:pStyle w:val="ECHRHeading2"/>
      </w:pPr>
      <w:bookmarkStart w:name="_Toc498016773" w:id="63"/>
      <w:r w:rsidRPr="001428D3">
        <w:t>C</w:t>
      </w:r>
      <w:r w:rsidRPr="001428D3" w:rsidR="00FF12CF">
        <w:t>.  </w:t>
      </w:r>
      <w:r w:rsidRPr="001428D3" w:rsidR="00987378">
        <w:t>Alleged violation of Article 14 read in conjunc</w:t>
      </w:r>
      <w:r w:rsidRPr="001428D3" w:rsidR="005B2DBE">
        <w:t>tion with Article 6 § </w:t>
      </w:r>
      <w:r w:rsidRPr="001428D3" w:rsidR="00987378">
        <w:t>1 and</w:t>
      </w:r>
      <w:r w:rsidRPr="001428D3" w:rsidR="00883899">
        <w:t xml:space="preserve"> Article</w:t>
      </w:r>
      <w:r w:rsidRPr="001428D3" w:rsidR="00987378">
        <w:t xml:space="preserve"> 8 of the Convention as well as Article 1 of Protocol No. 1 to the Convention</w:t>
      </w:r>
      <w:bookmarkEnd w:id="63"/>
    </w:p>
    <w:p w:rsidRPr="001428D3" w:rsidR="005521CC" w:rsidP="001428D3" w:rsidRDefault="00FF12CF">
      <w:pPr>
        <w:pStyle w:val="ECHRPara"/>
      </w:pPr>
      <w:r w:rsidRPr="001428D3">
        <w:fldChar w:fldCharType="begin"/>
      </w:r>
      <w:r w:rsidRPr="001428D3">
        <w:instrText xml:space="preserve"> SEQ level0 \*arabic </w:instrText>
      </w:r>
      <w:r w:rsidRPr="001428D3">
        <w:fldChar w:fldCharType="separate"/>
      </w:r>
      <w:r w:rsidRPr="001428D3" w:rsidR="001428D3">
        <w:rPr>
          <w:noProof/>
        </w:rPr>
        <w:t>182</w:t>
      </w:r>
      <w:r w:rsidRPr="001428D3">
        <w:fldChar w:fldCharType="end"/>
      </w:r>
      <w:r w:rsidRPr="001428D3">
        <w:t xml:space="preserve">.  The applicants submitted that they had been discriminated against because the Jon Residence </w:t>
      </w:r>
      <w:r w:rsidRPr="001428D3" w:rsidR="004A02C0">
        <w:t xml:space="preserve">had been </w:t>
      </w:r>
      <w:r w:rsidRPr="001428D3">
        <w:t>the only legally constructed building that the authorities had demolished</w:t>
      </w:r>
      <w:r w:rsidRPr="001428D3" w:rsidR="004A02C0">
        <w:t xml:space="preserve">, </w:t>
      </w:r>
      <w:r w:rsidRPr="001428D3">
        <w:t xml:space="preserve">whereas all the other buildings situated </w:t>
      </w:r>
      <w:r w:rsidRPr="001428D3" w:rsidR="004A02C0">
        <w:t xml:space="preserve">on </w:t>
      </w:r>
      <w:r w:rsidRPr="001428D3">
        <w:t>the Lungomare promenade had been illegally constructed.</w:t>
      </w:r>
    </w:p>
    <w:p w:rsidRPr="001428D3" w:rsidR="00E455F8" w:rsidP="001428D3" w:rsidRDefault="00E455F8">
      <w:pPr>
        <w:pStyle w:val="ECHRPara"/>
      </w:pPr>
      <w:r w:rsidRPr="001428D3">
        <w:t>Article 14 of the Convention, reads as follows:</w:t>
      </w:r>
    </w:p>
    <w:p w:rsidRPr="001428D3" w:rsidR="00FF12CF" w:rsidP="001428D3" w:rsidRDefault="00EC084A">
      <w:pPr>
        <w:pStyle w:val="ECHRParaQuote"/>
      </w:pPr>
      <w:r w:rsidRPr="001428D3">
        <w:t>“The enjoyment of the rights and freedoms set forth in [the] Convention shall be secured without discrimination on any ground such as sex, race, colour, religion, political or other opinion, national or social origin, association with a minority, property, birth or other status.”</w:t>
      </w:r>
    </w:p>
    <w:p w:rsidRPr="001428D3" w:rsidR="005521CC" w:rsidP="001428D3" w:rsidRDefault="00FF12CF">
      <w:pPr>
        <w:pStyle w:val="ECHRPara"/>
      </w:pPr>
      <w:r w:rsidRPr="001428D3">
        <w:fldChar w:fldCharType="begin"/>
      </w:r>
      <w:r w:rsidRPr="001428D3">
        <w:instrText xml:space="preserve"> SEQ level0 \*arabic </w:instrText>
      </w:r>
      <w:r w:rsidRPr="001428D3">
        <w:fldChar w:fldCharType="separate"/>
      </w:r>
      <w:r w:rsidRPr="001428D3" w:rsidR="001428D3">
        <w:rPr>
          <w:noProof/>
        </w:rPr>
        <w:t>183</w:t>
      </w:r>
      <w:r w:rsidRPr="001428D3">
        <w:fldChar w:fldCharType="end"/>
      </w:r>
      <w:r w:rsidRPr="001428D3">
        <w:t>.  The Government submitted that the applicants had not raised this complaint before the domestic authorities. They further submitted that there had been no violation of Article 14 of the Convention as the procedure followed by the NUCI and MUCI in the present case had been the same as that followed in other cases where the authorities had demolished other buildings.</w:t>
      </w:r>
    </w:p>
    <w:p w:rsidRPr="001428D3" w:rsidR="00FF12CF" w:rsidP="001428D3" w:rsidRDefault="00FF12CF">
      <w:pPr>
        <w:pStyle w:val="ECHRPara"/>
      </w:pPr>
      <w:r w:rsidRPr="001428D3">
        <w:fldChar w:fldCharType="begin"/>
      </w:r>
      <w:r w:rsidRPr="001428D3">
        <w:instrText xml:space="preserve"> SEQ level0 \*arabic </w:instrText>
      </w:r>
      <w:r w:rsidRPr="001428D3">
        <w:fldChar w:fldCharType="separate"/>
      </w:r>
      <w:r w:rsidRPr="001428D3" w:rsidR="001428D3">
        <w:rPr>
          <w:noProof/>
        </w:rPr>
        <w:t>184</w:t>
      </w:r>
      <w:r w:rsidRPr="001428D3">
        <w:fldChar w:fldCharType="end"/>
      </w:r>
      <w:r w:rsidRPr="001428D3">
        <w:t xml:space="preserve">.  The Court notes that the applicants failed to raise this complaint before the domestic courts, even in substance. It </w:t>
      </w:r>
      <w:r w:rsidRPr="001428D3" w:rsidR="00B9785A">
        <w:t xml:space="preserve">therefore </w:t>
      </w:r>
      <w:r w:rsidRPr="001428D3">
        <w:t xml:space="preserve">follows that this part of the application must be rejected in </w:t>
      </w:r>
      <w:r w:rsidRPr="001428D3" w:rsidR="005B2DBE">
        <w:t>accordance with Article 35 §§ 3 </w:t>
      </w:r>
      <w:r w:rsidRPr="001428D3">
        <w:t>(a) and 4 of the Convention.</w:t>
      </w:r>
    </w:p>
    <w:p w:rsidRPr="001428D3" w:rsidR="00014566" w:rsidP="001428D3" w:rsidRDefault="00FB0056">
      <w:pPr>
        <w:pStyle w:val="ECHRHeading1"/>
      </w:pPr>
      <w:bookmarkStart w:name="_Toc498016774" w:id="64"/>
      <w:r w:rsidRPr="001428D3">
        <w:t>V</w:t>
      </w:r>
      <w:r w:rsidRPr="001428D3" w:rsidR="00014566">
        <w:t>.  APPLICATION OF ARTICLE 41 OF THE CONVENTION</w:t>
      </w:r>
      <w:bookmarkEnd w:id="64"/>
    </w:p>
    <w:p w:rsidRPr="001428D3" w:rsidR="00014566"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185</w:t>
      </w:r>
      <w:r w:rsidRPr="001428D3">
        <w:fldChar w:fldCharType="end"/>
      </w:r>
      <w:r w:rsidRPr="001428D3" w:rsidR="00014566">
        <w:t>.  Article 41 of the Convention provides:</w:t>
      </w:r>
    </w:p>
    <w:p w:rsidRPr="001428D3" w:rsidR="00014566" w:rsidP="001428D3" w:rsidRDefault="00014566">
      <w:pPr>
        <w:pStyle w:val="ECHRParaQuote"/>
        <w:keepNext/>
        <w:keepLines/>
      </w:pPr>
      <w:r w:rsidRPr="001428D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428D3" w:rsidR="00014566" w:rsidP="001428D3" w:rsidRDefault="00014566">
      <w:pPr>
        <w:pStyle w:val="ECHRHeading2"/>
      </w:pPr>
      <w:bookmarkStart w:name="_Toc498016775" w:id="65"/>
      <w:r w:rsidRPr="001428D3">
        <w:t>A.  Damage</w:t>
      </w:r>
      <w:bookmarkEnd w:id="65"/>
    </w:p>
    <w:p w:rsidRPr="001428D3" w:rsidR="00051F8A" w:rsidP="001428D3" w:rsidRDefault="00051F8A">
      <w:pPr>
        <w:pStyle w:val="ECHRHeading3"/>
      </w:pPr>
      <w:bookmarkStart w:name="_Toc498016776" w:id="66"/>
      <w:r w:rsidRPr="001428D3">
        <w:t>1.  Pecuniary damage</w:t>
      </w:r>
      <w:bookmarkEnd w:id="66"/>
    </w:p>
    <w:p w:rsidRPr="001428D3" w:rsidR="00B56FC6" w:rsidP="001428D3" w:rsidRDefault="00B56FC6">
      <w:pPr>
        <w:pStyle w:val="ECHRHeading4"/>
      </w:pPr>
      <w:r w:rsidRPr="001428D3">
        <w:t xml:space="preserve">(a)  The </w:t>
      </w:r>
      <w:r w:rsidRPr="001428D3" w:rsidR="00957F05">
        <w:t>parties</w:t>
      </w:r>
      <w:r w:rsidRPr="001428D3" w:rsidR="001428D3">
        <w:t>’</w:t>
      </w:r>
      <w:r w:rsidRPr="001428D3">
        <w:t xml:space="preserve"> submissions</w:t>
      </w:r>
    </w:p>
    <w:p w:rsidRPr="001428D3" w:rsidR="005521CC" w:rsidP="001428D3" w:rsidRDefault="00202E2F">
      <w:pPr>
        <w:pStyle w:val="ECHRPara"/>
      </w:pPr>
      <w:r w:rsidRPr="001428D3">
        <w:fldChar w:fldCharType="begin"/>
      </w:r>
      <w:r w:rsidRPr="001428D3">
        <w:instrText xml:space="preserve"> SEQ level0 \*arabic </w:instrText>
      </w:r>
      <w:r w:rsidRPr="001428D3">
        <w:fldChar w:fldCharType="separate"/>
      </w:r>
      <w:r w:rsidRPr="001428D3" w:rsidR="001428D3">
        <w:rPr>
          <w:noProof/>
        </w:rPr>
        <w:t>186</w:t>
      </w:r>
      <w:r w:rsidRPr="001428D3">
        <w:fldChar w:fldCharType="end"/>
      </w:r>
      <w:r w:rsidRPr="001428D3">
        <w:t xml:space="preserve">.  The applicants </w:t>
      </w:r>
      <w:r w:rsidRPr="001428D3" w:rsidR="00AD439F">
        <w:t xml:space="preserve">initially </w:t>
      </w:r>
      <w:r w:rsidRPr="001428D3">
        <w:t>claim</w:t>
      </w:r>
      <w:r w:rsidRPr="001428D3" w:rsidR="00AD439F">
        <w:t>ed</w:t>
      </w:r>
      <w:r w:rsidRPr="001428D3">
        <w:t xml:space="preserve"> the following amounts in respect of pecuniary damage:</w:t>
      </w:r>
    </w:p>
    <w:p w:rsidRPr="001428D3" w:rsidR="005521CC" w:rsidP="001428D3" w:rsidRDefault="00202E2F">
      <w:pPr>
        <w:pStyle w:val="ECHRPara"/>
      </w:pPr>
      <w:r w:rsidRPr="001428D3">
        <w:t>(i)  EUR 14,222,986.00</w:t>
      </w:r>
      <w:r w:rsidRPr="001428D3" w:rsidR="003D4034">
        <w:t>,</w:t>
      </w:r>
      <w:r w:rsidRPr="001428D3">
        <w:t xml:space="preserve"> on the basis of an expert report</w:t>
      </w:r>
      <w:r w:rsidRPr="001428D3" w:rsidR="003D4034">
        <w:t>,</w:t>
      </w:r>
      <w:r w:rsidRPr="001428D3">
        <w:t xml:space="preserve"> to be divided among the applicants proportionally</w:t>
      </w:r>
      <w:r w:rsidRPr="001428D3" w:rsidR="00031767">
        <w:t xml:space="preserve"> according to</w:t>
      </w:r>
      <w:r w:rsidRPr="001428D3">
        <w:t xml:space="preserve"> the surface </w:t>
      </w:r>
      <w:r w:rsidRPr="001428D3" w:rsidR="003D4034">
        <w:t xml:space="preserve">area </w:t>
      </w:r>
      <w:r w:rsidRPr="001428D3">
        <w:t xml:space="preserve">of </w:t>
      </w:r>
      <w:r w:rsidRPr="001428D3" w:rsidR="003D4034">
        <w:t xml:space="preserve">their properties in </w:t>
      </w:r>
      <w:r w:rsidRPr="001428D3">
        <w:t>the J</w:t>
      </w:r>
      <w:r w:rsidRPr="001428D3" w:rsidR="006E20CE">
        <w:t>on Residence</w:t>
      </w:r>
      <w:r w:rsidRPr="001428D3">
        <w:t>;</w:t>
      </w:r>
    </w:p>
    <w:p w:rsidRPr="001428D3" w:rsidR="005521CC" w:rsidP="001428D3" w:rsidRDefault="00202E2F">
      <w:pPr>
        <w:pStyle w:val="ECHRPara"/>
      </w:pPr>
      <w:r w:rsidRPr="001428D3">
        <w:t xml:space="preserve">(ii)  EUR 20,000.00 </w:t>
      </w:r>
      <w:r w:rsidRPr="001428D3" w:rsidR="008C49C9">
        <w:t xml:space="preserve">on an equitable basis </w:t>
      </w:r>
      <w:r w:rsidRPr="001428D3">
        <w:t>to each applicant as an additional amount for loss of opportunities resulting from the unlawful seizure, expropriation</w:t>
      </w:r>
      <w:r w:rsidRPr="001428D3" w:rsidR="008C49C9">
        <w:t xml:space="preserve"> and demolition of the building.</w:t>
      </w:r>
    </w:p>
    <w:p w:rsidRPr="001428D3" w:rsidR="005521CC" w:rsidP="001428D3" w:rsidRDefault="00202E2F">
      <w:pPr>
        <w:pStyle w:val="ECHRPara"/>
      </w:pPr>
      <w:r w:rsidRPr="001428D3">
        <w:t xml:space="preserve">(iii)  EUR 15,000.00 </w:t>
      </w:r>
      <w:r w:rsidRPr="001428D3" w:rsidR="008C49C9">
        <w:t xml:space="preserve">on an equitable basis </w:t>
      </w:r>
      <w:r w:rsidRPr="001428D3">
        <w:t xml:space="preserve">to </w:t>
      </w:r>
      <w:r w:rsidRPr="001428D3" w:rsidR="003E433F">
        <w:t xml:space="preserve">applicants </w:t>
      </w:r>
      <w:r w:rsidRPr="001428D3" w:rsidR="005C690A">
        <w:t xml:space="preserve">nos. 3-19 as </w:t>
      </w:r>
      <w:r w:rsidRPr="001428D3" w:rsidR="00D46C28">
        <w:t>listed</w:t>
      </w:r>
      <w:r w:rsidRPr="001428D3" w:rsidR="005C690A">
        <w:t xml:space="preserve"> in the appendix</w:t>
      </w:r>
      <w:r w:rsidRPr="001428D3" w:rsidR="008C49C9">
        <w:t>,</w:t>
      </w:r>
      <w:r w:rsidRPr="001428D3" w:rsidR="003E433F">
        <w:t xml:space="preserve"> </w:t>
      </w:r>
      <w:r w:rsidRPr="001428D3">
        <w:t xml:space="preserve">for the loss of their belongings, valuables, furniture and </w:t>
      </w:r>
      <w:r w:rsidRPr="001428D3" w:rsidR="00B43263">
        <w:t>household items</w:t>
      </w:r>
      <w:r w:rsidRPr="001428D3">
        <w:t xml:space="preserve"> as a result of</w:t>
      </w:r>
      <w:r w:rsidRPr="001428D3" w:rsidR="008C49C9">
        <w:t xml:space="preserve"> the demolition of the building.</w:t>
      </w:r>
      <w:r w:rsidRPr="001428D3">
        <w:t xml:space="preserve"> </w:t>
      </w:r>
      <w:r w:rsidRPr="001428D3" w:rsidR="005C690A">
        <w:t xml:space="preserve">The first applicant also claimed EUR 15,000.00 on an equitable basis for the loss of equipment and furniture </w:t>
      </w:r>
      <w:r w:rsidRPr="001428D3" w:rsidR="00332F8D">
        <w:t xml:space="preserve">owned </w:t>
      </w:r>
      <w:r w:rsidRPr="001428D3" w:rsidR="005C690A">
        <w:t xml:space="preserve">in his Bar-Restorant. </w:t>
      </w:r>
      <w:r w:rsidRPr="001428D3" w:rsidR="008C49C9">
        <w:t xml:space="preserve">They submitted that since the building </w:t>
      </w:r>
      <w:r w:rsidRPr="001428D3" w:rsidR="003D4034">
        <w:t xml:space="preserve">had been </w:t>
      </w:r>
      <w:r w:rsidRPr="001428D3" w:rsidR="008C49C9">
        <w:t xml:space="preserve">demolished it was impossible for them to precisely quantify the amount of damages or to provide accurate evidence of the movable properties that </w:t>
      </w:r>
      <w:r w:rsidRPr="001428D3" w:rsidR="003D4034">
        <w:t xml:space="preserve">had been </w:t>
      </w:r>
      <w:r w:rsidRPr="001428D3" w:rsidR="008C49C9">
        <w:t>destroyed.</w:t>
      </w:r>
    </w:p>
    <w:p w:rsidRPr="001428D3" w:rsidR="005521CC" w:rsidP="001428D3" w:rsidRDefault="00202E2F">
      <w:pPr>
        <w:pStyle w:val="ECHRPara"/>
      </w:pPr>
      <w:r w:rsidRPr="001428D3">
        <w:t xml:space="preserve">(iv)  An additional amount to </w:t>
      </w:r>
      <w:r w:rsidRPr="001428D3" w:rsidR="008C49C9">
        <w:t xml:space="preserve">the first and second applicants </w:t>
      </w:r>
      <w:r w:rsidRPr="001428D3">
        <w:t xml:space="preserve">in respect of interest accrued on the last instalment of </w:t>
      </w:r>
      <w:r w:rsidRPr="001428D3" w:rsidR="00917931">
        <w:t>a bank</w:t>
      </w:r>
      <w:r w:rsidRPr="001428D3">
        <w:t xml:space="preserve"> loan (taken for the construction of the bui</w:t>
      </w:r>
      <w:r w:rsidRPr="001428D3" w:rsidR="00E77037">
        <w:t xml:space="preserve">lding) at </w:t>
      </w:r>
      <w:r w:rsidRPr="001428D3" w:rsidR="00917931">
        <w:t xml:space="preserve">a rate of </w:t>
      </w:r>
      <w:r w:rsidRPr="001428D3" w:rsidR="00E77037">
        <w:t>7 %</w:t>
      </w:r>
      <w:r w:rsidRPr="001428D3" w:rsidR="00917931">
        <w:t xml:space="preserve">, </w:t>
      </w:r>
      <w:r w:rsidRPr="001428D3" w:rsidR="00E77037">
        <w:t xml:space="preserve">from 27 November </w:t>
      </w:r>
      <w:r w:rsidRPr="001428D3">
        <w:t xml:space="preserve">2013 to the date of the delivery of the judgment by the Court. </w:t>
      </w:r>
      <w:r w:rsidRPr="001428D3" w:rsidR="008C49C9">
        <w:t xml:space="preserve">They submitted that </w:t>
      </w:r>
      <w:r w:rsidRPr="001428D3" w:rsidR="009B403D">
        <w:t xml:space="preserve">the applicants </w:t>
      </w:r>
      <w:r w:rsidRPr="001428D3" w:rsidR="00917931">
        <w:t xml:space="preserve">had taken </w:t>
      </w:r>
      <w:r w:rsidRPr="001428D3" w:rsidR="009B403D">
        <w:t>a mortgage of ALL 397,920,600.00 (approximately EUR 3 million) and had already paid</w:t>
      </w:r>
      <w:r w:rsidRPr="001428D3" w:rsidR="00917931">
        <w:t xml:space="preserve"> back</w:t>
      </w:r>
      <w:r w:rsidRPr="001428D3" w:rsidR="009B403D">
        <w:t xml:space="preserve"> </w:t>
      </w:r>
      <w:r w:rsidRPr="001428D3" w:rsidR="00917931">
        <w:t>two thirds</w:t>
      </w:r>
      <w:r w:rsidRPr="001428D3" w:rsidR="009B403D">
        <w:t xml:space="preserve"> before the demolition of the building. </w:t>
      </w:r>
      <w:r w:rsidRPr="001428D3" w:rsidR="00917931">
        <w:t>The applicants still owe the</w:t>
      </w:r>
      <w:r w:rsidRPr="001428D3" w:rsidR="009B403D">
        <w:t xml:space="preserve"> </w:t>
      </w:r>
      <w:r w:rsidRPr="001428D3" w:rsidR="00917931">
        <w:t>final instalment</w:t>
      </w:r>
      <w:r w:rsidRPr="001428D3" w:rsidR="009B403D">
        <w:t xml:space="preserve"> of EUR</w:t>
      </w:r>
      <w:r w:rsidRPr="001428D3" w:rsidR="009B0EA9">
        <w:t> </w:t>
      </w:r>
      <w:r w:rsidRPr="001428D3" w:rsidR="009B403D">
        <w:t>903,350.000 to Banka Credins. Following the demolition of the Jon Residence</w:t>
      </w:r>
      <w:r w:rsidRPr="001428D3" w:rsidR="00917931">
        <w:t>,</w:t>
      </w:r>
      <w:r w:rsidRPr="001428D3" w:rsidR="009B403D">
        <w:t xml:space="preserve"> the applicants have been </w:t>
      </w:r>
      <w:r w:rsidRPr="001428D3" w:rsidR="00917931">
        <w:t>un</w:t>
      </w:r>
      <w:r w:rsidRPr="001428D3" w:rsidR="009B403D">
        <w:t xml:space="preserve">able to pay off the remaining </w:t>
      </w:r>
      <w:r w:rsidRPr="001428D3" w:rsidR="00917931">
        <w:t>instalment</w:t>
      </w:r>
      <w:r w:rsidRPr="001428D3" w:rsidR="009B403D">
        <w:t xml:space="preserve"> and considerable interest </w:t>
      </w:r>
      <w:r w:rsidRPr="001428D3" w:rsidR="00917931">
        <w:t xml:space="preserve">has </w:t>
      </w:r>
      <w:r w:rsidRPr="001428D3" w:rsidR="009B403D">
        <w:t>started to accrue at an annual LIBOR interest rate of 7 %.</w:t>
      </w:r>
    </w:p>
    <w:p w:rsidRPr="001428D3" w:rsidR="008E0CF1" w:rsidP="001428D3" w:rsidRDefault="00C35B88">
      <w:pPr>
        <w:pStyle w:val="ECHRPara"/>
        <w:rPr>
          <w:i/>
        </w:rPr>
      </w:pPr>
      <w:r w:rsidRPr="001428D3">
        <w:fldChar w:fldCharType="begin"/>
      </w:r>
      <w:r w:rsidRPr="001428D3">
        <w:instrText xml:space="preserve"> SEQ level0 \*arabic </w:instrText>
      </w:r>
      <w:r w:rsidRPr="001428D3">
        <w:fldChar w:fldCharType="separate"/>
      </w:r>
      <w:r w:rsidRPr="001428D3" w:rsidR="001428D3">
        <w:rPr>
          <w:noProof/>
        </w:rPr>
        <w:t>187</w:t>
      </w:r>
      <w:r w:rsidRPr="001428D3">
        <w:rPr>
          <w:noProof/>
        </w:rPr>
        <w:fldChar w:fldCharType="end"/>
      </w:r>
      <w:r w:rsidRPr="001428D3" w:rsidR="006158E9">
        <w:t>.  The Government contended that as long as the applicants</w:t>
      </w:r>
      <w:r w:rsidRPr="001428D3" w:rsidR="001428D3">
        <w:t>’</w:t>
      </w:r>
      <w:r w:rsidRPr="001428D3" w:rsidR="006158E9">
        <w:t xml:space="preserve"> claims for </w:t>
      </w:r>
      <w:r w:rsidRPr="001428D3" w:rsidR="00917931">
        <w:t xml:space="preserve">compensation in respect of </w:t>
      </w:r>
      <w:r w:rsidRPr="001428D3" w:rsidR="006158E9">
        <w:t xml:space="preserve">pecuniary damage were </w:t>
      </w:r>
      <w:r w:rsidRPr="001428D3" w:rsidR="00917931">
        <w:t xml:space="preserve">the subject </w:t>
      </w:r>
      <w:r w:rsidRPr="001428D3" w:rsidR="006158E9">
        <w:t>of judicial proceeding</w:t>
      </w:r>
      <w:r w:rsidRPr="001428D3" w:rsidR="00917931">
        <w:t>s</w:t>
      </w:r>
      <w:r w:rsidRPr="001428D3" w:rsidR="006158E9">
        <w:t xml:space="preserve"> pending at domestic level and partially </w:t>
      </w:r>
      <w:r w:rsidRPr="001428D3" w:rsidR="00917931">
        <w:t xml:space="preserve">had </w:t>
      </w:r>
      <w:r w:rsidRPr="001428D3" w:rsidR="006158E9">
        <w:t xml:space="preserve">not been raised in </w:t>
      </w:r>
      <w:r w:rsidRPr="001428D3" w:rsidR="00917931">
        <w:t>the domestic courts</w:t>
      </w:r>
      <w:r w:rsidRPr="001428D3" w:rsidR="006158E9">
        <w:t xml:space="preserve">, they should be rejected as an abuse of the right </w:t>
      </w:r>
      <w:r w:rsidRPr="001428D3" w:rsidR="00917931">
        <w:t>of application</w:t>
      </w:r>
      <w:r w:rsidRPr="001428D3" w:rsidR="006158E9">
        <w:t>. Therefore, the applicants</w:t>
      </w:r>
      <w:r w:rsidRPr="001428D3" w:rsidR="001428D3">
        <w:t>’</w:t>
      </w:r>
      <w:r w:rsidRPr="001428D3" w:rsidR="006158E9">
        <w:t xml:space="preserve"> claims under Article 41 of the Convention were premature. The applicants could not be compensated t</w:t>
      </w:r>
      <w:r w:rsidRPr="001428D3" w:rsidR="00E77037">
        <w:t>wice</w:t>
      </w:r>
      <w:r w:rsidRPr="001428D3" w:rsidR="006158E9">
        <w:t xml:space="preserve">. The amounts </w:t>
      </w:r>
      <w:r w:rsidRPr="001428D3" w:rsidR="00917931">
        <w:t>were</w:t>
      </w:r>
      <w:r w:rsidRPr="001428D3" w:rsidR="006158E9">
        <w:t xml:space="preserve"> exaggerated, speculative, and unsubstantiated. The applicants had also failed to </w:t>
      </w:r>
      <w:r w:rsidRPr="001428D3" w:rsidR="00917931">
        <w:t xml:space="preserve">lodge </w:t>
      </w:r>
      <w:r w:rsidRPr="001428D3" w:rsidR="006158E9">
        <w:t xml:space="preserve">a claim </w:t>
      </w:r>
      <w:r w:rsidRPr="001428D3" w:rsidR="00917931">
        <w:t>with t</w:t>
      </w:r>
      <w:r w:rsidRPr="001428D3" w:rsidR="006158E9">
        <w:t xml:space="preserve">he domestic courts for pecuniary damage </w:t>
      </w:r>
      <w:r w:rsidRPr="001428D3" w:rsidR="00917931">
        <w:t>for</w:t>
      </w:r>
      <w:r w:rsidRPr="001428D3" w:rsidR="006158E9">
        <w:t xml:space="preserve"> loss of profit, the interest of </w:t>
      </w:r>
      <w:r w:rsidRPr="001428D3" w:rsidR="00687E54">
        <w:t xml:space="preserve">the </w:t>
      </w:r>
      <w:r w:rsidRPr="001428D3" w:rsidR="006158E9">
        <w:t xml:space="preserve">loan taken </w:t>
      </w:r>
      <w:r w:rsidRPr="001428D3" w:rsidR="00687E54">
        <w:t xml:space="preserve">with the </w:t>
      </w:r>
      <w:r w:rsidRPr="001428D3" w:rsidR="006158E9">
        <w:t xml:space="preserve">bank and the alleged damage </w:t>
      </w:r>
      <w:r w:rsidRPr="001428D3" w:rsidR="00687E54">
        <w:t xml:space="preserve">for </w:t>
      </w:r>
      <w:r w:rsidRPr="001428D3" w:rsidR="006158E9">
        <w:t xml:space="preserve">the loss of movable </w:t>
      </w:r>
      <w:r w:rsidRPr="001428D3" w:rsidR="00687E54">
        <w:t xml:space="preserve">assets </w:t>
      </w:r>
      <w:r w:rsidRPr="001428D3" w:rsidR="006158E9">
        <w:t xml:space="preserve">and buildings. The applicants had further failed to itemise their claims. Furthermore, no compensation </w:t>
      </w:r>
      <w:r w:rsidRPr="001428D3" w:rsidR="00687E54">
        <w:t xml:space="preserve">had to date </w:t>
      </w:r>
      <w:r w:rsidRPr="001428D3" w:rsidR="006158E9">
        <w:t>been paid to the applicants on the ground</w:t>
      </w:r>
      <w:r w:rsidRPr="001428D3" w:rsidR="00687E54">
        <w:t>s</w:t>
      </w:r>
      <w:r w:rsidRPr="001428D3" w:rsidR="006158E9">
        <w:t xml:space="preserve"> that the proceedings </w:t>
      </w:r>
      <w:r w:rsidRPr="001428D3" w:rsidR="00687E54">
        <w:t xml:space="preserve">were </w:t>
      </w:r>
      <w:r w:rsidRPr="001428D3" w:rsidR="006158E9">
        <w:t>pending before the Supreme Court</w:t>
      </w:r>
      <w:r w:rsidRPr="001428D3" w:rsidR="00687E54">
        <w:t>,</w:t>
      </w:r>
      <w:r w:rsidRPr="001428D3" w:rsidR="006158E9">
        <w:t xml:space="preserve"> not </w:t>
      </w:r>
      <w:r w:rsidRPr="001428D3" w:rsidR="00687E54">
        <w:t>because</w:t>
      </w:r>
      <w:r w:rsidRPr="001428D3" w:rsidR="00C22B5A">
        <w:t xml:space="preserve"> of</w:t>
      </w:r>
      <w:r w:rsidRPr="001428D3" w:rsidR="006158E9">
        <w:t xml:space="preserve"> the authorities</w:t>
      </w:r>
      <w:r w:rsidRPr="001428D3" w:rsidR="001428D3">
        <w:t>’</w:t>
      </w:r>
      <w:r w:rsidRPr="001428D3" w:rsidR="006158E9">
        <w:t xml:space="preserve"> unwillingness. Their case was different </w:t>
      </w:r>
      <w:r w:rsidRPr="001428D3" w:rsidR="00E77037">
        <w:t>from</w:t>
      </w:r>
      <w:r w:rsidRPr="001428D3" w:rsidR="006158E9">
        <w:t xml:space="preserve"> the case of </w:t>
      </w:r>
      <w:r w:rsidRPr="001428D3" w:rsidR="006158E9">
        <w:rPr>
          <w:i/>
        </w:rPr>
        <w:t>Driza</w:t>
      </w:r>
      <w:r w:rsidRPr="001428D3" w:rsidR="00687E54">
        <w:rPr>
          <w:i/>
        </w:rPr>
        <w:t xml:space="preserve"> </w:t>
      </w:r>
      <w:r w:rsidRPr="001428D3" w:rsidR="00687E54">
        <w:t>(</w:t>
      </w:r>
      <w:r w:rsidRPr="001428D3" w:rsidR="00396D15">
        <w:t>cited above</w:t>
      </w:r>
      <w:r w:rsidRPr="001428D3" w:rsidR="00687E54">
        <w:t>)</w:t>
      </w:r>
      <w:r w:rsidRPr="001428D3" w:rsidR="008E0CF1">
        <w:t>.</w:t>
      </w:r>
    </w:p>
    <w:p w:rsidRPr="001428D3" w:rsidR="00802F23" w:rsidP="001428D3" w:rsidRDefault="00802F23">
      <w:pPr>
        <w:pStyle w:val="ECHRPara"/>
      </w:pPr>
      <w:r w:rsidRPr="001428D3">
        <w:fldChar w:fldCharType="begin"/>
      </w:r>
      <w:r w:rsidRPr="001428D3">
        <w:instrText xml:space="preserve"> SEQ level0 \*arabic </w:instrText>
      </w:r>
      <w:r w:rsidRPr="001428D3">
        <w:fldChar w:fldCharType="separate"/>
      </w:r>
      <w:r w:rsidRPr="001428D3" w:rsidR="001428D3">
        <w:rPr>
          <w:noProof/>
        </w:rPr>
        <w:t>188</w:t>
      </w:r>
      <w:r w:rsidRPr="001428D3">
        <w:fldChar w:fldCharType="end"/>
      </w:r>
      <w:r w:rsidRPr="001428D3">
        <w:t>.  </w:t>
      </w:r>
      <w:r w:rsidRPr="001428D3" w:rsidR="00852F31">
        <w:t>On 3 May 2017</w:t>
      </w:r>
      <w:r w:rsidRPr="001428D3" w:rsidR="00DE2503">
        <w:t xml:space="preserve">, in reply to </w:t>
      </w:r>
      <w:r w:rsidRPr="001428D3" w:rsidR="00721CF7">
        <w:t>the</w:t>
      </w:r>
      <w:r w:rsidRPr="001428D3" w:rsidR="00DE2503">
        <w:t xml:space="preserve"> Court</w:t>
      </w:r>
      <w:r w:rsidRPr="001428D3" w:rsidR="001428D3">
        <w:t>’</w:t>
      </w:r>
      <w:r w:rsidRPr="001428D3" w:rsidR="00DE2503">
        <w:t xml:space="preserve">s letter </w:t>
      </w:r>
      <w:r w:rsidRPr="001428D3" w:rsidR="00981C49">
        <w:t xml:space="preserve">in preparation for the oral hearing, asking </w:t>
      </w:r>
      <w:r w:rsidRPr="001428D3" w:rsidR="00981C49">
        <w:rPr>
          <w:i/>
        </w:rPr>
        <w:t>inter alia</w:t>
      </w:r>
      <w:r w:rsidRPr="001428D3" w:rsidR="00981C49">
        <w:t xml:space="preserve"> for </w:t>
      </w:r>
      <w:r w:rsidRPr="001428D3" w:rsidR="0034676B">
        <w:t xml:space="preserve">any additional documentary material on which </w:t>
      </w:r>
      <w:r w:rsidRPr="001428D3" w:rsidR="00BD0D5C">
        <w:t>they</w:t>
      </w:r>
      <w:r w:rsidRPr="001428D3" w:rsidR="0034676B">
        <w:t xml:space="preserve"> wished to rely </w:t>
      </w:r>
      <w:r w:rsidRPr="001428D3" w:rsidR="00981C49">
        <w:t xml:space="preserve">at </w:t>
      </w:r>
      <w:r w:rsidRPr="001428D3" w:rsidR="0034676B">
        <w:t xml:space="preserve">the hearing </w:t>
      </w:r>
      <w:r w:rsidRPr="001428D3" w:rsidR="00DE2503">
        <w:t>before the Court,</w:t>
      </w:r>
      <w:r w:rsidRPr="001428D3" w:rsidR="00852F31">
        <w:t xml:space="preserve"> the applicants submitted additional claims in respect of pecuniary damage</w:t>
      </w:r>
      <w:r w:rsidRPr="001428D3" w:rsidR="00D4484E">
        <w:t xml:space="preserve">. </w:t>
      </w:r>
      <w:r w:rsidRPr="001428D3">
        <w:t>They submitted an expert report</w:t>
      </w:r>
      <w:r w:rsidRPr="001428D3" w:rsidR="009579F3">
        <w:t>, in which</w:t>
      </w:r>
      <w:r w:rsidRPr="001428D3" w:rsidR="00042ACB">
        <w:t xml:space="preserve"> t</w:t>
      </w:r>
      <w:r w:rsidRPr="001428D3">
        <w:t xml:space="preserve">he </w:t>
      </w:r>
      <w:r w:rsidRPr="001428D3" w:rsidR="00B73F96">
        <w:t>calculation of the pecuniary damage had been based on the market values indicated in their first observations, EUR 1,600</w:t>
      </w:r>
      <w:r w:rsidRPr="001428D3" w:rsidR="00BD0D5C">
        <w:t xml:space="preserve"> per </w:t>
      </w:r>
      <w:r w:rsidRPr="001428D3" w:rsidR="00C06018">
        <w:t>square metre</w:t>
      </w:r>
      <w:r w:rsidRPr="001428D3" w:rsidR="00B73F96">
        <w:t xml:space="preserve"> in respect of</w:t>
      </w:r>
      <w:r w:rsidRPr="001428D3" w:rsidR="00721CF7">
        <w:t xml:space="preserve"> the</w:t>
      </w:r>
      <w:r w:rsidRPr="001428D3" w:rsidR="00B73F96">
        <w:t xml:space="preserve"> residential premises, and EUR</w:t>
      </w:r>
      <w:r w:rsidRPr="001428D3" w:rsidR="00460612">
        <w:t> </w:t>
      </w:r>
      <w:r w:rsidRPr="001428D3" w:rsidR="00B73F96">
        <w:t>2,200 in respect of</w:t>
      </w:r>
      <w:r w:rsidRPr="001428D3" w:rsidR="00721CF7">
        <w:t xml:space="preserve"> the</w:t>
      </w:r>
      <w:r w:rsidRPr="001428D3" w:rsidR="00B73F96">
        <w:t xml:space="preserve"> </w:t>
      </w:r>
      <w:r w:rsidRPr="001428D3" w:rsidR="00166119">
        <w:t xml:space="preserve">business </w:t>
      </w:r>
      <w:r w:rsidRPr="001428D3" w:rsidR="00B73F96">
        <w:t xml:space="preserve">premises. The </w:t>
      </w:r>
      <w:r w:rsidRPr="001428D3">
        <w:t>net value of the expropriated surface</w:t>
      </w:r>
      <w:r w:rsidRPr="001428D3" w:rsidR="00BD0D5C">
        <w:t xml:space="preserve"> area</w:t>
      </w:r>
      <w:r w:rsidRPr="001428D3">
        <w:t xml:space="preserve"> (8,218.15 </w:t>
      </w:r>
      <w:r w:rsidRPr="001428D3" w:rsidR="00C06018">
        <w:t>square metres</w:t>
      </w:r>
      <w:r w:rsidRPr="001428D3">
        <w:t>)</w:t>
      </w:r>
      <w:r w:rsidRPr="001428D3" w:rsidR="00BD0D5C">
        <w:t>,</w:t>
      </w:r>
      <w:r w:rsidRPr="001428D3">
        <w:t xml:space="preserve"> </w:t>
      </w:r>
      <w:r w:rsidRPr="001428D3" w:rsidR="00B73F96">
        <w:t xml:space="preserve">which </w:t>
      </w:r>
      <w:r w:rsidRPr="001428D3">
        <w:t>amounted to EUR</w:t>
      </w:r>
      <w:r w:rsidRPr="001428D3" w:rsidR="00460612">
        <w:t> </w:t>
      </w:r>
      <w:r w:rsidRPr="001428D3">
        <w:t>14,222,986.00</w:t>
      </w:r>
      <w:r w:rsidRPr="001428D3" w:rsidR="00BD0D5C">
        <w:t>,</w:t>
      </w:r>
      <w:r w:rsidRPr="001428D3" w:rsidR="00042ACB">
        <w:t xml:space="preserve"> had been further </w:t>
      </w:r>
      <w:r w:rsidRPr="001428D3">
        <w:t xml:space="preserve">adjusted </w:t>
      </w:r>
      <w:r w:rsidRPr="001428D3" w:rsidR="00BD0D5C">
        <w:t>in line with</w:t>
      </w:r>
      <w:r w:rsidRPr="001428D3">
        <w:t xml:space="preserve"> inflation rates in Albania for the period 27</w:t>
      </w:r>
      <w:r w:rsidRPr="001428D3" w:rsidR="009B0EA9">
        <w:t> </w:t>
      </w:r>
      <w:r w:rsidRPr="001428D3">
        <w:t>November 2013 (the date of the unlawful expropriation) to 31</w:t>
      </w:r>
      <w:r w:rsidRPr="001428D3" w:rsidR="00E40ABC">
        <w:t> </w:t>
      </w:r>
      <w:r w:rsidRPr="001428D3">
        <w:t>March</w:t>
      </w:r>
      <w:r w:rsidRPr="001428D3" w:rsidR="00E40ABC">
        <w:t> </w:t>
      </w:r>
      <w:r w:rsidRPr="001428D3">
        <w:t xml:space="preserve">2017. </w:t>
      </w:r>
      <w:r w:rsidRPr="001428D3" w:rsidR="00042ACB">
        <w:t>Furthermore</w:t>
      </w:r>
      <w:r w:rsidRPr="001428D3">
        <w:t>, statutory interest on the capital progressively adjusted ha</w:t>
      </w:r>
      <w:r w:rsidRPr="001428D3" w:rsidR="00721CF7">
        <w:t>d</w:t>
      </w:r>
      <w:r w:rsidRPr="001428D3">
        <w:t xml:space="preserve"> been added for the period 27</w:t>
      </w:r>
      <w:r w:rsidRPr="001428D3" w:rsidR="00460612">
        <w:t> </w:t>
      </w:r>
      <w:r w:rsidRPr="001428D3">
        <w:t xml:space="preserve">November 2013 (the date of the unlawful expropriation) to 23 May 2017 (the date of the public hearing before the Court). In </w:t>
      </w:r>
      <w:r w:rsidRPr="001428D3" w:rsidR="00BD0D5C">
        <w:t xml:space="preserve">the </w:t>
      </w:r>
      <w:r w:rsidRPr="001428D3">
        <w:t>light of the above</w:t>
      </w:r>
      <w:r w:rsidRPr="001428D3" w:rsidR="006158E9">
        <w:t>,</w:t>
      </w:r>
      <w:r w:rsidRPr="001428D3">
        <w:t xml:space="preserve"> </w:t>
      </w:r>
      <w:r w:rsidRPr="001428D3" w:rsidR="00BD0D5C">
        <w:t xml:space="preserve">each </w:t>
      </w:r>
      <w:r w:rsidRPr="001428D3" w:rsidR="000213F3">
        <w:t>applicant</w:t>
      </w:r>
      <w:r w:rsidRPr="001428D3" w:rsidR="00BD0D5C">
        <w:t xml:space="preserve"> made the following</w:t>
      </w:r>
      <w:r w:rsidRPr="001428D3" w:rsidR="000213F3">
        <w:t xml:space="preserve"> </w:t>
      </w:r>
      <w:r w:rsidRPr="001428D3" w:rsidR="00BD0D5C">
        <w:t xml:space="preserve">claims </w:t>
      </w:r>
      <w:r w:rsidRPr="001428D3" w:rsidR="000213F3">
        <w:t xml:space="preserve">in respect of the </w:t>
      </w:r>
      <w:r w:rsidRPr="001428D3">
        <w:t>pecuniary damage</w:t>
      </w:r>
      <w:r w:rsidRPr="001428D3" w:rsidR="00BD0D5C">
        <w:t xml:space="preserve"> they had</w:t>
      </w:r>
      <w:r w:rsidRPr="001428D3">
        <w:t xml:space="preserve"> suffered as a result of the demolition of the Jon Residence:</w:t>
      </w:r>
    </w:p>
    <w:p w:rsidRPr="001428D3" w:rsidR="00E5115A" w:rsidP="001428D3" w:rsidRDefault="00E5115A">
      <w:pPr>
        <w:pStyle w:val="ECHRPara"/>
      </w:pPr>
    </w:p>
    <w:p w:rsidRPr="001428D3" w:rsidR="00C8349B" w:rsidP="001428D3" w:rsidRDefault="00C8349B">
      <w:pPr>
        <w:ind w:firstLine="284"/>
      </w:pPr>
    </w:p>
    <w:tbl>
      <w:tblPr>
        <w:tblStyle w:val="ECHRListTable1"/>
        <w:tblW w:w="10990" w:type="dxa"/>
        <w:jc w:val="center"/>
        <w:tblLayout w:type="fixed"/>
        <w:tblLook w:val="04A0" w:firstRow="1" w:lastRow="0" w:firstColumn="1" w:lastColumn="0" w:noHBand="0" w:noVBand="1"/>
      </w:tblPr>
      <w:tblGrid>
        <w:gridCol w:w="664"/>
        <w:gridCol w:w="2597"/>
        <w:gridCol w:w="1790"/>
        <w:gridCol w:w="1418"/>
        <w:gridCol w:w="1559"/>
        <w:gridCol w:w="1276"/>
        <w:gridCol w:w="1686"/>
      </w:tblGrid>
      <w:tr w:rsidRPr="001428D3" w:rsidR="000200FA" w:rsidTr="000200FA">
        <w:trPr>
          <w:cnfStyle w:val="100000000000" w:firstRow="1" w:lastRow="0" w:firstColumn="0" w:lastColumn="0" w:oddVBand="0" w:evenVBand="0" w:oddHBand="0" w:evenHBand="0" w:firstRowFirstColumn="0" w:firstRowLastColumn="0" w:lastRowFirstColumn="0" w:lastRowLastColumn="0"/>
          <w:trHeight w:val="1397"/>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No.</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Applicant</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xml:space="preserve">Total Value of Residential, </w:t>
            </w:r>
            <w:r w:rsidRPr="001428D3" w:rsidR="00166119">
              <w:rPr>
                <w:rFonts w:eastAsia="Calibri" w:cstheme="minorHAnsi"/>
                <w:sz w:val="22"/>
              </w:rPr>
              <w:t xml:space="preserve">Business </w:t>
            </w:r>
            <w:r w:rsidRPr="001428D3">
              <w:rPr>
                <w:rFonts w:eastAsia="Calibri" w:cstheme="minorHAnsi"/>
                <w:sz w:val="22"/>
              </w:rPr>
              <w:t>and Common Premises</w:t>
            </w:r>
          </w:p>
          <w:p w:rsidRPr="001428D3" w:rsidR="000200FA" w:rsidP="001428D3" w:rsidRDefault="000200FA">
            <w:pPr>
              <w:jc w:val="left"/>
              <w:rPr>
                <w:rFonts w:eastAsia="Calibri" w:cstheme="minorHAnsi"/>
                <w:sz w:val="22"/>
              </w:rPr>
            </w:pPr>
          </w:p>
          <w:p w:rsidRPr="001428D3" w:rsidR="000200FA" w:rsidP="001428D3" w:rsidRDefault="000200FA">
            <w:pPr>
              <w:jc w:val="left"/>
              <w:rPr>
                <w:rFonts w:eastAsia="Calibri" w:cstheme="minorHAnsi"/>
                <w:sz w:val="22"/>
              </w:rPr>
            </w:pP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Total Inflation value Nov. 2013 March 2017</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Total of St. Interest Nov. 2013-May 2017</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Loan Award of Pecuniary damages</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Grand Total</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1</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2</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3</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5</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6=(2+3+4+5)</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Ballanca Erinda</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€ 164,352.00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€ 9,194.84</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€ 17,859.44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€ 191,406.28</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2</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Basha Arben</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€ 164,352.00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€ 9,194.84</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€ 17,859.44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€ 191,406.28</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3</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Calliku Gerti</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€ 140,384.00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€ 7,853.93</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€ 15,254.93</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€ 163,492.86</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4</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Calliku Valbona</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€ 82,176.00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€ 4,597.42</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€ 8,929.72</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€ 95,703.14</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5</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Deromemaj Abdul</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€ 111,280.00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€ 6,225.67</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€ 12,092.33</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€ 129,598.00</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6</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Durolli Eduard</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€157,056.00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€ 8,786.66</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€ 17,066.61</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€ 182,909.27</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7</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 xml:space="preserve">Hanxhari Ilonka and Mihallaq </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€ 98,048.00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€ 5,485.40</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€ 10,654.46</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€ 114,187.86</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8</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Kacorri Vullnet</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€ 111,280.00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xml:space="preserve">€ 6,225.67 </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€ 12,092.33</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€ 129,598.00</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9</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Kapidani Klima</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€ 172,560.00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€ 9,654.05</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€ 18,751.36</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€ 200,965.41</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10</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Mecaj Mimoza</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€ 126,640.00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€ 7,085.01</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€ 13,761.43</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€ 147,486.44</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11</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Pojani Teri</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€ 76,720.00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€ 4,292.18</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€ 8,336.84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€ 89,349.02</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12</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Rakipaj Pano</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€ 76,720.00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€ 4,292.18</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€ 8,336.84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€ 89,349.02</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13</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Rakipaj Baki</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€ 79,488.00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€ 4,447.04</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€ 8,637.62</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€ 92,572.66</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14</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Schenetti Giuliano</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€ 84,352.00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€ 4,719.16</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€ 9,166.17</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€ 98,237.33</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15</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Sopoti Etnik</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€ 97,584.00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€ 5,459.44</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€ 10,604.04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€ 113,647.48</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16</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Dorina Ylli</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€ 171,792.00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€ 9,611.08</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€ 18,667.91</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€ 200,070.99</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17</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Xhafer Isufi (35 properties)</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€ 5,341.090.00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€ 298,812.80</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€ 580,393.62</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€ 6,220,296.42</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18</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Xhuvi Sharxhi (3 properties)</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€744,932.00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€ 41,675.99</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€ 80,948.60</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€ 867,556.60</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19</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Xhafer Isufi and Xhuvi Sharxhi (as co-owners) (25 properties)</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€ 6,222,180.00</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€ 348,106.29</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€ 676,137.94</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€ 7,246,424.23</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r w:rsidRPr="001428D3">
              <w:rPr>
                <w:rFonts w:eastAsia="Calibri" w:cstheme="minorHAnsi"/>
                <w:sz w:val="22"/>
              </w:rPr>
              <w:t>20</w:t>
            </w: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Loan Award of Pecuniary damages Nov. 2013-May 2017</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xml:space="preserve">€ - </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€ 242,025.08</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rPr>
              <w:t>€ 242,025.08</w:t>
            </w:r>
          </w:p>
        </w:tc>
      </w:tr>
      <w:tr w:rsidRPr="001428D3" w:rsidR="000200FA" w:rsidTr="000200FA">
        <w:trPr>
          <w:jc w:val="center"/>
        </w:trPr>
        <w:tc>
          <w:tcPr>
            <w:tcW w:w="664" w:type="dxa"/>
          </w:tcPr>
          <w:p w:rsidRPr="001428D3" w:rsidR="000200FA" w:rsidP="001428D3" w:rsidRDefault="000200FA">
            <w:pPr>
              <w:jc w:val="left"/>
              <w:rPr>
                <w:rFonts w:eastAsia="Calibri" w:cstheme="minorHAnsi"/>
                <w:sz w:val="22"/>
              </w:rPr>
            </w:pPr>
          </w:p>
        </w:tc>
        <w:tc>
          <w:tcPr>
            <w:tcW w:w="2597" w:type="dxa"/>
          </w:tcPr>
          <w:p w:rsidRPr="001428D3" w:rsidR="000200FA" w:rsidP="001428D3" w:rsidRDefault="000200FA">
            <w:pPr>
              <w:jc w:val="left"/>
              <w:rPr>
                <w:rFonts w:eastAsia="Calibri" w:cstheme="minorHAnsi"/>
                <w:sz w:val="22"/>
              </w:rPr>
            </w:pPr>
            <w:r w:rsidRPr="001428D3">
              <w:rPr>
                <w:rFonts w:eastAsia="Calibri" w:cstheme="minorHAnsi"/>
                <w:sz w:val="22"/>
              </w:rPr>
              <w:t>Total value</w:t>
            </w:r>
          </w:p>
        </w:tc>
        <w:tc>
          <w:tcPr>
            <w:tcW w:w="1790" w:type="dxa"/>
          </w:tcPr>
          <w:p w:rsidRPr="001428D3" w:rsidR="000200FA" w:rsidP="001428D3" w:rsidRDefault="000200FA">
            <w:pPr>
              <w:jc w:val="left"/>
              <w:rPr>
                <w:rFonts w:eastAsia="Calibri" w:cstheme="minorHAnsi"/>
                <w:sz w:val="22"/>
              </w:rPr>
            </w:pPr>
            <w:r w:rsidRPr="001428D3">
              <w:rPr>
                <w:rFonts w:eastAsia="Calibri" w:cstheme="minorHAnsi"/>
                <w:sz w:val="22"/>
              </w:rPr>
              <w:t>€ 14,222,986.00</w:t>
            </w:r>
            <w:r w:rsidRPr="001428D3" w:rsidR="00020384">
              <w:rPr>
                <w:rFonts w:eastAsia="Calibri" w:cstheme="minorHAnsi"/>
                <w:sz w:val="22"/>
              </w:rPr>
              <w:t xml:space="preserve"> </w:t>
            </w:r>
          </w:p>
        </w:tc>
        <w:tc>
          <w:tcPr>
            <w:tcW w:w="1418" w:type="dxa"/>
          </w:tcPr>
          <w:p w:rsidRPr="001428D3" w:rsidR="000200FA" w:rsidP="001428D3" w:rsidRDefault="000200FA">
            <w:pPr>
              <w:jc w:val="left"/>
              <w:rPr>
                <w:rFonts w:eastAsia="Calibri" w:cstheme="minorHAnsi"/>
                <w:sz w:val="22"/>
              </w:rPr>
            </w:pPr>
            <w:r w:rsidRPr="001428D3">
              <w:rPr>
                <w:rFonts w:eastAsia="Calibri" w:cstheme="minorHAnsi"/>
                <w:sz w:val="22"/>
              </w:rPr>
              <w:t>€ 795,719.65</w:t>
            </w:r>
            <w:r w:rsidRPr="001428D3" w:rsidR="00E665A8">
              <w:rPr>
                <w:rFonts w:eastAsia="Calibri" w:cstheme="minorHAnsi"/>
                <w:sz w:val="22"/>
              </w:rPr>
              <w:t xml:space="preserve"> </w:t>
            </w:r>
          </w:p>
        </w:tc>
        <w:tc>
          <w:tcPr>
            <w:tcW w:w="1559" w:type="dxa"/>
          </w:tcPr>
          <w:p w:rsidRPr="001428D3" w:rsidR="000200FA" w:rsidP="001428D3" w:rsidRDefault="000200FA">
            <w:pPr>
              <w:jc w:val="left"/>
              <w:rPr>
                <w:rFonts w:eastAsia="Calibri" w:cstheme="minorHAnsi"/>
                <w:sz w:val="22"/>
              </w:rPr>
            </w:pPr>
            <w:r w:rsidRPr="001428D3">
              <w:rPr>
                <w:rFonts w:eastAsia="Calibri" w:cstheme="minorHAnsi"/>
                <w:sz w:val="22"/>
              </w:rPr>
              <w:t>€ 1,545,551.63</w:t>
            </w:r>
            <w:r w:rsidRPr="001428D3" w:rsidR="00E665A8">
              <w:rPr>
                <w:rFonts w:eastAsia="Calibri" w:cstheme="minorHAnsi"/>
                <w:sz w:val="22"/>
              </w:rPr>
              <w:t xml:space="preserve"> </w:t>
            </w:r>
          </w:p>
        </w:tc>
        <w:tc>
          <w:tcPr>
            <w:tcW w:w="1276" w:type="dxa"/>
          </w:tcPr>
          <w:p w:rsidRPr="001428D3" w:rsidR="000200FA" w:rsidP="001428D3" w:rsidRDefault="000200FA">
            <w:pPr>
              <w:jc w:val="left"/>
              <w:rPr>
                <w:rFonts w:eastAsia="Calibri" w:cstheme="minorHAnsi"/>
                <w:sz w:val="22"/>
              </w:rPr>
            </w:pPr>
            <w:r w:rsidRPr="001428D3">
              <w:rPr>
                <w:rFonts w:eastAsia="Calibri" w:cstheme="minorHAnsi"/>
                <w:sz w:val="22"/>
              </w:rPr>
              <w:t>€ 242,025.08</w:t>
            </w:r>
            <w:r w:rsidRPr="001428D3" w:rsidR="00E665A8">
              <w:rPr>
                <w:rFonts w:eastAsia="Calibri" w:cstheme="minorHAnsi"/>
                <w:sz w:val="22"/>
              </w:rPr>
              <w:t xml:space="preserve"> </w:t>
            </w:r>
          </w:p>
        </w:tc>
        <w:tc>
          <w:tcPr>
            <w:tcW w:w="1686" w:type="dxa"/>
          </w:tcPr>
          <w:p w:rsidRPr="001428D3" w:rsidR="000200FA" w:rsidP="001428D3" w:rsidRDefault="000200FA">
            <w:pPr>
              <w:jc w:val="left"/>
              <w:rPr>
                <w:rFonts w:eastAsia="Calibri" w:cstheme="minorHAnsi"/>
                <w:sz w:val="22"/>
              </w:rPr>
            </w:pPr>
            <w:r w:rsidRPr="001428D3">
              <w:rPr>
                <w:rFonts w:eastAsia="Calibri" w:cstheme="minorHAnsi"/>
                <w:sz w:val="22"/>
                <w:u w:val="single"/>
              </w:rPr>
              <w:t>€ 16,806,282.37</w:t>
            </w:r>
            <w:r w:rsidRPr="001428D3" w:rsidR="00020384">
              <w:rPr>
                <w:rFonts w:eastAsia="Calibri" w:cstheme="minorHAnsi"/>
                <w:sz w:val="22"/>
              </w:rPr>
              <w:t xml:space="preserve"> </w:t>
            </w:r>
          </w:p>
        </w:tc>
      </w:tr>
    </w:tbl>
    <w:p w:rsidRPr="001428D3" w:rsidR="00C8349B" w:rsidP="001428D3" w:rsidRDefault="00C8349B">
      <w:pPr>
        <w:ind w:firstLine="284"/>
      </w:pPr>
    </w:p>
    <w:p w:rsidRPr="001428D3" w:rsidR="005521CC" w:rsidP="001428D3" w:rsidRDefault="004916DC">
      <w:pPr>
        <w:pStyle w:val="ECHRPara"/>
      </w:pPr>
      <w:r w:rsidRPr="001428D3">
        <w:fldChar w:fldCharType="begin"/>
      </w:r>
      <w:r w:rsidRPr="001428D3">
        <w:instrText xml:space="preserve"> SEQ level0 \*arabic </w:instrText>
      </w:r>
      <w:r w:rsidRPr="001428D3">
        <w:fldChar w:fldCharType="separate"/>
      </w:r>
      <w:r w:rsidRPr="001428D3" w:rsidR="001428D3">
        <w:rPr>
          <w:noProof/>
        </w:rPr>
        <w:t>189</w:t>
      </w:r>
      <w:r w:rsidRPr="001428D3">
        <w:fldChar w:fldCharType="end"/>
      </w:r>
      <w:r w:rsidRPr="001428D3">
        <w:t>.  </w:t>
      </w:r>
      <w:r w:rsidRPr="001428D3" w:rsidR="00802F23">
        <w:t xml:space="preserve">The applicants also submitted photographs </w:t>
      </w:r>
      <w:r w:rsidRPr="001428D3" w:rsidR="002D5250">
        <w:t>of</w:t>
      </w:r>
      <w:r w:rsidRPr="001428D3" w:rsidR="00802F23">
        <w:t xml:space="preserve"> </w:t>
      </w:r>
      <w:r w:rsidRPr="001428D3" w:rsidR="0034676B">
        <w:t xml:space="preserve">their furnished </w:t>
      </w:r>
      <w:r w:rsidRPr="001428D3" w:rsidR="00721CF7">
        <w:t xml:space="preserve">flats </w:t>
      </w:r>
      <w:r w:rsidRPr="001428D3" w:rsidR="002D5250">
        <w:t xml:space="preserve">before </w:t>
      </w:r>
      <w:r w:rsidRPr="001428D3" w:rsidR="00F02A5B">
        <w:t xml:space="preserve">they were </w:t>
      </w:r>
      <w:r w:rsidRPr="001428D3" w:rsidR="00802F23">
        <w:t>demolished.</w:t>
      </w:r>
    </w:p>
    <w:p w:rsidRPr="001428D3" w:rsidR="005521CC" w:rsidP="001428D3" w:rsidRDefault="00957F05">
      <w:pPr>
        <w:pStyle w:val="ECHRPara"/>
      </w:pPr>
      <w:r w:rsidRPr="001428D3">
        <w:fldChar w:fldCharType="begin"/>
      </w:r>
      <w:r w:rsidRPr="001428D3">
        <w:instrText xml:space="preserve"> SEQ level0 \*arabic </w:instrText>
      </w:r>
      <w:r w:rsidRPr="001428D3">
        <w:fldChar w:fldCharType="separate"/>
      </w:r>
      <w:r w:rsidRPr="001428D3" w:rsidR="001428D3">
        <w:rPr>
          <w:noProof/>
        </w:rPr>
        <w:t>190</w:t>
      </w:r>
      <w:r w:rsidRPr="001428D3">
        <w:fldChar w:fldCharType="end"/>
      </w:r>
      <w:r w:rsidRPr="001428D3">
        <w:t>.  </w:t>
      </w:r>
      <w:r w:rsidRPr="001428D3" w:rsidR="004916DC">
        <w:t xml:space="preserve">The </w:t>
      </w:r>
      <w:r w:rsidRPr="001428D3" w:rsidR="00590DD8">
        <w:t xml:space="preserve">above </w:t>
      </w:r>
      <w:r w:rsidRPr="001428D3" w:rsidR="004916DC">
        <w:t xml:space="preserve">documents </w:t>
      </w:r>
      <w:r w:rsidRPr="001428D3" w:rsidR="00590DD8">
        <w:t xml:space="preserve">of 3 May 2017 </w:t>
      </w:r>
      <w:r w:rsidRPr="001428D3" w:rsidR="004916DC">
        <w:t>were included in the case file under Rule</w:t>
      </w:r>
      <w:r w:rsidRPr="001428D3" w:rsidR="00EE0041">
        <w:t xml:space="preserve">s 54 and 64 </w:t>
      </w:r>
      <w:r w:rsidRPr="001428D3" w:rsidR="004916DC">
        <w:t xml:space="preserve">of the Rules of the Court and the Government was invited to submit any comments </w:t>
      </w:r>
      <w:r w:rsidRPr="001428D3" w:rsidR="00EE6E0B">
        <w:t xml:space="preserve">on them </w:t>
      </w:r>
      <w:r w:rsidRPr="001428D3" w:rsidR="004916DC">
        <w:t>at the h</w:t>
      </w:r>
      <w:r w:rsidRPr="001428D3" w:rsidR="00EE6E0B">
        <w:t>e</w:t>
      </w:r>
      <w:r w:rsidRPr="001428D3" w:rsidR="004916DC">
        <w:t>aring.</w:t>
      </w:r>
    </w:p>
    <w:p w:rsidRPr="001428D3" w:rsidR="005521CC" w:rsidP="001428D3" w:rsidRDefault="00C529A3">
      <w:pPr>
        <w:pStyle w:val="ECHRPara"/>
      </w:pPr>
      <w:r w:rsidRPr="001428D3">
        <w:fldChar w:fldCharType="begin"/>
      </w:r>
      <w:r w:rsidRPr="001428D3">
        <w:instrText xml:space="preserve"> SEQ level0 \*arabic </w:instrText>
      </w:r>
      <w:r w:rsidRPr="001428D3">
        <w:fldChar w:fldCharType="separate"/>
      </w:r>
      <w:r w:rsidRPr="001428D3" w:rsidR="001428D3">
        <w:rPr>
          <w:noProof/>
        </w:rPr>
        <w:t>191</w:t>
      </w:r>
      <w:r w:rsidRPr="001428D3">
        <w:fldChar w:fldCharType="end"/>
      </w:r>
      <w:r w:rsidRPr="001428D3">
        <w:t xml:space="preserve">.  In their oral </w:t>
      </w:r>
      <w:r w:rsidRPr="001428D3" w:rsidR="00F245C4">
        <w:t xml:space="preserve">submissions </w:t>
      </w:r>
      <w:r w:rsidRPr="001428D3">
        <w:t>the Government submitted that the Article 41 claim was premature.</w:t>
      </w:r>
    </w:p>
    <w:p w:rsidRPr="001428D3" w:rsidR="005521CC" w:rsidP="001428D3" w:rsidRDefault="00145204">
      <w:pPr>
        <w:pStyle w:val="ECHRPara"/>
      </w:pPr>
      <w:r w:rsidRPr="001428D3">
        <w:fldChar w:fldCharType="begin"/>
      </w:r>
      <w:r w:rsidRPr="001428D3">
        <w:instrText xml:space="preserve"> SEQ level0 \*arabic </w:instrText>
      </w:r>
      <w:r w:rsidRPr="001428D3">
        <w:fldChar w:fldCharType="separate"/>
      </w:r>
      <w:r w:rsidRPr="001428D3" w:rsidR="001428D3">
        <w:rPr>
          <w:noProof/>
        </w:rPr>
        <w:t>192</w:t>
      </w:r>
      <w:r w:rsidRPr="001428D3">
        <w:fldChar w:fldCharType="end"/>
      </w:r>
      <w:r w:rsidRPr="001428D3">
        <w:t xml:space="preserve">.  In their oral </w:t>
      </w:r>
      <w:r w:rsidRPr="001428D3" w:rsidR="00F245C4">
        <w:t xml:space="preserve">submissions </w:t>
      </w:r>
      <w:r w:rsidRPr="001428D3">
        <w:t>the applicants submitted that</w:t>
      </w:r>
      <w:r w:rsidRPr="001428D3" w:rsidR="004F7EF5">
        <w:t xml:space="preserve"> since</w:t>
      </w:r>
      <w:r w:rsidRPr="001428D3">
        <w:t xml:space="preserve"> </w:t>
      </w:r>
      <w:r w:rsidRPr="001428D3" w:rsidR="004F7EF5">
        <w:rPr>
          <w:snapToGrid w:val="0"/>
        </w:rPr>
        <w:t xml:space="preserve">the </w:t>
      </w:r>
      <w:r w:rsidRPr="001428D3" w:rsidR="00487305">
        <w:rPr>
          <w:snapToGrid w:val="0"/>
        </w:rPr>
        <w:t xml:space="preserve">building </w:t>
      </w:r>
      <w:r w:rsidRPr="001428D3" w:rsidR="00F02A5B">
        <w:rPr>
          <w:snapToGrid w:val="0"/>
        </w:rPr>
        <w:t xml:space="preserve">had been </w:t>
      </w:r>
      <w:r w:rsidRPr="001428D3" w:rsidR="004F7EF5">
        <w:rPr>
          <w:snapToGrid w:val="0"/>
        </w:rPr>
        <w:t>taken unlawfully</w:t>
      </w:r>
      <w:r w:rsidRPr="001428D3" w:rsidR="004F7EF5">
        <w:t xml:space="preserve"> and </w:t>
      </w:r>
      <w:r w:rsidRPr="001428D3">
        <w:rPr>
          <w:i/>
        </w:rPr>
        <w:t>restitutio in integrum</w:t>
      </w:r>
      <w:r w:rsidRPr="001428D3">
        <w:t xml:space="preserve"> was impossible, </w:t>
      </w:r>
      <w:r w:rsidRPr="001428D3" w:rsidR="00B43263">
        <w:t>they</w:t>
      </w:r>
      <w:r w:rsidRPr="001428D3">
        <w:t xml:space="preserve"> were entitled to compensation corresponding at the very least to the full market value of the property at the date of expropriation. Apart from the fact that no compensation </w:t>
      </w:r>
      <w:r w:rsidRPr="001428D3" w:rsidR="00F02A5B">
        <w:t xml:space="preserve">had </w:t>
      </w:r>
      <w:r w:rsidRPr="001428D3">
        <w:t>yet been paid, the amount awarded by the Council of Ministers in 2014 was disproportionate</w:t>
      </w:r>
      <w:r w:rsidRPr="001428D3" w:rsidR="00B43263">
        <w:t>ly low</w:t>
      </w:r>
      <w:r w:rsidRPr="001428D3">
        <w:t xml:space="preserve"> and inadequate to </w:t>
      </w:r>
      <w:r w:rsidRPr="001428D3" w:rsidR="00B43263">
        <w:t xml:space="preserve">mitigate </w:t>
      </w:r>
      <w:r w:rsidRPr="001428D3">
        <w:t xml:space="preserve">sufficiently the prejudicial consequences for the loss of </w:t>
      </w:r>
      <w:r w:rsidRPr="001428D3" w:rsidR="00721CF7">
        <w:t>their</w:t>
      </w:r>
      <w:r w:rsidRPr="001428D3">
        <w:t xml:space="preserve"> </w:t>
      </w:r>
      <w:r w:rsidRPr="001428D3" w:rsidR="00F02A5B">
        <w:t>properties</w:t>
      </w:r>
      <w:r w:rsidRPr="001428D3">
        <w:t xml:space="preserve">. That amount was </w:t>
      </w:r>
      <w:r w:rsidRPr="001428D3" w:rsidR="00B43263">
        <w:t>only one-third</w:t>
      </w:r>
      <w:r w:rsidRPr="001428D3">
        <w:t xml:space="preserve"> </w:t>
      </w:r>
      <w:r w:rsidRPr="001428D3" w:rsidR="00B43263">
        <w:t>of</w:t>
      </w:r>
      <w:r w:rsidRPr="001428D3">
        <w:t xml:space="preserve"> the amount for which the</w:t>
      </w:r>
      <w:r w:rsidRPr="001428D3" w:rsidR="00721CF7">
        <w:t>y</w:t>
      </w:r>
      <w:r w:rsidRPr="001428D3">
        <w:t xml:space="preserve"> </w:t>
      </w:r>
      <w:r w:rsidRPr="001428D3" w:rsidR="00B43263">
        <w:t xml:space="preserve">had </w:t>
      </w:r>
      <w:r w:rsidRPr="001428D3">
        <w:t xml:space="preserve">purchased their flats, </w:t>
      </w:r>
      <w:r w:rsidRPr="001428D3" w:rsidR="00B43263">
        <w:t>and a smaller proportion still of</w:t>
      </w:r>
      <w:r w:rsidRPr="001428D3">
        <w:t xml:space="preserve"> the value of their </w:t>
      </w:r>
      <w:r w:rsidRPr="001428D3" w:rsidR="00487305">
        <w:t xml:space="preserve">properties </w:t>
      </w:r>
      <w:r w:rsidRPr="001428D3">
        <w:t>at the time of expropriation.</w:t>
      </w:r>
    </w:p>
    <w:p w:rsidRPr="001428D3" w:rsidR="003C5D25" w:rsidP="001428D3" w:rsidRDefault="003C5D25">
      <w:pPr>
        <w:pStyle w:val="ECHRHeading4"/>
      </w:pPr>
      <w:r w:rsidRPr="001428D3">
        <w:t>(b)  The Court</w:t>
      </w:r>
      <w:r w:rsidRPr="001428D3" w:rsidR="001428D3">
        <w:t>’</w:t>
      </w:r>
      <w:r w:rsidRPr="001428D3">
        <w:t>s assessment</w:t>
      </w:r>
    </w:p>
    <w:p w:rsidRPr="001428D3" w:rsidR="00C571EF"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193</w:t>
      </w:r>
      <w:r w:rsidRPr="001428D3">
        <w:rPr>
          <w:noProof/>
        </w:rPr>
        <w:fldChar w:fldCharType="end"/>
      </w:r>
      <w:r w:rsidRPr="001428D3" w:rsidR="00C571EF">
        <w:t xml:space="preserve">.  The Court reiterates that a judgment in which it finds a breach imposes on the respondent State a legal obligation to put an end to the breach and make reparation for its consequences in such a way as to restore as far as possible the situation </w:t>
      </w:r>
      <w:r w:rsidRPr="001428D3" w:rsidR="001E2CF6">
        <w:t>existing before the breach (see, among many other authorities,</w:t>
      </w:r>
      <w:r w:rsidRPr="001428D3" w:rsidR="009835BC">
        <w:t xml:space="preserve"> </w:t>
      </w:r>
      <w:r w:rsidRPr="001428D3" w:rsidR="009835BC">
        <w:rPr>
          <w:i/>
        </w:rPr>
        <w:t>Scordino</w:t>
      </w:r>
      <w:r w:rsidRPr="001428D3" w:rsidR="009835BC">
        <w:t>, cited above, § 246</w:t>
      </w:r>
      <w:r w:rsidRPr="001428D3" w:rsidR="00C571EF">
        <w:t xml:space="preserve">). If domestic law does not allow – or allows only partial – reparation to be made for the consequences of the breach, Article 41 empowers the Court to afford the injured party such satisfaction as it deems </w:t>
      </w:r>
      <w:r w:rsidRPr="001428D3" w:rsidR="00FB3EA3">
        <w:t>appropriate. The Court enjoys a</w:t>
      </w:r>
      <w:r w:rsidRPr="001428D3" w:rsidR="00D460E0">
        <w:t xml:space="preserve"> </w:t>
      </w:r>
      <w:r w:rsidRPr="001428D3" w:rsidR="00C571EF">
        <w:t>certain discretion in the exercise of that power, as the adjective “just” and the phrase “if necessary” attest. Among the matters which the Court takes into account when assessing compensation are pecuniary damage, that is the loss actually suffered as a direct result of</w:t>
      </w:r>
      <w:r w:rsidRPr="001428D3" w:rsidR="00D460E0">
        <w:t xml:space="preserve"> the alleged violation, and non</w:t>
      </w:r>
      <w:r w:rsidRPr="001428D3" w:rsidR="00D460E0">
        <w:noBreakHyphen/>
      </w:r>
      <w:r w:rsidRPr="001428D3" w:rsidR="00C571EF">
        <w:t>pecuniary damage, that is reparation for the anxiety, inconvenience and uncer</w:t>
      </w:r>
      <w:r w:rsidRPr="001428D3" w:rsidR="001E2CF6">
        <w:t xml:space="preserve">tainty caused by the violation </w:t>
      </w:r>
      <w:r w:rsidRPr="001428D3" w:rsidR="00C571EF">
        <w:t xml:space="preserve">(see </w:t>
      </w:r>
      <w:r w:rsidRPr="001428D3" w:rsidR="00C571EF">
        <w:rPr>
          <w:i/>
        </w:rPr>
        <w:t>Comingersoll S.A. v. Portugal</w:t>
      </w:r>
      <w:r w:rsidRPr="001428D3" w:rsidR="00C571EF">
        <w:t xml:space="preserve"> [GC], no. 35382/97, § 29, ECHR 2000</w:t>
      </w:r>
      <w:r w:rsidRPr="001428D3" w:rsidR="00C571EF">
        <w:rPr>
          <w:rFonts w:hint="eastAsia" w:ascii="MS Mincho" w:hAnsi="MS Mincho" w:eastAsia="MS Mincho" w:cs="MS Mincho"/>
        </w:rPr>
        <w:t>‑</w:t>
      </w:r>
      <w:r w:rsidRPr="001428D3" w:rsidR="00C571EF">
        <w:t>IV).</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194</w:t>
      </w:r>
      <w:r w:rsidRPr="001428D3">
        <w:rPr>
          <w:noProof/>
        </w:rPr>
        <w:fldChar w:fldCharType="end"/>
      </w:r>
      <w:r w:rsidRPr="001428D3" w:rsidR="00C571EF">
        <w:t>.  </w:t>
      </w:r>
      <w:r w:rsidRPr="001428D3" w:rsidR="007740DA">
        <w:t>T</w:t>
      </w:r>
      <w:r w:rsidRPr="001428D3" w:rsidR="00037466">
        <w:t xml:space="preserve">he </w:t>
      </w:r>
      <w:r w:rsidRPr="001428D3" w:rsidR="00FF12AD">
        <w:t xml:space="preserve">Court </w:t>
      </w:r>
      <w:r w:rsidRPr="001428D3" w:rsidR="007740DA">
        <w:t xml:space="preserve">further notes </w:t>
      </w:r>
      <w:r w:rsidRPr="001428D3" w:rsidR="00FF12AD">
        <w:t xml:space="preserve">that the rule that domestic remedies should be exhausted does not apply to just satisfaction claims submitted to the Court under Article 41 (formerly Article 50) of the Convention (see </w:t>
      </w:r>
      <w:r w:rsidRPr="001428D3" w:rsidR="00271A40">
        <w:rPr>
          <w:i/>
        </w:rPr>
        <w:t>De</w:t>
      </w:r>
      <w:r w:rsidRPr="001428D3" w:rsidR="00E40ABC">
        <w:rPr>
          <w:i/>
        </w:rPr>
        <w:t> </w:t>
      </w:r>
      <w:r w:rsidRPr="001428D3" w:rsidR="00271A40">
        <w:rPr>
          <w:i/>
        </w:rPr>
        <w:t>Wilde, Ooms and Versyp v. Belgium</w:t>
      </w:r>
      <w:r w:rsidRPr="001428D3" w:rsidR="00271A40">
        <w:t xml:space="preserve"> (Ar</w:t>
      </w:r>
      <w:r w:rsidRPr="001428D3" w:rsidR="00D460E0">
        <w:t>ticle 50), 10 March 1972, §§ 15</w:t>
      </w:r>
      <w:r w:rsidRPr="001428D3" w:rsidR="00D460E0">
        <w:noBreakHyphen/>
      </w:r>
      <w:r w:rsidRPr="001428D3" w:rsidR="00271A40">
        <w:t xml:space="preserve">16, Series A no. 14, </w:t>
      </w:r>
      <w:r w:rsidRPr="001428D3" w:rsidR="00445BB0">
        <w:t xml:space="preserve">and </w:t>
      </w:r>
      <w:r w:rsidRPr="001428D3" w:rsidR="00445BB0">
        <w:rPr>
          <w:i/>
        </w:rPr>
        <w:t>Salah v. the Netherlands</w:t>
      </w:r>
      <w:r w:rsidRPr="001428D3" w:rsidR="00445BB0">
        <w:t>, no. 8196/02, §§ 67, ECHR 2006</w:t>
      </w:r>
      <w:r w:rsidRPr="001428D3" w:rsidR="00445BB0">
        <w:noBreakHyphen/>
        <w:t>IX (extracts)</w:t>
      </w:r>
      <w:r w:rsidRPr="001428D3" w:rsidR="00FF12AD">
        <w:t>).</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195</w:t>
      </w:r>
      <w:r w:rsidRPr="001428D3">
        <w:rPr>
          <w:noProof/>
        </w:rPr>
        <w:fldChar w:fldCharType="end"/>
      </w:r>
      <w:r w:rsidRPr="001428D3" w:rsidR="00187063">
        <w:t>.  </w:t>
      </w:r>
      <w:r w:rsidRPr="001428D3" w:rsidR="00410CFD">
        <w:t>T</w:t>
      </w:r>
      <w:r w:rsidRPr="001428D3" w:rsidR="00187063">
        <w:t>he unusual situation has arisen whereby applicants have presented just satisfaction claims to the Court under Article 41 of the Convention even though claims to the same effect are pending before a domestic court. The Court has held on an earlier occasion that it cannot allow proceedings before it and proceedings in a domestic court aimed at precisely the same intended result to be actively pursued in parallel. Normally, it will make little difference whether such parallel domestic proceedings are already pending at the time when the application is lodged with the Court, in which case the application will be i</w:t>
      </w:r>
      <w:r w:rsidRPr="001428D3" w:rsidR="006656E7">
        <w:t>n</w:t>
      </w:r>
      <w:r w:rsidRPr="001428D3" w:rsidR="00187063">
        <w:t xml:space="preserve">admissible under Article 35 </w:t>
      </w:r>
      <w:r w:rsidRPr="001428D3" w:rsidR="00CC5F25">
        <w:t>§ 1</w:t>
      </w:r>
      <w:r w:rsidRPr="001428D3" w:rsidR="00187063">
        <w:t xml:space="preserve"> of the Convention, or whether the application is lodged with the Court first (see </w:t>
      </w:r>
      <w:r w:rsidRPr="001428D3" w:rsidR="00187063">
        <w:rPr>
          <w:i/>
        </w:rPr>
        <w:t>Salah</w:t>
      </w:r>
      <w:r w:rsidRPr="001428D3" w:rsidR="00445BB0">
        <w:rPr>
          <w:i/>
        </w:rPr>
        <w:t xml:space="preserve">, </w:t>
      </w:r>
      <w:r w:rsidRPr="001428D3" w:rsidR="00445BB0">
        <w:t>cited above,</w:t>
      </w:r>
      <w:r w:rsidRPr="001428D3" w:rsidR="00445BB0">
        <w:rPr>
          <w:i/>
        </w:rPr>
        <w:t xml:space="preserve"> </w:t>
      </w:r>
      <w:r w:rsidRPr="001428D3" w:rsidR="00187063">
        <w:t>§</w:t>
      </w:r>
      <w:r w:rsidRPr="001428D3" w:rsidR="00445BB0">
        <w:t>§</w:t>
      </w:r>
      <w:r w:rsidRPr="001428D3" w:rsidR="00187063">
        <w:t xml:space="preserve"> </w:t>
      </w:r>
      <w:r w:rsidRPr="001428D3" w:rsidR="00445BB0">
        <w:t>65-66).</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196</w:t>
      </w:r>
      <w:r w:rsidRPr="001428D3">
        <w:rPr>
          <w:noProof/>
        </w:rPr>
        <w:fldChar w:fldCharType="end"/>
      </w:r>
      <w:r w:rsidRPr="001428D3" w:rsidR="006656E7">
        <w:t>.  The present case, however, does not fit the usual mold. The Court has found the proceedings available to the applicants not to constitute effective domestic remedies. In these circumstances, the Court cannot consider itself prevented by the pending domestic proceedings from examining the applicants</w:t>
      </w:r>
      <w:r w:rsidRPr="001428D3" w:rsidR="001428D3">
        <w:t>’</w:t>
      </w:r>
      <w:r w:rsidRPr="001428D3" w:rsidR="006656E7">
        <w:t xml:space="preserve"> claims: such an interpretation of Article 41 of the Convention would make this provision ineffective in a case such as the present (</w:t>
      </w:r>
      <w:r w:rsidRPr="001428D3" w:rsidR="00BA6428">
        <w:t>see</w:t>
      </w:r>
      <w:r w:rsidRPr="001428D3" w:rsidR="00692403">
        <w:t>,</w:t>
      </w:r>
      <w:r w:rsidRPr="001428D3" w:rsidR="00BA6428">
        <w:t xml:space="preserve"> </w:t>
      </w:r>
      <w:r w:rsidRPr="001428D3" w:rsidR="006656E7">
        <w:rPr>
          <w:i/>
        </w:rPr>
        <w:t>mutatis mutandis</w:t>
      </w:r>
      <w:r w:rsidRPr="001428D3" w:rsidR="006656E7">
        <w:t xml:space="preserve">, </w:t>
      </w:r>
      <w:r w:rsidRPr="001428D3" w:rsidR="00BA6428">
        <w:rPr>
          <w:i/>
        </w:rPr>
        <w:t>Mikheyev v. Russia</w:t>
      </w:r>
      <w:r w:rsidRPr="001428D3" w:rsidR="00BA6428">
        <w:t>, no. 77617/01, § 155, 26</w:t>
      </w:r>
      <w:r w:rsidRPr="001428D3" w:rsidR="006656E7">
        <w:t> January 2006</w:t>
      </w:r>
      <w:r w:rsidRPr="001428D3" w:rsidR="00EC5A72">
        <w:t xml:space="preserve">, and </w:t>
      </w:r>
      <w:r w:rsidRPr="001428D3" w:rsidR="00EC5A72">
        <w:rPr>
          <w:i/>
        </w:rPr>
        <w:t xml:space="preserve">Frendo Randon and Others, </w:t>
      </w:r>
      <w:r w:rsidRPr="001428D3" w:rsidR="00EC5A72">
        <w:t>cited above, § 77).</w:t>
      </w:r>
    </w:p>
    <w:p w:rsidRPr="001428D3" w:rsidR="00B26E35"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197</w:t>
      </w:r>
      <w:r w:rsidRPr="001428D3">
        <w:rPr>
          <w:noProof/>
        </w:rPr>
        <w:fldChar w:fldCharType="end"/>
      </w:r>
      <w:r w:rsidRPr="001428D3" w:rsidR="00B26E35">
        <w:t>.  </w:t>
      </w:r>
      <w:r w:rsidRPr="001428D3" w:rsidR="006C147B">
        <w:rPr>
          <w:lang w:val="en-US"/>
        </w:rPr>
        <w:t xml:space="preserve">The Court further considers that by awarding amounts for damage at this stage there is no risk that the applicants will receive the said dues twice, as the national jurisdictions would inevitably take note of this award when deciding the case (see, </w:t>
      </w:r>
      <w:r w:rsidRPr="001428D3" w:rsidR="006C147B">
        <w:rPr>
          <w:i/>
          <w:lang w:val="en"/>
        </w:rPr>
        <w:t>mutatis mutandis,</w:t>
      </w:r>
      <w:r w:rsidRPr="001428D3" w:rsidR="006C147B">
        <w:rPr>
          <w:lang w:val="en-US"/>
        </w:rPr>
        <w:t xml:space="preserve"> </w:t>
      </w:r>
      <w:r w:rsidRPr="001428D3" w:rsidR="00D460E0">
        <w:rPr>
          <w:i/>
          <w:lang w:val="en-US"/>
        </w:rPr>
        <w:t>Serghides and Christoforou </w:t>
      </w:r>
      <w:r w:rsidRPr="001428D3" w:rsidR="006C147B">
        <w:rPr>
          <w:i/>
          <w:lang w:val="en-US"/>
        </w:rPr>
        <w:t>v. Cyprus</w:t>
      </w:r>
      <w:r w:rsidRPr="001428D3" w:rsidR="006C147B">
        <w:rPr>
          <w:lang w:val="en-US"/>
        </w:rPr>
        <w:t xml:space="preserve"> (just satisfaction), no. 44730/98, § 29, 12 June 2003; </w:t>
      </w:r>
      <w:r w:rsidRPr="001428D3" w:rsidR="00D460E0">
        <w:rPr>
          <w:i/>
          <w:lang w:val="en-US"/>
        </w:rPr>
        <w:t>Serrilli v. </w:t>
      </w:r>
      <w:r w:rsidRPr="001428D3" w:rsidR="006C147B">
        <w:rPr>
          <w:i/>
          <w:lang w:val="en-US"/>
        </w:rPr>
        <w:t>Italy</w:t>
      </w:r>
      <w:r w:rsidRPr="001428D3" w:rsidR="006C147B">
        <w:rPr>
          <w:lang w:val="en-US"/>
        </w:rPr>
        <w:t xml:space="preserve"> (just satisfaction), no.</w:t>
      </w:r>
      <w:r w:rsidRPr="001428D3" w:rsidR="007855A4">
        <w:rPr>
          <w:lang w:val="en-US"/>
        </w:rPr>
        <w:t xml:space="preserve"> </w:t>
      </w:r>
      <w:r w:rsidRPr="001428D3" w:rsidR="006C147B">
        <w:rPr>
          <w:lang w:val="en-US"/>
        </w:rPr>
        <w:t xml:space="preserve">77822/01, § 17, 17 July 2008, and </w:t>
      </w:r>
      <w:r w:rsidRPr="001428D3" w:rsidR="00410CFD">
        <w:rPr>
          <w:i/>
        </w:rPr>
        <w:t>Silva Barreira Júnior v. Portugal</w:t>
      </w:r>
      <w:r w:rsidRPr="001428D3" w:rsidR="00410CFD">
        <w:t>, nos. 38317/06 and 38319/06</w:t>
      </w:r>
      <w:r w:rsidRPr="001428D3" w:rsidR="00D460E0">
        <w:rPr>
          <w:snapToGrid w:val="0"/>
        </w:rPr>
        <w:t>, § 40, 11 </w:t>
      </w:r>
      <w:r w:rsidRPr="001428D3" w:rsidR="00410CFD">
        <w:rPr>
          <w:snapToGrid w:val="0"/>
        </w:rPr>
        <w:t>January 2011</w:t>
      </w:r>
      <w:r w:rsidRPr="001428D3" w:rsidR="00410CFD">
        <w:t>).</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198</w:t>
      </w:r>
      <w:r w:rsidRPr="001428D3">
        <w:rPr>
          <w:noProof/>
        </w:rPr>
        <w:fldChar w:fldCharType="end"/>
      </w:r>
      <w:r w:rsidRPr="001428D3" w:rsidR="00410CFD">
        <w:t>.  </w:t>
      </w:r>
      <w:r w:rsidRPr="001428D3" w:rsidR="007F5CDA">
        <w:t>Turning to the applicants</w:t>
      </w:r>
      <w:r w:rsidRPr="001428D3" w:rsidR="001428D3">
        <w:t>’</w:t>
      </w:r>
      <w:r w:rsidRPr="001428D3" w:rsidR="007F5CDA">
        <w:t xml:space="preserve"> claim for pecuniary damage, having regard to the fact that</w:t>
      </w:r>
      <w:r w:rsidRPr="001428D3" w:rsidR="003C5D25">
        <w:t xml:space="preserve"> the </w:t>
      </w:r>
      <w:r w:rsidRPr="001428D3" w:rsidR="007152A5">
        <w:t xml:space="preserve">pending </w:t>
      </w:r>
      <w:r w:rsidRPr="001428D3" w:rsidR="003C5D25">
        <w:t xml:space="preserve">proceedings before the Supreme Court </w:t>
      </w:r>
      <w:r w:rsidRPr="001428D3" w:rsidR="00F02A5B">
        <w:t xml:space="preserve">have </w:t>
      </w:r>
      <w:r w:rsidRPr="001428D3" w:rsidR="003C5D25">
        <w:t>not yet changed the applicants</w:t>
      </w:r>
      <w:r w:rsidRPr="001428D3" w:rsidR="001428D3">
        <w:t>’</w:t>
      </w:r>
      <w:r w:rsidRPr="001428D3" w:rsidR="003C5D25">
        <w:t xml:space="preserve"> situation,</w:t>
      </w:r>
      <w:r w:rsidRPr="001428D3" w:rsidR="006D58DF">
        <w:t xml:space="preserve"> and</w:t>
      </w:r>
      <w:r w:rsidRPr="001428D3" w:rsidR="003C5D25">
        <w:t xml:space="preserve"> th</w:t>
      </w:r>
      <w:r w:rsidRPr="001428D3" w:rsidR="007152A5">
        <w:t>at the Court of Appeal in its decision of 23 September 2014 based its calculation of the pecuniary damage on an expert</w:t>
      </w:r>
      <w:r w:rsidRPr="001428D3" w:rsidR="001F10B6">
        <w:t>s</w:t>
      </w:r>
      <w:r w:rsidRPr="001428D3" w:rsidR="001428D3">
        <w:t>’</w:t>
      </w:r>
      <w:r w:rsidRPr="001428D3" w:rsidR="007152A5">
        <w:t xml:space="preserve"> report which took into consideration the development of the property, </w:t>
      </w:r>
      <w:r w:rsidRPr="001428D3" w:rsidR="00916841">
        <w:t xml:space="preserve">the open market value, </w:t>
      </w:r>
      <w:r w:rsidRPr="001428D3" w:rsidR="00F02A5B">
        <w:t xml:space="preserve">an analysis of </w:t>
      </w:r>
      <w:r w:rsidRPr="001428D3" w:rsidR="004E26D4">
        <w:t>the values of sales and rents of similar properties,</w:t>
      </w:r>
      <w:r w:rsidRPr="001428D3" w:rsidR="006D58DF">
        <w:t xml:space="preserve"> and</w:t>
      </w:r>
      <w:r w:rsidRPr="001428D3" w:rsidR="004E26D4">
        <w:t xml:space="preserve"> </w:t>
      </w:r>
      <w:r w:rsidRPr="001428D3" w:rsidR="00F02A5B">
        <w:t xml:space="preserve">a comparison of </w:t>
      </w:r>
      <w:r w:rsidRPr="001428D3" w:rsidR="007152A5">
        <w:t xml:space="preserve">sale prices </w:t>
      </w:r>
      <w:r w:rsidRPr="001428D3" w:rsidR="00837166">
        <w:t>with similar properties in the same area</w:t>
      </w:r>
      <w:r w:rsidRPr="001428D3" w:rsidR="006D58DF">
        <w:t xml:space="preserve">, </w:t>
      </w:r>
      <w:r w:rsidRPr="001428D3" w:rsidR="00837166">
        <w:t>the Court concludes that the applicants should be awarded the amount of compensation as decided by the C</w:t>
      </w:r>
      <w:r w:rsidRPr="001428D3" w:rsidR="003C5D25">
        <w:t xml:space="preserve">ourt of </w:t>
      </w:r>
      <w:r w:rsidRPr="001428D3" w:rsidR="00837166">
        <w:t xml:space="preserve">Appeal in </w:t>
      </w:r>
      <w:r w:rsidRPr="001428D3" w:rsidR="006D58DF">
        <w:t xml:space="preserve">that </w:t>
      </w:r>
      <w:r w:rsidRPr="001428D3" w:rsidR="003C5D25">
        <w:t>decision</w:t>
      </w:r>
      <w:r w:rsidRPr="001428D3" w:rsidR="006D58DF">
        <w:t>, namely EUR 1,155 per square metre in respect of</w:t>
      </w:r>
      <w:r w:rsidRPr="001428D3" w:rsidR="00AB3E7A">
        <w:t xml:space="preserve"> the</w:t>
      </w:r>
      <w:r w:rsidRPr="001428D3" w:rsidR="006D58DF">
        <w:t xml:space="preserve"> flats and EUR 2,000 per square metre in respect of </w:t>
      </w:r>
      <w:r w:rsidRPr="001428D3" w:rsidR="00166119">
        <w:t xml:space="preserve">business </w:t>
      </w:r>
      <w:r w:rsidRPr="001428D3" w:rsidR="006D58DF">
        <w:t xml:space="preserve">premises (see </w:t>
      </w:r>
      <w:r w:rsidRPr="001428D3" w:rsidR="00AE4268">
        <w:rPr>
          <w:i/>
        </w:rPr>
        <w:t>Guiso Gallisay</w:t>
      </w:r>
      <w:r w:rsidRPr="001428D3" w:rsidR="00AE4268">
        <w:t>, cited above, § 105</w:t>
      </w:r>
      <w:r w:rsidRPr="001428D3" w:rsidR="001445AD">
        <w:t xml:space="preserve">, </w:t>
      </w:r>
      <w:r w:rsidRPr="001428D3" w:rsidR="00AE4268">
        <w:t xml:space="preserve">and </w:t>
      </w:r>
      <w:r w:rsidRPr="001428D3" w:rsidR="006D58DF">
        <w:t>paragraphs 38 and 41 above)</w:t>
      </w:r>
      <w:r w:rsidRPr="001428D3" w:rsidR="00654F74">
        <w:t xml:space="preserve">. </w:t>
      </w:r>
      <w:r w:rsidRPr="001428D3" w:rsidR="00AD1980">
        <w:rPr>
          <w:lang w:val="en-US"/>
        </w:rPr>
        <w:t>T</w:t>
      </w:r>
      <w:r w:rsidRPr="001428D3" w:rsidR="00AE4268">
        <w:rPr>
          <w:lang w:val="en-US"/>
        </w:rPr>
        <w:t xml:space="preserve">he Court </w:t>
      </w:r>
      <w:r w:rsidRPr="001428D3" w:rsidR="00AD1980">
        <w:rPr>
          <w:lang w:val="en-US"/>
        </w:rPr>
        <w:t xml:space="preserve">further </w:t>
      </w:r>
      <w:r w:rsidRPr="001428D3" w:rsidR="00AE4268">
        <w:rPr>
          <w:lang w:val="en-US"/>
        </w:rPr>
        <w:t xml:space="preserve">notes that </w:t>
      </w:r>
      <w:r w:rsidRPr="001428D3" w:rsidR="00AE47C8">
        <w:rPr>
          <w:lang w:val="en-US"/>
        </w:rPr>
        <w:t xml:space="preserve">interest will have to be paid on this amount so as to offset, at least in part, the </w:t>
      </w:r>
      <w:r w:rsidRPr="001428D3" w:rsidR="00AD1980">
        <w:rPr>
          <w:lang w:val="en-US"/>
        </w:rPr>
        <w:t>four</w:t>
      </w:r>
      <w:r w:rsidRPr="001428D3" w:rsidR="001445AD">
        <w:rPr>
          <w:lang w:val="en-US"/>
        </w:rPr>
        <w:t>-</w:t>
      </w:r>
      <w:r w:rsidRPr="001428D3" w:rsidR="00AD1980">
        <w:rPr>
          <w:lang w:val="en-US"/>
        </w:rPr>
        <w:t>year</w:t>
      </w:r>
      <w:r w:rsidRPr="001428D3" w:rsidR="00AE47C8">
        <w:rPr>
          <w:lang w:val="en-US"/>
        </w:rPr>
        <w:t xml:space="preserve"> period </w:t>
      </w:r>
      <w:r w:rsidRPr="001428D3" w:rsidR="001445AD">
        <w:rPr>
          <w:lang w:val="en-US"/>
        </w:rPr>
        <w:t xml:space="preserve">during </w:t>
      </w:r>
      <w:r w:rsidRPr="001428D3" w:rsidR="00AE47C8">
        <w:rPr>
          <w:lang w:val="en-US"/>
        </w:rPr>
        <w:t xml:space="preserve">which the applicants </w:t>
      </w:r>
      <w:r w:rsidRPr="001428D3" w:rsidR="001445AD">
        <w:rPr>
          <w:lang w:val="en-US"/>
        </w:rPr>
        <w:t>were</w:t>
      </w:r>
      <w:r w:rsidRPr="001428D3" w:rsidR="00AE47C8">
        <w:rPr>
          <w:lang w:val="en-US"/>
        </w:rPr>
        <w:t xml:space="preserve"> deprived of the land. In the Court</w:t>
      </w:r>
      <w:r w:rsidRPr="001428D3" w:rsidR="001428D3">
        <w:rPr>
          <w:lang w:val="en-US"/>
        </w:rPr>
        <w:t>’</w:t>
      </w:r>
      <w:r w:rsidRPr="001428D3" w:rsidR="00AE47C8">
        <w:rPr>
          <w:lang w:val="en-US"/>
        </w:rPr>
        <w:t xml:space="preserve">s opinion the interest should take the form of simple statutory interest </w:t>
      </w:r>
      <w:r w:rsidRPr="001428D3" w:rsidR="00762EAA">
        <w:rPr>
          <w:lang w:val="en-US"/>
        </w:rPr>
        <w:t>based on the European Central Bank interest rates</w:t>
      </w:r>
      <w:r w:rsidRPr="001428D3" w:rsidR="00AF3829">
        <w:t xml:space="preserve">. </w:t>
      </w:r>
      <w:r w:rsidRPr="001428D3" w:rsidR="00AE47C8">
        <w:t>Having regard to th</w:t>
      </w:r>
      <w:r w:rsidRPr="001428D3" w:rsidR="00AD1980">
        <w:t>e above</w:t>
      </w:r>
      <w:r w:rsidRPr="001428D3" w:rsidR="00AE47C8">
        <w:t xml:space="preserve">, </w:t>
      </w:r>
      <w:r w:rsidRPr="001428D3" w:rsidR="000200FA">
        <w:t>the Court awards the applicants, jointly</w:t>
      </w:r>
      <w:r w:rsidRPr="001428D3" w:rsidR="006D58DF">
        <w:t>,</w:t>
      </w:r>
      <w:r w:rsidRPr="001428D3" w:rsidR="000200FA">
        <w:t xml:space="preserve"> EUR</w:t>
      </w:r>
      <w:r w:rsidRPr="001428D3" w:rsidR="00762EAA">
        <w:t> </w:t>
      </w:r>
      <w:r w:rsidRPr="001428D3" w:rsidR="000C3B84">
        <w:t>13,098,</w:t>
      </w:r>
      <w:r w:rsidRPr="001428D3" w:rsidR="00B57664">
        <w:t>600</w:t>
      </w:r>
      <w:r w:rsidRPr="001428D3" w:rsidR="000200FA">
        <w:t xml:space="preserve">. </w:t>
      </w:r>
      <w:r w:rsidRPr="001428D3" w:rsidR="00025E10">
        <w:t>The compensation is to be paid in the same manner as provided for in the decision of 23</w:t>
      </w:r>
      <w:r w:rsidRPr="001428D3" w:rsidR="00B206C9">
        <w:t> </w:t>
      </w:r>
      <w:r w:rsidRPr="001428D3" w:rsidR="00025E10">
        <w:t>September 2014, that is to say on the basis of the size of each applicant</w:t>
      </w:r>
      <w:r w:rsidRPr="001428D3" w:rsidR="001428D3">
        <w:t>’</w:t>
      </w:r>
      <w:r w:rsidRPr="001428D3" w:rsidR="00025E10">
        <w:t xml:space="preserve">s property </w:t>
      </w:r>
      <w:r w:rsidRPr="001428D3" w:rsidR="00B206C9">
        <w:t xml:space="preserve">and in one lump sum </w:t>
      </w:r>
      <w:r w:rsidRPr="001428D3" w:rsidR="00025E10">
        <w:t>(see paragraph 41 above).</w:t>
      </w:r>
    </w:p>
    <w:p w:rsidRPr="001428D3" w:rsidR="005521CC"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199</w:t>
      </w:r>
      <w:r w:rsidRPr="001428D3">
        <w:rPr>
          <w:noProof/>
        </w:rPr>
        <w:fldChar w:fldCharType="end"/>
      </w:r>
      <w:r w:rsidRPr="001428D3" w:rsidR="00721522">
        <w:t>.  </w:t>
      </w:r>
      <w:r w:rsidRPr="001428D3" w:rsidR="006C773A">
        <w:t>The Court considers that the applicants</w:t>
      </w:r>
      <w:r w:rsidRPr="001428D3" w:rsidR="001428D3">
        <w:t>’</w:t>
      </w:r>
      <w:r w:rsidRPr="001428D3" w:rsidR="006C773A">
        <w:t xml:space="preserve"> complaint </w:t>
      </w:r>
      <w:r w:rsidRPr="001428D3" w:rsidR="006D58DF">
        <w:t>of</w:t>
      </w:r>
      <w:r w:rsidRPr="001428D3" w:rsidR="006C773A">
        <w:t xml:space="preserve"> loss of opportunities should be rejected. The applicants failed to </w:t>
      </w:r>
      <w:r w:rsidRPr="001428D3" w:rsidR="00721522">
        <w:t xml:space="preserve">elaborate this claim and </w:t>
      </w:r>
      <w:r w:rsidRPr="001428D3" w:rsidR="006C773A">
        <w:t xml:space="preserve">specify what type of opportunities </w:t>
      </w:r>
      <w:r w:rsidRPr="001428D3" w:rsidR="00721522">
        <w:t xml:space="preserve">they </w:t>
      </w:r>
      <w:r w:rsidRPr="001428D3" w:rsidR="00D16622">
        <w:t xml:space="preserve">are </w:t>
      </w:r>
      <w:r w:rsidRPr="001428D3" w:rsidR="00721522">
        <w:t>claiming</w:t>
      </w:r>
      <w:r w:rsidRPr="001428D3" w:rsidR="00D16622">
        <w:t xml:space="preserve"> to have lost</w:t>
      </w:r>
      <w:r w:rsidRPr="001428D3" w:rsidR="006C773A">
        <w:t>.</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200</w:t>
      </w:r>
      <w:r w:rsidRPr="001428D3">
        <w:rPr>
          <w:noProof/>
        </w:rPr>
        <w:fldChar w:fldCharType="end"/>
      </w:r>
      <w:r w:rsidRPr="001428D3" w:rsidR="006575E7">
        <w:t>.  </w:t>
      </w:r>
      <w:r w:rsidRPr="001428D3" w:rsidR="003C5D25">
        <w:t xml:space="preserve">As regards the payment </w:t>
      </w:r>
      <w:r w:rsidRPr="001428D3" w:rsidR="006D58DF">
        <w:t xml:space="preserve">of </w:t>
      </w:r>
      <w:r w:rsidRPr="001428D3" w:rsidR="003C5D25">
        <w:t xml:space="preserve">compensation </w:t>
      </w:r>
      <w:r w:rsidRPr="001428D3" w:rsidR="0037410D">
        <w:t xml:space="preserve">in respect of the loss </w:t>
      </w:r>
      <w:r w:rsidRPr="001428D3" w:rsidR="003C5D25">
        <w:t xml:space="preserve">of movable </w:t>
      </w:r>
      <w:r w:rsidRPr="001428D3" w:rsidR="006D58DF">
        <w:t>property</w:t>
      </w:r>
      <w:r w:rsidRPr="001428D3" w:rsidR="005D0E91">
        <w:t xml:space="preserve">, the Court </w:t>
      </w:r>
      <w:r w:rsidRPr="001428D3" w:rsidR="00741A58">
        <w:t xml:space="preserve">notes that the applicants submitted photographs of their furnished flats without specifying to whom the movable property belonged. However, the Court notes that </w:t>
      </w:r>
      <w:r w:rsidRPr="001428D3" w:rsidR="0022544E">
        <w:t xml:space="preserve">it is undisputed that some of the flats were furnished. </w:t>
      </w:r>
      <w:r w:rsidRPr="001428D3" w:rsidR="00AF4845">
        <w:t>Furthermore, t</w:t>
      </w:r>
      <w:r w:rsidRPr="001428D3" w:rsidR="00741A58">
        <w:t xml:space="preserve">he day </w:t>
      </w:r>
      <w:r w:rsidRPr="001428D3" w:rsidR="0022544E">
        <w:t xml:space="preserve">that </w:t>
      </w:r>
      <w:r w:rsidRPr="001428D3" w:rsidR="00741A58">
        <w:t xml:space="preserve">the applicants were told to move their movable properties, the authorities had continued with the demolition of the building (see paragraph </w:t>
      </w:r>
      <w:r w:rsidRPr="001428D3" w:rsidR="00E02B55">
        <w:t xml:space="preserve">51 </w:t>
      </w:r>
      <w:r w:rsidRPr="001428D3" w:rsidR="00741A58">
        <w:t>above).</w:t>
      </w:r>
      <w:r w:rsidRPr="001428D3" w:rsidR="00AF4845">
        <w:t xml:space="preserve"> T</w:t>
      </w:r>
      <w:r w:rsidRPr="001428D3" w:rsidR="00741A58">
        <w:t xml:space="preserve">he Court </w:t>
      </w:r>
      <w:r w:rsidRPr="001428D3" w:rsidR="00AF4845">
        <w:t xml:space="preserve">also </w:t>
      </w:r>
      <w:r w:rsidRPr="001428D3" w:rsidR="00741A58">
        <w:t>notes that the applicants learned about the expropriation only on 3</w:t>
      </w:r>
      <w:r w:rsidRPr="001428D3" w:rsidR="0022544E">
        <w:t> </w:t>
      </w:r>
      <w:r w:rsidRPr="001428D3" w:rsidR="00D460E0">
        <w:t>December </w:t>
      </w:r>
      <w:r w:rsidRPr="001428D3" w:rsidR="00741A58">
        <w:t>2013, the demolition ha</w:t>
      </w:r>
      <w:r w:rsidRPr="001428D3" w:rsidR="00AF4845">
        <w:t xml:space="preserve">d </w:t>
      </w:r>
      <w:r w:rsidRPr="001428D3" w:rsidR="00741A58">
        <w:t xml:space="preserve">started to take place the next day. In these circumstances, </w:t>
      </w:r>
      <w:r w:rsidRPr="001428D3" w:rsidR="0022544E">
        <w:t>having regard to the short time the proceedings ha</w:t>
      </w:r>
      <w:r w:rsidRPr="001428D3" w:rsidR="00AF4845">
        <w:t>d</w:t>
      </w:r>
      <w:r w:rsidRPr="001428D3" w:rsidR="0022544E">
        <w:t xml:space="preserve"> been conducted, </w:t>
      </w:r>
      <w:r w:rsidRPr="001428D3" w:rsidR="00741A58">
        <w:t xml:space="preserve">the Court concludes that it </w:t>
      </w:r>
      <w:r w:rsidRPr="001428D3" w:rsidR="00AF4845">
        <w:t>had been</w:t>
      </w:r>
      <w:r w:rsidRPr="001428D3" w:rsidR="00741A58">
        <w:t xml:space="preserve"> impossible for the applicants to submit before the Court detailed documentary evidence. For all the above considerations, </w:t>
      </w:r>
      <w:r w:rsidRPr="001428D3" w:rsidR="0022544E">
        <w:t xml:space="preserve">the Court </w:t>
      </w:r>
      <w:r w:rsidRPr="001428D3" w:rsidR="002F2599">
        <w:t xml:space="preserve">finds </w:t>
      </w:r>
      <w:r w:rsidRPr="001428D3" w:rsidR="00B206C9">
        <w:t xml:space="preserve">it more appropriate </w:t>
      </w:r>
      <w:r w:rsidRPr="001428D3" w:rsidR="0022544E">
        <w:t xml:space="preserve">to take this fact into </w:t>
      </w:r>
      <w:r w:rsidRPr="001428D3" w:rsidR="002F2599">
        <w:t xml:space="preserve">consideration </w:t>
      </w:r>
      <w:r w:rsidRPr="001428D3" w:rsidR="0022544E">
        <w:t xml:space="preserve">when </w:t>
      </w:r>
      <w:r w:rsidRPr="001428D3" w:rsidR="00B206C9">
        <w:t>considering the applicants</w:t>
      </w:r>
      <w:r w:rsidRPr="001428D3" w:rsidR="001428D3">
        <w:t>’</w:t>
      </w:r>
      <w:r w:rsidRPr="001428D3" w:rsidR="00B206C9">
        <w:t xml:space="preserve"> claim for </w:t>
      </w:r>
      <w:r w:rsidRPr="001428D3" w:rsidR="00D460E0">
        <w:t>non</w:t>
      </w:r>
      <w:r w:rsidRPr="001428D3" w:rsidR="00D460E0">
        <w:noBreakHyphen/>
      </w:r>
      <w:r w:rsidRPr="001428D3" w:rsidR="0022544E">
        <w:t>pecuniary damage.</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201</w:t>
      </w:r>
      <w:r w:rsidRPr="001428D3">
        <w:rPr>
          <w:noProof/>
        </w:rPr>
        <w:fldChar w:fldCharType="end"/>
      </w:r>
      <w:r w:rsidRPr="001428D3" w:rsidR="00721522">
        <w:t xml:space="preserve">.  As regards the </w:t>
      </w:r>
      <w:r w:rsidRPr="001428D3" w:rsidR="00EA210E">
        <w:t>first and second applicants</w:t>
      </w:r>
      <w:r w:rsidRPr="001428D3" w:rsidR="001428D3">
        <w:t>’</w:t>
      </w:r>
      <w:r w:rsidRPr="001428D3" w:rsidR="00EA210E">
        <w:t xml:space="preserve"> claims in respect of </w:t>
      </w:r>
      <w:r w:rsidRPr="001428D3" w:rsidR="00721522">
        <w:t xml:space="preserve">the loan taken </w:t>
      </w:r>
      <w:r w:rsidRPr="001428D3" w:rsidR="006D58DF">
        <w:t>with their</w:t>
      </w:r>
      <w:r w:rsidRPr="001428D3" w:rsidR="00721522">
        <w:t xml:space="preserve"> bank, the Court </w:t>
      </w:r>
      <w:r w:rsidRPr="001428D3" w:rsidR="005B31BC">
        <w:t>does not discern any causal link between the violation found and the pecuniary damage alleged; it therefore rejects this claim.</w:t>
      </w:r>
    </w:p>
    <w:p w:rsidRPr="001428D3" w:rsidR="00051F8A" w:rsidP="001428D3" w:rsidRDefault="00051F8A">
      <w:pPr>
        <w:pStyle w:val="ECHRHeading3"/>
      </w:pPr>
      <w:bookmarkStart w:name="_Toc498016777" w:id="67"/>
      <w:r w:rsidRPr="001428D3">
        <w:t>2.  Non-pecuniary damage</w:t>
      </w:r>
      <w:bookmarkEnd w:id="67"/>
    </w:p>
    <w:p w:rsidRPr="001428D3" w:rsidR="005521CC" w:rsidP="001428D3" w:rsidRDefault="00202E2F">
      <w:pPr>
        <w:pStyle w:val="ECHRPara"/>
      </w:pPr>
      <w:r w:rsidRPr="001428D3">
        <w:fldChar w:fldCharType="begin"/>
      </w:r>
      <w:r w:rsidRPr="001428D3">
        <w:instrText xml:space="preserve"> SEQ level0 \*arabic </w:instrText>
      </w:r>
      <w:r w:rsidRPr="001428D3">
        <w:fldChar w:fldCharType="separate"/>
      </w:r>
      <w:r w:rsidRPr="001428D3" w:rsidR="001428D3">
        <w:rPr>
          <w:noProof/>
        </w:rPr>
        <w:t>202</w:t>
      </w:r>
      <w:r w:rsidRPr="001428D3">
        <w:fldChar w:fldCharType="end"/>
      </w:r>
      <w:r w:rsidRPr="001428D3">
        <w:t>.  The</w:t>
      </w:r>
      <w:r w:rsidRPr="001428D3" w:rsidR="00051F8A">
        <w:t xml:space="preserve"> applicants also claimed </w:t>
      </w:r>
      <w:r w:rsidRPr="001428D3">
        <w:t>EUR 100,000</w:t>
      </w:r>
      <w:r w:rsidRPr="001428D3" w:rsidR="003E3277">
        <w:t xml:space="preserve"> each</w:t>
      </w:r>
      <w:r w:rsidRPr="001428D3" w:rsidR="00D460E0">
        <w:t xml:space="preserve"> in respect of non</w:t>
      </w:r>
      <w:r w:rsidRPr="001428D3" w:rsidR="00D460E0">
        <w:noBreakHyphen/>
      </w:r>
      <w:r w:rsidRPr="001428D3">
        <w:t>pecuniary damage</w:t>
      </w:r>
      <w:r w:rsidRPr="001428D3" w:rsidR="003E3277">
        <w:t>, alleging that</w:t>
      </w:r>
      <w:r w:rsidRPr="001428D3" w:rsidR="00AD439F">
        <w:t xml:space="preserve"> the authorities</w:t>
      </w:r>
      <w:r w:rsidRPr="001428D3" w:rsidR="001428D3">
        <w:t>’</w:t>
      </w:r>
      <w:r w:rsidRPr="001428D3" w:rsidR="00AD439F">
        <w:t xml:space="preserve"> actions</w:t>
      </w:r>
      <w:r w:rsidRPr="001428D3" w:rsidR="003E3277">
        <w:t xml:space="preserve"> had caused them severe moral suffering</w:t>
      </w:r>
      <w:r w:rsidRPr="001428D3" w:rsidR="00AD439F">
        <w:t xml:space="preserve">. </w:t>
      </w:r>
      <w:r w:rsidRPr="001428D3" w:rsidR="008876F5">
        <w:t>They submitted that a number of facto</w:t>
      </w:r>
      <w:r w:rsidRPr="001428D3" w:rsidR="0044445A">
        <w:t xml:space="preserve">rs had to be taken into account, </w:t>
      </w:r>
      <w:r w:rsidRPr="001428D3" w:rsidR="00EF52C8">
        <w:t>such as</w:t>
      </w:r>
      <w:r w:rsidRPr="001428D3" w:rsidR="0044445A">
        <w:t xml:space="preserve"> </w:t>
      </w:r>
      <w:r w:rsidRPr="001428D3" w:rsidR="008876F5">
        <w:t>the frustration and anxiety stemming from being powerless witness</w:t>
      </w:r>
      <w:r w:rsidRPr="001428D3" w:rsidR="003E3277">
        <w:t>es</w:t>
      </w:r>
      <w:r w:rsidRPr="001428D3" w:rsidR="008876F5">
        <w:t xml:space="preserve"> to the abuses perpetrated by the Albanian authorities and from not being able to prevent the unlawful demolition of their properties</w:t>
      </w:r>
      <w:r w:rsidRPr="001428D3" w:rsidR="003E3277">
        <w:t>,</w:t>
      </w:r>
      <w:r w:rsidRPr="001428D3" w:rsidR="00410CFD">
        <w:t xml:space="preserve"> as well as</w:t>
      </w:r>
      <w:r w:rsidRPr="001428D3" w:rsidR="008876F5">
        <w:t xml:space="preserve"> the prolonged state of anxiety arising from not knowing whether they </w:t>
      </w:r>
      <w:r w:rsidRPr="001428D3" w:rsidR="003E3277">
        <w:t xml:space="preserve">would </w:t>
      </w:r>
      <w:r w:rsidRPr="001428D3" w:rsidR="008876F5">
        <w:t>ever be able to recover any compensation</w:t>
      </w:r>
      <w:r w:rsidRPr="001428D3" w:rsidR="00410CFD">
        <w:t xml:space="preserve">. </w:t>
      </w:r>
      <w:r w:rsidRPr="001428D3" w:rsidR="008876F5">
        <w:t xml:space="preserve">They also drew attention to the situation of the first and second </w:t>
      </w:r>
      <w:r w:rsidRPr="001428D3" w:rsidR="00C13C3A">
        <w:t>applicants</w:t>
      </w:r>
      <w:r w:rsidRPr="001428D3" w:rsidR="003E3277">
        <w:t>,</w:t>
      </w:r>
      <w:r w:rsidRPr="001428D3" w:rsidR="00C13C3A">
        <w:t xml:space="preserve"> who had been invest</w:t>
      </w:r>
      <w:r w:rsidRPr="001428D3" w:rsidR="0044445A">
        <w:t xml:space="preserve">ors in the Jon Residence and </w:t>
      </w:r>
      <w:r w:rsidRPr="001428D3" w:rsidR="003E3277">
        <w:t xml:space="preserve">had </w:t>
      </w:r>
      <w:r w:rsidRPr="001428D3" w:rsidR="008876F5">
        <w:t xml:space="preserve">eventually </w:t>
      </w:r>
      <w:r w:rsidRPr="001428D3" w:rsidR="003E3277">
        <w:t xml:space="preserve">been </w:t>
      </w:r>
      <w:r w:rsidRPr="001428D3" w:rsidR="008876F5">
        <w:t>forced to shut down their company at the end of 2015.</w:t>
      </w:r>
    </w:p>
    <w:p w:rsidRPr="001428D3" w:rsidR="005521CC" w:rsidP="001428D3" w:rsidRDefault="00051F8A">
      <w:pPr>
        <w:pStyle w:val="ECHRPara"/>
      </w:pPr>
      <w:r w:rsidRPr="001428D3">
        <w:fldChar w:fldCharType="begin"/>
      </w:r>
      <w:r w:rsidRPr="001428D3">
        <w:instrText xml:space="preserve"> SEQ level0 \*arabic </w:instrText>
      </w:r>
      <w:r w:rsidRPr="001428D3">
        <w:fldChar w:fldCharType="separate"/>
      </w:r>
      <w:r w:rsidRPr="001428D3" w:rsidR="001428D3">
        <w:rPr>
          <w:noProof/>
        </w:rPr>
        <w:t>203</w:t>
      </w:r>
      <w:r w:rsidRPr="001428D3">
        <w:fldChar w:fldCharType="end"/>
      </w:r>
      <w:r w:rsidRPr="001428D3">
        <w:t>.  The Gover</w:t>
      </w:r>
      <w:r w:rsidRPr="001428D3" w:rsidR="0021709C">
        <w:t xml:space="preserve">nment contested their arguments as </w:t>
      </w:r>
      <w:r w:rsidRPr="001428D3" w:rsidR="003A6C2D">
        <w:t>unsubstantiated</w:t>
      </w:r>
      <w:r w:rsidRPr="001428D3" w:rsidR="0021709C">
        <w:t xml:space="preserve"> on facts and evidence. </w:t>
      </w:r>
      <w:r w:rsidRPr="001428D3" w:rsidR="006022E2">
        <w:t xml:space="preserve">The applicants </w:t>
      </w:r>
      <w:r w:rsidRPr="001428D3" w:rsidR="008B0FF2">
        <w:t xml:space="preserve">had </w:t>
      </w:r>
      <w:r w:rsidRPr="001428D3" w:rsidR="006022E2">
        <w:t>failed to submit any evidence,</w:t>
      </w:r>
      <w:r w:rsidRPr="001428D3" w:rsidR="00BC4B69">
        <w:t xml:space="preserve"> either</w:t>
      </w:r>
      <w:r w:rsidRPr="001428D3" w:rsidR="006022E2">
        <w:t xml:space="preserve"> direct or indirect</w:t>
      </w:r>
      <w:r w:rsidRPr="001428D3" w:rsidR="003E3277">
        <w:t>,</w:t>
      </w:r>
      <w:r w:rsidRPr="001428D3" w:rsidR="006022E2">
        <w:t xml:space="preserve"> to prove the</w:t>
      </w:r>
      <w:r w:rsidRPr="001428D3" w:rsidR="00BC4B69">
        <w:t>y had suffered</w:t>
      </w:r>
      <w:r w:rsidRPr="001428D3" w:rsidR="006022E2">
        <w:t xml:space="preserve"> damage </w:t>
      </w:r>
      <w:r w:rsidRPr="001428D3" w:rsidR="009E49BE">
        <w:t xml:space="preserve">to their business </w:t>
      </w:r>
      <w:r w:rsidRPr="001428D3" w:rsidR="00BC4B69">
        <w:t>or</w:t>
      </w:r>
      <w:r w:rsidRPr="001428D3" w:rsidR="009E49BE">
        <w:t xml:space="preserve"> mental health. The applicants </w:t>
      </w:r>
      <w:r w:rsidRPr="001428D3" w:rsidR="00BC4B69">
        <w:t xml:space="preserve">had </w:t>
      </w:r>
      <w:r w:rsidRPr="001428D3" w:rsidR="009E49BE">
        <w:t>further failed to exhaust domestic remedies and had abused their right</w:t>
      </w:r>
      <w:r w:rsidRPr="001428D3" w:rsidR="00410CFD">
        <w:t xml:space="preserve"> of</w:t>
      </w:r>
      <w:r w:rsidRPr="001428D3" w:rsidR="009E49BE">
        <w:t xml:space="preserve"> application.</w:t>
      </w:r>
    </w:p>
    <w:p w:rsidRPr="001428D3" w:rsidR="009845BA"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204</w:t>
      </w:r>
      <w:r w:rsidRPr="001428D3">
        <w:rPr>
          <w:noProof/>
        </w:rPr>
        <w:fldChar w:fldCharType="end"/>
      </w:r>
      <w:r w:rsidRPr="001428D3" w:rsidR="00051F8A">
        <w:t xml:space="preserve">.  The Court </w:t>
      </w:r>
      <w:r w:rsidRPr="001428D3" w:rsidR="00794F70">
        <w:t>rejects the Government</w:t>
      </w:r>
      <w:r w:rsidRPr="001428D3" w:rsidR="001428D3">
        <w:t>’</w:t>
      </w:r>
      <w:r w:rsidRPr="001428D3" w:rsidR="00D460E0">
        <w:t>s objection about the non</w:t>
      </w:r>
      <w:r w:rsidRPr="001428D3" w:rsidR="00D460E0">
        <w:noBreakHyphen/>
      </w:r>
      <w:r w:rsidRPr="001428D3" w:rsidR="00794F70">
        <w:t xml:space="preserve">exhaustion of domestic remedies (see paragraph </w:t>
      </w:r>
      <w:r w:rsidRPr="001428D3" w:rsidR="00381CF6">
        <w:t>19</w:t>
      </w:r>
      <w:r w:rsidRPr="001428D3" w:rsidR="00EA6D20">
        <w:t>4</w:t>
      </w:r>
      <w:r w:rsidRPr="001428D3" w:rsidR="00381CF6">
        <w:t xml:space="preserve"> </w:t>
      </w:r>
      <w:r w:rsidRPr="001428D3" w:rsidR="00794F70">
        <w:t xml:space="preserve">above). </w:t>
      </w:r>
      <w:r w:rsidRPr="001428D3" w:rsidR="00410CFD">
        <w:t xml:space="preserve">Although the Court has not accepted the applications in their entirety, it does accept that the applicants have suffered non-pecuniary damage that cannot be made good by the findings of violations alone. Accordingly, making its assessment on an </w:t>
      </w:r>
      <w:r w:rsidRPr="001428D3" w:rsidR="00794F70">
        <w:t xml:space="preserve">equitable basis, </w:t>
      </w:r>
      <w:r w:rsidRPr="001428D3" w:rsidR="00410CFD">
        <w:t xml:space="preserve">the Court </w:t>
      </w:r>
      <w:r w:rsidRPr="001428D3" w:rsidR="00051F8A">
        <w:t xml:space="preserve">awards </w:t>
      </w:r>
      <w:r w:rsidRPr="001428D3" w:rsidR="00C90C3C">
        <w:t xml:space="preserve">to </w:t>
      </w:r>
      <w:r w:rsidRPr="001428D3" w:rsidR="004B1C5D">
        <w:t xml:space="preserve">each of the </w:t>
      </w:r>
      <w:r w:rsidRPr="001428D3" w:rsidR="00C90C3C">
        <w:t xml:space="preserve">applicants </w:t>
      </w:r>
      <w:r w:rsidRPr="001428D3" w:rsidR="00983E6F">
        <w:t xml:space="preserve">nos. 3-19 as </w:t>
      </w:r>
      <w:r w:rsidRPr="001428D3" w:rsidR="00385ECF">
        <w:t>listed</w:t>
      </w:r>
      <w:r w:rsidRPr="001428D3" w:rsidR="00983E6F">
        <w:t xml:space="preserve"> in the appendix,</w:t>
      </w:r>
      <w:r w:rsidRPr="001428D3" w:rsidR="004B1C5D">
        <w:t xml:space="preserve"> </w:t>
      </w:r>
      <w:r w:rsidRPr="001428D3" w:rsidR="00014566">
        <w:t>EUR</w:t>
      </w:r>
      <w:r w:rsidRPr="001428D3" w:rsidR="00794F70">
        <w:t> </w:t>
      </w:r>
      <w:r w:rsidRPr="001428D3" w:rsidR="0022544E">
        <w:t>13</w:t>
      </w:r>
      <w:r w:rsidRPr="001428D3" w:rsidR="00215226">
        <w:t>,</w:t>
      </w:r>
      <w:r w:rsidRPr="001428D3" w:rsidR="0022544E">
        <w:t>0</w:t>
      </w:r>
      <w:r w:rsidRPr="001428D3" w:rsidR="00215226">
        <w:t>00</w:t>
      </w:r>
      <w:r w:rsidRPr="001428D3" w:rsidR="00014566">
        <w:t xml:space="preserve"> in respect of non-pecuniary damage</w:t>
      </w:r>
      <w:r w:rsidRPr="001428D3" w:rsidR="00487026">
        <w:t xml:space="preserve"> for the suffering and the anguish they have experienced as a result of the violations under Article 6</w:t>
      </w:r>
      <w:r w:rsidRPr="001428D3" w:rsidR="009B0EA9">
        <w:t> </w:t>
      </w:r>
      <w:r w:rsidRPr="001428D3" w:rsidR="00487026">
        <w:t>§</w:t>
      </w:r>
      <w:r w:rsidRPr="001428D3" w:rsidR="00E40ABC">
        <w:t> </w:t>
      </w:r>
      <w:r w:rsidRPr="001428D3" w:rsidR="00487026">
        <w:t xml:space="preserve">1, Article </w:t>
      </w:r>
      <w:r w:rsidRPr="001428D3" w:rsidR="00D460E0">
        <w:t>8 and Article 1 of Protocol No. </w:t>
      </w:r>
      <w:r w:rsidRPr="001428D3" w:rsidR="00487026">
        <w:t>1 to the Convention</w:t>
      </w:r>
      <w:r w:rsidRPr="001428D3" w:rsidR="00014566">
        <w:t>.</w:t>
      </w:r>
    </w:p>
    <w:p w:rsidRPr="001428D3" w:rsidR="009845BA" w:rsidP="001428D3" w:rsidRDefault="002F01CE">
      <w:pPr>
        <w:pStyle w:val="ECHRPara"/>
      </w:pPr>
      <w:r w:rsidRPr="001428D3">
        <w:t xml:space="preserve">Furthermore, making its assessment on an equitable basis, the Court awards to each of the </w:t>
      </w:r>
      <w:r w:rsidRPr="001428D3" w:rsidR="004B1C5D">
        <w:t>first and second applicants, EUR 7,800</w:t>
      </w:r>
      <w:r w:rsidRPr="001428D3" w:rsidR="00464B09">
        <w:t xml:space="preserve"> in respect of non-pecuniary damage for the suffering and the anguish they have experienced as a result of the violations under Article 6 § 1 and Article 1 of Protocol No. 1 to the Convention.</w:t>
      </w:r>
    </w:p>
    <w:p w:rsidRPr="001428D3" w:rsidR="00014566" w:rsidP="001428D3" w:rsidRDefault="00014566">
      <w:pPr>
        <w:pStyle w:val="ECHRHeading2"/>
      </w:pPr>
      <w:bookmarkStart w:name="_Toc498016778" w:id="68"/>
      <w:r w:rsidRPr="001428D3">
        <w:t>B.  Costs and expenses</w:t>
      </w:r>
      <w:bookmarkEnd w:id="68"/>
    </w:p>
    <w:p w:rsidRPr="001428D3" w:rsidR="005521CC" w:rsidP="001428D3" w:rsidRDefault="00051F8A">
      <w:pPr>
        <w:pStyle w:val="ECHRPara"/>
      </w:pPr>
      <w:r w:rsidRPr="001428D3">
        <w:fldChar w:fldCharType="begin"/>
      </w:r>
      <w:r w:rsidRPr="001428D3">
        <w:instrText xml:space="preserve"> SEQ level0 \*arabic </w:instrText>
      </w:r>
      <w:r w:rsidRPr="001428D3">
        <w:fldChar w:fldCharType="separate"/>
      </w:r>
      <w:r w:rsidRPr="001428D3" w:rsidR="001428D3">
        <w:rPr>
          <w:noProof/>
        </w:rPr>
        <w:t>205</w:t>
      </w:r>
      <w:r w:rsidRPr="001428D3">
        <w:fldChar w:fldCharType="end"/>
      </w:r>
      <w:r w:rsidRPr="001428D3">
        <w:t>.  </w:t>
      </w:r>
      <w:r w:rsidRPr="001428D3" w:rsidR="009E49BE">
        <w:t>The applicants submitted the following claims in respect of costs and expenses</w:t>
      </w:r>
      <w:r w:rsidRPr="001428D3">
        <w:t>:</w:t>
      </w:r>
    </w:p>
    <w:p w:rsidRPr="001428D3" w:rsidR="005521CC" w:rsidP="001428D3" w:rsidRDefault="00051F8A">
      <w:pPr>
        <w:pStyle w:val="ECHRPara"/>
      </w:pPr>
      <w:r w:rsidRPr="001428D3">
        <w:t>(i)  ALL 11,409,852</w:t>
      </w:r>
      <w:r w:rsidRPr="001428D3" w:rsidR="001C766D">
        <w:t xml:space="preserve">.52 corresponding to the </w:t>
      </w:r>
      <w:r w:rsidRPr="001428D3" w:rsidR="00BC4B69">
        <w:t xml:space="preserve">court </w:t>
      </w:r>
      <w:r w:rsidRPr="001428D3" w:rsidR="001C766D">
        <w:t>fee</w:t>
      </w:r>
      <w:r w:rsidRPr="001428D3" w:rsidR="00BC4B69">
        <w:t>s</w:t>
      </w:r>
      <w:r w:rsidRPr="001428D3" w:rsidR="001C766D">
        <w:t xml:space="preserve"> for the institution of the domestic judicial proceedings t</w:t>
      </w:r>
      <w:r w:rsidRPr="001428D3">
        <w:t xml:space="preserve">o </w:t>
      </w:r>
      <w:r w:rsidRPr="001428D3" w:rsidR="008B0FF2">
        <w:t>the first applicant,</w:t>
      </w:r>
      <w:r w:rsidRPr="001428D3" w:rsidR="001C766D">
        <w:t xml:space="preserve"> who on behalf of all applicants paid the</w:t>
      </w:r>
      <w:r w:rsidRPr="001428D3" w:rsidR="001E2CF6">
        <w:t xml:space="preserve"> </w:t>
      </w:r>
      <w:r w:rsidRPr="001428D3" w:rsidR="00BC4B69">
        <w:t>court fees</w:t>
      </w:r>
      <w:r w:rsidRPr="001428D3" w:rsidR="001C766D">
        <w:t>;</w:t>
      </w:r>
    </w:p>
    <w:p w:rsidRPr="001428D3" w:rsidR="005521CC" w:rsidP="001428D3" w:rsidRDefault="00051F8A">
      <w:pPr>
        <w:pStyle w:val="ECHRPara"/>
      </w:pPr>
      <w:r w:rsidRPr="001428D3">
        <w:t xml:space="preserve">(ii)  EUR </w:t>
      </w:r>
      <w:r w:rsidRPr="001428D3" w:rsidR="002173C3">
        <w:t>9,600</w:t>
      </w:r>
      <w:r w:rsidRPr="001428D3">
        <w:t xml:space="preserve"> to </w:t>
      </w:r>
      <w:r w:rsidRPr="001428D3" w:rsidR="001C766D">
        <w:t>the</w:t>
      </w:r>
      <w:r w:rsidRPr="001428D3">
        <w:t xml:space="preserve"> applicants</w:t>
      </w:r>
      <w:r w:rsidRPr="001428D3" w:rsidR="001C766D">
        <w:t xml:space="preserve"> M. Hanxhari, T. Pojani, G. Calliku, M.</w:t>
      </w:r>
      <w:r w:rsidRPr="001428D3" w:rsidR="00E40ABC">
        <w:t> </w:t>
      </w:r>
      <w:r w:rsidRPr="001428D3" w:rsidR="001C766D">
        <w:t>Mecaj, E. Durolli, B. Rakipaj, P. Rakipaj, A. Deromemaj</w:t>
      </w:r>
      <w:r w:rsidRPr="001428D3" w:rsidR="00875342">
        <w:t xml:space="preserve"> (EUR 1,200 each)</w:t>
      </w:r>
      <w:r w:rsidRPr="001428D3">
        <w:t>, in respect of costs and expenses incurred at domestic level (</w:t>
      </w:r>
      <w:r w:rsidRPr="001428D3" w:rsidR="00BC4B69">
        <w:t>the</w:t>
      </w:r>
      <w:r w:rsidRPr="001428D3" w:rsidR="0038783B">
        <w:t> </w:t>
      </w:r>
      <w:r w:rsidRPr="001428D3">
        <w:t xml:space="preserve">payment made </w:t>
      </w:r>
      <w:r w:rsidRPr="001428D3" w:rsidR="00BC4B69">
        <w:t xml:space="preserve">to </w:t>
      </w:r>
      <w:r w:rsidRPr="001428D3">
        <w:t xml:space="preserve">their </w:t>
      </w:r>
      <w:r w:rsidRPr="001428D3" w:rsidR="001C766D">
        <w:t>lawyer in the proceedings</w:t>
      </w:r>
      <w:r w:rsidRPr="001428D3">
        <w:t xml:space="preserve"> before the domestic courts);</w:t>
      </w:r>
    </w:p>
    <w:p w:rsidRPr="001428D3" w:rsidR="005521CC" w:rsidP="001428D3" w:rsidRDefault="00051F8A">
      <w:pPr>
        <w:pStyle w:val="ECHRPara"/>
      </w:pPr>
      <w:r w:rsidRPr="001428D3">
        <w:t>(iii)  EUR 33,750.00 jointly to all applicants, in respect of costs and expenses incurred in the proceedings before the Court.</w:t>
      </w:r>
      <w:r w:rsidRPr="001428D3" w:rsidR="003C5D25">
        <w:t xml:space="preserve"> O</w:t>
      </w:r>
      <w:r w:rsidRPr="001428D3" w:rsidR="00817622">
        <w:t xml:space="preserve">n 3 May 2017 the applicants submitted additional claims for costs and expenses </w:t>
      </w:r>
      <w:r w:rsidRPr="001428D3" w:rsidR="00350E85">
        <w:t xml:space="preserve">incurred before the Court </w:t>
      </w:r>
      <w:r w:rsidRPr="001428D3" w:rsidR="00817622">
        <w:t>as follows: EUR 2,582.63 in respect of the lawyers</w:t>
      </w:r>
      <w:r w:rsidRPr="001428D3" w:rsidR="001428D3">
        <w:t>’</w:t>
      </w:r>
      <w:r w:rsidRPr="001428D3" w:rsidR="00817622">
        <w:t xml:space="preserve"> expenses incurred for their participation in the hearing held on 23</w:t>
      </w:r>
      <w:r w:rsidRPr="001428D3" w:rsidR="00BC4F7C">
        <w:t> </w:t>
      </w:r>
      <w:r w:rsidRPr="001428D3" w:rsidR="00817622">
        <w:t>May</w:t>
      </w:r>
      <w:r w:rsidRPr="001428D3" w:rsidR="0038783B">
        <w:t> </w:t>
      </w:r>
      <w:r w:rsidRPr="001428D3" w:rsidR="00817622">
        <w:t xml:space="preserve">2017, and EUR 1,500 in respect of the preparation of the additional expert report submitted on 3 May </w:t>
      </w:r>
      <w:r w:rsidRPr="001428D3" w:rsidR="00BA6FE1">
        <w:t>2017</w:t>
      </w:r>
      <w:r w:rsidRPr="001428D3" w:rsidR="00817622">
        <w:t>.</w:t>
      </w:r>
    </w:p>
    <w:p w:rsidRPr="001428D3" w:rsidR="005521CC"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206</w:t>
      </w:r>
      <w:r w:rsidRPr="001428D3">
        <w:fldChar w:fldCharType="end"/>
      </w:r>
      <w:r w:rsidRPr="001428D3" w:rsidR="00014566">
        <w:t xml:space="preserve">.  The Government </w:t>
      </w:r>
      <w:r w:rsidRPr="001428D3" w:rsidR="0021709C">
        <w:t xml:space="preserve">submitted that the legal costs </w:t>
      </w:r>
      <w:r w:rsidRPr="001428D3" w:rsidR="00BC4B69">
        <w:t>of</w:t>
      </w:r>
      <w:r w:rsidRPr="001428D3" w:rsidR="00E52E79">
        <w:t xml:space="preserve"> the domestic proceedings were </w:t>
      </w:r>
      <w:r w:rsidRPr="001428D3" w:rsidR="00BC4B69">
        <w:t>payable by</w:t>
      </w:r>
      <w:r w:rsidRPr="001428D3" w:rsidR="00E52E79">
        <w:t xml:space="preserve"> the losing party in those proceedings, the Albanian State. Given that the domestic proceedings were still pending, despite the unfounded and abusive claims, the claims were premature since the proceedings were pending before the </w:t>
      </w:r>
      <w:r w:rsidRPr="001428D3" w:rsidR="003C5D25">
        <w:t>Supreme Court</w:t>
      </w:r>
      <w:r w:rsidRPr="001428D3" w:rsidR="00E52E79">
        <w:t xml:space="preserve">. As regards the costs and expenses incurred before the Court </w:t>
      </w:r>
      <w:r w:rsidRPr="001428D3" w:rsidR="00BC4B69">
        <w:t xml:space="preserve">these </w:t>
      </w:r>
      <w:r w:rsidRPr="001428D3" w:rsidR="00E52E79">
        <w:t xml:space="preserve">were exaggerated, speculative and not necessarily incurred. </w:t>
      </w:r>
      <w:r w:rsidRPr="001428D3" w:rsidR="00E352F1">
        <w:t xml:space="preserve">The Government submitted that the applicants </w:t>
      </w:r>
      <w:r w:rsidRPr="001428D3" w:rsidR="002173C3">
        <w:t xml:space="preserve">had </w:t>
      </w:r>
      <w:r w:rsidRPr="001428D3" w:rsidR="00E352F1">
        <w:t>failed to submit detailed receipts, as provided by the tax authorities, in accordance with domestic law.</w:t>
      </w:r>
    </w:p>
    <w:p w:rsidRPr="001428D3" w:rsidR="0071341D" w:rsidP="001428D3" w:rsidRDefault="008C0F5E">
      <w:pPr>
        <w:pStyle w:val="ECHRPara"/>
      </w:pPr>
      <w:r w:rsidRPr="001428D3">
        <w:fldChar w:fldCharType="begin"/>
      </w:r>
      <w:r w:rsidRPr="001428D3">
        <w:instrText xml:space="preserve"> SEQ level0 \*arabic </w:instrText>
      </w:r>
      <w:r w:rsidRPr="001428D3">
        <w:fldChar w:fldCharType="separate"/>
      </w:r>
      <w:r w:rsidRPr="001428D3" w:rsidR="001428D3">
        <w:rPr>
          <w:noProof/>
        </w:rPr>
        <w:t>207</w:t>
      </w:r>
      <w:r w:rsidRPr="001428D3">
        <w:fldChar w:fldCharType="end"/>
      </w:r>
      <w:r w:rsidRPr="001428D3">
        <w:t>.  According to the Court</w:t>
      </w:r>
      <w:r w:rsidRPr="001428D3" w:rsidR="001428D3">
        <w:t>’</w:t>
      </w:r>
      <w:r w:rsidRPr="001428D3">
        <w:t xml:space="preserve">s case-law, an applicant is entitled to the reimbursement of costs and expenses only in so far as it has been shown that these have been actually and necessarily incurred and are reasonable as to quantum (see, for example, </w:t>
      </w:r>
      <w:r w:rsidRPr="001428D3">
        <w:rPr>
          <w:i/>
        </w:rPr>
        <w:t>Gjyli</w:t>
      </w:r>
      <w:r w:rsidRPr="001428D3">
        <w:t xml:space="preserve">, </w:t>
      </w:r>
      <w:r w:rsidRPr="001428D3" w:rsidR="00BB201F">
        <w:t>cited above, § 72</w:t>
      </w:r>
      <w:r w:rsidRPr="001428D3">
        <w:t>). To this end, Rule 60 §§ 2 and 3 of the Rules of Court states that applicants must enclose with their claims for just satisfaction “any relevant supporting documents”, failing which the Court “may reject the claims in whole or in part”.</w:t>
      </w:r>
    </w:p>
    <w:p w:rsidRPr="001428D3" w:rsidR="00340BB1" w:rsidP="001428D3" w:rsidRDefault="00C35B88">
      <w:pPr>
        <w:pStyle w:val="ECHRPara"/>
      </w:pPr>
      <w:r w:rsidRPr="001428D3">
        <w:fldChar w:fldCharType="begin"/>
      </w:r>
      <w:r w:rsidRPr="001428D3">
        <w:instrText xml:space="preserve"> SEQ level0 \*arabic </w:instrText>
      </w:r>
      <w:r w:rsidRPr="001428D3">
        <w:fldChar w:fldCharType="separate"/>
      </w:r>
      <w:r w:rsidRPr="001428D3" w:rsidR="001428D3">
        <w:rPr>
          <w:noProof/>
        </w:rPr>
        <w:t>208</w:t>
      </w:r>
      <w:r w:rsidRPr="001428D3">
        <w:rPr>
          <w:noProof/>
        </w:rPr>
        <w:fldChar w:fldCharType="end"/>
      </w:r>
      <w:r w:rsidRPr="001428D3" w:rsidR="00C50DE4">
        <w:t>.  </w:t>
      </w:r>
      <w:r w:rsidRPr="001428D3" w:rsidR="0009313F">
        <w:t>The Court notes</w:t>
      </w:r>
      <w:r w:rsidRPr="001428D3" w:rsidR="00193040">
        <w:t xml:space="preserve"> that the </w:t>
      </w:r>
      <w:r w:rsidRPr="001428D3" w:rsidR="00926431">
        <w:t xml:space="preserve">domestic courts </w:t>
      </w:r>
      <w:r w:rsidRPr="001428D3" w:rsidR="00193040">
        <w:t xml:space="preserve">awarded </w:t>
      </w:r>
      <w:r w:rsidRPr="001428D3" w:rsidR="0009313F">
        <w:t>all</w:t>
      </w:r>
      <w:r w:rsidRPr="001428D3" w:rsidR="00193040">
        <w:t xml:space="preserve"> applicants costs and expenses related to the </w:t>
      </w:r>
      <w:r w:rsidRPr="001428D3" w:rsidR="00BC4B69">
        <w:t>court fees</w:t>
      </w:r>
      <w:r w:rsidRPr="001428D3" w:rsidR="00193040">
        <w:t xml:space="preserve"> for the institution of the domestic judicial proceedings, and their representation before the domestic courts</w:t>
      </w:r>
      <w:r w:rsidRPr="001428D3" w:rsidR="00FE282E">
        <w:t xml:space="preserve"> (see paragraphs </w:t>
      </w:r>
      <w:r w:rsidRPr="001428D3" w:rsidR="00926431">
        <w:t>39</w:t>
      </w:r>
      <w:r w:rsidRPr="001428D3" w:rsidR="00FE282E">
        <w:t xml:space="preserve"> and 4</w:t>
      </w:r>
      <w:r w:rsidRPr="001428D3" w:rsidR="00926431">
        <w:t>1</w:t>
      </w:r>
      <w:r w:rsidRPr="001428D3" w:rsidR="00FE282E">
        <w:t xml:space="preserve"> above)</w:t>
      </w:r>
      <w:r w:rsidRPr="001428D3" w:rsidR="00193040">
        <w:t>. Nevertheless, as</w:t>
      </w:r>
      <w:r w:rsidRPr="001428D3" w:rsidR="00D97023">
        <w:t xml:space="preserve"> regards the </w:t>
      </w:r>
      <w:r w:rsidRPr="001428D3" w:rsidR="00BC4B69">
        <w:t>court fees</w:t>
      </w:r>
      <w:r w:rsidRPr="001428D3" w:rsidR="00D97023">
        <w:t xml:space="preserve"> for the institution of the domestic judicial proceedings, the Court </w:t>
      </w:r>
      <w:r w:rsidRPr="001428D3" w:rsidR="00B643CE">
        <w:t xml:space="preserve">awards the applicants </w:t>
      </w:r>
      <w:r w:rsidRPr="001428D3" w:rsidR="00565B52">
        <w:t>EUR 8</w:t>
      </w:r>
      <w:r w:rsidRPr="001428D3" w:rsidR="008F37B0">
        <w:t>4</w:t>
      </w:r>
      <w:r w:rsidRPr="001428D3" w:rsidR="00565B52">
        <w:t>,</w:t>
      </w:r>
      <w:r w:rsidRPr="001428D3" w:rsidR="008F37B0">
        <w:t>5</w:t>
      </w:r>
      <w:r w:rsidRPr="001428D3" w:rsidR="00565B52">
        <w:t xml:space="preserve">00. </w:t>
      </w:r>
      <w:r w:rsidRPr="001428D3" w:rsidR="00DE09B4">
        <w:t>A</w:t>
      </w:r>
      <w:r w:rsidRPr="001428D3" w:rsidR="00875342">
        <w:t xml:space="preserve">s regards the costs and expenses for the representation before the domestic courts, the Court considers it reasonable to award EUR </w:t>
      </w:r>
      <w:r w:rsidRPr="001428D3" w:rsidR="006F1D3D">
        <w:t xml:space="preserve">9,600 </w:t>
      </w:r>
      <w:r w:rsidRPr="001428D3" w:rsidR="00C50DE4">
        <w:t xml:space="preserve">to </w:t>
      </w:r>
      <w:r w:rsidRPr="001428D3" w:rsidR="00CB0C35">
        <w:t xml:space="preserve">the applicants </w:t>
      </w:r>
      <w:r w:rsidRPr="001428D3" w:rsidR="00D460E0">
        <w:t>M. Hanxhari, T. Pojani, G. </w:t>
      </w:r>
      <w:r w:rsidRPr="001428D3" w:rsidR="00C50DE4">
        <w:t>Calliku, M. Mecaj, E. Durolli, B.</w:t>
      </w:r>
      <w:r w:rsidRPr="001428D3" w:rsidR="0038783B">
        <w:t> </w:t>
      </w:r>
      <w:r w:rsidRPr="001428D3" w:rsidR="00C50DE4">
        <w:t>Rakipaj, P. Rakipaj, A. Deromemaj</w:t>
      </w:r>
      <w:r w:rsidRPr="001428D3" w:rsidR="007B2017">
        <w:t>, jointly</w:t>
      </w:r>
      <w:r w:rsidRPr="001428D3" w:rsidR="00CB0C35">
        <w:t xml:space="preserve">. </w:t>
      </w:r>
      <w:r w:rsidRPr="001428D3" w:rsidR="00CE15C3">
        <w:t xml:space="preserve">It will then be for the Albanian courts, </w:t>
      </w:r>
      <w:r w:rsidRPr="001428D3" w:rsidR="003019C3">
        <w:t>if they deem it appropriate</w:t>
      </w:r>
      <w:r w:rsidRPr="001428D3" w:rsidR="00CE15C3">
        <w:t>, to take account of</w:t>
      </w:r>
      <w:r w:rsidRPr="001428D3" w:rsidR="003019C3">
        <w:t xml:space="preserve"> the Court</w:t>
      </w:r>
      <w:r w:rsidRPr="001428D3" w:rsidR="001428D3">
        <w:t>’</w:t>
      </w:r>
      <w:r w:rsidRPr="001428D3" w:rsidR="003019C3">
        <w:t>s awards</w:t>
      </w:r>
      <w:r w:rsidRPr="001428D3" w:rsidR="000D166A">
        <w:t xml:space="preserve"> </w:t>
      </w:r>
      <w:r w:rsidRPr="001428D3" w:rsidR="00CE15C3">
        <w:rPr>
          <w:lang w:val="en"/>
        </w:rPr>
        <w:t xml:space="preserve">(see </w:t>
      </w:r>
      <w:r w:rsidRPr="001428D3" w:rsidR="00CE15C3">
        <w:rPr>
          <w:i/>
          <w:lang w:val="en"/>
        </w:rPr>
        <w:t>mutatis mutandis</w:t>
      </w:r>
      <w:r w:rsidRPr="001428D3" w:rsidR="00CE15C3">
        <w:rPr>
          <w:lang w:val="en"/>
        </w:rPr>
        <w:t xml:space="preserve">, </w:t>
      </w:r>
      <w:r w:rsidRPr="001428D3" w:rsidR="00CE15C3">
        <w:rPr>
          <w:i/>
        </w:rPr>
        <w:t>Silva Barreira Júnior</w:t>
      </w:r>
      <w:r w:rsidRPr="001428D3" w:rsidR="000D166A">
        <w:t>,</w:t>
      </w:r>
      <w:r w:rsidRPr="001428D3" w:rsidR="00CE15C3">
        <w:rPr>
          <w:i/>
        </w:rPr>
        <w:t xml:space="preserve"> </w:t>
      </w:r>
      <w:r w:rsidRPr="001428D3" w:rsidR="000D166A">
        <w:t>cited above</w:t>
      </w:r>
      <w:r w:rsidRPr="001428D3" w:rsidR="00CE15C3">
        <w:rPr>
          <w:snapToGrid w:val="0"/>
        </w:rPr>
        <w:t>, §</w:t>
      </w:r>
      <w:r w:rsidRPr="001428D3" w:rsidR="000D166A">
        <w:rPr>
          <w:snapToGrid w:val="0"/>
        </w:rPr>
        <w:t xml:space="preserve"> 40</w:t>
      </w:r>
      <w:r w:rsidRPr="001428D3" w:rsidR="00CE15C3">
        <w:t>).</w:t>
      </w:r>
    </w:p>
    <w:p w:rsidRPr="001428D3" w:rsidR="009845BA" w:rsidP="001428D3" w:rsidRDefault="00C50DE4">
      <w:pPr>
        <w:pStyle w:val="ECHRPara"/>
      </w:pPr>
      <w:r w:rsidRPr="001428D3">
        <w:rPr>
          <w:lang w:val="it-IT"/>
        </w:rPr>
        <w:fldChar w:fldCharType="begin"/>
      </w:r>
      <w:r w:rsidRPr="001428D3">
        <w:instrText xml:space="preserve"> SEQ level0 \*arabic </w:instrText>
      </w:r>
      <w:r w:rsidRPr="001428D3">
        <w:rPr>
          <w:lang w:val="it-IT"/>
        </w:rPr>
        <w:fldChar w:fldCharType="separate"/>
      </w:r>
      <w:r w:rsidRPr="001428D3" w:rsidR="001428D3">
        <w:rPr>
          <w:noProof/>
        </w:rPr>
        <w:t>209</w:t>
      </w:r>
      <w:r w:rsidRPr="001428D3">
        <w:rPr>
          <w:lang w:val="it-IT"/>
        </w:rPr>
        <w:fldChar w:fldCharType="end"/>
      </w:r>
      <w:r w:rsidRPr="001428D3">
        <w:t>.  </w:t>
      </w:r>
      <w:r w:rsidRPr="001428D3" w:rsidR="00DE09B4">
        <w:t>As regards the costs and expenses incurred before the Court, the Court cannot accept the Government</w:t>
      </w:r>
      <w:r w:rsidRPr="001428D3" w:rsidR="001428D3">
        <w:t>’</w:t>
      </w:r>
      <w:r w:rsidRPr="001428D3" w:rsidR="00DE09B4">
        <w:t xml:space="preserve">s suggestion that invoices officially approved by the tax authorities are required: there is no such obligation under the Convention, it not being for this Court to regulate the relationship between a taxpayer and the State (see </w:t>
      </w:r>
      <w:r w:rsidRPr="001428D3" w:rsidR="00DE09B4">
        <w:rPr>
          <w:i/>
        </w:rPr>
        <w:t>Delijorgji v. Albania</w:t>
      </w:r>
      <w:r w:rsidRPr="001428D3" w:rsidR="00DE09B4">
        <w:t>, no. 6858/11</w:t>
      </w:r>
      <w:r w:rsidRPr="001428D3" w:rsidR="00DE09B4">
        <w:rPr>
          <w:snapToGrid w:val="0"/>
        </w:rPr>
        <w:t>, §</w:t>
      </w:r>
      <w:r w:rsidRPr="001428D3" w:rsidR="00F6204F">
        <w:rPr>
          <w:snapToGrid w:val="0"/>
        </w:rPr>
        <w:t> </w:t>
      </w:r>
      <w:r w:rsidRPr="001428D3" w:rsidR="00DE09B4">
        <w:rPr>
          <w:snapToGrid w:val="0"/>
        </w:rPr>
        <w:t xml:space="preserve">100, 28 </w:t>
      </w:r>
      <w:r w:rsidRPr="001428D3" w:rsidR="00DE09B4">
        <w:t>April</w:t>
      </w:r>
      <w:r w:rsidRPr="001428D3" w:rsidR="00DE09B4">
        <w:rPr>
          <w:snapToGrid w:val="0"/>
        </w:rPr>
        <w:t xml:space="preserve"> 2015)</w:t>
      </w:r>
      <w:r w:rsidRPr="001428D3" w:rsidR="00DE09B4">
        <w:t>.</w:t>
      </w:r>
    </w:p>
    <w:p w:rsidRPr="001428D3" w:rsidR="0061656B" w:rsidP="001428D3" w:rsidRDefault="00DE09B4">
      <w:pPr>
        <w:pStyle w:val="ECHRPara"/>
      </w:pPr>
      <w:r w:rsidRPr="001428D3">
        <w:t>The Court has no reason to doubt that the applicants</w:t>
      </w:r>
      <w:r w:rsidRPr="001428D3" w:rsidR="00777570">
        <w:t xml:space="preserve"> incurred expenses before the Court</w:t>
      </w:r>
      <w:r w:rsidRPr="001428D3" w:rsidR="0061656B">
        <w:t xml:space="preserve"> since it is in possession of an invoice which </w:t>
      </w:r>
      <w:r w:rsidRPr="001428D3" w:rsidR="00BC4B69">
        <w:t xml:space="preserve">contains </w:t>
      </w:r>
      <w:r w:rsidRPr="001428D3" w:rsidR="0061656B">
        <w:t xml:space="preserve">a detailed breakdown of the number of hours billed and the corresponding hourly rate. However, the Court considers that the expenses incurred during the Convention proceedings were not reasonable as to </w:t>
      </w:r>
      <w:r w:rsidRPr="001428D3" w:rsidR="0061656B">
        <w:rPr>
          <w:i/>
        </w:rPr>
        <w:t>quantum</w:t>
      </w:r>
      <w:r w:rsidRPr="001428D3" w:rsidR="0061656B">
        <w:t>. Making its own estimate based on the information contained in the case file, the Court considers it reasonable to award EUR 1</w:t>
      </w:r>
      <w:r w:rsidRPr="001428D3" w:rsidR="00E71204">
        <w:t>8</w:t>
      </w:r>
      <w:r w:rsidRPr="001428D3" w:rsidR="0061656B">
        <w:t xml:space="preserve">,000 in respect of legal costs and expenses incurred before the Court under all heads (see </w:t>
      </w:r>
      <w:r w:rsidRPr="001428D3" w:rsidR="00D460E0">
        <w:rPr>
          <w:i/>
        </w:rPr>
        <w:t>Mullai and Others </w:t>
      </w:r>
      <w:r w:rsidRPr="001428D3" w:rsidR="0061656B">
        <w:rPr>
          <w:i/>
        </w:rPr>
        <w:t xml:space="preserve">v. Albania </w:t>
      </w:r>
      <w:r w:rsidRPr="001428D3" w:rsidR="0061656B">
        <w:t>(just satisfaction – strik</w:t>
      </w:r>
      <w:r w:rsidRPr="001428D3" w:rsidR="00D460E0">
        <w:t>ing out), no. 9074/07, § 18, 18 </w:t>
      </w:r>
      <w:r w:rsidRPr="001428D3" w:rsidR="0061656B">
        <w:t>October 2011).</w:t>
      </w:r>
    </w:p>
    <w:p w:rsidRPr="001428D3" w:rsidR="00014566" w:rsidP="001428D3" w:rsidRDefault="00014566">
      <w:pPr>
        <w:pStyle w:val="ECHRHeading2"/>
      </w:pPr>
      <w:bookmarkStart w:name="_Toc498016779" w:id="69"/>
      <w:r w:rsidRPr="001428D3">
        <w:t>C.  Default interest</w:t>
      </w:r>
      <w:bookmarkEnd w:id="69"/>
    </w:p>
    <w:p w:rsidRPr="001428D3" w:rsidR="00014566" w:rsidP="001428D3" w:rsidRDefault="007133FE">
      <w:pPr>
        <w:pStyle w:val="ECHRPara"/>
      </w:pPr>
      <w:r w:rsidRPr="001428D3">
        <w:fldChar w:fldCharType="begin"/>
      </w:r>
      <w:r w:rsidRPr="001428D3">
        <w:instrText xml:space="preserve"> SEQ level0 \*arabic </w:instrText>
      </w:r>
      <w:r w:rsidRPr="001428D3">
        <w:fldChar w:fldCharType="separate"/>
      </w:r>
      <w:r w:rsidRPr="001428D3" w:rsidR="001428D3">
        <w:rPr>
          <w:noProof/>
        </w:rPr>
        <w:t>210</w:t>
      </w:r>
      <w:r w:rsidRPr="001428D3">
        <w:fldChar w:fldCharType="end"/>
      </w:r>
      <w:r w:rsidRPr="001428D3" w:rsidR="00014566">
        <w:t>.  The Court considers it appropriate that the default interest rate should be based on the marginal lending rate of the European Central Bank, to which should be added three percentage points.</w:t>
      </w:r>
    </w:p>
    <w:p w:rsidRPr="001428D3" w:rsidR="00014566" w:rsidP="001428D3" w:rsidRDefault="00BB5883">
      <w:pPr>
        <w:pStyle w:val="ECHRTitle1"/>
      </w:pPr>
      <w:bookmarkStart w:name="_Toc498016369" w:id="70"/>
      <w:bookmarkStart w:name="_Toc498016780" w:id="71"/>
      <w:r w:rsidRPr="001428D3">
        <w:t>FOR THESE REASONS, THE COURT</w:t>
      </w:r>
      <w:r w:rsidRPr="001428D3" w:rsidR="007133FE">
        <w:t>, UNANIMOUSLY,</w:t>
      </w:r>
      <w:bookmarkEnd w:id="70"/>
      <w:bookmarkEnd w:id="71"/>
    </w:p>
    <w:p w:rsidRPr="001428D3" w:rsidR="005521CC" w:rsidP="001428D3" w:rsidRDefault="00B637B9">
      <w:pPr>
        <w:pStyle w:val="JuList"/>
      </w:pPr>
      <w:r w:rsidRPr="001428D3">
        <w:t>1.  </w:t>
      </w:r>
      <w:r w:rsidRPr="001428D3" w:rsidR="002F568E">
        <w:rPr>
          <w:i/>
        </w:rPr>
        <w:t>Decides</w:t>
      </w:r>
      <w:r w:rsidRPr="001428D3" w:rsidR="002F568E">
        <w:t xml:space="preserve"> to join to the merits of the complaint</w:t>
      </w:r>
      <w:r w:rsidRPr="001428D3" w:rsidR="0030795E">
        <w:t>s</w:t>
      </w:r>
      <w:r w:rsidRPr="001428D3" w:rsidR="002F568E">
        <w:t xml:space="preserve"> under Article 13, in conjunction with Articles 6</w:t>
      </w:r>
      <w:r w:rsidRPr="001428D3" w:rsidR="000239F4">
        <w:t xml:space="preserve"> </w:t>
      </w:r>
      <w:r w:rsidRPr="001428D3" w:rsidR="002F568E">
        <w:t>and</w:t>
      </w:r>
      <w:r w:rsidRPr="001428D3" w:rsidR="000239F4">
        <w:t xml:space="preserve"> Article</w:t>
      </w:r>
      <w:r w:rsidRPr="001428D3" w:rsidR="002F568E">
        <w:t xml:space="preserve"> 1 of Protocol No. 1 to the Convention</w:t>
      </w:r>
      <w:r w:rsidRPr="001428D3" w:rsidR="009B4B7D">
        <w:t xml:space="preserve"> in respect of all applicants, and in conjunction with Article 8 of the Convention in respect of applicants nos. 3-19 as </w:t>
      </w:r>
      <w:r w:rsidRPr="001428D3" w:rsidR="00385ECF">
        <w:t xml:space="preserve">listed </w:t>
      </w:r>
      <w:r w:rsidRPr="001428D3" w:rsidR="009B4B7D">
        <w:t>in the appendix</w:t>
      </w:r>
      <w:r w:rsidRPr="001428D3" w:rsidR="002F568E">
        <w:t xml:space="preserve">, the </w:t>
      </w:r>
      <w:r w:rsidRPr="001428D3" w:rsidR="0030795E">
        <w:t>Government</w:t>
      </w:r>
      <w:r w:rsidRPr="001428D3" w:rsidR="001428D3">
        <w:t>’</w:t>
      </w:r>
      <w:r w:rsidRPr="001428D3" w:rsidR="0030795E">
        <w:t xml:space="preserve">s objections of non-exhaustion of domestic </w:t>
      </w:r>
      <w:r w:rsidRPr="001428D3" w:rsidR="00D01AB1">
        <w:t xml:space="preserve">remedies and </w:t>
      </w:r>
      <w:r w:rsidRPr="001428D3" w:rsidR="002F568E">
        <w:t>dismisses them;</w:t>
      </w:r>
    </w:p>
    <w:p w:rsidRPr="001428D3" w:rsidR="00CC3167" w:rsidP="001428D3" w:rsidRDefault="00CC3167">
      <w:pPr>
        <w:pStyle w:val="JuList"/>
      </w:pPr>
    </w:p>
    <w:p w:rsidRPr="001428D3" w:rsidR="00B637B9" w:rsidP="001428D3" w:rsidRDefault="0030795E">
      <w:pPr>
        <w:pStyle w:val="JuList"/>
      </w:pPr>
      <w:r w:rsidRPr="001428D3">
        <w:t>2</w:t>
      </w:r>
      <w:r w:rsidRPr="001428D3" w:rsidR="002F568E">
        <w:rPr>
          <w:i/>
        </w:rPr>
        <w:t>.  </w:t>
      </w:r>
      <w:r w:rsidRPr="001428D3" w:rsidR="00B637B9">
        <w:rPr>
          <w:i/>
        </w:rPr>
        <w:t>Declares</w:t>
      </w:r>
      <w:r w:rsidRPr="001428D3" w:rsidR="007133FE">
        <w:t xml:space="preserve"> </w:t>
      </w:r>
      <w:r w:rsidRPr="001428D3" w:rsidR="00BF0D3A">
        <w:t xml:space="preserve">admissible </w:t>
      </w:r>
      <w:r w:rsidRPr="001428D3" w:rsidR="00B637B9">
        <w:t xml:space="preserve">the complaints concerning </w:t>
      </w:r>
      <w:r w:rsidRPr="001428D3" w:rsidR="00A4568A">
        <w:t>Article</w:t>
      </w:r>
      <w:r w:rsidRPr="001428D3" w:rsidR="009B4B7D">
        <w:t>s</w:t>
      </w:r>
      <w:r w:rsidRPr="001428D3" w:rsidR="00A4568A">
        <w:t xml:space="preserve"> 6 § 1</w:t>
      </w:r>
      <w:r w:rsidRPr="001428D3" w:rsidR="00AB4EF4">
        <w:t xml:space="preserve"> </w:t>
      </w:r>
      <w:r w:rsidRPr="001428D3" w:rsidR="00D460E0">
        <w:t>and Article </w:t>
      </w:r>
      <w:r w:rsidRPr="001428D3" w:rsidR="00A4568A">
        <w:t>1 of Protocol No. 1 to the Convention</w:t>
      </w:r>
      <w:r w:rsidRPr="001428D3" w:rsidR="00BF0D3A">
        <w:t xml:space="preserve"> </w:t>
      </w:r>
      <w:r w:rsidRPr="001428D3" w:rsidR="009B4B7D">
        <w:t xml:space="preserve">in respect of all applicants, and the complaints concerning Article 8 of the Convention in respect of applicants nos. 3-19 as </w:t>
      </w:r>
      <w:r w:rsidRPr="001428D3" w:rsidR="00385ECF">
        <w:t>listed</w:t>
      </w:r>
      <w:r w:rsidRPr="001428D3" w:rsidR="009B4B7D">
        <w:t xml:space="preserve"> in the appendix, </w:t>
      </w:r>
      <w:r w:rsidRPr="001428D3" w:rsidR="00BF0D3A">
        <w:t>and the lack of an effective remedy related thereto;</w:t>
      </w:r>
    </w:p>
    <w:p w:rsidRPr="001428D3" w:rsidR="00AB4EF4" w:rsidP="001428D3" w:rsidRDefault="00AB4EF4">
      <w:pPr>
        <w:pStyle w:val="JuList"/>
      </w:pPr>
    </w:p>
    <w:p w:rsidRPr="001428D3" w:rsidR="000679F4" w:rsidP="001428D3" w:rsidRDefault="009B4B7D">
      <w:pPr>
        <w:pStyle w:val="JuList"/>
      </w:pPr>
      <w:r w:rsidRPr="001428D3">
        <w:t>3</w:t>
      </w:r>
      <w:r w:rsidRPr="001428D3" w:rsidR="00BF0D3A">
        <w:t>.  </w:t>
      </w:r>
      <w:r w:rsidRPr="001428D3" w:rsidR="00BF0D3A">
        <w:rPr>
          <w:i/>
        </w:rPr>
        <w:t>Declares</w:t>
      </w:r>
      <w:r w:rsidRPr="001428D3" w:rsidR="00BF0D3A">
        <w:t xml:space="preserve"> the remainder of the application inadmissible</w:t>
      </w:r>
      <w:r w:rsidRPr="001428D3" w:rsidR="000679F4">
        <w:t>;</w:t>
      </w:r>
    </w:p>
    <w:p w:rsidRPr="001428D3" w:rsidR="000679F4" w:rsidP="001428D3" w:rsidRDefault="000679F4">
      <w:pPr>
        <w:pStyle w:val="JuList"/>
      </w:pPr>
    </w:p>
    <w:p w:rsidRPr="001428D3" w:rsidR="000679F4" w:rsidP="001428D3" w:rsidRDefault="009B4B7D">
      <w:pPr>
        <w:pStyle w:val="JuList"/>
      </w:pPr>
      <w:r w:rsidRPr="001428D3">
        <w:t>4</w:t>
      </w:r>
      <w:r w:rsidRPr="001428D3" w:rsidR="000679F4">
        <w:t>.  </w:t>
      </w:r>
      <w:r w:rsidRPr="001428D3" w:rsidR="000679F4">
        <w:rPr>
          <w:i/>
        </w:rPr>
        <w:t>Holds</w:t>
      </w:r>
      <w:r w:rsidRPr="001428D3" w:rsidR="000679F4">
        <w:t xml:space="preserve"> that there has been a violation of Article 13, in conjunction with Article 6 § 1 of the Convention;</w:t>
      </w:r>
    </w:p>
    <w:p w:rsidRPr="001428D3" w:rsidR="00014566" w:rsidP="001428D3" w:rsidRDefault="00014566">
      <w:pPr>
        <w:pStyle w:val="JuList"/>
      </w:pPr>
    </w:p>
    <w:p w:rsidRPr="001428D3" w:rsidR="00014566" w:rsidP="001428D3" w:rsidRDefault="009B4B7D">
      <w:pPr>
        <w:pStyle w:val="JuList"/>
      </w:pPr>
      <w:r w:rsidRPr="001428D3">
        <w:t>5</w:t>
      </w:r>
      <w:r w:rsidRPr="001428D3" w:rsidR="00014566">
        <w:t>.  </w:t>
      </w:r>
      <w:r w:rsidRPr="001428D3" w:rsidR="00014566">
        <w:rPr>
          <w:i/>
        </w:rPr>
        <w:t>Holds</w:t>
      </w:r>
      <w:r w:rsidRPr="001428D3" w:rsidR="007133FE">
        <w:t xml:space="preserve"> </w:t>
      </w:r>
      <w:r w:rsidRPr="001428D3" w:rsidR="00014566">
        <w:t>that there has been a violation of Article</w:t>
      </w:r>
      <w:r w:rsidRPr="001428D3" w:rsidR="00A4568A">
        <w:t xml:space="preserve"> 6 § 1</w:t>
      </w:r>
      <w:r w:rsidRPr="001428D3" w:rsidR="00014566">
        <w:t xml:space="preserve"> of the Convention;</w:t>
      </w:r>
    </w:p>
    <w:p w:rsidRPr="001428D3" w:rsidR="00BF0D3A" w:rsidP="001428D3" w:rsidRDefault="00BF0D3A">
      <w:pPr>
        <w:pStyle w:val="JuList"/>
      </w:pPr>
    </w:p>
    <w:p w:rsidRPr="001428D3" w:rsidR="008758F3" w:rsidP="001428D3" w:rsidRDefault="009B4B7D">
      <w:pPr>
        <w:pStyle w:val="JuList"/>
      </w:pPr>
      <w:r w:rsidRPr="001428D3">
        <w:t>6</w:t>
      </w:r>
      <w:r w:rsidRPr="001428D3" w:rsidR="00CC3167">
        <w:t>.  </w:t>
      </w:r>
      <w:r w:rsidRPr="001428D3" w:rsidR="00493F4B">
        <w:rPr>
          <w:i/>
        </w:rPr>
        <w:t>Holds</w:t>
      </w:r>
      <w:r w:rsidRPr="001428D3" w:rsidR="00493F4B">
        <w:t xml:space="preserve"> that </w:t>
      </w:r>
      <w:r w:rsidRPr="001428D3" w:rsidR="008758F3">
        <w:t>there has been a violation of Article 8 of the Convention</w:t>
      </w:r>
      <w:r w:rsidRPr="001428D3" w:rsidR="005C690A">
        <w:t xml:space="preserve">, in respect of applicants nos. 3-19 as </w:t>
      </w:r>
      <w:r w:rsidRPr="001428D3" w:rsidR="00385ECF">
        <w:t>listed</w:t>
      </w:r>
      <w:r w:rsidRPr="001428D3" w:rsidR="005C690A">
        <w:t xml:space="preserve"> in the appendix,</w:t>
      </w:r>
      <w:r w:rsidRPr="001428D3" w:rsidR="008758F3">
        <w:t xml:space="preserve"> </w:t>
      </w:r>
      <w:r w:rsidRPr="001428D3" w:rsidR="0030795E">
        <w:t>as regards</w:t>
      </w:r>
      <w:r w:rsidRPr="001428D3" w:rsidR="00DE09B4">
        <w:t xml:space="preserve"> the seizure of the building</w:t>
      </w:r>
      <w:r w:rsidRPr="001428D3" w:rsidR="008758F3">
        <w:t>;</w:t>
      </w:r>
    </w:p>
    <w:p w:rsidRPr="001428D3" w:rsidR="003175F5" w:rsidP="001428D3" w:rsidRDefault="003175F5">
      <w:pPr>
        <w:pStyle w:val="JuList"/>
      </w:pPr>
    </w:p>
    <w:p w:rsidRPr="001428D3" w:rsidR="003175F5" w:rsidP="001428D3" w:rsidRDefault="009B4B7D">
      <w:pPr>
        <w:pStyle w:val="JuList"/>
      </w:pPr>
      <w:r w:rsidRPr="001428D3">
        <w:t>7</w:t>
      </w:r>
      <w:r w:rsidRPr="001428D3" w:rsidR="003175F5">
        <w:t>.  </w:t>
      </w:r>
      <w:r w:rsidRPr="001428D3" w:rsidR="003175F5">
        <w:rPr>
          <w:i/>
        </w:rPr>
        <w:t>Holds</w:t>
      </w:r>
      <w:r w:rsidRPr="001428D3" w:rsidR="003175F5">
        <w:t xml:space="preserve"> that there has been a violation of Article 13, in conjunction with Article 8 of the Convention</w:t>
      </w:r>
      <w:r w:rsidRPr="001428D3" w:rsidR="005C690A">
        <w:t xml:space="preserve">, in respect of applicants nos. 3-19 as </w:t>
      </w:r>
      <w:r w:rsidRPr="001428D3" w:rsidR="00385ECF">
        <w:t>listed</w:t>
      </w:r>
      <w:r w:rsidRPr="001428D3" w:rsidR="005C690A">
        <w:t xml:space="preserve"> in the appendix, </w:t>
      </w:r>
      <w:r w:rsidRPr="001428D3" w:rsidR="00960208">
        <w:t>as regards the seizure of the building</w:t>
      </w:r>
      <w:r w:rsidRPr="001428D3" w:rsidR="003175F5">
        <w:t>;</w:t>
      </w:r>
    </w:p>
    <w:p w:rsidRPr="001428D3" w:rsidR="00493F4B" w:rsidP="001428D3" w:rsidRDefault="00493F4B">
      <w:pPr>
        <w:pStyle w:val="JuList"/>
      </w:pPr>
    </w:p>
    <w:p w:rsidRPr="001428D3" w:rsidR="0065021E" w:rsidP="001428D3" w:rsidRDefault="009B4B7D">
      <w:pPr>
        <w:pStyle w:val="JuList"/>
      </w:pPr>
      <w:r w:rsidRPr="001428D3">
        <w:t>8</w:t>
      </w:r>
      <w:r w:rsidRPr="001428D3" w:rsidR="0065021E">
        <w:t>.  </w:t>
      </w:r>
      <w:r w:rsidRPr="001428D3" w:rsidR="0065021E">
        <w:rPr>
          <w:i/>
        </w:rPr>
        <w:t>Holds</w:t>
      </w:r>
      <w:r w:rsidRPr="001428D3" w:rsidR="0065021E">
        <w:t xml:space="preserve"> that there is no need to examine the complaint under Article 8 </w:t>
      </w:r>
      <w:r w:rsidRPr="001428D3" w:rsidR="00FC316C">
        <w:t xml:space="preserve">taken alone and in conjunction with Article 13 of the Convention </w:t>
      </w:r>
      <w:r w:rsidRPr="001428D3" w:rsidR="0065021E">
        <w:t>concerning the expropriation and demolition of the building;</w:t>
      </w:r>
    </w:p>
    <w:p w:rsidRPr="001428D3" w:rsidR="0065021E" w:rsidP="001428D3" w:rsidRDefault="0065021E">
      <w:pPr>
        <w:pStyle w:val="JuList"/>
      </w:pPr>
    </w:p>
    <w:p w:rsidRPr="001428D3" w:rsidR="00DE09B4" w:rsidP="001428D3" w:rsidRDefault="009B4B7D">
      <w:pPr>
        <w:pStyle w:val="JuList"/>
      </w:pPr>
      <w:r w:rsidRPr="001428D3">
        <w:t>9</w:t>
      </w:r>
      <w:r w:rsidRPr="001428D3" w:rsidR="00DE09B4">
        <w:t>.  </w:t>
      </w:r>
      <w:r w:rsidRPr="001428D3" w:rsidR="00DE09B4">
        <w:rPr>
          <w:i/>
        </w:rPr>
        <w:t>Holds</w:t>
      </w:r>
      <w:r w:rsidRPr="001428D3" w:rsidR="00DE09B4">
        <w:t xml:space="preserve"> that there has been a violation of Article 1 of Protocol No. 1 to the Convention </w:t>
      </w:r>
      <w:r w:rsidRPr="001428D3" w:rsidR="0030795E">
        <w:t>as regards</w:t>
      </w:r>
      <w:r w:rsidRPr="001428D3" w:rsidR="00DE09B4">
        <w:t xml:space="preserve"> the seizure of the building;</w:t>
      </w:r>
    </w:p>
    <w:p w:rsidRPr="001428D3" w:rsidR="00807E60" w:rsidP="001428D3" w:rsidRDefault="00807E60">
      <w:pPr>
        <w:pStyle w:val="JuList"/>
      </w:pPr>
    </w:p>
    <w:p w:rsidRPr="001428D3" w:rsidR="005521CC" w:rsidP="001428D3" w:rsidRDefault="009B4B7D">
      <w:pPr>
        <w:pStyle w:val="JuList"/>
      </w:pPr>
      <w:r w:rsidRPr="001428D3">
        <w:t>10</w:t>
      </w:r>
      <w:r w:rsidRPr="001428D3" w:rsidR="00807E60">
        <w:t>.  </w:t>
      </w:r>
      <w:r w:rsidRPr="001428D3" w:rsidR="00807E60">
        <w:rPr>
          <w:i/>
        </w:rPr>
        <w:t>Holds</w:t>
      </w:r>
      <w:r w:rsidRPr="001428D3" w:rsidR="00807E60">
        <w:t xml:space="preserve"> that there has been a violation of Article 13, in conjunction with Article 1 of Protocol No. 1 to the Convention as regards the seizure of the building;</w:t>
      </w:r>
    </w:p>
    <w:p w:rsidRPr="001428D3" w:rsidR="00DE09B4" w:rsidP="001428D3" w:rsidRDefault="00DE09B4">
      <w:pPr>
        <w:pStyle w:val="JuList"/>
      </w:pPr>
    </w:p>
    <w:p w:rsidRPr="001428D3" w:rsidR="007E6C24" w:rsidP="001428D3" w:rsidRDefault="009B4B7D">
      <w:pPr>
        <w:pStyle w:val="JuList"/>
      </w:pPr>
      <w:r w:rsidRPr="001428D3">
        <w:t>11</w:t>
      </w:r>
      <w:r w:rsidRPr="001428D3" w:rsidR="00CC3167">
        <w:t>.  </w:t>
      </w:r>
      <w:r w:rsidRPr="001428D3" w:rsidR="00493F4B">
        <w:rPr>
          <w:i/>
        </w:rPr>
        <w:t>Holds</w:t>
      </w:r>
      <w:r w:rsidRPr="001428D3" w:rsidR="00493F4B">
        <w:t xml:space="preserve"> that there has been a violation of Article 13, in conjunction with Article 1 of Protocol No. 1 to the Convention</w:t>
      </w:r>
      <w:r w:rsidRPr="001428D3" w:rsidR="00807E60">
        <w:t xml:space="preserve"> concerning the expropriation and demolition of the building</w:t>
      </w:r>
      <w:r w:rsidRPr="001428D3" w:rsidR="00493F4B">
        <w:t>;</w:t>
      </w:r>
    </w:p>
    <w:p w:rsidRPr="001428D3" w:rsidR="007E6C24" w:rsidP="001428D3" w:rsidRDefault="007E6C24">
      <w:pPr>
        <w:pStyle w:val="JuList"/>
      </w:pPr>
    </w:p>
    <w:p w:rsidRPr="001428D3" w:rsidR="005521CC" w:rsidP="001428D3" w:rsidRDefault="007E6C24">
      <w:pPr>
        <w:pStyle w:val="JuList"/>
      </w:pPr>
      <w:r w:rsidRPr="001428D3">
        <w:t>1</w:t>
      </w:r>
      <w:r w:rsidRPr="001428D3" w:rsidR="005C690A">
        <w:t>2</w:t>
      </w:r>
      <w:r w:rsidRPr="001428D3">
        <w:t>.  </w:t>
      </w:r>
      <w:r w:rsidRPr="001428D3">
        <w:rPr>
          <w:i/>
        </w:rPr>
        <w:t>Holds</w:t>
      </w:r>
      <w:r w:rsidRPr="001428D3">
        <w:t xml:space="preserve"> that there has been a violation of Article 1 of Protocol No. 1 to the Convention concerning the expropriation and demolition of the building;</w:t>
      </w:r>
    </w:p>
    <w:p w:rsidRPr="001428D3" w:rsidR="00493F4B" w:rsidP="001428D3" w:rsidRDefault="00493F4B">
      <w:pPr>
        <w:pStyle w:val="JuList"/>
      </w:pPr>
    </w:p>
    <w:p w:rsidRPr="001428D3" w:rsidR="005521CC" w:rsidP="001428D3" w:rsidRDefault="00CC3167">
      <w:pPr>
        <w:pStyle w:val="JuList"/>
      </w:pPr>
      <w:r w:rsidRPr="001428D3">
        <w:t>1</w:t>
      </w:r>
      <w:r w:rsidRPr="001428D3" w:rsidR="005C690A">
        <w:t>3</w:t>
      </w:r>
      <w:r w:rsidRPr="001428D3" w:rsidR="00014566">
        <w:t>.  </w:t>
      </w:r>
      <w:r w:rsidRPr="001428D3" w:rsidR="00014566">
        <w:rPr>
          <w:i/>
        </w:rPr>
        <w:t>Holds</w:t>
      </w:r>
    </w:p>
    <w:p w:rsidRPr="001428D3" w:rsidR="00014566" w:rsidP="001428D3" w:rsidRDefault="00014566">
      <w:pPr>
        <w:pStyle w:val="JuLista"/>
      </w:pPr>
      <w:r w:rsidRPr="001428D3">
        <w:t>(a)  that the respondent State is to pay the applicant</w:t>
      </w:r>
      <w:r w:rsidRPr="001428D3" w:rsidR="007133FE">
        <w:t>s</w:t>
      </w:r>
      <w:r w:rsidRPr="001428D3">
        <w:t>, within three months</w:t>
      </w:r>
      <w:r w:rsidRPr="001428D3" w:rsidR="005521CC">
        <w:t xml:space="preserve"> </w:t>
      </w:r>
      <w:r w:rsidRPr="001428D3" w:rsidR="007133FE">
        <w:t>from the date on which the judgment becomes final in accordance with Article 44 § 2 of the Convention,</w:t>
      </w:r>
      <w:r w:rsidRPr="001428D3">
        <w:t xml:space="preserve"> the following amounts, to be converted into the currency of the respondent State at the rate applicable at the date of settlement:</w:t>
      </w:r>
    </w:p>
    <w:p w:rsidRPr="001428D3" w:rsidR="009845BA" w:rsidP="001428D3" w:rsidRDefault="00014566">
      <w:pPr>
        <w:pStyle w:val="JuListi"/>
      </w:pPr>
      <w:r w:rsidRPr="001428D3">
        <w:t xml:space="preserve">(i)  EUR </w:t>
      </w:r>
      <w:r w:rsidRPr="001428D3" w:rsidR="00330E02">
        <w:t>13</w:t>
      </w:r>
      <w:r w:rsidRPr="001428D3" w:rsidR="00392277">
        <w:t>,</w:t>
      </w:r>
      <w:r w:rsidRPr="001428D3" w:rsidR="00330E02">
        <w:t>098</w:t>
      </w:r>
      <w:r w:rsidRPr="001428D3" w:rsidR="00CC2D5D">
        <w:t>,</w:t>
      </w:r>
      <w:r w:rsidRPr="001428D3" w:rsidR="00330E02">
        <w:t xml:space="preserve">600 </w:t>
      </w:r>
      <w:r w:rsidRPr="001428D3">
        <w:t>(</w:t>
      </w:r>
      <w:r w:rsidRPr="001428D3" w:rsidR="00330E02">
        <w:t xml:space="preserve">thirteen </w:t>
      </w:r>
      <w:r w:rsidRPr="001428D3" w:rsidR="00392277">
        <w:t xml:space="preserve">million </w:t>
      </w:r>
      <w:r w:rsidRPr="001428D3" w:rsidR="00CC2D5D">
        <w:t>ninety-</w:t>
      </w:r>
      <w:r w:rsidRPr="001428D3" w:rsidR="00330E02">
        <w:t xml:space="preserve">eight </w:t>
      </w:r>
      <w:r w:rsidRPr="001428D3" w:rsidR="00CC2D5D">
        <w:t xml:space="preserve">thousand </w:t>
      </w:r>
      <w:r w:rsidRPr="001428D3" w:rsidR="00330E02">
        <w:t xml:space="preserve">six </w:t>
      </w:r>
      <w:r w:rsidRPr="001428D3" w:rsidR="00392277">
        <w:t>hundred euros)</w:t>
      </w:r>
      <w:r w:rsidRPr="001428D3" w:rsidR="003C44CD">
        <w:t xml:space="preserve"> to all applicants</w:t>
      </w:r>
      <w:r w:rsidRPr="001428D3" w:rsidR="00FC5442">
        <w:t xml:space="preserve">, </w:t>
      </w:r>
      <w:r w:rsidRPr="001428D3">
        <w:t>plus any tax that may be chargeable,</w:t>
      </w:r>
      <w:r w:rsidRPr="001428D3" w:rsidR="005521CC">
        <w:t xml:space="preserve"> </w:t>
      </w:r>
      <w:r w:rsidRPr="001428D3">
        <w:t>in respect of pecuniary damage</w:t>
      </w:r>
      <w:r w:rsidRPr="001428D3" w:rsidR="00A11F52">
        <w:t>;</w:t>
      </w:r>
    </w:p>
    <w:p w:rsidRPr="001428D3" w:rsidR="005D0E91" w:rsidP="001428D3" w:rsidRDefault="00170FA5">
      <w:pPr>
        <w:pStyle w:val="JuListi"/>
      </w:pPr>
      <w:r w:rsidRPr="001428D3" w:rsidDel="00170FA5">
        <w:t xml:space="preserve"> </w:t>
      </w:r>
      <w:r w:rsidRPr="001428D3" w:rsidR="00A839D5">
        <w:t>(ii</w:t>
      </w:r>
      <w:r w:rsidRPr="001428D3" w:rsidR="005D0E91">
        <w:t xml:space="preserve">)  EUR </w:t>
      </w:r>
      <w:r w:rsidRPr="001428D3" w:rsidR="00BA6FE1">
        <w:t>13</w:t>
      </w:r>
      <w:r w:rsidRPr="001428D3" w:rsidR="005D0E91">
        <w:t>,</w:t>
      </w:r>
      <w:r w:rsidRPr="001428D3" w:rsidR="00BA6FE1">
        <w:t xml:space="preserve">000 </w:t>
      </w:r>
      <w:r w:rsidRPr="001428D3" w:rsidR="005D0E91">
        <w:t>(</w:t>
      </w:r>
      <w:r w:rsidRPr="001428D3" w:rsidR="00BA6FE1">
        <w:t xml:space="preserve">thirteen </w:t>
      </w:r>
      <w:r w:rsidRPr="001428D3" w:rsidR="005D0E91">
        <w:t xml:space="preserve">thousand euros) to </w:t>
      </w:r>
      <w:r w:rsidRPr="001428D3" w:rsidR="00385ECF">
        <w:t xml:space="preserve">each of the </w:t>
      </w:r>
      <w:r w:rsidRPr="001428D3" w:rsidR="005D0E91">
        <w:t>applicant</w:t>
      </w:r>
      <w:r w:rsidRPr="001428D3" w:rsidR="0090072E">
        <w:t xml:space="preserve">s </w:t>
      </w:r>
      <w:r w:rsidRPr="001428D3" w:rsidR="005C690A">
        <w:t xml:space="preserve">nos. 3-19 as </w:t>
      </w:r>
      <w:r w:rsidRPr="001428D3" w:rsidR="00385ECF">
        <w:t>listed</w:t>
      </w:r>
      <w:r w:rsidRPr="001428D3" w:rsidR="005C690A">
        <w:t xml:space="preserve"> in the appendix, </w:t>
      </w:r>
      <w:r w:rsidRPr="001428D3" w:rsidR="005D0E91">
        <w:t>plus any tax that may be chargeable, in respect of non-pecuniary damage;</w:t>
      </w:r>
    </w:p>
    <w:p w:rsidRPr="001428D3" w:rsidR="0090072E" w:rsidP="001428D3" w:rsidRDefault="005C690A">
      <w:pPr>
        <w:pStyle w:val="JuListi"/>
      </w:pPr>
      <w:r w:rsidRPr="001428D3" w:rsidDel="005C690A">
        <w:t xml:space="preserve"> </w:t>
      </w:r>
      <w:r w:rsidRPr="001428D3" w:rsidR="0090072E">
        <w:t>(i</w:t>
      </w:r>
      <w:r w:rsidRPr="001428D3">
        <w:t>ii</w:t>
      </w:r>
      <w:r w:rsidRPr="001428D3" w:rsidR="0090072E">
        <w:t xml:space="preserve">)  EUR 7,800 (seven thousand eight hundred euros) to </w:t>
      </w:r>
      <w:r w:rsidRPr="001428D3" w:rsidR="00332F8D">
        <w:t xml:space="preserve">each of </w:t>
      </w:r>
      <w:r w:rsidRPr="001428D3" w:rsidR="0090072E">
        <w:t>the first and second applicants, plus any tax that may be chargeable, in respect of non-pecuniary damage;</w:t>
      </w:r>
    </w:p>
    <w:p w:rsidRPr="001428D3" w:rsidR="00955C18" w:rsidP="001428D3" w:rsidRDefault="00DE09B4">
      <w:pPr>
        <w:pStyle w:val="JuListi"/>
      </w:pPr>
      <w:r w:rsidRPr="001428D3">
        <w:t>(</w:t>
      </w:r>
      <w:r w:rsidRPr="001428D3" w:rsidR="005C690A">
        <w:t>i</w:t>
      </w:r>
      <w:r w:rsidRPr="001428D3" w:rsidR="0090072E">
        <w:t>v</w:t>
      </w:r>
      <w:r w:rsidRPr="001428D3" w:rsidR="002232DE">
        <w:t>)  </w:t>
      </w:r>
      <w:r w:rsidRPr="001428D3">
        <w:t>EUR 8</w:t>
      </w:r>
      <w:r w:rsidRPr="001428D3" w:rsidR="00413124">
        <w:t>4</w:t>
      </w:r>
      <w:r w:rsidRPr="001428D3">
        <w:t>,</w:t>
      </w:r>
      <w:r w:rsidRPr="001428D3" w:rsidR="00413124">
        <w:t>5</w:t>
      </w:r>
      <w:r w:rsidRPr="001428D3">
        <w:t>00 (eight</w:t>
      </w:r>
      <w:r w:rsidRPr="001428D3" w:rsidR="0030795E">
        <w:t>y-</w:t>
      </w:r>
      <w:r w:rsidRPr="001428D3" w:rsidR="00413124">
        <w:t>four</w:t>
      </w:r>
      <w:r w:rsidRPr="001428D3" w:rsidR="0030795E">
        <w:t xml:space="preserve"> </w:t>
      </w:r>
      <w:r w:rsidRPr="001428D3" w:rsidR="00955C18">
        <w:t xml:space="preserve">thousand </w:t>
      </w:r>
      <w:r w:rsidRPr="001428D3" w:rsidR="00413124">
        <w:t xml:space="preserve">five hundred </w:t>
      </w:r>
      <w:r w:rsidRPr="001428D3">
        <w:t xml:space="preserve">euros) </w:t>
      </w:r>
      <w:r w:rsidRPr="001428D3" w:rsidR="00955C18">
        <w:t xml:space="preserve">to all applicants, jointly, </w:t>
      </w:r>
      <w:r w:rsidRPr="001428D3">
        <w:t>plus any tax that may be chargeable</w:t>
      </w:r>
      <w:r w:rsidRPr="001428D3" w:rsidR="00955C18">
        <w:t>, in respect of costs and expenses incurred before the domesti</w:t>
      </w:r>
      <w:r w:rsidRPr="001428D3" w:rsidR="005676DA">
        <w:t>c courts (the tax fee);</w:t>
      </w:r>
    </w:p>
    <w:p w:rsidRPr="001428D3" w:rsidR="005676DA" w:rsidP="001428D3" w:rsidRDefault="00955C18">
      <w:pPr>
        <w:pStyle w:val="JuListi"/>
      </w:pPr>
      <w:r w:rsidRPr="001428D3">
        <w:t>(v)  EUR 9,600 (</w:t>
      </w:r>
      <w:r w:rsidRPr="001428D3" w:rsidR="00392277">
        <w:t xml:space="preserve">nine </w:t>
      </w:r>
      <w:r w:rsidRPr="001428D3">
        <w:t xml:space="preserve">thousand </w:t>
      </w:r>
      <w:r w:rsidRPr="001428D3" w:rsidR="00392277">
        <w:t>si</w:t>
      </w:r>
      <w:r w:rsidRPr="001428D3" w:rsidR="00BA6C53">
        <w:t>x</w:t>
      </w:r>
      <w:r w:rsidRPr="001428D3" w:rsidR="00392277">
        <w:t xml:space="preserve"> hundred </w:t>
      </w:r>
      <w:r w:rsidRPr="001428D3">
        <w:t>euros) to applicants M.Hanxhari, T. Pojani, G. Calliku, M. Mecaj, E. Durolli, B.</w:t>
      </w:r>
      <w:r w:rsidRPr="001428D3" w:rsidR="0038783B">
        <w:t> </w:t>
      </w:r>
      <w:r w:rsidRPr="001428D3">
        <w:t>Rakipaj, P. Rakipaj, A. Deromemaj, jointly, plus any tax that may be chargeable</w:t>
      </w:r>
      <w:r w:rsidRPr="001428D3" w:rsidR="00DE09B4">
        <w:t>, in respect of costs and expenses incurred before the domestic courts</w:t>
      </w:r>
      <w:r w:rsidRPr="001428D3">
        <w:t xml:space="preserve"> (lawyer</w:t>
      </w:r>
      <w:r w:rsidRPr="001428D3" w:rsidR="001428D3">
        <w:t>’</w:t>
      </w:r>
      <w:r w:rsidRPr="001428D3">
        <w:t>s fee</w:t>
      </w:r>
      <w:r w:rsidRPr="001428D3" w:rsidR="005A0D34">
        <w:t>s</w:t>
      </w:r>
      <w:r w:rsidRPr="001428D3">
        <w:t>)</w:t>
      </w:r>
      <w:r w:rsidRPr="001428D3" w:rsidR="001F1968">
        <w:t>;</w:t>
      </w:r>
    </w:p>
    <w:p w:rsidRPr="001428D3" w:rsidR="00B817B9" w:rsidP="001428D3" w:rsidRDefault="00B817B9">
      <w:pPr>
        <w:pStyle w:val="JuListi"/>
      </w:pPr>
      <w:r w:rsidRPr="001428D3">
        <w:t>(</w:t>
      </w:r>
      <w:r w:rsidRPr="001428D3" w:rsidR="00F83949">
        <w:t>v</w:t>
      </w:r>
      <w:r w:rsidRPr="001428D3" w:rsidR="0090072E">
        <w:t>i</w:t>
      </w:r>
      <w:r w:rsidRPr="001428D3">
        <w:t>)  EUR 1</w:t>
      </w:r>
      <w:r w:rsidRPr="001428D3" w:rsidR="00E71204">
        <w:t>8</w:t>
      </w:r>
      <w:r w:rsidRPr="001428D3">
        <w:t>,000 (</w:t>
      </w:r>
      <w:r w:rsidRPr="001428D3" w:rsidR="00E71204">
        <w:t>eight</w:t>
      </w:r>
      <w:r w:rsidRPr="001428D3" w:rsidR="00B04A6E">
        <w:t>een</w:t>
      </w:r>
      <w:r w:rsidRPr="001428D3">
        <w:t xml:space="preserve"> thousand euros)</w:t>
      </w:r>
      <w:r w:rsidRPr="001428D3" w:rsidR="00955C18">
        <w:t xml:space="preserve"> to all applicants, jointly</w:t>
      </w:r>
      <w:r w:rsidRPr="001428D3">
        <w:t>, plus any tax that may be chargeable to the applicants, in respect of costs and expenses incurred before the Court;</w:t>
      </w:r>
    </w:p>
    <w:p w:rsidRPr="001428D3" w:rsidR="00014566" w:rsidP="001428D3" w:rsidRDefault="00014566">
      <w:pPr>
        <w:pStyle w:val="JuLista"/>
      </w:pPr>
      <w:r w:rsidRPr="001428D3">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1428D3" w:rsidR="00014566" w:rsidP="001428D3" w:rsidRDefault="00014566">
      <w:pPr>
        <w:pStyle w:val="JuList"/>
      </w:pPr>
    </w:p>
    <w:p w:rsidRPr="001428D3" w:rsidR="00014566" w:rsidP="001428D3" w:rsidRDefault="00CC3167">
      <w:pPr>
        <w:pStyle w:val="JuList"/>
      </w:pPr>
      <w:r w:rsidRPr="001428D3">
        <w:t>1</w:t>
      </w:r>
      <w:r w:rsidRPr="001428D3" w:rsidR="005C690A">
        <w:t>4</w:t>
      </w:r>
      <w:r w:rsidRPr="001428D3" w:rsidR="00014566">
        <w:t>.  </w:t>
      </w:r>
      <w:r w:rsidRPr="001428D3" w:rsidR="00014566">
        <w:rPr>
          <w:i/>
        </w:rPr>
        <w:t>Dismisses</w:t>
      </w:r>
      <w:r w:rsidRPr="001428D3" w:rsidR="007133FE">
        <w:t xml:space="preserve"> </w:t>
      </w:r>
      <w:r w:rsidRPr="001428D3" w:rsidR="00014566">
        <w:t>the remainder of the applicant</w:t>
      </w:r>
      <w:r w:rsidRPr="001428D3" w:rsidR="007133FE">
        <w:t>s</w:t>
      </w:r>
      <w:r w:rsidRPr="001428D3" w:rsidR="001428D3">
        <w:t>’</w:t>
      </w:r>
      <w:r w:rsidRPr="001428D3" w:rsidR="00014566">
        <w:t xml:space="preserve"> claim for just satisfaction.</w:t>
      </w:r>
    </w:p>
    <w:p w:rsidRPr="001428D3" w:rsidR="00014566" w:rsidP="001428D3" w:rsidRDefault="00014566">
      <w:pPr>
        <w:pStyle w:val="JuParaLast"/>
      </w:pPr>
      <w:r w:rsidRPr="001428D3">
        <w:t xml:space="preserve">Done in English, and notified in writing on </w:t>
      </w:r>
      <w:r w:rsidRPr="001428D3" w:rsidR="00D460E0">
        <w:t>11 January 2018</w:t>
      </w:r>
      <w:r w:rsidRPr="001428D3" w:rsidR="00C915FB">
        <w:t>, pursuant to Rule </w:t>
      </w:r>
      <w:r w:rsidRPr="001428D3">
        <w:t>77</w:t>
      </w:r>
      <w:r w:rsidRPr="001428D3" w:rsidR="00C915FB">
        <w:t> </w:t>
      </w:r>
      <w:r w:rsidRPr="001428D3">
        <w:t>§§</w:t>
      </w:r>
      <w:r w:rsidRPr="001428D3" w:rsidR="00C915FB">
        <w:t> </w:t>
      </w:r>
      <w:r w:rsidRPr="001428D3">
        <w:t>2 and 3 of the Rules of Court.</w:t>
      </w:r>
    </w:p>
    <w:p w:rsidRPr="001428D3" w:rsidR="00C42717" w:rsidP="001428D3" w:rsidRDefault="00014566">
      <w:pPr>
        <w:pStyle w:val="JuSigned"/>
        <w:rPr>
          <w:lang w:val="pt-PT"/>
        </w:rPr>
      </w:pPr>
      <w:r w:rsidRPr="001428D3">
        <w:tab/>
      </w:r>
      <w:r w:rsidRPr="001428D3" w:rsidR="007133FE">
        <w:rPr>
          <w:lang w:val="pt-PT"/>
        </w:rPr>
        <w:t>Abel Campos</w:t>
      </w:r>
      <w:r w:rsidRPr="001428D3">
        <w:rPr>
          <w:lang w:val="pt-PT"/>
        </w:rPr>
        <w:tab/>
      </w:r>
      <w:r w:rsidRPr="001428D3" w:rsidR="007133FE">
        <w:rPr>
          <w:szCs w:val="24"/>
          <w:lang w:val="pt-PT"/>
        </w:rPr>
        <w:t>Linos-Alexandre Sicilianos</w:t>
      </w:r>
      <w:r w:rsidRPr="001428D3" w:rsidR="00E1557C">
        <w:rPr>
          <w:szCs w:val="24"/>
          <w:lang w:val="pt-PT"/>
        </w:rPr>
        <w:br/>
      </w:r>
      <w:r w:rsidRPr="001428D3">
        <w:rPr>
          <w:lang w:val="pt-PT"/>
        </w:rPr>
        <w:tab/>
      </w:r>
      <w:r w:rsidRPr="001428D3" w:rsidR="007133FE">
        <w:rPr>
          <w:iCs/>
          <w:lang w:val="pt-PT"/>
        </w:rPr>
        <w:t>Registrar</w:t>
      </w:r>
      <w:r w:rsidRPr="001428D3">
        <w:rPr>
          <w:lang w:val="pt-PT"/>
        </w:rPr>
        <w:tab/>
        <w:t>President</w:t>
      </w:r>
    </w:p>
    <w:p w:rsidRPr="001428D3" w:rsidR="00E665A8" w:rsidP="001428D3" w:rsidRDefault="00E665A8">
      <w:pPr>
        <w:pStyle w:val="JuParaLast"/>
        <w:rPr>
          <w:lang w:val="pt-PT"/>
        </w:rPr>
      </w:pPr>
    </w:p>
    <w:p w:rsidRPr="001428D3" w:rsidR="00C42717" w:rsidP="001428D3" w:rsidRDefault="00C42717">
      <w:pPr>
        <w:jc w:val="left"/>
        <w:rPr>
          <w:lang w:val="pt-PT"/>
        </w:rPr>
      </w:pPr>
      <w:r w:rsidRPr="001428D3">
        <w:rPr>
          <w:lang w:val="pt-PT"/>
        </w:rPr>
        <w:br w:type="page"/>
      </w:r>
    </w:p>
    <w:p w:rsidRPr="001428D3" w:rsidR="00014566" w:rsidP="001428D3" w:rsidRDefault="00014566">
      <w:pPr>
        <w:pStyle w:val="JuSigned"/>
        <w:rPr>
          <w:lang w:val="pt-PT"/>
        </w:rPr>
      </w:pPr>
    </w:p>
    <w:p w:rsidRPr="001428D3" w:rsidR="00C42717" w:rsidP="001428D3" w:rsidRDefault="00C42717">
      <w:pPr>
        <w:spacing w:before="720" w:after="240"/>
        <w:jc w:val="center"/>
        <w:outlineLvl w:val="0"/>
        <w:rPr>
          <w:rFonts w:asciiTheme="majorHAnsi" w:hAnsiTheme="majorHAnsi"/>
          <w:b/>
          <w:caps/>
        </w:rPr>
      </w:pPr>
      <w:bookmarkStart w:name="_Toc498016781" w:id="72"/>
      <w:r w:rsidRPr="001428D3">
        <w:rPr>
          <w:rFonts w:asciiTheme="majorHAnsi" w:hAnsiTheme="majorHAnsi"/>
          <w:b/>
          <w:caps/>
        </w:rPr>
        <w:t>APPENDIX</w:t>
      </w:r>
      <w:bookmarkEnd w:id="72"/>
    </w:p>
    <w:p w:rsidRPr="001428D3" w:rsidR="00C42717" w:rsidP="001428D3" w:rsidRDefault="00C42717">
      <w:pPr>
        <w:rPr>
          <w:sz w:val="16"/>
        </w:rPr>
      </w:pPr>
    </w:p>
    <w:p w:rsidRPr="001428D3" w:rsidR="00E665A8" w:rsidP="001428D3" w:rsidRDefault="00E665A8"/>
    <w:tbl>
      <w:tblPr>
        <w:tblStyle w:val="ECHRListTable2"/>
        <w:tblW w:w="5000" w:type="pct"/>
        <w:tblInd w:w="-34" w:type="dxa"/>
        <w:tblLayout w:type="fixed"/>
        <w:tblLook w:val="05E0" w:firstRow="1" w:lastRow="1" w:firstColumn="1" w:lastColumn="1" w:noHBand="0" w:noVBand="1"/>
      </w:tblPr>
      <w:tblGrid>
        <w:gridCol w:w="925"/>
        <w:gridCol w:w="2633"/>
        <w:gridCol w:w="969"/>
        <w:gridCol w:w="1525"/>
        <w:gridCol w:w="1522"/>
      </w:tblGrid>
      <w:tr w:rsidRPr="001428D3" w:rsidR="00C42717" w:rsidTr="004C434E">
        <w:trPr>
          <w:cnfStyle w:val="100000000000" w:firstRow="1" w:lastRow="0" w:firstColumn="0" w:lastColumn="0" w:oddVBand="0" w:evenVBand="0" w:oddHBand="0" w:evenHBand="0" w:firstRowFirstColumn="0" w:firstRowLastColumn="0" w:lastRowFirstColumn="0" w:lastRowLastColumn="0"/>
        </w:trPr>
        <w:tc>
          <w:tcPr>
            <w:tcW w:w="610" w:type="pct"/>
          </w:tcPr>
          <w:p w:rsidRPr="001428D3" w:rsidR="00C42717" w:rsidP="001428D3" w:rsidRDefault="00C42717">
            <w:pPr>
              <w:jc w:val="center"/>
            </w:pPr>
            <w:r w:rsidRPr="001428D3">
              <w:t>N</w:t>
            </w:r>
            <w:r w:rsidRPr="001428D3" w:rsidR="005521CC">
              <w:rPr>
                <w:vertAlign w:val="superscript"/>
              </w:rPr>
              <w:t>o</w:t>
            </w:r>
            <w:r w:rsidRPr="001428D3">
              <w:t>.</w:t>
            </w:r>
          </w:p>
        </w:tc>
        <w:tc>
          <w:tcPr>
            <w:tcW w:w="1738" w:type="pct"/>
          </w:tcPr>
          <w:p w:rsidRPr="001428D3" w:rsidR="00E665A8" w:rsidP="001428D3" w:rsidRDefault="00D460E0">
            <w:pPr>
              <w:jc w:val="left"/>
            </w:pPr>
            <w:r w:rsidRPr="001428D3">
              <w:t>First name</w:t>
            </w:r>
          </w:p>
          <w:p w:rsidRPr="001428D3" w:rsidR="00C42717" w:rsidP="001428D3" w:rsidRDefault="00C42717">
            <w:pPr>
              <w:jc w:val="left"/>
            </w:pPr>
            <w:r w:rsidRPr="001428D3">
              <w:t>L</w:t>
            </w:r>
            <w:r w:rsidRPr="001428D3" w:rsidR="00D460E0">
              <w:t xml:space="preserve">ast name </w:t>
            </w:r>
          </w:p>
        </w:tc>
        <w:tc>
          <w:tcPr>
            <w:tcW w:w="640" w:type="pct"/>
          </w:tcPr>
          <w:p w:rsidRPr="001428D3" w:rsidR="00C42717" w:rsidP="001428D3" w:rsidRDefault="00C42717">
            <w:pPr>
              <w:jc w:val="left"/>
            </w:pPr>
            <w:r w:rsidRPr="001428D3">
              <w:t>Birth year</w:t>
            </w:r>
          </w:p>
        </w:tc>
        <w:tc>
          <w:tcPr>
            <w:tcW w:w="1007" w:type="pct"/>
          </w:tcPr>
          <w:p w:rsidRPr="001428D3" w:rsidR="00C42717" w:rsidP="001428D3" w:rsidRDefault="00C42717">
            <w:pPr>
              <w:jc w:val="left"/>
            </w:pPr>
            <w:r w:rsidRPr="001428D3">
              <w:t>Nationality</w:t>
            </w:r>
          </w:p>
        </w:tc>
        <w:tc>
          <w:tcPr>
            <w:tcW w:w="1005" w:type="pct"/>
          </w:tcPr>
          <w:p w:rsidRPr="001428D3" w:rsidR="00C42717" w:rsidP="001428D3" w:rsidRDefault="00C42717">
            <w:pPr>
              <w:jc w:val="left"/>
            </w:pPr>
            <w:r w:rsidRPr="001428D3">
              <w:t>Place of residence</w:t>
            </w:r>
          </w:p>
        </w:tc>
      </w:tr>
      <w:tr w:rsidRPr="001428D3" w:rsidR="00C42717" w:rsidTr="004C434E">
        <w:trPr>
          <w:trHeight w:val="401"/>
        </w:trPr>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Xhuvi SHARXHI</w:t>
            </w:r>
          </w:p>
        </w:tc>
        <w:tc>
          <w:tcPr>
            <w:tcW w:w="640" w:type="pct"/>
          </w:tcPr>
          <w:p w:rsidRPr="001428D3" w:rsidR="00C42717" w:rsidP="001428D3" w:rsidRDefault="00C42717">
            <w:pPr>
              <w:jc w:val="left"/>
            </w:pPr>
            <w:r w:rsidRPr="001428D3">
              <w:t>1961</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B55938" w:rsidTr="004C434E">
        <w:tc>
          <w:tcPr>
            <w:tcW w:w="610" w:type="pct"/>
          </w:tcPr>
          <w:p w:rsidRPr="001428D3" w:rsidR="00B55938" w:rsidP="001428D3" w:rsidRDefault="00B55938">
            <w:pPr>
              <w:numPr>
                <w:ilvl w:val="0"/>
                <w:numId w:val="17"/>
              </w:numPr>
              <w:contextualSpacing/>
              <w:jc w:val="center"/>
              <w:rPr>
                <w:b/>
              </w:rPr>
            </w:pPr>
          </w:p>
        </w:tc>
        <w:tc>
          <w:tcPr>
            <w:tcW w:w="1738" w:type="pct"/>
          </w:tcPr>
          <w:p w:rsidRPr="001428D3" w:rsidR="00B55938" w:rsidP="001428D3" w:rsidRDefault="00B55938">
            <w:pPr>
              <w:jc w:val="left"/>
            </w:pPr>
            <w:r w:rsidRPr="001428D3">
              <w:t>Xhafer ISUFI</w:t>
            </w:r>
          </w:p>
        </w:tc>
        <w:tc>
          <w:tcPr>
            <w:tcW w:w="640" w:type="pct"/>
          </w:tcPr>
          <w:p w:rsidRPr="001428D3" w:rsidR="00B55938" w:rsidP="001428D3" w:rsidRDefault="00B55938">
            <w:pPr>
              <w:jc w:val="left"/>
            </w:pPr>
            <w:r w:rsidRPr="001428D3">
              <w:t>1948</w:t>
            </w:r>
          </w:p>
        </w:tc>
        <w:tc>
          <w:tcPr>
            <w:tcW w:w="1007" w:type="pct"/>
          </w:tcPr>
          <w:p w:rsidRPr="001428D3" w:rsidR="00B55938" w:rsidP="001428D3" w:rsidRDefault="00B55938">
            <w:pPr>
              <w:jc w:val="left"/>
            </w:pPr>
            <w:r w:rsidRPr="001428D3">
              <w:t>Albanian</w:t>
            </w:r>
          </w:p>
        </w:tc>
        <w:tc>
          <w:tcPr>
            <w:tcW w:w="1005" w:type="pct"/>
          </w:tcPr>
          <w:p w:rsidRPr="001428D3" w:rsidR="00B55938" w:rsidP="001428D3" w:rsidRDefault="00B55938">
            <w:pPr>
              <w:jc w:val="left"/>
            </w:pPr>
            <w:r w:rsidRPr="001428D3">
              <w:t>Tirana</w:t>
            </w:r>
          </w:p>
        </w:tc>
      </w:tr>
      <w:tr w:rsidRPr="001428D3" w:rsidR="00C42717" w:rsidTr="004C434E">
        <w:trPr>
          <w:trHeight w:val="445"/>
        </w:trPr>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Arben BASHA</w:t>
            </w:r>
          </w:p>
        </w:tc>
        <w:tc>
          <w:tcPr>
            <w:tcW w:w="640" w:type="pct"/>
          </w:tcPr>
          <w:p w:rsidRPr="001428D3" w:rsidR="00C42717" w:rsidP="001428D3" w:rsidRDefault="00C42717">
            <w:pPr>
              <w:jc w:val="left"/>
            </w:pPr>
            <w:r w:rsidRPr="001428D3">
              <w:t>1969</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Gerti CALLIKU</w:t>
            </w:r>
          </w:p>
        </w:tc>
        <w:tc>
          <w:tcPr>
            <w:tcW w:w="640" w:type="pct"/>
          </w:tcPr>
          <w:p w:rsidRPr="001428D3" w:rsidR="00C42717" w:rsidP="001428D3" w:rsidRDefault="00C42717">
            <w:pPr>
              <w:jc w:val="left"/>
            </w:pPr>
            <w:r w:rsidRPr="001428D3">
              <w:t>1976</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Valbona CALLIKU</w:t>
            </w:r>
          </w:p>
        </w:tc>
        <w:tc>
          <w:tcPr>
            <w:tcW w:w="640" w:type="pct"/>
          </w:tcPr>
          <w:p w:rsidRPr="001428D3" w:rsidR="00C42717" w:rsidP="001428D3" w:rsidRDefault="00C42717">
            <w:pPr>
              <w:jc w:val="left"/>
            </w:pPr>
            <w:r w:rsidRPr="001428D3">
              <w:t>1976</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Abdul DEROMEMAJ</w:t>
            </w:r>
          </w:p>
        </w:tc>
        <w:tc>
          <w:tcPr>
            <w:tcW w:w="640" w:type="pct"/>
          </w:tcPr>
          <w:p w:rsidRPr="001428D3" w:rsidR="00C42717" w:rsidP="001428D3" w:rsidRDefault="00C42717">
            <w:pPr>
              <w:jc w:val="left"/>
            </w:pPr>
            <w:r w:rsidRPr="001428D3">
              <w:t>1939</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Vlore</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Eduard DUROLLI</w:t>
            </w:r>
          </w:p>
        </w:tc>
        <w:tc>
          <w:tcPr>
            <w:tcW w:w="640" w:type="pct"/>
          </w:tcPr>
          <w:p w:rsidRPr="001428D3" w:rsidR="00C42717" w:rsidP="001428D3" w:rsidRDefault="00C42717">
            <w:pPr>
              <w:jc w:val="left"/>
            </w:pPr>
            <w:r w:rsidRPr="001428D3">
              <w:t>1947</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Vlore</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Ilonka HANXHARI</w:t>
            </w:r>
          </w:p>
        </w:tc>
        <w:tc>
          <w:tcPr>
            <w:tcW w:w="640" w:type="pct"/>
          </w:tcPr>
          <w:p w:rsidRPr="001428D3" w:rsidR="00C42717" w:rsidP="001428D3" w:rsidRDefault="00C42717">
            <w:pPr>
              <w:jc w:val="left"/>
            </w:pPr>
            <w:r w:rsidRPr="001428D3">
              <w:t>1955</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Mihallaq HANXHARI</w:t>
            </w:r>
          </w:p>
        </w:tc>
        <w:tc>
          <w:tcPr>
            <w:tcW w:w="640" w:type="pct"/>
          </w:tcPr>
          <w:p w:rsidRPr="001428D3" w:rsidR="00C42717" w:rsidP="001428D3" w:rsidRDefault="00C42717">
            <w:pPr>
              <w:jc w:val="left"/>
            </w:pPr>
            <w:r w:rsidRPr="001428D3">
              <w:t>1955</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B55938">
            <w:pPr>
              <w:jc w:val="left"/>
            </w:pPr>
            <w:r w:rsidRPr="001428D3">
              <w:t>Erinda BALLANCA</w:t>
            </w:r>
          </w:p>
        </w:tc>
        <w:tc>
          <w:tcPr>
            <w:tcW w:w="640" w:type="pct"/>
          </w:tcPr>
          <w:p w:rsidRPr="001428D3" w:rsidR="00C42717" w:rsidP="001428D3" w:rsidRDefault="00B55938">
            <w:pPr>
              <w:jc w:val="left"/>
            </w:pPr>
            <w:r w:rsidRPr="001428D3">
              <w:t>1973</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Vullnet KACORRI</w:t>
            </w:r>
          </w:p>
        </w:tc>
        <w:tc>
          <w:tcPr>
            <w:tcW w:w="640" w:type="pct"/>
          </w:tcPr>
          <w:p w:rsidRPr="001428D3" w:rsidR="00C42717" w:rsidP="001428D3" w:rsidRDefault="00C42717">
            <w:pPr>
              <w:jc w:val="left"/>
            </w:pPr>
            <w:r w:rsidRPr="001428D3">
              <w:t>1971</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Vlore</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Klima KAPIDANI</w:t>
            </w:r>
          </w:p>
        </w:tc>
        <w:tc>
          <w:tcPr>
            <w:tcW w:w="640" w:type="pct"/>
          </w:tcPr>
          <w:p w:rsidRPr="001428D3" w:rsidR="00C42717" w:rsidP="001428D3" w:rsidRDefault="00C42717">
            <w:pPr>
              <w:jc w:val="left"/>
            </w:pPr>
            <w:r w:rsidRPr="001428D3">
              <w:t>1956</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Mimoza MECAJ</w:t>
            </w:r>
          </w:p>
        </w:tc>
        <w:tc>
          <w:tcPr>
            <w:tcW w:w="640" w:type="pct"/>
          </w:tcPr>
          <w:p w:rsidRPr="001428D3" w:rsidR="00C42717" w:rsidP="001428D3" w:rsidRDefault="00C42717">
            <w:pPr>
              <w:jc w:val="left"/>
            </w:pPr>
            <w:r w:rsidRPr="001428D3">
              <w:t>1962</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Teri POJANI</w:t>
            </w:r>
          </w:p>
        </w:tc>
        <w:tc>
          <w:tcPr>
            <w:tcW w:w="640" w:type="pct"/>
          </w:tcPr>
          <w:p w:rsidRPr="001428D3" w:rsidR="00C42717" w:rsidP="001428D3" w:rsidRDefault="00C42717">
            <w:pPr>
              <w:jc w:val="left"/>
            </w:pPr>
            <w:r w:rsidRPr="001428D3">
              <w:t>1961</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Baki RAKIPAJ</w:t>
            </w:r>
          </w:p>
        </w:tc>
        <w:tc>
          <w:tcPr>
            <w:tcW w:w="640" w:type="pct"/>
          </w:tcPr>
          <w:p w:rsidRPr="001428D3" w:rsidR="00C42717" w:rsidP="001428D3" w:rsidRDefault="00C42717">
            <w:pPr>
              <w:jc w:val="left"/>
            </w:pPr>
            <w:r w:rsidRPr="001428D3">
              <w:t>1963</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Vlore</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Pano RAKIPAJ</w:t>
            </w:r>
          </w:p>
        </w:tc>
        <w:tc>
          <w:tcPr>
            <w:tcW w:w="640" w:type="pct"/>
          </w:tcPr>
          <w:p w:rsidRPr="001428D3" w:rsidR="00C42717" w:rsidP="001428D3" w:rsidRDefault="00C42717">
            <w:pPr>
              <w:jc w:val="left"/>
            </w:pPr>
            <w:r w:rsidRPr="001428D3">
              <w:t>1968</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Vlore</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Giuliano SCHENETTI</w:t>
            </w:r>
          </w:p>
        </w:tc>
        <w:tc>
          <w:tcPr>
            <w:tcW w:w="640" w:type="pct"/>
          </w:tcPr>
          <w:p w:rsidRPr="001428D3" w:rsidR="00C42717" w:rsidP="001428D3" w:rsidRDefault="00C42717">
            <w:pPr>
              <w:jc w:val="left"/>
            </w:pPr>
            <w:r w:rsidRPr="001428D3">
              <w:t>1946</w:t>
            </w:r>
          </w:p>
        </w:tc>
        <w:tc>
          <w:tcPr>
            <w:tcW w:w="1007" w:type="pct"/>
          </w:tcPr>
          <w:p w:rsidRPr="001428D3" w:rsidR="00C42717" w:rsidP="001428D3" w:rsidRDefault="00C42717">
            <w:pPr>
              <w:jc w:val="left"/>
            </w:pPr>
            <w:r w:rsidRPr="001428D3">
              <w:t>Italian</w:t>
            </w:r>
          </w:p>
        </w:tc>
        <w:tc>
          <w:tcPr>
            <w:tcW w:w="1005" w:type="pct"/>
          </w:tcPr>
          <w:p w:rsidRPr="001428D3" w:rsidR="00C42717" w:rsidP="001428D3" w:rsidRDefault="00C42717">
            <w:pPr>
              <w:jc w:val="left"/>
            </w:pPr>
            <w:r w:rsidRPr="001428D3">
              <w:t xml:space="preserve">Toano </w:t>
            </w:r>
          </w:p>
        </w:tc>
      </w:tr>
      <w:tr w:rsidRPr="001428D3" w:rsidR="00C42717" w:rsidTr="004C434E">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Etnik SOPOTI</w:t>
            </w:r>
          </w:p>
        </w:tc>
        <w:tc>
          <w:tcPr>
            <w:tcW w:w="640" w:type="pct"/>
          </w:tcPr>
          <w:p w:rsidRPr="001428D3" w:rsidR="00C42717" w:rsidP="001428D3" w:rsidRDefault="00C42717">
            <w:pPr>
              <w:jc w:val="left"/>
            </w:pPr>
            <w:r w:rsidRPr="001428D3">
              <w:t>1969</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r w:rsidRPr="001428D3" w:rsidR="00C42717" w:rsidTr="004C434E">
        <w:trPr>
          <w:trHeight w:val="385"/>
        </w:trPr>
        <w:tc>
          <w:tcPr>
            <w:tcW w:w="610" w:type="pct"/>
          </w:tcPr>
          <w:p w:rsidRPr="001428D3" w:rsidR="00C42717" w:rsidP="001428D3" w:rsidRDefault="00C42717">
            <w:pPr>
              <w:numPr>
                <w:ilvl w:val="0"/>
                <w:numId w:val="17"/>
              </w:numPr>
              <w:contextualSpacing/>
              <w:jc w:val="center"/>
              <w:rPr>
                <w:b/>
              </w:rPr>
            </w:pPr>
          </w:p>
        </w:tc>
        <w:tc>
          <w:tcPr>
            <w:tcW w:w="1738" w:type="pct"/>
          </w:tcPr>
          <w:p w:rsidRPr="001428D3" w:rsidR="00C42717" w:rsidP="001428D3" w:rsidRDefault="00C42717">
            <w:pPr>
              <w:jc w:val="left"/>
            </w:pPr>
            <w:r w:rsidRPr="001428D3">
              <w:t>Dorina YLLI</w:t>
            </w:r>
          </w:p>
        </w:tc>
        <w:tc>
          <w:tcPr>
            <w:tcW w:w="640" w:type="pct"/>
          </w:tcPr>
          <w:p w:rsidRPr="001428D3" w:rsidR="00C42717" w:rsidP="001428D3" w:rsidRDefault="00C42717">
            <w:pPr>
              <w:jc w:val="left"/>
            </w:pPr>
            <w:r w:rsidRPr="001428D3">
              <w:t>1986</w:t>
            </w:r>
          </w:p>
        </w:tc>
        <w:tc>
          <w:tcPr>
            <w:tcW w:w="1007" w:type="pct"/>
          </w:tcPr>
          <w:p w:rsidRPr="001428D3" w:rsidR="00C42717" w:rsidP="001428D3" w:rsidRDefault="00C42717">
            <w:pPr>
              <w:jc w:val="left"/>
            </w:pPr>
            <w:r w:rsidRPr="001428D3">
              <w:t>Albanian</w:t>
            </w:r>
          </w:p>
        </w:tc>
        <w:tc>
          <w:tcPr>
            <w:tcW w:w="1005" w:type="pct"/>
          </w:tcPr>
          <w:p w:rsidRPr="001428D3" w:rsidR="00C42717" w:rsidP="001428D3" w:rsidRDefault="00C42717">
            <w:pPr>
              <w:jc w:val="left"/>
            </w:pPr>
            <w:r w:rsidRPr="001428D3">
              <w:t>Tirana</w:t>
            </w:r>
          </w:p>
        </w:tc>
      </w:tr>
    </w:tbl>
    <w:p w:rsidRPr="001428D3" w:rsidR="004D15F3" w:rsidP="001428D3" w:rsidRDefault="004D15F3"/>
    <w:sectPr w:rsidRPr="001428D3" w:rsidR="004D15F3" w:rsidSect="009845BA">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46" w:rsidRPr="00E4133A" w:rsidRDefault="00C95B46" w:rsidP="00014566">
      <w:r w:rsidRPr="00E4133A">
        <w:separator/>
      </w:r>
    </w:p>
  </w:endnote>
  <w:endnote w:type="continuationSeparator" w:id="0">
    <w:p w:rsidR="00C95B46" w:rsidRPr="00E4133A" w:rsidRDefault="00C95B46"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46" w:rsidRPr="00150BFA" w:rsidRDefault="00C95B46" w:rsidP="009845BA">
    <w:pPr>
      <w:jc w:val="center"/>
    </w:pPr>
    <w:r>
      <w:rPr>
        <w:noProof/>
        <w:lang w:val="en-US" w:eastAsia="ja-JP"/>
      </w:rPr>
      <w:drawing>
        <wp:inline distT="0" distB="0" distL="0" distR="0" wp14:anchorId="4A3F08D5" wp14:editId="6F42B6F5">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95B46" w:rsidRDefault="00C95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46" w:rsidRPr="00E4133A" w:rsidRDefault="00C95B46" w:rsidP="00014566">
      <w:r w:rsidRPr="00E4133A">
        <w:separator/>
      </w:r>
    </w:p>
  </w:footnote>
  <w:footnote w:type="continuationSeparator" w:id="0">
    <w:p w:rsidR="00C95B46" w:rsidRPr="00E4133A" w:rsidRDefault="00C95B46" w:rsidP="00014566">
      <w:r w:rsidRPr="00E413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46" w:rsidRPr="009845BA" w:rsidRDefault="00C95B46" w:rsidP="009845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46" w:rsidRPr="00A45145" w:rsidRDefault="00C95B46" w:rsidP="009845BA">
    <w:pPr>
      <w:jc w:val="center"/>
    </w:pPr>
    <w:r>
      <w:rPr>
        <w:noProof/>
        <w:lang w:val="en-US" w:eastAsia="ja-JP"/>
      </w:rPr>
      <w:drawing>
        <wp:inline distT="0" distB="0" distL="0" distR="0" wp14:anchorId="6150EF6E" wp14:editId="78FE2E31">
          <wp:extent cx="2962275" cy="1219200"/>
          <wp:effectExtent l="0" t="0" r="9525" b="0"/>
          <wp:docPr id="60" name="Picture 6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95B46" w:rsidRDefault="00C95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46" w:rsidRPr="00E4133A" w:rsidRDefault="00C95B46"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1428D3">
      <w:rPr>
        <w:rStyle w:val="PageNumber"/>
        <w:noProof/>
        <w:szCs w:val="18"/>
      </w:rPr>
      <w:t>2</w:t>
    </w:r>
    <w:r>
      <w:rPr>
        <w:rStyle w:val="PageNumber"/>
        <w:szCs w:val="18"/>
      </w:rPr>
      <w:fldChar w:fldCharType="end"/>
    </w:r>
    <w:r w:rsidRPr="00E4133A">
      <w:tab/>
    </w:r>
    <w:r>
      <w:t>SHARXHI AND OTHERS v. ALBANIA</w:t>
    </w:r>
    <w:r w:rsidRPr="00E4133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46" w:rsidRPr="00E4133A" w:rsidRDefault="00C95B46" w:rsidP="00D60D87">
    <w:pPr>
      <w:pStyle w:val="ECHRHeader"/>
    </w:pPr>
    <w:r w:rsidRPr="00E4133A">
      <w:tab/>
    </w:r>
    <w:r>
      <w:t>SHARXHI AND OTHERS v. ALBANIA</w:t>
    </w:r>
    <w:r w:rsidRPr="00E4133A">
      <w:t xml:space="preserve"> </w:t>
    </w:r>
    <w:r>
      <w:t>JUDGMENT</w:t>
    </w:r>
    <w:r w:rsidRPr="00E4133A">
      <w:tab/>
    </w:r>
    <w:r>
      <w:rPr>
        <w:rStyle w:val="PageNumber"/>
        <w:szCs w:val="18"/>
      </w:rPr>
      <w:fldChar w:fldCharType="begin"/>
    </w:r>
    <w:r>
      <w:rPr>
        <w:rStyle w:val="PageNumber"/>
        <w:szCs w:val="18"/>
      </w:rPr>
      <w:instrText xml:space="preserve"> PAGE </w:instrText>
    </w:r>
    <w:r>
      <w:rPr>
        <w:rStyle w:val="PageNumber"/>
        <w:szCs w:val="18"/>
      </w:rPr>
      <w:fldChar w:fldCharType="separate"/>
    </w:r>
    <w:r w:rsidR="001428D3">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6A341D2"/>
    <w:multiLevelType w:val="hybridMultilevel"/>
    <w:tmpl w:val="7DA2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1"/>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0"/>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7133FE"/>
    <w:rsid w:val="00000067"/>
    <w:rsid w:val="000010ED"/>
    <w:rsid w:val="000019E9"/>
    <w:rsid w:val="00001A92"/>
    <w:rsid w:val="000023AF"/>
    <w:rsid w:val="00002427"/>
    <w:rsid w:val="00002A34"/>
    <w:rsid w:val="00002C5D"/>
    <w:rsid w:val="000035DA"/>
    <w:rsid w:val="00003DA8"/>
    <w:rsid w:val="0000404B"/>
    <w:rsid w:val="000041F8"/>
    <w:rsid w:val="000042A8"/>
    <w:rsid w:val="00004308"/>
    <w:rsid w:val="00005BF0"/>
    <w:rsid w:val="00005D35"/>
    <w:rsid w:val="00007154"/>
    <w:rsid w:val="000072EB"/>
    <w:rsid w:val="000103AE"/>
    <w:rsid w:val="0001044B"/>
    <w:rsid w:val="00010DEC"/>
    <w:rsid w:val="000112BC"/>
    <w:rsid w:val="00011CD6"/>
    <w:rsid w:val="00011D69"/>
    <w:rsid w:val="0001266C"/>
    <w:rsid w:val="00012AD3"/>
    <w:rsid w:val="0001360F"/>
    <w:rsid w:val="00013B0D"/>
    <w:rsid w:val="00014566"/>
    <w:rsid w:val="00015096"/>
    <w:rsid w:val="00015C2D"/>
    <w:rsid w:val="00015F00"/>
    <w:rsid w:val="000164F2"/>
    <w:rsid w:val="00016CC2"/>
    <w:rsid w:val="00017B15"/>
    <w:rsid w:val="00017E0E"/>
    <w:rsid w:val="000200FA"/>
    <w:rsid w:val="00020384"/>
    <w:rsid w:val="00020B7F"/>
    <w:rsid w:val="000212F0"/>
    <w:rsid w:val="000213F3"/>
    <w:rsid w:val="00021801"/>
    <w:rsid w:val="00021EF2"/>
    <w:rsid w:val="00022C1D"/>
    <w:rsid w:val="000232F6"/>
    <w:rsid w:val="0002375A"/>
    <w:rsid w:val="000239F4"/>
    <w:rsid w:val="00023C64"/>
    <w:rsid w:val="00023EB7"/>
    <w:rsid w:val="0002591F"/>
    <w:rsid w:val="00025E10"/>
    <w:rsid w:val="00026501"/>
    <w:rsid w:val="00026584"/>
    <w:rsid w:val="000268F7"/>
    <w:rsid w:val="00031767"/>
    <w:rsid w:val="00032B80"/>
    <w:rsid w:val="0003392E"/>
    <w:rsid w:val="00034987"/>
    <w:rsid w:val="00034B6B"/>
    <w:rsid w:val="000350E3"/>
    <w:rsid w:val="00035C94"/>
    <w:rsid w:val="00036E79"/>
    <w:rsid w:val="000371AF"/>
    <w:rsid w:val="0003729E"/>
    <w:rsid w:val="00037466"/>
    <w:rsid w:val="00037E67"/>
    <w:rsid w:val="000402EE"/>
    <w:rsid w:val="0004109F"/>
    <w:rsid w:val="00041812"/>
    <w:rsid w:val="0004201B"/>
    <w:rsid w:val="00042ACB"/>
    <w:rsid w:val="00042F14"/>
    <w:rsid w:val="000431E9"/>
    <w:rsid w:val="00043E48"/>
    <w:rsid w:val="000441C0"/>
    <w:rsid w:val="00044C0F"/>
    <w:rsid w:val="000456E8"/>
    <w:rsid w:val="000466A5"/>
    <w:rsid w:val="000469EB"/>
    <w:rsid w:val="000474C2"/>
    <w:rsid w:val="000477AC"/>
    <w:rsid w:val="00047E88"/>
    <w:rsid w:val="000502F5"/>
    <w:rsid w:val="00051090"/>
    <w:rsid w:val="00051BBB"/>
    <w:rsid w:val="00051F8A"/>
    <w:rsid w:val="000527A3"/>
    <w:rsid w:val="0005456D"/>
    <w:rsid w:val="00054ECB"/>
    <w:rsid w:val="00054FEE"/>
    <w:rsid w:val="00055143"/>
    <w:rsid w:val="0005581D"/>
    <w:rsid w:val="00055FEF"/>
    <w:rsid w:val="00056242"/>
    <w:rsid w:val="00056263"/>
    <w:rsid w:val="00056301"/>
    <w:rsid w:val="00056978"/>
    <w:rsid w:val="00056BED"/>
    <w:rsid w:val="000571AB"/>
    <w:rsid w:val="00057231"/>
    <w:rsid w:val="0005724F"/>
    <w:rsid w:val="000602DF"/>
    <w:rsid w:val="000603AB"/>
    <w:rsid w:val="00060C43"/>
    <w:rsid w:val="00060F84"/>
    <w:rsid w:val="00061B05"/>
    <w:rsid w:val="00061BBF"/>
    <w:rsid w:val="00061BE3"/>
    <w:rsid w:val="00061EB8"/>
    <w:rsid w:val="0006206D"/>
    <w:rsid w:val="00062973"/>
    <w:rsid w:val="00062987"/>
    <w:rsid w:val="00062C76"/>
    <w:rsid w:val="00062D5D"/>
    <w:rsid w:val="000632D5"/>
    <w:rsid w:val="00063996"/>
    <w:rsid w:val="00063E37"/>
    <w:rsid w:val="000644EE"/>
    <w:rsid w:val="00064BC2"/>
    <w:rsid w:val="00065018"/>
    <w:rsid w:val="00065225"/>
    <w:rsid w:val="00065AF7"/>
    <w:rsid w:val="00066024"/>
    <w:rsid w:val="00066CC4"/>
    <w:rsid w:val="00066F84"/>
    <w:rsid w:val="000679F4"/>
    <w:rsid w:val="00067F0E"/>
    <w:rsid w:val="00070697"/>
    <w:rsid w:val="0007134D"/>
    <w:rsid w:val="00071ABC"/>
    <w:rsid w:val="00071C39"/>
    <w:rsid w:val="00071D18"/>
    <w:rsid w:val="00072018"/>
    <w:rsid w:val="0007273F"/>
    <w:rsid w:val="00072C79"/>
    <w:rsid w:val="00073C10"/>
    <w:rsid w:val="000750C4"/>
    <w:rsid w:val="00076423"/>
    <w:rsid w:val="000764AE"/>
    <w:rsid w:val="000771BB"/>
    <w:rsid w:val="0007764E"/>
    <w:rsid w:val="000777B5"/>
    <w:rsid w:val="00077C15"/>
    <w:rsid w:val="00077E12"/>
    <w:rsid w:val="000801B6"/>
    <w:rsid w:val="000807A8"/>
    <w:rsid w:val="0008168D"/>
    <w:rsid w:val="00081A2B"/>
    <w:rsid w:val="00081AF4"/>
    <w:rsid w:val="00081E65"/>
    <w:rsid w:val="00083172"/>
    <w:rsid w:val="00083716"/>
    <w:rsid w:val="000849EE"/>
    <w:rsid w:val="00084D26"/>
    <w:rsid w:val="000856D7"/>
    <w:rsid w:val="00086167"/>
    <w:rsid w:val="00087059"/>
    <w:rsid w:val="00087896"/>
    <w:rsid w:val="00087D59"/>
    <w:rsid w:val="00087DF5"/>
    <w:rsid w:val="00087F30"/>
    <w:rsid w:val="000902AD"/>
    <w:rsid w:val="00090B6D"/>
    <w:rsid w:val="00091AD3"/>
    <w:rsid w:val="000925AD"/>
    <w:rsid w:val="00092C76"/>
    <w:rsid w:val="0009313F"/>
    <w:rsid w:val="00093211"/>
    <w:rsid w:val="00093F8D"/>
    <w:rsid w:val="0009424E"/>
    <w:rsid w:val="00094514"/>
    <w:rsid w:val="00094BC7"/>
    <w:rsid w:val="00094F07"/>
    <w:rsid w:val="00095BE4"/>
    <w:rsid w:val="00096733"/>
    <w:rsid w:val="00096F5A"/>
    <w:rsid w:val="0009729E"/>
    <w:rsid w:val="000A0056"/>
    <w:rsid w:val="000A0C55"/>
    <w:rsid w:val="000A20BE"/>
    <w:rsid w:val="000A24EB"/>
    <w:rsid w:val="000A25A9"/>
    <w:rsid w:val="000A2BCE"/>
    <w:rsid w:val="000A3045"/>
    <w:rsid w:val="000A3333"/>
    <w:rsid w:val="000A3944"/>
    <w:rsid w:val="000A3A26"/>
    <w:rsid w:val="000A4461"/>
    <w:rsid w:val="000A5546"/>
    <w:rsid w:val="000A5570"/>
    <w:rsid w:val="000A5710"/>
    <w:rsid w:val="000A5909"/>
    <w:rsid w:val="000A591A"/>
    <w:rsid w:val="000A673D"/>
    <w:rsid w:val="000A6D87"/>
    <w:rsid w:val="000A77E3"/>
    <w:rsid w:val="000A7A40"/>
    <w:rsid w:val="000B01AE"/>
    <w:rsid w:val="000B0343"/>
    <w:rsid w:val="000B1721"/>
    <w:rsid w:val="000B1921"/>
    <w:rsid w:val="000B2299"/>
    <w:rsid w:val="000B239E"/>
    <w:rsid w:val="000B3DEE"/>
    <w:rsid w:val="000B4C88"/>
    <w:rsid w:val="000B5288"/>
    <w:rsid w:val="000B5645"/>
    <w:rsid w:val="000B6923"/>
    <w:rsid w:val="000B69D1"/>
    <w:rsid w:val="000B6BDC"/>
    <w:rsid w:val="000B6C87"/>
    <w:rsid w:val="000B6E88"/>
    <w:rsid w:val="000B7418"/>
    <w:rsid w:val="000C013B"/>
    <w:rsid w:val="000C033C"/>
    <w:rsid w:val="000C0342"/>
    <w:rsid w:val="000C0B96"/>
    <w:rsid w:val="000C113E"/>
    <w:rsid w:val="000C1D51"/>
    <w:rsid w:val="000C226B"/>
    <w:rsid w:val="000C2BF9"/>
    <w:rsid w:val="000C2E5E"/>
    <w:rsid w:val="000C3B84"/>
    <w:rsid w:val="000C44AF"/>
    <w:rsid w:val="000C46CF"/>
    <w:rsid w:val="000C4C02"/>
    <w:rsid w:val="000C4D46"/>
    <w:rsid w:val="000C4F0D"/>
    <w:rsid w:val="000C5F3C"/>
    <w:rsid w:val="000C6032"/>
    <w:rsid w:val="000C68A1"/>
    <w:rsid w:val="000C6DCC"/>
    <w:rsid w:val="000C7A3E"/>
    <w:rsid w:val="000C7E00"/>
    <w:rsid w:val="000D0820"/>
    <w:rsid w:val="000D1034"/>
    <w:rsid w:val="000D166A"/>
    <w:rsid w:val="000D16CA"/>
    <w:rsid w:val="000D2198"/>
    <w:rsid w:val="000D2633"/>
    <w:rsid w:val="000D3BD0"/>
    <w:rsid w:val="000D3C01"/>
    <w:rsid w:val="000D3E4E"/>
    <w:rsid w:val="000D4096"/>
    <w:rsid w:val="000D47AA"/>
    <w:rsid w:val="000D526D"/>
    <w:rsid w:val="000D55C7"/>
    <w:rsid w:val="000D721F"/>
    <w:rsid w:val="000D77A8"/>
    <w:rsid w:val="000E069B"/>
    <w:rsid w:val="000E0E82"/>
    <w:rsid w:val="000E0F9E"/>
    <w:rsid w:val="000E1DC5"/>
    <w:rsid w:val="000E223F"/>
    <w:rsid w:val="000E22E1"/>
    <w:rsid w:val="000E2521"/>
    <w:rsid w:val="000E35AC"/>
    <w:rsid w:val="000E36AF"/>
    <w:rsid w:val="000E3B70"/>
    <w:rsid w:val="000E50CF"/>
    <w:rsid w:val="000E53F6"/>
    <w:rsid w:val="000E7D45"/>
    <w:rsid w:val="000E7ED8"/>
    <w:rsid w:val="000F023F"/>
    <w:rsid w:val="000F040B"/>
    <w:rsid w:val="000F137A"/>
    <w:rsid w:val="000F1C70"/>
    <w:rsid w:val="000F3AE4"/>
    <w:rsid w:val="000F4743"/>
    <w:rsid w:val="000F501A"/>
    <w:rsid w:val="000F50CC"/>
    <w:rsid w:val="000F5143"/>
    <w:rsid w:val="000F633A"/>
    <w:rsid w:val="000F63B8"/>
    <w:rsid w:val="000F6529"/>
    <w:rsid w:val="000F688F"/>
    <w:rsid w:val="000F6FC3"/>
    <w:rsid w:val="000F7022"/>
    <w:rsid w:val="000F7851"/>
    <w:rsid w:val="000F7B9B"/>
    <w:rsid w:val="000F7F59"/>
    <w:rsid w:val="001008B8"/>
    <w:rsid w:val="001016E5"/>
    <w:rsid w:val="001025F4"/>
    <w:rsid w:val="00102D3F"/>
    <w:rsid w:val="00102E49"/>
    <w:rsid w:val="00103661"/>
    <w:rsid w:val="001036C1"/>
    <w:rsid w:val="00103986"/>
    <w:rsid w:val="001045F5"/>
    <w:rsid w:val="00104E23"/>
    <w:rsid w:val="00105995"/>
    <w:rsid w:val="001059F1"/>
    <w:rsid w:val="00106B94"/>
    <w:rsid w:val="00111418"/>
    <w:rsid w:val="00111B0C"/>
    <w:rsid w:val="00111C21"/>
    <w:rsid w:val="00113515"/>
    <w:rsid w:val="00113C15"/>
    <w:rsid w:val="00116709"/>
    <w:rsid w:val="0011709D"/>
    <w:rsid w:val="001176E1"/>
    <w:rsid w:val="00117701"/>
    <w:rsid w:val="0012026E"/>
    <w:rsid w:val="00120C23"/>
    <w:rsid w:val="00120D6C"/>
    <w:rsid w:val="00121364"/>
    <w:rsid w:val="001216DA"/>
    <w:rsid w:val="001222C2"/>
    <w:rsid w:val="00122F84"/>
    <w:rsid w:val="001230D5"/>
    <w:rsid w:val="001231C3"/>
    <w:rsid w:val="0012328D"/>
    <w:rsid w:val="00123979"/>
    <w:rsid w:val="00123B64"/>
    <w:rsid w:val="00124279"/>
    <w:rsid w:val="0012455E"/>
    <w:rsid w:val="00125057"/>
    <w:rsid w:val="001257EC"/>
    <w:rsid w:val="001272E2"/>
    <w:rsid w:val="00127ABE"/>
    <w:rsid w:val="00127D03"/>
    <w:rsid w:val="00130011"/>
    <w:rsid w:val="00130BE0"/>
    <w:rsid w:val="00130D57"/>
    <w:rsid w:val="0013172A"/>
    <w:rsid w:val="00131848"/>
    <w:rsid w:val="001318AE"/>
    <w:rsid w:val="001323C6"/>
    <w:rsid w:val="0013245F"/>
    <w:rsid w:val="001326AE"/>
    <w:rsid w:val="00132C6A"/>
    <w:rsid w:val="00132E33"/>
    <w:rsid w:val="001334D0"/>
    <w:rsid w:val="00133D33"/>
    <w:rsid w:val="00133FB8"/>
    <w:rsid w:val="00134231"/>
    <w:rsid w:val="00134D64"/>
    <w:rsid w:val="00134D86"/>
    <w:rsid w:val="00134FDF"/>
    <w:rsid w:val="001350A8"/>
    <w:rsid w:val="00135A30"/>
    <w:rsid w:val="0013612C"/>
    <w:rsid w:val="001370A5"/>
    <w:rsid w:val="001377C8"/>
    <w:rsid w:val="00137FF6"/>
    <w:rsid w:val="001402E5"/>
    <w:rsid w:val="00140546"/>
    <w:rsid w:val="00140E86"/>
    <w:rsid w:val="00140EA3"/>
    <w:rsid w:val="0014125E"/>
    <w:rsid w:val="00141650"/>
    <w:rsid w:val="00142073"/>
    <w:rsid w:val="001428D3"/>
    <w:rsid w:val="001445AD"/>
    <w:rsid w:val="00145204"/>
    <w:rsid w:val="001457D8"/>
    <w:rsid w:val="00145837"/>
    <w:rsid w:val="00145C1F"/>
    <w:rsid w:val="00147115"/>
    <w:rsid w:val="00147D8A"/>
    <w:rsid w:val="00147E23"/>
    <w:rsid w:val="00147F25"/>
    <w:rsid w:val="0015254B"/>
    <w:rsid w:val="0015362F"/>
    <w:rsid w:val="0015543F"/>
    <w:rsid w:val="001554C1"/>
    <w:rsid w:val="001575DF"/>
    <w:rsid w:val="0016127C"/>
    <w:rsid w:val="00161544"/>
    <w:rsid w:val="00162A12"/>
    <w:rsid w:val="00162AAE"/>
    <w:rsid w:val="0016322F"/>
    <w:rsid w:val="0016386D"/>
    <w:rsid w:val="00163D10"/>
    <w:rsid w:val="00163F60"/>
    <w:rsid w:val="001640A5"/>
    <w:rsid w:val="00166119"/>
    <w:rsid w:val="00166530"/>
    <w:rsid w:val="001678AF"/>
    <w:rsid w:val="001701F1"/>
    <w:rsid w:val="00170E6E"/>
    <w:rsid w:val="00170FA5"/>
    <w:rsid w:val="001713AA"/>
    <w:rsid w:val="001714A2"/>
    <w:rsid w:val="00171B30"/>
    <w:rsid w:val="00173995"/>
    <w:rsid w:val="001739E0"/>
    <w:rsid w:val="001742D3"/>
    <w:rsid w:val="0017577D"/>
    <w:rsid w:val="00175869"/>
    <w:rsid w:val="00176322"/>
    <w:rsid w:val="00176407"/>
    <w:rsid w:val="00176C8F"/>
    <w:rsid w:val="00177C87"/>
    <w:rsid w:val="00180894"/>
    <w:rsid w:val="00180CCA"/>
    <w:rsid w:val="00180F3F"/>
    <w:rsid w:val="00181386"/>
    <w:rsid w:val="00182551"/>
    <w:rsid w:val="00183126"/>
    <w:rsid w:val="001832BD"/>
    <w:rsid w:val="001839BE"/>
    <w:rsid w:val="00183B5E"/>
    <w:rsid w:val="00183C29"/>
    <w:rsid w:val="001856E1"/>
    <w:rsid w:val="00185863"/>
    <w:rsid w:val="001860EA"/>
    <w:rsid w:val="00186FF5"/>
    <w:rsid w:val="00187063"/>
    <w:rsid w:val="001875FE"/>
    <w:rsid w:val="0018771F"/>
    <w:rsid w:val="00190151"/>
    <w:rsid w:val="00190D6B"/>
    <w:rsid w:val="00190D8F"/>
    <w:rsid w:val="00191A9C"/>
    <w:rsid w:val="00192356"/>
    <w:rsid w:val="00193040"/>
    <w:rsid w:val="001943B5"/>
    <w:rsid w:val="00195134"/>
    <w:rsid w:val="0019515B"/>
    <w:rsid w:val="00195BCC"/>
    <w:rsid w:val="00195DD8"/>
    <w:rsid w:val="00196944"/>
    <w:rsid w:val="00196C07"/>
    <w:rsid w:val="00196C29"/>
    <w:rsid w:val="001A145B"/>
    <w:rsid w:val="001A1856"/>
    <w:rsid w:val="001A2296"/>
    <w:rsid w:val="001A23D9"/>
    <w:rsid w:val="001A3E9B"/>
    <w:rsid w:val="001A41B8"/>
    <w:rsid w:val="001A4BE6"/>
    <w:rsid w:val="001A5B3A"/>
    <w:rsid w:val="001A5CF3"/>
    <w:rsid w:val="001A674C"/>
    <w:rsid w:val="001B025E"/>
    <w:rsid w:val="001B0965"/>
    <w:rsid w:val="001B0C6B"/>
    <w:rsid w:val="001B0EDE"/>
    <w:rsid w:val="001B1680"/>
    <w:rsid w:val="001B193A"/>
    <w:rsid w:val="001B2E1A"/>
    <w:rsid w:val="001B3A57"/>
    <w:rsid w:val="001B3AD7"/>
    <w:rsid w:val="001B3B24"/>
    <w:rsid w:val="001B3CBD"/>
    <w:rsid w:val="001B4410"/>
    <w:rsid w:val="001B44CC"/>
    <w:rsid w:val="001B618A"/>
    <w:rsid w:val="001B6214"/>
    <w:rsid w:val="001B7078"/>
    <w:rsid w:val="001B79F8"/>
    <w:rsid w:val="001B7FC8"/>
    <w:rsid w:val="001C05B6"/>
    <w:rsid w:val="001C0F98"/>
    <w:rsid w:val="001C1259"/>
    <w:rsid w:val="001C12F6"/>
    <w:rsid w:val="001C1637"/>
    <w:rsid w:val="001C25C3"/>
    <w:rsid w:val="001C2A42"/>
    <w:rsid w:val="001C2AF0"/>
    <w:rsid w:val="001C2DAE"/>
    <w:rsid w:val="001C3850"/>
    <w:rsid w:val="001C3D55"/>
    <w:rsid w:val="001C47A1"/>
    <w:rsid w:val="001C5F82"/>
    <w:rsid w:val="001C6083"/>
    <w:rsid w:val="001C660B"/>
    <w:rsid w:val="001C6F5D"/>
    <w:rsid w:val="001C766D"/>
    <w:rsid w:val="001C7AE7"/>
    <w:rsid w:val="001C7B72"/>
    <w:rsid w:val="001C7EFF"/>
    <w:rsid w:val="001C7FD1"/>
    <w:rsid w:val="001D060E"/>
    <w:rsid w:val="001D2778"/>
    <w:rsid w:val="001D31C8"/>
    <w:rsid w:val="001D33D9"/>
    <w:rsid w:val="001D38D2"/>
    <w:rsid w:val="001D6066"/>
    <w:rsid w:val="001D6233"/>
    <w:rsid w:val="001D63ED"/>
    <w:rsid w:val="001D6DC7"/>
    <w:rsid w:val="001D7028"/>
    <w:rsid w:val="001D7348"/>
    <w:rsid w:val="001D78C2"/>
    <w:rsid w:val="001E018C"/>
    <w:rsid w:val="001E035B"/>
    <w:rsid w:val="001E0961"/>
    <w:rsid w:val="001E12C0"/>
    <w:rsid w:val="001E1576"/>
    <w:rsid w:val="001E162E"/>
    <w:rsid w:val="001E1AD3"/>
    <w:rsid w:val="001E1F3E"/>
    <w:rsid w:val="001E2393"/>
    <w:rsid w:val="001E2CF6"/>
    <w:rsid w:val="001E3EAE"/>
    <w:rsid w:val="001E40B5"/>
    <w:rsid w:val="001E493A"/>
    <w:rsid w:val="001E4DFA"/>
    <w:rsid w:val="001E5348"/>
    <w:rsid w:val="001E567F"/>
    <w:rsid w:val="001E58B4"/>
    <w:rsid w:val="001E5C58"/>
    <w:rsid w:val="001E6363"/>
    <w:rsid w:val="001E65B1"/>
    <w:rsid w:val="001E67D6"/>
    <w:rsid w:val="001E6809"/>
    <w:rsid w:val="001E6B17"/>
    <w:rsid w:val="001E6F32"/>
    <w:rsid w:val="001E76DE"/>
    <w:rsid w:val="001F0184"/>
    <w:rsid w:val="001F089B"/>
    <w:rsid w:val="001F0C07"/>
    <w:rsid w:val="001F10B6"/>
    <w:rsid w:val="001F12B1"/>
    <w:rsid w:val="001F1864"/>
    <w:rsid w:val="001F1968"/>
    <w:rsid w:val="001F2145"/>
    <w:rsid w:val="001F2A45"/>
    <w:rsid w:val="001F392F"/>
    <w:rsid w:val="001F41AD"/>
    <w:rsid w:val="001F5975"/>
    <w:rsid w:val="001F6262"/>
    <w:rsid w:val="001F67B0"/>
    <w:rsid w:val="001F6D39"/>
    <w:rsid w:val="001F7B3D"/>
    <w:rsid w:val="001F7C95"/>
    <w:rsid w:val="001F7EDC"/>
    <w:rsid w:val="00200754"/>
    <w:rsid w:val="00200D0F"/>
    <w:rsid w:val="00202778"/>
    <w:rsid w:val="00202E2F"/>
    <w:rsid w:val="0020333B"/>
    <w:rsid w:val="00203770"/>
    <w:rsid w:val="00203B14"/>
    <w:rsid w:val="00203B7C"/>
    <w:rsid w:val="00203D35"/>
    <w:rsid w:val="00205F9F"/>
    <w:rsid w:val="0020679D"/>
    <w:rsid w:val="00206BBF"/>
    <w:rsid w:val="002071D7"/>
    <w:rsid w:val="00207EB7"/>
    <w:rsid w:val="0021024D"/>
    <w:rsid w:val="00210338"/>
    <w:rsid w:val="0021150A"/>
    <w:rsid w:val="002115FC"/>
    <w:rsid w:val="002126C9"/>
    <w:rsid w:val="002133F8"/>
    <w:rsid w:val="00213FBA"/>
    <w:rsid w:val="0021423C"/>
    <w:rsid w:val="00215226"/>
    <w:rsid w:val="00216FB8"/>
    <w:rsid w:val="0021709C"/>
    <w:rsid w:val="002173C3"/>
    <w:rsid w:val="00220E9A"/>
    <w:rsid w:val="00221066"/>
    <w:rsid w:val="00221CE8"/>
    <w:rsid w:val="00222B04"/>
    <w:rsid w:val="00222FDB"/>
    <w:rsid w:val="002230C9"/>
    <w:rsid w:val="002232DE"/>
    <w:rsid w:val="0022430C"/>
    <w:rsid w:val="002244D8"/>
    <w:rsid w:val="00224694"/>
    <w:rsid w:val="00224703"/>
    <w:rsid w:val="00224DEA"/>
    <w:rsid w:val="0022544E"/>
    <w:rsid w:val="00225D10"/>
    <w:rsid w:val="0022675E"/>
    <w:rsid w:val="00226E4F"/>
    <w:rsid w:val="002277BD"/>
    <w:rsid w:val="00227DA2"/>
    <w:rsid w:val="00230760"/>
    <w:rsid w:val="00230D00"/>
    <w:rsid w:val="00231003"/>
    <w:rsid w:val="0023175B"/>
    <w:rsid w:val="00231DF7"/>
    <w:rsid w:val="00231FD1"/>
    <w:rsid w:val="00232252"/>
    <w:rsid w:val="0023263F"/>
    <w:rsid w:val="00232EDA"/>
    <w:rsid w:val="002339E0"/>
    <w:rsid w:val="00233CF8"/>
    <w:rsid w:val="00233D49"/>
    <w:rsid w:val="002342E3"/>
    <w:rsid w:val="0023575D"/>
    <w:rsid w:val="00236789"/>
    <w:rsid w:val="00237148"/>
    <w:rsid w:val="002412DE"/>
    <w:rsid w:val="0024222D"/>
    <w:rsid w:val="00244B0E"/>
    <w:rsid w:val="00244F6C"/>
    <w:rsid w:val="002463AD"/>
    <w:rsid w:val="00247622"/>
    <w:rsid w:val="002477E3"/>
    <w:rsid w:val="0024787E"/>
    <w:rsid w:val="002479B9"/>
    <w:rsid w:val="00247BB7"/>
    <w:rsid w:val="00247F5B"/>
    <w:rsid w:val="00250371"/>
    <w:rsid w:val="00250425"/>
    <w:rsid w:val="00250883"/>
    <w:rsid w:val="00250D81"/>
    <w:rsid w:val="0025165C"/>
    <w:rsid w:val="00251BE4"/>
    <w:rsid w:val="00251F6C"/>
    <w:rsid w:val="002522CE"/>
    <w:rsid w:val="002532C5"/>
    <w:rsid w:val="00254E29"/>
    <w:rsid w:val="0025591D"/>
    <w:rsid w:val="00256DD9"/>
    <w:rsid w:val="00257043"/>
    <w:rsid w:val="00260C03"/>
    <w:rsid w:val="00261F21"/>
    <w:rsid w:val="00262065"/>
    <w:rsid w:val="0026237F"/>
    <w:rsid w:val="00263176"/>
    <w:rsid w:val="00263368"/>
    <w:rsid w:val="0026374E"/>
    <w:rsid w:val="0026430B"/>
    <w:rsid w:val="0026540E"/>
    <w:rsid w:val="00265FE2"/>
    <w:rsid w:val="0026632F"/>
    <w:rsid w:val="002666C1"/>
    <w:rsid w:val="0027086A"/>
    <w:rsid w:val="00270A36"/>
    <w:rsid w:val="0027189F"/>
    <w:rsid w:val="00271A40"/>
    <w:rsid w:val="00271ABD"/>
    <w:rsid w:val="0027225C"/>
    <w:rsid w:val="002725A3"/>
    <w:rsid w:val="00272764"/>
    <w:rsid w:val="00272787"/>
    <w:rsid w:val="00273086"/>
    <w:rsid w:val="00274795"/>
    <w:rsid w:val="00275123"/>
    <w:rsid w:val="00276BE0"/>
    <w:rsid w:val="00276FC9"/>
    <w:rsid w:val="00277040"/>
    <w:rsid w:val="00277995"/>
    <w:rsid w:val="00277D3C"/>
    <w:rsid w:val="00280682"/>
    <w:rsid w:val="0028084C"/>
    <w:rsid w:val="002808D8"/>
    <w:rsid w:val="00280CB9"/>
    <w:rsid w:val="0028100D"/>
    <w:rsid w:val="00281EBB"/>
    <w:rsid w:val="00282240"/>
    <w:rsid w:val="00282461"/>
    <w:rsid w:val="00282932"/>
    <w:rsid w:val="002836CC"/>
    <w:rsid w:val="0028376C"/>
    <w:rsid w:val="002841F5"/>
    <w:rsid w:val="002845B9"/>
    <w:rsid w:val="0028540A"/>
    <w:rsid w:val="0028572A"/>
    <w:rsid w:val="002867E3"/>
    <w:rsid w:val="00287504"/>
    <w:rsid w:val="00287637"/>
    <w:rsid w:val="00287E31"/>
    <w:rsid w:val="00291027"/>
    <w:rsid w:val="00291050"/>
    <w:rsid w:val="00291FAC"/>
    <w:rsid w:val="00293324"/>
    <w:rsid w:val="00293A4A"/>
    <w:rsid w:val="00293DE1"/>
    <w:rsid w:val="00293E6A"/>
    <w:rsid w:val="002945B0"/>
    <w:rsid w:val="002948AD"/>
    <w:rsid w:val="00294C05"/>
    <w:rsid w:val="00294C92"/>
    <w:rsid w:val="00295AB2"/>
    <w:rsid w:val="00295FB7"/>
    <w:rsid w:val="002964F3"/>
    <w:rsid w:val="002972D6"/>
    <w:rsid w:val="002A01CC"/>
    <w:rsid w:val="002A0F2E"/>
    <w:rsid w:val="002A14A8"/>
    <w:rsid w:val="002A1531"/>
    <w:rsid w:val="002A2AC4"/>
    <w:rsid w:val="002A2B6B"/>
    <w:rsid w:val="002A3743"/>
    <w:rsid w:val="002A50C8"/>
    <w:rsid w:val="002A61B1"/>
    <w:rsid w:val="002A663C"/>
    <w:rsid w:val="002A7C7A"/>
    <w:rsid w:val="002B126B"/>
    <w:rsid w:val="002B166C"/>
    <w:rsid w:val="002B1894"/>
    <w:rsid w:val="002B1A0B"/>
    <w:rsid w:val="002B1E6C"/>
    <w:rsid w:val="002B272B"/>
    <w:rsid w:val="002B28C4"/>
    <w:rsid w:val="002B3DE0"/>
    <w:rsid w:val="002B3E9C"/>
    <w:rsid w:val="002B444B"/>
    <w:rsid w:val="002B555F"/>
    <w:rsid w:val="002B56AB"/>
    <w:rsid w:val="002B5887"/>
    <w:rsid w:val="002B775B"/>
    <w:rsid w:val="002B7A29"/>
    <w:rsid w:val="002C01DF"/>
    <w:rsid w:val="002C0692"/>
    <w:rsid w:val="002C0E27"/>
    <w:rsid w:val="002C2000"/>
    <w:rsid w:val="002C2146"/>
    <w:rsid w:val="002C24FC"/>
    <w:rsid w:val="002C3040"/>
    <w:rsid w:val="002C3D37"/>
    <w:rsid w:val="002C48DA"/>
    <w:rsid w:val="002C4BEE"/>
    <w:rsid w:val="002C5F17"/>
    <w:rsid w:val="002C7847"/>
    <w:rsid w:val="002C7BB6"/>
    <w:rsid w:val="002D003A"/>
    <w:rsid w:val="002D022D"/>
    <w:rsid w:val="002D0E85"/>
    <w:rsid w:val="002D1267"/>
    <w:rsid w:val="002D173A"/>
    <w:rsid w:val="002D1E1D"/>
    <w:rsid w:val="002D1F7B"/>
    <w:rsid w:val="002D24BB"/>
    <w:rsid w:val="002D2BF7"/>
    <w:rsid w:val="002D2FF7"/>
    <w:rsid w:val="002D3530"/>
    <w:rsid w:val="002D3C7E"/>
    <w:rsid w:val="002D3FB0"/>
    <w:rsid w:val="002D4056"/>
    <w:rsid w:val="002D40FB"/>
    <w:rsid w:val="002D421D"/>
    <w:rsid w:val="002D5250"/>
    <w:rsid w:val="002D6658"/>
    <w:rsid w:val="002D7319"/>
    <w:rsid w:val="002D7A96"/>
    <w:rsid w:val="002D7F8D"/>
    <w:rsid w:val="002E05C3"/>
    <w:rsid w:val="002E08DD"/>
    <w:rsid w:val="002E113F"/>
    <w:rsid w:val="002E166F"/>
    <w:rsid w:val="002E2344"/>
    <w:rsid w:val="002E3187"/>
    <w:rsid w:val="002E4157"/>
    <w:rsid w:val="002E4A7E"/>
    <w:rsid w:val="002E5284"/>
    <w:rsid w:val="002E5647"/>
    <w:rsid w:val="002E6345"/>
    <w:rsid w:val="002E76C9"/>
    <w:rsid w:val="002F01CE"/>
    <w:rsid w:val="002F054B"/>
    <w:rsid w:val="002F07FC"/>
    <w:rsid w:val="002F171B"/>
    <w:rsid w:val="002F1F99"/>
    <w:rsid w:val="002F2599"/>
    <w:rsid w:val="002F2AF7"/>
    <w:rsid w:val="002F3189"/>
    <w:rsid w:val="002F3A76"/>
    <w:rsid w:val="002F3B3A"/>
    <w:rsid w:val="002F4D6B"/>
    <w:rsid w:val="002F568E"/>
    <w:rsid w:val="002F6323"/>
    <w:rsid w:val="002F638F"/>
    <w:rsid w:val="002F7754"/>
    <w:rsid w:val="002F7AF9"/>
    <w:rsid w:val="002F7E1C"/>
    <w:rsid w:val="0030088D"/>
    <w:rsid w:val="003019C3"/>
    <w:rsid w:val="00301A75"/>
    <w:rsid w:val="00301A8A"/>
    <w:rsid w:val="00301ECA"/>
    <w:rsid w:val="0030247E"/>
    <w:rsid w:val="00302F70"/>
    <w:rsid w:val="0030336F"/>
    <w:rsid w:val="0030375E"/>
    <w:rsid w:val="0030425F"/>
    <w:rsid w:val="00304BEE"/>
    <w:rsid w:val="0030509F"/>
    <w:rsid w:val="00306111"/>
    <w:rsid w:val="0030795E"/>
    <w:rsid w:val="00310342"/>
    <w:rsid w:val="00310B89"/>
    <w:rsid w:val="0031102C"/>
    <w:rsid w:val="00311992"/>
    <w:rsid w:val="00312A30"/>
    <w:rsid w:val="0031337B"/>
    <w:rsid w:val="003138D0"/>
    <w:rsid w:val="00313C12"/>
    <w:rsid w:val="00314008"/>
    <w:rsid w:val="0031417A"/>
    <w:rsid w:val="0031514D"/>
    <w:rsid w:val="00315D1E"/>
    <w:rsid w:val="003175F5"/>
    <w:rsid w:val="003206F1"/>
    <w:rsid w:val="00320F72"/>
    <w:rsid w:val="003229E2"/>
    <w:rsid w:val="0032463E"/>
    <w:rsid w:val="00324769"/>
    <w:rsid w:val="0032518D"/>
    <w:rsid w:val="003252FA"/>
    <w:rsid w:val="0032555A"/>
    <w:rsid w:val="00325A1A"/>
    <w:rsid w:val="00325A1D"/>
    <w:rsid w:val="00326224"/>
    <w:rsid w:val="0032676F"/>
    <w:rsid w:val="00326A94"/>
    <w:rsid w:val="00330170"/>
    <w:rsid w:val="003302A0"/>
    <w:rsid w:val="00330E02"/>
    <w:rsid w:val="003312E0"/>
    <w:rsid w:val="00331EAC"/>
    <w:rsid w:val="00332237"/>
    <w:rsid w:val="00332358"/>
    <w:rsid w:val="00332F8D"/>
    <w:rsid w:val="0033341B"/>
    <w:rsid w:val="003334ED"/>
    <w:rsid w:val="003354B3"/>
    <w:rsid w:val="00335710"/>
    <w:rsid w:val="00335B79"/>
    <w:rsid w:val="003362D2"/>
    <w:rsid w:val="0033659D"/>
    <w:rsid w:val="003375E3"/>
    <w:rsid w:val="00337C1E"/>
    <w:rsid w:val="00337EE4"/>
    <w:rsid w:val="00340B2F"/>
    <w:rsid w:val="00340BB1"/>
    <w:rsid w:val="00340FFD"/>
    <w:rsid w:val="0034134A"/>
    <w:rsid w:val="00341D72"/>
    <w:rsid w:val="00341E6F"/>
    <w:rsid w:val="003424AC"/>
    <w:rsid w:val="003427A3"/>
    <w:rsid w:val="0034547C"/>
    <w:rsid w:val="003454EC"/>
    <w:rsid w:val="00345959"/>
    <w:rsid w:val="00345B13"/>
    <w:rsid w:val="00345B53"/>
    <w:rsid w:val="00346174"/>
    <w:rsid w:val="0034676B"/>
    <w:rsid w:val="00346BAA"/>
    <w:rsid w:val="00346C12"/>
    <w:rsid w:val="003474C5"/>
    <w:rsid w:val="003477BC"/>
    <w:rsid w:val="003506A3"/>
    <w:rsid w:val="003506B1"/>
    <w:rsid w:val="0035083E"/>
    <w:rsid w:val="00350E85"/>
    <w:rsid w:val="00354D64"/>
    <w:rsid w:val="0035612F"/>
    <w:rsid w:val="003565D6"/>
    <w:rsid w:val="00356AC7"/>
    <w:rsid w:val="0035743E"/>
    <w:rsid w:val="00357CB7"/>
    <w:rsid w:val="00357D17"/>
    <w:rsid w:val="003609FA"/>
    <w:rsid w:val="00360CF2"/>
    <w:rsid w:val="00360DE0"/>
    <w:rsid w:val="0036105E"/>
    <w:rsid w:val="00361119"/>
    <w:rsid w:val="00361765"/>
    <w:rsid w:val="003625BF"/>
    <w:rsid w:val="00363345"/>
    <w:rsid w:val="00363357"/>
    <w:rsid w:val="003634E2"/>
    <w:rsid w:val="00363BE2"/>
    <w:rsid w:val="00363D91"/>
    <w:rsid w:val="0036431C"/>
    <w:rsid w:val="003644BC"/>
    <w:rsid w:val="00365832"/>
    <w:rsid w:val="00366996"/>
    <w:rsid w:val="00366F31"/>
    <w:rsid w:val="00367259"/>
    <w:rsid w:val="003673F1"/>
    <w:rsid w:val="00367F71"/>
    <w:rsid w:val="003710C8"/>
    <w:rsid w:val="003710FE"/>
    <w:rsid w:val="003714C0"/>
    <w:rsid w:val="003718AC"/>
    <w:rsid w:val="00371946"/>
    <w:rsid w:val="003721E6"/>
    <w:rsid w:val="0037283A"/>
    <w:rsid w:val="0037297B"/>
    <w:rsid w:val="003731B7"/>
    <w:rsid w:val="0037410D"/>
    <w:rsid w:val="003750BE"/>
    <w:rsid w:val="0037527E"/>
    <w:rsid w:val="00375D31"/>
    <w:rsid w:val="0037628C"/>
    <w:rsid w:val="00376A78"/>
    <w:rsid w:val="00376EA7"/>
    <w:rsid w:val="00377939"/>
    <w:rsid w:val="00377E9F"/>
    <w:rsid w:val="0038081B"/>
    <w:rsid w:val="0038085A"/>
    <w:rsid w:val="00381133"/>
    <w:rsid w:val="00381B1A"/>
    <w:rsid w:val="00381CF6"/>
    <w:rsid w:val="003831DE"/>
    <w:rsid w:val="00384C99"/>
    <w:rsid w:val="00385569"/>
    <w:rsid w:val="003858C6"/>
    <w:rsid w:val="00385D7B"/>
    <w:rsid w:val="00385ECF"/>
    <w:rsid w:val="0038604E"/>
    <w:rsid w:val="00386C9E"/>
    <w:rsid w:val="0038783B"/>
    <w:rsid w:val="00387B9D"/>
    <w:rsid w:val="00387F4A"/>
    <w:rsid w:val="0039002F"/>
    <w:rsid w:val="00390C1D"/>
    <w:rsid w:val="00391448"/>
    <w:rsid w:val="00391ED4"/>
    <w:rsid w:val="00392277"/>
    <w:rsid w:val="00393472"/>
    <w:rsid w:val="0039364F"/>
    <w:rsid w:val="00393DFE"/>
    <w:rsid w:val="003942A6"/>
    <w:rsid w:val="00394AB2"/>
    <w:rsid w:val="00394EEC"/>
    <w:rsid w:val="0039555B"/>
    <w:rsid w:val="0039585A"/>
    <w:rsid w:val="00395D10"/>
    <w:rsid w:val="00396686"/>
    <w:rsid w:val="00396D15"/>
    <w:rsid w:val="00397489"/>
    <w:rsid w:val="003975EE"/>
    <w:rsid w:val="0039778E"/>
    <w:rsid w:val="00397FA5"/>
    <w:rsid w:val="003A14CC"/>
    <w:rsid w:val="003A2421"/>
    <w:rsid w:val="003A3965"/>
    <w:rsid w:val="003A406B"/>
    <w:rsid w:val="003A441D"/>
    <w:rsid w:val="003A4455"/>
    <w:rsid w:val="003A45FC"/>
    <w:rsid w:val="003A463A"/>
    <w:rsid w:val="003A46C2"/>
    <w:rsid w:val="003A52DD"/>
    <w:rsid w:val="003A6109"/>
    <w:rsid w:val="003A6C2D"/>
    <w:rsid w:val="003A7930"/>
    <w:rsid w:val="003A7FB3"/>
    <w:rsid w:val="003B0678"/>
    <w:rsid w:val="003B091D"/>
    <w:rsid w:val="003B0984"/>
    <w:rsid w:val="003B1669"/>
    <w:rsid w:val="003B182D"/>
    <w:rsid w:val="003B1CC5"/>
    <w:rsid w:val="003B228E"/>
    <w:rsid w:val="003B2943"/>
    <w:rsid w:val="003B44E1"/>
    <w:rsid w:val="003B4941"/>
    <w:rsid w:val="003B4F25"/>
    <w:rsid w:val="003B518E"/>
    <w:rsid w:val="003B5A29"/>
    <w:rsid w:val="003B67E9"/>
    <w:rsid w:val="003C08D9"/>
    <w:rsid w:val="003C0F7F"/>
    <w:rsid w:val="003C102C"/>
    <w:rsid w:val="003C2E41"/>
    <w:rsid w:val="003C4432"/>
    <w:rsid w:val="003C44CD"/>
    <w:rsid w:val="003C45E9"/>
    <w:rsid w:val="003C5714"/>
    <w:rsid w:val="003C5882"/>
    <w:rsid w:val="003C5C08"/>
    <w:rsid w:val="003C5D25"/>
    <w:rsid w:val="003C6B9F"/>
    <w:rsid w:val="003C6E2A"/>
    <w:rsid w:val="003C78BC"/>
    <w:rsid w:val="003C7C47"/>
    <w:rsid w:val="003D0299"/>
    <w:rsid w:val="003D02BB"/>
    <w:rsid w:val="003D0AE9"/>
    <w:rsid w:val="003D1376"/>
    <w:rsid w:val="003D17A5"/>
    <w:rsid w:val="003D208D"/>
    <w:rsid w:val="003D2D35"/>
    <w:rsid w:val="003D3744"/>
    <w:rsid w:val="003D3EEA"/>
    <w:rsid w:val="003D4034"/>
    <w:rsid w:val="003D4C55"/>
    <w:rsid w:val="003D4DEC"/>
    <w:rsid w:val="003D551D"/>
    <w:rsid w:val="003D764A"/>
    <w:rsid w:val="003E3277"/>
    <w:rsid w:val="003E3675"/>
    <w:rsid w:val="003E389E"/>
    <w:rsid w:val="003E433F"/>
    <w:rsid w:val="003E469B"/>
    <w:rsid w:val="003E46A8"/>
    <w:rsid w:val="003E4C05"/>
    <w:rsid w:val="003E5304"/>
    <w:rsid w:val="003E57D1"/>
    <w:rsid w:val="003E59C1"/>
    <w:rsid w:val="003E6902"/>
    <w:rsid w:val="003E6D80"/>
    <w:rsid w:val="003E7E2A"/>
    <w:rsid w:val="003F032A"/>
    <w:rsid w:val="003F05FA"/>
    <w:rsid w:val="003F0CEC"/>
    <w:rsid w:val="003F1966"/>
    <w:rsid w:val="003F1A5B"/>
    <w:rsid w:val="003F244A"/>
    <w:rsid w:val="003F295C"/>
    <w:rsid w:val="003F2BA3"/>
    <w:rsid w:val="003F30B8"/>
    <w:rsid w:val="003F3643"/>
    <w:rsid w:val="003F39F9"/>
    <w:rsid w:val="003F4754"/>
    <w:rsid w:val="003F4C45"/>
    <w:rsid w:val="003F4D77"/>
    <w:rsid w:val="003F529A"/>
    <w:rsid w:val="003F5949"/>
    <w:rsid w:val="003F59DC"/>
    <w:rsid w:val="003F5E84"/>
    <w:rsid w:val="003F5F3A"/>
    <w:rsid w:val="003F5F7B"/>
    <w:rsid w:val="003F6045"/>
    <w:rsid w:val="003F6051"/>
    <w:rsid w:val="003F7719"/>
    <w:rsid w:val="003F7D64"/>
    <w:rsid w:val="004006ED"/>
    <w:rsid w:val="00401B62"/>
    <w:rsid w:val="004026C9"/>
    <w:rsid w:val="00403597"/>
    <w:rsid w:val="004051A0"/>
    <w:rsid w:val="004051AE"/>
    <w:rsid w:val="0040577A"/>
    <w:rsid w:val="00405BC2"/>
    <w:rsid w:val="0040651A"/>
    <w:rsid w:val="00406EF2"/>
    <w:rsid w:val="00410901"/>
    <w:rsid w:val="00410CFD"/>
    <w:rsid w:val="00412181"/>
    <w:rsid w:val="004123F7"/>
    <w:rsid w:val="00413124"/>
    <w:rsid w:val="0041394B"/>
    <w:rsid w:val="00413AAB"/>
    <w:rsid w:val="00413DCF"/>
    <w:rsid w:val="00414300"/>
    <w:rsid w:val="00414C5E"/>
    <w:rsid w:val="00415124"/>
    <w:rsid w:val="004167F7"/>
    <w:rsid w:val="00417326"/>
    <w:rsid w:val="004202BE"/>
    <w:rsid w:val="004204A6"/>
    <w:rsid w:val="00420DD9"/>
    <w:rsid w:val="0042146E"/>
    <w:rsid w:val="00421CD7"/>
    <w:rsid w:val="004242BA"/>
    <w:rsid w:val="004244AB"/>
    <w:rsid w:val="00424DC4"/>
    <w:rsid w:val="00424F9B"/>
    <w:rsid w:val="004253CE"/>
    <w:rsid w:val="004254BD"/>
    <w:rsid w:val="00425C67"/>
    <w:rsid w:val="00425C84"/>
    <w:rsid w:val="004266F9"/>
    <w:rsid w:val="00426DB9"/>
    <w:rsid w:val="00426EA8"/>
    <w:rsid w:val="004274F1"/>
    <w:rsid w:val="00427C01"/>
    <w:rsid w:val="00427E7A"/>
    <w:rsid w:val="00427F74"/>
    <w:rsid w:val="00430B28"/>
    <w:rsid w:val="00430D55"/>
    <w:rsid w:val="004317C1"/>
    <w:rsid w:val="00431DA4"/>
    <w:rsid w:val="00432365"/>
    <w:rsid w:val="004328BE"/>
    <w:rsid w:val="00433111"/>
    <w:rsid w:val="0043352E"/>
    <w:rsid w:val="004337C7"/>
    <w:rsid w:val="004346AA"/>
    <w:rsid w:val="004355FA"/>
    <w:rsid w:val="004360A6"/>
    <w:rsid w:val="00436145"/>
    <w:rsid w:val="00436307"/>
    <w:rsid w:val="004363B5"/>
    <w:rsid w:val="004363C0"/>
    <w:rsid w:val="00436C49"/>
    <w:rsid w:val="00436C57"/>
    <w:rsid w:val="00436C8E"/>
    <w:rsid w:val="00436D3E"/>
    <w:rsid w:val="00436FB1"/>
    <w:rsid w:val="0043740A"/>
    <w:rsid w:val="00437572"/>
    <w:rsid w:val="004404F9"/>
    <w:rsid w:val="004406FB"/>
    <w:rsid w:val="00440852"/>
    <w:rsid w:val="004415DA"/>
    <w:rsid w:val="0044160A"/>
    <w:rsid w:val="004418B1"/>
    <w:rsid w:val="00441D56"/>
    <w:rsid w:val="00442417"/>
    <w:rsid w:val="00442517"/>
    <w:rsid w:val="00442AB7"/>
    <w:rsid w:val="0044412D"/>
    <w:rsid w:val="0044445A"/>
    <w:rsid w:val="00444F53"/>
    <w:rsid w:val="00445366"/>
    <w:rsid w:val="0044542C"/>
    <w:rsid w:val="0044557D"/>
    <w:rsid w:val="00445911"/>
    <w:rsid w:val="00445BB0"/>
    <w:rsid w:val="00445EAA"/>
    <w:rsid w:val="00446926"/>
    <w:rsid w:val="00446C85"/>
    <w:rsid w:val="00446CB1"/>
    <w:rsid w:val="00447A4E"/>
    <w:rsid w:val="00447A95"/>
    <w:rsid w:val="00447F5B"/>
    <w:rsid w:val="004506BA"/>
    <w:rsid w:val="0045098F"/>
    <w:rsid w:val="0045289B"/>
    <w:rsid w:val="00453046"/>
    <w:rsid w:val="00453413"/>
    <w:rsid w:val="00455623"/>
    <w:rsid w:val="00455E95"/>
    <w:rsid w:val="00456BDF"/>
    <w:rsid w:val="0045700C"/>
    <w:rsid w:val="00457259"/>
    <w:rsid w:val="004579A1"/>
    <w:rsid w:val="004600B9"/>
    <w:rsid w:val="00460512"/>
    <w:rsid w:val="004605AC"/>
    <w:rsid w:val="00460612"/>
    <w:rsid w:val="00460AC7"/>
    <w:rsid w:val="0046194D"/>
    <w:rsid w:val="00461CD8"/>
    <w:rsid w:val="00461DB0"/>
    <w:rsid w:val="00462136"/>
    <w:rsid w:val="00463926"/>
    <w:rsid w:val="00463A5F"/>
    <w:rsid w:val="00464097"/>
    <w:rsid w:val="004644FE"/>
    <w:rsid w:val="004646E0"/>
    <w:rsid w:val="00464B09"/>
    <w:rsid w:val="00464C9A"/>
    <w:rsid w:val="00465581"/>
    <w:rsid w:val="004658F3"/>
    <w:rsid w:val="00466A5B"/>
    <w:rsid w:val="00466AF3"/>
    <w:rsid w:val="00467020"/>
    <w:rsid w:val="00467678"/>
    <w:rsid w:val="00467D85"/>
    <w:rsid w:val="00470B02"/>
    <w:rsid w:val="00470B7B"/>
    <w:rsid w:val="00470FB9"/>
    <w:rsid w:val="0047108C"/>
    <w:rsid w:val="0047200B"/>
    <w:rsid w:val="00472443"/>
    <w:rsid w:val="00472781"/>
    <w:rsid w:val="004743E3"/>
    <w:rsid w:val="00474F3D"/>
    <w:rsid w:val="00474FBC"/>
    <w:rsid w:val="00477482"/>
    <w:rsid w:val="00477790"/>
    <w:rsid w:val="004778D5"/>
    <w:rsid w:val="00477943"/>
    <w:rsid w:val="00477E3A"/>
    <w:rsid w:val="004800A2"/>
    <w:rsid w:val="00481545"/>
    <w:rsid w:val="004819E2"/>
    <w:rsid w:val="00481A40"/>
    <w:rsid w:val="0048237E"/>
    <w:rsid w:val="00483707"/>
    <w:rsid w:val="0048384E"/>
    <w:rsid w:val="00483E5F"/>
    <w:rsid w:val="0048404E"/>
    <w:rsid w:val="004844C1"/>
    <w:rsid w:val="00484692"/>
    <w:rsid w:val="00484E93"/>
    <w:rsid w:val="00485340"/>
    <w:rsid w:val="00485FF9"/>
    <w:rsid w:val="00486454"/>
    <w:rsid w:val="00487026"/>
    <w:rsid w:val="00487305"/>
    <w:rsid w:val="004874E0"/>
    <w:rsid w:val="00487E07"/>
    <w:rsid w:val="0049007C"/>
    <w:rsid w:val="004907F0"/>
    <w:rsid w:val="004909F7"/>
    <w:rsid w:val="00491110"/>
    <w:rsid w:val="0049140B"/>
    <w:rsid w:val="0049163D"/>
    <w:rsid w:val="004916DC"/>
    <w:rsid w:val="00491FD0"/>
    <w:rsid w:val="004923A5"/>
    <w:rsid w:val="00492425"/>
    <w:rsid w:val="00492706"/>
    <w:rsid w:val="00493297"/>
    <w:rsid w:val="00493F4B"/>
    <w:rsid w:val="00493FCC"/>
    <w:rsid w:val="0049423A"/>
    <w:rsid w:val="0049428E"/>
    <w:rsid w:val="004946FD"/>
    <w:rsid w:val="0049556F"/>
    <w:rsid w:val="00495E29"/>
    <w:rsid w:val="0049649A"/>
    <w:rsid w:val="00496BFB"/>
    <w:rsid w:val="00496DF9"/>
    <w:rsid w:val="00496F01"/>
    <w:rsid w:val="004A02C0"/>
    <w:rsid w:val="004A15C7"/>
    <w:rsid w:val="004A24F3"/>
    <w:rsid w:val="004A32E7"/>
    <w:rsid w:val="004A4470"/>
    <w:rsid w:val="004A50D5"/>
    <w:rsid w:val="004A5418"/>
    <w:rsid w:val="004A5A17"/>
    <w:rsid w:val="004A5DD2"/>
    <w:rsid w:val="004A67EF"/>
    <w:rsid w:val="004A6D7A"/>
    <w:rsid w:val="004B013B"/>
    <w:rsid w:val="004B0B06"/>
    <w:rsid w:val="004B0F33"/>
    <w:rsid w:val="004B1076"/>
    <w:rsid w:val="004B112B"/>
    <w:rsid w:val="004B1476"/>
    <w:rsid w:val="004B1C5D"/>
    <w:rsid w:val="004B27DD"/>
    <w:rsid w:val="004B2F14"/>
    <w:rsid w:val="004B4AC4"/>
    <w:rsid w:val="004B60D6"/>
    <w:rsid w:val="004B6662"/>
    <w:rsid w:val="004B705F"/>
    <w:rsid w:val="004B7156"/>
    <w:rsid w:val="004C01E4"/>
    <w:rsid w:val="004C0460"/>
    <w:rsid w:val="004C086C"/>
    <w:rsid w:val="004C1E92"/>
    <w:rsid w:val="004C1F56"/>
    <w:rsid w:val="004C2175"/>
    <w:rsid w:val="004C2373"/>
    <w:rsid w:val="004C2519"/>
    <w:rsid w:val="004C25B7"/>
    <w:rsid w:val="004C27BC"/>
    <w:rsid w:val="004C3294"/>
    <w:rsid w:val="004C4170"/>
    <w:rsid w:val="004C434E"/>
    <w:rsid w:val="004C47EC"/>
    <w:rsid w:val="004C4C25"/>
    <w:rsid w:val="004C4E75"/>
    <w:rsid w:val="004C5349"/>
    <w:rsid w:val="004C6292"/>
    <w:rsid w:val="004C6894"/>
    <w:rsid w:val="004C693C"/>
    <w:rsid w:val="004C6F69"/>
    <w:rsid w:val="004C7759"/>
    <w:rsid w:val="004D015D"/>
    <w:rsid w:val="004D0362"/>
    <w:rsid w:val="004D06DB"/>
    <w:rsid w:val="004D15F3"/>
    <w:rsid w:val="004D1EC2"/>
    <w:rsid w:val="004D299B"/>
    <w:rsid w:val="004D2B1D"/>
    <w:rsid w:val="004D347F"/>
    <w:rsid w:val="004D4FA6"/>
    <w:rsid w:val="004D5311"/>
    <w:rsid w:val="004D5A7B"/>
    <w:rsid w:val="004D5DCC"/>
    <w:rsid w:val="004D5F06"/>
    <w:rsid w:val="004D64F4"/>
    <w:rsid w:val="004D6C30"/>
    <w:rsid w:val="004D6EED"/>
    <w:rsid w:val="004E0CEE"/>
    <w:rsid w:val="004E0DCB"/>
    <w:rsid w:val="004E175B"/>
    <w:rsid w:val="004E1CCE"/>
    <w:rsid w:val="004E2594"/>
    <w:rsid w:val="004E25BA"/>
    <w:rsid w:val="004E26D4"/>
    <w:rsid w:val="004E27ED"/>
    <w:rsid w:val="004E2C32"/>
    <w:rsid w:val="004E3909"/>
    <w:rsid w:val="004E47CE"/>
    <w:rsid w:val="004E4808"/>
    <w:rsid w:val="004E58AD"/>
    <w:rsid w:val="004F012D"/>
    <w:rsid w:val="004F06AD"/>
    <w:rsid w:val="004F0F19"/>
    <w:rsid w:val="004F10AF"/>
    <w:rsid w:val="004F11A4"/>
    <w:rsid w:val="004F16AA"/>
    <w:rsid w:val="004F1839"/>
    <w:rsid w:val="004F2389"/>
    <w:rsid w:val="004F304D"/>
    <w:rsid w:val="004F3E5C"/>
    <w:rsid w:val="004F4F03"/>
    <w:rsid w:val="004F564A"/>
    <w:rsid w:val="004F61BE"/>
    <w:rsid w:val="004F66B1"/>
    <w:rsid w:val="004F6A81"/>
    <w:rsid w:val="004F7420"/>
    <w:rsid w:val="004F7B44"/>
    <w:rsid w:val="004F7CA1"/>
    <w:rsid w:val="004F7EF5"/>
    <w:rsid w:val="00500C35"/>
    <w:rsid w:val="00501D3E"/>
    <w:rsid w:val="00502487"/>
    <w:rsid w:val="00502A0D"/>
    <w:rsid w:val="00503555"/>
    <w:rsid w:val="00503755"/>
    <w:rsid w:val="00505862"/>
    <w:rsid w:val="00505B10"/>
    <w:rsid w:val="0050661B"/>
    <w:rsid w:val="00506866"/>
    <w:rsid w:val="005102ED"/>
    <w:rsid w:val="00511C07"/>
    <w:rsid w:val="00512D5D"/>
    <w:rsid w:val="00512F82"/>
    <w:rsid w:val="005132DF"/>
    <w:rsid w:val="00513D91"/>
    <w:rsid w:val="00513DCC"/>
    <w:rsid w:val="00514552"/>
    <w:rsid w:val="00514A75"/>
    <w:rsid w:val="00514E49"/>
    <w:rsid w:val="00514F54"/>
    <w:rsid w:val="00515262"/>
    <w:rsid w:val="005157F5"/>
    <w:rsid w:val="0051657E"/>
    <w:rsid w:val="00516919"/>
    <w:rsid w:val="00516BE6"/>
    <w:rsid w:val="005173A6"/>
    <w:rsid w:val="00517D1F"/>
    <w:rsid w:val="00520BAA"/>
    <w:rsid w:val="00523720"/>
    <w:rsid w:val="00523987"/>
    <w:rsid w:val="00524953"/>
    <w:rsid w:val="00524AA8"/>
    <w:rsid w:val="00525208"/>
    <w:rsid w:val="005256CB"/>
    <w:rsid w:val="005257A5"/>
    <w:rsid w:val="005264C0"/>
    <w:rsid w:val="005266B7"/>
    <w:rsid w:val="00526A8A"/>
    <w:rsid w:val="00526CA6"/>
    <w:rsid w:val="00527AAB"/>
    <w:rsid w:val="00527BD3"/>
    <w:rsid w:val="00530586"/>
    <w:rsid w:val="00531DF2"/>
    <w:rsid w:val="00532C03"/>
    <w:rsid w:val="00533814"/>
    <w:rsid w:val="00533CF7"/>
    <w:rsid w:val="00533DC9"/>
    <w:rsid w:val="00534715"/>
    <w:rsid w:val="00534C92"/>
    <w:rsid w:val="00534D02"/>
    <w:rsid w:val="00535038"/>
    <w:rsid w:val="005351AD"/>
    <w:rsid w:val="00535766"/>
    <w:rsid w:val="00535BB8"/>
    <w:rsid w:val="00537DAF"/>
    <w:rsid w:val="00540BF9"/>
    <w:rsid w:val="00540F91"/>
    <w:rsid w:val="00541262"/>
    <w:rsid w:val="00541BDC"/>
    <w:rsid w:val="00543016"/>
    <w:rsid w:val="005434B7"/>
    <w:rsid w:val="00543DBA"/>
    <w:rsid w:val="00543E80"/>
    <w:rsid w:val="005442EE"/>
    <w:rsid w:val="00544305"/>
    <w:rsid w:val="00544532"/>
    <w:rsid w:val="0054536C"/>
    <w:rsid w:val="0054665B"/>
    <w:rsid w:val="00547353"/>
    <w:rsid w:val="005474E7"/>
    <w:rsid w:val="0055037D"/>
    <w:rsid w:val="005509CD"/>
    <w:rsid w:val="005512A3"/>
    <w:rsid w:val="005514F4"/>
    <w:rsid w:val="00551A61"/>
    <w:rsid w:val="005521CC"/>
    <w:rsid w:val="00554133"/>
    <w:rsid w:val="00554521"/>
    <w:rsid w:val="00555919"/>
    <w:rsid w:val="00555A86"/>
    <w:rsid w:val="00556C2C"/>
    <w:rsid w:val="0055753D"/>
    <w:rsid w:val="005576DD"/>
    <w:rsid w:val="005578CE"/>
    <w:rsid w:val="00561276"/>
    <w:rsid w:val="0056150C"/>
    <w:rsid w:val="005616F5"/>
    <w:rsid w:val="00562781"/>
    <w:rsid w:val="0056316D"/>
    <w:rsid w:val="0056322E"/>
    <w:rsid w:val="00563E83"/>
    <w:rsid w:val="00564091"/>
    <w:rsid w:val="0056453C"/>
    <w:rsid w:val="00564A4A"/>
    <w:rsid w:val="00564BEB"/>
    <w:rsid w:val="00564EA4"/>
    <w:rsid w:val="00565149"/>
    <w:rsid w:val="00565B52"/>
    <w:rsid w:val="005676DA"/>
    <w:rsid w:val="005700BC"/>
    <w:rsid w:val="0057034C"/>
    <w:rsid w:val="005703E7"/>
    <w:rsid w:val="00570A3B"/>
    <w:rsid w:val="00570DDC"/>
    <w:rsid w:val="00571B0C"/>
    <w:rsid w:val="0057271C"/>
    <w:rsid w:val="00572845"/>
    <w:rsid w:val="00572A37"/>
    <w:rsid w:val="005738B8"/>
    <w:rsid w:val="00573916"/>
    <w:rsid w:val="00574602"/>
    <w:rsid w:val="00574CBA"/>
    <w:rsid w:val="00574DE3"/>
    <w:rsid w:val="00575685"/>
    <w:rsid w:val="00575F4A"/>
    <w:rsid w:val="00576E75"/>
    <w:rsid w:val="005771F9"/>
    <w:rsid w:val="00577F00"/>
    <w:rsid w:val="00580274"/>
    <w:rsid w:val="0058240B"/>
    <w:rsid w:val="0058243F"/>
    <w:rsid w:val="00582638"/>
    <w:rsid w:val="00582C79"/>
    <w:rsid w:val="00583FFF"/>
    <w:rsid w:val="00584F55"/>
    <w:rsid w:val="005852B3"/>
    <w:rsid w:val="00585FE1"/>
    <w:rsid w:val="00590C76"/>
    <w:rsid w:val="00590D6B"/>
    <w:rsid w:val="00590DD8"/>
    <w:rsid w:val="005916C5"/>
    <w:rsid w:val="0059229C"/>
    <w:rsid w:val="00592772"/>
    <w:rsid w:val="005935FE"/>
    <w:rsid w:val="00593A08"/>
    <w:rsid w:val="00594199"/>
    <w:rsid w:val="005942DE"/>
    <w:rsid w:val="0059574A"/>
    <w:rsid w:val="005957B0"/>
    <w:rsid w:val="00596262"/>
    <w:rsid w:val="0059634B"/>
    <w:rsid w:val="00596BA1"/>
    <w:rsid w:val="005A0172"/>
    <w:rsid w:val="005A0D34"/>
    <w:rsid w:val="005A17FB"/>
    <w:rsid w:val="005A1B9B"/>
    <w:rsid w:val="005A1E10"/>
    <w:rsid w:val="005A32BB"/>
    <w:rsid w:val="005A34CF"/>
    <w:rsid w:val="005A353C"/>
    <w:rsid w:val="005A3B29"/>
    <w:rsid w:val="005A4FD4"/>
    <w:rsid w:val="005A50BB"/>
    <w:rsid w:val="005A5FB4"/>
    <w:rsid w:val="005A6751"/>
    <w:rsid w:val="005A6CC6"/>
    <w:rsid w:val="005A6E43"/>
    <w:rsid w:val="005A7077"/>
    <w:rsid w:val="005A72F6"/>
    <w:rsid w:val="005A7334"/>
    <w:rsid w:val="005A7489"/>
    <w:rsid w:val="005A7CA1"/>
    <w:rsid w:val="005B041F"/>
    <w:rsid w:val="005B04D8"/>
    <w:rsid w:val="005B0745"/>
    <w:rsid w:val="005B092E"/>
    <w:rsid w:val="005B12BD"/>
    <w:rsid w:val="005B152C"/>
    <w:rsid w:val="005B1EE0"/>
    <w:rsid w:val="005B251A"/>
    <w:rsid w:val="005B2524"/>
    <w:rsid w:val="005B2B24"/>
    <w:rsid w:val="005B2DBE"/>
    <w:rsid w:val="005B31BC"/>
    <w:rsid w:val="005B4425"/>
    <w:rsid w:val="005B4B94"/>
    <w:rsid w:val="005B4ECA"/>
    <w:rsid w:val="005B4F18"/>
    <w:rsid w:val="005B5CCA"/>
    <w:rsid w:val="005B6CB8"/>
    <w:rsid w:val="005B6D61"/>
    <w:rsid w:val="005C0629"/>
    <w:rsid w:val="005C069C"/>
    <w:rsid w:val="005C0C7F"/>
    <w:rsid w:val="005C127F"/>
    <w:rsid w:val="005C19D2"/>
    <w:rsid w:val="005C1D1E"/>
    <w:rsid w:val="005C2CE8"/>
    <w:rsid w:val="005C36AE"/>
    <w:rsid w:val="005C3EE8"/>
    <w:rsid w:val="005C5B93"/>
    <w:rsid w:val="005C5F7A"/>
    <w:rsid w:val="005C606B"/>
    <w:rsid w:val="005C690A"/>
    <w:rsid w:val="005C703C"/>
    <w:rsid w:val="005C7066"/>
    <w:rsid w:val="005C794B"/>
    <w:rsid w:val="005C7C5C"/>
    <w:rsid w:val="005D0CB1"/>
    <w:rsid w:val="005D0E91"/>
    <w:rsid w:val="005D17E7"/>
    <w:rsid w:val="005D1A82"/>
    <w:rsid w:val="005D1D11"/>
    <w:rsid w:val="005D1F9E"/>
    <w:rsid w:val="005D34F9"/>
    <w:rsid w:val="005D4190"/>
    <w:rsid w:val="005D4287"/>
    <w:rsid w:val="005D4A76"/>
    <w:rsid w:val="005D66C1"/>
    <w:rsid w:val="005D67A3"/>
    <w:rsid w:val="005D7DC2"/>
    <w:rsid w:val="005E03C1"/>
    <w:rsid w:val="005E0855"/>
    <w:rsid w:val="005E2288"/>
    <w:rsid w:val="005E2988"/>
    <w:rsid w:val="005E2A43"/>
    <w:rsid w:val="005E2F84"/>
    <w:rsid w:val="005E3085"/>
    <w:rsid w:val="005E3295"/>
    <w:rsid w:val="005E39E6"/>
    <w:rsid w:val="005E438A"/>
    <w:rsid w:val="005E4747"/>
    <w:rsid w:val="005E75C7"/>
    <w:rsid w:val="005E778D"/>
    <w:rsid w:val="005E7880"/>
    <w:rsid w:val="005E7A4E"/>
    <w:rsid w:val="005E7BC5"/>
    <w:rsid w:val="005E7FAE"/>
    <w:rsid w:val="005F00C2"/>
    <w:rsid w:val="005F214A"/>
    <w:rsid w:val="005F2875"/>
    <w:rsid w:val="005F2A28"/>
    <w:rsid w:val="005F31DC"/>
    <w:rsid w:val="005F33F9"/>
    <w:rsid w:val="005F3814"/>
    <w:rsid w:val="005F4664"/>
    <w:rsid w:val="005F51E1"/>
    <w:rsid w:val="005F61F4"/>
    <w:rsid w:val="005F6214"/>
    <w:rsid w:val="005F63E0"/>
    <w:rsid w:val="005F74ED"/>
    <w:rsid w:val="00600584"/>
    <w:rsid w:val="006018BC"/>
    <w:rsid w:val="006022E2"/>
    <w:rsid w:val="00602953"/>
    <w:rsid w:val="00603551"/>
    <w:rsid w:val="00604094"/>
    <w:rsid w:val="0060411E"/>
    <w:rsid w:val="0060447C"/>
    <w:rsid w:val="0060468D"/>
    <w:rsid w:val="00604E20"/>
    <w:rsid w:val="006050E7"/>
    <w:rsid w:val="0060654B"/>
    <w:rsid w:val="0061012D"/>
    <w:rsid w:val="00610956"/>
    <w:rsid w:val="00610994"/>
    <w:rsid w:val="006109C2"/>
    <w:rsid w:val="00611C80"/>
    <w:rsid w:val="00611FE3"/>
    <w:rsid w:val="00612336"/>
    <w:rsid w:val="006128E6"/>
    <w:rsid w:val="00612AB2"/>
    <w:rsid w:val="00613B32"/>
    <w:rsid w:val="006146A5"/>
    <w:rsid w:val="006158E9"/>
    <w:rsid w:val="00616196"/>
    <w:rsid w:val="0061656B"/>
    <w:rsid w:val="00616FAB"/>
    <w:rsid w:val="00617D46"/>
    <w:rsid w:val="006205B0"/>
    <w:rsid w:val="00620692"/>
    <w:rsid w:val="006209F1"/>
    <w:rsid w:val="00620D7C"/>
    <w:rsid w:val="00621822"/>
    <w:rsid w:val="00622B4E"/>
    <w:rsid w:val="00623400"/>
    <w:rsid w:val="00623D64"/>
    <w:rsid w:val="006241EE"/>
    <w:rsid w:val="0062422D"/>
    <w:rsid w:val="006242CA"/>
    <w:rsid w:val="00624311"/>
    <w:rsid w:val="006248C7"/>
    <w:rsid w:val="00626352"/>
    <w:rsid w:val="00626A1D"/>
    <w:rsid w:val="00627168"/>
    <w:rsid w:val="0062721B"/>
    <w:rsid w:val="006272AE"/>
    <w:rsid w:val="00627507"/>
    <w:rsid w:val="00630B8E"/>
    <w:rsid w:val="0063165A"/>
    <w:rsid w:val="006317F8"/>
    <w:rsid w:val="00632D4A"/>
    <w:rsid w:val="00632FDF"/>
    <w:rsid w:val="00633717"/>
    <w:rsid w:val="00633E63"/>
    <w:rsid w:val="006344E1"/>
    <w:rsid w:val="006361B2"/>
    <w:rsid w:val="0063753F"/>
    <w:rsid w:val="006379F0"/>
    <w:rsid w:val="00640432"/>
    <w:rsid w:val="00640FEC"/>
    <w:rsid w:val="006413CE"/>
    <w:rsid w:val="00641A3E"/>
    <w:rsid w:val="00641E4D"/>
    <w:rsid w:val="006422CA"/>
    <w:rsid w:val="00642EC5"/>
    <w:rsid w:val="00643D3A"/>
    <w:rsid w:val="00643FC2"/>
    <w:rsid w:val="0064459E"/>
    <w:rsid w:val="006462AD"/>
    <w:rsid w:val="006466DC"/>
    <w:rsid w:val="00646776"/>
    <w:rsid w:val="00646C87"/>
    <w:rsid w:val="00646DF5"/>
    <w:rsid w:val="00646E26"/>
    <w:rsid w:val="00647508"/>
    <w:rsid w:val="00647955"/>
    <w:rsid w:val="00647E57"/>
    <w:rsid w:val="0065021E"/>
    <w:rsid w:val="00650C0E"/>
    <w:rsid w:val="00650DA7"/>
    <w:rsid w:val="006517AC"/>
    <w:rsid w:val="006522ED"/>
    <w:rsid w:val="0065282A"/>
    <w:rsid w:val="006532F0"/>
    <w:rsid w:val="0065391E"/>
    <w:rsid w:val="00653989"/>
    <w:rsid w:val="006545C4"/>
    <w:rsid w:val="00654F74"/>
    <w:rsid w:val="006555D1"/>
    <w:rsid w:val="00656613"/>
    <w:rsid w:val="006575E7"/>
    <w:rsid w:val="00657EBE"/>
    <w:rsid w:val="00657F26"/>
    <w:rsid w:val="006612B2"/>
    <w:rsid w:val="0066141E"/>
    <w:rsid w:val="00661558"/>
    <w:rsid w:val="006615F1"/>
    <w:rsid w:val="00661971"/>
    <w:rsid w:val="00661CE8"/>
    <w:rsid w:val="006623D9"/>
    <w:rsid w:val="00663475"/>
    <w:rsid w:val="006650F0"/>
    <w:rsid w:val="006652A4"/>
    <w:rsid w:val="0066550C"/>
    <w:rsid w:val="006656E7"/>
    <w:rsid w:val="00666CC7"/>
    <w:rsid w:val="006675CA"/>
    <w:rsid w:val="00667679"/>
    <w:rsid w:val="00667E86"/>
    <w:rsid w:val="0067039D"/>
    <w:rsid w:val="006707F3"/>
    <w:rsid w:val="00670EF7"/>
    <w:rsid w:val="006716F2"/>
    <w:rsid w:val="006727C2"/>
    <w:rsid w:val="00672DC0"/>
    <w:rsid w:val="006733A4"/>
    <w:rsid w:val="0067347B"/>
    <w:rsid w:val="0067431F"/>
    <w:rsid w:val="00674E5E"/>
    <w:rsid w:val="006751A2"/>
    <w:rsid w:val="00677700"/>
    <w:rsid w:val="00677942"/>
    <w:rsid w:val="00680592"/>
    <w:rsid w:val="006816B1"/>
    <w:rsid w:val="00681BE2"/>
    <w:rsid w:val="00681F4C"/>
    <w:rsid w:val="0068202E"/>
    <w:rsid w:val="00682892"/>
    <w:rsid w:val="00682BF2"/>
    <w:rsid w:val="006837B1"/>
    <w:rsid w:val="0068510B"/>
    <w:rsid w:val="006859CE"/>
    <w:rsid w:val="00685F6B"/>
    <w:rsid w:val="006869BE"/>
    <w:rsid w:val="00687041"/>
    <w:rsid w:val="006876F7"/>
    <w:rsid w:val="00687E54"/>
    <w:rsid w:val="006908EE"/>
    <w:rsid w:val="00690C14"/>
    <w:rsid w:val="00691270"/>
    <w:rsid w:val="00691FEB"/>
    <w:rsid w:val="00692403"/>
    <w:rsid w:val="0069243C"/>
    <w:rsid w:val="00693B6A"/>
    <w:rsid w:val="00693DF7"/>
    <w:rsid w:val="00693E85"/>
    <w:rsid w:val="00694253"/>
    <w:rsid w:val="00694941"/>
    <w:rsid w:val="00694BA8"/>
    <w:rsid w:val="00694CBC"/>
    <w:rsid w:val="0069523C"/>
    <w:rsid w:val="006957CE"/>
    <w:rsid w:val="00695A9E"/>
    <w:rsid w:val="00695E96"/>
    <w:rsid w:val="006962BC"/>
    <w:rsid w:val="006962F8"/>
    <w:rsid w:val="006964F8"/>
    <w:rsid w:val="006968CF"/>
    <w:rsid w:val="006972A5"/>
    <w:rsid w:val="00697686"/>
    <w:rsid w:val="006A0284"/>
    <w:rsid w:val="006A029B"/>
    <w:rsid w:val="006A037C"/>
    <w:rsid w:val="006A05F1"/>
    <w:rsid w:val="006A15CB"/>
    <w:rsid w:val="006A15DB"/>
    <w:rsid w:val="006A2DED"/>
    <w:rsid w:val="006A36F4"/>
    <w:rsid w:val="006A406F"/>
    <w:rsid w:val="006A4836"/>
    <w:rsid w:val="006A5D3A"/>
    <w:rsid w:val="006A5EF8"/>
    <w:rsid w:val="006B05EC"/>
    <w:rsid w:val="006B142E"/>
    <w:rsid w:val="006B1EFA"/>
    <w:rsid w:val="006B4A38"/>
    <w:rsid w:val="006B4AF3"/>
    <w:rsid w:val="006B542E"/>
    <w:rsid w:val="006B6728"/>
    <w:rsid w:val="006B781B"/>
    <w:rsid w:val="006C1333"/>
    <w:rsid w:val="006C147B"/>
    <w:rsid w:val="006C15CE"/>
    <w:rsid w:val="006C16A1"/>
    <w:rsid w:val="006C1C27"/>
    <w:rsid w:val="006C23D4"/>
    <w:rsid w:val="006C2B1A"/>
    <w:rsid w:val="006C3098"/>
    <w:rsid w:val="006C311C"/>
    <w:rsid w:val="006C403E"/>
    <w:rsid w:val="006C4C23"/>
    <w:rsid w:val="006C4CE7"/>
    <w:rsid w:val="006C50DE"/>
    <w:rsid w:val="006C5911"/>
    <w:rsid w:val="006C5C75"/>
    <w:rsid w:val="006C6392"/>
    <w:rsid w:val="006C66E4"/>
    <w:rsid w:val="006C72CA"/>
    <w:rsid w:val="006C773A"/>
    <w:rsid w:val="006C7A10"/>
    <w:rsid w:val="006C7BB0"/>
    <w:rsid w:val="006C7C1E"/>
    <w:rsid w:val="006D03AA"/>
    <w:rsid w:val="006D047F"/>
    <w:rsid w:val="006D0748"/>
    <w:rsid w:val="006D0A50"/>
    <w:rsid w:val="006D0EAE"/>
    <w:rsid w:val="006D0FC4"/>
    <w:rsid w:val="006D1105"/>
    <w:rsid w:val="006D1862"/>
    <w:rsid w:val="006D1A9F"/>
    <w:rsid w:val="006D2327"/>
    <w:rsid w:val="006D2C26"/>
    <w:rsid w:val="006D2CB9"/>
    <w:rsid w:val="006D2DFC"/>
    <w:rsid w:val="006D318F"/>
    <w:rsid w:val="006D3237"/>
    <w:rsid w:val="006D32A3"/>
    <w:rsid w:val="006D3F80"/>
    <w:rsid w:val="006D404B"/>
    <w:rsid w:val="006D409D"/>
    <w:rsid w:val="006D46D0"/>
    <w:rsid w:val="006D49A8"/>
    <w:rsid w:val="006D4A80"/>
    <w:rsid w:val="006D4C4A"/>
    <w:rsid w:val="006D4FEA"/>
    <w:rsid w:val="006D58DF"/>
    <w:rsid w:val="006D67AA"/>
    <w:rsid w:val="006D6941"/>
    <w:rsid w:val="006D6FAA"/>
    <w:rsid w:val="006D7481"/>
    <w:rsid w:val="006D7D19"/>
    <w:rsid w:val="006D7EC8"/>
    <w:rsid w:val="006E0815"/>
    <w:rsid w:val="006E0E0B"/>
    <w:rsid w:val="006E1585"/>
    <w:rsid w:val="006E1DDA"/>
    <w:rsid w:val="006E20CE"/>
    <w:rsid w:val="006E2D6B"/>
    <w:rsid w:val="006E2E37"/>
    <w:rsid w:val="006E35EA"/>
    <w:rsid w:val="006E3CF1"/>
    <w:rsid w:val="006E3FC1"/>
    <w:rsid w:val="006E437C"/>
    <w:rsid w:val="006E6100"/>
    <w:rsid w:val="006E76F8"/>
    <w:rsid w:val="006E7E80"/>
    <w:rsid w:val="006F0BC0"/>
    <w:rsid w:val="006F0E6B"/>
    <w:rsid w:val="006F134D"/>
    <w:rsid w:val="006F1D3D"/>
    <w:rsid w:val="006F1DF9"/>
    <w:rsid w:val="006F24DB"/>
    <w:rsid w:val="006F2E6D"/>
    <w:rsid w:val="006F3F5D"/>
    <w:rsid w:val="006F48CA"/>
    <w:rsid w:val="006F4A33"/>
    <w:rsid w:val="006F5095"/>
    <w:rsid w:val="006F5D3E"/>
    <w:rsid w:val="006F64DD"/>
    <w:rsid w:val="006F7B76"/>
    <w:rsid w:val="007000A7"/>
    <w:rsid w:val="00700289"/>
    <w:rsid w:val="0070069E"/>
    <w:rsid w:val="007025ED"/>
    <w:rsid w:val="0070264F"/>
    <w:rsid w:val="007026A3"/>
    <w:rsid w:val="00703602"/>
    <w:rsid w:val="00703687"/>
    <w:rsid w:val="00703C0B"/>
    <w:rsid w:val="00704566"/>
    <w:rsid w:val="00704FED"/>
    <w:rsid w:val="007052D7"/>
    <w:rsid w:val="007057CB"/>
    <w:rsid w:val="00707558"/>
    <w:rsid w:val="007079B7"/>
    <w:rsid w:val="00710207"/>
    <w:rsid w:val="00712572"/>
    <w:rsid w:val="00713009"/>
    <w:rsid w:val="007133FE"/>
    <w:rsid w:val="0071341D"/>
    <w:rsid w:val="00713459"/>
    <w:rsid w:val="00714170"/>
    <w:rsid w:val="007143CF"/>
    <w:rsid w:val="00714704"/>
    <w:rsid w:val="00715127"/>
    <w:rsid w:val="007152A5"/>
    <w:rsid w:val="00715D21"/>
    <w:rsid w:val="00715E8E"/>
    <w:rsid w:val="00715E92"/>
    <w:rsid w:val="0071644A"/>
    <w:rsid w:val="0071647D"/>
    <w:rsid w:val="00716797"/>
    <w:rsid w:val="007171B9"/>
    <w:rsid w:val="007209E5"/>
    <w:rsid w:val="00721522"/>
    <w:rsid w:val="00721A40"/>
    <w:rsid w:val="00721CF7"/>
    <w:rsid w:val="00721FB8"/>
    <w:rsid w:val="007224CC"/>
    <w:rsid w:val="00722871"/>
    <w:rsid w:val="00723580"/>
    <w:rsid w:val="00723755"/>
    <w:rsid w:val="00724655"/>
    <w:rsid w:val="007249F6"/>
    <w:rsid w:val="00725B0F"/>
    <w:rsid w:val="00725FAE"/>
    <w:rsid w:val="0072622F"/>
    <w:rsid w:val="0072642B"/>
    <w:rsid w:val="0072688F"/>
    <w:rsid w:val="00727EFC"/>
    <w:rsid w:val="0073007D"/>
    <w:rsid w:val="00731174"/>
    <w:rsid w:val="0073136C"/>
    <w:rsid w:val="007317E4"/>
    <w:rsid w:val="00731F0F"/>
    <w:rsid w:val="00731FE6"/>
    <w:rsid w:val="0073267F"/>
    <w:rsid w:val="00732804"/>
    <w:rsid w:val="007329A4"/>
    <w:rsid w:val="0073314B"/>
    <w:rsid w:val="00733250"/>
    <w:rsid w:val="00733EF9"/>
    <w:rsid w:val="0073427A"/>
    <w:rsid w:val="00734F46"/>
    <w:rsid w:val="007361E3"/>
    <w:rsid w:val="00736833"/>
    <w:rsid w:val="0073699C"/>
    <w:rsid w:val="007372F4"/>
    <w:rsid w:val="007400EC"/>
    <w:rsid w:val="0074040C"/>
    <w:rsid w:val="00741404"/>
    <w:rsid w:val="007415C0"/>
    <w:rsid w:val="00741A58"/>
    <w:rsid w:val="00741F8D"/>
    <w:rsid w:val="0074355F"/>
    <w:rsid w:val="00743D0F"/>
    <w:rsid w:val="00743E07"/>
    <w:rsid w:val="00743FE4"/>
    <w:rsid w:val="0074434A"/>
    <w:rsid w:val="0074471A"/>
    <w:rsid w:val="007449E5"/>
    <w:rsid w:val="00744A6E"/>
    <w:rsid w:val="00744BD6"/>
    <w:rsid w:val="00744EFE"/>
    <w:rsid w:val="00745A36"/>
    <w:rsid w:val="00745A45"/>
    <w:rsid w:val="00745C65"/>
    <w:rsid w:val="00746042"/>
    <w:rsid w:val="00746C5A"/>
    <w:rsid w:val="007470A2"/>
    <w:rsid w:val="0074787A"/>
    <w:rsid w:val="00747E47"/>
    <w:rsid w:val="00747EEE"/>
    <w:rsid w:val="00747F60"/>
    <w:rsid w:val="00747FF0"/>
    <w:rsid w:val="007509D5"/>
    <w:rsid w:val="0075109A"/>
    <w:rsid w:val="00751463"/>
    <w:rsid w:val="00751BB6"/>
    <w:rsid w:val="007525DC"/>
    <w:rsid w:val="0075274A"/>
    <w:rsid w:val="00752A36"/>
    <w:rsid w:val="0075396B"/>
    <w:rsid w:val="00753AD3"/>
    <w:rsid w:val="00756996"/>
    <w:rsid w:val="00756DC3"/>
    <w:rsid w:val="007571EC"/>
    <w:rsid w:val="0076152A"/>
    <w:rsid w:val="00761EB1"/>
    <w:rsid w:val="007625A1"/>
    <w:rsid w:val="00762EAA"/>
    <w:rsid w:val="007643EF"/>
    <w:rsid w:val="00764D4E"/>
    <w:rsid w:val="00765A1F"/>
    <w:rsid w:val="00766576"/>
    <w:rsid w:val="007670B8"/>
    <w:rsid w:val="00767C2A"/>
    <w:rsid w:val="007700F8"/>
    <w:rsid w:val="0077093B"/>
    <w:rsid w:val="00770B2E"/>
    <w:rsid w:val="00771254"/>
    <w:rsid w:val="0077169E"/>
    <w:rsid w:val="00772FFC"/>
    <w:rsid w:val="00773062"/>
    <w:rsid w:val="007740DA"/>
    <w:rsid w:val="007742DD"/>
    <w:rsid w:val="00774550"/>
    <w:rsid w:val="00774642"/>
    <w:rsid w:val="00774A6E"/>
    <w:rsid w:val="00774BF7"/>
    <w:rsid w:val="00774EDF"/>
    <w:rsid w:val="007751CE"/>
    <w:rsid w:val="00775B6D"/>
    <w:rsid w:val="00775E59"/>
    <w:rsid w:val="00775FE6"/>
    <w:rsid w:val="00775FED"/>
    <w:rsid w:val="00776357"/>
    <w:rsid w:val="007765F7"/>
    <w:rsid w:val="00776D68"/>
    <w:rsid w:val="0077744B"/>
    <w:rsid w:val="00777570"/>
    <w:rsid w:val="00781EBC"/>
    <w:rsid w:val="00783136"/>
    <w:rsid w:val="00783975"/>
    <w:rsid w:val="00783A94"/>
    <w:rsid w:val="00783C9B"/>
    <w:rsid w:val="007850EE"/>
    <w:rsid w:val="007855A4"/>
    <w:rsid w:val="00785B95"/>
    <w:rsid w:val="00785F0F"/>
    <w:rsid w:val="007868F0"/>
    <w:rsid w:val="00786953"/>
    <w:rsid w:val="007872C4"/>
    <w:rsid w:val="007874FC"/>
    <w:rsid w:val="00787A4A"/>
    <w:rsid w:val="00787AB9"/>
    <w:rsid w:val="0079051C"/>
    <w:rsid w:val="00790E96"/>
    <w:rsid w:val="00792018"/>
    <w:rsid w:val="00792074"/>
    <w:rsid w:val="00793154"/>
    <w:rsid w:val="00793366"/>
    <w:rsid w:val="00793BDF"/>
    <w:rsid w:val="00793F4A"/>
    <w:rsid w:val="0079417D"/>
    <w:rsid w:val="00794808"/>
    <w:rsid w:val="00794D66"/>
    <w:rsid w:val="00794F70"/>
    <w:rsid w:val="00795705"/>
    <w:rsid w:val="00795E73"/>
    <w:rsid w:val="007976C9"/>
    <w:rsid w:val="007A1A03"/>
    <w:rsid w:val="007A2804"/>
    <w:rsid w:val="007A3B1F"/>
    <w:rsid w:val="007A3C36"/>
    <w:rsid w:val="007A45C3"/>
    <w:rsid w:val="007A5C1C"/>
    <w:rsid w:val="007A648B"/>
    <w:rsid w:val="007A6B8B"/>
    <w:rsid w:val="007A6D07"/>
    <w:rsid w:val="007A6FBE"/>
    <w:rsid w:val="007A716F"/>
    <w:rsid w:val="007A718C"/>
    <w:rsid w:val="007B0073"/>
    <w:rsid w:val="007B1508"/>
    <w:rsid w:val="007B181C"/>
    <w:rsid w:val="007B1868"/>
    <w:rsid w:val="007B19D5"/>
    <w:rsid w:val="007B1F72"/>
    <w:rsid w:val="007B2017"/>
    <w:rsid w:val="007B24D9"/>
    <w:rsid w:val="007B267C"/>
    <w:rsid w:val="007B270A"/>
    <w:rsid w:val="007B2CE6"/>
    <w:rsid w:val="007B2E81"/>
    <w:rsid w:val="007B3067"/>
    <w:rsid w:val="007B3367"/>
    <w:rsid w:val="007B38D5"/>
    <w:rsid w:val="007B396B"/>
    <w:rsid w:val="007B5251"/>
    <w:rsid w:val="007B537B"/>
    <w:rsid w:val="007B5D38"/>
    <w:rsid w:val="007B69A7"/>
    <w:rsid w:val="007B7243"/>
    <w:rsid w:val="007B77DA"/>
    <w:rsid w:val="007C0695"/>
    <w:rsid w:val="007C0CF5"/>
    <w:rsid w:val="007C2440"/>
    <w:rsid w:val="007C256F"/>
    <w:rsid w:val="007C26A0"/>
    <w:rsid w:val="007C2A68"/>
    <w:rsid w:val="007C346B"/>
    <w:rsid w:val="007C3CE1"/>
    <w:rsid w:val="007C419A"/>
    <w:rsid w:val="007C4CC8"/>
    <w:rsid w:val="007C5426"/>
    <w:rsid w:val="007C5798"/>
    <w:rsid w:val="007C5CDB"/>
    <w:rsid w:val="007C6E91"/>
    <w:rsid w:val="007C7579"/>
    <w:rsid w:val="007C77C7"/>
    <w:rsid w:val="007C7A9D"/>
    <w:rsid w:val="007C7C6A"/>
    <w:rsid w:val="007D1921"/>
    <w:rsid w:val="007D21BD"/>
    <w:rsid w:val="007D2D17"/>
    <w:rsid w:val="007D338B"/>
    <w:rsid w:val="007D436F"/>
    <w:rsid w:val="007D4832"/>
    <w:rsid w:val="007D5C4E"/>
    <w:rsid w:val="007D6B1B"/>
    <w:rsid w:val="007D6BE3"/>
    <w:rsid w:val="007D74E9"/>
    <w:rsid w:val="007D7FBC"/>
    <w:rsid w:val="007E01C7"/>
    <w:rsid w:val="007E05D8"/>
    <w:rsid w:val="007E2148"/>
    <w:rsid w:val="007E21B2"/>
    <w:rsid w:val="007E2C4E"/>
    <w:rsid w:val="007E3B19"/>
    <w:rsid w:val="007E4722"/>
    <w:rsid w:val="007E51A3"/>
    <w:rsid w:val="007E5A4B"/>
    <w:rsid w:val="007E6488"/>
    <w:rsid w:val="007E64B0"/>
    <w:rsid w:val="007E6C24"/>
    <w:rsid w:val="007E76DA"/>
    <w:rsid w:val="007E7A9E"/>
    <w:rsid w:val="007E7EA6"/>
    <w:rsid w:val="007F0046"/>
    <w:rsid w:val="007F0330"/>
    <w:rsid w:val="007F05C3"/>
    <w:rsid w:val="007F0D6F"/>
    <w:rsid w:val="007F158D"/>
    <w:rsid w:val="007F1905"/>
    <w:rsid w:val="007F234D"/>
    <w:rsid w:val="007F29CF"/>
    <w:rsid w:val="007F2A89"/>
    <w:rsid w:val="007F2EF8"/>
    <w:rsid w:val="007F3B1B"/>
    <w:rsid w:val="007F444B"/>
    <w:rsid w:val="007F46DD"/>
    <w:rsid w:val="007F4765"/>
    <w:rsid w:val="007F5358"/>
    <w:rsid w:val="007F53AC"/>
    <w:rsid w:val="007F5997"/>
    <w:rsid w:val="007F5CDA"/>
    <w:rsid w:val="007F5DDA"/>
    <w:rsid w:val="007F6741"/>
    <w:rsid w:val="007F6920"/>
    <w:rsid w:val="007F76B8"/>
    <w:rsid w:val="007F7710"/>
    <w:rsid w:val="007F7F98"/>
    <w:rsid w:val="008000EA"/>
    <w:rsid w:val="0080048F"/>
    <w:rsid w:val="00801300"/>
    <w:rsid w:val="00802214"/>
    <w:rsid w:val="0080257A"/>
    <w:rsid w:val="00802762"/>
    <w:rsid w:val="00802862"/>
    <w:rsid w:val="00802AEE"/>
    <w:rsid w:val="00802C64"/>
    <w:rsid w:val="00802CE4"/>
    <w:rsid w:val="00802F23"/>
    <w:rsid w:val="0080333A"/>
    <w:rsid w:val="00803991"/>
    <w:rsid w:val="00803EB5"/>
    <w:rsid w:val="00803F43"/>
    <w:rsid w:val="008040B1"/>
    <w:rsid w:val="00805E52"/>
    <w:rsid w:val="008061D0"/>
    <w:rsid w:val="008067DE"/>
    <w:rsid w:val="00806C6A"/>
    <w:rsid w:val="0080776A"/>
    <w:rsid w:val="00807E60"/>
    <w:rsid w:val="00807E9A"/>
    <w:rsid w:val="00810526"/>
    <w:rsid w:val="00810B38"/>
    <w:rsid w:val="008117AC"/>
    <w:rsid w:val="00812E1F"/>
    <w:rsid w:val="00813425"/>
    <w:rsid w:val="00814158"/>
    <w:rsid w:val="00814185"/>
    <w:rsid w:val="008149EC"/>
    <w:rsid w:val="00814C12"/>
    <w:rsid w:val="00816700"/>
    <w:rsid w:val="0081696E"/>
    <w:rsid w:val="0081706D"/>
    <w:rsid w:val="008172FC"/>
    <w:rsid w:val="00817622"/>
    <w:rsid w:val="00817C2E"/>
    <w:rsid w:val="0082027A"/>
    <w:rsid w:val="008204C7"/>
    <w:rsid w:val="00820992"/>
    <w:rsid w:val="00820A13"/>
    <w:rsid w:val="00820A6E"/>
    <w:rsid w:val="00821447"/>
    <w:rsid w:val="00821561"/>
    <w:rsid w:val="00821860"/>
    <w:rsid w:val="0082204B"/>
    <w:rsid w:val="0082286C"/>
    <w:rsid w:val="00822E00"/>
    <w:rsid w:val="00823602"/>
    <w:rsid w:val="00823882"/>
    <w:rsid w:val="0082396B"/>
    <w:rsid w:val="00823AA1"/>
    <w:rsid w:val="0082454F"/>
    <w:rsid w:val="008245BA"/>
    <w:rsid w:val="00825097"/>
    <w:rsid w:val="008255F5"/>
    <w:rsid w:val="00825982"/>
    <w:rsid w:val="0082690A"/>
    <w:rsid w:val="00826A8C"/>
    <w:rsid w:val="00826BB4"/>
    <w:rsid w:val="00826C1F"/>
    <w:rsid w:val="00827543"/>
    <w:rsid w:val="008277FA"/>
    <w:rsid w:val="008300D3"/>
    <w:rsid w:val="0083014E"/>
    <w:rsid w:val="008302BC"/>
    <w:rsid w:val="00830681"/>
    <w:rsid w:val="008310C0"/>
    <w:rsid w:val="00831177"/>
    <w:rsid w:val="0083214A"/>
    <w:rsid w:val="0083253A"/>
    <w:rsid w:val="00832868"/>
    <w:rsid w:val="00833E45"/>
    <w:rsid w:val="00833EEE"/>
    <w:rsid w:val="00834220"/>
    <w:rsid w:val="008350F9"/>
    <w:rsid w:val="00835204"/>
    <w:rsid w:val="0083526F"/>
    <w:rsid w:val="00835CA9"/>
    <w:rsid w:val="00835DD5"/>
    <w:rsid w:val="0083660C"/>
    <w:rsid w:val="00837166"/>
    <w:rsid w:val="00837851"/>
    <w:rsid w:val="00840068"/>
    <w:rsid w:val="0084043D"/>
    <w:rsid w:val="008405C7"/>
    <w:rsid w:val="008406F2"/>
    <w:rsid w:val="0084081E"/>
    <w:rsid w:val="00840C58"/>
    <w:rsid w:val="008412F7"/>
    <w:rsid w:val="008413ED"/>
    <w:rsid w:val="00841712"/>
    <w:rsid w:val="00843018"/>
    <w:rsid w:val="00843D70"/>
    <w:rsid w:val="00843EFE"/>
    <w:rsid w:val="00844B04"/>
    <w:rsid w:val="008451A8"/>
    <w:rsid w:val="00845723"/>
    <w:rsid w:val="0084685E"/>
    <w:rsid w:val="008517FA"/>
    <w:rsid w:val="00851A4F"/>
    <w:rsid w:val="00851B97"/>
    <w:rsid w:val="00851EF9"/>
    <w:rsid w:val="00852796"/>
    <w:rsid w:val="00852F31"/>
    <w:rsid w:val="00854129"/>
    <w:rsid w:val="00854CAA"/>
    <w:rsid w:val="00856137"/>
    <w:rsid w:val="00856846"/>
    <w:rsid w:val="00856C60"/>
    <w:rsid w:val="008577FD"/>
    <w:rsid w:val="00857FF8"/>
    <w:rsid w:val="0086006A"/>
    <w:rsid w:val="00860713"/>
    <w:rsid w:val="00860B03"/>
    <w:rsid w:val="00860B25"/>
    <w:rsid w:val="00860E24"/>
    <w:rsid w:val="008611EF"/>
    <w:rsid w:val="008612B6"/>
    <w:rsid w:val="00863BA1"/>
    <w:rsid w:val="0086466C"/>
    <w:rsid w:val="0086497A"/>
    <w:rsid w:val="008659C5"/>
    <w:rsid w:val="00866A8B"/>
    <w:rsid w:val="00867070"/>
    <w:rsid w:val="00870C86"/>
    <w:rsid w:val="008711D5"/>
    <w:rsid w:val="008712F8"/>
    <w:rsid w:val="008713A1"/>
    <w:rsid w:val="00873197"/>
    <w:rsid w:val="00873250"/>
    <w:rsid w:val="00873DC5"/>
    <w:rsid w:val="0087409C"/>
    <w:rsid w:val="008740A7"/>
    <w:rsid w:val="00874770"/>
    <w:rsid w:val="00874AB2"/>
    <w:rsid w:val="00874ECD"/>
    <w:rsid w:val="00875342"/>
    <w:rsid w:val="008753A8"/>
    <w:rsid w:val="008754AB"/>
    <w:rsid w:val="008758F3"/>
    <w:rsid w:val="00875F69"/>
    <w:rsid w:val="00876616"/>
    <w:rsid w:val="00876C10"/>
    <w:rsid w:val="0088060C"/>
    <w:rsid w:val="00880B07"/>
    <w:rsid w:val="00880BD8"/>
    <w:rsid w:val="00881B76"/>
    <w:rsid w:val="008822CD"/>
    <w:rsid w:val="00882EBC"/>
    <w:rsid w:val="00883899"/>
    <w:rsid w:val="00883A28"/>
    <w:rsid w:val="008840E5"/>
    <w:rsid w:val="00884524"/>
    <w:rsid w:val="008858AD"/>
    <w:rsid w:val="00885A7E"/>
    <w:rsid w:val="00886D18"/>
    <w:rsid w:val="0088714D"/>
    <w:rsid w:val="008871CC"/>
    <w:rsid w:val="008876F5"/>
    <w:rsid w:val="00887A11"/>
    <w:rsid w:val="00890BB3"/>
    <w:rsid w:val="0089146D"/>
    <w:rsid w:val="00891E50"/>
    <w:rsid w:val="008922A9"/>
    <w:rsid w:val="00892767"/>
    <w:rsid w:val="00892F1C"/>
    <w:rsid w:val="00893576"/>
    <w:rsid w:val="00893C1F"/>
    <w:rsid w:val="00893E3E"/>
    <w:rsid w:val="00893E73"/>
    <w:rsid w:val="00894062"/>
    <w:rsid w:val="00894350"/>
    <w:rsid w:val="00894BB2"/>
    <w:rsid w:val="00894FCA"/>
    <w:rsid w:val="00895DC0"/>
    <w:rsid w:val="00896C06"/>
    <w:rsid w:val="00896E69"/>
    <w:rsid w:val="008A08D1"/>
    <w:rsid w:val="008A10CE"/>
    <w:rsid w:val="008A1B94"/>
    <w:rsid w:val="008A1BBF"/>
    <w:rsid w:val="008A3225"/>
    <w:rsid w:val="008A3C35"/>
    <w:rsid w:val="008A3D4D"/>
    <w:rsid w:val="008A43C4"/>
    <w:rsid w:val="008A44CC"/>
    <w:rsid w:val="008A4783"/>
    <w:rsid w:val="008A52F7"/>
    <w:rsid w:val="008A544F"/>
    <w:rsid w:val="008A5DB7"/>
    <w:rsid w:val="008B02DC"/>
    <w:rsid w:val="008B0CD2"/>
    <w:rsid w:val="008B0FF2"/>
    <w:rsid w:val="008B1D70"/>
    <w:rsid w:val="008B3B70"/>
    <w:rsid w:val="008B3B9D"/>
    <w:rsid w:val="008B4E66"/>
    <w:rsid w:val="008B51CA"/>
    <w:rsid w:val="008B54D1"/>
    <w:rsid w:val="008B57CE"/>
    <w:rsid w:val="008B59FC"/>
    <w:rsid w:val="008B5D9B"/>
    <w:rsid w:val="008B6076"/>
    <w:rsid w:val="008B659F"/>
    <w:rsid w:val="008B65C4"/>
    <w:rsid w:val="008B6A10"/>
    <w:rsid w:val="008B6EAE"/>
    <w:rsid w:val="008B7121"/>
    <w:rsid w:val="008C0494"/>
    <w:rsid w:val="008C0F5E"/>
    <w:rsid w:val="008C1852"/>
    <w:rsid w:val="008C223A"/>
    <w:rsid w:val="008C26DE"/>
    <w:rsid w:val="008C2BA5"/>
    <w:rsid w:val="008C46CC"/>
    <w:rsid w:val="008C49C9"/>
    <w:rsid w:val="008C4C4A"/>
    <w:rsid w:val="008C4C95"/>
    <w:rsid w:val="008C4D8D"/>
    <w:rsid w:val="008C513C"/>
    <w:rsid w:val="008C5DE1"/>
    <w:rsid w:val="008C6319"/>
    <w:rsid w:val="008C7314"/>
    <w:rsid w:val="008C7F16"/>
    <w:rsid w:val="008D01D5"/>
    <w:rsid w:val="008D04B9"/>
    <w:rsid w:val="008D0741"/>
    <w:rsid w:val="008D0B38"/>
    <w:rsid w:val="008D1272"/>
    <w:rsid w:val="008D209F"/>
    <w:rsid w:val="008D2225"/>
    <w:rsid w:val="008D29EE"/>
    <w:rsid w:val="008D2EB5"/>
    <w:rsid w:val="008D331F"/>
    <w:rsid w:val="008D3DD6"/>
    <w:rsid w:val="008D3E51"/>
    <w:rsid w:val="008D3F1F"/>
    <w:rsid w:val="008D4582"/>
    <w:rsid w:val="008D4588"/>
    <w:rsid w:val="008D4752"/>
    <w:rsid w:val="008D4B7F"/>
    <w:rsid w:val="008D552A"/>
    <w:rsid w:val="008D56DB"/>
    <w:rsid w:val="008D5781"/>
    <w:rsid w:val="008D5BE7"/>
    <w:rsid w:val="008D5E69"/>
    <w:rsid w:val="008D6219"/>
    <w:rsid w:val="008D7BBE"/>
    <w:rsid w:val="008E03C3"/>
    <w:rsid w:val="008E04A0"/>
    <w:rsid w:val="008E0CB6"/>
    <w:rsid w:val="008E0CF1"/>
    <w:rsid w:val="008E1505"/>
    <w:rsid w:val="008E1939"/>
    <w:rsid w:val="008E1CC6"/>
    <w:rsid w:val="008E271C"/>
    <w:rsid w:val="008E2EAA"/>
    <w:rsid w:val="008E3864"/>
    <w:rsid w:val="008E418E"/>
    <w:rsid w:val="008E424E"/>
    <w:rsid w:val="008E428A"/>
    <w:rsid w:val="008E575B"/>
    <w:rsid w:val="008E5BC6"/>
    <w:rsid w:val="008E61EF"/>
    <w:rsid w:val="008E6366"/>
    <w:rsid w:val="008E6953"/>
    <w:rsid w:val="008E6A25"/>
    <w:rsid w:val="008F0928"/>
    <w:rsid w:val="008F0B84"/>
    <w:rsid w:val="008F1342"/>
    <w:rsid w:val="008F1745"/>
    <w:rsid w:val="008F1B9F"/>
    <w:rsid w:val="008F21D1"/>
    <w:rsid w:val="008F2B88"/>
    <w:rsid w:val="008F37B0"/>
    <w:rsid w:val="008F3DDF"/>
    <w:rsid w:val="008F4D9D"/>
    <w:rsid w:val="008F4F33"/>
    <w:rsid w:val="008F5080"/>
    <w:rsid w:val="008F5193"/>
    <w:rsid w:val="008F5314"/>
    <w:rsid w:val="008F6103"/>
    <w:rsid w:val="008F623C"/>
    <w:rsid w:val="008F7009"/>
    <w:rsid w:val="008F7026"/>
    <w:rsid w:val="008F7D0C"/>
    <w:rsid w:val="0090072E"/>
    <w:rsid w:val="009011E7"/>
    <w:rsid w:val="009013A7"/>
    <w:rsid w:val="00901775"/>
    <w:rsid w:val="009017FB"/>
    <w:rsid w:val="009017FC"/>
    <w:rsid w:val="00901CD0"/>
    <w:rsid w:val="00902B33"/>
    <w:rsid w:val="0090366B"/>
    <w:rsid w:val="00903B43"/>
    <w:rsid w:val="00903EBC"/>
    <w:rsid w:val="00904AFF"/>
    <w:rsid w:val="0090506B"/>
    <w:rsid w:val="009050C9"/>
    <w:rsid w:val="00905C00"/>
    <w:rsid w:val="00906127"/>
    <w:rsid w:val="009066FC"/>
    <w:rsid w:val="00906A11"/>
    <w:rsid w:val="0090734E"/>
    <w:rsid w:val="00910FC0"/>
    <w:rsid w:val="009115BA"/>
    <w:rsid w:val="00912330"/>
    <w:rsid w:val="0091277B"/>
    <w:rsid w:val="00912E55"/>
    <w:rsid w:val="00913B6A"/>
    <w:rsid w:val="009140A3"/>
    <w:rsid w:val="009144A2"/>
    <w:rsid w:val="0091510C"/>
    <w:rsid w:val="00915458"/>
    <w:rsid w:val="00916083"/>
    <w:rsid w:val="00916841"/>
    <w:rsid w:val="00917931"/>
    <w:rsid w:val="00917F7D"/>
    <w:rsid w:val="0092166A"/>
    <w:rsid w:val="009218EA"/>
    <w:rsid w:val="0092354D"/>
    <w:rsid w:val="00924867"/>
    <w:rsid w:val="00924D72"/>
    <w:rsid w:val="009251F5"/>
    <w:rsid w:val="009259AC"/>
    <w:rsid w:val="0092635E"/>
    <w:rsid w:val="00926431"/>
    <w:rsid w:val="00926B15"/>
    <w:rsid w:val="00926F38"/>
    <w:rsid w:val="00927A1A"/>
    <w:rsid w:val="0093100D"/>
    <w:rsid w:val="00931012"/>
    <w:rsid w:val="009316F5"/>
    <w:rsid w:val="009317AA"/>
    <w:rsid w:val="00932E89"/>
    <w:rsid w:val="00933EAF"/>
    <w:rsid w:val="00934278"/>
    <w:rsid w:val="00934301"/>
    <w:rsid w:val="00936CD1"/>
    <w:rsid w:val="00937318"/>
    <w:rsid w:val="009375CD"/>
    <w:rsid w:val="009403C2"/>
    <w:rsid w:val="00941357"/>
    <w:rsid w:val="00941747"/>
    <w:rsid w:val="00941C7A"/>
    <w:rsid w:val="00941EE4"/>
    <w:rsid w:val="00941EFB"/>
    <w:rsid w:val="009426E1"/>
    <w:rsid w:val="009430B0"/>
    <w:rsid w:val="00944FD5"/>
    <w:rsid w:val="009451B9"/>
    <w:rsid w:val="00945AD3"/>
    <w:rsid w:val="00946DF3"/>
    <w:rsid w:val="0094795B"/>
    <w:rsid w:val="00947A6E"/>
    <w:rsid w:val="00947AFB"/>
    <w:rsid w:val="00947BDA"/>
    <w:rsid w:val="00950CCE"/>
    <w:rsid w:val="00951D7D"/>
    <w:rsid w:val="00952AE7"/>
    <w:rsid w:val="00952B56"/>
    <w:rsid w:val="00952C12"/>
    <w:rsid w:val="00952EC0"/>
    <w:rsid w:val="0095400C"/>
    <w:rsid w:val="009547AD"/>
    <w:rsid w:val="0095535A"/>
    <w:rsid w:val="00955C18"/>
    <w:rsid w:val="00956550"/>
    <w:rsid w:val="00956871"/>
    <w:rsid w:val="009579F3"/>
    <w:rsid w:val="00957F05"/>
    <w:rsid w:val="00960208"/>
    <w:rsid w:val="009613C7"/>
    <w:rsid w:val="009630C7"/>
    <w:rsid w:val="00963AB1"/>
    <w:rsid w:val="0096452A"/>
    <w:rsid w:val="00964541"/>
    <w:rsid w:val="0096572B"/>
    <w:rsid w:val="009660B0"/>
    <w:rsid w:val="00966431"/>
    <w:rsid w:val="00970447"/>
    <w:rsid w:val="00971229"/>
    <w:rsid w:val="00971BB3"/>
    <w:rsid w:val="00972B55"/>
    <w:rsid w:val="009743B7"/>
    <w:rsid w:val="0097453B"/>
    <w:rsid w:val="009754D2"/>
    <w:rsid w:val="00975FC8"/>
    <w:rsid w:val="009767FB"/>
    <w:rsid w:val="00976870"/>
    <w:rsid w:val="00976C73"/>
    <w:rsid w:val="00977314"/>
    <w:rsid w:val="009773C8"/>
    <w:rsid w:val="00977642"/>
    <w:rsid w:val="009807E1"/>
    <w:rsid w:val="00980860"/>
    <w:rsid w:val="00980936"/>
    <w:rsid w:val="00981074"/>
    <w:rsid w:val="009814A3"/>
    <w:rsid w:val="00981C49"/>
    <w:rsid w:val="00981F9A"/>
    <w:rsid w:val="0098228B"/>
    <w:rsid w:val="009828DA"/>
    <w:rsid w:val="00982936"/>
    <w:rsid w:val="009835BC"/>
    <w:rsid w:val="0098390E"/>
    <w:rsid w:val="00983E6F"/>
    <w:rsid w:val="00984340"/>
    <w:rsid w:val="00984436"/>
    <w:rsid w:val="009845BA"/>
    <w:rsid w:val="00984D8C"/>
    <w:rsid w:val="00985874"/>
    <w:rsid w:val="00985BAB"/>
    <w:rsid w:val="00986951"/>
    <w:rsid w:val="00987378"/>
    <w:rsid w:val="00987B8E"/>
    <w:rsid w:val="00990230"/>
    <w:rsid w:val="00990C61"/>
    <w:rsid w:val="0099150D"/>
    <w:rsid w:val="009935F2"/>
    <w:rsid w:val="009941A1"/>
    <w:rsid w:val="009943D1"/>
    <w:rsid w:val="0099442C"/>
    <w:rsid w:val="009945A9"/>
    <w:rsid w:val="0099483A"/>
    <w:rsid w:val="00994985"/>
    <w:rsid w:val="00994B89"/>
    <w:rsid w:val="0099550E"/>
    <w:rsid w:val="00996394"/>
    <w:rsid w:val="00996654"/>
    <w:rsid w:val="00996673"/>
    <w:rsid w:val="00997F03"/>
    <w:rsid w:val="009A116F"/>
    <w:rsid w:val="009A2797"/>
    <w:rsid w:val="009A2F48"/>
    <w:rsid w:val="009A3A87"/>
    <w:rsid w:val="009A46DF"/>
    <w:rsid w:val="009A52BB"/>
    <w:rsid w:val="009A6586"/>
    <w:rsid w:val="009A7C26"/>
    <w:rsid w:val="009A7E8A"/>
    <w:rsid w:val="009B0EA9"/>
    <w:rsid w:val="009B1454"/>
    <w:rsid w:val="009B17F3"/>
    <w:rsid w:val="009B1B5F"/>
    <w:rsid w:val="009B2EC2"/>
    <w:rsid w:val="009B366A"/>
    <w:rsid w:val="009B3927"/>
    <w:rsid w:val="009B3DDB"/>
    <w:rsid w:val="009B403D"/>
    <w:rsid w:val="009B4391"/>
    <w:rsid w:val="009B4498"/>
    <w:rsid w:val="009B4889"/>
    <w:rsid w:val="009B4B7D"/>
    <w:rsid w:val="009B4D0A"/>
    <w:rsid w:val="009B5105"/>
    <w:rsid w:val="009B5692"/>
    <w:rsid w:val="009B6673"/>
    <w:rsid w:val="009B72CE"/>
    <w:rsid w:val="009B75B7"/>
    <w:rsid w:val="009B7E64"/>
    <w:rsid w:val="009C0004"/>
    <w:rsid w:val="009C08F5"/>
    <w:rsid w:val="009C191B"/>
    <w:rsid w:val="009C1962"/>
    <w:rsid w:val="009C1B37"/>
    <w:rsid w:val="009C2B62"/>
    <w:rsid w:val="009C2BD6"/>
    <w:rsid w:val="009C2DF7"/>
    <w:rsid w:val="009C3269"/>
    <w:rsid w:val="009C35B7"/>
    <w:rsid w:val="009C3764"/>
    <w:rsid w:val="009C4384"/>
    <w:rsid w:val="009C6070"/>
    <w:rsid w:val="009D02A8"/>
    <w:rsid w:val="009D0642"/>
    <w:rsid w:val="009D0BC6"/>
    <w:rsid w:val="009D153E"/>
    <w:rsid w:val="009D2040"/>
    <w:rsid w:val="009D2D8C"/>
    <w:rsid w:val="009D3279"/>
    <w:rsid w:val="009D41CD"/>
    <w:rsid w:val="009D5835"/>
    <w:rsid w:val="009D6388"/>
    <w:rsid w:val="009D6B7D"/>
    <w:rsid w:val="009D6EEA"/>
    <w:rsid w:val="009D7191"/>
    <w:rsid w:val="009D7588"/>
    <w:rsid w:val="009E06D1"/>
    <w:rsid w:val="009E0DA7"/>
    <w:rsid w:val="009E1F32"/>
    <w:rsid w:val="009E3070"/>
    <w:rsid w:val="009E395F"/>
    <w:rsid w:val="009E40CA"/>
    <w:rsid w:val="009E46B6"/>
    <w:rsid w:val="009E489C"/>
    <w:rsid w:val="009E49BE"/>
    <w:rsid w:val="009E49CE"/>
    <w:rsid w:val="009E4A4B"/>
    <w:rsid w:val="009E571F"/>
    <w:rsid w:val="009E5829"/>
    <w:rsid w:val="009E7525"/>
    <w:rsid w:val="009E776C"/>
    <w:rsid w:val="009E7E5D"/>
    <w:rsid w:val="009F0C4D"/>
    <w:rsid w:val="009F1D3B"/>
    <w:rsid w:val="009F1D86"/>
    <w:rsid w:val="009F1DA6"/>
    <w:rsid w:val="009F1FE6"/>
    <w:rsid w:val="009F2C66"/>
    <w:rsid w:val="009F2DF7"/>
    <w:rsid w:val="009F2E51"/>
    <w:rsid w:val="009F3DE1"/>
    <w:rsid w:val="009F4040"/>
    <w:rsid w:val="009F46F2"/>
    <w:rsid w:val="009F5F79"/>
    <w:rsid w:val="009F602B"/>
    <w:rsid w:val="009F6071"/>
    <w:rsid w:val="009F6A26"/>
    <w:rsid w:val="00A001C0"/>
    <w:rsid w:val="00A009F5"/>
    <w:rsid w:val="00A01601"/>
    <w:rsid w:val="00A029A4"/>
    <w:rsid w:val="00A037A2"/>
    <w:rsid w:val="00A03B21"/>
    <w:rsid w:val="00A03B7E"/>
    <w:rsid w:val="00A04537"/>
    <w:rsid w:val="00A045BC"/>
    <w:rsid w:val="00A048F0"/>
    <w:rsid w:val="00A04A3E"/>
    <w:rsid w:val="00A05869"/>
    <w:rsid w:val="00A075EB"/>
    <w:rsid w:val="00A1023B"/>
    <w:rsid w:val="00A11F52"/>
    <w:rsid w:val="00A12552"/>
    <w:rsid w:val="00A12825"/>
    <w:rsid w:val="00A130B4"/>
    <w:rsid w:val="00A13F86"/>
    <w:rsid w:val="00A14AE7"/>
    <w:rsid w:val="00A14C1B"/>
    <w:rsid w:val="00A1531D"/>
    <w:rsid w:val="00A15B7A"/>
    <w:rsid w:val="00A15CA9"/>
    <w:rsid w:val="00A1726E"/>
    <w:rsid w:val="00A178BF"/>
    <w:rsid w:val="00A204CF"/>
    <w:rsid w:val="00A20640"/>
    <w:rsid w:val="00A20E44"/>
    <w:rsid w:val="00A22A00"/>
    <w:rsid w:val="00A22E8B"/>
    <w:rsid w:val="00A23909"/>
    <w:rsid w:val="00A23A4E"/>
    <w:rsid w:val="00A23D49"/>
    <w:rsid w:val="00A2493B"/>
    <w:rsid w:val="00A2495C"/>
    <w:rsid w:val="00A24B2B"/>
    <w:rsid w:val="00A25501"/>
    <w:rsid w:val="00A26656"/>
    <w:rsid w:val="00A27004"/>
    <w:rsid w:val="00A275DE"/>
    <w:rsid w:val="00A30B5C"/>
    <w:rsid w:val="00A30C29"/>
    <w:rsid w:val="00A31A27"/>
    <w:rsid w:val="00A33014"/>
    <w:rsid w:val="00A3327C"/>
    <w:rsid w:val="00A33BB8"/>
    <w:rsid w:val="00A343C1"/>
    <w:rsid w:val="00A344E4"/>
    <w:rsid w:val="00A34DD6"/>
    <w:rsid w:val="00A35C69"/>
    <w:rsid w:val="00A35C8B"/>
    <w:rsid w:val="00A35CED"/>
    <w:rsid w:val="00A36064"/>
    <w:rsid w:val="00A36819"/>
    <w:rsid w:val="00A36989"/>
    <w:rsid w:val="00A41BF4"/>
    <w:rsid w:val="00A425BE"/>
    <w:rsid w:val="00A42C3D"/>
    <w:rsid w:val="00A43018"/>
    <w:rsid w:val="00A43272"/>
    <w:rsid w:val="00A43628"/>
    <w:rsid w:val="00A44CBB"/>
    <w:rsid w:val="00A4568A"/>
    <w:rsid w:val="00A469CD"/>
    <w:rsid w:val="00A47AAF"/>
    <w:rsid w:val="00A515A9"/>
    <w:rsid w:val="00A521E4"/>
    <w:rsid w:val="00A52438"/>
    <w:rsid w:val="00A52DCC"/>
    <w:rsid w:val="00A5329F"/>
    <w:rsid w:val="00A54192"/>
    <w:rsid w:val="00A54D07"/>
    <w:rsid w:val="00A54DB5"/>
    <w:rsid w:val="00A54FA6"/>
    <w:rsid w:val="00A55628"/>
    <w:rsid w:val="00A56E40"/>
    <w:rsid w:val="00A57874"/>
    <w:rsid w:val="00A57D4B"/>
    <w:rsid w:val="00A6035E"/>
    <w:rsid w:val="00A606F6"/>
    <w:rsid w:val="00A60E72"/>
    <w:rsid w:val="00A6144C"/>
    <w:rsid w:val="00A6147F"/>
    <w:rsid w:val="00A61EC5"/>
    <w:rsid w:val="00A639E2"/>
    <w:rsid w:val="00A643B1"/>
    <w:rsid w:val="00A645E3"/>
    <w:rsid w:val="00A64D74"/>
    <w:rsid w:val="00A650D8"/>
    <w:rsid w:val="00A652B1"/>
    <w:rsid w:val="00A655E1"/>
    <w:rsid w:val="00A66617"/>
    <w:rsid w:val="00A66D0E"/>
    <w:rsid w:val="00A67192"/>
    <w:rsid w:val="00A671F8"/>
    <w:rsid w:val="00A673A4"/>
    <w:rsid w:val="00A678C6"/>
    <w:rsid w:val="00A67C19"/>
    <w:rsid w:val="00A706F6"/>
    <w:rsid w:val="00A71C38"/>
    <w:rsid w:val="00A71EE2"/>
    <w:rsid w:val="00A724AE"/>
    <w:rsid w:val="00A72924"/>
    <w:rsid w:val="00A72D4B"/>
    <w:rsid w:val="00A73329"/>
    <w:rsid w:val="00A735B4"/>
    <w:rsid w:val="00A739ED"/>
    <w:rsid w:val="00A74044"/>
    <w:rsid w:val="00A74944"/>
    <w:rsid w:val="00A753B4"/>
    <w:rsid w:val="00A759DB"/>
    <w:rsid w:val="00A760A5"/>
    <w:rsid w:val="00A7643F"/>
    <w:rsid w:val="00A77C7F"/>
    <w:rsid w:val="00A77ED2"/>
    <w:rsid w:val="00A81714"/>
    <w:rsid w:val="00A81B9A"/>
    <w:rsid w:val="00A81D63"/>
    <w:rsid w:val="00A82359"/>
    <w:rsid w:val="00A82713"/>
    <w:rsid w:val="00A82BA6"/>
    <w:rsid w:val="00A82F58"/>
    <w:rsid w:val="00A83061"/>
    <w:rsid w:val="00A8360B"/>
    <w:rsid w:val="00A839D5"/>
    <w:rsid w:val="00A83C8C"/>
    <w:rsid w:val="00A84C78"/>
    <w:rsid w:val="00A84DC5"/>
    <w:rsid w:val="00A84FC7"/>
    <w:rsid w:val="00A85675"/>
    <w:rsid w:val="00A85E40"/>
    <w:rsid w:val="00A865D2"/>
    <w:rsid w:val="00A869DC"/>
    <w:rsid w:val="00A87901"/>
    <w:rsid w:val="00A879AB"/>
    <w:rsid w:val="00A90413"/>
    <w:rsid w:val="00A9083F"/>
    <w:rsid w:val="00A909D7"/>
    <w:rsid w:val="00A90FA5"/>
    <w:rsid w:val="00A91223"/>
    <w:rsid w:val="00A91409"/>
    <w:rsid w:val="00A91928"/>
    <w:rsid w:val="00A92851"/>
    <w:rsid w:val="00A92E40"/>
    <w:rsid w:val="00A93723"/>
    <w:rsid w:val="00A93CA3"/>
    <w:rsid w:val="00A94048"/>
    <w:rsid w:val="00A9431F"/>
    <w:rsid w:val="00A945EC"/>
    <w:rsid w:val="00A94C20"/>
    <w:rsid w:val="00A96ED6"/>
    <w:rsid w:val="00A97B81"/>
    <w:rsid w:val="00AA0564"/>
    <w:rsid w:val="00AA082F"/>
    <w:rsid w:val="00AA09B9"/>
    <w:rsid w:val="00AA0E1D"/>
    <w:rsid w:val="00AA14C8"/>
    <w:rsid w:val="00AA227F"/>
    <w:rsid w:val="00AA229A"/>
    <w:rsid w:val="00AA2390"/>
    <w:rsid w:val="00AA25E9"/>
    <w:rsid w:val="00AA2824"/>
    <w:rsid w:val="00AA34FC"/>
    <w:rsid w:val="00AA3932"/>
    <w:rsid w:val="00AA3B95"/>
    <w:rsid w:val="00AA3BC7"/>
    <w:rsid w:val="00AA47CB"/>
    <w:rsid w:val="00AA4A90"/>
    <w:rsid w:val="00AA509C"/>
    <w:rsid w:val="00AA5FAE"/>
    <w:rsid w:val="00AA60A5"/>
    <w:rsid w:val="00AA6956"/>
    <w:rsid w:val="00AA6EFF"/>
    <w:rsid w:val="00AA73BE"/>
    <w:rsid w:val="00AA754A"/>
    <w:rsid w:val="00AA7B7C"/>
    <w:rsid w:val="00AA7FF6"/>
    <w:rsid w:val="00AB099E"/>
    <w:rsid w:val="00AB1EDD"/>
    <w:rsid w:val="00AB1EE7"/>
    <w:rsid w:val="00AB349E"/>
    <w:rsid w:val="00AB3E7A"/>
    <w:rsid w:val="00AB4328"/>
    <w:rsid w:val="00AB4EF4"/>
    <w:rsid w:val="00AB500C"/>
    <w:rsid w:val="00AB57ED"/>
    <w:rsid w:val="00AB5FA0"/>
    <w:rsid w:val="00AB5FEC"/>
    <w:rsid w:val="00AB717F"/>
    <w:rsid w:val="00AB71AD"/>
    <w:rsid w:val="00AB76F1"/>
    <w:rsid w:val="00AB7732"/>
    <w:rsid w:val="00AC033D"/>
    <w:rsid w:val="00AC0FB8"/>
    <w:rsid w:val="00AC156B"/>
    <w:rsid w:val="00AC1A31"/>
    <w:rsid w:val="00AC1A84"/>
    <w:rsid w:val="00AC2647"/>
    <w:rsid w:val="00AC33D7"/>
    <w:rsid w:val="00AC3658"/>
    <w:rsid w:val="00AC4FE2"/>
    <w:rsid w:val="00AC5480"/>
    <w:rsid w:val="00AC5E66"/>
    <w:rsid w:val="00AC6A14"/>
    <w:rsid w:val="00AC7032"/>
    <w:rsid w:val="00AC7673"/>
    <w:rsid w:val="00AC7BD9"/>
    <w:rsid w:val="00AD1980"/>
    <w:rsid w:val="00AD25EA"/>
    <w:rsid w:val="00AD26D5"/>
    <w:rsid w:val="00AD3D4B"/>
    <w:rsid w:val="00AD439F"/>
    <w:rsid w:val="00AD456B"/>
    <w:rsid w:val="00AD48A7"/>
    <w:rsid w:val="00AD5459"/>
    <w:rsid w:val="00AD5DD9"/>
    <w:rsid w:val="00AD65F8"/>
    <w:rsid w:val="00AD7486"/>
    <w:rsid w:val="00AD7F19"/>
    <w:rsid w:val="00AD7F6B"/>
    <w:rsid w:val="00AE017D"/>
    <w:rsid w:val="00AE0A2E"/>
    <w:rsid w:val="00AE2565"/>
    <w:rsid w:val="00AE2875"/>
    <w:rsid w:val="00AE2D57"/>
    <w:rsid w:val="00AE2FF9"/>
    <w:rsid w:val="00AE354C"/>
    <w:rsid w:val="00AE3C37"/>
    <w:rsid w:val="00AE4268"/>
    <w:rsid w:val="00AE47C8"/>
    <w:rsid w:val="00AE482C"/>
    <w:rsid w:val="00AE517A"/>
    <w:rsid w:val="00AE5F18"/>
    <w:rsid w:val="00AE676C"/>
    <w:rsid w:val="00AE6A88"/>
    <w:rsid w:val="00AF0679"/>
    <w:rsid w:val="00AF0F12"/>
    <w:rsid w:val="00AF1012"/>
    <w:rsid w:val="00AF1F0B"/>
    <w:rsid w:val="00AF2A1C"/>
    <w:rsid w:val="00AF3829"/>
    <w:rsid w:val="00AF3844"/>
    <w:rsid w:val="00AF4845"/>
    <w:rsid w:val="00AF4B07"/>
    <w:rsid w:val="00AF6186"/>
    <w:rsid w:val="00AF6C74"/>
    <w:rsid w:val="00AF7121"/>
    <w:rsid w:val="00AF7A3A"/>
    <w:rsid w:val="00B00945"/>
    <w:rsid w:val="00B01CEC"/>
    <w:rsid w:val="00B02B79"/>
    <w:rsid w:val="00B03311"/>
    <w:rsid w:val="00B035C5"/>
    <w:rsid w:val="00B03EDA"/>
    <w:rsid w:val="00B047E4"/>
    <w:rsid w:val="00B04A6E"/>
    <w:rsid w:val="00B04B40"/>
    <w:rsid w:val="00B05231"/>
    <w:rsid w:val="00B0582D"/>
    <w:rsid w:val="00B06583"/>
    <w:rsid w:val="00B065E9"/>
    <w:rsid w:val="00B068B9"/>
    <w:rsid w:val="00B072A0"/>
    <w:rsid w:val="00B072D4"/>
    <w:rsid w:val="00B1076D"/>
    <w:rsid w:val="00B1169C"/>
    <w:rsid w:val="00B12BCA"/>
    <w:rsid w:val="00B1310D"/>
    <w:rsid w:val="00B137B0"/>
    <w:rsid w:val="00B1396B"/>
    <w:rsid w:val="00B13C98"/>
    <w:rsid w:val="00B141BE"/>
    <w:rsid w:val="00B14301"/>
    <w:rsid w:val="00B144E0"/>
    <w:rsid w:val="00B147E6"/>
    <w:rsid w:val="00B14D25"/>
    <w:rsid w:val="00B15119"/>
    <w:rsid w:val="00B15829"/>
    <w:rsid w:val="00B15924"/>
    <w:rsid w:val="00B160DB"/>
    <w:rsid w:val="00B16204"/>
    <w:rsid w:val="00B1640E"/>
    <w:rsid w:val="00B16EF8"/>
    <w:rsid w:val="00B17C69"/>
    <w:rsid w:val="00B20313"/>
    <w:rsid w:val="00B206C9"/>
    <w:rsid w:val="00B20836"/>
    <w:rsid w:val="00B21883"/>
    <w:rsid w:val="00B235BB"/>
    <w:rsid w:val="00B23B2D"/>
    <w:rsid w:val="00B23EC4"/>
    <w:rsid w:val="00B24403"/>
    <w:rsid w:val="00B252DB"/>
    <w:rsid w:val="00B2548A"/>
    <w:rsid w:val="00B25A74"/>
    <w:rsid w:val="00B2608F"/>
    <w:rsid w:val="00B2667F"/>
    <w:rsid w:val="00B267FE"/>
    <w:rsid w:val="00B2684D"/>
    <w:rsid w:val="00B26D47"/>
    <w:rsid w:val="00B26E35"/>
    <w:rsid w:val="00B27A44"/>
    <w:rsid w:val="00B30BBF"/>
    <w:rsid w:val="00B32012"/>
    <w:rsid w:val="00B327FF"/>
    <w:rsid w:val="00B33C03"/>
    <w:rsid w:val="00B34C66"/>
    <w:rsid w:val="00B352FE"/>
    <w:rsid w:val="00B35C19"/>
    <w:rsid w:val="00B35D49"/>
    <w:rsid w:val="00B361D3"/>
    <w:rsid w:val="00B3673A"/>
    <w:rsid w:val="00B37849"/>
    <w:rsid w:val="00B37861"/>
    <w:rsid w:val="00B4032B"/>
    <w:rsid w:val="00B42D02"/>
    <w:rsid w:val="00B42E2B"/>
    <w:rsid w:val="00B43263"/>
    <w:rsid w:val="00B4336E"/>
    <w:rsid w:val="00B44484"/>
    <w:rsid w:val="00B44E56"/>
    <w:rsid w:val="00B45976"/>
    <w:rsid w:val="00B4619C"/>
    <w:rsid w:val="00B46543"/>
    <w:rsid w:val="00B468D9"/>
    <w:rsid w:val="00B46F86"/>
    <w:rsid w:val="00B47D33"/>
    <w:rsid w:val="00B50F8D"/>
    <w:rsid w:val="00B51E85"/>
    <w:rsid w:val="00B51FE1"/>
    <w:rsid w:val="00B52BE0"/>
    <w:rsid w:val="00B53D7B"/>
    <w:rsid w:val="00B54133"/>
    <w:rsid w:val="00B544CD"/>
    <w:rsid w:val="00B5521E"/>
    <w:rsid w:val="00B552DF"/>
    <w:rsid w:val="00B55938"/>
    <w:rsid w:val="00B56D3F"/>
    <w:rsid w:val="00B56F66"/>
    <w:rsid w:val="00B56FC6"/>
    <w:rsid w:val="00B57664"/>
    <w:rsid w:val="00B637B9"/>
    <w:rsid w:val="00B643CE"/>
    <w:rsid w:val="00B66321"/>
    <w:rsid w:val="00B66B81"/>
    <w:rsid w:val="00B6772A"/>
    <w:rsid w:val="00B67FD1"/>
    <w:rsid w:val="00B701ED"/>
    <w:rsid w:val="00B709C6"/>
    <w:rsid w:val="00B70BED"/>
    <w:rsid w:val="00B70DAA"/>
    <w:rsid w:val="00B71658"/>
    <w:rsid w:val="00B71EB0"/>
    <w:rsid w:val="00B725F5"/>
    <w:rsid w:val="00B727BD"/>
    <w:rsid w:val="00B737C3"/>
    <w:rsid w:val="00B73F96"/>
    <w:rsid w:val="00B74098"/>
    <w:rsid w:val="00B74924"/>
    <w:rsid w:val="00B751B9"/>
    <w:rsid w:val="00B75778"/>
    <w:rsid w:val="00B758A5"/>
    <w:rsid w:val="00B776C6"/>
    <w:rsid w:val="00B8086C"/>
    <w:rsid w:val="00B80DB3"/>
    <w:rsid w:val="00B810A5"/>
    <w:rsid w:val="00B817B9"/>
    <w:rsid w:val="00B82065"/>
    <w:rsid w:val="00B820A9"/>
    <w:rsid w:val="00B8231A"/>
    <w:rsid w:val="00B82BA2"/>
    <w:rsid w:val="00B82BF2"/>
    <w:rsid w:val="00B82EDE"/>
    <w:rsid w:val="00B861B4"/>
    <w:rsid w:val="00B86DFE"/>
    <w:rsid w:val="00B86F93"/>
    <w:rsid w:val="00B87802"/>
    <w:rsid w:val="00B87E98"/>
    <w:rsid w:val="00B90990"/>
    <w:rsid w:val="00B91EED"/>
    <w:rsid w:val="00B922E0"/>
    <w:rsid w:val="00B922FF"/>
    <w:rsid w:val="00B92491"/>
    <w:rsid w:val="00B9281E"/>
    <w:rsid w:val="00B92899"/>
    <w:rsid w:val="00B93601"/>
    <w:rsid w:val="00B938D6"/>
    <w:rsid w:val="00B93925"/>
    <w:rsid w:val="00B943BC"/>
    <w:rsid w:val="00B95109"/>
    <w:rsid w:val="00B95134"/>
    <w:rsid w:val="00B95187"/>
    <w:rsid w:val="00B95278"/>
    <w:rsid w:val="00B95800"/>
    <w:rsid w:val="00B95966"/>
    <w:rsid w:val="00B96768"/>
    <w:rsid w:val="00B96773"/>
    <w:rsid w:val="00B96922"/>
    <w:rsid w:val="00B96D5C"/>
    <w:rsid w:val="00B96E72"/>
    <w:rsid w:val="00B97275"/>
    <w:rsid w:val="00B97364"/>
    <w:rsid w:val="00B9785A"/>
    <w:rsid w:val="00BA0212"/>
    <w:rsid w:val="00BA0769"/>
    <w:rsid w:val="00BA0EB8"/>
    <w:rsid w:val="00BA1009"/>
    <w:rsid w:val="00BA12B5"/>
    <w:rsid w:val="00BA1847"/>
    <w:rsid w:val="00BA2D55"/>
    <w:rsid w:val="00BA2FB9"/>
    <w:rsid w:val="00BA2FEA"/>
    <w:rsid w:val="00BA3797"/>
    <w:rsid w:val="00BA4591"/>
    <w:rsid w:val="00BA61F6"/>
    <w:rsid w:val="00BA6428"/>
    <w:rsid w:val="00BA6C53"/>
    <w:rsid w:val="00BA6FE1"/>
    <w:rsid w:val="00BA71B1"/>
    <w:rsid w:val="00BA74E2"/>
    <w:rsid w:val="00BA7AB4"/>
    <w:rsid w:val="00BA7F07"/>
    <w:rsid w:val="00BB0085"/>
    <w:rsid w:val="00BB0454"/>
    <w:rsid w:val="00BB0575"/>
    <w:rsid w:val="00BB0637"/>
    <w:rsid w:val="00BB06E9"/>
    <w:rsid w:val="00BB0A7F"/>
    <w:rsid w:val="00BB0CB1"/>
    <w:rsid w:val="00BB0D11"/>
    <w:rsid w:val="00BB0E25"/>
    <w:rsid w:val="00BB0F2A"/>
    <w:rsid w:val="00BB201F"/>
    <w:rsid w:val="00BB345F"/>
    <w:rsid w:val="00BB5047"/>
    <w:rsid w:val="00BB547C"/>
    <w:rsid w:val="00BB5883"/>
    <w:rsid w:val="00BB58DE"/>
    <w:rsid w:val="00BB653D"/>
    <w:rsid w:val="00BB68EA"/>
    <w:rsid w:val="00BB7186"/>
    <w:rsid w:val="00BC0E24"/>
    <w:rsid w:val="00BC1B30"/>
    <w:rsid w:val="00BC1C27"/>
    <w:rsid w:val="00BC250A"/>
    <w:rsid w:val="00BC26DF"/>
    <w:rsid w:val="00BC2D0A"/>
    <w:rsid w:val="00BC37E6"/>
    <w:rsid w:val="00BC43E2"/>
    <w:rsid w:val="00BC4B69"/>
    <w:rsid w:val="00BC4F7C"/>
    <w:rsid w:val="00BC506F"/>
    <w:rsid w:val="00BC6B97"/>
    <w:rsid w:val="00BC6BBF"/>
    <w:rsid w:val="00BC7979"/>
    <w:rsid w:val="00BC7AA7"/>
    <w:rsid w:val="00BD034B"/>
    <w:rsid w:val="00BD0D5C"/>
    <w:rsid w:val="00BD1156"/>
    <w:rsid w:val="00BD1572"/>
    <w:rsid w:val="00BD186D"/>
    <w:rsid w:val="00BD28CC"/>
    <w:rsid w:val="00BD36DC"/>
    <w:rsid w:val="00BD44E2"/>
    <w:rsid w:val="00BD4ACD"/>
    <w:rsid w:val="00BD4CAE"/>
    <w:rsid w:val="00BD4E3E"/>
    <w:rsid w:val="00BD4FA9"/>
    <w:rsid w:val="00BD60D8"/>
    <w:rsid w:val="00BD6966"/>
    <w:rsid w:val="00BD6CAE"/>
    <w:rsid w:val="00BD6D8F"/>
    <w:rsid w:val="00BD6D98"/>
    <w:rsid w:val="00BD6F00"/>
    <w:rsid w:val="00BE0532"/>
    <w:rsid w:val="00BE05B9"/>
    <w:rsid w:val="00BE0952"/>
    <w:rsid w:val="00BE0D39"/>
    <w:rsid w:val="00BE118A"/>
    <w:rsid w:val="00BE14E3"/>
    <w:rsid w:val="00BE1829"/>
    <w:rsid w:val="00BE24DB"/>
    <w:rsid w:val="00BE2EA9"/>
    <w:rsid w:val="00BE3774"/>
    <w:rsid w:val="00BE41E5"/>
    <w:rsid w:val="00BE44F2"/>
    <w:rsid w:val="00BE4910"/>
    <w:rsid w:val="00BE4A93"/>
    <w:rsid w:val="00BE5AA3"/>
    <w:rsid w:val="00BE60EF"/>
    <w:rsid w:val="00BE623A"/>
    <w:rsid w:val="00BE6613"/>
    <w:rsid w:val="00BE66B0"/>
    <w:rsid w:val="00BE6FF0"/>
    <w:rsid w:val="00BE7F95"/>
    <w:rsid w:val="00BE7FA9"/>
    <w:rsid w:val="00BF021D"/>
    <w:rsid w:val="00BF0BBB"/>
    <w:rsid w:val="00BF0D3A"/>
    <w:rsid w:val="00BF12B4"/>
    <w:rsid w:val="00BF237F"/>
    <w:rsid w:val="00BF319C"/>
    <w:rsid w:val="00BF34D4"/>
    <w:rsid w:val="00BF3AD7"/>
    <w:rsid w:val="00BF3E39"/>
    <w:rsid w:val="00BF4109"/>
    <w:rsid w:val="00BF4924"/>
    <w:rsid w:val="00BF4957"/>
    <w:rsid w:val="00BF4CC3"/>
    <w:rsid w:val="00BF5551"/>
    <w:rsid w:val="00BF5A3F"/>
    <w:rsid w:val="00BF779D"/>
    <w:rsid w:val="00C00B02"/>
    <w:rsid w:val="00C00F3E"/>
    <w:rsid w:val="00C0235F"/>
    <w:rsid w:val="00C02CD6"/>
    <w:rsid w:val="00C02F42"/>
    <w:rsid w:val="00C034B1"/>
    <w:rsid w:val="00C0410A"/>
    <w:rsid w:val="00C0410B"/>
    <w:rsid w:val="00C04F32"/>
    <w:rsid w:val="00C054C7"/>
    <w:rsid w:val="00C057B5"/>
    <w:rsid w:val="00C06018"/>
    <w:rsid w:val="00C0670B"/>
    <w:rsid w:val="00C06DF8"/>
    <w:rsid w:val="00C072A4"/>
    <w:rsid w:val="00C077B7"/>
    <w:rsid w:val="00C07A21"/>
    <w:rsid w:val="00C07DA2"/>
    <w:rsid w:val="00C07E6B"/>
    <w:rsid w:val="00C10451"/>
    <w:rsid w:val="00C11451"/>
    <w:rsid w:val="00C11D34"/>
    <w:rsid w:val="00C1284C"/>
    <w:rsid w:val="00C132CC"/>
    <w:rsid w:val="00C13680"/>
    <w:rsid w:val="00C1368E"/>
    <w:rsid w:val="00C13C3A"/>
    <w:rsid w:val="00C14D50"/>
    <w:rsid w:val="00C15289"/>
    <w:rsid w:val="00C154A3"/>
    <w:rsid w:val="00C1638F"/>
    <w:rsid w:val="00C17E6B"/>
    <w:rsid w:val="00C2136C"/>
    <w:rsid w:val="00C215C5"/>
    <w:rsid w:val="00C22444"/>
    <w:rsid w:val="00C22687"/>
    <w:rsid w:val="00C22B5A"/>
    <w:rsid w:val="00C22F0B"/>
    <w:rsid w:val="00C22FA4"/>
    <w:rsid w:val="00C233A1"/>
    <w:rsid w:val="00C23BAA"/>
    <w:rsid w:val="00C23D5C"/>
    <w:rsid w:val="00C240DF"/>
    <w:rsid w:val="00C243E3"/>
    <w:rsid w:val="00C24B33"/>
    <w:rsid w:val="00C24C5F"/>
    <w:rsid w:val="00C24D3D"/>
    <w:rsid w:val="00C25E06"/>
    <w:rsid w:val="00C27480"/>
    <w:rsid w:val="00C27920"/>
    <w:rsid w:val="00C27962"/>
    <w:rsid w:val="00C27A11"/>
    <w:rsid w:val="00C32E4D"/>
    <w:rsid w:val="00C32F69"/>
    <w:rsid w:val="00C333A0"/>
    <w:rsid w:val="00C33C19"/>
    <w:rsid w:val="00C346E1"/>
    <w:rsid w:val="00C355AF"/>
    <w:rsid w:val="00C356CA"/>
    <w:rsid w:val="00C35877"/>
    <w:rsid w:val="00C35B88"/>
    <w:rsid w:val="00C35F37"/>
    <w:rsid w:val="00C363B7"/>
    <w:rsid w:val="00C36A81"/>
    <w:rsid w:val="00C37425"/>
    <w:rsid w:val="00C406D4"/>
    <w:rsid w:val="00C41133"/>
    <w:rsid w:val="00C41974"/>
    <w:rsid w:val="00C42717"/>
    <w:rsid w:val="00C43934"/>
    <w:rsid w:val="00C44699"/>
    <w:rsid w:val="00C447AD"/>
    <w:rsid w:val="00C453BA"/>
    <w:rsid w:val="00C46AB4"/>
    <w:rsid w:val="00C46B21"/>
    <w:rsid w:val="00C47682"/>
    <w:rsid w:val="00C47815"/>
    <w:rsid w:val="00C47F14"/>
    <w:rsid w:val="00C50131"/>
    <w:rsid w:val="00C50447"/>
    <w:rsid w:val="00C50567"/>
    <w:rsid w:val="00C509DB"/>
    <w:rsid w:val="00C509F3"/>
    <w:rsid w:val="00C50DE4"/>
    <w:rsid w:val="00C50E59"/>
    <w:rsid w:val="00C510EC"/>
    <w:rsid w:val="00C51934"/>
    <w:rsid w:val="00C529A2"/>
    <w:rsid w:val="00C529A3"/>
    <w:rsid w:val="00C534F6"/>
    <w:rsid w:val="00C53749"/>
    <w:rsid w:val="00C53F4A"/>
    <w:rsid w:val="00C54125"/>
    <w:rsid w:val="00C54297"/>
    <w:rsid w:val="00C548B1"/>
    <w:rsid w:val="00C54EFC"/>
    <w:rsid w:val="00C55B54"/>
    <w:rsid w:val="00C561AF"/>
    <w:rsid w:val="00C56D15"/>
    <w:rsid w:val="00C56DAC"/>
    <w:rsid w:val="00C56F99"/>
    <w:rsid w:val="00C571EF"/>
    <w:rsid w:val="00C5750C"/>
    <w:rsid w:val="00C6098E"/>
    <w:rsid w:val="00C6152C"/>
    <w:rsid w:val="00C618AF"/>
    <w:rsid w:val="00C61B55"/>
    <w:rsid w:val="00C62010"/>
    <w:rsid w:val="00C621C2"/>
    <w:rsid w:val="00C62A5B"/>
    <w:rsid w:val="00C644F0"/>
    <w:rsid w:val="00C64874"/>
    <w:rsid w:val="00C64EC6"/>
    <w:rsid w:val="00C658EE"/>
    <w:rsid w:val="00C661FB"/>
    <w:rsid w:val="00C66ABC"/>
    <w:rsid w:val="00C66BFD"/>
    <w:rsid w:val="00C706D7"/>
    <w:rsid w:val="00C7174A"/>
    <w:rsid w:val="00C72514"/>
    <w:rsid w:val="00C72811"/>
    <w:rsid w:val="00C72B62"/>
    <w:rsid w:val="00C74810"/>
    <w:rsid w:val="00C75A5B"/>
    <w:rsid w:val="00C77065"/>
    <w:rsid w:val="00C7779E"/>
    <w:rsid w:val="00C80716"/>
    <w:rsid w:val="00C8088A"/>
    <w:rsid w:val="00C828EC"/>
    <w:rsid w:val="00C82BB5"/>
    <w:rsid w:val="00C82D33"/>
    <w:rsid w:val="00C8349B"/>
    <w:rsid w:val="00C83F70"/>
    <w:rsid w:val="00C842B6"/>
    <w:rsid w:val="00C8441A"/>
    <w:rsid w:val="00C845D8"/>
    <w:rsid w:val="00C85607"/>
    <w:rsid w:val="00C8696F"/>
    <w:rsid w:val="00C878C6"/>
    <w:rsid w:val="00C90C3C"/>
    <w:rsid w:val="00C90D68"/>
    <w:rsid w:val="00C913EB"/>
    <w:rsid w:val="00C915FB"/>
    <w:rsid w:val="00C9174F"/>
    <w:rsid w:val="00C918AA"/>
    <w:rsid w:val="00C91C28"/>
    <w:rsid w:val="00C92141"/>
    <w:rsid w:val="00C92946"/>
    <w:rsid w:val="00C929AB"/>
    <w:rsid w:val="00C92E62"/>
    <w:rsid w:val="00C939FE"/>
    <w:rsid w:val="00C93D68"/>
    <w:rsid w:val="00C952A7"/>
    <w:rsid w:val="00C95AF8"/>
    <w:rsid w:val="00C95B46"/>
    <w:rsid w:val="00C961AA"/>
    <w:rsid w:val="00C976E9"/>
    <w:rsid w:val="00CA1482"/>
    <w:rsid w:val="00CA1748"/>
    <w:rsid w:val="00CA1EB5"/>
    <w:rsid w:val="00CA3562"/>
    <w:rsid w:val="00CA4660"/>
    <w:rsid w:val="00CA4BDA"/>
    <w:rsid w:val="00CA4D73"/>
    <w:rsid w:val="00CA57FD"/>
    <w:rsid w:val="00CA5AA9"/>
    <w:rsid w:val="00CA5AC2"/>
    <w:rsid w:val="00CA6166"/>
    <w:rsid w:val="00CA72BA"/>
    <w:rsid w:val="00CA7A57"/>
    <w:rsid w:val="00CB010E"/>
    <w:rsid w:val="00CB04B9"/>
    <w:rsid w:val="00CB064D"/>
    <w:rsid w:val="00CB096F"/>
    <w:rsid w:val="00CB0C35"/>
    <w:rsid w:val="00CB192C"/>
    <w:rsid w:val="00CB1C4B"/>
    <w:rsid w:val="00CB1F66"/>
    <w:rsid w:val="00CB203C"/>
    <w:rsid w:val="00CB2388"/>
    <w:rsid w:val="00CB27A4"/>
    <w:rsid w:val="00CB2951"/>
    <w:rsid w:val="00CB2BD5"/>
    <w:rsid w:val="00CB2C3D"/>
    <w:rsid w:val="00CB2EEE"/>
    <w:rsid w:val="00CB327F"/>
    <w:rsid w:val="00CB51B3"/>
    <w:rsid w:val="00CB5DBE"/>
    <w:rsid w:val="00CB62E1"/>
    <w:rsid w:val="00CB6928"/>
    <w:rsid w:val="00CB737B"/>
    <w:rsid w:val="00CC04AE"/>
    <w:rsid w:val="00CC16B1"/>
    <w:rsid w:val="00CC1811"/>
    <w:rsid w:val="00CC2898"/>
    <w:rsid w:val="00CC2A27"/>
    <w:rsid w:val="00CC2CC6"/>
    <w:rsid w:val="00CC2D5D"/>
    <w:rsid w:val="00CC3167"/>
    <w:rsid w:val="00CC33FE"/>
    <w:rsid w:val="00CC35C2"/>
    <w:rsid w:val="00CC3A64"/>
    <w:rsid w:val="00CC453E"/>
    <w:rsid w:val="00CC4D39"/>
    <w:rsid w:val="00CC4D9B"/>
    <w:rsid w:val="00CC5152"/>
    <w:rsid w:val="00CC5F25"/>
    <w:rsid w:val="00CC6937"/>
    <w:rsid w:val="00CC731D"/>
    <w:rsid w:val="00CC738D"/>
    <w:rsid w:val="00CD0979"/>
    <w:rsid w:val="00CD1326"/>
    <w:rsid w:val="00CD13CC"/>
    <w:rsid w:val="00CD282B"/>
    <w:rsid w:val="00CD2E95"/>
    <w:rsid w:val="00CD4132"/>
    <w:rsid w:val="00CD4389"/>
    <w:rsid w:val="00CD4C35"/>
    <w:rsid w:val="00CD4CB1"/>
    <w:rsid w:val="00CD527C"/>
    <w:rsid w:val="00CD631C"/>
    <w:rsid w:val="00CD7369"/>
    <w:rsid w:val="00CD752F"/>
    <w:rsid w:val="00CD7AAC"/>
    <w:rsid w:val="00CD7D70"/>
    <w:rsid w:val="00CE0B0E"/>
    <w:rsid w:val="00CE0F6F"/>
    <w:rsid w:val="00CE15C3"/>
    <w:rsid w:val="00CE2CBA"/>
    <w:rsid w:val="00CE2F1E"/>
    <w:rsid w:val="00CE330F"/>
    <w:rsid w:val="00CE373F"/>
    <w:rsid w:val="00CE3831"/>
    <w:rsid w:val="00CE4E2A"/>
    <w:rsid w:val="00CE591E"/>
    <w:rsid w:val="00CE62A9"/>
    <w:rsid w:val="00CE62AC"/>
    <w:rsid w:val="00CE6CED"/>
    <w:rsid w:val="00CE70B2"/>
    <w:rsid w:val="00CE75B3"/>
    <w:rsid w:val="00CF032F"/>
    <w:rsid w:val="00CF08A1"/>
    <w:rsid w:val="00CF14FC"/>
    <w:rsid w:val="00CF2C7E"/>
    <w:rsid w:val="00CF3120"/>
    <w:rsid w:val="00CF416C"/>
    <w:rsid w:val="00CF45A0"/>
    <w:rsid w:val="00CF5F2F"/>
    <w:rsid w:val="00CF6A1A"/>
    <w:rsid w:val="00CF7A8C"/>
    <w:rsid w:val="00D00ABB"/>
    <w:rsid w:val="00D00F1F"/>
    <w:rsid w:val="00D01AB1"/>
    <w:rsid w:val="00D02A5D"/>
    <w:rsid w:val="00D02EEC"/>
    <w:rsid w:val="00D0352C"/>
    <w:rsid w:val="00D03551"/>
    <w:rsid w:val="00D044B4"/>
    <w:rsid w:val="00D04556"/>
    <w:rsid w:val="00D05195"/>
    <w:rsid w:val="00D054C4"/>
    <w:rsid w:val="00D05F12"/>
    <w:rsid w:val="00D06994"/>
    <w:rsid w:val="00D06A63"/>
    <w:rsid w:val="00D07650"/>
    <w:rsid w:val="00D07687"/>
    <w:rsid w:val="00D07E0E"/>
    <w:rsid w:val="00D10018"/>
    <w:rsid w:val="00D10DE8"/>
    <w:rsid w:val="00D11478"/>
    <w:rsid w:val="00D117BE"/>
    <w:rsid w:val="00D12A49"/>
    <w:rsid w:val="00D13908"/>
    <w:rsid w:val="00D13F5B"/>
    <w:rsid w:val="00D13F92"/>
    <w:rsid w:val="00D14C4F"/>
    <w:rsid w:val="00D152C4"/>
    <w:rsid w:val="00D1533A"/>
    <w:rsid w:val="00D15464"/>
    <w:rsid w:val="00D15ED0"/>
    <w:rsid w:val="00D16622"/>
    <w:rsid w:val="00D166CE"/>
    <w:rsid w:val="00D17989"/>
    <w:rsid w:val="00D17A78"/>
    <w:rsid w:val="00D17F4E"/>
    <w:rsid w:val="00D20012"/>
    <w:rsid w:val="00D21601"/>
    <w:rsid w:val="00D21B3E"/>
    <w:rsid w:val="00D21FED"/>
    <w:rsid w:val="00D22C0D"/>
    <w:rsid w:val="00D237F8"/>
    <w:rsid w:val="00D24251"/>
    <w:rsid w:val="00D24563"/>
    <w:rsid w:val="00D2531B"/>
    <w:rsid w:val="00D2556A"/>
    <w:rsid w:val="00D27FD1"/>
    <w:rsid w:val="00D30B9E"/>
    <w:rsid w:val="00D31443"/>
    <w:rsid w:val="00D31E8B"/>
    <w:rsid w:val="00D32CB3"/>
    <w:rsid w:val="00D330E0"/>
    <w:rsid w:val="00D343E2"/>
    <w:rsid w:val="00D346A0"/>
    <w:rsid w:val="00D347B2"/>
    <w:rsid w:val="00D34DE2"/>
    <w:rsid w:val="00D355D9"/>
    <w:rsid w:val="00D35EFE"/>
    <w:rsid w:val="00D35FA9"/>
    <w:rsid w:val="00D35FF7"/>
    <w:rsid w:val="00D361A2"/>
    <w:rsid w:val="00D36845"/>
    <w:rsid w:val="00D37864"/>
    <w:rsid w:val="00D37C04"/>
    <w:rsid w:val="00D405FF"/>
    <w:rsid w:val="00D4099F"/>
    <w:rsid w:val="00D40C4A"/>
    <w:rsid w:val="00D41183"/>
    <w:rsid w:val="00D42611"/>
    <w:rsid w:val="00D42715"/>
    <w:rsid w:val="00D43E9F"/>
    <w:rsid w:val="00D4484E"/>
    <w:rsid w:val="00D449E4"/>
    <w:rsid w:val="00D44C2E"/>
    <w:rsid w:val="00D44D45"/>
    <w:rsid w:val="00D45226"/>
    <w:rsid w:val="00D45414"/>
    <w:rsid w:val="00D45AE0"/>
    <w:rsid w:val="00D460E0"/>
    <w:rsid w:val="00D468B4"/>
    <w:rsid w:val="00D46C28"/>
    <w:rsid w:val="00D474AF"/>
    <w:rsid w:val="00D50158"/>
    <w:rsid w:val="00D50693"/>
    <w:rsid w:val="00D5175E"/>
    <w:rsid w:val="00D518FB"/>
    <w:rsid w:val="00D51F74"/>
    <w:rsid w:val="00D52BC5"/>
    <w:rsid w:val="00D52C28"/>
    <w:rsid w:val="00D53C0F"/>
    <w:rsid w:val="00D53DEA"/>
    <w:rsid w:val="00D53FB0"/>
    <w:rsid w:val="00D5456A"/>
    <w:rsid w:val="00D552F1"/>
    <w:rsid w:val="00D55F93"/>
    <w:rsid w:val="00D566BD"/>
    <w:rsid w:val="00D56D69"/>
    <w:rsid w:val="00D57A4D"/>
    <w:rsid w:val="00D60AA7"/>
    <w:rsid w:val="00D60C8C"/>
    <w:rsid w:val="00D60D87"/>
    <w:rsid w:val="00D623A7"/>
    <w:rsid w:val="00D6243C"/>
    <w:rsid w:val="00D629A9"/>
    <w:rsid w:val="00D63AC3"/>
    <w:rsid w:val="00D6435F"/>
    <w:rsid w:val="00D643AF"/>
    <w:rsid w:val="00D6444E"/>
    <w:rsid w:val="00D652D1"/>
    <w:rsid w:val="00D6695B"/>
    <w:rsid w:val="00D66D0B"/>
    <w:rsid w:val="00D67517"/>
    <w:rsid w:val="00D703C0"/>
    <w:rsid w:val="00D70869"/>
    <w:rsid w:val="00D70CF5"/>
    <w:rsid w:val="00D70F22"/>
    <w:rsid w:val="00D723E0"/>
    <w:rsid w:val="00D73A55"/>
    <w:rsid w:val="00D757B7"/>
    <w:rsid w:val="00D75E28"/>
    <w:rsid w:val="00D772C2"/>
    <w:rsid w:val="00D772F5"/>
    <w:rsid w:val="00D7730C"/>
    <w:rsid w:val="00D8008E"/>
    <w:rsid w:val="00D80DB2"/>
    <w:rsid w:val="00D810F8"/>
    <w:rsid w:val="00D8167B"/>
    <w:rsid w:val="00D82C45"/>
    <w:rsid w:val="00D82C90"/>
    <w:rsid w:val="00D835EA"/>
    <w:rsid w:val="00D83A65"/>
    <w:rsid w:val="00D83F3E"/>
    <w:rsid w:val="00D8418C"/>
    <w:rsid w:val="00D84400"/>
    <w:rsid w:val="00D855E5"/>
    <w:rsid w:val="00D85CE6"/>
    <w:rsid w:val="00D860B7"/>
    <w:rsid w:val="00D8625F"/>
    <w:rsid w:val="00D86273"/>
    <w:rsid w:val="00D86A58"/>
    <w:rsid w:val="00D86E7C"/>
    <w:rsid w:val="00D87239"/>
    <w:rsid w:val="00D8786B"/>
    <w:rsid w:val="00D87D69"/>
    <w:rsid w:val="00D908A8"/>
    <w:rsid w:val="00D90B8D"/>
    <w:rsid w:val="00D91761"/>
    <w:rsid w:val="00D92356"/>
    <w:rsid w:val="00D93D34"/>
    <w:rsid w:val="00D93D63"/>
    <w:rsid w:val="00D93FC4"/>
    <w:rsid w:val="00D954BD"/>
    <w:rsid w:val="00D9593E"/>
    <w:rsid w:val="00D95B7E"/>
    <w:rsid w:val="00D97023"/>
    <w:rsid w:val="00D977B6"/>
    <w:rsid w:val="00D97B6B"/>
    <w:rsid w:val="00DA0523"/>
    <w:rsid w:val="00DA081F"/>
    <w:rsid w:val="00DA0E5D"/>
    <w:rsid w:val="00DA183D"/>
    <w:rsid w:val="00DA22B4"/>
    <w:rsid w:val="00DA3918"/>
    <w:rsid w:val="00DA4A31"/>
    <w:rsid w:val="00DA4D2D"/>
    <w:rsid w:val="00DA4E0B"/>
    <w:rsid w:val="00DA5674"/>
    <w:rsid w:val="00DA569F"/>
    <w:rsid w:val="00DA6080"/>
    <w:rsid w:val="00DA61F2"/>
    <w:rsid w:val="00DA66C3"/>
    <w:rsid w:val="00DA6741"/>
    <w:rsid w:val="00DA699E"/>
    <w:rsid w:val="00DA6AEA"/>
    <w:rsid w:val="00DA7B04"/>
    <w:rsid w:val="00DB0C1E"/>
    <w:rsid w:val="00DB11E6"/>
    <w:rsid w:val="00DB12FF"/>
    <w:rsid w:val="00DB141E"/>
    <w:rsid w:val="00DB1869"/>
    <w:rsid w:val="00DB2221"/>
    <w:rsid w:val="00DB2421"/>
    <w:rsid w:val="00DB2E16"/>
    <w:rsid w:val="00DB36C2"/>
    <w:rsid w:val="00DB53F5"/>
    <w:rsid w:val="00DB5C89"/>
    <w:rsid w:val="00DB6CBA"/>
    <w:rsid w:val="00DB7196"/>
    <w:rsid w:val="00DB7444"/>
    <w:rsid w:val="00DB7D4E"/>
    <w:rsid w:val="00DC033A"/>
    <w:rsid w:val="00DC05DD"/>
    <w:rsid w:val="00DC0B6B"/>
    <w:rsid w:val="00DC169B"/>
    <w:rsid w:val="00DC1B3F"/>
    <w:rsid w:val="00DC2304"/>
    <w:rsid w:val="00DC2AB9"/>
    <w:rsid w:val="00DC2ADA"/>
    <w:rsid w:val="00DC379B"/>
    <w:rsid w:val="00DC4FE1"/>
    <w:rsid w:val="00DC5A37"/>
    <w:rsid w:val="00DC5AB1"/>
    <w:rsid w:val="00DC63F0"/>
    <w:rsid w:val="00DD1A91"/>
    <w:rsid w:val="00DD285D"/>
    <w:rsid w:val="00DD2F3F"/>
    <w:rsid w:val="00DD305E"/>
    <w:rsid w:val="00DD35D2"/>
    <w:rsid w:val="00DD3E73"/>
    <w:rsid w:val="00DD3EA1"/>
    <w:rsid w:val="00DD3F08"/>
    <w:rsid w:val="00DD3FBF"/>
    <w:rsid w:val="00DD4308"/>
    <w:rsid w:val="00DD5160"/>
    <w:rsid w:val="00DD5BED"/>
    <w:rsid w:val="00DD5CCE"/>
    <w:rsid w:val="00DD5F06"/>
    <w:rsid w:val="00DD6EE5"/>
    <w:rsid w:val="00DD7863"/>
    <w:rsid w:val="00DD7D7F"/>
    <w:rsid w:val="00DE0658"/>
    <w:rsid w:val="00DE072C"/>
    <w:rsid w:val="00DE09B4"/>
    <w:rsid w:val="00DE1322"/>
    <w:rsid w:val="00DE15B4"/>
    <w:rsid w:val="00DE1A29"/>
    <w:rsid w:val="00DE1B8E"/>
    <w:rsid w:val="00DE200D"/>
    <w:rsid w:val="00DE2503"/>
    <w:rsid w:val="00DE3810"/>
    <w:rsid w:val="00DE386C"/>
    <w:rsid w:val="00DE4250"/>
    <w:rsid w:val="00DE46B1"/>
    <w:rsid w:val="00DE4D35"/>
    <w:rsid w:val="00DE51CE"/>
    <w:rsid w:val="00DE5A96"/>
    <w:rsid w:val="00DE6555"/>
    <w:rsid w:val="00DE6657"/>
    <w:rsid w:val="00DE6C60"/>
    <w:rsid w:val="00DF0549"/>
    <w:rsid w:val="00DF098B"/>
    <w:rsid w:val="00DF0CA9"/>
    <w:rsid w:val="00DF11C4"/>
    <w:rsid w:val="00DF11F0"/>
    <w:rsid w:val="00DF1AA5"/>
    <w:rsid w:val="00DF1E51"/>
    <w:rsid w:val="00DF210C"/>
    <w:rsid w:val="00DF3261"/>
    <w:rsid w:val="00DF333F"/>
    <w:rsid w:val="00DF3875"/>
    <w:rsid w:val="00DF4239"/>
    <w:rsid w:val="00DF4450"/>
    <w:rsid w:val="00DF4B6A"/>
    <w:rsid w:val="00DF72DF"/>
    <w:rsid w:val="00DF786E"/>
    <w:rsid w:val="00DF7F04"/>
    <w:rsid w:val="00E014C9"/>
    <w:rsid w:val="00E01A74"/>
    <w:rsid w:val="00E01B6D"/>
    <w:rsid w:val="00E02B55"/>
    <w:rsid w:val="00E02C09"/>
    <w:rsid w:val="00E038C2"/>
    <w:rsid w:val="00E04259"/>
    <w:rsid w:val="00E04D59"/>
    <w:rsid w:val="00E04E39"/>
    <w:rsid w:val="00E05945"/>
    <w:rsid w:val="00E05AAE"/>
    <w:rsid w:val="00E06A9C"/>
    <w:rsid w:val="00E0733C"/>
    <w:rsid w:val="00E07DA1"/>
    <w:rsid w:val="00E100DB"/>
    <w:rsid w:val="00E1016A"/>
    <w:rsid w:val="00E10D2C"/>
    <w:rsid w:val="00E112E8"/>
    <w:rsid w:val="00E117A2"/>
    <w:rsid w:val="00E11F76"/>
    <w:rsid w:val="00E121BC"/>
    <w:rsid w:val="00E123CB"/>
    <w:rsid w:val="00E12A1E"/>
    <w:rsid w:val="00E14343"/>
    <w:rsid w:val="00E15373"/>
    <w:rsid w:val="00E1557C"/>
    <w:rsid w:val="00E15C1A"/>
    <w:rsid w:val="00E16BDB"/>
    <w:rsid w:val="00E16C17"/>
    <w:rsid w:val="00E16EF5"/>
    <w:rsid w:val="00E20274"/>
    <w:rsid w:val="00E2077E"/>
    <w:rsid w:val="00E20A4C"/>
    <w:rsid w:val="00E20E13"/>
    <w:rsid w:val="00E2108D"/>
    <w:rsid w:val="00E21416"/>
    <w:rsid w:val="00E21DBC"/>
    <w:rsid w:val="00E22831"/>
    <w:rsid w:val="00E23744"/>
    <w:rsid w:val="00E2415B"/>
    <w:rsid w:val="00E24795"/>
    <w:rsid w:val="00E275D7"/>
    <w:rsid w:val="00E279C8"/>
    <w:rsid w:val="00E27DBE"/>
    <w:rsid w:val="00E27FD4"/>
    <w:rsid w:val="00E30D09"/>
    <w:rsid w:val="00E30FBD"/>
    <w:rsid w:val="00E313AA"/>
    <w:rsid w:val="00E31BD2"/>
    <w:rsid w:val="00E321D2"/>
    <w:rsid w:val="00E32A57"/>
    <w:rsid w:val="00E32AB1"/>
    <w:rsid w:val="00E32D57"/>
    <w:rsid w:val="00E35258"/>
    <w:rsid w:val="00E352F1"/>
    <w:rsid w:val="00E35D7C"/>
    <w:rsid w:val="00E36C71"/>
    <w:rsid w:val="00E37376"/>
    <w:rsid w:val="00E401ED"/>
    <w:rsid w:val="00E40404"/>
    <w:rsid w:val="00E40ABC"/>
    <w:rsid w:val="00E4133A"/>
    <w:rsid w:val="00E4161D"/>
    <w:rsid w:val="00E41626"/>
    <w:rsid w:val="00E41BCB"/>
    <w:rsid w:val="00E41F6A"/>
    <w:rsid w:val="00E42830"/>
    <w:rsid w:val="00E448C2"/>
    <w:rsid w:val="00E455F8"/>
    <w:rsid w:val="00E456C0"/>
    <w:rsid w:val="00E459C6"/>
    <w:rsid w:val="00E462B8"/>
    <w:rsid w:val="00E47589"/>
    <w:rsid w:val="00E4792A"/>
    <w:rsid w:val="00E47A18"/>
    <w:rsid w:val="00E47E8E"/>
    <w:rsid w:val="00E50628"/>
    <w:rsid w:val="00E5115A"/>
    <w:rsid w:val="00E5151B"/>
    <w:rsid w:val="00E51E82"/>
    <w:rsid w:val="00E529B8"/>
    <w:rsid w:val="00E52E79"/>
    <w:rsid w:val="00E54632"/>
    <w:rsid w:val="00E54E73"/>
    <w:rsid w:val="00E5628B"/>
    <w:rsid w:val="00E5650A"/>
    <w:rsid w:val="00E60FE6"/>
    <w:rsid w:val="00E6115F"/>
    <w:rsid w:val="00E6116F"/>
    <w:rsid w:val="00E61967"/>
    <w:rsid w:val="00E61AD2"/>
    <w:rsid w:val="00E62DC3"/>
    <w:rsid w:val="00E62DCC"/>
    <w:rsid w:val="00E6357D"/>
    <w:rsid w:val="00E64484"/>
    <w:rsid w:val="00E64915"/>
    <w:rsid w:val="00E661D4"/>
    <w:rsid w:val="00E665A8"/>
    <w:rsid w:val="00E6745C"/>
    <w:rsid w:val="00E70091"/>
    <w:rsid w:val="00E704B8"/>
    <w:rsid w:val="00E70B66"/>
    <w:rsid w:val="00E71204"/>
    <w:rsid w:val="00E71999"/>
    <w:rsid w:val="00E720F5"/>
    <w:rsid w:val="00E723CD"/>
    <w:rsid w:val="00E730FF"/>
    <w:rsid w:val="00E737A9"/>
    <w:rsid w:val="00E7524D"/>
    <w:rsid w:val="00E7544A"/>
    <w:rsid w:val="00E75694"/>
    <w:rsid w:val="00E76D47"/>
    <w:rsid w:val="00E77037"/>
    <w:rsid w:val="00E77AA7"/>
    <w:rsid w:val="00E77C2F"/>
    <w:rsid w:val="00E8076A"/>
    <w:rsid w:val="00E80895"/>
    <w:rsid w:val="00E810F5"/>
    <w:rsid w:val="00E812D6"/>
    <w:rsid w:val="00E81EB4"/>
    <w:rsid w:val="00E84243"/>
    <w:rsid w:val="00E844C2"/>
    <w:rsid w:val="00E849F7"/>
    <w:rsid w:val="00E8512C"/>
    <w:rsid w:val="00E857DD"/>
    <w:rsid w:val="00E85E23"/>
    <w:rsid w:val="00E85FDE"/>
    <w:rsid w:val="00E86447"/>
    <w:rsid w:val="00E86AAD"/>
    <w:rsid w:val="00E9018F"/>
    <w:rsid w:val="00E90302"/>
    <w:rsid w:val="00E9197A"/>
    <w:rsid w:val="00E9204A"/>
    <w:rsid w:val="00E925FB"/>
    <w:rsid w:val="00E9345F"/>
    <w:rsid w:val="00E93D6B"/>
    <w:rsid w:val="00E94505"/>
    <w:rsid w:val="00E94C7B"/>
    <w:rsid w:val="00E9597F"/>
    <w:rsid w:val="00E95F6B"/>
    <w:rsid w:val="00E96597"/>
    <w:rsid w:val="00E96A1B"/>
    <w:rsid w:val="00E971EE"/>
    <w:rsid w:val="00E97396"/>
    <w:rsid w:val="00E979F8"/>
    <w:rsid w:val="00EA0391"/>
    <w:rsid w:val="00EA13E7"/>
    <w:rsid w:val="00EA15E5"/>
    <w:rsid w:val="00EA185E"/>
    <w:rsid w:val="00EA1AD7"/>
    <w:rsid w:val="00EA210E"/>
    <w:rsid w:val="00EA21C1"/>
    <w:rsid w:val="00EA36C9"/>
    <w:rsid w:val="00EA4300"/>
    <w:rsid w:val="00EA47FE"/>
    <w:rsid w:val="00EA4BE3"/>
    <w:rsid w:val="00EA4C13"/>
    <w:rsid w:val="00EA4E3D"/>
    <w:rsid w:val="00EA51AE"/>
    <w:rsid w:val="00EA592A"/>
    <w:rsid w:val="00EA5CFD"/>
    <w:rsid w:val="00EA5EFD"/>
    <w:rsid w:val="00EA6C1C"/>
    <w:rsid w:val="00EA6D20"/>
    <w:rsid w:val="00EA6DF6"/>
    <w:rsid w:val="00EA7129"/>
    <w:rsid w:val="00EA737F"/>
    <w:rsid w:val="00EB0438"/>
    <w:rsid w:val="00EB09D9"/>
    <w:rsid w:val="00EB09E1"/>
    <w:rsid w:val="00EB146C"/>
    <w:rsid w:val="00EB14E4"/>
    <w:rsid w:val="00EB1A48"/>
    <w:rsid w:val="00EB1CD3"/>
    <w:rsid w:val="00EB21DA"/>
    <w:rsid w:val="00EB256C"/>
    <w:rsid w:val="00EB2B60"/>
    <w:rsid w:val="00EB2EBB"/>
    <w:rsid w:val="00EB32A5"/>
    <w:rsid w:val="00EB34ED"/>
    <w:rsid w:val="00EB3C62"/>
    <w:rsid w:val="00EB3CA0"/>
    <w:rsid w:val="00EB42A4"/>
    <w:rsid w:val="00EB50AF"/>
    <w:rsid w:val="00EB5902"/>
    <w:rsid w:val="00EB5CE0"/>
    <w:rsid w:val="00EB61FE"/>
    <w:rsid w:val="00EB65A3"/>
    <w:rsid w:val="00EB729B"/>
    <w:rsid w:val="00EB7880"/>
    <w:rsid w:val="00EB7BE0"/>
    <w:rsid w:val="00EC084A"/>
    <w:rsid w:val="00EC0B00"/>
    <w:rsid w:val="00EC0F19"/>
    <w:rsid w:val="00EC26B6"/>
    <w:rsid w:val="00EC2B51"/>
    <w:rsid w:val="00EC315E"/>
    <w:rsid w:val="00EC321B"/>
    <w:rsid w:val="00EC3564"/>
    <w:rsid w:val="00EC3988"/>
    <w:rsid w:val="00EC50A2"/>
    <w:rsid w:val="00EC5106"/>
    <w:rsid w:val="00EC58C6"/>
    <w:rsid w:val="00EC5A72"/>
    <w:rsid w:val="00ED077C"/>
    <w:rsid w:val="00ED0B39"/>
    <w:rsid w:val="00ED0FAF"/>
    <w:rsid w:val="00ED1190"/>
    <w:rsid w:val="00ED11AE"/>
    <w:rsid w:val="00ED2212"/>
    <w:rsid w:val="00ED2CDC"/>
    <w:rsid w:val="00ED5130"/>
    <w:rsid w:val="00ED539D"/>
    <w:rsid w:val="00ED5EF8"/>
    <w:rsid w:val="00ED5F7D"/>
    <w:rsid w:val="00ED6544"/>
    <w:rsid w:val="00ED6604"/>
    <w:rsid w:val="00ED73E0"/>
    <w:rsid w:val="00EE0041"/>
    <w:rsid w:val="00EE0277"/>
    <w:rsid w:val="00EE075F"/>
    <w:rsid w:val="00EE14D1"/>
    <w:rsid w:val="00EE161D"/>
    <w:rsid w:val="00EE1DA9"/>
    <w:rsid w:val="00EE30E4"/>
    <w:rsid w:val="00EE313B"/>
    <w:rsid w:val="00EE318D"/>
    <w:rsid w:val="00EE3284"/>
    <w:rsid w:val="00EE3E00"/>
    <w:rsid w:val="00EE441E"/>
    <w:rsid w:val="00EE48CA"/>
    <w:rsid w:val="00EE49CA"/>
    <w:rsid w:val="00EE4C63"/>
    <w:rsid w:val="00EE500F"/>
    <w:rsid w:val="00EE565E"/>
    <w:rsid w:val="00EE5B97"/>
    <w:rsid w:val="00EE5DD2"/>
    <w:rsid w:val="00EE6E0B"/>
    <w:rsid w:val="00EE77DD"/>
    <w:rsid w:val="00EE7D60"/>
    <w:rsid w:val="00EF0073"/>
    <w:rsid w:val="00EF010C"/>
    <w:rsid w:val="00EF1422"/>
    <w:rsid w:val="00EF1561"/>
    <w:rsid w:val="00EF1B76"/>
    <w:rsid w:val="00EF1BB0"/>
    <w:rsid w:val="00EF261A"/>
    <w:rsid w:val="00EF2C20"/>
    <w:rsid w:val="00EF2DB4"/>
    <w:rsid w:val="00EF3713"/>
    <w:rsid w:val="00EF41F1"/>
    <w:rsid w:val="00EF4967"/>
    <w:rsid w:val="00EF4F08"/>
    <w:rsid w:val="00EF52C8"/>
    <w:rsid w:val="00EF573B"/>
    <w:rsid w:val="00EF5DDF"/>
    <w:rsid w:val="00EF6117"/>
    <w:rsid w:val="00EF63AE"/>
    <w:rsid w:val="00EF6975"/>
    <w:rsid w:val="00EF6AC5"/>
    <w:rsid w:val="00EF7438"/>
    <w:rsid w:val="00EF79E9"/>
    <w:rsid w:val="00F00A79"/>
    <w:rsid w:val="00F00E86"/>
    <w:rsid w:val="00F00F8B"/>
    <w:rsid w:val="00F015E0"/>
    <w:rsid w:val="00F02335"/>
    <w:rsid w:val="00F02A5B"/>
    <w:rsid w:val="00F02BCC"/>
    <w:rsid w:val="00F039E4"/>
    <w:rsid w:val="00F03FA0"/>
    <w:rsid w:val="00F06307"/>
    <w:rsid w:val="00F0656E"/>
    <w:rsid w:val="00F07483"/>
    <w:rsid w:val="00F07923"/>
    <w:rsid w:val="00F07C1E"/>
    <w:rsid w:val="00F10093"/>
    <w:rsid w:val="00F103B0"/>
    <w:rsid w:val="00F105DB"/>
    <w:rsid w:val="00F11115"/>
    <w:rsid w:val="00F116D4"/>
    <w:rsid w:val="00F11E02"/>
    <w:rsid w:val="00F132BC"/>
    <w:rsid w:val="00F13D80"/>
    <w:rsid w:val="00F142DC"/>
    <w:rsid w:val="00F144D7"/>
    <w:rsid w:val="00F147D1"/>
    <w:rsid w:val="00F15917"/>
    <w:rsid w:val="00F16572"/>
    <w:rsid w:val="00F16AAA"/>
    <w:rsid w:val="00F17046"/>
    <w:rsid w:val="00F175A5"/>
    <w:rsid w:val="00F17E5F"/>
    <w:rsid w:val="00F20389"/>
    <w:rsid w:val="00F21161"/>
    <w:rsid w:val="00F211B7"/>
    <w:rsid w:val="00F214AE"/>
    <w:rsid w:val="00F214D3"/>
    <w:rsid w:val="00F218EF"/>
    <w:rsid w:val="00F21BC7"/>
    <w:rsid w:val="00F21FB2"/>
    <w:rsid w:val="00F22A0E"/>
    <w:rsid w:val="00F23603"/>
    <w:rsid w:val="00F23A4F"/>
    <w:rsid w:val="00F23D18"/>
    <w:rsid w:val="00F245C4"/>
    <w:rsid w:val="00F2460D"/>
    <w:rsid w:val="00F252DA"/>
    <w:rsid w:val="00F25677"/>
    <w:rsid w:val="00F26239"/>
    <w:rsid w:val="00F266A2"/>
    <w:rsid w:val="00F26AA2"/>
    <w:rsid w:val="00F274B0"/>
    <w:rsid w:val="00F276C0"/>
    <w:rsid w:val="00F30369"/>
    <w:rsid w:val="00F30809"/>
    <w:rsid w:val="00F30C27"/>
    <w:rsid w:val="00F30D28"/>
    <w:rsid w:val="00F310BB"/>
    <w:rsid w:val="00F3141D"/>
    <w:rsid w:val="00F31968"/>
    <w:rsid w:val="00F31B32"/>
    <w:rsid w:val="00F3204F"/>
    <w:rsid w:val="00F32269"/>
    <w:rsid w:val="00F32CD6"/>
    <w:rsid w:val="00F32D58"/>
    <w:rsid w:val="00F334B3"/>
    <w:rsid w:val="00F3426B"/>
    <w:rsid w:val="00F34456"/>
    <w:rsid w:val="00F35507"/>
    <w:rsid w:val="00F35DBA"/>
    <w:rsid w:val="00F360CD"/>
    <w:rsid w:val="00F3655D"/>
    <w:rsid w:val="00F36ECE"/>
    <w:rsid w:val="00F409CE"/>
    <w:rsid w:val="00F40CB9"/>
    <w:rsid w:val="00F40FED"/>
    <w:rsid w:val="00F413AD"/>
    <w:rsid w:val="00F42249"/>
    <w:rsid w:val="00F426C1"/>
    <w:rsid w:val="00F42833"/>
    <w:rsid w:val="00F429A0"/>
    <w:rsid w:val="00F429C0"/>
    <w:rsid w:val="00F43218"/>
    <w:rsid w:val="00F442B4"/>
    <w:rsid w:val="00F4457E"/>
    <w:rsid w:val="00F454F9"/>
    <w:rsid w:val="00F46A80"/>
    <w:rsid w:val="00F47453"/>
    <w:rsid w:val="00F512C5"/>
    <w:rsid w:val="00F520FC"/>
    <w:rsid w:val="00F53858"/>
    <w:rsid w:val="00F53930"/>
    <w:rsid w:val="00F546A0"/>
    <w:rsid w:val="00F55B6C"/>
    <w:rsid w:val="00F56674"/>
    <w:rsid w:val="00F5682B"/>
    <w:rsid w:val="00F56A6F"/>
    <w:rsid w:val="00F5709C"/>
    <w:rsid w:val="00F605D1"/>
    <w:rsid w:val="00F60BE2"/>
    <w:rsid w:val="00F60FF3"/>
    <w:rsid w:val="00F6204F"/>
    <w:rsid w:val="00F62159"/>
    <w:rsid w:val="00F628BD"/>
    <w:rsid w:val="00F64EF1"/>
    <w:rsid w:val="00F6623C"/>
    <w:rsid w:val="00F67483"/>
    <w:rsid w:val="00F67A65"/>
    <w:rsid w:val="00F70678"/>
    <w:rsid w:val="00F7263F"/>
    <w:rsid w:val="00F72DCB"/>
    <w:rsid w:val="00F7373C"/>
    <w:rsid w:val="00F748B8"/>
    <w:rsid w:val="00F74973"/>
    <w:rsid w:val="00F74C1B"/>
    <w:rsid w:val="00F76463"/>
    <w:rsid w:val="00F76A57"/>
    <w:rsid w:val="00F76B58"/>
    <w:rsid w:val="00F779AC"/>
    <w:rsid w:val="00F8022B"/>
    <w:rsid w:val="00F80559"/>
    <w:rsid w:val="00F80C6D"/>
    <w:rsid w:val="00F811EC"/>
    <w:rsid w:val="00F8170F"/>
    <w:rsid w:val="00F8175B"/>
    <w:rsid w:val="00F81BE9"/>
    <w:rsid w:val="00F8213F"/>
    <w:rsid w:val="00F82650"/>
    <w:rsid w:val="00F82678"/>
    <w:rsid w:val="00F833BB"/>
    <w:rsid w:val="00F83949"/>
    <w:rsid w:val="00F8714B"/>
    <w:rsid w:val="00F8765F"/>
    <w:rsid w:val="00F9062A"/>
    <w:rsid w:val="00F90767"/>
    <w:rsid w:val="00F912C6"/>
    <w:rsid w:val="00F91894"/>
    <w:rsid w:val="00F91D6B"/>
    <w:rsid w:val="00F91F09"/>
    <w:rsid w:val="00F933B3"/>
    <w:rsid w:val="00F93439"/>
    <w:rsid w:val="00F94111"/>
    <w:rsid w:val="00F9470C"/>
    <w:rsid w:val="00F95B72"/>
    <w:rsid w:val="00F9718A"/>
    <w:rsid w:val="00F9719C"/>
    <w:rsid w:val="00F97527"/>
    <w:rsid w:val="00FA0D6C"/>
    <w:rsid w:val="00FA3419"/>
    <w:rsid w:val="00FA4D56"/>
    <w:rsid w:val="00FA5164"/>
    <w:rsid w:val="00FA5E10"/>
    <w:rsid w:val="00FA685B"/>
    <w:rsid w:val="00FA794F"/>
    <w:rsid w:val="00FA7FC9"/>
    <w:rsid w:val="00FB0056"/>
    <w:rsid w:val="00FB0C01"/>
    <w:rsid w:val="00FB0CCC"/>
    <w:rsid w:val="00FB103B"/>
    <w:rsid w:val="00FB1AFD"/>
    <w:rsid w:val="00FB3078"/>
    <w:rsid w:val="00FB3519"/>
    <w:rsid w:val="00FB3E16"/>
    <w:rsid w:val="00FB3E4C"/>
    <w:rsid w:val="00FB3EA3"/>
    <w:rsid w:val="00FB46C2"/>
    <w:rsid w:val="00FB4CC6"/>
    <w:rsid w:val="00FB58A7"/>
    <w:rsid w:val="00FB5B61"/>
    <w:rsid w:val="00FB619A"/>
    <w:rsid w:val="00FB62FB"/>
    <w:rsid w:val="00FB6798"/>
    <w:rsid w:val="00FB6E3B"/>
    <w:rsid w:val="00FB74A2"/>
    <w:rsid w:val="00FB773E"/>
    <w:rsid w:val="00FB7B0C"/>
    <w:rsid w:val="00FC009F"/>
    <w:rsid w:val="00FC0AFF"/>
    <w:rsid w:val="00FC171E"/>
    <w:rsid w:val="00FC18F2"/>
    <w:rsid w:val="00FC273E"/>
    <w:rsid w:val="00FC2892"/>
    <w:rsid w:val="00FC28E7"/>
    <w:rsid w:val="00FC316C"/>
    <w:rsid w:val="00FC39E5"/>
    <w:rsid w:val="00FC3A78"/>
    <w:rsid w:val="00FC3DA7"/>
    <w:rsid w:val="00FC4216"/>
    <w:rsid w:val="00FC4B1B"/>
    <w:rsid w:val="00FC4FE9"/>
    <w:rsid w:val="00FC5442"/>
    <w:rsid w:val="00FC5619"/>
    <w:rsid w:val="00FC5FFE"/>
    <w:rsid w:val="00FC70A3"/>
    <w:rsid w:val="00FC7387"/>
    <w:rsid w:val="00FC7772"/>
    <w:rsid w:val="00FD046E"/>
    <w:rsid w:val="00FD0A08"/>
    <w:rsid w:val="00FD0E19"/>
    <w:rsid w:val="00FD1005"/>
    <w:rsid w:val="00FD180E"/>
    <w:rsid w:val="00FD2B29"/>
    <w:rsid w:val="00FD2DCE"/>
    <w:rsid w:val="00FD3180"/>
    <w:rsid w:val="00FD3F77"/>
    <w:rsid w:val="00FD519A"/>
    <w:rsid w:val="00FD57ED"/>
    <w:rsid w:val="00FD5808"/>
    <w:rsid w:val="00FD5937"/>
    <w:rsid w:val="00FD5ABA"/>
    <w:rsid w:val="00FD6666"/>
    <w:rsid w:val="00FD6C75"/>
    <w:rsid w:val="00FD77F8"/>
    <w:rsid w:val="00FD7911"/>
    <w:rsid w:val="00FD7A83"/>
    <w:rsid w:val="00FD7CFB"/>
    <w:rsid w:val="00FE046F"/>
    <w:rsid w:val="00FE1210"/>
    <w:rsid w:val="00FE1A97"/>
    <w:rsid w:val="00FE2130"/>
    <w:rsid w:val="00FE282E"/>
    <w:rsid w:val="00FE5C00"/>
    <w:rsid w:val="00FE5CC5"/>
    <w:rsid w:val="00FE5EB3"/>
    <w:rsid w:val="00FE60BC"/>
    <w:rsid w:val="00FE679F"/>
    <w:rsid w:val="00FE6B4B"/>
    <w:rsid w:val="00FE71B3"/>
    <w:rsid w:val="00FE72AC"/>
    <w:rsid w:val="00FF0C34"/>
    <w:rsid w:val="00FF0F25"/>
    <w:rsid w:val="00FF11AE"/>
    <w:rsid w:val="00FF12AD"/>
    <w:rsid w:val="00FF12CF"/>
    <w:rsid w:val="00FF2AC9"/>
    <w:rsid w:val="00FF3340"/>
    <w:rsid w:val="00FF3770"/>
    <w:rsid w:val="00FF3BFC"/>
    <w:rsid w:val="00FF3FBB"/>
    <w:rsid w:val="00FF42C5"/>
    <w:rsid w:val="00FF4999"/>
    <w:rsid w:val="00FF597C"/>
    <w:rsid w:val="00FF6280"/>
    <w:rsid w:val="00FF67AA"/>
    <w:rsid w:val="00FF7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E76DE"/>
    <w:pPr>
      <w:jc w:val="both"/>
    </w:pPr>
    <w:rPr>
      <w:rFonts w:eastAsiaTheme="minorEastAsia"/>
      <w:sz w:val="24"/>
      <w:lang w:val="en-GB"/>
    </w:rPr>
  </w:style>
  <w:style w:type="paragraph" w:styleId="Heading1">
    <w:name w:val="heading 1"/>
    <w:basedOn w:val="Normal"/>
    <w:next w:val="Normal"/>
    <w:link w:val="Heading1Char"/>
    <w:uiPriority w:val="99"/>
    <w:semiHidden/>
    <w:rsid w:val="001E76D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E76D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E76D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E76D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E76DE"/>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1E76D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E76DE"/>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1E76DE"/>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1E76DE"/>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76DE"/>
    <w:rPr>
      <w:rFonts w:ascii="Tahoma" w:hAnsi="Tahoma" w:cs="Tahoma"/>
      <w:sz w:val="16"/>
      <w:szCs w:val="16"/>
    </w:rPr>
  </w:style>
  <w:style w:type="character" w:customStyle="1" w:styleId="BalloonTextChar">
    <w:name w:val="Balloon Text Char"/>
    <w:basedOn w:val="DefaultParagraphFont"/>
    <w:link w:val="BalloonText"/>
    <w:uiPriority w:val="99"/>
    <w:semiHidden/>
    <w:rsid w:val="001E76DE"/>
    <w:rPr>
      <w:rFonts w:ascii="Tahoma" w:eastAsiaTheme="minorEastAsia" w:hAnsi="Tahoma" w:cs="Tahoma"/>
      <w:sz w:val="16"/>
      <w:szCs w:val="16"/>
      <w:lang w:val="en-GB"/>
    </w:rPr>
  </w:style>
  <w:style w:type="character" w:styleId="BookTitle">
    <w:name w:val="Book Title"/>
    <w:uiPriority w:val="99"/>
    <w:semiHidden/>
    <w:qFormat/>
    <w:rsid w:val="001E76DE"/>
    <w:rPr>
      <w:i/>
      <w:iCs/>
      <w:smallCaps/>
      <w:spacing w:val="5"/>
    </w:rPr>
  </w:style>
  <w:style w:type="paragraph" w:customStyle="1" w:styleId="ECHRHeader">
    <w:name w:val="ECHR_Header"/>
    <w:aliases w:val="Ju_Header"/>
    <w:basedOn w:val="Header"/>
    <w:uiPriority w:val="4"/>
    <w:qFormat/>
    <w:rsid w:val="001E76DE"/>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E76DE"/>
    <w:pPr>
      <w:jc w:val="left"/>
    </w:pPr>
    <w:rPr>
      <w:sz w:val="8"/>
    </w:rPr>
  </w:style>
  <w:style w:type="character" w:styleId="Strong">
    <w:name w:val="Strong"/>
    <w:uiPriority w:val="99"/>
    <w:semiHidden/>
    <w:qFormat/>
    <w:rsid w:val="001E76DE"/>
    <w:rPr>
      <w:b/>
      <w:bCs/>
    </w:rPr>
  </w:style>
  <w:style w:type="paragraph" w:styleId="NoSpacing">
    <w:name w:val="No Spacing"/>
    <w:basedOn w:val="Normal"/>
    <w:link w:val="NoSpacingChar"/>
    <w:semiHidden/>
    <w:qFormat/>
    <w:rsid w:val="001E76DE"/>
    <w:rPr>
      <w:sz w:val="22"/>
      <w:lang w:val="en-US"/>
    </w:rPr>
  </w:style>
  <w:style w:type="character" w:customStyle="1" w:styleId="NoSpacingChar">
    <w:name w:val="No Spacing Char"/>
    <w:basedOn w:val="DefaultParagraphFont"/>
    <w:link w:val="NoSpacing"/>
    <w:semiHidden/>
    <w:rsid w:val="001E76DE"/>
    <w:rPr>
      <w:rFonts w:eastAsiaTheme="minorEastAsia"/>
    </w:rPr>
  </w:style>
  <w:style w:type="paragraph" w:customStyle="1" w:styleId="ECHRFooterLine">
    <w:name w:val="ECHR_Footer_Line"/>
    <w:aliases w:val="Footer_Line"/>
    <w:basedOn w:val="Normal"/>
    <w:next w:val="ECHRFooter"/>
    <w:uiPriority w:val="57"/>
    <w:semiHidden/>
    <w:rsid w:val="001E76DE"/>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1E76DE"/>
  </w:style>
  <w:style w:type="paragraph" w:customStyle="1" w:styleId="DecList">
    <w:name w:val="Dec_List"/>
    <w:basedOn w:val="Normal"/>
    <w:uiPriority w:val="9"/>
    <w:semiHidden/>
    <w:qFormat/>
    <w:rsid w:val="001E76DE"/>
    <w:pPr>
      <w:spacing w:before="240"/>
      <w:ind w:left="284"/>
    </w:pPr>
  </w:style>
  <w:style w:type="paragraph" w:customStyle="1" w:styleId="DummyStyle">
    <w:name w:val="Dummy_Style"/>
    <w:basedOn w:val="Normal"/>
    <w:semiHidden/>
    <w:qFormat/>
    <w:rsid w:val="001E76DE"/>
    <w:rPr>
      <w:color w:val="00B050"/>
    </w:rPr>
  </w:style>
  <w:style w:type="paragraph" w:customStyle="1" w:styleId="ECHRTitleCentre3">
    <w:name w:val="ECHR_Title_Centre_3"/>
    <w:aliases w:val="Ju_H_Article"/>
    <w:basedOn w:val="Normal"/>
    <w:next w:val="ECHRParaQuote"/>
    <w:uiPriority w:val="27"/>
    <w:qFormat/>
    <w:rsid w:val="001E76D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1E76DE"/>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1E76DE"/>
    <w:pPr>
      <w:numPr>
        <w:numId w:val="29"/>
      </w:numPr>
      <w:jc w:val="left"/>
    </w:pPr>
    <w:rPr>
      <w:b/>
    </w:rPr>
  </w:style>
  <w:style w:type="paragraph" w:customStyle="1" w:styleId="JuHeaderLandscape">
    <w:name w:val="Ju_Header_Landscape"/>
    <w:basedOn w:val="ECHRHeader"/>
    <w:uiPriority w:val="4"/>
    <w:qFormat/>
    <w:rsid w:val="001E76DE"/>
    <w:pPr>
      <w:tabs>
        <w:tab w:val="clear" w:pos="3686"/>
        <w:tab w:val="clear" w:pos="7371"/>
        <w:tab w:val="center" w:pos="6146"/>
        <w:tab w:val="right" w:pos="12293"/>
      </w:tabs>
    </w:pPr>
  </w:style>
  <w:style w:type="paragraph" w:customStyle="1" w:styleId="JuInitialled">
    <w:name w:val="Ju_Initialled"/>
    <w:basedOn w:val="Normal"/>
    <w:uiPriority w:val="31"/>
    <w:qFormat/>
    <w:rsid w:val="001E76DE"/>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1E76DE"/>
    <w:pPr>
      <w:spacing w:after="240"/>
      <w:jc w:val="center"/>
      <w:outlineLvl w:val="0"/>
    </w:pPr>
    <w:rPr>
      <w:rFonts w:asciiTheme="majorHAnsi" w:hAnsiTheme="majorHAnsi"/>
    </w:rPr>
  </w:style>
  <w:style w:type="character" w:customStyle="1" w:styleId="JuITMark">
    <w:name w:val="Ju_ITMark"/>
    <w:basedOn w:val="DefaultParagraphFont"/>
    <w:uiPriority w:val="38"/>
    <w:qFormat/>
    <w:rsid w:val="001E76DE"/>
    <w:rPr>
      <w:vanish w:val="0"/>
      <w:color w:val="auto"/>
      <w:sz w:val="14"/>
      <w:bdr w:val="none" w:sz="0" w:space="0" w:color="auto"/>
      <w:shd w:val="clear" w:color="auto" w:fill="BEE5FF" w:themeFill="background1" w:themeFillTint="33"/>
    </w:rPr>
  </w:style>
  <w:style w:type="paragraph" w:styleId="Title">
    <w:name w:val="Title"/>
    <w:basedOn w:val="Normal"/>
    <w:next w:val="Normal"/>
    <w:link w:val="TitleChar"/>
    <w:uiPriority w:val="99"/>
    <w:semiHidden/>
    <w:qFormat/>
    <w:rsid w:val="001E76D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1E76DE"/>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1E76D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1E76D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E76DE"/>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1E76D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1E76DE"/>
    <w:pPr>
      <w:keepNext/>
      <w:keepLines/>
      <w:spacing w:before="240" w:after="120"/>
      <w:ind w:left="1236"/>
    </w:pPr>
    <w:rPr>
      <w:sz w:val="20"/>
      <w:lang w:val="en-GB"/>
    </w:rPr>
  </w:style>
  <w:style w:type="paragraph" w:customStyle="1" w:styleId="JuQuotSub">
    <w:name w:val="Ju_Quot_Sub"/>
    <w:basedOn w:val="ECHRParaQuote"/>
    <w:uiPriority w:val="15"/>
    <w:qFormat/>
    <w:rsid w:val="001E76DE"/>
    <w:pPr>
      <w:ind w:left="567"/>
    </w:pPr>
  </w:style>
  <w:style w:type="character" w:customStyle="1" w:styleId="JUNAMES">
    <w:name w:val="JU_NAMES"/>
    <w:uiPriority w:val="17"/>
    <w:qFormat/>
    <w:rsid w:val="001E76DE"/>
    <w:rPr>
      <w:caps w:val="0"/>
      <w:smallCaps/>
    </w:rPr>
  </w:style>
  <w:style w:type="paragraph" w:customStyle="1" w:styleId="JuParaSub">
    <w:name w:val="Ju_Para_Sub"/>
    <w:basedOn w:val="ECHRPara"/>
    <w:uiPriority w:val="13"/>
    <w:qFormat/>
    <w:rsid w:val="001E76DE"/>
    <w:pPr>
      <w:ind w:left="284"/>
    </w:pPr>
  </w:style>
  <w:style w:type="paragraph" w:styleId="Header">
    <w:name w:val="header"/>
    <w:basedOn w:val="Normal"/>
    <w:link w:val="HeaderChar"/>
    <w:uiPriority w:val="57"/>
    <w:semiHidden/>
    <w:rsid w:val="001E76D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E76DE"/>
    <w:rPr>
      <w:sz w:val="24"/>
      <w:lang w:val="en-GB"/>
    </w:rPr>
  </w:style>
  <w:style w:type="character" w:customStyle="1" w:styleId="Heading1Char">
    <w:name w:val="Heading 1 Char"/>
    <w:basedOn w:val="DefaultParagraphFont"/>
    <w:link w:val="Heading1"/>
    <w:uiPriority w:val="99"/>
    <w:semiHidden/>
    <w:rsid w:val="001E76DE"/>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1E76D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1E76DE"/>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1E76DE"/>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1E76DE"/>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1E76DE"/>
    <w:pPr>
      <w:ind w:firstLine="284"/>
    </w:pPr>
    <w:rPr>
      <w:b/>
    </w:rPr>
  </w:style>
  <w:style w:type="character" w:customStyle="1" w:styleId="Heading3Char">
    <w:name w:val="Heading 3 Char"/>
    <w:basedOn w:val="DefaultParagraphFont"/>
    <w:link w:val="Heading3"/>
    <w:uiPriority w:val="99"/>
    <w:semiHidden/>
    <w:rsid w:val="001E76DE"/>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1E76DE"/>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1E76DE"/>
    <w:rPr>
      <w:rFonts w:asciiTheme="majorHAnsi" w:eastAsiaTheme="majorEastAsia" w:hAnsiTheme="majorHAnsi" w:cstheme="majorBidi"/>
      <w:b/>
      <w:bCs/>
      <w:color w:val="808080"/>
    </w:rPr>
  </w:style>
  <w:style w:type="character" w:styleId="SubtleEmphasis">
    <w:name w:val="Subtle Emphasis"/>
    <w:uiPriority w:val="99"/>
    <w:semiHidden/>
    <w:qFormat/>
    <w:rsid w:val="001E76DE"/>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1E76DE"/>
    <w:pPr>
      <w:keepNext/>
      <w:keepLines/>
      <w:spacing w:before="720" w:after="240"/>
      <w:outlineLvl w:val="0"/>
    </w:pPr>
    <w:rPr>
      <w:rFonts w:asciiTheme="majorHAnsi" w:hAnsiTheme="majorHAnsi"/>
      <w:sz w:val="28"/>
    </w:rPr>
  </w:style>
  <w:style w:type="character" w:styleId="Emphasis">
    <w:name w:val="Emphasis"/>
    <w:uiPriority w:val="99"/>
    <w:semiHidden/>
    <w:qFormat/>
    <w:rsid w:val="001E76DE"/>
    <w:rPr>
      <w:b/>
      <w:bCs/>
      <w:i/>
      <w:iCs/>
      <w:spacing w:val="10"/>
      <w:bdr w:val="none" w:sz="0" w:space="0" w:color="auto"/>
      <w:shd w:val="clear" w:color="auto" w:fill="auto"/>
    </w:rPr>
  </w:style>
  <w:style w:type="paragraph" w:styleId="Footer">
    <w:name w:val="footer"/>
    <w:basedOn w:val="Normal"/>
    <w:link w:val="FooterChar"/>
    <w:uiPriority w:val="57"/>
    <w:semiHidden/>
    <w:rsid w:val="001E76D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1E76DE"/>
    <w:rPr>
      <w:sz w:val="24"/>
      <w:lang w:val="en-GB"/>
    </w:rPr>
  </w:style>
  <w:style w:type="character" w:styleId="FootnoteReference">
    <w:name w:val="footnote reference"/>
    <w:basedOn w:val="DefaultParagraphFont"/>
    <w:uiPriority w:val="99"/>
    <w:semiHidden/>
    <w:rsid w:val="001E76DE"/>
    <w:rPr>
      <w:vertAlign w:val="superscript"/>
    </w:rPr>
  </w:style>
  <w:style w:type="paragraph" w:styleId="FootnoteText">
    <w:name w:val="footnote text"/>
    <w:basedOn w:val="Normal"/>
    <w:link w:val="FootnoteTextChar"/>
    <w:uiPriority w:val="99"/>
    <w:semiHidden/>
    <w:rsid w:val="001E76DE"/>
    <w:rPr>
      <w:sz w:val="20"/>
      <w:szCs w:val="20"/>
    </w:rPr>
  </w:style>
  <w:style w:type="character" w:customStyle="1" w:styleId="FootnoteTextChar">
    <w:name w:val="Footnote Text Char"/>
    <w:basedOn w:val="DefaultParagraphFont"/>
    <w:link w:val="FootnoteText"/>
    <w:uiPriority w:val="99"/>
    <w:semiHidden/>
    <w:rsid w:val="001E76DE"/>
    <w:rPr>
      <w:rFonts w:eastAsiaTheme="minorEastAsia"/>
      <w:sz w:val="20"/>
      <w:szCs w:val="20"/>
      <w:lang w:val="en-GB"/>
    </w:rPr>
  </w:style>
  <w:style w:type="character" w:customStyle="1" w:styleId="Heading6Char">
    <w:name w:val="Heading 6 Char"/>
    <w:basedOn w:val="DefaultParagraphFont"/>
    <w:link w:val="Heading6"/>
    <w:uiPriority w:val="99"/>
    <w:semiHidden/>
    <w:rsid w:val="001E76DE"/>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1E76DE"/>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1E76D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E76D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1E76DE"/>
    <w:rPr>
      <w:color w:val="0072BC" w:themeColor="hyperlink"/>
      <w:u w:val="single"/>
    </w:rPr>
  </w:style>
  <w:style w:type="character" w:styleId="IntenseEmphasis">
    <w:name w:val="Intense Emphasis"/>
    <w:uiPriority w:val="99"/>
    <w:semiHidden/>
    <w:qFormat/>
    <w:rsid w:val="001E76DE"/>
    <w:rPr>
      <w:b/>
      <w:bCs/>
    </w:rPr>
  </w:style>
  <w:style w:type="paragraph" w:styleId="IntenseQuote">
    <w:name w:val="Intense Quote"/>
    <w:basedOn w:val="Normal"/>
    <w:next w:val="Normal"/>
    <w:link w:val="IntenseQuoteChar"/>
    <w:uiPriority w:val="99"/>
    <w:semiHidden/>
    <w:qFormat/>
    <w:rsid w:val="001E76DE"/>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1E76DE"/>
    <w:rPr>
      <w:rFonts w:eastAsiaTheme="minorEastAsia"/>
      <w:b/>
      <w:bCs/>
      <w:i/>
      <w:iCs/>
      <w:lang w:bidi="en-US"/>
    </w:rPr>
  </w:style>
  <w:style w:type="character" w:styleId="IntenseReference">
    <w:name w:val="Intense Reference"/>
    <w:uiPriority w:val="99"/>
    <w:semiHidden/>
    <w:qFormat/>
    <w:rsid w:val="001E76DE"/>
    <w:rPr>
      <w:smallCaps/>
      <w:spacing w:val="5"/>
      <w:u w:val="single"/>
    </w:rPr>
  </w:style>
  <w:style w:type="paragraph" w:styleId="ListParagraph">
    <w:name w:val="List Paragraph"/>
    <w:basedOn w:val="Normal"/>
    <w:uiPriority w:val="99"/>
    <w:semiHidden/>
    <w:qFormat/>
    <w:rsid w:val="001E76D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E76DE"/>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1E76DE"/>
    <w:rPr>
      <w:rFonts w:eastAsiaTheme="minorEastAsia"/>
      <w:i/>
      <w:iCs/>
      <w:lang w:bidi="en-US"/>
    </w:rPr>
  </w:style>
  <w:style w:type="character" w:styleId="SubtleReference">
    <w:name w:val="Subtle Reference"/>
    <w:uiPriority w:val="99"/>
    <w:semiHidden/>
    <w:qFormat/>
    <w:rsid w:val="001E76DE"/>
    <w:rPr>
      <w:smallCaps/>
    </w:rPr>
  </w:style>
  <w:style w:type="table" w:styleId="TableGrid">
    <w:name w:val="Table Grid"/>
    <w:basedOn w:val="TableNormal"/>
    <w:uiPriority w:val="59"/>
    <w:semiHidden/>
    <w:rsid w:val="001E76D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E76D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1E76D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1E76D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1E76D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1E76D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E76D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E76D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l"/>
    <w:basedOn w:val="Normal"/>
    <w:uiPriority w:val="14"/>
    <w:qFormat/>
    <w:rsid w:val="001E76DE"/>
    <w:pPr>
      <w:spacing w:before="120" w:after="120"/>
      <w:ind w:left="425" w:firstLine="142"/>
    </w:pPr>
    <w:rPr>
      <w:sz w:val="20"/>
    </w:rPr>
  </w:style>
  <w:style w:type="paragraph" w:customStyle="1" w:styleId="ECHRPara">
    <w:name w:val="ECHR_Para"/>
    <w:aliases w:val="Ju_Para"/>
    <w:basedOn w:val="Normal"/>
    <w:link w:val="ECHRParaChar"/>
    <w:uiPriority w:val="12"/>
    <w:qFormat/>
    <w:rsid w:val="001E76DE"/>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E76D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1E76DE"/>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1E76DE"/>
    <w:pPr>
      <w:ind w:left="340" w:hanging="340"/>
    </w:pPr>
  </w:style>
  <w:style w:type="paragraph" w:customStyle="1" w:styleId="JuSigned">
    <w:name w:val="Ju_Signed"/>
    <w:basedOn w:val="Normal"/>
    <w:next w:val="JuParaLast"/>
    <w:uiPriority w:val="32"/>
    <w:qFormat/>
    <w:rsid w:val="001E76DE"/>
    <w:pPr>
      <w:tabs>
        <w:tab w:val="center" w:pos="851"/>
        <w:tab w:val="center" w:pos="6407"/>
      </w:tabs>
      <w:spacing w:before="720"/>
      <w:jc w:val="left"/>
    </w:pPr>
  </w:style>
  <w:style w:type="paragraph" w:customStyle="1" w:styleId="JuParaLast">
    <w:name w:val="Ju_Para_Last"/>
    <w:basedOn w:val="Normal"/>
    <w:next w:val="ECHRPara"/>
    <w:uiPriority w:val="30"/>
    <w:qFormat/>
    <w:rsid w:val="001E76DE"/>
    <w:pPr>
      <w:keepNext/>
      <w:keepLines/>
      <w:spacing w:before="240"/>
      <w:ind w:firstLine="284"/>
    </w:pPr>
  </w:style>
  <w:style w:type="paragraph" w:customStyle="1" w:styleId="JuCourt">
    <w:name w:val="Ju_Court"/>
    <w:basedOn w:val="Normal"/>
    <w:next w:val="Normal"/>
    <w:uiPriority w:val="16"/>
    <w:qFormat/>
    <w:rsid w:val="001E76DE"/>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1E76DE"/>
    <w:pPr>
      <w:ind w:left="346" w:firstLine="0"/>
    </w:pPr>
  </w:style>
  <w:style w:type="paragraph" w:customStyle="1" w:styleId="JuListi">
    <w:name w:val="Ju_List_i"/>
    <w:basedOn w:val="Normal"/>
    <w:next w:val="JuLista"/>
    <w:uiPriority w:val="28"/>
    <w:qFormat/>
    <w:rsid w:val="001E76DE"/>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1E76DE"/>
    <w:rPr>
      <w:vertAlign w:val="superscript"/>
    </w:rPr>
  </w:style>
  <w:style w:type="paragraph" w:styleId="EndnoteText">
    <w:name w:val="endnote text"/>
    <w:basedOn w:val="Normal"/>
    <w:link w:val="EndnoteTextChar"/>
    <w:uiPriority w:val="99"/>
    <w:semiHidden/>
    <w:rsid w:val="001E76DE"/>
    <w:rPr>
      <w:sz w:val="20"/>
      <w:szCs w:val="20"/>
    </w:rPr>
  </w:style>
  <w:style w:type="character" w:customStyle="1" w:styleId="EndnoteTextChar">
    <w:name w:val="Endnote Text Char"/>
    <w:basedOn w:val="DefaultParagraphFont"/>
    <w:link w:val="EndnoteText"/>
    <w:uiPriority w:val="99"/>
    <w:semiHidden/>
    <w:rsid w:val="001E76DE"/>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paragraph" w:customStyle="1" w:styleId="OpiH1">
    <w:name w:val="Opi_H_1"/>
    <w:basedOn w:val="ECHRHeading2"/>
    <w:uiPriority w:val="42"/>
    <w:qFormat/>
    <w:rsid w:val="001E76DE"/>
    <w:pPr>
      <w:ind w:left="635" w:hanging="357"/>
      <w:outlineLvl w:val="2"/>
    </w:pPr>
  </w:style>
  <w:style w:type="paragraph" w:styleId="Subtitle">
    <w:name w:val="Subtitle"/>
    <w:basedOn w:val="Normal"/>
    <w:next w:val="Normal"/>
    <w:link w:val="SubtitleChar"/>
    <w:uiPriority w:val="99"/>
    <w:semiHidden/>
    <w:qFormat/>
    <w:rsid w:val="001E76DE"/>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1E76D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1E76D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E76D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1E76D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
    <w:name w:val="Opi_H_a"/>
    <w:basedOn w:val="ECHRHeading3"/>
    <w:uiPriority w:val="43"/>
    <w:qFormat/>
    <w:rsid w:val="001E76DE"/>
    <w:pPr>
      <w:ind w:left="833" w:hanging="357"/>
      <w:outlineLvl w:val="3"/>
    </w:pPr>
    <w:rPr>
      <w:b/>
      <w:i w:val="0"/>
      <w:sz w:val="20"/>
    </w:rPr>
  </w:style>
  <w:style w:type="paragraph" w:customStyle="1" w:styleId="OpiHA0">
    <w:name w:val="Opi_H_A"/>
    <w:basedOn w:val="ECHRHeading1"/>
    <w:next w:val="OpiPara"/>
    <w:uiPriority w:val="41"/>
    <w:qFormat/>
    <w:rsid w:val="001E76DE"/>
    <w:pPr>
      <w:tabs>
        <w:tab w:val="clear" w:pos="357"/>
      </w:tabs>
      <w:outlineLvl w:val="1"/>
    </w:pPr>
    <w:rPr>
      <w:b/>
    </w:rPr>
  </w:style>
  <w:style w:type="paragraph" w:customStyle="1" w:styleId="OpiHi">
    <w:name w:val="Opi_H_i"/>
    <w:basedOn w:val="ECHRHeading4"/>
    <w:uiPriority w:val="44"/>
    <w:qFormat/>
    <w:rsid w:val="001E76DE"/>
    <w:pPr>
      <w:ind w:left="1037" w:hanging="357"/>
      <w:outlineLvl w:val="4"/>
    </w:pPr>
    <w:rPr>
      <w:b w:val="0"/>
      <w:i/>
    </w:rPr>
  </w:style>
  <w:style w:type="paragraph" w:customStyle="1" w:styleId="OpiPara">
    <w:name w:val="Opi_Para"/>
    <w:basedOn w:val="ECHRPara"/>
    <w:uiPriority w:val="46"/>
    <w:qFormat/>
    <w:rsid w:val="001E76DE"/>
  </w:style>
  <w:style w:type="paragraph" w:customStyle="1" w:styleId="OpiParaSub">
    <w:name w:val="Opi_Para_Sub"/>
    <w:basedOn w:val="JuParaSub"/>
    <w:uiPriority w:val="47"/>
    <w:qFormat/>
    <w:rsid w:val="001E76DE"/>
  </w:style>
  <w:style w:type="paragraph" w:customStyle="1" w:styleId="OpiQuot">
    <w:name w:val="Opi_Quot"/>
    <w:basedOn w:val="ECHRParaQuote"/>
    <w:uiPriority w:val="48"/>
    <w:qFormat/>
    <w:rsid w:val="001E76DE"/>
  </w:style>
  <w:style w:type="paragraph" w:customStyle="1" w:styleId="OpiQuotSub">
    <w:name w:val="Opi_Quot_Sub"/>
    <w:basedOn w:val="JuQuotSub"/>
    <w:uiPriority w:val="49"/>
    <w:qFormat/>
    <w:rsid w:val="001E76DE"/>
  </w:style>
  <w:style w:type="paragraph" w:customStyle="1" w:styleId="OpiTranslation">
    <w:name w:val="Opi_Translation"/>
    <w:basedOn w:val="Normal"/>
    <w:next w:val="OpiPara"/>
    <w:uiPriority w:val="40"/>
    <w:qFormat/>
    <w:rsid w:val="001E76DE"/>
    <w:pPr>
      <w:jc w:val="center"/>
      <w:outlineLvl w:val="0"/>
    </w:pPr>
    <w:rPr>
      <w:i/>
    </w:rPr>
  </w:style>
  <w:style w:type="character" w:customStyle="1" w:styleId="ECHRParaChar">
    <w:name w:val="ECHR_Para Char"/>
    <w:aliases w:val="Ju_Para Char"/>
    <w:basedOn w:val="DefaultParagraphFont"/>
    <w:link w:val="ECHRPara"/>
    <w:uiPriority w:val="12"/>
    <w:rsid w:val="007A6B8B"/>
    <w:rPr>
      <w:rFonts w:eastAsiaTheme="minorEastAsia"/>
      <w:sz w:val="24"/>
      <w:lang w:val="en-GB"/>
    </w:rPr>
  </w:style>
  <w:style w:type="table" w:customStyle="1" w:styleId="ECHRListTable1">
    <w:name w:val="ECHR_List_Table1"/>
    <w:basedOn w:val="TableNormal"/>
    <w:uiPriority w:val="99"/>
    <w:rsid w:val="00C8349B"/>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ListTable2">
    <w:name w:val="ECHR_List_Table2"/>
    <w:basedOn w:val="TableNormal"/>
    <w:uiPriority w:val="99"/>
    <w:rsid w:val="00C42717"/>
    <w:rPr>
      <w:lang w:val="fr-FR" w:eastAsia="fr-FR"/>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Revision">
    <w:name w:val="Revision"/>
    <w:hidden/>
    <w:uiPriority w:val="99"/>
    <w:semiHidden/>
    <w:rsid w:val="00594199"/>
    <w:rPr>
      <w:rFonts w:eastAsiaTheme="minorEastAsia"/>
      <w:sz w:val="24"/>
    </w:rPr>
  </w:style>
  <w:style w:type="paragraph" w:customStyle="1" w:styleId="jupara">
    <w:name w:val="jupara"/>
    <w:basedOn w:val="Normal"/>
    <w:rsid w:val="001428D3"/>
    <w:pPr>
      <w:ind w:firstLine="284"/>
    </w:pPr>
    <w:rPr>
      <w:rFonts w:ascii="Times New Roman" w:eastAsia="Times New Roman" w:hAnsi="Times New Roman" w:cs="Times New Roman"/>
      <w:szCs w:val="24"/>
      <w:lang w:eastAsia="en-GB"/>
    </w:rPr>
  </w:style>
  <w:style w:type="paragraph" w:customStyle="1" w:styleId="jucase0">
    <w:name w:val="jucase"/>
    <w:basedOn w:val="Normal"/>
    <w:rsid w:val="001428D3"/>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7216">
      <w:bodyDiv w:val="1"/>
      <w:marLeft w:val="0"/>
      <w:marRight w:val="0"/>
      <w:marTop w:val="0"/>
      <w:marBottom w:val="0"/>
      <w:divBdr>
        <w:top w:val="none" w:sz="0" w:space="0" w:color="auto"/>
        <w:left w:val="none" w:sz="0" w:space="0" w:color="auto"/>
        <w:bottom w:val="none" w:sz="0" w:space="0" w:color="auto"/>
        <w:right w:val="none" w:sz="0" w:space="0" w:color="auto"/>
      </w:divBdr>
      <w:divsChild>
        <w:div w:id="1425298265">
          <w:marLeft w:val="0"/>
          <w:marRight w:val="0"/>
          <w:marTop w:val="0"/>
          <w:marBottom w:val="0"/>
          <w:divBdr>
            <w:top w:val="none" w:sz="0" w:space="0" w:color="auto"/>
            <w:left w:val="none" w:sz="0" w:space="0" w:color="auto"/>
            <w:bottom w:val="none" w:sz="0" w:space="0" w:color="auto"/>
            <w:right w:val="none" w:sz="0" w:space="0" w:color="auto"/>
          </w:divBdr>
          <w:divsChild>
            <w:div w:id="2066686053">
              <w:marLeft w:val="0"/>
              <w:marRight w:val="0"/>
              <w:marTop w:val="0"/>
              <w:marBottom w:val="0"/>
              <w:divBdr>
                <w:top w:val="none" w:sz="0" w:space="0" w:color="auto"/>
                <w:left w:val="none" w:sz="0" w:space="0" w:color="auto"/>
                <w:bottom w:val="none" w:sz="0" w:space="0" w:color="auto"/>
                <w:right w:val="none" w:sz="0" w:space="0" w:color="auto"/>
              </w:divBdr>
              <w:divsChild>
                <w:div w:id="1961568959">
                  <w:marLeft w:val="0"/>
                  <w:marRight w:val="0"/>
                  <w:marTop w:val="0"/>
                  <w:marBottom w:val="0"/>
                  <w:divBdr>
                    <w:top w:val="none" w:sz="0" w:space="0" w:color="auto"/>
                    <w:left w:val="none" w:sz="0" w:space="0" w:color="auto"/>
                    <w:bottom w:val="none" w:sz="0" w:space="0" w:color="auto"/>
                    <w:right w:val="none" w:sz="0" w:space="0" w:color="auto"/>
                  </w:divBdr>
                  <w:divsChild>
                    <w:div w:id="1238784526">
                      <w:marLeft w:val="0"/>
                      <w:marRight w:val="0"/>
                      <w:marTop w:val="0"/>
                      <w:marBottom w:val="0"/>
                      <w:divBdr>
                        <w:top w:val="none" w:sz="0" w:space="0" w:color="auto"/>
                        <w:left w:val="none" w:sz="0" w:space="0" w:color="auto"/>
                        <w:bottom w:val="none" w:sz="0" w:space="0" w:color="auto"/>
                        <w:right w:val="none" w:sz="0" w:space="0" w:color="auto"/>
                      </w:divBdr>
                      <w:divsChild>
                        <w:div w:id="422652993">
                          <w:marLeft w:val="0"/>
                          <w:marRight w:val="0"/>
                          <w:marTop w:val="0"/>
                          <w:marBottom w:val="0"/>
                          <w:divBdr>
                            <w:top w:val="none" w:sz="0" w:space="0" w:color="auto"/>
                            <w:left w:val="none" w:sz="0" w:space="0" w:color="auto"/>
                            <w:bottom w:val="none" w:sz="0" w:space="0" w:color="auto"/>
                            <w:right w:val="none" w:sz="0" w:space="0" w:color="auto"/>
                          </w:divBdr>
                          <w:divsChild>
                            <w:div w:id="12285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89179">
      <w:bodyDiv w:val="1"/>
      <w:marLeft w:val="0"/>
      <w:marRight w:val="0"/>
      <w:marTop w:val="0"/>
      <w:marBottom w:val="0"/>
      <w:divBdr>
        <w:top w:val="none" w:sz="0" w:space="0" w:color="auto"/>
        <w:left w:val="none" w:sz="0" w:space="0" w:color="auto"/>
        <w:bottom w:val="none" w:sz="0" w:space="0" w:color="auto"/>
        <w:right w:val="none" w:sz="0" w:space="0" w:color="auto"/>
      </w:divBdr>
      <w:divsChild>
        <w:div w:id="537857709">
          <w:marLeft w:val="0"/>
          <w:marRight w:val="0"/>
          <w:marTop w:val="0"/>
          <w:marBottom w:val="0"/>
          <w:divBdr>
            <w:top w:val="none" w:sz="0" w:space="0" w:color="auto"/>
            <w:left w:val="none" w:sz="0" w:space="0" w:color="auto"/>
            <w:bottom w:val="none" w:sz="0" w:space="0" w:color="auto"/>
            <w:right w:val="none" w:sz="0" w:space="0" w:color="auto"/>
          </w:divBdr>
          <w:divsChild>
            <w:div w:id="23135557">
              <w:marLeft w:val="0"/>
              <w:marRight w:val="0"/>
              <w:marTop w:val="0"/>
              <w:marBottom w:val="0"/>
              <w:divBdr>
                <w:top w:val="none" w:sz="0" w:space="0" w:color="auto"/>
                <w:left w:val="none" w:sz="0" w:space="0" w:color="auto"/>
                <w:bottom w:val="none" w:sz="0" w:space="0" w:color="auto"/>
                <w:right w:val="none" w:sz="0" w:space="0" w:color="auto"/>
              </w:divBdr>
              <w:divsChild>
                <w:div w:id="795216923">
                  <w:marLeft w:val="0"/>
                  <w:marRight w:val="0"/>
                  <w:marTop w:val="0"/>
                  <w:marBottom w:val="0"/>
                  <w:divBdr>
                    <w:top w:val="none" w:sz="0" w:space="0" w:color="auto"/>
                    <w:left w:val="none" w:sz="0" w:space="0" w:color="auto"/>
                    <w:bottom w:val="none" w:sz="0" w:space="0" w:color="auto"/>
                    <w:right w:val="none" w:sz="0" w:space="0" w:color="auto"/>
                  </w:divBdr>
                  <w:divsChild>
                    <w:div w:id="865213660">
                      <w:marLeft w:val="0"/>
                      <w:marRight w:val="0"/>
                      <w:marTop w:val="0"/>
                      <w:marBottom w:val="0"/>
                      <w:divBdr>
                        <w:top w:val="none" w:sz="0" w:space="0" w:color="auto"/>
                        <w:left w:val="none" w:sz="0" w:space="0" w:color="auto"/>
                        <w:bottom w:val="none" w:sz="0" w:space="0" w:color="auto"/>
                        <w:right w:val="none" w:sz="0" w:space="0" w:color="auto"/>
                      </w:divBdr>
                      <w:divsChild>
                        <w:div w:id="2088456896">
                          <w:marLeft w:val="0"/>
                          <w:marRight w:val="0"/>
                          <w:marTop w:val="0"/>
                          <w:marBottom w:val="0"/>
                          <w:divBdr>
                            <w:top w:val="none" w:sz="0" w:space="0" w:color="auto"/>
                            <w:left w:val="none" w:sz="0" w:space="0" w:color="auto"/>
                            <w:bottom w:val="none" w:sz="0" w:space="0" w:color="auto"/>
                            <w:right w:val="none" w:sz="0" w:space="0" w:color="auto"/>
                          </w:divBdr>
                          <w:divsChild>
                            <w:div w:id="14096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65072">
      <w:bodyDiv w:val="1"/>
      <w:marLeft w:val="0"/>
      <w:marRight w:val="0"/>
      <w:marTop w:val="0"/>
      <w:marBottom w:val="0"/>
      <w:divBdr>
        <w:top w:val="none" w:sz="0" w:space="0" w:color="auto"/>
        <w:left w:val="none" w:sz="0" w:space="0" w:color="auto"/>
        <w:bottom w:val="none" w:sz="0" w:space="0" w:color="auto"/>
        <w:right w:val="none" w:sz="0" w:space="0" w:color="auto"/>
      </w:divBdr>
      <w:divsChild>
        <w:div w:id="1132332854">
          <w:marLeft w:val="0"/>
          <w:marRight w:val="0"/>
          <w:marTop w:val="0"/>
          <w:marBottom w:val="0"/>
          <w:divBdr>
            <w:top w:val="none" w:sz="0" w:space="0" w:color="auto"/>
            <w:left w:val="none" w:sz="0" w:space="0" w:color="auto"/>
            <w:bottom w:val="none" w:sz="0" w:space="0" w:color="auto"/>
            <w:right w:val="none" w:sz="0" w:space="0" w:color="auto"/>
          </w:divBdr>
          <w:divsChild>
            <w:div w:id="1127353376">
              <w:marLeft w:val="0"/>
              <w:marRight w:val="0"/>
              <w:marTop w:val="0"/>
              <w:marBottom w:val="0"/>
              <w:divBdr>
                <w:top w:val="none" w:sz="0" w:space="0" w:color="auto"/>
                <w:left w:val="none" w:sz="0" w:space="0" w:color="auto"/>
                <w:bottom w:val="none" w:sz="0" w:space="0" w:color="auto"/>
                <w:right w:val="none" w:sz="0" w:space="0" w:color="auto"/>
              </w:divBdr>
              <w:divsChild>
                <w:div w:id="265307229">
                  <w:marLeft w:val="0"/>
                  <w:marRight w:val="0"/>
                  <w:marTop w:val="0"/>
                  <w:marBottom w:val="0"/>
                  <w:divBdr>
                    <w:top w:val="none" w:sz="0" w:space="0" w:color="auto"/>
                    <w:left w:val="none" w:sz="0" w:space="0" w:color="auto"/>
                    <w:bottom w:val="none" w:sz="0" w:space="0" w:color="auto"/>
                    <w:right w:val="none" w:sz="0" w:space="0" w:color="auto"/>
                  </w:divBdr>
                  <w:divsChild>
                    <w:div w:id="1429080872">
                      <w:marLeft w:val="0"/>
                      <w:marRight w:val="0"/>
                      <w:marTop w:val="0"/>
                      <w:marBottom w:val="0"/>
                      <w:divBdr>
                        <w:top w:val="none" w:sz="0" w:space="0" w:color="auto"/>
                        <w:left w:val="none" w:sz="0" w:space="0" w:color="auto"/>
                        <w:bottom w:val="none" w:sz="0" w:space="0" w:color="auto"/>
                        <w:right w:val="none" w:sz="0" w:space="0" w:color="auto"/>
                      </w:divBdr>
                      <w:divsChild>
                        <w:div w:id="847253908">
                          <w:marLeft w:val="0"/>
                          <w:marRight w:val="0"/>
                          <w:marTop w:val="0"/>
                          <w:marBottom w:val="0"/>
                          <w:divBdr>
                            <w:top w:val="none" w:sz="0" w:space="0" w:color="auto"/>
                            <w:left w:val="none" w:sz="0" w:space="0" w:color="auto"/>
                            <w:bottom w:val="none" w:sz="0" w:space="0" w:color="auto"/>
                            <w:right w:val="none" w:sz="0" w:space="0" w:color="auto"/>
                          </w:divBdr>
                          <w:divsChild>
                            <w:div w:id="9228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3266">
      <w:bodyDiv w:val="1"/>
      <w:marLeft w:val="0"/>
      <w:marRight w:val="0"/>
      <w:marTop w:val="0"/>
      <w:marBottom w:val="0"/>
      <w:divBdr>
        <w:top w:val="none" w:sz="0" w:space="0" w:color="auto"/>
        <w:left w:val="none" w:sz="0" w:space="0" w:color="auto"/>
        <w:bottom w:val="none" w:sz="0" w:space="0" w:color="auto"/>
        <w:right w:val="none" w:sz="0" w:space="0" w:color="auto"/>
      </w:divBdr>
      <w:divsChild>
        <w:div w:id="859054630">
          <w:marLeft w:val="0"/>
          <w:marRight w:val="0"/>
          <w:marTop w:val="0"/>
          <w:marBottom w:val="0"/>
          <w:divBdr>
            <w:top w:val="none" w:sz="0" w:space="0" w:color="auto"/>
            <w:left w:val="none" w:sz="0" w:space="0" w:color="auto"/>
            <w:bottom w:val="none" w:sz="0" w:space="0" w:color="auto"/>
            <w:right w:val="none" w:sz="0" w:space="0" w:color="auto"/>
          </w:divBdr>
          <w:divsChild>
            <w:div w:id="988897261">
              <w:marLeft w:val="0"/>
              <w:marRight w:val="0"/>
              <w:marTop w:val="0"/>
              <w:marBottom w:val="0"/>
              <w:divBdr>
                <w:top w:val="none" w:sz="0" w:space="0" w:color="auto"/>
                <w:left w:val="none" w:sz="0" w:space="0" w:color="auto"/>
                <w:bottom w:val="none" w:sz="0" w:space="0" w:color="auto"/>
                <w:right w:val="none" w:sz="0" w:space="0" w:color="auto"/>
              </w:divBdr>
              <w:divsChild>
                <w:div w:id="1264146610">
                  <w:marLeft w:val="0"/>
                  <w:marRight w:val="0"/>
                  <w:marTop w:val="0"/>
                  <w:marBottom w:val="0"/>
                  <w:divBdr>
                    <w:top w:val="none" w:sz="0" w:space="0" w:color="auto"/>
                    <w:left w:val="none" w:sz="0" w:space="0" w:color="auto"/>
                    <w:bottom w:val="none" w:sz="0" w:space="0" w:color="auto"/>
                    <w:right w:val="none" w:sz="0" w:space="0" w:color="auto"/>
                  </w:divBdr>
                  <w:divsChild>
                    <w:div w:id="386882308">
                      <w:marLeft w:val="0"/>
                      <w:marRight w:val="0"/>
                      <w:marTop w:val="0"/>
                      <w:marBottom w:val="0"/>
                      <w:divBdr>
                        <w:top w:val="none" w:sz="0" w:space="0" w:color="auto"/>
                        <w:left w:val="none" w:sz="0" w:space="0" w:color="auto"/>
                        <w:bottom w:val="none" w:sz="0" w:space="0" w:color="auto"/>
                        <w:right w:val="none" w:sz="0" w:space="0" w:color="auto"/>
                      </w:divBdr>
                      <w:divsChild>
                        <w:div w:id="1270577094">
                          <w:marLeft w:val="0"/>
                          <w:marRight w:val="0"/>
                          <w:marTop w:val="0"/>
                          <w:marBottom w:val="0"/>
                          <w:divBdr>
                            <w:top w:val="none" w:sz="0" w:space="0" w:color="auto"/>
                            <w:left w:val="none" w:sz="0" w:space="0" w:color="auto"/>
                            <w:bottom w:val="none" w:sz="0" w:space="0" w:color="auto"/>
                            <w:right w:val="none" w:sz="0" w:space="0" w:color="auto"/>
                          </w:divBdr>
                          <w:divsChild>
                            <w:div w:id="954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1987">
      <w:bodyDiv w:val="1"/>
      <w:marLeft w:val="0"/>
      <w:marRight w:val="0"/>
      <w:marTop w:val="0"/>
      <w:marBottom w:val="0"/>
      <w:divBdr>
        <w:top w:val="none" w:sz="0" w:space="0" w:color="auto"/>
        <w:left w:val="none" w:sz="0" w:space="0" w:color="auto"/>
        <w:bottom w:val="none" w:sz="0" w:space="0" w:color="auto"/>
        <w:right w:val="none" w:sz="0" w:space="0" w:color="auto"/>
      </w:divBdr>
      <w:divsChild>
        <w:div w:id="1435519849">
          <w:marLeft w:val="0"/>
          <w:marRight w:val="0"/>
          <w:marTop w:val="0"/>
          <w:marBottom w:val="0"/>
          <w:divBdr>
            <w:top w:val="none" w:sz="0" w:space="0" w:color="auto"/>
            <w:left w:val="none" w:sz="0" w:space="0" w:color="auto"/>
            <w:bottom w:val="none" w:sz="0" w:space="0" w:color="auto"/>
            <w:right w:val="none" w:sz="0" w:space="0" w:color="auto"/>
          </w:divBdr>
          <w:divsChild>
            <w:div w:id="1050960782">
              <w:marLeft w:val="0"/>
              <w:marRight w:val="0"/>
              <w:marTop w:val="0"/>
              <w:marBottom w:val="0"/>
              <w:divBdr>
                <w:top w:val="none" w:sz="0" w:space="0" w:color="auto"/>
                <w:left w:val="none" w:sz="0" w:space="0" w:color="auto"/>
                <w:bottom w:val="none" w:sz="0" w:space="0" w:color="auto"/>
                <w:right w:val="none" w:sz="0" w:space="0" w:color="auto"/>
              </w:divBdr>
              <w:divsChild>
                <w:div w:id="1651716531">
                  <w:marLeft w:val="0"/>
                  <w:marRight w:val="0"/>
                  <w:marTop w:val="0"/>
                  <w:marBottom w:val="0"/>
                  <w:divBdr>
                    <w:top w:val="none" w:sz="0" w:space="0" w:color="auto"/>
                    <w:left w:val="none" w:sz="0" w:space="0" w:color="auto"/>
                    <w:bottom w:val="none" w:sz="0" w:space="0" w:color="auto"/>
                    <w:right w:val="none" w:sz="0" w:space="0" w:color="auto"/>
                  </w:divBdr>
                  <w:divsChild>
                    <w:div w:id="1341397286">
                      <w:marLeft w:val="0"/>
                      <w:marRight w:val="0"/>
                      <w:marTop w:val="0"/>
                      <w:marBottom w:val="0"/>
                      <w:divBdr>
                        <w:top w:val="none" w:sz="0" w:space="0" w:color="auto"/>
                        <w:left w:val="none" w:sz="0" w:space="0" w:color="auto"/>
                        <w:bottom w:val="none" w:sz="0" w:space="0" w:color="auto"/>
                        <w:right w:val="none" w:sz="0" w:space="0" w:color="auto"/>
                      </w:divBdr>
                      <w:divsChild>
                        <w:div w:id="1864440562">
                          <w:marLeft w:val="0"/>
                          <w:marRight w:val="0"/>
                          <w:marTop w:val="0"/>
                          <w:marBottom w:val="0"/>
                          <w:divBdr>
                            <w:top w:val="none" w:sz="0" w:space="0" w:color="auto"/>
                            <w:left w:val="none" w:sz="0" w:space="0" w:color="auto"/>
                            <w:bottom w:val="none" w:sz="0" w:space="0" w:color="auto"/>
                            <w:right w:val="none" w:sz="0" w:space="0" w:color="auto"/>
                          </w:divBdr>
                          <w:divsChild>
                            <w:div w:id="19799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397084">
      <w:bodyDiv w:val="1"/>
      <w:marLeft w:val="0"/>
      <w:marRight w:val="0"/>
      <w:marTop w:val="0"/>
      <w:marBottom w:val="0"/>
      <w:divBdr>
        <w:top w:val="none" w:sz="0" w:space="0" w:color="auto"/>
        <w:left w:val="none" w:sz="0" w:space="0" w:color="auto"/>
        <w:bottom w:val="none" w:sz="0" w:space="0" w:color="auto"/>
        <w:right w:val="none" w:sz="0" w:space="0" w:color="auto"/>
      </w:divBdr>
      <w:divsChild>
        <w:div w:id="1424574180">
          <w:marLeft w:val="0"/>
          <w:marRight w:val="0"/>
          <w:marTop w:val="0"/>
          <w:marBottom w:val="0"/>
          <w:divBdr>
            <w:top w:val="none" w:sz="0" w:space="0" w:color="auto"/>
            <w:left w:val="none" w:sz="0" w:space="0" w:color="auto"/>
            <w:bottom w:val="none" w:sz="0" w:space="0" w:color="auto"/>
            <w:right w:val="none" w:sz="0" w:space="0" w:color="auto"/>
          </w:divBdr>
          <w:divsChild>
            <w:div w:id="913972285">
              <w:marLeft w:val="0"/>
              <w:marRight w:val="0"/>
              <w:marTop w:val="0"/>
              <w:marBottom w:val="0"/>
              <w:divBdr>
                <w:top w:val="none" w:sz="0" w:space="0" w:color="auto"/>
                <w:left w:val="none" w:sz="0" w:space="0" w:color="auto"/>
                <w:bottom w:val="none" w:sz="0" w:space="0" w:color="auto"/>
                <w:right w:val="none" w:sz="0" w:space="0" w:color="auto"/>
              </w:divBdr>
              <w:divsChild>
                <w:div w:id="1238788248">
                  <w:marLeft w:val="0"/>
                  <w:marRight w:val="0"/>
                  <w:marTop w:val="0"/>
                  <w:marBottom w:val="0"/>
                  <w:divBdr>
                    <w:top w:val="none" w:sz="0" w:space="0" w:color="auto"/>
                    <w:left w:val="none" w:sz="0" w:space="0" w:color="auto"/>
                    <w:bottom w:val="none" w:sz="0" w:space="0" w:color="auto"/>
                    <w:right w:val="none" w:sz="0" w:space="0" w:color="auto"/>
                  </w:divBdr>
                  <w:divsChild>
                    <w:div w:id="1603876129">
                      <w:marLeft w:val="0"/>
                      <w:marRight w:val="0"/>
                      <w:marTop w:val="0"/>
                      <w:marBottom w:val="0"/>
                      <w:divBdr>
                        <w:top w:val="none" w:sz="0" w:space="0" w:color="auto"/>
                        <w:left w:val="none" w:sz="0" w:space="0" w:color="auto"/>
                        <w:bottom w:val="none" w:sz="0" w:space="0" w:color="auto"/>
                        <w:right w:val="none" w:sz="0" w:space="0" w:color="auto"/>
                      </w:divBdr>
                      <w:divsChild>
                        <w:div w:id="1720933388">
                          <w:marLeft w:val="0"/>
                          <w:marRight w:val="0"/>
                          <w:marTop w:val="0"/>
                          <w:marBottom w:val="0"/>
                          <w:divBdr>
                            <w:top w:val="none" w:sz="0" w:space="0" w:color="auto"/>
                            <w:left w:val="none" w:sz="0" w:space="0" w:color="auto"/>
                            <w:bottom w:val="none" w:sz="0" w:space="0" w:color="auto"/>
                            <w:right w:val="none" w:sz="0" w:space="0" w:color="auto"/>
                          </w:divBdr>
                          <w:divsChild>
                            <w:div w:id="958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91613">
      <w:bodyDiv w:val="1"/>
      <w:marLeft w:val="0"/>
      <w:marRight w:val="0"/>
      <w:marTop w:val="0"/>
      <w:marBottom w:val="0"/>
      <w:divBdr>
        <w:top w:val="none" w:sz="0" w:space="0" w:color="auto"/>
        <w:left w:val="none" w:sz="0" w:space="0" w:color="auto"/>
        <w:bottom w:val="none" w:sz="0" w:space="0" w:color="auto"/>
        <w:right w:val="none" w:sz="0" w:space="0" w:color="auto"/>
      </w:divBdr>
      <w:divsChild>
        <w:div w:id="1875583013">
          <w:marLeft w:val="0"/>
          <w:marRight w:val="0"/>
          <w:marTop w:val="0"/>
          <w:marBottom w:val="0"/>
          <w:divBdr>
            <w:top w:val="none" w:sz="0" w:space="0" w:color="auto"/>
            <w:left w:val="none" w:sz="0" w:space="0" w:color="auto"/>
            <w:bottom w:val="none" w:sz="0" w:space="0" w:color="auto"/>
            <w:right w:val="none" w:sz="0" w:space="0" w:color="auto"/>
          </w:divBdr>
          <w:divsChild>
            <w:div w:id="1764258760">
              <w:marLeft w:val="0"/>
              <w:marRight w:val="0"/>
              <w:marTop w:val="0"/>
              <w:marBottom w:val="0"/>
              <w:divBdr>
                <w:top w:val="none" w:sz="0" w:space="0" w:color="auto"/>
                <w:left w:val="none" w:sz="0" w:space="0" w:color="auto"/>
                <w:bottom w:val="none" w:sz="0" w:space="0" w:color="auto"/>
                <w:right w:val="none" w:sz="0" w:space="0" w:color="auto"/>
              </w:divBdr>
              <w:divsChild>
                <w:div w:id="726807425">
                  <w:marLeft w:val="0"/>
                  <w:marRight w:val="0"/>
                  <w:marTop w:val="0"/>
                  <w:marBottom w:val="0"/>
                  <w:divBdr>
                    <w:top w:val="none" w:sz="0" w:space="0" w:color="auto"/>
                    <w:left w:val="none" w:sz="0" w:space="0" w:color="auto"/>
                    <w:bottom w:val="none" w:sz="0" w:space="0" w:color="auto"/>
                    <w:right w:val="none" w:sz="0" w:space="0" w:color="auto"/>
                  </w:divBdr>
                  <w:divsChild>
                    <w:div w:id="831290268">
                      <w:marLeft w:val="0"/>
                      <w:marRight w:val="0"/>
                      <w:marTop w:val="0"/>
                      <w:marBottom w:val="0"/>
                      <w:divBdr>
                        <w:top w:val="none" w:sz="0" w:space="0" w:color="auto"/>
                        <w:left w:val="none" w:sz="0" w:space="0" w:color="auto"/>
                        <w:bottom w:val="none" w:sz="0" w:space="0" w:color="auto"/>
                        <w:right w:val="none" w:sz="0" w:space="0" w:color="auto"/>
                      </w:divBdr>
                      <w:divsChild>
                        <w:div w:id="1679386973">
                          <w:marLeft w:val="0"/>
                          <w:marRight w:val="0"/>
                          <w:marTop w:val="0"/>
                          <w:marBottom w:val="0"/>
                          <w:divBdr>
                            <w:top w:val="none" w:sz="0" w:space="0" w:color="auto"/>
                            <w:left w:val="none" w:sz="0" w:space="0" w:color="auto"/>
                            <w:bottom w:val="none" w:sz="0" w:space="0" w:color="auto"/>
                            <w:right w:val="none" w:sz="0" w:space="0" w:color="auto"/>
                          </w:divBdr>
                          <w:divsChild>
                            <w:div w:id="11668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143737869">
      <w:bodyDiv w:val="1"/>
      <w:marLeft w:val="0"/>
      <w:marRight w:val="0"/>
      <w:marTop w:val="0"/>
      <w:marBottom w:val="0"/>
      <w:divBdr>
        <w:top w:val="none" w:sz="0" w:space="0" w:color="auto"/>
        <w:left w:val="none" w:sz="0" w:space="0" w:color="auto"/>
        <w:bottom w:val="none" w:sz="0" w:space="0" w:color="auto"/>
        <w:right w:val="none" w:sz="0" w:space="0" w:color="auto"/>
      </w:divBdr>
      <w:divsChild>
        <w:div w:id="262300974">
          <w:marLeft w:val="0"/>
          <w:marRight w:val="0"/>
          <w:marTop w:val="0"/>
          <w:marBottom w:val="0"/>
          <w:divBdr>
            <w:top w:val="none" w:sz="0" w:space="0" w:color="auto"/>
            <w:left w:val="none" w:sz="0" w:space="0" w:color="auto"/>
            <w:bottom w:val="none" w:sz="0" w:space="0" w:color="auto"/>
            <w:right w:val="none" w:sz="0" w:space="0" w:color="auto"/>
          </w:divBdr>
          <w:divsChild>
            <w:div w:id="796947094">
              <w:marLeft w:val="0"/>
              <w:marRight w:val="0"/>
              <w:marTop w:val="0"/>
              <w:marBottom w:val="0"/>
              <w:divBdr>
                <w:top w:val="none" w:sz="0" w:space="0" w:color="auto"/>
                <w:left w:val="none" w:sz="0" w:space="0" w:color="auto"/>
                <w:bottom w:val="none" w:sz="0" w:space="0" w:color="auto"/>
                <w:right w:val="none" w:sz="0" w:space="0" w:color="auto"/>
              </w:divBdr>
              <w:divsChild>
                <w:div w:id="1368330756">
                  <w:marLeft w:val="0"/>
                  <w:marRight w:val="0"/>
                  <w:marTop w:val="0"/>
                  <w:marBottom w:val="0"/>
                  <w:divBdr>
                    <w:top w:val="none" w:sz="0" w:space="0" w:color="auto"/>
                    <w:left w:val="none" w:sz="0" w:space="0" w:color="auto"/>
                    <w:bottom w:val="none" w:sz="0" w:space="0" w:color="auto"/>
                    <w:right w:val="none" w:sz="0" w:space="0" w:color="auto"/>
                  </w:divBdr>
                  <w:divsChild>
                    <w:div w:id="989746114">
                      <w:marLeft w:val="0"/>
                      <w:marRight w:val="0"/>
                      <w:marTop w:val="0"/>
                      <w:marBottom w:val="0"/>
                      <w:divBdr>
                        <w:top w:val="none" w:sz="0" w:space="0" w:color="auto"/>
                        <w:left w:val="none" w:sz="0" w:space="0" w:color="auto"/>
                        <w:bottom w:val="none" w:sz="0" w:space="0" w:color="auto"/>
                        <w:right w:val="none" w:sz="0" w:space="0" w:color="auto"/>
                      </w:divBdr>
                      <w:divsChild>
                        <w:div w:id="1134447639">
                          <w:marLeft w:val="0"/>
                          <w:marRight w:val="0"/>
                          <w:marTop w:val="0"/>
                          <w:marBottom w:val="0"/>
                          <w:divBdr>
                            <w:top w:val="none" w:sz="0" w:space="0" w:color="auto"/>
                            <w:left w:val="none" w:sz="0" w:space="0" w:color="auto"/>
                            <w:bottom w:val="none" w:sz="0" w:space="0" w:color="auto"/>
                            <w:right w:val="none" w:sz="0" w:space="0" w:color="auto"/>
                          </w:divBdr>
                          <w:divsChild>
                            <w:div w:id="262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72134">
      <w:bodyDiv w:val="1"/>
      <w:marLeft w:val="0"/>
      <w:marRight w:val="0"/>
      <w:marTop w:val="0"/>
      <w:marBottom w:val="0"/>
      <w:divBdr>
        <w:top w:val="none" w:sz="0" w:space="0" w:color="auto"/>
        <w:left w:val="none" w:sz="0" w:space="0" w:color="auto"/>
        <w:bottom w:val="none" w:sz="0" w:space="0" w:color="auto"/>
        <w:right w:val="none" w:sz="0" w:space="0" w:color="auto"/>
      </w:divBdr>
      <w:divsChild>
        <w:div w:id="727146111">
          <w:marLeft w:val="0"/>
          <w:marRight w:val="0"/>
          <w:marTop w:val="0"/>
          <w:marBottom w:val="0"/>
          <w:divBdr>
            <w:top w:val="none" w:sz="0" w:space="0" w:color="auto"/>
            <w:left w:val="none" w:sz="0" w:space="0" w:color="auto"/>
            <w:bottom w:val="none" w:sz="0" w:space="0" w:color="auto"/>
            <w:right w:val="none" w:sz="0" w:space="0" w:color="auto"/>
          </w:divBdr>
          <w:divsChild>
            <w:div w:id="96947667">
              <w:marLeft w:val="0"/>
              <w:marRight w:val="0"/>
              <w:marTop w:val="0"/>
              <w:marBottom w:val="0"/>
              <w:divBdr>
                <w:top w:val="none" w:sz="0" w:space="0" w:color="auto"/>
                <w:left w:val="none" w:sz="0" w:space="0" w:color="auto"/>
                <w:bottom w:val="none" w:sz="0" w:space="0" w:color="auto"/>
                <w:right w:val="none" w:sz="0" w:space="0" w:color="auto"/>
              </w:divBdr>
              <w:divsChild>
                <w:div w:id="1373725539">
                  <w:marLeft w:val="0"/>
                  <w:marRight w:val="0"/>
                  <w:marTop w:val="0"/>
                  <w:marBottom w:val="0"/>
                  <w:divBdr>
                    <w:top w:val="none" w:sz="0" w:space="0" w:color="auto"/>
                    <w:left w:val="none" w:sz="0" w:space="0" w:color="auto"/>
                    <w:bottom w:val="none" w:sz="0" w:space="0" w:color="auto"/>
                    <w:right w:val="none" w:sz="0" w:space="0" w:color="auto"/>
                  </w:divBdr>
                  <w:divsChild>
                    <w:div w:id="251399468">
                      <w:marLeft w:val="0"/>
                      <w:marRight w:val="0"/>
                      <w:marTop w:val="0"/>
                      <w:marBottom w:val="0"/>
                      <w:divBdr>
                        <w:top w:val="none" w:sz="0" w:space="0" w:color="auto"/>
                        <w:left w:val="none" w:sz="0" w:space="0" w:color="auto"/>
                        <w:bottom w:val="none" w:sz="0" w:space="0" w:color="auto"/>
                        <w:right w:val="none" w:sz="0" w:space="0" w:color="auto"/>
                      </w:divBdr>
                      <w:divsChild>
                        <w:div w:id="1795170600">
                          <w:marLeft w:val="0"/>
                          <w:marRight w:val="0"/>
                          <w:marTop w:val="0"/>
                          <w:marBottom w:val="0"/>
                          <w:divBdr>
                            <w:top w:val="none" w:sz="0" w:space="0" w:color="auto"/>
                            <w:left w:val="none" w:sz="0" w:space="0" w:color="auto"/>
                            <w:bottom w:val="none" w:sz="0" w:space="0" w:color="auto"/>
                            <w:right w:val="none" w:sz="0" w:space="0" w:color="auto"/>
                          </w:divBdr>
                          <w:divsChild>
                            <w:div w:id="8382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971029">
      <w:bodyDiv w:val="1"/>
      <w:marLeft w:val="0"/>
      <w:marRight w:val="0"/>
      <w:marTop w:val="0"/>
      <w:marBottom w:val="0"/>
      <w:divBdr>
        <w:top w:val="none" w:sz="0" w:space="0" w:color="auto"/>
        <w:left w:val="none" w:sz="0" w:space="0" w:color="auto"/>
        <w:bottom w:val="none" w:sz="0" w:space="0" w:color="auto"/>
        <w:right w:val="none" w:sz="0" w:space="0" w:color="auto"/>
      </w:divBdr>
    </w:div>
    <w:div w:id="1383362292">
      <w:bodyDiv w:val="1"/>
      <w:marLeft w:val="0"/>
      <w:marRight w:val="0"/>
      <w:marTop w:val="0"/>
      <w:marBottom w:val="0"/>
      <w:divBdr>
        <w:top w:val="none" w:sz="0" w:space="0" w:color="auto"/>
        <w:left w:val="none" w:sz="0" w:space="0" w:color="auto"/>
        <w:bottom w:val="none" w:sz="0" w:space="0" w:color="auto"/>
        <w:right w:val="none" w:sz="0" w:space="0" w:color="auto"/>
      </w:divBdr>
      <w:divsChild>
        <w:div w:id="1305892962">
          <w:marLeft w:val="0"/>
          <w:marRight w:val="0"/>
          <w:marTop w:val="0"/>
          <w:marBottom w:val="0"/>
          <w:divBdr>
            <w:top w:val="none" w:sz="0" w:space="0" w:color="auto"/>
            <w:left w:val="none" w:sz="0" w:space="0" w:color="auto"/>
            <w:bottom w:val="none" w:sz="0" w:space="0" w:color="auto"/>
            <w:right w:val="none" w:sz="0" w:space="0" w:color="auto"/>
          </w:divBdr>
          <w:divsChild>
            <w:div w:id="1208763779">
              <w:marLeft w:val="0"/>
              <w:marRight w:val="0"/>
              <w:marTop w:val="0"/>
              <w:marBottom w:val="0"/>
              <w:divBdr>
                <w:top w:val="none" w:sz="0" w:space="0" w:color="auto"/>
                <w:left w:val="none" w:sz="0" w:space="0" w:color="auto"/>
                <w:bottom w:val="none" w:sz="0" w:space="0" w:color="auto"/>
                <w:right w:val="none" w:sz="0" w:space="0" w:color="auto"/>
              </w:divBdr>
              <w:divsChild>
                <w:div w:id="351536957">
                  <w:marLeft w:val="0"/>
                  <w:marRight w:val="0"/>
                  <w:marTop w:val="0"/>
                  <w:marBottom w:val="0"/>
                  <w:divBdr>
                    <w:top w:val="none" w:sz="0" w:space="0" w:color="auto"/>
                    <w:left w:val="none" w:sz="0" w:space="0" w:color="auto"/>
                    <w:bottom w:val="none" w:sz="0" w:space="0" w:color="auto"/>
                    <w:right w:val="none" w:sz="0" w:space="0" w:color="auto"/>
                  </w:divBdr>
                  <w:divsChild>
                    <w:div w:id="1408529673">
                      <w:marLeft w:val="0"/>
                      <w:marRight w:val="0"/>
                      <w:marTop w:val="0"/>
                      <w:marBottom w:val="0"/>
                      <w:divBdr>
                        <w:top w:val="none" w:sz="0" w:space="0" w:color="auto"/>
                        <w:left w:val="none" w:sz="0" w:space="0" w:color="auto"/>
                        <w:bottom w:val="none" w:sz="0" w:space="0" w:color="auto"/>
                        <w:right w:val="none" w:sz="0" w:space="0" w:color="auto"/>
                      </w:divBdr>
                      <w:divsChild>
                        <w:div w:id="1989940671">
                          <w:marLeft w:val="0"/>
                          <w:marRight w:val="0"/>
                          <w:marTop w:val="0"/>
                          <w:marBottom w:val="0"/>
                          <w:divBdr>
                            <w:top w:val="none" w:sz="0" w:space="0" w:color="auto"/>
                            <w:left w:val="none" w:sz="0" w:space="0" w:color="auto"/>
                            <w:bottom w:val="none" w:sz="0" w:space="0" w:color="auto"/>
                            <w:right w:val="none" w:sz="0" w:space="0" w:color="auto"/>
                          </w:divBdr>
                          <w:divsChild>
                            <w:div w:id="771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08521">
      <w:bodyDiv w:val="1"/>
      <w:marLeft w:val="0"/>
      <w:marRight w:val="0"/>
      <w:marTop w:val="0"/>
      <w:marBottom w:val="0"/>
      <w:divBdr>
        <w:top w:val="none" w:sz="0" w:space="0" w:color="auto"/>
        <w:left w:val="none" w:sz="0" w:space="0" w:color="auto"/>
        <w:bottom w:val="none" w:sz="0" w:space="0" w:color="auto"/>
        <w:right w:val="none" w:sz="0" w:space="0" w:color="auto"/>
      </w:divBdr>
      <w:divsChild>
        <w:div w:id="1600748204">
          <w:marLeft w:val="0"/>
          <w:marRight w:val="0"/>
          <w:marTop w:val="0"/>
          <w:marBottom w:val="0"/>
          <w:divBdr>
            <w:top w:val="none" w:sz="0" w:space="0" w:color="auto"/>
            <w:left w:val="none" w:sz="0" w:space="0" w:color="auto"/>
            <w:bottom w:val="none" w:sz="0" w:space="0" w:color="auto"/>
            <w:right w:val="none" w:sz="0" w:space="0" w:color="auto"/>
          </w:divBdr>
          <w:divsChild>
            <w:div w:id="1464037676">
              <w:marLeft w:val="0"/>
              <w:marRight w:val="0"/>
              <w:marTop w:val="0"/>
              <w:marBottom w:val="0"/>
              <w:divBdr>
                <w:top w:val="none" w:sz="0" w:space="0" w:color="auto"/>
                <w:left w:val="none" w:sz="0" w:space="0" w:color="auto"/>
                <w:bottom w:val="none" w:sz="0" w:space="0" w:color="auto"/>
                <w:right w:val="none" w:sz="0" w:space="0" w:color="auto"/>
              </w:divBdr>
              <w:divsChild>
                <w:div w:id="342364560">
                  <w:marLeft w:val="0"/>
                  <w:marRight w:val="0"/>
                  <w:marTop w:val="0"/>
                  <w:marBottom w:val="0"/>
                  <w:divBdr>
                    <w:top w:val="none" w:sz="0" w:space="0" w:color="auto"/>
                    <w:left w:val="none" w:sz="0" w:space="0" w:color="auto"/>
                    <w:bottom w:val="none" w:sz="0" w:space="0" w:color="auto"/>
                    <w:right w:val="none" w:sz="0" w:space="0" w:color="auto"/>
                  </w:divBdr>
                  <w:divsChild>
                    <w:div w:id="996617550">
                      <w:marLeft w:val="0"/>
                      <w:marRight w:val="0"/>
                      <w:marTop w:val="0"/>
                      <w:marBottom w:val="0"/>
                      <w:divBdr>
                        <w:top w:val="none" w:sz="0" w:space="0" w:color="auto"/>
                        <w:left w:val="none" w:sz="0" w:space="0" w:color="auto"/>
                        <w:bottom w:val="none" w:sz="0" w:space="0" w:color="auto"/>
                        <w:right w:val="none" w:sz="0" w:space="0" w:color="auto"/>
                      </w:divBdr>
                      <w:divsChild>
                        <w:div w:id="1685596665">
                          <w:marLeft w:val="0"/>
                          <w:marRight w:val="0"/>
                          <w:marTop w:val="0"/>
                          <w:marBottom w:val="0"/>
                          <w:divBdr>
                            <w:top w:val="none" w:sz="0" w:space="0" w:color="auto"/>
                            <w:left w:val="none" w:sz="0" w:space="0" w:color="auto"/>
                            <w:bottom w:val="none" w:sz="0" w:space="0" w:color="auto"/>
                            <w:right w:val="none" w:sz="0" w:space="0" w:color="auto"/>
                          </w:divBdr>
                          <w:divsChild>
                            <w:div w:id="233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03201">
      <w:bodyDiv w:val="1"/>
      <w:marLeft w:val="0"/>
      <w:marRight w:val="0"/>
      <w:marTop w:val="0"/>
      <w:marBottom w:val="0"/>
      <w:divBdr>
        <w:top w:val="none" w:sz="0" w:space="0" w:color="auto"/>
        <w:left w:val="none" w:sz="0" w:space="0" w:color="auto"/>
        <w:bottom w:val="none" w:sz="0" w:space="0" w:color="auto"/>
        <w:right w:val="none" w:sz="0" w:space="0" w:color="auto"/>
      </w:divBdr>
      <w:divsChild>
        <w:div w:id="1235434396">
          <w:marLeft w:val="0"/>
          <w:marRight w:val="0"/>
          <w:marTop w:val="0"/>
          <w:marBottom w:val="0"/>
          <w:divBdr>
            <w:top w:val="none" w:sz="0" w:space="0" w:color="auto"/>
            <w:left w:val="none" w:sz="0" w:space="0" w:color="auto"/>
            <w:bottom w:val="none" w:sz="0" w:space="0" w:color="auto"/>
            <w:right w:val="none" w:sz="0" w:space="0" w:color="auto"/>
          </w:divBdr>
          <w:divsChild>
            <w:div w:id="776563805">
              <w:marLeft w:val="0"/>
              <w:marRight w:val="0"/>
              <w:marTop w:val="0"/>
              <w:marBottom w:val="0"/>
              <w:divBdr>
                <w:top w:val="none" w:sz="0" w:space="0" w:color="auto"/>
                <w:left w:val="none" w:sz="0" w:space="0" w:color="auto"/>
                <w:bottom w:val="none" w:sz="0" w:space="0" w:color="auto"/>
                <w:right w:val="none" w:sz="0" w:space="0" w:color="auto"/>
              </w:divBdr>
              <w:divsChild>
                <w:div w:id="104157911">
                  <w:marLeft w:val="0"/>
                  <w:marRight w:val="0"/>
                  <w:marTop w:val="0"/>
                  <w:marBottom w:val="0"/>
                  <w:divBdr>
                    <w:top w:val="none" w:sz="0" w:space="0" w:color="auto"/>
                    <w:left w:val="none" w:sz="0" w:space="0" w:color="auto"/>
                    <w:bottom w:val="none" w:sz="0" w:space="0" w:color="auto"/>
                    <w:right w:val="none" w:sz="0" w:space="0" w:color="auto"/>
                  </w:divBdr>
                  <w:divsChild>
                    <w:div w:id="498037958">
                      <w:marLeft w:val="0"/>
                      <w:marRight w:val="0"/>
                      <w:marTop w:val="0"/>
                      <w:marBottom w:val="0"/>
                      <w:divBdr>
                        <w:top w:val="none" w:sz="0" w:space="0" w:color="auto"/>
                        <w:left w:val="none" w:sz="0" w:space="0" w:color="auto"/>
                        <w:bottom w:val="none" w:sz="0" w:space="0" w:color="auto"/>
                        <w:right w:val="none" w:sz="0" w:space="0" w:color="auto"/>
                      </w:divBdr>
                      <w:divsChild>
                        <w:div w:id="694766695">
                          <w:marLeft w:val="0"/>
                          <w:marRight w:val="0"/>
                          <w:marTop w:val="0"/>
                          <w:marBottom w:val="0"/>
                          <w:divBdr>
                            <w:top w:val="none" w:sz="0" w:space="0" w:color="auto"/>
                            <w:left w:val="none" w:sz="0" w:space="0" w:color="auto"/>
                            <w:bottom w:val="none" w:sz="0" w:space="0" w:color="auto"/>
                            <w:right w:val="none" w:sz="0" w:space="0" w:color="auto"/>
                          </w:divBdr>
                          <w:divsChild>
                            <w:div w:id="1055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15357">
      <w:bodyDiv w:val="1"/>
      <w:marLeft w:val="0"/>
      <w:marRight w:val="0"/>
      <w:marTop w:val="0"/>
      <w:marBottom w:val="0"/>
      <w:divBdr>
        <w:top w:val="none" w:sz="0" w:space="0" w:color="auto"/>
        <w:left w:val="none" w:sz="0" w:space="0" w:color="auto"/>
        <w:bottom w:val="none" w:sz="0" w:space="0" w:color="auto"/>
        <w:right w:val="none" w:sz="0" w:space="0" w:color="auto"/>
      </w:divBdr>
      <w:divsChild>
        <w:div w:id="1287664319">
          <w:marLeft w:val="0"/>
          <w:marRight w:val="0"/>
          <w:marTop w:val="0"/>
          <w:marBottom w:val="0"/>
          <w:divBdr>
            <w:top w:val="none" w:sz="0" w:space="0" w:color="auto"/>
            <w:left w:val="none" w:sz="0" w:space="0" w:color="auto"/>
            <w:bottom w:val="none" w:sz="0" w:space="0" w:color="auto"/>
            <w:right w:val="none" w:sz="0" w:space="0" w:color="auto"/>
          </w:divBdr>
          <w:divsChild>
            <w:div w:id="383263258">
              <w:marLeft w:val="0"/>
              <w:marRight w:val="0"/>
              <w:marTop w:val="0"/>
              <w:marBottom w:val="0"/>
              <w:divBdr>
                <w:top w:val="none" w:sz="0" w:space="0" w:color="auto"/>
                <w:left w:val="none" w:sz="0" w:space="0" w:color="auto"/>
                <w:bottom w:val="none" w:sz="0" w:space="0" w:color="auto"/>
                <w:right w:val="none" w:sz="0" w:space="0" w:color="auto"/>
              </w:divBdr>
              <w:divsChild>
                <w:div w:id="373963967">
                  <w:marLeft w:val="0"/>
                  <w:marRight w:val="0"/>
                  <w:marTop w:val="0"/>
                  <w:marBottom w:val="0"/>
                  <w:divBdr>
                    <w:top w:val="none" w:sz="0" w:space="0" w:color="auto"/>
                    <w:left w:val="none" w:sz="0" w:space="0" w:color="auto"/>
                    <w:bottom w:val="none" w:sz="0" w:space="0" w:color="auto"/>
                    <w:right w:val="none" w:sz="0" w:space="0" w:color="auto"/>
                  </w:divBdr>
                  <w:divsChild>
                    <w:div w:id="522208765">
                      <w:marLeft w:val="0"/>
                      <w:marRight w:val="0"/>
                      <w:marTop w:val="0"/>
                      <w:marBottom w:val="0"/>
                      <w:divBdr>
                        <w:top w:val="none" w:sz="0" w:space="0" w:color="auto"/>
                        <w:left w:val="none" w:sz="0" w:space="0" w:color="auto"/>
                        <w:bottom w:val="none" w:sz="0" w:space="0" w:color="auto"/>
                        <w:right w:val="none" w:sz="0" w:space="0" w:color="auto"/>
                      </w:divBdr>
                      <w:divsChild>
                        <w:div w:id="1543443011">
                          <w:marLeft w:val="0"/>
                          <w:marRight w:val="0"/>
                          <w:marTop w:val="0"/>
                          <w:marBottom w:val="0"/>
                          <w:divBdr>
                            <w:top w:val="none" w:sz="0" w:space="0" w:color="auto"/>
                            <w:left w:val="none" w:sz="0" w:space="0" w:color="auto"/>
                            <w:bottom w:val="none" w:sz="0" w:space="0" w:color="auto"/>
                            <w:right w:val="none" w:sz="0" w:space="0" w:color="auto"/>
                          </w:divBdr>
                          <w:divsChild>
                            <w:div w:id="6858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9744444">
      <w:bodyDiv w:val="1"/>
      <w:marLeft w:val="0"/>
      <w:marRight w:val="0"/>
      <w:marTop w:val="0"/>
      <w:marBottom w:val="0"/>
      <w:divBdr>
        <w:top w:val="none" w:sz="0" w:space="0" w:color="auto"/>
        <w:left w:val="none" w:sz="0" w:space="0" w:color="auto"/>
        <w:bottom w:val="none" w:sz="0" w:space="0" w:color="auto"/>
        <w:right w:val="none" w:sz="0" w:space="0" w:color="auto"/>
      </w:divBdr>
      <w:divsChild>
        <w:div w:id="1773476391">
          <w:marLeft w:val="0"/>
          <w:marRight w:val="0"/>
          <w:marTop w:val="0"/>
          <w:marBottom w:val="0"/>
          <w:divBdr>
            <w:top w:val="none" w:sz="0" w:space="0" w:color="auto"/>
            <w:left w:val="none" w:sz="0" w:space="0" w:color="auto"/>
            <w:bottom w:val="none" w:sz="0" w:space="0" w:color="auto"/>
            <w:right w:val="none" w:sz="0" w:space="0" w:color="auto"/>
          </w:divBdr>
          <w:divsChild>
            <w:div w:id="22829248">
              <w:marLeft w:val="0"/>
              <w:marRight w:val="0"/>
              <w:marTop w:val="0"/>
              <w:marBottom w:val="0"/>
              <w:divBdr>
                <w:top w:val="none" w:sz="0" w:space="0" w:color="auto"/>
                <w:left w:val="none" w:sz="0" w:space="0" w:color="auto"/>
                <w:bottom w:val="none" w:sz="0" w:space="0" w:color="auto"/>
                <w:right w:val="none" w:sz="0" w:space="0" w:color="auto"/>
              </w:divBdr>
              <w:divsChild>
                <w:div w:id="1992636980">
                  <w:marLeft w:val="0"/>
                  <w:marRight w:val="0"/>
                  <w:marTop w:val="0"/>
                  <w:marBottom w:val="0"/>
                  <w:divBdr>
                    <w:top w:val="none" w:sz="0" w:space="0" w:color="auto"/>
                    <w:left w:val="none" w:sz="0" w:space="0" w:color="auto"/>
                    <w:bottom w:val="none" w:sz="0" w:space="0" w:color="auto"/>
                    <w:right w:val="none" w:sz="0" w:space="0" w:color="auto"/>
                  </w:divBdr>
                  <w:divsChild>
                    <w:div w:id="903297935">
                      <w:marLeft w:val="0"/>
                      <w:marRight w:val="0"/>
                      <w:marTop w:val="0"/>
                      <w:marBottom w:val="0"/>
                      <w:divBdr>
                        <w:top w:val="none" w:sz="0" w:space="0" w:color="auto"/>
                        <w:left w:val="none" w:sz="0" w:space="0" w:color="auto"/>
                        <w:bottom w:val="none" w:sz="0" w:space="0" w:color="auto"/>
                        <w:right w:val="none" w:sz="0" w:space="0" w:color="auto"/>
                      </w:divBdr>
                      <w:divsChild>
                        <w:div w:id="180097403">
                          <w:marLeft w:val="0"/>
                          <w:marRight w:val="0"/>
                          <w:marTop w:val="0"/>
                          <w:marBottom w:val="0"/>
                          <w:divBdr>
                            <w:top w:val="none" w:sz="0" w:space="0" w:color="auto"/>
                            <w:left w:val="none" w:sz="0" w:space="0" w:color="auto"/>
                            <w:bottom w:val="none" w:sz="0" w:space="0" w:color="auto"/>
                            <w:right w:val="none" w:sz="0" w:space="0" w:color="auto"/>
                          </w:divBdr>
                          <w:divsChild>
                            <w:div w:id="1776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42881">
      <w:bodyDiv w:val="1"/>
      <w:marLeft w:val="0"/>
      <w:marRight w:val="0"/>
      <w:marTop w:val="0"/>
      <w:marBottom w:val="0"/>
      <w:divBdr>
        <w:top w:val="none" w:sz="0" w:space="0" w:color="auto"/>
        <w:left w:val="none" w:sz="0" w:space="0" w:color="auto"/>
        <w:bottom w:val="none" w:sz="0" w:space="0" w:color="auto"/>
        <w:right w:val="none" w:sz="0" w:space="0" w:color="auto"/>
      </w:divBdr>
      <w:divsChild>
        <w:div w:id="152064525">
          <w:marLeft w:val="0"/>
          <w:marRight w:val="0"/>
          <w:marTop w:val="0"/>
          <w:marBottom w:val="0"/>
          <w:divBdr>
            <w:top w:val="none" w:sz="0" w:space="0" w:color="auto"/>
            <w:left w:val="none" w:sz="0" w:space="0" w:color="auto"/>
            <w:bottom w:val="none" w:sz="0" w:space="0" w:color="auto"/>
            <w:right w:val="none" w:sz="0" w:space="0" w:color="auto"/>
          </w:divBdr>
          <w:divsChild>
            <w:div w:id="1553692467">
              <w:marLeft w:val="0"/>
              <w:marRight w:val="0"/>
              <w:marTop w:val="0"/>
              <w:marBottom w:val="0"/>
              <w:divBdr>
                <w:top w:val="none" w:sz="0" w:space="0" w:color="auto"/>
                <w:left w:val="none" w:sz="0" w:space="0" w:color="auto"/>
                <w:bottom w:val="none" w:sz="0" w:space="0" w:color="auto"/>
                <w:right w:val="none" w:sz="0" w:space="0" w:color="auto"/>
              </w:divBdr>
              <w:divsChild>
                <w:div w:id="344215613">
                  <w:marLeft w:val="0"/>
                  <w:marRight w:val="0"/>
                  <w:marTop w:val="0"/>
                  <w:marBottom w:val="0"/>
                  <w:divBdr>
                    <w:top w:val="none" w:sz="0" w:space="0" w:color="auto"/>
                    <w:left w:val="none" w:sz="0" w:space="0" w:color="auto"/>
                    <w:bottom w:val="none" w:sz="0" w:space="0" w:color="auto"/>
                    <w:right w:val="none" w:sz="0" w:space="0" w:color="auto"/>
                  </w:divBdr>
                  <w:divsChild>
                    <w:div w:id="475532910">
                      <w:marLeft w:val="0"/>
                      <w:marRight w:val="0"/>
                      <w:marTop w:val="0"/>
                      <w:marBottom w:val="0"/>
                      <w:divBdr>
                        <w:top w:val="none" w:sz="0" w:space="0" w:color="auto"/>
                        <w:left w:val="none" w:sz="0" w:space="0" w:color="auto"/>
                        <w:bottom w:val="none" w:sz="0" w:space="0" w:color="auto"/>
                        <w:right w:val="none" w:sz="0" w:space="0" w:color="auto"/>
                      </w:divBdr>
                      <w:divsChild>
                        <w:div w:id="1053576134">
                          <w:marLeft w:val="0"/>
                          <w:marRight w:val="0"/>
                          <w:marTop w:val="0"/>
                          <w:marBottom w:val="0"/>
                          <w:divBdr>
                            <w:top w:val="none" w:sz="0" w:space="0" w:color="auto"/>
                            <w:left w:val="none" w:sz="0" w:space="0" w:color="auto"/>
                            <w:bottom w:val="none" w:sz="0" w:space="0" w:color="auto"/>
                            <w:right w:val="none" w:sz="0" w:space="0" w:color="auto"/>
                          </w:divBdr>
                          <w:divsChild>
                            <w:div w:id="16614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42517">
      <w:bodyDiv w:val="1"/>
      <w:marLeft w:val="0"/>
      <w:marRight w:val="0"/>
      <w:marTop w:val="0"/>
      <w:marBottom w:val="0"/>
      <w:divBdr>
        <w:top w:val="none" w:sz="0" w:space="0" w:color="auto"/>
        <w:left w:val="none" w:sz="0" w:space="0" w:color="auto"/>
        <w:bottom w:val="none" w:sz="0" w:space="0" w:color="auto"/>
        <w:right w:val="none" w:sz="0" w:space="0" w:color="auto"/>
      </w:divBdr>
      <w:divsChild>
        <w:div w:id="1090585513">
          <w:marLeft w:val="0"/>
          <w:marRight w:val="0"/>
          <w:marTop w:val="0"/>
          <w:marBottom w:val="0"/>
          <w:divBdr>
            <w:top w:val="none" w:sz="0" w:space="0" w:color="auto"/>
            <w:left w:val="none" w:sz="0" w:space="0" w:color="auto"/>
            <w:bottom w:val="none" w:sz="0" w:space="0" w:color="auto"/>
            <w:right w:val="none" w:sz="0" w:space="0" w:color="auto"/>
          </w:divBdr>
          <w:divsChild>
            <w:div w:id="580600591">
              <w:marLeft w:val="0"/>
              <w:marRight w:val="0"/>
              <w:marTop w:val="0"/>
              <w:marBottom w:val="0"/>
              <w:divBdr>
                <w:top w:val="none" w:sz="0" w:space="0" w:color="auto"/>
                <w:left w:val="none" w:sz="0" w:space="0" w:color="auto"/>
                <w:bottom w:val="none" w:sz="0" w:space="0" w:color="auto"/>
                <w:right w:val="none" w:sz="0" w:space="0" w:color="auto"/>
              </w:divBdr>
              <w:divsChild>
                <w:div w:id="1258713690">
                  <w:marLeft w:val="0"/>
                  <w:marRight w:val="0"/>
                  <w:marTop w:val="0"/>
                  <w:marBottom w:val="0"/>
                  <w:divBdr>
                    <w:top w:val="none" w:sz="0" w:space="0" w:color="auto"/>
                    <w:left w:val="none" w:sz="0" w:space="0" w:color="auto"/>
                    <w:bottom w:val="none" w:sz="0" w:space="0" w:color="auto"/>
                    <w:right w:val="none" w:sz="0" w:space="0" w:color="auto"/>
                  </w:divBdr>
                  <w:divsChild>
                    <w:div w:id="1574776897">
                      <w:marLeft w:val="0"/>
                      <w:marRight w:val="0"/>
                      <w:marTop w:val="0"/>
                      <w:marBottom w:val="0"/>
                      <w:divBdr>
                        <w:top w:val="none" w:sz="0" w:space="0" w:color="auto"/>
                        <w:left w:val="none" w:sz="0" w:space="0" w:color="auto"/>
                        <w:bottom w:val="none" w:sz="0" w:space="0" w:color="auto"/>
                        <w:right w:val="none" w:sz="0" w:space="0" w:color="auto"/>
                      </w:divBdr>
                      <w:divsChild>
                        <w:div w:id="981539961">
                          <w:marLeft w:val="0"/>
                          <w:marRight w:val="0"/>
                          <w:marTop w:val="0"/>
                          <w:marBottom w:val="0"/>
                          <w:divBdr>
                            <w:top w:val="none" w:sz="0" w:space="0" w:color="auto"/>
                            <w:left w:val="none" w:sz="0" w:space="0" w:color="auto"/>
                            <w:bottom w:val="none" w:sz="0" w:space="0" w:color="auto"/>
                            <w:right w:val="none" w:sz="0" w:space="0" w:color="auto"/>
                          </w:divBdr>
                          <w:divsChild>
                            <w:div w:id="19105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09930">
      <w:bodyDiv w:val="1"/>
      <w:marLeft w:val="0"/>
      <w:marRight w:val="0"/>
      <w:marTop w:val="0"/>
      <w:marBottom w:val="0"/>
      <w:divBdr>
        <w:top w:val="none" w:sz="0" w:space="0" w:color="auto"/>
        <w:left w:val="none" w:sz="0" w:space="0" w:color="auto"/>
        <w:bottom w:val="none" w:sz="0" w:space="0" w:color="auto"/>
        <w:right w:val="none" w:sz="0" w:space="0" w:color="auto"/>
      </w:divBdr>
      <w:divsChild>
        <w:div w:id="731781238">
          <w:marLeft w:val="0"/>
          <w:marRight w:val="0"/>
          <w:marTop w:val="0"/>
          <w:marBottom w:val="0"/>
          <w:divBdr>
            <w:top w:val="none" w:sz="0" w:space="0" w:color="auto"/>
            <w:left w:val="none" w:sz="0" w:space="0" w:color="auto"/>
            <w:bottom w:val="none" w:sz="0" w:space="0" w:color="auto"/>
            <w:right w:val="none" w:sz="0" w:space="0" w:color="auto"/>
          </w:divBdr>
          <w:divsChild>
            <w:div w:id="1463695368">
              <w:marLeft w:val="0"/>
              <w:marRight w:val="0"/>
              <w:marTop w:val="0"/>
              <w:marBottom w:val="0"/>
              <w:divBdr>
                <w:top w:val="none" w:sz="0" w:space="0" w:color="auto"/>
                <w:left w:val="none" w:sz="0" w:space="0" w:color="auto"/>
                <w:bottom w:val="none" w:sz="0" w:space="0" w:color="auto"/>
                <w:right w:val="none" w:sz="0" w:space="0" w:color="auto"/>
              </w:divBdr>
              <w:divsChild>
                <w:div w:id="1850876482">
                  <w:marLeft w:val="0"/>
                  <w:marRight w:val="0"/>
                  <w:marTop w:val="0"/>
                  <w:marBottom w:val="0"/>
                  <w:divBdr>
                    <w:top w:val="none" w:sz="0" w:space="0" w:color="auto"/>
                    <w:left w:val="none" w:sz="0" w:space="0" w:color="auto"/>
                    <w:bottom w:val="none" w:sz="0" w:space="0" w:color="auto"/>
                    <w:right w:val="none" w:sz="0" w:space="0" w:color="auto"/>
                  </w:divBdr>
                  <w:divsChild>
                    <w:div w:id="1693261425">
                      <w:marLeft w:val="0"/>
                      <w:marRight w:val="0"/>
                      <w:marTop w:val="0"/>
                      <w:marBottom w:val="0"/>
                      <w:divBdr>
                        <w:top w:val="none" w:sz="0" w:space="0" w:color="auto"/>
                        <w:left w:val="none" w:sz="0" w:space="0" w:color="auto"/>
                        <w:bottom w:val="none" w:sz="0" w:space="0" w:color="auto"/>
                        <w:right w:val="none" w:sz="0" w:space="0" w:color="auto"/>
                      </w:divBdr>
                      <w:divsChild>
                        <w:div w:id="886181388">
                          <w:marLeft w:val="0"/>
                          <w:marRight w:val="0"/>
                          <w:marTop w:val="0"/>
                          <w:marBottom w:val="0"/>
                          <w:divBdr>
                            <w:top w:val="none" w:sz="0" w:space="0" w:color="auto"/>
                            <w:left w:val="none" w:sz="0" w:space="0" w:color="auto"/>
                            <w:bottom w:val="none" w:sz="0" w:space="0" w:color="auto"/>
                            <w:right w:val="none" w:sz="0" w:space="0" w:color="auto"/>
                          </w:divBdr>
                          <w:divsChild>
                            <w:div w:id="17921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039463">
      <w:bodyDiv w:val="1"/>
      <w:marLeft w:val="0"/>
      <w:marRight w:val="0"/>
      <w:marTop w:val="0"/>
      <w:marBottom w:val="0"/>
      <w:divBdr>
        <w:top w:val="none" w:sz="0" w:space="0" w:color="auto"/>
        <w:left w:val="none" w:sz="0" w:space="0" w:color="auto"/>
        <w:bottom w:val="none" w:sz="0" w:space="0" w:color="auto"/>
        <w:right w:val="none" w:sz="0" w:space="0" w:color="auto"/>
      </w:divBdr>
      <w:divsChild>
        <w:div w:id="977884299">
          <w:marLeft w:val="0"/>
          <w:marRight w:val="0"/>
          <w:marTop w:val="0"/>
          <w:marBottom w:val="0"/>
          <w:divBdr>
            <w:top w:val="none" w:sz="0" w:space="0" w:color="auto"/>
            <w:left w:val="none" w:sz="0" w:space="0" w:color="auto"/>
            <w:bottom w:val="none" w:sz="0" w:space="0" w:color="auto"/>
            <w:right w:val="none" w:sz="0" w:space="0" w:color="auto"/>
          </w:divBdr>
          <w:divsChild>
            <w:div w:id="2145728444">
              <w:marLeft w:val="0"/>
              <w:marRight w:val="0"/>
              <w:marTop w:val="0"/>
              <w:marBottom w:val="0"/>
              <w:divBdr>
                <w:top w:val="none" w:sz="0" w:space="0" w:color="auto"/>
                <w:left w:val="none" w:sz="0" w:space="0" w:color="auto"/>
                <w:bottom w:val="none" w:sz="0" w:space="0" w:color="auto"/>
                <w:right w:val="none" w:sz="0" w:space="0" w:color="auto"/>
              </w:divBdr>
              <w:divsChild>
                <w:div w:id="1892424342">
                  <w:marLeft w:val="0"/>
                  <w:marRight w:val="0"/>
                  <w:marTop w:val="0"/>
                  <w:marBottom w:val="0"/>
                  <w:divBdr>
                    <w:top w:val="none" w:sz="0" w:space="0" w:color="auto"/>
                    <w:left w:val="none" w:sz="0" w:space="0" w:color="auto"/>
                    <w:bottom w:val="none" w:sz="0" w:space="0" w:color="auto"/>
                    <w:right w:val="none" w:sz="0" w:space="0" w:color="auto"/>
                  </w:divBdr>
                  <w:divsChild>
                    <w:div w:id="1288047046">
                      <w:marLeft w:val="0"/>
                      <w:marRight w:val="0"/>
                      <w:marTop w:val="0"/>
                      <w:marBottom w:val="0"/>
                      <w:divBdr>
                        <w:top w:val="none" w:sz="0" w:space="0" w:color="auto"/>
                        <w:left w:val="none" w:sz="0" w:space="0" w:color="auto"/>
                        <w:bottom w:val="none" w:sz="0" w:space="0" w:color="auto"/>
                        <w:right w:val="none" w:sz="0" w:space="0" w:color="auto"/>
                      </w:divBdr>
                      <w:divsChild>
                        <w:div w:id="1948390517">
                          <w:marLeft w:val="0"/>
                          <w:marRight w:val="0"/>
                          <w:marTop w:val="0"/>
                          <w:marBottom w:val="0"/>
                          <w:divBdr>
                            <w:top w:val="none" w:sz="0" w:space="0" w:color="auto"/>
                            <w:left w:val="none" w:sz="0" w:space="0" w:color="auto"/>
                            <w:bottom w:val="none" w:sz="0" w:space="0" w:color="auto"/>
                            <w:right w:val="none" w:sz="0" w:space="0" w:color="auto"/>
                          </w:divBdr>
                          <w:divsChild>
                            <w:div w:id="11889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98299">
      <w:bodyDiv w:val="1"/>
      <w:marLeft w:val="0"/>
      <w:marRight w:val="0"/>
      <w:marTop w:val="0"/>
      <w:marBottom w:val="0"/>
      <w:divBdr>
        <w:top w:val="none" w:sz="0" w:space="0" w:color="auto"/>
        <w:left w:val="none" w:sz="0" w:space="0" w:color="auto"/>
        <w:bottom w:val="none" w:sz="0" w:space="0" w:color="auto"/>
        <w:right w:val="none" w:sz="0" w:space="0" w:color="auto"/>
      </w:divBdr>
      <w:divsChild>
        <w:div w:id="897936821">
          <w:marLeft w:val="0"/>
          <w:marRight w:val="0"/>
          <w:marTop w:val="0"/>
          <w:marBottom w:val="0"/>
          <w:divBdr>
            <w:top w:val="none" w:sz="0" w:space="0" w:color="auto"/>
            <w:left w:val="none" w:sz="0" w:space="0" w:color="auto"/>
            <w:bottom w:val="none" w:sz="0" w:space="0" w:color="auto"/>
            <w:right w:val="none" w:sz="0" w:space="0" w:color="auto"/>
          </w:divBdr>
          <w:divsChild>
            <w:div w:id="701980166">
              <w:marLeft w:val="0"/>
              <w:marRight w:val="0"/>
              <w:marTop w:val="0"/>
              <w:marBottom w:val="0"/>
              <w:divBdr>
                <w:top w:val="none" w:sz="0" w:space="0" w:color="auto"/>
                <w:left w:val="none" w:sz="0" w:space="0" w:color="auto"/>
                <w:bottom w:val="none" w:sz="0" w:space="0" w:color="auto"/>
                <w:right w:val="none" w:sz="0" w:space="0" w:color="auto"/>
              </w:divBdr>
              <w:divsChild>
                <w:div w:id="1692953795">
                  <w:marLeft w:val="0"/>
                  <w:marRight w:val="0"/>
                  <w:marTop w:val="0"/>
                  <w:marBottom w:val="0"/>
                  <w:divBdr>
                    <w:top w:val="none" w:sz="0" w:space="0" w:color="auto"/>
                    <w:left w:val="none" w:sz="0" w:space="0" w:color="auto"/>
                    <w:bottom w:val="none" w:sz="0" w:space="0" w:color="auto"/>
                    <w:right w:val="none" w:sz="0" w:space="0" w:color="auto"/>
                  </w:divBdr>
                  <w:divsChild>
                    <w:div w:id="1554191357">
                      <w:marLeft w:val="0"/>
                      <w:marRight w:val="0"/>
                      <w:marTop w:val="0"/>
                      <w:marBottom w:val="0"/>
                      <w:divBdr>
                        <w:top w:val="none" w:sz="0" w:space="0" w:color="auto"/>
                        <w:left w:val="none" w:sz="0" w:space="0" w:color="auto"/>
                        <w:bottom w:val="none" w:sz="0" w:space="0" w:color="auto"/>
                        <w:right w:val="none" w:sz="0" w:space="0" w:color="auto"/>
                      </w:divBdr>
                      <w:divsChild>
                        <w:div w:id="1486359345">
                          <w:marLeft w:val="0"/>
                          <w:marRight w:val="0"/>
                          <w:marTop w:val="0"/>
                          <w:marBottom w:val="0"/>
                          <w:divBdr>
                            <w:top w:val="none" w:sz="0" w:space="0" w:color="auto"/>
                            <w:left w:val="none" w:sz="0" w:space="0" w:color="auto"/>
                            <w:bottom w:val="none" w:sz="0" w:space="0" w:color="auto"/>
                            <w:right w:val="none" w:sz="0" w:space="0" w:color="auto"/>
                          </w:divBdr>
                          <w:divsChild>
                            <w:div w:id="9933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84369">
      <w:bodyDiv w:val="1"/>
      <w:marLeft w:val="0"/>
      <w:marRight w:val="0"/>
      <w:marTop w:val="0"/>
      <w:marBottom w:val="0"/>
      <w:divBdr>
        <w:top w:val="none" w:sz="0" w:space="0" w:color="auto"/>
        <w:left w:val="none" w:sz="0" w:space="0" w:color="auto"/>
        <w:bottom w:val="none" w:sz="0" w:space="0" w:color="auto"/>
        <w:right w:val="none" w:sz="0" w:space="0" w:color="auto"/>
      </w:divBdr>
      <w:divsChild>
        <w:div w:id="2081518806">
          <w:marLeft w:val="0"/>
          <w:marRight w:val="0"/>
          <w:marTop w:val="0"/>
          <w:marBottom w:val="0"/>
          <w:divBdr>
            <w:top w:val="none" w:sz="0" w:space="0" w:color="auto"/>
            <w:left w:val="none" w:sz="0" w:space="0" w:color="auto"/>
            <w:bottom w:val="none" w:sz="0" w:space="0" w:color="auto"/>
            <w:right w:val="none" w:sz="0" w:space="0" w:color="auto"/>
          </w:divBdr>
          <w:divsChild>
            <w:div w:id="549000537">
              <w:marLeft w:val="0"/>
              <w:marRight w:val="0"/>
              <w:marTop w:val="0"/>
              <w:marBottom w:val="0"/>
              <w:divBdr>
                <w:top w:val="none" w:sz="0" w:space="0" w:color="auto"/>
                <w:left w:val="none" w:sz="0" w:space="0" w:color="auto"/>
                <w:bottom w:val="none" w:sz="0" w:space="0" w:color="auto"/>
                <w:right w:val="none" w:sz="0" w:space="0" w:color="auto"/>
              </w:divBdr>
              <w:divsChild>
                <w:div w:id="98334018">
                  <w:marLeft w:val="0"/>
                  <w:marRight w:val="0"/>
                  <w:marTop w:val="0"/>
                  <w:marBottom w:val="0"/>
                  <w:divBdr>
                    <w:top w:val="none" w:sz="0" w:space="0" w:color="auto"/>
                    <w:left w:val="none" w:sz="0" w:space="0" w:color="auto"/>
                    <w:bottom w:val="none" w:sz="0" w:space="0" w:color="auto"/>
                    <w:right w:val="none" w:sz="0" w:space="0" w:color="auto"/>
                  </w:divBdr>
                  <w:divsChild>
                    <w:div w:id="1645161659">
                      <w:marLeft w:val="0"/>
                      <w:marRight w:val="0"/>
                      <w:marTop w:val="0"/>
                      <w:marBottom w:val="0"/>
                      <w:divBdr>
                        <w:top w:val="none" w:sz="0" w:space="0" w:color="auto"/>
                        <w:left w:val="none" w:sz="0" w:space="0" w:color="auto"/>
                        <w:bottom w:val="none" w:sz="0" w:space="0" w:color="auto"/>
                        <w:right w:val="none" w:sz="0" w:space="0" w:color="auto"/>
                      </w:divBdr>
                      <w:divsChild>
                        <w:div w:id="2095544748">
                          <w:marLeft w:val="0"/>
                          <w:marRight w:val="0"/>
                          <w:marTop w:val="0"/>
                          <w:marBottom w:val="0"/>
                          <w:divBdr>
                            <w:top w:val="none" w:sz="0" w:space="0" w:color="auto"/>
                            <w:left w:val="none" w:sz="0" w:space="0" w:color="auto"/>
                            <w:bottom w:val="none" w:sz="0" w:space="0" w:color="auto"/>
                            <w:right w:val="none" w:sz="0" w:space="0" w:color="auto"/>
                          </w:divBdr>
                          <w:divsChild>
                            <w:div w:id="17500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554A8-04A2-484A-819E-2029E5CB9406}"/>
</file>

<file path=customXml/itemProps2.xml><?xml version="1.0" encoding="utf-8"?>
<ds:datastoreItem xmlns:ds="http://schemas.openxmlformats.org/officeDocument/2006/customXml" ds:itemID="{D03DC1C1-D5BA-49E8-853D-CC8FD4FDCD22}"/>
</file>

<file path=customXml/itemProps3.xml><?xml version="1.0" encoding="utf-8"?>
<ds:datastoreItem xmlns:ds="http://schemas.openxmlformats.org/officeDocument/2006/customXml" ds:itemID="{2B6052D4-8841-4B00-B096-DC9DFBFA5B30}"/>
</file>

<file path=customXml/itemProps4.xml><?xml version="1.0" encoding="utf-8"?>
<ds:datastoreItem xmlns:ds="http://schemas.openxmlformats.org/officeDocument/2006/customXml" ds:itemID="{85A761B5-F2C4-4C2B-BBEC-D0DB4903CD31}"/>
</file>

<file path=docProps/app.xml><?xml version="1.0" encoding="utf-8"?>
<Properties xmlns="http://schemas.openxmlformats.org/officeDocument/2006/extended-properties" xmlns:vt="http://schemas.openxmlformats.org/officeDocument/2006/docPropsVTypes">
  <Template>Normal.dotm</Template>
  <TotalTime>0</TotalTime>
  <Pages>1</Pages>
  <Words>26281</Words>
  <Characters>149803</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2017-09-28T11:06:00Z</cp:lastPrinted>
  <dcterms:created xsi:type="dcterms:W3CDTF">2018-05-30T13:16:00Z</dcterms:created>
  <dcterms:modified xsi:type="dcterms:W3CDTF">2018-05-30T13:16:00Z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10613/16</vt:lpwstr>
  </property>
  <property fmtid="{D5CDD505-2E9C-101B-9397-08002B2CF9AE}" pid="4" name="CASEID">
    <vt:lpwstr>1184111</vt:lpwstr>
  </property>
  <property fmtid="{D5CDD505-2E9C-101B-9397-08002B2CF9AE}" pid="5" name="ContentTypeId">
    <vt:lpwstr>0x010100619F83A6D186D14591065E56FDFCE7B0</vt:lpwstr>
  </property>
</Properties>
</file>