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43453" w14:textId="2C1141F4" w:rsidR="00DF77E8" w:rsidRPr="00C61297" w:rsidRDefault="00DF77E8" w:rsidP="00B84FA0">
      <w:pPr>
        <w:spacing w:line="276" w:lineRule="auto"/>
        <w:jc w:val="center"/>
        <w:rPr>
          <w:rFonts w:cstheme="minorHAnsi"/>
          <w:b/>
          <w:sz w:val="26"/>
          <w:szCs w:val="26"/>
          <w:u w:val="single"/>
        </w:rPr>
      </w:pPr>
      <w:r w:rsidRPr="00C61297">
        <w:rPr>
          <w:rFonts w:cstheme="minorHAnsi"/>
          <w:b/>
          <w:sz w:val="26"/>
          <w:szCs w:val="26"/>
          <w:u w:val="single"/>
        </w:rPr>
        <w:t xml:space="preserve">Submission to </w:t>
      </w:r>
      <w:r w:rsidR="006D21FB">
        <w:rPr>
          <w:rFonts w:cstheme="minorHAnsi"/>
          <w:b/>
          <w:sz w:val="26"/>
          <w:szCs w:val="26"/>
          <w:u w:val="single"/>
        </w:rPr>
        <w:t>the Committee on Economic, Social and Cultural R</w:t>
      </w:r>
      <w:r w:rsidR="00A532AF">
        <w:rPr>
          <w:rFonts w:cstheme="minorHAnsi"/>
          <w:b/>
          <w:sz w:val="26"/>
          <w:szCs w:val="26"/>
          <w:u w:val="single"/>
        </w:rPr>
        <w:t>i</w:t>
      </w:r>
      <w:r w:rsidR="006D21FB">
        <w:rPr>
          <w:rFonts w:cstheme="minorHAnsi"/>
          <w:b/>
          <w:sz w:val="26"/>
          <w:szCs w:val="26"/>
          <w:u w:val="single"/>
        </w:rPr>
        <w:t>ghts</w:t>
      </w:r>
      <w:r w:rsidRPr="00C61297">
        <w:rPr>
          <w:rFonts w:cstheme="minorHAnsi"/>
          <w:b/>
          <w:sz w:val="26"/>
          <w:szCs w:val="26"/>
          <w:u w:val="single"/>
        </w:rPr>
        <w:t xml:space="preserve"> – </w:t>
      </w:r>
      <w:r w:rsidR="006D21FB">
        <w:rPr>
          <w:rFonts w:cstheme="minorHAnsi"/>
          <w:b/>
          <w:sz w:val="26"/>
          <w:szCs w:val="26"/>
          <w:u w:val="single"/>
        </w:rPr>
        <w:t>65</w:t>
      </w:r>
      <w:r w:rsidR="006D21FB" w:rsidRPr="006D21FB">
        <w:rPr>
          <w:rFonts w:cstheme="minorHAnsi"/>
          <w:b/>
          <w:sz w:val="26"/>
          <w:szCs w:val="26"/>
          <w:u w:val="single"/>
          <w:vertAlign w:val="superscript"/>
        </w:rPr>
        <w:t>th</w:t>
      </w:r>
      <w:r w:rsidR="006D21FB">
        <w:rPr>
          <w:rFonts w:cstheme="minorHAnsi"/>
          <w:b/>
          <w:sz w:val="26"/>
          <w:szCs w:val="26"/>
          <w:u w:val="single"/>
        </w:rPr>
        <w:t xml:space="preserve"> </w:t>
      </w:r>
      <w:r w:rsidRPr="00C61297">
        <w:rPr>
          <w:rFonts w:cstheme="minorHAnsi"/>
          <w:b/>
          <w:sz w:val="26"/>
          <w:szCs w:val="26"/>
          <w:u w:val="single"/>
        </w:rPr>
        <w:t>Session (</w:t>
      </w:r>
      <w:r w:rsidR="006D21FB">
        <w:rPr>
          <w:rFonts w:cstheme="minorHAnsi"/>
          <w:b/>
          <w:sz w:val="26"/>
          <w:szCs w:val="26"/>
          <w:u w:val="single"/>
        </w:rPr>
        <w:t>18 February – 8 March 2019</w:t>
      </w:r>
      <w:r w:rsidRPr="00C61297">
        <w:rPr>
          <w:rFonts w:cstheme="minorHAnsi"/>
          <w:b/>
          <w:sz w:val="26"/>
          <w:szCs w:val="26"/>
          <w:u w:val="single"/>
        </w:rPr>
        <w:t>)</w:t>
      </w:r>
    </w:p>
    <w:p w14:paraId="601848BD" w14:textId="77777777" w:rsidR="00DF77E8" w:rsidRDefault="00DF77E8" w:rsidP="00B84FA0">
      <w:pPr>
        <w:spacing w:line="276" w:lineRule="auto"/>
        <w:jc w:val="center"/>
        <w:rPr>
          <w:rFonts w:cstheme="minorHAnsi"/>
          <w:szCs w:val="30"/>
        </w:rPr>
      </w:pPr>
    </w:p>
    <w:p w14:paraId="1EAB6CC7" w14:textId="77777777" w:rsidR="00DF77E8" w:rsidRPr="00C61297" w:rsidRDefault="00DF77E8" w:rsidP="00B84FA0">
      <w:pPr>
        <w:spacing w:line="276" w:lineRule="auto"/>
        <w:jc w:val="center"/>
        <w:rPr>
          <w:rFonts w:cstheme="minorHAnsi"/>
          <w:szCs w:val="30"/>
        </w:rPr>
      </w:pPr>
    </w:p>
    <w:p w14:paraId="3178DA45" w14:textId="77777777" w:rsidR="00DF77E8" w:rsidRPr="00A532AF" w:rsidRDefault="006D21FB" w:rsidP="00B84FA0">
      <w:pPr>
        <w:spacing w:line="276" w:lineRule="auto"/>
        <w:ind w:firstLine="720"/>
        <w:jc w:val="center"/>
        <w:rPr>
          <w:rFonts w:cstheme="minorHAnsi"/>
          <w:sz w:val="28"/>
          <w:szCs w:val="30"/>
        </w:rPr>
      </w:pPr>
      <w:r w:rsidRPr="00A532AF">
        <w:rPr>
          <w:rFonts w:cstheme="minorHAnsi"/>
          <w:sz w:val="28"/>
          <w:szCs w:val="30"/>
        </w:rPr>
        <w:t>BULGARIA</w:t>
      </w:r>
    </w:p>
    <w:p w14:paraId="045A69F4" w14:textId="47B774FB" w:rsidR="006D21FB" w:rsidRPr="006D21FB" w:rsidRDefault="00A532AF" w:rsidP="00B84FA0">
      <w:pPr>
        <w:spacing w:line="276" w:lineRule="auto"/>
        <w:ind w:firstLine="720"/>
        <w:jc w:val="center"/>
        <w:rPr>
          <w:rFonts w:cstheme="minorHAnsi"/>
          <w:color w:val="808080" w:themeColor="background1" w:themeShade="80"/>
          <w:sz w:val="20"/>
        </w:rPr>
      </w:pPr>
      <w:r w:rsidRPr="00A532AF">
        <w:rPr>
          <w:rFonts w:cstheme="minorHAnsi"/>
          <w:color w:val="808080" w:themeColor="background1" w:themeShade="80"/>
          <w:sz w:val="20"/>
        </w:rPr>
        <w:t xml:space="preserve">18 </w:t>
      </w:r>
      <w:r w:rsidR="006D21FB" w:rsidRPr="00A532AF">
        <w:rPr>
          <w:rFonts w:cstheme="minorHAnsi"/>
          <w:color w:val="808080" w:themeColor="background1" w:themeShade="80"/>
          <w:sz w:val="20"/>
        </w:rPr>
        <w:t>January</w:t>
      </w:r>
      <w:r w:rsidR="006D21FB" w:rsidRPr="006D21FB">
        <w:rPr>
          <w:rFonts w:cstheme="minorHAnsi"/>
          <w:color w:val="808080" w:themeColor="background1" w:themeShade="80"/>
          <w:sz w:val="20"/>
        </w:rPr>
        <w:t xml:space="preserve"> 2019</w:t>
      </w:r>
    </w:p>
    <w:p w14:paraId="1B9F63CD" w14:textId="77777777" w:rsidR="00DF77E8" w:rsidRDefault="00DF77E8" w:rsidP="00B84FA0">
      <w:pPr>
        <w:spacing w:line="276" w:lineRule="auto"/>
        <w:rPr>
          <w:rFonts w:cstheme="minorHAnsi"/>
          <w:b/>
          <w:sz w:val="30"/>
          <w:szCs w:val="30"/>
        </w:rPr>
      </w:pPr>
    </w:p>
    <w:p w14:paraId="4CC45EC1" w14:textId="77777777" w:rsidR="00DF77E8" w:rsidRDefault="00DF77E8" w:rsidP="00B84FA0">
      <w:pPr>
        <w:spacing w:line="276" w:lineRule="auto"/>
      </w:pPr>
    </w:p>
    <w:p w14:paraId="2473DD32" w14:textId="151B75AA" w:rsidR="00DF77E8" w:rsidRDefault="00DF77E8" w:rsidP="00B84FA0">
      <w:pPr>
        <w:spacing w:line="276" w:lineRule="auto"/>
        <w:jc w:val="center"/>
      </w:pPr>
      <w:r>
        <w:t xml:space="preserve">Reporting </w:t>
      </w:r>
      <w:r w:rsidR="00A532AF">
        <w:t>Organis</w:t>
      </w:r>
      <w:r w:rsidRPr="00447B43">
        <w:t>ations</w:t>
      </w:r>
      <w:r>
        <w:t>:</w:t>
      </w:r>
    </w:p>
    <w:p w14:paraId="0BF97ACB" w14:textId="77777777" w:rsidR="00DF77E8" w:rsidRDefault="00DF77E8" w:rsidP="00B84FA0">
      <w:pPr>
        <w:spacing w:line="276" w:lineRule="auto"/>
        <w:jc w:val="center"/>
      </w:pPr>
      <w:r w:rsidRPr="002B416D">
        <w:rPr>
          <w:rFonts w:ascii="Calibri" w:hAnsi="Calibri" w:cs="Calibri"/>
          <w:noProof/>
          <w:color w:val="7F7F7F"/>
          <w:spacing w:val="-1"/>
          <w:sz w:val="20"/>
          <w:szCs w:val="20"/>
          <w:lang w:eastAsia="en-GB" w:bidi="bn-IN"/>
        </w:rPr>
        <w:drawing>
          <wp:inline distT="0" distB="0" distL="0" distR="0" wp14:anchorId="5E8B3281" wp14:editId="1D1D7687">
            <wp:extent cx="3177231" cy="7683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8904" cy="768755"/>
                    </a:xfrm>
                    <a:prstGeom prst="rect">
                      <a:avLst/>
                    </a:prstGeom>
                    <a:noFill/>
                    <a:ln>
                      <a:noFill/>
                    </a:ln>
                  </pic:spPr>
                </pic:pic>
              </a:graphicData>
            </a:graphic>
          </wp:inline>
        </w:drawing>
      </w:r>
    </w:p>
    <w:p w14:paraId="7CE876FD" w14:textId="77777777" w:rsidR="00DF77E8" w:rsidRDefault="00DF77E8" w:rsidP="00B84FA0">
      <w:pPr>
        <w:spacing w:line="276" w:lineRule="auto"/>
        <w:jc w:val="center"/>
      </w:pPr>
    </w:p>
    <w:p w14:paraId="7D29BF6B" w14:textId="4E7F0D5C" w:rsidR="00DF77E8" w:rsidRDefault="00DF77E8" w:rsidP="00B84FA0">
      <w:pPr>
        <w:spacing w:after="120" w:line="276" w:lineRule="auto"/>
        <w:contextualSpacing/>
        <w:jc w:val="both"/>
        <w:rPr>
          <w:rFonts w:ascii="Calibri" w:hAnsi="Calibri" w:cs="Calibri"/>
          <w:sz w:val="20"/>
          <w:szCs w:val="20"/>
          <w:shd w:val="clear" w:color="auto" w:fill="FFFFFF"/>
        </w:rPr>
      </w:pPr>
      <w:r w:rsidRPr="007B7716">
        <w:rPr>
          <w:rFonts w:ascii="Calibri" w:hAnsi="Calibri" w:cs="Calibri"/>
          <w:b/>
          <w:sz w:val="20"/>
          <w:szCs w:val="20"/>
        </w:rPr>
        <w:t>Harm Reduction International</w:t>
      </w:r>
      <w:r w:rsidR="00A532AF">
        <w:rPr>
          <w:rFonts w:ascii="Calibri" w:hAnsi="Calibri" w:cs="Calibri"/>
          <w:sz w:val="20"/>
          <w:szCs w:val="20"/>
        </w:rPr>
        <w:t xml:space="preserve"> </w:t>
      </w:r>
      <w:r w:rsidR="00A532AF" w:rsidRPr="00A532AF">
        <w:rPr>
          <w:rFonts w:ascii="Calibri" w:hAnsi="Calibri" w:cs="Calibri"/>
          <w:color w:val="222222"/>
          <w:sz w:val="20"/>
          <w:szCs w:val="20"/>
          <w:shd w:val="clear" w:color="auto" w:fill="FFFFFF"/>
        </w:rPr>
        <w:t>is a leading NGO dedicated to reducing the negative health, social and legal impacts of drug use and drug policy. We promote the rights of people who use drugs and their communities through research and advocacy to help achieve a world where drug policies and laws contribute to healthier, safer societies</w:t>
      </w:r>
      <w:r w:rsidRPr="00A532AF">
        <w:rPr>
          <w:rFonts w:ascii="Calibri" w:hAnsi="Calibri" w:cs="Calibri"/>
          <w:sz w:val="20"/>
          <w:szCs w:val="20"/>
          <w:shd w:val="clear" w:color="auto" w:fill="FFFFFF"/>
        </w:rPr>
        <w:t>.</w:t>
      </w:r>
    </w:p>
    <w:p w14:paraId="45A16149" w14:textId="77777777" w:rsidR="00DF77E8" w:rsidRDefault="00DF77E8" w:rsidP="00B84FA0">
      <w:pPr>
        <w:spacing w:after="120" w:line="276" w:lineRule="auto"/>
        <w:contextualSpacing/>
        <w:jc w:val="both"/>
        <w:rPr>
          <w:rFonts w:ascii="Calibri" w:hAnsi="Calibri" w:cs="Calibri"/>
          <w:sz w:val="20"/>
          <w:szCs w:val="20"/>
          <w:shd w:val="clear" w:color="auto" w:fill="FFFFFF"/>
        </w:rPr>
      </w:pPr>
    </w:p>
    <w:p w14:paraId="5B1DF945" w14:textId="77777777" w:rsidR="00734E0F" w:rsidRDefault="00734E0F" w:rsidP="00B84FA0">
      <w:pPr>
        <w:shd w:val="clear" w:color="auto" w:fill="FFFFFF"/>
        <w:spacing w:after="0" w:line="276" w:lineRule="auto"/>
        <w:contextualSpacing/>
        <w:jc w:val="both"/>
        <w:rPr>
          <w:b/>
          <w:bCs/>
        </w:rPr>
      </w:pPr>
    </w:p>
    <w:p w14:paraId="27F0BE69" w14:textId="77777777" w:rsidR="00734E0F" w:rsidRDefault="00734E0F" w:rsidP="00B84FA0">
      <w:pPr>
        <w:shd w:val="clear" w:color="auto" w:fill="FFFFFF"/>
        <w:spacing w:after="0" w:line="276" w:lineRule="auto"/>
        <w:contextualSpacing/>
        <w:jc w:val="both"/>
        <w:rPr>
          <w:b/>
          <w:bCs/>
        </w:rPr>
      </w:pPr>
    </w:p>
    <w:p w14:paraId="59C57CAA" w14:textId="77777777" w:rsidR="00DF77E8" w:rsidRDefault="00DF77E8" w:rsidP="00B84FA0">
      <w:pPr>
        <w:shd w:val="clear" w:color="auto" w:fill="FFFFFF"/>
        <w:spacing w:after="0" w:line="276" w:lineRule="auto"/>
        <w:contextualSpacing/>
        <w:jc w:val="both"/>
        <w:rPr>
          <w:b/>
          <w:bCs/>
        </w:rPr>
      </w:pPr>
    </w:p>
    <w:p w14:paraId="084C5A48" w14:textId="77777777" w:rsidR="006D21FB" w:rsidRDefault="00AB1475" w:rsidP="00B84FA0">
      <w:pPr>
        <w:shd w:val="clear" w:color="auto" w:fill="FFFFFF"/>
        <w:spacing w:after="0" w:line="276" w:lineRule="auto"/>
        <w:contextualSpacing/>
        <w:jc w:val="center"/>
        <w:rPr>
          <w:b/>
          <w:bCs/>
        </w:rPr>
      </w:pPr>
      <w:r>
        <w:rPr>
          <w:rFonts w:cstheme="minorHAnsi"/>
          <w:b/>
          <w:noProof/>
          <w:sz w:val="26"/>
          <w:szCs w:val="26"/>
          <w:u w:val="single"/>
          <w:lang w:eastAsia="en-GB" w:bidi="bn-IN"/>
        </w:rPr>
        <w:drawing>
          <wp:inline distT="0" distB="0" distL="0" distR="0" wp14:anchorId="0E58CF98" wp14:editId="0020B6B1">
            <wp:extent cx="2476500" cy="790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orHP_VectorLogoBurpleBG_v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8716" cy="800477"/>
                    </a:xfrm>
                    <a:prstGeom prst="rect">
                      <a:avLst/>
                    </a:prstGeom>
                  </pic:spPr>
                </pic:pic>
              </a:graphicData>
            </a:graphic>
          </wp:inline>
        </w:drawing>
      </w:r>
    </w:p>
    <w:p w14:paraId="74302B6F" w14:textId="77777777" w:rsidR="00AB1475" w:rsidRDefault="00AB1475" w:rsidP="00B84FA0">
      <w:pPr>
        <w:spacing w:line="276" w:lineRule="auto"/>
        <w:rPr>
          <w:b/>
          <w:bCs/>
        </w:rPr>
      </w:pPr>
    </w:p>
    <w:p w14:paraId="76FF32C3" w14:textId="65196802" w:rsidR="006D21FB" w:rsidRPr="00AB1475" w:rsidRDefault="00AB1475" w:rsidP="00B84FA0">
      <w:pPr>
        <w:spacing w:line="276" w:lineRule="auto"/>
        <w:jc w:val="both"/>
        <w:rPr>
          <w:b/>
          <w:bCs/>
          <w:sz w:val="20"/>
          <w:szCs w:val="20"/>
        </w:rPr>
      </w:pPr>
      <w:r>
        <w:rPr>
          <w:sz w:val="20"/>
          <w:szCs w:val="20"/>
        </w:rPr>
        <w:t xml:space="preserve">The </w:t>
      </w:r>
      <w:r w:rsidRPr="00AB1475">
        <w:rPr>
          <w:b/>
          <w:bCs/>
          <w:sz w:val="20"/>
          <w:szCs w:val="20"/>
        </w:rPr>
        <w:t>Center for Humane Policy</w:t>
      </w:r>
      <w:r w:rsidRPr="00AB1475">
        <w:rPr>
          <w:sz w:val="20"/>
          <w:szCs w:val="20"/>
        </w:rPr>
        <w:t xml:space="preserve"> was created by leading experts in drug </w:t>
      </w:r>
      <w:r>
        <w:rPr>
          <w:sz w:val="20"/>
          <w:szCs w:val="20"/>
        </w:rPr>
        <w:t>dependence</w:t>
      </w:r>
      <w:r w:rsidRPr="00AB1475">
        <w:rPr>
          <w:sz w:val="20"/>
          <w:szCs w:val="20"/>
        </w:rPr>
        <w:t xml:space="preserve"> and drug policy in Bulgaria. The main goals of the organization are to promote, facilitate and support</w:t>
      </w:r>
      <w:r>
        <w:rPr>
          <w:sz w:val="20"/>
          <w:szCs w:val="20"/>
        </w:rPr>
        <w:t xml:space="preserve"> the</w:t>
      </w:r>
      <w:r w:rsidRPr="00AB1475">
        <w:rPr>
          <w:sz w:val="20"/>
          <w:szCs w:val="20"/>
        </w:rPr>
        <w:t xml:space="preserve"> development of effective, evidence</w:t>
      </w:r>
      <w:r>
        <w:rPr>
          <w:sz w:val="20"/>
          <w:szCs w:val="20"/>
        </w:rPr>
        <w:t>-</w:t>
      </w:r>
      <w:r w:rsidRPr="00AB1475">
        <w:rPr>
          <w:sz w:val="20"/>
          <w:szCs w:val="20"/>
        </w:rPr>
        <w:t xml:space="preserve"> based methods and policies in the field of public health, social ca</w:t>
      </w:r>
      <w:r>
        <w:rPr>
          <w:sz w:val="20"/>
          <w:szCs w:val="20"/>
        </w:rPr>
        <w:t>re and education. T</w:t>
      </w:r>
      <w:r w:rsidRPr="00AB1475">
        <w:rPr>
          <w:sz w:val="20"/>
          <w:szCs w:val="20"/>
        </w:rPr>
        <w:t>he</w:t>
      </w:r>
      <w:r w:rsidR="00A532AF">
        <w:rPr>
          <w:sz w:val="20"/>
          <w:szCs w:val="20"/>
        </w:rPr>
        <w:t xml:space="preserve"> Cent</w:t>
      </w:r>
      <w:r>
        <w:rPr>
          <w:sz w:val="20"/>
          <w:szCs w:val="20"/>
        </w:rPr>
        <w:t>e</w:t>
      </w:r>
      <w:r w:rsidR="00A532AF">
        <w:rPr>
          <w:sz w:val="20"/>
          <w:szCs w:val="20"/>
        </w:rPr>
        <w:t>r</w:t>
      </w:r>
      <w:r>
        <w:rPr>
          <w:sz w:val="20"/>
          <w:szCs w:val="20"/>
        </w:rPr>
        <w:t xml:space="preserve"> primarily focuses on </w:t>
      </w:r>
      <w:r w:rsidRPr="00AB1475">
        <w:rPr>
          <w:sz w:val="20"/>
          <w:szCs w:val="20"/>
        </w:rPr>
        <w:t>harm reduction, selective prevention</w:t>
      </w:r>
      <w:r>
        <w:rPr>
          <w:sz w:val="20"/>
          <w:szCs w:val="20"/>
        </w:rPr>
        <w:t>,</w:t>
      </w:r>
      <w:r w:rsidRPr="00AB1475">
        <w:rPr>
          <w:sz w:val="20"/>
          <w:szCs w:val="20"/>
        </w:rPr>
        <w:t xml:space="preserve"> and </w:t>
      </w:r>
      <w:r w:rsidR="00867B09">
        <w:rPr>
          <w:sz w:val="20"/>
          <w:szCs w:val="20"/>
        </w:rPr>
        <w:t>strengthening</w:t>
      </w:r>
      <w:r w:rsidRPr="00AB1475">
        <w:rPr>
          <w:sz w:val="20"/>
          <w:szCs w:val="20"/>
        </w:rPr>
        <w:t xml:space="preserve"> the movement of </w:t>
      </w:r>
      <w:r>
        <w:rPr>
          <w:sz w:val="20"/>
          <w:szCs w:val="20"/>
        </w:rPr>
        <w:t>people who use drugs in Bulgaria.</w:t>
      </w:r>
      <w:r w:rsidR="006D21FB" w:rsidRPr="00AB1475">
        <w:rPr>
          <w:b/>
          <w:bCs/>
          <w:sz w:val="20"/>
          <w:szCs w:val="20"/>
        </w:rPr>
        <w:br w:type="page"/>
      </w:r>
    </w:p>
    <w:p w14:paraId="374B6358" w14:textId="77777777" w:rsidR="00AB1475" w:rsidRDefault="00AB1475" w:rsidP="00B84FA0">
      <w:pPr>
        <w:spacing w:line="276" w:lineRule="auto"/>
        <w:rPr>
          <w:b/>
          <w:bCs/>
        </w:rPr>
      </w:pPr>
    </w:p>
    <w:p w14:paraId="622EEE39" w14:textId="77777777" w:rsidR="006D21FB" w:rsidRPr="005C6984" w:rsidRDefault="006D21FB" w:rsidP="00B84FA0">
      <w:pPr>
        <w:spacing w:line="276" w:lineRule="auto"/>
        <w:rPr>
          <w:rFonts w:ascii="Calibri Light" w:hAnsi="Calibri Light" w:cs="Calibri Light"/>
          <w:b/>
        </w:rPr>
      </w:pPr>
      <w:r w:rsidRPr="005C6984">
        <w:rPr>
          <w:rFonts w:ascii="Calibri Light" w:hAnsi="Calibri Light" w:cs="Calibri Light"/>
          <w:b/>
        </w:rPr>
        <w:t xml:space="preserve">Introduction </w:t>
      </w:r>
    </w:p>
    <w:p w14:paraId="3D75F6F2" w14:textId="48A98FEA" w:rsidR="006D21FB" w:rsidRPr="0093019D" w:rsidRDefault="006D21FB" w:rsidP="00B84FA0">
      <w:pPr>
        <w:spacing w:line="276" w:lineRule="auto"/>
        <w:jc w:val="both"/>
        <w:rPr>
          <w:sz w:val="20"/>
        </w:rPr>
      </w:pPr>
      <w:r w:rsidRPr="0093019D">
        <w:rPr>
          <w:sz w:val="20"/>
        </w:rPr>
        <w:t>Harm Reduction International</w:t>
      </w:r>
      <w:r w:rsidR="00447B43">
        <w:rPr>
          <w:sz w:val="20"/>
        </w:rPr>
        <w:t xml:space="preserve"> and the Center for Humane Policy</w:t>
      </w:r>
      <w:r w:rsidR="00EC558C">
        <w:rPr>
          <w:sz w:val="20"/>
        </w:rPr>
        <w:t xml:space="preserve">, </w:t>
      </w:r>
      <w:r w:rsidR="00D1605F">
        <w:rPr>
          <w:sz w:val="20"/>
        </w:rPr>
        <w:t>Bulgaria,</w:t>
      </w:r>
      <w:r>
        <w:rPr>
          <w:sz w:val="20"/>
        </w:rPr>
        <w:t xml:space="preserve"> </w:t>
      </w:r>
      <w:r w:rsidRPr="0093019D">
        <w:rPr>
          <w:sz w:val="20"/>
        </w:rPr>
        <w:t xml:space="preserve">welcome the opportunity to submit information to the </w:t>
      </w:r>
      <w:r>
        <w:rPr>
          <w:sz w:val="20"/>
        </w:rPr>
        <w:t>Committee on Economic, Social, and Cultural Rights</w:t>
      </w:r>
      <w:r w:rsidRPr="0093019D">
        <w:rPr>
          <w:sz w:val="20"/>
        </w:rPr>
        <w:t xml:space="preserve"> ahead of its revi</w:t>
      </w:r>
      <w:r>
        <w:rPr>
          <w:sz w:val="20"/>
        </w:rPr>
        <w:t xml:space="preserve">ew of the periodic report of Bulgaria, </w:t>
      </w:r>
      <w:r w:rsidRPr="0093019D">
        <w:rPr>
          <w:sz w:val="20"/>
        </w:rPr>
        <w:t xml:space="preserve">at </w:t>
      </w:r>
      <w:r>
        <w:rPr>
          <w:sz w:val="20"/>
        </w:rPr>
        <w:t>its</w:t>
      </w:r>
      <w:r w:rsidRPr="0093019D">
        <w:rPr>
          <w:sz w:val="20"/>
        </w:rPr>
        <w:t xml:space="preserve"> </w:t>
      </w:r>
      <w:r>
        <w:rPr>
          <w:sz w:val="20"/>
        </w:rPr>
        <w:t>65</w:t>
      </w:r>
      <w:r w:rsidRPr="006D21FB">
        <w:rPr>
          <w:sz w:val="20"/>
          <w:vertAlign w:val="superscript"/>
        </w:rPr>
        <w:t>th</w:t>
      </w:r>
      <w:r>
        <w:rPr>
          <w:sz w:val="20"/>
        </w:rPr>
        <w:t xml:space="preserve"> Session</w:t>
      </w:r>
      <w:r w:rsidRPr="0093019D">
        <w:rPr>
          <w:sz w:val="20"/>
        </w:rPr>
        <w:t>.</w:t>
      </w:r>
    </w:p>
    <w:p w14:paraId="718F6D84" w14:textId="27CD45AE" w:rsidR="005A2011" w:rsidRDefault="00B84FA0" w:rsidP="00C97D9B">
      <w:pPr>
        <w:spacing w:line="276" w:lineRule="auto"/>
        <w:jc w:val="both"/>
        <w:rPr>
          <w:sz w:val="20"/>
        </w:rPr>
      </w:pPr>
      <w:r>
        <w:rPr>
          <w:sz w:val="20"/>
        </w:rPr>
        <w:t>Focusing on the right to health, t</w:t>
      </w:r>
      <w:r w:rsidR="006D21FB" w:rsidRPr="0093019D">
        <w:rPr>
          <w:sz w:val="20"/>
        </w:rPr>
        <w:t xml:space="preserve">his submission will assess the </w:t>
      </w:r>
      <w:r w:rsidR="006D21FB" w:rsidRPr="00891CAE">
        <w:rPr>
          <w:sz w:val="20"/>
        </w:rPr>
        <w:t>compatibility</w:t>
      </w:r>
      <w:r w:rsidR="006D21FB" w:rsidRPr="0093019D">
        <w:rPr>
          <w:sz w:val="20"/>
        </w:rPr>
        <w:t xml:space="preserve"> of key drug control </w:t>
      </w:r>
      <w:r w:rsidR="006D21FB">
        <w:rPr>
          <w:sz w:val="20"/>
        </w:rPr>
        <w:t xml:space="preserve">policies and practices pursued by Bulgaria </w:t>
      </w:r>
      <w:r w:rsidR="006D21FB" w:rsidRPr="0093019D">
        <w:rPr>
          <w:sz w:val="20"/>
        </w:rPr>
        <w:t xml:space="preserve">with </w:t>
      </w:r>
      <w:r w:rsidR="00EC558C">
        <w:rPr>
          <w:sz w:val="20"/>
        </w:rPr>
        <w:t>the Country</w:t>
      </w:r>
      <w:r w:rsidR="006D21FB" w:rsidRPr="0093019D">
        <w:rPr>
          <w:sz w:val="20"/>
        </w:rPr>
        <w:t xml:space="preserve"> obligations under the International Covenant on</w:t>
      </w:r>
      <w:r w:rsidR="006D21FB">
        <w:rPr>
          <w:sz w:val="20"/>
        </w:rPr>
        <w:t xml:space="preserve"> Economic, Social, and Cultural Rights (CESCR)</w:t>
      </w:r>
      <w:r w:rsidR="00C97D9B">
        <w:rPr>
          <w:sz w:val="20"/>
        </w:rPr>
        <w:t xml:space="preserve">, with </w:t>
      </w:r>
      <w:r w:rsidR="00DB6815">
        <w:rPr>
          <w:sz w:val="20"/>
        </w:rPr>
        <w:t>particular attention to</w:t>
      </w:r>
      <w:r w:rsidR="005A2011">
        <w:rPr>
          <w:sz w:val="20"/>
        </w:rPr>
        <w:t xml:space="preserve"> the availability and accessibility of harm reduction services; and the discrimination suffered by people who use drugs in their access to essential health services and social housing (as per paras. 1 and 7, List of Issues).</w:t>
      </w:r>
    </w:p>
    <w:p w14:paraId="2669455C" w14:textId="77777777" w:rsidR="005A2011" w:rsidRDefault="005A2011" w:rsidP="005A2011">
      <w:pPr>
        <w:shd w:val="clear" w:color="auto" w:fill="FFFFFF"/>
        <w:spacing w:after="0" w:line="276" w:lineRule="auto"/>
        <w:contextualSpacing/>
        <w:jc w:val="both"/>
        <w:rPr>
          <w:b/>
          <w:bCs/>
        </w:rPr>
      </w:pPr>
    </w:p>
    <w:p w14:paraId="2F969D2F" w14:textId="7982AE98" w:rsidR="00551732" w:rsidRPr="00551732" w:rsidRDefault="00551732" w:rsidP="00B84FA0">
      <w:pPr>
        <w:spacing w:line="276" w:lineRule="auto"/>
        <w:jc w:val="both"/>
        <w:rPr>
          <w:rFonts w:asciiTheme="majorHAnsi" w:hAnsiTheme="majorHAnsi" w:cstheme="majorHAnsi"/>
          <w:b/>
        </w:rPr>
      </w:pPr>
      <w:r w:rsidRPr="00551732">
        <w:rPr>
          <w:rFonts w:asciiTheme="majorHAnsi" w:hAnsiTheme="majorHAnsi" w:cstheme="majorHAnsi"/>
          <w:b/>
        </w:rPr>
        <w:t xml:space="preserve">Harm </w:t>
      </w:r>
      <w:r w:rsidR="005A2011">
        <w:rPr>
          <w:rFonts w:asciiTheme="majorHAnsi" w:hAnsiTheme="majorHAnsi" w:cstheme="majorHAnsi"/>
          <w:b/>
        </w:rPr>
        <w:t>r</w:t>
      </w:r>
      <w:r w:rsidRPr="00551732">
        <w:rPr>
          <w:rFonts w:asciiTheme="majorHAnsi" w:hAnsiTheme="majorHAnsi" w:cstheme="majorHAnsi"/>
          <w:b/>
        </w:rPr>
        <w:t xml:space="preserve">eduction </w:t>
      </w:r>
      <w:r w:rsidR="005A2011">
        <w:rPr>
          <w:rFonts w:asciiTheme="majorHAnsi" w:hAnsiTheme="majorHAnsi" w:cstheme="majorHAnsi"/>
          <w:b/>
        </w:rPr>
        <w:t>as a component of the r</w:t>
      </w:r>
      <w:r w:rsidRPr="00551732">
        <w:rPr>
          <w:rFonts w:asciiTheme="majorHAnsi" w:hAnsiTheme="majorHAnsi" w:cstheme="majorHAnsi"/>
          <w:b/>
        </w:rPr>
        <w:t xml:space="preserve">ight to </w:t>
      </w:r>
      <w:r w:rsidR="005A2011">
        <w:rPr>
          <w:rFonts w:asciiTheme="majorHAnsi" w:hAnsiTheme="majorHAnsi" w:cstheme="majorHAnsi"/>
          <w:b/>
        </w:rPr>
        <w:t>h</w:t>
      </w:r>
      <w:r w:rsidRPr="00551732">
        <w:rPr>
          <w:rFonts w:asciiTheme="majorHAnsi" w:hAnsiTheme="majorHAnsi" w:cstheme="majorHAnsi"/>
          <w:b/>
        </w:rPr>
        <w:t>ealth</w:t>
      </w:r>
    </w:p>
    <w:p w14:paraId="4018E7D8" w14:textId="6B029F09" w:rsidR="00551732" w:rsidRPr="009F1092" w:rsidRDefault="00551732" w:rsidP="009F1092">
      <w:pPr>
        <w:pStyle w:val="ListParagraph"/>
        <w:numPr>
          <w:ilvl w:val="0"/>
          <w:numId w:val="17"/>
        </w:numPr>
        <w:spacing w:line="276" w:lineRule="auto"/>
        <w:jc w:val="both"/>
        <w:rPr>
          <w:sz w:val="20"/>
          <w:szCs w:val="20"/>
        </w:rPr>
      </w:pPr>
      <w:r w:rsidRPr="009F1092">
        <w:rPr>
          <w:sz w:val="20"/>
          <w:szCs w:val="20"/>
        </w:rPr>
        <w:t>Harm reduction has been recognised as a fundamental component of the right to health, as well as of the right of everyone to enjoy the benefits of scientific progress.</w:t>
      </w:r>
      <w:r w:rsidRPr="006D21FB">
        <w:rPr>
          <w:rStyle w:val="FootnoteReference"/>
          <w:sz w:val="20"/>
          <w:szCs w:val="20"/>
        </w:rPr>
        <w:footnoteReference w:id="1"/>
      </w:r>
      <w:r w:rsidRPr="009F1092">
        <w:rPr>
          <w:sz w:val="20"/>
          <w:szCs w:val="20"/>
        </w:rPr>
        <w:t xml:space="preserve"> Harm reduction has been explicitly endorsed as an essential measure</w:t>
      </w:r>
      <w:r w:rsidR="00935ABE">
        <w:rPr>
          <w:sz w:val="20"/>
          <w:szCs w:val="20"/>
        </w:rPr>
        <w:t xml:space="preserve"> for people who use drugs</w:t>
      </w:r>
      <w:r w:rsidRPr="009F1092">
        <w:rPr>
          <w:sz w:val="20"/>
          <w:szCs w:val="20"/>
        </w:rPr>
        <w:t xml:space="preserve"> </w:t>
      </w:r>
      <w:r w:rsidR="00E60E5F" w:rsidRPr="009F1092">
        <w:rPr>
          <w:sz w:val="20"/>
          <w:szCs w:val="20"/>
        </w:rPr>
        <w:t xml:space="preserve">on numerous occasions </w:t>
      </w:r>
      <w:r w:rsidRPr="009F1092">
        <w:rPr>
          <w:sz w:val="20"/>
          <w:szCs w:val="20"/>
        </w:rPr>
        <w:t xml:space="preserve">by </w:t>
      </w:r>
      <w:r w:rsidR="00E60E5F" w:rsidRPr="009F1092">
        <w:rPr>
          <w:sz w:val="20"/>
          <w:szCs w:val="20"/>
        </w:rPr>
        <w:t>this Committee,</w:t>
      </w:r>
      <w:r w:rsidR="00E60E5F" w:rsidRPr="006D21FB">
        <w:rPr>
          <w:rStyle w:val="FootnoteReference"/>
          <w:sz w:val="20"/>
          <w:szCs w:val="20"/>
        </w:rPr>
        <w:footnoteReference w:id="2"/>
      </w:r>
      <w:r w:rsidR="00E60E5F" w:rsidRPr="009F1092">
        <w:rPr>
          <w:sz w:val="20"/>
          <w:szCs w:val="20"/>
        </w:rPr>
        <w:t xml:space="preserve"> as well as by th</w:t>
      </w:r>
      <w:r w:rsidRPr="009F1092">
        <w:rPr>
          <w:sz w:val="20"/>
          <w:szCs w:val="20"/>
        </w:rPr>
        <w:t xml:space="preserve">e </w:t>
      </w:r>
      <w:r w:rsidR="00E60E5F" w:rsidRPr="009F1092">
        <w:rPr>
          <w:sz w:val="20"/>
          <w:szCs w:val="20"/>
        </w:rPr>
        <w:t xml:space="preserve">UN </w:t>
      </w:r>
      <w:r w:rsidRPr="009F1092">
        <w:rPr>
          <w:sz w:val="20"/>
          <w:szCs w:val="20"/>
        </w:rPr>
        <w:t>General Assembly,</w:t>
      </w:r>
      <w:r w:rsidRPr="006D21FB">
        <w:rPr>
          <w:rStyle w:val="FootnoteReference"/>
          <w:sz w:val="20"/>
          <w:szCs w:val="20"/>
        </w:rPr>
        <w:footnoteReference w:id="3"/>
      </w:r>
      <w:r w:rsidRPr="009F1092">
        <w:rPr>
          <w:sz w:val="20"/>
          <w:szCs w:val="20"/>
        </w:rPr>
        <w:t xml:space="preserve"> the Human Rights Council,</w:t>
      </w:r>
      <w:r w:rsidRPr="006D21FB">
        <w:rPr>
          <w:rStyle w:val="FootnoteReference"/>
          <w:sz w:val="20"/>
          <w:szCs w:val="20"/>
        </w:rPr>
        <w:footnoteReference w:id="4"/>
      </w:r>
      <w:r w:rsidRPr="009F1092">
        <w:rPr>
          <w:sz w:val="20"/>
          <w:szCs w:val="20"/>
        </w:rPr>
        <w:t xml:space="preserve"> the Committee on the Rights of the Child,</w:t>
      </w:r>
      <w:r w:rsidRPr="006D21FB">
        <w:rPr>
          <w:rStyle w:val="FootnoteReference"/>
          <w:sz w:val="20"/>
          <w:szCs w:val="20"/>
        </w:rPr>
        <w:footnoteReference w:id="5"/>
      </w:r>
      <w:r w:rsidRPr="009F1092">
        <w:rPr>
          <w:sz w:val="20"/>
          <w:szCs w:val="20"/>
        </w:rPr>
        <w:t xml:space="preserve"> the Committee on the Elimination of Discrimination against Women,</w:t>
      </w:r>
      <w:r w:rsidRPr="006D21FB">
        <w:rPr>
          <w:rStyle w:val="FootnoteReference"/>
          <w:sz w:val="20"/>
          <w:szCs w:val="20"/>
        </w:rPr>
        <w:footnoteReference w:id="6"/>
      </w:r>
      <w:r w:rsidRPr="009F1092">
        <w:rPr>
          <w:sz w:val="20"/>
          <w:szCs w:val="20"/>
        </w:rPr>
        <w:t xml:space="preserve"> the Special Rapporteur on the right of everyone to the enjoyment of the highest attainable standard of physical and mental health</w:t>
      </w:r>
      <w:r w:rsidRPr="006D21FB">
        <w:rPr>
          <w:rStyle w:val="FootnoteReference"/>
          <w:sz w:val="20"/>
          <w:szCs w:val="20"/>
        </w:rPr>
        <w:footnoteReference w:id="7"/>
      </w:r>
      <w:r w:rsidRPr="009F1092">
        <w:rPr>
          <w:sz w:val="20"/>
          <w:szCs w:val="20"/>
        </w:rPr>
        <w:t xml:space="preserve"> and the Special Rapporteur on torture and other cruel, inhuman or degrading treatment or punishment.</w:t>
      </w:r>
      <w:r w:rsidRPr="006D21FB">
        <w:rPr>
          <w:rStyle w:val="FootnoteReference"/>
          <w:sz w:val="20"/>
          <w:szCs w:val="20"/>
        </w:rPr>
        <w:footnoteReference w:id="8"/>
      </w:r>
      <w:r w:rsidRPr="009F1092">
        <w:rPr>
          <w:sz w:val="20"/>
          <w:szCs w:val="20"/>
        </w:rPr>
        <w:t xml:space="preserve"> </w:t>
      </w:r>
    </w:p>
    <w:p w14:paraId="16832628" w14:textId="77777777" w:rsidR="00CB3CA4" w:rsidRPr="009F1092" w:rsidRDefault="00CB3CA4" w:rsidP="009F1092">
      <w:pPr>
        <w:pStyle w:val="ListParagraph"/>
        <w:spacing w:line="276" w:lineRule="auto"/>
        <w:jc w:val="both"/>
        <w:rPr>
          <w:rFonts w:ascii="Calibri" w:hAnsi="Calibri" w:cs="Calibri"/>
          <w:color w:val="000000" w:themeColor="text1"/>
          <w:sz w:val="20"/>
          <w:szCs w:val="20"/>
        </w:rPr>
      </w:pPr>
    </w:p>
    <w:p w14:paraId="405B9A75" w14:textId="35506615" w:rsidR="00C97D9B" w:rsidRDefault="00900B08" w:rsidP="009F1092">
      <w:pPr>
        <w:pStyle w:val="ListParagraph"/>
        <w:numPr>
          <w:ilvl w:val="0"/>
          <w:numId w:val="17"/>
        </w:numPr>
        <w:spacing w:line="276" w:lineRule="auto"/>
        <w:jc w:val="both"/>
        <w:rPr>
          <w:rFonts w:ascii="Calibri" w:hAnsi="Calibri" w:cs="Calibri"/>
          <w:color w:val="000000" w:themeColor="text1"/>
          <w:sz w:val="20"/>
          <w:szCs w:val="20"/>
        </w:rPr>
      </w:pPr>
      <w:r w:rsidRPr="009F1092">
        <w:rPr>
          <w:rFonts w:ascii="Calibri" w:hAnsi="Calibri" w:cs="Calibri"/>
          <w:sz w:val="20"/>
          <w:szCs w:val="20"/>
        </w:rPr>
        <w:t xml:space="preserve">The World Health Organization, UNAIDS and UNODC recognise </w:t>
      </w:r>
      <w:r w:rsidR="00C97D9B" w:rsidRPr="009F1092">
        <w:rPr>
          <w:rFonts w:ascii="Calibri" w:hAnsi="Calibri" w:cs="Calibri"/>
          <w:sz w:val="20"/>
          <w:szCs w:val="20"/>
        </w:rPr>
        <w:t xml:space="preserve">Needle and Syringe Programs (NSPs) and Opioid Substitution Therapy (OST) </w:t>
      </w:r>
      <w:r w:rsidR="00C97D9B" w:rsidRPr="009F1092">
        <w:rPr>
          <w:rFonts w:ascii="Calibri" w:hAnsi="Calibri" w:cs="Calibri"/>
          <w:color w:val="000000" w:themeColor="text1"/>
          <w:sz w:val="20"/>
          <w:szCs w:val="20"/>
        </w:rPr>
        <w:t xml:space="preserve">as </w:t>
      </w:r>
      <w:r w:rsidRPr="009F1092">
        <w:rPr>
          <w:rFonts w:ascii="Calibri" w:hAnsi="Calibri" w:cs="Calibri"/>
          <w:color w:val="000000" w:themeColor="text1"/>
          <w:sz w:val="20"/>
          <w:szCs w:val="20"/>
        </w:rPr>
        <w:t>key</w:t>
      </w:r>
      <w:r w:rsidR="00C97D9B" w:rsidRPr="009F1092">
        <w:rPr>
          <w:rFonts w:ascii="Calibri" w:hAnsi="Calibri" w:cs="Calibri"/>
          <w:color w:val="000000" w:themeColor="text1"/>
          <w:sz w:val="20"/>
          <w:szCs w:val="20"/>
        </w:rPr>
        <w:t xml:space="preserve"> components of </w:t>
      </w:r>
      <w:r w:rsidRPr="009F1092">
        <w:rPr>
          <w:rFonts w:ascii="Calibri" w:hAnsi="Calibri" w:cs="Calibri"/>
          <w:color w:val="000000" w:themeColor="text1"/>
          <w:sz w:val="20"/>
          <w:szCs w:val="20"/>
        </w:rPr>
        <w:t>a</w:t>
      </w:r>
      <w:r w:rsidR="00EC558C">
        <w:rPr>
          <w:rFonts w:ascii="Calibri" w:hAnsi="Calibri" w:cs="Calibri"/>
          <w:color w:val="000000" w:themeColor="text1"/>
          <w:sz w:val="20"/>
          <w:szCs w:val="20"/>
        </w:rPr>
        <w:t>n effective</w:t>
      </w:r>
      <w:r w:rsidR="00C97D9B" w:rsidRPr="009F1092">
        <w:rPr>
          <w:rFonts w:ascii="Calibri" w:hAnsi="Calibri" w:cs="Calibri"/>
          <w:color w:val="000000" w:themeColor="text1"/>
          <w:sz w:val="20"/>
          <w:szCs w:val="20"/>
        </w:rPr>
        <w:t xml:space="preserve"> HIV</w:t>
      </w:r>
      <w:r w:rsidRPr="009F1092">
        <w:rPr>
          <w:rFonts w:ascii="Calibri" w:hAnsi="Calibri" w:cs="Calibri"/>
          <w:color w:val="000000" w:themeColor="text1"/>
          <w:sz w:val="20"/>
          <w:szCs w:val="20"/>
        </w:rPr>
        <w:t xml:space="preserve"> and viral hepatitis response for injecting drug use.</w:t>
      </w:r>
      <w:r w:rsidR="00C97D9B" w:rsidRPr="006D21FB">
        <w:rPr>
          <w:vertAlign w:val="superscript"/>
        </w:rPr>
        <w:footnoteReference w:id="9"/>
      </w:r>
      <w:r w:rsidR="00C97D9B" w:rsidRPr="009F1092">
        <w:rPr>
          <w:rFonts w:ascii="Calibri" w:hAnsi="Calibri" w:cs="Calibri"/>
          <w:color w:val="000000" w:themeColor="text1"/>
          <w:sz w:val="20"/>
          <w:szCs w:val="20"/>
        </w:rPr>
        <w:t xml:space="preserve"> </w:t>
      </w:r>
      <w:r w:rsidRPr="009F1092">
        <w:rPr>
          <w:rFonts w:ascii="Calibri" w:hAnsi="Calibri" w:cs="Calibri"/>
          <w:color w:val="000000" w:themeColor="text1"/>
          <w:sz w:val="20"/>
          <w:szCs w:val="20"/>
        </w:rPr>
        <w:t>These intervention</w:t>
      </w:r>
      <w:r w:rsidR="008634E8" w:rsidRPr="009F1092">
        <w:rPr>
          <w:rFonts w:ascii="Calibri" w:hAnsi="Calibri" w:cs="Calibri"/>
          <w:color w:val="000000" w:themeColor="text1"/>
          <w:sz w:val="20"/>
          <w:szCs w:val="20"/>
        </w:rPr>
        <w:t>s</w:t>
      </w:r>
      <w:r w:rsidRPr="009F1092">
        <w:rPr>
          <w:rFonts w:ascii="Calibri" w:hAnsi="Calibri" w:cs="Calibri"/>
          <w:color w:val="000000" w:themeColor="text1"/>
          <w:sz w:val="20"/>
          <w:szCs w:val="20"/>
        </w:rPr>
        <w:t xml:space="preserve"> have also been</w:t>
      </w:r>
      <w:r w:rsidR="00C97D9B" w:rsidRPr="009F1092">
        <w:rPr>
          <w:rFonts w:ascii="Calibri" w:hAnsi="Calibri" w:cs="Calibri"/>
          <w:color w:val="000000" w:themeColor="text1"/>
          <w:sz w:val="20"/>
          <w:szCs w:val="20"/>
        </w:rPr>
        <w:t xml:space="preserve"> endorsed by the </w:t>
      </w:r>
      <w:r w:rsidRPr="009F1092">
        <w:rPr>
          <w:rFonts w:ascii="Calibri" w:hAnsi="Calibri" w:cs="Calibri"/>
          <w:color w:val="000000" w:themeColor="text1"/>
          <w:sz w:val="20"/>
          <w:szCs w:val="20"/>
        </w:rPr>
        <w:t xml:space="preserve">UN </w:t>
      </w:r>
      <w:r w:rsidR="00C97D9B" w:rsidRPr="009F1092">
        <w:rPr>
          <w:rFonts w:ascii="Calibri" w:hAnsi="Calibri" w:cs="Calibri"/>
          <w:color w:val="000000" w:themeColor="text1"/>
          <w:sz w:val="20"/>
          <w:szCs w:val="20"/>
        </w:rPr>
        <w:t>General Assembly,</w:t>
      </w:r>
      <w:r w:rsidR="00C97D9B" w:rsidRPr="006D21FB">
        <w:rPr>
          <w:rStyle w:val="FootnoteReference"/>
          <w:rFonts w:ascii="Calibri" w:hAnsi="Calibri" w:cs="Calibri"/>
          <w:color w:val="000000" w:themeColor="text1"/>
          <w:sz w:val="20"/>
          <w:szCs w:val="20"/>
        </w:rPr>
        <w:footnoteReference w:id="10"/>
      </w:r>
      <w:r w:rsidR="00C97D9B" w:rsidRPr="009F1092">
        <w:rPr>
          <w:rFonts w:ascii="Calibri" w:hAnsi="Calibri" w:cs="Calibri"/>
          <w:color w:val="000000" w:themeColor="text1"/>
          <w:sz w:val="20"/>
          <w:szCs w:val="20"/>
        </w:rPr>
        <w:t xml:space="preserve"> the Economic and Social Council,</w:t>
      </w:r>
      <w:r w:rsidR="00C97D9B" w:rsidRPr="006D21FB">
        <w:rPr>
          <w:vertAlign w:val="superscript"/>
        </w:rPr>
        <w:footnoteReference w:id="11"/>
      </w:r>
      <w:r w:rsidR="00C97D9B" w:rsidRPr="009F1092">
        <w:rPr>
          <w:rFonts w:ascii="Calibri" w:hAnsi="Calibri" w:cs="Calibri"/>
          <w:color w:val="000000" w:themeColor="text1"/>
          <w:sz w:val="20"/>
          <w:szCs w:val="20"/>
          <w:vertAlign w:val="superscript"/>
        </w:rPr>
        <w:t xml:space="preserve"> </w:t>
      </w:r>
      <w:r w:rsidR="00C97D9B" w:rsidRPr="009F1092">
        <w:rPr>
          <w:rFonts w:ascii="Calibri" w:hAnsi="Calibri" w:cs="Calibri"/>
          <w:color w:val="000000" w:themeColor="text1"/>
          <w:sz w:val="20"/>
          <w:szCs w:val="20"/>
        </w:rPr>
        <w:t>and the Commission on Narcotic Drugs (CND). The CND has highlighted the importance of these interventions to meet SDG targets to end AIDS and tuberculosis</w:t>
      </w:r>
      <w:r w:rsidR="008634E8" w:rsidRPr="009F1092">
        <w:rPr>
          <w:rFonts w:ascii="Calibri" w:hAnsi="Calibri" w:cs="Calibri"/>
          <w:color w:val="000000" w:themeColor="text1"/>
          <w:sz w:val="20"/>
          <w:szCs w:val="20"/>
        </w:rPr>
        <w:t>,</w:t>
      </w:r>
      <w:r w:rsidR="00C97D9B" w:rsidRPr="009F1092">
        <w:rPr>
          <w:rFonts w:ascii="Calibri" w:hAnsi="Calibri" w:cs="Calibri"/>
          <w:color w:val="000000" w:themeColor="text1"/>
          <w:sz w:val="20"/>
          <w:szCs w:val="20"/>
        </w:rPr>
        <w:t xml:space="preserve"> and combat hepatitis by 2030.</w:t>
      </w:r>
      <w:r w:rsidR="00C97D9B" w:rsidRPr="006D21FB">
        <w:rPr>
          <w:vertAlign w:val="superscript"/>
        </w:rPr>
        <w:footnoteReference w:id="12"/>
      </w:r>
      <w:r w:rsidR="00C97D9B" w:rsidRPr="009F1092">
        <w:rPr>
          <w:rFonts w:ascii="Calibri" w:hAnsi="Calibri" w:cs="Calibri"/>
          <w:color w:val="000000" w:themeColor="text1"/>
          <w:sz w:val="20"/>
          <w:szCs w:val="20"/>
          <w:vertAlign w:val="superscript"/>
        </w:rPr>
        <w:t xml:space="preserve"> </w:t>
      </w:r>
      <w:r w:rsidR="00C97D9B" w:rsidRPr="009F1092">
        <w:rPr>
          <w:rFonts w:ascii="Calibri" w:hAnsi="Calibri" w:cs="Calibri"/>
          <w:color w:val="000000" w:themeColor="text1"/>
          <w:sz w:val="20"/>
          <w:szCs w:val="20"/>
        </w:rPr>
        <w:t xml:space="preserve"> </w:t>
      </w:r>
    </w:p>
    <w:p w14:paraId="154150C0" w14:textId="739FBD0A" w:rsidR="00CB3CA4" w:rsidRDefault="00CB3CA4" w:rsidP="009F1092">
      <w:pPr>
        <w:pStyle w:val="ListParagraph"/>
        <w:rPr>
          <w:rFonts w:ascii="Calibri" w:hAnsi="Calibri" w:cs="Calibri"/>
          <w:color w:val="000000" w:themeColor="text1"/>
          <w:sz w:val="20"/>
          <w:szCs w:val="20"/>
        </w:rPr>
      </w:pPr>
    </w:p>
    <w:p w14:paraId="5224155A" w14:textId="77777777" w:rsidR="00A532AF" w:rsidRPr="009F1092" w:rsidRDefault="00A532AF" w:rsidP="009F1092">
      <w:pPr>
        <w:pStyle w:val="ListParagraph"/>
        <w:rPr>
          <w:rFonts w:ascii="Calibri" w:hAnsi="Calibri" w:cs="Calibri"/>
          <w:color w:val="000000" w:themeColor="text1"/>
          <w:sz w:val="20"/>
          <w:szCs w:val="20"/>
        </w:rPr>
      </w:pPr>
    </w:p>
    <w:p w14:paraId="52DC45A6" w14:textId="77777777" w:rsidR="00A532AF" w:rsidRDefault="00A532AF" w:rsidP="00A532AF">
      <w:pPr>
        <w:pStyle w:val="ListParagraph"/>
        <w:spacing w:line="276" w:lineRule="auto"/>
        <w:jc w:val="both"/>
        <w:rPr>
          <w:rFonts w:ascii="Calibri" w:hAnsi="Calibri" w:cs="Calibri"/>
          <w:color w:val="000000" w:themeColor="text1"/>
          <w:sz w:val="20"/>
          <w:szCs w:val="20"/>
        </w:rPr>
      </w:pPr>
    </w:p>
    <w:p w14:paraId="460FFEC1" w14:textId="708C566B" w:rsidR="00310D77" w:rsidRDefault="00801017" w:rsidP="00B84FA0">
      <w:pPr>
        <w:pStyle w:val="ListParagraph"/>
        <w:numPr>
          <w:ilvl w:val="0"/>
          <w:numId w:val="17"/>
        </w:numPr>
        <w:spacing w:line="276" w:lineRule="auto"/>
        <w:jc w:val="both"/>
        <w:rPr>
          <w:rFonts w:ascii="Calibri" w:hAnsi="Calibri" w:cs="Calibri"/>
          <w:color w:val="000000" w:themeColor="text1"/>
          <w:sz w:val="20"/>
          <w:szCs w:val="20"/>
        </w:rPr>
      </w:pPr>
      <w:r w:rsidRPr="009F1092">
        <w:rPr>
          <w:rFonts w:ascii="Calibri" w:hAnsi="Calibri" w:cs="Calibri"/>
          <w:color w:val="000000" w:themeColor="text1"/>
          <w:sz w:val="20"/>
          <w:szCs w:val="20"/>
        </w:rPr>
        <w:t>Other key harm reduction interventions include</w:t>
      </w:r>
      <w:r w:rsidR="00310D77">
        <w:rPr>
          <w:rFonts w:ascii="Calibri" w:hAnsi="Calibri" w:cs="Calibri"/>
          <w:color w:val="000000" w:themeColor="text1"/>
          <w:sz w:val="20"/>
          <w:szCs w:val="20"/>
        </w:rPr>
        <w:t>:</w:t>
      </w:r>
    </w:p>
    <w:p w14:paraId="05C38BDA" w14:textId="731F72EF" w:rsidR="00C97D9B" w:rsidRDefault="00310D77" w:rsidP="00310D77">
      <w:pPr>
        <w:pStyle w:val="ListParagraph"/>
        <w:numPr>
          <w:ilvl w:val="1"/>
          <w:numId w:val="17"/>
        </w:numPr>
        <w:spacing w:line="276" w:lineRule="auto"/>
        <w:jc w:val="both"/>
        <w:rPr>
          <w:rFonts w:ascii="Calibri" w:hAnsi="Calibri" w:cs="Calibri"/>
          <w:color w:val="000000" w:themeColor="text1"/>
          <w:sz w:val="20"/>
          <w:szCs w:val="20"/>
        </w:rPr>
      </w:pPr>
      <w:r>
        <w:rPr>
          <w:rFonts w:ascii="Calibri" w:hAnsi="Calibri" w:cs="Calibri"/>
          <w:color w:val="000000" w:themeColor="text1"/>
          <w:sz w:val="20"/>
          <w:szCs w:val="20"/>
        </w:rPr>
        <w:t xml:space="preserve">Drug Consumption Rooms (also known as Safe Injecting Sites), healthcare facilities supervised by professional </w:t>
      </w:r>
      <w:r w:rsidR="00EC558C">
        <w:rPr>
          <w:rFonts w:ascii="Calibri" w:hAnsi="Calibri" w:cs="Calibri"/>
          <w:color w:val="000000" w:themeColor="text1"/>
          <w:sz w:val="20"/>
          <w:szCs w:val="20"/>
        </w:rPr>
        <w:t>staff where individuals</w:t>
      </w:r>
      <w:r>
        <w:rPr>
          <w:rFonts w:ascii="Calibri" w:hAnsi="Calibri" w:cs="Calibri"/>
          <w:color w:val="000000" w:themeColor="text1"/>
          <w:sz w:val="20"/>
          <w:szCs w:val="20"/>
        </w:rPr>
        <w:t xml:space="preserve"> can safely consume drugs</w:t>
      </w:r>
      <w:r w:rsidR="00EC558C">
        <w:rPr>
          <w:rFonts w:ascii="Calibri" w:hAnsi="Calibri" w:cs="Calibri"/>
          <w:color w:val="000000" w:themeColor="text1"/>
          <w:sz w:val="20"/>
          <w:szCs w:val="20"/>
        </w:rPr>
        <w:t xml:space="preserve"> in a non-judgmental environment</w:t>
      </w:r>
      <w:r>
        <w:rPr>
          <w:rFonts w:ascii="Calibri" w:hAnsi="Calibri" w:cs="Calibri"/>
          <w:color w:val="000000" w:themeColor="text1"/>
          <w:sz w:val="20"/>
          <w:szCs w:val="20"/>
        </w:rPr>
        <w:t>;</w:t>
      </w:r>
      <w:r>
        <w:rPr>
          <w:rStyle w:val="FootnoteReference"/>
          <w:rFonts w:ascii="Calibri" w:hAnsi="Calibri" w:cs="Calibri"/>
          <w:color w:val="000000" w:themeColor="text1"/>
          <w:sz w:val="20"/>
          <w:szCs w:val="20"/>
        </w:rPr>
        <w:footnoteReference w:id="13"/>
      </w:r>
    </w:p>
    <w:p w14:paraId="39D8E337" w14:textId="5DE5C737" w:rsidR="009F1092" w:rsidRDefault="00310D77" w:rsidP="00A154A4">
      <w:pPr>
        <w:pStyle w:val="ListParagraph"/>
        <w:numPr>
          <w:ilvl w:val="1"/>
          <w:numId w:val="17"/>
        </w:numPr>
        <w:spacing w:line="276" w:lineRule="auto"/>
        <w:jc w:val="both"/>
        <w:rPr>
          <w:rFonts w:ascii="Calibri" w:hAnsi="Calibri" w:cs="Calibri"/>
          <w:color w:val="000000" w:themeColor="text1"/>
          <w:sz w:val="20"/>
          <w:szCs w:val="20"/>
        </w:rPr>
      </w:pPr>
      <w:r>
        <w:rPr>
          <w:rFonts w:ascii="Calibri" w:hAnsi="Calibri" w:cs="Calibri"/>
          <w:color w:val="000000" w:themeColor="text1"/>
          <w:sz w:val="20"/>
          <w:szCs w:val="20"/>
        </w:rPr>
        <w:t>Overdose prevention and reversal.</w:t>
      </w:r>
      <w:r>
        <w:rPr>
          <w:rStyle w:val="FootnoteReference"/>
          <w:rFonts w:ascii="Calibri" w:hAnsi="Calibri" w:cs="Calibri"/>
          <w:color w:val="000000" w:themeColor="text1"/>
          <w:sz w:val="20"/>
          <w:szCs w:val="20"/>
        </w:rPr>
        <w:footnoteReference w:id="14"/>
      </w:r>
      <w:r>
        <w:rPr>
          <w:rFonts w:ascii="Calibri" w:hAnsi="Calibri" w:cs="Calibri"/>
          <w:color w:val="000000" w:themeColor="text1"/>
          <w:sz w:val="20"/>
          <w:szCs w:val="20"/>
        </w:rPr>
        <w:t xml:space="preserve"> A key instrument is naloxone</w:t>
      </w:r>
      <w:r w:rsidR="00A154A4">
        <w:rPr>
          <w:rFonts w:ascii="Calibri" w:hAnsi="Calibri" w:cs="Calibri"/>
          <w:color w:val="000000" w:themeColor="text1"/>
          <w:sz w:val="20"/>
          <w:szCs w:val="20"/>
        </w:rPr>
        <w:t xml:space="preserve">, an opioid reversal medication </w:t>
      </w:r>
      <w:r w:rsidR="00867B09">
        <w:rPr>
          <w:rFonts w:ascii="Calibri" w:hAnsi="Calibri" w:cs="Calibri"/>
          <w:color w:val="000000" w:themeColor="text1"/>
          <w:sz w:val="20"/>
          <w:szCs w:val="20"/>
        </w:rPr>
        <w:t>proved to be</w:t>
      </w:r>
      <w:r w:rsidR="00A154A4">
        <w:rPr>
          <w:rFonts w:ascii="Calibri" w:hAnsi="Calibri" w:cs="Calibri"/>
          <w:color w:val="000000" w:themeColor="text1"/>
          <w:sz w:val="20"/>
          <w:szCs w:val="20"/>
        </w:rPr>
        <w:t xml:space="preserve"> safe, cost-effective, and life-saving.</w:t>
      </w:r>
      <w:r w:rsidR="00A154A4">
        <w:rPr>
          <w:rStyle w:val="FootnoteReference"/>
          <w:rFonts w:ascii="Calibri" w:hAnsi="Calibri" w:cs="Calibri"/>
          <w:color w:val="000000" w:themeColor="text1"/>
          <w:sz w:val="20"/>
          <w:szCs w:val="20"/>
        </w:rPr>
        <w:footnoteReference w:id="15"/>
      </w:r>
      <w:r>
        <w:rPr>
          <w:rFonts w:ascii="Calibri" w:hAnsi="Calibri" w:cs="Calibri"/>
          <w:color w:val="000000" w:themeColor="text1"/>
          <w:sz w:val="20"/>
          <w:szCs w:val="20"/>
        </w:rPr>
        <w:t xml:space="preserve"> </w:t>
      </w:r>
    </w:p>
    <w:p w14:paraId="70B20A20" w14:textId="77777777" w:rsidR="00A154A4" w:rsidRPr="00A154A4" w:rsidRDefault="00A154A4" w:rsidP="00867B09">
      <w:pPr>
        <w:pStyle w:val="ListParagraph"/>
        <w:spacing w:line="276" w:lineRule="auto"/>
        <w:ind w:left="1440"/>
        <w:jc w:val="both"/>
        <w:rPr>
          <w:rFonts w:ascii="Calibri" w:hAnsi="Calibri" w:cs="Calibri"/>
          <w:color w:val="000000" w:themeColor="text1"/>
          <w:sz w:val="20"/>
          <w:szCs w:val="20"/>
        </w:rPr>
      </w:pPr>
    </w:p>
    <w:p w14:paraId="50919796" w14:textId="77777777" w:rsidR="00D1605F" w:rsidRDefault="00D1605F" w:rsidP="00B84FA0">
      <w:pPr>
        <w:shd w:val="clear" w:color="auto" w:fill="FFFFFF"/>
        <w:spacing w:after="0" w:line="276" w:lineRule="auto"/>
        <w:contextualSpacing/>
        <w:jc w:val="both"/>
        <w:rPr>
          <w:rFonts w:asciiTheme="majorHAnsi" w:hAnsiTheme="majorHAnsi" w:cstheme="majorHAnsi"/>
          <w:b/>
          <w:bCs/>
        </w:rPr>
      </w:pPr>
      <w:r>
        <w:rPr>
          <w:rFonts w:asciiTheme="majorHAnsi" w:hAnsiTheme="majorHAnsi" w:cstheme="majorHAnsi"/>
          <w:b/>
          <w:bCs/>
        </w:rPr>
        <w:t>Background</w:t>
      </w:r>
    </w:p>
    <w:p w14:paraId="7C7130D4" w14:textId="77777777" w:rsidR="00AD380E" w:rsidRDefault="00AD380E" w:rsidP="00B84FA0">
      <w:pPr>
        <w:shd w:val="clear" w:color="auto" w:fill="FFFFFF"/>
        <w:spacing w:after="0" w:line="276" w:lineRule="auto"/>
        <w:contextualSpacing/>
        <w:jc w:val="both"/>
        <w:rPr>
          <w:rFonts w:asciiTheme="majorHAnsi" w:hAnsiTheme="majorHAnsi" w:cstheme="majorHAnsi"/>
          <w:b/>
          <w:bCs/>
        </w:rPr>
      </w:pPr>
    </w:p>
    <w:p w14:paraId="1D6B1EF7" w14:textId="682225D6" w:rsidR="00F4106E" w:rsidRDefault="00F4106E" w:rsidP="008B7484">
      <w:pPr>
        <w:pStyle w:val="ListParagraph"/>
        <w:numPr>
          <w:ilvl w:val="0"/>
          <w:numId w:val="17"/>
        </w:numPr>
        <w:shd w:val="clear" w:color="auto" w:fill="FFFFFF"/>
        <w:spacing w:after="0" w:line="276" w:lineRule="auto"/>
        <w:jc w:val="both"/>
        <w:rPr>
          <w:rFonts w:ascii="Calibri" w:hAnsi="Calibri" w:cs="Calibri"/>
          <w:sz w:val="20"/>
          <w:szCs w:val="20"/>
          <w:shd w:val="clear" w:color="auto" w:fill="FFFFFF"/>
        </w:rPr>
      </w:pPr>
      <w:r>
        <w:rPr>
          <w:rFonts w:ascii="Calibri" w:hAnsi="Calibri" w:cs="Calibri"/>
          <w:sz w:val="20"/>
          <w:szCs w:val="20"/>
          <w:shd w:val="clear" w:color="auto" w:fill="FFFFFF"/>
        </w:rPr>
        <w:t>Following civil society activism</w:t>
      </w:r>
      <w:r w:rsidR="00AD380E">
        <w:rPr>
          <w:rFonts w:ascii="Calibri" w:hAnsi="Calibri" w:cs="Calibri"/>
          <w:sz w:val="20"/>
          <w:szCs w:val="20"/>
          <w:shd w:val="clear" w:color="auto" w:fill="FFFFFF"/>
        </w:rPr>
        <w:t xml:space="preserve"> and rising rates of HIV amongst people who inject drugs</w:t>
      </w:r>
      <w:r>
        <w:rPr>
          <w:rFonts w:ascii="Calibri" w:hAnsi="Calibri" w:cs="Calibri"/>
          <w:sz w:val="20"/>
          <w:szCs w:val="20"/>
          <w:shd w:val="clear" w:color="auto" w:fill="FFFFFF"/>
        </w:rPr>
        <w:t>, t</w:t>
      </w:r>
      <w:r w:rsidR="00E60E5F" w:rsidRPr="00447B43">
        <w:rPr>
          <w:rFonts w:ascii="Calibri" w:hAnsi="Calibri" w:cs="Calibri"/>
          <w:sz w:val="20"/>
          <w:szCs w:val="20"/>
          <w:shd w:val="clear" w:color="auto" w:fill="FFFFFF"/>
        </w:rPr>
        <w:t xml:space="preserve">he first harm reduction services were introduced in </w:t>
      </w:r>
      <w:r w:rsidR="003825DA">
        <w:rPr>
          <w:rFonts w:ascii="Calibri" w:hAnsi="Calibri" w:cs="Calibri"/>
          <w:sz w:val="20"/>
          <w:szCs w:val="20"/>
          <w:shd w:val="clear" w:color="auto" w:fill="FFFFFF"/>
        </w:rPr>
        <w:t>Bulgaria</w:t>
      </w:r>
      <w:r w:rsidR="00E60E5F" w:rsidRPr="00447B43">
        <w:rPr>
          <w:rFonts w:ascii="Calibri" w:hAnsi="Calibri" w:cs="Calibri"/>
          <w:sz w:val="20"/>
          <w:szCs w:val="20"/>
          <w:shd w:val="clear" w:color="auto" w:fill="FFFFFF"/>
        </w:rPr>
        <w:t xml:space="preserve"> in 1993</w:t>
      </w:r>
      <w:r>
        <w:rPr>
          <w:rFonts w:ascii="Calibri" w:hAnsi="Calibri" w:cs="Calibri"/>
          <w:sz w:val="20"/>
          <w:szCs w:val="20"/>
          <w:shd w:val="clear" w:color="auto" w:fill="FFFFFF"/>
        </w:rPr>
        <w:t>. Services have been</w:t>
      </w:r>
      <w:r w:rsidR="00E60E5F" w:rsidRPr="00447B43">
        <w:rPr>
          <w:rFonts w:ascii="Calibri" w:hAnsi="Calibri" w:cs="Calibri"/>
          <w:sz w:val="20"/>
          <w:szCs w:val="20"/>
          <w:shd w:val="clear" w:color="auto" w:fill="FFFFFF"/>
        </w:rPr>
        <w:t xml:space="preserve"> support</w:t>
      </w:r>
      <w:r>
        <w:rPr>
          <w:rFonts w:ascii="Calibri" w:hAnsi="Calibri" w:cs="Calibri"/>
          <w:sz w:val="20"/>
          <w:szCs w:val="20"/>
          <w:shd w:val="clear" w:color="auto" w:fill="FFFFFF"/>
        </w:rPr>
        <w:t>ed</w:t>
      </w:r>
      <w:r w:rsidR="005A2011">
        <w:rPr>
          <w:rFonts w:ascii="Calibri" w:hAnsi="Calibri" w:cs="Calibri"/>
          <w:sz w:val="20"/>
          <w:szCs w:val="20"/>
          <w:shd w:val="clear" w:color="auto" w:fill="FFFFFF"/>
        </w:rPr>
        <w:t xml:space="preserve"> </w:t>
      </w:r>
      <w:r w:rsidR="00935ABE">
        <w:rPr>
          <w:rFonts w:ascii="Calibri" w:hAnsi="Calibri" w:cs="Calibri"/>
          <w:sz w:val="20"/>
          <w:szCs w:val="20"/>
          <w:shd w:val="clear" w:color="auto" w:fill="FFFFFF"/>
        </w:rPr>
        <w:t xml:space="preserve">by </w:t>
      </w:r>
      <w:r w:rsidR="00935ABE" w:rsidRPr="00447B43">
        <w:rPr>
          <w:rFonts w:ascii="Calibri" w:hAnsi="Calibri" w:cs="Calibri"/>
          <w:sz w:val="20"/>
          <w:szCs w:val="20"/>
          <w:shd w:val="clear" w:color="auto" w:fill="FFFFFF"/>
        </w:rPr>
        <w:t>international</w:t>
      </w:r>
      <w:r w:rsidR="00E60E5F" w:rsidRPr="00447B43">
        <w:rPr>
          <w:rFonts w:ascii="Calibri" w:hAnsi="Calibri" w:cs="Calibri"/>
          <w:sz w:val="20"/>
          <w:szCs w:val="20"/>
          <w:shd w:val="clear" w:color="auto" w:fill="FFFFFF"/>
        </w:rPr>
        <w:t xml:space="preserve"> donors</w:t>
      </w:r>
      <w:r>
        <w:rPr>
          <w:rFonts w:ascii="Calibri" w:hAnsi="Calibri" w:cs="Calibri"/>
          <w:sz w:val="20"/>
          <w:szCs w:val="20"/>
          <w:shd w:val="clear" w:color="auto" w:fill="FFFFFF"/>
        </w:rPr>
        <w:t xml:space="preserve"> since 1998,</w:t>
      </w:r>
      <w:r w:rsidR="00C37715">
        <w:rPr>
          <w:rFonts w:ascii="Calibri" w:hAnsi="Calibri" w:cs="Calibri"/>
          <w:sz w:val="20"/>
          <w:szCs w:val="20"/>
          <w:shd w:val="clear" w:color="auto" w:fill="FFFFFF"/>
        </w:rPr>
        <w:t xml:space="preserve"> and relied considerably on </w:t>
      </w:r>
      <w:r w:rsidR="00E60E5F" w:rsidRPr="00447B43">
        <w:rPr>
          <w:rFonts w:ascii="Calibri" w:hAnsi="Calibri" w:cs="Calibri"/>
          <w:sz w:val="20"/>
          <w:szCs w:val="20"/>
          <w:shd w:val="clear" w:color="auto" w:fill="FFFFFF"/>
        </w:rPr>
        <w:t xml:space="preserve">the </w:t>
      </w:r>
      <w:r w:rsidR="00E60E5F" w:rsidRPr="00447B43">
        <w:rPr>
          <w:rFonts w:ascii="Calibri" w:hAnsi="Calibri" w:cs="Calibri"/>
          <w:sz w:val="20"/>
          <w:szCs w:val="20"/>
        </w:rPr>
        <w:t>Global Fund to fight AIDS, Tuberculosis and Malaria (hereinafter: Global Fund)</w:t>
      </w:r>
      <w:r>
        <w:rPr>
          <w:rFonts w:ascii="Calibri" w:hAnsi="Calibri" w:cs="Calibri"/>
          <w:sz w:val="20"/>
          <w:szCs w:val="20"/>
        </w:rPr>
        <w:t xml:space="preserve"> between 2004 and 201</w:t>
      </w:r>
      <w:r w:rsidR="00C37715">
        <w:rPr>
          <w:rFonts w:ascii="Calibri" w:hAnsi="Calibri" w:cs="Calibri"/>
          <w:sz w:val="20"/>
          <w:szCs w:val="20"/>
        </w:rPr>
        <w:t>7</w:t>
      </w:r>
      <w:r w:rsidR="00E60E5F" w:rsidRPr="00447B43">
        <w:rPr>
          <w:rFonts w:ascii="Calibri" w:hAnsi="Calibri" w:cs="Calibri"/>
          <w:sz w:val="20"/>
          <w:szCs w:val="20"/>
        </w:rPr>
        <w:t>.</w:t>
      </w:r>
      <w:r w:rsidR="00E60E5F" w:rsidRPr="00447B43">
        <w:rPr>
          <w:rFonts w:ascii="Calibri" w:hAnsi="Calibri" w:cs="Calibri"/>
          <w:sz w:val="20"/>
          <w:szCs w:val="20"/>
          <w:shd w:val="clear" w:color="auto" w:fill="FFFFFF"/>
        </w:rPr>
        <w:t xml:space="preserve"> </w:t>
      </w:r>
    </w:p>
    <w:p w14:paraId="318FBD94" w14:textId="77777777" w:rsidR="00F4106E" w:rsidRPr="00F4106E" w:rsidRDefault="00F4106E" w:rsidP="00F4106E">
      <w:pPr>
        <w:pStyle w:val="ListParagraph"/>
        <w:rPr>
          <w:rFonts w:ascii="Calibri" w:hAnsi="Calibri" w:cs="Calibri"/>
          <w:sz w:val="20"/>
          <w:szCs w:val="20"/>
          <w:shd w:val="clear" w:color="auto" w:fill="FFFFFF"/>
        </w:rPr>
      </w:pPr>
    </w:p>
    <w:p w14:paraId="7268940E" w14:textId="25431E88" w:rsidR="00E60E5F" w:rsidRPr="00B94D4B" w:rsidRDefault="00F4106E" w:rsidP="008B7484">
      <w:pPr>
        <w:pStyle w:val="ListParagraph"/>
        <w:numPr>
          <w:ilvl w:val="0"/>
          <w:numId w:val="17"/>
        </w:numPr>
        <w:shd w:val="clear" w:color="auto" w:fill="FFFFFF"/>
        <w:spacing w:after="0" w:line="276" w:lineRule="auto"/>
        <w:jc w:val="both"/>
        <w:rPr>
          <w:rFonts w:ascii="Calibri" w:hAnsi="Calibri" w:cs="Calibri"/>
          <w:sz w:val="20"/>
          <w:szCs w:val="20"/>
          <w:shd w:val="clear" w:color="auto" w:fill="FFFFFF"/>
        </w:rPr>
      </w:pPr>
      <w:r>
        <w:rPr>
          <w:rFonts w:ascii="Calibri" w:hAnsi="Calibri" w:cs="Calibri"/>
          <w:sz w:val="20"/>
          <w:szCs w:val="20"/>
          <w:shd w:val="clear" w:color="auto" w:fill="FFFFFF"/>
        </w:rPr>
        <w:t>B</w:t>
      </w:r>
      <w:r w:rsidR="00E60E5F" w:rsidRPr="00447B43">
        <w:rPr>
          <w:rFonts w:ascii="Calibri" w:hAnsi="Calibri" w:cs="Calibri"/>
          <w:sz w:val="20"/>
          <w:szCs w:val="20"/>
          <w:shd w:val="clear" w:color="auto" w:fill="FFFFFF"/>
        </w:rPr>
        <w:t>etween 1998 and 2014,</w:t>
      </w:r>
      <w:r w:rsidR="00BD7EBD">
        <w:rPr>
          <w:rFonts w:ascii="Calibri" w:hAnsi="Calibri" w:cs="Calibri"/>
          <w:sz w:val="20"/>
          <w:szCs w:val="20"/>
          <w:shd w:val="clear" w:color="auto" w:fill="FFFFFF"/>
        </w:rPr>
        <w:t xml:space="preserve"> with international donor support,</w:t>
      </w:r>
      <w:r w:rsidR="00E60E5F" w:rsidRPr="00447B43">
        <w:rPr>
          <w:rFonts w:ascii="Calibri" w:hAnsi="Calibri" w:cs="Calibri"/>
          <w:sz w:val="20"/>
          <w:szCs w:val="20"/>
          <w:shd w:val="clear" w:color="auto" w:fill="FFFFFF"/>
        </w:rPr>
        <w:t xml:space="preserve"> </w:t>
      </w:r>
      <w:r>
        <w:rPr>
          <w:rFonts w:ascii="Calibri" w:hAnsi="Calibri" w:cs="Calibri"/>
          <w:sz w:val="20"/>
          <w:szCs w:val="20"/>
          <w:shd w:val="clear" w:color="auto" w:fill="FFFFFF"/>
        </w:rPr>
        <w:t xml:space="preserve">Bulgaria made progress against public health indicators, including </w:t>
      </w:r>
      <w:r w:rsidR="00E60E5F" w:rsidRPr="00447B43">
        <w:rPr>
          <w:rFonts w:ascii="Calibri" w:hAnsi="Calibri" w:cs="Calibri"/>
          <w:sz w:val="20"/>
          <w:szCs w:val="20"/>
          <w:shd w:val="clear" w:color="auto" w:fill="FFFFFF"/>
        </w:rPr>
        <w:t>increase</w:t>
      </w:r>
      <w:r>
        <w:rPr>
          <w:rFonts w:ascii="Calibri" w:hAnsi="Calibri" w:cs="Calibri"/>
          <w:sz w:val="20"/>
          <w:szCs w:val="20"/>
          <w:shd w:val="clear" w:color="auto" w:fill="FFFFFF"/>
        </w:rPr>
        <w:t>d uptake of</w:t>
      </w:r>
      <w:r w:rsidR="00E60E5F" w:rsidRPr="00447B43">
        <w:rPr>
          <w:rFonts w:ascii="Calibri" w:hAnsi="Calibri" w:cs="Calibri"/>
          <w:sz w:val="20"/>
          <w:szCs w:val="20"/>
          <w:shd w:val="clear" w:color="auto" w:fill="FFFFFF"/>
        </w:rPr>
        <w:t xml:space="preserve"> voluntary HIV testing, </w:t>
      </w:r>
      <w:r>
        <w:rPr>
          <w:rFonts w:ascii="Calibri" w:hAnsi="Calibri" w:cs="Calibri"/>
          <w:sz w:val="20"/>
          <w:szCs w:val="20"/>
          <w:shd w:val="clear" w:color="auto" w:fill="FFFFFF"/>
        </w:rPr>
        <w:t xml:space="preserve">increased self-reported </w:t>
      </w:r>
      <w:r w:rsidR="001F79E8">
        <w:rPr>
          <w:rFonts w:ascii="Calibri" w:hAnsi="Calibri" w:cs="Calibri"/>
          <w:sz w:val="20"/>
          <w:szCs w:val="20"/>
          <w:shd w:val="clear" w:color="auto" w:fill="FFFFFF"/>
        </w:rPr>
        <w:t>safe injecting practices</w:t>
      </w:r>
      <w:r w:rsidR="00E60E5F" w:rsidRPr="00447B43">
        <w:rPr>
          <w:rFonts w:ascii="Calibri" w:hAnsi="Calibri" w:cs="Calibri"/>
          <w:sz w:val="20"/>
          <w:szCs w:val="20"/>
          <w:shd w:val="clear" w:color="auto" w:fill="FFFFFF"/>
        </w:rPr>
        <w:t xml:space="preserve"> and use of condoms among </w:t>
      </w:r>
      <w:r w:rsidR="00EC558C">
        <w:rPr>
          <w:rFonts w:ascii="Calibri" w:hAnsi="Calibri" w:cs="Calibri"/>
          <w:sz w:val="20"/>
          <w:szCs w:val="20"/>
          <w:shd w:val="clear" w:color="auto" w:fill="FFFFFF"/>
        </w:rPr>
        <w:t>people who inject drugs</w:t>
      </w:r>
      <w:r w:rsidR="00E60E5F" w:rsidRPr="00447B43">
        <w:rPr>
          <w:rFonts w:ascii="Calibri" w:hAnsi="Calibri" w:cs="Calibri"/>
          <w:sz w:val="20"/>
          <w:szCs w:val="20"/>
          <w:shd w:val="clear" w:color="auto" w:fill="FFFFFF"/>
        </w:rPr>
        <w:t>.</w:t>
      </w:r>
      <w:r w:rsidR="00E60E5F" w:rsidRPr="006D21FB">
        <w:rPr>
          <w:rStyle w:val="FootnoteReference"/>
          <w:rFonts w:ascii="Calibri" w:hAnsi="Calibri" w:cs="Calibri"/>
          <w:sz w:val="20"/>
          <w:szCs w:val="20"/>
        </w:rPr>
        <w:footnoteReference w:id="16"/>
      </w:r>
      <w:r w:rsidR="00E60E5F" w:rsidRPr="00447B43">
        <w:rPr>
          <w:rFonts w:ascii="Calibri" w:hAnsi="Calibri" w:cs="Calibri"/>
          <w:sz w:val="20"/>
          <w:szCs w:val="20"/>
        </w:rPr>
        <w:t xml:space="preserve"> </w:t>
      </w:r>
      <w:r w:rsidR="005241BF">
        <w:rPr>
          <w:rFonts w:ascii="Calibri" w:hAnsi="Calibri" w:cs="Calibri"/>
          <w:sz w:val="20"/>
          <w:szCs w:val="20"/>
        </w:rPr>
        <w:t xml:space="preserve">A significant proportion of Bulgaria’s harm reduction services were provided by </w:t>
      </w:r>
      <w:r w:rsidR="005241BF" w:rsidRPr="00EA7107">
        <w:rPr>
          <w:rFonts w:ascii="Calibri" w:hAnsi="Calibri" w:cs="Calibri"/>
          <w:sz w:val="20"/>
          <w:szCs w:val="20"/>
        </w:rPr>
        <w:t>non-governmental organisations</w:t>
      </w:r>
      <w:r w:rsidR="005241BF">
        <w:rPr>
          <w:rFonts w:ascii="Calibri" w:hAnsi="Calibri" w:cs="Calibri"/>
          <w:sz w:val="20"/>
          <w:szCs w:val="20"/>
        </w:rPr>
        <w:t xml:space="preserve"> (NGOs)</w:t>
      </w:r>
      <w:r w:rsidR="00407C54">
        <w:rPr>
          <w:rFonts w:ascii="Calibri" w:hAnsi="Calibri" w:cs="Calibri"/>
          <w:sz w:val="20"/>
          <w:szCs w:val="20"/>
        </w:rPr>
        <w:t xml:space="preserve"> during this period</w:t>
      </w:r>
      <w:r w:rsidR="001355D4">
        <w:rPr>
          <w:rFonts w:ascii="Calibri" w:hAnsi="Calibri" w:cs="Calibri"/>
          <w:sz w:val="20"/>
          <w:szCs w:val="20"/>
        </w:rPr>
        <w:t>, many</w:t>
      </w:r>
      <w:r w:rsidR="001F79E8">
        <w:rPr>
          <w:rFonts w:ascii="Calibri" w:hAnsi="Calibri" w:cs="Calibri"/>
          <w:sz w:val="20"/>
          <w:szCs w:val="20"/>
        </w:rPr>
        <w:t xml:space="preserve"> of which</w:t>
      </w:r>
      <w:r w:rsidR="001355D4">
        <w:rPr>
          <w:rFonts w:ascii="Calibri" w:hAnsi="Calibri" w:cs="Calibri"/>
          <w:sz w:val="20"/>
          <w:szCs w:val="20"/>
        </w:rPr>
        <w:t xml:space="preserve"> adhered to </w:t>
      </w:r>
      <w:r w:rsidR="00B94D4B">
        <w:rPr>
          <w:rFonts w:ascii="Calibri" w:hAnsi="Calibri" w:cs="Calibri"/>
          <w:sz w:val="20"/>
          <w:szCs w:val="20"/>
        </w:rPr>
        <w:t>the broader principles of harm reduction, including a rights-based, person-centred</w:t>
      </w:r>
      <w:r w:rsidR="00A006D0">
        <w:rPr>
          <w:rFonts w:ascii="Calibri" w:hAnsi="Calibri" w:cs="Calibri"/>
          <w:sz w:val="20"/>
          <w:szCs w:val="20"/>
        </w:rPr>
        <w:t>, participatory</w:t>
      </w:r>
      <w:r w:rsidR="00B94D4B">
        <w:rPr>
          <w:rFonts w:ascii="Calibri" w:hAnsi="Calibri" w:cs="Calibri"/>
          <w:sz w:val="20"/>
          <w:szCs w:val="20"/>
        </w:rPr>
        <w:t xml:space="preserve"> approach</w:t>
      </w:r>
      <w:r w:rsidR="00407C54" w:rsidRPr="00B94D4B">
        <w:rPr>
          <w:rFonts w:ascii="Calibri" w:hAnsi="Calibri" w:cs="Calibri"/>
          <w:sz w:val="20"/>
          <w:szCs w:val="20"/>
        </w:rPr>
        <w:t>.</w:t>
      </w:r>
      <w:r w:rsidR="00D51A8A">
        <w:rPr>
          <w:rStyle w:val="FootnoteReference"/>
          <w:rFonts w:ascii="Calibri" w:hAnsi="Calibri" w:cs="Calibri"/>
          <w:sz w:val="20"/>
          <w:szCs w:val="20"/>
        </w:rPr>
        <w:footnoteReference w:id="17"/>
      </w:r>
    </w:p>
    <w:p w14:paraId="3104CD41" w14:textId="77777777" w:rsidR="00903658" w:rsidRPr="00903658" w:rsidRDefault="00903658" w:rsidP="00903658">
      <w:pPr>
        <w:pStyle w:val="ListParagraph"/>
        <w:rPr>
          <w:rFonts w:ascii="Calibri" w:hAnsi="Calibri" w:cs="Calibri"/>
          <w:sz w:val="20"/>
          <w:szCs w:val="20"/>
          <w:shd w:val="clear" w:color="auto" w:fill="FFFFFF"/>
        </w:rPr>
      </w:pPr>
    </w:p>
    <w:p w14:paraId="195419AF" w14:textId="49D0E13D" w:rsidR="00EC558C" w:rsidRPr="00972FA6" w:rsidRDefault="00903658" w:rsidP="008B7484">
      <w:pPr>
        <w:pStyle w:val="ListParagraph"/>
        <w:numPr>
          <w:ilvl w:val="0"/>
          <w:numId w:val="17"/>
        </w:numPr>
        <w:shd w:val="clear" w:color="auto" w:fill="FFFFFF"/>
        <w:spacing w:after="0" w:line="276" w:lineRule="auto"/>
        <w:jc w:val="both"/>
        <w:rPr>
          <w:rFonts w:ascii="Calibri" w:hAnsi="Calibri" w:cs="Calibri"/>
          <w:sz w:val="20"/>
          <w:szCs w:val="20"/>
        </w:rPr>
      </w:pPr>
      <w:r w:rsidRPr="00491184">
        <w:rPr>
          <w:rFonts w:ascii="Calibri" w:hAnsi="Calibri" w:cs="Calibri"/>
          <w:sz w:val="20"/>
          <w:szCs w:val="20"/>
          <w:shd w:val="clear" w:color="auto" w:fill="FFFFFF"/>
        </w:rPr>
        <w:t>A study published in 2016</w:t>
      </w:r>
      <w:r>
        <w:rPr>
          <w:rStyle w:val="FootnoteReference"/>
          <w:rFonts w:ascii="Calibri" w:hAnsi="Calibri" w:cs="Calibri"/>
          <w:sz w:val="20"/>
          <w:szCs w:val="20"/>
          <w:shd w:val="clear" w:color="auto" w:fill="FFFFFF"/>
        </w:rPr>
        <w:footnoteReference w:id="18"/>
      </w:r>
      <w:r w:rsidRPr="00491184">
        <w:rPr>
          <w:rFonts w:ascii="Calibri" w:hAnsi="Calibri" w:cs="Calibri"/>
          <w:sz w:val="20"/>
          <w:szCs w:val="20"/>
          <w:shd w:val="clear" w:color="auto" w:fill="FFFFFF"/>
        </w:rPr>
        <w:t xml:space="preserve"> </w:t>
      </w:r>
    </w:p>
    <w:p w14:paraId="1E5F3183" w14:textId="219B66E7" w:rsidR="00972FA6" w:rsidRPr="00972FA6" w:rsidRDefault="00972FA6" w:rsidP="00972FA6">
      <w:pPr>
        <w:pStyle w:val="ListParagraph"/>
        <w:shd w:val="clear" w:color="auto" w:fill="FFFFFF"/>
        <w:spacing w:after="0" w:line="276" w:lineRule="auto"/>
        <w:jc w:val="both"/>
        <w:rPr>
          <w:rFonts w:ascii="Calibri" w:hAnsi="Calibri" w:cs="Calibri"/>
          <w:sz w:val="20"/>
          <w:szCs w:val="20"/>
        </w:rPr>
      </w:pPr>
    </w:p>
    <w:p w14:paraId="368B07F2" w14:textId="4B8152A0" w:rsidR="00EC558C" w:rsidRDefault="00EC558C" w:rsidP="00EC558C">
      <w:pPr>
        <w:pStyle w:val="ListParagraph"/>
        <w:shd w:val="clear" w:color="auto" w:fill="FFFFFF"/>
        <w:spacing w:after="0" w:line="276" w:lineRule="auto"/>
        <w:ind w:left="1440"/>
        <w:jc w:val="both"/>
        <w:rPr>
          <w:rFonts w:ascii="Calibri" w:hAnsi="Calibri" w:cs="Calibri"/>
          <w:sz w:val="20"/>
          <w:szCs w:val="20"/>
        </w:rPr>
      </w:pPr>
      <w:r>
        <w:rPr>
          <w:rFonts w:ascii="Calibri" w:hAnsi="Calibri" w:cs="Calibri"/>
          <w:sz w:val="20"/>
          <w:szCs w:val="20"/>
          <w:shd w:val="clear" w:color="auto" w:fill="FFFFFF"/>
        </w:rPr>
        <w:t>“A</w:t>
      </w:r>
      <w:r w:rsidR="00903658" w:rsidRPr="00491184">
        <w:rPr>
          <w:rFonts w:ascii="Calibri" w:hAnsi="Calibri" w:cs="Calibri"/>
          <w:sz w:val="20"/>
          <w:szCs w:val="20"/>
          <w:shd w:val="clear" w:color="auto" w:fill="FFFFFF"/>
        </w:rPr>
        <w:t>nalysing the allocated funding of HIV prevention and treatment for people who inject drugs in</w:t>
      </w:r>
      <w:r w:rsidR="00B3538F">
        <w:rPr>
          <w:rFonts w:ascii="Calibri" w:hAnsi="Calibri" w:cs="Calibri"/>
          <w:sz w:val="20"/>
          <w:szCs w:val="20"/>
          <w:shd w:val="clear" w:color="auto" w:fill="FFFFFF"/>
        </w:rPr>
        <w:t xml:space="preserve"> eight countries in Eurasia</w:t>
      </w:r>
      <w:r w:rsidR="00903658" w:rsidRPr="00491184">
        <w:rPr>
          <w:rFonts w:ascii="Calibri" w:hAnsi="Calibri" w:cs="Calibri"/>
          <w:sz w:val="20"/>
          <w:szCs w:val="20"/>
          <w:shd w:val="clear" w:color="auto" w:fill="FFFFFF"/>
        </w:rPr>
        <w:t xml:space="preserve"> found that Bulgaria dedicated a problematically small amount of its budget for HIV services (4%) to HIV services tailored for </w:t>
      </w:r>
      <w:r w:rsidR="00935ABE">
        <w:rPr>
          <w:rFonts w:ascii="Calibri" w:hAnsi="Calibri" w:cs="Calibri"/>
          <w:sz w:val="20"/>
          <w:szCs w:val="20"/>
          <w:shd w:val="clear" w:color="auto" w:fill="FFFFFF"/>
        </w:rPr>
        <w:t>people who inject drugs</w:t>
      </w:r>
      <w:r w:rsidR="00903658" w:rsidRPr="00491184">
        <w:rPr>
          <w:rFonts w:ascii="Calibri" w:hAnsi="Calibri" w:cs="Calibri"/>
          <w:sz w:val="20"/>
          <w:szCs w:val="20"/>
          <w:shd w:val="clear" w:color="auto" w:fill="FFFFFF"/>
        </w:rPr>
        <w:t xml:space="preserve"> (as a comparison, Georgia allocated 40%).</w:t>
      </w:r>
      <w:r w:rsidR="00903658" w:rsidRPr="00491184">
        <w:rPr>
          <w:rFonts w:ascii="Calibri" w:hAnsi="Calibri" w:cs="Calibri"/>
          <w:sz w:val="20"/>
          <w:szCs w:val="20"/>
        </w:rPr>
        <w:t>”</w:t>
      </w:r>
      <w:r w:rsidR="00903658">
        <w:rPr>
          <w:rStyle w:val="FootnoteReference"/>
          <w:rFonts w:ascii="Calibri" w:hAnsi="Calibri" w:cs="Calibri"/>
          <w:sz w:val="20"/>
          <w:szCs w:val="20"/>
        </w:rPr>
        <w:footnoteReference w:id="19"/>
      </w:r>
    </w:p>
    <w:p w14:paraId="3B4BAB87" w14:textId="77777777" w:rsidR="00972FA6" w:rsidRDefault="00972FA6" w:rsidP="00EC558C">
      <w:pPr>
        <w:pStyle w:val="ListParagraph"/>
        <w:shd w:val="clear" w:color="auto" w:fill="FFFFFF"/>
        <w:spacing w:after="0" w:line="276" w:lineRule="auto"/>
        <w:ind w:left="1440"/>
        <w:jc w:val="both"/>
        <w:rPr>
          <w:rFonts w:ascii="Calibri" w:hAnsi="Calibri" w:cs="Calibri"/>
          <w:sz w:val="20"/>
          <w:szCs w:val="20"/>
        </w:rPr>
      </w:pPr>
    </w:p>
    <w:p w14:paraId="20430D4F" w14:textId="534C70AA" w:rsidR="00903658" w:rsidRPr="00EC558C" w:rsidRDefault="00903658" w:rsidP="00972FA6">
      <w:pPr>
        <w:shd w:val="clear" w:color="auto" w:fill="FFFFFF"/>
        <w:spacing w:after="0" w:line="276" w:lineRule="auto"/>
        <w:ind w:left="720"/>
        <w:jc w:val="both"/>
        <w:rPr>
          <w:rFonts w:ascii="Calibri" w:hAnsi="Calibri" w:cs="Calibri"/>
          <w:sz w:val="20"/>
          <w:szCs w:val="20"/>
        </w:rPr>
      </w:pPr>
      <w:r w:rsidRPr="00EC558C">
        <w:rPr>
          <w:rFonts w:ascii="Calibri" w:hAnsi="Calibri" w:cs="Calibri"/>
          <w:sz w:val="20"/>
          <w:szCs w:val="20"/>
        </w:rPr>
        <w:t>The study also raised concerns about increasing HIV rate among the population. The rate of HIV/AIDS-related death had increased from 0.9 per 100,000 people in 2000 to 3.8 per 100,000 people in 2012; while HIV prevalence among PWID had also increased from less than 1% to over 10% between 2004 and 2012.</w:t>
      </w:r>
      <w:r w:rsidRPr="006D21FB">
        <w:rPr>
          <w:rStyle w:val="FootnoteReference"/>
          <w:rFonts w:ascii="Calibri" w:hAnsi="Calibri" w:cs="Calibri"/>
          <w:sz w:val="20"/>
          <w:szCs w:val="20"/>
        </w:rPr>
        <w:footnoteReference w:id="20"/>
      </w:r>
      <w:r w:rsidRPr="00EC558C">
        <w:rPr>
          <w:rFonts w:ascii="Calibri" w:hAnsi="Calibri" w:cs="Calibri"/>
          <w:sz w:val="20"/>
          <w:szCs w:val="20"/>
        </w:rPr>
        <w:t xml:space="preserve"> </w:t>
      </w:r>
    </w:p>
    <w:p w14:paraId="4762493E" w14:textId="3331EF71" w:rsidR="00421A60" w:rsidRDefault="00421A60" w:rsidP="00421A60">
      <w:pPr>
        <w:pStyle w:val="ListParagraph"/>
        <w:rPr>
          <w:rFonts w:ascii="Calibri" w:hAnsi="Calibri" w:cs="Calibri"/>
          <w:sz w:val="20"/>
          <w:szCs w:val="20"/>
          <w:shd w:val="clear" w:color="auto" w:fill="FFFFFF"/>
        </w:rPr>
      </w:pPr>
    </w:p>
    <w:p w14:paraId="1DBB8D48" w14:textId="1A13163C" w:rsidR="00972FA6" w:rsidRDefault="00972FA6" w:rsidP="00421A60">
      <w:pPr>
        <w:pStyle w:val="ListParagraph"/>
        <w:rPr>
          <w:rFonts w:ascii="Calibri" w:hAnsi="Calibri" w:cs="Calibri"/>
          <w:sz w:val="20"/>
          <w:szCs w:val="20"/>
          <w:shd w:val="clear" w:color="auto" w:fill="FFFFFF"/>
        </w:rPr>
      </w:pPr>
    </w:p>
    <w:p w14:paraId="6948AD9F" w14:textId="4684E459" w:rsidR="00972FA6" w:rsidRDefault="00972FA6" w:rsidP="00421A60">
      <w:pPr>
        <w:pStyle w:val="ListParagraph"/>
        <w:rPr>
          <w:rFonts w:ascii="Calibri" w:hAnsi="Calibri" w:cs="Calibri"/>
          <w:sz w:val="20"/>
          <w:szCs w:val="20"/>
          <w:shd w:val="clear" w:color="auto" w:fill="FFFFFF"/>
        </w:rPr>
      </w:pPr>
    </w:p>
    <w:p w14:paraId="73391421" w14:textId="778B79AD" w:rsidR="00972FA6" w:rsidRDefault="00972FA6" w:rsidP="00421A60">
      <w:pPr>
        <w:pStyle w:val="ListParagraph"/>
        <w:rPr>
          <w:rFonts w:ascii="Calibri" w:hAnsi="Calibri" w:cs="Calibri"/>
          <w:sz w:val="20"/>
          <w:szCs w:val="20"/>
          <w:shd w:val="clear" w:color="auto" w:fill="FFFFFF"/>
        </w:rPr>
      </w:pPr>
    </w:p>
    <w:p w14:paraId="3CC7E952" w14:textId="369A41A2" w:rsidR="00972FA6" w:rsidRDefault="00972FA6" w:rsidP="00421A60">
      <w:pPr>
        <w:pStyle w:val="ListParagraph"/>
        <w:rPr>
          <w:rFonts w:ascii="Calibri" w:hAnsi="Calibri" w:cs="Calibri"/>
          <w:sz w:val="20"/>
          <w:szCs w:val="20"/>
          <w:shd w:val="clear" w:color="auto" w:fill="FFFFFF"/>
        </w:rPr>
      </w:pPr>
    </w:p>
    <w:p w14:paraId="56D4C27C" w14:textId="3B5D69BE" w:rsidR="00972FA6" w:rsidRDefault="00972FA6" w:rsidP="00421A60">
      <w:pPr>
        <w:pStyle w:val="ListParagraph"/>
        <w:rPr>
          <w:rFonts w:ascii="Calibri" w:hAnsi="Calibri" w:cs="Calibri"/>
          <w:sz w:val="20"/>
          <w:szCs w:val="20"/>
          <w:shd w:val="clear" w:color="auto" w:fill="FFFFFF"/>
        </w:rPr>
      </w:pPr>
    </w:p>
    <w:p w14:paraId="09AE60F0" w14:textId="77777777" w:rsidR="00972FA6" w:rsidRPr="00421A60" w:rsidRDefault="00972FA6" w:rsidP="00421A60">
      <w:pPr>
        <w:pStyle w:val="ListParagraph"/>
        <w:rPr>
          <w:rFonts w:ascii="Calibri" w:hAnsi="Calibri" w:cs="Calibri"/>
          <w:sz w:val="20"/>
          <w:szCs w:val="20"/>
          <w:shd w:val="clear" w:color="auto" w:fill="FFFFFF"/>
        </w:rPr>
      </w:pPr>
    </w:p>
    <w:p w14:paraId="20A0BC8C" w14:textId="497C19B3" w:rsidR="00FB724C" w:rsidRPr="00903658" w:rsidRDefault="00FB724C" w:rsidP="008B7484">
      <w:pPr>
        <w:pStyle w:val="ListParagraph"/>
        <w:numPr>
          <w:ilvl w:val="0"/>
          <w:numId w:val="17"/>
        </w:numPr>
        <w:shd w:val="clear" w:color="auto" w:fill="FFFFFF"/>
        <w:spacing w:after="0" w:line="276" w:lineRule="auto"/>
        <w:jc w:val="both"/>
        <w:rPr>
          <w:rFonts w:ascii="Calibri" w:hAnsi="Calibri" w:cs="Calibri"/>
          <w:sz w:val="20"/>
          <w:szCs w:val="20"/>
          <w:shd w:val="clear" w:color="auto" w:fill="FFFFFF"/>
        </w:rPr>
      </w:pPr>
      <w:r>
        <w:rPr>
          <w:rFonts w:ascii="Calibri" w:hAnsi="Calibri" w:cs="Calibri"/>
          <w:sz w:val="20"/>
          <w:szCs w:val="20"/>
        </w:rPr>
        <w:t>In</w:t>
      </w:r>
      <w:r w:rsidRPr="00447B43">
        <w:rPr>
          <w:rFonts w:ascii="Calibri" w:hAnsi="Calibri" w:cs="Calibri"/>
          <w:sz w:val="20"/>
          <w:szCs w:val="20"/>
        </w:rPr>
        <w:t xml:space="preserve"> </w:t>
      </w:r>
      <w:r>
        <w:rPr>
          <w:rFonts w:ascii="Calibri" w:hAnsi="Calibri" w:cs="Calibri"/>
          <w:sz w:val="20"/>
          <w:szCs w:val="20"/>
        </w:rPr>
        <w:t>May 2017</w:t>
      </w:r>
      <w:r w:rsidRPr="00447B43">
        <w:rPr>
          <w:rFonts w:ascii="Calibri" w:hAnsi="Calibri" w:cs="Calibri"/>
          <w:sz w:val="20"/>
          <w:szCs w:val="20"/>
        </w:rPr>
        <w:t>, Bulgaria</w:t>
      </w:r>
      <w:r>
        <w:rPr>
          <w:rFonts w:ascii="Calibri" w:hAnsi="Calibri" w:cs="Calibri"/>
          <w:sz w:val="20"/>
          <w:szCs w:val="20"/>
        </w:rPr>
        <w:t xml:space="preserve"> ceased to receive</w:t>
      </w:r>
      <w:r w:rsidRPr="00447B43">
        <w:rPr>
          <w:rFonts w:ascii="Calibri" w:hAnsi="Calibri" w:cs="Calibri"/>
          <w:sz w:val="20"/>
          <w:szCs w:val="20"/>
        </w:rPr>
        <w:t xml:space="preserve"> </w:t>
      </w:r>
      <w:r>
        <w:rPr>
          <w:rFonts w:ascii="Calibri" w:hAnsi="Calibri" w:cs="Calibri"/>
          <w:sz w:val="20"/>
          <w:szCs w:val="20"/>
        </w:rPr>
        <w:t>funding from the Global Fund</w:t>
      </w:r>
      <w:r w:rsidRPr="00447B43">
        <w:rPr>
          <w:rFonts w:ascii="Calibri" w:hAnsi="Calibri" w:cs="Calibri"/>
          <w:sz w:val="20"/>
          <w:szCs w:val="20"/>
        </w:rPr>
        <w:t>.</w:t>
      </w:r>
      <w:r w:rsidRPr="003E5267">
        <w:rPr>
          <w:rStyle w:val="FootnoteReference"/>
          <w:rFonts w:ascii="Calibri" w:hAnsi="Calibri" w:cs="Calibri"/>
          <w:sz w:val="20"/>
          <w:szCs w:val="20"/>
        </w:rPr>
        <w:footnoteReference w:id="21"/>
      </w:r>
      <w:r w:rsidRPr="00447B43">
        <w:rPr>
          <w:rFonts w:ascii="Calibri" w:hAnsi="Calibri" w:cs="Calibri"/>
          <w:sz w:val="20"/>
          <w:szCs w:val="20"/>
        </w:rPr>
        <w:t xml:space="preserve"> </w:t>
      </w:r>
      <w:r>
        <w:rPr>
          <w:rFonts w:ascii="Calibri" w:hAnsi="Calibri" w:cs="Calibri"/>
          <w:sz w:val="20"/>
          <w:szCs w:val="20"/>
        </w:rPr>
        <w:t>The withdrawal of international funding gravely impacted delivery, availability</w:t>
      </w:r>
      <w:r w:rsidR="00972FA6">
        <w:rPr>
          <w:rFonts w:ascii="Calibri" w:hAnsi="Calibri" w:cs="Calibri"/>
          <w:sz w:val="20"/>
          <w:szCs w:val="20"/>
        </w:rPr>
        <w:t>,</w:t>
      </w:r>
      <w:r>
        <w:rPr>
          <w:rFonts w:ascii="Calibri" w:hAnsi="Calibri" w:cs="Calibri"/>
          <w:sz w:val="20"/>
          <w:szCs w:val="20"/>
        </w:rPr>
        <w:t xml:space="preserve"> and accessibility of harm reduction and </w:t>
      </w:r>
      <w:r w:rsidRPr="00EA7107">
        <w:rPr>
          <w:rFonts w:ascii="Calibri" w:hAnsi="Calibri" w:cs="Calibri"/>
          <w:sz w:val="20"/>
          <w:szCs w:val="20"/>
        </w:rPr>
        <w:t>HIV prevention</w:t>
      </w:r>
      <w:r>
        <w:rPr>
          <w:rFonts w:ascii="Calibri" w:hAnsi="Calibri" w:cs="Calibri"/>
          <w:sz w:val="20"/>
          <w:szCs w:val="20"/>
        </w:rPr>
        <w:t xml:space="preserve"> services</w:t>
      </w:r>
      <w:r w:rsidRPr="00EA7107">
        <w:rPr>
          <w:rFonts w:ascii="Calibri" w:hAnsi="Calibri" w:cs="Calibri"/>
          <w:color w:val="222222"/>
          <w:sz w:val="20"/>
          <w:szCs w:val="20"/>
          <w:shd w:val="clear" w:color="auto" w:fill="FFFFFF"/>
        </w:rPr>
        <w:t>.</w:t>
      </w:r>
      <w:r w:rsidRPr="006D21FB">
        <w:rPr>
          <w:rStyle w:val="FootnoteReference"/>
          <w:rFonts w:ascii="Calibri" w:hAnsi="Calibri" w:cs="Calibri"/>
          <w:color w:val="222222"/>
          <w:sz w:val="20"/>
          <w:szCs w:val="20"/>
          <w:shd w:val="clear" w:color="auto" w:fill="FFFFFF"/>
        </w:rPr>
        <w:footnoteReference w:id="22"/>
      </w:r>
    </w:p>
    <w:p w14:paraId="516E0559" w14:textId="77777777" w:rsidR="00FB724C" w:rsidRPr="00FB724C" w:rsidRDefault="00FB724C" w:rsidP="00FB724C">
      <w:pPr>
        <w:pStyle w:val="ListParagraph"/>
        <w:rPr>
          <w:rFonts w:ascii="Calibri" w:hAnsi="Calibri" w:cs="Calibri"/>
          <w:sz w:val="20"/>
          <w:szCs w:val="20"/>
        </w:rPr>
      </w:pPr>
    </w:p>
    <w:p w14:paraId="04D013E8" w14:textId="48175810" w:rsidR="00421A60" w:rsidRPr="00447B43" w:rsidRDefault="00421A60" w:rsidP="008B7484">
      <w:pPr>
        <w:pStyle w:val="ListParagraph"/>
        <w:numPr>
          <w:ilvl w:val="0"/>
          <w:numId w:val="17"/>
        </w:numPr>
        <w:shd w:val="clear" w:color="auto" w:fill="FFFFFF"/>
        <w:spacing w:after="0" w:line="276" w:lineRule="auto"/>
        <w:jc w:val="both"/>
        <w:rPr>
          <w:rFonts w:ascii="Calibri" w:hAnsi="Calibri" w:cs="Calibri"/>
          <w:sz w:val="20"/>
          <w:szCs w:val="20"/>
        </w:rPr>
      </w:pPr>
      <w:r w:rsidRPr="00447B43">
        <w:rPr>
          <w:rFonts w:ascii="Calibri" w:hAnsi="Calibri" w:cs="Calibri"/>
          <w:sz w:val="20"/>
          <w:szCs w:val="20"/>
        </w:rPr>
        <w:t xml:space="preserve">In Bulgaria there are at least 18,500 </w:t>
      </w:r>
      <w:r w:rsidR="00935ABE">
        <w:rPr>
          <w:rFonts w:ascii="Calibri" w:hAnsi="Calibri" w:cs="Calibri"/>
          <w:sz w:val="20"/>
          <w:szCs w:val="20"/>
        </w:rPr>
        <w:t>people who inject drugs</w:t>
      </w:r>
      <w:r w:rsidRPr="00447B43">
        <w:rPr>
          <w:rFonts w:ascii="Calibri" w:hAnsi="Calibri" w:cs="Calibri"/>
          <w:sz w:val="20"/>
          <w:szCs w:val="20"/>
        </w:rPr>
        <w:t>,</w:t>
      </w:r>
      <w:r>
        <w:rPr>
          <w:rStyle w:val="FootnoteReference"/>
          <w:rFonts w:ascii="Calibri" w:hAnsi="Calibri" w:cs="Calibri"/>
          <w:sz w:val="20"/>
          <w:szCs w:val="20"/>
        </w:rPr>
        <w:footnoteReference w:id="23"/>
      </w:r>
      <w:r w:rsidRPr="00447B43">
        <w:rPr>
          <w:rFonts w:ascii="Calibri" w:hAnsi="Calibri" w:cs="Calibri"/>
          <w:sz w:val="20"/>
          <w:szCs w:val="20"/>
        </w:rPr>
        <w:t xml:space="preserve"> with injecting drug use disproportionately concentrated in impoverished Roma communities.</w:t>
      </w:r>
      <w:r w:rsidRPr="006D21FB">
        <w:rPr>
          <w:rStyle w:val="FootnoteReference"/>
          <w:rFonts w:ascii="Calibri" w:hAnsi="Calibri" w:cs="Calibri"/>
          <w:sz w:val="20"/>
          <w:szCs w:val="20"/>
        </w:rPr>
        <w:footnoteReference w:id="24"/>
      </w:r>
      <w:r w:rsidRPr="00447B43">
        <w:rPr>
          <w:rFonts w:ascii="Calibri" w:hAnsi="Calibri" w:cs="Calibri"/>
          <w:sz w:val="20"/>
          <w:szCs w:val="20"/>
        </w:rPr>
        <w:t xml:space="preserve"> Among this population, the HIV prevalence is estimated at 1.7% </w:t>
      </w:r>
      <w:r>
        <w:rPr>
          <w:rFonts w:ascii="Calibri" w:hAnsi="Calibri" w:cs="Calibri"/>
          <w:sz w:val="20"/>
          <w:szCs w:val="20"/>
        </w:rPr>
        <w:t>to 3%, while the prevalence of h</w:t>
      </w:r>
      <w:r w:rsidRPr="00447B43">
        <w:rPr>
          <w:rFonts w:ascii="Calibri" w:hAnsi="Calibri" w:cs="Calibri"/>
          <w:sz w:val="20"/>
          <w:szCs w:val="20"/>
        </w:rPr>
        <w:t>epatitis C is reportedly between 57.8-68.5%.</w:t>
      </w:r>
      <w:r w:rsidRPr="006D21FB">
        <w:rPr>
          <w:rStyle w:val="FootnoteReference"/>
          <w:rFonts w:ascii="Calibri" w:hAnsi="Calibri" w:cs="Calibri"/>
          <w:sz w:val="20"/>
          <w:szCs w:val="20"/>
        </w:rPr>
        <w:footnoteReference w:id="25"/>
      </w:r>
      <w:r w:rsidRPr="00D1605F">
        <w:rPr>
          <w:rFonts w:ascii="Calibri" w:hAnsi="Calibri" w:cs="Calibri"/>
          <w:sz w:val="20"/>
          <w:szCs w:val="20"/>
        </w:rPr>
        <w:t xml:space="preserve"> </w:t>
      </w:r>
      <w:r>
        <w:rPr>
          <w:rFonts w:ascii="Calibri" w:hAnsi="Calibri" w:cs="Calibri"/>
          <w:sz w:val="20"/>
          <w:szCs w:val="20"/>
        </w:rPr>
        <w:t>The prevalence of HIV and hepatitis C amongst people who inject drugs is many times higher than the general population.</w:t>
      </w:r>
      <w:r>
        <w:rPr>
          <w:rStyle w:val="FootnoteReference"/>
          <w:rFonts w:ascii="Calibri" w:hAnsi="Calibri" w:cs="Calibri"/>
          <w:sz w:val="20"/>
          <w:szCs w:val="20"/>
        </w:rPr>
        <w:footnoteReference w:id="26"/>
      </w:r>
    </w:p>
    <w:p w14:paraId="3D986653" w14:textId="77777777" w:rsidR="00BD7EBD" w:rsidRPr="00BD7EBD" w:rsidRDefault="00BD7EBD" w:rsidP="00BD7EBD">
      <w:pPr>
        <w:pStyle w:val="ListParagraph"/>
        <w:rPr>
          <w:rFonts w:ascii="Calibri" w:hAnsi="Calibri" w:cs="Calibri"/>
          <w:sz w:val="20"/>
          <w:szCs w:val="20"/>
        </w:rPr>
      </w:pPr>
    </w:p>
    <w:p w14:paraId="1A9A5D17" w14:textId="77777777" w:rsidR="00BD7EBD" w:rsidRPr="00900B08" w:rsidRDefault="005A2011" w:rsidP="00900B08">
      <w:pPr>
        <w:shd w:val="clear" w:color="auto" w:fill="FFFFFF"/>
        <w:spacing w:after="0" w:line="276" w:lineRule="auto"/>
        <w:jc w:val="both"/>
        <w:rPr>
          <w:rFonts w:asciiTheme="majorHAnsi" w:hAnsiTheme="majorHAnsi" w:cstheme="majorHAnsi"/>
          <w:b/>
        </w:rPr>
      </w:pPr>
      <w:r w:rsidRPr="00900B08">
        <w:rPr>
          <w:rFonts w:asciiTheme="majorHAnsi" w:hAnsiTheme="majorHAnsi" w:cstheme="majorHAnsi"/>
          <w:b/>
        </w:rPr>
        <w:t>Harm reduction and the right to health in Bulgaria today</w:t>
      </w:r>
    </w:p>
    <w:p w14:paraId="2EF1F427" w14:textId="77777777" w:rsidR="005A2011" w:rsidRDefault="005A2011" w:rsidP="00C97D9B">
      <w:pPr>
        <w:shd w:val="clear" w:color="auto" w:fill="FFFFFF"/>
        <w:spacing w:after="0" w:line="276" w:lineRule="auto"/>
        <w:jc w:val="both"/>
        <w:rPr>
          <w:rFonts w:ascii="Calibri" w:hAnsi="Calibri" w:cs="Calibri"/>
          <w:sz w:val="20"/>
          <w:szCs w:val="20"/>
        </w:rPr>
      </w:pPr>
    </w:p>
    <w:p w14:paraId="133049DF" w14:textId="77777777" w:rsidR="004E3923" w:rsidRPr="007C7026" w:rsidRDefault="004E3923" w:rsidP="004E3923">
      <w:pPr>
        <w:pStyle w:val="ListParagraph"/>
        <w:shd w:val="clear" w:color="auto" w:fill="FFFFFF"/>
        <w:spacing w:after="0" w:line="276" w:lineRule="auto"/>
        <w:jc w:val="both"/>
        <w:rPr>
          <w:rFonts w:ascii="Calibri" w:hAnsi="Calibri" w:cs="Calibri"/>
          <w:i/>
          <w:sz w:val="20"/>
          <w:szCs w:val="20"/>
          <w:u w:val="single"/>
        </w:rPr>
      </w:pPr>
      <w:r w:rsidRPr="007C7026">
        <w:rPr>
          <w:rFonts w:ascii="Calibri" w:hAnsi="Calibri" w:cs="Calibri"/>
          <w:i/>
          <w:sz w:val="20"/>
          <w:szCs w:val="20"/>
          <w:u w:val="single"/>
        </w:rPr>
        <w:t>The harm reduction funding crisis</w:t>
      </w:r>
    </w:p>
    <w:p w14:paraId="3E8EB159" w14:textId="77777777" w:rsidR="004E3923" w:rsidRPr="004E3923" w:rsidRDefault="004E3923" w:rsidP="004E3923">
      <w:pPr>
        <w:pStyle w:val="ListParagraph"/>
        <w:shd w:val="clear" w:color="auto" w:fill="FFFFFF"/>
        <w:spacing w:after="0" w:line="276" w:lineRule="auto"/>
        <w:jc w:val="both"/>
        <w:rPr>
          <w:rFonts w:ascii="Calibri" w:hAnsi="Calibri" w:cs="Calibri"/>
          <w:i/>
          <w:sz w:val="20"/>
          <w:szCs w:val="20"/>
        </w:rPr>
      </w:pPr>
    </w:p>
    <w:p w14:paraId="03368C29" w14:textId="699BA314" w:rsidR="00D455DA" w:rsidRDefault="00D455DA" w:rsidP="008B7484">
      <w:pPr>
        <w:pStyle w:val="ListParagraph"/>
        <w:numPr>
          <w:ilvl w:val="0"/>
          <w:numId w:val="17"/>
        </w:numPr>
        <w:shd w:val="clear" w:color="auto" w:fill="FFFFFF"/>
        <w:spacing w:after="0" w:line="276" w:lineRule="auto"/>
        <w:jc w:val="both"/>
        <w:rPr>
          <w:rFonts w:ascii="Calibri" w:hAnsi="Calibri" w:cs="Calibri"/>
          <w:sz w:val="20"/>
          <w:szCs w:val="20"/>
        </w:rPr>
      </w:pPr>
      <w:r>
        <w:rPr>
          <w:rFonts w:ascii="Calibri" w:hAnsi="Calibri" w:cs="Calibri"/>
          <w:sz w:val="20"/>
          <w:szCs w:val="20"/>
        </w:rPr>
        <w:t xml:space="preserve">In 2017 </w:t>
      </w:r>
      <w:r w:rsidRPr="00421FEB">
        <w:rPr>
          <w:rFonts w:ascii="Calibri" w:hAnsi="Calibri" w:cs="Calibri"/>
          <w:sz w:val="20"/>
          <w:szCs w:val="20"/>
        </w:rPr>
        <w:t xml:space="preserve">Harm Reduction International </w:t>
      </w:r>
      <w:r w:rsidRPr="00D90FEB">
        <w:rPr>
          <w:rFonts w:ascii="Calibri" w:hAnsi="Calibri" w:cs="Calibri"/>
          <w:sz w:val="20"/>
          <w:szCs w:val="20"/>
        </w:rPr>
        <w:t>and the Centre for Human</w:t>
      </w:r>
      <w:r w:rsidR="00972FA6">
        <w:rPr>
          <w:rFonts w:ascii="Calibri" w:hAnsi="Calibri" w:cs="Calibri"/>
          <w:sz w:val="20"/>
          <w:szCs w:val="20"/>
        </w:rPr>
        <w:t>e</w:t>
      </w:r>
      <w:r w:rsidRPr="00D90FEB">
        <w:rPr>
          <w:rFonts w:ascii="Calibri" w:hAnsi="Calibri" w:cs="Calibri"/>
          <w:sz w:val="20"/>
          <w:szCs w:val="20"/>
        </w:rPr>
        <w:t xml:space="preserve"> Policy published research categorising the situation</w:t>
      </w:r>
      <w:r>
        <w:rPr>
          <w:rFonts w:ascii="Calibri" w:hAnsi="Calibri" w:cs="Calibri"/>
          <w:sz w:val="20"/>
          <w:szCs w:val="20"/>
        </w:rPr>
        <w:t xml:space="preserve"> in Bulgaria – impacted by both austerity and donor withdrawal - </w:t>
      </w:r>
      <w:r w:rsidRPr="00D90FEB">
        <w:rPr>
          <w:rFonts w:ascii="Calibri" w:hAnsi="Calibri" w:cs="Calibri"/>
          <w:sz w:val="20"/>
          <w:szCs w:val="20"/>
        </w:rPr>
        <w:t>as a</w:t>
      </w:r>
      <w:r w:rsidRPr="00240FD8">
        <w:rPr>
          <w:rFonts w:ascii="Calibri" w:hAnsi="Calibri" w:cs="Calibri"/>
          <w:sz w:val="20"/>
          <w:szCs w:val="20"/>
        </w:rPr>
        <w:t xml:space="preserve"> harm reduction funding crisis.</w:t>
      </w:r>
      <w:r w:rsidRPr="003E5267">
        <w:rPr>
          <w:rStyle w:val="FootnoteReference"/>
          <w:rFonts w:ascii="Calibri" w:hAnsi="Calibri" w:cs="Calibri"/>
          <w:sz w:val="20"/>
          <w:szCs w:val="20"/>
        </w:rPr>
        <w:footnoteReference w:id="27"/>
      </w:r>
      <w:r w:rsidRPr="00421FEB">
        <w:rPr>
          <w:rFonts w:ascii="Calibri" w:hAnsi="Calibri" w:cs="Calibri"/>
          <w:sz w:val="20"/>
          <w:szCs w:val="20"/>
        </w:rPr>
        <w:t xml:space="preserve"> </w:t>
      </w:r>
    </w:p>
    <w:p w14:paraId="5EABB8CA" w14:textId="77777777" w:rsidR="00D455DA" w:rsidRDefault="00D455DA" w:rsidP="00D455DA">
      <w:pPr>
        <w:pStyle w:val="ListParagraph"/>
        <w:shd w:val="clear" w:color="auto" w:fill="FFFFFF"/>
        <w:spacing w:after="0" w:line="276" w:lineRule="auto"/>
        <w:jc w:val="both"/>
        <w:rPr>
          <w:rFonts w:ascii="Calibri" w:hAnsi="Calibri" w:cs="Calibri"/>
          <w:sz w:val="20"/>
          <w:szCs w:val="20"/>
        </w:rPr>
      </w:pPr>
    </w:p>
    <w:p w14:paraId="7CDD0A8D" w14:textId="0B4B1CE6" w:rsidR="00E204E8" w:rsidRPr="00935ABE" w:rsidRDefault="00C642B0" w:rsidP="008B7484">
      <w:pPr>
        <w:pStyle w:val="ListParagraph"/>
        <w:numPr>
          <w:ilvl w:val="0"/>
          <w:numId w:val="17"/>
        </w:numPr>
        <w:shd w:val="clear" w:color="auto" w:fill="FFFFFF"/>
        <w:spacing w:after="0" w:line="276" w:lineRule="auto"/>
        <w:jc w:val="both"/>
        <w:rPr>
          <w:rFonts w:ascii="Calibri" w:hAnsi="Calibri" w:cs="Calibri"/>
          <w:sz w:val="20"/>
          <w:szCs w:val="20"/>
          <w:shd w:val="clear" w:color="auto" w:fill="FFFFFF"/>
        </w:rPr>
      </w:pPr>
      <w:r>
        <w:rPr>
          <w:rFonts w:ascii="Calibri" w:hAnsi="Calibri" w:cs="Calibri"/>
          <w:sz w:val="20"/>
          <w:szCs w:val="20"/>
          <w:shd w:val="clear" w:color="auto" w:fill="FFFFFF"/>
        </w:rPr>
        <w:t>The Center for Human</w:t>
      </w:r>
      <w:r w:rsidR="001F325B">
        <w:rPr>
          <w:rFonts w:ascii="Calibri" w:hAnsi="Calibri" w:cs="Calibri"/>
          <w:sz w:val="20"/>
          <w:szCs w:val="20"/>
          <w:shd w:val="clear" w:color="auto" w:fill="FFFFFF"/>
        </w:rPr>
        <w:t>e</w:t>
      </w:r>
      <w:r>
        <w:rPr>
          <w:rFonts w:ascii="Calibri" w:hAnsi="Calibri" w:cs="Calibri"/>
          <w:sz w:val="20"/>
          <w:szCs w:val="20"/>
          <w:shd w:val="clear" w:color="auto" w:fill="FFFFFF"/>
        </w:rPr>
        <w:t xml:space="preserve"> Policy reports that f</w:t>
      </w:r>
      <w:r w:rsidR="00900B08" w:rsidRPr="00E204E8">
        <w:rPr>
          <w:rFonts w:ascii="Calibri" w:hAnsi="Calibri" w:cs="Calibri"/>
          <w:sz w:val="20"/>
          <w:szCs w:val="20"/>
          <w:shd w:val="clear" w:color="auto" w:fill="FFFFFF"/>
        </w:rPr>
        <w:t>ollowing donor withdrawal in 2017, t</w:t>
      </w:r>
      <w:r w:rsidR="00900B08" w:rsidRPr="00E204E8">
        <w:rPr>
          <w:rFonts w:ascii="Calibri" w:hAnsi="Calibri" w:cs="Calibri"/>
          <w:sz w:val="20"/>
          <w:szCs w:val="20"/>
        </w:rPr>
        <w:t>he Government of Bulgaria failed to</w:t>
      </w:r>
      <w:r w:rsidR="000B47E7" w:rsidRPr="00E204E8">
        <w:rPr>
          <w:rFonts w:ascii="Calibri" w:hAnsi="Calibri" w:cs="Calibri"/>
          <w:sz w:val="20"/>
          <w:szCs w:val="20"/>
        </w:rPr>
        <w:t xml:space="preserve"> fund or support harm reduction services,</w:t>
      </w:r>
      <w:r w:rsidR="00E204E8" w:rsidRPr="00E204E8">
        <w:rPr>
          <w:rFonts w:ascii="Calibri" w:hAnsi="Calibri" w:cs="Calibri"/>
          <w:sz w:val="20"/>
          <w:szCs w:val="20"/>
        </w:rPr>
        <w:t xml:space="preserve"> with the exception of a </w:t>
      </w:r>
      <w:r w:rsidR="00E204E8" w:rsidRPr="00E204E8">
        <w:rPr>
          <w:sz w:val="20"/>
          <w:szCs w:val="20"/>
        </w:rPr>
        <w:t>limited number of OST programmes.</w:t>
      </w:r>
      <w:r w:rsidR="008835F4">
        <w:rPr>
          <w:sz w:val="20"/>
          <w:szCs w:val="20"/>
        </w:rPr>
        <w:t xml:space="preserve"> For the latter, the Government provides funding for the medicine (methadone), but not for the distribution services, and only few OST programmes are totally free for the clients.  </w:t>
      </w:r>
    </w:p>
    <w:p w14:paraId="46EACD04" w14:textId="77777777" w:rsidR="00E204E8" w:rsidRPr="00935ABE" w:rsidRDefault="00E204E8" w:rsidP="00935ABE">
      <w:pPr>
        <w:pStyle w:val="ListParagraph"/>
        <w:rPr>
          <w:rFonts w:ascii="Calibri" w:hAnsi="Calibri" w:cs="Calibri"/>
          <w:sz w:val="20"/>
          <w:szCs w:val="20"/>
        </w:rPr>
      </w:pPr>
    </w:p>
    <w:p w14:paraId="38C7EDCB" w14:textId="20F928E4" w:rsidR="00602D2D" w:rsidRDefault="00602D2D" w:rsidP="008B7484">
      <w:pPr>
        <w:pStyle w:val="ListParagraph"/>
        <w:numPr>
          <w:ilvl w:val="0"/>
          <w:numId w:val="17"/>
        </w:numPr>
        <w:shd w:val="clear" w:color="auto" w:fill="FFFFFF"/>
        <w:spacing w:after="0" w:line="276" w:lineRule="auto"/>
        <w:jc w:val="both"/>
        <w:rPr>
          <w:rFonts w:ascii="Calibri" w:hAnsi="Calibri" w:cs="Calibri"/>
          <w:sz w:val="20"/>
          <w:szCs w:val="20"/>
        </w:rPr>
      </w:pPr>
      <w:r w:rsidRPr="00447B43">
        <w:rPr>
          <w:rFonts w:ascii="Calibri" w:hAnsi="Calibri" w:cs="Calibri"/>
          <w:sz w:val="20"/>
          <w:szCs w:val="20"/>
        </w:rPr>
        <w:t xml:space="preserve">In 2018 the Government released funding for HIV prevention activities among key populations, including needle exchange services for </w:t>
      </w:r>
      <w:r w:rsidR="00EC558C">
        <w:rPr>
          <w:rFonts w:ascii="Calibri" w:hAnsi="Calibri" w:cs="Calibri"/>
          <w:sz w:val="20"/>
          <w:szCs w:val="20"/>
        </w:rPr>
        <w:t>people who inject drugs</w:t>
      </w:r>
      <w:r w:rsidR="001F602F">
        <w:rPr>
          <w:rFonts w:ascii="Calibri" w:hAnsi="Calibri" w:cs="Calibri"/>
          <w:sz w:val="20"/>
          <w:szCs w:val="20"/>
        </w:rPr>
        <w:t>, under the Public Procurement Act</w:t>
      </w:r>
      <w:r w:rsidRPr="00447B43">
        <w:rPr>
          <w:rFonts w:ascii="Calibri" w:hAnsi="Calibri" w:cs="Calibri"/>
          <w:sz w:val="20"/>
          <w:szCs w:val="20"/>
        </w:rPr>
        <w:t xml:space="preserve">. However, </w:t>
      </w:r>
      <w:r w:rsidR="00A24A46">
        <w:rPr>
          <w:rFonts w:ascii="Calibri" w:hAnsi="Calibri" w:cs="Calibri"/>
          <w:sz w:val="20"/>
          <w:szCs w:val="20"/>
        </w:rPr>
        <w:t>a</w:t>
      </w:r>
      <w:r w:rsidRPr="00447B43">
        <w:rPr>
          <w:rFonts w:ascii="Calibri" w:hAnsi="Calibri" w:cs="Calibri"/>
          <w:sz w:val="20"/>
          <w:szCs w:val="20"/>
        </w:rPr>
        <w:t xml:space="preserve"> lack of legal provisions for direct social contracting to NGOs</w:t>
      </w:r>
      <w:r w:rsidR="001F602F">
        <w:rPr>
          <w:rFonts w:ascii="Calibri" w:hAnsi="Calibri" w:cs="Calibri"/>
          <w:sz w:val="20"/>
          <w:szCs w:val="20"/>
        </w:rPr>
        <w:t xml:space="preserve">, </w:t>
      </w:r>
      <w:r w:rsidR="00A24A46">
        <w:rPr>
          <w:rFonts w:ascii="Calibri" w:hAnsi="Calibri" w:cs="Calibri"/>
          <w:sz w:val="20"/>
          <w:szCs w:val="20"/>
        </w:rPr>
        <w:t>effectively excluded NGOs from applying for this funding</w:t>
      </w:r>
      <w:r w:rsidRPr="00447B43">
        <w:rPr>
          <w:rFonts w:ascii="Calibri" w:hAnsi="Calibri" w:cs="Calibri"/>
          <w:sz w:val="20"/>
          <w:szCs w:val="20"/>
        </w:rPr>
        <w:t>. As a result, only two contract</w:t>
      </w:r>
      <w:r w:rsidR="00A24A46">
        <w:rPr>
          <w:rFonts w:ascii="Calibri" w:hAnsi="Calibri" w:cs="Calibri"/>
          <w:sz w:val="20"/>
          <w:szCs w:val="20"/>
        </w:rPr>
        <w:t>s</w:t>
      </w:r>
      <w:r w:rsidRPr="00447B43">
        <w:rPr>
          <w:rFonts w:ascii="Calibri" w:hAnsi="Calibri" w:cs="Calibri"/>
          <w:sz w:val="20"/>
          <w:szCs w:val="20"/>
        </w:rPr>
        <w:t xml:space="preserve"> for services were signed (in </w:t>
      </w:r>
      <w:proofErr w:type="spellStart"/>
      <w:r w:rsidRPr="00447B43">
        <w:rPr>
          <w:rFonts w:ascii="Calibri" w:hAnsi="Calibri" w:cs="Calibri"/>
          <w:sz w:val="20"/>
          <w:szCs w:val="20"/>
        </w:rPr>
        <w:t>Stara</w:t>
      </w:r>
      <w:proofErr w:type="spellEnd"/>
      <w:r w:rsidRPr="00447B43">
        <w:rPr>
          <w:rFonts w:ascii="Calibri" w:hAnsi="Calibri" w:cs="Calibri"/>
          <w:sz w:val="20"/>
          <w:szCs w:val="20"/>
        </w:rPr>
        <w:t xml:space="preserve"> Zagora and Varna), and for a limited period of four months, which absorbed just 23% of the available funding. </w:t>
      </w:r>
    </w:p>
    <w:p w14:paraId="68FA4854" w14:textId="77777777" w:rsidR="00A24A46" w:rsidRPr="00A24A46" w:rsidRDefault="00A24A46" w:rsidP="00A24A46">
      <w:pPr>
        <w:pStyle w:val="ListParagraph"/>
        <w:rPr>
          <w:rFonts w:ascii="Calibri" w:hAnsi="Calibri" w:cs="Calibri"/>
          <w:sz w:val="20"/>
          <w:szCs w:val="20"/>
        </w:rPr>
      </w:pPr>
    </w:p>
    <w:p w14:paraId="64B5B892" w14:textId="7C3C2ABA" w:rsidR="00602D2D" w:rsidRDefault="00602D2D" w:rsidP="008B7484">
      <w:pPr>
        <w:pStyle w:val="ListParagraph"/>
        <w:numPr>
          <w:ilvl w:val="0"/>
          <w:numId w:val="17"/>
        </w:numPr>
        <w:shd w:val="clear" w:color="auto" w:fill="FFFFFF"/>
        <w:spacing w:after="0" w:line="276" w:lineRule="auto"/>
        <w:jc w:val="both"/>
        <w:rPr>
          <w:rFonts w:ascii="Calibri" w:hAnsi="Calibri" w:cs="Calibri"/>
          <w:sz w:val="20"/>
          <w:szCs w:val="20"/>
        </w:rPr>
      </w:pPr>
      <w:r w:rsidRPr="00447B43">
        <w:rPr>
          <w:rFonts w:ascii="Calibri" w:hAnsi="Calibri" w:cs="Calibri"/>
          <w:sz w:val="20"/>
          <w:szCs w:val="20"/>
        </w:rPr>
        <w:t>At the end of 2018 a new tender (</w:t>
      </w:r>
      <w:r w:rsidR="00A24A46">
        <w:rPr>
          <w:rFonts w:ascii="Calibri" w:hAnsi="Calibri" w:cs="Calibri"/>
          <w:sz w:val="20"/>
          <w:szCs w:val="20"/>
        </w:rPr>
        <w:t>also under the Public Procurement Act</w:t>
      </w:r>
      <w:r w:rsidRPr="00447B43">
        <w:rPr>
          <w:rFonts w:ascii="Calibri" w:hAnsi="Calibri" w:cs="Calibri"/>
          <w:sz w:val="20"/>
          <w:szCs w:val="20"/>
        </w:rPr>
        <w:t xml:space="preserve">) was announced by the Ministry of Health for the four main cities in the country (Sofia, Varna, </w:t>
      </w:r>
      <w:proofErr w:type="spellStart"/>
      <w:r w:rsidRPr="00447B43">
        <w:rPr>
          <w:rFonts w:ascii="Calibri" w:hAnsi="Calibri" w:cs="Calibri"/>
          <w:sz w:val="20"/>
          <w:szCs w:val="20"/>
        </w:rPr>
        <w:t>Burgas</w:t>
      </w:r>
      <w:proofErr w:type="spellEnd"/>
      <w:r w:rsidRPr="00447B43">
        <w:rPr>
          <w:rFonts w:ascii="Calibri" w:hAnsi="Calibri" w:cs="Calibri"/>
          <w:sz w:val="20"/>
          <w:szCs w:val="20"/>
        </w:rPr>
        <w:t xml:space="preserve"> and Plovdiv).</w:t>
      </w:r>
      <w:r w:rsidR="008835F4">
        <w:rPr>
          <w:rFonts w:ascii="Calibri" w:hAnsi="Calibri" w:cs="Calibri"/>
          <w:sz w:val="20"/>
          <w:szCs w:val="20"/>
        </w:rPr>
        <w:t xml:space="preserve"> Although the tender still presents some criticalities, such as an insufficient amount of funding </w:t>
      </w:r>
      <w:r w:rsidR="00EC558C">
        <w:rPr>
          <w:rFonts w:ascii="Calibri" w:hAnsi="Calibri" w:cs="Calibri"/>
          <w:sz w:val="20"/>
          <w:szCs w:val="20"/>
        </w:rPr>
        <w:t>made available</w:t>
      </w:r>
      <w:r w:rsidR="008835F4">
        <w:rPr>
          <w:rFonts w:ascii="Calibri" w:hAnsi="Calibri" w:cs="Calibri"/>
          <w:sz w:val="20"/>
          <w:szCs w:val="20"/>
        </w:rPr>
        <w:t>, it appears to be less problematic than the previous one.</w:t>
      </w:r>
      <w:r w:rsidRPr="00447B43">
        <w:rPr>
          <w:rFonts w:ascii="Calibri" w:hAnsi="Calibri" w:cs="Calibri"/>
          <w:sz w:val="20"/>
          <w:szCs w:val="20"/>
        </w:rPr>
        <w:t xml:space="preserve"> The results and possible contracts’ signing are expected in 2019.  </w:t>
      </w:r>
    </w:p>
    <w:p w14:paraId="2A76B51F" w14:textId="77777777" w:rsidR="004E3923" w:rsidRPr="004E3923" w:rsidRDefault="004E3923" w:rsidP="004E3923">
      <w:pPr>
        <w:pStyle w:val="ListParagraph"/>
        <w:rPr>
          <w:rFonts w:ascii="Calibri" w:hAnsi="Calibri" w:cs="Calibri"/>
          <w:sz w:val="20"/>
          <w:szCs w:val="20"/>
        </w:rPr>
      </w:pPr>
    </w:p>
    <w:p w14:paraId="3F525D39" w14:textId="77777777" w:rsidR="00972FA6" w:rsidRDefault="00972FA6" w:rsidP="004E3923">
      <w:pPr>
        <w:pStyle w:val="ListParagraph"/>
        <w:shd w:val="clear" w:color="auto" w:fill="FFFFFF"/>
        <w:spacing w:after="0" w:line="276" w:lineRule="auto"/>
        <w:jc w:val="both"/>
        <w:rPr>
          <w:rFonts w:ascii="Calibri" w:hAnsi="Calibri" w:cs="Calibri"/>
          <w:i/>
          <w:sz w:val="20"/>
          <w:szCs w:val="20"/>
          <w:u w:val="single"/>
        </w:rPr>
      </w:pPr>
    </w:p>
    <w:p w14:paraId="270F384F" w14:textId="004DAF7F" w:rsidR="004E3923" w:rsidRPr="007C7026" w:rsidRDefault="004E3923" w:rsidP="004E3923">
      <w:pPr>
        <w:pStyle w:val="ListParagraph"/>
        <w:shd w:val="clear" w:color="auto" w:fill="FFFFFF"/>
        <w:spacing w:after="0" w:line="276" w:lineRule="auto"/>
        <w:jc w:val="both"/>
        <w:rPr>
          <w:rFonts w:ascii="Calibri" w:hAnsi="Calibri" w:cs="Calibri"/>
          <w:i/>
          <w:sz w:val="20"/>
          <w:szCs w:val="20"/>
          <w:u w:val="single"/>
        </w:rPr>
      </w:pPr>
      <w:r w:rsidRPr="007C7026">
        <w:rPr>
          <w:rFonts w:ascii="Calibri" w:hAnsi="Calibri" w:cs="Calibri"/>
          <w:i/>
          <w:sz w:val="20"/>
          <w:szCs w:val="20"/>
          <w:u w:val="single"/>
        </w:rPr>
        <w:t>Coverage of harm reduction interventions</w:t>
      </w:r>
    </w:p>
    <w:p w14:paraId="0DF00492" w14:textId="77777777" w:rsidR="004E3923" w:rsidRPr="004E3923" w:rsidRDefault="004E3923" w:rsidP="004E3923">
      <w:pPr>
        <w:pStyle w:val="ListParagraph"/>
        <w:rPr>
          <w:rFonts w:ascii="Calibri" w:hAnsi="Calibri" w:cs="Calibri"/>
          <w:sz w:val="20"/>
          <w:szCs w:val="20"/>
        </w:rPr>
      </w:pPr>
    </w:p>
    <w:p w14:paraId="4BEC0EA9" w14:textId="56F30B44" w:rsidR="004E3923" w:rsidRDefault="004E3923" w:rsidP="008B7484">
      <w:pPr>
        <w:pStyle w:val="ListParagraph"/>
        <w:numPr>
          <w:ilvl w:val="0"/>
          <w:numId w:val="17"/>
        </w:numPr>
        <w:shd w:val="clear" w:color="auto" w:fill="FFFFFF"/>
        <w:spacing w:after="0" w:line="276" w:lineRule="auto"/>
        <w:jc w:val="both"/>
        <w:rPr>
          <w:rFonts w:ascii="Calibri" w:hAnsi="Calibri" w:cs="Calibri"/>
          <w:sz w:val="20"/>
          <w:szCs w:val="20"/>
        </w:rPr>
      </w:pPr>
      <w:r>
        <w:rPr>
          <w:rFonts w:ascii="Calibri" w:hAnsi="Calibri" w:cs="Calibri"/>
          <w:sz w:val="20"/>
          <w:szCs w:val="20"/>
        </w:rPr>
        <w:t xml:space="preserve">At the end of </w:t>
      </w:r>
      <w:r w:rsidRPr="00447B43">
        <w:rPr>
          <w:rFonts w:ascii="Calibri" w:hAnsi="Calibri" w:cs="Calibri"/>
          <w:sz w:val="20"/>
          <w:szCs w:val="20"/>
        </w:rPr>
        <w:t>2018</w:t>
      </w:r>
      <w:r>
        <w:rPr>
          <w:rFonts w:ascii="Calibri" w:hAnsi="Calibri" w:cs="Calibri"/>
          <w:sz w:val="20"/>
          <w:szCs w:val="20"/>
        </w:rPr>
        <w:t>, Harm Reduction International reported on the state of harm reduction in Bulgaria; finding limited interventi</w:t>
      </w:r>
      <w:r w:rsidR="005714C4">
        <w:rPr>
          <w:rFonts w:ascii="Calibri" w:hAnsi="Calibri" w:cs="Calibri"/>
          <w:sz w:val="20"/>
          <w:szCs w:val="20"/>
        </w:rPr>
        <w:t>ons with extremely low coverage. T</w:t>
      </w:r>
      <w:r w:rsidRPr="00E204E8">
        <w:rPr>
          <w:rFonts w:ascii="Calibri" w:hAnsi="Calibri" w:cs="Calibri"/>
          <w:sz w:val="20"/>
          <w:szCs w:val="20"/>
          <w:shd w:val="clear" w:color="auto" w:fill="FFFFFF"/>
        </w:rPr>
        <w:t xml:space="preserve">he World Health Organization recommends 300 needles per person who injects drugs per year and &gt; 40 in every 100 </w:t>
      </w:r>
      <w:r w:rsidR="00EC558C" w:rsidRPr="00E204E8">
        <w:rPr>
          <w:rFonts w:ascii="Calibri" w:hAnsi="Calibri" w:cs="Calibri"/>
          <w:sz w:val="20"/>
          <w:szCs w:val="20"/>
          <w:shd w:val="clear" w:color="auto" w:fill="FFFFFF"/>
        </w:rPr>
        <w:t>persons</w:t>
      </w:r>
      <w:r w:rsidRPr="00E204E8">
        <w:rPr>
          <w:rFonts w:ascii="Calibri" w:hAnsi="Calibri" w:cs="Calibri"/>
          <w:sz w:val="20"/>
          <w:szCs w:val="20"/>
          <w:shd w:val="clear" w:color="auto" w:fill="FFFFFF"/>
        </w:rPr>
        <w:t xml:space="preserve"> who </w:t>
      </w:r>
      <w:r w:rsidR="005714C4">
        <w:rPr>
          <w:rFonts w:ascii="Calibri" w:hAnsi="Calibri" w:cs="Calibri"/>
          <w:sz w:val="20"/>
          <w:szCs w:val="20"/>
          <w:shd w:val="clear" w:color="auto" w:fill="FFFFFF"/>
        </w:rPr>
        <w:t>injects drugs provided with OST</w:t>
      </w:r>
      <w:r w:rsidRPr="00E204E8">
        <w:rPr>
          <w:rFonts w:ascii="Calibri" w:hAnsi="Calibri" w:cs="Calibri"/>
          <w:sz w:val="20"/>
          <w:szCs w:val="20"/>
          <w:shd w:val="clear" w:color="auto" w:fill="FFFFFF"/>
        </w:rPr>
        <w:t>.</w:t>
      </w:r>
      <w:r>
        <w:rPr>
          <w:rFonts w:ascii="Calibri" w:hAnsi="Calibri" w:cs="Calibri"/>
          <w:sz w:val="20"/>
          <w:szCs w:val="20"/>
          <w:shd w:val="clear" w:color="auto" w:fill="FFFFFF"/>
        </w:rPr>
        <w:t xml:space="preserve"> Based on reports from national NGOs, Harm Reduction International found there were</w:t>
      </w:r>
      <w:r>
        <w:rPr>
          <w:rFonts w:ascii="Calibri" w:hAnsi="Calibri" w:cs="Calibri"/>
          <w:sz w:val="20"/>
          <w:szCs w:val="20"/>
        </w:rPr>
        <w:t xml:space="preserve"> no NSPs in the country, just 31 OST sites, no drug consumption rooms and no peer-distributed naloxone.</w:t>
      </w:r>
      <w:r w:rsidRPr="00447B43">
        <w:rPr>
          <w:rFonts w:ascii="Calibri" w:hAnsi="Calibri" w:cs="Calibri"/>
          <w:sz w:val="20"/>
          <w:szCs w:val="20"/>
        </w:rPr>
        <w:t xml:space="preserve"> </w:t>
      </w:r>
      <w:r>
        <w:rPr>
          <w:rFonts w:ascii="Calibri" w:hAnsi="Calibri" w:cs="Calibri"/>
          <w:sz w:val="20"/>
          <w:szCs w:val="20"/>
        </w:rPr>
        <w:t xml:space="preserve">OST is </w:t>
      </w:r>
      <w:r w:rsidRPr="00447B43">
        <w:rPr>
          <w:rFonts w:ascii="Calibri" w:hAnsi="Calibri" w:cs="Calibri"/>
          <w:sz w:val="20"/>
          <w:szCs w:val="20"/>
        </w:rPr>
        <w:t xml:space="preserve">available in only one prison, and </w:t>
      </w:r>
      <w:r>
        <w:rPr>
          <w:rFonts w:ascii="Calibri" w:hAnsi="Calibri" w:cs="Calibri"/>
          <w:sz w:val="20"/>
          <w:szCs w:val="20"/>
        </w:rPr>
        <w:t xml:space="preserve">on limited terms - </w:t>
      </w:r>
      <w:r w:rsidRPr="00447B43">
        <w:rPr>
          <w:rFonts w:ascii="Calibri" w:hAnsi="Calibri" w:cs="Calibri"/>
          <w:sz w:val="20"/>
          <w:szCs w:val="20"/>
        </w:rPr>
        <w:t xml:space="preserve">only for prisoners receiving OST prior to incarceration. </w:t>
      </w:r>
    </w:p>
    <w:p w14:paraId="39FB3705" w14:textId="77777777" w:rsidR="00602D2D" w:rsidRPr="006D21FB" w:rsidRDefault="00602D2D" w:rsidP="00602D2D">
      <w:pPr>
        <w:spacing w:after="0" w:line="276" w:lineRule="auto"/>
        <w:contextualSpacing/>
        <w:jc w:val="both"/>
        <w:rPr>
          <w:rFonts w:ascii="Calibri" w:hAnsi="Calibri" w:cs="Calibri"/>
          <w:sz w:val="20"/>
          <w:szCs w:val="20"/>
        </w:rPr>
      </w:pPr>
    </w:p>
    <w:p w14:paraId="757A9B8C" w14:textId="2EB20E77" w:rsidR="00602D2D" w:rsidRDefault="007C7026" w:rsidP="008B7484">
      <w:pPr>
        <w:pStyle w:val="ListParagraph"/>
        <w:numPr>
          <w:ilvl w:val="0"/>
          <w:numId w:val="17"/>
        </w:numPr>
        <w:shd w:val="clear" w:color="auto" w:fill="FFFFFF"/>
        <w:spacing w:after="0" w:line="276" w:lineRule="auto"/>
        <w:jc w:val="both"/>
        <w:rPr>
          <w:rFonts w:ascii="Calibri" w:hAnsi="Calibri" w:cs="Calibri"/>
          <w:sz w:val="20"/>
          <w:szCs w:val="20"/>
          <w:shd w:val="clear" w:color="auto" w:fill="FFFFFF"/>
        </w:rPr>
      </w:pPr>
      <w:r>
        <w:rPr>
          <w:rFonts w:ascii="Calibri" w:hAnsi="Calibri" w:cs="Calibri"/>
          <w:sz w:val="20"/>
          <w:szCs w:val="20"/>
          <w:shd w:val="clear" w:color="auto" w:fill="FFFFFF"/>
        </w:rPr>
        <w:t>With e</w:t>
      </w:r>
      <w:r w:rsidR="002B66E9">
        <w:rPr>
          <w:rFonts w:ascii="Calibri" w:hAnsi="Calibri" w:cs="Calibri"/>
          <w:sz w:val="20"/>
          <w:szCs w:val="20"/>
          <w:shd w:val="clear" w:color="auto" w:fill="FFFFFF"/>
        </w:rPr>
        <w:t>xtremely l</w:t>
      </w:r>
      <w:r w:rsidR="00602D2D" w:rsidRPr="00447B43">
        <w:rPr>
          <w:rFonts w:ascii="Calibri" w:hAnsi="Calibri" w:cs="Calibri"/>
          <w:sz w:val="20"/>
          <w:szCs w:val="20"/>
          <w:shd w:val="clear" w:color="auto" w:fill="FFFFFF"/>
        </w:rPr>
        <w:t>ow coverage of OST and long waiting lists, people</w:t>
      </w:r>
      <w:r w:rsidR="00EA7107">
        <w:rPr>
          <w:rFonts w:ascii="Calibri" w:hAnsi="Calibri" w:cs="Calibri"/>
          <w:sz w:val="20"/>
          <w:szCs w:val="20"/>
          <w:shd w:val="clear" w:color="auto" w:fill="FFFFFF"/>
        </w:rPr>
        <w:t xml:space="preserve"> who can afford it have chosen to </w:t>
      </w:r>
      <w:r w:rsidR="00602D2D" w:rsidRPr="00447B43">
        <w:rPr>
          <w:rFonts w:ascii="Calibri" w:hAnsi="Calibri" w:cs="Calibri"/>
          <w:sz w:val="20"/>
          <w:szCs w:val="20"/>
          <w:shd w:val="clear" w:color="auto" w:fill="FFFFFF"/>
        </w:rPr>
        <w:t>pay for the</w:t>
      </w:r>
      <w:r w:rsidR="00EA7107">
        <w:rPr>
          <w:rFonts w:ascii="Calibri" w:hAnsi="Calibri" w:cs="Calibri"/>
          <w:sz w:val="20"/>
          <w:szCs w:val="20"/>
          <w:shd w:val="clear" w:color="auto" w:fill="FFFFFF"/>
        </w:rPr>
        <w:t xml:space="preserve"> medicine from their own pocket</w:t>
      </w:r>
      <w:r w:rsidR="00602D2D" w:rsidRPr="00447B43">
        <w:rPr>
          <w:rFonts w:ascii="Calibri" w:hAnsi="Calibri" w:cs="Calibri"/>
          <w:sz w:val="20"/>
          <w:szCs w:val="20"/>
          <w:shd w:val="clear" w:color="auto" w:fill="FFFFFF"/>
        </w:rPr>
        <w:t>:</w:t>
      </w:r>
    </w:p>
    <w:p w14:paraId="267BAB06" w14:textId="1F7AD71B" w:rsidR="00CC75D1" w:rsidRPr="00CC75D1" w:rsidRDefault="00CC75D1" w:rsidP="00CC75D1">
      <w:pPr>
        <w:shd w:val="clear" w:color="auto" w:fill="FFFFFF"/>
        <w:spacing w:after="0" w:line="276" w:lineRule="auto"/>
        <w:ind w:left="1080"/>
        <w:jc w:val="both"/>
        <w:rPr>
          <w:rFonts w:ascii="Calibri" w:hAnsi="Calibri" w:cs="Calibri"/>
          <w:sz w:val="20"/>
          <w:szCs w:val="20"/>
        </w:rPr>
      </w:pPr>
      <w:r w:rsidRPr="00CC75D1">
        <w:rPr>
          <w:rFonts w:ascii="Calibri" w:hAnsi="Calibri" w:cs="Calibri"/>
          <w:sz w:val="20"/>
          <w:szCs w:val="20"/>
          <w:shd w:val="clear" w:color="auto" w:fill="FFFFFF"/>
        </w:rPr>
        <w:t>“</w:t>
      </w:r>
      <w:r w:rsidRPr="00CC75D1">
        <w:rPr>
          <w:rFonts w:ascii="Calibri" w:hAnsi="Calibri" w:cs="Calibri"/>
          <w:sz w:val="20"/>
          <w:szCs w:val="20"/>
        </w:rPr>
        <w:t xml:space="preserve">Two-thirds of people receiving OST in the country pay a monthly fee amounting to at least one-third of the minimum national wage. Those receiving buprenorphine and a small number receiving </w:t>
      </w:r>
      <w:proofErr w:type="spellStart"/>
      <w:r w:rsidRPr="00CC75D1">
        <w:rPr>
          <w:rFonts w:ascii="Calibri" w:hAnsi="Calibri" w:cs="Calibri"/>
          <w:sz w:val="20"/>
          <w:szCs w:val="20"/>
        </w:rPr>
        <w:t>Substitol</w:t>
      </w:r>
      <w:proofErr w:type="spellEnd"/>
      <w:r w:rsidRPr="00CC75D1">
        <w:rPr>
          <w:rFonts w:ascii="Calibri" w:hAnsi="Calibri" w:cs="Calibri"/>
          <w:sz w:val="20"/>
          <w:szCs w:val="20"/>
        </w:rPr>
        <w:t xml:space="preserve"> also pay for their medication costs”</w:t>
      </w:r>
      <w:r w:rsidRPr="006D21FB">
        <w:rPr>
          <w:rStyle w:val="FootnoteReference"/>
          <w:rFonts w:ascii="Calibri" w:hAnsi="Calibri" w:cs="Calibri"/>
          <w:sz w:val="20"/>
          <w:szCs w:val="20"/>
        </w:rPr>
        <w:footnoteReference w:id="28"/>
      </w:r>
    </w:p>
    <w:p w14:paraId="7FE1C3A4" w14:textId="77777777" w:rsidR="00CC75D1" w:rsidRDefault="00CC75D1" w:rsidP="00CC75D1">
      <w:pPr>
        <w:pStyle w:val="ListParagraph"/>
        <w:shd w:val="clear" w:color="auto" w:fill="FFFFFF"/>
        <w:spacing w:after="0" w:line="276" w:lineRule="auto"/>
        <w:jc w:val="both"/>
        <w:rPr>
          <w:rFonts w:ascii="Calibri" w:hAnsi="Calibri" w:cs="Calibri"/>
          <w:sz w:val="20"/>
          <w:szCs w:val="20"/>
          <w:shd w:val="clear" w:color="auto" w:fill="FFFFFF"/>
        </w:rPr>
      </w:pPr>
    </w:p>
    <w:p w14:paraId="046E4BCC" w14:textId="1168A382" w:rsidR="00CC75D1" w:rsidRPr="00447B43" w:rsidRDefault="00CC75D1" w:rsidP="008B7484">
      <w:pPr>
        <w:pStyle w:val="ListParagraph"/>
        <w:numPr>
          <w:ilvl w:val="0"/>
          <w:numId w:val="17"/>
        </w:numPr>
        <w:shd w:val="clear" w:color="auto" w:fill="FFFFFF"/>
        <w:spacing w:after="0" w:line="276" w:lineRule="auto"/>
        <w:jc w:val="both"/>
        <w:rPr>
          <w:rFonts w:ascii="Calibri" w:hAnsi="Calibri" w:cs="Calibri"/>
          <w:sz w:val="20"/>
          <w:szCs w:val="20"/>
          <w:shd w:val="clear" w:color="auto" w:fill="FFFFFF"/>
        </w:rPr>
      </w:pPr>
      <w:r>
        <w:rPr>
          <w:rFonts w:ascii="Calibri" w:hAnsi="Calibri" w:cs="Calibri"/>
          <w:sz w:val="20"/>
          <w:szCs w:val="20"/>
          <w:shd w:val="clear" w:color="auto" w:fill="FFFFFF"/>
        </w:rPr>
        <w:t>Civil society also reported that, following the failure of the state to ensure adequate funding, NGOs were left with no choice but to stop working on HIV prevention.</w:t>
      </w:r>
      <w:r>
        <w:rPr>
          <w:rStyle w:val="FootnoteReference"/>
          <w:rFonts w:ascii="Calibri" w:hAnsi="Calibri" w:cs="Calibri"/>
          <w:sz w:val="20"/>
          <w:szCs w:val="20"/>
          <w:shd w:val="clear" w:color="auto" w:fill="FFFFFF"/>
        </w:rPr>
        <w:footnoteReference w:id="29"/>
      </w:r>
      <w:r>
        <w:rPr>
          <w:rFonts w:ascii="Calibri" w:hAnsi="Calibri" w:cs="Calibri"/>
          <w:sz w:val="20"/>
          <w:szCs w:val="20"/>
          <w:shd w:val="clear" w:color="auto" w:fill="FFFFFF"/>
        </w:rPr>
        <w:t xml:space="preserve"> </w:t>
      </w:r>
    </w:p>
    <w:p w14:paraId="7BAE36CD" w14:textId="54DED4CA" w:rsidR="00602D2D" w:rsidRDefault="00602D2D" w:rsidP="00602D2D">
      <w:pPr>
        <w:shd w:val="clear" w:color="auto" w:fill="FFFFFF"/>
        <w:spacing w:after="0" w:line="276" w:lineRule="auto"/>
        <w:jc w:val="both"/>
        <w:rPr>
          <w:rFonts w:ascii="Calibri" w:hAnsi="Calibri" w:cs="Calibri"/>
          <w:sz w:val="20"/>
          <w:szCs w:val="20"/>
          <w:shd w:val="clear" w:color="auto" w:fill="FFFFFF"/>
        </w:rPr>
      </w:pPr>
    </w:p>
    <w:p w14:paraId="7B9FF559" w14:textId="77777777" w:rsidR="00602D2D" w:rsidRDefault="00602D2D" w:rsidP="00602D2D">
      <w:pPr>
        <w:shd w:val="clear" w:color="auto" w:fill="FFFFFF"/>
        <w:spacing w:after="0" w:line="276" w:lineRule="auto"/>
        <w:jc w:val="both"/>
        <w:rPr>
          <w:rFonts w:ascii="Calibri" w:hAnsi="Calibri" w:cs="Calibri"/>
          <w:sz w:val="20"/>
          <w:szCs w:val="20"/>
          <w:shd w:val="clear" w:color="auto" w:fill="FFFFFF"/>
        </w:rPr>
      </w:pPr>
    </w:p>
    <w:p w14:paraId="42945D74" w14:textId="77777777" w:rsidR="007C7026" w:rsidRPr="007952EB" w:rsidRDefault="007C7026" w:rsidP="00AE712F">
      <w:pPr>
        <w:spacing w:after="0" w:line="276" w:lineRule="auto"/>
        <w:ind w:firstLine="720"/>
        <w:contextualSpacing/>
        <w:jc w:val="both"/>
        <w:rPr>
          <w:rFonts w:ascii="Calibri" w:hAnsi="Calibri" w:cs="Calibri"/>
          <w:i/>
          <w:iCs/>
          <w:sz w:val="20"/>
          <w:szCs w:val="20"/>
          <w:u w:val="single"/>
        </w:rPr>
      </w:pPr>
      <w:r>
        <w:rPr>
          <w:rFonts w:ascii="Calibri" w:hAnsi="Calibri" w:cs="Calibri"/>
          <w:i/>
          <w:iCs/>
          <w:sz w:val="20"/>
          <w:szCs w:val="20"/>
          <w:u w:val="single"/>
        </w:rPr>
        <w:t>Access to</w:t>
      </w:r>
      <w:r w:rsidR="00B3538F">
        <w:rPr>
          <w:rFonts w:ascii="Calibri" w:hAnsi="Calibri" w:cs="Calibri"/>
          <w:i/>
          <w:iCs/>
          <w:sz w:val="20"/>
          <w:szCs w:val="20"/>
          <w:u w:val="single"/>
        </w:rPr>
        <w:t xml:space="preserve"> pub</w:t>
      </w:r>
      <w:r w:rsidR="00902EC6">
        <w:rPr>
          <w:rFonts w:ascii="Calibri" w:hAnsi="Calibri" w:cs="Calibri"/>
          <w:i/>
          <w:iCs/>
          <w:sz w:val="20"/>
          <w:szCs w:val="20"/>
          <w:u w:val="single"/>
        </w:rPr>
        <w:t>l</w:t>
      </w:r>
      <w:r w:rsidR="00B3538F">
        <w:rPr>
          <w:rFonts w:ascii="Calibri" w:hAnsi="Calibri" w:cs="Calibri"/>
          <w:i/>
          <w:iCs/>
          <w:sz w:val="20"/>
          <w:szCs w:val="20"/>
          <w:u w:val="single"/>
        </w:rPr>
        <w:t>ic</w:t>
      </w:r>
      <w:r>
        <w:rPr>
          <w:rFonts w:ascii="Calibri" w:hAnsi="Calibri" w:cs="Calibri"/>
          <w:i/>
          <w:iCs/>
          <w:sz w:val="20"/>
          <w:szCs w:val="20"/>
          <w:u w:val="single"/>
        </w:rPr>
        <w:t xml:space="preserve"> </w:t>
      </w:r>
      <w:r w:rsidR="0030516E">
        <w:rPr>
          <w:rFonts w:ascii="Calibri" w:hAnsi="Calibri" w:cs="Calibri"/>
          <w:i/>
          <w:iCs/>
          <w:sz w:val="20"/>
          <w:szCs w:val="20"/>
          <w:u w:val="single"/>
        </w:rPr>
        <w:t xml:space="preserve">health insurance and </w:t>
      </w:r>
      <w:r>
        <w:rPr>
          <w:rFonts w:ascii="Calibri" w:hAnsi="Calibri" w:cs="Calibri"/>
          <w:i/>
          <w:iCs/>
          <w:sz w:val="20"/>
          <w:szCs w:val="20"/>
          <w:u w:val="single"/>
        </w:rPr>
        <w:t xml:space="preserve">essential medical care </w:t>
      </w:r>
    </w:p>
    <w:p w14:paraId="50D20A60" w14:textId="77777777" w:rsidR="007C7026" w:rsidRDefault="007C7026" w:rsidP="007C7026">
      <w:pPr>
        <w:spacing w:after="0" w:line="276" w:lineRule="auto"/>
        <w:contextualSpacing/>
        <w:jc w:val="both"/>
        <w:rPr>
          <w:rFonts w:ascii="Calibri" w:hAnsi="Calibri" w:cs="Calibri"/>
          <w:sz w:val="20"/>
          <w:szCs w:val="20"/>
        </w:rPr>
      </w:pPr>
    </w:p>
    <w:p w14:paraId="26432D88" w14:textId="36C3D0FD" w:rsidR="00B06FB5" w:rsidRDefault="007C7026" w:rsidP="008B7484">
      <w:pPr>
        <w:pStyle w:val="ListParagraph"/>
        <w:numPr>
          <w:ilvl w:val="0"/>
          <w:numId w:val="17"/>
        </w:numPr>
        <w:spacing w:after="0" w:line="276" w:lineRule="auto"/>
        <w:jc w:val="both"/>
        <w:rPr>
          <w:sz w:val="20"/>
          <w:szCs w:val="20"/>
        </w:rPr>
      </w:pPr>
      <w:r w:rsidRPr="007F5BB7">
        <w:rPr>
          <w:rFonts w:ascii="Calibri" w:hAnsi="Calibri" w:cs="Calibri"/>
          <w:sz w:val="20"/>
          <w:szCs w:val="20"/>
        </w:rPr>
        <w:t>According to the Centre for Humane Policy</w:t>
      </w:r>
      <w:r w:rsidR="00EC558C">
        <w:rPr>
          <w:rFonts w:ascii="Calibri" w:hAnsi="Calibri" w:cs="Calibri"/>
          <w:sz w:val="20"/>
          <w:szCs w:val="20"/>
        </w:rPr>
        <w:t>, most people who inject drugs</w:t>
      </w:r>
      <w:r w:rsidRPr="007F5BB7">
        <w:rPr>
          <w:rFonts w:ascii="Calibri" w:hAnsi="Calibri" w:cs="Calibri"/>
          <w:sz w:val="20"/>
          <w:szCs w:val="20"/>
        </w:rPr>
        <w:t xml:space="preserve"> do not have public health insurance. </w:t>
      </w:r>
      <w:r w:rsidRPr="007F5BB7">
        <w:rPr>
          <w:sz w:val="20"/>
          <w:szCs w:val="20"/>
        </w:rPr>
        <w:t>The</w:t>
      </w:r>
      <w:r w:rsidR="00B06FB5">
        <w:rPr>
          <w:sz w:val="20"/>
          <w:szCs w:val="20"/>
        </w:rPr>
        <w:t xml:space="preserve"> Bulgarian centralised Social Health Insurance (SHI) system</w:t>
      </w:r>
      <w:r w:rsidRPr="007F5BB7">
        <w:rPr>
          <w:sz w:val="20"/>
          <w:szCs w:val="20"/>
        </w:rPr>
        <w:t xml:space="preserve"> </w:t>
      </w:r>
      <w:r w:rsidR="00B06FB5">
        <w:rPr>
          <w:sz w:val="20"/>
          <w:szCs w:val="20"/>
        </w:rPr>
        <w:t>is based on p</w:t>
      </w:r>
      <w:r w:rsidRPr="007F5BB7">
        <w:rPr>
          <w:sz w:val="20"/>
          <w:szCs w:val="20"/>
        </w:rPr>
        <w:t>ersonal income</w:t>
      </w:r>
      <w:r w:rsidR="00B06FB5">
        <w:rPr>
          <w:sz w:val="20"/>
          <w:szCs w:val="20"/>
        </w:rPr>
        <w:t>, and strongly relies on direct contributions made by employees for each employer</w:t>
      </w:r>
      <w:r w:rsidRPr="007F5BB7">
        <w:rPr>
          <w:sz w:val="20"/>
          <w:szCs w:val="20"/>
        </w:rPr>
        <w:t xml:space="preserve">. In cases where the person does not work, he/she is obliged to pay a monthly sum in order to be able to benefit from the services of the health insurance fund. </w:t>
      </w:r>
    </w:p>
    <w:p w14:paraId="1B8622AE" w14:textId="7002C6B1" w:rsidR="00B06FB5" w:rsidRDefault="00B06FB5" w:rsidP="00B06FB5">
      <w:pPr>
        <w:pStyle w:val="ListParagraph"/>
        <w:spacing w:after="0" w:line="276" w:lineRule="auto"/>
        <w:jc w:val="both"/>
        <w:rPr>
          <w:sz w:val="20"/>
          <w:szCs w:val="20"/>
        </w:rPr>
      </w:pPr>
      <w:r>
        <w:rPr>
          <w:sz w:val="20"/>
          <w:szCs w:val="20"/>
        </w:rPr>
        <w:t xml:space="preserve">According to the latest available analysis by the </w:t>
      </w:r>
      <w:r w:rsidR="007F1DA7">
        <w:rPr>
          <w:sz w:val="20"/>
          <w:szCs w:val="20"/>
        </w:rPr>
        <w:t>OECD and the World Health Organization</w:t>
      </w:r>
      <w:r>
        <w:rPr>
          <w:sz w:val="20"/>
          <w:szCs w:val="20"/>
        </w:rPr>
        <w:t>,</w:t>
      </w:r>
    </w:p>
    <w:p w14:paraId="75A863D7" w14:textId="77777777" w:rsidR="005714C4" w:rsidRDefault="005714C4" w:rsidP="00B06FB5">
      <w:pPr>
        <w:pStyle w:val="ListParagraph"/>
        <w:spacing w:after="0" w:line="276" w:lineRule="auto"/>
        <w:ind w:left="1440" w:firstLine="50"/>
        <w:jc w:val="both"/>
        <w:rPr>
          <w:sz w:val="20"/>
          <w:szCs w:val="20"/>
        </w:rPr>
      </w:pPr>
    </w:p>
    <w:p w14:paraId="2A1F0D49" w14:textId="5AD2F7B0" w:rsidR="00B06FB5" w:rsidRPr="005714C4" w:rsidRDefault="00B06FB5" w:rsidP="005714C4">
      <w:pPr>
        <w:pStyle w:val="ListParagraph"/>
        <w:spacing w:after="0" w:line="276" w:lineRule="auto"/>
        <w:ind w:left="1440" w:firstLine="50"/>
        <w:jc w:val="both"/>
        <w:rPr>
          <w:sz w:val="20"/>
          <w:szCs w:val="20"/>
        </w:rPr>
      </w:pPr>
      <w:r>
        <w:rPr>
          <w:sz w:val="20"/>
          <w:szCs w:val="20"/>
        </w:rPr>
        <w:t>“</w:t>
      </w:r>
      <w:r w:rsidRPr="00B06FB5">
        <w:rPr>
          <w:sz w:val="20"/>
          <w:szCs w:val="20"/>
        </w:rPr>
        <w:t xml:space="preserve">In 2013, an estimated 12% of the population did not have SHI coverage </w:t>
      </w:r>
      <w:r>
        <w:rPr>
          <w:sz w:val="20"/>
          <w:szCs w:val="20"/>
        </w:rPr>
        <w:t>[…].</w:t>
      </w:r>
      <w:r w:rsidRPr="00B06FB5">
        <w:rPr>
          <w:sz w:val="20"/>
          <w:szCs w:val="20"/>
        </w:rPr>
        <w:t xml:space="preserve"> Moreover, if citizens fail to pay three monthly contributions in the previous 36 months, they lose coverage. This especially puts vulnerable groups, such as the long-term unemployed and the poor at risk. Furthermore, some may not be aware of their eligibility to receive gover</w:t>
      </w:r>
      <w:r w:rsidR="005714C4">
        <w:rPr>
          <w:sz w:val="20"/>
          <w:szCs w:val="20"/>
        </w:rPr>
        <w:t xml:space="preserve">nment funded SHI contributions. </w:t>
      </w:r>
      <w:r w:rsidRPr="005714C4">
        <w:rPr>
          <w:sz w:val="20"/>
          <w:szCs w:val="20"/>
        </w:rPr>
        <w:t>Lack of insurance is particularly prevalent among the Roma population, of which 35% have no health coverage.”</w:t>
      </w:r>
      <w:r>
        <w:rPr>
          <w:rStyle w:val="FootnoteReference"/>
          <w:sz w:val="20"/>
          <w:szCs w:val="20"/>
        </w:rPr>
        <w:footnoteReference w:id="30"/>
      </w:r>
    </w:p>
    <w:p w14:paraId="23D6F9D5" w14:textId="7FA89D29" w:rsidR="00B06FB5" w:rsidRPr="00B06FB5" w:rsidRDefault="00B06FB5" w:rsidP="00B06FB5">
      <w:pPr>
        <w:spacing w:after="0" w:line="276" w:lineRule="auto"/>
        <w:jc w:val="both"/>
        <w:rPr>
          <w:sz w:val="20"/>
          <w:szCs w:val="20"/>
        </w:rPr>
      </w:pPr>
    </w:p>
    <w:p w14:paraId="24E4D98C" w14:textId="376B30FD" w:rsidR="007C7026" w:rsidRPr="007F5BB7" w:rsidRDefault="007C7026" w:rsidP="008B7484">
      <w:pPr>
        <w:pStyle w:val="ListParagraph"/>
        <w:numPr>
          <w:ilvl w:val="0"/>
          <w:numId w:val="17"/>
        </w:numPr>
        <w:spacing w:after="0" w:line="276" w:lineRule="auto"/>
        <w:jc w:val="both"/>
        <w:rPr>
          <w:sz w:val="20"/>
          <w:szCs w:val="20"/>
        </w:rPr>
      </w:pPr>
      <w:r w:rsidRPr="007F5BB7">
        <w:rPr>
          <w:sz w:val="20"/>
          <w:szCs w:val="20"/>
        </w:rPr>
        <w:t xml:space="preserve">Because of poverty and reported discrimination in employment, </w:t>
      </w:r>
      <w:r w:rsidR="00935ABE">
        <w:rPr>
          <w:sz w:val="20"/>
          <w:szCs w:val="20"/>
        </w:rPr>
        <w:t xml:space="preserve">people who use drugs - and especially people injecting drugs </w:t>
      </w:r>
      <w:r w:rsidRPr="007F5BB7">
        <w:rPr>
          <w:sz w:val="20"/>
          <w:szCs w:val="20"/>
        </w:rPr>
        <w:t>- often do not have the opportunity to pay the monthly tax to the fund, and are consequently denied public health insurance.</w:t>
      </w:r>
    </w:p>
    <w:p w14:paraId="7A7A8D13" w14:textId="77777777" w:rsidR="00667A06" w:rsidRDefault="00667A06" w:rsidP="007C7026">
      <w:pPr>
        <w:pStyle w:val="ListParagraph"/>
        <w:spacing w:line="276" w:lineRule="auto"/>
        <w:jc w:val="both"/>
        <w:rPr>
          <w:sz w:val="20"/>
          <w:szCs w:val="20"/>
        </w:rPr>
      </w:pPr>
    </w:p>
    <w:p w14:paraId="4A82FB1A" w14:textId="482E825D" w:rsidR="007C7026" w:rsidRDefault="00667A06" w:rsidP="008B7484">
      <w:pPr>
        <w:pStyle w:val="ListParagraph"/>
        <w:numPr>
          <w:ilvl w:val="0"/>
          <w:numId w:val="17"/>
        </w:numPr>
        <w:spacing w:line="276" w:lineRule="auto"/>
        <w:jc w:val="both"/>
        <w:rPr>
          <w:sz w:val="20"/>
          <w:szCs w:val="20"/>
        </w:rPr>
      </w:pPr>
      <w:r>
        <w:rPr>
          <w:sz w:val="20"/>
          <w:szCs w:val="20"/>
        </w:rPr>
        <w:t>While theoretically</w:t>
      </w:r>
      <w:r w:rsidR="007C7026" w:rsidRPr="00447B43">
        <w:rPr>
          <w:sz w:val="20"/>
          <w:szCs w:val="20"/>
        </w:rPr>
        <w:t xml:space="preserve"> everyone in Bulgaria (including people without </w:t>
      </w:r>
      <w:r w:rsidR="00992A10">
        <w:rPr>
          <w:sz w:val="20"/>
          <w:szCs w:val="20"/>
        </w:rPr>
        <w:t xml:space="preserve">public </w:t>
      </w:r>
      <w:r w:rsidR="007C7026" w:rsidRPr="00447B43">
        <w:rPr>
          <w:sz w:val="20"/>
          <w:szCs w:val="20"/>
        </w:rPr>
        <w:t>health insurance) is entitled to emergency assistance</w:t>
      </w:r>
      <w:r>
        <w:rPr>
          <w:sz w:val="20"/>
          <w:szCs w:val="20"/>
        </w:rPr>
        <w:t>,</w:t>
      </w:r>
      <w:r w:rsidR="007C7026" w:rsidRPr="00546B76">
        <w:rPr>
          <w:rStyle w:val="FootnoteReference"/>
          <w:sz w:val="20"/>
          <w:szCs w:val="20"/>
        </w:rPr>
        <w:footnoteReference w:id="31"/>
      </w:r>
      <w:r w:rsidR="007C7026" w:rsidRPr="00447B43">
        <w:rPr>
          <w:sz w:val="20"/>
          <w:szCs w:val="20"/>
        </w:rPr>
        <w:t xml:space="preserve"> because of discrimination in health settings many PWUD are too afraid to seek healthcare. </w:t>
      </w:r>
    </w:p>
    <w:p w14:paraId="1DE7EF30" w14:textId="77777777" w:rsidR="007C7026" w:rsidRPr="00447B43" w:rsidRDefault="007C7026" w:rsidP="007C7026">
      <w:pPr>
        <w:pStyle w:val="ListParagraph"/>
        <w:spacing w:line="276" w:lineRule="auto"/>
        <w:jc w:val="both"/>
        <w:rPr>
          <w:sz w:val="20"/>
          <w:szCs w:val="20"/>
        </w:rPr>
      </w:pPr>
    </w:p>
    <w:p w14:paraId="65CFB6A3" w14:textId="47A9449D" w:rsidR="00127A54" w:rsidRDefault="007C7026" w:rsidP="008B7484">
      <w:pPr>
        <w:pStyle w:val="ListParagraph"/>
        <w:numPr>
          <w:ilvl w:val="0"/>
          <w:numId w:val="17"/>
        </w:numPr>
        <w:spacing w:after="0" w:line="276" w:lineRule="auto"/>
        <w:jc w:val="both"/>
        <w:rPr>
          <w:rFonts w:ascii="Calibri" w:hAnsi="Calibri" w:cs="Calibri"/>
          <w:sz w:val="20"/>
          <w:szCs w:val="20"/>
        </w:rPr>
      </w:pPr>
      <w:r w:rsidRPr="00447B43">
        <w:rPr>
          <w:rFonts w:ascii="Calibri" w:hAnsi="Calibri" w:cs="Calibri"/>
          <w:sz w:val="20"/>
          <w:szCs w:val="20"/>
        </w:rPr>
        <w:t xml:space="preserve">As a consequence, </w:t>
      </w:r>
      <w:r w:rsidR="00935ABE">
        <w:rPr>
          <w:rFonts w:ascii="Calibri" w:hAnsi="Calibri" w:cs="Calibri"/>
          <w:sz w:val="20"/>
          <w:szCs w:val="20"/>
        </w:rPr>
        <w:t xml:space="preserve">people who use drugs </w:t>
      </w:r>
      <w:r w:rsidRPr="00447B43">
        <w:rPr>
          <w:rFonts w:ascii="Calibri" w:hAnsi="Calibri" w:cs="Calibri"/>
          <w:sz w:val="20"/>
          <w:szCs w:val="20"/>
        </w:rPr>
        <w:t>often</w:t>
      </w:r>
      <w:r w:rsidR="00935ABE">
        <w:rPr>
          <w:rFonts w:ascii="Calibri" w:hAnsi="Calibri" w:cs="Calibri"/>
          <w:sz w:val="20"/>
          <w:szCs w:val="20"/>
        </w:rPr>
        <w:t xml:space="preserve"> do not receive</w:t>
      </w:r>
      <w:r w:rsidRPr="00447B43">
        <w:rPr>
          <w:rFonts w:ascii="Calibri" w:hAnsi="Calibri" w:cs="Calibri"/>
          <w:sz w:val="20"/>
          <w:szCs w:val="20"/>
        </w:rPr>
        <w:t xml:space="preserve"> essential medical care.</w:t>
      </w:r>
      <w:r>
        <w:rPr>
          <w:rStyle w:val="FootnoteReference"/>
          <w:rFonts w:ascii="Calibri" w:hAnsi="Calibri" w:cs="Calibri"/>
          <w:sz w:val="20"/>
          <w:szCs w:val="20"/>
        </w:rPr>
        <w:footnoteReference w:id="32"/>
      </w:r>
      <w:r w:rsidRPr="00447B43">
        <w:rPr>
          <w:rFonts w:ascii="Calibri" w:hAnsi="Calibri" w:cs="Calibri"/>
          <w:sz w:val="20"/>
          <w:szCs w:val="20"/>
        </w:rPr>
        <w:t xml:space="preserve"> </w:t>
      </w:r>
    </w:p>
    <w:p w14:paraId="35CF4C47" w14:textId="42A5ADF4" w:rsidR="00B1155B" w:rsidRDefault="00B1155B" w:rsidP="00127A54">
      <w:pPr>
        <w:pStyle w:val="ListParagraph"/>
        <w:rPr>
          <w:rFonts w:ascii="Calibri" w:hAnsi="Calibri" w:cs="Calibri"/>
          <w:sz w:val="20"/>
          <w:szCs w:val="20"/>
        </w:rPr>
      </w:pPr>
    </w:p>
    <w:p w14:paraId="3AC11B37" w14:textId="77777777" w:rsidR="00107453" w:rsidRDefault="00A902BD" w:rsidP="00107453">
      <w:pPr>
        <w:pStyle w:val="ListParagraph"/>
        <w:spacing w:after="0" w:line="276" w:lineRule="auto"/>
        <w:jc w:val="both"/>
        <w:rPr>
          <w:rFonts w:ascii="Calibri" w:hAnsi="Calibri" w:cs="Calibri"/>
          <w:bCs/>
          <w:i/>
          <w:sz w:val="20"/>
          <w:szCs w:val="20"/>
          <w:u w:val="single"/>
        </w:rPr>
      </w:pPr>
      <w:r>
        <w:rPr>
          <w:rFonts w:ascii="Calibri" w:hAnsi="Calibri" w:cs="Calibri"/>
          <w:bCs/>
          <w:i/>
          <w:sz w:val="20"/>
          <w:szCs w:val="20"/>
          <w:u w:val="single"/>
        </w:rPr>
        <w:t>Criminalisation of drug use and the right to health</w:t>
      </w:r>
    </w:p>
    <w:p w14:paraId="1D3DD1B1" w14:textId="77777777" w:rsidR="00107453" w:rsidRPr="00107453" w:rsidRDefault="00107453" w:rsidP="00107453">
      <w:pPr>
        <w:pStyle w:val="ListParagraph"/>
        <w:spacing w:after="0" w:line="276" w:lineRule="auto"/>
        <w:jc w:val="both"/>
        <w:rPr>
          <w:rFonts w:ascii="Calibri" w:hAnsi="Calibri" w:cs="Calibri"/>
          <w:bCs/>
          <w:i/>
          <w:sz w:val="20"/>
          <w:szCs w:val="20"/>
          <w:u w:val="single"/>
        </w:rPr>
      </w:pPr>
    </w:p>
    <w:p w14:paraId="7302CE4D" w14:textId="32E4EC5E" w:rsidR="009641A8" w:rsidRPr="002D4917" w:rsidRDefault="009641A8" w:rsidP="008B7484">
      <w:pPr>
        <w:pStyle w:val="ListParagraph"/>
        <w:numPr>
          <w:ilvl w:val="0"/>
          <w:numId w:val="17"/>
        </w:numPr>
        <w:spacing w:after="0" w:line="276" w:lineRule="auto"/>
        <w:jc w:val="both"/>
        <w:rPr>
          <w:rFonts w:ascii="Calibri" w:hAnsi="Calibri" w:cs="Calibri"/>
          <w:b/>
          <w:bCs/>
          <w:sz w:val="20"/>
          <w:szCs w:val="20"/>
        </w:rPr>
      </w:pPr>
      <w:r w:rsidRPr="008B7484">
        <w:rPr>
          <w:rFonts w:ascii="Calibri" w:hAnsi="Calibri" w:cs="Calibri"/>
          <w:sz w:val="20"/>
          <w:szCs w:val="20"/>
        </w:rPr>
        <w:t xml:space="preserve">Drug possession </w:t>
      </w:r>
      <w:r w:rsidR="002D4917" w:rsidRPr="008B7484">
        <w:rPr>
          <w:rFonts w:ascii="Calibri" w:hAnsi="Calibri" w:cs="Calibri"/>
          <w:sz w:val="20"/>
          <w:szCs w:val="20"/>
        </w:rPr>
        <w:t xml:space="preserve">(including for personal use) </w:t>
      </w:r>
      <w:r w:rsidRPr="008B7484">
        <w:rPr>
          <w:rFonts w:ascii="Calibri" w:hAnsi="Calibri" w:cs="Calibri"/>
          <w:sz w:val="20"/>
          <w:szCs w:val="20"/>
        </w:rPr>
        <w:t>is a criminal offence in Bulgaria, while drug use constitutes</w:t>
      </w:r>
      <w:r>
        <w:rPr>
          <w:rFonts w:ascii="Calibri" w:hAnsi="Calibri" w:cs="Calibri"/>
          <w:sz w:val="20"/>
          <w:szCs w:val="20"/>
        </w:rPr>
        <w:t xml:space="preserve"> an administrative offence </w:t>
      </w:r>
      <w:r w:rsidR="00EC558C">
        <w:rPr>
          <w:rFonts w:ascii="Calibri" w:hAnsi="Calibri" w:cs="Calibri"/>
          <w:sz w:val="20"/>
          <w:szCs w:val="20"/>
        </w:rPr>
        <w:t>punishable with</w:t>
      </w:r>
      <w:r>
        <w:rPr>
          <w:rFonts w:ascii="Calibri" w:hAnsi="Calibri" w:cs="Calibri"/>
          <w:sz w:val="20"/>
          <w:szCs w:val="20"/>
        </w:rPr>
        <w:t xml:space="preserve"> fine</w:t>
      </w:r>
      <w:r w:rsidR="00EC558C">
        <w:rPr>
          <w:rFonts w:ascii="Calibri" w:hAnsi="Calibri" w:cs="Calibri"/>
          <w:sz w:val="20"/>
          <w:szCs w:val="20"/>
        </w:rPr>
        <w:t>s up to 2,257 Euros</w:t>
      </w:r>
      <w:r>
        <w:rPr>
          <w:rFonts w:ascii="Calibri" w:hAnsi="Calibri" w:cs="Calibri"/>
          <w:sz w:val="20"/>
          <w:szCs w:val="20"/>
        </w:rPr>
        <w:t>.</w:t>
      </w:r>
      <w:r>
        <w:rPr>
          <w:rStyle w:val="FootnoteReference"/>
          <w:rFonts w:ascii="Calibri" w:hAnsi="Calibri" w:cs="Calibri"/>
          <w:sz w:val="20"/>
          <w:szCs w:val="20"/>
        </w:rPr>
        <w:footnoteReference w:id="33"/>
      </w:r>
    </w:p>
    <w:p w14:paraId="1DC294B6" w14:textId="77777777" w:rsidR="002D4917" w:rsidRPr="002D4917" w:rsidRDefault="002D4917" w:rsidP="002D4917">
      <w:pPr>
        <w:pStyle w:val="ListParagraph"/>
        <w:spacing w:after="0" w:line="276" w:lineRule="auto"/>
        <w:jc w:val="both"/>
        <w:rPr>
          <w:rFonts w:ascii="Calibri" w:hAnsi="Calibri" w:cs="Calibri"/>
          <w:b/>
          <w:bCs/>
          <w:sz w:val="20"/>
          <w:szCs w:val="20"/>
        </w:rPr>
      </w:pPr>
    </w:p>
    <w:p w14:paraId="302024D3" w14:textId="57E75911" w:rsidR="008B7484" w:rsidRPr="008B7484" w:rsidRDefault="005714C4" w:rsidP="008B7484">
      <w:pPr>
        <w:pStyle w:val="ListParagraph"/>
        <w:numPr>
          <w:ilvl w:val="0"/>
          <w:numId w:val="17"/>
        </w:numPr>
        <w:spacing w:after="0" w:line="276" w:lineRule="auto"/>
        <w:jc w:val="both"/>
        <w:rPr>
          <w:rFonts w:ascii="Calibri" w:hAnsi="Calibri" w:cs="Calibri"/>
          <w:b/>
          <w:bCs/>
          <w:sz w:val="20"/>
          <w:szCs w:val="20"/>
        </w:rPr>
      </w:pPr>
      <w:r>
        <w:rPr>
          <w:rFonts w:ascii="Calibri" w:hAnsi="Calibri" w:cs="Calibri"/>
          <w:sz w:val="20"/>
          <w:szCs w:val="20"/>
        </w:rPr>
        <w:t>The criminalis</w:t>
      </w:r>
      <w:r w:rsidR="002D4917">
        <w:rPr>
          <w:rFonts w:ascii="Calibri" w:hAnsi="Calibri" w:cs="Calibri"/>
          <w:sz w:val="20"/>
          <w:szCs w:val="20"/>
        </w:rPr>
        <w:t>ation of drug use</w:t>
      </w:r>
      <w:r w:rsidR="00EC558C">
        <w:rPr>
          <w:rFonts w:ascii="Calibri" w:hAnsi="Calibri" w:cs="Calibri"/>
          <w:sz w:val="20"/>
          <w:szCs w:val="20"/>
        </w:rPr>
        <w:t xml:space="preserve"> and possession</w:t>
      </w:r>
      <w:r w:rsidR="002D4917">
        <w:rPr>
          <w:rFonts w:ascii="Calibri" w:hAnsi="Calibri" w:cs="Calibri"/>
          <w:sz w:val="20"/>
          <w:szCs w:val="20"/>
        </w:rPr>
        <w:t xml:space="preserve"> </w:t>
      </w:r>
      <w:r w:rsidR="00EC558C">
        <w:rPr>
          <w:rFonts w:ascii="Calibri" w:hAnsi="Calibri" w:cs="Calibri"/>
          <w:sz w:val="20"/>
          <w:szCs w:val="20"/>
        </w:rPr>
        <w:t xml:space="preserve">for personal use </w:t>
      </w:r>
      <w:r w:rsidR="002D4917">
        <w:rPr>
          <w:rFonts w:ascii="Calibri" w:hAnsi="Calibri" w:cs="Calibri"/>
          <w:sz w:val="20"/>
          <w:szCs w:val="20"/>
        </w:rPr>
        <w:t>has a negative impact on the enjoyment of social, economic, and cultural rights, as well as on public health.</w:t>
      </w:r>
      <w:r w:rsidR="002D4917">
        <w:rPr>
          <w:rStyle w:val="FootnoteReference"/>
          <w:rFonts w:ascii="Calibri" w:hAnsi="Calibri" w:cs="Calibri"/>
          <w:sz w:val="20"/>
          <w:szCs w:val="20"/>
        </w:rPr>
        <w:footnoteReference w:id="34"/>
      </w:r>
      <w:r w:rsidR="002D4917">
        <w:rPr>
          <w:rFonts w:ascii="Calibri" w:hAnsi="Calibri" w:cs="Calibri"/>
          <w:sz w:val="20"/>
          <w:szCs w:val="20"/>
        </w:rPr>
        <w:t xml:space="preserve"> In its Concluding Observations on</w:t>
      </w:r>
      <w:r w:rsidR="00EC558C">
        <w:rPr>
          <w:rFonts w:ascii="Calibri" w:hAnsi="Calibri" w:cs="Calibri"/>
          <w:sz w:val="20"/>
          <w:szCs w:val="20"/>
        </w:rPr>
        <w:t xml:space="preserve"> the Russian Federation in 2018,</w:t>
      </w:r>
      <w:r w:rsidR="002D4917">
        <w:rPr>
          <w:rFonts w:ascii="Calibri" w:hAnsi="Calibri" w:cs="Calibri"/>
          <w:sz w:val="20"/>
          <w:szCs w:val="20"/>
        </w:rPr>
        <w:t xml:space="preserve"> this Committe</w:t>
      </w:r>
      <w:r>
        <w:rPr>
          <w:rFonts w:ascii="Calibri" w:hAnsi="Calibri" w:cs="Calibri"/>
          <w:sz w:val="20"/>
          <w:szCs w:val="20"/>
        </w:rPr>
        <w:t>e recognised that criminalis</w:t>
      </w:r>
      <w:r w:rsidR="002D4917">
        <w:rPr>
          <w:rFonts w:ascii="Calibri" w:hAnsi="Calibri" w:cs="Calibri"/>
          <w:sz w:val="20"/>
          <w:szCs w:val="20"/>
        </w:rPr>
        <w:t>ation of drug use drives people away from seeking medical attention when needed;</w:t>
      </w:r>
      <w:r w:rsidR="002D4917">
        <w:rPr>
          <w:rStyle w:val="FootnoteReference"/>
          <w:rFonts w:ascii="Calibri" w:hAnsi="Calibri" w:cs="Calibri"/>
          <w:sz w:val="20"/>
          <w:szCs w:val="20"/>
        </w:rPr>
        <w:footnoteReference w:id="35"/>
      </w:r>
      <w:r w:rsidR="002D4917">
        <w:rPr>
          <w:rFonts w:ascii="Calibri" w:hAnsi="Calibri" w:cs="Calibri"/>
          <w:sz w:val="20"/>
          <w:szCs w:val="20"/>
        </w:rPr>
        <w:t xml:space="preserve"> and recommended that the co</w:t>
      </w:r>
      <w:r>
        <w:rPr>
          <w:rFonts w:ascii="Calibri" w:hAnsi="Calibri" w:cs="Calibri"/>
          <w:sz w:val="20"/>
          <w:szCs w:val="20"/>
        </w:rPr>
        <w:t>untry considers decriminalis</w:t>
      </w:r>
      <w:r w:rsidR="00A86EFF">
        <w:rPr>
          <w:rFonts w:ascii="Calibri" w:hAnsi="Calibri" w:cs="Calibri"/>
          <w:sz w:val="20"/>
          <w:szCs w:val="20"/>
        </w:rPr>
        <w:t>ing drug possession for personal consumption.</w:t>
      </w:r>
      <w:r w:rsidR="00A86EFF">
        <w:rPr>
          <w:rStyle w:val="FootnoteReference"/>
          <w:rFonts w:ascii="Calibri" w:hAnsi="Calibri" w:cs="Calibri"/>
          <w:sz w:val="20"/>
          <w:szCs w:val="20"/>
        </w:rPr>
        <w:footnoteReference w:id="36"/>
      </w:r>
      <w:r w:rsidR="00A86EFF">
        <w:rPr>
          <w:rFonts w:ascii="Calibri" w:hAnsi="Calibri" w:cs="Calibri"/>
          <w:sz w:val="20"/>
          <w:szCs w:val="20"/>
        </w:rPr>
        <w:t xml:space="preserve"> </w:t>
      </w:r>
    </w:p>
    <w:p w14:paraId="061D05BE" w14:textId="77777777" w:rsidR="009641A8" w:rsidRPr="009641A8" w:rsidRDefault="009641A8" w:rsidP="009641A8">
      <w:pPr>
        <w:pStyle w:val="ListParagraph"/>
        <w:spacing w:after="0" w:line="276" w:lineRule="auto"/>
        <w:jc w:val="both"/>
        <w:rPr>
          <w:rFonts w:ascii="Calibri" w:hAnsi="Calibri" w:cs="Calibri"/>
          <w:b/>
          <w:bCs/>
          <w:sz w:val="20"/>
          <w:szCs w:val="20"/>
        </w:rPr>
      </w:pPr>
    </w:p>
    <w:p w14:paraId="3DB5B2B2" w14:textId="3340DC9B" w:rsidR="00CC75D1" w:rsidRPr="00CC75D1" w:rsidRDefault="004105C6" w:rsidP="00CC75D1">
      <w:pPr>
        <w:pStyle w:val="ListParagraph"/>
        <w:numPr>
          <w:ilvl w:val="0"/>
          <w:numId w:val="17"/>
        </w:numPr>
        <w:spacing w:after="0" w:line="276" w:lineRule="auto"/>
        <w:jc w:val="both"/>
        <w:rPr>
          <w:rFonts w:ascii="Calibri" w:hAnsi="Calibri" w:cs="Calibri"/>
          <w:b/>
          <w:bCs/>
          <w:sz w:val="20"/>
          <w:szCs w:val="20"/>
        </w:rPr>
      </w:pPr>
      <w:r>
        <w:rPr>
          <w:rFonts w:ascii="Calibri" w:hAnsi="Calibri" w:cs="Calibri"/>
          <w:sz w:val="20"/>
          <w:szCs w:val="20"/>
          <w:shd w:val="clear" w:color="auto" w:fill="FFFFFF"/>
        </w:rPr>
        <w:t>Bulgarian</w:t>
      </w:r>
      <w:r w:rsidR="00602D2D" w:rsidRPr="00447B43">
        <w:rPr>
          <w:rFonts w:ascii="Calibri" w:hAnsi="Calibri" w:cs="Calibri"/>
          <w:sz w:val="20"/>
          <w:szCs w:val="20"/>
          <w:shd w:val="clear" w:color="auto" w:fill="FFFFFF"/>
        </w:rPr>
        <w:t xml:space="preserve"> civil society highlights how c</w:t>
      </w:r>
      <w:r w:rsidR="005714C4">
        <w:rPr>
          <w:rFonts w:ascii="Calibri" w:hAnsi="Calibri" w:cs="Calibri"/>
          <w:sz w:val="20"/>
          <w:szCs w:val="20"/>
        </w:rPr>
        <w:t>riminalis</w:t>
      </w:r>
      <w:r w:rsidR="00602D2D" w:rsidRPr="00447B43">
        <w:rPr>
          <w:rFonts w:ascii="Calibri" w:hAnsi="Calibri" w:cs="Calibri"/>
          <w:sz w:val="20"/>
          <w:szCs w:val="20"/>
        </w:rPr>
        <w:t xml:space="preserve">ation of drug use </w:t>
      </w:r>
      <w:r w:rsidR="00CC75D1">
        <w:rPr>
          <w:rFonts w:ascii="Calibri" w:hAnsi="Calibri" w:cs="Calibri"/>
          <w:sz w:val="20"/>
          <w:szCs w:val="20"/>
        </w:rPr>
        <w:t xml:space="preserve">and possession for personal use </w:t>
      </w:r>
      <w:r w:rsidR="00602D2D" w:rsidRPr="00447B43">
        <w:rPr>
          <w:rFonts w:ascii="Calibri" w:hAnsi="Calibri" w:cs="Calibri"/>
          <w:sz w:val="20"/>
          <w:szCs w:val="20"/>
        </w:rPr>
        <w:t xml:space="preserve">remains a barrier to </w:t>
      </w:r>
      <w:r w:rsidR="00CC75D1">
        <w:rPr>
          <w:rFonts w:ascii="Calibri" w:hAnsi="Calibri" w:cs="Calibri"/>
          <w:sz w:val="20"/>
          <w:szCs w:val="20"/>
        </w:rPr>
        <w:t>accessing</w:t>
      </w:r>
      <w:r w:rsidR="00602D2D" w:rsidRPr="00447B43">
        <w:rPr>
          <w:rFonts w:ascii="Calibri" w:hAnsi="Calibri" w:cs="Calibri"/>
          <w:sz w:val="20"/>
          <w:szCs w:val="20"/>
        </w:rPr>
        <w:t xml:space="preserve"> harm reduction programs.</w:t>
      </w:r>
      <w:r w:rsidR="00602D2D">
        <w:rPr>
          <w:rStyle w:val="FootnoteReference"/>
          <w:rFonts w:ascii="Calibri" w:hAnsi="Calibri" w:cs="Calibri"/>
          <w:sz w:val="20"/>
          <w:szCs w:val="20"/>
        </w:rPr>
        <w:footnoteReference w:id="37"/>
      </w:r>
      <w:r w:rsidR="002D4917">
        <w:rPr>
          <w:rFonts w:ascii="Calibri" w:hAnsi="Calibri" w:cs="Calibri"/>
          <w:sz w:val="20"/>
          <w:szCs w:val="20"/>
        </w:rPr>
        <w:t xml:space="preserve"> </w:t>
      </w:r>
    </w:p>
    <w:p w14:paraId="6AE1B8F4" w14:textId="3BB1040E" w:rsidR="00CC75D1" w:rsidRPr="00CC75D1" w:rsidRDefault="00CC75D1" w:rsidP="00CC75D1">
      <w:pPr>
        <w:pStyle w:val="ListParagraph"/>
        <w:spacing w:after="0" w:line="276" w:lineRule="auto"/>
        <w:jc w:val="both"/>
        <w:rPr>
          <w:rFonts w:ascii="Calibri" w:hAnsi="Calibri" w:cs="Calibri"/>
          <w:b/>
          <w:bCs/>
          <w:sz w:val="20"/>
          <w:szCs w:val="20"/>
        </w:rPr>
      </w:pPr>
      <w:r>
        <w:rPr>
          <w:rFonts w:ascii="Calibri" w:hAnsi="Calibri" w:cs="Calibri"/>
          <w:sz w:val="20"/>
          <w:szCs w:val="20"/>
        </w:rPr>
        <w:t>Because of the stigma and discrimination associated with drug use and its criminalization, people who use drugs often refrain from acce</w:t>
      </w:r>
      <w:r w:rsidR="00A532AF">
        <w:rPr>
          <w:rFonts w:ascii="Calibri" w:hAnsi="Calibri" w:cs="Calibri"/>
          <w:sz w:val="20"/>
          <w:szCs w:val="20"/>
        </w:rPr>
        <w:t>ssing these lifesaving services</w:t>
      </w:r>
      <w:r w:rsidR="006963D7">
        <w:rPr>
          <w:rFonts w:ascii="Calibri" w:hAnsi="Calibri" w:cs="Calibri"/>
          <w:sz w:val="20"/>
          <w:szCs w:val="20"/>
        </w:rPr>
        <w:t>.</w:t>
      </w:r>
      <w:r>
        <w:rPr>
          <w:rFonts w:ascii="Calibri" w:hAnsi="Calibri" w:cs="Calibri"/>
          <w:sz w:val="20"/>
          <w:szCs w:val="20"/>
        </w:rPr>
        <w:t xml:space="preserve"> </w:t>
      </w:r>
    </w:p>
    <w:p w14:paraId="52681971" w14:textId="77777777" w:rsidR="00CC75D1" w:rsidRPr="00CC75D1" w:rsidRDefault="00CC75D1" w:rsidP="00CC75D1">
      <w:pPr>
        <w:pStyle w:val="ListParagraph"/>
        <w:spacing w:after="0" w:line="276" w:lineRule="auto"/>
        <w:jc w:val="both"/>
        <w:rPr>
          <w:rFonts w:ascii="Calibri" w:hAnsi="Calibri" w:cs="Calibri"/>
          <w:b/>
          <w:bCs/>
          <w:sz w:val="20"/>
          <w:szCs w:val="20"/>
        </w:rPr>
      </w:pPr>
    </w:p>
    <w:p w14:paraId="364A29C7" w14:textId="2C4505FF" w:rsidR="00CC75D1" w:rsidRPr="006963D7" w:rsidRDefault="00CC75D1" w:rsidP="00CC75D1">
      <w:pPr>
        <w:pStyle w:val="ListParagraph"/>
        <w:numPr>
          <w:ilvl w:val="0"/>
          <w:numId w:val="17"/>
        </w:numPr>
        <w:spacing w:after="0" w:line="276" w:lineRule="auto"/>
        <w:jc w:val="both"/>
        <w:rPr>
          <w:rFonts w:ascii="Calibri" w:hAnsi="Calibri" w:cs="Calibri"/>
          <w:b/>
          <w:bCs/>
          <w:sz w:val="20"/>
          <w:szCs w:val="20"/>
        </w:rPr>
      </w:pPr>
      <w:r>
        <w:rPr>
          <w:rFonts w:ascii="Calibri" w:hAnsi="Calibri" w:cs="Calibri"/>
          <w:sz w:val="20"/>
          <w:szCs w:val="20"/>
        </w:rPr>
        <w:t>In</w:t>
      </w:r>
      <w:r w:rsidR="006963D7">
        <w:rPr>
          <w:rFonts w:ascii="Calibri" w:hAnsi="Calibri" w:cs="Calibri"/>
          <w:sz w:val="20"/>
          <w:szCs w:val="20"/>
        </w:rPr>
        <w:t xml:space="preserve"> addition, NSPs are not available in </w:t>
      </w:r>
      <w:r w:rsidR="005714C4">
        <w:rPr>
          <w:rFonts w:ascii="Calibri" w:hAnsi="Calibri" w:cs="Calibri"/>
          <w:sz w:val="20"/>
          <w:szCs w:val="20"/>
        </w:rPr>
        <w:t>Bulgarian prisons, while OST provision is extremely limited</w:t>
      </w:r>
      <w:r w:rsidR="006963D7">
        <w:rPr>
          <w:rFonts w:ascii="Calibri" w:hAnsi="Calibri" w:cs="Calibri"/>
          <w:sz w:val="20"/>
          <w:szCs w:val="20"/>
        </w:rPr>
        <w:t>.</w:t>
      </w:r>
      <w:r w:rsidR="006963D7">
        <w:rPr>
          <w:rStyle w:val="FootnoteReference"/>
          <w:rFonts w:ascii="Calibri" w:hAnsi="Calibri" w:cs="Calibri"/>
          <w:sz w:val="20"/>
          <w:szCs w:val="20"/>
        </w:rPr>
        <w:footnoteReference w:id="38"/>
      </w:r>
      <w:r w:rsidR="006963D7">
        <w:rPr>
          <w:rFonts w:ascii="Calibri" w:hAnsi="Calibri" w:cs="Calibri"/>
          <w:sz w:val="20"/>
          <w:szCs w:val="20"/>
        </w:rPr>
        <w:t xml:space="preserve"> </w:t>
      </w:r>
      <w:r w:rsidR="00A532AF">
        <w:rPr>
          <w:rFonts w:ascii="Calibri" w:hAnsi="Calibri" w:cs="Calibri"/>
          <w:sz w:val="20"/>
          <w:szCs w:val="20"/>
        </w:rPr>
        <w:t xml:space="preserve">This is despite the fact that a significant proportion of prisoners in several Bulgarian prisons have a history of </w:t>
      </w:r>
      <w:r w:rsidR="005714C4">
        <w:rPr>
          <w:rFonts w:ascii="Calibri" w:hAnsi="Calibri" w:cs="Calibri"/>
          <w:sz w:val="20"/>
          <w:szCs w:val="20"/>
        </w:rPr>
        <w:t>drug use</w:t>
      </w:r>
      <w:r w:rsidR="00A532AF">
        <w:rPr>
          <w:rFonts w:ascii="Calibri" w:hAnsi="Calibri" w:cs="Calibri"/>
          <w:sz w:val="20"/>
          <w:szCs w:val="20"/>
        </w:rPr>
        <w:t>.</w:t>
      </w:r>
      <w:r w:rsidR="00A532AF">
        <w:rPr>
          <w:rStyle w:val="FootnoteReference"/>
          <w:rFonts w:ascii="Calibri" w:hAnsi="Calibri" w:cs="Calibri"/>
          <w:sz w:val="20"/>
          <w:szCs w:val="20"/>
        </w:rPr>
        <w:footnoteReference w:id="39"/>
      </w:r>
      <w:r w:rsidR="00A532AF">
        <w:rPr>
          <w:rFonts w:ascii="Calibri" w:hAnsi="Calibri" w:cs="Calibri"/>
          <w:sz w:val="20"/>
          <w:szCs w:val="20"/>
        </w:rPr>
        <w:t xml:space="preserve"> </w:t>
      </w:r>
      <w:r w:rsidR="006963D7">
        <w:rPr>
          <w:rFonts w:ascii="Calibri" w:hAnsi="Calibri" w:cs="Calibri"/>
          <w:sz w:val="20"/>
          <w:szCs w:val="20"/>
        </w:rPr>
        <w:t xml:space="preserve">As a consequence, people who use drugs which are incarcerated lose access to essential and lifesaving harm reduction services. </w:t>
      </w:r>
    </w:p>
    <w:p w14:paraId="3E81D022" w14:textId="3489A04B" w:rsidR="006963D7" w:rsidRDefault="00137734" w:rsidP="006963D7">
      <w:pPr>
        <w:pStyle w:val="ListParagraph"/>
        <w:spacing w:after="0" w:line="276" w:lineRule="auto"/>
        <w:jc w:val="both"/>
        <w:rPr>
          <w:rFonts w:ascii="Calibri" w:hAnsi="Calibri" w:cs="Calibri"/>
          <w:sz w:val="20"/>
          <w:szCs w:val="20"/>
        </w:rPr>
      </w:pPr>
      <w:r w:rsidRPr="00137734">
        <w:rPr>
          <w:sz w:val="20"/>
          <w:szCs w:val="20"/>
        </w:rPr>
        <w:t xml:space="preserve">The </w:t>
      </w:r>
      <w:r w:rsidRPr="00137734">
        <w:rPr>
          <w:sz w:val="20"/>
          <w:szCs w:val="20"/>
        </w:rPr>
        <w:t>European Committee for the Prevention of Torture and Inhuman or Degrading Treatment or Punishment</w:t>
      </w:r>
      <w:r w:rsidRPr="00137734">
        <w:rPr>
          <w:sz w:val="20"/>
          <w:szCs w:val="20"/>
        </w:rPr>
        <w:t xml:space="preserve"> </w:t>
      </w:r>
      <w:r w:rsidR="006963D7" w:rsidRPr="00137734">
        <w:rPr>
          <w:rFonts w:ascii="Calibri" w:hAnsi="Calibri" w:cs="Calibri"/>
          <w:sz w:val="20"/>
          <w:szCs w:val="20"/>
        </w:rPr>
        <w:t>noted</w:t>
      </w:r>
      <w:r>
        <w:rPr>
          <w:rFonts w:ascii="Calibri" w:hAnsi="Calibri" w:cs="Calibri"/>
          <w:sz w:val="20"/>
          <w:szCs w:val="20"/>
        </w:rPr>
        <w:t xml:space="preserve"> with concern</w:t>
      </w:r>
      <w:r w:rsidR="006963D7">
        <w:rPr>
          <w:rFonts w:ascii="Calibri" w:hAnsi="Calibri" w:cs="Calibri"/>
          <w:sz w:val="20"/>
          <w:szCs w:val="20"/>
        </w:rPr>
        <w:t xml:space="preserve">, during its last visit to Bulgaria in 2017, that </w:t>
      </w:r>
    </w:p>
    <w:p w14:paraId="6741E58A" w14:textId="77777777" w:rsidR="00137734" w:rsidRDefault="00137734" w:rsidP="006963D7">
      <w:pPr>
        <w:pStyle w:val="ListParagraph"/>
        <w:spacing w:after="0" w:line="276" w:lineRule="auto"/>
        <w:jc w:val="both"/>
        <w:rPr>
          <w:rFonts w:ascii="Calibri" w:hAnsi="Calibri" w:cs="Calibri"/>
          <w:sz w:val="20"/>
          <w:szCs w:val="20"/>
        </w:rPr>
      </w:pPr>
    </w:p>
    <w:p w14:paraId="1286A262" w14:textId="0E90C6D8" w:rsidR="00137734" w:rsidRPr="00137734" w:rsidRDefault="00137734" w:rsidP="00137734">
      <w:pPr>
        <w:pStyle w:val="ListParagraph"/>
        <w:spacing w:after="0" w:line="276" w:lineRule="auto"/>
        <w:ind w:left="1440"/>
        <w:jc w:val="both"/>
        <w:rPr>
          <w:rFonts w:ascii="Calibri" w:hAnsi="Calibri" w:cs="Calibri"/>
          <w:b/>
          <w:bCs/>
          <w:sz w:val="20"/>
          <w:szCs w:val="20"/>
        </w:rPr>
      </w:pPr>
      <w:r w:rsidRPr="00137734">
        <w:rPr>
          <w:rFonts w:ascii="Calibri" w:hAnsi="Calibri" w:cs="Calibri"/>
          <w:sz w:val="20"/>
          <w:szCs w:val="20"/>
        </w:rPr>
        <w:t>“</w:t>
      </w:r>
      <w:r>
        <w:rPr>
          <w:sz w:val="20"/>
          <w:szCs w:val="20"/>
        </w:rPr>
        <w:t>V</w:t>
      </w:r>
      <w:r w:rsidRPr="00137734">
        <w:rPr>
          <w:sz w:val="20"/>
          <w:szCs w:val="20"/>
        </w:rPr>
        <w:t>ery little was being done in the penitentiary establishments visited (apart from some initial plans to distribute sterile needles at Varna Prison and a very limited methad</w:t>
      </w:r>
      <w:r>
        <w:rPr>
          <w:sz w:val="20"/>
          <w:szCs w:val="20"/>
        </w:rPr>
        <w:t>one programme at Sofia Prison</w:t>
      </w:r>
      <w:r w:rsidRPr="00137734">
        <w:rPr>
          <w:sz w:val="20"/>
          <w:szCs w:val="20"/>
        </w:rPr>
        <w:t xml:space="preserve"> and at the IDF on G.M</w:t>
      </w:r>
      <w:r>
        <w:rPr>
          <w:sz w:val="20"/>
          <w:szCs w:val="20"/>
        </w:rPr>
        <w:t xml:space="preserve">. </w:t>
      </w:r>
      <w:proofErr w:type="spellStart"/>
      <w:r>
        <w:rPr>
          <w:sz w:val="20"/>
          <w:szCs w:val="20"/>
        </w:rPr>
        <w:t>Dimitrov</w:t>
      </w:r>
      <w:proofErr w:type="spellEnd"/>
      <w:r>
        <w:rPr>
          <w:sz w:val="20"/>
          <w:szCs w:val="20"/>
        </w:rPr>
        <w:t xml:space="preserve"> Boulevard in Sofia</w:t>
      </w:r>
      <w:r w:rsidRPr="00137734">
        <w:rPr>
          <w:sz w:val="20"/>
          <w:szCs w:val="20"/>
        </w:rPr>
        <w:t>) to address the widespread drug addi</w:t>
      </w:r>
      <w:r w:rsidRPr="00137734">
        <w:rPr>
          <w:sz w:val="20"/>
          <w:szCs w:val="20"/>
        </w:rPr>
        <w:t>ction problem among prisoners</w:t>
      </w:r>
      <w:r w:rsidRPr="00137734">
        <w:rPr>
          <w:sz w:val="20"/>
          <w:szCs w:val="20"/>
        </w:rPr>
        <w:t xml:space="preserve"> and the related heal</w:t>
      </w:r>
      <w:r w:rsidRPr="00137734">
        <w:rPr>
          <w:sz w:val="20"/>
          <w:szCs w:val="20"/>
        </w:rPr>
        <w:t>th issues such as hepatitis.”</w:t>
      </w:r>
      <w:r>
        <w:rPr>
          <w:rStyle w:val="FootnoteReference"/>
          <w:sz w:val="20"/>
          <w:szCs w:val="20"/>
        </w:rPr>
        <w:footnoteReference w:id="40"/>
      </w:r>
    </w:p>
    <w:p w14:paraId="55F52C97" w14:textId="3A20BCB5" w:rsidR="00602D2D" w:rsidRDefault="00A532AF" w:rsidP="00602D2D">
      <w:pPr>
        <w:shd w:val="clear" w:color="auto" w:fill="FFFFFF"/>
        <w:spacing w:after="0" w:line="276" w:lineRule="auto"/>
        <w:jc w:val="both"/>
        <w:rPr>
          <w:rFonts w:ascii="Calibri" w:hAnsi="Calibri" w:cs="Calibri"/>
          <w:sz w:val="20"/>
          <w:szCs w:val="20"/>
          <w:shd w:val="clear" w:color="auto" w:fill="FFFFFF"/>
        </w:rPr>
      </w:pPr>
      <w:r>
        <w:rPr>
          <w:rFonts w:ascii="Calibri" w:hAnsi="Calibri" w:cs="Calibri"/>
          <w:sz w:val="20"/>
          <w:szCs w:val="20"/>
          <w:shd w:val="clear" w:color="auto" w:fill="FFFFFF"/>
        </w:rPr>
        <w:tab/>
      </w:r>
    </w:p>
    <w:p w14:paraId="22824287" w14:textId="77777777" w:rsidR="005714C4" w:rsidRDefault="005714C4" w:rsidP="00A532AF">
      <w:pPr>
        <w:shd w:val="clear" w:color="auto" w:fill="FFFFFF"/>
        <w:spacing w:after="0" w:line="276" w:lineRule="auto"/>
        <w:ind w:left="720"/>
        <w:jc w:val="both"/>
        <w:rPr>
          <w:rFonts w:ascii="Calibri" w:hAnsi="Calibri" w:cs="Calibri"/>
          <w:sz w:val="20"/>
          <w:szCs w:val="20"/>
          <w:shd w:val="clear" w:color="auto" w:fill="FFFFFF"/>
        </w:rPr>
      </w:pPr>
    </w:p>
    <w:p w14:paraId="0A04E631" w14:textId="77777777" w:rsidR="005714C4" w:rsidRDefault="005714C4" w:rsidP="00A532AF">
      <w:pPr>
        <w:shd w:val="clear" w:color="auto" w:fill="FFFFFF"/>
        <w:spacing w:after="0" w:line="276" w:lineRule="auto"/>
        <w:ind w:left="720"/>
        <w:jc w:val="both"/>
        <w:rPr>
          <w:rFonts w:ascii="Calibri" w:hAnsi="Calibri" w:cs="Calibri"/>
          <w:sz w:val="20"/>
          <w:szCs w:val="20"/>
          <w:shd w:val="clear" w:color="auto" w:fill="FFFFFF"/>
        </w:rPr>
      </w:pPr>
    </w:p>
    <w:p w14:paraId="2DCF7B3F" w14:textId="77777777" w:rsidR="005714C4" w:rsidRDefault="005714C4" w:rsidP="00A532AF">
      <w:pPr>
        <w:shd w:val="clear" w:color="auto" w:fill="FFFFFF"/>
        <w:spacing w:after="0" w:line="276" w:lineRule="auto"/>
        <w:ind w:left="720"/>
        <w:jc w:val="both"/>
        <w:rPr>
          <w:rFonts w:ascii="Calibri" w:hAnsi="Calibri" w:cs="Calibri"/>
          <w:sz w:val="20"/>
          <w:szCs w:val="20"/>
          <w:shd w:val="clear" w:color="auto" w:fill="FFFFFF"/>
        </w:rPr>
      </w:pPr>
    </w:p>
    <w:p w14:paraId="4B06A583" w14:textId="1D785E89" w:rsidR="00F65577" w:rsidRDefault="00137734" w:rsidP="00A532AF">
      <w:pPr>
        <w:shd w:val="clear" w:color="auto" w:fill="FFFFFF"/>
        <w:spacing w:after="0" w:line="276" w:lineRule="auto"/>
        <w:ind w:left="720"/>
        <w:jc w:val="both"/>
        <w:rPr>
          <w:rFonts w:ascii="Calibri" w:hAnsi="Calibri" w:cs="Calibri"/>
          <w:sz w:val="20"/>
          <w:szCs w:val="20"/>
          <w:shd w:val="clear" w:color="auto" w:fill="FFFFFF"/>
        </w:rPr>
      </w:pPr>
      <w:r>
        <w:rPr>
          <w:rFonts w:ascii="Calibri" w:hAnsi="Calibri" w:cs="Calibri"/>
          <w:sz w:val="20"/>
          <w:szCs w:val="20"/>
          <w:shd w:val="clear" w:color="auto" w:fill="FFFFFF"/>
        </w:rPr>
        <w:t xml:space="preserve">The Committee also reiterated </w:t>
      </w:r>
      <w:r w:rsidRPr="00137734">
        <w:rPr>
          <w:rFonts w:ascii="Calibri" w:hAnsi="Calibri" w:cs="Calibri"/>
          <w:sz w:val="20"/>
          <w:szCs w:val="20"/>
          <w:shd w:val="clear" w:color="auto" w:fill="FFFFFF"/>
        </w:rPr>
        <w:t>how “t</w:t>
      </w:r>
      <w:r w:rsidRPr="00137734">
        <w:rPr>
          <w:sz w:val="20"/>
          <w:szCs w:val="20"/>
        </w:rPr>
        <w:t>reatment options for prisoners in withdrawal as well as opioid agonist maintenance should be available in prison to the same extent as in the outside community</w:t>
      </w:r>
      <w:r>
        <w:rPr>
          <w:sz w:val="20"/>
          <w:szCs w:val="20"/>
        </w:rPr>
        <w:t>”;</w:t>
      </w:r>
      <w:r w:rsidR="00A532AF">
        <w:rPr>
          <w:rStyle w:val="FootnoteReference"/>
          <w:sz w:val="20"/>
          <w:szCs w:val="20"/>
        </w:rPr>
        <w:footnoteReference w:id="41"/>
      </w:r>
      <w:r>
        <w:rPr>
          <w:sz w:val="20"/>
          <w:szCs w:val="20"/>
        </w:rPr>
        <w:t xml:space="preserve"> and recommended that the Bulgarian Government “</w:t>
      </w:r>
      <w:r w:rsidRPr="00137734">
        <w:rPr>
          <w:sz w:val="20"/>
          <w:szCs w:val="20"/>
        </w:rPr>
        <w:t xml:space="preserve">develop </w:t>
      </w:r>
      <w:r w:rsidRPr="00137734">
        <w:rPr>
          <w:sz w:val="20"/>
          <w:szCs w:val="20"/>
        </w:rPr>
        <w:t>and implement a comprehensive strategy for the provision of assistance to prisoners with drug-related problems (as part of a wider national drugs strategy) in</w:t>
      </w:r>
      <w:r w:rsidRPr="00137734">
        <w:rPr>
          <w:sz w:val="20"/>
          <w:szCs w:val="20"/>
        </w:rPr>
        <w:t>cluding harm reduction measures.”</w:t>
      </w:r>
      <w:r w:rsidR="00A532AF">
        <w:rPr>
          <w:rStyle w:val="FootnoteReference"/>
          <w:sz w:val="20"/>
          <w:szCs w:val="20"/>
        </w:rPr>
        <w:footnoteReference w:id="42"/>
      </w:r>
    </w:p>
    <w:p w14:paraId="0D8B281D" w14:textId="77777777" w:rsidR="00137734" w:rsidRDefault="00137734" w:rsidP="00F65577">
      <w:pPr>
        <w:shd w:val="clear" w:color="auto" w:fill="FFFFFF"/>
        <w:spacing w:after="0" w:line="276" w:lineRule="auto"/>
        <w:jc w:val="both"/>
        <w:rPr>
          <w:rFonts w:ascii="Calibri" w:hAnsi="Calibri" w:cs="Calibri"/>
          <w:sz w:val="20"/>
          <w:szCs w:val="20"/>
          <w:shd w:val="clear" w:color="auto" w:fill="FFFFFF"/>
        </w:rPr>
      </w:pPr>
    </w:p>
    <w:p w14:paraId="3E68E765" w14:textId="011B0DA2" w:rsidR="00F65577" w:rsidRDefault="00F65577" w:rsidP="00F65577">
      <w:pPr>
        <w:shd w:val="clear" w:color="auto" w:fill="FFFFFF"/>
        <w:spacing w:after="0" w:line="276" w:lineRule="auto"/>
        <w:jc w:val="both"/>
        <w:rPr>
          <w:rFonts w:ascii="Calibri" w:hAnsi="Calibri" w:cs="Calibri"/>
          <w:i/>
          <w:iCs/>
          <w:sz w:val="20"/>
          <w:szCs w:val="20"/>
          <w:u w:val="single"/>
          <w:shd w:val="clear" w:color="auto" w:fill="FFFFFF"/>
        </w:rPr>
      </w:pPr>
      <w:r>
        <w:rPr>
          <w:rFonts w:ascii="Calibri" w:hAnsi="Calibri" w:cs="Calibri"/>
          <w:i/>
          <w:iCs/>
          <w:sz w:val="20"/>
          <w:szCs w:val="20"/>
          <w:u w:val="single"/>
          <w:shd w:val="clear" w:color="auto" w:fill="FFFFFF"/>
        </w:rPr>
        <w:t>Discrimination in healthcare settings against people living with HIV</w:t>
      </w:r>
    </w:p>
    <w:p w14:paraId="6D53A7F4" w14:textId="7F587760" w:rsidR="00F65577" w:rsidRDefault="00F65577" w:rsidP="00F65577">
      <w:pPr>
        <w:shd w:val="clear" w:color="auto" w:fill="FFFFFF"/>
        <w:spacing w:after="0" w:line="276" w:lineRule="auto"/>
        <w:jc w:val="both"/>
        <w:rPr>
          <w:rFonts w:ascii="Calibri" w:hAnsi="Calibri" w:cs="Calibri"/>
          <w:i/>
          <w:iCs/>
          <w:sz w:val="20"/>
          <w:szCs w:val="20"/>
          <w:u w:val="single"/>
          <w:shd w:val="clear" w:color="auto" w:fill="FFFFFF"/>
        </w:rPr>
      </w:pPr>
    </w:p>
    <w:p w14:paraId="785418A2" w14:textId="7F29AE34" w:rsidR="008B7484" w:rsidRDefault="008B7484" w:rsidP="008B7484">
      <w:pPr>
        <w:pStyle w:val="ListParagraph"/>
        <w:numPr>
          <w:ilvl w:val="0"/>
          <w:numId w:val="17"/>
        </w:numPr>
        <w:shd w:val="clear" w:color="auto" w:fill="FFFFFF"/>
        <w:spacing w:after="0" w:line="276" w:lineRule="auto"/>
        <w:jc w:val="both"/>
        <w:rPr>
          <w:sz w:val="20"/>
          <w:szCs w:val="20"/>
        </w:rPr>
      </w:pPr>
      <w:r>
        <w:rPr>
          <w:sz w:val="20"/>
          <w:szCs w:val="20"/>
        </w:rPr>
        <w:t>Discrimination in healthcare settings violates fundamental rights and principles, and constitutes a barrier to achieving the Sustainable Development Goals. In June 2017 12 UN Agencies – including OHCHR and WHO – produced a Joint Statement acknowledging that discrimination in healthcare setting is widespread across the world, and disproportionately impacts the most marginalis</w:t>
      </w:r>
      <w:r w:rsidR="005714C4">
        <w:rPr>
          <w:sz w:val="20"/>
          <w:szCs w:val="20"/>
        </w:rPr>
        <w:t>ed and stigmatis</w:t>
      </w:r>
      <w:r>
        <w:rPr>
          <w:sz w:val="20"/>
          <w:szCs w:val="20"/>
        </w:rPr>
        <w:t>ed populations.</w:t>
      </w:r>
      <w:r>
        <w:rPr>
          <w:rStyle w:val="FootnoteReference"/>
          <w:sz w:val="20"/>
          <w:szCs w:val="20"/>
        </w:rPr>
        <w:footnoteReference w:id="43"/>
      </w:r>
      <w:r>
        <w:rPr>
          <w:sz w:val="20"/>
          <w:szCs w:val="20"/>
        </w:rPr>
        <w:t xml:space="preserve">  </w:t>
      </w:r>
    </w:p>
    <w:p w14:paraId="332E090E" w14:textId="3AC9D2B5" w:rsidR="008B7484" w:rsidRDefault="008B7484" w:rsidP="008B7484">
      <w:pPr>
        <w:pStyle w:val="ListParagraph"/>
        <w:shd w:val="clear" w:color="auto" w:fill="FFFFFF"/>
        <w:spacing w:after="0" w:line="276" w:lineRule="auto"/>
        <w:jc w:val="both"/>
        <w:rPr>
          <w:sz w:val="20"/>
          <w:szCs w:val="20"/>
        </w:rPr>
      </w:pPr>
      <w:r>
        <w:rPr>
          <w:sz w:val="20"/>
          <w:szCs w:val="20"/>
        </w:rPr>
        <w:t>As a way to address the issue, the signatory UN Agencies recommend that States review and repeal “punitive laws that have been proven to have negative health outcomes and that counter established public health evidence”; including laws criminali</w:t>
      </w:r>
      <w:r w:rsidR="005714C4">
        <w:rPr>
          <w:sz w:val="20"/>
          <w:szCs w:val="20"/>
        </w:rPr>
        <w:t>s</w:t>
      </w:r>
      <w:r>
        <w:rPr>
          <w:sz w:val="20"/>
          <w:szCs w:val="20"/>
        </w:rPr>
        <w:t>ing drug use or possession for personal use</w:t>
      </w:r>
      <w:r w:rsidR="00137734">
        <w:rPr>
          <w:sz w:val="20"/>
          <w:szCs w:val="20"/>
        </w:rPr>
        <w:t>.</w:t>
      </w:r>
      <w:r>
        <w:rPr>
          <w:rStyle w:val="FootnoteReference"/>
          <w:sz w:val="20"/>
          <w:szCs w:val="20"/>
        </w:rPr>
        <w:footnoteReference w:id="44"/>
      </w:r>
    </w:p>
    <w:p w14:paraId="32484D89" w14:textId="77777777" w:rsidR="008B7484" w:rsidRDefault="008B7484" w:rsidP="008B7484">
      <w:pPr>
        <w:pStyle w:val="ListParagraph"/>
        <w:shd w:val="clear" w:color="auto" w:fill="FFFFFF"/>
        <w:spacing w:after="0" w:line="276" w:lineRule="auto"/>
        <w:jc w:val="both"/>
        <w:rPr>
          <w:sz w:val="20"/>
          <w:szCs w:val="20"/>
        </w:rPr>
      </w:pPr>
    </w:p>
    <w:p w14:paraId="6A3BDCF4" w14:textId="703B6F69" w:rsidR="008B7484" w:rsidRDefault="008B7484" w:rsidP="008B7484">
      <w:pPr>
        <w:pStyle w:val="ListParagraph"/>
        <w:numPr>
          <w:ilvl w:val="0"/>
          <w:numId w:val="17"/>
        </w:numPr>
        <w:shd w:val="clear" w:color="auto" w:fill="FFFFFF"/>
        <w:spacing w:after="0" w:line="276" w:lineRule="auto"/>
        <w:jc w:val="both"/>
        <w:rPr>
          <w:sz w:val="20"/>
          <w:szCs w:val="20"/>
        </w:rPr>
      </w:pPr>
      <w:r w:rsidRPr="00447B43">
        <w:rPr>
          <w:sz w:val="20"/>
          <w:szCs w:val="20"/>
        </w:rPr>
        <w:t>The Committee on Economic, Social and Cultural Rights, in its jurisprudence, has consistently recommended that States adopt a health-centred approach to drug use and drug dependence, including by implementing harm reduction programmes.</w:t>
      </w:r>
      <w:r w:rsidRPr="006D21FB">
        <w:rPr>
          <w:rStyle w:val="FootnoteReference"/>
          <w:sz w:val="20"/>
          <w:szCs w:val="20"/>
        </w:rPr>
        <w:footnoteReference w:id="45"/>
      </w:r>
      <w:r w:rsidRPr="00447B43">
        <w:rPr>
          <w:sz w:val="20"/>
          <w:szCs w:val="20"/>
        </w:rPr>
        <w:t xml:space="preserve"> </w:t>
      </w:r>
    </w:p>
    <w:p w14:paraId="206730D4" w14:textId="77777777" w:rsidR="008B7484" w:rsidRDefault="008B7484" w:rsidP="008B7484">
      <w:pPr>
        <w:pStyle w:val="ListParagraph"/>
        <w:shd w:val="clear" w:color="auto" w:fill="FFFFFF"/>
        <w:spacing w:after="0" w:line="276" w:lineRule="auto"/>
        <w:jc w:val="both"/>
        <w:rPr>
          <w:sz w:val="20"/>
          <w:szCs w:val="20"/>
        </w:rPr>
      </w:pPr>
    </w:p>
    <w:p w14:paraId="561E259D" w14:textId="4687873F" w:rsidR="00F65577" w:rsidRDefault="00F65577" w:rsidP="008B7484">
      <w:pPr>
        <w:pStyle w:val="ListParagraph"/>
        <w:numPr>
          <w:ilvl w:val="0"/>
          <w:numId w:val="17"/>
        </w:numPr>
        <w:spacing w:after="0" w:line="276" w:lineRule="auto"/>
        <w:jc w:val="both"/>
        <w:rPr>
          <w:rFonts w:ascii="Calibri" w:hAnsi="Calibri" w:cs="Calibri"/>
          <w:sz w:val="20"/>
          <w:szCs w:val="20"/>
        </w:rPr>
      </w:pPr>
      <w:r>
        <w:rPr>
          <w:rFonts w:ascii="Calibri" w:hAnsi="Calibri" w:cs="Calibri"/>
          <w:sz w:val="20"/>
          <w:szCs w:val="20"/>
        </w:rPr>
        <w:t xml:space="preserve">The Center for Humane Policy reports violations and discrimination endured by people living with HIV in healthcare settings, and </w:t>
      </w:r>
      <w:r w:rsidRPr="00447B43">
        <w:rPr>
          <w:rFonts w:ascii="Calibri" w:hAnsi="Calibri" w:cs="Calibri"/>
          <w:sz w:val="20"/>
          <w:szCs w:val="20"/>
        </w:rPr>
        <w:t>intersectional forms of discrimination</w:t>
      </w:r>
      <w:r>
        <w:rPr>
          <w:rFonts w:ascii="Calibri" w:hAnsi="Calibri" w:cs="Calibri"/>
          <w:sz w:val="20"/>
          <w:szCs w:val="20"/>
        </w:rPr>
        <w:t xml:space="preserve"> suffered by people who inject drugs. For example:</w:t>
      </w:r>
    </w:p>
    <w:p w14:paraId="3427EA16" w14:textId="2015E501" w:rsidR="00F65577" w:rsidRDefault="00F65577" w:rsidP="00F65577">
      <w:pPr>
        <w:pStyle w:val="ListParagraph"/>
        <w:numPr>
          <w:ilvl w:val="1"/>
          <w:numId w:val="18"/>
        </w:numPr>
        <w:spacing w:after="0" w:line="276" w:lineRule="auto"/>
        <w:jc w:val="both"/>
        <w:rPr>
          <w:rFonts w:ascii="Calibri" w:hAnsi="Calibri" w:cs="Calibri"/>
          <w:sz w:val="20"/>
          <w:szCs w:val="20"/>
        </w:rPr>
      </w:pPr>
      <w:r>
        <w:rPr>
          <w:rFonts w:ascii="Calibri" w:hAnsi="Calibri" w:cs="Calibri"/>
          <w:sz w:val="20"/>
          <w:szCs w:val="20"/>
        </w:rPr>
        <w:t>Medical personnel reportedly lack basic knowledge of HIV and HIV transmission. As a consequence, staff in public hospitals often avoids direct contact with people living with HIV, t</w:t>
      </w:r>
      <w:r w:rsidR="005714C4">
        <w:rPr>
          <w:rFonts w:ascii="Calibri" w:hAnsi="Calibri" w:cs="Calibri"/>
          <w:sz w:val="20"/>
          <w:szCs w:val="20"/>
        </w:rPr>
        <w:t>hus denying them essential care;</w:t>
      </w:r>
    </w:p>
    <w:p w14:paraId="3CCC4FEC" w14:textId="7081F836" w:rsidR="00F65577" w:rsidRPr="00F65577" w:rsidRDefault="00F65577" w:rsidP="00F65577">
      <w:pPr>
        <w:pStyle w:val="ListParagraph"/>
        <w:numPr>
          <w:ilvl w:val="1"/>
          <w:numId w:val="18"/>
        </w:numPr>
        <w:spacing w:after="0" w:line="276" w:lineRule="auto"/>
        <w:jc w:val="both"/>
        <w:rPr>
          <w:rFonts w:ascii="Calibri" w:hAnsi="Calibri" w:cs="Calibri"/>
          <w:sz w:val="20"/>
          <w:szCs w:val="20"/>
        </w:rPr>
      </w:pPr>
      <w:r>
        <w:rPr>
          <w:rFonts w:ascii="Calibri" w:hAnsi="Calibri" w:cs="Calibri"/>
          <w:sz w:val="20"/>
          <w:szCs w:val="20"/>
        </w:rPr>
        <w:t>People living with HIV reported being insulted or refused admissions in public hospitals because of their health status.</w:t>
      </w:r>
      <w:r>
        <w:rPr>
          <w:rStyle w:val="FootnoteReference"/>
          <w:rFonts w:ascii="Calibri" w:hAnsi="Calibri" w:cs="Calibri"/>
          <w:sz w:val="20"/>
          <w:szCs w:val="20"/>
        </w:rPr>
        <w:footnoteReference w:id="46"/>
      </w:r>
    </w:p>
    <w:p w14:paraId="6B204D3C" w14:textId="103E13F6" w:rsidR="00EC558C" w:rsidRPr="005714C4" w:rsidRDefault="00EC558C" w:rsidP="005714C4">
      <w:pPr>
        <w:rPr>
          <w:sz w:val="20"/>
          <w:szCs w:val="20"/>
        </w:rPr>
      </w:pPr>
    </w:p>
    <w:p w14:paraId="513FD44F" w14:textId="065D3317" w:rsidR="00EC558C" w:rsidRPr="00447B43" w:rsidRDefault="00EC558C" w:rsidP="008B7484">
      <w:pPr>
        <w:pStyle w:val="ListParagraph"/>
        <w:numPr>
          <w:ilvl w:val="0"/>
          <w:numId w:val="17"/>
        </w:numPr>
        <w:shd w:val="clear" w:color="auto" w:fill="FFFFFF"/>
        <w:spacing w:after="0" w:line="276" w:lineRule="auto"/>
        <w:jc w:val="both"/>
        <w:rPr>
          <w:sz w:val="20"/>
          <w:szCs w:val="20"/>
        </w:rPr>
      </w:pPr>
      <w:r>
        <w:rPr>
          <w:rFonts w:ascii="Calibri" w:hAnsi="Calibri" w:cs="Calibri"/>
          <w:sz w:val="20"/>
          <w:szCs w:val="20"/>
          <w:shd w:val="clear" w:color="auto" w:fill="FFFFFF"/>
        </w:rPr>
        <w:t xml:space="preserve">Harm Reduction International and the Center for Humane Policy argue that the lack of state support for harm reduction services represents </w:t>
      </w:r>
      <w:r w:rsidR="000E5763">
        <w:rPr>
          <w:rFonts w:ascii="Calibri" w:hAnsi="Calibri" w:cs="Calibri"/>
          <w:sz w:val="20"/>
          <w:szCs w:val="20"/>
          <w:shd w:val="clear" w:color="auto" w:fill="FFFFFF"/>
        </w:rPr>
        <w:t>a</w:t>
      </w:r>
      <w:r>
        <w:rPr>
          <w:rFonts w:ascii="Calibri" w:hAnsi="Calibri" w:cs="Calibri"/>
          <w:sz w:val="20"/>
          <w:szCs w:val="20"/>
          <w:shd w:val="clear" w:color="auto" w:fill="FFFFFF"/>
        </w:rPr>
        <w:t xml:space="preserve"> state’s failure to</w:t>
      </w:r>
      <w:r w:rsidRPr="00447B43">
        <w:rPr>
          <w:rFonts w:ascii="Calibri" w:hAnsi="Calibri" w:cs="Calibri"/>
          <w:sz w:val="20"/>
          <w:szCs w:val="20"/>
          <w:shd w:val="clear" w:color="auto" w:fill="FFFFFF"/>
        </w:rPr>
        <w:t xml:space="preserve"> ensur</w:t>
      </w:r>
      <w:r>
        <w:rPr>
          <w:rFonts w:ascii="Calibri" w:hAnsi="Calibri" w:cs="Calibri"/>
          <w:sz w:val="20"/>
          <w:szCs w:val="20"/>
          <w:shd w:val="clear" w:color="auto" w:fill="FFFFFF"/>
        </w:rPr>
        <w:t>e</w:t>
      </w:r>
      <w:r w:rsidR="005714C4">
        <w:rPr>
          <w:rFonts w:ascii="Calibri" w:hAnsi="Calibri" w:cs="Calibri"/>
          <w:sz w:val="20"/>
          <w:szCs w:val="20"/>
          <w:shd w:val="clear" w:color="auto" w:fill="FFFFFF"/>
        </w:rPr>
        <w:t xml:space="preserve"> the progressive realis</w:t>
      </w:r>
      <w:r w:rsidRPr="00447B43">
        <w:rPr>
          <w:rFonts w:ascii="Calibri" w:hAnsi="Calibri" w:cs="Calibri"/>
          <w:sz w:val="20"/>
          <w:szCs w:val="20"/>
          <w:shd w:val="clear" w:color="auto" w:fill="FFFFFF"/>
        </w:rPr>
        <w:t xml:space="preserve">ation of </w:t>
      </w:r>
      <w:r>
        <w:rPr>
          <w:rFonts w:ascii="Calibri" w:hAnsi="Calibri" w:cs="Calibri"/>
          <w:sz w:val="20"/>
          <w:szCs w:val="20"/>
          <w:shd w:val="clear" w:color="auto" w:fill="FFFFFF"/>
        </w:rPr>
        <w:t xml:space="preserve">the right to health. This constitutes a violation of Article 12 </w:t>
      </w:r>
      <w:r>
        <w:rPr>
          <w:sz w:val="20"/>
          <w:szCs w:val="20"/>
        </w:rPr>
        <w:t>of the International Covenant on Economic</w:t>
      </w:r>
      <w:r w:rsidRPr="00447B43">
        <w:rPr>
          <w:sz w:val="20"/>
          <w:szCs w:val="20"/>
        </w:rPr>
        <w:t>, Social and Cultural Rights</w:t>
      </w:r>
      <w:r>
        <w:rPr>
          <w:sz w:val="20"/>
          <w:szCs w:val="20"/>
        </w:rPr>
        <w:t xml:space="preserve"> as read in line with Article </w:t>
      </w:r>
      <w:r w:rsidRPr="00447B43">
        <w:rPr>
          <w:sz w:val="20"/>
          <w:szCs w:val="20"/>
        </w:rPr>
        <w:t>2.</w:t>
      </w:r>
      <w:r>
        <w:rPr>
          <w:sz w:val="20"/>
          <w:szCs w:val="20"/>
        </w:rPr>
        <w:t xml:space="preserve">1 of the Covenant, which </w:t>
      </w:r>
      <w:r w:rsidRPr="00447B43">
        <w:rPr>
          <w:sz w:val="20"/>
          <w:szCs w:val="20"/>
        </w:rPr>
        <w:t>significantly restricts the discretion of states to adopt retrogressive measures</w:t>
      </w:r>
      <w:r>
        <w:rPr>
          <w:sz w:val="20"/>
          <w:szCs w:val="20"/>
        </w:rPr>
        <w:t xml:space="preserve"> in this area</w:t>
      </w:r>
      <w:r w:rsidRPr="00447B43">
        <w:rPr>
          <w:sz w:val="20"/>
          <w:szCs w:val="20"/>
        </w:rPr>
        <w:t>.</w:t>
      </w:r>
    </w:p>
    <w:p w14:paraId="6366FB82" w14:textId="77777777" w:rsidR="00F1675B" w:rsidRPr="005D6EFF" w:rsidRDefault="00F1675B" w:rsidP="00F1675B">
      <w:pPr>
        <w:pStyle w:val="ListParagraph"/>
        <w:shd w:val="clear" w:color="auto" w:fill="FFFFFF"/>
        <w:spacing w:after="0" w:line="276" w:lineRule="auto"/>
        <w:jc w:val="both"/>
        <w:rPr>
          <w:rFonts w:ascii="Calibri" w:hAnsi="Calibri" w:cs="Calibri"/>
          <w:sz w:val="20"/>
          <w:szCs w:val="20"/>
          <w:shd w:val="clear" w:color="auto" w:fill="FFFFFF"/>
        </w:rPr>
      </w:pPr>
    </w:p>
    <w:p w14:paraId="2261733E" w14:textId="77777777" w:rsidR="000E5763" w:rsidRDefault="000E5763" w:rsidP="00903658">
      <w:pPr>
        <w:spacing w:after="0" w:line="276" w:lineRule="auto"/>
        <w:contextualSpacing/>
        <w:jc w:val="both"/>
        <w:rPr>
          <w:rFonts w:asciiTheme="majorHAnsi" w:hAnsiTheme="majorHAnsi" w:cstheme="majorHAnsi"/>
          <w:b/>
          <w:bCs/>
        </w:rPr>
      </w:pPr>
    </w:p>
    <w:p w14:paraId="00CB869E" w14:textId="1DF6DBF8" w:rsidR="00903658" w:rsidRPr="00447B43" w:rsidRDefault="00903658" w:rsidP="00903658">
      <w:pPr>
        <w:spacing w:after="0" w:line="276" w:lineRule="auto"/>
        <w:contextualSpacing/>
        <w:jc w:val="both"/>
        <w:rPr>
          <w:rFonts w:asciiTheme="majorHAnsi" w:hAnsiTheme="majorHAnsi" w:cstheme="majorHAnsi"/>
          <w:b/>
          <w:bCs/>
        </w:rPr>
      </w:pPr>
      <w:r w:rsidRPr="00447B43">
        <w:rPr>
          <w:rFonts w:asciiTheme="majorHAnsi" w:hAnsiTheme="majorHAnsi" w:cstheme="majorHAnsi"/>
          <w:b/>
          <w:bCs/>
        </w:rPr>
        <w:t>Right to an adequate standard of living, and prohibition of discrimination</w:t>
      </w:r>
    </w:p>
    <w:p w14:paraId="1AF80D74" w14:textId="77777777" w:rsidR="00903658" w:rsidRDefault="00903658" w:rsidP="00903658">
      <w:pPr>
        <w:spacing w:after="0" w:line="276" w:lineRule="auto"/>
        <w:contextualSpacing/>
        <w:jc w:val="both"/>
        <w:rPr>
          <w:rFonts w:ascii="Calibri" w:hAnsi="Calibri" w:cs="Calibri"/>
          <w:b/>
          <w:bCs/>
          <w:sz w:val="20"/>
          <w:szCs w:val="20"/>
        </w:rPr>
      </w:pPr>
    </w:p>
    <w:p w14:paraId="3928DB82" w14:textId="04D7DB60" w:rsidR="00903658" w:rsidRPr="00447B43" w:rsidRDefault="00903658" w:rsidP="008B7484">
      <w:pPr>
        <w:pStyle w:val="ListParagraph"/>
        <w:numPr>
          <w:ilvl w:val="0"/>
          <w:numId w:val="17"/>
        </w:numPr>
        <w:spacing w:after="0" w:line="276" w:lineRule="auto"/>
        <w:jc w:val="both"/>
        <w:rPr>
          <w:rFonts w:ascii="Calibri" w:hAnsi="Calibri" w:cs="Calibri"/>
          <w:sz w:val="20"/>
          <w:szCs w:val="20"/>
        </w:rPr>
      </w:pPr>
      <w:r w:rsidRPr="00447B43">
        <w:rPr>
          <w:rFonts w:ascii="Calibri" w:hAnsi="Calibri" w:cs="Calibri"/>
          <w:sz w:val="20"/>
          <w:szCs w:val="20"/>
        </w:rPr>
        <w:t>Article 11 of the International Covenant on Economic, Social, and Cultural Rights recognises the right of everyone to an adequate standard of living, including the right to housing.</w:t>
      </w:r>
    </w:p>
    <w:p w14:paraId="6F79CA53" w14:textId="77777777" w:rsidR="00903658" w:rsidRDefault="00903658" w:rsidP="00903658">
      <w:pPr>
        <w:spacing w:after="0" w:line="276" w:lineRule="auto"/>
        <w:contextualSpacing/>
        <w:jc w:val="both"/>
        <w:rPr>
          <w:rFonts w:ascii="Calibri" w:hAnsi="Calibri" w:cs="Calibri"/>
          <w:b/>
          <w:bCs/>
          <w:sz w:val="20"/>
          <w:szCs w:val="20"/>
        </w:rPr>
      </w:pPr>
    </w:p>
    <w:p w14:paraId="2E53CE3C" w14:textId="0A484B5B" w:rsidR="00903658" w:rsidRDefault="00903658" w:rsidP="008B7484">
      <w:pPr>
        <w:pStyle w:val="ListParagraph"/>
        <w:numPr>
          <w:ilvl w:val="0"/>
          <w:numId w:val="17"/>
        </w:numPr>
        <w:spacing w:line="276" w:lineRule="auto"/>
        <w:jc w:val="both"/>
        <w:rPr>
          <w:rFonts w:ascii="Calibri" w:hAnsi="Calibri" w:cs="Calibri"/>
          <w:color w:val="000000" w:themeColor="text1"/>
          <w:sz w:val="20"/>
          <w:szCs w:val="20"/>
        </w:rPr>
      </w:pPr>
      <w:r w:rsidRPr="00447B43">
        <w:rPr>
          <w:rFonts w:ascii="Calibri" w:hAnsi="Calibri" w:cs="Calibri"/>
          <w:color w:val="000000" w:themeColor="text1"/>
          <w:sz w:val="20"/>
          <w:szCs w:val="20"/>
        </w:rPr>
        <w:t>The Committee on Economic, Social and Cultural Rights has noted that non-discrimination provisions in the Covenant impose an additional obligation upon Governments to ensure evictions do not occur on discriminatory basis.</w:t>
      </w:r>
      <w:r w:rsidR="000E5763">
        <w:rPr>
          <w:rStyle w:val="FootnoteReference"/>
          <w:rFonts w:ascii="Calibri" w:hAnsi="Calibri" w:cs="Calibri"/>
          <w:color w:val="000000" w:themeColor="text1"/>
          <w:sz w:val="20"/>
          <w:szCs w:val="20"/>
        </w:rPr>
        <w:footnoteReference w:id="47"/>
      </w:r>
      <w:r w:rsidRPr="00447B43">
        <w:rPr>
          <w:rFonts w:ascii="Calibri" w:hAnsi="Calibri" w:cs="Calibri"/>
          <w:color w:val="000000" w:themeColor="text1"/>
          <w:sz w:val="20"/>
          <w:szCs w:val="20"/>
        </w:rPr>
        <w:t xml:space="preserve"> </w:t>
      </w:r>
    </w:p>
    <w:p w14:paraId="601BA5D7" w14:textId="77777777" w:rsidR="00903658" w:rsidRPr="00447B43" w:rsidRDefault="00903658" w:rsidP="00903658">
      <w:pPr>
        <w:pStyle w:val="ListParagraph"/>
        <w:spacing w:line="276" w:lineRule="auto"/>
        <w:jc w:val="both"/>
        <w:rPr>
          <w:rFonts w:ascii="Calibri" w:hAnsi="Calibri" w:cs="Calibri"/>
          <w:color w:val="000000" w:themeColor="text1"/>
          <w:sz w:val="20"/>
          <w:szCs w:val="20"/>
        </w:rPr>
      </w:pPr>
    </w:p>
    <w:p w14:paraId="1FB62557" w14:textId="02DB37C3" w:rsidR="00903658" w:rsidRPr="00447B43" w:rsidRDefault="00903658" w:rsidP="008B7484">
      <w:pPr>
        <w:pStyle w:val="ListParagraph"/>
        <w:numPr>
          <w:ilvl w:val="0"/>
          <w:numId w:val="17"/>
        </w:numPr>
        <w:spacing w:line="276" w:lineRule="auto"/>
        <w:jc w:val="both"/>
        <w:rPr>
          <w:sz w:val="20"/>
          <w:szCs w:val="20"/>
        </w:rPr>
      </w:pPr>
      <w:r w:rsidRPr="00447B43">
        <w:rPr>
          <w:rFonts w:ascii="Calibri" w:hAnsi="Calibri" w:cs="Calibri"/>
          <w:sz w:val="20"/>
          <w:szCs w:val="20"/>
        </w:rPr>
        <w:t xml:space="preserve">The Centre for Humane Policy reports of </w:t>
      </w:r>
      <w:r w:rsidR="007F23A2">
        <w:rPr>
          <w:rFonts w:ascii="Calibri" w:hAnsi="Calibri" w:cs="Calibri"/>
          <w:sz w:val="20"/>
          <w:szCs w:val="20"/>
        </w:rPr>
        <w:t>people who use drugs</w:t>
      </w:r>
      <w:r w:rsidRPr="00447B43">
        <w:rPr>
          <w:rFonts w:ascii="Calibri" w:hAnsi="Calibri" w:cs="Calibri"/>
          <w:sz w:val="20"/>
          <w:szCs w:val="20"/>
        </w:rPr>
        <w:t xml:space="preserve"> being systematically subjected to humiliations and threats, being expelled from social housing, and being denied access to shelters.</w:t>
      </w:r>
      <w:r w:rsidRPr="00546B76">
        <w:rPr>
          <w:rStyle w:val="FootnoteReference"/>
          <w:rFonts w:ascii="Calibri" w:hAnsi="Calibri" w:cs="Calibri"/>
          <w:sz w:val="20"/>
          <w:szCs w:val="20"/>
        </w:rPr>
        <w:footnoteReference w:id="48"/>
      </w:r>
      <w:r w:rsidRPr="00447B43">
        <w:rPr>
          <w:rFonts w:ascii="Calibri" w:hAnsi="Calibri" w:cs="Calibri"/>
          <w:sz w:val="20"/>
          <w:szCs w:val="20"/>
        </w:rPr>
        <w:t xml:space="preserve"> </w:t>
      </w:r>
      <w:r w:rsidRPr="00447B43">
        <w:rPr>
          <w:sz w:val="20"/>
          <w:szCs w:val="20"/>
        </w:rPr>
        <w:t xml:space="preserve">In Bulgaria, the right to access many social services, including housing, temporary accommodation </w:t>
      </w:r>
      <w:r w:rsidR="00EE39D7" w:rsidRPr="00447B43">
        <w:rPr>
          <w:sz w:val="20"/>
          <w:szCs w:val="20"/>
        </w:rPr>
        <w:t>centres</w:t>
      </w:r>
      <w:r w:rsidRPr="00447B43">
        <w:rPr>
          <w:sz w:val="20"/>
          <w:szCs w:val="20"/>
        </w:rPr>
        <w:t xml:space="preserve">, and homeless shelters, is subordinate to having an identification document (ID).  According to the Center for Humane Policy, a significant number of </w:t>
      </w:r>
      <w:r w:rsidR="007F23A2">
        <w:rPr>
          <w:sz w:val="20"/>
          <w:szCs w:val="20"/>
        </w:rPr>
        <w:t>people who use drugs</w:t>
      </w:r>
      <w:r w:rsidRPr="00447B43">
        <w:rPr>
          <w:sz w:val="20"/>
          <w:szCs w:val="20"/>
        </w:rPr>
        <w:t xml:space="preserve"> does not have </w:t>
      </w:r>
      <w:r w:rsidR="00867B09">
        <w:rPr>
          <w:sz w:val="20"/>
          <w:szCs w:val="20"/>
        </w:rPr>
        <w:t>identification</w:t>
      </w:r>
      <w:r w:rsidRPr="00447B43">
        <w:rPr>
          <w:sz w:val="20"/>
          <w:szCs w:val="20"/>
        </w:rPr>
        <w:t xml:space="preserve"> documents. In order to acquire an ID in Bulgaria, it is necessary to provide </w:t>
      </w:r>
      <w:r w:rsidR="00EE39D7">
        <w:rPr>
          <w:sz w:val="20"/>
          <w:szCs w:val="20"/>
        </w:rPr>
        <w:t xml:space="preserve">to </w:t>
      </w:r>
      <w:r w:rsidRPr="00447B43">
        <w:rPr>
          <w:sz w:val="20"/>
          <w:szCs w:val="20"/>
        </w:rPr>
        <w:t xml:space="preserve">the municipality a rent contract or a notary deed. </w:t>
      </w:r>
      <w:r w:rsidR="007F23A2">
        <w:rPr>
          <w:sz w:val="20"/>
          <w:szCs w:val="20"/>
        </w:rPr>
        <w:t>People who use drugs</w:t>
      </w:r>
      <w:r w:rsidRPr="00447B43">
        <w:rPr>
          <w:sz w:val="20"/>
          <w:szCs w:val="20"/>
        </w:rPr>
        <w:t xml:space="preserve"> who are homeless are unable to provide those documents, and are consequently denied ID.  In some cases, </w:t>
      </w:r>
      <w:r w:rsidR="007F23A2">
        <w:rPr>
          <w:sz w:val="20"/>
          <w:szCs w:val="20"/>
        </w:rPr>
        <w:t>individuals</w:t>
      </w:r>
      <w:r w:rsidRPr="00447B43">
        <w:rPr>
          <w:sz w:val="20"/>
          <w:szCs w:val="20"/>
        </w:rPr>
        <w:t xml:space="preserve"> in a situation of extreme poverty sell their ID</w:t>
      </w:r>
      <w:r w:rsidR="007F23A2">
        <w:rPr>
          <w:sz w:val="20"/>
          <w:szCs w:val="20"/>
        </w:rPr>
        <w:t>s</w:t>
      </w:r>
      <w:r w:rsidRPr="00447B43">
        <w:rPr>
          <w:sz w:val="20"/>
          <w:szCs w:val="20"/>
        </w:rPr>
        <w:t>.</w:t>
      </w:r>
    </w:p>
    <w:p w14:paraId="29C3343A" w14:textId="77777777" w:rsidR="00BD7EBD" w:rsidRPr="00BD7EBD" w:rsidRDefault="00BD7EBD" w:rsidP="00BD7EBD">
      <w:pPr>
        <w:pStyle w:val="ListParagraph"/>
        <w:rPr>
          <w:rFonts w:ascii="Calibri" w:hAnsi="Calibri" w:cs="Calibri"/>
          <w:sz w:val="20"/>
          <w:szCs w:val="20"/>
          <w:shd w:val="clear" w:color="auto" w:fill="FFFFFF"/>
        </w:rPr>
      </w:pPr>
    </w:p>
    <w:p w14:paraId="40B762B2" w14:textId="177D5A9A" w:rsidR="00D1605F" w:rsidRPr="00447B43" w:rsidRDefault="00D1605F" w:rsidP="008B7484">
      <w:pPr>
        <w:pStyle w:val="ListParagraph"/>
        <w:numPr>
          <w:ilvl w:val="0"/>
          <w:numId w:val="17"/>
        </w:numPr>
        <w:shd w:val="clear" w:color="auto" w:fill="FFFFFF"/>
        <w:spacing w:after="0" w:line="276" w:lineRule="auto"/>
        <w:jc w:val="both"/>
        <w:rPr>
          <w:rFonts w:ascii="Calibri" w:hAnsi="Calibri" w:cs="Calibri"/>
          <w:sz w:val="20"/>
          <w:szCs w:val="20"/>
        </w:rPr>
      </w:pPr>
      <w:r w:rsidRPr="00447B43">
        <w:rPr>
          <w:rFonts w:ascii="Calibri" w:hAnsi="Calibri" w:cs="Calibri"/>
          <w:sz w:val="20"/>
          <w:szCs w:val="20"/>
        </w:rPr>
        <w:t>A survey recently conducted among 151 people who use drugs in Sofia provides a snapshot of the discriminatory environment people who use drugs live in. Among others:</w:t>
      </w:r>
    </w:p>
    <w:p w14:paraId="56522765" w14:textId="77777777" w:rsidR="00D1605F" w:rsidRDefault="00D1605F" w:rsidP="00C97D9B">
      <w:pPr>
        <w:pStyle w:val="ListParagraph"/>
        <w:numPr>
          <w:ilvl w:val="1"/>
          <w:numId w:val="16"/>
        </w:numPr>
        <w:shd w:val="clear" w:color="auto" w:fill="FFFFFF"/>
        <w:spacing w:after="0" w:line="276" w:lineRule="auto"/>
        <w:jc w:val="both"/>
        <w:rPr>
          <w:rFonts w:ascii="Calibri" w:hAnsi="Calibri" w:cs="Calibri"/>
          <w:sz w:val="20"/>
          <w:szCs w:val="20"/>
        </w:rPr>
      </w:pPr>
      <w:r>
        <w:rPr>
          <w:rFonts w:ascii="Calibri" w:hAnsi="Calibri" w:cs="Calibri"/>
          <w:sz w:val="20"/>
          <w:szCs w:val="20"/>
        </w:rPr>
        <w:t>149 of them experienced have being treated in a discriminatory way by police, and 122 claimed to have been discriminated against by administration officials;</w:t>
      </w:r>
    </w:p>
    <w:p w14:paraId="28BE3AA4" w14:textId="77777777" w:rsidR="00D1605F" w:rsidRDefault="00D1605F" w:rsidP="00C97D9B">
      <w:pPr>
        <w:pStyle w:val="ListParagraph"/>
        <w:numPr>
          <w:ilvl w:val="1"/>
          <w:numId w:val="16"/>
        </w:numPr>
        <w:shd w:val="clear" w:color="auto" w:fill="FFFFFF"/>
        <w:spacing w:after="0" w:line="276" w:lineRule="auto"/>
        <w:jc w:val="both"/>
        <w:rPr>
          <w:rFonts w:ascii="Calibri" w:hAnsi="Calibri" w:cs="Calibri"/>
          <w:sz w:val="20"/>
          <w:szCs w:val="20"/>
        </w:rPr>
      </w:pPr>
      <w:r>
        <w:rPr>
          <w:rFonts w:ascii="Calibri" w:hAnsi="Calibri" w:cs="Calibri"/>
          <w:sz w:val="20"/>
          <w:szCs w:val="20"/>
        </w:rPr>
        <w:t>64% reported discrimination in access to social security or social housing;</w:t>
      </w:r>
    </w:p>
    <w:p w14:paraId="24DC5D1A" w14:textId="77777777" w:rsidR="00D1605F" w:rsidRDefault="00D1605F" w:rsidP="00C97D9B">
      <w:pPr>
        <w:pStyle w:val="ListParagraph"/>
        <w:numPr>
          <w:ilvl w:val="1"/>
          <w:numId w:val="16"/>
        </w:numPr>
        <w:shd w:val="clear" w:color="auto" w:fill="FFFFFF"/>
        <w:spacing w:after="0" w:line="276" w:lineRule="auto"/>
        <w:jc w:val="both"/>
        <w:rPr>
          <w:rFonts w:ascii="Calibri" w:hAnsi="Calibri" w:cs="Calibri"/>
          <w:sz w:val="20"/>
          <w:szCs w:val="20"/>
        </w:rPr>
      </w:pPr>
      <w:r>
        <w:rPr>
          <w:rFonts w:ascii="Calibri" w:hAnsi="Calibri" w:cs="Calibri"/>
          <w:sz w:val="20"/>
          <w:szCs w:val="20"/>
        </w:rPr>
        <w:t>40% reported having been denied medical help, or having being discriminated by medical staff, because of their drug use and/or ethnic origin;</w:t>
      </w:r>
      <w:r>
        <w:rPr>
          <w:rStyle w:val="FootnoteReference"/>
          <w:rFonts w:ascii="Calibri" w:hAnsi="Calibri" w:cs="Calibri"/>
          <w:sz w:val="20"/>
          <w:szCs w:val="20"/>
        </w:rPr>
        <w:footnoteReference w:id="49"/>
      </w:r>
    </w:p>
    <w:p w14:paraId="34EC78C6" w14:textId="77777777" w:rsidR="00D1605F" w:rsidRPr="0041100F" w:rsidRDefault="00D1605F" w:rsidP="00B84FA0">
      <w:pPr>
        <w:pStyle w:val="ListParagraph"/>
        <w:shd w:val="clear" w:color="auto" w:fill="FFFFFF"/>
        <w:spacing w:after="0" w:line="276" w:lineRule="auto"/>
        <w:jc w:val="both"/>
        <w:rPr>
          <w:rFonts w:ascii="Calibri" w:hAnsi="Calibri" w:cs="Calibri"/>
          <w:sz w:val="20"/>
          <w:szCs w:val="20"/>
        </w:rPr>
      </w:pPr>
    </w:p>
    <w:p w14:paraId="6EE224F6" w14:textId="5A4BABE6" w:rsidR="004C32DB" w:rsidRPr="00832C80" w:rsidRDefault="00832C80" w:rsidP="008B7484">
      <w:pPr>
        <w:pStyle w:val="ListParagraph"/>
        <w:numPr>
          <w:ilvl w:val="0"/>
          <w:numId w:val="17"/>
        </w:numPr>
        <w:spacing w:after="0" w:line="276" w:lineRule="auto"/>
        <w:jc w:val="both"/>
        <w:rPr>
          <w:rFonts w:ascii="Calibri" w:hAnsi="Calibri" w:cs="Calibri"/>
          <w:sz w:val="20"/>
          <w:szCs w:val="20"/>
        </w:rPr>
      </w:pPr>
      <w:r w:rsidRPr="00832C80">
        <w:rPr>
          <w:rFonts w:ascii="Calibri" w:hAnsi="Calibri" w:cs="Calibri"/>
          <w:sz w:val="20"/>
          <w:szCs w:val="20"/>
          <w:shd w:val="clear" w:color="auto" w:fill="FFFFFF"/>
        </w:rPr>
        <w:t>Harm Reduction International and the Center for Humane Policy argue that</w:t>
      </w:r>
      <w:r w:rsidR="00EC16DD">
        <w:rPr>
          <w:rFonts w:ascii="Calibri" w:hAnsi="Calibri" w:cs="Calibri"/>
          <w:sz w:val="20"/>
          <w:szCs w:val="20"/>
          <w:shd w:val="clear" w:color="auto" w:fill="FFFFFF"/>
        </w:rPr>
        <w:t xml:space="preserve"> Bulgaria is failing its obligations </w:t>
      </w:r>
      <w:r w:rsidR="000E5763">
        <w:rPr>
          <w:rFonts w:ascii="Calibri" w:hAnsi="Calibri" w:cs="Calibri"/>
          <w:sz w:val="20"/>
          <w:szCs w:val="20"/>
          <w:shd w:val="clear" w:color="auto" w:fill="FFFFFF"/>
        </w:rPr>
        <w:t>to progressive realis</w:t>
      </w:r>
      <w:r w:rsidR="00EC16DD" w:rsidRPr="00EC16DD">
        <w:rPr>
          <w:rFonts w:ascii="Calibri" w:hAnsi="Calibri" w:cs="Calibri"/>
          <w:sz w:val="20"/>
          <w:szCs w:val="20"/>
          <w:shd w:val="clear" w:color="auto" w:fill="FFFFFF"/>
        </w:rPr>
        <w:t xml:space="preserve">e the </w:t>
      </w:r>
      <w:r w:rsidR="00EC16DD">
        <w:rPr>
          <w:rFonts w:ascii="Calibri" w:hAnsi="Calibri" w:cs="Calibri"/>
          <w:sz w:val="20"/>
          <w:szCs w:val="20"/>
          <w:shd w:val="clear" w:color="auto" w:fill="FFFFFF"/>
        </w:rPr>
        <w:t>“</w:t>
      </w:r>
      <w:r w:rsidR="00EC16DD" w:rsidRPr="00EC16DD">
        <w:rPr>
          <w:rFonts w:ascii="Calibri" w:hAnsi="Calibri" w:cs="Calibri"/>
          <w:color w:val="000000"/>
          <w:sz w:val="20"/>
          <w:szCs w:val="20"/>
          <w:shd w:val="clear" w:color="auto" w:fill="FFFFFF"/>
        </w:rPr>
        <w:t>right of everyone to an adequate standard of living for himself and his family, including  […] housing, and to the continuous improvement of living conditions</w:t>
      </w:r>
      <w:r w:rsidR="00EC16DD">
        <w:rPr>
          <w:rFonts w:ascii="Calibri" w:hAnsi="Calibri" w:cs="Calibri"/>
          <w:color w:val="000000"/>
          <w:sz w:val="20"/>
          <w:szCs w:val="20"/>
          <w:shd w:val="clear" w:color="auto" w:fill="FFFFFF"/>
        </w:rPr>
        <w:t>,”</w:t>
      </w:r>
      <w:r w:rsidR="00EC16DD">
        <w:rPr>
          <w:rStyle w:val="FootnoteReference"/>
          <w:rFonts w:ascii="Calibri" w:hAnsi="Calibri" w:cs="Calibri"/>
          <w:color w:val="000000"/>
          <w:sz w:val="20"/>
          <w:szCs w:val="20"/>
          <w:shd w:val="clear" w:color="auto" w:fill="FFFFFF"/>
        </w:rPr>
        <w:footnoteReference w:id="50"/>
      </w:r>
      <w:r w:rsidR="00EC16DD">
        <w:rPr>
          <w:rFonts w:ascii="Calibri" w:hAnsi="Calibri" w:cs="Calibri"/>
          <w:color w:val="000000"/>
          <w:sz w:val="20"/>
          <w:szCs w:val="20"/>
          <w:shd w:val="clear" w:color="auto" w:fill="FFFFFF"/>
        </w:rPr>
        <w:t xml:space="preserve"> and to ensure that such right is enjoyed without discrimination.</w:t>
      </w:r>
      <w:r w:rsidR="00EC16DD">
        <w:rPr>
          <w:rStyle w:val="FootnoteReference"/>
          <w:rFonts w:ascii="Calibri" w:hAnsi="Calibri" w:cs="Calibri"/>
          <w:color w:val="000000"/>
          <w:sz w:val="20"/>
          <w:szCs w:val="20"/>
          <w:shd w:val="clear" w:color="auto" w:fill="FFFFFF"/>
        </w:rPr>
        <w:footnoteReference w:id="51"/>
      </w:r>
    </w:p>
    <w:p w14:paraId="74B0D3D2" w14:textId="77777777" w:rsidR="00A07B9D" w:rsidRDefault="00A07B9D" w:rsidP="00B84FA0">
      <w:pPr>
        <w:spacing w:after="0" w:line="276" w:lineRule="auto"/>
        <w:contextualSpacing/>
        <w:jc w:val="both"/>
        <w:rPr>
          <w:rFonts w:asciiTheme="majorHAnsi" w:hAnsiTheme="majorHAnsi" w:cstheme="majorHAnsi"/>
          <w:b/>
          <w:bCs/>
        </w:rPr>
      </w:pPr>
    </w:p>
    <w:p w14:paraId="3EBB1334" w14:textId="77777777" w:rsidR="005F039D" w:rsidRPr="006D21FB" w:rsidRDefault="005F039D" w:rsidP="00B84FA0">
      <w:pPr>
        <w:spacing w:after="0" w:line="276" w:lineRule="auto"/>
        <w:contextualSpacing/>
        <w:jc w:val="both"/>
        <w:rPr>
          <w:rFonts w:asciiTheme="majorHAnsi" w:hAnsiTheme="majorHAnsi" w:cstheme="majorHAnsi"/>
          <w:b/>
          <w:bCs/>
        </w:rPr>
      </w:pPr>
      <w:r w:rsidRPr="006D21FB">
        <w:rPr>
          <w:rFonts w:asciiTheme="majorHAnsi" w:hAnsiTheme="majorHAnsi" w:cstheme="majorHAnsi"/>
          <w:b/>
          <w:bCs/>
        </w:rPr>
        <w:t>Conclusion</w:t>
      </w:r>
      <w:r w:rsidR="00447B43">
        <w:rPr>
          <w:rFonts w:asciiTheme="majorHAnsi" w:hAnsiTheme="majorHAnsi" w:cstheme="majorHAnsi"/>
          <w:b/>
          <w:bCs/>
        </w:rPr>
        <w:t xml:space="preserve"> and recommendations</w:t>
      </w:r>
    </w:p>
    <w:p w14:paraId="1CC06D69" w14:textId="4376419D" w:rsidR="008B7484" w:rsidRDefault="008B7484" w:rsidP="008B7484">
      <w:pPr>
        <w:spacing w:after="0" w:line="276" w:lineRule="auto"/>
        <w:jc w:val="both"/>
        <w:rPr>
          <w:rFonts w:ascii="Calibri" w:hAnsi="Calibri" w:cs="Calibri"/>
          <w:sz w:val="20"/>
          <w:szCs w:val="20"/>
        </w:rPr>
      </w:pPr>
    </w:p>
    <w:p w14:paraId="0CE9569C" w14:textId="7CDF4754" w:rsidR="005F039D" w:rsidRPr="008B7484" w:rsidRDefault="00A07B9D" w:rsidP="008B7484">
      <w:pPr>
        <w:spacing w:after="0" w:line="276" w:lineRule="auto"/>
        <w:jc w:val="both"/>
        <w:rPr>
          <w:rFonts w:ascii="Calibri" w:hAnsi="Calibri" w:cs="Calibri"/>
          <w:sz w:val="20"/>
          <w:szCs w:val="20"/>
        </w:rPr>
      </w:pPr>
      <w:r w:rsidRPr="008B7484">
        <w:rPr>
          <w:rFonts w:ascii="Calibri" w:hAnsi="Calibri" w:cs="Calibri"/>
          <w:sz w:val="20"/>
          <w:szCs w:val="20"/>
        </w:rPr>
        <w:t>In light of these</w:t>
      </w:r>
      <w:r w:rsidR="005F039D" w:rsidRPr="008B7484">
        <w:rPr>
          <w:rFonts w:ascii="Calibri" w:hAnsi="Calibri" w:cs="Calibri"/>
          <w:sz w:val="20"/>
          <w:szCs w:val="20"/>
        </w:rPr>
        <w:t xml:space="preserve"> findings, Harm Reduction International </w:t>
      </w:r>
      <w:r w:rsidR="00546B76" w:rsidRPr="008B7484">
        <w:rPr>
          <w:rFonts w:ascii="Calibri" w:hAnsi="Calibri" w:cs="Calibri"/>
          <w:sz w:val="20"/>
          <w:szCs w:val="20"/>
        </w:rPr>
        <w:t>and the Center for Humane Policy invite</w:t>
      </w:r>
      <w:r w:rsidR="005F039D" w:rsidRPr="008B7484">
        <w:rPr>
          <w:rFonts w:ascii="Calibri" w:hAnsi="Calibri" w:cs="Calibri"/>
          <w:sz w:val="20"/>
          <w:szCs w:val="20"/>
        </w:rPr>
        <w:t xml:space="preserve"> the Committee on Economic, Social and C</w:t>
      </w:r>
      <w:r w:rsidR="008B3FD6" w:rsidRPr="008B7484">
        <w:rPr>
          <w:rFonts w:ascii="Calibri" w:hAnsi="Calibri" w:cs="Calibri"/>
          <w:sz w:val="20"/>
          <w:szCs w:val="20"/>
        </w:rPr>
        <w:t xml:space="preserve">ultural Rights to </w:t>
      </w:r>
      <w:r w:rsidR="000014C3" w:rsidRPr="008B7484">
        <w:rPr>
          <w:rFonts w:ascii="Calibri" w:hAnsi="Calibri" w:cs="Calibri"/>
          <w:sz w:val="20"/>
          <w:szCs w:val="20"/>
        </w:rPr>
        <w:t xml:space="preserve">recommend </w:t>
      </w:r>
      <w:r w:rsidR="005F039D" w:rsidRPr="008B7484">
        <w:rPr>
          <w:rFonts w:ascii="Calibri" w:hAnsi="Calibri" w:cs="Calibri"/>
          <w:sz w:val="20"/>
          <w:szCs w:val="20"/>
        </w:rPr>
        <w:t>Bulgaria:</w:t>
      </w:r>
    </w:p>
    <w:p w14:paraId="6EAC51B2" w14:textId="77777777" w:rsidR="005F039D" w:rsidRPr="006D21FB" w:rsidRDefault="005F039D" w:rsidP="00B84FA0">
      <w:pPr>
        <w:spacing w:after="0" w:line="276" w:lineRule="auto"/>
        <w:contextualSpacing/>
        <w:jc w:val="both"/>
        <w:rPr>
          <w:rFonts w:ascii="Calibri" w:hAnsi="Calibri" w:cs="Calibri"/>
          <w:sz w:val="20"/>
          <w:szCs w:val="20"/>
        </w:rPr>
      </w:pPr>
    </w:p>
    <w:p w14:paraId="63C70E40" w14:textId="77777777" w:rsidR="000014C3" w:rsidRDefault="000014C3" w:rsidP="00B84FA0">
      <w:pPr>
        <w:pStyle w:val="ListParagraph"/>
        <w:numPr>
          <w:ilvl w:val="0"/>
          <w:numId w:val="4"/>
        </w:numPr>
        <w:spacing w:after="0" w:line="276" w:lineRule="auto"/>
        <w:jc w:val="both"/>
        <w:rPr>
          <w:rFonts w:ascii="Calibri" w:hAnsi="Calibri" w:cs="Calibri"/>
          <w:sz w:val="20"/>
          <w:szCs w:val="20"/>
        </w:rPr>
      </w:pPr>
      <w:r>
        <w:rPr>
          <w:rFonts w:ascii="Calibri" w:hAnsi="Calibri" w:cs="Calibri"/>
          <w:sz w:val="20"/>
          <w:szCs w:val="20"/>
        </w:rPr>
        <w:t>Increase coverage of life saving harm reduction intervention</w:t>
      </w:r>
      <w:r w:rsidR="006D37E4">
        <w:rPr>
          <w:rFonts w:ascii="Calibri" w:hAnsi="Calibri" w:cs="Calibri"/>
          <w:sz w:val="20"/>
          <w:szCs w:val="20"/>
        </w:rPr>
        <w:t>s</w:t>
      </w:r>
      <w:r>
        <w:rPr>
          <w:rFonts w:ascii="Calibri" w:hAnsi="Calibri" w:cs="Calibri"/>
          <w:sz w:val="20"/>
          <w:szCs w:val="20"/>
        </w:rPr>
        <w:t xml:space="preserve"> to WHO recommended levels of coverage</w:t>
      </w:r>
      <w:r w:rsidR="008E1ACD">
        <w:rPr>
          <w:rFonts w:ascii="Calibri" w:hAnsi="Calibri" w:cs="Calibri"/>
          <w:sz w:val="20"/>
          <w:szCs w:val="20"/>
        </w:rPr>
        <w:t xml:space="preserve"> in satisfaction of its obligations under the right to health,</w:t>
      </w:r>
      <w:r>
        <w:rPr>
          <w:rFonts w:ascii="Calibri" w:hAnsi="Calibri" w:cs="Calibri"/>
          <w:sz w:val="20"/>
          <w:szCs w:val="20"/>
        </w:rPr>
        <w:t xml:space="preserve"> including:</w:t>
      </w:r>
    </w:p>
    <w:p w14:paraId="667A9F5D" w14:textId="08855C1E" w:rsidR="000014C3" w:rsidRPr="000014C3" w:rsidRDefault="000014C3" w:rsidP="000014C3">
      <w:pPr>
        <w:pStyle w:val="ListParagraph"/>
        <w:numPr>
          <w:ilvl w:val="1"/>
          <w:numId w:val="4"/>
        </w:numPr>
        <w:spacing w:after="0" w:line="276" w:lineRule="auto"/>
        <w:jc w:val="both"/>
        <w:rPr>
          <w:rFonts w:ascii="Calibri" w:hAnsi="Calibri" w:cs="Calibri"/>
          <w:sz w:val="20"/>
          <w:szCs w:val="20"/>
        </w:rPr>
      </w:pPr>
      <w:r w:rsidRPr="000014C3">
        <w:rPr>
          <w:rFonts w:ascii="Calibri" w:hAnsi="Calibri" w:cs="Calibri"/>
          <w:sz w:val="20"/>
          <w:szCs w:val="20"/>
        </w:rPr>
        <w:t>A</w:t>
      </w:r>
      <w:r w:rsidR="008B3FD6" w:rsidRPr="000014C3">
        <w:rPr>
          <w:rFonts w:ascii="Calibri" w:hAnsi="Calibri" w:cs="Calibri"/>
          <w:sz w:val="20"/>
          <w:szCs w:val="20"/>
        </w:rPr>
        <w:t>llocat</w:t>
      </w:r>
      <w:r w:rsidRPr="000014C3">
        <w:rPr>
          <w:rFonts w:ascii="Calibri" w:hAnsi="Calibri" w:cs="Calibri"/>
          <w:sz w:val="20"/>
          <w:szCs w:val="20"/>
        </w:rPr>
        <w:t>ing</w:t>
      </w:r>
      <w:r w:rsidR="008B3FD6" w:rsidRPr="000014C3">
        <w:rPr>
          <w:rFonts w:ascii="Calibri" w:hAnsi="Calibri" w:cs="Calibri"/>
          <w:sz w:val="20"/>
          <w:szCs w:val="20"/>
        </w:rPr>
        <w:t xml:space="preserve"> adequate funding to es</w:t>
      </w:r>
      <w:r w:rsidR="008202FC" w:rsidRPr="000014C3">
        <w:rPr>
          <w:rFonts w:ascii="Calibri" w:hAnsi="Calibri" w:cs="Calibri"/>
          <w:sz w:val="20"/>
          <w:szCs w:val="20"/>
        </w:rPr>
        <w:t>sential harm reduction services</w:t>
      </w:r>
      <w:r w:rsidR="00546B76" w:rsidRPr="000014C3">
        <w:rPr>
          <w:rFonts w:ascii="Calibri" w:hAnsi="Calibri" w:cs="Calibri"/>
          <w:sz w:val="20"/>
          <w:szCs w:val="20"/>
        </w:rPr>
        <w:t>,</w:t>
      </w:r>
      <w:r w:rsidRPr="000014C3">
        <w:rPr>
          <w:rFonts w:ascii="Calibri" w:hAnsi="Calibri" w:cs="Calibri"/>
          <w:sz w:val="20"/>
          <w:szCs w:val="20"/>
        </w:rPr>
        <w:t xml:space="preserve"> and</w:t>
      </w:r>
      <w:r w:rsidR="006D37E4">
        <w:rPr>
          <w:rFonts w:ascii="Calibri" w:hAnsi="Calibri" w:cs="Calibri"/>
          <w:sz w:val="20"/>
          <w:szCs w:val="20"/>
        </w:rPr>
        <w:t xml:space="preserve"> </w:t>
      </w:r>
      <w:r w:rsidRPr="000014C3">
        <w:rPr>
          <w:rFonts w:ascii="Calibri" w:hAnsi="Calibri" w:cs="Calibri"/>
          <w:sz w:val="20"/>
          <w:szCs w:val="20"/>
        </w:rPr>
        <w:t xml:space="preserve">urgently </w:t>
      </w:r>
      <w:r>
        <w:rPr>
          <w:rFonts w:ascii="Calibri" w:hAnsi="Calibri" w:cs="Calibri"/>
          <w:sz w:val="20"/>
          <w:szCs w:val="20"/>
        </w:rPr>
        <w:t xml:space="preserve">introducing </w:t>
      </w:r>
      <w:r w:rsidRPr="000014C3">
        <w:rPr>
          <w:rFonts w:ascii="Calibri" w:hAnsi="Calibri" w:cs="Calibri"/>
          <w:sz w:val="20"/>
          <w:szCs w:val="20"/>
        </w:rPr>
        <w:t>appropriate legal provisions for direct social contracting mechanisms in order to make the national funding available for NGOs</w:t>
      </w:r>
      <w:r>
        <w:rPr>
          <w:rFonts w:ascii="Calibri" w:hAnsi="Calibri" w:cs="Calibri"/>
          <w:sz w:val="20"/>
          <w:szCs w:val="20"/>
        </w:rPr>
        <w:t xml:space="preserve"> and thus facilitate NGO service delivery</w:t>
      </w:r>
      <w:r w:rsidRPr="000014C3">
        <w:rPr>
          <w:rFonts w:ascii="Calibri" w:hAnsi="Calibri" w:cs="Calibri"/>
          <w:sz w:val="20"/>
          <w:szCs w:val="20"/>
        </w:rPr>
        <w:t>;</w:t>
      </w:r>
      <w:r w:rsidR="001D0276">
        <w:rPr>
          <w:rFonts w:ascii="Calibri" w:hAnsi="Calibri" w:cs="Calibri"/>
          <w:sz w:val="20"/>
          <w:szCs w:val="20"/>
        </w:rPr>
        <w:t xml:space="preserve"> and</w:t>
      </w:r>
    </w:p>
    <w:p w14:paraId="0940A521" w14:textId="12A8B6FC" w:rsidR="001D0276" w:rsidRPr="00546B76" w:rsidRDefault="00926B3C" w:rsidP="001D0276">
      <w:pPr>
        <w:pStyle w:val="ListParagraph"/>
        <w:numPr>
          <w:ilvl w:val="1"/>
          <w:numId w:val="4"/>
        </w:numPr>
        <w:spacing w:after="0" w:line="276" w:lineRule="auto"/>
        <w:jc w:val="both"/>
        <w:rPr>
          <w:rFonts w:ascii="Calibri" w:hAnsi="Calibri" w:cs="Calibri"/>
          <w:sz w:val="20"/>
          <w:szCs w:val="20"/>
        </w:rPr>
      </w:pPr>
      <w:r>
        <w:rPr>
          <w:rFonts w:ascii="Calibri" w:hAnsi="Calibri" w:cs="Calibri"/>
          <w:sz w:val="20"/>
          <w:szCs w:val="20"/>
        </w:rPr>
        <w:t>I</w:t>
      </w:r>
      <w:r w:rsidR="001D0276" w:rsidRPr="00546B76">
        <w:rPr>
          <w:rFonts w:ascii="Calibri" w:hAnsi="Calibri" w:cs="Calibri"/>
          <w:sz w:val="20"/>
          <w:szCs w:val="20"/>
        </w:rPr>
        <w:t>ntroduc</w:t>
      </w:r>
      <w:r w:rsidR="001D0276">
        <w:rPr>
          <w:rFonts w:ascii="Calibri" w:hAnsi="Calibri" w:cs="Calibri"/>
          <w:sz w:val="20"/>
          <w:szCs w:val="20"/>
        </w:rPr>
        <w:t>ing</w:t>
      </w:r>
      <w:r w:rsidR="007F23A2">
        <w:rPr>
          <w:rFonts w:ascii="Calibri" w:hAnsi="Calibri" w:cs="Calibri"/>
          <w:sz w:val="20"/>
          <w:szCs w:val="20"/>
        </w:rPr>
        <w:t xml:space="preserve"> adequate,</w:t>
      </w:r>
      <w:r w:rsidR="001D0276" w:rsidRPr="00546B76">
        <w:rPr>
          <w:rFonts w:ascii="Calibri" w:hAnsi="Calibri" w:cs="Calibri"/>
          <w:sz w:val="20"/>
          <w:szCs w:val="20"/>
        </w:rPr>
        <w:t xml:space="preserve"> accessible and quality harm reduction measures in prisons and detention settings</w:t>
      </w:r>
      <w:r w:rsidR="001D0276">
        <w:rPr>
          <w:rFonts w:ascii="Calibri" w:hAnsi="Calibri" w:cs="Calibri"/>
          <w:sz w:val="20"/>
          <w:szCs w:val="20"/>
        </w:rPr>
        <w:t>.</w:t>
      </w:r>
    </w:p>
    <w:p w14:paraId="100B9D83" w14:textId="77777777" w:rsidR="00E86A84" w:rsidRPr="006D21FB" w:rsidRDefault="00E86A84" w:rsidP="00B84FA0">
      <w:pPr>
        <w:pStyle w:val="ListParagraph"/>
        <w:spacing w:after="0" w:line="276" w:lineRule="auto"/>
        <w:jc w:val="both"/>
        <w:rPr>
          <w:rFonts w:ascii="Calibri" w:hAnsi="Calibri" w:cs="Calibri"/>
          <w:sz w:val="20"/>
          <w:szCs w:val="20"/>
        </w:rPr>
      </w:pPr>
    </w:p>
    <w:p w14:paraId="7ECB010B" w14:textId="34AFB283" w:rsidR="00926B3C" w:rsidRDefault="00926B3C" w:rsidP="00926B3C">
      <w:pPr>
        <w:pStyle w:val="ListParagraph"/>
        <w:numPr>
          <w:ilvl w:val="0"/>
          <w:numId w:val="4"/>
        </w:numPr>
        <w:spacing w:after="0" w:line="276" w:lineRule="auto"/>
        <w:jc w:val="both"/>
        <w:rPr>
          <w:rFonts w:ascii="Calibri" w:hAnsi="Calibri" w:cs="Calibri"/>
          <w:sz w:val="20"/>
          <w:szCs w:val="20"/>
        </w:rPr>
      </w:pPr>
      <w:r w:rsidRPr="00926B3C">
        <w:rPr>
          <w:sz w:val="20"/>
          <w:szCs w:val="20"/>
        </w:rPr>
        <w:t>Address discrimination against people who use drugs by</w:t>
      </w:r>
      <w:r>
        <w:rPr>
          <w:rFonts w:ascii="Calibri" w:hAnsi="Calibri" w:cs="Calibri"/>
          <w:sz w:val="20"/>
          <w:szCs w:val="20"/>
        </w:rPr>
        <w:t xml:space="preserve"> a</w:t>
      </w:r>
      <w:r w:rsidRPr="006D21FB">
        <w:rPr>
          <w:rFonts w:ascii="Calibri" w:hAnsi="Calibri" w:cs="Calibri"/>
          <w:sz w:val="20"/>
          <w:szCs w:val="20"/>
        </w:rPr>
        <w:t>dopt</w:t>
      </w:r>
      <w:r>
        <w:rPr>
          <w:rFonts w:ascii="Calibri" w:hAnsi="Calibri" w:cs="Calibri"/>
          <w:sz w:val="20"/>
          <w:szCs w:val="20"/>
        </w:rPr>
        <w:t>ing</w:t>
      </w:r>
      <w:r w:rsidRPr="006D21FB">
        <w:rPr>
          <w:rFonts w:ascii="Calibri" w:hAnsi="Calibri" w:cs="Calibri"/>
          <w:sz w:val="20"/>
          <w:szCs w:val="20"/>
        </w:rPr>
        <w:t xml:space="preserve"> legislative and practical measures to prevent and redress discrimination in </w:t>
      </w:r>
      <w:r>
        <w:rPr>
          <w:rFonts w:ascii="Calibri" w:hAnsi="Calibri" w:cs="Calibri"/>
          <w:sz w:val="20"/>
          <w:szCs w:val="20"/>
        </w:rPr>
        <w:t>healthcare services, including in</w:t>
      </w:r>
      <w:r w:rsidRPr="006D21FB">
        <w:rPr>
          <w:rFonts w:ascii="Calibri" w:hAnsi="Calibri" w:cs="Calibri"/>
          <w:sz w:val="20"/>
          <w:szCs w:val="20"/>
        </w:rPr>
        <w:t xml:space="preserve"> access to harm </w:t>
      </w:r>
      <w:r>
        <w:rPr>
          <w:rFonts w:ascii="Calibri" w:hAnsi="Calibri" w:cs="Calibri"/>
          <w:sz w:val="20"/>
          <w:szCs w:val="20"/>
        </w:rPr>
        <w:t>re</w:t>
      </w:r>
      <w:r w:rsidRPr="00546B76">
        <w:rPr>
          <w:rFonts w:ascii="Calibri" w:hAnsi="Calibri" w:cs="Calibri"/>
          <w:sz w:val="20"/>
          <w:szCs w:val="20"/>
        </w:rPr>
        <w:t>duction</w:t>
      </w:r>
      <w:r>
        <w:rPr>
          <w:rFonts w:ascii="Calibri" w:hAnsi="Calibri" w:cs="Calibri"/>
          <w:sz w:val="20"/>
          <w:szCs w:val="20"/>
        </w:rPr>
        <w:t xml:space="preserve"> services, access to medicines, and access to national health insurance</w:t>
      </w:r>
      <w:r w:rsidRPr="00546B76">
        <w:rPr>
          <w:rFonts w:ascii="Calibri" w:hAnsi="Calibri" w:cs="Calibri"/>
          <w:sz w:val="20"/>
          <w:szCs w:val="20"/>
        </w:rPr>
        <w:t>;</w:t>
      </w:r>
    </w:p>
    <w:p w14:paraId="4E4C279E" w14:textId="77777777" w:rsidR="00926B3C" w:rsidRDefault="00926B3C" w:rsidP="00926B3C">
      <w:pPr>
        <w:pStyle w:val="ListParagraph"/>
        <w:spacing w:after="0" w:line="276" w:lineRule="auto"/>
        <w:ind w:left="1080"/>
        <w:jc w:val="both"/>
        <w:rPr>
          <w:rFonts w:ascii="Calibri" w:hAnsi="Calibri" w:cs="Calibri"/>
          <w:sz w:val="20"/>
          <w:szCs w:val="20"/>
        </w:rPr>
      </w:pPr>
    </w:p>
    <w:p w14:paraId="04C31B8A" w14:textId="3979BB7B" w:rsidR="00550107" w:rsidRPr="00926B3C" w:rsidRDefault="000014C3" w:rsidP="00926B3C">
      <w:pPr>
        <w:pStyle w:val="ListParagraph"/>
        <w:numPr>
          <w:ilvl w:val="0"/>
          <w:numId w:val="4"/>
        </w:numPr>
        <w:spacing w:after="0" w:line="276" w:lineRule="auto"/>
        <w:jc w:val="both"/>
        <w:rPr>
          <w:rFonts w:ascii="Calibri" w:hAnsi="Calibri" w:cs="Calibri"/>
          <w:sz w:val="20"/>
          <w:szCs w:val="20"/>
        </w:rPr>
      </w:pPr>
      <w:r>
        <w:rPr>
          <w:rFonts w:ascii="Calibri" w:hAnsi="Calibri" w:cs="Calibri"/>
          <w:sz w:val="20"/>
          <w:szCs w:val="20"/>
        </w:rPr>
        <w:t>P</w:t>
      </w:r>
      <w:r w:rsidR="009F414A" w:rsidRPr="00546B76">
        <w:rPr>
          <w:rFonts w:ascii="Calibri" w:hAnsi="Calibri" w:cs="Calibri"/>
          <w:sz w:val="20"/>
          <w:szCs w:val="20"/>
        </w:rPr>
        <w:t xml:space="preserve">rovide training to health professionals </w:t>
      </w:r>
      <w:r w:rsidR="00546B76" w:rsidRPr="00546B76">
        <w:rPr>
          <w:rFonts w:ascii="Calibri" w:hAnsi="Calibri" w:cs="Calibri"/>
          <w:sz w:val="20"/>
          <w:szCs w:val="20"/>
        </w:rPr>
        <w:t>on the rights</w:t>
      </w:r>
      <w:r w:rsidR="007F23A2">
        <w:rPr>
          <w:rFonts w:ascii="Calibri" w:hAnsi="Calibri" w:cs="Calibri"/>
          <w:sz w:val="20"/>
          <w:szCs w:val="20"/>
        </w:rPr>
        <w:t xml:space="preserve"> and needs</w:t>
      </w:r>
      <w:r w:rsidR="00546B76" w:rsidRPr="00546B76">
        <w:rPr>
          <w:rFonts w:ascii="Calibri" w:hAnsi="Calibri" w:cs="Calibri"/>
          <w:sz w:val="20"/>
          <w:szCs w:val="20"/>
        </w:rPr>
        <w:t xml:space="preserve"> of people who use drugs and people living with HIV;</w:t>
      </w:r>
    </w:p>
    <w:p w14:paraId="58A70F61" w14:textId="77777777" w:rsidR="000014C3" w:rsidRPr="00935ABE" w:rsidRDefault="000014C3" w:rsidP="00935ABE">
      <w:pPr>
        <w:pStyle w:val="ListParagraph"/>
        <w:rPr>
          <w:rFonts w:ascii="Calibri" w:hAnsi="Calibri" w:cs="Calibri"/>
          <w:sz w:val="20"/>
          <w:szCs w:val="20"/>
        </w:rPr>
      </w:pPr>
    </w:p>
    <w:p w14:paraId="1C05D93A" w14:textId="7040CA0F" w:rsidR="00CC4EB5" w:rsidRDefault="000014C3" w:rsidP="00B84FA0">
      <w:pPr>
        <w:pStyle w:val="ListParagraph"/>
        <w:numPr>
          <w:ilvl w:val="0"/>
          <w:numId w:val="4"/>
        </w:numPr>
        <w:spacing w:after="0" w:line="276" w:lineRule="auto"/>
        <w:jc w:val="both"/>
        <w:rPr>
          <w:rFonts w:ascii="Calibri" w:hAnsi="Calibri" w:cs="Calibri"/>
          <w:sz w:val="20"/>
          <w:szCs w:val="20"/>
        </w:rPr>
      </w:pPr>
      <w:r>
        <w:rPr>
          <w:rFonts w:ascii="Calibri" w:hAnsi="Calibri" w:cs="Calibri"/>
          <w:sz w:val="20"/>
          <w:szCs w:val="20"/>
        </w:rPr>
        <w:t>A</w:t>
      </w:r>
      <w:r w:rsidR="00550107" w:rsidRPr="00550107">
        <w:rPr>
          <w:rFonts w:ascii="Calibri" w:hAnsi="Calibri" w:cs="Calibri"/>
          <w:sz w:val="20"/>
          <w:szCs w:val="20"/>
        </w:rPr>
        <w:t xml:space="preserve">dopt legislative and practical measures to ensure that people who use drugs and people who live with HIV are not discriminated in their access to – and enjoyment of - health services, social security, </w:t>
      </w:r>
      <w:r w:rsidR="00546B76">
        <w:rPr>
          <w:rFonts w:ascii="Calibri" w:hAnsi="Calibri" w:cs="Calibri"/>
          <w:sz w:val="20"/>
          <w:szCs w:val="20"/>
        </w:rPr>
        <w:t xml:space="preserve">and </w:t>
      </w:r>
      <w:r w:rsidR="00926B3C">
        <w:rPr>
          <w:rFonts w:ascii="Calibri" w:hAnsi="Calibri" w:cs="Calibri"/>
          <w:sz w:val="20"/>
          <w:szCs w:val="20"/>
        </w:rPr>
        <w:t>social housing;</w:t>
      </w:r>
    </w:p>
    <w:p w14:paraId="0D77033A" w14:textId="77777777" w:rsidR="00926B3C" w:rsidRDefault="00926B3C" w:rsidP="00926B3C">
      <w:pPr>
        <w:pStyle w:val="ListParagraph"/>
        <w:spacing w:after="0" w:line="276" w:lineRule="auto"/>
        <w:ind w:left="1080"/>
        <w:jc w:val="both"/>
        <w:rPr>
          <w:rFonts w:ascii="Calibri" w:hAnsi="Calibri" w:cs="Calibri"/>
          <w:sz w:val="20"/>
          <w:szCs w:val="20"/>
        </w:rPr>
      </w:pPr>
    </w:p>
    <w:p w14:paraId="2475F24C" w14:textId="682F564C" w:rsidR="00926B3C" w:rsidRPr="00926B3C" w:rsidRDefault="000E5763" w:rsidP="00B84FA0">
      <w:pPr>
        <w:pStyle w:val="ListParagraph"/>
        <w:numPr>
          <w:ilvl w:val="0"/>
          <w:numId w:val="4"/>
        </w:numPr>
        <w:spacing w:after="0" w:line="276" w:lineRule="auto"/>
        <w:jc w:val="both"/>
        <w:rPr>
          <w:rFonts w:ascii="Calibri" w:hAnsi="Calibri" w:cs="Calibri"/>
          <w:sz w:val="20"/>
          <w:szCs w:val="20"/>
        </w:rPr>
      </w:pPr>
      <w:r>
        <w:rPr>
          <w:sz w:val="20"/>
          <w:szCs w:val="20"/>
        </w:rPr>
        <w:t>Consider decriminalis</w:t>
      </w:r>
      <w:bookmarkStart w:id="0" w:name="_GoBack"/>
      <w:bookmarkEnd w:id="0"/>
      <w:r w:rsidR="00926B3C" w:rsidRPr="00926B3C">
        <w:rPr>
          <w:sz w:val="20"/>
          <w:szCs w:val="20"/>
        </w:rPr>
        <w:t>ing drug</w:t>
      </w:r>
      <w:r w:rsidR="008B7484">
        <w:rPr>
          <w:sz w:val="20"/>
          <w:szCs w:val="20"/>
        </w:rPr>
        <w:t xml:space="preserve"> use and drug</w:t>
      </w:r>
      <w:r w:rsidR="00926B3C" w:rsidRPr="00926B3C">
        <w:rPr>
          <w:sz w:val="20"/>
          <w:szCs w:val="20"/>
        </w:rPr>
        <w:t xml:space="preserve"> possession for personal consumption</w:t>
      </w:r>
      <w:r w:rsidR="00926B3C">
        <w:rPr>
          <w:sz w:val="20"/>
          <w:szCs w:val="20"/>
        </w:rPr>
        <w:t>.</w:t>
      </w:r>
    </w:p>
    <w:p w14:paraId="276B4982" w14:textId="77777777" w:rsidR="00CC4EB5" w:rsidRPr="00CC4EB5" w:rsidRDefault="00CC4EB5" w:rsidP="00B84FA0">
      <w:pPr>
        <w:pStyle w:val="ListParagraph"/>
        <w:spacing w:line="276" w:lineRule="auto"/>
        <w:rPr>
          <w:rFonts w:ascii="Calibri" w:hAnsi="Calibri" w:cs="Calibri"/>
          <w:sz w:val="20"/>
          <w:szCs w:val="20"/>
          <w:highlight w:val="cyan"/>
        </w:rPr>
      </w:pPr>
    </w:p>
    <w:p w14:paraId="3C3C04FB" w14:textId="3A2F3BFA" w:rsidR="002D4917" w:rsidRPr="00926B3C" w:rsidRDefault="002D4917" w:rsidP="00926B3C">
      <w:pPr>
        <w:spacing w:after="0" w:line="276" w:lineRule="auto"/>
        <w:jc w:val="both"/>
        <w:rPr>
          <w:rFonts w:ascii="Calibri" w:hAnsi="Calibri" w:cs="Calibri"/>
          <w:sz w:val="20"/>
          <w:szCs w:val="20"/>
        </w:rPr>
      </w:pPr>
    </w:p>
    <w:sectPr w:rsidR="002D4917" w:rsidRPr="00926B3C" w:rsidSect="00AB1475">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B7A59" w14:textId="77777777" w:rsidR="00A23E6B" w:rsidRDefault="00A23E6B" w:rsidP="00734E0F">
      <w:pPr>
        <w:spacing w:after="0" w:line="240" w:lineRule="auto"/>
      </w:pPr>
      <w:r>
        <w:separator/>
      </w:r>
    </w:p>
  </w:endnote>
  <w:endnote w:type="continuationSeparator" w:id="0">
    <w:p w14:paraId="0F6C7B4F" w14:textId="77777777" w:rsidR="00A23E6B" w:rsidRDefault="00A23E6B" w:rsidP="00734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838525"/>
      <w:docPartObj>
        <w:docPartGallery w:val="Page Numbers (Bottom of Page)"/>
        <w:docPartUnique/>
      </w:docPartObj>
    </w:sdtPr>
    <w:sdtEndPr>
      <w:rPr>
        <w:noProof/>
      </w:rPr>
    </w:sdtEndPr>
    <w:sdtContent>
      <w:p w14:paraId="43E3528C" w14:textId="79A81F61" w:rsidR="008634E8" w:rsidRDefault="008634E8">
        <w:pPr>
          <w:pStyle w:val="Footer"/>
          <w:jc w:val="center"/>
        </w:pPr>
        <w:r>
          <w:fldChar w:fldCharType="begin"/>
        </w:r>
        <w:r>
          <w:instrText xml:space="preserve"> PAGE   \* MERGEFORMAT </w:instrText>
        </w:r>
        <w:r>
          <w:fldChar w:fldCharType="separate"/>
        </w:r>
        <w:r w:rsidR="000E5763">
          <w:rPr>
            <w:noProof/>
          </w:rPr>
          <w:t>9</w:t>
        </w:r>
        <w:r>
          <w:rPr>
            <w:noProof/>
          </w:rPr>
          <w:fldChar w:fldCharType="end"/>
        </w:r>
      </w:p>
    </w:sdtContent>
  </w:sdt>
  <w:p w14:paraId="02E2AEBD" w14:textId="77777777" w:rsidR="007952EB" w:rsidRDefault="007952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E1F01" w14:textId="77777777" w:rsidR="00AB1475" w:rsidRPr="00AB1475" w:rsidRDefault="00AB1475" w:rsidP="00AB1475">
    <w:pPr>
      <w:pStyle w:val="Footer"/>
      <w:jc w:val="center"/>
      <w:rPr>
        <w:color w:val="808080" w:themeColor="background1" w:themeShade="80"/>
      </w:rPr>
    </w:pPr>
    <w:r w:rsidRPr="00AB1475">
      <w:rPr>
        <w:color w:val="808080" w:themeColor="background1" w:themeShade="80"/>
      </w:rPr>
      <w:t>Harm Reduction International – 61 Mansell Street, E1 8AN, Aldgate, London (United Kingdom)</w:t>
    </w:r>
  </w:p>
  <w:p w14:paraId="720830EB" w14:textId="77777777" w:rsidR="00AB1475" w:rsidRPr="00AB1475" w:rsidRDefault="00AB1475" w:rsidP="00AB1475">
    <w:pPr>
      <w:pStyle w:val="Footer"/>
      <w:jc w:val="center"/>
      <w:rPr>
        <w:color w:val="808080" w:themeColor="background1" w:themeShade="80"/>
      </w:rPr>
    </w:pPr>
    <w:r w:rsidRPr="00AB1475">
      <w:rPr>
        <w:color w:val="808080" w:themeColor="background1" w:themeShade="80"/>
      </w:rPr>
      <w:t xml:space="preserve">Contact details: </w:t>
    </w:r>
    <w:hyperlink r:id="rId1" w:history="1">
      <w:r w:rsidRPr="00AB1475">
        <w:rPr>
          <w:rStyle w:val="Hyperlink"/>
          <w:color w:val="808080" w:themeColor="background1" w:themeShade="80"/>
        </w:rPr>
        <w:t>giada.girelli@hri.global</w:t>
      </w:r>
    </w:hyperlink>
  </w:p>
  <w:p w14:paraId="3F49931E" w14:textId="77777777" w:rsidR="00AB1475" w:rsidRDefault="00AB14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90BA0" w14:textId="77777777" w:rsidR="00A23E6B" w:rsidRDefault="00A23E6B" w:rsidP="00734E0F">
      <w:pPr>
        <w:spacing w:after="0" w:line="240" w:lineRule="auto"/>
      </w:pPr>
      <w:r>
        <w:separator/>
      </w:r>
    </w:p>
  </w:footnote>
  <w:footnote w:type="continuationSeparator" w:id="0">
    <w:p w14:paraId="04E6D8E2" w14:textId="77777777" w:rsidR="00A23E6B" w:rsidRDefault="00A23E6B" w:rsidP="00734E0F">
      <w:pPr>
        <w:spacing w:after="0" w:line="240" w:lineRule="auto"/>
      </w:pPr>
      <w:r>
        <w:continuationSeparator/>
      </w:r>
    </w:p>
  </w:footnote>
  <w:footnote w:id="1">
    <w:p w14:paraId="04A361C5" w14:textId="58BAFA65" w:rsidR="00551732" w:rsidRPr="000E5763" w:rsidRDefault="00551732" w:rsidP="00EC558C">
      <w:pPr>
        <w:pStyle w:val="EndnoteText"/>
        <w:contextualSpacing/>
        <w:jc w:val="both"/>
        <w:rPr>
          <w:rFonts w:ascii="Calibri" w:hAnsi="Calibri" w:cs="Calibri"/>
          <w:color w:val="000000" w:themeColor="text1"/>
          <w:sz w:val="16"/>
          <w:szCs w:val="16"/>
        </w:rPr>
      </w:pPr>
      <w:r w:rsidRPr="000E5763">
        <w:rPr>
          <w:rStyle w:val="FootnoteReference"/>
          <w:rFonts w:ascii="Calibri" w:hAnsi="Calibri" w:cs="Calibri"/>
          <w:sz w:val="16"/>
          <w:szCs w:val="16"/>
        </w:rPr>
        <w:footnoteRef/>
      </w:r>
      <w:r w:rsidRPr="000E5763">
        <w:rPr>
          <w:rFonts w:ascii="Calibri" w:hAnsi="Calibri" w:cs="Calibri"/>
          <w:color w:val="000000" w:themeColor="text1"/>
          <w:sz w:val="16"/>
          <w:szCs w:val="16"/>
        </w:rPr>
        <w:t xml:space="preserve"> Among others, see: </w:t>
      </w:r>
      <w:r w:rsidRPr="000E5763">
        <w:rPr>
          <w:rFonts w:ascii="Calibri" w:hAnsi="Calibri" w:cs="Calibri"/>
          <w:sz w:val="16"/>
          <w:szCs w:val="16"/>
        </w:rPr>
        <w:t>Paul Hunt, ‘Human rights, health, and harm reduction’, 8;</w:t>
      </w:r>
      <w:r w:rsidRPr="000E5763">
        <w:rPr>
          <w:rFonts w:ascii="Calibri" w:hAnsi="Calibri" w:cs="Calibri"/>
          <w:color w:val="000000" w:themeColor="text1"/>
          <w:sz w:val="16"/>
          <w:szCs w:val="16"/>
        </w:rPr>
        <w:t xml:space="preserve"> Report of the Special Rapporteur on the right of everyone to the enjoyment of the highest attainable standard of physical and mental health, Anand </w:t>
      </w:r>
      <w:proofErr w:type="gramStart"/>
      <w:r w:rsidRPr="000E5763">
        <w:rPr>
          <w:rFonts w:ascii="Calibri" w:hAnsi="Calibri" w:cs="Calibri"/>
          <w:color w:val="000000" w:themeColor="text1"/>
          <w:sz w:val="16"/>
          <w:szCs w:val="16"/>
        </w:rPr>
        <w:t>Grover(</w:t>
      </w:r>
      <w:proofErr w:type="gramEnd"/>
      <w:r w:rsidRPr="000E5763">
        <w:rPr>
          <w:rFonts w:ascii="Calibri" w:hAnsi="Calibri" w:cs="Calibri"/>
          <w:color w:val="000000" w:themeColor="text1"/>
          <w:sz w:val="16"/>
          <w:szCs w:val="16"/>
        </w:rPr>
        <w:t>2010) A/65/255, para. 55; CESCR, Concluding Observations on the combined initial and second periodic reports of Thailand, UN Doc. E//C.12/THA/CO/1-2; CEDAW, Concluding Observations on the combined fourth and fifth periodic reports of Georgia (2014), UN Doc. CEDAW/C/GEO/CO/4-5, para. 31(e); Report of the Special Rapporteur on the right of everyone to the enjoyment of the highest attainable standard of physical and mental health, Anand Grover, Mission to Poland (2010) A/HRC/14/20/Add.3, para. 86; CESCR, 2016, Concluding Observations on the sixth periodic report of Sweden. UN Doc. E/C.12/SWE/CO/6.</w:t>
      </w:r>
    </w:p>
    <w:p w14:paraId="0AEA7AEB" w14:textId="66C16966" w:rsidR="00551732" w:rsidRPr="000E5763" w:rsidRDefault="00D51A8A" w:rsidP="00EC558C">
      <w:pPr>
        <w:pStyle w:val="EndnoteText"/>
        <w:contextualSpacing/>
        <w:jc w:val="both"/>
        <w:rPr>
          <w:rFonts w:ascii="Calibri" w:hAnsi="Calibri" w:cs="Calibri"/>
          <w:color w:val="000000" w:themeColor="text1"/>
          <w:sz w:val="16"/>
          <w:szCs w:val="16"/>
        </w:rPr>
      </w:pPr>
      <w:r w:rsidRPr="000E5763">
        <w:rPr>
          <w:rFonts w:ascii="Calibri" w:hAnsi="Calibri" w:cs="Calibri"/>
          <w:color w:val="000000" w:themeColor="text1"/>
          <w:sz w:val="16"/>
          <w:szCs w:val="16"/>
        </w:rPr>
        <w:t xml:space="preserve">For more </w:t>
      </w:r>
      <w:r w:rsidR="005164AA" w:rsidRPr="000E5763">
        <w:rPr>
          <w:rFonts w:ascii="Calibri" w:hAnsi="Calibri" w:cs="Calibri"/>
          <w:color w:val="000000" w:themeColor="text1"/>
          <w:sz w:val="16"/>
          <w:szCs w:val="16"/>
        </w:rPr>
        <w:t>information,</w:t>
      </w:r>
      <w:r w:rsidRPr="000E5763">
        <w:rPr>
          <w:rFonts w:ascii="Calibri" w:hAnsi="Calibri" w:cs="Calibri"/>
          <w:color w:val="000000" w:themeColor="text1"/>
          <w:sz w:val="16"/>
          <w:szCs w:val="16"/>
        </w:rPr>
        <w:t xml:space="preserve"> see: International Centre on Human Rights and Drug Policy/UNDP, International Guidelines on Human Rights and Drug Policy (Draft), Forthcoming, 32</w:t>
      </w:r>
    </w:p>
  </w:footnote>
  <w:footnote w:id="2">
    <w:p w14:paraId="607A2D43" w14:textId="413EDFCD" w:rsidR="00E60E5F" w:rsidRPr="000E5763" w:rsidRDefault="00E60E5F" w:rsidP="00EC558C">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007F1DA7" w:rsidRPr="000E5763">
        <w:rPr>
          <w:rFonts w:ascii="Calibri" w:hAnsi="Calibri" w:cs="Calibri"/>
          <w:sz w:val="16"/>
          <w:szCs w:val="16"/>
        </w:rPr>
        <w:t xml:space="preserve"> </w:t>
      </w:r>
      <w:r w:rsidRPr="000E5763">
        <w:rPr>
          <w:rFonts w:ascii="Calibri" w:hAnsi="Calibri" w:cs="Calibri"/>
          <w:sz w:val="16"/>
          <w:szCs w:val="16"/>
        </w:rPr>
        <w:t xml:space="preserve">In E/C.12/RUS/CO/5, E/C.12/LTU/CO/2, E/C.12/EST/CO/2 and E/C.12/UKR/CO/5. </w:t>
      </w:r>
    </w:p>
  </w:footnote>
  <w:footnote w:id="3">
    <w:p w14:paraId="4A273D67" w14:textId="36A64834" w:rsidR="00551732" w:rsidRPr="000E5763" w:rsidRDefault="00551732" w:rsidP="00EC558C">
      <w:pPr>
        <w:pStyle w:val="FootnoteText"/>
        <w:spacing w:before="0" w:beforeAutospacing="0" w:after="0" w:afterAutospacing="0"/>
        <w:contextualSpacing/>
        <w:rPr>
          <w:rFonts w:ascii="Calibri" w:eastAsiaTheme="minorHAnsi" w:hAnsi="Calibri" w:cs="Calibri"/>
          <w:sz w:val="16"/>
          <w:szCs w:val="16"/>
          <w:lang w:eastAsia="en-US"/>
        </w:rPr>
      </w:pPr>
      <w:r w:rsidRPr="000E5763">
        <w:rPr>
          <w:rStyle w:val="FootnoteReference"/>
          <w:rFonts w:ascii="Calibri" w:hAnsi="Calibri" w:cs="Calibri"/>
          <w:sz w:val="16"/>
          <w:szCs w:val="16"/>
        </w:rPr>
        <w:footnoteRef/>
      </w:r>
      <w:r w:rsidR="007F1DA7" w:rsidRPr="000E5763">
        <w:rPr>
          <w:rFonts w:ascii="Calibri" w:hAnsi="Calibri" w:cs="Calibri"/>
          <w:sz w:val="16"/>
          <w:szCs w:val="16"/>
        </w:rPr>
        <w:t xml:space="preserve"> </w:t>
      </w:r>
      <w:r w:rsidRPr="000E5763">
        <w:rPr>
          <w:rFonts w:ascii="Calibri" w:hAnsi="Calibri" w:cs="Calibri"/>
          <w:sz w:val="16"/>
          <w:szCs w:val="16"/>
        </w:rPr>
        <w:t>In its resolution 65/277.</w:t>
      </w:r>
    </w:p>
  </w:footnote>
  <w:footnote w:id="4">
    <w:p w14:paraId="5E6B7EFE" w14:textId="483BB4AA" w:rsidR="00551732" w:rsidRPr="000E5763" w:rsidRDefault="00551732" w:rsidP="00EC558C">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007F1DA7" w:rsidRPr="000E5763">
        <w:rPr>
          <w:rFonts w:ascii="Calibri" w:hAnsi="Calibri" w:cs="Calibri"/>
          <w:sz w:val="16"/>
          <w:szCs w:val="16"/>
        </w:rPr>
        <w:t xml:space="preserve"> </w:t>
      </w:r>
      <w:r w:rsidRPr="000E5763">
        <w:rPr>
          <w:rFonts w:ascii="Calibri" w:hAnsi="Calibri" w:cs="Calibri"/>
          <w:sz w:val="16"/>
          <w:szCs w:val="16"/>
        </w:rPr>
        <w:t>In its resolution 12/27.</w:t>
      </w:r>
    </w:p>
  </w:footnote>
  <w:footnote w:id="5">
    <w:p w14:paraId="5CF3C9A9" w14:textId="18B14793" w:rsidR="00551732" w:rsidRPr="000E5763" w:rsidRDefault="00551732" w:rsidP="00EC558C">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007F1DA7" w:rsidRPr="000E5763">
        <w:rPr>
          <w:rFonts w:ascii="Calibri" w:hAnsi="Calibri" w:cs="Calibri"/>
          <w:sz w:val="16"/>
          <w:szCs w:val="16"/>
        </w:rPr>
        <w:t xml:space="preserve"> </w:t>
      </w:r>
      <w:r w:rsidRPr="000E5763">
        <w:rPr>
          <w:rFonts w:ascii="Calibri" w:hAnsi="Calibri" w:cs="Calibri"/>
          <w:sz w:val="16"/>
          <w:szCs w:val="16"/>
        </w:rPr>
        <w:t>See the Committee’s general comment No. 15 (2013) on the right of the child to the enjoyment of the highest attainable standard of health.</w:t>
      </w:r>
    </w:p>
  </w:footnote>
  <w:footnote w:id="6">
    <w:p w14:paraId="0F8C4E1C" w14:textId="413AE33F" w:rsidR="00551732" w:rsidRPr="000E5763" w:rsidRDefault="00551732" w:rsidP="00EC558C">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007F1DA7" w:rsidRPr="000E5763">
        <w:rPr>
          <w:rFonts w:ascii="Calibri" w:hAnsi="Calibri" w:cs="Calibri"/>
          <w:sz w:val="16"/>
          <w:szCs w:val="16"/>
        </w:rPr>
        <w:t xml:space="preserve"> </w:t>
      </w:r>
      <w:r w:rsidRPr="000E5763">
        <w:rPr>
          <w:rFonts w:ascii="Calibri" w:hAnsi="Calibri" w:cs="Calibri"/>
          <w:sz w:val="16"/>
          <w:szCs w:val="16"/>
        </w:rPr>
        <w:t>In CEDAW/C/GEO/CO/4-5 and CEDAW/C/CAN/CO/8-9.</w:t>
      </w:r>
    </w:p>
  </w:footnote>
  <w:footnote w:id="7">
    <w:p w14:paraId="149D495D" w14:textId="0578CA53" w:rsidR="00551732" w:rsidRPr="000E5763" w:rsidRDefault="00551732" w:rsidP="00EC558C">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007F1DA7" w:rsidRPr="000E5763">
        <w:rPr>
          <w:rFonts w:ascii="Calibri" w:hAnsi="Calibri" w:cs="Calibri"/>
          <w:sz w:val="16"/>
          <w:szCs w:val="16"/>
        </w:rPr>
        <w:t xml:space="preserve"> </w:t>
      </w:r>
      <w:r w:rsidRPr="000E5763">
        <w:rPr>
          <w:rFonts w:ascii="Calibri" w:hAnsi="Calibri" w:cs="Calibri"/>
          <w:sz w:val="16"/>
          <w:szCs w:val="16"/>
        </w:rPr>
        <w:t>In A/65/255.</w:t>
      </w:r>
    </w:p>
  </w:footnote>
  <w:footnote w:id="8">
    <w:p w14:paraId="7114294F" w14:textId="66B78558" w:rsidR="00551732" w:rsidRPr="000E5763" w:rsidRDefault="00551732" w:rsidP="00EC558C">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007F1DA7" w:rsidRPr="000E5763">
        <w:rPr>
          <w:rFonts w:ascii="Calibri" w:hAnsi="Calibri" w:cs="Calibri"/>
          <w:sz w:val="16"/>
          <w:szCs w:val="16"/>
        </w:rPr>
        <w:t xml:space="preserve"> </w:t>
      </w:r>
      <w:r w:rsidRPr="000E5763">
        <w:rPr>
          <w:rFonts w:ascii="Calibri" w:hAnsi="Calibri" w:cs="Calibri"/>
          <w:sz w:val="16"/>
          <w:szCs w:val="16"/>
        </w:rPr>
        <w:t>In A/HRC/22/53.</w:t>
      </w:r>
    </w:p>
  </w:footnote>
  <w:footnote w:id="9">
    <w:p w14:paraId="2D81A234" w14:textId="77777777" w:rsidR="00C97D9B" w:rsidRPr="000E5763" w:rsidRDefault="00C97D9B" w:rsidP="00EC558C">
      <w:pPr>
        <w:pStyle w:val="EndnoteText"/>
        <w:contextualSpacing/>
        <w:jc w:val="both"/>
        <w:rPr>
          <w:rFonts w:ascii="Calibri" w:hAnsi="Calibri" w:cs="Calibri"/>
          <w:color w:val="000000" w:themeColor="text1"/>
          <w:sz w:val="16"/>
          <w:szCs w:val="16"/>
        </w:rPr>
      </w:pPr>
      <w:r w:rsidRPr="000E5763">
        <w:rPr>
          <w:rStyle w:val="FootnoteReference"/>
          <w:rFonts w:ascii="Calibri" w:hAnsi="Calibri" w:cs="Calibri"/>
          <w:color w:val="000000" w:themeColor="text1"/>
          <w:sz w:val="16"/>
          <w:szCs w:val="16"/>
        </w:rPr>
        <w:footnoteRef/>
      </w:r>
      <w:r w:rsidRPr="000E5763">
        <w:rPr>
          <w:rFonts w:ascii="Calibri" w:hAnsi="Calibri" w:cs="Calibri"/>
          <w:color w:val="000000" w:themeColor="text1"/>
          <w:sz w:val="16"/>
          <w:szCs w:val="16"/>
        </w:rPr>
        <w:t>WHO, UNODC and UNAIDS, WHO, UNODC, UNAIDS Technical Guide for Countries to Set Targets for Universal Access to HIV Prevention, Treatment and Care for Injecting Drug Users: 2012 Revision (Geneva, WHO, 2012).</w:t>
      </w:r>
    </w:p>
  </w:footnote>
  <w:footnote w:id="10">
    <w:p w14:paraId="61386AF2" w14:textId="77777777" w:rsidR="00C97D9B" w:rsidRPr="000E5763" w:rsidRDefault="00C97D9B" w:rsidP="00EC558C">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w:t>
      </w:r>
      <w:r w:rsidRPr="000E5763">
        <w:rPr>
          <w:rFonts w:ascii="Calibri" w:hAnsi="Calibri" w:cs="Calibri"/>
          <w:color w:val="000000" w:themeColor="text1"/>
          <w:sz w:val="16"/>
          <w:szCs w:val="16"/>
        </w:rPr>
        <w:t>Political Declaration on HIV/AIDS: Intensifying our Efforts to Eliminate HIV/AIDS (General Assembly resolution 65/277, annex).</w:t>
      </w:r>
    </w:p>
  </w:footnote>
  <w:footnote w:id="11">
    <w:p w14:paraId="4C6BBFBF" w14:textId="77777777" w:rsidR="00C97D9B" w:rsidRPr="000E5763" w:rsidRDefault="00C97D9B" w:rsidP="00EC558C">
      <w:pPr>
        <w:pStyle w:val="EndnoteText"/>
        <w:contextualSpacing/>
        <w:jc w:val="both"/>
        <w:rPr>
          <w:rFonts w:ascii="Calibri" w:hAnsi="Calibri" w:cs="Calibri"/>
          <w:color w:val="000000" w:themeColor="text1"/>
          <w:sz w:val="16"/>
          <w:szCs w:val="16"/>
        </w:rPr>
      </w:pPr>
      <w:r w:rsidRPr="000E5763">
        <w:rPr>
          <w:rStyle w:val="FootnoteReference"/>
          <w:rFonts w:ascii="Calibri" w:hAnsi="Calibri" w:cs="Calibri"/>
          <w:color w:val="000000" w:themeColor="text1"/>
          <w:sz w:val="16"/>
          <w:szCs w:val="16"/>
        </w:rPr>
        <w:footnoteRef/>
      </w:r>
      <w:r w:rsidRPr="000E5763">
        <w:rPr>
          <w:rFonts w:ascii="Calibri" w:hAnsi="Calibri" w:cs="Calibri"/>
          <w:color w:val="000000" w:themeColor="text1"/>
          <w:sz w:val="16"/>
          <w:szCs w:val="16"/>
        </w:rPr>
        <w:t xml:space="preserve"> Economic and Social Council resolution 2009/6.</w:t>
      </w:r>
    </w:p>
  </w:footnote>
  <w:footnote w:id="12">
    <w:p w14:paraId="5CA7E990" w14:textId="77777777" w:rsidR="00C97D9B" w:rsidRPr="000E5763" w:rsidRDefault="00C97D9B" w:rsidP="00EC558C">
      <w:pPr>
        <w:pStyle w:val="EndnoteText"/>
        <w:contextualSpacing/>
        <w:jc w:val="both"/>
        <w:rPr>
          <w:rFonts w:ascii="Calibri" w:hAnsi="Calibri" w:cs="Calibri"/>
          <w:color w:val="000000" w:themeColor="text1"/>
          <w:sz w:val="16"/>
          <w:szCs w:val="16"/>
        </w:rPr>
      </w:pPr>
      <w:r w:rsidRPr="000E5763">
        <w:rPr>
          <w:rStyle w:val="FootnoteReference"/>
          <w:rFonts w:ascii="Calibri" w:hAnsi="Calibri" w:cs="Calibri"/>
          <w:color w:val="000000" w:themeColor="text1"/>
          <w:sz w:val="16"/>
          <w:szCs w:val="16"/>
        </w:rPr>
        <w:footnoteRef/>
      </w:r>
      <w:r w:rsidRPr="000E5763">
        <w:rPr>
          <w:rFonts w:ascii="Calibri" w:hAnsi="Calibri" w:cs="Calibri"/>
          <w:color w:val="000000" w:themeColor="text1"/>
          <w:sz w:val="16"/>
          <w:szCs w:val="16"/>
        </w:rPr>
        <w:t xml:space="preserve"> CND Resolution 60/8; Promoting measures to prevent HIV and other blood-borne diseases associated with the use of drugs, and increasing financing for the global HIV/AIDS response and for drug use prevention and other drug demand reduction measures (2017)</w:t>
      </w:r>
    </w:p>
  </w:footnote>
  <w:footnote w:id="13">
    <w:p w14:paraId="3CF03E8E" w14:textId="249681A0" w:rsidR="00310D77" w:rsidRPr="000E5763" w:rsidRDefault="00310D77" w:rsidP="00EC558C">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w:t>
      </w:r>
      <w:r w:rsidR="007F1DA7" w:rsidRPr="000E5763">
        <w:rPr>
          <w:rFonts w:ascii="Calibri" w:hAnsi="Calibri" w:cs="Calibri"/>
          <w:sz w:val="16"/>
          <w:szCs w:val="16"/>
        </w:rPr>
        <w:t>Stone K, Shirley-Beavan S</w:t>
      </w:r>
      <w:r w:rsidRPr="000E5763">
        <w:rPr>
          <w:rFonts w:ascii="Calibri" w:hAnsi="Calibri" w:cs="Calibri"/>
          <w:sz w:val="16"/>
          <w:szCs w:val="16"/>
        </w:rPr>
        <w:t xml:space="preserve"> </w:t>
      </w:r>
      <w:r w:rsidR="007F1DA7" w:rsidRPr="000E5763">
        <w:rPr>
          <w:rFonts w:ascii="Calibri" w:hAnsi="Calibri" w:cs="Calibri"/>
          <w:sz w:val="16"/>
          <w:szCs w:val="16"/>
        </w:rPr>
        <w:t xml:space="preserve">(2018) Global State of Harm Reduction 2018. Harm Reduction </w:t>
      </w:r>
      <w:proofErr w:type="spellStart"/>
      <w:proofErr w:type="gramStart"/>
      <w:r w:rsidR="007F1DA7" w:rsidRPr="000E5763">
        <w:rPr>
          <w:rFonts w:ascii="Calibri" w:hAnsi="Calibri" w:cs="Calibri"/>
          <w:sz w:val="16"/>
          <w:szCs w:val="16"/>
        </w:rPr>
        <w:t>International:London</w:t>
      </w:r>
      <w:proofErr w:type="spellEnd"/>
      <w:proofErr w:type="gramEnd"/>
      <w:r w:rsidR="007F1DA7" w:rsidRPr="000E5763">
        <w:rPr>
          <w:rFonts w:ascii="Calibri" w:hAnsi="Calibri" w:cs="Calibri"/>
          <w:sz w:val="16"/>
          <w:szCs w:val="16"/>
        </w:rPr>
        <w:t xml:space="preserve">, </w:t>
      </w:r>
      <w:r w:rsidRPr="000E5763">
        <w:rPr>
          <w:rFonts w:ascii="Calibri" w:hAnsi="Calibri" w:cs="Calibri"/>
          <w:sz w:val="16"/>
          <w:szCs w:val="16"/>
        </w:rPr>
        <w:t xml:space="preserve"> 21</w:t>
      </w:r>
    </w:p>
  </w:footnote>
  <w:footnote w:id="14">
    <w:p w14:paraId="0BA7CFF7" w14:textId="4F1F63A3" w:rsidR="00310D77" w:rsidRPr="000E5763" w:rsidRDefault="00310D77" w:rsidP="00EC558C">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https://harmreduction.org/issues/overdose-prevention/</w:t>
      </w:r>
    </w:p>
  </w:footnote>
  <w:footnote w:id="15">
    <w:p w14:paraId="54E9733C" w14:textId="122B1B13" w:rsidR="00A154A4" w:rsidRPr="000E5763" w:rsidRDefault="00A154A4" w:rsidP="00EC558C">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https://www.drugabuse.gov/related-topics/opioid-overdose-reversal-naloxone-narcan-evzio</w:t>
      </w:r>
    </w:p>
  </w:footnote>
  <w:footnote w:id="16">
    <w:p w14:paraId="30B817B9" w14:textId="54958E66" w:rsidR="00E60E5F" w:rsidRPr="000E5763" w:rsidRDefault="00E60E5F" w:rsidP="00EC558C">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w:t>
      </w:r>
      <w:r w:rsidR="00D51A8A" w:rsidRPr="000E5763">
        <w:rPr>
          <w:rFonts w:ascii="Calibri" w:hAnsi="Calibri" w:cs="Calibri"/>
          <w:sz w:val="16"/>
          <w:szCs w:val="16"/>
        </w:rPr>
        <w:t xml:space="preserve">Eurasian Harm Reduction Network (2015) The Impact of the Global Fund’s Withdrawal </w:t>
      </w:r>
      <w:proofErr w:type="spellStart"/>
      <w:r w:rsidR="00D51A8A" w:rsidRPr="000E5763">
        <w:rPr>
          <w:rFonts w:ascii="Calibri" w:hAnsi="Calibri" w:cs="Calibri"/>
          <w:sz w:val="16"/>
          <w:szCs w:val="16"/>
        </w:rPr>
        <w:t>onf</w:t>
      </w:r>
      <w:proofErr w:type="spellEnd"/>
      <w:r w:rsidR="00D51A8A" w:rsidRPr="000E5763">
        <w:rPr>
          <w:rFonts w:ascii="Calibri" w:hAnsi="Calibri" w:cs="Calibri"/>
          <w:sz w:val="16"/>
          <w:szCs w:val="16"/>
        </w:rPr>
        <w:t xml:space="preserve"> Harm Reduction Programs: A Case from Bulgaria. Available at: </w:t>
      </w:r>
      <w:hyperlink r:id="rId1" w:history="1">
        <w:r w:rsidR="00D51A8A" w:rsidRPr="000E5763">
          <w:rPr>
            <w:rStyle w:val="Hyperlink"/>
            <w:rFonts w:ascii="Calibri" w:hAnsi="Calibri" w:cs="Calibri"/>
            <w:sz w:val="16"/>
            <w:szCs w:val="16"/>
          </w:rPr>
          <w:t>http://www.globalfundadvocatesnetwork.org/wp-content/uploads/2015/10/EHRN-Bulgaria-global-fund-case-study-ENG.pdf</w:t>
        </w:r>
      </w:hyperlink>
      <w:r w:rsidRPr="000E5763">
        <w:rPr>
          <w:rFonts w:ascii="Calibri" w:hAnsi="Calibri" w:cs="Calibri"/>
          <w:sz w:val="16"/>
          <w:szCs w:val="16"/>
        </w:rPr>
        <w:t>, 4</w:t>
      </w:r>
    </w:p>
  </w:footnote>
  <w:footnote w:id="17">
    <w:p w14:paraId="00EAE1A4" w14:textId="1FEB2870" w:rsidR="00D51A8A" w:rsidRPr="000E5763" w:rsidRDefault="00D51A8A" w:rsidP="00EC558C">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Eurasian Harm Reduction Network (2015) The Impact of the Global Fund’s Withdrawal </w:t>
      </w:r>
      <w:proofErr w:type="spellStart"/>
      <w:r w:rsidRPr="000E5763">
        <w:rPr>
          <w:rFonts w:ascii="Calibri" w:hAnsi="Calibri" w:cs="Calibri"/>
          <w:sz w:val="16"/>
          <w:szCs w:val="16"/>
        </w:rPr>
        <w:t>onf</w:t>
      </w:r>
      <w:proofErr w:type="spellEnd"/>
      <w:r w:rsidRPr="000E5763">
        <w:rPr>
          <w:rFonts w:ascii="Calibri" w:hAnsi="Calibri" w:cs="Calibri"/>
          <w:sz w:val="16"/>
          <w:szCs w:val="16"/>
        </w:rPr>
        <w:t xml:space="preserve"> Harm Reduction Programs: A Case from Bulgaria., 4</w:t>
      </w:r>
    </w:p>
  </w:footnote>
  <w:footnote w:id="18">
    <w:p w14:paraId="2172E8F4" w14:textId="77777777" w:rsidR="00903658" w:rsidRPr="000E5763" w:rsidRDefault="00903658" w:rsidP="00EC558C">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w:t>
      </w:r>
      <w:proofErr w:type="spellStart"/>
      <w:r w:rsidRPr="000E5763">
        <w:rPr>
          <w:rFonts w:ascii="Calibri" w:hAnsi="Calibri" w:cs="Calibri"/>
          <w:sz w:val="16"/>
          <w:szCs w:val="16"/>
        </w:rPr>
        <w:t>Benedikt</w:t>
      </w:r>
      <w:proofErr w:type="spellEnd"/>
      <w:r w:rsidRPr="000E5763">
        <w:rPr>
          <w:rFonts w:ascii="Calibri" w:hAnsi="Calibri" w:cs="Calibri"/>
          <w:sz w:val="16"/>
          <w:szCs w:val="16"/>
        </w:rPr>
        <w:t xml:space="preserve"> C, Kelly SL, Wilson D, Wilson DP, Optima Consortium (2016) ‘Allocative and implementation efficiency in HIV prevention and treatment for people who inject drugs.’ </w:t>
      </w:r>
      <w:proofErr w:type="spellStart"/>
      <w:r w:rsidRPr="000E5763">
        <w:rPr>
          <w:rFonts w:ascii="Calibri" w:hAnsi="Calibri" w:cs="Calibri"/>
          <w:sz w:val="16"/>
          <w:szCs w:val="16"/>
        </w:rPr>
        <w:t>Int</w:t>
      </w:r>
      <w:proofErr w:type="spellEnd"/>
      <w:r w:rsidRPr="000E5763">
        <w:rPr>
          <w:rFonts w:ascii="Calibri" w:hAnsi="Calibri" w:cs="Calibri"/>
          <w:sz w:val="16"/>
          <w:szCs w:val="16"/>
        </w:rPr>
        <w:t xml:space="preserve"> J Drug Policy 38:73-80</w:t>
      </w:r>
    </w:p>
  </w:footnote>
  <w:footnote w:id="19">
    <w:p w14:paraId="505F9CD3" w14:textId="0239FF9F" w:rsidR="00903658" w:rsidRPr="000E5763" w:rsidRDefault="00903658" w:rsidP="00EC558C">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007F1DA7" w:rsidRPr="000E5763">
        <w:rPr>
          <w:rFonts w:ascii="Calibri" w:hAnsi="Calibri" w:cs="Calibri"/>
          <w:sz w:val="16"/>
          <w:szCs w:val="16"/>
        </w:rPr>
        <w:t xml:space="preserve"> Stone K, Shirley-Beavan S (2018) Global State of Harm Reduction 2018. Harm Reduction International:</w:t>
      </w:r>
      <w:r w:rsidR="00D51A8A" w:rsidRPr="000E5763">
        <w:rPr>
          <w:rFonts w:ascii="Calibri" w:hAnsi="Calibri" w:cs="Calibri"/>
          <w:sz w:val="16"/>
          <w:szCs w:val="16"/>
        </w:rPr>
        <w:t xml:space="preserve"> </w:t>
      </w:r>
      <w:proofErr w:type="gramStart"/>
      <w:r w:rsidR="007F1DA7" w:rsidRPr="000E5763">
        <w:rPr>
          <w:rFonts w:ascii="Calibri" w:hAnsi="Calibri" w:cs="Calibri"/>
          <w:sz w:val="16"/>
          <w:szCs w:val="16"/>
        </w:rPr>
        <w:t xml:space="preserve">London, </w:t>
      </w:r>
      <w:r w:rsidRPr="000E5763">
        <w:rPr>
          <w:rFonts w:ascii="Calibri" w:hAnsi="Calibri" w:cs="Calibri"/>
          <w:sz w:val="16"/>
          <w:szCs w:val="16"/>
        </w:rPr>
        <w:t xml:space="preserve"> 58</w:t>
      </w:r>
      <w:proofErr w:type="gramEnd"/>
    </w:p>
  </w:footnote>
  <w:footnote w:id="20">
    <w:p w14:paraId="7F102FBA" w14:textId="47A890CB" w:rsidR="00903658" w:rsidRPr="000E5763" w:rsidRDefault="00903658" w:rsidP="00EC558C">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w:t>
      </w:r>
      <w:r w:rsidR="00D51A8A" w:rsidRPr="000E5763">
        <w:rPr>
          <w:rFonts w:ascii="Calibri" w:hAnsi="Calibri" w:cs="Calibri"/>
          <w:sz w:val="16"/>
          <w:szCs w:val="16"/>
        </w:rPr>
        <w:t xml:space="preserve">Eurasian Harm Reduction Network (2015) The Impact of the Global Fund’s Withdrawal </w:t>
      </w:r>
      <w:proofErr w:type="spellStart"/>
      <w:r w:rsidR="00D51A8A" w:rsidRPr="000E5763">
        <w:rPr>
          <w:rFonts w:ascii="Calibri" w:hAnsi="Calibri" w:cs="Calibri"/>
          <w:sz w:val="16"/>
          <w:szCs w:val="16"/>
        </w:rPr>
        <w:t>onf</w:t>
      </w:r>
      <w:proofErr w:type="spellEnd"/>
      <w:r w:rsidR="00D51A8A" w:rsidRPr="000E5763">
        <w:rPr>
          <w:rFonts w:ascii="Calibri" w:hAnsi="Calibri" w:cs="Calibri"/>
          <w:sz w:val="16"/>
          <w:szCs w:val="16"/>
        </w:rPr>
        <w:t xml:space="preserve"> Harm Reduction Programs: A Case from Bulgaria.</w:t>
      </w:r>
      <w:r w:rsidRPr="000E5763">
        <w:rPr>
          <w:rFonts w:ascii="Calibri" w:hAnsi="Calibri" w:cs="Calibri"/>
          <w:sz w:val="16"/>
          <w:szCs w:val="16"/>
        </w:rPr>
        <w:t>, 4</w:t>
      </w:r>
    </w:p>
  </w:footnote>
  <w:footnote w:id="21">
    <w:p w14:paraId="2B03F40C" w14:textId="129D48B0" w:rsidR="00FB724C" w:rsidRPr="000E5763" w:rsidRDefault="00FB724C" w:rsidP="00EC558C">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00D51A8A" w:rsidRPr="000E5763">
        <w:rPr>
          <w:rFonts w:ascii="Calibri" w:hAnsi="Calibri" w:cs="Calibri"/>
          <w:sz w:val="16"/>
          <w:szCs w:val="16"/>
        </w:rPr>
        <w:t xml:space="preserve"> Eurasian Harm Reduction Network (2015) The Impact of the Global Fund’s Withdrawal </w:t>
      </w:r>
      <w:proofErr w:type="spellStart"/>
      <w:r w:rsidR="00D51A8A" w:rsidRPr="000E5763">
        <w:rPr>
          <w:rFonts w:ascii="Calibri" w:hAnsi="Calibri" w:cs="Calibri"/>
          <w:sz w:val="16"/>
          <w:szCs w:val="16"/>
        </w:rPr>
        <w:t>onf</w:t>
      </w:r>
      <w:proofErr w:type="spellEnd"/>
      <w:r w:rsidR="00D51A8A" w:rsidRPr="000E5763">
        <w:rPr>
          <w:rFonts w:ascii="Calibri" w:hAnsi="Calibri" w:cs="Calibri"/>
          <w:sz w:val="16"/>
          <w:szCs w:val="16"/>
        </w:rPr>
        <w:t xml:space="preserve"> Harm Reduction Programs: A Case from Bulgaria., 5</w:t>
      </w:r>
    </w:p>
  </w:footnote>
  <w:footnote w:id="22">
    <w:p w14:paraId="3A15E4AF" w14:textId="2981F3D5" w:rsidR="008835F4" w:rsidRPr="000E5763" w:rsidRDefault="00FB724C" w:rsidP="00EC558C">
      <w:pPr>
        <w:pStyle w:val="Heading1"/>
        <w:shd w:val="clear" w:color="auto" w:fill="FFFFFF"/>
        <w:spacing w:before="0" w:beforeAutospacing="0" w:after="0" w:afterAutospacing="0"/>
        <w:contextualSpacing/>
        <w:rPr>
          <w:rFonts w:ascii="Calibri" w:hAnsi="Calibri" w:cs="Calibri"/>
          <w:b w:val="0"/>
          <w:bCs w:val="0"/>
          <w:color w:val="222222"/>
          <w:sz w:val="16"/>
          <w:szCs w:val="16"/>
        </w:rPr>
      </w:pPr>
      <w:r w:rsidRPr="000E5763">
        <w:rPr>
          <w:rStyle w:val="FootnoteReference"/>
          <w:rFonts w:ascii="Calibri" w:hAnsi="Calibri" w:cs="Calibri"/>
          <w:b w:val="0"/>
          <w:bCs w:val="0"/>
          <w:sz w:val="16"/>
          <w:szCs w:val="16"/>
        </w:rPr>
        <w:footnoteRef/>
      </w:r>
      <w:r w:rsidRPr="000E5763">
        <w:rPr>
          <w:rFonts w:ascii="Calibri" w:hAnsi="Calibri" w:cs="Calibri"/>
          <w:b w:val="0"/>
          <w:bCs w:val="0"/>
          <w:sz w:val="16"/>
          <w:szCs w:val="16"/>
        </w:rPr>
        <w:t xml:space="preserve"> </w:t>
      </w:r>
      <w:hyperlink r:id="rId2" w:history="1">
        <w:r w:rsidR="008835F4" w:rsidRPr="000E5763">
          <w:rPr>
            <w:rStyle w:val="entry-author-name"/>
            <w:rFonts w:ascii="Calibri" w:hAnsi="Calibri" w:cs="Calibri"/>
            <w:b w:val="0"/>
            <w:bCs w:val="0"/>
            <w:color w:val="222222"/>
            <w:sz w:val="16"/>
            <w:szCs w:val="16"/>
            <w:shd w:val="clear" w:color="auto" w:fill="FFFFFF"/>
          </w:rPr>
          <w:t>Péter Sárosi</w:t>
        </w:r>
      </w:hyperlink>
      <w:r w:rsidR="008835F4" w:rsidRPr="000E5763">
        <w:rPr>
          <w:rFonts w:ascii="Calibri" w:hAnsi="Calibri" w:cs="Calibri"/>
          <w:b w:val="0"/>
          <w:bCs w:val="0"/>
          <w:sz w:val="16"/>
          <w:szCs w:val="16"/>
        </w:rPr>
        <w:t>, ‘</w:t>
      </w:r>
      <w:r w:rsidR="008835F4" w:rsidRPr="000E5763">
        <w:rPr>
          <w:rFonts w:ascii="Calibri" w:hAnsi="Calibri" w:cs="Calibri"/>
          <w:b w:val="0"/>
          <w:bCs w:val="0"/>
          <w:color w:val="222222"/>
          <w:sz w:val="16"/>
          <w:szCs w:val="16"/>
        </w:rPr>
        <w:t>Bulgarian Harm Reduction Drown in Bureaucracy: Interview with Yuliya Georgieva’ (Drug Reporter, 6 December 2018). Available at: https://drogriporter.hu/en/bulgarin-harm-reduction-drown-in-bureaucracy-interview-with-yuliya-georgieva/</w:t>
      </w:r>
    </w:p>
    <w:p w14:paraId="51B64567" w14:textId="0D28C582" w:rsidR="00FB724C" w:rsidRPr="000E5763" w:rsidRDefault="00FB724C" w:rsidP="00EC558C">
      <w:pPr>
        <w:pStyle w:val="FootnoteText"/>
        <w:spacing w:before="0" w:beforeAutospacing="0" w:after="0" w:afterAutospacing="0"/>
        <w:contextualSpacing/>
        <w:rPr>
          <w:rFonts w:ascii="Calibri" w:hAnsi="Calibri" w:cs="Calibri"/>
          <w:sz w:val="16"/>
          <w:szCs w:val="16"/>
        </w:rPr>
      </w:pPr>
    </w:p>
  </w:footnote>
  <w:footnote w:id="23">
    <w:p w14:paraId="5C2EFCEA" w14:textId="2703056F" w:rsidR="00421A60" w:rsidRPr="000E5763" w:rsidRDefault="00421A60" w:rsidP="00EC558C">
      <w:pPr>
        <w:spacing w:after="0" w:line="240" w:lineRule="auto"/>
        <w:contextualSpacing/>
        <w:rPr>
          <w:rFonts w:ascii="Calibri" w:hAnsi="Calibri" w:cs="Calibri"/>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w:t>
      </w:r>
      <w:proofErr w:type="spellStart"/>
      <w:r w:rsidRPr="000E5763">
        <w:rPr>
          <w:rFonts w:ascii="Calibri" w:eastAsia="Times New Roman" w:hAnsi="Calibri" w:cs="Calibri"/>
          <w:sz w:val="16"/>
          <w:szCs w:val="16"/>
          <w:lang w:eastAsia="en-GB"/>
        </w:rPr>
        <w:t>Degenhardt</w:t>
      </w:r>
      <w:proofErr w:type="spellEnd"/>
      <w:r w:rsidRPr="000E5763">
        <w:rPr>
          <w:rFonts w:ascii="Calibri" w:eastAsia="Times New Roman" w:hAnsi="Calibri" w:cs="Calibri"/>
          <w:sz w:val="16"/>
          <w:szCs w:val="16"/>
          <w:lang w:eastAsia="en-GB"/>
        </w:rPr>
        <w:t xml:space="preserve"> L, Peacock A, </w:t>
      </w:r>
      <w:proofErr w:type="spellStart"/>
      <w:r w:rsidRPr="000E5763">
        <w:rPr>
          <w:rFonts w:ascii="Calibri" w:eastAsia="Times New Roman" w:hAnsi="Calibri" w:cs="Calibri"/>
          <w:sz w:val="16"/>
          <w:szCs w:val="16"/>
          <w:lang w:eastAsia="en-GB"/>
        </w:rPr>
        <w:t>Colledge</w:t>
      </w:r>
      <w:proofErr w:type="spellEnd"/>
      <w:r w:rsidRPr="000E5763">
        <w:rPr>
          <w:rFonts w:ascii="Calibri" w:eastAsia="Times New Roman" w:hAnsi="Calibri" w:cs="Calibri"/>
          <w:sz w:val="16"/>
          <w:szCs w:val="16"/>
          <w:lang w:eastAsia="en-GB"/>
        </w:rPr>
        <w:t xml:space="preserve"> S, Leung J, </w:t>
      </w:r>
      <w:proofErr w:type="spellStart"/>
      <w:r w:rsidRPr="000E5763">
        <w:rPr>
          <w:rFonts w:ascii="Calibri" w:eastAsia="Times New Roman" w:hAnsi="Calibri" w:cs="Calibri"/>
          <w:sz w:val="16"/>
          <w:szCs w:val="16"/>
          <w:lang w:eastAsia="en-GB"/>
        </w:rPr>
        <w:t>Grebely</w:t>
      </w:r>
      <w:proofErr w:type="spellEnd"/>
      <w:r w:rsidRPr="000E5763">
        <w:rPr>
          <w:rFonts w:ascii="Calibri" w:eastAsia="Times New Roman" w:hAnsi="Calibri" w:cs="Calibri"/>
          <w:sz w:val="16"/>
          <w:szCs w:val="16"/>
          <w:lang w:eastAsia="en-GB"/>
        </w:rPr>
        <w:t xml:space="preserve"> J, Vickerman P, et al. (2017) ‘Global prevalence of injecting drug use and sociodemographic characteristics and prevalence of HIV, HBV, and HCV in people who inject drugs: a multistage systematic review.’ Lancet Glob Health 5(12</w:t>
      </w:r>
      <w:proofErr w:type="gramStart"/>
      <w:r w:rsidRPr="000E5763">
        <w:rPr>
          <w:rFonts w:ascii="Calibri" w:eastAsia="Times New Roman" w:hAnsi="Calibri" w:cs="Calibri"/>
          <w:sz w:val="16"/>
          <w:szCs w:val="16"/>
          <w:lang w:eastAsia="en-GB"/>
        </w:rPr>
        <w:t>):e</w:t>
      </w:r>
      <w:proofErr w:type="gramEnd"/>
      <w:r w:rsidRPr="000E5763">
        <w:rPr>
          <w:rFonts w:ascii="Calibri" w:eastAsia="Times New Roman" w:hAnsi="Calibri" w:cs="Calibri"/>
          <w:sz w:val="16"/>
          <w:szCs w:val="16"/>
          <w:lang w:eastAsia="en-GB"/>
        </w:rPr>
        <w:t xml:space="preserve">1192-207. </w:t>
      </w:r>
    </w:p>
  </w:footnote>
  <w:footnote w:id="24">
    <w:p w14:paraId="11A9799F" w14:textId="55730DD6" w:rsidR="00421A60" w:rsidRPr="000E5763" w:rsidRDefault="00421A60" w:rsidP="00EC558C">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w:t>
      </w:r>
      <w:hyperlink r:id="rId3" w:history="1">
        <w:r w:rsidR="008835F4" w:rsidRPr="000E5763">
          <w:rPr>
            <w:rStyle w:val="entry-author-name"/>
            <w:rFonts w:ascii="Calibri" w:hAnsi="Calibri" w:cs="Calibri"/>
            <w:color w:val="222222"/>
            <w:sz w:val="16"/>
            <w:szCs w:val="16"/>
            <w:shd w:val="clear" w:color="auto" w:fill="FFFFFF"/>
          </w:rPr>
          <w:t>Péter Sárosi</w:t>
        </w:r>
      </w:hyperlink>
      <w:r w:rsidR="008835F4" w:rsidRPr="000E5763">
        <w:rPr>
          <w:rFonts w:ascii="Calibri" w:hAnsi="Calibri" w:cs="Calibri"/>
          <w:sz w:val="16"/>
          <w:szCs w:val="16"/>
        </w:rPr>
        <w:t>, ‘</w:t>
      </w:r>
      <w:r w:rsidR="008835F4" w:rsidRPr="000E5763">
        <w:rPr>
          <w:rFonts w:ascii="Calibri" w:hAnsi="Calibri" w:cs="Calibri"/>
          <w:color w:val="222222"/>
          <w:sz w:val="16"/>
          <w:szCs w:val="16"/>
        </w:rPr>
        <w:t>Bulgarian Harm Reduction Drown in Bureaucracy: Interview with Yuliya Georgieva’ (Drug Reporter, 6 December 2018). Available at: https://drogriporter.hu/en/bulgarin-harm-reduction-drown-in-bureaucracy-interview-with-yuliya-georgieva/</w:t>
      </w:r>
    </w:p>
  </w:footnote>
  <w:footnote w:id="25">
    <w:p w14:paraId="2DAB8FB8" w14:textId="5BC01D77" w:rsidR="00421A60" w:rsidRPr="000E5763" w:rsidRDefault="00421A60" w:rsidP="00EC558C">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w:t>
      </w:r>
      <w:r w:rsidR="007F1DA7" w:rsidRPr="000E5763">
        <w:rPr>
          <w:rFonts w:ascii="Calibri" w:hAnsi="Calibri" w:cs="Calibri"/>
          <w:sz w:val="16"/>
          <w:szCs w:val="16"/>
        </w:rPr>
        <w:t>Stone K, Shirley-Beavan S (2018) Global State of Harm Reduction 2018. Harm Reduction International: London, 48</w:t>
      </w:r>
    </w:p>
  </w:footnote>
  <w:footnote w:id="26">
    <w:p w14:paraId="29B56035" w14:textId="77777777" w:rsidR="00421A60" w:rsidRPr="000E5763" w:rsidRDefault="00421A60" w:rsidP="00EC558C">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The prevalence of HIV amongst the general population is &lt;0.1% </w:t>
      </w:r>
      <w:hyperlink r:id="rId4" w:history="1">
        <w:r w:rsidRPr="000E5763">
          <w:rPr>
            <w:rStyle w:val="Hyperlink"/>
            <w:rFonts w:ascii="Calibri" w:hAnsi="Calibri" w:cs="Calibri"/>
            <w:sz w:val="16"/>
            <w:szCs w:val="16"/>
          </w:rPr>
          <w:t>http://www.unaids.org/en/regionscountries/countries/bulgaria</w:t>
        </w:r>
      </w:hyperlink>
      <w:r w:rsidRPr="000E5763">
        <w:rPr>
          <w:rFonts w:ascii="Calibri" w:hAnsi="Calibri" w:cs="Calibri"/>
          <w:sz w:val="16"/>
          <w:szCs w:val="16"/>
        </w:rPr>
        <w:t xml:space="preserve">; the prevalence of hepatitis C amongst the general population is 1.3% </w:t>
      </w:r>
      <w:hyperlink r:id="rId5" w:history="1">
        <w:r w:rsidRPr="000E5763">
          <w:rPr>
            <w:rStyle w:val="Hyperlink"/>
            <w:rFonts w:ascii="Calibri" w:hAnsi="Calibri" w:cs="Calibri"/>
            <w:sz w:val="16"/>
            <w:szCs w:val="16"/>
          </w:rPr>
          <w:t>https://ecdc.europa.eu/sites/portal/files/documents/HIV%20STI%20and%20viral%20hepatitis%20Bulgaria%20Sep%20and%20nov%202016.pdf</w:t>
        </w:r>
      </w:hyperlink>
      <w:r w:rsidRPr="000E5763">
        <w:rPr>
          <w:rFonts w:ascii="Calibri" w:hAnsi="Calibri" w:cs="Calibri"/>
          <w:sz w:val="16"/>
          <w:szCs w:val="16"/>
        </w:rPr>
        <w:t xml:space="preserve"> </w:t>
      </w:r>
    </w:p>
  </w:footnote>
  <w:footnote w:id="27">
    <w:p w14:paraId="2E38AD58" w14:textId="59E6BCC0" w:rsidR="00D455DA" w:rsidRPr="000E5763" w:rsidRDefault="00D455DA" w:rsidP="00EC558C">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w:t>
      </w:r>
      <w:r w:rsidR="007F1DA7" w:rsidRPr="000E5763">
        <w:rPr>
          <w:rFonts w:ascii="Calibri" w:hAnsi="Calibri" w:cs="Calibri"/>
          <w:sz w:val="16"/>
          <w:szCs w:val="16"/>
        </w:rPr>
        <w:t>Cook C (2017) Harm Reduction Investment in the European Union. Current spending, challenges and successes. Harm Reduction International: London, 15</w:t>
      </w:r>
    </w:p>
  </w:footnote>
  <w:footnote w:id="28">
    <w:p w14:paraId="715CD2F4" w14:textId="77777777" w:rsidR="00CC75D1" w:rsidRPr="000E5763" w:rsidRDefault="00CC75D1" w:rsidP="00CC75D1">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Cook C (2017) Harm Reduction Investment in the European Union. Current spending, challenges and successes. Harm Reduction International: London, 15</w:t>
      </w:r>
    </w:p>
  </w:footnote>
  <w:footnote w:id="29">
    <w:p w14:paraId="76555B96" w14:textId="2ED96795" w:rsidR="00CC75D1" w:rsidRPr="000E5763" w:rsidRDefault="00CC75D1" w:rsidP="00CC75D1">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w:t>
      </w:r>
      <w:hyperlink r:id="rId6" w:history="1">
        <w:r w:rsidRPr="000E5763">
          <w:rPr>
            <w:rStyle w:val="entry-author-name"/>
            <w:rFonts w:ascii="Calibri" w:hAnsi="Calibri" w:cs="Calibri"/>
            <w:color w:val="222222"/>
            <w:sz w:val="16"/>
            <w:szCs w:val="16"/>
            <w:shd w:val="clear" w:color="auto" w:fill="FFFFFF"/>
          </w:rPr>
          <w:t>Péter Sárosi</w:t>
        </w:r>
      </w:hyperlink>
      <w:r w:rsidRPr="000E5763">
        <w:rPr>
          <w:rFonts w:ascii="Calibri" w:hAnsi="Calibri" w:cs="Calibri"/>
          <w:sz w:val="16"/>
          <w:szCs w:val="16"/>
        </w:rPr>
        <w:t>, ‘</w:t>
      </w:r>
      <w:r w:rsidRPr="000E5763">
        <w:rPr>
          <w:rFonts w:ascii="Calibri" w:hAnsi="Calibri" w:cs="Calibri"/>
          <w:color w:val="222222"/>
          <w:sz w:val="16"/>
          <w:szCs w:val="16"/>
        </w:rPr>
        <w:t>Bulgarian Harm Reduction Drown in Bureaucracy: Interview with Yuliya Georgieva’ (Drug Reporter, 6 December 2018). Available at: https://drogriporter.hu/en/bulgarin-harm-reduction-drown-in-bureaucracy-interview-with-yuliya-georgieva/</w:t>
      </w:r>
    </w:p>
  </w:footnote>
  <w:footnote w:id="30">
    <w:p w14:paraId="25BBF107" w14:textId="6C5E34ED" w:rsidR="00B06FB5" w:rsidRPr="000E5763" w:rsidRDefault="00B06FB5" w:rsidP="00EC558C">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007F1DA7" w:rsidRPr="000E5763">
        <w:rPr>
          <w:rFonts w:ascii="Calibri" w:hAnsi="Calibri" w:cs="Calibri"/>
          <w:sz w:val="16"/>
          <w:szCs w:val="16"/>
        </w:rPr>
        <w:t xml:space="preserve"> </w:t>
      </w:r>
      <w:r w:rsidR="00D51A8A" w:rsidRPr="000E5763">
        <w:rPr>
          <w:rFonts w:ascii="Calibri" w:hAnsi="Calibri" w:cs="Calibri"/>
          <w:sz w:val="16"/>
          <w:szCs w:val="16"/>
        </w:rPr>
        <w:t>OECD/European Observatory on Health Systems and Policies (2017), Bulgaria: Country Health Profile 2017, State of Health in the EU. OECD Publishing, Paris/European Observatory on Health Systems and Policies: Brussels. http://dx.doi.org/10.1787/9789264283305-en</w:t>
      </w:r>
      <w:r w:rsidRPr="000E5763">
        <w:rPr>
          <w:rFonts w:ascii="Calibri" w:hAnsi="Calibri" w:cs="Calibri"/>
          <w:sz w:val="16"/>
          <w:szCs w:val="16"/>
        </w:rPr>
        <w:t>, 6</w:t>
      </w:r>
    </w:p>
  </w:footnote>
  <w:footnote w:id="31">
    <w:p w14:paraId="0AACB928" w14:textId="1B245066" w:rsidR="007C7026" w:rsidRPr="000E5763" w:rsidRDefault="007C7026" w:rsidP="00EC558C">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w:t>
      </w:r>
      <w:r w:rsidR="00D51A8A" w:rsidRPr="000E5763">
        <w:rPr>
          <w:rFonts w:ascii="Calibri" w:hAnsi="Calibri" w:cs="Calibri"/>
          <w:sz w:val="16"/>
          <w:szCs w:val="16"/>
        </w:rPr>
        <w:t xml:space="preserve">For more information see: </w:t>
      </w:r>
      <w:hyperlink r:id="rId7" w:history="1">
        <w:r w:rsidRPr="000E5763">
          <w:rPr>
            <w:rStyle w:val="Hyperlink"/>
            <w:rFonts w:ascii="Calibri" w:hAnsi="Calibri" w:cs="Calibri"/>
            <w:sz w:val="16"/>
            <w:szCs w:val="16"/>
          </w:rPr>
          <w:t>http://www.nap.bg/en/page?id=535</w:t>
        </w:r>
      </w:hyperlink>
    </w:p>
  </w:footnote>
  <w:footnote w:id="32">
    <w:p w14:paraId="1F47E25E" w14:textId="2139974E" w:rsidR="007C7026" w:rsidRPr="000E5763" w:rsidRDefault="007C7026" w:rsidP="001F325B">
      <w:pPr>
        <w:spacing w:after="0" w:line="240" w:lineRule="auto"/>
        <w:contextualSpacing/>
        <w:rPr>
          <w:rFonts w:ascii="Calibri" w:hAnsi="Calibri" w:cs="Calibri"/>
          <w:sz w:val="16"/>
          <w:szCs w:val="16"/>
        </w:rPr>
      </w:pPr>
      <w:r w:rsidRPr="000E5763">
        <w:rPr>
          <w:rStyle w:val="FootnoteReference"/>
          <w:rFonts w:ascii="Calibri" w:hAnsi="Calibri" w:cs="Calibri"/>
          <w:sz w:val="16"/>
          <w:szCs w:val="16"/>
        </w:rPr>
        <w:footnoteRef/>
      </w:r>
      <w:r w:rsidR="005164AA" w:rsidRPr="000E5763">
        <w:rPr>
          <w:rFonts w:ascii="Calibri" w:hAnsi="Calibri" w:cs="Calibri"/>
          <w:sz w:val="16"/>
          <w:szCs w:val="16"/>
        </w:rPr>
        <w:t xml:space="preserve"> </w:t>
      </w:r>
      <w:r w:rsidR="008B7484" w:rsidRPr="000E5763">
        <w:rPr>
          <w:rFonts w:ascii="Calibri" w:hAnsi="Calibri" w:cs="Calibri"/>
          <w:sz w:val="16"/>
          <w:szCs w:val="16"/>
        </w:rPr>
        <w:t xml:space="preserve">M.S. </w:t>
      </w:r>
      <w:proofErr w:type="spellStart"/>
      <w:r w:rsidR="008B7484" w:rsidRPr="000E5763">
        <w:rPr>
          <w:rFonts w:ascii="Calibri" w:hAnsi="Calibri" w:cs="Calibri"/>
          <w:sz w:val="16"/>
          <w:szCs w:val="16"/>
        </w:rPr>
        <w:t>Khudyk</w:t>
      </w:r>
      <w:proofErr w:type="spellEnd"/>
      <w:r w:rsidR="008B7484" w:rsidRPr="000E5763">
        <w:rPr>
          <w:rFonts w:ascii="Calibri" w:hAnsi="Calibri" w:cs="Calibri"/>
          <w:sz w:val="16"/>
          <w:szCs w:val="16"/>
        </w:rPr>
        <w:t xml:space="preserve"> et al., ‘Overview of Judicial Mechanisms to Support Key Populations in Five Cities: Almaty, </w:t>
      </w:r>
      <w:proofErr w:type="spellStart"/>
      <w:r w:rsidR="008B7484" w:rsidRPr="000E5763">
        <w:rPr>
          <w:rFonts w:ascii="Calibri" w:hAnsi="Calibri" w:cs="Calibri"/>
          <w:sz w:val="16"/>
          <w:szCs w:val="16"/>
        </w:rPr>
        <w:t>Belci</w:t>
      </w:r>
      <w:proofErr w:type="spellEnd"/>
      <w:r w:rsidR="008B7484" w:rsidRPr="000E5763">
        <w:rPr>
          <w:rFonts w:ascii="Calibri" w:hAnsi="Calibri" w:cs="Calibri"/>
          <w:sz w:val="16"/>
          <w:szCs w:val="16"/>
        </w:rPr>
        <w:t xml:space="preserve">, Odessa, Sofia, and </w:t>
      </w:r>
      <w:proofErr w:type="spellStart"/>
      <w:r w:rsidR="008B7484" w:rsidRPr="000E5763">
        <w:rPr>
          <w:rFonts w:ascii="Calibri" w:hAnsi="Calibri" w:cs="Calibri"/>
          <w:sz w:val="16"/>
          <w:szCs w:val="16"/>
        </w:rPr>
        <w:t>Tiblisi</w:t>
      </w:r>
      <w:proofErr w:type="spellEnd"/>
      <w:r w:rsidR="008B7484" w:rsidRPr="000E5763">
        <w:rPr>
          <w:rFonts w:ascii="Calibri" w:hAnsi="Calibri" w:cs="Calibri"/>
          <w:sz w:val="16"/>
          <w:szCs w:val="16"/>
        </w:rPr>
        <w:t xml:space="preserve">. Sofia case study’, p. 4. </w:t>
      </w:r>
      <w:r w:rsidR="001F325B" w:rsidRPr="000E5763">
        <w:rPr>
          <w:rFonts w:ascii="Calibri" w:hAnsi="Calibri" w:cs="Calibri"/>
          <w:sz w:val="16"/>
          <w:szCs w:val="16"/>
        </w:rPr>
        <w:t xml:space="preserve">Draft report prepared under the project ‘project "Fast-track TB/HIV responses for key populations in EECA cities" (more information available here: </w:t>
      </w:r>
      <w:hyperlink r:id="rId8" w:history="1">
        <w:r w:rsidR="001F325B" w:rsidRPr="000E5763">
          <w:rPr>
            <w:rStyle w:val="Hyperlink"/>
            <w:rFonts w:ascii="Calibri" w:hAnsi="Calibri" w:cs="Calibri"/>
            <w:sz w:val="16"/>
            <w:szCs w:val="16"/>
          </w:rPr>
          <w:t>http://hivtbcities.org/en/</w:t>
        </w:r>
      </w:hyperlink>
      <w:r w:rsidR="001F325B" w:rsidRPr="000E5763">
        <w:rPr>
          <w:rFonts w:ascii="Calibri" w:hAnsi="Calibri" w:cs="Calibri"/>
          <w:sz w:val="16"/>
          <w:szCs w:val="16"/>
        </w:rPr>
        <w:t>)</w:t>
      </w:r>
    </w:p>
  </w:footnote>
  <w:footnote w:id="33">
    <w:p w14:paraId="018AF416" w14:textId="6BAD979E" w:rsidR="009641A8" w:rsidRPr="000E5763" w:rsidRDefault="009641A8" w:rsidP="00EC558C">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w:t>
      </w:r>
      <w:r w:rsidR="005164AA" w:rsidRPr="000E5763">
        <w:rPr>
          <w:rFonts w:ascii="Calibri" w:hAnsi="Calibri" w:cs="Calibri"/>
          <w:sz w:val="16"/>
          <w:szCs w:val="16"/>
        </w:rPr>
        <w:t xml:space="preserve">European Monitoring Centre for Drugs and Drug Addiction (2018) Country Drug Report 2018: Bulgaria. Available at: </w:t>
      </w:r>
      <w:r w:rsidRPr="000E5763">
        <w:rPr>
          <w:rFonts w:ascii="Calibri" w:hAnsi="Calibri" w:cs="Calibri"/>
          <w:sz w:val="16"/>
          <w:szCs w:val="16"/>
        </w:rPr>
        <w:t>http://www.emcdda.europa.eu/countries/drug-reports/2018/bulgaria/drug-laws-and-drug-law-offences_en</w:t>
      </w:r>
    </w:p>
  </w:footnote>
  <w:footnote w:id="34">
    <w:p w14:paraId="182FF76C" w14:textId="14216AE1" w:rsidR="002D4917" w:rsidRPr="000E5763" w:rsidRDefault="002D4917" w:rsidP="00EC558C">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w:t>
      </w:r>
      <w:r w:rsidR="005164AA" w:rsidRPr="000E5763">
        <w:rPr>
          <w:rFonts w:ascii="Calibri" w:hAnsi="Calibri" w:cs="Calibri"/>
          <w:sz w:val="16"/>
          <w:szCs w:val="16"/>
        </w:rPr>
        <w:t xml:space="preserve">Global Commission on Drug Policy (2016) Advancing Drug Policy Reform: A New Approach to Decriminalization, Global Commission on Drug Policy: Geneva. Available at: </w:t>
      </w:r>
      <w:r w:rsidRPr="000E5763">
        <w:rPr>
          <w:rFonts w:ascii="Calibri" w:hAnsi="Calibri" w:cs="Calibri"/>
          <w:sz w:val="16"/>
          <w:szCs w:val="16"/>
        </w:rPr>
        <w:t>http://www.globalcommissionondrugs.org/wp-content/uploads/2016/11/GCDP-Report-2016-ENGLISH.pdf</w:t>
      </w:r>
    </w:p>
  </w:footnote>
  <w:footnote w:id="35">
    <w:p w14:paraId="65B04658" w14:textId="0707113C" w:rsidR="002D4917" w:rsidRPr="000E5763" w:rsidRDefault="002D4917" w:rsidP="00EC558C">
      <w:pPr>
        <w:pStyle w:val="Default"/>
        <w:contextualSpacing/>
        <w:rPr>
          <w:rFonts w:ascii="Calibri" w:hAnsi="Calibri" w:cs="Calibri"/>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w:t>
      </w:r>
      <w:r w:rsidR="005164AA" w:rsidRPr="000E5763">
        <w:rPr>
          <w:rFonts w:ascii="Calibri" w:hAnsi="Calibri" w:cs="Calibri"/>
          <w:color w:val="000000" w:themeColor="text1"/>
          <w:sz w:val="16"/>
          <w:szCs w:val="16"/>
        </w:rPr>
        <w:t xml:space="preserve">CESCR, Concluding Observations on </w:t>
      </w:r>
      <w:r w:rsidR="005164AA" w:rsidRPr="000E5763">
        <w:rPr>
          <w:rFonts w:ascii="Calibri" w:hAnsi="Calibri" w:cs="Calibri"/>
          <w:sz w:val="16"/>
          <w:szCs w:val="16"/>
        </w:rPr>
        <w:t>the sixth periodic report of the Russian Federation, UN Doc. E/C.12/RUS/CO/6 (2018). Para.</w:t>
      </w:r>
      <w:r w:rsidRPr="000E5763">
        <w:rPr>
          <w:rFonts w:ascii="Calibri" w:hAnsi="Calibri" w:cs="Calibri"/>
          <w:sz w:val="16"/>
          <w:szCs w:val="16"/>
        </w:rPr>
        <w:t xml:space="preserve"> 50</w:t>
      </w:r>
    </w:p>
  </w:footnote>
  <w:footnote w:id="36">
    <w:p w14:paraId="012FDF07" w14:textId="775CDAEC" w:rsidR="00A86EFF" w:rsidRPr="000E5763" w:rsidRDefault="00A86EFF" w:rsidP="008B7484">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w:t>
      </w:r>
      <w:r w:rsidR="005164AA" w:rsidRPr="000E5763">
        <w:rPr>
          <w:rFonts w:ascii="Calibri" w:hAnsi="Calibri" w:cs="Calibri"/>
          <w:color w:val="000000" w:themeColor="text1"/>
          <w:sz w:val="16"/>
          <w:szCs w:val="16"/>
        </w:rPr>
        <w:t xml:space="preserve">CESCR, Concluding Observations on </w:t>
      </w:r>
      <w:r w:rsidR="005164AA" w:rsidRPr="000E5763">
        <w:rPr>
          <w:rFonts w:ascii="Calibri" w:hAnsi="Calibri" w:cs="Calibri"/>
          <w:sz w:val="16"/>
          <w:szCs w:val="16"/>
        </w:rPr>
        <w:t>the sixth periodic report of the Russian Federation, UN Doc. E/C.12/RUS/CO/6 (2018). Para. 51(a)</w:t>
      </w:r>
    </w:p>
  </w:footnote>
  <w:footnote w:id="37">
    <w:p w14:paraId="4028FDEA" w14:textId="6D096211" w:rsidR="00602D2D" w:rsidRPr="000E5763" w:rsidRDefault="00602D2D" w:rsidP="008B7484">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w:t>
      </w:r>
      <w:hyperlink r:id="rId9" w:history="1">
        <w:r w:rsidR="005164AA" w:rsidRPr="000E5763">
          <w:rPr>
            <w:rStyle w:val="entry-author-name"/>
            <w:rFonts w:ascii="Calibri" w:hAnsi="Calibri" w:cs="Calibri"/>
            <w:color w:val="222222"/>
            <w:sz w:val="16"/>
            <w:szCs w:val="16"/>
            <w:shd w:val="clear" w:color="auto" w:fill="FFFFFF"/>
          </w:rPr>
          <w:t>Péter Sárosi</w:t>
        </w:r>
      </w:hyperlink>
      <w:r w:rsidR="005164AA" w:rsidRPr="000E5763">
        <w:rPr>
          <w:rFonts w:ascii="Calibri" w:hAnsi="Calibri" w:cs="Calibri"/>
          <w:sz w:val="16"/>
          <w:szCs w:val="16"/>
        </w:rPr>
        <w:t>, ‘</w:t>
      </w:r>
      <w:r w:rsidR="005164AA" w:rsidRPr="000E5763">
        <w:rPr>
          <w:rFonts w:ascii="Calibri" w:hAnsi="Calibri" w:cs="Calibri"/>
          <w:color w:val="222222"/>
          <w:sz w:val="16"/>
          <w:szCs w:val="16"/>
        </w:rPr>
        <w:t>Bulgarian Harm Reduction Drown in Bureaucracy: Interview with Yuliya Georgieva’ (Drug Reporter, 6 December 2018). Available at: https://drogriporter.hu/en/bulgarin-harm-reduction-drown-in-bureaucracy-interview-with-yuliya-georgieva/</w:t>
      </w:r>
    </w:p>
  </w:footnote>
  <w:footnote w:id="38">
    <w:p w14:paraId="6826C420" w14:textId="75EC6CB9" w:rsidR="006963D7" w:rsidRPr="000E5763" w:rsidRDefault="006963D7" w:rsidP="00A532AF">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w:t>
      </w:r>
      <w:r w:rsidRPr="000E5763">
        <w:rPr>
          <w:rFonts w:ascii="Calibri" w:hAnsi="Calibri" w:cs="Calibri"/>
          <w:sz w:val="16"/>
          <w:szCs w:val="16"/>
        </w:rPr>
        <w:t>Stone K, Shirley-Beavan S (2018) Global State of Harm Reduction 2018. Harm Reduction International:</w:t>
      </w:r>
      <w:r w:rsidR="00137734" w:rsidRPr="000E5763">
        <w:rPr>
          <w:rFonts w:ascii="Calibri" w:hAnsi="Calibri" w:cs="Calibri"/>
          <w:sz w:val="16"/>
          <w:szCs w:val="16"/>
        </w:rPr>
        <w:t xml:space="preserve"> </w:t>
      </w:r>
      <w:r w:rsidRPr="000E5763">
        <w:rPr>
          <w:rFonts w:ascii="Calibri" w:hAnsi="Calibri" w:cs="Calibri"/>
          <w:sz w:val="16"/>
          <w:szCs w:val="16"/>
        </w:rPr>
        <w:t>London, 21</w:t>
      </w:r>
    </w:p>
  </w:footnote>
  <w:footnote w:id="39">
    <w:p w14:paraId="41511DF0" w14:textId="1D98B55E" w:rsidR="00A532AF" w:rsidRPr="000E5763" w:rsidRDefault="00A532AF" w:rsidP="00A532AF">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w:t>
      </w:r>
      <w:r w:rsidRPr="000E5763">
        <w:rPr>
          <w:rFonts w:ascii="Calibri" w:hAnsi="Calibri" w:cs="Calibri"/>
          <w:sz w:val="16"/>
          <w:szCs w:val="16"/>
        </w:rPr>
        <w:t>Council of Europe, “Report to the Bulgarian Government on the visit to Bulgaria carried out by the European Committee for the Prevention of Torture and Inhuman or Degrading Treatment or Punishment (CPT) from 25 September to 6 October 2017.” CPT/</w:t>
      </w:r>
      <w:proofErr w:type="spellStart"/>
      <w:r w:rsidRPr="000E5763">
        <w:rPr>
          <w:rFonts w:ascii="Calibri" w:hAnsi="Calibri" w:cs="Calibri"/>
          <w:sz w:val="16"/>
          <w:szCs w:val="16"/>
        </w:rPr>
        <w:t>Inf</w:t>
      </w:r>
      <w:proofErr w:type="spellEnd"/>
      <w:r w:rsidRPr="000E5763">
        <w:rPr>
          <w:rFonts w:ascii="Calibri" w:hAnsi="Calibri" w:cs="Calibri"/>
          <w:sz w:val="16"/>
          <w:szCs w:val="16"/>
        </w:rPr>
        <w:t xml:space="preserve"> (2018) 5. Para. 97. Available at: https://rm.coe.int/16807c4b74</w:t>
      </w:r>
    </w:p>
  </w:footnote>
  <w:footnote w:id="40">
    <w:p w14:paraId="632911B3" w14:textId="38F8AC1B" w:rsidR="00137734" w:rsidRPr="000E5763" w:rsidRDefault="00137734" w:rsidP="00A532AF">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w:t>
      </w:r>
      <w:r w:rsidR="00A532AF" w:rsidRPr="000E5763">
        <w:rPr>
          <w:rFonts w:ascii="Calibri" w:hAnsi="Calibri" w:cs="Calibri"/>
          <w:sz w:val="16"/>
          <w:szCs w:val="16"/>
        </w:rPr>
        <w:t>Ibid.</w:t>
      </w:r>
      <w:r w:rsidRPr="000E5763">
        <w:rPr>
          <w:rFonts w:ascii="Calibri" w:hAnsi="Calibri" w:cs="Calibri"/>
          <w:sz w:val="16"/>
          <w:szCs w:val="16"/>
        </w:rPr>
        <w:t xml:space="preserve"> </w:t>
      </w:r>
    </w:p>
  </w:footnote>
  <w:footnote w:id="41">
    <w:p w14:paraId="44EF0C8D" w14:textId="3C116F46" w:rsidR="00A532AF" w:rsidRPr="000E5763" w:rsidRDefault="00A532AF" w:rsidP="00A532AF">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Ibid.</w:t>
      </w:r>
    </w:p>
  </w:footnote>
  <w:footnote w:id="42">
    <w:p w14:paraId="3D8765A7" w14:textId="71249F3F" w:rsidR="00A532AF" w:rsidRPr="000E5763" w:rsidRDefault="00A532AF" w:rsidP="00A532AF">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Ibid.</w:t>
      </w:r>
    </w:p>
  </w:footnote>
  <w:footnote w:id="43">
    <w:p w14:paraId="0396AA49" w14:textId="34600C91" w:rsidR="008B7484" w:rsidRPr="000E5763" w:rsidRDefault="008B7484" w:rsidP="00137734">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UNAIDS, UNHCR, UNICEF, WFP, UNDP, UNFPA, UN WOMEN, ILO, UNESCO, WHO, UN OHCHR, IOM, ‘Joint United Nations Statement on Ending Discrimination in Health Care Settings’ (27 June 2017). Available at: https://www.who.int/gender-equity-rights/knowledge/ending-discrimination-healthcare-settings.pdf</w:t>
      </w:r>
    </w:p>
  </w:footnote>
  <w:footnote w:id="44">
    <w:p w14:paraId="29A0D83A" w14:textId="336D9D18" w:rsidR="008B7484" w:rsidRPr="000E5763" w:rsidRDefault="008B7484" w:rsidP="008B7484">
      <w:pPr>
        <w:pStyle w:val="FootnoteText"/>
        <w:spacing w:before="0" w:beforeAutospacing="0" w:after="0" w:afterAutospacing="0"/>
        <w:rPr>
          <w:rFonts w:ascii="Calibri" w:hAnsi="Calibri" w:cs="Calibri"/>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Ibid.</w:t>
      </w:r>
    </w:p>
  </w:footnote>
  <w:footnote w:id="45">
    <w:p w14:paraId="15985FD9" w14:textId="77777777" w:rsidR="008B7484" w:rsidRPr="000E5763" w:rsidRDefault="008B7484" w:rsidP="008B7484">
      <w:pPr>
        <w:pStyle w:val="FootnoteText"/>
        <w:spacing w:before="0" w:beforeAutospacing="0" w:after="0" w:afterAutospacing="0"/>
        <w:contextualSpacing/>
        <w:rPr>
          <w:rFonts w:ascii="Calibri" w:hAnsi="Calibri" w:cs="Calibri"/>
          <w:color w:val="000000" w:themeColor="text1"/>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Among others: </w:t>
      </w:r>
      <w:r w:rsidRPr="000E5763">
        <w:rPr>
          <w:rFonts w:ascii="Calibri" w:hAnsi="Calibri" w:cs="Calibri"/>
          <w:color w:val="000000" w:themeColor="text1"/>
          <w:sz w:val="16"/>
          <w:szCs w:val="16"/>
        </w:rPr>
        <w:t>CESCR, Concluding Observations on the combined fifth and sixth periodic reports of the Philippines, UN Doc. E/C.12/PHL/CO/5-6 (2016), para. 54; CESCR, Concluding Observations on the combined second to fourth periodic reports of the former Yugoslav Republic of Macedonia, UN Doc. E/C.12/MKD/CO/2-4 (2016), para. 52; CESCR, Concluding Observations, Canada, UN Doc. E/C.12/CAN/CO/6, para. 50 (2016); CESCR (2015).</w:t>
      </w:r>
    </w:p>
    <w:p w14:paraId="11A1CE31" w14:textId="77777777" w:rsidR="008B7484" w:rsidRPr="000E5763" w:rsidRDefault="008B7484" w:rsidP="008B7484">
      <w:pPr>
        <w:pStyle w:val="EndnoteText"/>
        <w:contextualSpacing/>
        <w:jc w:val="both"/>
        <w:rPr>
          <w:rFonts w:ascii="Calibri" w:hAnsi="Calibri" w:cs="Calibri"/>
          <w:color w:val="000000" w:themeColor="text1"/>
          <w:sz w:val="16"/>
          <w:szCs w:val="16"/>
        </w:rPr>
      </w:pPr>
      <w:r w:rsidRPr="000E5763">
        <w:rPr>
          <w:rFonts w:ascii="Calibri" w:hAnsi="Calibri" w:cs="Calibri"/>
          <w:color w:val="000000" w:themeColor="text1"/>
          <w:sz w:val="16"/>
          <w:szCs w:val="16"/>
        </w:rPr>
        <w:t>For more information, see: International Centre on Human Rights and Drug Policy/UNDP, International Guidelines on Human Rights and Drug Policy (Draft), Forthcoming, 32</w:t>
      </w:r>
    </w:p>
  </w:footnote>
  <w:footnote w:id="46">
    <w:p w14:paraId="451C14EC" w14:textId="4B3A40AE" w:rsidR="00F65577" w:rsidRPr="000E5763" w:rsidRDefault="00F65577" w:rsidP="00EC558C">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w:t>
      </w:r>
      <w:r w:rsidR="008B7484" w:rsidRPr="000E5763">
        <w:rPr>
          <w:rFonts w:ascii="Calibri" w:hAnsi="Calibri" w:cs="Calibri"/>
          <w:sz w:val="16"/>
          <w:szCs w:val="16"/>
        </w:rPr>
        <w:t xml:space="preserve">M.S. </w:t>
      </w:r>
      <w:proofErr w:type="spellStart"/>
      <w:r w:rsidR="008B7484" w:rsidRPr="000E5763">
        <w:rPr>
          <w:rFonts w:ascii="Calibri" w:hAnsi="Calibri" w:cs="Calibri"/>
          <w:sz w:val="16"/>
          <w:szCs w:val="16"/>
        </w:rPr>
        <w:t>Khudyk</w:t>
      </w:r>
      <w:proofErr w:type="spellEnd"/>
      <w:r w:rsidR="008B7484" w:rsidRPr="000E5763">
        <w:rPr>
          <w:rFonts w:ascii="Calibri" w:hAnsi="Calibri" w:cs="Calibri"/>
          <w:sz w:val="16"/>
          <w:szCs w:val="16"/>
        </w:rPr>
        <w:t xml:space="preserve"> et al., ‘Overview of Judicial Mechanisms to Support Key Populations in Five Cities: Almaty, </w:t>
      </w:r>
      <w:proofErr w:type="spellStart"/>
      <w:r w:rsidR="008B7484" w:rsidRPr="000E5763">
        <w:rPr>
          <w:rFonts w:ascii="Calibri" w:hAnsi="Calibri" w:cs="Calibri"/>
          <w:sz w:val="16"/>
          <w:szCs w:val="16"/>
        </w:rPr>
        <w:t>Belci</w:t>
      </w:r>
      <w:proofErr w:type="spellEnd"/>
      <w:r w:rsidR="008B7484" w:rsidRPr="000E5763">
        <w:rPr>
          <w:rFonts w:ascii="Calibri" w:hAnsi="Calibri" w:cs="Calibri"/>
          <w:sz w:val="16"/>
          <w:szCs w:val="16"/>
        </w:rPr>
        <w:t xml:space="preserve">, Odessa, Sofia, and </w:t>
      </w:r>
      <w:proofErr w:type="spellStart"/>
      <w:r w:rsidR="008B7484" w:rsidRPr="000E5763">
        <w:rPr>
          <w:rFonts w:ascii="Calibri" w:hAnsi="Calibri" w:cs="Calibri"/>
          <w:sz w:val="16"/>
          <w:szCs w:val="16"/>
        </w:rPr>
        <w:t>Tiblisi</w:t>
      </w:r>
      <w:proofErr w:type="spellEnd"/>
      <w:r w:rsidR="008B7484" w:rsidRPr="000E5763">
        <w:rPr>
          <w:rFonts w:ascii="Calibri" w:hAnsi="Calibri" w:cs="Calibri"/>
          <w:sz w:val="16"/>
          <w:szCs w:val="16"/>
        </w:rPr>
        <w:t xml:space="preserve">. Sofia case study’, p. </w:t>
      </w:r>
      <w:r w:rsidRPr="000E5763">
        <w:rPr>
          <w:rFonts w:ascii="Calibri" w:hAnsi="Calibri" w:cs="Calibri"/>
          <w:sz w:val="16"/>
          <w:szCs w:val="16"/>
        </w:rPr>
        <w:t>6</w:t>
      </w:r>
      <w:r w:rsidR="001F325B" w:rsidRPr="000E5763">
        <w:rPr>
          <w:rFonts w:ascii="Calibri" w:hAnsi="Calibri" w:cs="Calibri"/>
          <w:sz w:val="16"/>
          <w:szCs w:val="16"/>
        </w:rPr>
        <w:t xml:space="preserve">. </w:t>
      </w:r>
      <w:r w:rsidR="001F325B" w:rsidRPr="000E5763">
        <w:rPr>
          <w:rFonts w:ascii="Calibri" w:hAnsi="Calibri" w:cs="Calibri"/>
          <w:sz w:val="16"/>
          <w:szCs w:val="16"/>
        </w:rPr>
        <w:t xml:space="preserve">Draft report prepared under the project ‘project "Fast-track TB/HIV responses for key populations in EECA cities" (more information available here: </w:t>
      </w:r>
      <w:hyperlink r:id="rId10" w:history="1">
        <w:r w:rsidR="001F325B" w:rsidRPr="000E5763">
          <w:rPr>
            <w:rStyle w:val="Hyperlink"/>
            <w:rFonts w:ascii="Calibri" w:hAnsi="Calibri" w:cs="Calibri"/>
            <w:sz w:val="16"/>
            <w:szCs w:val="16"/>
          </w:rPr>
          <w:t>http://hivtbcities.org/en/</w:t>
        </w:r>
      </w:hyperlink>
      <w:r w:rsidR="001F325B" w:rsidRPr="000E5763">
        <w:rPr>
          <w:rFonts w:ascii="Calibri" w:hAnsi="Calibri" w:cs="Calibri"/>
          <w:sz w:val="16"/>
          <w:szCs w:val="16"/>
        </w:rPr>
        <w:t xml:space="preserve">) </w:t>
      </w:r>
    </w:p>
  </w:footnote>
  <w:footnote w:id="47">
    <w:p w14:paraId="127FA75F" w14:textId="64E2D944" w:rsidR="000E5763" w:rsidRPr="000E5763" w:rsidRDefault="000E5763" w:rsidP="000E5763">
      <w:pPr>
        <w:pStyle w:val="FootnoteText"/>
        <w:spacing w:before="0" w:beforeAutospacing="0" w:after="0" w:afterAutospacing="0"/>
        <w:rPr>
          <w:rFonts w:ascii="Calibri" w:hAnsi="Calibri" w:cs="Calibri"/>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w:t>
      </w:r>
      <w:r w:rsidRPr="000E5763">
        <w:rPr>
          <w:rFonts w:ascii="Calibri" w:hAnsi="Calibri" w:cs="Calibri"/>
          <w:color w:val="000000" w:themeColor="text1"/>
          <w:sz w:val="16"/>
          <w:szCs w:val="16"/>
        </w:rPr>
        <w:t xml:space="preserve">CESCR, </w:t>
      </w:r>
      <w:r>
        <w:rPr>
          <w:rFonts w:ascii="Calibri" w:hAnsi="Calibri" w:cs="Calibri"/>
          <w:color w:val="000000" w:themeColor="text1"/>
          <w:sz w:val="16"/>
          <w:szCs w:val="16"/>
        </w:rPr>
        <w:t>‘</w:t>
      </w:r>
      <w:r w:rsidRPr="000E5763">
        <w:rPr>
          <w:rFonts w:ascii="Calibri" w:hAnsi="Calibri" w:cs="Calibri"/>
          <w:color w:val="000000" w:themeColor="text1"/>
          <w:sz w:val="16"/>
          <w:szCs w:val="16"/>
        </w:rPr>
        <w:t xml:space="preserve">General Comment No. </w:t>
      </w:r>
      <w:r>
        <w:rPr>
          <w:rFonts w:ascii="Calibri" w:hAnsi="Calibri" w:cs="Calibri"/>
          <w:color w:val="000000" w:themeColor="text1"/>
          <w:sz w:val="16"/>
          <w:szCs w:val="16"/>
        </w:rPr>
        <w:t>7. The right to adequate housing: forced evictions.’ (20 May 1997) UN Doc. E/1998/22. Para. 10</w:t>
      </w:r>
    </w:p>
  </w:footnote>
  <w:footnote w:id="48">
    <w:p w14:paraId="3751858A" w14:textId="756B2BB4" w:rsidR="00903658" w:rsidRPr="000E5763" w:rsidRDefault="00903658" w:rsidP="001F325B">
      <w:pPr>
        <w:pStyle w:val="FootnoteText"/>
        <w:spacing w:before="0" w:beforeAutospacing="0" w:after="0" w:afterAutospacing="0"/>
        <w:contextualSpacing/>
        <w:rPr>
          <w:rFonts w:ascii="Calibri" w:hAnsi="Calibri" w:cs="Calibri"/>
          <w:sz w:val="16"/>
          <w:szCs w:val="16"/>
          <w:highlight w:val="yellow"/>
        </w:rPr>
      </w:pPr>
      <w:r w:rsidRPr="000E5763">
        <w:rPr>
          <w:rStyle w:val="FootnoteReference"/>
          <w:rFonts w:ascii="Calibri" w:hAnsi="Calibri" w:cs="Calibri"/>
          <w:sz w:val="16"/>
          <w:szCs w:val="16"/>
        </w:rPr>
        <w:footnoteRef/>
      </w:r>
      <w:r w:rsidRPr="000E5763">
        <w:rPr>
          <w:rFonts w:ascii="Calibri" w:hAnsi="Calibri" w:cs="Calibri"/>
          <w:sz w:val="16"/>
          <w:szCs w:val="16"/>
        </w:rPr>
        <w:t xml:space="preserve"> </w:t>
      </w:r>
      <w:r w:rsidR="008B7484" w:rsidRPr="000E5763">
        <w:rPr>
          <w:rFonts w:ascii="Calibri" w:hAnsi="Calibri" w:cs="Calibri"/>
          <w:sz w:val="16"/>
          <w:szCs w:val="16"/>
        </w:rPr>
        <w:t xml:space="preserve">M.S. </w:t>
      </w:r>
      <w:proofErr w:type="spellStart"/>
      <w:r w:rsidR="008B7484" w:rsidRPr="000E5763">
        <w:rPr>
          <w:rFonts w:ascii="Calibri" w:hAnsi="Calibri" w:cs="Calibri"/>
          <w:sz w:val="16"/>
          <w:szCs w:val="16"/>
        </w:rPr>
        <w:t>Khudyk</w:t>
      </w:r>
      <w:proofErr w:type="spellEnd"/>
      <w:r w:rsidR="008B7484" w:rsidRPr="000E5763">
        <w:rPr>
          <w:rFonts w:ascii="Calibri" w:hAnsi="Calibri" w:cs="Calibri"/>
          <w:sz w:val="16"/>
          <w:szCs w:val="16"/>
        </w:rPr>
        <w:t xml:space="preserve"> et al., ‘Overview of Judicial Mechanisms to Support Key Populations in Five Cities: Almaty, </w:t>
      </w:r>
      <w:proofErr w:type="spellStart"/>
      <w:r w:rsidR="008B7484" w:rsidRPr="000E5763">
        <w:rPr>
          <w:rFonts w:ascii="Calibri" w:hAnsi="Calibri" w:cs="Calibri"/>
          <w:sz w:val="16"/>
          <w:szCs w:val="16"/>
        </w:rPr>
        <w:t>Belci</w:t>
      </w:r>
      <w:proofErr w:type="spellEnd"/>
      <w:r w:rsidR="008B7484" w:rsidRPr="000E5763">
        <w:rPr>
          <w:rFonts w:ascii="Calibri" w:hAnsi="Calibri" w:cs="Calibri"/>
          <w:sz w:val="16"/>
          <w:szCs w:val="16"/>
        </w:rPr>
        <w:t xml:space="preserve">, Odessa, Sofia, and </w:t>
      </w:r>
      <w:proofErr w:type="spellStart"/>
      <w:r w:rsidR="008B7484" w:rsidRPr="000E5763">
        <w:rPr>
          <w:rFonts w:ascii="Calibri" w:hAnsi="Calibri" w:cs="Calibri"/>
          <w:sz w:val="16"/>
          <w:szCs w:val="16"/>
        </w:rPr>
        <w:t>Tiblisi</w:t>
      </w:r>
      <w:proofErr w:type="spellEnd"/>
      <w:r w:rsidR="008B7484" w:rsidRPr="000E5763">
        <w:rPr>
          <w:rFonts w:ascii="Calibri" w:hAnsi="Calibri" w:cs="Calibri"/>
          <w:sz w:val="16"/>
          <w:szCs w:val="16"/>
        </w:rPr>
        <w:t>. Sofia case study’, p. 6</w:t>
      </w:r>
      <w:r w:rsidR="001F325B" w:rsidRPr="000E5763">
        <w:rPr>
          <w:rFonts w:ascii="Calibri" w:hAnsi="Calibri" w:cs="Calibri"/>
          <w:sz w:val="16"/>
          <w:szCs w:val="16"/>
        </w:rPr>
        <w:t xml:space="preserve">. </w:t>
      </w:r>
      <w:r w:rsidR="001F325B" w:rsidRPr="000E5763">
        <w:rPr>
          <w:rFonts w:ascii="Calibri" w:hAnsi="Calibri" w:cs="Calibri"/>
          <w:sz w:val="16"/>
          <w:szCs w:val="16"/>
        </w:rPr>
        <w:t xml:space="preserve">Draft report prepared under the project ‘project "Fast-track TB/HIV responses for key populations in EECA cities" (more information available here: </w:t>
      </w:r>
      <w:hyperlink r:id="rId11" w:history="1">
        <w:r w:rsidR="001F325B" w:rsidRPr="000E5763">
          <w:rPr>
            <w:rStyle w:val="Hyperlink"/>
            <w:rFonts w:ascii="Calibri" w:hAnsi="Calibri" w:cs="Calibri"/>
            <w:sz w:val="16"/>
            <w:szCs w:val="16"/>
          </w:rPr>
          <w:t>http://hivtbcities.org/en/</w:t>
        </w:r>
      </w:hyperlink>
      <w:r w:rsidR="001F325B" w:rsidRPr="000E5763">
        <w:rPr>
          <w:rFonts w:ascii="Calibri" w:hAnsi="Calibri" w:cs="Calibri"/>
          <w:sz w:val="16"/>
          <w:szCs w:val="16"/>
        </w:rPr>
        <w:t>)</w:t>
      </w:r>
    </w:p>
  </w:footnote>
  <w:footnote w:id="49">
    <w:p w14:paraId="4D7CBE72" w14:textId="6B18F73B" w:rsidR="00D1605F" w:rsidRPr="000E5763" w:rsidRDefault="00D1605F" w:rsidP="00EC558C">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w:t>
      </w:r>
      <w:r w:rsidR="008B7484" w:rsidRPr="000E5763">
        <w:rPr>
          <w:rFonts w:ascii="Calibri" w:hAnsi="Calibri" w:cs="Calibri"/>
          <w:sz w:val="16"/>
          <w:szCs w:val="16"/>
        </w:rPr>
        <w:t>Ibid.</w:t>
      </w:r>
    </w:p>
    <w:p w14:paraId="03503EE3" w14:textId="77777777" w:rsidR="00EC558C" w:rsidRPr="000E5763" w:rsidRDefault="00D1605F" w:rsidP="00EC558C">
      <w:pPr>
        <w:spacing w:after="0" w:line="240" w:lineRule="auto"/>
        <w:contextualSpacing/>
        <w:rPr>
          <w:rFonts w:ascii="Calibri" w:hAnsi="Calibri" w:cs="Calibri"/>
          <w:sz w:val="16"/>
          <w:szCs w:val="16"/>
        </w:rPr>
      </w:pPr>
      <w:r w:rsidRPr="000E5763">
        <w:rPr>
          <w:rFonts w:ascii="Calibri" w:hAnsi="Calibri" w:cs="Calibri"/>
          <w:sz w:val="16"/>
          <w:szCs w:val="16"/>
        </w:rPr>
        <w:t>All of the questions are fille</w:t>
      </w:r>
      <w:r w:rsidR="00EC558C" w:rsidRPr="000E5763">
        <w:rPr>
          <w:rFonts w:ascii="Calibri" w:hAnsi="Calibri" w:cs="Calibri"/>
          <w:sz w:val="16"/>
          <w:szCs w:val="16"/>
        </w:rPr>
        <w:t xml:space="preserve">d in a "social" drop-in </w:t>
      </w:r>
      <w:proofErr w:type="spellStart"/>
      <w:r w:rsidR="00EC558C" w:rsidRPr="000E5763">
        <w:rPr>
          <w:rFonts w:ascii="Calibri" w:hAnsi="Calibri" w:cs="Calibri"/>
          <w:sz w:val="16"/>
          <w:szCs w:val="16"/>
        </w:rPr>
        <w:t>center</w:t>
      </w:r>
      <w:proofErr w:type="spellEnd"/>
      <w:r w:rsidR="00EC558C" w:rsidRPr="000E5763">
        <w:rPr>
          <w:rFonts w:ascii="Calibri" w:hAnsi="Calibri" w:cs="Calibri"/>
          <w:sz w:val="16"/>
          <w:szCs w:val="16"/>
        </w:rPr>
        <w:t xml:space="preserve">. </w:t>
      </w:r>
      <w:r w:rsidRPr="000E5763">
        <w:rPr>
          <w:rFonts w:ascii="Calibri" w:hAnsi="Calibri" w:cs="Calibri"/>
          <w:sz w:val="16"/>
          <w:szCs w:val="16"/>
        </w:rPr>
        <w:t>All of the participants are</w:t>
      </w:r>
      <w:r w:rsidR="00EC558C" w:rsidRPr="000E5763">
        <w:rPr>
          <w:rFonts w:ascii="Calibri" w:hAnsi="Calibri" w:cs="Calibri"/>
          <w:sz w:val="16"/>
          <w:szCs w:val="16"/>
        </w:rPr>
        <w:t xml:space="preserve"> people who use drugs, and most of them are injecting drugs. Some of them </w:t>
      </w:r>
      <w:proofErr w:type="spellStart"/>
      <w:r w:rsidR="00EC558C" w:rsidRPr="000E5763">
        <w:rPr>
          <w:rFonts w:ascii="Calibri" w:hAnsi="Calibri" w:cs="Calibri"/>
          <w:sz w:val="16"/>
          <w:szCs w:val="16"/>
        </w:rPr>
        <w:t>aare</w:t>
      </w:r>
      <w:proofErr w:type="spellEnd"/>
      <w:r w:rsidR="00EC558C" w:rsidRPr="000E5763">
        <w:rPr>
          <w:rFonts w:ascii="Calibri" w:hAnsi="Calibri" w:cs="Calibri"/>
          <w:sz w:val="16"/>
          <w:szCs w:val="16"/>
        </w:rPr>
        <w:t xml:space="preserve"> men who have sex with men, sex workers, and/or living with HIV. </w:t>
      </w:r>
      <w:r w:rsidRPr="000E5763">
        <w:rPr>
          <w:rFonts w:ascii="Calibri" w:hAnsi="Calibri" w:cs="Calibri"/>
          <w:sz w:val="16"/>
          <w:szCs w:val="16"/>
        </w:rPr>
        <w:t>  </w:t>
      </w:r>
      <w:r w:rsidRPr="000E5763">
        <w:rPr>
          <w:rFonts w:ascii="Calibri" w:hAnsi="Calibri" w:cs="Calibri"/>
          <w:sz w:val="16"/>
          <w:szCs w:val="16"/>
        </w:rPr>
        <w:br/>
      </w:r>
      <w:r w:rsidR="00EC558C" w:rsidRPr="000E5763">
        <w:rPr>
          <w:rFonts w:ascii="Calibri" w:hAnsi="Calibri" w:cs="Calibri"/>
          <w:sz w:val="16"/>
          <w:szCs w:val="16"/>
        </w:rPr>
        <w:t>Gender and ethnicity breakdown:</w:t>
      </w:r>
    </w:p>
    <w:p w14:paraId="6B4D50B0" w14:textId="1177B1BF" w:rsidR="00EC558C" w:rsidRPr="000E5763" w:rsidRDefault="00EC558C" w:rsidP="00571413">
      <w:pPr>
        <w:pStyle w:val="ListParagraph"/>
        <w:numPr>
          <w:ilvl w:val="0"/>
          <w:numId w:val="19"/>
        </w:numPr>
        <w:spacing w:after="0" w:line="240" w:lineRule="auto"/>
        <w:rPr>
          <w:rFonts w:ascii="Calibri" w:hAnsi="Calibri" w:cs="Calibri"/>
          <w:sz w:val="16"/>
          <w:szCs w:val="16"/>
        </w:rPr>
      </w:pPr>
      <w:r w:rsidRPr="000E5763">
        <w:rPr>
          <w:rFonts w:ascii="Calibri" w:hAnsi="Calibri" w:cs="Calibri"/>
          <w:sz w:val="16"/>
          <w:szCs w:val="16"/>
        </w:rPr>
        <w:t>Males - Roma background: 53; Bulgarian background: 49; Other: 1</w:t>
      </w:r>
    </w:p>
    <w:p w14:paraId="042C4C81" w14:textId="6249FAAC" w:rsidR="00D1605F" w:rsidRPr="000E5763" w:rsidRDefault="00EC558C" w:rsidP="00EC558C">
      <w:pPr>
        <w:pStyle w:val="ListParagraph"/>
        <w:numPr>
          <w:ilvl w:val="0"/>
          <w:numId w:val="19"/>
        </w:numPr>
        <w:spacing w:after="0" w:line="240" w:lineRule="auto"/>
        <w:rPr>
          <w:rFonts w:ascii="Calibri" w:hAnsi="Calibri" w:cs="Calibri"/>
          <w:sz w:val="16"/>
          <w:szCs w:val="16"/>
        </w:rPr>
      </w:pPr>
      <w:r w:rsidRPr="000E5763">
        <w:rPr>
          <w:rFonts w:ascii="Calibri" w:hAnsi="Calibri" w:cs="Calibri"/>
          <w:sz w:val="16"/>
          <w:szCs w:val="16"/>
        </w:rPr>
        <w:t xml:space="preserve">Females – Roma background: 26; Bulgarian background: 26; Other: 3 </w:t>
      </w:r>
    </w:p>
  </w:footnote>
  <w:footnote w:id="50">
    <w:p w14:paraId="54F07CAD" w14:textId="23078779" w:rsidR="00EC16DD" w:rsidRPr="000E5763" w:rsidRDefault="00EC16DD" w:rsidP="00EC558C">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w:t>
      </w:r>
      <w:r w:rsidR="00EC558C" w:rsidRPr="000E5763">
        <w:rPr>
          <w:rFonts w:ascii="Calibri" w:hAnsi="Calibri" w:cs="Calibri"/>
          <w:sz w:val="16"/>
          <w:szCs w:val="16"/>
        </w:rPr>
        <w:t>UN General Assembly, </w:t>
      </w:r>
      <w:r w:rsidR="00EC558C" w:rsidRPr="000E5763">
        <w:rPr>
          <w:rFonts w:ascii="Calibri" w:hAnsi="Calibri" w:cs="Calibri"/>
          <w:i/>
          <w:iCs/>
          <w:sz w:val="16"/>
          <w:szCs w:val="16"/>
        </w:rPr>
        <w:t>International Covenant on Economic, Social and Cultural Rights</w:t>
      </w:r>
      <w:r w:rsidR="00EC558C" w:rsidRPr="000E5763">
        <w:rPr>
          <w:rFonts w:ascii="Calibri" w:hAnsi="Calibri" w:cs="Calibri"/>
          <w:sz w:val="16"/>
          <w:szCs w:val="16"/>
        </w:rPr>
        <w:t>, 16 December 1966, United Nations, Treaty Series, Vol. 993. Article 11</w:t>
      </w:r>
    </w:p>
  </w:footnote>
  <w:footnote w:id="51">
    <w:p w14:paraId="285F7B5C" w14:textId="07FFCB8A" w:rsidR="00EC16DD" w:rsidRPr="000E5763" w:rsidRDefault="00EC16DD" w:rsidP="00EC558C">
      <w:pPr>
        <w:pStyle w:val="FootnoteText"/>
        <w:spacing w:before="0" w:beforeAutospacing="0" w:after="0" w:afterAutospacing="0"/>
        <w:contextualSpacing/>
        <w:rPr>
          <w:rFonts w:ascii="Calibri" w:hAnsi="Calibri" w:cs="Calibri"/>
          <w:sz w:val="16"/>
          <w:szCs w:val="16"/>
        </w:rPr>
      </w:pPr>
      <w:r w:rsidRPr="000E5763">
        <w:rPr>
          <w:rStyle w:val="FootnoteReference"/>
          <w:rFonts w:ascii="Calibri" w:hAnsi="Calibri" w:cs="Calibri"/>
          <w:sz w:val="16"/>
          <w:szCs w:val="16"/>
        </w:rPr>
        <w:footnoteRef/>
      </w:r>
      <w:r w:rsidRPr="000E5763">
        <w:rPr>
          <w:rFonts w:ascii="Calibri" w:hAnsi="Calibri" w:cs="Calibri"/>
          <w:sz w:val="16"/>
          <w:szCs w:val="16"/>
        </w:rPr>
        <w:t xml:space="preserve"> </w:t>
      </w:r>
      <w:r w:rsidR="00EC558C" w:rsidRPr="000E5763">
        <w:rPr>
          <w:rFonts w:ascii="Calibri" w:hAnsi="Calibri" w:cs="Calibri"/>
          <w:sz w:val="16"/>
          <w:szCs w:val="16"/>
        </w:rPr>
        <w:t>Ibid., Article</w:t>
      </w:r>
      <w:r w:rsidRPr="000E5763">
        <w:rPr>
          <w:rFonts w:ascii="Calibri" w:hAnsi="Calibri" w:cs="Calibri"/>
          <w:sz w:val="16"/>
          <w:szCs w:val="16"/>
        </w:rPr>
        <w:t xml:space="preserve"> 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E5BA" w14:textId="77777777" w:rsidR="00AB1475" w:rsidRDefault="00AB1475">
    <w:pPr>
      <w:pStyle w:val="Header"/>
    </w:pPr>
    <w:r>
      <w:rPr>
        <w:rFonts w:cstheme="minorHAnsi"/>
        <w:b/>
        <w:noProof/>
        <w:sz w:val="26"/>
        <w:szCs w:val="26"/>
        <w:u w:val="single"/>
        <w:lang w:eastAsia="en-GB" w:bidi="bn-IN"/>
      </w:rPr>
      <w:drawing>
        <wp:anchor distT="0" distB="0" distL="114300" distR="114300" simplePos="0" relativeHeight="251658240" behindDoc="1" locked="0" layoutInCell="1" allowOverlap="1" wp14:anchorId="77DCA5E5" wp14:editId="66D53761">
          <wp:simplePos x="0" y="0"/>
          <wp:positionH relativeFrom="column">
            <wp:posOffset>3771900</wp:posOffset>
          </wp:positionH>
          <wp:positionV relativeFrom="paragraph">
            <wp:posOffset>-176530</wp:posOffset>
          </wp:positionV>
          <wp:extent cx="1922780" cy="61341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orHP_VectorLogoBurpleBG_v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2780" cy="613410"/>
                  </a:xfrm>
                  <a:prstGeom prst="rect">
                    <a:avLst/>
                  </a:prstGeom>
                </pic:spPr>
              </pic:pic>
            </a:graphicData>
          </a:graphic>
        </wp:anchor>
      </w:drawing>
    </w:r>
    <w:r w:rsidRPr="002B416D">
      <w:rPr>
        <w:rFonts w:ascii="Calibri" w:hAnsi="Calibri" w:cs="Calibri"/>
        <w:noProof/>
        <w:color w:val="7F7F7F"/>
        <w:spacing w:val="-1"/>
        <w:sz w:val="20"/>
        <w:szCs w:val="20"/>
        <w:lang w:eastAsia="en-GB" w:bidi="bn-IN"/>
      </w:rPr>
      <w:drawing>
        <wp:inline distT="0" distB="0" distL="0" distR="0" wp14:anchorId="1CBA6160" wp14:editId="35367140">
          <wp:extent cx="1993900" cy="48218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17378" cy="48786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6D304" w14:textId="77777777" w:rsidR="00AB1475" w:rsidRDefault="00AB1475">
    <w:pPr>
      <w:pStyle w:val="Header"/>
    </w:pPr>
  </w:p>
  <w:p w14:paraId="63EA4F7D" w14:textId="77777777" w:rsidR="00AB1475" w:rsidRDefault="00AB14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B21"/>
    <w:multiLevelType w:val="hybridMultilevel"/>
    <w:tmpl w:val="F23A51AA"/>
    <w:lvl w:ilvl="0" w:tplc="3258CD8C">
      <w:start w:val="1"/>
      <w:numFmt w:val="decimal"/>
      <w:lvlText w:val="%1."/>
      <w:lvlJc w:val="left"/>
      <w:pPr>
        <w:ind w:left="720" w:hanging="360"/>
      </w:pPr>
      <w:rPr>
        <w:b w:val="0"/>
        <w:bCs w:val="0"/>
      </w:rPr>
    </w:lvl>
    <w:lvl w:ilvl="1" w:tplc="588C7FAE">
      <w:start w:val="7"/>
      <w:numFmt w:val="bullet"/>
      <w:lvlText w:val="-"/>
      <w:lvlJc w:val="left"/>
      <w:pPr>
        <w:ind w:left="1440" w:hanging="360"/>
      </w:pPr>
      <w:rPr>
        <w:rFonts w:ascii="Calibri" w:eastAsiaTheme="minorHAnsi" w:hAnsi="Calibri" w:cs="Calibr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C370A"/>
    <w:multiLevelType w:val="hybridMultilevel"/>
    <w:tmpl w:val="C91E2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D751E"/>
    <w:multiLevelType w:val="hybridMultilevel"/>
    <w:tmpl w:val="732254EC"/>
    <w:lvl w:ilvl="0" w:tplc="900C9C34">
      <w:start w:val="19"/>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C12C8"/>
    <w:multiLevelType w:val="hybridMultilevel"/>
    <w:tmpl w:val="6A103F7E"/>
    <w:lvl w:ilvl="0" w:tplc="9202C3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85D4C"/>
    <w:multiLevelType w:val="hybridMultilevel"/>
    <w:tmpl w:val="ED28CC56"/>
    <w:lvl w:ilvl="0" w:tplc="AFF4B12E">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794706"/>
    <w:multiLevelType w:val="hybridMultilevel"/>
    <w:tmpl w:val="00484A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5060BD"/>
    <w:multiLevelType w:val="hybridMultilevel"/>
    <w:tmpl w:val="90383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E11417"/>
    <w:multiLevelType w:val="hybridMultilevel"/>
    <w:tmpl w:val="BA82A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661A88"/>
    <w:multiLevelType w:val="hybridMultilevel"/>
    <w:tmpl w:val="DDDA7060"/>
    <w:lvl w:ilvl="0" w:tplc="FF865D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5113F"/>
    <w:multiLevelType w:val="hybridMultilevel"/>
    <w:tmpl w:val="9B1038DE"/>
    <w:lvl w:ilvl="0" w:tplc="DCC65C1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2A0E99"/>
    <w:multiLevelType w:val="hybridMultilevel"/>
    <w:tmpl w:val="339C7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7E2150"/>
    <w:multiLevelType w:val="hybridMultilevel"/>
    <w:tmpl w:val="42366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BE3F8B"/>
    <w:multiLevelType w:val="hybridMultilevel"/>
    <w:tmpl w:val="CF64D354"/>
    <w:lvl w:ilvl="0" w:tplc="3258CD8C">
      <w:start w:val="1"/>
      <w:numFmt w:val="decimal"/>
      <w:lvlText w:val="%1."/>
      <w:lvlJc w:val="left"/>
      <w:pPr>
        <w:ind w:left="720" w:hanging="360"/>
      </w:pPr>
      <w:rPr>
        <w:b w:val="0"/>
        <w:bCs w:val="0"/>
      </w:rPr>
    </w:lvl>
    <w:lvl w:ilvl="1" w:tplc="588C7FAE">
      <w:start w:val="7"/>
      <w:numFmt w:val="bullet"/>
      <w:lvlText w:val="-"/>
      <w:lvlJc w:val="left"/>
      <w:pPr>
        <w:ind w:left="1440" w:hanging="360"/>
      </w:pPr>
      <w:rPr>
        <w:rFonts w:ascii="Calibri" w:eastAsiaTheme="minorHAnsi" w:hAnsi="Calibri" w:cs="Calibr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9751AA"/>
    <w:multiLevelType w:val="hybridMultilevel"/>
    <w:tmpl w:val="4CC0BAFC"/>
    <w:lvl w:ilvl="0" w:tplc="B8CAD132">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EF3F25"/>
    <w:multiLevelType w:val="hybridMultilevel"/>
    <w:tmpl w:val="B7FA713E"/>
    <w:lvl w:ilvl="0" w:tplc="DCC65C1A">
      <w:start w:val="16"/>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993A9E"/>
    <w:multiLevelType w:val="hybridMultilevel"/>
    <w:tmpl w:val="E68E7FE4"/>
    <w:lvl w:ilvl="0" w:tplc="08090013">
      <w:start w:val="1"/>
      <w:numFmt w:val="upp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62E16B6"/>
    <w:multiLevelType w:val="hybridMultilevel"/>
    <w:tmpl w:val="55CA9FB0"/>
    <w:lvl w:ilvl="0" w:tplc="6636852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8253E"/>
    <w:multiLevelType w:val="hybridMultilevel"/>
    <w:tmpl w:val="CD667EDA"/>
    <w:lvl w:ilvl="0" w:tplc="588C7FA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244784"/>
    <w:multiLevelType w:val="hybridMultilevel"/>
    <w:tmpl w:val="14182D7A"/>
    <w:lvl w:ilvl="0" w:tplc="1A301F3E">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7B432D"/>
    <w:multiLevelType w:val="hybridMultilevel"/>
    <w:tmpl w:val="09C66D0A"/>
    <w:lvl w:ilvl="0" w:tplc="B8CAD132">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18"/>
  </w:num>
  <w:num w:numId="4">
    <w:abstractNumId w:val="15"/>
  </w:num>
  <w:num w:numId="5">
    <w:abstractNumId w:val="3"/>
  </w:num>
  <w:num w:numId="6">
    <w:abstractNumId w:val="8"/>
  </w:num>
  <w:num w:numId="7">
    <w:abstractNumId w:val="6"/>
  </w:num>
  <w:num w:numId="8">
    <w:abstractNumId w:val="12"/>
  </w:num>
  <w:num w:numId="9">
    <w:abstractNumId w:val="5"/>
  </w:num>
  <w:num w:numId="10">
    <w:abstractNumId w:val="7"/>
  </w:num>
  <w:num w:numId="11">
    <w:abstractNumId w:val="1"/>
  </w:num>
  <w:num w:numId="12">
    <w:abstractNumId w:val="9"/>
  </w:num>
  <w:num w:numId="13">
    <w:abstractNumId w:val="11"/>
  </w:num>
  <w:num w:numId="14">
    <w:abstractNumId w:val="19"/>
  </w:num>
  <w:num w:numId="15">
    <w:abstractNumId w:val="13"/>
  </w:num>
  <w:num w:numId="16">
    <w:abstractNumId w:val="0"/>
  </w:num>
  <w:num w:numId="17">
    <w:abstractNumId w:val="4"/>
  </w:num>
  <w:num w:numId="18">
    <w:abstractNumId w:val="14"/>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0F"/>
    <w:rsid w:val="000014C3"/>
    <w:rsid w:val="00032A99"/>
    <w:rsid w:val="00047868"/>
    <w:rsid w:val="000863BA"/>
    <w:rsid w:val="000B47E7"/>
    <w:rsid w:val="000C270A"/>
    <w:rsid w:val="000E00F4"/>
    <w:rsid w:val="000E5763"/>
    <w:rsid w:val="00107453"/>
    <w:rsid w:val="00127A54"/>
    <w:rsid w:val="001355D4"/>
    <w:rsid w:val="00137734"/>
    <w:rsid w:val="00190C26"/>
    <w:rsid w:val="001D0276"/>
    <w:rsid w:val="001F325B"/>
    <w:rsid w:val="001F602F"/>
    <w:rsid w:val="001F79E8"/>
    <w:rsid w:val="00240FD8"/>
    <w:rsid w:val="002B66E9"/>
    <w:rsid w:val="002D4917"/>
    <w:rsid w:val="002F16AF"/>
    <w:rsid w:val="002F40C8"/>
    <w:rsid w:val="0030516E"/>
    <w:rsid w:val="003056BC"/>
    <w:rsid w:val="00310D77"/>
    <w:rsid w:val="0038189A"/>
    <w:rsid w:val="003825DA"/>
    <w:rsid w:val="003B771E"/>
    <w:rsid w:val="003E5267"/>
    <w:rsid w:val="003E7ADF"/>
    <w:rsid w:val="00407C54"/>
    <w:rsid w:val="004105C6"/>
    <w:rsid w:val="0041100F"/>
    <w:rsid w:val="00411380"/>
    <w:rsid w:val="00421A60"/>
    <w:rsid w:val="00421FEB"/>
    <w:rsid w:val="00447B43"/>
    <w:rsid w:val="00491184"/>
    <w:rsid w:val="004C32DB"/>
    <w:rsid w:val="004D78AF"/>
    <w:rsid w:val="004E3923"/>
    <w:rsid w:val="004F67EA"/>
    <w:rsid w:val="00503834"/>
    <w:rsid w:val="005164AA"/>
    <w:rsid w:val="005241BF"/>
    <w:rsid w:val="00546B76"/>
    <w:rsid w:val="00550107"/>
    <w:rsid w:val="00551732"/>
    <w:rsid w:val="005714C4"/>
    <w:rsid w:val="005A2011"/>
    <w:rsid w:val="005D6EFF"/>
    <w:rsid w:val="005F039D"/>
    <w:rsid w:val="00602D2D"/>
    <w:rsid w:val="0064327C"/>
    <w:rsid w:val="00660288"/>
    <w:rsid w:val="00667A06"/>
    <w:rsid w:val="00675E41"/>
    <w:rsid w:val="006963D7"/>
    <w:rsid w:val="006C4CEA"/>
    <w:rsid w:val="006D21FB"/>
    <w:rsid w:val="006D37E4"/>
    <w:rsid w:val="00710760"/>
    <w:rsid w:val="00734E0F"/>
    <w:rsid w:val="00782B74"/>
    <w:rsid w:val="007952EB"/>
    <w:rsid w:val="007C7026"/>
    <w:rsid w:val="007D2093"/>
    <w:rsid w:val="007F1DA7"/>
    <w:rsid w:val="007F23A2"/>
    <w:rsid w:val="007F5BB7"/>
    <w:rsid w:val="00801017"/>
    <w:rsid w:val="008029AE"/>
    <w:rsid w:val="008202FC"/>
    <w:rsid w:val="00830393"/>
    <w:rsid w:val="00832C80"/>
    <w:rsid w:val="008634E8"/>
    <w:rsid w:val="00867B09"/>
    <w:rsid w:val="00876337"/>
    <w:rsid w:val="008835F4"/>
    <w:rsid w:val="008B31C4"/>
    <w:rsid w:val="008B3FD6"/>
    <w:rsid w:val="008B7484"/>
    <w:rsid w:val="008E1ACD"/>
    <w:rsid w:val="008E2C0A"/>
    <w:rsid w:val="008E4AE1"/>
    <w:rsid w:val="008F7DEF"/>
    <w:rsid w:val="00900B08"/>
    <w:rsid w:val="00902EC6"/>
    <w:rsid w:val="00903658"/>
    <w:rsid w:val="00920021"/>
    <w:rsid w:val="00926B3C"/>
    <w:rsid w:val="00935ABE"/>
    <w:rsid w:val="009641A8"/>
    <w:rsid w:val="00972FA6"/>
    <w:rsid w:val="00992A10"/>
    <w:rsid w:val="009E1453"/>
    <w:rsid w:val="009F1092"/>
    <w:rsid w:val="009F414A"/>
    <w:rsid w:val="00A006D0"/>
    <w:rsid w:val="00A060AF"/>
    <w:rsid w:val="00A07B9D"/>
    <w:rsid w:val="00A140D1"/>
    <w:rsid w:val="00A154A4"/>
    <w:rsid w:val="00A1767E"/>
    <w:rsid w:val="00A23E6B"/>
    <w:rsid w:val="00A24A46"/>
    <w:rsid w:val="00A532AF"/>
    <w:rsid w:val="00A656A7"/>
    <w:rsid w:val="00A86EFF"/>
    <w:rsid w:val="00A902BD"/>
    <w:rsid w:val="00A90440"/>
    <w:rsid w:val="00AB1475"/>
    <w:rsid w:val="00AC62D5"/>
    <w:rsid w:val="00AD380E"/>
    <w:rsid w:val="00AE712F"/>
    <w:rsid w:val="00AF22F1"/>
    <w:rsid w:val="00B06FB5"/>
    <w:rsid w:val="00B1155B"/>
    <w:rsid w:val="00B3538F"/>
    <w:rsid w:val="00B55CBC"/>
    <w:rsid w:val="00B84FA0"/>
    <w:rsid w:val="00B94D4B"/>
    <w:rsid w:val="00BD7EBD"/>
    <w:rsid w:val="00C37715"/>
    <w:rsid w:val="00C642B0"/>
    <w:rsid w:val="00C75B85"/>
    <w:rsid w:val="00C97D9B"/>
    <w:rsid w:val="00CB3CA4"/>
    <w:rsid w:val="00CC37D4"/>
    <w:rsid w:val="00CC4EB5"/>
    <w:rsid w:val="00CC75D1"/>
    <w:rsid w:val="00D1605F"/>
    <w:rsid w:val="00D455DA"/>
    <w:rsid w:val="00D51A8A"/>
    <w:rsid w:val="00D90FEB"/>
    <w:rsid w:val="00DA0B36"/>
    <w:rsid w:val="00DA0B42"/>
    <w:rsid w:val="00DB6815"/>
    <w:rsid w:val="00DF70A4"/>
    <w:rsid w:val="00DF77E8"/>
    <w:rsid w:val="00E05C6C"/>
    <w:rsid w:val="00E067C3"/>
    <w:rsid w:val="00E204E8"/>
    <w:rsid w:val="00E51113"/>
    <w:rsid w:val="00E60E5F"/>
    <w:rsid w:val="00E86A84"/>
    <w:rsid w:val="00EA4EC2"/>
    <w:rsid w:val="00EA7107"/>
    <w:rsid w:val="00EC16DD"/>
    <w:rsid w:val="00EC558C"/>
    <w:rsid w:val="00EE39D7"/>
    <w:rsid w:val="00EF3681"/>
    <w:rsid w:val="00F1675B"/>
    <w:rsid w:val="00F22F6C"/>
    <w:rsid w:val="00F4106E"/>
    <w:rsid w:val="00F65577"/>
    <w:rsid w:val="00F950EE"/>
    <w:rsid w:val="00FB1C6A"/>
    <w:rsid w:val="00FB724C"/>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2F98"/>
  <w15:chartTrackingRefBased/>
  <w15:docId w15:val="{1199DB07-35D4-4AAE-910B-54D6CDEC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E0F"/>
  </w:style>
  <w:style w:type="paragraph" w:styleId="Heading1">
    <w:name w:val="heading 1"/>
    <w:basedOn w:val="Normal"/>
    <w:link w:val="Heading1Char"/>
    <w:uiPriority w:val="9"/>
    <w:qFormat/>
    <w:rsid w:val="008835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E0F"/>
    <w:pPr>
      <w:ind w:left="720"/>
      <w:contextualSpacing/>
    </w:pPr>
  </w:style>
  <w:style w:type="paragraph" w:styleId="FootnoteText">
    <w:name w:val="footnote text"/>
    <w:aliases w:val="ft,single space,5_G"/>
    <w:basedOn w:val="Normal"/>
    <w:link w:val="FootnoteTextChar1"/>
    <w:qFormat/>
    <w:rsid w:val="00734E0F"/>
    <w:pPr>
      <w:spacing w:before="100" w:beforeAutospacing="1" w:after="100" w:afterAutospacing="1" w:line="240" w:lineRule="auto"/>
      <w:jc w:val="both"/>
    </w:pPr>
    <w:rPr>
      <w:rFonts w:eastAsia="Times New Roman" w:cs="Times New Roman"/>
      <w:sz w:val="20"/>
      <w:szCs w:val="20"/>
      <w:lang w:eastAsia="en-GB"/>
    </w:rPr>
  </w:style>
  <w:style w:type="character" w:customStyle="1" w:styleId="FootnoteTextChar">
    <w:name w:val="Footnote Text Char"/>
    <w:aliases w:val="5_G Char"/>
    <w:basedOn w:val="DefaultParagraphFont"/>
    <w:rsid w:val="00734E0F"/>
    <w:rPr>
      <w:sz w:val="20"/>
      <w:szCs w:val="20"/>
    </w:rPr>
  </w:style>
  <w:style w:type="character" w:customStyle="1" w:styleId="FootnoteTextChar1">
    <w:name w:val="Footnote Text Char1"/>
    <w:aliases w:val="ft Char,single space Char,5_G Char1"/>
    <w:basedOn w:val="DefaultParagraphFont"/>
    <w:link w:val="FootnoteText"/>
    <w:uiPriority w:val="99"/>
    <w:rsid w:val="00734E0F"/>
    <w:rPr>
      <w:rFonts w:eastAsia="Times New Roman" w:cs="Times New Roman"/>
      <w:sz w:val="20"/>
      <w:szCs w:val="20"/>
      <w:lang w:eastAsia="en-GB"/>
    </w:rPr>
  </w:style>
  <w:style w:type="character" w:styleId="FootnoteReference">
    <w:name w:val="footnote reference"/>
    <w:aliases w:val="ftref,Footnotes refss,4_G,Footnote text,16 Point,Superscript 6 Point,Footnote + Arial,10 pt,Black,Footnote,(NECG) Footnote Reference,Footnote Text1,Ref,de nota al pie,Footnote number, BVI fnr,BVI fnr, BVI fnr Car Car,BVI fnr Car,Re,f"/>
    <w:link w:val="BVIfnrCarCharChar1CharCharCharChar"/>
    <w:uiPriority w:val="99"/>
    <w:qFormat/>
    <w:rsid w:val="00734E0F"/>
    <w:rPr>
      <w:vertAlign w:val="superscript"/>
    </w:rPr>
  </w:style>
  <w:style w:type="character" w:styleId="Hyperlink">
    <w:name w:val="Hyperlink"/>
    <w:basedOn w:val="DefaultParagraphFont"/>
    <w:uiPriority w:val="99"/>
    <w:unhideWhenUsed/>
    <w:rsid w:val="004D78AF"/>
    <w:rPr>
      <w:color w:val="0563C1" w:themeColor="hyperlink"/>
      <w:u w:val="single"/>
    </w:rPr>
  </w:style>
  <w:style w:type="paragraph" w:styleId="EndnoteText">
    <w:name w:val="endnote text"/>
    <w:basedOn w:val="Normal"/>
    <w:link w:val="EndnoteTextChar"/>
    <w:uiPriority w:val="99"/>
    <w:unhideWhenUsed/>
    <w:rsid w:val="00876337"/>
    <w:pPr>
      <w:spacing w:after="0" w:line="240" w:lineRule="auto"/>
    </w:pPr>
    <w:rPr>
      <w:rFonts w:eastAsia="Cambria" w:cs="Times New Roman"/>
      <w:sz w:val="18"/>
      <w:szCs w:val="24"/>
      <w:lang w:eastAsia="en-GB" w:bidi="he-IL"/>
    </w:rPr>
  </w:style>
  <w:style w:type="character" w:customStyle="1" w:styleId="EndnoteTextChar">
    <w:name w:val="Endnote Text Char"/>
    <w:basedOn w:val="DefaultParagraphFont"/>
    <w:link w:val="EndnoteText"/>
    <w:uiPriority w:val="99"/>
    <w:rsid w:val="00876337"/>
    <w:rPr>
      <w:rFonts w:eastAsia="Cambria" w:cs="Times New Roman"/>
      <w:sz w:val="18"/>
      <w:szCs w:val="24"/>
      <w:lang w:eastAsia="en-GB" w:bidi="he-IL"/>
    </w:rPr>
  </w:style>
  <w:style w:type="paragraph" w:customStyle="1" w:styleId="BVIfnrCarCharChar1CharCharCharChar">
    <w:name w:val="BVI fnr Car Char Char1 Char Char Char Char"/>
    <w:aliases w:val="BVI fnr Car Char Char Char Char Char Char,BVI fnr Car Car Car Char Char Char Char Char Char,BVI fnr Car Car Char Char Char Char Char Char"/>
    <w:basedOn w:val="Normal"/>
    <w:link w:val="FootnoteReference"/>
    <w:uiPriority w:val="99"/>
    <w:rsid w:val="00E067C3"/>
    <w:pPr>
      <w:spacing w:line="240" w:lineRule="exact"/>
    </w:pPr>
    <w:rPr>
      <w:vertAlign w:val="superscript"/>
    </w:rPr>
  </w:style>
  <w:style w:type="paragraph" w:customStyle="1" w:styleId="BodyText1">
    <w:name w:val="Body Text1"/>
    <w:rsid w:val="00DF77E8"/>
    <w:pPr>
      <w:spacing w:after="120"/>
    </w:pPr>
    <w:rPr>
      <w:rFonts w:ascii="Lucida Grande" w:eastAsia="ヒラギノ角ゴ Pro W3" w:hAnsi="Lucida Grande" w:cs="Times New Roman"/>
      <w:color w:val="000000"/>
      <w:szCs w:val="20"/>
      <w:lang w:eastAsia="en-GB"/>
    </w:rPr>
  </w:style>
  <w:style w:type="paragraph" w:styleId="Header">
    <w:name w:val="header"/>
    <w:basedOn w:val="Normal"/>
    <w:link w:val="HeaderChar"/>
    <w:uiPriority w:val="99"/>
    <w:unhideWhenUsed/>
    <w:rsid w:val="003E5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267"/>
  </w:style>
  <w:style w:type="paragraph" w:styleId="Footer">
    <w:name w:val="footer"/>
    <w:basedOn w:val="Normal"/>
    <w:link w:val="FooterChar"/>
    <w:uiPriority w:val="99"/>
    <w:unhideWhenUsed/>
    <w:rsid w:val="003E5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267"/>
  </w:style>
  <w:style w:type="character" w:styleId="CommentReference">
    <w:name w:val="annotation reference"/>
    <w:basedOn w:val="DefaultParagraphFont"/>
    <w:uiPriority w:val="99"/>
    <w:semiHidden/>
    <w:unhideWhenUsed/>
    <w:rsid w:val="004C32DB"/>
    <w:rPr>
      <w:sz w:val="16"/>
      <w:szCs w:val="16"/>
    </w:rPr>
  </w:style>
  <w:style w:type="paragraph" w:styleId="CommentText">
    <w:name w:val="annotation text"/>
    <w:basedOn w:val="Normal"/>
    <w:link w:val="CommentTextChar"/>
    <w:uiPriority w:val="99"/>
    <w:semiHidden/>
    <w:unhideWhenUsed/>
    <w:rsid w:val="004C32DB"/>
    <w:pPr>
      <w:spacing w:line="240" w:lineRule="auto"/>
    </w:pPr>
    <w:rPr>
      <w:sz w:val="20"/>
      <w:szCs w:val="20"/>
    </w:rPr>
  </w:style>
  <w:style w:type="character" w:customStyle="1" w:styleId="CommentTextChar">
    <w:name w:val="Comment Text Char"/>
    <w:basedOn w:val="DefaultParagraphFont"/>
    <w:link w:val="CommentText"/>
    <w:uiPriority w:val="99"/>
    <w:semiHidden/>
    <w:rsid w:val="004C32DB"/>
    <w:rPr>
      <w:sz w:val="20"/>
      <w:szCs w:val="20"/>
    </w:rPr>
  </w:style>
  <w:style w:type="paragraph" w:styleId="CommentSubject">
    <w:name w:val="annotation subject"/>
    <w:basedOn w:val="CommentText"/>
    <w:next w:val="CommentText"/>
    <w:link w:val="CommentSubjectChar"/>
    <w:uiPriority w:val="99"/>
    <w:semiHidden/>
    <w:unhideWhenUsed/>
    <w:rsid w:val="004C32DB"/>
    <w:rPr>
      <w:b/>
      <w:bCs/>
    </w:rPr>
  </w:style>
  <w:style w:type="character" w:customStyle="1" w:styleId="CommentSubjectChar">
    <w:name w:val="Comment Subject Char"/>
    <w:basedOn w:val="CommentTextChar"/>
    <w:link w:val="CommentSubject"/>
    <w:uiPriority w:val="99"/>
    <w:semiHidden/>
    <w:rsid w:val="004C32DB"/>
    <w:rPr>
      <w:b/>
      <w:bCs/>
      <w:sz w:val="20"/>
      <w:szCs w:val="20"/>
    </w:rPr>
  </w:style>
  <w:style w:type="paragraph" w:styleId="BalloonText">
    <w:name w:val="Balloon Text"/>
    <w:basedOn w:val="Normal"/>
    <w:link w:val="BalloonTextChar"/>
    <w:uiPriority w:val="99"/>
    <w:semiHidden/>
    <w:unhideWhenUsed/>
    <w:rsid w:val="004C3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2DB"/>
    <w:rPr>
      <w:rFonts w:ascii="Segoe UI" w:hAnsi="Segoe UI" w:cs="Segoe UI"/>
      <w:sz w:val="18"/>
      <w:szCs w:val="18"/>
    </w:rPr>
  </w:style>
  <w:style w:type="character" w:styleId="FollowedHyperlink">
    <w:name w:val="FollowedHyperlink"/>
    <w:basedOn w:val="DefaultParagraphFont"/>
    <w:uiPriority w:val="99"/>
    <w:semiHidden/>
    <w:unhideWhenUsed/>
    <w:rsid w:val="00F4106E"/>
    <w:rPr>
      <w:color w:val="954F72" w:themeColor="followedHyperlink"/>
      <w:u w:val="single"/>
    </w:rPr>
  </w:style>
  <w:style w:type="paragraph" w:customStyle="1" w:styleId="Default">
    <w:name w:val="Default"/>
    <w:rsid w:val="002D4917"/>
    <w:pPr>
      <w:autoSpaceDE w:val="0"/>
      <w:autoSpaceDN w:val="0"/>
      <w:adjustRightInd w:val="0"/>
      <w:spacing w:after="0" w:line="240" w:lineRule="auto"/>
    </w:pPr>
    <w:rPr>
      <w:rFonts w:ascii="Times New Roman" w:hAnsi="Times New Roman" w:cs="Times New Roman"/>
      <w:color w:val="000000"/>
      <w:sz w:val="24"/>
      <w:szCs w:val="24"/>
      <w:lang w:bidi="bn-IN"/>
    </w:rPr>
  </w:style>
  <w:style w:type="character" w:customStyle="1" w:styleId="entry-author-name">
    <w:name w:val="entry-author-name"/>
    <w:basedOn w:val="DefaultParagraphFont"/>
    <w:rsid w:val="008835F4"/>
  </w:style>
  <w:style w:type="character" w:customStyle="1" w:styleId="Heading1Char">
    <w:name w:val="Heading 1 Char"/>
    <w:basedOn w:val="DefaultParagraphFont"/>
    <w:link w:val="Heading1"/>
    <w:uiPriority w:val="9"/>
    <w:rsid w:val="008835F4"/>
    <w:rPr>
      <w:rFonts w:ascii="Times New Roman" w:eastAsia="Times New Roman" w:hAnsi="Times New Roman" w:cs="Times New Roman"/>
      <w:b/>
      <w:bCs/>
      <w:kern w:val="36"/>
      <w:sz w:val="48"/>
      <w:szCs w:val="48"/>
      <w:lang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54545">
      <w:bodyDiv w:val="1"/>
      <w:marLeft w:val="0"/>
      <w:marRight w:val="0"/>
      <w:marTop w:val="0"/>
      <w:marBottom w:val="0"/>
      <w:divBdr>
        <w:top w:val="none" w:sz="0" w:space="0" w:color="auto"/>
        <w:left w:val="none" w:sz="0" w:space="0" w:color="auto"/>
        <w:bottom w:val="none" w:sz="0" w:space="0" w:color="auto"/>
        <w:right w:val="none" w:sz="0" w:space="0" w:color="auto"/>
      </w:divBdr>
    </w:div>
    <w:div w:id="728723659">
      <w:bodyDiv w:val="1"/>
      <w:marLeft w:val="0"/>
      <w:marRight w:val="0"/>
      <w:marTop w:val="0"/>
      <w:marBottom w:val="0"/>
      <w:divBdr>
        <w:top w:val="none" w:sz="0" w:space="0" w:color="auto"/>
        <w:left w:val="none" w:sz="0" w:space="0" w:color="auto"/>
        <w:bottom w:val="none" w:sz="0" w:space="0" w:color="auto"/>
        <w:right w:val="none" w:sz="0" w:space="0" w:color="auto"/>
      </w:divBdr>
    </w:div>
    <w:div w:id="748311600">
      <w:bodyDiv w:val="1"/>
      <w:marLeft w:val="0"/>
      <w:marRight w:val="0"/>
      <w:marTop w:val="0"/>
      <w:marBottom w:val="0"/>
      <w:divBdr>
        <w:top w:val="none" w:sz="0" w:space="0" w:color="auto"/>
        <w:left w:val="none" w:sz="0" w:space="0" w:color="auto"/>
        <w:bottom w:val="none" w:sz="0" w:space="0" w:color="auto"/>
        <w:right w:val="none" w:sz="0" w:space="0" w:color="auto"/>
      </w:divBdr>
    </w:div>
    <w:div w:id="782070147">
      <w:bodyDiv w:val="1"/>
      <w:marLeft w:val="0"/>
      <w:marRight w:val="0"/>
      <w:marTop w:val="0"/>
      <w:marBottom w:val="0"/>
      <w:divBdr>
        <w:top w:val="none" w:sz="0" w:space="0" w:color="auto"/>
        <w:left w:val="none" w:sz="0" w:space="0" w:color="auto"/>
        <w:bottom w:val="none" w:sz="0" w:space="0" w:color="auto"/>
        <w:right w:val="none" w:sz="0" w:space="0" w:color="auto"/>
      </w:divBdr>
    </w:div>
    <w:div w:id="850147161">
      <w:bodyDiv w:val="1"/>
      <w:marLeft w:val="0"/>
      <w:marRight w:val="0"/>
      <w:marTop w:val="0"/>
      <w:marBottom w:val="0"/>
      <w:divBdr>
        <w:top w:val="none" w:sz="0" w:space="0" w:color="auto"/>
        <w:left w:val="none" w:sz="0" w:space="0" w:color="auto"/>
        <w:bottom w:val="none" w:sz="0" w:space="0" w:color="auto"/>
        <w:right w:val="none" w:sz="0" w:space="0" w:color="auto"/>
      </w:divBdr>
    </w:div>
    <w:div w:id="1050761522">
      <w:bodyDiv w:val="1"/>
      <w:marLeft w:val="0"/>
      <w:marRight w:val="0"/>
      <w:marTop w:val="0"/>
      <w:marBottom w:val="0"/>
      <w:divBdr>
        <w:top w:val="none" w:sz="0" w:space="0" w:color="auto"/>
        <w:left w:val="none" w:sz="0" w:space="0" w:color="auto"/>
        <w:bottom w:val="none" w:sz="0" w:space="0" w:color="auto"/>
        <w:right w:val="none" w:sz="0" w:space="0" w:color="auto"/>
      </w:divBdr>
      <w:divsChild>
        <w:div w:id="270893020">
          <w:marLeft w:val="0"/>
          <w:marRight w:val="0"/>
          <w:marTop w:val="0"/>
          <w:marBottom w:val="0"/>
          <w:divBdr>
            <w:top w:val="none" w:sz="0" w:space="0" w:color="auto"/>
            <w:left w:val="none" w:sz="0" w:space="0" w:color="auto"/>
            <w:bottom w:val="none" w:sz="0" w:space="0" w:color="auto"/>
            <w:right w:val="none" w:sz="0" w:space="0" w:color="auto"/>
          </w:divBdr>
        </w:div>
        <w:div w:id="1491870902">
          <w:marLeft w:val="0"/>
          <w:marRight w:val="0"/>
          <w:marTop w:val="0"/>
          <w:marBottom w:val="0"/>
          <w:divBdr>
            <w:top w:val="none" w:sz="0" w:space="0" w:color="auto"/>
            <w:left w:val="none" w:sz="0" w:space="0" w:color="auto"/>
            <w:bottom w:val="none" w:sz="0" w:space="0" w:color="auto"/>
            <w:right w:val="none" w:sz="0" w:space="0" w:color="auto"/>
          </w:divBdr>
        </w:div>
        <w:div w:id="1754355759">
          <w:marLeft w:val="0"/>
          <w:marRight w:val="0"/>
          <w:marTop w:val="0"/>
          <w:marBottom w:val="0"/>
          <w:divBdr>
            <w:top w:val="none" w:sz="0" w:space="0" w:color="auto"/>
            <w:left w:val="none" w:sz="0" w:space="0" w:color="auto"/>
            <w:bottom w:val="none" w:sz="0" w:space="0" w:color="auto"/>
            <w:right w:val="none" w:sz="0" w:space="0" w:color="auto"/>
          </w:divBdr>
        </w:div>
        <w:div w:id="935746665">
          <w:marLeft w:val="0"/>
          <w:marRight w:val="0"/>
          <w:marTop w:val="0"/>
          <w:marBottom w:val="0"/>
          <w:divBdr>
            <w:top w:val="none" w:sz="0" w:space="0" w:color="auto"/>
            <w:left w:val="none" w:sz="0" w:space="0" w:color="auto"/>
            <w:bottom w:val="none" w:sz="0" w:space="0" w:color="auto"/>
            <w:right w:val="none" w:sz="0" w:space="0" w:color="auto"/>
          </w:divBdr>
        </w:div>
        <w:div w:id="1071660188">
          <w:marLeft w:val="0"/>
          <w:marRight w:val="0"/>
          <w:marTop w:val="0"/>
          <w:marBottom w:val="0"/>
          <w:divBdr>
            <w:top w:val="none" w:sz="0" w:space="0" w:color="auto"/>
            <w:left w:val="none" w:sz="0" w:space="0" w:color="auto"/>
            <w:bottom w:val="none" w:sz="0" w:space="0" w:color="auto"/>
            <w:right w:val="none" w:sz="0" w:space="0" w:color="auto"/>
          </w:divBdr>
        </w:div>
        <w:div w:id="1075275041">
          <w:marLeft w:val="0"/>
          <w:marRight w:val="0"/>
          <w:marTop w:val="0"/>
          <w:marBottom w:val="0"/>
          <w:divBdr>
            <w:top w:val="none" w:sz="0" w:space="0" w:color="auto"/>
            <w:left w:val="none" w:sz="0" w:space="0" w:color="auto"/>
            <w:bottom w:val="none" w:sz="0" w:space="0" w:color="auto"/>
            <w:right w:val="none" w:sz="0" w:space="0" w:color="auto"/>
          </w:divBdr>
        </w:div>
      </w:divsChild>
    </w:div>
    <w:div w:id="1197159733">
      <w:bodyDiv w:val="1"/>
      <w:marLeft w:val="0"/>
      <w:marRight w:val="0"/>
      <w:marTop w:val="0"/>
      <w:marBottom w:val="0"/>
      <w:divBdr>
        <w:top w:val="none" w:sz="0" w:space="0" w:color="auto"/>
        <w:left w:val="none" w:sz="0" w:space="0" w:color="auto"/>
        <w:bottom w:val="none" w:sz="0" w:space="0" w:color="auto"/>
        <w:right w:val="none" w:sz="0" w:space="0" w:color="auto"/>
      </w:divBdr>
    </w:div>
    <w:div w:id="1436751190">
      <w:bodyDiv w:val="1"/>
      <w:marLeft w:val="0"/>
      <w:marRight w:val="0"/>
      <w:marTop w:val="0"/>
      <w:marBottom w:val="0"/>
      <w:divBdr>
        <w:top w:val="none" w:sz="0" w:space="0" w:color="auto"/>
        <w:left w:val="none" w:sz="0" w:space="0" w:color="auto"/>
        <w:bottom w:val="none" w:sz="0" w:space="0" w:color="auto"/>
        <w:right w:val="none" w:sz="0" w:space="0" w:color="auto"/>
      </w:divBdr>
    </w:div>
    <w:div w:id="17813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giada.girelli@hri.globa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hivtbcities.org/en/" TargetMode="External"/><Relationship Id="rId3" Type="http://schemas.openxmlformats.org/officeDocument/2006/relationships/hyperlink" Target="https://drogriporter.hu/en/author/sarosip/" TargetMode="External"/><Relationship Id="rId7" Type="http://schemas.openxmlformats.org/officeDocument/2006/relationships/hyperlink" Target="http://www.nap.bg/en/page?id=535" TargetMode="External"/><Relationship Id="rId2" Type="http://schemas.openxmlformats.org/officeDocument/2006/relationships/hyperlink" Target="https://drogriporter.hu/en/author/sarosip/" TargetMode="External"/><Relationship Id="rId1" Type="http://schemas.openxmlformats.org/officeDocument/2006/relationships/hyperlink" Target="http://www.globalfundadvocatesnetwork.org/wp-content/uploads/2015/10/EHRN-Bulgaria-global-fund-case-study-ENG.pdf" TargetMode="External"/><Relationship Id="rId6" Type="http://schemas.openxmlformats.org/officeDocument/2006/relationships/hyperlink" Target="https://drogriporter.hu/en/author/sarosip/" TargetMode="External"/><Relationship Id="rId11" Type="http://schemas.openxmlformats.org/officeDocument/2006/relationships/hyperlink" Target="http://hivtbcities.org/en/" TargetMode="External"/><Relationship Id="rId5" Type="http://schemas.openxmlformats.org/officeDocument/2006/relationships/hyperlink" Target="https://ecdc.europa.eu/sites/portal/files/documents/HIV%20STI%20and%20viral%20hepatitis%20Bulgaria%20Sep%20and%20nov%202016.pdf" TargetMode="External"/><Relationship Id="rId10" Type="http://schemas.openxmlformats.org/officeDocument/2006/relationships/hyperlink" Target="http://hivtbcities.org/en/" TargetMode="External"/><Relationship Id="rId4" Type="http://schemas.openxmlformats.org/officeDocument/2006/relationships/hyperlink" Target="http://www.unaids.org/en/regionscountries/countries/bulgaria" TargetMode="External"/><Relationship Id="rId9" Type="http://schemas.openxmlformats.org/officeDocument/2006/relationships/hyperlink" Target="https://drogriporter.hu/en/author/sarosi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46F5F0-EA28-4253-B518-5A5D7B5D312C}"/>
</file>

<file path=customXml/itemProps2.xml><?xml version="1.0" encoding="utf-8"?>
<ds:datastoreItem xmlns:ds="http://schemas.openxmlformats.org/officeDocument/2006/customXml" ds:itemID="{6D402ACE-E5A4-42CC-8531-146622F5B278}"/>
</file>

<file path=customXml/itemProps3.xml><?xml version="1.0" encoding="utf-8"?>
<ds:datastoreItem xmlns:ds="http://schemas.openxmlformats.org/officeDocument/2006/customXml" ds:itemID="{3C8EFC26-C291-4B4E-989C-0D72A9573776}"/>
</file>

<file path=customXml/itemProps4.xml><?xml version="1.0" encoding="utf-8"?>
<ds:datastoreItem xmlns:ds="http://schemas.openxmlformats.org/officeDocument/2006/customXml" ds:itemID="{CB385C12-F497-4D38-9806-1E4471FA3C14}"/>
</file>

<file path=docProps/app.xml><?xml version="1.0" encoding="utf-8"?>
<Properties xmlns="http://schemas.openxmlformats.org/officeDocument/2006/extended-properties" xmlns:vt="http://schemas.openxmlformats.org/officeDocument/2006/docPropsVTypes">
  <Template>Normal</Template>
  <TotalTime>97</TotalTime>
  <Pages>9</Pages>
  <Words>2719</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HRI</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Giada Girelli</dc:creator>
  <cp:keywords/>
  <dc:description/>
  <cp:lastModifiedBy>Giada Girelli</cp:lastModifiedBy>
  <cp:revision>4</cp:revision>
  <cp:lastPrinted>2019-01-18T16:03:00Z</cp:lastPrinted>
  <dcterms:created xsi:type="dcterms:W3CDTF">2019-01-16T12:02:00Z</dcterms:created>
  <dcterms:modified xsi:type="dcterms:W3CDTF">2019-01-18T16:05:00Z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