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0A72" w:rsidRDefault="00DA0A72" w:rsidP="00DA0A72">
      <w:pPr>
        <w:spacing w:after="0" w:line="240" w:lineRule="auto"/>
        <w:ind w:left="720" w:right="-1037"/>
        <w:rPr>
          <w:rFonts w:ascii="Lucida Sans" w:hAnsi="Lucida Sans"/>
          <w:b/>
          <w:iCs/>
          <w:smallCaps/>
          <w:color w:val="008000"/>
          <w:spacing w:val="14"/>
          <w:sz w:val="46"/>
          <w:szCs w:val="46"/>
        </w:rPr>
      </w:pPr>
      <w:r>
        <w:rPr>
          <w:rFonts w:ascii="Lucida Sans" w:hAnsi="Lucida Sans"/>
          <w:b/>
          <w:i/>
          <w:smallCaps/>
          <w:noProof/>
          <w:color w:val="008000"/>
          <w:sz w:val="48"/>
          <w:szCs w:val="48"/>
        </w:rPr>
        <w:drawing>
          <wp:anchor distT="0" distB="0" distL="114300" distR="114300" simplePos="0" relativeHeight="251659264" behindDoc="1" locked="1" layoutInCell="1" allowOverlap="1">
            <wp:simplePos x="0" y="0"/>
            <wp:positionH relativeFrom="column">
              <wp:posOffset>-638175</wp:posOffset>
            </wp:positionH>
            <wp:positionV relativeFrom="paragraph">
              <wp:posOffset>-423545</wp:posOffset>
            </wp:positionV>
            <wp:extent cx="1317625" cy="1196975"/>
            <wp:effectExtent l="0" t="0" r="0" b="3175"/>
            <wp:wrapNone/>
            <wp:docPr id="3" name="Picture 3" descr="Logo HIC-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HIC-w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17625" cy="1196975"/>
                    </a:xfrm>
                    <a:prstGeom prst="rect">
                      <a:avLst/>
                    </a:prstGeom>
                    <a:noFill/>
                    <a:ln>
                      <a:noFill/>
                    </a:ln>
                  </pic:spPr>
                </pic:pic>
              </a:graphicData>
            </a:graphic>
          </wp:anchor>
        </w:drawing>
      </w:r>
      <w:r>
        <w:rPr>
          <w:rFonts w:ascii="Lucida Sans" w:hAnsi="Lucida Sans"/>
          <w:b/>
          <w:i/>
          <w:smallCaps/>
          <w:color w:val="008000"/>
          <w:sz w:val="48"/>
          <w:szCs w:val="48"/>
        </w:rPr>
        <w:t xml:space="preserve">    </w:t>
      </w:r>
      <w:r>
        <w:rPr>
          <w:rFonts w:ascii="Lucida Sans" w:hAnsi="Lucida Sans"/>
          <w:b/>
          <w:i/>
          <w:smallCaps/>
          <w:color w:val="008000"/>
          <w:sz w:val="48"/>
          <w:szCs w:val="48"/>
        </w:rPr>
        <w:tab/>
      </w:r>
      <w:r w:rsidRPr="003B34FB">
        <w:rPr>
          <w:rFonts w:ascii="Lucida Sans" w:hAnsi="Lucida Sans"/>
          <w:b/>
          <w:iCs/>
          <w:smallCaps/>
          <w:color w:val="008000"/>
          <w:spacing w:val="14"/>
          <w:sz w:val="46"/>
          <w:szCs w:val="46"/>
        </w:rPr>
        <w:t>H</w:t>
      </w:r>
      <w:r>
        <w:rPr>
          <w:rFonts w:ascii="Lucida Sans" w:hAnsi="Lucida Sans"/>
          <w:b/>
          <w:iCs/>
          <w:smallCaps/>
          <w:color w:val="008000"/>
          <w:spacing w:val="14"/>
          <w:sz w:val="46"/>
          <w:szCs w:val="46"/>
        </w:rPr>
        <w:t>abitat International Coalition</w:t>
      </w:r>
    </w:p>
    <w:p w:rsidR="00DA0A72" w:rsidRPr="00711E32" w:rsidRDefault="00DA0A72" w:rsidP="00DA0A72">
      <w:pPr>
        <w:spacing w:line="240" w:lineRule="auto"/>
        <w:ind w:left="720" w:right="-1038"/>
        <w:rPr>
          <w:rFonts w:ascii="Lucida Sans" w:hAnsi="Lucida Sans"/>
          <w:bCs/>
          <w:iCs/>
          <w:color w:val="008000"/>
          <w:spacing w:val="14"/>
          <w:sz w:val="46"/>
          <w:szCs w:val="46"/>
        </w:rPr>
      </w:pPr>
      <w:r>
        <w:rPr>
          <w:rFonts w:ascii="Lucida Sans" w:hAnsi="Lucida Sans"/>
          <w:b/>
          <w:iCs/>
          <w:smallCaps/>
          <w:color w:val="008000"/>
          <w:spacing w:val="14"/>
          <w:sz w:val="46"/>
          <w:szCs w:val="46"/>
        </w:rPr>
        <w:tab/>
      </w:r>
      <w:r w:rsidRPr="00711E32">
        <w:rPr>
          <w:rFonts w:ascii="Lucida Sans" w:hAnsi="Lucida Sans"/>
          <w:bCs/>
          <w:iCs/>
          <w:color w:val="008000"/>
          <w:spacing w:val="14"/>
          <w:sz w:val="44"/>
          <w:szCs w:val="44"/>
        </w:rPr>
        <w:t>Housing and Land Rights Network</w:t>
      </w:r>
    </w:p>
    <w:p w:rsidR="00DA0A72" w:rsidRPr="005648E4" w:rsidRDefault="00DA0A72" w:rsidP="00DA0A72">
      <w:pPr>
        <w:pStyle w:val="Heading1"/>
        <w:spacing w:before="0" w:line="240" w:lineRule="auto"/>
        <w:ind w:right="-1038"/>
        <w:rPr>
          <w:rFonts w:ascii="Lucida Sans" w:hAnsi="Lucida Sans"/>
          <w:iCs/>
          <w:color w:val="000000"/>
          <w:spacing w:val="20"/>
          <w:sz w:val="28"/>
        </w:rPr>
      </w:pPr>
      <w:r>
        <w:rPr>
          <w:rFonts w:ascii="Lucida Sans" w:hAnsi="Lucida Sans"/>
          <w:iCs/>
          <w:color w:val="008000"/>
          <w:sz w:val="48"/>
          <w:szCs w:val="48"/>
        </w:rPr>
        <w:t xml:space="preserve"> </w:t>
      </w:r>
      <w:r>
        <w:rPr>
          <w:rFonts w:ascii="Lucida Sans" w:hAnsi="Lucida Sans"/>
          <w:i/>
          <w:color w:val="008000"/>
          <w:sz w:val="28"/>
        </w:rPr>
        <w:tab/>
      </w:r>
      <w:r w:rsidRPr="005648E4">
        <w:rPr>
          <w:rFonts w:ascii="Lucida Sans" w:hAnsi="Lucida Sans"/>
          <w:i/>
          <w:color w:val="008000"/>
          <w:sz w:val="28"/>
        </w:rPr>
        <w:t xml:space="preserve">      </w:t>
      </w:r>
    </w:p>
    <w:p w:rsidR="00DA0A72" w:rsidRDefault="00DA0A72" w:rsidP="00DA0A72">
      <w:pPr>
        <w:tabs>
          <w:tab w:val="left" w:pos="-720"/>
        </w:tabs>
        <w:suppressAutoHyphens/>
        <w:spacing w:after="0" w:line="240" w:lineRule="auto"/>
        <w:jc w:val="center"/>
        <w:rPr>
          <w:rFonts w:cstheme="minorHAnsi"/>
          <w:b/>
          <w:bCs/>
          <w:iCs/>
          <w:sz w:val="28"/>
          <w:szCs w:val="28"/>
        </w:rPr>
      </w:pPr>
      <w:r>
        <w:rPr>
          <w:rFonts w:cstheme="minorHAnsi"/>
          <w:b/>
          <w:bCs/>
          <w:iCs/>
          <w:sz w:val="28"/>
          <w:szCs w:val="28"/>
        </w:rPr>
        <w:t>Israel’s Implementation of</w:t>
      </w:r>
    </w:p>
    <w:p w:rsidR="00DA0A72" w:rsidRDefault="00DA0A72" w:rsidP="00DA0A72">
      <w:pPr>
        <w:tabs>
          <w:tab w:val="left" w:pos="-720"/>
        </w:tabs>
        <w:suppressAutoHyphens/>
        <w:spacing w:after="120" w:line="240" w:lineRule="auto"/>
        <w:jc w:val="center"/>
        <w:rPr>
          <w:rFonts w:cstheme="minorHAnsi"/>
          <w:b/>
          <w:bCs/>
          <w:iCs/>
          <w:sz w:val="28"/>
          <w:szCs w:val="28"/>
        </w:rPr>
      </w:pPr>
      <w:r>
        <w:rPr>
          <w:rFonts w:cstheme="minorHAnsi"/>
          <w:b/>
          <w:bCs/>
          <w:iCs/>
          <w:sz w:val="28"/>
          <w:szCs w:val="28"/>
        </w:rPr>
        <w:t>Covenant Rights and Obligations Related to Habitat</w:t>
      </w:r>
    </w:p>
    <w:p w:rsidR="00DA0A72" w:rsidRDefault="00DA0A72" w:rsidP="00DA0A72">
      <w:pPr>
        <w:tabs>
          <w:tab w:val="left" w:pos="-720"/>
        </w:tabs>
        <w:suppressAutoHyphens/>
        <w:spacing w:after="0" w:line="240" w:lineRule="auto"/>
        <w:jc w:val="center"/>
        <w:rPr>
          <w:rFonts w:cstheme="minorHAnsi"/>
          <w:iCs/>
        </w:rPr>
      </w:pPr>
      <w:r w:rsidRPr="005648E4">
        <w:rPr>
          <w:rFonts w:cstheme="minorHAnsi"/>
          <w:iCs/>
        </w:rPr>
        <w:t xml:space="preserve">Submission </w:t>
      </w:r>
      <w:r>
        <w:rPr>
          <w:rFonts w:cstheme="minorHAnsi"/>
          <w:iCs/>
        </w:rPr>
        <w:t xml:space="preserve">by </w:t>
      </w:r>
      <w:r w:rsidRPr="005648E4">
        <w:rPr>
          <w:rFonts w:cstheme="minorHAnsi"/>
          <w:iCs/>
        </w:rPr>
        <w:t>Habitat International Coalition’s</w:t>
      </w:r>
      <w:r>
        <w:rPr>
          <w:rFonts w:cstheme="minorHAnsi"/>
          <w:iCs/>
        </w:rPr>
        <w:t xml:space="preserve"> </w:t>
      </w:r>
    </w:p>
    <w:p w:rsidR="00DA0A72" w:rsidRPr="005648E4" w:rsidRDefault="00DA0A72" w:rsidP="00DA0A72">
      <w:pPr>
        <w:tabs>
          <w:tab w:val="left" w:pos="-720"/>
        </w:tabs>
        <w:suppressAutoHyphens/>
        <w:spacing w:after="0" w:line="240" w:lineRule="auto"/>
        <w:jc w:val="center"/>
        <w:rPr>
          <w:rFonts w:cstheme="minorHAnsi"/>
          <w:iCs/>
        </w:rPr>
      </w:pPr>
      <w:r>
        <w:rPr>
          <w:rFonts w:cstheme="minorHAnsi"/>
          <w:iCs/>
        </w:rPr>
        <w:t>Housing and Land Rights Network</w:t>
      </w:r>
    </w:p>
    <w:p w:rsidR="00DA0A72" w:rsidRPr="005648E4" w:rsidRDefault="00DA0A72" w:rsidP="00DA0A72">
      <w:pPr>
        <w:tabs>
          <w:tab w:val="left" w:pos="-720"/>
        </w:tabs>
        <w:suppressAutoHyphens/>
        <w:spacing w:after="0" w:line="240" w:lineRule="auto"/>
        <w:jc w:val="center"/>
        <w:rPr>
          <w:rFonts w:cstheme="minorHAnsi"/>
          <w:iCs/>
        </w:rPr>
      </w:pPr>
      <w:r w:rsidRPr="005648E4">
        <w:rPr>
          <w:rFonts w:cstheme="minorHAnsi"/>
          <w:iCs/>
        </w:rPr>
        <w:t>to</w:t>
      </w:r>
      <w:r>
        <w:rPr>
          <w:rFonts w:cstheme="minorHAnsi"/>
          <w:iCs/>
        </w:rPr>
        <w:t xml:space="preserve"> the</w:t>
      </w:r>
      <w:r w:rsidRPr="005648E4">
        <w:rPr>
          <w:rFonts w:cstheme="minorHAnsi"/>
          <w:iCs/>
        </w:rPr>
        <w:t xml:space="preserve"> Committee on Economic, Social and Cultural Rights</w:t>
      </w:r>
      <w:r w:rsidR="00592ECF">
        <w:rPr>
          <w:rFonts w:cstheme="minorHAnsi"/>
          <w:iCs/>
        </w:rPr>
        <w:t xml:space="preserve"> (CESCR)</w:t>
      </w:r>
    </w:p>
    <w:p w:rsidR="00DA0A72" w:rsidRPr="005648E4" w:rsidRDefault="00DA0A72" w:rsidP="00DA0A72">
      <w:pPr>
        <w:tabs>
          <w:tab w:val="left" w:pos="-720"/>
        </w:tabs>
        <w:suppressAutoHyphens/>
        <w:spacing w:after="0" w:line="240" w:lineRule="auto"/>
        <w:jc w:val="center"/>
        <w:rPr>
          <w:rFonts w:cstheme="minorHAnsi"/>
          <w:iCs/>
        </w:rPr>
      </w:pPr>
      <w:r w:rsidRPr="005648E4">
        <w:rPr>
          <w:rFonts w:cstheme="minorHAnsi"/>
          <w:iCs/>
        </w:rPr>
        <w:t>on the occasion of its review of the State of Israel</w:t>
      </w:r>
    </w:p>
    <w:p w:rsidR="00DA0A72" w:rsidRDefault="00DA0A72" w:rsidP="007C7DCB">
      <w:pPr>
        <w:tabs>
          <w:tab w:val="left" w:pos="-720"/>
        </w:tabs>
        <w:suppressAutoHyphens/>
        <w:spacing w:after="0" w:line="240" w:lineRule="auto"/>
        <w:jc w:val="center"/>
        <w:rPr>
          <w:rFonts w:cstheme="minorHAnsi"/>
          <w:iCs/>
        </w:rPr>
      </w:pPr>
      <w:r w:rsidRPr="00DE4B24">
        <w:rPr>
          <w:rFonts w:cstheme="minorHAnsi"/>
          <w:iCs/>
        </w:rPr>
        <w:t>6</w:t>
      </w:r>
      <w:r w:rsidR="007C7DCB">
        <w:rPr>
          <w:rFonts w:cstheme="minorHAnsi"/>
          <w:iCs/>
        </w:rPr>
        <w:t>6</w:t>
      </w:r>
      <w:r w:rsidRPr="00DA0A72">
        <w:rPr>
          <w:rFonts w:cstheme="minorHAnsi"/>
          <w:iCs/>
          <w:vertAlign w:val="superscript"/>
        </w:rPr>
        <w:t>th</w:t>
      </w:r>
      <w:r>
        <w:rPr>
          <w:rFonts w:cstheme="minorHAnsi"/>
          <w:iCs/>
        </w:rPr>
        <w:t xml:space="preserve"> </w:t>
      </w:r>
      <w:r w:rsidRPr="00DE4B24">
        <w:rPr>
          <w:rFonts w:cstheme="minorHAnsi"/>
          <w:iCs/>
        </w:rPr>
        <w:t>Session</w:t>
      </w:r>
      <w:r>
        <w:rPr>
          <w:rFonts w:cstheme="minorHAnsi"/>
          <w:iCs/>
        </w:rPr>
        <w:t xml:space="preserve">, 2–3 October </w:t>
      </w:r>
      <w:r w:rsidRPr="00DE4B24">
        <w:rPr>
          <w:rFonts w:cstheme="minorHAnsi"/>
          <w:iCs/>
        </w:rPr>
        <w:t>2019</w:t>
      </w:r>
    </w:p>
    <w:p w:rsidR="00DA0A72" w:rsidRPr="0028175B" w:rsidRDefault="00DA0A72" w:rsidP="00DA0A72">
      <w:pPr>
        <w:tabs>
          <w:tab w:val="left" w:pos="-720"/>
        </w:tabs>
        <w:suppressAutoHyphens/>
        <w:spacing w:after="0" w:line="240" w:lineRule="auto"/>
        <w:jc w:val="lowKashida"/>
        <w:rPr>
          <w:rFonts w:cstheme="minorHAnsi"/>
          <w:i/>
        </w:rPr>
      </w:pPr>
    </w:p>
    <w:p w:rsidR="00DA0A72" w:rsidRPr="00DB3096" w:rsidRDefault="00DA0A72" w:rsidP="00DA0A72">
      <w:pPr>
        <w:tabs>
          <w:tab w:val="left" w:pos="-720"/>
        </w:tabs>
        <w:suppressAutoHyphens/>
        <w:spacing w:after="0" w:line="240" w:lineRule="auto"/>
        <w:jc w:val="lowKashida"/>
        <w:rPr>
          <w:rFonts w:cstheme="minorHAnsi"/>
          <w:iCs/>
        </w:rPr>
      </w:pPr>
      <w:r>
        <w:rPr>
          <w:rFonts w:cstheme="minorHAnsi"/>
          <w:iCs/>
        </w:rPr>
        <w:tab/>
      </w:r>
    </w:p>
    <w:p w:rsidR="007C7DCB" w:rsidRDefault="00214F47" w:rsidP="00850C1D">
      <w:pPr>
        <w:spacing w:after="0" w:line="240" w:lineRule="auto"/>
        <w:jc w:val="both"/>
      </w:pPr>
      <w:r>
        <w:t xml:space="preserve">In June </w:t>
      </w:r>
      <w:r w:rsidR="00B43561">
        <w:t>2019, Israel’s H</w:t>
      </w:r>
      <w:r w:rsidRPr="00214F47">
        <w:t xml:space="preserve">igh </w:t>
      </w:r>
      <w:r w:rsidR="00B43561">
        <w:t>C</w:t>
      </w:r>
      <w:r w:rsidRPr="00214F47">
        <w:t xml:space="preserve">ourt of </w:t>
      </w:r>
      <w:r w:rsidR="00B43561">
        <w:t>J</w:t>
      </w:r>
      <w:r w:rsidRPr="00214F47">
        <w:t>ustice</w:t>
      </w:r>
      <w:r>
        <w:t xml:space="preserve"> </w:t>
      </w:r>
      <w:r w:rsidR="00592ECF">
        <w:t xml:space="preserve">(HCJ) </w:t>
      </w:r>
      <w:r>
        <w:t xml:space="preserve">approved </w:t>
      </w:r>
      <w:r w:rsidRPr="00214F47">
        <w:t>demolition orders for</w:t>
      </w:r>
      <w:r>
        <w:t xml:space="preserve"> 16 buildings that included 100 housing units </w:t>
      </w:r>
      <w:r w:rsidR="002C3858">
        <w:t>belonging to</w:t>
      </w:r>
      <w:r>
        <w:t xml:space="preserve"> Palestinian families in </w:t>
      </w:r>
      <w:r w:rsidR="00FD5FF2">
        <w:t>Sur Bahir</w:t>
      </w:r>
      <w:r w:rsidR="001142E8">
        <w:t>,</w:t>
      </w:r>
      <w:r>
        <w:t xml:space="preserve"> </w:t>
      </w:r>
      <w:r w:rsidR="00C15943">
        <w:t xml:space="preserve">a Palestinian </w:t>
      </w:r>
      <w:r w:rsidR="00B43561">
        <w:t xml:space="preserve">village of some </w:t>
      </w:r>
      <w:r w:rsidR="00C15943">
        <w:t>24,000</w:t>
      </w:r>
      <w:r>
        <w:t xml:space="preserve"> in </w:t>
      </w:r>
      <w:r w:rsidR="00B43561">
        <w:t xml:space="preserve">the </w:t>
      </w:r>
      <w:r>
        <w:t>West Bank</w:t>
      </w:r>
      <w:r w:rsidRPr="00214F47">
        <w:t xml:space="preserve"> </w:t>
      </w:r>
      <w:r w:rsidR="00FD5FF2">
        <w:t>that Israel ha</w:t>
      </w:r>
      <w:r w:rsidR="00592ECF">
        <w:t>d</w:t>
      </w:r>
      <w:r w:rsidR="00FD5FF2">
        <w:t xml:space="preserve"> absorbed in the unilaterally declared border of </w:t>
      </w:r>
      <w:r w:rsidR="00592ECF">
        <w:t xml:space="preserve">occupied </w:t>
      </w:r>
      <w:r w:rsidRPr="00214F47">
        <w:t>Jerusalem</w:t>
      </w:r>
      <w:r w:rsidR="00C15943">
        <w:t>.</w:t>
      </w:r>
      <w:r w:rsidR="00955722">
        <w:t xml:space="preserve"> </w:t>
      </w:r>
      <w:r w:rsidR="00FD5FF2">
        <w:t xml:space="preserve">The UN </w:t>
      </w:r>
      <w:r w:rsidR="00FD5FF2" w:rsidRPr="00FD5FF2">
        <w:t>Office for the Coordination of Humanitarian Affairs (</w:t>
      </w:r>
      <w:hyperlink r:id="rId9" w:history="1">
        <w:r w:rsidR="00FD5FF2" w:rsidRPr="009763E8">
          <w:rPr>
            <w:rStyle w:val="Hyperlink"/>
            <w:color w:val="auto"/>
            <w:u w:val="none"/>
          </w:rPr>
          <w:t>OCHA</w:t>
        </w:r>
      </w:hyperlink>
      <w:r w:rsidR="00FD5FF2" w:rsidRPr="00FD5FF2">
        <w:t>)</w:t>
      </w:r>
      <w:r w:rsidR="00C15943">
        <w:t xml:space="preserve"> </w:t>
      </w:r>
      <w:r w:rsidR="00850C1D">
        <w:t xml:space="preserve">and Refugee Works Agency (UNRWA) </w:t>
      </w:r>
      <w:r w:rsidR="00955722">
        <w:t>alerted a few days before this large-scale demolition that 17 Palestinian</w:t>
      </w:r>
      <w:r w:rsidR="00D55A4A">
        <w:t>s</w:t>
      </w:r>
      <w:r w:rsidR="00FD5FF2">
        <w:t>,</w:t>
      </w:r>
      <w:r w:rsidR="00955722">
        <w:t xml:space="preserve"> including </w:t>
      </w:r>
      <w:r w:rsidR="005904CE">
        <w:t xml:space="preserve">nine </w:t>
      </w:r>
      <w:r w:rsidR="00955722">
        <w:t>refugees</w:t>
      </w:r>
      <w:r w:rsidR="00FD5FF2">
        <w:t>,</w:t>
      </w:r>
      <w:r w:rsidR="00955722">
        <w:t xml:space="preserve"> w</w:t>
      </w:r>
      <w:r w:rsidR="00FD5FF2">
        <w:t>ould</w:t>
      </w:r>
      <w:r w:rsidR="00955722">
        <w:t xml:space="preserve"> be displaced and 350 properties</w:t>
      </w:r>
      <w:r w:rsidR="00955722" w:rsidRPr="00955722">
        <w:t xml:space="preserve"> </w:t>
      </w:r>
      <w:r w:rsidR="002C3858">
        <w:t xml:space="preserve">owned by Palestinians and currently </w:t>
      </w:r>
      <w:r w:rsidR="00955722" w:rsidRPr="00955722">
        <w:t>undergoing construction</w:t>
      </w:r>
      <w:r w:rsidR="002C3858">
        <w:t xml:space="preserve"> </w:t>
      </w:r>
      <w:r w:rsidR="00955722">
        <w:t>will be destroyed</w:t>
      </w:r>
      <w:r w:rsidR="005904CE">
        <w:t>, incurring heavy financial loss</w:t>
      </w:r>
      <w:r w:rsidR="00955722">
        <w:t>.</w:t>
      </w:r>
      <w:r w:rsidR="007C7DCB">
        <w:rPr>
          <w:rStyle w:val="EndnoteReference"/>
        </w:rPr>
        <w:endnoteReference w:id="1"/>
      </w:r>
      <w:r w:rsidR="007C7DCB">
        <w:t xml:space="preserve"> This incident provided yet another example whereby an organ of the state party (HCJ) served to "legalize" the institutional material discrimination against the indigenous people of the territory within its jurisdiction and effective control—as well as refugees among them—through the gross violation of human rights, in particular, the human right to adequate housing.</w:t>
      </w:r>
      <w:r w:rsidR="007C7DCB">
        <w:rPr>
          <w:rStyle w:val="EndnoteReference"/>
        </w:rPr>
        <w:endnoteReference w:id="2"/>
      </w:r>
    </w:p>
    <w:p w:rsidR="007C7DCB" w:rsidRDefault="007C7DCB" w:rsidP="00DA0A72">
      <w:pPr>
        <w:spacing w:after="0" w:line="240" w:lineRule="auto"/>
        <w:jc w:val="both"/>
      </w:pPr>
    </w:p>
    <w:p w:rsidR="007C7DCB" w:rsidRPr="00850C1D" w:rsidRDefault="007C7DCB" w:rsidP="00850C1D">
      <w:pPr>
        <w:spacing w:after="0" w:line="240" w:lineRule="auto"/>
        <w:jc w:val="both"/>
      </w:pPr>
      <w:r w:rsidRPr="00850C1D">
        <w:t>In its reporting to CESCR, Israel claims that its Supreme Court promotes “the principle of equality and non-discrimination through the development of jurisprudence, strongly relaying [sic] on the principle of equality and non-discrimination as a constitutional principle.”</w:t>
      </w:r>
      <w:r w:rsidRPr="00850C1D">
        <w:rPr>
          <w:rStyle w:val="EndnoteReference"/>
        </w:rPr>
        <w:endnoteReference w:id="3"/>
      </w:r>
      <w:r w:rsidRPr="00850C1D">
        <w:t xml:space="preserve"> Yet over the years the Israeli HCJ has issued hundreds of rulings permitting the demolition Palestinian homes in Jerusalem, the West Bank and inside the Green Line (1948 Armistice Lines), providing legal cover for the crimes of the Israeli occupation by systematizing the dispossession of the indigenous Palestinian people. Meanwhile, Israeli law, institutions and budgets support the planning and proliferation of settler colonies, prohibited as war crimes and crimes against humanity under international criminal law. This includes the new Basic Law: Jewish Nation State, which explicitly prioritizes the promotion and development of “Jewish settlement,” while other Basic Laws and legislation</w:t>
      </w:r>
      <w:r w:rsidRPr="00850C1D">
        <w:rPr>
          <w:rStyle w:val="EndnoteReference"/>
        </w:rPr>
        <w:endnoteReference w:id="4"/>
      </w:r>
      <w:r w:rsidRPr="00850C1D">
        <w:t xml:space="preserve"> affirm the dubiously constructed status of “Jewish nationality,” as per the charters of Israel’s parastatal development organizations,</w:t>
      </w:r>
      <w:r w:rsidRPr="00850C1D">
        <w:rPr>
          <w:rStyle w:val="EndnoteReference"/>
        </w:rPr>
        <w:endnoteReference w:id="5"/>
      </w:r>
      <w:r w:rsidRPr="00850C1D">
        <w:t xml:space="preserve"> as the sole eligibility criterion for the economic, social and cultural rights, including the benefits of development, including land use, housing, water, finance and decent work. Prime Minister Netanyahu himself has stated clearly the position that Israel is the “nation-State of the Jewish people and them alone.”</w:t>
      </w:r>
      <w:r w:rsidRPr="00850C1D">
        <w:rPr>
          <w:rStyle w:val="EndnoteReference"/>
        </w:rPr>
        <w:endnoteReference w:id="6"/>
      </w:r>
    </w:p>
    <w:p w:rsidR="007C7DCB" w:rsidRDefault="007C7DCB" w:rsidP="00DA0A72">
      <w:pPr>
        <w:spacing w:after="0" w:line="240" w:lineRule="auto"/>
        <w:jc w:val="both"/>
      </w:pPr>
    </w:p>
    <w:p w:rsidR="007C7DCB" w:rsidRDefault="007C7DCB" w:rsidP="000862BA">
      <w:pPr>
        <w:spacing w:after="0" w:line="240" w:lineRule="auto"/>
        <w:jc w:val="lowKashida"/>
      </w:pPr>
      <w:r>
        <w:t xml:space="preserve">In addition to Israel’s depopulation and destruction of 459 Palestinian villages and expulsion of their inhabitants since the settler colony of Israel was founded in the late 1940s, Israeli occupation forces have demolished </w:t>
      </w:r>
      <w:r w:rsidRPr="000607EE">
        <w:t>49,400</w:t>
      </w:r>
      <w:r>
        <w:t xml:space="preserve"> structures</w:t>
      </w:r>
      <w:r>
        <w:rPr>
          <w:rStyle w:val="EndnoteReference"/>
        </w:rPr>
        <w:endnoteReference w:id="7"/>
      </w:r>
      <w:r>
        <w:t xml:space="preserve"> in occupied Palestinian territory (</w:t>
      </w:r>
      <w:proofErr w:type="spellStart"/>
      <w:r>
        <w:t>oPt</w:t>
      </w:r>
      <w:proofErr w:type="spellEnd"/>
      <w:r>
        <w:t>) since 1967</w:t>
      </w:r>
      <w:r w:rsidR="00AE3762">
        <w:t xml:space="preserve"> (excluding those inside the Green Line)</w:t>
      </w:r>
      <w:r>
        <w:t xml:space="preserve">. This includes </w:t>
      </w:r>
      <w:r w:rsidRPr="000607EE">
        <w:t>265</w:t>
      </w:r>
      <w:r>
        <w:t xml:space="preserve"> demolitions in 2019, </w:t>
      </w:r>
      <w:r>
        <w:lastRenderedPageBreak/>
        <w:t>displacing 355 West Bank Palestinians.</w:t>
      </w:r>
      <w:r>
        <w:rPr>
          <w:rStyle w:val="EndnoteReference"/>
        </w:rPr>
        <w:endnoteReference w:id="8"/>
      </w:r>
      <w:r>
        <w:t xml:space="preserve"> In addition, the Apartheid Wall has displaced an untold number of households since its construction. The most recent massive house demolitions coincide with the 15</w:t>
      </w:r>
      <w:r w:rsidRPr="00A93D1B">
        <w:rPr>
          <w:vertAlign w:val="superscript"/>
        </w:rPr>
        <w:t>th</w:t>
      </w:r>
      <w:r>
        <w:t xml:space="preserve"> anniversary of the International Court of Justice </w:t>
      </w:r>
      <w:r w:rsidRPr="000607EE">
        <w:t>Advisory Opinion</w:t>
      </w:r>
      <w:r>
        <w:t xml:space="preserve"> on the Wall’s illegal nature</w:t>
      </w:r>
      <w:r>
        <w:rPr>
          <w:rStyle w:val="EndnoteReference"/>
        </w:rPr>
        <w:endnoteReference w:id="9"/>
      </w:r>
      <w:r>
        <w:t xml:space="preserve"> and consequences for which Israel owes </w:t>
      </w:r>
      <w:r w:rsidRPr="000862BA">
        <w:t>reparation</w:t>
      </w:r>
      <w:r>
        <w:t xml:space="preserve"> to the affected Palestinian people, as clarified by the UN General Assembly.</w:t>
      </w:r>
      <w:r>
        <w:rPr>
          <w:rStyle w:val="EndnoteReference"/>
        </w:rPr>
        <w:endnoteReference w:id="10"/>
      </w:r>
      <w:r>
        <w:t xml:space="preserve"> </w:t>
      </w:r>
    </w:p>
    <w:p w:rsidR="007C7DCB" w:rsidRDefault="007C7DCB" w:rsidP="00DA0A72">
      <w:pPr>
        <w:spacing w:after="0" w:line="240" w:lineRule="auto"/>
        <w:jc w:val="lowKashida"/>
      </w:pPr>
    </w:p>
    <w:p w:rsidR="007C7DCB" w:rsidRPr="007C7DCB" w:rsidRDefault="007C7DCB" w:rsidP="00DA0A72">
      <w:pPr>
        <w:spacing w:after="120" w:line="240" w:lineRule="auto"/>
        <w:jc w:val="lowKashida"/>
        <w:rPr>
          <w:b/>
          <w:bCs/>
          <w:i/>
          <w:iCs/>
        </w:rPr>
      </w:pPr>
      <w:r w:rsidRPr="007C7DCB">
        <w:rPr>
          <w:b/>
          <w:bCs/>
          <w:i/>
          <w:iCs/>
        </w:rPr>
        <w:t>When a State's SDGs Performance Leaves an Entire People Behind</w:t>
      </w:r>
    </w:p>
    <w:p w:rsidR="007C7DCB" w:rsidRDefault="007C7DCB" w:rsidP="00AD2061">
      <w:pPr>
        <w:tabs>
          <w:tab w:val="right" w:pos="9360"/>
        </w:tabs>
        <w:spacing w:after="0" w:line="240" w:lineRule="auto"/>
        <w:jc w:val="lowKashida"/>
        <w:rPr>
          <w:rFonts w:ascii="Calibri" w:eastAsia="Calibri" w:hAnsi="Calibri" w:cs="Arial"/>
        </w:rPr>
      </w:pPr>
      <w:r>
        <w:t xml:space="preserve">These </w:t>
      </w:r>
      <w:r w:rsidRPr="00A6408B">
        <w:t xml:space="preserve">recurring </w:t>
      </w:r>
      <w:r>
        <w:t xml:space="preserve">gross violations and serious crimes coincided with Israel’s Voluntary National Review (VNR) at the UN High Level Political Forum (HLPF) 2019 to assess implementation of the Sustainable Development Goals (SDGs). Israel's VNR omits any mention of its apartheid </w:t>
      </w:r>
      <w:r w:rsidRPr="00C01267">
        <w:t xml:space="preserve">policies and practices </w:t>
      </w:r>
      <w:r>
        <w:t xml:space="preserve">such as demolishing homes and confiscating lands and other properties of the Palestinian people. Rather, </w:t>
      </w:r>
      <w:r>
        <w:rPr>
          <w:rFonts w:ascii="Calibri" w:eastAsia="Calibri" w:hAnsi="Calibri" w:cs="Arial"/>
        </w:rPr>
        <w:t>t</w:t>
      </w:r>
      <w:r w:rsidRPr="0081765E">
        <w:rPr>
          <w:rFonts w:ascii="Calibri" w:eastAsia="Calibri" w:hAnsi="Calibri" w:cs="Arial"/>
        </w:rPr>
        <w:t xml:space="preserve">oward </w:t>
      </w:r>
      <w:r>
        <w:rPr>
          <w:rFonts w:ascii="Calibri" w:eastAsia="Calibri" w:hAnsi="Calibri" w:cs="Arial"/>
        </w:rPr>
        <w:t>SDG</w:t>
      </w:r>
      <w:r w:rsidRPr="0081765E">
        <w:rPr>
          <w:rFonts w:ascii="Calibri" w:eastAsia="Calibri" w:hAnsi="Calibri" w:cs="Arial"/>
        </w:rPr>
        <w:t xml:space="preserve"> 11, </w:t>
      </w:r>
      <w:r w:rsidRPr="000862BA">
        <w:rPr>
          <w:rFonts w:ascii="Calibri" w:eastAsia="Calibri" w:hAnsi="Calibri" w:cs="Arial"/>
        </w:rPr>
        <w:t>Israel’s VNR</w:t>
      </w:r>
      <w:r w:rsidRPr="0081765E">
        <w:rPr>
          <w:rFonts w:ascii="Calibri" w:eastAsia="Calibri" w:hAnsi="Calibri" w:cs="Arial"/>
        </w:rPr>
        <w:t xml:space="preserve"> </w:t>
      </w:r>
      <w:r>
        <w:rPr>
          <w:rFonts w:ascii="Calibri" w:eastAsia="Calibri" w:hAnsi="Calibri" w:cs="Arial"/>
        </w:rPr>
        <w:t xml:space="preserve">claims to pursue </w:t>
      </w:r>
      <w:r w:rsidRPr="0081765E">
        <w:rPr>
          <w:rFonts w:ascii="Calibri" w:eastAsia="Calibri" w:hAnsi="Calibri" w:cs="Arial"/>
        </w:rPr>
        <w:t xml:space="preserve">“better urbanism” </w:t>
      </w:r>
      <w:r>
        <w:rPr>
          <w:rFonts w:ascii="Calibri" w:eastAsia="Calibri" w:hAnsi="Calibri" w:cs="Arial"/>
        </w:rPr>
        <w:t xml:space="preserve">that </w:t>
      </w:r>
      <w:r w:rsidRPr="0081765E">
        <w:rPr>
          <w:rFonts w:ascii="Calibri" w:eastAsia="Calibri" w:hAnsi="Calibri" w:cs="Arial"/>
        </w:rPr>
        <w:t>strengthens the “inclusiveness of cities and regions</w:t>
      </w:r>
      <w:r>
        <w:rPr>
          <w:rFonts w:ascii="Calibri" w:eastAsia="Calibri" w:hAnsi="Calibri" w:cs="Arial"/>
        </w:rPr>
        <w:t>.</w:t>
      </w:r>
      <w:r w:rsidRPr="0081765E">
        <w:rPr>
          <w:rFonts w:ascii="Calibri" w:eastAsia="Calibri" w:hAnsi="Calibri" w:cs="Arial"/>
        </w:rPr>
        <w:t>”</w:t>
      </w:r>
      <w:r>
        <w:rPr>
          <w:rStyle w:val="EndnoteReference"/>
          <w:rFonts w:ascii="Calibri" w:eastAsia="Calibri" w:hAnsi="Calibri" w:cs="Arial"/>
        </w:rPr>
        <w:endnoteReference w:id="11"/>
      </w:r>
      <w:r w:rsidRPr="0081765E">
        <w:rPr>
          <w:rFonts w:ascii="Calibri" w:eastAsia="Calibri" w:hAnsi="Calibri" w:cs="Arial"/>
        </w:rPr>
        <w:t xml:space="preserve"> Yet Israeli legislation and occupation forces </w:t>
      </w:r>
      <w:r>
        <w:rPr>
          <w:rFonts w:ascii="Calibri" w:eastAsia="Calibri" w:hAnsi="Calibri" w:cs="Arial"/>
        </w:rPr>
        <w:t xml:space="preserve">regularly </w:t>
      </w:r>
      <w:r w:rsidRPr="0081765E">
        <w:rPr>
          <w:rFonts w:ascii="Calibri" w:eastAsia="Calibri" w:hAnsi="Calibri" w:cs="Arial"/>
        </w:rPr>
        <w:t xml:space="preserve">expel Palestinians from Jerusalem by </w:t>
      </w:r>
      <w:r w:rsidRPr="000862BA">
        <w:rPr>
          <w:rFonts w:ascii="Calibri" w:eastAsia="Calibri" w:hAnsi="Calibri" w:cs="Arial"/>
        </w:rPr>
        <w:t>demolishing homes,</w:t>
      </w:r>
      <w:r w:rsidRPr="000862BA">
        <w:rPr>
          <w:rStyle w:val="EndnoteReference"/>
          <w:rFonts w:ascii="Calibri" w:eastAsia="Calibri" w:hAnsi="Calibri" w:cs="Arial"/>
        </w:rPr>
        <w:endnoteReference w:id="12"/>
      </w:r>
      <w:r w:rsidRPr="0081765E">
        <w:rPr>
          <w:rFonts w:ascii="Calibri" w:eastAsia="Calibri" w:hAnsi="Calibri" w:cs="Arial"/>
        </w:rPr>
        <w:t xml:space="preserve"> </w:t>
      </w:r>
      <w:hyperlink r:id="rId10" w:history="1">
        <w:r w:rsidRPr="00AD2061">
          <w:rPr>
            <w:rFonts w:ascii="Calibri" w:eastAsia="Calibri" w:hAnsi="Calibri" w:cs="Arial"/>
          </w:rPr>
          <w:t>stripping residency status</w:t>
        </w:r>
      </w:hyperlink>
      <w:r w:rsidRPr="00AD2061">
        <w:rPr>
          <w:rFonts w:ascii="Calibri" w:eastAsia="Calibri" w:hAnsi="Calibri" w:cs="Arial"/>
        </w:rPr>
        <w:t>,</w:t>
      </w:r>
      <w:r w:rsidRPr="00AD2061">
        <w:rPr>
          <w:rStyle w:val="EndnoteReference"/>
          <w:rFonts w:ascii="Calibri" w:eastAsia="Calibri" w:hAnsi="Calibri" w:cs="Arial"/>
        </w:rPr>
        <w:endnoteReference w:id="13"/>
      </w:r>
      <w:r w:rsidRPr="00AD2061">
        <w:rPr>
          <w:rFonts w:ascii="Calibri" w:eastAsia="Calibri" w:hAnsi="Calibri" w:cs="Arial"/>
        </w:rPr>
        <w:t xml:space="preserve"> </w:t>
      </w:r>
      <w:r w:rsidRPr="0081765E">
        <w:rPr>
          <w:rFonts w:ascii="Calibri" w:eastAsia="Calibri" w:hAnsi="Calibri" w:cs="Arial"/>
        </w:rPr>
        <w:t xml:space="preserve">denying </w:t>
      </w:r>
      <w:hyperlink r:id="rId11" w:history="1">
        <w:r w:rsidRPr="00AD2061">
          <w:rPr>
            <w:rFonts w:ascii="Calibri" w:eastAsia="Calibri" w:hAnsi="Calibri" w:cs="Arial"/>
          </w:rPr>
          <w:t>building permits</w:t>
        </w:r>
      </w:hyperlink>
      <w:r w:rsidRPr="00AD2061">
        <w:rPr>
          <w:rFonts w:ascii="Calibri" w:eastAsia="Calibri" w:hAnsi="Calibri" w:cs="Arial"/>
        </w:rPr>
        <w:t>,</w:t>
      </w:r>
      <w:r w:rsidRPr="00AD2061">
        <w:rPr>
          <w:rStyle w:val="EndnoteReference"/>
          <w:rFonts w:ascii="Calibri" w:eastAsia="Calibri" w:hAnsi="Calibri" w:cs="Arial"/>
        </w:rPr>
        <w:endnoteReference w:id="14"/>
      </w:r>
      <w:r w:rsidRPr="00AD2061">
        <w:rPr>
          <w:rFonts w:ascii="Calibri" w:eastAsia="Calibri" w:hAnsi="Calibri" w:cs="Arial"/>
        </w:rPr>
        <w:t xml:space="preserve"> </w:t>
      </w:r>
      <w:r>
        <w:rPr>
          <w:rFonts w:ascii="Calibri" w:eastAsia="Calibri" w:hAnsi="Calibri" w:cs="Arial"/>
        </w:rPr>
        <w:t xml:space="preserve">amounting to </w:t>
      </w:r>
      <w:r w:rsidRPr="00AD2061">
        <w:rPr>
          <w:rFonts w:ascii="Calibri" w:eastAsia="Calibri" w:hAnsi="Calibri" w:cs="Arial"/>
        </w:rPr>
        <w:t xml:space="preserve">demographic manipulation </w:t>
      </w:r>
      <w:r>
        <w:rPr>
          <w:rFonts w:ascii="Calibri" w:eastAsia="Calibri" w:hAnsi="Calibri" w:cs="Arial"/>
        </w:rPr>
        <w:t>within state jurisdiction, as inside the Green Line,</w:t>
      </w:r>
      <w:r w:rsidRPr="0081765E">
        <w:rPr>
          <w:rFonts w:ascii="Calibri" w:eastAsia="Calibri" w:hAnsi="Calibri" w:cs="Arial"/>
        </w:rPr>
        <w:t xml:space="preserve"> </w:t>
      </w:r>
      <w:r w:rsidRPr="00AD2061">
        <w:rPr>
          <w:rFonts w:ascii="Calibri" w:eastAsia="Calibri" w:hAnsi="Calibri" w:cs="Arial"/>
        </w:rPr>
        <w:t xml:space="preserve">and </w:t>
      </w:r>
      <w:r>
        <w:rPr>
          <w:rFonts w:ascii="Calibri" w:eastAsia="Calibri" w:hAnsi="Calibri" w:cs="Arial"/>
        </w:rPr>
        <w:t xml:space="preserve">cross-border </w:t>
      </w:r>
      <w:r w:rsidRPr="00AD2061">
        <w:rPr>
          <w:rFonts w:ascii="Calibri" w:eastAsia="Calibri" w:hAnsi="Calibri" w:cs="Arial"/>
        </w:rPr>
        <w:t>population transfer</w:t>
      </w:r>
      <w:r w:rsidRPr="0081765E">
        <w:rPr>
          <w:rFonts w:ascii="Calibri" w:eastAsia="Calibri" w:hAnsi="Calibri" w:cs="Arial"/>
        </w:rPr>
        <w:t xml:space="preserve">, </w:t>
      </w:r>
      <w:r>
        <w:rPr>
          <w:rFonts w:ascii="Calibri" w:eastAsia="Calibri" w:hAnsi="Calibri" w:cs="Arial"/>
        </w:rPr>
        <w:t xml:space="preserve">as in Jerusalem and </w:t>
      </w:r>
      <w:r w:rsidRPr="0081765E">
        <w:rPr>
          <w:rFonts w:ascii="Calibri" w:eastAsia="Calibri" w:hAnsi="Calibri" w:cs="Arial"/>
        </w:rPr>
        <w:t>the West Bank’s Area C</w:t>
      </w:r>
      <w:r>
        <w:rPr>
          <w:rFonts w:ascii="Calibri" w:eastAsia="Calibri" w:hAnsi="Calibri" w:cs="Arial"/>
        </w:rPr>
        <w:t>. These consistent practices of the state party stand in stark contradiction to its 20 year history of oral and written claims to this Committee.</w:t>
      </w:r>
      <w:r>
        <w:rPr>
          <w:rStyle w:val="EndnoteReference"/>
          <w:rFonts w:ascii="Calibri" w:eastAsia="Calibri" w:hAnsi="Calibri" w:cs="Arial"/>
        </w:rPr>
        <w:endnoteReference w:id="15"/>
      </w:r>
      <w:r>
        <w:rPr>
          <w:rFonts w:ascii="Calibri" w:eastAsia="Calibri" w:hAnsi="Calibri" w:cs="Arial"/>
        </w:rPr>
        <w:t xml:space="preserve"> </w:t>
      </w:r>
    </w:p>
    <w:p w:rsidR="007C7DCB" w:rsidRDefault="007C7DCB" w:rsidP="00DA0A72">
      <w:pPr>
        <w:spacing w:after="0" w:line="240" w:lineRule="auto"/>
        <w:jc w:val="lowKashida"/>
        <w:rPr>
          <w:rFonts w:ascii="Calibri" w:eastAsia="Calibri" w:hAnsi="Calibri" w:cs="Arial"/>
        </w:rPr>
      </w:pPr>
    </w:p>
    <w:p w:rsidR="007C7DCB" w:rsidRDefault="007C7DCB" w:rsidP="005E0400">
      <w:pPr>
        <w:spacing w:after="0" w:line="240" w:lineRule="auto"/>
        <w:jc w:val="lowKashida"/>
      </w:pPr>
      <w:r>
        <w:t>Such a contradiction is another indication also that occasions for voluntary and political forums such as the VNRs and HLPF are insufficient to monitor states' adherence to either global policy commitments or, even less, the promised integration of their prior, binding human rights obligations.</w:t>
      </w:r>
      <w:r>
        <w:rPr>
          <w:rStyle w:val="EndnoteReference"/>
        </w:rPr>
        <w:endnoteReference w:id="16"/>
      </w:r>
      <w:r>
        <w:t xml:space="preserve"> This is particularly true in the case of an occupying State such as Israel, whose founding </w:t>
      </w:r>
      <w:r w:rsidRPr="009B275F">
        <w:t xml:space="preserve">ideology </w:t>
      </w:r>
      <w:r>
        <w:t>of</w:t>
      </w:r>
      <w:r w:rsidRPr="009B275F">
        <w:t xml:space="preserve"> Zionis</w:t>
      </w:r>
      <w:r>
        <w:t>m</w:t>
      </w:r>
      <w:r w:rsidRPr="009B275F">
        <w:t xml:space="preserve"> </w:t>
      </w:r>
      <w:r>
        <w:t>and</w:t>
      </w:r>
      <w:r w:rsidRPr="009B275F">
        <w:t xml:space="preserve"> “Jewish nationality”</w:t>
      </w:r>
      <w:r>
        <w:t xml:space="preserve"> stands in clear contradiction to the peremptory norms of non-discrimination and self-determination of peoples, in this case the indigenous Palestinian people. </w:t>
      </w:r>
    </w:p>
    <w:p w:rsidR="007C7DCB" w:rsidRDefault="007C7DCB" w:rsidP="005E0400">
      <w:pPr>
        <w:spacing w:after="0" w:line="240" w:lineRule="auto"/>
        <w:jc w:val="lowKashida"/>
      </w:pPr>
    </w:p>
    <w:p w:rsidR="007C7DCB" w:rsidRDefault="007C7DCB" w:rsidP="005E0400">
      <w:pPr>
        <w:spacing w:after="0" w:line="240" w:lineRule="auto"/>
        <w:jc w:val="lowKashida"/>
      </w:pPr>
    </w:p>
    <w:p w:rsidR="007C7DCB" w:rsidRPr="007C7DCB" w:rsidRDefault="00E37857" w:rsidP="00FC6F53">
      <w:pPr>
        <w:spacing w:after="120" w:line="240" w:lineRule="auto"/>
        <w:jc w:val="lowKashida"/>
        <w:rPr>
          <w:b/>
          <w:bCs/>
        </w:rPr>
      </w:pPr>
      <w:r w:rsidRPr="007C7DCB">
        <w:rPr>
          <w:b/>
          <w:bCs/>
        </w:rPr>
        <w:t xml:space="preserve">The Right </w:t>
      </w:r>
      <w:r w:rsidR="007C7DCB" w:rsidRPr="007C7DCB">
        <w:rPr>
          <w:b/>
          <w:bCs/>
        </w:rPr>
        <w:t xml:space="preserve">to </w:t>
      </w:r>
      <w:r w:rsidRPr="007C7DCB">
        <w:rPr>
          <w:b/>
          <w:bCs/>
        </w:rPr>
        <w:t>Decent Work</w:t>
      </w:r>
      <w:r w:rsidR="007C7DCB" w:rsidRPr="007C7DCB">
        <w:rPr>
          <w:b/>
          <w:bCs/>
        </w:rPr>
        <w:t>: Articles 6–8</w:t>
      </w:r>
    </w:p>
    <w:p w:rsidR="007C7DCB" w:rsidRDefault="007C7DCB" w:rsidP="00B90CB3">
      <w:pPr>
        <w:spacing w:after="0" w:line="240" w:lineRule="auto"/>
        <w:jc w:val="lowKashida"/>
      </w:pPr>
      <w:r>
        <w:t xml:space="preserve">Israel’s 2019 VNR also noted </w:t>
      </w:r>
      <w:r w:rsidRPr="000C0764">
        <w:t>Palestinian citizens</w:t>
      </w:r>
      <w:r>
        <w:t>’</w:t>
      </w:r>
      <w:r w:rsidRPr="000C0764">
        <w:t xml:space="preserve"> lower employment rate</w:t>
      </w:r>
      <w:r>
        <w:rPr>
          <w:rStyle w:val="EndnoteReference"/>
        </w:rPr>
        <w:endnoteReference w:id="17"/>
      </w:r>
      <w:r w:rsidRPr="000C0764">
        <w:t xml:space="preserve"> </w:t>
      </w:r>
      <w:r>
        <w:t xml:space="preserve">and </w:t>
      </w:r>
      <w:r w:rsidRPr="000C0764">
        <w:t>weaker skill sets</w:t>
      </w:r>
      <w:r>
        <w:rPr>
          <w:rStyle w:val="EndnoteReference"/>
        </w:rPr>
        <w:endnoteReference w:id="18"/>
      </w:r>
      <w:r w:rsidRPr="000C0764">
        <w:t xml:space="preserve"> (p.</w:t>
      </w:r>
      <w:r>
        <w:t xml:space="preserve"> </w:t>
      </w:r>
      <w:r w:rsidRPr="000C0764">
        <w:t>30)</w:t>
      </w:r>
      <w:r>
        <w:t xml:space="preserve"> </w:t>
      </w:r>
      <w:r w:rsidRPr="000C0764">
        <w:t xml:space="preserve">due to “obstacles </w:t>
      </w:r>
      <w:r w:rsidRPr="00E04A8B">
        <w:rPr>
          <w:i/>
          <w:iCs/>
        </w:rPr>
        <w:t>en route</w:t>
      </w:r>
      <w:r w:rsidRPr="000C0764">
        <w:t xml:space="preserve"> to the labor market, making it difficult for them to integrate</w:t>
      </w:r>
      <w:r>
        <w:t>.</w:t>
      </w:r>
      <w:r w:rsidRPr="000C0764">
        <w:t>”</w:t>
      </w:r>
      <w:r>
        <w:rPr>
          <w:rStyle w:val="EndnoteReference"/>
        </w:rPr>
        <w:endnoteReference w:id="19"/>
      </w:r>
      <w:r w:rsidRPr="000C0764">
        <w:t xml:space="preserve"> </w:t>
      </w:r>
      <w:r>
        <w:t xml:space="preserve">This implies </w:t>
      </w:r>
      <w:r w:rsidRPr="000C0764">
        <w:t>such obstacles should be solved with social</w:t>
      </w:r>
      <w:r>
        <w:t xml:space="preserve"> programs</w:t>
      </w:r>
      <w:r w:rsidRPr="000C0764">
        <w:t>.</w:t>
      </w:r>
      <w:r>
        <w:rPr>
          <w:rStyle w:val="EndnoteReference"/>
        </w:rPr>
        <w:endnoteReference w:id="20"/>
      </w:r>
      <w:r w:rsidRPr="000C0764">
        <w:t xml:space="preserve"> </w:t>
      </w:r>
      <w:r>
        <w:t>N</w:t>
      </w:r>
      <w:r w:rsidRPr="000C0764">
        <w:t xml:space="preserve">owhere does </w:t>
      </w:r>
      <w:r>
        <w:t>it admit</w:t>
      </w:r>
      <w:r w:rsidRPr="000C0764">
        <w:t xml:space="preserve"> the </w:t>
      </w:r>
      <w:r>
        <w:t>institutional</w:t>
      </w:r>
      <w:r w:rsidRPr="000C0764">
        <w:t xml:space="preserve"> and physical barriers that Israel</w:t>
      </w:r>
      <w:r>
        <w:t>’s</w:t>
      </w:r>
      <w:r w:rsidRPr="000C0764">
        <w:t xml:space="preserve"> </w:t>
      </w:r>
      <w:r>
        <w:t>institutionalized material discrimination im</w:t>
      </w:r>
      <w:r w:rsidRPr="000C0764">
        <w:t>poses</w:t>
      </w:r>
      <w:r>
        <w:t xml:space="preserve"> in</w:t>
      </w:r>
      <w:r w:rsidRPr="000C0764">
        <w:t xml:space="preserve"> both the </w:t>
      </w:r>
      <w:r>
        <w:t xml:space="preserve">1948 and 1967 </w:t>
      </w:r>
      <w:r w:rsidRPr="000C0764">
        <w:t xml:space="preserve">occupied territories. </w:t>
      </w:r>
      <w:r w:rsidRPr="005E0400">
        <w:t xml:space="preserve">Consequently, institutionalized discrimination against all segments of the Palestinian people in </w:t>
      </w:r>
      <w:proofErr w:type="spellStart"/>
      <w:r w:rsidRPr="005E0400">
        <w:t>favour</w:t>
      </w:r>
      <w:proofErr w:type="spellEnd"/>
      <w:r w:rsidRPr="005E0400">
        <w:t xml:space="preserve"> of Jewish settlers </w:t>
      </w:r>
      <w:r>
        <w:t xml:space="preserve">constitutes Israel's </w:t>
      </w:r>
      <w:r>
        <w:rPr>
          <w:i/>
          <w:iCs/>
        </w:rPr>
        <w:t xml:space="preserve">raison d'état </w:t>
      </w:r>
      <w:r>
        <w:t xml:space="preserve">and </w:t>
      </w:r>
      <w:r w:rsidRPr="005E0400">
        <w:t xml:space="preserve">does not </w:t>
      </w:r>
      <w:r>
        <w:t>permit</w:t>
      </w:r>
      <w:r w:rsidRPr="005E0400">
        <w:t xml:space="preserve"> actual remedies from international legal systems and subsequently leaves the indigenous Palestinian people behind.</w:t>
      </w:r>
    </w:p>
    <w:p w:rsidR="007C7DCB" w:rsidRDefault="007C7DCB" w:rsidP="00DA0A72">
      <w:pPr>
        <w:spacing w:after="0" w:line="240" w:lineRule="auto"/>
        <w:jc w:val="lowKashida"/>
      </w:pPr>
    </w:p>
    <w:p w:rsidR="007C7DCB" w:rsidRDefault="007C7DCB" w:rsidP="00DA0A72">
      <w:pPr>
        <w:spacing w:after="0" w:line="240" w:lineRule="auto"/>
        <w:jc w:val="lowKashida"/>
      </w:pPr>
      <w:r>
        <w:t>Israeli Minister of Environmental Protection, Jerusalem and Heritage Ze’ev Elkin, speaking at the HLPF on 17 July 2019, dismissed questions from the NGO Major Group about Israel’s parastatal institutions and institutionalized material discrimination against indigenous Palestinians as “political fighting,” stating that “I am not sure that the discussion about the SDGs goals should be exactly the place to do it here.”</w:t>
      </w:r>
      <w:r>
        <w:rPr>
          <w:rStyle w:val="EndnoteReference"/>
        </w:rPr>
        <w:endnoteReference w:id="21"/>
      </w:r>
      <w:r>
        <w:t xml:space="preserve"> Convened under the theme “</w:t>
      </w:r>
      <w:r w:rsidRPr="009E52DB">
        <w:t>Empowering people and ensuring inclusiveness and equality</w:t>
      </w:r>
      <w:r>
        <w:t xml:space="preserve">,” the state of Israel’s refusal to address these structural obstacles to development deviates from the promise to ground SDG implementation in international human rights treaties </w:t>
      </w:r>
      <w:r w:rsidRPr="00E64D93">
        <w:t xml:space="preserve">consistent with the rights and obligations of States under </w:t>
      </w:r>
      <w:r w:rsidRPr="00E64D93">
        <w:lastRenderedPageBreak/>
        <w:t>international law</w:t>
      </w:r>
      <w:r>
        <w:t>,</w:t>
      </w:r>
      <w:r>
        <w:rPr>
          <w:rStyle w:val="EndnoteReference"/>
        </w:rPr>
        <w:endnoteReference w:id="22"/>
      </w:r>
      <w:r>
        <w:t xml:space="preserve"> but effectively flouts the Covenant and the state’s corresponding obligations.</w:t>
      </w:r>
    </w:p>
    <w:p w:rsidR="007C7DCB" w:rsidRDefault="007C7DCB" w:rsidP="00DA0A72">
      <w:pPr>
        <w:spacing w:after="0" w:line="240" w:lineRule="auto"/>
        <w:jc w:val="lowKashida"/>
      </w:pPr>
    </w:p>
    <w:p w:rsidR="007C7DCB" w:rsidRPr="00B162A7" w:rsidRDefault="007C7DCB" w:rsidP="002336CB">
      <w:pPr>
        <w:spacing w:after="0" w:line="240" w:lineRule="auto"/>
        <w:jc w:val="lowKashida"/>
      </w:pPr>
      <w:r>
        <w:t>Where the state party is obliged to report on the performance of its obligations under Articles 6–8 of the Covenant, its report to this Committee presents a very different approach, focusing instead on the state's achievements rather than the inherent lack of Palestinian Arabs' qualifications.</w:t>
      </w:r>
      <w:r>
        <w:rPr>
          <w:rStyle w:val="EndnoteReference"/>
        </w:rPr>
        <w:endnoteReference w:id="23"/>
      </w:r>
      <w:r>
        <w:t xml:space="preserve"> However, its responses to the Committee's questions arising from the state party report on Articles 6–8 of the Covenant</w:t>
      </w:r>
      <w:r>
        <w:rPr>
          <w:rStyle w:val="EndnoteReference"/>
        </w:rPr>
        <w:endnoteReference w:id="24"/>
      </w:r>
      <w:r>
        <w:t xml:space="preserve"> are evasive.  With respect to "The impact of the</w:t>
      </w:r>
      <w:r w:rsidRPr="00141421">
        <w:t xml:space="preserve"> measures</w:t>
      </w:r>
      <w:r>
        <w:t xml:space="preserve"> taken, as illustrated in Annex II of the State party report, to address the disproportionately low level of </w:t>
      </w:r>
      <w:proofErr w:type="spellStart"/>
      <w:r>
        <w:t>labour</w:t>
      </w:r>
      <w:proofErr w:type="spellEnd"/>
      <w:r>
        <w:t xml:space="preserve"> market participation and the high level of unemployment among non-Jewish Israelis, including [Palestinian Arab citizens of Israel]," the replies are more relevant. In response to the Committee's request for "Updated data, disaggregated by gender and ethnicity, on </w:t>
      </w:r>
      <w:proofErr w:type="spellStart"/>
      <w:r>
        <w:t>labour</w:t>
      </w:r>
      <w:proofErr w:type="spellEnd"/>
      <w:r>
        <w:t xml:space="preserve"> force participation rate, employment rate and unemployment rate and under-employment rate, for the past five years," the state party replied refer the Committee to an annex.</w:t>
      </w:r>
      <w:r>
        <w:rPr>
          <w:rStyle w:val="EndnoteReference"/>
        </w:rPr>
        <w:endnoteReference w:id="25"/>
      </w:r>
    </w:p>
    <w:p w:rsidR="007C7DCB" w:rsidRDefault="007C7DCB" w:rsidP="00DA0A72">
      <w:pPr>
        <w:tabs>
          <w:tab w:val="right" w:pos="9360"/>
        </w:tabs>
        <w:spacing w:after="0" w:line="240" w:lineRule="auto"/>
        <w:jc w:val="lowKashida"/>
        <w:rPr>
          <w:rFonts w:ascii="Calibri" w:eastAsia="Calibri" w:hAnsi="Calibri" w:cs="Arial"/>
        </w:rPr>
      </w:pPr>
    </w:p>
    <w:p w:rsidR="007C7DCB" w:rsidRDefault="007C7DCB" w:rsidP="00DA0A72">
      <w:pPr>
        <w:tabs>
          <w:tab w:val="right" w:pos="9360"/>
        </w:tabs>
        <w:spacing w:after="0" w:line="240" w:lineRule="auto"/>
        <w:jc w:val="lowKashida"/>
        <w:rPr>
          <w:rFonts w:ascii="Calibri" w:eastAsia="Calibri" w:hAnsi="Calibri" w:cs="Arial"/>
        </w:rPr>
      </w:pPr>
    </w:p>
    <w:p w:rsidR="007C7DCB" w:rsidRDefault="007C7DCB" w:rsidP="001742B1">
      <w:pPr>
        <w:tabs>
          <w:tab w:val="right" w:pos="9360"/>
        </w:tabs>
        <w:spacing w:after="120" w:line="240" w:lineRule="auto"/>
        <w:jc w:val="lowKashida"/>
        <w:rPr>
          <w:rFonts w:ascii="Calibri" w:eastAsia="Calibri" w:hAnsi="Calibri" w:cs="Arial"/>
          <w:b/>
          <w:bCs/>
        </w:rPr>
      </w:pPr>
      <w:r w:rsidRPr="001742B1">
        <w:rPr>
          <w:rFonts w:ascii="Calibri" w:eastAsia="Calibri" w:hAnsi="Calibri" w:cs="Arial"/>
          <w:b/>
          <w:bCs/>
        </w:rPr>
        <w:t>The Human Right to Food: Article 11</w:t>
      </w:r>
    </w:p>
    <w:p w:rsidR="007C7DCB" w:rsidRPr="001742B1" w:rsidRDefault="007C7DCB" w:rsidP="001742B1">
      <w:pPr>
        <w:tabs>
          <w:tab w:val="right" w:pos="9360"/>
        </w:tabs>
        <w:spacing w:after="120" w:line="240" w:lineRule="auto"/>
        <w:jc w:val="lowKashida"/>
        <w:rPr>
          <w:rFonts w:ascii="Calibri" w:eastAsia="Calibri" w:hAnsi="Calibri" w:cs="Arial"/>
          <w:b/>
          <w:bCs/>
        </w:rPr>
      </w:pPr>
      <w:r w:rsidRPr="001742B1">
        <w:t>In its question 27, the Committee asked the state party to please provide information on:</w:t>
      </w:r>
    </w:p>
    <w:p w:rsidR="007C7DCB" w:rsidRPr="001742B1" w:rsidRDefault="007C7DCB" w:rsidP="001742B1">
      <w:pPr>
        <w:pStyle w:val="SingleTxtG"/>
        <w:spacing w:after="0" w:line="240" w:lineRule="auto"/>
        <w:ind w:left="270" w:right="0" w:hanging="270"/>
        <w:jc w:val="lowKashida"/>
        <w:rPr>
          <w:rFonts w:asciiTheme="minorHAnsi" w:hAnsiTheme="minorHAnsi"/>
          <w:sz w:val="22"/>
          <w:szCs w:val="22"/>
        </w:rPr>
      </w:pPr>
      <w:r w:rsidRPr="001742B1">
        <w:rPr>
          <w:rFonts w:asciiTheme="minorHAnsi" w:hAnsiTheme="minorHAnsi"/>
          <w:sz w:val="22"/>
          <w:szCs w:val="22"/>
        </w:rPr>
        <w:t>(a)</w:t>
      </w:r>
      <w:r w:rsidRPr="001742B1">
        <w:rPr>
          <w:rFonts w:asciiTheme="minorHAnsi" w:hAnsiTheme="minorHAnsi"/>
          <w:sz w:val="22"/>
          <w:szCs w:val="22"/>
        </w:rPr>
        <w:tab/>
        <w:t xml:space="preserve">The impact of the measures taken to improve food security for marginalized and disadvantaged persons and groups in the State party, including Palestinians living in the </w:t>
      </w:r>
      <w:proofErr w:type="spellStart"/>
      <w:r w:rsidRPr="001742B1">
        <w:rPr>
          <w:rFonts w:asciiTheme="minorHAnsi" w:hAnsiTheme="minorHAnsi"/>
          <w:sz w:val="22"/>
          <w:szCs w:val="22"/>
        </w:rPr>
        <w:t>oPt</w:t>
      </w:r>
      <w:proofErr w:type="spellEnd"/>
      <w:r w:rsidRPr="001742B1">
        <w:rPr>
          <w:rFonts w:asciiTheme="minorHAnsi" w:hAnsiTheme="minorHAnsi"/>
          <w:sz w:val="22"/>
          <w:szCs w:val="22"/>
        </w:rPr>
        <w:t>;</w:t>
      </w:r>
    </w:p>
    <w:p w:rsidR="007C7DCB" w:rsidRPr="001742B1" w:rsidRDefault="007C7DCB" w:rsidP="001742B1">
      <w:pPr>
        <w:pStyle w:val="SingleTxtG"/>
        <w:spacing w:after="0" w:line="240" w:lineRule="auto"/>
        <w:ind w:left="270" w:right="0" w:hanging="270"/>
        <w:jc w:val="lowKashida"/>
        <w:rPr>
          <w:rFonts w:asciiTheme="minorHAnsi" w:hAnsiTheme="minorHAnsi"/>
          <w:sz w:val="22"/>
          <w:szCs w:val="22"/>
        </w:rPr>
      </w:pPr>
      <w:r w:rsidRPr="001742B1">
        <w:rPr>
          <w:rFonts w:asciiTheme="minorHAnsi" w:hAnsiTheme="minorHAnsi"/>
          <w:sz w:val="22"/>
          <w:szCs w:val="22"/>
        </w:rPr>
        <w:t>(b)</w:t>
      </w:r>
      <w:r w:rsidRPr="001742B1">
        <w:rPr>
          <w:rFonts w:asciiTheme="minorHAnsi" w:hAnsiTheme="minorHAnsi"/>
          <w:sz w:val="22"/>
          <w:szCs w:val="22"/>
        </w:rPr>
        <w:tab/>
        <w:t xml:space="preserve">The measures taken to stop chemical spraying over farmlands by the military forces in the </w:t>
      </w:r>
      <w:proofErr w:type="spellStart"/>
      <w:r w:rsidRPr="001742B1">
        <w:rPr>
          <w:rFonts w:asciiTheme="minorHAnsi" w:hAnsiTheme="minorHAnsi"/>
          <w:sz w:val="22"/>
          <w:szCs w:val="22"/>
        </w:rPr>
        <w:t>oPt</w:t>
      </w:r>
      <w:proofErr w:type="spellEnd"/>
      <w:r w:rsidRPr="001742B1">
        <w:rPr>
          <w:rFonts w:asciiTheme="minorHAnsi" w:hAnsiTheme="minorHAnsi"/>
          <w:sz w:val="22"/>
          <w:szCs w:val="22"/>
        </w:rPr>
        <w:t xml:space="preserve">; </w:t>
      </w:r>
    </w:p>
    <w:p w:rsidR="007C7DCB" w:rsidRPr="001742B1" w:rsidRDefault="007C7DCB" w:rsidP="001742B1">
      <w:pPr>
        <w:pStyle w:val="SingleTxtG"/>
        <w:spacing w:after="0" w:line="240" w:lineRule="auto"/>
        <w:ind w:left="270" w:right="0" w:hanging="270"/>
        <w:jc w:val="lowKashida"/>
        <w:rPr>
          <w:rFonts w:asciiTheme="minorHAnsi" w:hAnsiTheme="minorHAnsi"/>
          <w:sz w:val="22"/>
          <w:szCs w:val="22"/>
        </w:rPr>
      </w:pPr>
      <w:r w:rsidRPr="001742B1">
        <w:rPr>
          <w:rFonts w:asciiTheme="minorHAnsi" w:hAnsiTheme="minorHAnsi"/>
          <w:sz w:val="22"/>
          <w:szCs w:val="22"/>
        </w:rPr>
        <w:t>(c)</w:t>
      </w:r>
      <w:r w:rsidRPr="001742B1">
        <w:rPr>
          <w:rFonts w:asciiTheme="minorHAnsi" w:hAnsiTheme="minorHAnsi"/>
          <w:sz w:val="22"/>
          <w:szCs w:val="22"/>
        </w:rPr>
        <w:tab/>
        <w:t xml:space="preserve">The steps taken to ensure unimpeded access of Palestinians to their agricultural land, water sources and irrigation facilities in all their territories; </w:t>
      </w:r>
    </w:p>
    <w:p w:rsidR="007C7DCB" w:rsidRPr="001742B1" w:rsidRDefault="007C7DCB" w:rsidP="007C7DCB">
      <w:pPr>
        <w:pStyle w:val="SingleTxtG"/>
        <w:spacing w:after="0" w:line="240" w:lineRule="auto"/>
        <w:ind w:left="270" w:right="0" w:hanging="270"/>
        <w:jc w:val="lowKashida"/>
        <w:rPr>
          <w:rFonts w:asciiTheme="minorHAnsi" w:hAnsiTheme="minorHAnsi"/>
          <w:sz w:val="22"/>
          <w:szCs w:val="22"/>
        </w:rPr>
      </w:pPr>
      <w:r w:rsidRPr="001742B1">
        <w:rPr>
          <w:rFonts w:asciiTheme="minorHAnsi" w:hAnsiTheme="minorHAnsi"/>
          <w:sz w:val="22"/>
          <w:szCs w:val="22"/>
        </w:rPr>
        <w:t>(d) The measures taken to recognize and respect the right of the Palestinian people to the marine resources, including the right to fish in the territorial sea of the Gaza Strip; and</w:t>
      </w:r>
    </w:p>
    <w:p w:rsidR="007C7DCB" w:rsidRPr="001742B1" w:rsidRDefault="007C7DCB" w:rsidP="001742B1">
      <w:pPr>
        <w:pStyle w:val="SingleTxtG"/>
        <w:spacing w:after="0" w:line="240" w:lineRule="auto"/>
        <w:ind w:left="270" w:right="0" w:hanging="270"/>
        <w:jc w:val="lowKashida"/>
        <w:rPr>
          <w:rFonts w:asciiTheme="minorHAnsi" w:hAnsiTheme="minorHAnsi"/>
          <w:sz w:val="22"/>
          <w:szCs w:val="22"/>
        </w:rPr>
      </w:pPr>
      <w:r w:rsidRPr="001742B1">
        <w:rPr>
          <w:rFonts w:asciiTheme="minorHAnsi" w:hAnsiTheme="minorHAnsi"/>
          <w:sz w:val="22"/>
          <w:szCs w:val="22"/>
        </w:rPr>
        <w:t>(e)</w:t>
      </w:r>
      <w:r w:rsidRPr="001742B1">
        <w:rPr>
          <w:rFonts w:asciiTheme="minorHAnsi" w:hAnsiTheme="minorHAnsi"/>
          <w:sz w:val="22"/>
          <w:szCs w:val="22"/>
        </w:rPr>
        <w:tab/>
        <w:t xml:space="preserve">The investigations into the cases of the killings and injuries of fishers in the buffer zone, prosecutions, and penalties imposed on perpetrators, and the remedies provided to the victims. </w:t>
      </w:r>
    </w:p>
    <w:p w:rsidR="007C7DCB" w:rsidRDefault="007C7DCB" w:rsidP="001742B1">
      <w:pPr>
        <w:tabs>
          <w:tab w:val="right" w:pos="9360"/>
        </w:tabs>
        <w:spacing w:after="0" w:line="240" w:lineRule="auto"/>
        <w:ind w:left="9360" w:hanging="9360"/>
        <w:jc w:val="lowKashida"/>
        <w:rPr>
          <w:rFonts w:ascii="Calibri" w:eastAsia="Calibri" w:hAnsi="Calibri" w:cs="Arial"/>
        </w:rPr>
      </w:pPr>
      <w:r>
        <w:rPr>
          <w:rFonts w:ascii="Calibri" w:eastAsia="Calibri" w:hAnsi="Calibri" w:cs="Arial"/>
        </w:rPr>
        <w:tab/>
      </w:r>
    </w:p>
    <w:p w:rsidR="007C7DCB" w:rsidRDefault="007C7DCB" w:rsidP="00487A8B">
      <w:pPr>
        <w:spacing w:after="0" w:line="240" w:lineRule="auto"/>
        <w:jc w:val="lowKashida"/>
        <w:rPr>
          <w:rFonts w:cstheme="minorHAnsi"/>
        </w:rPr>
      </w:pPr>
      <w:r>
        <w:rPr>
          <w:rFonts w:ascii="Calibri" w:eastAsia="Calibri" w:hAnsi="Calibri" w:cs="Arial"/>
        </w:rPr>
        <w:t xml:space="preserve">The responses from Israel have failed to address any of these queries and concerns. </w:t>
      </w:r>
      <w:r>
        <w:rPr>
          <w:rFonts w:cstheme="minorHAnsi"/>
        </w:rPr>
        <w:t xml:space="preserve">With regard to Article 11 of the Covenant, Israel's policies and practices have affected the human right to food by </w:t>
      </w:r>
      <w:r w:rsidRPr="0028175B">
        <w:rPr>
          <w:rFonts w:cstheme="minorHAnsi"/>
        </w:rPr>
        <w:t>continu</w:t>
      </w:r>
      <w:r>
        <w:rPr>
          <w:rFonts w:cstheme="minorHAnsi"/>
        </w:rPr>
        <w:t xml:space="preserve">ing to </w:t>
      </w:r>
      <w:r w:rsidRPr="00F352F9">
        <w:rPr>
          <w:rFonts w:cstheme="minorHAnsi"/>
          <w:bCs/>
        </w:rPr>
        <w:t>prevent Palestinians’ access to, and control over their resources</w:t>
      </w:r>
      <w:r w:rsidRPr="0028175B">
        <w:rPr>
          <w:rFonts w:cstheme="minorHAnsi"/>
        </w:rPr>
        <w:t xml:space="preserve"> needed for food production, exploiting and diverting Palestinian natural resources to the benefit of colonizing settlers through its </w:t>
      </w:r>
      <w:proofErr w:type="spellStart"/>
      <w:r w:rsidRPr="0028175B">
        <w:rPr>
          <w:rFonts w:cstheme="minorHAnsi"/>
        </w:rPr>
        <w:t>parastatal</w:t>
      </w:r>
      <w:proofErr w:type="spellEnd"/>
      <w:r w:rsidRPr="0028175B">
        <w:rPr>
          <w:rFonts w:cstheme="minorHAnsi"/>
        </w:rPr>
        <w:t xml:space="preserve"> institutions chartered to carry out material discrimination</w:t>
      </w:r>
      <w:r>
        <w:rPr>
          <w:rFonts w:cstheme="minorHAnsi"/>
        </w:rPr>
        <w:t>, and rendering the Palestinian economy dependent upon Israeli products</w:t>
      </w:r>
      <w:r w:rsidRPr="0028175B">
        <w:rPr>
          <w:rFonts w:cstheme="minorHAnsi"/>
        </w:rPr>
        <w:t xml:space="preserve">. </w:t>
      </w:r>
      <w:r>
        <w:rPr>
          <w:rFonts w:cstheme="minorHAnsi"/>
        </w:rPr>
        <w:t xml:space="preserve">These </w:t>
      </w:r>
    </w:p>
    <w:p w:rsidR="007C7DCB" w:rsidRDefault="007C7DCB" w:rsidP="001742B1">
      <w:pPr>
        <w:spacing w:after="0" w:line="240" w:lineRule="auto"/>
        <w:jc w:val="lowKashida"/>
        <w:rPr>
          <w:rFonts w:cstheme="minorHAnsi"/>
        </w:rPr>
      </w:pPr>
    </w:p>
    <w:p w:rsidR="007C7DCB" w:rsidRPr="0028175B" w:rsidRDefault="007C7DCB" w:rsidP="00487A8B">
      <w:pPr>
        <w:spacing w:after="0" w:line="240" w:lineRule="auto"/>
        <w:jc w:val="lowKashida"/>
        <w:rPr>
          <w:rFonts w:cstheme="minorHAnsi"/>
        </w:rPr>
      </w:pPr>
      <w:r w:rsidRPr="0028175B">
        <w:rPr>
          <w:rFonts w:cstheme="minorHAnsi"/>
        </w:rPr>
        <w:t xml:space="preserve">The measures </w:t>
      </w:r>
      <w:r>
        <w:rPr>
          <w:rFonts w:cstheme="minorHAnsi"/>
        </w:rPr>
        <w:t xml:space="preserve">denying Palestinians access to land and water </w:t>
      </w:r>
      <w:r w:rsidRPr="0028175B">
        <w:rPr>
          <w:rFonts w:cstheme="minorHAnsi"/>
        </w:rPr>
        <w:t xml:space="preserve">have accompanied the </w:t>
      </w:r>
      <w:r w:rsidRPr="00F352F9">
        <w:rPr>
          <w:rFonts w:cstheme="minorHAnsi"/>
          <w:bCs/>
        </w:rPr>
        <w:t>loss of productivity, soil fertility and biodiversity, with their destructive impacts on food security and nutrition</w:t>
      </w:r>
      <w:r>
        <w:rPr>
          <w:rFonts w:cstheme="minorHAnsi"/>
        </w:rPr>
        <w:t xml:space="preserve"> that the Covenant and CESCR General Comment No. 12 addresses</w:t>
      </w:r>
      <w:r w:rsidRPr="0028175B">
        <w:rPr>
          <w:rFonts w:cstheme="minorHAnsi"/>
        </w:rPr>
        <w:t>. The measures limiting movement and other restrictions have affected particularly the Palestinian agricultural sector and food systems</w:t>
      </w:r>
      <w:r>
        <w:rPr>
          <w:rFonts w:cstheme="minorHAnsi"/>
        </w:rPr>
        <w:t xml:space="preserve"> in the </w:t>
      </w:r>
      <w:proofErr w:type="spellStart"/>
      <w:r>
        <w:rPr>
          <w:rFonts w:cstheme="minorHAnsi"/>
        </w:rPr>
        <w:t>oPt</w:t>
      </w:r>
      <w:proofErr w:type="spellEnd"/>
      <w:r w:rsidRPr="0028175B">
        <w:rPr>
          <w:rFonts w:cstheme="minorHAnsi"/>
        </w:rPr>
        <w:t xml:space="preserve">, while farmers have been </w:t>
      </w:r>
      <w:r w:rsidRPr="005B7333">
        <w:rPr>
          <w:rFonts w:cstheme="minorHAnsi"/>
          <w:bCs/>
        </w:rPr>
        <w:t>denied access to domestic and external markets</w:t>
      </w:r>
      <w:r>
        <w:rPr>
          <w:rFonts w:cstheme="minorHAnsi"/>
          <w:bCs/>
        </w:rPr>
        <w:t>,</w:t>
      </w:r>
      <w:r w:rsidRPr="0028175B">
        <w:rPr>
          <w:rFonts w:cstheme="minorHAnsi"/>
          <w:b/>
        </w:rPr>
        <w:t xml:space="preserve"> </w:t>
      </w:r>
      <w:r w:rsidRPr="0028175B">
        <w:rPr>
          <w:rFonts w:cstheme="minorHAnsi"/>
        </w:rPr>
        <w:t>as well as their land and water resources.</w:t>
      </w:r>
      <w:r w:rsidRPr="0028175B">
        <w:rPr>
          <w:rFonts w:cstheme="minorHAnsi"/>
          <w:vertAlign w:val="superscript"/>
        </w:rPr>
        <w:endnoteReference w:id="26"/>
      </w:r>
      <w:r w:rsidRPr="0028175B">
        <w:rPr>
          <w:rFonts w:cstheme="minorHAnsi"/>
        </w:rPr>
        <w:t xml:space="preserve"> </w:t>
      </w:r>
    </w:p>
    <w:p w:rsidR="007C7DCB" w:rsidRPr="0028175B" w:rsidRDefault="007C7DCB" w:rsidP="001742B1">
      <w:pPr>
        <w:spacing w:after="0" w:line="240" w:lineRule="auto"/>
        <w:jc w:val="lowKashida"/>
        <w:rPr>
          <w:rFonts w:cstheme="minorHAnsi"/>
        </w:rPr>
      </w:pPr>
    </w:p>
    <w:p w:rsidR="007C7DCB" w:rsidRPr="0028175B" w:rsidRDefault="007C7DCB" w:rsidP="00487A8B">
      <w:pPr>
        <w:spacing w:after="0" w:line="240" w:lineRule="auto"/>
        <w:jc w:val="lowKashida"/>
        <w:rPr>
          <w:rFonts w:eastAsia="Calibri" w:cstheme="minorHAnsi"/>
        </w:rPr>
      </w:pPr>
      <w:r>
        <w:rPr>
          <w:rFonts w:cstheme="minorHAnsi"/>
        </w:rPr>
        <w:t>The long-standing practices impede</w:t>
      </w:r>
      <w:r w:rsidRPr="0028175B">
        <w:rPr>
          <w:rFonts w:cstheme="minorHAnsi"/>
        </w:rPr>
        <w:t xml:space="preserve"> Palestinians’ economic, social and cultural development also effectively deny the exercise of their right to self-determination</w:t>
      </w:r>
      <w:r>
        <w:rPr>
          <w:rFonts w:cstheme="minorHAnsi"/>
        </w:rPr>
        <w:t xml:space="preserve">, continuing to "deprive a people </w:t>
      </w:r>
      <w:r>
        <w:rPr>
          <w:rFonts w:cstheme="minorHAnsi"/>
        </w:rPr>
        <w:lastRenderedPageBreak/>
        <w:t>of its means of subsistence."</w:t>
      </w:r>
      <w:r>
        <w:rPr>
          <w:rStyle w:val="EndnoteReference"/>
          <w:rFonts w:cstheme="minorHAnsi"/>
        </w:rPr>
        <w:endnoteReference w:id="27"/>
      </w:r>
      <w:r w:rsidRPr="0028175B">
        <w:rPr>
          <w:rFonts w:cstheme="minorHAnsi"/>
        </w:rPr>
        <w:t xml:space="preserve"> Consequently, the protracted conflict, economic stagnation, restricted trade and access to resources imp</w:t>
      </w:r>
      <w:r>
        <w:rPr>
          <w:rFonts w:cstheme="minorHAnsi"/>
        </w:rPr>
        <w:t>air</w:t>
      </w:r>
      <w:r w:rsidRPr="0028175B">
        <w:rPr>
          <w:rFonts w:cstheme="minorHAnsi"/>
        </w:rPr>
        <w:t xml:space="preserve"> local producti</w:t>
      </w:r>
      <w:r>
        <w:rPr>
          <w:rFonts w:cstheme="minorHAnsi"/>
        </w:rPr>
        <w:t>vity</w:t>
      </w:r>
      <w:r w:rsidRPr="0028175B">
        <w:rPr>
          <w:rFonts w:cstheme="minorHAnsi"/>
        </w:rPr>
        <w:t xml:space="preserve"> and normal access to food and nutrition, </w:t>
      </w:r>
      <w:r>
        <w:rPr>
          <w:rFonts w:cstheme="minorHAnsi"/>
        </w:rPr>
        <w:t xml:space="preserve">while </w:t>
      </w:r>
      <w:r w:rsidRPr="0028175B">
        <w:rPr>
          <w:rFonts w:cstheme="minorHAnsi"/>
        </w:rPr>
        <w:t xml:space="preserve">driving </w:t>
      </w:r>
      <w:r>
        <w:rPr>
          <w:rFonts w:cstheme="minorHAnsi"/>
        </w:rPr>
        <w:t xml:space="preserve">up </w:t>
      </w:r>
      <w:r w:rsidRPr="0028175B">
        <w:rPr>
          <w:rFonts w:cstheme="minorHAnsi"/>
        </w:rPr>
        <w:t xml:space="preserve">unemployment and poverty rates </w:t>
      </w:r>
      <w:r>
        <w:rPr>
          <w:rFonts w:cstheme="minorHAnsi"/>
        </w:rPr>
        <w:t xml:space="preserve">across rural </w:t>
      </w:r>
      <w:r w:rsidRPr="0028175B">
        <w:rPr>
          <w:rFonts w:cstheme="minorHAnsi"/>
        </w:rPr>
        <w:t>Palestine. This poses serious challenges to the achievement of Sustainable Development Goal 2 on Zero Hunger, food security and improved nutrition</w:t>
      </w:r>
      <w:r>
        <w:rPr>
          <w:rFonts w:cstheme="minorHAnsi"/>
        </w:rPr>
        <w:t>.</w:t>
      </w:r>
      <w:r w:rsidRPr="0028175B">
        <w:rPr>
          <w:rFonts w:cstheme="minorHAnsi"/>
          <w:bCs/>
          <w:vertAlign w:val="superscript"/>
        </w:rPr>
        <w:endnoteReference w:id="28"/>
      </w:r>
    </w:p>
    <w:p w:rsidR="007C7DCB" w:rsidRPr="0028175B" w:rsidRDefault="007C7DCB" w:rsidP="001742B1">
      <w:pPr>
        <w:spacing w:after="0" w:line="240" w:lineRule="auto"/>
        <w:jc w:val="lowKashida"/>
        <w:rPr>
          <w:rFonts w:cstheme="minorHAnsi"/>
        </w:rPr>
      </w:pPr>
    </w:p>
    <w:p w:rsidR="007C7DCB" w:rsidRDefault="007C7DCB" w:rsidP="00487A8B">
      <w:pPr>
        <w:spacing w:after="0" w:line="240" w:lineRule="auto"/>
        <w:jc w:val="lowKashida"/>
        <w:rPr>
          <w:rFonts w:cstheme="minorHAnsi"/>
        </w:rPr>
      </w:pPr>
      <w:r w:rsidRPr="0028175B">
        <w:rPr>
          <w:rFonts w:cstheme="minorHAnsi"/>
        </w:rPr>
        <w:t>Israel’s persistent and illegal military control of the </w:t>
      </w:r>
      <w:proofErr w:type="spellStart"/>
      <w:r>
        <w:rPr>
          <w:rFonts w:cstheme="minorHAnsi"/>
        </w:rPr>
        <w:t>oPt</w:t>
      </w:r>
      <w:proofErr w:type="spellEnd"/>
      <w:r w:rsidRPr="0028175B">
        <w:rPr>
          <w:rFonts w:cstheme="minorHAnsi"/>
        </w:rPr>
        <w:t xml:space="preserve"> since 1967 has seen periods of intensive military activity, causing considerable </w:t>
      </w:r>
      <w:r w:rsidRPr="005B7333">
        <w:rPr>
          <w:rFonts w:cstheme="minorHAnsi"/>
          <w:bCs/>
        </w:rPr>
        <w:t>destruction to the environment, agriculture and economies</w:t>
      </w:r>
      <w:r w:rsidRPr="0028175B">
        <w:rPr>
          <w:rFonts w:cstheme="minorHAnsi"/>
        </w:rPr>
        <w:t xml:space="preserve">, the repercussions of which are </w:t>
      </w:r>
      <w:r>
        <w:rPr>
          <w:rFonts w:cstheme="minorHAnsi"/>
        </w:rPr>
        <w:t xml:space="preserve">both cumulative and </w:t>
      </w:r>
      <w:r w:rsidRPr="0028175B">
        <w:rPr>
          <w:rFonts w:cstheme="minorHAnsi"/>
        </w:rPr>
        <w:t>current.</w:t>
      </w:r>
      <w:r w:rsidRPr="0028175B">
        <w:rPr>
          <w:rFonts w:cstheme="minorHAnsi"/>
          <w:vertAlign w:val="superscript"/>
        </w:rPr>
        <w:endnoteReference w:id="29"/>
      </w:r>
      <w:r w:rsidRPr="0028175B">
        <w:rPr>
          <w:rFonts w:cstheme="minorHAnsi"/>
        </w:rPr>
        <w:t xml:space="preserve"> </w:t>
      </w:r>
      <w:r>
        <w:rPr>
          <w:rFonts w:cstheme="minorHAnsi"/>
        </w:rPr>
        <w:t xml:space="preserve">Israel’s </w:t>
      </w:r>
      <w:r w:rsidRPr="0028175B">
        <w:rPr>
          <w:rFonts w:cstheme="minorHAnsi"/>
        </w:rPr>
        <w:t>denial of food supply and natural resources as a weapon</w:t>
      </w:r>
      <w:r>
        <w:rPr>
          <w:rFonts w:cstheme="minorHAnsi"/>
        </w:rPr>
        <w:t xml:space="preserve"> is felt </w:t>
      </w:r>
      <w:r w:rsidRPr="0028175B">
        <w:rPr>
          <w:rFonts w:cstheme="minorHAnsi"/>
        </w:rPr>
        <w:t>most drastically through its decade-long blockade of the Gaza Strip.</w:t>
      </w:r>
      <w:r w:rsidRPr="0028175B">
        <w:rPr>
          <w:rFonts w:cstheme="minorHAnsi"/>
          <w:vertAlign w:val="superscript"/>
        </w:rPr>
        <w:endnoteReference w:id="30"/>
      </w:r>
      <w:r w:rsidRPr="0028175B">
        <w:rPr>
          <w:rFonts w:cstheme="minorHAnsi"/>
        </w:rPr>
        <w:t xml:space="preserve"> Israel </w:t>
      </w:r>
      <w:r>
        <w:rPr>
          <w:rFonts w:cstheme="minorHAnsi"/>
        </w:rPr>
        <w:t xml:space="preserve">even </w:t>
      </w:r>
      <w:r w:rsidRPr="0028175B">
        <w:rPr>
          <w:rFonts w:cstheme="minorHAnsi"/>
        </w:rPr>
        <w:t>controls the quantity of food allowed to reach the Gaza population, even calculating the</w:t>
      </w:r>
      <w:r>
        <w:rPr>
          <w:rFonts w:cstheme="minorHAnsi"/>
        </w:rPr>
        <w:t>ir</w:t>
      </w:r>
      <w:r w:rsidRPr="0028175B">
        <w:rPr>
          <w:rFonts w:cstheme="minorHAnsi"/>
        </w:rPr>
        <w:t xml:space="preserve"> per-capita calorie intake.</w:t>
      </w:r>
      <w:r w:rsidRPr="0028175B">
        <w:rPr>
          <w:rFonts w:cstheme="minorHAnsi"/>
          <w:vertAlign w:val="superscript"/>
        </w:rPr>
        <w:endnoteReference w:id="31"/>
      </w:r>
      <w:r w:rsidRPr="0028175B">
        <w:rPr>
          <w:rFonts w:cstheme="minorHAnsi"/>
        </w:rPr>
        <w:t xml:space="preserve"> </w:t>
      </w:r>
      <w:r>
        <w:rPr>
          <w:rFonts w:cstheme="minorHAnsi"/>
        </w:rPr>
        <w:t xml:space="preserve">Meanwhile, </w:t>
      </w:r>
      <w:r w:rsidRPr="0028175B">
        <w:rPr>
          <w:rFonts w:cstheme="minorHAnsi"/>
        </w:rPr>
        <w:t>Israel’s water administration also massively over-pumps and pre-empts the mountain aquifer flowing to the coastal Strip.</w:t>
      </w:r>
      <w:r w:rsidRPr="0028175B">
        <w:rPr>
          <w:rFonts w:cstheme="minorHAnsi"/>
          <w:vertAlign w:val="superscript"/>
        </w:rPr>
        <w:endnoteReference w:id="32"/>
      </w:r>
      <w:r w:rsidRPr="0028175B">
        <w:rPr>
          <w:rFonts w:cstheme="minorHAnsi"/>
        </w:rPr>
        <w:t xml:space="preserve"> </w:t>
      </w:r>
      <w:r>
        <w:rPr>
          <w:rFonts w:cstheme="minorHAnsi"/>
        </w:rPr>
        <w:t>Consequently, t</w:t>
      </w:r>
      <w:r w:rsidRPr="0028175B">
        <w:rPr>
          <w:rFonts w:cstheme="minorHAnsi"/>
        </w:rPr>
        <w:t>he UN has determined that the Gaza Strip will be uninhabitable by 2020.</w:t>
      </w:r>
      <w:r w:rsidRPr="0028175B">
        <w:rPr>
          <w:rFonts w:cstheme="minorHAnsi"/>
          <w:vertAlign w:val="superscript"/>
        </w:rPr>
        <w:endnoteReference w:id="33"/>
      </w:r>
      <w:r>
        <w:rPr>
          <w:rFonts w:cstheme="minorHAnsi"/>
        </w:rPr>
        <w:t xml:space="preserve"> Some observers assert that it already is.</w:t>
      </w:r>
      <w:r>
        <w:rPr>
          <w:rStyle w:val="EndnoteReference"/>
          <w:rFonts w:cstheme="minorHAnsi"/>
        </w:rPr>
        <w:endnoteReference w:id="34"/>
      </w:r>
    </w:p>
    <w:p w:rsidR="007C7DCB" w:rsidRDefault="007C7DCB" w:rsidP="001742B1">
      <w:pPr>
        <w:tabs>
          <w:tab w:val="right" w:pos="9360"/>
        </w:tabs>
        <w:spacing w:after="0" w:line="240" w:lineRule="auto"/>
        <w:ind w:left="9360" w:hanging="9360"/>
        <w:jc w:val="lowKashida"/>
        <w:rPr>
          <w:rFonts w:ascii="Calibri" w:eastAsia="Calibri" w:hAnsi="Calibri" w:cs="Arial"/>
        </w:rPr>
      </w:pPr>
    </w:p>
    <w:p w:rsidR="007C7DCB" w:rsidRDefault="007C7DCB" w:rsidP="001742B1">
      <w:pPr>
        <w:tabs>
          <w:tab w:val="right" w:pos="9360"/>
        </w:tabs>
        <w:spacing w:after="0" w:line="240" w:lineRule="auto"/>
        <w:ind w:left="9360" w:hanging="9360"/>
        <w:jc w:val="lowKashida"/>
        <w:rPr>
          <w:rFonts w:ascii="Calibri" w:eastAsia="Calibri" w:hAnsi="Calibri" w:cs="Arial"/>
        </w:rPr>
      </w:pPr>
    </w:p>
    <w:p w:rsidR="007C7DCB" w:rsidRPr="002336CB" w:rsidRDefault="007C7DCB" w:rsidP="002336CB">
      <w:pPr>
        <w:tabs>
          <w:tab w:val="right" w:pos="9360"/>
        </w:tabs>
        <w:spacing w:after="120" w:line="240" w:lineRule="auto"/>
        <w:jc w:val="lowKashida"/>
        <w:rPr>
          <w:rFonts w:ascii="Calibri" w:eastAsia="Calibri" w:hAnsi="Calibri" w:cs="Arial"/>
          <w:b/>
          <w:bCs/>
        </w:rPr>
      </w:pPr>
      <w:r w:rsidRPr="002336CB">
        <w:rPr>
          <w:rFonts w:ascii="Calibri" w:eastAsia="Calibri" w:hAnsi="Calibri" w:cs="Arial"/>
          <w:b/>
          <w:bCs/>
        </w:rPr>
        <w:t>The Human Right to Adequate Housing: Article 11</w:t>
      </w:r>
    </w:p>
    <w:p w:rsidR="007C7DCB" w:rsidRDefault="007C7DCB" w:rsidP="004E4C13">
      <w:pPr>
        <w:tabs>
          <w:tab w:val="right" w:pos="9360"/>
        </w:tabs>
        <w:spacing w:after="0" w:line="240" w:lineRule="auto"/>
        <w:jc w:val="lowKashida"/>
        <w:rPr>
          <w:rFonts w:ascii="Calibri" w:eastAsia="Calibri" w:hAnsi="Calibri" w:cs="Arial"/>
        </w:rPr>
      </w:pPr>
      <w:r>
        <w:rPr>
          <w:rFonts w:ascii="Calibri" w:eastAsia="Calibri" w:hAnsi="Calibri" w:cs="Arial"/>
        </w:rPr>
        <w:t xml:space="preserve">At the </w:t>
      </w:r>
      <w:r w:rsidRPr="00250308">
        <w:rPr>
          <w:rFonts w:eastAsia="Calibri" w:cs="Arial"/>
        </w:rPr>
        <w:t xml:space="preserve">core of the breaches of ICESCR in Israel are violations of the human right to adequate housing, </w:t>
      </w:r>
      <w:r>
        <w:rPr>
          <w:rFonts w:eastAsia="Calibri" w:cs="Arial"/>
        </w:rPr>
        <w:t>"</w:t>
      </w:r>
      <w:r w:rsidRPr="00250308">
        <w:rPr>
          <w:rFonts w:eastAsia="MS Mincho"/>
        </w:rPr>
        <w:t>including access to land as an entitlement</w:t>
      </w:r>
      <w:r w:rsidRPr="00250308">
        <w:rPr>
          <w:rFonts w:eastAsia="Calibri" w:cs="Arial"/>
        </w:rPr>
        <w:t>,</w:t>
      </w:r>
      <w:r>
        <w:rPr>
          <w:rFonts w:eastAsia="Calibri" w:cs="Arial"/>
        </w:rPr>
        <w:t>"</w:t>
      </w:r>
      <w:r w:rsidRPr="00250308">
        <w:rPr>
          <w:rFonts w:eastAsia="Calibri" w:cs="Arial"/>
        </w:rPr>
        <w:t xml:space="preserve"> as</w:t>
      </w:r>
      <w:r>
        <w:rPr>
          <w:rFonts w:ascii="Calibri" w:eastAsia="Calibri" w:hAnsi="Calibri" w:cs="Arial"/>
        </w:rPr>
        <w:t xml:space="preserve"> provided in General Comment No. 4.</w:t>
      </w:r>
      <w:r>
        <w:rPr>
          <w:rStyle w:val="EndnoteReference"/>
          <w:rFonts w:ascii="Calibri" w:eastAsia="Calibri" w:hAnsi="Calibri" w:cs="Arial"/>
        </w:rPr>
        <w:endnoteReference w:id="35"/>
      </w:r>
      <w:r>
        <w:rPr>
          <w:rFonts w:ascii="Calibri" w:eastAsia="Calibri" w:hAnsi="Calibri" w:cs="Arial"/>
        </w:rPr>
        <w:t xml:space="preserve"> The particular practice of forced eviction against the Palestinian people, both residents of the </w:t>
      </w:r>
      <w:proofErr w:type="spellStart"/>
      <w:r>
        <w:rPr>
          <w:rFonts w:ascii="Calibri" w:eastAsia="Calibri" w:hAnsi="Calibri" w:cs="Arial"/>
        </w:rPr>
        <w:t>oPt</w:t>
      </w:r>
      <w:proofErr w:type="spellEnd"/>
      <w:r>
        <w:rPr>
          <w:rFonts w:ascii="Calibri" w:eastAsia="Calibri" w:hAnsi="Calibri" w:cs="Arial"/>
        </w:rPr>
        <w:t xml:space="preserve"> and citizens in the State of Israel have been widely reported. Accordingly, please refer to Habitat International Coalition's submission to CESCR at its 64</w:t>
      </w:r>
      <w:r w:rsidRPr="004E4C13">
        <w:rPr>
          <w:rFonts w:ascii="Calibri" w:eastAsia="Calibri" w:hAnsi="Calibri" w:cs="Arial"/>
          <w:vertAlign w:val="superscript"/>
        </w:rPr>
        <w:t>th</w:t>
      </w:r>
      <w:r>
        <w:rPr>
          <w:rFonts w:ascii="Calibri" w:eastAsia="Calibri" w:hAnsi="Calibri" w:cs="Arial"/>
        </w:rPr>
        <w:t xml:space="preserve"> Pre-</w:t>
      </w:r>
      <w:proofErr w:type="spellStart"/>
      <w:r>
        <w:rPr>
          <w:rFonts w:ascii="Calibri" w:eastAsia="Calibri" w:hAnsi="Calibri" w:cs="Arial"/>
        </w:rPr>
        <w:t>sessional</w:t>
      </w:r>
      <w:proofErr w:type="spellEnd"/>
      <w:r>
        <w:rPr>
          <w:rFonts w:ascii="Calibri" w:eastAsia="Calibri" w:hAnsi="Calibri" w:cs="Arial"/>
        </w:rPr>
        <w:t xml:space="preserve"> Working Group in March 2019.</w:t>
      </w:r>
      <w:r>
        <w:rPr>
          <w:rStyle w:val="EndnoteReference"/>
          <w:rFonts w:ascii="Calibri" w:eastAsia="Calibri" w:hAnsi="Calibri" w:cs="Arial"/>
        </w:rPr>
        <w:endnoteReference w:id="36"/>
      </w:r>
    </w:p>
    <w:p w:rsidR="007C7DCB" w:rsidRDefault="007C7DCB" w:rsidP="004E4C13">
      <w:pPr>
        <w:spacing w:after="0" w:line="240" w:lineRule="auto"/>
        <w:jc w:val="lowKashida"/>
        <w:rPr>
          <w:rFonts w:eastAsia="Calibri" w:cstheme="minorHAnsi"/>
        </w:rPr>
      </w:pPr>
    </w:p>
    <w:p w:rsidR="007C7DCB" w:rsidRDefault="007C7DCB" w:rsidP="004E4C13">
      <w:pPr>
        <w:spacing w:after="0" w:line="240" w:lineRule="auto"/>
        <w:jc w:val="lowKashida"/>
        <w:rPr>
          <w:rFonts w:eastAsia="Calibri" w:cstheme="minorHAnsi"/>
        </w:rPr>
      </w:pPr>
      <w:r>
        <w:rPr>
          <w:rFonts w:eastAsia="Calibri" w:cstheme="minorHAnsi"/>
        </w:rPr>
        <w:t xml:space="preserve">The state party’s report claims that </w:t>
      </w:r>
      <w:r w:rsidRPr="009E07AA">
        <w:rPr>
          <w:rFonts w:eastAsia="Calibri" w:cstheme="minorHAnsi"/>
        </w:rPr>
        <w:t>data relating to evictions over the past five years</w:t>
      </w:r>
      <w:r>
        <w:rPr>
          <w:rFonts w:eastAsia="Calibri" w:cstheme="minorHAnsi"/>
        </w:rPr>
        <w:t xml:space="preserve"> </w:t>
      </w:r>
      <w:r w:rsidRPr="009E07AA">
        <w:rPr>
          <w:rFonts w:eastAsia="Calibri" w:cstheme="minorHAnsi"/>
        </w:rPr>
        <w:t xml:space="preserve">demonstrate </w:t>
      </w:r>
      <w:r>
        <w:rPr>
          <w:rFonts w:eastAsia="Calibri" w:cstheme="minorHAnsi"/>
        </w:rPr>
        <w:t>“</w:t>
      </w:r>
      <w:r w:rsidRPr="009E07AA">
        <w:rPr>
          <w:rFonts w:eastAsia="Calibri" w:cstheme="minorHAnsi"/>
        </w:rPr>
        <w:t>a steady decline in the number of eviction orders granted each year.</w:t>
      </w:r>
      <w:r>
        <w:rPr>
          <w:rFonts w:eastAsia="Calibri" w:cstheme="minorHAnsi"/>
        </w:rPr>
        <w:t>”</w:t>
      </w:r>
      <w:r>
        <w:rPr>
          <w:rStyle w:val="EndnoteReference"/>
          <w:rFonts w:eastAsia="Calibri" w:cstheme="minorHAnsi"/>
        </w:rPr>
        <w:endnoteReference w:id="37"/>
      </w:r>
      <w:r>
        <w:rPr>
          <w:rFonts w:eastAsia="Calibri" w:cstheme="minorHAnsi"/>
        </w:rPr>
        <w:t xml:space="preserve"> This statement is both false and deceptive in that the relevant Table No. 28, on page 26</w:t>
      </w:r>
      <w:r w:rsidRPr="004E4C13">
        <w:rPr>
          <w:rFonts w:eastAsia="Calibri" w:cstheme="minorHAnsi"/>
        </w:rPr>
        <w:t xml:space="preserve"> </w:t>
      </w:r>
      <w:r>
        <w:rPr>
          <w:rFonts w:eastAsia="Calibri" w:cstheme="minorHAnsi"/>
        </w:rPr>
        <w:t>in its</w:t>
      </w:r>
      <w:r w:rsidRPr="009E07AA">
        <w:rPr>
          <w:rFonts w:eastAsia="Calibri" w:cstheme="minorHAnsi"/>
        </w:rPr>
        <w:t xml:space="preserve"> Annex II</w:t>
      </w:r>
      <w:r>
        <w:rPr>
          <w:rFonts w:eastAsia="Calibri" w:cstheme="minorHAnsi"/>
        </w:rPr>
        <w:t>, relates only to mortgaged properties (2012–16) and Table No. 29 cited only the number of</w:t>
      </w:r>
      <w:r w:rsidRPr="00802B0C">
        <w:rPr>
          <w:rFonts w:eastAsia="Calibri" w:cstheme="minorHAnsi"/>
        </w:rPr>
        <w:t xml:space="preserve"> persons evicted from public housing apartments</w:t>
      </w:r>
      <w:r>
        <w:rPr>
          <w:rFonts w:eastAsia="Calibri" w:cstheme="minorHAnsi"/>
        </w:rPr>
        <w:t xml:space="preserve"> in 2011–</w:t>
      </w:r>
      <w:r w:rsidRPr="00802B0C">
        <w:rPr>
          <w:rFonts w:eastAsia="Calibri" w:cstheme="minorHAnsi"/>
        </w:rPr>
        <w:t>14</w:t>
      </w:r>
      <w:r>
        <w:rPr>
          <w:rFonts w:eastAsia="Calibri" w:cstheme="minorHAnsi"/>
        </w:rPr>
        <w:t>.</w:t>
      </w:r>
      <w:r>
        <w:rPr>
          <w:rStyle w:val="EndnoteReference"/>
          <w:rFonts w:eastAsia="Calibri" w:cstheme="minorHAnsi"/>
        </w:rPr>
        <w:endnoteReference w:id="38"/>
      </w:r>
      <w:r>
        <w:rPr>
          <w:rFonts w:eastAsia="Calibri" w:cstheme="minorHAnsi"/>
        </w:rPr>
        <w:t xml:space="preserve"> The state party has not clarified nor corrected this information, nor has it reported on other military, administrative and/or punitive forced evictions and demolitions carried out inside the state, or in the occupied Palestinian and Syrian territories during the reporting period.</w:t>
      </w:r>
    </w:p>
    <w:p w:rsidR="007C7DCB" w:rsidRDefault="007C7DCB" w:rsidP="004E4C13">
      <w:pPr>
        <w:tabs>
          <w:tab w:val="right" w:pos="9360"/>
        </w:tabs>
        <w:spacing w:after="0" w:line="240" w:lineRule="auto"/>
        <w:jc w:val="lowKashida"/>
        <w:rPr>
          <w:rFonts w:ascii="Calibri" w:eastAsia="Calibri" w:hAnsi="Calibri" w:cs="Arial"/>
        </w:rPr>
      </w:pPr>
    </w:p>
    <w:p w:rsidR="007C7DCB" w:rsidRDefault="007C7DCB" w:rsidP="002336CB">
      <w:pPr>
        <w:tabs>
          <w:tab w:val="right" w:pos="9360"/>
        </w:tabs>
        <w:spacing w:after="0" w:line="240" w:lineRule="auto"/>
        <w:jc w:val="lowKashida"/>
        <w:rPr>
          <w:rFonts w:ascii="Calibri" w:eastAsia="Calibri" w:hAnsi="Calibri" w:cs="Arial"/>
        </w:rPr>
      </w:pPr>
      <w:r w:rsidRPr="002336CB">
        <w:rPr>
          <w:rFonts w:ascii="Calibri" w:eastAsia="Calibri" w:hAnsi="Calibri" w:cs="Arial"/>
        </w:rPr>
        <w:t>In August 2019 the State of Israel was again unable to respond adequately to concerns put forward by CESCR regarding the demolition of Palestinian homes and other structure as a punitive act, conducting investigations into those gross violations and crimes of forced eviction and demolition, and the duty to provide remedies for affected persons.</w:t>
      </w:r>
      <w:r w:rsidRPr="002336CB">
        <w:rPr>
          <w:rStyle w:val="EndnoteReference"/>
          <w:rFonts w:ascii="Calibri" w:eastAsia="Calibri" w:hAnsi="Calibri" w:cs="Arial"/>
        </w:rPr>
        <w:endnoteReference w:id="39"/>
      </w:r>
      <w:r w:rsidRPr="002336CB">
        <w:rPr>
          <w:rFonts w:ascii="Calibri" w:eastAsia="Calibri" w:hAnsi="Calibri" w:cs="Arial"/>
        </w:rPr>
        <w:t xml:space="preserve"> Israel furthermore could not provide adequate explanation as to how it reconciles its obligations under the Covenant with its actions in East Jerusalem, and outright refuses to acknowledge its Covenant obligations in the Israeli-occupied West Bank. Israel’s responses to CESCR merely point to a new, as of yet unpublished plan for the City of Jerusalem, including occupied East Jerusalem, as responsible for determining all action on housing in the city.</w:t>
      </w:r>
    </w:p>
    <w:p w:rsidR="007C7DCB" w:rsidRDefault="007C7DCB" w:rsidP="002336CB">
      <w:pPr>
        <w:tabs>
          <w:tab w:val="right" w:pos="9360"/>
        </w:tabs>
        <w:spacing w:after="0" w:line="240" w:lineRule="auto"/>
        <w:jc w:val="lowKashida"/>
        <w:rPr>
          <w:rFonts w:ascii="Calibri" w:eastAsia="Calibri" w:hAnsi="Calibri" w:cs="Arial"/>
        </w:rPr>
      </w:pPr>
    </w:p>
    <w:p w:rsidR="007C7DCB" w:rsidRPr="002336CB" w:rsidRDefault="007C7DCB" w:rsidP="002336CB">
      <w:pPr>
        <w:tabs>
          <w:tab w:val="right" w:pos="9360"/>
        </w:tabs>
        <w:spacing w:after="0" w:line="240" w:lineRule="auto"/>
        <w:jc w:val="lowKashida"/>
        <w:rPr>
          <w:rFonts w:ascii="Calibri" w:eastAsia="Calibri" w:hAnsi="Calibri" w:cs="Arial"/>
        </w:rPr>
      </w:pPr>
      <w:r>
        <w:rPr>
          <w:rFonts w:ascii="Calibri" w:eastAsia="Calibri" w:hAnsi="Calibri" w:cs="Arial"/>
        </w:rPr>
        <w:t>The state party should be reminded of the criminal nature of population transfer, including demographic manipulation and implantation of settlers,</w:t>
      </w:r>
      <w:r>
        <w:rPr>
          <w:rStyle w:val="EndnoteReference"/>
          <w:rFonts w:ascii="Calibri" w:eastAsia="Calibri" w:hAnsi="Calibri" w:cs="Arial"/>
        </w:rPr>
        <w:endnoteReference w:id="40"/>
      </w:r>
      <w:r>
        <w:rPr>
          <w:rFonts w:ascii="Calibri" w:eastAsia="Calibri" w:hAnsi="Calibri" w:cs="Arial"/>
        </w:rPr>
        <w:t xml:space="preserve"> and the resolutions of the Security </w:t>
      </w:r>
      <w:r>
        <w:rPr>
          <w:rFonts w:ascii="Calibri" w:eastAsia="Calibri" w:hAnsi="Calibri" w:cs="Arial"/>
        </w:rPr>
        <w:lastRenderedPageBreak/>
        <w:t>Council pertaining to Israel's changes to the demographic composition of occupied territories, in particular, Jerusalem.</w:t>
      </w:r>
      <w:r>
        <w:rPr>
          <w:rStyle w:val="EndnoteReference"/>
          <w:rFonts w:ascii="Calibri" w:eastAsia="Calibri" w:hAnsi="Calibri" w:cs="Arial"/>
        </w:rPr>
        <w:endnoteReference w:id="41"/>
      </w:r>
    </w:p>
    <w:p w:rsidR="007C7DCB" w:rsidRPr="0031735E" w:rsidRDefault="007C7DCB" w:rsidP="00DA0A72">
      <w:pPr>
        <w:tabs>
          <w:tab w:val="right" w:pos="9360"/>
        </w:tabs>
        <w:spacing w:after="0" w:line="240" w:lineRule="auto"/>
        <w:jc w:val="lowKashida"/>
        <w:rPr>
          <w:rFonts w:ascii="Calibri" w:eastAsia="Calibri" w:hAnsi="Calibri" w:cs="Arial"/>
          <w:color w:val="FF0000"/>
        </w:rPr>
      </w:pPr>
    </w:p>
    <w:p w:rsidR="007C7DCB" w:rsidRPr="00CC007A" w:rsidRDefault="007C7DCB" w:rsidP="00DA0A72">
      <w:pPr>
        <w:tabs>
          <w:tab w:val="right" w:pos="9360"/>
        </w:tabs>
        <w:spacing w:after="0" w:line="240" w:lineRule="auto"/>
        <w:jc w:val="lowKashida"/>
        <w:rPr>
          <w:rFonts w:ascii="Calibri" w:eastAsia="Calibri" w:hAnsi="Calibri" w:cs="Arial"/>
        </w:rPr>
      </w:pPr>
      <w:r w:rsidRPr="00CC007A">
        <w:rPr>
          <w:rFonts w:ascii="Calibri" w:eastAsia="Calibri" w:hAnsi="Calibri" w:cs="Arial"/>
        </w:rPr>
        <w:t>Moreover, in response to CESCR question No. 26, Israel confirms that some powers regarding land and housing are deferred to the World Zionist Organization (WZO), a parastatal institution that exclusively promotes Zionist ideology, excluding non-“Jewish nationals” from its mandate. The State of Israel would like CESCR to believe that this deferral of public matters to the parastatal WZO is “via the [WZO] Rural Growth and Development Division.” However, other WZO divisions are also inveterate violators of ESCR, such as its notorious Settlement Division,</w:t>
      </w:r>
      <w:r w:rsidRPr="00CC007A">
        <w:rPr>
          <w:rStyle w:val="EndnoteReference"/>
          <w:rFonts w:ascii="Calibri" w:eastAsia="Calibri" w:hAnsi="Calibri" w:cs="Arial"/>
        </w:rPr>
        <w:endnoteReference w:id="42"/>
      </w:r>
      <w:r w:rsidRPr="00CC007A">
        <w:rPr>
          <w:rFonts w:ascii="Calibri" w:eastAsia="Calibri" w:hAnsi="Calibri" w:cs="Arial"/>
        </w:rPr>
        <w:t xml:space="preserve"> unmentioned in the government replies, which openly conducts war crimes and crimes against humanity in planning and constructing settler colonies in the occupied Palestinian territories. </w:t>
      </w:r>
    </w:p>
    <w:p w:rsidR="007C7DCB" w:rsidRDefault="007C7DCB" w:rsidP="00DA0A72">
      <w:pPr>
        <w:tabs>
          <w:tab w:val="right" w:pos="9360"/>
        </w:tabs>
        <w:spacing w:after="0" w:line="240" w:lineRule="auto"/>
        <w:jc w:val="lowKashida"/>
        <w:rPr>
          <w:rFonts w:ascii="Calibri" w:eastAsia="Calibri" w:hAnsi="Calibri" w:cs="Arial"/>
          <w:color w:val="FF0000"/>
        </w:rPr>
      </w:pPr>
    </w:p>
    <w:p w:rsidR="007C7DCB" w:rsidRDefault="007C7DCB" w:rsidP="00046EBC">
      <w:pPr>
        <w:tabs>
          <w:tab w:val="left" w:pos="-720"/>
        </w:tabs>
        <w:suppressAutoHyphens/>
        <w:spacing w:after="0" w:line="240" w:lineRule="auto"/>
        <w:jc w:val="lowKashida"/>
        <w:rPr>
          <w:rFonts w:cstheme="minorHAnsi"/>
          <w:spacing w:val="-3"/>
        </w:rPr>
      </w:pPr>
      <w:r>
        <w:rPr>
          <w:rFonts w:cstheme="minorHAnsi"/>
          <w:spacing w:val="-3"/>
        </w:rPr>
        <w:t>I</w:t>
      </w:r>
      <w:r>
        <w:rPr>
          <w:rStyle w:val="EndnoteReference"/>
          <w:rFonts w:cstheme="minorHAnsi"/>
          <w:spacing w:val="-3"/>
          <w:vertAlign w:val="baseline"/>
        </w:rPr>
        <w:t xml:space="preserve">n its initial review of </w:t>
      </w:r>
      <w:r w:rsidRPr="00046EBC">
        <w:rPr>
          <w:rStyle w:val="EndnoteReference"/>
          <w:rFonts w:cstheme="minorHAnsi"/>
          <w:spacing w:val="-3"/>
          <w:vertAlign w:val="baseline"/>
        </w:rPr>
        <w:t xml:space="preserve">Israel, </w:t>
      </w:r>
      <w:r>
        <w:rPr>
          <w:rStyle w:val="EndnoteReference"/>
          <w:rFonts w:cstheme="minorHAnsi"/>
          <w:spacing w:val="-3"/>
          <w:vertAlign w:val="baseline"/>
        </w:rPr>
        <w:t>CE</w:t>
      </w:r>
      <w:r>
        <w:rPr>
          <w:rFonts w:cstheme="minorHAnsi"/>
          <w:spacing w:val="-3"/>
        </w:rPr>
        <w:t>SCR had</w:t>
      </w:r>
      <w:r w:rsidRPr="00046EBC">
        <w:rPr>
          <w:rStyle w:val="EndnoteReference"/>
          <w:rFonts w:cstheme="minorHAnsi"/>
          <w:spacing w:val="-3"/>
          <w:vertAlign w:val="baseline"/>
        </w:rPr>
        <w:t xml:space="preserve"> </w:t>
      </w:r>
      <w:r w:rsidRPr="00046EBC">
        <w:rPr>
          <w:rFonts w:cstheme="minorHAnsi"/>
          <w:spacing w:val="-3"/>
        </w:rPr>
        <w:t>analyz</w:t>
      </w:r>
      <w:r>
        <w:rPr>
          <w:rFonts w:cstheme="minorHAnsi"/>
          <w:spacing w:val="-3"/>
        </w:rPr>
        <w:t>ed</w:t>
      </w:r>
      <w:r w:rsidRPr="00046EBC">
        <w:rPr>
          <w:rFonts w:cstheme="minorHAnsi"/>
          <w:spacing w:val="-3"/>
        </w:rPr>
        <w:t xml:space="preserve"> for the first time in a UN forum the nature and effects of </w:t>
      </w:r>
      <w:r w:rsidRPr="00046EBC">
        <w:rPr>
          <w:rStyle w:val="EndnoteReference"/>
          <w:rFonts w:cstheme="minorHAnsi"/>
          <w:spacing w:val="-3"/>
          <w:vertAlign w:val="baseline"/>
        </w:rPr>
        <w:t>structural discrimination in Israel's l</w:t>
      </w:r>
      <w:r w:rsidRPr="00046EBC">
        <w:rPr>
          <w:rFonts w:cstheme="minorHAnsi"/>
          <w:spacing w:val="-3"/>
        </w:rPr>
        <w:t xml:space="preserve">aws </w:t>
      </w:r>
      <w:r w:rsidRPr="00046EBC">
        <w:rPr>
          <w:rStyle w:val="EndnoteReference"/>
          <w:rFonts w:cstheme="minorHAnsi"/>
          <w:spacing w:val="-3"/>
          <w:vertAlign w:val="baseline"/>
        </w:rPr>
        <w:t>and institutions.</w:t>
      </w:r>
      <w:r w:rsidRPr="00046EBC">
        <w:rPr>
          <w:rStyle w:val="EndnoteReference"/>
          <w:rFonts w:cstheme="minorHAnsi"/>
          <w:spacing w:val="-3"/>
        </w:rPr>
        <w:endnoteReference w:id="43"/>
      </w:r>
      <w:r w:rsidRPr="00046EBC">
        <w:rPr>
          <w:rStyle w:val="EndnoteReference"/>
          <w:rFonts w:cstheme="minorHAnsi"/>
          <w:spacing w:val="-3"/>
          <w:vertAlign w:val="baseline"/>
        </w:rPr>
        <w:t xml:space="preserve"> Among Israel's breaches of the Covenant, CESCR cited the operations of the "national" institutions</w:t>
      </w:r>
      <w:r w:rsidRPr="00046EBC">
        <w:rPr>
          <w:rFonts w:cstheme="minorHAnsi"/>
          <w:spacing w:val="-3"/>
        </w:rPr>
        <w:t xml:space="preserve"> and </w:t>
      </w:r>
      <w:r w:rsidRPr="00046EBC">
        <w:rPr>
          <w:rStyle w:val="EndnoteReference"/>
          <w:rFonts w:cstheme="minorHAnsi"/>
          <w:spacing w:val="-3"/>
          <w:vertAlign w:val="baseline"/>
        </w:rPr>
        <w:t>expressed "grave concern" over the Status Law of 1952, which "authorized the World Zionist Organization/Jewish Agency and its subsidiaries, including the JNF [Jewish National Fund], to control most of the land of Israel, since these institutions are chartered to benefit Jews exclusively."</w:t>
      </w:r>
      <w:r w:rsidRPr="00046EBC">
        <w:rPr>
          <w:rStyle w:val="EndnoteReference"/>
          <w:rFonts w:cstheme="minorHAnsi"/>
          <w:spacing w:val="-3"/>
        </w:rPr>
        <w:endnoteReference w:id="44"/>
      </w:r>
    </w:p>
    <w:p w:rsidR="007C7DCB" w:rsidRPr="00046EBC" w:rsidRDefault="007C7DCB" w:rsidP="00046EBC">
      <w:pPr>
        <w:tabs>
          <w:tab w:val="left" w:pos="-720"/>
        </w:tabs>
        <w:suppressAutoHyphens/>
        <w:spacing w:after="0" w:line="240" w:lineRule="auto"/>
        <w:jc w:val="lowKashida"/>
        <w:rPr>
          <w:rStyle w:val="EndnoteReference"/>
          <w:rFonts w:cstheme="minorHAnsi"/>
          <w:spacing w:val="-3"/>
          <w:vertAlign w:val="baseline"/>
        </w:rPr>
      </w:pPr>
    </w:p>
    <w:p w:rsidR="007C7DCB" w:rsidRPr="00046EBC" w:rsidRDefault="007C7DCB" w:rsidP="00046EBC">
      <w:pPr>
        <w:tabs>
          <w:tab w:val="left" w:pos="-720"/>
        </w:tabs>
        <w:suppressAutoHyphens/>
        <w:spacing w:after="0" w:line="240" w:lineRule="auto"/>
        <w:jc w:val="lowKashida"/>
        <w:rPr>
          <w:rStyle w:val="EndnoteReference"/>
          <w:rFonts w:cstheme="minorHAnsi"/>
          <w:spacing w:val="-3"/>
          <w:vertAlign w:val="baseline"/>
        </w:rPr>
      </w:pPr>
      <w:r w:rsidRPr="00046EBC">
        <w:rPr>
          <w:rStyle w:val="EndnoteReference"/>
          <w:rFonts w:cstheme="minorHAnsi"/>
          <w:spacing w:val="-3"/>
          <w:vertAlign w:val="baseline"/>
        </w:rPr>
        <w:t>The Committee identified specific forms of discrimination against Palestinian Arab citizens in housing and land. It considered the "unrecognized villages"</w:t>
      </w:r>
      <w:r w:rsidRPr="00046EBC">
        <w:rPr>
          <w:rFonts w:cstheme="minorHAnsi"/>
          <w:spacing w:val="-3"/>
        </w:rPr>
        <w:t xml:space="preserve"> of the Galilee and the </w:t>
      </w:r>
      <w:proofErr w:type="spellStart"/>
      <w:r w:rsidRPr="00046EBC">
        <w:rPr>
          <w:rFonts w:cstheme="minorHAnsi"/>
          <w:spacing w:val="-3"/>
        </w:rPr>
        <w:t>Naqab</w:t>
      </w:r>
      <w:proofErr w:type="spellEnd"/>
      <w:r w:rsidRPr="00046EBC">
        <w:rPr>
          <w:rFonts w:cstheme="minorHAnsi"/>
          <w:spacing w:val="-3"/>
        </w:rPr>
        <w:t xml:space="preserve"> regions</w:t>
      </w:r>
      <w:r w:rsidRPr="00046EBC">
        <w:rPr>
          <w:rStyle w:val="EndnoteReference"/>
          <w:rFonts w:cstheme="minorHAnsi"/>
          <w:spacing w:val="-3"/>
        </w:rPr>
        <w:endnoteReference w:id="45"/>
      </w:r>
      <w:r w:rsidRPr="00046EBC">
        <w:rPr>
          <w:rStyle w:val="EndnoteReference"/>
          <w:rFonts w:cstheme="minorHAnsi"/>
          <w:spacing w:val="-3"/>
          <w:vertAlign w:val="baseline"/>
        </w:rPr>
        <w:t xml:space="preserve"> whose resident Arab citizens "face demolition orders, lack of basic services and removal into concentrated 'townships'."</w:t>
      </w:r>
      <w:r w:rsidRPr="00046EBC">
        <w:rPr>
          <w:rStyle w:val="EndnoteReference"/>
          <w:rFonts w:cstheme="minorHAnsi"/>
          <w:spacing w:val="-3"/>
        </w:rPr>
        <w:endnoteReference w:id="46"/>
      </w:r>
      <w:r w:rsidRPr="00046EBC">
        <w:rPr>
          <w:rStyle w:val="EndnoteReference"/>
          <w:rFonts w:cstheme="minorHAnsi"/>
          <w:spacing w:val="-3"/>
          <w:vertAlign w:val="baseline"/>
        </w:rPr>
        <w:t xml:space="preserve"> It noted that the “mixed” (i.e., indigenous </w:t>
      </w:r>
      <w:r>
        <w:rPr>
          <w:rFonts w:cstheme="minorHAnsi"/>
          <w:spacing w:val="-3"/>
        </w:rPr>
        <w:t xml:space="preserve">Palestinian </w:t>
      </w:r>
      <w:r w:rsidRPr="00046EBC">
        <w:rPr>
          <w:rStyle w:val="EndnoteReference"/>
          <w:rFonts w:cstheme="minorHAnsi"/>
          <w:spacing w:val="-3"/>
          <w:vertAlign w:val="baseline"/>
        </w:rPr>
        <w:t xml:space="preserve">Arab </w:t>
      </w:r>
      <w:r w:rsidRPr="00046EBC">
        <w:rPr>
          <w:rFonts w:cstheme="minorHAnsi"/>
          <w:spacing w:val="-3"/>
        </w:rPr>
        <w:t xml:space="preserve">and </w:t>
      </w:r>
      <w:r w:rsidRPr="00046EBC">
        <w:rPr>
          <w:rStyle w:val="EndnoteReference"/>
          <w:rFonts w:cstheme="minorHAnsi"/>
          <w:spacing w:val="-3"/>
          <w:vertAlign w:val="baseline"/>
        </w:rPr>
        <w:t xml:space="preserve">Jewish settler) towns, such as </w:t>
      </w:r>
      <w:proofErr w:type="spellStart"/>
      <w:r w:rsidRPr="00046EBC">
        <w:rPr>
          <w:rStyle w:val="EndnoteReference"/>
          <w:rFonts w:cstheme="minorHAnsi"/>
          <w:spacing w:val="-3"/>
          <w:vertAlign w:val="baseline"/>
        </w:rPr>
        <w:t>Yaffa</w:t>
      </w:r>
      <w:proofErr w:type="spellEnd"/>
      <w:r w:rsidRPr="00046EBC">
        <w:rPr>
          <w:rStyle w:val="EndnoteReference"/>
          <w:rFonts w:cstheme="minorHAnsi"/>
          <w:spacing w:val="-3"/>
          <w:vertAlign w:val="baseline"/>
        </w:rPr>
        <w:t xml:space="preserve"> and </w:t>
      </w:r>
      <w:proofErr w:type="spellStart"/>
      <w:r w:rsidRPr="00046EBC">
        <w:rPr>
          <w:rStyle w:val="EndnoteReference"/>
          <w:rFonts w:cstheme="minorHAnsi"/>
          <w:spacing w:val="-3"/>
          <w:vertAlign w:val="baseline"/>
        </w:rPr>
        <w:t>Lydd</w:t>
      </w:r>
      <w:proofErr w:type="spellEnd"/>
      <w:r w:rsidRPr="00046EBC">
        <w:rPr>
          <w:rStyle w:val="EndnoteReference"/>
          <w:rFonts w:cstheme="minorHAnsi"/>
          <w:spacing w:val="-3"/>
          <w:vertAlign w:val="baseline"/>
        </w:rPr>
        <w:t xml:space="preserve">, whose Arab </w:t>
      </w:r>
      <w:proofErr w:type="spellStart"/>
      <w:r w:rsidRPr="00046EBC">
        <w:rPr>
          <w:rStyle w:val="EndnoteReference"/>
          <w:rFonts w:cstheme="minorHAnsi"/>
          <w:spacing w:val="-3"/>
          <w:vertAlign w:val="baseline"/>
        </w:rPr>
        <w:t>neighbo</w:t>
      </w:r>
      <w:r w:rsidRPr="00046EBC">
        <w:rPr>
          <w:rFonts w:cstheme="minorHAnsi"/>
          <w:spacing w:val="-3"/>
        </w:rPr>
        <w:t>u</w:t>
      </w:r>
      <w:r w:rsidRPr="00046EBC">
        <w:rPr>
          <w:rStyle w:val="EndnoteReference"/>
          <w:rFonts w:cstheme="minorHAnsi"/>
          <w:spacing w:val="-3"/>
          <w:vertAlign w:val="baseline"/>
        </w:rPr>
        <w:t>rhoods</w:t>
      </w:r>
      <w:proofErr w:type="spellEnd"/>
      <w:r w:rsidRPr="00046EBC">
        <w:rPr>
          <w:rStyle w:val="EndnoteReference"/>
          <w:rFonts w:cstheme="minorHAnsi"/>
          <w:spacing w:val="-3"/>
          <w:vertAlign w:val="baseline"/>
        </w:rPr>
        <w:t xml:space="preserve"> (where many</w:t>
      </w:r>
      <w:r w:rsidRPr="00046EBC">
        <w:rPr>
          <w:rFonts w:cstheme="minorHAnsi"/>
          <w:spacing w:val="-3"/>
        </w:rPr>
        <w:t xml:space="preserve"> of the</w:t>
      </w:r>
      <w:r w:rsidRPr="00046EBC">
        <w:rPr>
          <w:rStyle w:val="EndnoteReference"/>
          <w:rFonts w:cstheme="minorHAnsi"/>
          <w:spacing w:val="-3"/>
          <w:vertAlign w:val="baseline"/>
        </w:rPr>
        <w:t xml:space="preserve"> estimated 2</w:t>
      </w:r>
      <w:r w:rsidRPr="00046EBC">
        <w:rPr>
          <w:rFonts w:cstheme="minorHAnsi"/>
          <w:spacing w:val="-3"/>
        </w:rPr>
        <w:t>7</w:t>
      </w:r>
      <w:r w:rsidRPr="00046EBC">
        <w:rPr>
          <w:rStyle w:val="EndnoteReference"/>
          <w:rFonts w:cstheme="minorHAnsi"/>
          <w:spacing w:val="-3"/>
          <w:vertAlign w:val="baseline"/>
        </w:rPr>
        <w:t>0,000 "present absentees" live) have "deteriorated into virtual slums" as the result of Israeli policies</w:t>
      </w:r>
      <w:r w:rsidRPr="00046EBC">
        <w:rPr>
          <w:rFonts w:cstheme="minorHAnsi"/>
          <w:spacing w:val="-3"/>
        </w:rPr>
        <w:t>.</w:t>
      </w:r>
      <w:r w:rsidRPr="00046EBC">
        <w:rPr>
          <w:rStyle w:val="EndnoteReference"/>
          <w:rFonts w:cstheme="minorHAnsi"/>
          <w:spacing w:val="-3"/>
        </w:rPr>
        <w:endnoteReference w:id="47"/>
      </w:r>
      <w:r w:rsidRPr="00046EBC">
        <w:rPr>
          <w:rStyle w:val="EndnoteReference"/>
          <w:rFonts w:cstheme="minorHAnsi"/>
          <w:spacing w:val="-3"/>
          <w:vertAlign w:val="baseline"/>
        </w:rPr>
        <w:t xml:space="preserve"> </w:t>
      </w:r>
    </w:p>
    <w:p w:rsidR="007C7DCB" w:rsidRDefault="007C7DCB" w:rsidP="00046EBC">
      <w:pPr>
        <w:tabs>
          <w:tab w:val="left" w:pos="-720"/>
        </w:tabs>
        <w:suppressAutoHyphens/>
        <w:spacing w:after="0" w:line="240" w:lineRule="auto"/>
        <w:jc w:val="lowKashida"/>
        <w:rPr>
          <w:rFonts w:cstheme="minorHAnsi"/>
          <w:spacing w:val="-3"/>
        </w:rPr>
      </w:pPr>
    </w:p>
    <w:p w:rsidR="007C7DCB" w:rsidRPr="00046EBC" w:rsidRDefault="007C7DCB" w:rsidP="00046EBC">
      <w:pPr>
        <w:tabs>
          <w:tab w:val="left" w:pos="-720"/>
        </w:tabs>
        <w:suppressAutoHyphens/>
        <w:spacing w:after="0" w:line="240" w:lineRule="auto"/>
        <w:jc w:val="lowKashida"/>
        <w:rPr>
          <w:rStyle w:val="EndnoteReference"/>
          <w:rFonts w:cstheme="minorHAnsi"/>
          <w:spacing w:val="-3"/>
          <w:vertAlign w:val="baseline"/>
        </w:rPr>
      </w:pPr>
      <w:r w:rsidRPr="00046EBC">
        <w:rPr>
          <w:rStyle w:val="EndnoteReference"/>
          <w:rFonts w:cstheme="minorHAnsi"/>
          <w:spacing w:val="-3"/>
          <w:vertAlign w:val="baseline"/>
        </w:rPr>
        <w:t xml:space="preserve">CESCR </w:t>
      </w:r>
      <w:r w:rsidRPr="00046EBC">
        <w:rPr>
          <w:rFonts w:cstheme="minorHAnsi"/>
          <w:spacing w:val="-3"/>
        </w:rPr>
        <w:t xml:space="preserve">formally </w:t>
      </w:r>
      <w:r w:rsidRPr="00046EBC">
        <w:rPr>
          <w:rStyle w:val="EndnoteReference"/>
          <w:rFonts w:cstheme="minorHAnsi"/>
          <w:spacing w:val="-3"/>
          <w:vertAlign w:val="baseline"/>
        </w:rPr>
        <w:t>notified Israel that, in order to meet its minimum requirements under the Covenant, the</w:t>
      </w:r>
      <w:r w:rsidRPr="00046EBC">
        <w:rPr>
          <w:rFonts w:cstheme="minorHAnsi"/>
          <w:spacing w:val="-3"/>
        </w:rPr>
        <w:t xml:space="preserve"> state</w:t>
      </w:r>
      <w:r w:rsidRPr="00046EBC">
        <w:rPr>
          <w:rStyle w:val="EndnoteReference"/>
          <w:rFonts w:cstheme="minorHAnsi"/>
          <w:spacing w:val="-3"/>
          <w:vertAlign w:val="baseline"/>
        </w:rPr>
        <w:t xml:space="preserve"> </w:t>
      </w:r>
      <w:r w:rsidRPr="00046EBC">
        <w:rPr>
          <w:rFonts w:cstheme="minorHAnsi"/>
          <w:spacing w:val="-3"/>
        </w:rPr>
        <w:t xml:space="preserve">party </w:t>
      </w:r>
      <w:r w:rsidRPr="00046EBC">
        <w:rPr>
          <w:rStyle w:val="EndnoteReference"/>
          <w:rFonts w:cstheme="minorHAnsi"/>
          <w:spacing w:val="-3"/>
          <w:vertAlign w:val="baseline"/>
        </w:rPr>
        <w:t>would have to "ensure the equality of treatment of all Israeli citizens."</w:t>
      </w:r>
      <w:r w:rsidRPr="00E37857">
        <w:rPr>
          <w:rStyle w:val="EndnoteReference"/>
          <w:rFonts w:cstheme="minorHAnsi"/>
          <w:spacing w:val="-3"/>
        </w:rPr>
        <w:endnoteReference w:id="48"/>
      </w:r>
      <w:r w:rsidRPr="00046EBC">
        <w:rPr>
          <w:rStyle w:val="EndnoteReference"/>
          <w:rFonts w:cstheme="minorHAnsi"/>
          <w:spacing w:val="-3"/>
          <w:vertAlign w:val="baseline"/>
        </w:rPr>
        <w:t xml:space="preserve"> It urged the Israeli government to "review the status of its relationship with the WZO/JA and JNF"</w:t>
      </w:r>
      <w:r w:rsidRPr="00E37857">
        <w:rPr>
          <w:rStyle w:val="EndnoteReference"/>
          <w:rFonts w:cstheme="minorHAnsi"/>
          <w:spacing w:val="-3"/>
        </w:rPr>
        <w:endnoteReference w:id="49"/>
      </w:r>
      <w:r w:rsidRPr="00E37857">
        <w:rPr>
          <w:rStyle w:val="EndnoteReference"/>
          <w:rFonts w:cstheme="minorHAnsi"/>
          <w:spacing w:val="-3"/>
        </w:rPr>
        <w:t xml:space="preserve"> </w:t>
      </w:r>
      <w:r w:rsidRPr="00046EBC">
        <w:rPr>
          <w:rStyle w:val="EndnoteReference"/>
          <w:rFonts w:cstheme="minorHAnsi"/>
          <w:spacing w:val="-3"/>
          <w:vertAlign w:val="baseline"/>
        </w:rPr>
        <w:t xml:space="preserve">and to revise its re-entry policies </w:t>
      </w:r>
      <w:r w:rsidRPr="00046EBC">
        <w:rPr>
          <w:rStyle w:val="EndnoteReference"/>
          <w:rFonts w:cstheme="minorHAnsi"/>
          <w:i/>
          <w:spacing w:val="-3"/>
          <w:vertAlign w:val="baseline"/>
        </w:rPr>
        <w:t>vis-à-vis</w:t>
      </w:r>
      <w:r w:rsidRPr="00046EBC">
        <w:rPr>
          <w:rStyle w:val="EndnoteReference"/>
          <w:rFonts w:cstheme="minorHAnsi"/>
          <w:spacing w:val="-3"/>
          <w:vertAlign w:val="baseline"/>
        </w:rPr>
        <w:t xml:space="preserve"> Palestinians "to a level comparable to the Law of Return as applied to Jews."</w:t>
      </w:r>
      <w:r w:rsidRPr="00046EBC">
        <w:rPr>
          <w:rStyle w:val="EndnoteReference"/>
          <w:rFonts w:cstheme="minorHAnsi"/>
          <w:spacing w:val="-3"/>
        </w:rPr>
        <w:endnoteReference w:id="50"/>
      </w:r>
    </w:p>
    <w:p w:rsidR="007C7DCB" w:rsidRPr="00046EBC" w:rsidRDefault="007C7DCB" w:rsidP="00046EBC">
      <w:pPr>
        <w:tabs>
          <w:tab w:val="left" w:pos="-720"/>
        </w:tabs>
        <w:suppressAutoHyphens/>
        <w:spacing w:after="0" w:line="240" w:lineRule="auto"/>
        <w:jc w:val="lowKashida"/>
        <w:rPr>
          <w:rFonts w:cstheme="minorHAnsi"/>
        </w:rPr>
      </w:pPr>
    </w:p>
    <w:p w:rsidR="007C7DCB" w:rsidRPr="002C0710" w:rsidRDefault="007C7DCB" w:rsidP="00046EBC">
      <w:pPr>
        <w:tabs>
          <w:tab w:val="left" w:pos="-720"/>
        </w:tabs>
        <w:suppressAutoHyphens/>
        <w:spacing w:after="0" w:line="240" w:lineRule="auto"/>
        <w:jc w:val="lowKashida"/>
        <w:rPr>
          <w:rFonts w:cstheme="minorHAnsi"/>
          <w:b/>
          <w:bCs/>
        </w:rPr>
      </w:pPr>
      <w:r w:rsidRPr="002C0710">
        <w:rPr>
          <w:rFonts w:cstheme="minorHAnsi"/>
          <w:b/>
          <w:bCs/>
        </w:rPr>
        <w:t xml:space="preserve">Despite the Committee’s request, the state party has undertaken no such review of these or other institutional forms of material discrimination against persons not of Jewish faith, in general, nor against </w:t>
      </w:r>
      <w:r w:rsidR="00E37857">
        <w:rPr>
          <w:rFonts w:cstheme="minorHAnsi"/>
          <w:b/>
          <w:bCs/>
        </w:rPr>
        <w:t xml:space="preserve">the indigenous </w:t>
      </w:r>
      <w:r w:rsidRPr="002C0710">
        <w:rPr>
          <w:rFonts w:cstheme="minorHAnsi"/>
          <w:b/>
          <w:bCs/>
        </w:rPr>
        <w:t>Palestinians, in particular. These issues and breaches of the Covenant remain current today, 20 years and three intervening CESCR reviews later.</w:t>
      </w:r>
    </w:p>
    <w:p w:rsidR="007C7DCB" w:rsidRDefault="007C7DCB" w:rsidP="00046EBC">
      <w:pPr>
        <w:tabs>
          <w:tab w:val="left" w:pos="-720"/>
        </w:tabs>
        <w:suppressAutoHyphens/>
        <w:spacing w:after="0" w:line="240" w:lineRule="auto"/>
        <w:jc w:val="lowKashida"/>
        <w:rPr>
          <w:rFonts w:cstheme="minorHAnsi"/>
        </w:rPr>
      </w:pPr>
    </w:p>
    <w:p w:rsidR="007C7DCB" w:rsidRPr="00E37857" w:rsidRDefault="00E37857" w:rsidP="00786080">
      <w:pPr>
        <w:tabs>
          <w:tab w:val="left" w:pos="-720"/>
        </w:tabs>
        <w:suppressAutoHyphens/>
        <w:spacing w:after="120" w:line="240" w:lineRule="auto"/>
        <w:jc w:val="lowKashida"/>
        <w:rPr>
          <w:rFonts w:cstheme="minorHAnsi"/>
          <w:b/>
          <w:bCs/>
          <w:i/>
          <w:iCs/>
        </w:rPr>
      </w:pPr>
      <w:r w:rsidRPr="00E37857">
        <w:rPr>
          <w:rFonts w:cstheme="minorHAnsi"/>
          <w:b/>
          <w:bCs/>
          <w:i/>
          <w:iCs/>
        </w:rPr>
        <w:t xml:space="preserve">Updated </w:t>
      </w:r>
      <w:r w:rsidR="00786080">
        <w:rPr>
          <w:rFonts w:cstheme="minorHAnsi"/>
          <w:b/>
          <w:bCs/>
          <w:i/>
          <w:iCs/>
        </w:rPr>
        <w:t>Data</w:t>
      </w:r>
      <w:r w:rsidRPr="00E37857">
        <w:rPr>
          <w:rFonts w:cstheme="minorHAnsi"/>
          <w:b/>
          <w:bCs/>
          <w:i/>
          <w:iCs/>
        </w:rPr>
        <w:t>:</w:t>
      </w:r>
    </w:p>
    <w:p w:rsidR="00E37857" w:rsidRDefault="00E37857" w:rsidP="00E37857">
      <w:pPr>
        <w:tabs>
          <w:tab w:val="left" w:pos="-720"/>
        </w:tabs>
        <w:suppressAutoHyphens/>
        <w:spacing w:after="0" w:line="240" w:lineRule="auto"/>
        <w:jc w:val="lowKashida"/>
        <w:rPr>
          <w:rFonts w:cstheme="minorHAnsi"/>
        </w:rPr>
      </w:pPr>
      <w:r>
        <w:rPr>
          <w:rFonts w:cstheme="minorHAnsi"/>
        </w:rPr>
        <w:t xml:space="preserve">Symbolic of the Israeli policy of demolishing </w:t>
      </w:r>
      <w:proofErr w:type="spellStart"/>
      <w:r>
        <w:rPr>
          <w:rFonts w:cstheme="minorHAnsi"/>
        </w:rPr>
        <w:t>Naqab</w:t>
      </w:r>
      <w:proofErr w:type="spellEnd"/>
      <w:r>
        <w:rPr>
          <w:rFonts w:cstheme="minorHAnsi"/>
        </w:rPr>
        <w:t xml:space="preserve"> "unrecognized" villages, the village of al-`</w:t>
      </w:r>
      <w:proofErr w:type="spellStart"/>
      <w:r>
        <w:rPr>
          <w:rFonts w:cstheme="minorHAnsi"/>
        </w:rPr>
        <w:t>Araqīb</w:t>
      </w:r>
      <w:proofErr w:type="spellEnd"/>
      <w:r>
        <w:rPr>
          <w:rFonts w:cstheme="minorHAnsi"/>
        </w:rPr>
        <w:t xml:space="preserve"> has been demolished 158 times to date, including 20 times since 13 January 2019. As an act of resistance, the villagers repeatedly rebuild their dwellings. However, this is only the most renown of villages among many cases across historic Palestine.</w:t>
      </w:r>
    </w:p>
    <w:p w:rsidR="00E37857" w:rsidRDefault="00E37857" w:rsidP="00E37857">
      <w:pPr>
        <w:tabs>
          <w:tab w:val="left" w:pos="-720"/>
        </w:tabs>
        <w:suppressAutoHyphens/>
        <w:spacing w:after="0" w:line="240" w:lineRule="auto"/>
        <w:jc w:val="lowKashida"/>
        <w:rPr>
          <w:rFonts w:cstheme="minorHAnsi"/>
        </w:rPr>
      </w:pPr>
    </w:p>
    <w:p w:rsidR="00E37857" w:rsidRDefault="00E37857" w:rsidP="00AE3762">
      <w:pPr>
        <w:tabs>
          <w:tab w:val="left" w:pos="-720"/>
        </w:tabs>
        <w:suppressAutoHyphens/>
        <w:spacing w:after="0" w:line="240" w:lineRule="auto"/>
        <w:jc w:val="lowKashida"/>
        <w:rPr>
          <w:rStyle w:val="tlid-translation"/>
          <w:lang/>
        </w:rPr>
      </w:pPr>
      <w:r>
        <w:rPr>
          <w:rStyle w:val="tlid-translation"/>
          <w:lang/>
        </w:rPr>
        <w:t xml:space="preserve">Official Israeli data confirm that the demolition of Palestinian Bedouin homes has escalated from year to year under the pretext of unauthorized construction. According to data provided by the Ministry of Homeland Security and published by the newspaper </w:t>
      </w:r>
      <w:proofErr w:type="spellStart"/>
      <w:r w:rsidRPr="00E37857">
        <w:rPr>
          <w:rStyle w:val="tlid-translation"/>
          <w:i/>
          <w:iCs/>
          <w:lang/>
        </w:rPr>
        <w:t>Haaretz</w:t>
      </w:r>
      <w:proofErr w:type="spellEnd"/>
      <w:r>
        <w:rPr>
          <w:rStyle w:val="tlid-translation"/>
          <w:lang/>
        </w:rPr>
        <w:t xml:space="preserve"> on Monday, 2 </w:t>
      </w:r>
      <w:r>
        <w:rPr>
          <w:rStyle w:val="tlid-translation"/>
          <w:lang/>
        </w:rPr>
        <w:lastRenderedPageBreak/>
        <w:t>September, the authorities have forced the owners to carry out the demolitions themselves</w:t>
      </w:r>
      <w:r w:rsidR="00AE3762">
        <w:rPr>
          <w:rStyle w:val="tlid-translation"/>
          <w:lang/>
        </w:rPr>
        <w:t xml:space="preserve">, or face </w:t>
      </w:r>
      <w:r>
        <w:rPr>
          <w:rStyle w:val="tlid-translation"/>
          <w:lang/>
        </w:rPr>
        <w:t>increas</w:t>
      </w:r>
      <w:r w:rsidR="00AE3762">
        <w:rPr>
          <w:rStyle w:val="tlid-translation"/>
          <w:lang/>
        </w:rPr>
        <w:t>ing</w:t>
      </w:r>
      <w:r>
        <w:rPr>
          <w:rStyle w:val="tlid-translation"/>
          <w:lang/>
        </w:rPr>
        <w:t xml:space="preserve"> financial punishments. The fines have now reache</w:t>
      </w:r>
      <w:r w:rsidR="00AE3762">
        <w:rPr>
          <w:rStyle w:val="tlid-translation"/>
          <w:lang/>
        </w:rPr>
        <w:t>d</w:t>
      </w:r>
      <w:r>
        <w:rPr>
          <w:rStyle w:val="tlid-translation"/>
          <w:lang/>
        </w:rPr>
        <w:t xml:space="preserve"> NIS 1.32 million (</w:t>
      </w:r>
      <w:r w:rsidR="0041724D">
        <w:rPr>
          <w:rStyle w:val="tlid-translation"/>
          <w:lang/>
        </w:rPr>
        <w:t xml:space="preserve">US$ </w:t>
      </w:r>
      <w:r w:rsidR="0041724D" w:rsidRPr="0041724D">
        <w:rPr>
          <w:rStyle w:val="tlid-translation"/>
          <w:lang/>
        </w:rPr>
        <w:t>374,615</w:t>
      </w:r>
      <w:r>
        <w:rPr>
          <w:rStyle w:val="tlid-translation"/>
          <w:lang/>
        </w:rPr>
        <w:t>).</w:t>
      </w:r>
    </w:p>
    <w:p w:rsidR="00E37857" w:rsidRDefault="00E37857" w:rsidP="00786080">
      <w:pPr>
        <w:tabs>
          <w:tab w:val="left" w:pos="-720"/>
        </w:tabs>
        <w:suppressAutoHyphens/>
        <w:spacing w:after="120" w:line="240" w:lineRule="auto"/>
        <w:jc w:val="lowKashida"/>
        <w:rPr>
          <w:rFonts w:cstheme="minorHAnsi"/>
        </w:rPr>
      </w:pPr>
      <w:r>
        <w:rPr>
          <w:lang/>
        </w:rPr>
        <w:br/>
      </w:r>
      <w:r>
        <w:rPr>
          <w:rStyle w:val="tlid-translation"/>
          <w:lang/>
        </w:rPr>
        <w:t>Data from the Department of Homeland Security indicate the following</w:t>
      </w:r>
      <w:r w:rsidR="00786080">
        <w:rPr>
          <w:rStyle w:val="tlid-translation"/>
          <w:lang/>
        </w:rPr>
        <w:t xml:space="preserve"> cases in </w:t>
      </w:r>
      <w:proofErr w:type="spellStart"/>
      <w:r w:rsidR="00786080">
        <w:rPr>
          <w:rStyle w:val="tlid-translation"/>
          <w:lang/>
        </w:rPr>
        <w:t>Naqab</w:t>
      </w:r>
      <w:proofErr w:type="spellEnd"/>
      <w:r>
        <w:rPr>
          <w:rFonts w:cstheme="minorHAnsi"/>
        </w:rPr>
        <w:tab/>
      </w:r>
      <w:r w:rsidR="00786080">
        <w:rPr>
          <w:rFonts w:cstheme="minorHAnsi"/>
        </w:rPr>
        <w:t>:</w:t>
      </w:r>
    </w:p>
    <w:tbl>
      <w:tblPr>
        <w:tblStyle w:val="MediumShading1"/>
        <w:tblW w:w="0" w:type="auto"/>
        <w:jc w:val="center"/>
        <w:tblLayout w:type="fixed"/>
        <w:tblLook w:val="04A0"/>
      </w:tblPr>
      <w:tblGrid>
        <w:gridCol w:w="770"/>
        <w:gridCol w:w="1440"/>
        <w:gridCol w:w="1440"/>
        <w:gridCol w:w="1440"/>
      </w:tblGrid>
      <w:tr w:rsidR="00AE3762" w:rsidTr="00AE3762">
        <w:trPr>
          <w:cnfStyle w:val="100000000000"/>
          <w:jc w:val="center"/>
        </w:trPr>
        <w:tc>
          <w:tcPr>
            <w:cnfStyle w:val="001000000000"/>
            <w:tcW w:w="770" w:type="dxa"/>
            <w:vAlign w:val="center"/>
          </w:tcPr>
          <w:p w:rsidR="00AE3762" w:rsidRDefault="00AE3762" w:rsidP="00E37857">
            <w:pPr>
              <w:tabs>
                <w:tab w:val="left" w:pos="-720"/>
              </w:tabs>
              <w:suppressAutoHyphens/>
              <w:jc w:val="lowKashida"/>
              <w:rPr>
                <w:rStyle w:val="tlid-translation"/>
                <w:lang/>
              </w:rPr>
            </w:pPr>
            <w:r>
              <w:rPr>
                <w:rStyle w:val="tlid-translation"/>
                <w:lang/>
              </w:rPr>
              <w:t>Year</w:t>
            </w:r>
          </w:p>
        </w:tc>
        <w:tc>
          <w:tcPr>
            <w:tcW w:w="1440" w:type="dxa"/>
            <w:vAlign w:val="center"/>
          </w:tcPr>
          <w:p w:rsidR="00AE3762" w:rsidRDefault="00AE3762" w:rsidP="00AE3762">
            <w:pPr>
              <w:tabs>
                <w:tab w:val="left" w:pos="-720"/>
              </w:tabs>
              <w:suppressAutoHyphens/>
              <w:jc w:val="center"/>
              <w:cnfStyle w:val="100000000000"/>
              <w:rPr>
                <w:rStyle w:val="tlid-translation"/>
                <w:lang/>
              </w:rPr>
            </w:pPr>
            <w:r>
              <w:rPr>
                <w:rStyle w:val="tlid-translation"/>
                <w:lang/>
              </w:rPr>
              <w:t>Homes demolished</w:t>
            </w:r>
          </w:p>
        </w:tc>
        <w:tc>
          <w:tcPr>
            <w:tcW w:w="1440" w:type="dxa"/>
            <w:vAlign w:val="center"/>
          </w:tcPr>
          <w:p w:rsidR="00AE3762" w:rsidRDefault="00AE3762" w:rsidP="00AE3762">
            <w:pPr>
              <w:tabs>
                <w:tab w:val="left" w:pos="-720"/>
              </w:tabs>
              <w:suppressAutoHyphens/>
              <w:jc w:val="center"/>
              <w:cnfStyle w:val="100000000000"/>
              <w:rPr>
                <w:rStyle w:val="tlid-translation"/>
                <w:lang/>
              </w:rPr>
            </w:pPr>
            <w:r>
              <w:rPr>
                <w:rStyle w:val="tlid-translation"/>
                <w:lang/>
              </w:rPr>
              <w:t>Owners forced to demolish</w:t>
            </w:r>
          </w:p>
        </w:tc>
        <w:tc>
          <w:tcPr>
            <w:tcW w:w="1440" w:type="dxa"/>
          </w:tcPr>
          <w:p w:rsidR="00AE3762" w:rsidRDefault="00AE3762" w:rsidP="00AE3762">
            <w:pPr>
              <w:tabs>
                <w:tab w:val="left" w:pos="-720"/>
              </w:tabs>
              <w:suppressAutoHyphens/>
              <w:jc w:val="center"/>
              <w:cnfStyle w:val="100000000000"/>
              <w:rPr>
                <w:rStyle w:val="tlid-translation"/>
                <w:lang/>
              </w:rPr>
            </w:pPr>
            <w:r>
              <w:rPr>
                <w:rStyle w:val="tlid-translation"/>
                <w:lang/>
              </w:rPr>
              <w:t>Demolitions by Israeli authorities</w:t>
            </w:r>
          </w:p>
        </w:tc>
      </w:tr>
      <w:tr w:rsidR="00AE3762" w:rsidTr="001F68C1">
        <w:trPr>
          <w:cnfStyle w:val="000000100000"/>
          <w:jc w:val="center"/>
        </w:trPr>
        <w:tc>
          <w:tcPr>
            <w:cnfStyle w:val="001000000000"/>
            <w:tcW w:w="770" w:type="dxa"/>
            <w:vAlign w:val="center"/>
          </w:tcPr>
          <w:p w:rsidR="00AE3762" w:rsidRDefault="00AE3762" w:rsidP="001F68C1">
            <w:pPr>
              <w:tabs>
                <w:tab w:val="left" w:pos="-720"/>
              </w:tabs>
              <w:suppressAutoHyphens/>
              <w:jc w:val="lowKashida"/>
              <w:rPr>
                <w:rStyle w:val="tlid-translation"/>
                <w:lang/>
              </w:rPr>
            </w:pPr>
            <w:r>
              <w:rPr>
                <w:rStyle w:val="tlid-translation"/>
                <w:lang/>
              </w:rPr>
              <w:t>2013</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697</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397</w:t>
            </w:r>
          </w:p>
        </w:tc>
        <w:tc>
          <w:tcPr>
            <w:tcW w:w="1440" w:type="dxa"/>
            <w:vAlign w:val="bottom"/>
          </w:tcPr>
          <w:p w:rsidR="00AE3762" w:rsidRDefault="00AE3762" w:rsidP="00AE3762">
            <w:pPr>
              <w:jc w:val="center"/>
              <w:cnfStyle w:val="000000100000"/>
              <w:rPr>
                <w:rFonts w:ascii="Calibri" w:hAnsi="Calibri"/>
                <w:color w:val="000000"/>
              </w:rPr>
            </w:pPr>
            <w:r>
              <w:rPr>
                <w:rFonts w:ascii="Calibri" w:hAnsi="Calibri"/>
                <w:color w:val="000000"/>
              </w:rPr>
              <w:t>300</w:t>
            </w:r>
          </w:p>
        </w:tc>
      </w:tr>
      <w:tr w:rsidR="00AE3762" w:rsidTr="001F68C1">
        <w:trPr>
          <w:cnfStyle w:val="000000010000"/>
          <w:jc w:val="center"/>
        </w:trPr>
        <w:tc>
          <w:tcPr>
            <w:cnfStyle w:val="001000000000"/>
            <w:tcW w:w="770" w:type="dxa"/>
            <w:vAlign w:val="center"/>
          </w:tcPr>
          <w:p w:rsidR="00AE3762" w:rsidRDefault="00AE3762" w:rsidP="001F68C1">
            <w:pPr>
              <w:tabs>
                <w:tab w:val="left" w:pos="-720"/>
              </w:tabs>
              <w:suppressAutoHyphens/>
              <w:jc w:val="lowKashida"/>
              <w:rPr>
                <w:rStyle w:val="tlid-translation"/>
                <w:lang/>
              </w:rPr>
            </w:pPr>
            <w:r>
              <w:rPr>
                <w:rStyle w:val="tlid-translation"/>
                <w:lang/>
              </w:rPr>
              <w:t>2014</w:t>
            </w:r>
          </w:p>
        </w:tc>
        <w:tc>
          <w:tcPr>
            <w:tcW w:w="1440" w:type="dxa"/>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1,073</w:t>
            </w:r>
          </w:p>
        </w:tc>
        <w:tc>
          <w:tcPr>
            <w:tcW w:w="1440" w:type="dxa"/>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718</w:t>
            </w:r>
          </w:p>
        </w:tc>
        <w:tc>
          <w:tcPr>
            <w:tcW w:w="1440" w:type="dxa"/>
            <w:vAlign w:val="bottom"/>
          </w:tcPr>
          <w:p w:rsidR="00AE3762" w:rsidRDefault="00AE3762" w:rsidP="00AE3762">
            <w:pPr>
              <w:jc w:val="center"/>
              <w:cnfStyle w:val="000000010000"/>
              <w:rPr>
                <w:rFonts w:ascii="Calibri" w:hAnsi="Calibri"/>
                <w:color w:val="000000"/>
              </w:rPr>
            </w:pPr>
            <w:r>
              <w:rPr>
                <w:rFonts w:ascii="Calibri" w:hAnsi="Calibri"/>
                <w:color w:val="000000"/>
              </w:rPr>
              <w:t>355</w:t>
            </w:r>
          </w:p>
        </w:tc>
      </w:tr>
      <w:tr w:rsidR="00AE3762" w:rsidTr="001F68C1">
        <w:trPr>
          <w:cnfStyle w:val="000000100000"/>
          <w:jc w:val="center"/>
        </w:trPr>
        <w:tc>
          <w:tcPr>
            <w:cnfStyle w:val="001000000000"/>
            <w:tcW w:w="770" w:type="dxa"/>
            <w:vAlign w:val="center"/>
          </w:tcPr>
          <w:p w:rsidR="00AE3762" w:rsidRDefault="00AE3762" w:rsidP="001F68C1">
            <w:pPr>
              <w:tabs>
                <w:tab w:val="left" w:pos="-720"/>
              </w:tabs>
              <w:suppressAutoHyphens/>
              <w:jc w:val="lowKashida"/>
              <w:rPr>
                <w:rStyle w:val="tlid-translation"/>
                <w:lang/>
              </w:rPr>
            </w:pPr>
            <w:r>
              <w:rPr>
                <w:rStyle w:val="tlid-translation"/>
                <w:lang/>
              </w:rPr>
              <w:t>2015</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982</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617</w:t>
            </w:r>
          </w:p>
        </w:tc>
        <w:tc>
          <w:tcPr>
            <w:tcW w:w="1440" w:type="dxa"/>
            <w:vAlign w:val="bottom"/>
          </w:tcPr>
          <w:p w:rsidR="00AE3762" w:rsidRDefault="00AE3762" w:rsidP="00AE3762">
            <w:pPr>
              <w:jc w:val="center"/>
              <w:cnfStyle w:val="000000100000"/>
              <w:rPr>
                <w:rFonts w:ascii="Calibri" w:hAnsi="Calibri"/>
                <w:color w:val="000000"/>
              </w:rPr>
            </w:pPr>
            <w:r>
              <w:rPr>
                <w:rFonts w:ascii="Calibri" w:hAnsi="Calibri"/>
                <w:color w:val="000000"/>
              </w:rPr>
              <w:t>365</w:t>
            </w:r>
          </w:p>
        </w:tc>
      </w:tr>
      <w:tr w:rsidR="00AE3762" w:rsidTr="001F68C1">
        <w:trPr>
          <w:cnfStyle w:val="000000010000"/>
          <w:jc w:val="center"/>
        </w:trPr>
        <w:tc>
          <w:tcPr>
            <w:cnfStyle w:val="001000000000"/>
            <w:tcW w:w="770" w:type="dxa"/>
            <w:vAlign w:val="center"/>
          </w:tcPr>
          <w:p w:rsidR="00AE3762" w:rsidRDefault="00AE3762" w:rsidP="001F68C1">
            <w:pPr>
              <w:tabs>
                <w:tab w:val="left" w:pos="-720"/>
              </w:tabs>
              <w:suppressAutoHyphens/>
              <w:jc w:val="lowKashida"/>
              <w:rPr>
                <w:rStyle w:val="tlid-translation"/>
                <w:lang/>
              </w:rPr>
            </w:pPr>
            <w:r>
              <w:rPr>
                <w:rStyle w:val="tlid-translation"/>
                <w:lang/>
              </w:rPr>
              <w:t>2016</w:t>
            </w:r>
          </w:p>
        </w:tc>
        <w:tc>
          <w:tcPr>
            <w:tcW w:w="1440" w:type="dxa"/>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1,158</w:t>
            </w:r>
          </w:p>
        </w:tc>
        <w:tc>
          <w:tcPr>
            <w:tcW w:w="1440" w:type="dxa"/>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746</w:t>
            </w:r>
          </w:p>
        </w:tc>
        <w:tc>
          <w:tcPr>
            <w:tcW w:w="1440" w:type="dxa"/>
            <w:vAlign w:val="bottom"/>
          </w:tcPr>
          <w:p w:rsidR="00AE3762" w:rsidRDefault="00AE3762" w:rsidP="00AE3762">
            <w:pPr>
              <w:jc w:val="center"/>
              <w:cnfStyle w:val="000000010000"/>
              <w:rPr>
                <w:rFonts w:ascii="Calibri" w:hAnsi="Calibri"/>
                <w:color w:val="000000"/>
              </w:rPr>
            </w:pPr>
            <w:r>
              <w:rPr>
                <w:rFonts w:ascii="Calibri" w:hAnsi="Calibri"/>
                <w:color w:val="000000"/>
              </w:rPr>
              <w:t>412</w:t>
            </w:r>
          </w:p>
        </w:tc>
      </w:tr>
      <w:tr w:rsidR="00AE3762" w:rsidTr="001F68C1">
        <w:trPr>
          <w:cnfStyle w:val="000000100000"/>
          <w:jc w:val="center"/>
        </w:trPr>
        <w:tc>
          <w:tcPr>
            <w:cnfStyle w:val="001000000000"/>
            <w:tcW w:w="770" w:type="dxa"/>
            <w:vAlign w:val="center"/>
          </w:tcPr>
          <w:p w:rsidR="00AE3762" w:rsidRDefault="00AE3762" w:rsidP="001F68C1">
            <w:pPr>
              <w:tabs>
                <w:tab w:val="left" w:pos="-720"/>
              </w:tabs>
              <w:suppressAutoHyphens/>
              <w:jc w:val="lowKashida"/>
              <w:rPr>
                <w:rStyle w:val="tlid-translation"/>
                <w:lang/>
              </w:rPr>
            </w:pPr>
            <w:r>
              <w:rPr>
                <w:rStyle w:val="tlid-translation"/>
                <w:lang/>
              </w:rPr>
              <w:t>2017</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2,220</w:t>
            </w:r>
          </w:p>
        </w:tc>
        <w:tc>
          <w:tcPr>
            <w:tcW w:w="1440" w:type="dxa"/>
            <w:vAlign w:val="center"/>
          </w:tcPr>
          <w:p w:rsidR="00AE3762" w:rsidRDefault="00AE3762" w:rsidP="00AE3762">
            <w:pPr>
              <w:tabs>
                <w:tab w:val="left" w:pos="-720"/>
              </w:tabs>
              <w:suppressAutoHyphens/>
              <w:jc w:val="center"/>
              <w:cnfStyle w:val="000000100000"/>
              <w:rPr>
                <w:rStyle w:val="tlid-translation"/>
                <w:lang/>
              </w:rPr>
            </w:pPr>
            <w:r>
              <w:rPr>
                <w:rStyle w:val="tlid-translation"/>
                <w:lang/>
              </w:rPr>
              <w:t>1,579</w:t>
            </w:r>
          </w:p>
        </w:tc>
        <w:tc>
          <w:tcPr>
            <w:tcW w:w="1440" w:type="dxa"/>
            <w:vAlign w:val="bottom"/>
          </w:tcPr>
          <w:p w:rsidR="00AE3762" w:rsidRDefault="00AE3762" w:rsidP="00AE3762">
            <w:pPr>
              <w:jc w:val="center"/>
              <w:cnfStyle w:val="000000100000"/>
              <w:rPr>
                <w:rFonts w:ascii="Calibri" w:hAnsi="Calibri"/>
                <w:color w:val="000000"/>
              </w:rPr>
            </w:pPr>
            <w:r>
              <w:rPr>
                <w:rFonts w:ascii="Calibri" w:hAnsi="Calibri"/>
                <w:color w:val="000000"/>
              </w:rPr>
              <w:t>641</w:t>
            </w:r>
          </w:p>
        </w:tc>
      </w:tr>
      <w:tr w:rsidR="00AE3762" w:rsidTr="001F68C1">
        <w:trPr>
          <w:cnfStyle w:val="000000010000"/>
          <w:jc w:val="center"/>
        </w:trPr>
        <w:tc>
          <w:tcPr>
            <w:cnfStyle w:val="001000000000"/>
            <w:tcW w:w="770" w:type="dxa"/>
            <w:tcBorders>
              <w:bottom w:val="double" w:sz="4" w:space="0" w:color="auto"/>
            </w:tcBorders>
            <w:vAlign w:val="center"/>
          </w:tcPr>
          <w:p w:rsidR="00AE3762" w:rsidRDefault="00AE3762" w:rsidP="001F68C1">
            <w:pPr>
              <w:tabs>
                <w:tab w:val="left" w:pos="-720"/>
              </w:tabs>
              <w:suppressAutoHyphens/>
              <w:jc w:val="lowKashida"/>
              <w:rPr>
                <w:rStyle w:val="tlid-translation"/>
                <w:lang/>
              </w:rPr>
            </w:pPr>
            <w:r>
              <w:rPr>
                <w:rStyle w:val="tlid-translation"/>
                <w:lang/>
              </w:rPr>
              <w:t>2018</w:t>
            </w:r>
          </w:p>
        </w:tc>
        <w:tc>
          <w:tcPr>
            <w:tcW w:w="1440" w:type="dxa"/>
            <w:tcBorders>
              <w:bottom w:val="double" w:sz="4" w:space="0" w:color="auto"/>
            </w:tcBorders>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2,326</w:t>
            </w:r>
          </w:p>
        </w:tc>
        <w:tc>
          <w:tcPr>
            <w:tcW w:w="1440" w:type="dxa"/>
            <w:tcBorders>
              <w:bottom w:val="double" w:sz="4" w:space="0" w:color="auto"/>
            </w:tcBorders>
            <w:vAlign w:val="center"/>
          </w:tcPr>
          <w:p w:rsidR="00AE3762" w:rsidRDefault="00AE3762" w:rsidP="00AE3762">
            <w:pPr>
              <w:tabs>
                <w:tab w:val="left" w:pos="-720"/>
              </w:tabs>
              <w:suppressAutoHyphens/>
              <w:jc w:val="center"/>
              <w:cnfStyle w:val="000000010000"/>
              <w:rPr>
                <w:rStyle w:val="tlid-translation"/>
                <w:lang/>
              </w:rPr>
            </w:pPr>
            <w:r>
              <w:rPr>
                <w:rStyle w:val="tlid-translation"/>
                <w:lang/>
              </w:rPr>
              <w:t>2,064</w:t>
            </w:r>
          </w:p>
        </w:tc>
        <w:tc>
          <w:tcPr>
            <w:tcW w:w="1440" w:type="dxa"/>
            <w:tcBorders>
              <w:bottom w:val="double" w:sz="4" w:space="0" w:color="auto"/>
            </w:tcBorders>
            <w:vAlign w:val="bottom"/>
          </w:tcPr>
          <w:p w:rsidR="00AE3762" w:rsidRDefault="00AE3762" w:rsidP="00AE3762">
            <w:pPr>
              <w:jc w:val="center"/>
              <w:cnfStyle w:val="000000010000"/>
              <w:rPr>
                <w:rFonts w:ascii="Calibri" w:hAnsi="Calibri"/>
                <w:color w:val="000000"/>
              </w:rPr>
            </w:pPr>
            <w:r>
              <w:rPr>
                <w:rFonts w:ascii="Calibri" w:hAnsi="Calibri"/>
                <w:color w:val="000000"/>
              </w:rPr>
              <w:t>262</w:t>
            </w:r>
          </w:p>
        </w:tc>
      </w:tr>
      <w:tr w:rsidR="00AE3762" w:rsidTr="001F68C1">
        <w:trPr>
          <w:cnfStyle w:val="000000100000"/>
          <w:jc w:val="center"/>
        </w:trPr>
        <w:tc>
          <w:tcPr>
            <w:cnfStyle w:val="001000000000"/>
            <w:tcW w:w="770" w:type="dxa"/>
            <w:tcBorders>
              <w:top w:val="double" w:sz="4" w:space="0" w:color="auto"/>
            </w:tcBorders>
            <w:vAlign w:val="center"/>
          </w:tcPr>
          <w:p w:rsidR="00AE3762" w:rsidRDefault="00AE3762" w:rsidP="001F68C1">
            <w:pPr>
              <w:tabs>
                <w:tab w:val="left" w:pos="-720"/>
              </w:tabs>
              <w:suppressAutoHyphens/>
              <w:jc w:val="lowKashida"/>
              <w:rPr>
                <w:rStyle w:val="tlid-translation"/>
                <w:lang/>
              </w:rPr>
            </w:pPr>
            <w:r>
              <w:rPr>
                <w:rStyle w:val="tlid-translation"/>
                <w:lang/>
              </w:rPr>
              <w:t>Totals</w:t>
            </w:r>
          </w:p>
        </w:tc>
        <w:tc>
          <w:tcPr>
            <w:tcW w:w="1440" w:type="dxa"/>
            <w:tcBorders>
              <w:top w:val="double" w:sz="4" w:space="0" w:color="auto"/>
            </w:tcBorders>
            <w:vAlign w:val="center"/>
          </w:tcPr>
          <w:p w:rsidR="00AE3762" w:rsidRPr="00786080" w:rsidRDefault="00AE3762" w:rsidP="00AE3762">
            <w:pPr>
              <w:tabs>
                <w:tab w:val="left" w:pos="-720"/>
              </w:tabs>
              <w:suppressAutoHyphens/>
              <w:jc w:val="center"/>
              <w:cnfStyle w:val="000000100000"/>
              <w:rPr>
                <w:rStyle w:val="tlid-translation"/>
                <w:b/>
                <w:bCs/>
                <w:lang/>
              </w:rPr>
            </w:pPr>
            <w:r w:rsidRPr="00786080">
              <w:rPr>
                <w:rStyle w:val="tlid-translation"/>
                <w:b/>
                <w:bCs/>
                <w:lang/>
              </w:rPr>
              <w:t>8,456</w:t>
            </w:r>
          </w:p>
        </w:tc>
        <w:tc>
          <w:tcPr>
            <w:tcW w:w="1440" w:type="dxa"/>
            <w:tcBorders>
              <w:top w:val="double" w:sz="4" w:space="0" w:color="auto"/>
            </w:tcBorders>
            <w:vAlign w:val="center"/>
          </w:tcPr>
          <w:p w:rsidR="00AE3762" w:rsidRPr="00786080" w:rsidRDefault="00AE3762" w:rsidP="00AE3762">
            <w:pPr>
              <w:tabs>
                <w:tab w:val="left" w:pos="-720"/>
              </w:tabs>
              <w:suppressAutoHyphens/>
              <w:jc w:val="center"/>
              <w:cnfStyle w:val="000000100000"/>
              <w:rPr>
                <w:rStyle w:val="tlid-translation"/>
                <w:b/>
                <w:bCs/>
                <w:lang/>
              </w:rPr>
            </w:pPr>
            <w:r w:rsidRPr="00786080">
              <w:rPr>
                <w:rStyle w:val="tlid-translation"/>
                <w:b/>
                <w:bCs/>
                <w:lang/>
              </w:rPr>
              <w:t>6,121</w:t>
            </w:r>
          </w:p>
        </w:tc>
        <w:tc>
          <w:tcPr>
            <w:tcW w:w="1440" w:type="dxa"/>
            <w:tcBorders>
              <w:top w:val="double" w:sz="4" w:space="0" w:color="auto"/>
            </w:tcBorders>
            <w:vAlign w:val="bottom"/>
          </w:tcPr>
          <w:p w:rsidR="00AE3762" w:rsidRPr="00AE3762" w:rsidRDefault="00AE3762" w:rsidP="00AE3762">
            <w:pPr>
              <w:jc w:val="center"/>
              <w:cnfStyle w:val="000000100000"/>
              <w:rPr>
                <w:rFonts w:ascii="Calibri" w:hAnsi="Calibri"/>
                <w:b/>
                <w:bCs/>
                <w:color w:val="000000"/>
              </w:rPr>
            </w:pPr>
            <w:r w:rsidRPr="00AE3762">
              <w:rPr>
                <w:rFonts w:ascii="Calibri" w:hAnsi="Calibri"/>
                <w:b/>
                <w:bCs/>
                <w:color w:val="000000"/>
              </w:rPr>
              <w:t>2</w:t>
            </w:r>
            <w:r w:rsidR="001F68C1">
              <w:rPr>
                <w:rFonts w:ascii="Calibri" w:hAnsi="Calibri"/>
                <w:b/>
                <w:bCs/>
                <w:color w:val="000000"/>
              </w:rPr>
              <w:t>,</w:t>
            </w:r>
            <w:r w:rsidRPr="00AE3762">
              <w:rPr>
                <w:rFonts w:ascii="Calibri" w:hAnsi="Calibri"/>
                <w:b/>
                <w:bCs/>
                <w:color w:val="000000"/>
              </w:rPr>
              <w:t>335</w:t>
            </w:r>
          </w:p>
        </w:tc>
      </w:tr>
    </w:tbl>
    <w:p w:rsidR="00E37857" w:rsidRDefault="00E37857" w:rsidP="00046EBC">
      <w:pPr>
        <w:tabs>
          <w:tab w:val="left" w:pos="-720"/>
        </w:tabs>
        <w:suppressAutoHyphens/>
        <w:spacing w:after="0" w:line="240" w:lineRule="auto"/>
        <w:jc w:val="lowKashida"/>
        <w:rPr>
          <w:rStyle w:val="tlid-translation"/>
          <w:lang/>
        </w:rPr>
      </w:pPr>
    </w:p>
    <w:p w:rsidR="00786080" w:rsidRDefault="00AE3762" w:rsidP="00AE3762">
      <w:pPr>
        <w:tabs>
          <w:tab w:val="left" w:pos="-720"/>
        </w:tabs>
        <w:suppressAutoHyphens/>
        <w:spacing w:after="0" w:line="240" w:lineRule="auto"/>
        <w:jc w:val="lowKashida"/>
        <w:rPr>
          <w:rStyle w:val="tlid-translation"/>
          <w:lang/>
        </w:rPr>
      </w:pPr>
      <w:r>
        <w:rPr>
          <w:rStyle w:val="tlid-translation"/>
          <w:lang/>
        </w:rPr>
        <w:t>The owners' often opt for self-demolition of their houses, in order to avoid the additional fines of demolition by the state organs, including military personnel, equipment and police at the site, which typically results in further conflict and violence.</w:t>
      </w:r>
      <w:r w:rsidR="0098151C">
        <w:rPr>
          <w:rStyle w:val="tlid-translation"/>
          <w:lang/>
        </w:rPr>
        <w:t xml:space="preserve"> This avoidance of additional fines also has created a pretext for the organs of the state party to dismiss these instances in the statistical record, thereby undercounting the cases of forced evictions and home demolitions to avoid scrutiny beyond the horrified eye witnesses to the gross violations.</w:t>
      </w:r>
    </w:p>
    <w:p w:rsidR="00AE3762" w:rsidRDefault="00AE3762" w:rsidP="00AE3762">
      <w:pPr>
        <w:tabs>
          <w:tab w:val="left" w:pos="-720"/>
        </w:tabs>
        <w:suppressAutoHyphens/>
        <w:spacing w:after="0" w:line="240" w:lineRule="auto"/>
        <w:jc w:val="lowKashida"/>
        <w:rPr>
          <w:rStyle w:val="tlid-translation"/>
          <w:lang/>
        </w:rPr>
      </w:pPr>
    </w:p>
    <w:p w:rsidR="00AE3762" w:rsidRDefault="00AE3762" w:rsidP="00C91268">
      <w:pPr>
        <w:tabs>
          <w:tab w:val="left" w:pos="-720"/>
        </w:tabs>
        <w:suppressAutoHyphens/>
        <w:spacing w:after="0" w:line="240" w:lineRule="auto"/>
        <w:jc w:val="lowKashida"/>
        <w:rPr>
          <w:rStyle w:val="tlid-translation"/>
          <w:lang/>
        </w:rPr>
      </w:pPr>
      <w:r>
        <w:rPr>
          <w:rStyle w:val="tlid-translation"/>
          <w:lang/>
        </w:rPr>
        <w:t>This lowe</w:t>
      </w:r>
      <w:r w:rsidR="001F68C1">
        <w:rPr>
          <w:rStyle w:val="tlid-translation"/>
          <w:lang/>
        </w:rPr>
        <w:t xml:space="preserve">st </w:t>
      </w:r>
      <w:r>
        <w:rPr>
          <w:rStyle w:val="tlid-translation"/>
          <w:lang/>
        </w:rPr>
        <w:t xml:space="preserve">number of houses demolished by the authorities was </w:t>
      </w:r>
      <w:r w:rsidR="001F68C1">
        <w:rPr>
          <w:rStyle w:val="tlid-translation"/>
          <w:lang/>
        </w:rPr>
        <w:t xml:space="preserve">in 2018, attributed to the </w:t>
      </w:r>
      <w:r w:rsidRPr="00AE3762">
        <w:rPr>
          <w:rStyle w:val="tlid-translation"/>
          <w:lang/>
        </w:rPr>
        <w:t xml:space="preserve"> </w:t>
      </w:r>
      <w:r>
        <w:rPr>
          <w:rStyle w:val="tlid-translation"/>
          <w:lang/>
        </w:rPr>
        <w:t>policy of dual punishment</w:t>
      </w:r>
      <w:r w:rsidR="001F68C1">
        <w:rPr>
          <w:rStyle w:val="tlid-translation"/>
          <w:lang/>
        </w:rPr>
        <w:t>. T</w:t>
      </w:r>
      <w:r>
        <w:rPr>
          <w:rStyle w:val="tlid-translation"/>
          <w:lang/>
        </w:rPr>
        <w:t xml:space="preserve">he majority of </w:t>
      </w:r>
      <w:proofErr w:type="spellStart"/>
      <w:r w:rsidR="001F68C1">
        <w:rPr>
          <w:rStyle w:val="tlid-translation"/>
          <w:lang/>
        </w:rPr>
        <w:t>Naqab</w:t>
      </w:r>
      <w:proofErr w:type="spellEnd"/>
      <w:r w:rsidR="001F68C1">
        <w:rPr>
          <w:rStyle w:val="tlid-translation"/>
          <w:lang/>
        </w:rPr>
        <w:t xml:space="preserve"> </w:t>
      </w:r>
      <w:r>
        <w:rPr>
          <w:rStyle w:val="tlid-translation"/>
          <w:lang/>
        </w:rPr>
        <w:t xml:space="preserve">houses issued demolition orders </w:t>
      </w:r>
      <w:r w:rsidR="001F68C1">
        <w:rPr>
          <w:rStyle w:val="tlid-translation"/>
          <w:lang/>
        </w:rPr>
        <w:t xml:space="preserve">have been </w:t>
      </w:r>
      <w:r>
        <w:rPr>
          <w:rStyle w:val="tlid-translation"/>
          <w:lang/>
        </w:rPr>
        <w:t xml:space="preserve">located in the </w:t>
      </w:r>
      <w:r w:rsidR="001F68C1">
        <w:rPr>
          <w:rStyle w:val="tlid-translation"/>
          <w:lang/>
        </w:rPr>
        <w:t>un</w:t>
      </w:r>
      <w:r>
        <w:rPr>
          <w:rStyle w:val="tlid-translation"/>
          <w:lang/>
        </w:rPr>
        <w:t xml:space="preserve">recognized </w:t>
      </w:r>
      <w:r w:rsidR="001F68C1">
        <w:rPr>
          <w:rStyle w:val="tlid-translation"/>
          <w:lang/>
        </w:rPr>
        <w:t>villages</w:t>
      </w:r>
      <w:r>
        <w:rPr>
          <w:rStyle w:val="tlid-translation"/>
          <w:lang/>
        </w:rPr>
        <w:t xml:space="preserve">, where </w:t>
      </w:r>
      <w:r w:rsidR="001F68C1">
        <w:rPr>
          <w:rStyle w:val="tlid-translation"/>
          <w:lang/>
        </w:rPr>
        <w:t xml:space="preserve">Israeli </w:t>
      </w:r>
      <w:r>
        <w:rPr>
          <w:rStyle w:val="tlid-translation"/>
          <w:lang/>
        </w:rPr>
        <w:t xml:space="preserve">authorities seek to displace their </w:t>
      </w:r>
      <w:r w:rsidR="001F68C1">
        <w:rPr>
          <w:rStyle w:val="tlid-translation"/>
          <w:lang/>
        </w:rPr>
        <w:t xml:space="preserve">tenure holders </w:t>
      </w:r>
      <w:r>
        <w:rPr>
          <w:rStyle w:val="tlid-translation"/>
          <w:lang/>
        </w:rPr>
        <w:t>in order to seize their land</w:t>
      </w:r>
      <w:r w:rsidR="001F68C1">
        <w:rPr>
          <w:rStyle w:val="tlid-translation"/>
          <w:lang/>
        </w:rPr>
        <w:t xml:space="preserve"> in areas without statutory planning </w:t>
      </w:r>
      <w:r>
        <w:rPr>
          <w:rStyle w:val="tlid-translation"/>
          <w:lang/>
        </w:rPr>
        <w:t>maps and plans</w:t>
      </w:r>
      <w:r w:rsidR="001F68C1">
        <w:rPr>
          <w:rStyle w:val="tlid-translation"/>
          <w:lang/>
        </w:rPr>
        <w:t xml:space="preserve">, and where the </w:t>
      </w:r>
      <w:r>
        <w:rPr>
          <w:rStyle w:val="tlid-translation"/>
          <w:lang/>
        </w:rPr>
        <w:t xml:space="preserve">inhabitants </w:t>
      </w:r>
      <w:r w:rsidR="001F68C1">
        <w:rPr>
          <w:rStyle w:val="tlid-translation"/>
          <w:lang/>
        </w:rPr>
        <w:t xml:space="preserve">consequently </w:t>
      </w:r>
      <w:r>
        <w:rPr>
          <w:rStyle w:val="tlid-translation"/>
          <w:lang/>
        </w:rPr>
        <w:t xml:space="preserve">cannot obtain building permits. In </w:t>
      </w:r>
      <w:r w:rsidR="001F68C1">
        <w:rPr>
          <w:rStyle w:val="tlid-translation"/>
          <w:lang/>
        </w:rPr>
        <w:t>their place</w:t>
      </w:r>
      <w:r>
        <w:rPr>
          <w:rStyle w:val="tlid-translation"/>
          <w:lang/>
        </w:rPr>
        <w:t xml:space="preserve">, the Israeli government is developing plans, some of which have been implemented, to establish large </w:t>
      </w:r>
      <w:r w:rsidR="001F68C1">
        <w:rPr>
          <w:rStyle w:val="tlid-translation"/>
          <w:lang/>
        </w:rPr>
        <w:t xml:space="preserve">settlements (colonies) </w:t>
      </w:r>
      <w:r>
        <w:rPr>
          <w:rStyle w:val="tlid-translation"/>
          <w:lang/>
        </w:rPr>
        <w:t xml:space="preserve">or farms for </w:t>
      </w:r>
      <w:r w:rsidR="001F68C1">
        <w:rPr>
          <w:rStyle w:val="tlid-translation"/>
          <w:lang/>
        </w:rPr>
        <w:t>persons recognized as holding "</w:t>
      </w:r>
      <w:r>
        <w:rPr>
          <w:rStyle w:val="tlid-translation"/>
          <w:lang/>
        </w:rPr>
        <w:t>Jew</w:t>
      </w:r>
      <w:r w:rsidR="001F68C1">
        <w:rPr>
          <w:rStyle w:val="tlid-translation"/>
          <w:lang/>
        </w:rPr>
        <w:t xml:space="preserve">ish nationality." In the </w:t>
      </w:r>
      <w:proofErr w:type="spellStart"/>
      <w:r w:rsidR="001F68C1">
        <w:rPr>
          <w:rStyle w:val="tlid-translation"/>
          <w:lang/>
        </w:rPr>
        <w:t>Naqab</w:t>
      </w:r>
      <w:proofErr w:type="spellEnd"/>
      <w:r w:rsidR="001F68C1">
        <w:rPr>
          <w:rStyle w:val="tlid-translation"/>
          <w:lang/>
        </w:rPr>
        <w:t>, as in all Regional Planning Councils, the Regional Councils maintain a majority of decision makers representing the Jewish Agency (JA), who are required to apply the discriminatory principles of the JA's charter, excluding all others not qualifying as "Jewish nationals."</w:t>
      </w:r>
    </w:p>
    <w:p w:rsidR="00C91268" w:rsidRDefault="00C91268" w:rsidP="00C91268">
      <w:pPr>
        <w:pStyle w:val="Numberedpara"/>
        <w:numPr>
          <w:ilvl w:val="0"/>
          <w:numId w:val="0"/>
        </w:numPr>
        <w:spacing w:before="0" w:after="0" w:line="240" w:lineRule="auto"/>
        <w:jc w:val="lowKashida"/>
      </w:pPr>
    </w:p>
    <w:p w:rsidR="00C91268" w:rsidRPr="00C91268" w:rsidRDefault="00C91268" w:rsidP="004C2312">
      <w:pPr>
        <w:pStyle w:val="Numberedpara"/>
        <w:numPr>
          <w:ilvl w:val="0"/>
          <w:numId w:val="0"/>
        </w:numPr>
        <w:spacing w:before="0" w:after="0" w:line="240" w:lineRule="auto"/>
        <w:jc w:val="lowKashida"/>
        <w:rPr>
          <w:rFonts w:asciiTheme="minorHAnsi" w:hAnsiTheme="minorHAnsi"/>
          <w:sz w:val="22"/>
          <w:szCs w:val="22"/>
        </w:rPr>
      </w:pPr>
      <w:r w:rsidRPr="00C91268">
        <w:rPr>
          <w:rFonts w:asciiTheme="minorHAnsi" w:hAnsiTheme="minorHAnsi"/>
          <w:sz w:val="22"/>
          <w:szCs w:val="22"/>
        </w:rPr>
        <w:t xml:space="preserve">Throughout some 49 villages where the Bedouin Palestinian communities have been forced to reside since the ethnic cleansing of the </w:t>
      </w:r>
      <w:proofErr w:type="spellStart"/>
      <w:r w:rsidRPr="00C91268">
        <w:rPr>
          <w:rFonts w:asciiTheme="minorHAnsi" w:hAnsiTheme="minorHAnsi"/>
          <w:sz w:val="22"/>
          <w:szCs w:val="22"/>
        </w:rPr>
        <w:t>Naqab</w:t>
      </w:r>
      <w:proofErr w:type="spellEnd"/>
      <w:r w:rsidRPr="00C91268">
        <w:rPr>
          <w:rFonts w:asciiTheme="minorHAnsi" w:hAnsiTheme="minorHAnsi"/>
          <w:sz w:val="22"/>
          <w:szCs w:val="22"/>
        </w:rPr>
        <w:t xml:space="preserve"> region in 1951–1953, this withholding of formal recognition denies their non-Jewish Israeli citizen residents any security of tenure and access to vital services such as water and sanitation. The serial resettlement plans for the Palestinian Bedouin in the </w:t>
      </w:r>
      <w:proofErr w:type="spellStart"/>
      <w:r w:rsidRPr="00C91268">
        <w:rPr>
          <w:rFonts w:asciiTheme="minorHAnsi" w:hAnsiTheme="minorHAnsi"/>
          <w:sz w:val="22"/>
          <w:szCs w:val="22"/>
        </w:rPr>
        <w:t>Naqab</w:t>
      </w:r>
      <w:proofErr w:type="spellEnd"/>
      <w:r w:rsidRPr="00C91268">
        <w:rPr>
          <w:rFonts w:asciiTheme="minorHAnsi" w:hAnsiTheme="minorHAnsi"/>
          <w:sz w:val="22"/>
          <w:szCs w:val="22"/>
        </w:rPr>
        <w:t xml:space="preserve"> have further imposed displacement and involuntary resettlement (i.e., forced eviction) under </w:t>
      </w:r>
      <w:r w:rsidR="004C2312">
        <w:rPr>
          <w:rFonts w:asciiTheme="minorHAnsi" w:hAnsiTheme="minorHAnsi"/>
          <w:sz w:val="22"/>
          <w:szCs w:val="22"/>
        </w:rPr>
        <w:t xml:space="preserve">conditions that force them to be </w:t>
      </w:r>
      <w:r w:rsidRPr="00C91268">
        <w:rPr>
          <w:rFonts w:asciiTheme="minorHAnsi" w:hAnsiTheme="minorHAnsi"/>
          <w:sz w:val="22"/>
          <w:szCs w:val="22"/>
        </w:rPr>
        <w:t>strip</w:t>
      </w:r>
      <w:r w:rsidR="004C2312">
        <w:rPr>
          <w:rFonts w:asciiTheme="minorHAnsi" w:hAnsiTheme="minorHAnsi"/>
          <w:sz w:val="22"/>
          <w:szCs w:val="22"/>
        </w:rPr>
        <w:t xml:space="preserve">ped of </w:t>
      </w:r>
      <w:r w:rsidRPr="00C91268">
        <w:rPr>
          <w:rFonts w:asciiTheme="minorHAnsi" w:hAnsiTheme="minorHAnsi"/>
          <w:sz w:val="22"/>
          <w:szCs w:val="22"/>
        </w:rPr>
        <w:t xml:space="preserve">any relationship with their ancestral lands—indeed </w:t>
      </w:r>
      <w:r w:rsidR="004C2312">
        <w:rPr>
          <w:rFonts w:asciiTheme="minorHAnsi" w:hAnsiTheme="minorHAnsi"/>
          <w:sz w:val="22"/>
          <w:szCs w:val="22"/>
        </w:rPr>
        <w:t xml:space="preserve">of </w:t>
      </w:r>
      <w:r w:rsidRPr="00C91268">
        <w:rPr>
          <w:rFonts w:asciiTheme="minorHAnsi" w:hAnsiTheme="minorHAnsi"/>
          <w:sz w:val="22"/>
          <w:szCs w:val="22"/>
        </w:rPr>
        <w:t>any land</w:t>
      </w:r>
      <w:r w:rsidR="004C2312">
        <w:rPr>
          <w:rFonts w:asciiTheme="minorHAnsi" w:hAnsiTheme="minorHAnsi"/>
          <w:sz w:val="22"/>
          <w:szCs w:val="22"/>
        </w:rPr>
        <w:t xml:space="preserve"> tenure apart from the housing plot</w:t>
      </w:r>
      <w:r w:rsidRPr="00C91268">
        <w:rPr>
          <w:rFonts w:asciiTheme="minorHAnsi" w:hAnsiTheme="minorHAnsi"/>
          <w:sz w:val="22"/>
          <w:szCs w:val="22"/>
        </w:rPr>
        <w:t xml:space="preserve">. </w:t>
      </w:r>
    </w:p>
    <w:p w:rsidR="00C91268" w:rsidRPr="00C91268" w:rsidRDefault="00C91268" w:rsidP="00C91268">
      <w:pPr>
        <w:pStyle w:val="Numberedpara"/>
        <w:numPr>
          <w:ilvl w:val="0"/>
          <w:numId w:val="0"/>
        </w:numPr>
        <w:spacing w:before="0" w:after="0" w:line="240" w:lineRule="auto"/>
        <w:jc w:val="lowKashida"/>
        <w:rPr>
          <w:rFonts w:asciiTheme="minorHAnsi" w:hAnsiTheme="minorHAnsi"/>
          <w:sz w:val="22"/>
          <w:szCs w:val="22"/>
        </w:rPr>
      </w:pPr>
    </w:p>
    <w:p w:rsidR="00C91268" w:rsidRPr="00C91268" w:rsidRDefault="00C91268" w:rsidP="00C91268">
      <w:pPr>
        <w:pStyle w:val="Numberedpara"/>
        <w:numPr>
          <w:ilvl w:val="0"/>
          <w:numId w:val="0"/>
        </w:numPr>
        <w:spacing w:before="0" w:after="0" w:line="240" w:lineRule="auto"/>
        <w:jc w:val="lowKashida"/>
        <w:rPr>
          <w:rFonts w:asciiTheme="minorHAnsi" w:hAnsiTheme="minorHAnsi"/>
          <w:sz w:val="22"/>
          <w:szCs w:val="22"/>
        </w:rPr>
      </w:pPr>
      <w:r w:rsidRPr="00C91268">
        <w:rPr>
          <w:rFonts w:asciiTheme="minorHAnsi" w:hAnsiTheme="minorHAnsi"/>
          <w:sz w:val="22"/>
          <w:szCs w:val="22"/>
        </w:rPr>
        <w:t>This discriminatory system has revealed also how the state party applies arbitrary criteria to the recognition of human settlements under its jurisdiction based solely on the "Jewish nationality" status (as distinct from, and superior to Israeli citizenship)</w:t>
      </w:r>
      <w:r w:rsidR="004C2312" w:rsidRPr="00C91268">
        <w:rPr>
          <w:rStyle w:val="EndnoteReference"/>
          <w:rFonts w:asciiTheme="minorHAnsi" w:hAnsiTheme="minorHAnsi"/>
          <w:sz w:val="22"/>
          <w:szCs w:val="22"/>
        </w:rPr>
        <w:endnoteReference w:id="51"/>
      </w:r>
      <w:r w:rsidR="004C2312" w:rsidRPr="00C91268">
        <w:rPr>
          <w:rFonts w:asciiTheme="minorHAnsi" w:hAnsiTheme="minorHAnsi"/>
          <w:sz w:val="22"/>
          <w:szCs w:val="22"/>
        </w:rPr>
        <w:t xml:space="preserve"> provided in the disc</w:t>
      </w:r>
      <w:r w:rsidR="004C2312">
        <w:rPr>
          <w:rFonts w:asciiTheme="minorHAnsi" w:hAnsiTheme="minorHAnsi"/>
          <w:sz w:val="22"/>
          <w:szCs w:val="22"/>
        </w:rPr>
        <w:t>r</w:t>
      </w:r>
      <w:r w:rsidR="004C2312" w:rsidRPr="00C91268">
        <w:rPr>
          <w:rFonts w:asciiTheme="minorHAnsi" w:hAnsiTheme="minorHAnsi"/>
          <w:sz w:val="22"/>
          <w:szCs w:val="22"/>
        </w:rPr>
        <w:t>iminatory charters of the Jewish Agency and Jewish National Fund, which dominate the spatial planning regime within the State of Israel.</w:t>
      </w:r>
      <w:r w:rsidR="004C2312" w:rsidRPr="00C91268">
        <w:rPr>
          <w:rStyle w:val="EndnoteReference"/>
          <w:rFonts w:asciiTheme="minorHAnsi" w:hAnsiTheme="minorHAnsi"/>
          <w:sz w:val="22"/>
          <w:szCs w:val="22"/>
        </w:rPr>
        <w:t xml:space="preserve"> </w:t>
      </w:r>
      <w:r w:rsidR="004C2312" w:rsidRPr="00C91268">
        <w:rPr>
          <w:rStyle w:val="EndnoteReference"/>
          <w:rFonts w:asciiTheme="minorHAnsi" w:hAnsiTheme="minorHAnsi"/>
          <w:sz w:val="22"/>
          <w:szCs w:val="22"/>
        </w:rPr>
        <w:endnoteReference w:id="52"/>
      </w:r>
      <w:r w:rsidR="004C2312" w:rsidRPr="00C91268">
        <w:rPr>
          <w:rFonts w:asciiTheme="minorHAnsi" w:hAnsiTheme="minorHAnsi"/>
          <w:sz w:val="22"/>
          <w:szCs w:val="22"/>
        </w:rPr>
        <w:t xml:space="preserve"> </w:t>
      </w:r>
      <w:r w:rsidRPr="00C91268">
        <w:rPr>
          <w:rFonts w:asciiTheme="minorHAnsi" w:hAnsiTheme="minorHAnsi"/>
          <w:sz w:val="22"/>
          <w:szCs w:val="22"/>
        </w:rPr>
        <w:t xml:space="preserve">Under the division of labour between the "national" </w:t>
      </w:r>
      <w:r w:rsidRPr="00C91268">
        <w:rPr>
          <w:rFonts w:asciiTheme="minorHAnsi" w:hAnsiTheme="minorHAnsi"/>
          <w:sz w:val="22"/>
          <w:szCs w:val="22"/>
        </w:rPr>
        <w:lastRenderedPageBreak/>
        <w:t xml:space="preserve">institutions since 1970, mentioned above, the World Zionist Organization and Jewish National Fund operate similarly in the </w:t>
      </w:r>
      <w:proofErr w:type="spellStart"/>
      <w:r w:rsidRPr="00C91268">
        <w:rPr>
          <w:rFonts w:asciiTheme="minorHAnsi" w:hAnsiTheme="minorHAnsi"/>
          <w:sz w:val="22"/>
          <w:szCs w:val="22"/>
        </w:rPr>
        <w:t>oPt</w:t>
      </w:r>
      <w:proofErr w:type="spellEnd"/>
      <w:r w:rsidRPr="00C91268">
        <w:rPr>
          <w:rFonts w:asciiTheme="minorHAnsi" w:hAnsiTheme="minorHAnsi"/>
          <w:sz w:val="22"/>
          <w:szCs w:val="22"/>
        </w:rPr>
        <w:t xml:space="preserve">, effectively conducting population transfer as </w:t>
      </w:r>
      <w:proofErr w:type="spellStart"/>
      <w:r w:rsidRPr="00C91268">
        <w:rPr>
          <w:rFonts w:asciiTheme="minorHAnsi" w:hAnsiTheme="minorHAnsi"/>
          <w:sz w:val="22"/>
          <w:szCs w:val="22"/>
        </w:rPr>
        <w:t>parastatal</w:t>
      </w:r>
      <w:proofErr w:type="spellEnd"/>
      <w:r w:rsidRPr="00C91268">
        <w:rPr>
          <w:rFonts w:asciiTheme="minorHAnsi" w:hAnsiTheme="minorHAnsi"/>
          <w:sz w:val="22"/>
          <w:szCs w:val="22"/>
        </w:rPr>
        <w:t xml:space="preserve"> institutions in favour of settlers recognized as holding the "Jewish nationality" status </w:t>
      </w:r>
      <w:r>
        <w:rPr>
          <w:rFonts w:asciiTheme="minorHAnsi" w:hAnsiTheme="minorHAnsi"/>
          <w:sz w:val="22"/>
          <w:szCs w:val="22"/>
        </w:rPr>
        <w:t xml:space="preserve">that their charters have </w:t>
      </w:r>
      <w:r w:rsidRPr="00C91268">
        <w:rPr>
          <w:rFonts w:asciiTheme="minorHAnsi" w:hAnsiTheme="minorHAnsi"/>
          <w:sz w:val="22"/>
          <w:szCs w:val="22"/>
        </w:rPr>
        <w:t>constructed.</w:t>
      </w:r>
    </w:p>
    <w:p w:rsidR="001F68C1" w:rsidRPr="0098151C" w:rsidRDefault="001F68C1" w:rsidP="0098151C">
      <w:pPr>
        <w:tabs>
          <w:tab w:val="left" w:pos="-720"/>
        </w:tabs>
        <w:suppressAutoHyphens/>
        <w:spacing w:after="0" w:line="240" w:lineRule="auto"/>
        <w:jc w:val="lowKashida"/>
        <w:rPr>
          <w:rStyle w:val="tlid-translation"/>
          <w:lang w:val="en-GB"/>
        </w:rPr>
      </w:pPr>
    </w:p>
    <w:p w:rsidR="0098151C" w:rsidRPr="0098151C" w:rsidRDefault="0098151C" w:rsidP="0098151C">
      <w:pPr>
        <w:pStyle w:val="NormalWeb"/>
        <w:spacing w:before="0" w:beforeAutospacing="0" w:after="0" w:afterAutospacing="0"/>
        <w:jc w:val="lowKashida"/>
        <w:rPr>
          <w:rFonts w:asciiTheme="minorHAnsi" w:hAnsiTheme="minorHAnsi"/>
          <w:sz w:val="22"/>
          <w:szCs w:val="22"/>
        </w:rPr>
      </w:pPr>
      <w:r w:rsidRPr="0098151C">
        <w:rPr>
          <w:rStyle w:val="tlid-translation"/>
          <w:rFonts w:asciiTheme="minorHAnsi" w:hAnsiTheme="minorHAnsi"/>
          <w:sz w:val="22"/>
          <w:szCs w:val="22"/>
          <w:lang w:val="en-GB"/>
        </w:rPr>
        <w:t xml:space="preserve">While the pattern of denial of housing options, including building permits, to Palestinian Arab citizens of Israel is most pronounced in the </w:t>
      </w:r>
      <w:proofErr w:type="spellStart"/>
      <w:r w:rsidRPr="0098151C">
        <w:rPr>
          <w:rStyle w:val="tlid-translation"/>
          <w:rFonts w:asciiTheme="minorHAnsi" w:hAnsiTheme="minorHAnsi"/>
          <w:sz w:val="22"/>
          <w:szCs w:val="22"/>
          <w:lang w:val="en-GB"/>
        </w:rPr>
        <w:t>Naqab</w:t>
      </w:r>
      <w:proofErr w:type="spellEnd"/>
      <w:r w:rsidRPr="0098151C">
        <w:rPr>
          <w:rStyle w:val="tlid-translation"/>
          <w:rFonts w:asciiTheme="minorHAnsi" w:hAnsiTheme="minorHAnsi"/>
          <w:sz w:val="22"/>
          <w:szCs w:val="22"/>
          <w:lang w:val="en-GB"/>
        </w:rPr>
        <w:t xml:space="preserve">, where traditional land tenure is common, similar practices are also common to the other regions of historic Palestine that have been absorbed into the State of Israel. </w:t>
      </w:r>
      <w:r w:rsidRPr="0098151C">
        <w:rPr>
          <w:rFonts w:asciiTheme="minorHAnsi" w:hAnsiTheme="minorHAnsi"/>
          <w:sz w:val="22"/>
          <w:szCs w:val="22"/>
        </w:rPr>
        <w:t xml:space="preserve">In </w:t>
      </w:r>
      <w:proofErr w:type="spellStart"/>
      <w:r w:rsidRPr="0098151C">
        <w:rPr>
          <w:rFonts w:asciiTheme="minorHAnsi" w:hAnsiTheme="minorHAnsi"/>
          <w:sz w:val="22"/>
          <w:szCs w:val="22"/>
        </w:rPr>
        <w:t>Qalansuwa</w:t>
      </w:r>
      <w:proofErr w:type="spellEnd"/>
      <w:r w:rsidRPr="0098151C">
        <w:rPr>
          <w:rFonts w:asciiTheme="minorHAnsi" w:hAnsiTheme="minorHAnsi"/>
          <w:sz w:val="22"/>
          <w:szCs w:val="22"/>
        </w:rPr>
        <w:t xml:space="preserve">, a </w:t>
      </w:r>
      <w:proofErr w:type="spellStart"/>
      <w:r w:rsidRPr="0098151C">
        <w:rPr>
          <w:rFonts w:asciiTheme="minorHAnsi" w:hAnsiTheme="minorHAnsi"/>
          <w:sz w:val="22"/>
          <w:szCs w:val="22"/>
        </w:rPr>
        <w:t>Gelilee</w:t>
      </w:r>
      <w:proofErr w:type="spellEnd"/>
      <w:r w:rsidRPr="0098151C">
        <w:rPr>
          <w:rFonts w:asciiTheme="minorHAnsi" w:hAnsiTheme="minorHAnsi"/>
          <w:sz w:val="22"/>
          <w:szCs w:val="22"/>
        </w:rPr>
        <w:t xml:space="preserve"> village occupied by Israel since 1948, Israeli government forces demolished the homes of 11 Palestinian Arab families in one day. The pace of home demolitions accelerated </w:t>
      </w:r>
      <w:r>
        <w:rPr>
          <w:rFonts w:asciiTheme="minorHAnsi" w:hAnsiTheme="minorHAnsi"/>
          <w:sz w:val="22"/>
          <w:szCs w:val="22"/>
        </w:rPr>
        <w:t>in late 2016 and early 2017</w:t>
      </w:r>
      <w:r w:rsidRPr="0098151C">
        <w:rPr>
          <w:rFonts w:asciiTheme="minorHAnsi" w:hAnsiTheme="minorHAnsi"/>
          <w:sz w:val="22"/>
          <w:szCs w:val="22"/>
        </w:rPr>
        <w:t>, and is expected to increase.</w:t>
      </w:r>
    </w:p>
    <w:p w:rsidR="0098151C" w:rsidRDefault="0098151C" w:rsidP="0098151C">
      <w:pPr>
        <w:pStyle w:val="NormalWeb"/>
        <w:spacing w:before="0" w:beforeAutospacing="0" w:after="0" w:afterAutospacing="0"/>
        <w:jc w:val="lowKashida"/>
        <w:rPr>
          <w:rFonts w:asciiTheme="minorHAnsi" w:hAnsiTheme="minorHAnsi"/>
          <w:sz w:val="22"/>
          <w:szCs w:val="22"/>
          <w:lang w:val="es-ES"/>
        </w:rPr>
      </w:pPr>
    </w:p>
    <w:p w:rsidR="00CE7505" w:rsidRDefault="00CE7505" w:rsidP="00CE750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center"/>
        <w:rPr>
          <w:rFonts w:asciiTheme="minorHAnsi" w:hAnsiTheme="minorHAnsi"/>
          <w:b/>
          <w:bCs/>
          <w:sz w:val="22"/>
          <w:szCs w:val="22"/>
        </w:rPr>
      </w:pPr>
      <w:r>
        <w:rPr>
          <w:rFonts w:asciiTheme="minorHAnsi" w:hAnsiTheme="minorHAnsi"/>
          <w:b/>
          <w:bCs/>
          <w:sz w:val="22"/>
          <w:szCs w:val="22"/>
        </w:rPr>
        <w:t xml:space="preserve">The Case of </w:t>
      </w:r>
      <w:proofErr w:type="spellStart"/>
      <w:r>
        <w:rPr>
          <w:rFonts w:asciiTheme="minorHAnsi" w:hAnsiTheme="minorHAnsi"/>
          <w:b/>
          <w:bCs/>
          <w:sz w:val="22"/>
          <w:szCs w:val="22"/>
        </w:rPr>
        <w:t>Qalansuwa</w:t>
      </w:r>
      <w:proofErr w:type="spellEnd"/>
      <w:r>
        <w:rPr>
          <w:rFonts w:asciiTheme="minorHAnsi" w:hAnsiTheme="minorHAnsi"/>
          <w:b/>
          <w:bCs/>
          <w:sz w:val="22"/>
          <w:szCs w:val="22"/>
        </w:rPr>
        <w:t>, Galilee</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r w:rsidRPr="00EA00A5">
        <w:rPr>
          <w:rFonts w:asciiTheme="minorHAnsi" w:hAnsiTheme="minorHAnsi"/>
          <w:sz w:val="20"/>
          <w:szCs w:val="20"/>
        </w:rPr>
        <w:t xml:space="preserve">Escorted by a large force of Israeli police, the Israeli authorities’ bulldozers and vehicles raided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 xml:space="preserve"> city on 10 January 2017 and demolished 9 houses under the pretext of unlicensed construction. A large group of Palestinian citizens crowded in an attempt to stop the demolition, yet the Israeli police prevented them from approaching the area. They called on the Arab MPs and all political forces to stand by the owners of the demolished houses, adding that the situation is intolerable and may lead to dire consequences.</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r w:rsidRPr="00EA00A5">
        <w:rPr>
          <w:rFonts w:asciiTheme="minorHAnsi" w:hAnsiTheme="minorHAnsi"/>
          <w:sz w:val="20"/>
          <w:szCs w:val="20"/>
        </w:rPr>
        <w:t xml:space="preserve">The Israeli police promptly arrested a young man from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 xml:space="preserve"> following the outbreak of confrontations between the police and the Palestinian citizens.</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Gilad</w:t>
      </w:r>
      <w:proofErr w:type="spellEnd"/>
      <w:r w:rsidRPr="00EA00A5">
        <w:rPr>
          <w:rFonts w:asciiTheme="minorHAnsi" w:hAnsiTheme="minorHAnsi"/>
          <w:sz w:val="20"/>
          <w:szCs w:val="20"/>
        </w:rPr>
        <w:t xml:space="preserve"> </w:t>
      </w:r>
      <w:proofErr w:type="spellStart"/>
      <w:r w:rsidRPr="00EA00A5">
        <w:rPr>
          <w:rFonts w:asciiTheme="minorHAnsi" w:hAnsiTheme="minorHAnsi"/>
          <w:sz w:val="20"/>
          <w:szCs w:val="20"/>
        </w:rPr>
        <w:t>Erdan</w:t>
      </w:r>
      <w:proofErr w:type="spellEnd"/>
      <w:r w:rsidRPr="00EA00A5">
        <w:rPr>
          <w:rFonts w:asciiTheme="minorHAnsi" w:hAnsiTheme="minorHAnsi"/>
          <w:sz w:val="20"/>
          <w:szCs w:val="20"/>
        </w:rPr>
        <w:t xml:space="preserve">, the Israeli Minister of Public Security, praised the Israeli police forces for protecting the bulldozers and demolition vehicles in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Abdelbasset</w:t>
      </w:r>
      <w:proofErr w:type="spellEnd"/>
      <w:r w:rsidRPr="00EA00A5">
        <w:rPr>
          <w:rFonts w:asciiTheme="minorHAnsi" w:hAnsiTheme="minorHAnsi"/>
          <w:sz w:val="20"/>
          <w:szCs w:val="20"/>
        </w:rPr>
        <w:t xml:space="preserve"> </w:t>
      </w:r>
      <w:proofErr w:type="spellStart"/>
      <w:r w:rsidRPr="00EA00A5">
        <w:rPr>
          <w:rFonts w:asciiTheme="minorHAnsi" w:hAnsiTheme="minorHAnsi"/>
          <w:sz w:val="20"/>
          <w:szCs w:val="20"/>
        </w:rPr>
        <w:t>Salama</w:t>
      </w:r>
      <w:proofErr w:type="spellEnd"/>
      <w:r w:rsidRPr="00EA00A5">
        <w:rPr>
          <w:rFonts w:asciiTheme="minorHAnsi" w:hAnsiTheme="minorHAnsi"/>
          <w:sz w:val="20"/>
          <w:szCs w:val="20"/>
        </w:rPr>
        <w:t xml:space="preserve">, mayor of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 ha</w:t>
      </w:r>
      <w:r w:rsidR="00CE7505" w:rsidRPr="00EA00A5">
        <w:rPr>
          <w:rFonts w:asciiTheme="minorHAnsi" w:hAnsiTheme="minorHAnsi"/>
          <w:sz w:val="20"/>
          <w:szCs w:val="20"/>
        </w:rPr>
        <w:t>d</w:t>
      </w:r>
      <w:r w:rsidRPr="00EA00A5">
        <w:rPr>
          <w:rFonts w:asciiTheme="minorHAnsi" w:hAnsiTheme="minorHAnsi"/>
          <w:sz w:val="20"/>
          <w:szCs w:val="20"/>
        </w:rPr>
        <w:t xml:space="preserve"> declared that he </w:t>
      </w:r>
      <w:r w:rsidR="00CE7505" w:rsidRPr="00EA00A5">
        <w:rPr>
          <w:rFonts w:asciiTheme="minorHAnsi" w:hAnsiTheme="minorHAnsi"/>
          <w:sz w:val="20"/>
          <w:szCs w:val="20"/>
        </w:rPr>
        <w:t xml:space="preserve">would </w:t>
      </w:r>
      <w:r w:rsidRPr="00EA00A5">
        <w:rPr>
          <w:rFonts w:asciiTheme="minorHAnsi" w:hAnsiTheme="minorHAnsi"/>
          <w:sz w:val="20"/>
          <w:szCs w:val="20"/>
        </w:rPr>
        <w:t>immediately submit his resignation following implementation of the demolition orders.</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Hassouna</w:t>
      </w:r>
      <w:proofErr w:type="spellEnd"/>
      <w:r w:rsidRPr="00EA00A5">
        <w:rPr>
          <w:rFonts w:asciiTheme="minorHAnsi" w:hAnsiTheme="minorHAnsi"/>
          <w:sz w:val="20"/>
          <w:szCs w:val="20"/>
        </w:rPr>
        <w:t xml:space="preserve"> </w:t>
      </w:r>
      <w:proofErr w:type="spellStart"/>
      <w:r w:rsidRPr="00EA00A5">
        <w:rPr>
          <w:rFonts w:asciiTheme="minorHAnsi" w:hAnsiTheme="minorHAnsi"/>
          <w:sz w:val="20"/>
          <w:szCs w:val="20"/>
        </w:rPr>
        <w:t>Makhlouf</w:t>
      </w:r>
      <w:proofErr w:type="spellEnd"/>
      <w:r w:rsidRPr="00EA00A5">
        <w:rPr>
          <w:rFonts w:asciiTheme="minorHAnsi" w:hAnsiTheme="minorHAnsi"/>
          <w:sz w:val="20"/>
          <w:szCs w:val="20"/>
        </w:rPr>
        <w:t>, owner of one of the demolished houses, said that the Israeli police forcibly evicted them from their houses before they were razed to the ground.</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Makhlouf</w:t>
      </w:r>
      <w:proofErr w:type="spellEnd"/>
      <w:r w:rsidRPr="00EA00A5">
        <w:rPr>
          <w:rFonts w:asciiTheme="minorHAnsi" w:hAnsiTheme="minorHAnsi"/>
          <w:sz w:val="20"/>
          <w:szCs w:val="20"/>
        </w:rPr>
        <w:t xml:space="preserve"> added, We appealed to the courts to prevent the demolition. We hold the Israeli Prime Minister Benjamin Netanyahu responsible for this and call on the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 xml:space="preserve"> mayor to submit his resignation after our houses were demolished, he continued.</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Abdulraheem</w:t>
      </w:r>
      <w:proofErr w:type="spellEnd"/>
      <w:r w:rsidRPr="00EA00A5">
        <w:rPr>
          <w:rFonts w:asciiTheme="minorHAnsi" w:hAnsiTheme="minorHAnsi"/>
          <w:sz w:val="20"/>
          <w:szCs w:val="20"/>
        </w:rPr>
        <w:t xml:space="preserve"> </w:t>
      </w:r>
      <w:proofErr w:type="spellStart"/>
      <w:r w:rsidRPr="00EA00A5">
        <w:rPr>
          <w:rFonts w:asciiTheme="minorHAnsi" w:hAnsiTheme="minorHAnsi"/>
          <w:sz w:val="20"/>
          <w:szCs w:val="20"/>
        </w:rPr>
        <w:t>Ouda</w:t>
      </w:r>
      <w:proofErr w:type="spellEnd"/>
      <w:r w:rsidRPr="00EA00A5">
        <w:rPr>
          <w:rFonts w:asciiTheme="minorHAnsi" w:hAnsiTheme="minorHAnsi"/>
          <w:sz w:val="20"/>
          <w:szCs w:val="20"/>
        </w:rPr>
        <w:t xml:space="preserve">, a resident of </w:t>
      </w:r>
      <w:proofErr w:type="spellStart"/>
      <w:r w:rsidRPr="00EA00A5">
        <w:rPr>
          <w:rFonts w:asciiTheme="minorHAnsi" w:hAnsiTheme="minorHAnsi"/>
          <w:sz w:val="20"/>
          <w:szCs w:val="20"/>
        </w:rPr>
        <w:t>Qalansuwa</w:t>
      </w:r>
      <w:proofErr w:type="spellEnd"/>
      <w:r w:rsidRPr="00EA00A5">
        <w:rPr>
          <w:rFonts w:asciiTheme="minorHAnsi" w:hAnsiTheme="minorHAnsi"/>
          <w:sz w:val="20"/>
          <w:szCs w:val="20"/>
        </w:rPr>
        <w:t>, said that a large force of the Israeli police and special forces (</w:t>
      </w:r>
      <w:proofErr w:type="spellStart"/>
      <w:r w:rsidRPr="00EA00A5">
        <w:rPr>
          <w:rFonts w:asciiTheme="minorHAnsi" w:hAnsiTheme="minorHAnsi"/>
          <w:sz w:val="20"/>
          <w:szCs w:val="20"/>
        </w:rPr>
        <w:t>Alesam</w:t>
      </w:r>
      <w:proofErr w:type="spellEnd"/>
      <w:r w:rsidRPr="00EA00A5">
        <w:rPr>
          <w:rFonts w:asciiTheme="minorHAnsi" w:hAnsiTheme="minorHAnsi"/>
          <w:sz w:val="20"/>
          <w:szCs w:val="20"/>
        </w:rPr>
        <w:t>) and more than 20 bulldozers raided the city in an unprecedented brutality while the citizens were in their works.</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Ouda</w:t>
      </w:r>
      <w:proofErr w:type="spellEnd"/>
      <w:r w:rsidRPr="00EA00A5">
        <w:rPr>
          <w:rFonts w:asciiTheme="minorHAnsi" w:hAnsiTheme="minorHAnsi"/>
          <w:sz w:val="20"/>
          <w:szCs w:val="20"/>
        </w:rPr>
        <w:t xml:space="preserve"> added, Netanyahu wants to take revenge on us because of </w:t>
      </w:r>
      <w:proofErr w:type="spellStart"/>
      <w:r w:rsidRPr="00EA00A5">
        <w:rPr>
          <w:rFonts w:asciiTheme="minorHAnsi" w:hAnsiTheme="minorHAnsi"/>
          <w:sz w:val="20"/>
          <w:szCs w:val="20"/>
        </w:rPr>
        <w:t>Amona</w:t>
      </w:r>
      <w:proofErr w:type="spellEnd"/>
      <w:r w:rsidRPr="00EA00A5">
        <w:rPr>
          <w:rFonts w:asciiTheme="minorHAnsi" w:hAnsiTheme="minorHAnsi"/>
          <w:sz w:val="20"/>
          <w:szCs w:val="20"/>
        </w:rPr>
        <w:t xml:space="preserve"> settlement issue, and we tell him that we will rebuild our houses and stay here.</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proofErr w:type="spellStart"/>
      <w:r w:rsidRPr="00EA00A5">
        <w:rPr>
          <w:rFonts w:asciiTheme="minorHAnsi" w:hAnsiTheme="minorHAnsi"/>
          <w:sz w:val="20"/>
          <w:szCs w:val="20"/>
        </w:rPr>
        <w:t>Yaser</w:t>
      </w:r>
      <w:proofErr w:type="spellEnd"/>
      <w:r w:rsidRPr="00EA00A5">
        <w:rPr>
          <w:rFonts w:asciiTheme="minorHAnsi" w:hAnsiTheme="minorHAnsi"/>
          <w:sz w:val="20"/>
          <w:szCs w:val="20"/>
        </w:rPr>
        <w:t xml:space="preserve"> </w:t>
      </w:r>
      <w:proofErr w:type="spellStart"/>
      <w:r w:rsidRPr="00EA00A5">
        <w:rPr>
          <w:rFonts w:asciiTheme="minorHAnsi" w:hAnsiTheme="minorHAnsi"/>
          <w:sz w:val="20"/>
          <w:szCs w:val="20"/>
        </w:rPr>
        <w:t>Makhlouf</w:t>
      </w:r>
      <w:proofErr w:type="spellEnd"/>
      <w:r w:rsidRPr="00EA00A5">
        <w:rPr>
          <w:rFonts w:asciiTheme="minorHAnsi" w:hAnsiTheme="minorHAnsi"/>
          <w:sz w:val="20"/>
          <w:szCs w:val="20"/>
        </w:rPr>
        <w:t>, whose house was demolished along with other 4 houses owned by the same family, said, My son was about to get married in this house. It cost him a lot of money.</w:t>
      </w:r>
    </w:p>
    <w:p w:rsidR="0098151C" w:rsidRPr="00EA00A5" w:rsidRDefault="0098151C"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r w:rsidRPr="00EA00A5">
        <w:rPr>
          <w:rFonts w:asciiTheme="minorHAnsi" w:hAnsiTheme="minorHAnsi"/>
          <w:sz w:val="20"/>
          <w:szCs w:val="20"/>
        </w:rPr>
        <w:t>He pointed out that these retaliatory orders from the Israeli government incite violence and declare war against the Arab community.</w:t>
      </w:r>
    </w:p>
    <w:p w:rsidR="0098151C" w:rsidRPr="00EA00A5" w:rsidRDefault="00CE7505" w:rsidP="00EA00A5">
      <w:pPr>
        <w:pStyle w:val="NormalWeb"/>
        <w:pBdr>
          <w:top w:val="double" w:sz="4" w:space="1" w:color="auto"/>
          <w:left w:val="double" w:sz="4" w:space="4" w:color="auto"/>
          <w:bottom w:val="double" w:sz="4" w:space="1" w:color="auto"/>
          <w:right w:val="double" w:sz="4" w:space="4" w:color="auto"/>
        </w:pBdr>
        <w:spacing w:before="0" w:beforeAutospacing="0" w:after="120" w:afterAutospacing="0"/>
        <w:jc w:val="lowKashida"/>
        <w:rPr>
          <w:rFonts w:asciiTheme="minorHAnsi" w:hAnsiTheme="minorHAnsi"/>
          <w:sz w:val="20"/>
          <w:szCs w:val="20"/>
        </w:rPr>
      </w:pPr>
      <w:r w:rsidRPr="00EA00A5">
        <w:rPr>
          <w:rFonts w:asciiTheme="minorHAnsi" w:hAnsiTheme="minorHAnsi"/>
          <w:sz w:val="20"/>
          <w:szCs w:val="20"/>
        </w:rPr>
        <w:t xml:space="preserve">The demolitions followed an order issued by Israeli Prime Minister Benjamin </w:t>
      </w:r>
      <w:r w:rsidR="0098151C" w:rsidRPr="00EA00A5">
        <w:rPr>
          <w:rFonts w:asciiTheme="minorHAnsi" w:hAnsiTheme="minorHAnsi"/>
          <w:sz w:val="20"/>
          <w:szCs w:val="20"/>
        </w:rPr>
        <w:t xml:space="preserve">Netanyahu </w:t>
      </w:r>
      <w:r w:rsidRPr="00EA00A5">
        <w:rPr>
          <w:rFonts w:asciiTheme="minorHAnsi" w:hAnsiTheme="minorHAnsi"/>
          <w:sz w:val="20"/>
          <w:szCs w:val="20"/>
        </w:rPr>
        <w:t xml:space="preserve">a </w:t>
      </w:r>
      <w:r w:rsidR="0098151C" w:rsidRPr="00EA00A5">
        <w:rPr>
          <w:rFonts w:asciiTheme="minorHAnsi" w:hAnsiTheme="minorHAnsi"/>
          <w:sz w:val="20"/>
          <w:szCs w:val="20"/>
        </w:rPr>
        <w:t>few weeks ago to escalate the demolitions in occupied Jerusalem and the 1948</w:t>
      </w:r>
      <w:r w:rsidRPr="00EA00A5">
        <w:rPr>
          <w:rFonts w:asciiTheme="minorHAnsi" w:hAnsiTheme="minorHAnsi"/>
          <w:sz w:val="20"/>
          <w:szCs w:val="20"/>
        </w:rPr>
        <w:t>-occupied</w:t>
      </w:r>
      <w:r w:rsidR="0098151C" w:rsidRPr="00EA00A5">
        <w:rPr>
          <w:rFonts w:asciiTheme="minorHAnsi" w:hAnsiTheme="minorHAnsi"/>
          <w:sz w:val="20"/>
          <w:szCs w:val="20"/>
        </w:rPr>
        <w:t xml:space="preserve"> Palestinian territories.</w:t>
      </w:r>
    </w:p>
    <w:p w:rsidR="00CE7505" w:rsidRDefault="00CE7505" w:rsidP="00CE7505">
      <w:pPr>
        <w:pStyle w:val="NormalWeb"/>
        <w:pBdr>
          <w:top w:val="double" w:sz="4" w:space="1" w:color="auto"/>
          <w:left w:val="double" w:sz="4" w:space="4" w:color="auto"/>
          <w:bottom w:val="double" w:sz="4" w:space="1" w:color="auto"/>
          <w:right w:val="double" w:sz="4" w:space="4" w:color="auto"/>
        </w:pBdr>
        <w:spacing w:before="0" w:beforeAutospacing="0" w:after="0" w:afterAutospacing="0"/>
        <w:jc w:val="lowKashida"/>
        <w:rPr>
          <w:rFonts w:asciiTheme="minorHAnsi" w:hAnsiTheme="minorHAnsi"/>
          <w:sz w:val="22"/>
          <w:szCs w:val="22"/>
        </w:rPr>
      </w:pPr>
      <w:r>
        <w:rPr>
          <w:rFonts w:asciiTheme="minorHAnsi" w:hAnsiTheme="minorHAnsi"/>
          <w:sz w:val="22"/>
          <w:szCs w:val="22"/>
        </w:rPr>
        <w:t>The demolitions also led to a general strike in the area, which proceeded three days later.</w:t>
      </w:r>
      <w:r>
        <w:rPr>
          <w:rStyle w:val="EndnoteReference"/>
          <w:rFonts w:asciiTheme="minorHAnsi" w:hAnsiTheme="minorHAnsi"/>
          <w:sz w:val="22"/>
          <w:szCs w:val="22"/>
        </w:rPr>
        <w:endnoteReference w:id="53"/>
      </w:r>
    </w:p>
    <w:p w:rsidR="00EA00A5" w:rsidRPr="00EA00A5" w:rsidRDefault="00EA00A5" w:rsidP="00CE7505">
      <w:pPr>
        <w:pStyle w:val="NormalWeb"/>
        <w:pBdr>
          <w:top w:val="double" w:sz="4" w:space="1" w:color="auto"/>
          <w:left w:val="double" w:sz="4" w:space="4" w:color="auto"/>
          <w:bottom w:val="double" w:sz="4" w:space="1" w:color="auto"/>
          <w:right w:val="double" w:sz="4" w:space="4" w:color="auto"/>
        </w:pBdr>
        <w:spacing w:before="0" w:beforeAutospacing="0" w:after="0" w:afterAutospacing="0"/>
        <w:jc w:val="lowKashida"/>
        <w:rPr>
          <w:rFonts w:asciiTheme="minorHAnsi" w:hAnsiTheme="minorHAnsi"/>
          <w:sz w:val="12"/>
          <w:szCs w:val="12"/>
        </w:rPr>
      </w:pPr>
    </w:p>
    <w:p w:rsidR="0098151C" w:rsidRPr="00C91268" w:rsidRDefault="0098151C" w:rsidP="0098151C">
      <w:pPr>
        <w:tabs>
          <w:tab w:val="left" w:pos="-720"/>
        </w:tabs>
        <w:suppressAutoHyphens/>
        <w:spacing w:after="0" w:line="240" w:lineRule="auto"/>
        <w:jc w:val="lowKashida"/>
        <w:rPr>
          <w:rStyle w:val="tlid-translation"/>
          <w:lang w:val="en-GB"/>
        </w:rPr>
      </w:pPr>
    </w:p>
    <w:p w:rsidR="00AE3762" w:rsidRDefault="004D70D3" w:rsidP="004D70D3">
      <w:pPr>
        <w:tabs>
          <w:tab w:val="left" w:pos="-720"/>
        </w:tabs>
        <w:suppressAutoHyphens/>
        <w:spacing w:after="0" w:line="240" w:lineRule="auto"/>
        <w:jc w:val="lowKashida"/>
        <w:rPr>
          <w:rFonts w:cstheme="minorHAnsi"/>
        </w:rPr>
      </w:pPr>
      <w:r>
        <w:rPr>
          <w:rFonts w:cstheme="minorHAnsi"/>
        </w:rPr>
        <w:lastRenderedPageBreak/>
        <w:t xml:space="preserve">In East Jerusalem, a similar policy applies. In the last eight years (since Israel's third periodic review), the cases have been reported by </w:t>
      </w:r>
      <w:proofErr w:type="spellStart"/>
      <w:r>
        <w:rPr>
          <w:rFonts w:cstheme="minorHAnsi"/>
        </w:rPr>
        <w:t>B'Tselem</w:t>
      </w:r>
      <w:proofErr w:type="spellEnd"/>
      <w:r>
        <w:rPr>
          <w:rFonts w:cstheme="minorHAnsi"/>
        </w:rPr>
        <w:t xml:space="preserve"> as follows:</w:t>
      </w:r>
    </w:p>
    <w:p w:rsidR="004D70D3" w:rsidRDefault="004D70D3" w:rsidP="004D70D3">
      <w:pPr>
        <w:tabs>
          <w:tab w:val="left" w:pos="-720"/>
        </w:tabs>
        <w:suppressAutoHyphens/>
        <w:spacing w:after="0" w:line="240" w:lineRule="auto"/>
        <w:jc w:val="lowKashida"/>
        <w:rPr>
          <w:rFonts w:cstheme="minorHAnsi"/>
        </w:rPr>
      </w:pPr>
    </w:p>
    <w:tbl>
      <w:tblPr>
        <w:tblStyle w:val="MediumShading1"/>
        <w:bidiVisual/>
        <w:tblW w:w="0" w:type="auto"/>
        <w:jc w:val="center"/>
        <w:tblLayout w:type="fixed"/>
        <w:tblLook w:val="04A0"/>
      </w:tblPr>
      <w:tblGrid>
        <w:gridCol w:w="1440"/>
        <w:gridCol w:w="1440"/>
        <w:gridCol w:w="1440"/>
        <w:gridCol w:w="1440"/>
        <w:gridCol w:w="1440"/>
      </w:tblGrid>
      <w:tr w:rsidR="004D70D3" w:rsidRPr="00BD41C9" w:rsidTr="0056062A">
        <w:trPr>
          <w:cnfStyle w:val="100000000000"/>
          <w:jc w:val="center"/>
        </w:trPr>
        <w:tc>
          <w:tcPr>
            <w:cnfStyle w:val="001000000000"/>
            <w:tcW w:w="7200" w:type="dxa"/>
            <w:gridSpan w:val="5"/>
            <w:vAlign w:val="center"/>
            <w:hideMark/>
          </w:tcPr>
          <w:p w:rsidR="004D70D3" w:rsidRPr="00870EAF" w:rsidRDefault="004D70D3" w:rsidP="0056062A">
            <w:pPr>
              <w:jc w:val="center"/>
              <w:rPr>
                <w:rFonts w:eastAsia="Times New Roman" w:cs="Times New Roman"/>
                <w:b w:val="0"/>
                <w:bCs w:val="0"/>
              </w:rPr>
            </w:pPr>
            <w:r w:rsidRPr="00BD41C9">
              <w:rPr>
                <w:rFonts w:eastAsia="Times New Roman" w:cs="Times New Roman"/>
              </w:rPr>
              <w:t>Israeli Demolitions of Palestinian Homes in East Jerusalem</w:t>
            </w:r>
            <w:r>
              <w:rPr>
                <w:rStyle w:val="EndnoteReference"/>
                <w:rFonts w:eastAsia="Times New Roman" w:cs="Times New Roman"/>
              </w:rPr>
              <w:endnoteReference w:id="54"/>
            </w:r>
          </w:p>
        </w:tc>
      </w:tr>
      <w:tr w:rsidR="004D70D3" w:rsidRPr="00BD41C9" w:rsidTr="0056062A">
        <w:trPr>
          <w:cnfStyle w:val="000000100000"/>
          <w:jc w:val="center"/>
        </w:trPr>
        <w:tc>
          <w:tcPr>
            <w:cnfStyle w:val="001000000000"/>
            <w:tcW w:w="1440" w:type="dxa"/>
            <w:vAlign w:val="center"/>
            <w:hideMark/>
          </w:tcPr>
          <w:p w:rsidR="004D70D3" w:rsidRPr="00E67033" w:rsidRDefault="004D70D3" w:rsidP="0056062A">
            <w:pPr>
              <w:jc w:val="center"/>
              <w:rPr>
                <w:rFonts w:eastAsia="Times New Roman" w:cs="Times New Roman"/>
              </w:rPr>
            </w:pPr>
            <w:r w:rsidRPr="00E67033">
              <w:rPr>
                <w:rFonts w:eastAsia="Times New Roman" w:cs="Times New Roman"/>
              </w:rPr>
              <w:t>No. of minors rendered homeless</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 xml:space="preserve">No. of </w:t>
            </w:r>
            <w:r>
              <w:rPr>
                <w:rFonts w:eastAsia="Times New Roman" w:cs="Times New Roman"/>
                <w:b/>
                <w:bCs/>
              </w:rPr>
              <w:t>person</w:t>
            </w:r>
            <w:r w:rsidRPr="00BD41C9">
              <w:rPr>
                <w:rFonts w:eastAsia="Times New Roman" w:cs="Times New Roman"/>
                <w:b/>
                <w:bCs/>
              </w:rPr>
              <w:t>s rendered homeless</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No. Demolished by owners</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No. of Homes</w:t>
            </w:r>
          </w:p>
        </w:tc>
        <w:tc>
          <w:tcPr>
            <w:tcW w:w="1440" w:type="dxa"/>
            <w:vAlign w:val="center"/>
            <w:hideMark/>
          </w:tcPr>
          <w:p w:rsidR="004D70D3" w:rsidRPr="00BD41C9" w:rsidRDefault="004D70D3" w:rsidP="0056062A">
            <w:pPr>
              <w:jc w:val="right"/>
              <w:cnfStyle w:val="000000100000"/>
              <w:rPr>
                <w:rFonts w:eastAsia="Times New Roman" w:cs="Times New Roman"/>
                <w:b/>
                <w:bCs/>
              </w:rPr>
            </w:pPr>
            <w:r w:rsidRPr="00BD41C9">
              <w:rPr>
                <w:rFonts w:eastAsia="Times New Roman" w:cs="Times New Roman"/>
                <w:b/>
                <w:bCs/>
              </w:rPr>
              <w:t>Year</w:t>
            </w:r>
          </w:p>
        </w:tc>
      </w:tr>
      <w:tr w:rsidR="004D70D3" w:rsidRPr="00BD41C9" w:rsidTr="0056062A">
        <w:trPr>
          <w:cnfStyle w:val="000000010000"/>
          <w:jc w:val="center"/>
        </w:trPr>
        <w:tc>
          <w:tcPr>
            <w:cnfStyle w:val="001000000000"/>
            <w:tcW w:w="1440" w:type="dxa"/>
            <w:vAlign w:val="bottom"/>
            <w:hideMark/>
          </w:tcPr>
          <w:p w:rsidR="004D70D3" w:rsidRDefault="004D70D3" w:rsidP="0056062A">
            <w:pPr>
              <w:jc w:val="center"/>
              <w:rPr>
                <w:rFonts w:ascii="Calibri" w:hAnsi="Calibri"/>
                <w:color w:val="000000"/>
              </w:rPr>
            </w:pPr>
            <w:r>
              <w:rPr>
                <w:rFonts w:ascii="Calibri" w:hAnsi="Calibri"/>
                <w:b w:val="0"/>
                <w:bCs w:val="0"/>
                <w:color w:val="000000"/>
              </w:rPr>
              <w:t>56</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114</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15</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23</w:t>
            </w:r>
          </w:p>
        </w:tc>
        <w:tc>
          <w:tcPr>
            <w:tcW w:w="1440" w:type="dxa"/>
            <w:vAlign w:val="center"/>
            <w:hideMark/>
          </w:tcPr>
          <w:p w:rsidR="004D70D3" w:rsidRPr="00BD41C9" w:rsidRDefault="004D70D3" w:rsidP="0056062A">
            <w:pPr>
              <w:jc w:val="center"/>
              <w:cnfStyle w:val="000000010000"/>
              <w:rPr>
                <w:rFonts w:eastAsia="Times New Roman" w:cs="Times New Roman"/>
                <w:b/>
                <w:bCs/>
              </w:rPr>
            </w:pPr>
            <w:r>
              <w:rPr>
                <w:rFonts w:eastAsia="Times New Roman" w:cs="Times New Roman"/>
                <w:b/>
                <w:bCs/>
              </w:rPr>
              <w:t>2011</w:t>
            </w:r>
          </w:p>
        </w:tc>
      </w:tr>
      <w:tr w:rsidR="004D70D3" w:rsidRPr="00BD41C9" w:rsidTr="0056062A">
        <w:trPr>
          <w:cnfStyle w:val="000000100000"/>
          <w:jc w:val="center"/>
        </w:trPr>
        <w:tc>
          <w:tcPr>
            <w:cnfStyle w:val="001000000000"/>
            <w:tcW w:w="1440" w:type="dxa"/>
            <w:vAlign w:val="bottom"/>
            <w:hideMark/>
          </w:tcPr>
          <w:p w:rsidR="004D70D3" w:rsidRDefault="004D70D3" w:rsidP="0056062A">
            <w:pPr>
              <w:jc w:val="center"/>
              <w:rPr>
                <w:rFonts w:ascii="Calibri" w:hAnsi="Calibri"/>
                <w:color w:val="000000"/>
              </w:rPr>
            </w:pPr>
            <w:r>
              <w:rPr>
                <w:rFonts w:ascii="Calibri" w:hAnsi="Calibri"/>
                <w:b w:val="0"/>
                <w:bCs w:val="0"/>
                <w:color w:val="000000"/>
              </w:rPr>
              <w:t>53</w:t>
            </w:r>
          </w:p>
        </w:tc>
        <w:tc>
          <w:tcPr>
            <w:tcW w:w="1440" w:type="dxa"/>
            <w:vAlign w:val="bottom"/>
            <w:hideMark/>
          </w:tcPr>
          <w:p w:rsidR="004D70D3" w:rsidRPr="00E67033" w:rsidRDefault="004D70D3" w:rsidP="0056062A">
            <w:pPr>
              <w:jc w:val="center"/>
              <w:cnfStyle w:val="000000100000"/>
              <w:rPr>
                <w:rFonts w:ascii="Calibri" w:hAnsi="Calibri"/>
                <w:color w:val="000000"/>
              </w:rPr>
            </w:pPr>
            <w:r w:rsidRPr="00E67033">
              <w:rPr>
                <w:rFonts w:ascii="Calibri" w:hAnsi="Calibri"/>
                <w:color w:val="000000"/>
              </w:rPr>
              <w:t>107</w:t>
            </w:r>
          </w:p>
        </w:tc>
        <w:tc>
          <w:tcPr>
            <w:tcW w:w="1440" w:type="dxa"/>
            <w:vAlign w:val="bottom"/>
            <w:hideMark/>
          </w:tcPr>
          <w:p w:rsidR="004D70D3" w:rsidRPr="00E67033" w:rsidRDefault="004D70D3" w:rsidP="0056062A">
            <w:pPr>
              <w:jc w:val="center"/>
              <w:cnfStyle w:val="000000100000"/>
              <w:rPr>
                <w:rFonts w:ascii="Calibri" w:hAnsi="Calibri"/>
                <w:color w:val="000000"/>
              </w:rPr>
            </w:pPr>
            <w:r w:rsidRPr="00E67033">
              <w:rPr>
                <w:rFonts w:ascii="Calibri" w:hAnsi="Calibri"/>
                <w:color w:val="000000"/>
              </w:rPr>
              <w:t>8</w:t>
            </w:r>
          </w:p>
        </w:tc>
        <w:tc>
          <w:tcPr>
            <w:tcW w:w="1440" w:type="dxa"/>
            <w:vAlign w:val="bottom"/>
            <w:hideMark/>
          </w:tcPr>
          <w:p w:rsidR="004D70D3" w:rsidRPr="00E67033" w:rsidRDefault="004D70D3" w:rsidP="0056062A">
            <w:pPr>
              <w:jc w:val="center"/>
              <w:cnfStyle w:val="000000100000"/>
              <w:rPr>
                <w:rFonts w:ascii="Calibri" w:hAnsi="Calibri"/>
                <w:color w:val="000000"/>
              </w:rPr>
            </w:pPr>
            <w:r w:rsidRPr="00E67033">
              <w:rPr>
                <w:rFonts w:ascii="Calibri" w:hAnsi="Calibri"/>
                <w:color w:val="000000"/>
              </w:rPr>
              <w:t>28</w:t>
            </w:r>
          </w:p>
        </w:tc>
        <w:tc>
          <w:tcPr>
            <w:tcW w:w="1440" w:type="dxa"/>
            <w:vAlign w:val="center"/>
            <w:hideMark/>
          </w:tcPr>
          <w:p w:rsidR="004D70D3" w:rsidRPr="00BD41C9" w:rsidRDefault="004D70D3" w:rsidP="0056062A">
            <w:pPr>
              <w:jc w:val="center"/>
              <w:cnfStyle w:val="000000100000"/>
              <w:rPr>
                <w:rFonts w:eastAsia="Times New Roman" w:cs="Times New Roman"/>
                <w:b/>
                <w:bCs/>
              </w:rPr>
            </w:pPr>
            <w:r>
              <w:rPr>
                <w:rFonts w:eastAsia="Times New Roman" w:cs="Times New Roman"/>
                <w:b/>
                <w:bCs/>
              </w:rPr>
              <w:t>2012</w:t>
            </w:r>
          </w:p>
        </w:tc>
      </w:tr>
      <w:tr w:rsidR="004D70D3" w:rsidRPr="00BD41C9" w:rsidTr="0056062A">
        <w:trPr>
          <w:cnfStyle w:val="000000010000"/>
          <w:jc w:val="center"/>
        </w:trPr>
        <w:tc>
          <w:tcPr>
            <w:cnfStyle w:val="001000000000"/>
            <w:tcW w:w="1440" w:type="dxa"/>
            <w:vAlign w:val="bottom"/>
            <w:hideMark/>
          </w:tcPr>
          <w:p w:rsidR="004D70D3" w:rsidRDefault="004D70D3" w:rsidP="0056062A">
            <w:pPr>
              <w:jc w:val="center"/>
              <w:rPr>
                <w:rFonts w:ascii="Calibri" w:hAnsi="Calibri"/>
                <w:color w:val="000000"/>
              </w:rPr>
            </w:pPr>
            <w:r>
              <w:rPr>
                <w:rFonts w:ascii="Calibri" w:hAnsi="Calibri"/>
                <w:b w:val="0"/>
                <w:bCs w:val="0"/>
                <w:color w:val="000000"/>
              </w:rPr>
              <w:t>176</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12</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12</w:t>
            </w:r>
          </w:p>
        </w:tc>
        <w:tc>
          <w:tcPr>
            <w:tcW w:w="1440" w:type="dxa"/>
            <w:vAlign w:val="bottom"/>
            <w:hideMark/>
          </w:tcPr>
          <w:p w:rsidR="004D70D3" w:rsidRPr="00E67033" w:rsidRDefault="004D70D3" w:rsidP="0056062A">
            <w:pPr>
              <w:jc w:val="center"/>
              <w:cnfStyle w:val="000000010000"/>
              <w:rPr>
                <w:rFonts w:ascii="Calibri" w:hAnsi="Calibri"/>
                <w:color w:val="000000"/>
              </w:rPr>
            </w:pPr>
            <w:r w:rsidRPr="00E67033">
              <w:rPr>
                <w:rFonts w:ascii="Calibri" w:hAnsi="Calibri"/>
                <w:color w:val="000000"/>
              </w:rPr>
              <w:t>72</w:t>
            </w:r>
          </w:p>
        </w:tc>
        <w:tc>
          <w:tcPr>
            <w:tcW w:w="1440" w:type="dxa"/>
            <w:vAlign w:val="center"/>
            <w:hideMark/>
          </w:tcPr>
          <w:p w:rsidR="004D70D3" w:rsidRPr="00BD41C9" w:rsidRDefault="004D70D3" w:rsidP="0056062A">
            <w:pPr>
              <w:jc w:val="center"/>
              <w:cnfStyle w:val="000000010000"/>
              <w:rPr>
                <w:rFonts w:eastAsia="Times New Roman" w:cs="Times New Roman"/>
                <w:b/>
                <w:bCs/>
              </w:rPr>
            </w:pPr>
            <w:r>
              <w:rPr>
                <w:rFonts w:eastAsia="Times New Roman" w:cs="Times New Roman"/>
                <w:b/>
                <w:bCs/>
              </w:rPr>
              <w:t>2013</w:t>
            </w:r>
          </w:p>
        </w:tc>
      </w:tr>
      <w:tr w:rsidR="004D70D3" w:rsidRPr="00BD41C9" w:rsidTr="0056062A">
        <w:trPr>
          <w:cnfStyle w:val="000000100000"/>
          <w:jc w:val="center"/>
        </w:trPr>
        <w:tc>
          <w:tcPr>
            <w:cnfStyle w:val="001000000000"/>
            <w:tcW w:w="1440" w:type="dxa"/>
            <w:vAlign w:val="center"/>
            <w:hideMark/>
          </w:tcPr>
          <w:p w:rsidR="004D70D3" w:rsidRPr="00BD41C9" w:rsidRDefault="004D70D3" w:rsidP="0056062A">
            <w:pPr>
              <w:jc w:val="center"/>
              <w:rPr>
                <w:rFonts w:eastAsia="Times New Roman" w:cs="Times New Roman"/>
              </w:rPr>
            </w:pPr>
            <w:r w:rsidRPr="00BD41C9">
              <w:rPr>
                <w:rFonts w:eastAsia="Times New Roman" w:cs="Times New Roman"/>
              </w:rPr>
              <w:t>75</w:t>
            </w:r>
          </w:p>
        </w:tc>
        <w:tc>
          <w:tcPr>
            <w:tcW w:w="1440" w:type="dxa"/>
            <w:vAlign w:val="center"/>
            <w:hideMark/>
          </w:tcPr>
          <w:p w:rsidR="004D70D3" w:rsidRPr="00BD41C9" w:rsidRDefault="004D70D3" w:rsidP="0056062A">
            <w:pPr>
              <w:jc w:val="center"/>
              <w:cnfStyle w:val="000000100000"/>
              <w:rPr>
                <w:rFonts w:eastAsia="Times New Roman" w:cs="Times New Roman"/>
              </w:rPr>
            </w:pPr>
            <w:r>
              <w:rPr>
                <w:rFonts w:eastAsia="Times New Roman" w:cs="Times New Roman"/>
              </w:rPr>
              <w:t>301</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16</w:t>
            </w:r>
            <w:r>
              <w:rPr>
                <w:rStyle w:val="EndnoteReference"/>
                <w:rFonts w:eastAsia="Times New Roman" w:cs="Times New Roman"/>
              </w:rPr>
              <w:endnoteReference w:id="55"/>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52</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2014</w:t>
            </w:r>
          </w:p>
        </w:tc>
      </w:tr>
      <w:tr w:rsidR="004D70D3" w:rsidRPr="00BD41C9" w:rsidTr="0056062A">
        <w:trPr>
          <w:cnfStyle w:val="000000010000"/>
          <w:jc w:val="center"/>
        </w:trPr>
        <w:tc>
          <w:tcPr>
            <w:cnfStyle w:val="001000000000"/>
            <w:tcW w:w="1440" w:type="dxa"/>
            <w:vAlign w:val="center"/>
            <w:hideMark/>
          </w:tcPr>
          <w:p w:rsidR="004D70D3" w:rsidRPr="00BD41C9" w:rsidRDefault="004D70D3" w:rsidP="0056062A">
            <w:pPr>
              <w:jc w:val="center"/>
              <w:rPr>
                <w:rFonts w:eastAsia="Times New Roman" w:cs="Times New Roman"/>
              </w:rPr>
            </w:pPr>
            <w:r w:rsidRPr="00BD41C9">
              <w:rPr>
                <w:rFonts w:eastAsia="Times New Roman" w:cs="Times New Roman"/>
              </w:rPr>
              <w:t>71</w:t>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114</w:t>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3</w:t>
            </w:r>
            <w:r>
              <w:rPr>
                <w:rStyle w:val="EndnoteReference"/>
                <w:rFonts w:eastAsia="Times New Roman" w:cs="Times New Roman"/>
              </w:rPr>
              <w:endnoteReference w:id="56"/>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47</w:t>
            </w:r>
          </w:p>
        </w:tc>
        <w:tc>
          <w:tcPr>
            <w:tcW w:w="1440" w:type="dxa"/>
            <w:vAlign w:val="center"/>
            <w:hideMark/>
          </w:tcPr>
          <w:p w:rsidR="004D70D3" w:rsidRPr="00BD41C9" w:rsidRDefault="004D70D3" w:rsidP="0056062A">
            <w:pPr>
              <w:jc w:val="center"/>
              <w:cnfStyle w:val="000000010000"/>
              <w:rPr>
                <w:rFonts w:eastAsia="Times New Roman" w:cs="Times New Roman"/>
                <w:b/>
                <w:bCs/>
              </w:rPr>
            </w:pPr>
            <w:r w:rsidRPr="00BD41C9">
              <w:rPr>
                <w:rFonts w:eastAsia="Times New Roman" w:cs="Times New Roman"/>
                <w:b/>
                <w:bCs/>
              </w:rPr>
              <w:t>2015</w:t>
            </w:r>
          </w:p>
        </w:tc>
      </w:tr>
      <w:tr w:rsidR="004D70D3" w:rsidRPr="00BD41C9" w:rsidTr="0056062A">
        <w:trPr>
          <w:cnfStyle w:val="000000100000"/>
          <w:jc w:val="center"/>
        </w:trPr>
        <w:tc>
          <w:tcPr>
            <w:cnfStyle w:val="001000000000"/>
            <w:tcW w:w="1440" w:type="dxa"/>
            <w:vAlign w:val="center"/>
            <w:hideMark/>
          </w:tcPr>
          <w:p w:rsidR="004D70D3" w:rsidRPr="00BD41C9" w:rsidRDefault="004D70D3" w:rsidP="0056062A">
            <w:pPr>
              <w:jc w:val="center"/>
              <w:rPr>
                <w:rFonts w:eastAsia="Times New Roman" w:cs="Times New Roman"/>
              </w:rPr>
            </w:pPr>
            <w:r w:rsidRPr="00BD41C9">
              <w:rPr>
                <w:rFonts w:eastAsia="Times New Roman" w:cs="Times New Roman"/>
              </w:rPr>
              <w:t>160</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295</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15</w:t>
            </w:r>
            <w:r>
              <w:rPr>
                <w:rStyle w:val="EndnoteReference"/>
                <w:rFonts w:eastAsia="Times New Roman" w:cs="Times New Roman"/>
              </w:rPr>
              <w:endnoteReference w:id="57"/>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88</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2016</w:t>
            </w:r>
          </w:p>
        </w:tc>
      </w:tr>
      <w:tr w:rsidR="004D70D3" w:rsidRPr="00BD41C9" w:rsidTr="0056062A">
        <w:trPr>
          <w:cnfStyle w:val="000000010000"/>
          <w:jc w:val="center"/>
        </w:trPr>
        <w:tc>
          <w:tcPr>
            <w:cnfStyle w:val="001000000000"/>
            <w:tcW w:w="1440" w:type="dxa"/>
            <w:vAlign w:val="center"/>
            <w:hideMark/>
          </w:tcPr>
          <w:p w:rsidR="004D70D3" w:rsidRPr="00BD41C9" w:rsidRDefault="004D70D3" w:rsidP="0056062A">
            <w:pPr>
              <w:jc w:val="center"/>
              <w:rPr>
                <w:rFonts w:eastAsia="Times New Roman" w:cs="Times New Roman"/>
              </w:rPr>
            </w:pPr>
            <w:r w:rsidRPr="00BD41C9">
              <w:rPr>
                <w:rFonts w:eastAsia="Times New Roman" w:cs="Times New Roman"/>
              </w:rPr>
              <w:t>86</w:t>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155</w:t>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9</w:t>
            </w:r>
          </w:p>
        </w:tc>
        <w:tc>
          <w:tcPr>
            <w:tcW w:w="1440" w:type="dxa"/>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61</w:t>
            </w:r>
          </w:p>
        </w:tc>
        <w:tc>
          <w:tcPr>
            <w:tcW w:w="1440" w:type="dxa"/>
            <w:vAlign w:val="center"/>
            <w:hideMark/>
          </w:tcPr>
          <w:p w:rsidR="004D70D3" w:rsidRPr="00BD41C9" w:rsidRDefault="004D70D3" w:rsidP="0056062A">
            <w:pPr>
              <w:jc w:val="center"/>
              <w:cnfStyle w:val="000000010000"/>
              <w:rPr>
                <w:rFonts w:eastAsia="Times New Roman" w:cs="Times New Roman"/>
                <w:b/>
                <w:bCs/>
              </w:rPr>
            </w:pPr>
            <w:r w:rsidRPr="00BD41C9">
              <w:rPr>
                <w:rFonts w:eastAsia="Times New Roman" w:cs="Times New Roman"/>
                <w:b/>
                <w:bCs/>
              </w:rPr>
              <w:t>2017</w:t>
            </w:r>
          </w:p>
        </w:tc>
      </w:tr>
      <w:tr w:rsidR="004D70D3" w:rsidRPr="00BD41C9" w:rsidTr="0056062A">
        <w:trPr>
          <w:cnfStyle w:val="000000100000"/>
          <w:jc w:val="center"/>
        </w:trPr>
        <w:tc>
          <w:tcPr>
            <w:cnfStyle w:val="001000000000"/>
            <w:tcW w:w="1440" w:type="dxa"/>
            <w:vAlign w:val="center"/>
            <w:hideMark/>
          </w:tcPr>
          <w:p w:rsidR="004D70D3" w:rsidRPr="00BD41C9" w:rsidRDefault="004D70D3" w:rsidP="0056062A">
            <w:pPr>
              <w:jc w:val="center"/>
              <w:rPr>
                <w:rFonts w:eastAsia="Times New Roman" w:cs="Times New Roman"/>
              </w:rPr>
            </w:pPr>
            <w:r w:rsidRPr="00BD41C9">
              <w:rPr>
                <w:rFonts w:eastAsia="Times New Roman" w:cs="Times New Roman"/>
              </w:rPr>
              <w:t>58</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144</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10</w:t>
            </w:r>
          </w:p>
        </w:tc>
        <w:tc>
          <w:tcPr>
            <w:tcW w:w="1440" w:type="dxa"/>
            <w:vAlign w:val="center"/>
            <w:hideMark/>
          </w:tcPr>
          <w:p w:rsidR="004D70D3" w:rsidRPr="00BD41C9" w:rsidRDefault="004D70D3" w:rsidP="0056062A">
            <w:pPr>
              <w:jc w:val="center"/>
              <w:cnfStyle w:val="000000100000"/>
              <w:rPr>
                <w:rFonts w:eastAsia="Times New Roman" w:cs="Times New Roman"/>
              </w:rPr>
            </w:pPr>
            <w:r w:rsidRPr="00BD41C9">
              <w:rPr>
                <w:rFonts w:eastAsia="Times New Roman" w:cs="Times New Roman"/>
              </w:rPr>
              <w:t>57</w:t>
            </w:r>
          </w:p>
        </w:tc>
        <w:tc>
          <w:tcPr>
            <w:tcW w:w="1440" w:type="dxa"/>
            <w:vAlign w:val="center"/>
            <w:hideMark/>
          </w:tcPr>
          <w:p w:rsidR="004D70D3" w:rsidRPr="00BD41C9" w:rsidRDefault="004D70D3" w:rsidP="0056062A">
            <w:pPr>
              <w:jc w:val="center"/>
              <w:cnfStyle w:val="000000100000"/>
              <w:rPr>
                <w:rFonts w:eastAsia="Times New Roman" w:cs="Times New Roman"/>
                <w:b/>
                <w:bCs/>
              </w:rPr>
            </w:pPr>
            <w:r w:rsidRPr="00BD41C9">
              <w:rPr>
                <w:rFonts w:eastAsia="Times New Roman" w:cs="Times New Roman"/>
                <w:b/>
                <w:bCs/>
              </w:rPr>
              <w:t>2018</w:t>
            </w:r>
          </w:p>
        </w:tc>
      </w:tr>
      <w:tr w:rsidR="004D70D3" w:rsidRPr="00BD41C9" w:rsidTr="0056062A">
        <w:trPr>
          <w:cnfStyle w:val="000000010000"/>
          <w:jc w:val="center"/>
        </w:trPr>
        <w:tc>
          <w:tcPr>
            <w:cnfStyle w:val="001000000000"/>
            <w:tcW w:w="1440" w:type="dxa"/>
            <w:tcBorders>
              <w:bottom w:val="double" w:sz="4" w:space="0" w:color="auto"/>
            </w:tcBorders>
            <w:vAlign w:val="center"/>
            <w:hideMark/>
          </w:tcPr>
          <w:p w:rsidR="004D70D3" w:rsidRPr="00BD41C9" w:rsidRDefault="004D70D3" w:rsidP="0056062A">
            <w:pPr>
              <w:jc w:val="center"/>
              <w:rPr>
                <w:rFonts w:eastAsia="Times New Roman" w:cs="Times New Roman"/>
              </w:rPr>
            </w:pPr>
            <w:r w:rsidRPr="00BD41C9">
              <w:rPr>
                <w:rFonts w:eastAsia="Times New Roman" w:cs="Times New Roman"/>
              </w:rPr>
              <w:t>108</w:t>
            </w:r>
          </w:p>
        </w:tc>
        <w:tc>
          <w:tcPr>
            <w:tcW w:w="1440" w:type="dxa"/>
            <w:tcBorders>
              <w:bottom w:val="double" w:sz="4" w:space="0" w:color="auto"/>
            </w:tcBorders>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194</w:t>
            </w:r>
          </w:p>
        </w:tc>
        <w:tc>
          <w:tcPr>
            <w:tcW w:w="1440" w:type="dxa"/>
            <w:tcBorders>
              <w:bottom w:val="double" w:sz="4" w:space="0" w:color="auto"/>
            </w:tcBorders>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25</w:t>
            </w:r>
            <w:r>
              <w:rPr>
                <w:rStyle w:val="EndnoteReference"/>
                <w:rFonts w:eastAsia="Times New Roman" w:cs="Times New Roman"/>
              </w:rPr>
              <w:endnoteReference w:id="58"/>
            </w:r>
          </w:p>
        </w:tc>
        <w:tc>
          <w:tcPr>
            <w:tcW w:w="1440" w:type="dxa"/>
            <w:tcBorders>
              <w:bottom w:val="double" w:sz="4" w:space="0" w:color="auto"/>
            </w:tcBorders>
            <w:vAlign w:val="center"/>
            <w:hideMark/>
          </w:tcPr>
          <w:p w:rsidR="004D70D3" w:rsidRPr="00BD41C9" w:rsidRDefault="004D70D3" w:rsidP="0056062A">
            <w:pPr>
              <w:jc w:val="center"/>
              <w:cnfStyle w:val="000000010000"/>
              <w:rPr>
                <w:rFonts w:eastAsia="Times New Roman" w:cs="Times New Roman"/>
              </w:rPr>
            </w:pPr>
            <w:r w:rsidRPr="00BD41C9">
              <w:rPr>
                <w:rFonts w:eastAsia="Times New Roman" w:cs="Times New Roman"/>
              </w:rPr>
              <w:t>112</w:t>
            </w:r>
          </w:p>
        </w:tc>
        <w:tc>
          <w:tcPr>
            <w:tcW w:w="1440" w:type="dxa"/>
            <w:tcBorders>
              <w:bottom w:val="double" w:sz="4" w:space="0" w:color="auto"/>
            </w:tcBorders>
            <w:vAlign w:val="center"/>
            <w:hideMark/>
          </w:tcPr>
          <w:p w:rsidR="004D70D3" w:rsidRPr="00BD41C9" w:rsidRDefault="004D70D3" w:rsidP="0056062A">
            <w:pPr>
              <w:jc w:val="center"/>
              <w:cnfStyle w:val="000000010000"/>
              <w:rPr>
                <w:rFonts w:eastAsia="Times New Roman" w:cs="Times New Roman"/>
                <w:b/>
                <w:bCs/>
              </w:rPr>
            </w:pPr>
            <w:r w:rsidRPr="00BD41C9">
              <w:rPr>
                <w:rFonts w:eastAsia="Times New Roman" w:cs="Times New Roman"/>
                <w:b/>
                <w:bCs/>
              </w:rPr>
              <w:t>2019</w:t>
            </w:r>
          </w:p>
        </w:tc>
      </w:tr>
      <w:tr w:rsidR="004D70D3" w:rsidRPr="00BD41C9" w:rsidTr="0056062A">
        <w:trPr>
          <w:cnfStyle w:val="000000100000"/>
          <w:jc w:val="center"/>
        </w:trPr>
        <w:tc>
          <w:tcPr>
            <w:cnfStyle w:val="001000000000"/>
            <w:tcW w:w="1440" w:type="dxa"/>
            <w:tcBorders>
              <w:top w:val="double" w:sz="4" w:space="0" w:color="auto"/>
            </w:tcBorders>
            <w:vAlign w:val="center"/>
          </w:tcPr>
          <w:p w:rsidR="004D70D3" w:rsidRPr="00E67033" w:rsidRDefault="004D70D3" w:rsidP="0056062A">
            <w:pPr>
              <w:jc w:val="center"/>
              <w:rPr>
                <w:rFonts w:eastAsia="Times New Roman" w:cs="Times New Roman"/>
              </w:rPr>
            </w:pPr>
            <w:r>
              <w:rPr>
                <w:rFonts w:eastAsia="Times New Roman" w:cs="Times New Roman"/>
              </w:rPr>
              <w:t>843</w:t>
            </w:r>
          </w:p>
        </w:tc>
        <w:tc>
          <w:tcPr>
            <w:tcW w:w="1440" w:type="dxa"/>
            <w:tcBorders>
              <w:top w:val="double" w:sz="4" w:space="0" w:color="auto"/>
            </w:tcBorders>
            <w:vAlign w:val="center"/>
          </w:tcPr>
          <w:p w:rsidR="004D70D3" w:rsidRPr="00E67033" w:rsidRDefault="004D70D3" w:rsidP="0056062A">
            <w:pPr>
              <w:jc w:val="center"/>
              <w:cnfStyle w:val="000000100000"/>
              <w:rPr>
                <w:rFonts w:eastAsia="Times New Roman" w:cs="Times New Roman"/>
                <w:b/>
                <w:bCs/>
              </w:rPr>
            </w:pPr>
            <w:r>
              <w:rPr>
                <w:rFonts w:eastAsia="Times New Roman" w:cs="Times New Roman"/>
                <w:b/>
                <w:bCs/>
              </w:rPr>
              <w:t>1,</w:t>
            </w:r>
            <w:r w:rsidRPr="00E67033">
              <w:rPr>
                <w:rFonts w:eastAsia="Times New Roman" w:cs="Times New Roman"/>
                <w:b/>
                <w:bCs/>
              </w:rPr>
              <w:t>58</w:t>
            </w:r>
            <w:r>
              <w:rPr>
                <w:rFonts w:eastAsia="Times New Roman" w:cs="Times New Roman"/>
                <w:b/>
                <w:bCs/>
              </w:rPr>
              <w:t>0</w:t>
            </w:r>
          </w:p>
        </w:tc>
        <w:tc>
          <w:tcPr>
            <w:tcW w:w="1440" w:type="dxa"/>
            <w:tcBorders>
              <w:top w:val="double" w:sz="4" w:space="0" w:color="auto"/>
            </w:tcBorders>
            <w:vAlign w:val="center"/>
          </w:tcPr>
          <w:p w:rsidR="004D70D3" w:rsidRPr="00E67033" w:rsidRDefault="004D70D3" w:rsidP="0056062A">
            <w:pPr>
              <w:jc w:val="center"/>
              <w:cnfStyle w:val="000000100000"/>
              <w:rPr>
                <w:rFonts w:ascii="Calibri" w:eastAsiaTheme="minorHAnsi" w:hAnsi="Calibri"/>
                <w:b/>
                <w:bCs/>
                <w:color w:val="000000"/>
                <w:lang w:bidi="he-IL"/>
              </w:rPr>
            </w:pPr>
            <w:r>
              <w:rPr>
                <w:rFonts w:ascii="Calibri" w:hAnsi="Calibri"/>
                <w:b/>
                <w:bCs/>
                <w:color w:val="000000"/>
              </w:rPr>
              <w:t>113</w:t>
            </w:r>
          </w:p>
        </w:tc>
        <w:tc>
          <w:tcPr>
            <w:tcW w:w="1440" w:type="dxa"/>
            <w:tcBorders>
              <w:top w:val="double" w:sz="4" w:space="0" w:color="auto"/>
            </w:tcBorders>
            <w:vAlign w:val="center"/>
          </w:tcPr>
          <w:p w:rsidR="004D70D3" w:rsidRPr="00E67033" w:rsidRDefault="004D70D3" w:rsidP="0056062A">
            <w:pPr>
              <w:jc w:val="center"/>
              <w:cnfStyle w:val="000000100000"/>
              <w:rPr>
                <w:rFonts w:ascii="Calibri" w:eastAsiaTheme="minorHAnsi" w:hAnsi="Calibri"/>
                <w:b/>
                <w:bCs/>
                <w:color w:val="000000"/>
                <w:lang w:bidi="he-IL"/>
              </w:rPr>
            </w:pPr>
            <w:r>
              <w:rPr>
                <w:rFonts w:ascii="Calibri" w:hAnsi="Calibri"/>
                <w:b/>
                <w:bCs/>
                <w:color w:val="000000"/>
              </w:rPr>
              <w:t>540</w:t>
            </w:r>
          </w:p>
        </w:tc>
        <w:tc>
          <w:tcPr>
            <w:tcW w:w="1440" w:type="dxa"/>
            <w:tcBorders>
              <w:top w:val="double" w:sz="4" w:space="0" w:color="auto"/>
            </w:tcBorders>
            <w:vAlign w:val="center"/>
          </w:tcPr>
          <w:p w:rsidR="004D70D3" w:rsidRPr="00E67033" w:rsidRDefault="004D70D3" w:rsidP="0056062A">
            <w:pPr>
              <w:jc w:val="center"/>
              <w:cnfStyle w:val="000000100000"/>
              <w:rPr>
                <w:rFonts w:eastAsia="Times New Roman" w:cs="Times New Roman"/>
                <w:b/>
                <w:bCs/>
              </w:rPr>
            </w:pPr>
            <w:r w:rsidRPr="00E67033">
              <w:rPr>
                <w:rFonts w:eastAsia="Times New Roman" w:cs="Times New Roman"/>
                <w:b/>
                <w:bCs/>
              </w:rPr>
              <w:t>Totals</w:t>
            </w:r>
          </w:p>
        </w:tc>
      </w:tr>
    </w:tbl>
    <w:p w:rsidR="004D70D3" w:rsidRDefault="004D70D3" w:rsidP="004D70D3">
      <w:pPr>
        <w:tabs>
          <w:tab w:val="left" w:pos="-720"/>
        </w:tabs>
        <w:suppressAutoHyphens/>
        <w:spacing w:after="0" w:line="240" w:lineRule="auto"/>
        <w:jc w:val="lowKashida"/>
        <w:rPr>
          <w:rFonts w:cstheme="minorHAnsi"/>
        </w:rPr>
      </w:pPr>
    </w:p>
    <w:p w:rsidR="004D70D3" w:rsidRDefault="004D70D3" w:rsidP="004D70D3">
      <w:pPr>
        <w:tabs>
          <w:tab w:val="left" w:pos="-720"/>
        </w:tabs>
        <w:suppressAutoHyphens/>
        <w:spacing w:after="0" w:line="240" w:lineRule="auto"/>
        <w:jc w:val="lowKashida"/>
        <w:rPr>
          <w:rFonts w:cstheme="minorHAnsi"/>
        </w:rPr>
      </w:pPr>
    </w:p>
    <w:p w:rsidR="007C7DCB" w:rsidRPr="00250308" w:rsidRDefault="007C7DCB" w:rsidP="00250308">
      <w:pPr>
        <w:tabs>
          <w:tab w:val="left" w:pos="-720"/>
        </w:tabs>
        <w:suppressAutoHyphens/>
        <w:spacing w:after="120" w:line="240" w:lineRule="auto"/>
        <w:jc w:val="lowKashida"/>
        <w:rPr>
          <w:rFonts w:cstheme="minorHAnsi"/>
          <w:b/>
          <w:bCs/>
        </w:rPr>
      </w:pPr>
      <w:r w:rsidRPr="00250308">
        <w:rPr>
          <w:rFonts w:cstheme="minorHAnsi"/>
          <w:b/>
          <w:bCs/>
        </w:rPr>
        <w:t xml:space="preserve">Understanding Israeli "National" </w:t>
      </w:r>
      <w:proofErr w:type="spellStart"/>
      <w:r w:rsidRPr="00250308">
        <w:rPr>
          <w:rFonts w:cstheme="minorHAnsi"/>
          <w:b/>
          <w:bCs/>
        </w:rPr>
        <w:t>Organisations</w:t>
      </w:r>
      <w:proofErr w:type="spellEnd"/>
      <w:r w:rsidRPr="00250308">
        <w:rPr>
          <w:rFonts w:cstheme="minorHAnsi"/>
          <w:b/>
          <w:bCs/>
        </w:rPr>
        <w:t xml:space="preserve">, Legislation and Institutionalized Material Discrimination </w:t>
      </w:r>
    </w:p>
    <w:p w:rsidR="007C7DCB" w:rsidRPr="00CC007A" w:rsidRDefault="007C7DCB" w:rsidP="00046EBC">
      <w:pPr>
        <w:tabs>
          <w:tab w:val="right" w:pos="9360"/>
        </w:tabs>
        <w:spacing w:after="0" w:line="240" w:lineRule="auto"/>
        <w:jc w:val="lowKashida"/>
        <w:rPr>
          <w:rFonts w:ascii="Calibri" w:eastAsia="Calibri" w:hAnsi="Calibri" w:cs="Arial"/>
        </w:rPr>
      </w:pPr>
      <w:r w:rsidRPr="00CC007A">
        <w:rPr>
          <w:rFonts w:ascii="Calibri" w:eastAsia="Calibri" w:hAnsi="Calibri" w:cs="Arial"/>
        </w:rPr>
        <w:t>The Committee should know the subtle distinctions of the Israeli parastatals’ division of labor. Since 1970, following a successful legal challenge by the American Council for Judaism to the WZO’s self-acclaimed non-governmental, charitable and tax-exempt status in the United States Superior Court, 9</w:t>
      </w:r>
      <w:r w:rsidRPr="00CC007A">
        <w:rPr>
          <w:rFonts w:ascii="Calibri" w:eastAsia="Calibri" w:hAnsi="Calibri" w:cs="Arial"/>
          <w:vertAlign w:val="superscript"/>
        </w:rPr>
        <w:t>th</w:t>
      </w:r>
      <w:r w:rsidRPr="00CC007A">
        <w:rPr>
          <w:rFonts w:ascii="Calibri" w:eastAsia="Calibri" w:hAnsi="Calibri" w:cs="Arial"/>
        </w:rPr>
        <w:t xml:space="preserve"> District in 1968,</w:t>
      </w:r>
      <w:r>
        <w:rPr>
          <w:rStyle w:val="EndnoteReference"/>
          <w:rFonts w:ascii="Calibri" w:eastAsia="Calibri" w:hAnsi="Calibri" w:cs="Arial"/>
        </w:rPr>
        <w:endnoteReference w:id="59"/>
      </w:r>
      <w:r w:rsidRPr="00CC007A">
        <w:rPr>
          <w:rFonts w:ascii="Calibri" w:eastAsia="Calibri" w:hAnsi="Calibri" w:cs="Arial"/>
        </w:rPr>
        <w:t xml:space="preserve"> the WZO underwent a “reorganization,” rebranding itself as “an organization of organizations” and dividing the geographical scope of their demographic manipulation and population transfer such that the double entity henceforth would operate inside the 1948 boundaries of the State of Israel under the name of Jewish Agency, while conducting its corresponding activities outside Israel—i.e., in the occupied Palestinian and Syrian territories—in the name of WZO. However, the operations form two sides of the same "national institution" coin, sharing common governing board members as the “Zionist Executive” and serving exclusively those adherents to the Jewish faith as "Jewish nationals," wherever they may be.</w:t>
      </w:r>
    </w:p>
    <w:p w:rsidR="007C7DCB" w:rsidRDefault="007C7DCB" w:rsidP="00046EBC">
      <w:pPr>
        <w:tabs>
          <w:tab w:val="right" w:pos="9360"/>
        </w:tabs>
        <w:spacing w:after="0" w:line="240" w:lineRule="auto"/>
        <w:jc w:val="lowKashida"/>
        <w:rPr>
          <w:rFonts w:ascii="Calibri" w:eastAsia="Calibri" w:hAnsi="Calibri" w:cs="Arial"/>
          <w:color w:val="FF0000"/>
        </w:rPr>
      </w:pPr>
    </w:p>
    <w:p w:rsidR="007C7DCB" w:rsidRPr="00CC007A" w:rsidRDefault="007C7DCB" w:rsidP="00046EBC">
      <w:pPr>
        <w:tabs>
          <w:tab w:val="right" w:pos="9360"/>
        </w:tabs>
        <w:spacing w:after="0" w:line="240" w:lineRule="auto"/>
        <w:jc w:val="lowKashida"/>
        <w:rPr>
          <w:rFonts w:ascii="Calibri" w:eastAsia="Calibri" w:hAnsi="Calibri" w:cs="Arial"/>
        </w:rPr>
      </w:pPr>
      <w:r w:rsidRPr="00CC007A">
        <w:rPr>
          <w:rFonts w:ascii="Calibri" w:eastAsia="Calibri" w:hAnsi="Calibri" w:cs="Arial"/>
        </w:rPr>
        <w:t xml:space="preserve">In June 2018, the Israeli Knesset approved in preliminary reading a bill that would allow the </w:t>
      </w:r>
      <w:r>
        <w:rPr>
          <w:rFonts w:ascii="Calibri" w:eastAsia="Calibri" w:hAnsi="Calibri" w:cs="Arial"/>
        </w:rPr>
        <w:t xml:space="preserve">WZO's </w:t>
      </w:r>
      <w:r w:rsidRPr="00CC007A">
        <w:rPr>
          <w:rFonts w:ascii="Calibri" w:eastAsia="Calibri" w:hAnsi="Calibri" w:cs="Arial"/>
        </w:rPr>
        <w:t>Settlement Division to manage most of the land in Area C of the West Bank. Instead of curbing the illegal activity, the Knesset and parastatal organizations are scrambling to make it legal.</w:t>
      </w:r>
      <w:r w:rsidRPr="00CC007A">
        <w:rPr>
          <w:rStyle w:val="EndnoteReference"/>
          <w:rFonts w:ascii="Calibri" w:eastAsia="Calibri" w:hAnsi="Calibri" w:cs="Arial"/>
        </w:rPr>
        <w:endnoteReference w:id="60"/>
      </w:r>
      <w:r w:rsidRPr="00CC007A">
        <w:rPr>
          <w:rFonts w:ascii="Calibri" w:eastAsia="Calibri" w:hAnsi="Calibri" w:cs="Arial"/>
        </w:rPr>
        <w:t xml:space="preserve"> Already in 2015, the Knesset passed a bill that established the </w:t>
      </w:r>
      <w:r>
        <w:rPr>
          <w:rFonts w:ascii="Calibri" w:eastAsia="Calibri" w:hAnsi="Calibri" w:cs="Arial"/>
        </w:rPr>
        <w:t xml:space="preserve">Settlement </w:t>
      </w:r>
      <w:r w:rsidRPr="00CC007A">
        <w:rPr>
          <w:rFonts w:ascii="Calibri" w:eastAsia="Calibri" w:hAnsi="Calibri" w:cs="Arial"/>
        </w:rPr>
        <w:t xml:space="preserve">Division as an operational arm “for the development and support of settlement throughout the </w:t>
      </w:r>
      <w:r w:rsidRPr="00CC007A">
        <w:rPr>
          <w:rFonts w:ascii="Calibri" w:eastAsia="Calibri" w:hAnsi="Calibri" w:cs="Arial"/>
          <w:i/>
          <w:iCs/>
        </w:rPr>
        <w:t>Land of Israel</w:t>
      </w:r>
      <w:r w:rsidRPr="00CC007A">
        <w:rPr>
          <w:rFonts w:ascii="Calibri" w:eastAsia="Calibri" w:hAnsi="Calibri" w:cs="Arial"/>
        </w:rPr>
        <w:t>”</w:t>
      </w:r>
      <w:r w:rsidRPr="00CC007A">
        <w:rPr>
          <w:rStyle w:val="EndnoteReference"/>
          <w:rFonts w:ascii="Calibri" w:eastAsia="Calibri" w:hAnsi="Calibri" w:cs="Arial"/>
        </w:rPr>
        <w:endnoteReference w:id="61"/>
      </w:r>
      <w:r w:rsidRPr="00CC007A">
        <w:rPr>
          <w:rFonts w:ascii="Calibri" w:eastAsia="Calibri" w:hAnsi="Calibri" w:cs="Arial"/>
        </w:rPr>
        <w:t> </w:t>
      </w:r>
      <w:r>
        <w:rPr>
          <w:rFonts w:ascii="Calibri" w:eastAsia="Calibri" w:hAnsi="Calibri" w:cs="Arial"/>
        </w:rPr>
        <w:t>[emphasis added]</w:t>
      </w:r>
      <w:r w:rsidRPr="00CC007A">
        <w:rPr>
          <w:rFonts w:ascii="Calibri" w:eastAsia="Calibri" w:hAnsi="Calibri" w:cs="Arial"/>
        </w:rPr>
        <w:t>.</w:t>
      </w:r>
      <w:r>
        <w:rPr>
          <w:rFonts w:ascii="Calibri" w:eastAsia="Calibri" w:hAnsi="Calibri" w:cs="Arial"/>
        </w:rPr>
        <w:t xml:space="preserve"> </w:t>
      </w:r>
      <w:r w:rsidRPr="00CC007A">
        <w:rPr>
          <w:rFonts w:ascii="Calibri" w:eastAsia="Calibri" w:hAnsi="Calibri" w:cs="Arial"/>
        </w:rPr>
        <w:t xml:space="preserve">After passage of the law, opposition Knesset members </w:t>
      </w:r>
      <w:proofErr w:type="spellStart"/>
      <w:r w:rsidRPr="00CC007A">
        <w:rPr>
          <w:rFonts w:ascii="Calibri" w:eastAsia="Calibri" w:hAnsi="Calibri" w:cs="Arial"/>
        </w:rPr>
        <w:t>Tzipi</w:t>
      </w:r>
      <w:proofErr w:type="spellEnd"/>
      <w:r w:rsidRPr="00CC007A">
        <w:rPr>
          <w:rFonts w:ascii="Calibri" w:eastAsia="Calibri" w:hAnsi="Calibri" w:cs="Arial"/>
        </w:rPr>
        <w:t xml:space="preserve"> </w:t>
      </w:r>
      <w:proofErr w:type="spellStart"/>
      <w:r w:rsidRPr="00CC007A">
        <w:rPr>
          <w:rFonts w:ascii="Calibri" w:eastAsia="Calibri" w:hAnsi="Calibri" w:cs="Arial"/>
        </w:rPr>
        <w:t>Livni</w:t>
      </w:r>
      <w:proofErr w:type="spellEnd"/>
      <w:r w:rsidRPr="00CC007A">
        <w:rPr>
          <w:rFonts w:ascii="Calibri" w:eastAsia="Calibri" w:hAnsi="Calibri" w:cs="Arial"/>
        </w:rPr>
        <w:t xml:space="preserve"> (Zionist Camp) and </w:t>
      </w:r>
      <w:proofErr w:type="spellStart"/>
      <w:r w:rsidRPr="00CC007A">
        <w:rPr>
          <w:rFonts w:ascii="Calibri" w:eastAsia="Calibri" w:hAnsi="Calibri" w:cs="Arial"/>
        </w:rPr>
        <w:t>Elazar</w:t>
      </w:r>
      <w:proofErr w:type="spellEnd"/>
      <w:r w:rsidRPr="00CC007A">
        <w:rPr>
          <w:rFonts w:ascii="Calibri" w:eastAsia="Calibri" w:hAnsi="Calibri" w:cs="Arial"/>
        </w:rPr>
        <w:t xml:space="preserve"> Stern (</w:t>
      </w:r>
      <w:proofErr w:type="spellStart"/>
      <w:r w:rsidRPr="00CC007A">
        <w:rPr>
          <w:rFonts w:ascii="Calibri" w:eastAsia="Calibri" w:hAnsi="Calibri" w:cs="Arial"/>
        </w:rPr>
        <w:t>Yesh</w:t>
      </w:r>
      <w:proofErr w:type="spellEnd"/>
      <w:r w:rsidRPr="00CC007A">
        <w:rPr>
          <w:rFonts w:ascii="Calibri" w:eastAsia="Calibri" w:hAnsi="Calibri" w:cs="Arial"/>
        </w:rPr>
        <w:t xml:space="preserve"> </w:t>
      </w:r>
      <w:proofErr w:type="spellStart"/>
      <w:r w:rsidRPr="00CC007A">
        <w:rPr>
          <w:rFonts w:ascii="Calibri" w:eastAsia="Calibri" w:hAnsi="Calibri" w:cs="Arial"/>
        </w:rPr>
        <w:t>Atid</w:t>
      </w:r>
      <w:proofErr w:type="spellEnd"/>
      <w:r w:rsidRPr="00CC007A">
        <w:rPr>
          <w:rFonts w:ascii="Calibri" w:eastAsia="Calibri" w:hAnsi="Calibri" w:cs="Arial"/>
        </w:rPr>
        <w:t xml:space="preserve">) claimed that the law was designed to </w:t>
      </w:r>
      <w:r>
        <w:rPr>
          <w:rFonts w:ascii="Calibri" w:eastAsia="Calibri" w:hAnsi="Calibri" w:cs="Arial"/>
        </w:rPr>
        <w:t>"</w:t>
      </w:r>
      <w:r w:rsidRPr="00CC007A">
        <w:rPr>
          <w:rFonts w:ascii="Calibri" w:eastAsia="Calibri" w:hAnsi="Calibri" w:cs="Arial"/>
        </w:rPr>
        <w:t>pull the wool over the eyes</w:t>
      </w:r>
      <w:r>
        <w:rPr>
          <w:rFonts w:ascii="Calibri" w:eastAsia="Calibri" w:hAnsi="Calibri" w:cs="Arial"/>
        </w:rPr>
        <w:t>"</w:t>
      </w:r>
      <w:r w:rsidRPr="00CC007A">
        <w:rPr>
          <w:rFonts w:ascii="Calibri" w:eastAsia="Calibri" w:hAnsi="Calibri" w:cs="Arial"/>
        </w:rPr>
        <w:t xml:space="preserve"> of the international community by obfuscating official support for</w:t>
      </w:r>
      <w:r>
        <w:rPr>
          <w:rFonts w:ascii="Calibri" w:eastAsia="Calibri" w:hAnsi="Calibri" w:cs="Arial"/>
        </w:rPr>
        <w:t>,</w:t>
      </w:r>
      <w:r w:rsidRPr="00CC007A">
        <w:rPr>
          <w:rFonts w:ascii="Calibri" w:eastAsia="Calibri" w:hAnsi="Calibri" w:cs="Arial"/>
        </w:rPr>
        <w:t xml:space="preserve"> and expansion of settler colonies in the </w:t>
      </w:r>
      <w:r>
        <w:rPr>
          <w:rFonts w:ascii="Calibri" w:eastAsia="Calibri" w:hAnsi="Calibri" w:cs="Arial"/>
        </w:rPr>
        <w:t xml:space="preserve">occupied Palestinian and Syrian </w:t>
      </w:r>
      <w:r w:rsidRPr="00CC007A">
        <w:rPr>
          <w:rFonts w:ascii="Calibri" w:eastAsia="Calibri" w:hAnsi="Calibri" w:cs="Arial"/>
        </w:rPr>
        <w:t>territories. “The law is designed to enable lying to the state and the court, and perhaps it is even designed to lie to the European Union,” Stern said at the time.</w:t>
      </w:r>
      <w:r w:rsidRPr="00CC007A">
        <w:rPr>
          <w:rStyle w:val="EndnoteReference"/>
          <w:rFonts w:ascii="Calibri" w:eastAsia="Calibri" w:hAnsi="Calibri" w:cs="Arial"/>
        </w:rPr>
        <w:endnoteReference w:id="62"/>
      </w:r>
    </w:p>
    <w:p w:rsidR="007C7DCB" w:rsidRPr="00CC007A" w:rsidRDefault="007C7DCB" w:rsidP="00046EBC">
      <w:pPr>
        <w:tabs>
          <w:tab w:val="right" w:pos="9360"/>
        </w:tabs>
        <w:spacing w:after="0" w:line="240" w:lineRule="auto"/>
        <w:jc w:val="lowKashida"/>
        <w:rPr>
          <w:rFonts w:ascii="Calibri" w:eastAsia="Calibri" w:hAnsi="Calibri" w:cs="Arial"/>
        </w:rPr>
      </w:pPr>
      <w:r w:rsidRPr="00CC007A">
        <w:rPr>
          <w:rFonts w:ascii="Calibri" w:eastAsia="Calibri" w:hAnsi="Calibri" w:cs="Arial"/>
        </w:rPr>
        <w:lastRenderedPageBreak/>
        <w:br/>
        <w:t xml:space="preserve">The State party effectively has refused to answer CESCR’s request for information on how Covenant rights are protected through the WZO and other parastatal institutions, including the Jewish National Fund and the Jewish Agency. It should be noted that the CESCR in 1998 </w:t>
      </w:r>
      <w:r>
        <w:rPr>
          <w:rFonts w:ascii="Calibri" w:eastAsia="Calibri" w:hAnsi="Calibri" w:cs="Arial"/>
        </w:rPr>
        <w:t>raised similar, unanswered questions and noted in its Concluding Observations on Israel</w:t>
      </w:r>
      <w:r w:rsidRPr="00CC007A">
        <w:rPr>
          <w:rFonts w:ascii="Calibri" w:eastAsia="Calibri" w:hAnsi="Calibri" w:cs="Arial"/>
        </w:rPr>
        <w:t xml:space="preserve"> that “[a] State party cannot divest itself of its obligations under the Covenant by privatizing governmental functions” and that “the transfer of that property to [the WZO and its subsidiaries] constitute</w:t>
      </w:r>
      <w:r>
        <w:rPr>
          <w:rFonts w:ascii="Calibri" w:eastAsia="Calibri" w:hAnsi="Calibri" w:cs="Arial"/>
        </w:rPr>
        <w:t>s</w:t>
      </w:r>
      <w:r w:rsidRPr="00CC007A">
        <w:rPr>
          <w:rFonts w:ascii="Calibri" w:eastAsia="Calibri" w:hAnsi="Calibri" w:cs="Arial"/>
        </w:rPr>
        <w:t xml:space="preserve"> an institutionalized form of discrimination because these agencies</w:t>
      </w:r>
      <w:r>
        <w:rPr>
          <w:rFonts w:ascii="Calibri" w:eastAsia="Calibri" w:hAnsi="Calibri" w:cs="Arial"/>
        </w:rPr>
        <w:t>,</w:t>
      </w:r>
      <w:r w:rsidRPr="00CC007A">
        <w:rPr>
          <w:rFonts w:ascii="Calibri" w:eastAsia="Calibri" w:hAnsi="Calibri" w:cs="Arial"/>
        </w:rPr>
        <w:t xml:space="preserve"> by definition</w:t>
      </w:r>
      <w:r>
        <w:rPr>
          <w:rFonts w:ascii="Calibri" w:eastAsia="Calibri" w:hAnsi="Calibri" w:cs="Arial"/>
        </w:rPr>
        <w:t>,</w:t>
      </w:r>
      <w:r w:rsidRPr="00CC007A">
        <w:rPr>
          <w:rFonts w:ascii="Calibri" w:eastAsia="Calibri" w:hAnsi="Calibri" w:cs="Arial"/>
        </w:rPr>
        <w:t xml:space="preserve"> would deny the use of these properties to non-Jews.”</w:t>
      </w:r>
      <w:r w:rsidRPr="00CC007A">
        <w:rPr>
          <w:rStyle w:val="EndnoteReference"/>
          <w:rFonts w:ascii="Calibri" w:eastAsia="Calibri" w:hAnsi="Calibri" w:cs="Arial"/>
        </w:rPr>
        <w:endnoteReference w:id="63"/>
      </w:r>
      <w:bookmarkStart w:id="0" w:name="_GoBack"/>
      <w:bookmarkEnd w:id="0"/>
    </w:p>
    <w:p w:rsidR="007C7DCB" w:rsidRPr="00CC007A" w:rsidRDefault="007C7DCB" w:rsidP="00DA0A72">
      <w:pPr>
        <w:spacing w:after="0" w:line="240" w:lineRule="auto"/>
        <w:jc w:val="lowKashida"/>
      </w:pPr>
    </w:p>
    <w:p w:rsidR="007C7DCB" w:rsidRDefault="007C7DCB" w:rsidP="00DA0A72">
      <w:pPr>
        <w:spacing w:after="0" w:line="240" w:lineRule="auto"/>
        <w:jc w:val="lowKashida"/>
      </w:pPr>
      <w:r>
        <w:t xml:space="preserve">Last year, a Prosecutor for the International Criminal Court (ICC) also warned Israel that “extensive destruction of property without military necessity and population transfers in an occupied territory constitute </w:t>
      </w:r>
      <w:r w:rsidRPr="007C7AF3">
        <w:t>war crimes</w:t>
      </w:r>
      <w:r>
        <w:t xml:space="preserve"> under the Rome Statutes.”</w:t>
      </w:r>
      <w:r>
        <w:rPr>
          <w:rStyle w:val="EndnoteReference"/>
        </w:rPr>
        <w:endnoteReference w:id="64"/>
      </w:r>
      <w:r>
        <w:t xml:space="preserve"> The Palestinian Prime Minister has said that Palestinians will </w:t>
      </w:r>
      <w:r w:rsidRPr="007C7AF3">
        <w:t>file a complaint with the ICC</w:t>
      </w:r>
      <w:r>
        <w:t xml:space="preserve"> over the recent Jerusalem demolitions.</w:t>
      </w:r>
      <w:r>
        <w:rPr>
          <w:rStyle w:val="EndnoteReference"/>
        </w:rPr>
        <w:endnoteReference w:id="65"/>
      </w:r>
      <w:r>
        <w:t xml:space="preserve"> </w:t>
      </w:r>
    </w:p>
    <w:p w:rsidR="007C7DCB" w:rsidRDefault="007C7DCB" w:rsidP="00DA0A72">
      <w:pPr>
        <w:spacing w:after="0" w:line="240" w:lineRule="auto"/>
        <w:jc w:val="lowKashida"/>
      </w:pPr>
    </w:p>
    <w:p w:rsidR="007C7DCB" w:rsidRDefault="007C7DCB" w:rsidP="007C7AF3">
      <w:pPr>
        <w:spacing w:after="0" w:line="240" w:lineRule="auto"/>
        <w:jc w:val="lowKashida"/>
      </w:pPr>
      <w:r>
        <w:t xml:space="preserve">In a separate example of the problematic reliance on political commitments rather than legal obligations, Israel, at the First UN Habitat Assembly in May 2019 announced its </w:t>
      </w:r>
      <w:r w:rsidRPr="007C7AF3">
        <w:t>plan to implement the New Urban Agenda (NUA)</w:t>
      </w:r>
      <w:r>
        <w:t>, including in Jerusalem.</w:t>
      </w:r>
      <w:r>
        <w:rPr>
          <w:rStyle w:val="EndnoteReference"/>
        </w:rPr>
        <w:endnoteReference w:id="66"/>
      </w:r>
      <w:r>
        <w:t xml:space="preserve"> Yet only two months later Israel’s targeted demolitions clearly contradict a core tenant of the </w:t>
      </w:r>
      <w:r w:rsidRPr="007C7AF3">
        <w:t>NUA</w:t>
      </w:r>
      <w:r>
        <w:t>, “</w:t>
      </w:r>
      <w:r w:rsidRPr="009605B7">
        <w:t>to promote inclusivity and ensure that all inhabitants, of present and future generations, without discrimination of any kind, are able to inhabit and produce just, safe, healthy, accessible, affordable, resilient and sustainable cities and human settlements</w:t>
      </w:r>
      <w:r>
        <w:t>.”</w:t>
      </w:r>
      <w:r>
        <w:rPr>
          <w:rStyle w:val="EndnoteReference"/>
        </w:rPr>
        <w:endnoteReference w:id="67"/>
      </w:r>
    </w:p>
    <w:p w:rsidR="007C7DCB" w:rsidRDefault="007C7DCB" w:rsidP="00DA0A72">
      <w:pPr>
        <w:spacing w:after="0" w:line="240" w:lineRule="auto"/>
        <w:jc w:val="lowKashida"/>
      </w:pPr>
    </w:p>
    <w:p w:rsidR="007C7DCB" w:rsidRPr="005D4BD2" w:rsidRDefault="007C7DCB" w:rsidP="007C7DCB">
      <w:pPr>
        <w:spacing w:after="0" w:line="240" w:lineRule="auto"/>
        <w:jc w:val="lowKashida"/>
        <w:rPr>
          <w:b/>
          <w:bCs/>
        </w:rPr>
      </w:pPr>
      <w:r>
        <w:t>Non-state actors are also partners in the implementation the SDGs and the NUA. Private sector actors that cooperate with Israel to commit crimes in the demographic war against the Palestinian people are also liable for their actions and must be held accountable. The absence of accountability for such actors further shows the lack of protection and respect for the inalienable rights of Palestinian people provided for through the political commitments of policy agendas such as the SDGs or NUA, including the duty to bring an end to the illegal situation.</w:t>
      </w:r>
      <w:r>
        <w:rPr>
          <w:rStyle w:val="EndnoteReference"/>
        </w:rPr>
        <w:endnoteReference w:id="68"/>
      </w:r>
      <w:r>
        <w:t xml:space="preserve"> </w:t>
      </w:r>
      <w:r w:rsidRPr="005D4BD2">
        <w:rPr>
          <w:b/>
          <w:bCs/>
        </w:rPr>
        <w:t>HIC asks the Committee to issue a relevant Concluding Observation that sends a clear message, consistent with the extraterritorial provisions of its General Comment No. 24,</w:t>
      </w:r>
      <w:r w:rsidRPr="005D4BD2">
        <w:rPr>
          <w:rStyle w:val="EndnoteReference"/>
          <w:b/>
          <w:bCs/>
        </w:rPr>
        <w:endnoteReference w:id="69"/>
      </w:r>
      <w:r w:rsidRPr="005D4BD2">
        <w:rPr>
          <w:b/>
          <w:bCs/>
        </w:rPr>
        <w:t xml:space="preserve"> that cooperation between the private sector and the State of Israel in violation of Palestinian rights constitutes a gross violation of international law, including the overriding principles that consider an </w:t>
      </w:r>
      <w:proofErr w:type="spellStart"/>
      <w:r w:rsidRPr="005D4BD2">
        <w:rPr>
          <w:b/>
          <w:bCs/>
          <w:i/>
          <w:iCs/>
        </w:rPr>
        <w:t>erga</w:t>
      </w:r>
      <w:proofErr w:type="spellEnd"/>
      <w:r w:rsidRPr="005D4BD2">
        <w:rPr>
          <w:b/>
          <w:bCs/>
          <w:i/>
          <w:iCs/>
        </w:rPr>
        <w:t xml:space="preserve"> </w:t>
      </w:r>
      <w:proofErr w:type="spellStart"/>
      <w:r w:rsidRPr="005D4BD2">
        <w:rPr>
          <w:b/>
          <w:bCs/>
          <w:i/>
          <w:iCs/>
        </w:rPr>
        <w:t>omnes</w:t>
      </w:r>
      <w:proofErr w:type="spellEnd"/>
      <w:r w:rsidRPr="005D4BD2">
        <w:rPr>
          <w:b/>
          <w:bCs/>
        </w:rPr>
        <w:t xml:space="preserve"> obligation on corporations to not engage in unlawful actions.</w:t>
      </w:r>
      <w:r w:rsidRPr="005D4BD2">
        <w:rPr>
          <w:rStyle w:val="EndnoteReference"/>
          <w:b/>
          <w:bCs/>
        </w:rPr>
        <w:endnoteReference w:id="70"/>
      </w:r>
    </w:p>
    <w:p w:rsidR="007C7DCB" w:rsidRDefault="007C7DCB" w:rsidP="007C7DCB">
      <w:pPr>
        <w:spacing w:after="0" w:line="240" w:lineRule="auto"/>
        <w:jc w:val="lowKashida"/>
      </w:pPr>
    </w:p>
    <w:p w:rsidR="007C7DCB" w:rsidRPr="005D4BD2" w:rsidRDefault="007C7DCB" w:rsidP="007C7DCB">
      <w:pPr>
        <w:spacing w:after="0" w:line="240" w:lineRule="auto"/>
        <w:jc w:val="lowKashida"/>
        <w:rPr>
          <w:b/>
          <w:bCs/>
        </w:rPr>
      </w:pPr>
      <w:r w:rsidRPr="005D4BD2">
        <w:rPr>
          <w:b/>
          <w:bCs/>
        </w:rPr>
        <w:t xml:space="preserve">A specific observation should note also that the operation of the above-cited </w:t>
      </w:r>
      <w:proofErr w:type="spellStart"/>
      <w:r w:rsidRPr="005D4BD2">
        <w:rPr>
          <w:b/>
          <w:bCs/>
        </w:rPr>
        <w:t>parastatal</w:t>
      </w:r>
      <w:proofErr w:type="spellEnd"/>
      <w:r w:rsidRPr="005D4BD2">
        <w:rPr>
          <w:b/>
          <w:bCs/>
        </w:rPr>
        <w:t xml:space="preserve"> organizations, chartered to discriminate and dispossess the Palestinian people through the conduct of crimes of dispossession and population transfer, put the state party in breach of the Covenant. It should be noted also that, where those same </w:t>
      </w:r>
      <w:proofErr w:type="spellStart"/>
      <w:r w:rsidRPr="005D4BD2">
        <w:rPr>
          <w:b/>
          <w:bCs/>
        </w:rPr>
        <w:t>organisations</w:t>
      </w:r>
      <w:proofErr w:type="spellEnd"/>
      <w:r w:rsidRPr="005D4BD2">
        <w:rPr>
          <w:b/>
          <w:bCs/>
        </w:rPr>
        <w:t xml:space="preserve"> and their affiliates operate in some 50 countries, including states party to the Covenant, places those states also in contravention of their obligations to respect and protect human rights, in particular the human right to adequate housing. Beyond the Covenant, hosting these </w:t>
      </w:r>
      <w:proofErr w:type="spellStart"/>
      <w:r w:rsidRPr="005D4BD2">
        <w:rPr>
          <w:b/>
          <w:bCs/>
        </w:rPr>
        <w:t>parastatal</w:t>
      </w:r>
      <w:proofErr w:type="spellEnd"/>
      <w:r w:rsidRPr="005D4BD2">
        <w:rPr>
          <w:b/>
          <w:bCs/>
        </w:rPr>
        <w:t xml:space="preserve"> Israeli institutions places those states in direct contravention of peremptory norms of international law, including their duty to uphold self-determination of the Palestinian people and the obligation not to recognize, cooperate with, or benefit from the illegal situation.</w:t>
      </w:r>
    </w:p>
    <w:p w:rsidR="00962095" w:rsidRDefault="00962095" w:rsidP="007C7DCB">
      <w:pPr>
        <w:spacing w:after="0" w:line="240" w:lineRule="auto"/>
        <w:jc w:val="lowKashida"/>
      </w:pPr>
    </w:p>
    <w:p w:rsidR="001142E8" w:rsidRPr="004D70D3" w:rsidRDefault="004D70D3" w:rsidP="004D70D3">
      <w:pPr>
        <w:spacing w:after="0" w:line="240" w:lineRule="auto"/>
        <w:rPr>
          <w:b/>
          <w:bCs/>
        </w:rPr>
      </w:pPr>
      <w:r w:rsidRPr="004D70D3">
        <w:rPr>
          <w:b/>
          <w:bCs/>
        </w:rPr>
        <w:lastRenderedPageBreak/>
        <w:t>Endnotes:</w:t>
      </w:r>
    </w:p>
    <w:sectPr w:rsidR="001142E8" w:rsidRPr="004D70D3" w:rsidSect="006763BC">
      <w:footerReference w:type="default" r:id="rId12"/>
      <w:endnotePr>
        <w:numFmt w:val="decimal"/>
      </w:endnotePr>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E19" w:rsidRDefault="00D35E19" w:rsidP="0060532C">
      <w:pPr>
        <w:spacing w:after="0" w:line="240" w:lineRule="auto"/>
      </w:pPr>
      <w:r>
        <w:separator/>
      </w:r>
    </w:p>
  </w:endnote>
  <w:endnote w:type="continuationSeparator" w:id="0">
    <w:p w:rsidR="00D35E19" w:rsidRDefault="00D35E19" w:rsidP="0060532C">
      <w:pPr>
        <w:spacing w:after="0" w:line="240" w:lineRule="auto"/>
      </w:pPr>
      <w:r>
        <w:continuationSeparator/>
      </w:r>
    </w:p>
  </w:endnote>
  <w:endnote w:id="1">
    <w:p w:rsidR="0098151C" w:rsidRPr="007C7DCB" w:rsidRDefault="0098151C" w:rsidP="007C7DCB">
      <w:pPr>
        <w:pStyle w:val="Heading2"/>
        <w:spacing w:before="0" w:line="240" w:lineRule="auto"/>
        <w:ind w:left="216" w:hanging="216"/>
        <w:jc w:val="lowKashida"/>
        <w:rPr>
          <w:rFonts w:asciiTheme="minorHAnsi" w:hAnsiTheme="minorHAnsi"/>
          <w:b w:val="0"/>
          <w:bCs w:val="0"/>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b w:val="0"/>
          <w:bCs w:val="0"/>
          <w:color w:val="auto"/>
          <w:sz w:val="18"/>
          <w:szCs w:val="18"/>
          <w:lang w:val="en-GB"/>
        </w:rPr>
        <w:t xml:space="preserve">Statement by Mr. Jamie </w:t>
      </w:r>
      <w:proofErr w:type="spellStart"/>
      <w:r w:rsidRPr="007C7DCB">
        <w:rPr>
          <w:rFonts w:asciiTheme="minorHAnsi" w:hAnsiTheme="minorHAnsi"/>
          <w:b w:val="0"/>
          <w:bCs w:val="0"/>
          <w:color w:val="auto"/>
          <w:sz w:val="18"/>
          <w:szCs w:val="18"/>
          <w:lang w:val="en-GB"/>
        </w:rPr>
        <w:t>McGoldrick</w:t>
      </w:r>
      <w:proofErr w:type="spellEnd"/>
      <w:r w:rsidRPr="007C7DCB">
        <w:rPr>
          <w:rFonts w:asciiTheme="minorHAnsi" w:hAnsiTheme="minorHAnsi"/>
          <w:b w:val="0"/>
          <w:bCs w:val="0"/>
          <w:color w:val="auto"/>
          <w:sz w:val="18"/>
          <w:szCs w:val="18"/>
          <w:lang w:val="en-GB"/>
        </w:rPr>
        <w:t xml:space="preserve"> (Humanitarian Coordinator), Ms. Gwyn Lewis (Director of West Bank Operations for UNRWA), and Mr. James </w:t>
      </w:r>
      <w:proofErr w:type="spellStart"/>
      <w:r w:rsidRPr="007C7DCB">
        <w:rPr>
          <w:rFonts w:asciiTheme="minorHAnsi" w:hAnsiTheme="minorHAnsi"/>
          <w:b w:val="0"/>
          <w:bCs w:val="0"/>
          <w:color w:val="auto"/>
          <w:sz w:val="18"/>
          <w:szCs w:val="18"/>
          <w:lang w:val="en-GB"/>
        </w:rPr>
        <w:t>Heenan</w:t>
      </w:r>
      <w:proofErr w:type="spellEnd"/>
      <w:r w:rsidRPr="007C7DCB">
        <w:rPr>
          <w:rFonts w:asciiTheme="minorHAnsi" w:hAnsiTheme="minorHAnsi"/>
          <w:b w:val="0"/>
          <w:bCs w:val="0"/>
          <w:color w:val="auto"/>
          <w:sz w:val="18"/>
          <w:szCs w:val="18"/>
          <w:lang w:val="en-GB"/>
        </w:rPr>
        <w:t xml:space="preserve"> (Head of the UN Human Rights Office in the occupied Palestinian territory), 22 July 2019, at: </w:t>
      </w:r>
      <w:hyperlink r:id="rId1" w:history="1">
        <w:r w:rsidRPr="007C7DCB">
          <w:rPr>
            <w:rStyle w:val="Hyperlink"/>
            <w:rFonts w:asciiTheme="minorHAnsi" w:hAnsiTheme="minorHAnsi"/>
            <w:b w:val="0"/>
            <w:bCs w:val="0"/>
            <w:sz w:val="18"/>
            <w:szCs w:val="18"/>
            <w:lang w:val="en-GB"/>
          </w:rPr>
          <w:t>https://www.ochaopt.org/content/un-officials-statement-demolitions-sur-bahir</w:t>
        </w:r>
      </w:hyperlink>
      <w:r w:rsidRPr="007C7DCB">
        <w:rPr>
          <w:rFonts w:asciiTheme="minorHAnsi" w:hAnsiTheme="minorHAnsi"/>
          <w:b w:val="0"/>
          <w:bCs w:val="0"/>
          <w:sz w:val="18"/>
          <w:szCs w:val="18"/>
          <w:lang w:val="en-GB"/>
        </w:rPr>
        <w:t xml:space="preserve">. </w:t>
      </w:r>
    </w:p>
  </w:endnote>
  <w:endnote w:id="2">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UN Commission on Human Rights resolutions "forced eviction" 1993/77  (1993) and "Prohibition of forced evictions," 2004/28 (2004) </w:t>
      </w:r>
      <w:r w:rsidRPr="007C7DCB">
        <w:rPr>
          <w:rFonts w:asciiTheme="minorHAnsi" w:hAnsiTheme="minorHAnsi"/>
          <w:b/>
          <w:bCs/>
          <w:sz w:val="18"/>
          <w:szCs w:val="18"/>
          <w:lang w:val="en-GB"/>
        </w:rPr>
        <w:t>"</w:t>
      </w:r>
      <w:r w:rsidRPr="007C7DCB">
        <w:rPr>
          <w:rFonts w:asciiTheme="minorHAnsi" w:hAnsiTheme="minorHAnsi"/>
          <w:sz w:val="18"/>
          <w:szCs w:val="18"/>
          <w:u w:val="single"/>
          <w:lang w:val="en-GB"/>
        </w:rPr>
        <w:t>Affirms</w:t>
      </w:r>
      <w:r w:rsidRPr="007C7DCB">
        <w:rPr>
          <w:rFonts w:asciiTheme="minorHAnsi" w:hAnsiTheme="minorHAnsi"/>
          <w:sz w:val="18"/>
          <w:szCs w:val="18"/>
          <w:lang w:val="en-GB"/>
        </w:rPr>
        <w:t xml:space="preserve"> that the practice of forced evictions constitutes a gross violation of human rights, in particular the right to adequate housing."</w:t>
      </w:r>
    </w:p>
  </w:endnote>
  <w:endnote w:id="3">
    <w:p w:rsidR="0098151C" w:rsidRPr="007C7DCB" w:rsidRDefault="0098151C" w:rsidP="007C7DCB">
      <w:pPr>
        <w:pStyle w:val="EndnoteText"/>
        <w:spacing w:line="240" w:lineRule="auto"/>
        <w:ind w:left="216" w:hanging="216"/>
        <w:jc w:val="lowKashida"/>
        <w:rPr>
          <w:rFonts w:asciiTheme="minorHAnsi" w:hAnsiTheme="minorHAnsi" w:cstheme="minorHAnsi"/>
          <w:spacing w:val="-4"/>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r>
      <w:r w:rsidRPr="007C7DCB">
        <w:rPr>
          <w:rFonts w:asciiTheme="minorHAnsi" w:hAnsiTheme="minorHAnsi" w:cstheme="minorHAnsi"/>
          <w:spacing w:val="-4"/>
          <w:sz w:val="18"/>
          <w:szCs w:val="18"/>
          <w:lang w:val="en-GB"/>
        </w:rPr>
        <w:t xml:space="preserve">Replies of Israel to the list of issues, E/C.12/ISR/Q/4/Add.1, 15 August 2019,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Fonts w:asciiTheme="minorHAnsi" w:hAnsiTheme="minorHAnsi"/>
          <w:spacing w:val="-4"/>
          <w:sz w:val="18"/>
          <w:szCs w:val="18"/>
          <w:lang w:val="en-GB"/>
        </w:rPr>
        <w:tab/>
      </w:r>
      <w:hyperlink r:id="rId2" w:history="1">
        <w:r w:rsidRPr="007C7DCB">
          <w:rPr>
            <w:rStyle w:val="Hyperlink"/>
            <w:rFonts w:asciiTheme="minorHAnsi" w:hAnsiTheme="minorHAnsi" w:cstheme="minorHAnsi"/>
            <w:spacing w:val="-4"/>
            <w:sz w:val="18"/>
            <w:szCs w:val="18"/>
            <w:lang w:val="en-GB"/>
          </w:rPr>
          <w:t>https://tbinternet.ohchr.org/_layouts/15/treatybodyexternal/Download.aspx?symbolno=E%2fC.12%2fISR%2fQ%2f4%2fAdd.1&amp;Lang=en</w:t>
        </w:r>
      </w:hyperlink>
      <w:r w:rsidRPr="007C7DCB">
        <w:rPr>
          <w:rFonts w:asciiTheme="minorHAnsi" w:hAnsiTheme="minorHAnsi" w:cstheme="minorHAnsi"/>
          <w:spacing w:val="-4"/>
          <w:sz w:val="18"/>
          <w:szCs w:val="18"/>
          <w:lang w:val="en-GB"/>
        </w:rPr>
        <w:t>.</w:t>
      </w:r>
      <w:r w:rsidRPr="007C7DCB">
        <w:rPr>
          <w:rFonts w:asciiTheme="minorHAnsi" w:hAnsiTheme="minorHAnsi" w:cstheme="minorHAnsi"/>
          <w:sz w:val="18"/>
          <w:szCs w:val="18"/>
          <w:lang w:val="en-GB"/>
        </w:rPr>
        <w:t xml:space="preserve"> </w:t>
      </w:r>
    </w:p>
  </w:endnote>
  <w:endnote w:id="4">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Law of Return (1950), Law of Citizenship (1952), World Zionist Organization-Jewish Agency (Status) Law (1952), Basic Law: Israel Lands [The People’s Lands] (1960), Covenant with Zionist Executive (1954, 1971), Basic Law: The Knesset (1958) and Amendment 9 (1985), Agricultural Settlement Law (1967), Absentee Property Law (1950), and </w:t>
      </w:r>
      <w:proofErr w:type="spellStart"/>
      <w:r w:rsidRPr="007C7DCB">
        <w:rPr>
          <w:rFonts w:asciiTheme="minorHAnsi" w:hAnsiTheme="minorHAnsi" w:cstheme="minorHAnsi"/>
          <w:sz w:val="18"/>
          <w:szCs w:val="18"/>
          <w:lang w:val="en-GB"/>
        </w:rPr>
        <w:t>Keren</w:t>
      </w:r>
      <w:proofErr w:type="spellEnd"/>
      <w:r w:rsidRPr="007C7DCB">
        <w:rPr>
          <w:rFonts w:asciiTheme="minorHAnsi" w:hAnsiTheme="minorHAnsi" w:cstheme="minorHAnsi"/>
          <w:sz w:val="18"/>
          <w:szCs w:val="18"/>
          <w:lang w:val="en-GB"/>
        </w:rPr>
        <w:t xml:space="preserve"> </w:t>
      </w:r>
      <w:proofErr w:type="spellStart"/>
      <w:r w:rsidRPr="007C7DCB">
        <w:rPr>
          <w:rFonts w:asciiTheme="minorHAnsi" w:hAnsiTheme="minorHAnsi" w:cstheme="minorHAnsi"/>
          <w:sz w:val="18"/>
          <w:szCs w:val="18"/>
          <w:lang w:val="en-GB"/>
        </w:rPr>
        <w:t>Kayemet</w:t>
      </w:r>
      <w:proofErr w:type="spellEnd"/>
      <w:r w:rsidRPr="007C7DCB">
        <w:rPr>
          <w:rFonts w:asciiTheme="minorHAnsi" w:hAnsiTheme="minorHAnsi" w:cstheme="minorHAnsi"/>
          <w:sz w:val="18"/>
          <w:szCs w:val="18"/>
          <w:lang w:val="en-GB"/>
        </w:rPr>
        <w:t xml:space="preserve"> Le-Israel Law (1953).</w:t>
      </w:r>
    </w:p>
  </w:endnote>
  <w:endnote w:id="5">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World Zionist Organization/Jewish Agency, Jewish National Fund, United Israel Appeal, </w:t>
      </w:r>
      <w:proofErr w:type="spellStart"/>
      <w:r w:rsidRPr="007C7DCB">
        <w:rPr>
          <w:rFonts w:asciiTheme="minorHAnsi" w:hAnsiTheme="minorHAnsi" w:cstheme="minorHAnsi"/>
          <w:sz w:val="18"/>
          <w:szCs w:val="18"/>
          <w:lang w:val="en-GB"/>
        </w:rPr>
        <w:t>Histadrut</w:t>
      </w:r>
      <w:proofErr w:type="spellEnd"/>
      <w:r w:rsidRPr="007C7DCB">
        <w:rPr>
          <w:rFonts w:asciiTheme="minorHAnsi" w:hAnsiTheme="minorHAnsi" w:cstheme="minorHAnsi"/>
          <w:sz w:val="18"/>
          <w:szCs w:val="18"/>
          <w:lang w:val="en-GB"/>
        </w:rPr>
        <w:t xml:space="preserve">, </w:t>
      </w:r>
      <w:proofErr w:type="spellStart"/>
      <w:r w:rsidRPr="007C7DCB">
        <w:rPr>
          <w:rFonts w:asciiTheme="minorHAnsi" w:hAnsiTheme="minorHAnsi" w:cstheme="minorHAnsi"/>
          <w:sz w:val="18"/>
          <w:szCs w:val="18"/>
          <w:lang w:val="en-GB"/>
        </w:rPr>
        <w:t>Mekorot</w:t>
      </w:r>
      <w:proofErr w:type="spellEnd"/>
      <w:r w:rsidRPr="007C7DCB">
        <w:rPr>
          <w:rFonts w:asciiTheme="minorHAnsi" w:hAnsiTheme="minorHAnsi" w:cstheme="minorHAnsi"/>
          <w:sz w:val="18"/>
          <w:szCs w:val="18"/>
          <w:lang w:val="en-GB"/>
        </w:rPr>
        <w:t xml:space="preserve"> and </w:t>
      </w:r>
      <w:proofErr w:type="spellStart"/>
      <w:r w:rsidRPr="007C7DCB">
        <w:rPr>
          <w:rFonts w:asciiTheme="minorHAnsi" w:hAnsiTheme="minorHAnsi" w:cstheme="minorHAnsi"/>
          <w:sz w:val="18"/>
          <w:szCs w:val="18"/>
          <w:lang w:val="en-GB"/>
        </w:rPr>
        <w:t>Tahal</w:t>
      </w:r>
      <w:proofErr w:type="spellEnd"/>
      <w:r w:rsidRPr="007C7DCB">
        <w:rPr>
          <w:rFonts w:asciiTheme="minorHAnsi" w:hAnsiTheme="minorHAnsi" w:cstheme="minorHAnsi"/>
          <w:sz w:val="18"/>
          <w:szCs w:val="18"/>
          <w:lang w:val="en-GB"/>
        </w:rPr>
        <w:t xml:space="preserve"> (water administration agencies).</w:t>
      </w:r>
    </w:p>
  </w:endnote>
  <w:endnote w:id="6">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NPR, 11 March 2019, “Netanyahu Says Israel Is 'Nation-State Of The Jewish People And Them Alone', at: https://www.npr.org/2019/03/11/702264118/netanyahu-says-israel-is-nation-state-of-the-jewish-people-and-them-alone</w:t>
      </w:r>
    </w:p>
  </w:endnote>
  <w:endnote w:id="7">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According to the estimates of the Israeli Committee against House Demolitions, at: </w:t>
      </w:r>
      <w:hyperlink r:id="rId3" w:history="1">
        <w:r w:rsidRPr="007C7DCB">
          <w:rPr>
            <w:rStyle w:val="Hyperlink"/>
            <w:rFonts w:asciiTheme="minorHAnsi" w:hAnsiTheme="minorHAnsi"/>
            <w:sz w:val="18"/>
            <w:szCs w:val="18"/>
            <w:lang w:val="en-GB"/>
          </w:rPr>
          <w:t>https://icahd.org/.</w:t>
        </w:r>
      </w:hyperlink>
    </w:p>
  </w:endnote>
  <w:endnote w:id="8">
    <w:p w:rsidR="0098151C" w:rsidRPr="007C7DCB" w:rsidRDefault="0098151C" w:rsidP="007C7DCB">
      <w:pPr>
        <w:pStyle w:val="EndnoteText"/>
        <w:spacing w:line="240" w:lineRule="auto"/>
        <w:ind w:left="216" w:hanging="216"/>
        <w:jc w:val="lowKashida"/>
        <w:rPr>
          <w:rFonts w:asciiTheme="minorHAnsi" w:hAnsiTheme="minorHAnsi"/>
          <w:i/>
          <w:iCs/>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i/>
          <w:iCs/>
          <w:sz w:val="18"/>
          <w:szCs w:val="18"/>
          <w:lang w:val="en-GB"/>
        </w:rPr>
        <w:t>Ibid.</w:t>
      </w:r>
    </w:p>
  </w:endnote>
  <w:endnote w:id="9">
    <w:p w:rsidR="0098151C" w:rsidRPr="007C7DCB" w:rsidRDefault="0098151C" w:rsidP="007C7DCB">
      <w:pPr>
        <w:spacing w:after="0" w:line="240" w:lineRule="auto"/>
        <w:ind w:left="216" w:hanging="216"/>
        <w:jc w:val="lowKashida"/>
        <w:rPr>
          <w:rFonts w:eastAsia="Times New Roman" w:cs="Times New Roman"/>
          <w:color w:val="0000FF"/>
          <w:sz w:val="18"/>
          <w:szCs w:val="18"/>
          <w:lang w:val="en-GB"/>
        </w:rPr>
      </w:pPr>
      <w:r w:rsidRPr="007C7DCB">
        <w:rPr>
          <w:rStyle w:val="EndnoteReference"/>
          <w:sz w:val="18"/>
          <w:szCs w:val="18"/>
          <w:lang w:val="en-GB"/>
        </w:rPr>
        <w:endnoteRef/>
      </w:r>
      <w:r w:rsidRPr="007C7DCB">
        <w:rPr>
          <w:sz w:val="18"/>
          <w:szCs w:val="18"/>
          <w:lang w:val="en-GB"/>
        </w:rPr>
        <w:t xml:space="preserve"> </w:t>
      </w:r>
      <w:r w:rsidRPr="007C7DCB">
        <w:rPr>
          <w:sz w:val="18"/>
          <w:szCs w:val="18"/>
          <w:lang w:val="en-GB"/>
        </w:rPr>
        <w:tab/>
      </w:r>
      <w:hyperlink r:id="rId4" w:history="1">
        <w:r w:rsidRPr="007C7DCB">
          <w:rPr>
            <w:rFonts w:eastAsia="Times New Roman" w:cs="Times New Roman"/>
            <w:sz w:val="18"/>
            <w:szCs w:val="18"/>
            <w:lang w:val="en-GB"/>
          </w:rPr>
          <w:t>ICJ Advisory opinion on the Legal Consequences of the Construction of a Wall in the Occupied Palestinian Territory, including in and around East Jerusalem</w:t>
        </w:r>
      </w:hyperlink>
      <w:r w:rsidRPr="007C7DCB">
        <w:rPr>
          <w:rFonts w:eastAsia="Times New Roman" w:cs="Times New Roman"/>
          <w:sz w:val="18"/>
          <w:szCs w:val="18"/>
          <w:lang w:val="en-GB"/>
        </w:rPr>
        <w:t>, 9 July 2004, at:</w:t>
      </w:r>
      <w:r w:rsidRPr="007C7DCB">
        <w:rPr>
          <w:rFonts w:eastAsia="Times New Roman" w:cs="Times New Roman"/>
          <w:color w:val="0000FF"/>
          <w:sz w:val="18"/>
          <w:szCs w:val="18"/>
          <w:lang w:val="en-GB"/>
        </w:rPr>
        <w:t xml:space="preserve"> http://www.hlrn.org/img/documents/icj20040709.pdf.</w:t>
      </w:r>
    </w:p>
  </w:endnote>
  <w:endnote w:id="10">
    <w:p w:rsidR="0098151C" w:rsidRPr="007C7DCB" w:rsidRDefault="0098151C" w:rsidP="007C7DCB">
      <w:pPr>
        <w:pStyle w:val="Heading2"/>
        <w:spacing w:before="0"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b w:val="0"/>
          <w:bCs w:val="0"/>
          <w:color w:val="auto"/>
          <w:sz w:val="18"/>
          <w:szCs w:val="18"/>
          <w:lang w:val="en-GB"/>
        </w:rPr>
        <w:endnoteRef/>
      </w:r>
      <w:r w:rsidRPr="007C7DCB">
        <w:rPr>
          <w:rFonts w:asciiTheme="minorHAnsi" w:hAnsiTheme="minorHAnsi"/>
          <w:b w:val="0"/>
          <w:bCs w:val="0"/>
          <w:color w:val="auto"/>
          <w:sz w:val="18"/>
          <w:szCs w:val="18"/>
          <w:lang w:val="en-GB"/>
        </w:rPr>
        <w:t xml:space="preserve"> </w:t>
      </w:r>
      <w:r w:rsidRPr="007C7DCB">
        <w:rPr>
          <w:rFonts w:asciiTheme="minorHAnsi" w:hAnsiTheme="minorHAnsi"/>
          <w:b w:val="0"/>
          <w:bCs w:val="0"/>
          <w:color w:val="auto"/>
          <w:sz w:val="18"/>
          <w:szCs w:val="18"/>
          <w:lang w:val="en-GB"/>
        </w:rPr>
        <w:tab/>
        <w:t xml:space="preserve">Basic Principles and Guidelines on the Right to a Remedy and Reparation for Victims of Gross Violations of International Human Rights Law and Serious Violations of International Humanitarian Law, A/RES/60/147, 16 December 2005, at:  </w:t>
      </w:r>
      <w:hyperlink r:id="rId5" w:history="1">
        <w:r w:rsidRPr="007C7DCB">
          <w:rPr>
            <w:rStyle w:val="Hyperlink"/>
            <w:rFonts w:asciiTheme="minorHAnsi" w:hAnsiTheme="minorHAnsi"/>
            <w:b w:val="0"/>
            <w:bCs w:val="0"/>
            <w:sz w:val="18"/>
            <w:szCs w:val="18"/>
            <w:lang w:val="en-GB"/>
          </w:rPr>
          <w:t>https://www.ohchr.org/EN/ProfessionalInterest/Pages/RemedyAndReparation.aspx</w:t>
        </w:r>
      </w:hyperlink>
      <w:r w:rsidRPr="007C7DCB">
        <w:rPr>
          <w:rFonts w:asciiTheme="minorHAnsi" w:hAnsiTheme="minorHAnsi"/>
          <w:b w:val="0"/>
          <w:bCs w:val="0"/>
          <w:color w:val="auto"/>
          <w:sz w:val="18"/>
          <w:szCs w:val="18"/>
          <w:lang w:val="en-GB"/>
        </w:rPr>
        <w:t xml:space="preserve">. </w:t>
      </w:r>
    </w:p>
  </w:endnote>
  <w:endnote w:id="11">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r>
      <w:r w:rsidRPr="007C7DCB">
        <w:rPr>
          <w:rFonts w:asciiTheme="minorHAnsi" w:hAnsiTheme="minorHAnsi" w:cstheme="minorHAnsi"/>
          <w:spacing w:val="-4"/>
          <w:sz w:val="18"/>
          <w:szCs w:val="18"/>
          <w:lang w:val="en-GB"/>
        </w:rPr>
        <w:t xml:space="preserve">State of Israel, </w:t>
      </w:r>
      <w:r w:rsidRPr="007C7DCB">
        <w:rPr>
          <w:rFonts w:asciiTheme="minorHAnsi" w:hAnsiTheme="minorHAnsi" w:cstheme="minorHAnsi"/>
          <w:i/>
          <w:iCs/>
          <w:spacing w:val="-4"/>
          <w:sz w:val="18"/>
          <w:szCs w:val="18"/>
          <w:lang w:val="en-GB"/>
        </w:rPr>
        <w:t>Implementation of the Sustainable Development Goals National Review: Israel</w:t>
      </w:r>
      <w:r w:rsidRPr="007C7DCB">
        <w:rPr>
          <w:rFonts w:asciiTheme="minorHAnsi" w:hAnsiTheme="minorHAnsi" w:cstheme="minorHAnsi"/>
          <w:spacing w:val="-4"/>
          <w:sz w:val="18"/>
          <w:szCs w:val="18"/>
          <w:lang w:val="en-GB"/>
        </w:rPr>
        <w:t xml:space="preserve"> </w:t>
      </w:r>
      <w:r w:rsidRPr="007C7DCB">
        <w:rPr>
          <w:rFonts w:asciiTheme="minorHAnsi" w:hAnsiTheme="minorHAnsi" w:cstheme="minorHAnsi"/>
          <w:i/>
          <w:iCs/>
          <w:spacing w:val="-4"/>
          <w:sz w:val="18"/>
          <w:szCs w:val="18"/>
          <w:lang w:val="en-GB"/>
        </w:rPr>
        <w:t>2019</w:t>
      </w:r>
      <w:r w:rsidRPr="007C7DCB">
        <w:rPr>
          <w:rFonts w:asciiTheme="minorHAnsi" w:hAnsiTheme="minorHAnsi" w:cstheme="minorHAnsi"/>
          <w:spacing w:val="-4"/>
          <w:sz w:val="18"/>
          <w:szCs w:val="18"/>
          <w:lang w:val="en-GB"/>
        </w:rPr>
        <w:t xml:space="preserve"> [hereinafter, </w:t>
      </w:r>
      <w:r w:rsidRPr="007C7DCB">
        <w:rPr>
          <w:rFonts w:asciiTheme="minorHAnsi" w:hAnsiTheme="minorHAnsi" w:cstheme="minorHAnsi"/>
          <w:i/>
          <w:iCs/>
          <w:spacing w:val="-4"/>
          <w:sz w:val="18"/>
          <w:szCs w:val="18"/>
          <w:lang w:val="en-GB"/>
        </w:rPr>
        <w:t>Israel VNR</w:t>
      </w:r>
      <w:r w:rsidRPr="007C7DCB">
        <w:rPr>
          <w:rFonts w:asciiTheme="minorHAnsi" w:hAnsiTheme="minorHAnsi" w:cstheme="minorHAnsi"/>
          <w:spacing w:val="-4"/>
          <w:sz w:val="18"/>
          <w:szCs w:val="18"/>
          <w:lang w:val="en-GB"/>
        </w:rPr>
        <w:t xml:space="preserve">], p. 197, at: </w:t>
      </w:r>
      <w:hyperlink r:id="rId6" w:history="1">
        <w:r w:rsidRPr="007C7DCB">
          <w:rPr>
            <w:rStyle w:val="Hyperlink"/>
            <w:rFonts w:asciiTheme="minorHAnsi" w:hAnsiTheme="minorHAnsi" w:cstheme="minorHAnsi"/>
            <w:spacing w:val="-4"/>
            <w:sz w:val="18"/>
            <w:szCs w:val="18"/>
            <w:lang w:val="en-GB"/>
          </w:rPr>
          <w:t>https://sustainabledevelopment.un.org/index.php?page=view&amp;type=30022&amp;nr=1273&amp;menu=3170</w:t>
        </w:r>
      </w:hyperlink>
      <w:r w:rsidRPr="007C7DCB">
        <w:rPr>
          <w:rFonts w:asciiTheme="minorHAnsi" w:hAnsiTheme="minorHAnsi" w:cstheme="minorHAnsi"/>
          <w:spacing w:val="-4"/>
          <w:sz w:val="18"/>
          <w:szCs w:val="18"/>
          <w:lang w:val="en-GB"/>
        </w:rPr>
        <w:t>.</w:t>
      </w:r>
      <w:r w:rsidRPr="007C7DCB">
        <w:rPr>
          <w:rFonts w:asciiTheme="minorHAnsi" w:hAnsiTheme="minorHAnsi" w:cstheme="minorHAnsi"/>
          <w:sz w:val="18"/>
          <w:szCs w:val="18"/>
          <w:lang w:val="en-GB"/>
        </w:rPr>
        <w:t xml:space="preserve"> </w:t>
      </w:r>
    </w:p>
  </w:endnote>
  <w:endnote w:id="12">
    <w:p w:rsidR="0098151C" w:rsidRPr="007C7DCB" w:rsidRDefault="0098151C" w:rsidP="007C7DCB">
      <w:pPr>
        <w:pStyle w:val="Heading1"/>
        <w:spacing w:before="0"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color w:val="auto"/>
          <w:sz w:val="18"/>
          <w:szCs w:val="18"/>
          <w:lang w:val="en-GB"/>
        </w:rPr>
        <w:endnoteRef/>
      </w:r>
      <w:r w:rsidRPr="007C7DCB">
        <w:rPr>
          <w:rFonts w:asciiTheme="minorHAnsi" w:hAnsiTheme="minorHAnsi"/>
          <w:color w:val="auto"/>
          <w:sz w:val="18"/>
          <w:szCs w:val="18"/>
          <w:lang w:val="en-GB"/>
        </w:rPr>
        <w:t xml:space="preserve"> "Sharp increase in demolitions of Palestinian homes in East Jerusalem," </w:t>
      </w:r>
      <w:r w:rsidRPr="007C7DCB">
        <w:rPr>
          <w:rFonts w:asciiTheme="minorHAnsi" w:hAnsiTheme="minorHAnsi"/>
          <w:i/>
          <w:iCs/>
          <w:color w:val="auto"/>
          <w:sz w:val="18"/>
          <w:szCs w:val="18"/>
          <w:lang w:val="en-GB"/>
        </w:rPr>
        <w:t xml:space="preserve">The National </w:t>
      </w:r>
      <w:r w:rsidRPr="007C7DCB">
        <w:rPr>
          <w:rFonts w:asciiTheme="minorHAnsi" w:hAnsiTheme="minorHAnsi"/>
          <w:color w:val="auto"/>
          <w:sz w:val="18"/>
          <w:szCs w:val="18"/>
          <w:lang w:val="en-GB"/>
        </w:rPr>
        <w:t xml:space="preserve">(13 May 2019), at: </w:t>
      </w:r>
      <w:hyperlink r:id="rId7" w:history="1">
        <w:r w:rsidRPr="007C7DCB">
          <w:rPr>
            <w:rStyle w:val="Hyperlink"/>
            <w:rFonts w:asciiTheme="minorHAnsi" w:hAnsiTheme="minorHAnsi"/>
            <w:sz w:val="18"/>
            <w:szCs w:val="18"/>
            <w:lang w:val="en-GB"/>
          </w:rPr>
          <w:t>https://www.thenational.ae/world/mena/sharp-increase-in-demolitions-of-palestinian-homes-in-east-jerusalem-1.861060</w:t>
        </w:r>
      </w:hyperlink>
      <w:r w:rsidRPr="007C7DCB">
        <w:rPr>
          <w:rFonts w:asciiTheme="minorHAnsi" w:hAnsiTheme="minorHAnsi"/>
          <w:color w:val="auto"/>
          <w:sz w:val="18"/>
          <w:szCs w:val="18"/>
          <w:lang w:val="en-GB"/>
        </w:rPr>
        <w:t xml:space="preserve">. </w:t>
      </w:r>
    </w:p>
  </w:endnote>
  <w:endnote w:id="13">
    <w:p w:rsidR="0098151C" w:rsidRPr="007C7DCB" w:rsidRDefault="0098151C" w:rsidP="007C7DCB">
      <w:pPr>
        <w:pStyle w:val="Heading1"/>
        <w:spacing w:before="0"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color w:val="auto"/>
          <w:sz w:val="18"/>
          <w:szCs w:val="18"/>
          <w:lang w:val="en-GB"/>
        </w:rPr>
        <w:endnoteRef/>
      </w:r>
      <w:r w:rsidRPr="007C7DCB">
        <w:rPr>
          <w:rFonts w:asciiTheme="minorHAnsi" w:hAnsiTheme="minorHAnsi"/>
          <w:color w:val="auto"/>
          <w:sz w:val="18"/>
          <w:szCs w:val="18"/>
          <w:lang w:val="en-GB"/>
        </w:rPr>
        <w:t xml:space="preserve"> </w:t>
      </w:r>
      <w:proofErr w:type="spellStart"/>
      <w:r w:rsidRPr="007C7DCB">
        <w:rPr>
          <w:rFonts w:asciiTheme="minorHAnsi" w:hAnsiTheme="minorHAnsi"/>
          <w:color w:val="auto"/>
          <w:sz w:val="18"/>
          <w:szCs w:val="18"/>
          <w:lang w:val="en-GB"/>
        </w:rPr>
        <w:t>Yaël</w:t>
      </w:r>
      <w:proofErr w:type="spellEnd"/>
      <w:r w:rsidRPr="007C7DCB">
        <w:rPr>
          <w:rFonts w:asciiTheme="minorHAnsi" w:hAnsiTheme="minorHAnsi"/>
          <w:color w:val="auto"/>
          <w:sz w:val="18"/>
          <w:szCs w:val="18"/>
          <w:lang w:val="en-GB"/>
        </w:rPr>
        <w:t xml:space="preserve"> Ronen, "The insecure residence of East Jerusalem Palestinians," </w:t>
      </w:r>
      <w:r w:rsidRPr="007C7DCB">
        <w:rPr>
          <w:rFonts w:asciiTheme="minorHAnsi" w:hAnsiTheme="minorHAnsi"/>
          <w:i/>
          <w:iCs/>
          <w:color w:val="auto"/>
          <w:sz w:val="18"/>
          <w:szCs w:val="18"/>
          <w:lang w:val="en-GB"/>
        </w:rPr>
        <w:t xml:space="preserve">+972 </w:t>
      </w:r>
      <w:r w:rsidRPr="007C7DCB">
        <w:rPr>
          <w:rFonts w:asciiTheme="minorHAnsi" w:hAnsiTheme="minorHAnsi"/>
          <w:color w:val="auto"/>
          <w:sz w:val="18"/>
          <w:szCs w:val="18"/>
          <w:lang w:val="en-GB"/>
        </w:rPr>
        <w:t>(30 November 2017), at:</w:t>
      </w:r>
      <w:r w:rsidRPr="007C7DCB">
        <w:rPr>
          <w:rFonts w:asciiTheme="minorHAnsi" w:hAnsiTheme="minorHAnsi"/>
          <w:sz w:val="18"/>
          <w:szCs w:val="18"/>
          <w:lang w:val="en-GB"/>
        </w:rPr>
        <w:t xml:space="preserve"> </w:t>
      </w:r>
      <w:hyperlink r:id="rId8" w:history="1">
        <w:r w:rsidRPr="007C7DCB">
          <w:rPr>
            <w:rStyle w:val="Hyperlink"/>
            <w:rFonts w:asciiTheme="minorHAnsi" w:hAnsiTheme="minorHAnsi"/>
            <w:sz w:val="18"/>
            <w:szCs w:val="18"/>
            <w:lang w:val="en-GB"/>
          </w:rPr>
          <w:t>https://972mag.com/what-it-means-that-east-jerusalems-palestinians-are-not-citizens/131079/</w:t>
        </w:r>
      </w:hyperlink>
      <w:r w:rsidRPr="007C7DCB">
        <w:rPr>
          <w:rFonts w:asciiTheme="minorHAnsi" w:hAnsiTheme="minorHAnsi"/>
          <w:color w:val="auto"/>
          <w:sz w:val="18"/>
          <w:szCs w:val="18"/>
          <w:lang w:val="en-GB"/>
        </w:rPr>
        <w:t>.</w:t>
      </w:r>
      <w:r w:rsidRPr="007C7DCB">
        <w:rPr>
          <w:rFonts w:asciiTheme="minorHAnsi" w:hAnsiTheme="minorHAnsi"/>
          <w:sz w:val="18"/>
          <w:szCs w:val="18"/>
          <w:lang w:val="en-GB"/>
        </w:rPr>
        <w:t xml:space="preserve"> </w:t>
      </w:r>
    </w:p>
  </w:endnote>
  <w:endnote w:id="14">
    <w:p w:rsidR="0098151C" w:rsidRPr="007C7DCB" w:rsidRDefault="0098151C" w:rsidP="007C7DCB">
      <w:pPr>
        <w:pStyle w:val="Heading1"/>
        <w:spacing w:before="0" w:line="240" w:lineRule="auto"/>
        <w:ind w:left="216" w:hanging="216"/>
        <w:jc w:val="lowKashida"/>
        <w:rPr>
          <w:rFonts w:asciiTheme="minorHAnsi" w:hAnsiTheme="minorHAnsi"/>
          <w:color w:val="auto"/>
          <w:spacing w:val="-4"/>
          <w:sz w:val="18"/>
          <w:szCs w:val="18"/>
          <w:lang w:val="en-GB"/>
        </w:rPr>
      </w:pPr>
      <w:r w:rsidRPr="007C7DCB">
        <w:rPr>
          <w:rStyle w:val="EndnoteReference"/>
          <w:rFonts w:asciiTheme="minorHAnsi" w:hAnsiTheme="minorHAnsi"/>
          <w:color w:val="auto"/>
          <w:sz w:val="18"/>
          <w:szCs w:val="18"/>
          <w:lang w:val="en-GB"/>
        </w:rPr>
        <w:endnoteRef/>
      </w:r>
      <w:r w:rsidRPr="007C7DCB">
        <w:rPr>
          <w:rFonts w:asciiTheme="minorHAnsi" w:hAnsiTheme="minorHAnsi"/>
          <w:color w:val="auto"/>
          <w:sz w:val="18"/>
          <w:szCs w:val="18"/>
          <w:lang w:val="en-GB"/>
        </w:rPr>
        <w:t xml:space="preserve"> </w:t>
      </w:r>
      <w:r w:rsidRPr="007C7DCB">
        <w:rPr>
          <w:rFonts w:asciiTheme="minorHAnsi" w:hAnsiTheme="minorHAnsi"/>
          <w:color w:val="auto"/>
          <w:sz w:val="18"/>
          <w:szCs w:val="18"/>
          <w:lang w:val="en-GB"/>
        </w:rPr>
        <w:tab/>
      </w:r>
      <w:proofErr w:type="spellStart"/>
      <w:r w:rsidRPr="007C7DCB">
        <w:rPr>
          <w:rFonts w:asciiTheme="minorHAnsi" w:hAnsiTheme="minorHAnsi"/>
          <w:color w:val="auto"/>
          <w:spacing w:val="-4"/>
          <w:sz w:val="18"/>
          <w:szCs w:val="18"/>
          <w:lang w:val="en-GB"/>
        </w:rPr>
        <w:t>Nir</w:t>
      </w:r>
      <w:proofErr w:type="spellEnd"/>
      <w:r w:rsidRPr="007C7DCB">
        <w:rPr>
          <w:rFonts w:asciiTheme="minorHAnsi" w:hAnsiTheme="minorHAnsi"/>
          <w:color w:val="auto"/>
          <w:spacing w:val="-4"/>
          <w:sz w:val="18"/>
          <w:szCs w:val="18"/>
          <w:lang w:val="en-GB"/>
        </w:rPr>
        <w:t xml:space="preserve"> </w:t>
      </w:r>
      <w:proofErr w:type="spellStart"/>
      <w:r w:rsidRPr="007C7DCB">
        <w:rPr>
          <w:rFonts w:asciiTheme="minorHAnsi" w:hAnsiTheme="minorHAnsi"/>
          <w:color w:val="auto"/>
          <w:spacing w:val="-4"/>
          <w:sz w:val="18"/>
          <w:szCs w:val="18"/>
          <w:lang w:val="en-GB"/>
        </w:rPr>
        <w:t>Hasson</w:t>
      </w:r>
      <w:proofErr w:type="spellEnd"/>
      <w:r w:rsidRPr="007C7DCB">
        <w:rPr>
          <w:rFonts w:asciiTheme="minorHAnsi" w:hAnsiTheme="minorHAnsi"/>
          <w:color w:val="auto"/>
          <w:spacing w:val="-4"/>
          <w:sz w:val="18"/>
          <w:szCs w:val="18"/>
          <w:lang w:val="en-GB"/>
        </w:rPr>
        <w:t xml:space="preserve">, "Panel Rejects Protocol Allowing Palestinian Construction in East Jerusalem," </w:t>
      </w:r>
      <w:proofErr w:type="spellStart"/>
      <w:r w:rsidRPr="007C7DCB">
        <w:rPr>
          <w:rFonts w:asciiTheme="minorHAnsi" w:hAnsiTheme="minorHAnsi"/>
          <w:i/>
          <w:iCs/>
          <w:color w:val="auto"/>
          <w:spacing w:val="-4"/>
          <w:sz w:val="18"/>
          <w:szCs w:val="18"/>
          <w:lang w:val="en-GB"/>
        </w:rPr>
        <w:t>Haaretz</w:t>
      </w:r>
      <w:proofErr w:type="spellEnd"/>
      <w:r w:rsidRPr="007C7DCB">
        <w:rPr>
          <w:rFonts w:asciiTheme="minorHAnsi" w:hAnsiTheme="minorHAnsi"/>
          <w:i/>
          <w:iCs/>
          <w:color w:val="auto"/>
          <w:spacing w:val="-4"/>
          <w:sz w:val="18"/>
          <w:szCs w:val="18"/>
          <w:lang w:val="en-GB"/>
        </w:rPr>
        <w:t xml:space="preserve"> </w:t>
      </w:r>
      <w:r w:rsidRPr="007C7DCB">
        <w:rPr>
          <w:rFonts w:asciiTheme="minorHAnsi" w:hAnsiTheme="minorHAnsi"/>
          <w:color w:val="auto"/>
          <w:spacing w:val="-4"/>
          <w:sz w:val="18"/>
          <w:szCs w:val="18"/>
          <w:lang w:val="en-GB"/>
        </w:rPr>
        <w:t xml:space="preserve">(3 March 2019), at: </w:t>
      </w:r>
    </w:p>
    <w:p w:rsidR="0098151C" w:rsidRPr="007C7DCB" w:rsidRDefault="0098151C" w:rsidP="007C7DCB">
      <w:pPr>
        <w:pStyle w:val="Heading1"/>
        <w:spacing w:before="0" w:line="240" w:lineRule="auto"/>
        <w:ind w:left="216" w:hanging="216"/>
        <w:jc w:val="lowKashida"/>
        <w:rPr>
          <w:rFonts w:asciiTheme="minorHAnsi" w:hAnsiTheme="minorHAnsi"/>
          <w:sz w:val="18"/>
          <w:szCs w:val="18"/>
          <w:lang w:val="en-GB"/>
        </w:rPr>
      </w:pPr>
      <w:r w:rsidRPr="007C7DCB">
        <w:rPr>
          <w:rFonts w:asciiTheme="minorHAnsi" w:hAnsiTheme="minorHAnsi"/>
          <w:color w:val="auto"/>
          <w:spacing w:val="-4"/>
          <w:sz w:val="18"/>
          <w:szCs w:val="18"/>
          <w:lang w:val="en-GB"/>
        </w:rPr>
        <w:tab/>
      </w:r>
      <w:hyperlink r:id="rId9" w:history="1">
        <w:r w:rsidRPr="007C7DCB">
          <w:rPr>
            <w:rStyle w:val="Hyperlink"/>
            <w:rFonts w:asciiTheme="minorHAnsi" w:hAnsiTheme="minorHAnsi"/>
            <w:spacing w:val="-4"/>
            <w:sz w:val="18"/>
            <w:szCs w:val="18"/>
            <w:lang w:val="en-GB"/>
          </w:rPr>
          <w:t>https://www.haaretz.com/israel-news/.premium-jerusalem-rejects-procedure-allowing-palestinian-construction-in-east-jerusalem-1.6982181</w:t>
        </w:r>
      </w:hyperlink>
      <w:r w:rsidRPr="007C7DCB">
        <w:rPr>
          <w:rFonts w:asciiTheme="minorHAnsi" w:hAnsiTheme="minorHAnsi"/>
          <w:spacing w:val="-4"/>
          <w:sz w:val="18"/>
          <w:szCs w:val="18"/>
          <w:lang w:val="en-GB"/>
        </w:rPr>
        <w:t>.</w:t>
      </w:r>
    </w:p>
  </w:endnote>
  <w:endnote w:id="15">
    <w:p w:rsidR="0098151C" w:rsidRPr="007C7DCB" w:rsidRDefault="0098151C" w:rsidP="007C7DCB">
      <w:pPr>
        <w:tabs>
          <w:tab w:val="left" w:pos="-720"/>
        </w:tabs>
        <w:suppressAutoHyphens/>
        <w:spacing w:after="0" w:line="240" w:lineRule="auto"/>
        <w:ind w:left="216" w:hanging="216"/>
        <w:jc w:val="lowKashida"/>
        <w:rPr>
          <w:sz w:val="18"/>
          <w:szCs w:val="18"/>
          <w:lang w:val="en-GB"/>
        </w:rPr>
      </w:pPr>
      <w:r w:rsidRPr="007C7DCB">
        <w:rPr>
          <w:rStyle w:val="EndnoteReference"/>
          <w:sz w:val="18"/>
          <w:szCs w:val="18"/>
          <w:lang w:val="en-GB"/>
        </w:rPr>
        <w:endnoteRef/>
      </w:r>
      <w:r w:rsidRPr="007C7DCB">
        <w:rPr>
          <w:sz w:val="18"/>
          <w:szCs w:val="18"/>
          <w:lang w:val="en-GB"/>
        </w:rPr>
        <w:t xml:space="preserve"> See </w:t>
      </w:r>
      <w:r w:rsidRPr="007C7DCB">
        <w:rPr>
          <w:rFonts w:cstheme="minorHAnsi"/>
          <w:iCs/>
          <w:sz w:val="18"/>
          <w:szCs w:val="18"/>
          <w:lang w:val="en-GB"/>
        </w:rPr>
        <w:t>Israel’s Implementation of Covenant Rights and Obligations Related to Habitat Submission by Habitat International Coalition’s Housing and Land Rights Network to Committee on Economic, Social and Cultural Rights on the occasion of its review of the State of Israel, 64</w:t>
      </w:r>
      <w:r w:rsidRPr="007C7DCB">
        <w:rPr>
          <w:rFonts w:cstheme="minorHAnsi"/>
          <w:iCs/>
          <w:sz w:val="18"/>
          <w:szCs w:val="18"/>
          <w:vertAlign w:val="superscript"/>
          <w:lang w:val="en-GB"/>
        </w:rPr>
        <w:t>th</w:t>
      </w:r>
      <w:r w:rsidRPr="007C7DCB">
        <w:rPr>
          <w:rFonts w:cstheme="minorHAnsi"/>
          <w:iCs/>
          <w:sz w:val="18"/>
          <w:szCs w:val="18"/>
          <w:lang w:val="en-GB"/>
        </w:rPr>
        <w:t xml:space="preserve"> Pre-</w:t>
      </w:r>
      <w:proofErr w:type="spellStart"/>
      <w:r w:rsidRPr="007C7DCB">
        <w:rPr>
          <w:rFonts w:cstheme="minorHAnsi"/>
          <w:iCs/>
          <w:sz w:val="18"/>
          <w:szCs w:val="18"/>
          <w:lang w:val="en-GB"/>
        </w:rPr>
        <w:t>Sessional</w:t>
      </w:r>
      <w:proofErr w:type="spellEnd"/>
      <w:r w:rsidRPr="007C7DCB">
        <w:rPr>
          <w:rFonts w:cstheme="minorHAnsi"/>
          <w:iCs/>
          <w:sz w:val="18"/>
          <w:szCs w:val="18"/>
          <w:lang w:val="en-GB"/>
        </w:rPr>
        <w:t xml:space="preserve"> Working Group (11–15 March 2019), at: </w:t>
      </w:r>
      <w:hyperlink r:id="rId10" w:history="1">
        <w:r w:rsidRPr="007C7DCB">
          <w:rPr>
            <w:rStyle w:val="Hyperlink"/>
            <w:rFonts w:cstheme="minorHAnsi"/>
            <w:iCs/>
            <w:sz w:val="18"/>
            <w:szCs w:val="18"/>
            <w:lang w:val="en-GB"/>
          </w:rPr>
          <w:t>https://tbinternet.ohchr.org/_layouts/15/treatybodyexternal/Download.aspx?symbolno=INT%2fCESCR%2fICO%2fISR%2f33532&amp;Lang=en</w:t>
        </w:r>
      </w:hyperlink>
      <w:r w:rsidRPr="007C7DCB">
        <w:rPr>
          <w:rFonts w:cstheme="minorHAnsi"/>
          <w:iCs/>
          <w:sz w:val="18"/>
          <w:szCs w:val="18"/>
          <w:lang w:val="en-GB"/>
        </w:rPr>
        <w:t xml:space="preserve">. </w:t>
      </w:r>
    </w:p>
  </w:endnote>
  <w:endnote w:id="16">
    <w:p w:rsidR="0098151C" w:rsidRPr="007C7DCB" w:rsidRDefault="0098151C" w:rsidP="007C7DCB">
      <w:pPr>
        <w:spacing w:after="0" w:line="240" w:lineRule="auto"/>
        <w:ind w:left="216" w:hanging="216"/>
        <w:jc w:val="lowKashida"/>
        <w:rPr>
          <w:spacing w:val="-4"/>
          <w:sz w:val="18"/>
          <w:szCs w:val="18"/>
          <w:lang w:val="en-GB"/>
        </w:rPr>
      </w:pPr>
      <w:r w:rsidRPr="007C7DCB">
        <w:rPr>
          <w:rStyle w:val="EndnoteReference"/>
          <w:sz w:val="18"/>
          <w:szCs w:val="18"/>
          <w:lang w:val="en-GB"/>
        </w:rPr>
        <w:endnoteRef/>
      </w:r>
      <w:r w:rsidRPr="007C7DCB">
        <w:rPr>
          <w:sz w:val="18"/>
          <w:szCs w:val="18"/>
          <w:lang w:val="en-GB"/>
        </w:rPr>
        <w:t xml:space="preserve"> </w:t>
      </w:r>
      <w:r w:rsidRPr="007C7DCB">
        <w:rPr>
          <w:sz w:val="18"/>
          <w:szCs w:val="18"/>
          <w:lang w:val="en-GB"/>
        </w:rPr>
        <w:tab/>
      </w:r>
      <w:r w:rsidRPr="007C7DCB">
        <w:rPr>
          <w:spacing w:val="-4"/>
          <w:sz w:val="18"/>
          <w:szCs w:val="18"/>
          <w:lang w:val="en-GB"/>
        </w:rPr>
        <w:t xml:space="preserve">Repositioning the United Nations development system to deliver on the 2030 Agenda: ensuring a better future for all, Report of the Secretary-General, Implementation of General Assembly resolution 67/226 on the quadrennial comprehensive policy review of operational activities for development of the United Nations system, Report of the Secretary-General, A/72/124–E/2018/3, 11 July 2017, </w:t>
      </w:r>
      <w:proofErr w:type="spellStart"/>
      <w:r w:rsidRPr="007C7DCB">
        <w:rPr>
          <w:spacing w:val="-4"/>
          <w:sz w:val="18"/>
          <w:szCs w:val="18"/>
          <w:lang w:val="en-GB"/>
        </w:rPr>
        <w:t>paras</w:t>
      </w:r>
      <w:proofErr w:type="spellEnd"/>
      <w:r w:rsidRPr="007C7DCB">
        <w:rPr>
          <w:spacing w:val="-4"/>
          <w:sz w:val="18"/>
          <w:szCs w:val="18"/>
          <w:lang w:val="en-GB"/>
        </w:rPr>
        <w:t xml:space="preserve">. 2, 14, at: </w:t>
      </w:r>
      <w:hyperlink r:id="rId11" w:history="1">
        <w:r w:rsidRPr="007C7DCB">
          <w:rPr>
            <w:rStyle w:val="Hyperlink"/>
            <w:spacing w:val="-4"/>
            <w:sz w:val="18"/>
            <w:szCs w:val="18"/>
            <w:lang w:val="en-GB"/>
          </w:rPr>
          <w:t>https://undocs.org/A/72/124</w:t>
        </w:r>
      </w:hyperlink>
      <w:r w:rsidRPr="007C7DCB">
        <w:rPr>
          <w:spacing w:val="-4"/>
          <w:sz w:val="18"/>
          <w:szCs w:val="18"/>
          <w:lang w:val="en-GB"/>
        </w:rPr>
        <w:t>; Commitments to Action, World Humanitarian Summit, 23–25 May 2016, Core Responsibility 3</w:t>
      </w:r>
      <w:r w:rsidRPr="007C7DCB">
        <w:rPr>
          <w:spacing w:val="-4"/>
          <w:sz w:val="18"/>
          <w:szCs w:val="18"/>
          <w:rtl/>
          <w:lang w:val="en-GB"/>
        </w:rPr>
        <w:t>:</w:t>
      </w:r>
      <w:r w:rsidRPr="007C7DCB">
        <w:rPr>
          <w:spacing w:val="-4"/>
          <w:sz w:val="18"/>
          <w:szCs w:val="18"/>
          <w:lang w:val="en-GB"/>
        </w:rPr>
        <w:t xml:space="preserve"> Leave No One Behind, A. Reduce and address displacement, at: </w:t>
      </w:r>
    </w:p>
    <w:p w:rsidR="0098151C" w:rsidRDefault="0098151C" w:rsidP="007C7DCB">
      <w:pPr>
        <w:spacing w:after="0" w:line="240" w:lineRule="auto"/>
        <w:ind w:left="216" w:hanging="216"/>
        <w:jc w:val="lowKashida"/>
        <w:rPr>
          <w:spacing w:val="-4"/>
          <w:sz w:val="18"/>
          <w:szCs w:val="18"/>
          <w:lang w:val="en-GB"/>
        </w:rPr>
      </w:pPr>
      <w:r w:rsidRPr="007C7DCB">
        <w:rPr>
          <w:spacing w:val="-4"/>
          <w:sz w:val="18"/>
          <w:szCs w:val="18"/>
          <w:lang w:val="en-GB"/>
        </w:rPr>
        <w:tab/>
      </w:r>
      <w:hyperlink r:id="rId12" w:history="1">
        <w:r w:rsidRPr="007C7DCB">
          <w:rPr>
            <w:rStyle w:val="Hyperlink"/>
            <w:spacing w:val="-4"/>
            <w:sz w:val="18"/>
            <w:szCs w:val="18"/>
            <w:lang w:val="en-GB"/>
          </w:rPr>
          <w:t>https://www.worldhumanitariansummit.org/sites/default/files/media/WHS%20Commitment%20to%20Action_8September2016.pdf</w:t>
        </w:r>
      </w:hyperlink>
      <w:r w:rsidRPr="007C7DCB">
        <w:rPr>
          <w:spacing w:val="-4"/>
          <w:sz w:val="18"/>
          <w:szCs w:val="18"/>
          <w:lang w:val="en-GB"/>
        </w:rPr>
        <w:t xml:space="preserve">; ECOSOC, UNDG key messages for Workshop 5 (13 April 2016), at: </w:t>
      </w:r>
    </w:p>
    <w:p w:rsidR="0098151C" w:rsidRPr="007C7DCB" w:rsidRDefault="0098151C" w:rsidP="007C7DCB">
      <w:pPr>
        <w:spacing w:after="0" w:line="240" w:lineRule="auto"/>
        <w:ind w:left="216" w:hanging="216"/>
        <w:jc w:val="lowKashida"/>
        <w:rPr>
          <w:spacing w:val="-4"/>
          <w:sz w:val="18"/>
          <w:szCs w:val="18"/>
          <w:lang w:val="en-GB"/>
        </w:rPr>
      </w:pPr>
      <w:r>
        <w:rPr>
          <w:spacing w:val="-4"/>
          <w:sz w:val="18"/>
          <w:szCs w:val="18"/>
          <w:lang w:val="en-GB"/>
        </w:rPr>
        <w:tab/>
      </w:r>
      <w:hyperlink r:id="rId13" w:history="1">
        <w:r w:rsidRPr="007C7DCB">
          <w:rPr>
            <w:rStyle w:val="Hyperlink"/>
            <w:spacing w:val="-4"/>
            <w:sz w:val="18"/>
            <w:szCs w:val="18"/>
            <w:lang w:val="en-GB"/>
          </w:rPr>
          <w:t>https://www.un.org/ecosoc/sites/www.un.org.ecosoc/files/files/en/qcpr/undg-key-msgs-functions-and-funding.pdf</w:t>
        </w:r>
      </w:hyperlink>
      <w:r w:rsidRPr="007C7DCB">
        <w:rPr>
          <w:spacing w:val="-4"/>
          <w:sz w:val="18"/>
          <w:szCs w:val="18"/>
          <w:lang w:val="en-GB"/>
        </w:rPr>
        <w:t xml:space="preserve">; Recommendations of the International Team of Advisors, 16 June 2016, pp., 2, 4–5, at: </w:t>
      </w:r>
    </w:p>
    <w:p w:rsidR="0098151C" w:rsidRPr="007C7DCB" w:rsidRDefault="0098151C" w:rsidP="007C7DCB">
      <w:pPr>
        <w:spacing w:after="0" w:line="240" w:lineRule="auto"/>
        <w:ind w:left="216" w:hanging="216"/>
        <w:jc w:val="lowKashida"/>
        <w:rPr>
          <w:spacing w:val="-4"/>
          <w:sz w:val="18"/>
          <w:szCs w:val="18"/>
          <w:lang w:val="en-GB"/>
        </w:rPr>
      </w:pPr>
      <w:r w:rsidRPr="007C7DCB">
        <w:rPr>
          <w:spacing w:val="-4"/>
          <w:sz w:val="18"/>
          <w:szCs w:val="18"/>
          <w:lang w:val="en-GB"/>
        </w:rPr>
        <w:tab/>
      </w:r>
      <w:hyperlink r:id="rId14" w:history="1">
        <w:r w:rsidRPr="007C7DCB">
          <w:rPr>
            <w:rStyle w:val="Hyperlink"/>
            <w:spacing w:val="-4"/>
            <w:sz w:val="18"/>
            <w:szCs w:val="18"/>
            <w:lang w:val="en-GB"/>
          </w:rPr>
          <w:t>https://www.un.org/ecosoc/sites/www.un.org.ecosoc/files/files/en/qcpr/ita-findings-and-conclusions-16-jun-2016.pdf</w:t>
        </w:r>
      </w:hyperlink>
      <w:r w:rsidRPr="007C7DCB">
        <w:rPr>
          <w:spacing w:val="-4"/>
          <w:sz w:val="18"/>
          <w:szCs w:val="18"/>
          <w:lang w:val="en-GB"/>
        </w:rPr>
        <w:t xml:space="preserve">; Quadrennial review of the longer-term positioning of the UN Development System (e.g., Reports of the Secretary-General, A/71/63–E/2016/8, 31 December 2015, </w:t>
      </w:r>
      <w:proofErr w:type="spellStart"/>
      <w:r w:rsidRPr="007C7DCB">
        <w:rPr>
          <w:spacing w:val="-4"/>
          <w:sz w:val="18"/>
          <w:szCs w:val="18"/>
          <w:lang w:val="en-GB"/>
        </w:rPr>
        <w:t>para</w:t>
      </w:r>
      <w:proofErr w:type="spellEnd"/>
      <w:r w:rsidRPr="007C7DCB">
        <w:rPr>
          <w:spacing w:val="-4"/>
          <w:sz w:val="18"/>
          <w:szCs w:val="18"/>
          <w:lang w:val="en-GB"/>
        </w:rPr>
        <w:t xml:space="preserve">. 9, at: </w:t>
      </w:r>
      <w:hyperlink r:id="rId15" w:history="1">
        <w:r w:rsidRPr="007C7DCB">
          <w:rPr>
            <w:rStyle w:val="Hyperlink"/>
            <w:spacing w:val="-4"/>
            <w:sz w:val="18"/>
            <w:szCs w:val="18"/>
            <w:lang w:val="en-GB"/>
          </w:rPr>
          <w:t>https://undocs.org/A/71/63</w:t>
        </w:r>
      </w:hyperlink>
      <w:r w:rsidRPr="007C7DCB">
        <w:rPr>
          <w:spacing w:val="-4"/>
          <w:sz w:val="18"/>
          <w:szCs w:val="18"/>
          <w:lang w:val="en-GB"/>
        </w:rPr>
        <w:t xml:space="preserve">; Transforming our world: the 2030 Agenda for Sustainable Development, A/RES/70/1, </w:t>
      </w:r>
      <w:r w:rsidRPr="007C7DCB">
        <w:rPr>
          <w:i/>
          <w:iCs/>
          <w:spacing w:val="-4"/>
          <w:sz w:val="18"/>
          <w:szCs w:val="18"/>
          <w:lang w:val="en-GB"/>
        </w:rPr>
        <w:t>op. cit.</w:t>
      </w:r>
      <w:r w:rsidRPr="007C7DCB">
        <w:rPr>
          <w:spacing w:val="-4"/>
          <w:sz w:val="18"/>
          <w:szCs w:val="18"/>
          <w:lang w:val="en-GB"/>
        </w:rPr>
        <w:t xml:space="preserve">, at: </w:t>
      </w:r>
    </w:p>
    <w:p w:rsidR="0098151C" w:rsidRPr="007C7DCB" w:rsidRDefault="0098151C" w:rsidP="007C7DCB">
      <w:pPr>
        <w:spacing w:after="0" w:line="240" w:lineRule="auto"/>
        <w:ind w:left="216" w:hanging="216"/>
        <w:jc w:val="lowKashida"/>
        <w:rPr>
          <w:spacing w:val="-4"/>
          <w:sz w:val="18"/>
          <w:szCs w:val="18"/>
          <w:lang w:val="en-GB"/>
        </w:rPr>
      </w:pPr>
      <w:r w:rsidRPr="007C7DCB">
        <w:rPr>
          <w:spacing w:val="-4"/>
          <w:sz w:val="18"/>
          <w:szCs w:val="18"/>
          <w:lang w:val="en-GB"/>
        </w:rPr>
        <w:tab/>
      </w:r>
      <w:hyperlink r:id="rId16" w:history="1">
        <w:r w:rsidRPr="007C7DCB">
          <w:rPr>
            <w:rStyle w:val="Hyperlink"/>
            <w:spacing w:val="-4"/>
            <w:sz w:val="18"/>
            <w:szCs w:val="18"/>
            <w:lang w:val="en-GB"/>
          </w:rPr>
          <w:t>https://sustainabledevelopment.un.org/post2015/transformingourworld</w:t>
        </w:r>
      </w:hyperlink>
      <w:r w:rsidRPr="007C7DCB">
        <w:rPr>
          <w:spacing w:val="-4"/>
          <w:sz w:val="18"/>
          <w:szCs w:val="18"/>
          <w:lang w:val="en-GB"/>
        </w:rPr>
        <w:t xml:space="preserve">; “Quadrennial comprehensive policy review of operational activities for development of the United Nations system,” A/RES/67/226, 22 January 2012, at: </w:t>
      </w:r>
      <w:hyperlink r:id="rId17" w:history="1">
        <w:r w:rsidRPr="007C7DCB">
          <w:rPr>
            <w:rStyle w:val="Hyperlink"/>
            <w:spacing w:val="-4"/>
            <w:sz w:val="18"/>
            <w:szCs w:val="18"/>
            <w:lang w:val="en-GB"/>
          </w:rPr>
          <w:t>https://documents-dds-ny.un.org/doc/UNDOC/GEN/N12/492/16/PDF/N1249216.pdf?OpenElement</w:t>
        </w:r>
      </w:hyperlink>
      <w:r w:rsidRPr="007C7DCB">
        <w:rPr>
          <w:spacing w:val="-4"/>
          <w:sz w:val="18"/>
          <w:szCs w:val="18"/>
          <w:lang w:val="en-GB"/>
        </w:rPr>
        <w:t xml:space="preserve">; Committee on World Food Security, Framework for Action for Food Security and Nutrition in Protracted Crises, CFS 2015/42/4, 15 October 2015, </w:t>
      </w:r>
      <w:proofErr w:type="spellStart"/>
      <w:r w:rsidRPr="007C7DCB">
        <w:rPr>
          <w:spacing w:val="-4"/>
          <w:sz w:val="18"/>
          <w:szCs w:val="18"/>
          <w:lang w:val="en-GB"/>
        </w:rPr>
        <w:t>para</w:t>
      </w:r>
      <w:proofErr w:type="spellEnd"/>
      <w:r w:rsidRPr="007C7DCB">
        <w:rPr>
          <w:spacing w:val="-4"/>
          <w:sz w:val="18"/>
          <w:szCs w:val="18"/>
          <w:lang w:val="en-GB"/>
        </w:rPr>
        <w:t xml:space="preserve">. 16, at: </w:t>
      </w:r>
      <w:hyperlink r:id="rId18" w:history="1">
        <w:r w:rsidRPr="007C7DCB">
          <w:rPr>
            <w:rStyle w:val="Hyperlink"/>
            <w:spacing w:val="-4"/>
            <w:sz w:val="18"/>
            <w:szCs w:val="18"/>
            <w:lang w:val="en-GB"/>
          </w:rPr>
          <w:t>http://www.fao.org/3/a-bc852e.pdf</w:t>
        </w:r>
      </w:hyperlink>
      <w:r w:rsidRPr="007C7DCB">
        <w:rPr>
          <w:spacing w:val="-4"/>
          <w:sz w:val="18"/>
          <w:szCs w:val="18"/>
          <w:lang w:val="en-GB"/>
        </w:rPr>
        <w:t>.</w:t>
      </w:r>
    </w:p>
  </w:endnote>
  <w:endnote w:id="17">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cstheme="minorHAnsi"/>
          <w:i/>
          <w:iCs/>
          <w:spacing w:val="-4"/>
          <w:sz w:val="18"/>
          <w:szCs w:val="18"/>
          <w:lang w:val="en-GB"/>
        </w:rPr>
        <w:t>Israel VNR</w:t>
      </w:r>
      <w:r w:rsidRPr="007C7DCB">
        <w:rPr>
          <w:rFonts w:asciiTheme="minorHAnsi" w:hAnsiTheme="minorHAnsi"/>
          <w:sz w:val="18"/>
          <w:szCs w:val="18"/>
          <w:lang w:val="en-GB"/>
        </w:rPr>
        <w:t xml:space="preserve">,  </w:t>
      </w:r>
      <w:r w:rsidRPr="007C7DCB">
        <w:rPr>
          <w:rFonts w:asciiTheme="minorHAnsi" w:hAnsiTheme="minorHAnsi"/>
          <w:i/>
          <w:iCs/>
          <w:sz w:val="18"/>
          <w:szCs w:val="18"/>
          <w:lang w:val="en-GB"/>
        </w:rPr>
        <w:t xml:space="preserve">op. cit., </w:t>
      </w:r>
      <w:r w:rsidRPr="007C7DCB">
        <w:rPr>
          <w:rFonts w:asciiTheme="minorHAnsi" w:hAnsiTheme="minorHAnsi"/>
          <w:sz w:val="18"/>
          <w:szCs w:val="18"/>
          <w:lang w:val="en-GB"/>
        </w:rPr>
        <w:t>p. 18.</w:t>
      </w:r>
    </w:p>
  </w:endnote>
  <w:endnote w:id="18">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i/>
          <w:iCs/>
          <w:sz w:val="18"/>
          <w:szCs w:val="18"/>
          <w:lang w:val="en-GB"/>
        </w:rPr>
        <w:t>Ibid.</w:t>
      </w:r>
      <w:r w:rsidRPr="007C7DCB">
        <w:rPr>
          <w:rFonts w:asciiTheme="minorHAnsi" w:hAnsiTheme="minorHAnsi"/>
          <w:sz w:val="18"/>
          <w:szCs w:val="18"/>
          <w:lang w:val="en-GB"/>
        </w:rPr>
        <w:t>, p. 30.</w:t>
      </w:r>
    </w:p>
  </w:endnote>
  <w:endnote w:id="19">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i/>
          <w:iCs/>
          <w:sz w:val="18"/>
          <w:szCs w:val="18"/>
          <w:lang w:val="en-GB"/>
        </w:rPr>
        <w:t>Ibid.</w:t>
      </w:r>
      <w:r w:rsidRPr="007C7DCB">
        <w:rPr>
          <w:rFonts w:asciiTheme="minorHAnsi" w:hAnsiTheme="minorHAnsi"/>
          <w:sz w:val="18"/>
          <w:szCs w:val="18"/>
          <w:lang w:val="en-GB"/>
        </w:rPr>
        <w:t>, p. 29.</w:t>
      </w:r>
    </w:p>
  </w:endnote>
  <w:endnote w:id="20">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r w:rsidRPr="007C7DCB">
        <w:rPr>
          <w:rFonts w:asciiTheme="minorHAnsi" w:hAnsiTheme="minorHAnsi"/>
          <w:i/>
          <w:iCs/>
          <w:sz w:val="18"/>
          <w:szCs w:val="18"/>
          <w:lang w:val="en-GB"/>
        </w:rPr>
        <w:t>Ibid.</w:t>
      </w:r>
      <w:r w:rsidRPr="007C7DCB">
        <w:rPr>
          <w:rFonts w:asciiTheme="minorHAnsi" w:hAnsiTheme="minorHAnsi"/>
          <w:sz w:val="18"/>
          <w:szCs w:val="18"/>
          <w:lang w:val="en-GB"/>
        </w:rPr>
        <w:t>, p. 155.</w:t>
      </w:r>
    </w:p>
  </w:endnote>
  <w:endnote w:id="21">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At 1:31:10, at: </w:t>
      </w:r>
      <w:hyperlink r:id="rId19" w:history="1">
        <w:r w:rsidRPr="007C7DCB">
          <w:rPr>
            <w:rStyle w:val="Hyperlink"/>
            <w:rFonts w:asciiTheme="minorHAnsi" w:hAnsiTheme="minorHAnsi" w:cstheme="minorHAnsi"/>
            <w:sz w:val="18"/>
            <w:szCs w:val="18"/>
            <w:lang w:val="en-GB"/>
          </w:rPr>
          <w:t>http://webtv.un.org/search/part-1-2019-high-level-political-forum-on-sustainable-development-hlpf-2019-20th-meeting/6060480078001/?term=2019-07-17&amp;lan=English&amp;sort=date&amp;page=1</w:t>
        </w:r>
      </w:hyperlink>
      <w:r w:rsidRPr="007C7DCB">
        <w:rPr>
          <w:rFonts w:asciiTheme="minorHAnsi" w:hAnsiTheme="minorHAnsi" w:cstheme="minorHAnsi"/>
          <w:sz w:val="18"/>
          <w:szCs w:val="18"/>
          <w:lang w:val="en-GB"/>
        </w:rPr>
        <w:t xml:space="preserve">. </w:t>
      </w:r>
    </w:p>
  </w:endnote>
  <w:endnote w:id="22">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“Transforming our world: the 2030 Agenda for Sustainable Development,” A/RES/70/1, 21 October 2015, </w:t>
      </w:r>
      <w:proofErr w:type="spellStart"/>
      <w:r w:rsidRPr="007C7DCB">
        <w:rPr>
          <w:rFonts w:asciiTheme="minorHAnsi" w:hAnsiTheme="minorHAnsi" w:cstheme="minorHAnsi"/>
          <w:sz w:val="18"/>
          <w:szCs w:val="18"/>
          <w:lang w:val="en-GB"/>
        </w:rPr>
        <w:t>paras</w:t>
      </w:r>
      <w:proofErr w:type="spellEnd"/>
      <w:r w:rsidRPr="007C7DCB">
        <w:rPr>
          <w:rFonts w:asciiTheme="minorHAnsi" w:hAnsiTheme="minorHAnsi" w:cstheme="minorHAnsi"/>
          <w:sz w:val="18"/>
          <w:szCs w:val="18"/>
          <w:lang w:val="en-GB"/>
        </w:rPr>
        <w:t xml:space="preserve">. 10 and 18,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Fonts w:asciiTheme="minorHAnsi" w:hAnsiTheme="minorHAnsi"/>
          <w:sz w:val="18"/>
          <w:szCs w:val="18"/>
          <w:lang w:val="en-GB"/>
        </w:rPr>
        <w:tab/>
      </w:r>
      <w:hyperlink r:id="rId20" w:history="1">
        <w:r w:rsidRPr="007C7DCB">
          <w:rPr>
            <w:rStyle w:val="Hyperlink"/>
            <w:rFonts w:asciiTheme="minorHAnsi" w:hAnsiTheme="minorHAnsi" w:cstheme="minorHAnsi"/>
            <w:sz w:val="18"/>
            <w:szCs w:val="18"/>
            <w:lang w:val="en-GB"/>
          </w:rPr>
          <w:t>https://www.un.org/en/development/desa/population/migration/generalassembly/docs/globalcompact/A_RES_70_1_E.pdf</w:t>
        </w:r>
      </w:hyperlink>
      <w:r w:rsidRPr="007C7DCB">
        <w:rPr>
          <w:rFonts w:asciiTheme="minorHAnsi" w:hAnsiTheme="minorHAnsi" w:cstheme="minorHAnsi"/>
          <w:sz w:val="18"/>
          <w:szCs w:val="18"/>
          <w:lang w:val="en-GB"/>
        </w:rPr>
        <w:t>. States affirmed their commitment to align sustainable development with human rights 14 times throughout the resolution.</w:t>
      </w:r>
    </w:p>
  </w:endnote>
  <w:endnote w:id="23">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Fourth periodic report submitted by Israel under articles 16 and 17 of the Covenant, due in 2016, E/C.12/ISR/4, 14 January 2019, </w:t>
      </w:r>
      <w:proofErr w:type="spellStart"/>
      <w:r w:rsidRPr="007C7DCB">
        <w:rPr>
          <w:rFonts w:asciiTheme="minorHAnsi" w:hAnsiTheme="minorHAnsi"/>
          <w:sz w:val="18"/>
          <w:szCs w:val="18"/>
          <w:lang w:val="en-GB"/>
        </w:rPr>
        <w:t>paras</w:t>
      </w:r>
      <w:proofErr w:type="spellEnd"/>
      <w:r w:rsidRPr="007C7DCB">
        <w:rPr>
          <w:rFonts w:asciiTheme="minorHAnsi" w:hAnsiTheme="minorHAnsi"/>
          <w:sz w:val="18"/>
          <w:szCs w:val="18"/>
          <w:lang w:val="en-GB"/>
        </w:rPr>
        <w:t xml:space="preserve">. 31–43,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sz w:val="18"/>
          <w:szCs w:val="18"/>
          <w:lang w:val="en-GB"/>
        </w:rPr>
        <w:tab/>
      </w:r>
      <w:hyperlink r:id="rId21" w:history="1">
        <w:r w:rsidRPr="007C7DCB">
          <w:rPr>
            <w:rStyle w:val="Hyperlink"/>
            <w:rFonts w:asciiTheme="minorHAnsi" w:hAnsiTheme="minorHAnsi"/>
            <w:sz w:val="18"/>
            <w:szCs w:val="18"/>
            <w:lang w:val="en-GB"/>
          </w:rPr>
          <w:t>https://tbinternet.ohchr.org/_layouts/15/treatybodyexternal/Download.aspx?symbolno=E%2fC.12%2fISR%2f4&amp;Lang=en</w:t>
        </w:r>
      </w:hyperlink>
      <w:r w:rsidRPr="007C7DCB">
        <w:rPr>
          <w:rFonts w:asciiTheme="minorHAnsi" w:hAnsiTheme="minorHAnsi"/>
          <w:sz w:val="18"/>
          <w:szCs w:val="18"/>
          <w:lang w:val="en-GB"/>
        </w:rPr>
        <w:t xml:space="preserve">. </w:t>
      </w:r>
    </w:p>
  </w:endnote>
  <w:endnote w:id="24">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List of issues in relation to the </w:t>
      </w:r>
      <w:fldSimple w:instr=" DOCPROPERTY  prep  \* MERGEFORMAT ">
        <w:r w:rsidRPr="007C7DCB">
          <w:rPr>
            <w:rFonts w:asciiTheme="minorHAnsi" w:hAnsiTheme="minorHAnsi"/>
            <w:sz w:val="18"/>
            <w:szCs w:val="18"/>
            <w:lang w:val="en-GB"/>
          </w:rPr>
          <w:t>fourth periodic report of Israel</w:t>
        </w:r>
      </w:fldSimple>
      <w:r w:rsidRPr="007C7DCB">
        <w:rPr>
          <w:rFonts w:asciiTheme="minorHAnsi" w:hAnsiTheme="minorHAnsi"/>
          <w:sz w:val="18"/>
          <w:szCs w:val="18"/>
          <w:lang w:val="en-GB"/>
        </w:rPr>
        <w:t>, E/</w:t>
      </w:r>
      <w:fldSimple w:instr=" DOCPROPERTY  sym1  \* MERGEFORMAT ">
        <w:r w:rsidRPr="007C7DCB">
          <w:rPr>
            <w:rFonts w:asciiTheme="minorHAnsi" w:hAnsiTheme="minorHAnsi"/>
            <w:sz w:val="18"/>
            <w:szCs w:val="18"/>
            <w:lang w:val="en-GB"/>
          </w:rPr>
          <w:t>C.12/ISR/Q/4</w:t>
        </w:r>
      </w:fldSimple>
      <w:r w:rsidRPr="007C7DCB">
        <w:rPr>
          <w:rFonts w:asciiTheme="minorHAnsi" w:hAnsiTheme="minorHAnsi"/>
          <w:sz w:val="18"/>
          <w:szCs w:val="18"/>
          <w:lang w:val="en-GB"/>
        </w:rPr>
        <w:t xml:space="preserve">, 15 March 2019, </w:t>
      </w:r>
      <w:proofErr w:type="spellStart"/>
      <w:r w:rsidRPr="007C7DCB">
        <w:rPr>
          <w:rFonts w:asciiTheme="minorHAnsi" w:hAnsiTheme="minorHAnsi"/>
          <w:sz w:val="18"/>
          <w:szCs w:val="18"/>
          <w:lang w:val="en-GB"/>
        </w:rPr>
        <w:t>paras</w:t>
      </w:r>
      <w:proofErr w:type="spellEnd"/>
      <w:r w:rsidRPr="007C7DCB">
        <w:rPr>
          <w:rFonts w:asciiTheme="minorHAnsi" w:hAnsiTheme="minorHAnsi"/>
          <w:sz w:val="18"/>
          <w:szCs w:val="18"/>
          <w:lang w:val="en-GB"/>
        </w:rPr>
        <w:t xml:space="preserve">. 17–20, at: </w:t>
      </w:r>
      <w:hyperlink r:id="rId22" w:history="1">
        <w:r w:rsidRPr="007C7DCB">
          <w:rPr>
            <w:rStyle w:val="Hyperlink"/>
            <w:rFonts w:asciiTheme="minorHAnsi" w:hAnsiTheme="minorHAnsi"/>
            <w:sz w:val="18"/>
            <w:szCs w:val="18"/>
            <w:lang w:val="en-GB"/>
          </w:rPr>
          <w:t>https://tbinternet.ohchr.org/_layouts/15/treatybodyexternal/Download.aspx?symbolno=E%2fC.12%2fISR%2fQ%2f4&amp;Lang=en</w:t>
        </w:r>
      </w:hyperlink>
      <w:r w:rsidRPr="007C7DCB">
        <w:rPr>
          <w:rFonts w:asciiTheme="minorHAnsi" w:hAnsiTheme="minorHAnsi"/>
          <w:sz w:val="18"/>
          <w:szCs w:val="18"/>
          <w:lang w:val="en-GB"/>
        </w:rPr>
        <w:t xml:space="preserve">. </w:t>
      </w:r>
    </w:p>
  </w:endnote>
  <w:endnote w:id="25">
    <w:p w:rsidR="0098151C" w:rsidRPr="007C7DCB" w:rsidRDefault="0098151C" w:rsidP="007C7DCB">
      <w:pPr>
        <w:spacing w:after="0" w:line="240" w:lineRule="auto"/>
        <w:ind w:left="216" w:hanging="216"/>
        <w:jc w:val="lowKashida"/>
        <w:rPr>
          <w:rFonts w:eastAsia="SimSun"/>
          <w:sz w:val="18"/>
          <w:szCs w:val="18"/>
          <w:lang w:val="en-GB" w:eastAsia="zh-CN"/>
        </w:rPr>
      </w:pPr>
      <w:r w:rsidRPr="007C7DCB">
        <w:rPr>
          <w:rStyle w:val="EndnoteReference"/>
          <w:sz w:val="18"/>
          <w:szCs w:val="18"/>
          <w:lang w:val="en-GB"/>
        </w:rPr>
        <w:endnoteRef/>
      </w:r>
      <w:r w:rsidRPr="007C7DCB">
        <w:rPr>
          <w:sz w:val="18"/>
          <w:szCs w:val="18"/>
          <w:lang w:val="en-GB"/>
        </w:rPr>
        <w:t xml:space="preserve"> </w:t>
      </w:r>
      <w:r w:rsidRPr="007C7DCB">
        <w:rPr>
          <w:sz w:val="18"/>
          <w:szCs w:val="18"/>
          <w:lang w:val="en-GB"/>
        </w:rPr>
        <w:tab/>
        <w:t xml:space="preserve">Annex No. I Attached To Israel's Replies to List of Issues in relation to the </w:t>
      </w:r>
      <w:fldSimple w:instr=" DOCPROPERTY  prep  \* MERGEFORMAT ">
        <w:r w:rsidRPr="007C7DCB">
          <w:rPr>
            <w:sz w:val="18"/>
            <w:szCs w:val="18"/>
            <w:lang w:val="en-GB"/>
          </w:rPr>
          <w:t>Fourth Periodic Report of Israel</w:t>
        </w:r>
      </w:fldSimple>
      <w:r w:rsidRPr="007C7DCB">
        <w:rPr>
          <w:sz w:val="18"/>
          <w:szCs w:val="18"/>
          <w:lang w:val="en-GB"/>
        </w:rPr>
        <w:t xml:space="preserve">, </w:t>
      </w:r>
      <w:r w:rsidRPr="007C7DCB">
        <w:rPr>
          <w:rFonts w:eastAsia="SimSun"/>
          <w:sz w:val="18"/>
          <w:szCs w:val="18"/>
          <w:lang w:val="en-GB" w:eastAsia="zh-CN"/>
        </w:rPr>
        <w:t xml:space="preserve">Table No. 10 - </w:t>
      </w:r>
      <w:proofErr w:type="spellStart"/>
      <w:r w:rsidRPr="007C7DCB">
        <w:rPr>
          <w:rFonts w:eastAsia="SimSun"/>
          <w:sz w:val="18"/>
          <w:szCs w:val="18"/>
          <w:lang w:val="en-GB" w:eastAsia="zh-CN"/>
        </w:rPr>
        <w:t>Labor</w:t>
      </w:r>
      <w:proofErr w:type="spellEnd"/>
      <w:r w:rsidRPr="007C7DCB">
        <w:rPr>
          <w:rFonts w:eastAsia="SimSun"/>
          <w:sz w:val="18"/>
          <w:szCs w:val="18"/>
          <w:lang w:val="en-GB" w:eastAsia="zh-CN"/>
        </w:rPr>
        <w:t xml:space="preserve"> Force Participation Disaggregated by Gender and Ethnicity, p. 40, at: </w:t>
      </w:r>
    </w:p>
    <w:p w:rsidR="0098151C" w:rsidRPr="007C7DCB" w:rsidRDefault="0098151C" w:rsidP="007C7DCB">
      <w:pPr>
        <w:spacing w:after="0" w:line="240" w:lineRule="auto"/>
        <w:ind w:left="216" w:hanging="216"/>
        <w:jc w:val="lowKashida"/>
        <w:rPr>
          <w:sz w:val="18"/>
          <w:szCs w:val="18"/>
          <w:lang w:val="en-GB"/>
        </w:rPr>
      </w:pPr>
      <w:r w:rsidRPr="007C7DCB">
        <w:rPr>
          <w:rFonts w:eastAsia="SimSun"/>
          <w:sz w:val="18"/>
          <w:szCs w:val="18"/>
          <w:lang w:val="en-GB" w:eastAsia="zh-CN"/>
        </w:rPr>
        <w:tab/>
      </w:r>
      <w:hyperlink r:id="rId23" w:history="1">
        <w:r w:rsidRPr="007C7DCB">
          <w:rPr>
            <w:rStyle w:val="Hyperlink"/>
            <w:rFonts w:eastAsia="SimSun"/>
            <w:sz w:val="18"/>
            <w:szCs w:val="18"/>
            <w:lang w:val="en-GB" w:eastAsia="zh-CN"/>
          </w:rPr>
          <w:t>https://tbinternet.ohchr.org/_layouts/15/treatybodyexternal/Download.aspx?symbolno=INT%2fCESCR%2fARL%2fISR%2f35805&amp;Lang=en</w:t>
        </w:r>
      </w:hyperlink>
      <w:r w:rsidRPr="007C7DCB">
        <w:rPr>
          <w:rFonts w:eastAsia="SimSun"/>
          <w:sz w:val="18"/>
          <w:szCs w:val="18"/>
          <w:lang w:val="en-GB" w:eastAsia="zh-CN"/>
        </w:rPr>
        <w:t>.</w:t>
      </w:r>
    </w:p>
  </w:endnote>
  <w:endnote w:id="26">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“Human rights situation in the Occupied Palestinian Territory, including East Jerusalem,” Report of the General Secretary A/HRC/34/38, 13 April 2017, </w:t>
      </w:r>
      <w:proofErr w:type="spellStart"/>
      <w:r w:rsidRPr="007C7DCB">
        <w:rPr>
          <w:rFonts w:asciiTheme="minorHAnsi" w:hAnsiTheme="minorHAnsi" w:cstheme="minorHAnsi"/>
          <w:sz w:val="18"/>
          <w:szCs w:val="18"/>
        </w:rPr>
        <w:t>para</w:t>
      </w:r>
      <w:proofErr w:type="spellEnd"/>
      <w:r w:rsidRPr="007C7DCB">
        <w:rPr>
          <w:rFonts w:asciiTheme="minorHAnsi" w:hAnsiTheme="minorHAnsi" w:cstheme="minorHAnsi"/>
          <w:sz w:val="18"/>
          <w:szCs w:val="18"/>
        </w:rPr>
        <w:t xml:space="preserve">. 66, at: </w:t>
      </w:r>
      <w:hyperlink r:id="rId24" w:history="1">
        <w:r w:rsidRPr="007C7DCB">
          <w:rPr>
            <w:rStyle w:val="Hyperlink"/>
            <w:rFonts w:asciiTheme="minorHAnsi" w:hAnsiTheme="minorHAnsi" w:cstheme="minorHAnsi"/>
            <w:sz w:val="18"/>
            <w:szCs w:val="18"/>
          </w:rPr>
          <w:t>https://undocs.org/A/HRC/34/38</w:t>
        </w:r>
      </w:hyperlink>
      <w:r w:rsidRPr="007C7DCB">
        <w:rPr>
          <w:rFonts w:asciiTheme="minorHAnsi" w:hAnsiTheme="minorHAnsi" w:cstheme="minorHAnsi"/>
          <w:sz w:val="18"/>
          <w:szCs w:val="18"/>
        </w:rPr>
        <w:t xml:space="preserve">. See also “Human rights situation in Palestine and other occupied Arab territories,” Report of the independent international fact-finding mission to investigate the implications of the Israeli settlements on the civil, political, economic, social and cultural rights of the Palestinian people throughout the Occupied Palestinian Territory, including East Jerusalem, A/HRC/22/63, 7 February 2013, </w:t>
      </w:r>
      <w:proofErr w:type="spellStart"/>
      <w:r w:rsidRPr="007C7DCB">
        <w:rPr>
          <w:rFonts w:asciiTheme="minorHAnsi" w:hAnsiTheme="minorHAnsi" w:cstheme="minorHAnsi"/>
          <w:sz w:val="18"/>
          <w:szCs w:val="18"/>
        </w:rPr>
        <w:t>para</w:t>
      </w:r>
      <w:proofErr w:type="spellEnd"/>
      <w:r w:rsidRPr="007C7DCB">
        <w:rPr>
          <w:rFonts w:asciiTheme="minorHAnsi" w:hAnsiTheme="minorHAnsi" w:cstheme="minorHAnsi"/>
          <w:sz w:val="18"/>
          <w:szCs w:val="18"/>
        </w:rPr>
        <w:t xml:space="preserve">. 89,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Fonts w:asciiTheme="minorHAnsi" w:hAnsiTheme="minorHAnsi" w:cstheme="minorHAnsi"/>
          <w:sz w:val="18"/>
          <w:szCs w:val="18"/>
        </w:rPr>
        <w:tab/>
      </w:r>
      <w:hyperlink r:id="rId25" w:history="1">
        <w:r w:rsidRPr="007C7DCB">
          <w:rPr>
            <w:rStyle w:val="Hyperlink"/>
            <w:rFonts w:asciiTheme="minorHAnsi" w:hAnsiTheme="minorHAnsi" w:cstheme="minorHAnsi"/>
            <w:sz w:val="18"/>
            <w:szCs w:val="18"/>
          </w:rPr>
          <w:t>https://unispal.un.org/DPA/DPR/unispal.nsf/5ba47a5c6cef541b802563e000493b8c/0aed277dcbb2bcf585257b0400568621</w:t>
        </w:r>
      </w:hyperlink>
      <w:r w:rsidRPr="007C7DCB">
        <w:rPr>
          <w:rStyle w:val="Hyperlink"/>
          <w:rFonts w:asciiTheme="minorHAnsi" w:hAnsiTheme="minorHAnsi" w:cstheme="minorHAnsi"/>
          <w:sz w:val="18"/>
          <w:szCs w:val="18"/>
        </w:rPr>
        <w:t>.</w:t>
      </w:r>
    </w:p>
  </w:endnote>
  <w:endnote w:id="27">
    <w:p w:rsidR="0098151C" w:rsidRPr="007C7DCB" w:rsidRDefault="0098151C" w:rsidP="007C7DCB">
      <w:pPr>
        <w:pStyle w:val="EndnoteText"/>
        <w:spacing w:line="240" w:lineRule="auto"/>
        <w:ind w:left="216" w:hanging="216"/>
        <w:jc w:val="lowKashida"/>
        <w:rPr>
          <w:rFonts w:asciiTheme="minorHAnsi" w:hAnsiTheme="minorHAnsi"/>
          <w:sz w:val="18"/>
          <w:szCs w:val="18"/>
        </w:rPr>
      </w:pPr>
      <w:r w:rsidRPr="007C7DCB">
        <w:rPr>
          <w:rStyle w:val="EndnoteReference"/>
          <w:rFonts w:asciiTheme="minorHAnsi" w:hAnsiTheme="minorHAnsi"/>
          <w:sz w:val="18"/>
          <w:szCs w:val="18"/>
        </w:rPr>
        <w:endnoteRef/>
      </w:r>
      <w:r w:rsidRPr="007C7DCB">
        <w:rPr>
          <w:rFonts w:asciiTheme="minorHAnsi" w:hAnsiTheme="minorHAnsi"/>
          <w:sz w:val="18"/>
          <w:szCs w:val="18"/>
        </w:rPr>
        <w:t xml:space="preserve"> In the terms of the prohibition enshrined in Covenant Article 1.2.</w:t>
      </w:r>
    </w:p>
  </w:endnote>
  <w:endnote w:id="28">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w:t>
      </w:r>
      <w:r w:rsidRPr="007C7DCB">
        <w:rPr>
          <w:rFonts w:asciiTheme="minorHAnsi" w:hAnsiTheme="minorHAnsi" w:cstheme="minorHAnsi"/>
          <w:sz w:val="18"/>
          <w:szCs w:val="18"/>
        </w:rPr>
        <w:tab/>
        <w:t xml:space="preserve">World Food </w:t>
      </w:r>
      <w:proofErr w:type="spellStart"/>
      <w:r w:rsidRPr="007C7DCB">
        <w:rPr>
          <w:rFonts w:asciiTheme="minorHAnsi" w:hAnsiTheme="minorHAnsi" w:cstheme="minorHAnsi"/>
          <w:sz w:val="18"/>
          <w:szCs w:val="18"/>
        </w:rPr>
        <w:t>Programme</w:t>
      </w:r>
      <w:proofErr w:type="spellEnd"/>
      <w:r w:rsidRPr="007C7DCB">
        <w:rPr>
          <w:rFonts w:asciiTheme="minorHAnsi" w:hAnsiTheme="minorHAnsi" w:cstheme="minorHAnsi"/>
          <w:sz w:val="18"/>
          <w:szCs w:val="18"/>
        </w:rPr>
        <w:t xml:space="preserve">, “State of Palestine,” </w:t>
      </w:r>
      <w:hyperlink r:id="rId26" w:history="1">
        <w:r w:rsidRPr="007C7DCB">
          <w:rPr>
            <w:rStyle w:val="Hyperlink"/>
            <w:rFonts w:asciiTheme="minorHAnsi" w:hAnsiTheme="minorHAnsi" w:cstheme="minorHAnsi"/>
            <w:sz w:val="18"/>
            <w:szCs w:val="18"/>
          </w:rPr>
          <w:t>http://www1.wfp.org/countries/state-palestine</w:t>
        </w:r>
      </w:hyperlink>
      <w:r w:rsidRPr="007C7DCB">
        <w:rPr>
          <w:rFonts w:asciiTheme="minorHAnsi" w:hAnsiTheme="minorHAnsi" w:cstheme="minorHAnsi"/>
          <w:sz w:val="18"/>
          <w:szCs w:val="18"/>
        </w:rPr>
        <w:t>, accessed on 19 October 2018.</w:t>
      </w:r>
    </w:p>
  </w:endnote>
  <w:endnote w:id="29">
    <w:p w:rsidR="0098151C" w:rsidRPr="007C7DCB" w:rsidRDefault="0098151C" w:rsidP="007C7DCB">
      <w:pPr>
        <w:pStyle w:val="EndnoteText"/>
        <w:spacing w:line="240" w:lineRule="auto"/>
        <w:ind w:left="216" w:hanging="216"/>
        <w:jc w:val="lowKashida"/>
        <w:rPr>
          <w:rFonts w:asciiTheme="minorHAnsi" w:hAnsiTheme="minorHAnsi" w:cstheme="minorHAnsi"/>
          <w:spacing w:val="-6"/>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w:t>
      </w:r>
      <w:r w:rsidRPr="007C7DCB">
        <w:rPr>
          <w:rFonts w:asciiTheme="minorHAnsi" w:hAnsiTheme="minorHAnsi" w:cstheme="minorHAnsi"/>
          <w:sz w:val="18"/>
          <w:szCs w:val="18"/>
        </w:rPr>
        <w:tab/>
      </w:r>
      <w:r w:rsidRPr="007C7DCB">
        <w:rPr>
          <w:rFonts w:asciiTheme="minorHAnsi" w:hAnsiTheme="minorHAnsi" w:cstheme="minorHAnsi"/>
          <w:spacing w:val="-2"/>
          <w:sz w:val="18"/>
          <w:szCs w:val="18"/>
        </w:rPr>
        <w:t xml:space="preserve">Z. </w:t>
      </w:r>
      <w:proofErr w:type="spellStart"/>
      <w:r w:rsidRPr="007C7DCB">
        <w:rPr>
          <w:rFonts w:asciiTheme="minorHAnsi" w:hAnsiTheme="minorHAnsi" w:cstheme="minorHAnsi"/>
          <w:spacing w:val="-2"/>
          <w:sz w:val="18"/>
          <w:szCs w:val="18"/>
        </w:rPr>
        <w:t>Brophy</w:t>
      </w:r>
      <w:proofErr w:type="spellEnd"/>
      <w:r w:rsidRPr="007C7DCB">
        <w:rPr>
          <w:rFonts w:asciiTheme="minorHAnsi" w:hAnsiTheme="minorHAnsi" w:cstheme="minorHAnsi"/>
          <w:spacing w:val="-2"/>
          <w:sz w:val="18"/>
          <w:szCs w:val="18"/>
        </w:rPr>
        <w:t xml:space="preserve"> and </w:t>
      </w:r>
      <w:proofErr w:type="spellStart"/>
      <w:r w:rsidRPr="007C7DCB">
        <w:rPr>
          <w:rFonts w:asciiTheme="minorHAnsi" w:hAnsiTheme="minorHAnsi" w:cstheme="minorHAnsi"/>
          <w:spacing w:val="-2"/>
          <w:sz w:val="18"/>
          <w:szCs w:val="18"/>
        </w:rPr>
        <w:t>Jad</w:t>
      </w:r>
      <w:proofErr w:type="spellEnd"/>
      <w:r w:rsidRPr="007C7DCB">
        <w:rPr>
          <w:rFonts w:asciiTheme="minorHAnsi" w:hAnsiTheme="minorHAnsi" w:cstheme="minorHAnsi"/>
          <w:spacing w:val="-2"/>
          <w:sz w:val="18"/>
          <w:szCs w:val="18"/>
        </w:rPr>
        <w:t xml:space="preserve"> Isaac, "The environmental impact of Israeli military activities in the occupied Palestinian territory,” (Bethlehem: Applied Research Institute – Jerusalem (ARIJ), 2009), at:</w:t>
      </w:r>
      <w:r w:rsidRPr="007C7DCB">
        <w:rPr>
          <w:rFonts w:asciiTheme="minorHAnsi" w:hAnsiTheme="minorHAnsi" w:cstheme="minorHAnsi"/>
          <w:spacing w:val="-6"/>
          <w:sz w:val="18"/>
          <w:szCs w:val="18"/>
        </w:rPr>
        <w:tab/>
      </w:r>
    </w:p>
    <w:p w:rsidR="0098151C" w:rsidRPr="007C7DCB" w:rsidRDefault="0098151C" w:rsidP="007C7DCB">
      <w:pPr>
        <w:pStyle w:val="EndnoteText"/>
        <w:spacing w:line="240" w:lineRule="auto"/>
        <w:ind w:left="216" w:hanging="216"/>
        <w:jc w:val="lowKashida"/>
        <w:rPr>
          <w:rFonts w:asciiTheme="minorHAnsi" w:hAnsiTheme="minorHAnsi" w:cstheme="minorHAnsi"/>
          <w:spacing w:val="-6"/>
          <w:sz w:val="18"/>
          <w:szCs w:val="18"/>
        </w:rPr>
      </w:pPr>
      <w:r w:rsidRPr="007C7DCB">
        <w:rPr>
          <w:rFonts w:asciiTheme="minorHAnsi" w:hAnsiTheme="minorHAnsi" w:cstheme="minorHAnsi"/>
          <w:spacing w:val="-6"/>
          <w:sz w:val="18"/>
          <w:szCs w:val="18"/>
        </w:rPr>
        <w:tab/>
      </w:r>
      <w:hyperlink r:id="rId27" w:history="1">
        <w:r w:rsidRPr="007C7DCB">
          <w:rPr>
            <w:rStyle w:val="Hyperlink"/>
            <w:rFonts w:asciiTheme="minorHAnsi" w:hAnsiTheme="minorHAnsi" w:cstheme="minorHAnsi"/>
            <w:spacing w:val="-6"/>
            <w:sz w:val="18"/>
            <w:szCs w:val="18"/>
          </w:rPr>
          <w:t>http://www.arij.org/files/admin/2009/The%20environmental%20impact%20of%20Israeli%20military.pdf</w:t>
        </w:r>
      </w:hyperlink>
      <w:r w:rsidRPr="007C7DCB">
        <w:rPr>
          <w:rFonts w:asciiTheme="minorHAnsi" w:hAnsiTheme="minorHAnsi" w:cstheme="minorHAnsi"/>
          <w:spacing w:val="-6"/>
          <w:sz w:val="18"/>
          <w:szCs w:val="18"/>
        </w:rPr>
        <w:t xml:space="preserve">; </w:t>
      </w:r>
      <w:r w:rsidRPr="007C7DCB">
        <w:rPr>
          <w:rFonts w:asciiTheme="minorHAnsi" w:hAnsiTheme="minorHAnsi" w:cstheme="minorHAnsi"/>
          <w:i/>
          <w:iCs/>
          <w:spacing w:val="-6"/>
          <w:sz w:val="18"/>
          <w:szCs w:val="18"/>
        </w:rPr>
        <w:t>The Military’s Impact on the Environment: A Neglected Aspect of the Sustainable Development Debate</w:t>
      </w:r>
      <w:r w:rsidRPr="007C7DCB">
        <w:rPr>
          <w:rFonts w:asciiTheme="minorHAnsi" w:hAnsiTheme="minorHAnsi" w:cstheme="minorHAnsi"/>
          <w:spacing w:val="-6"/>
          <w:sz w:val="18"/>
          <w:szCs w:val="18"/>
        </w:rPr>
        <w:t xml:space="preserve"> (Geneva: International Peace Bureau, August 2002), at: </w:t>
      </w:r>
      <w:hyperlink r:id="rId28" w:history="1">
        <w:r w:rsidRPr="007C7DCB">
          <w:rPr>
            <w:rStyle w:val="Hyperlink"/>
            <w:rFonts w:asciiTheme="minorHAnsi" w:hAnsiTheme="minorHAnsi" w:cstheme="minorHAnsi"/>
            <w:spacing w:val="-6"/>
            <w:sz w:val="18"/>
            <w:szCs w:val="18"/>
          </w:rPr>
          <w:t>https://www.ipb.org/wp-content/uploads/2017/03/briefing-paper.pdf</w:t>
        </w:r>
      </w:hyperlink>
      <w:r>
        <w:rPr>
          <w:rFonts w:asciiTheme="minorHAnsi" w:hAnsiTheme="minorHAnsi" w:cstheme="minorHAnsi"/>
          <w:spacing w:val="-6"/>
          <w:sz w:val="18"/>
          <w:szCs w:val="18"/>
        </w:rPr>
        <w:t>.</w:t>
      </w:r>
    </w:p>
  </w:endnote>
  <w:endnote w:id="30">
    <w:p w:rsidR="0098151C" w:rsidRPr="007C7DCB" w:rsidRDefault="0098151C" w:rsidP="007C7DCB">
      <w:pPr>
        <w:pStyle w:val="EndnoteText"/>
        <w:spacing w:line="240" w:lineRule="auto"/>
        <w:ind w:left="216" w:hanging="216"/>
        <w:jc w:val="lowKashida"/>
        <w:rPr>
          <w:rFonts w:asciiTheme="minorHAnsi" w:hAnsiTheme="minorHAnsi" w:cstheme="minorHAnsi"/>
          <w:spacing w:val="-6"/>
          <w:sz w:val="18"/>
          <w:szCs w:val="18"/>
        </w:rPr>
      </w:pPr>
      <w:r w:rsidRPr="007C7DCB">
        <w:rPr>
          <w:rStyle w:val="EndnoteReference"/>
          <w:rFonts w:asciiTheme="minorHAnsi" w:hAnsiTheme="minorHAnsi" w:cstheme="minorHAnsi"/>
          <w:spacing w:val="-6"/>
          <w:sz w:val="18"/>
          <w:szCs w:val="18"/>
        </w:rPr>
        <w:endnoteRef/>
      </w:r>
      <w:r w:rsidRPr="007C7DCB">
        <w:rPr>
          <w:rFonts w:asciiTheme="minorHAnsi" w:hAnsiTheme="minorHAnsi" w:cstheme="minorHAnsi"/>
          <w:spacing w:val="-6"/>
          <w:sz w:val="18"/>
          <w:szCs w:val="18"/>
        </w:rPr>
        <w:t xml:space="preserve"> </w:t>
      </w:r>
      <w:r w:rsidRPr="007C7DCB">
        <w:rPr>
          <w:rFonts w:asciiTheme="minorHAnsi" w:hAnsiTheme="minorHAnsi" w:cstheme="minorHAnsi"/>
          <w:spacing w:val="-6"/>
          <w:sz w:val="18"/>
          <w:szCs w:val="18"/>
        </w:rPr>
        <w:tab/>
      </w:r>
      <w:proofErr w:type="spellStart"/>
      <w:r w:rsidRPr="007C7DCB">
        <w:rPr>
          <w:rFonts w:asciiTheme="minorHAnsi" w:hAnsiTheme="minorHAnsi" w:cstheme="minorHAnsi"/>
          <w:spacing w:val="-6"/>
          <w:sz w:val="18"/>
          <w:szCs w:val="18"/>
        </w:rPr>
        <w:t>Haidar</w:t>
      </w:r>
      <w:proofErr w:type="spellEnd"/>
      <w:r w:rsidRPr="007C7DCB">
        <w:rPr>
          <w:rFonts w:asciiTheme="minorHAnsi" w:hAnsiTheme="minorHAnsi" w:cstheme="minorHAnsi"/>
          <w:spacing w:val="-6"/>
          <w:sz w:val="18"/>
          <w:szCs w:val="18"/>
        </w:rPr>
        <w:t xml:space="preserve"> </w:t>
      </w:r>
      <w:proofErr w:type="spellStart"/>
      <w:r w:rsidRPr="007C7DCB">
        <w:rPr>
          <w:rFonts w:asciiTheme="minorHAnsi" w:hAnsiTheme="minorHAnsi" w:cstheme="minorHAnsi"/>
          <w:spacing w:val="-6"/>
          <w:sz w:val="18"/>
          <w:szCs w:val="18"/>
        </w:rPr>
        <w:t>Eid</w:t>
      </w:r>
      <w:proofErr w:type="spellEnd"/>
      <w:r w:rsidRPr="007C7DCB">
        <w:rPr>
          <w:rFonts w:asciiTheme="minorHAnsi" w:hAnsiTheme="minorHAnsi" w:cstheme="minorHAnsi"/>
          <w:spacing w:val="-6"/>
          <w:sz w:val="18"/>
          <w:szCs w:val="18"/>
        </w:rPr>
        <w:t xml:space="preserve">, “On Gaza and the horror of the siege,” </w:t>
      </w:r>
      <w:proofErr w:type="spellStart"/>
      <w:r w:rsidRPr="007C7DCB">
        <w:rPr>
          <w:rFonts w:asciiTheme="minorHAnsi" w:hAnsiTheme="minorHAnsi" w:cstheme="minorHAnsi"/>
          <w:i/>
          <w:iCs/>
          <w:spacing w:val="-6"/>
          <w:sz w:val="18"/>
          <w:szCs w:val="18"/>
        </w:rPr>
        <w:t>Mondoweiss</w:t>
      </w:r>
      <w:proofErr w:type="spellEnd"/>
      <w:r w:rsidRPr="007C7DCB">
        <w:rPr>
          <w:rFonts w:asciiTheme="minorHAnsi" w:hAnsiTheme="minorHAnsi" w:cstheme="minorHAnsi"/>
          <w:i/>
          <w:iCs/>
          <w:spacing w:val="-6"/>
          <w:sz w:val="18"/>
          <w:szCs w:val="18"/>
        </w:rPr>
        <w:t xml:space="preserve"> </w:t>
      </w:r>
      <w:r w:rsidRPr="007C7DCB">
        <w:rPr>
          <w:rFonts w:asciiTheme="minorHAnsi" w:hAnsiTheme="minorHAnsi" w:cstheme="minorHAnsi"/>
          <w:spacing w:val="-6"/>
          <w:sz w:val="18"/>
          <w:szCs w:val="18"/>
        </w:rPr>
        <w:t xml:space="preserve">(25 May 2017), at: </w:t>
      </w:r>
      <w:hyperlink r:id="rId29" w:history="1">
        <w:r w:rsidRPr="007C7DCB">
          <w:rPr>
            <w:rStyle w:val="Hyperlink"/>
            <w:rFonts w:asciiTheme="minorHAnsi" w:hAnsiTheme="minorHAnsi" w:cstheme="minorHAnsi"/>
            <w:spacing w:val="-6"/>
            <w:sz w:val="18"/>
            <w:szCs w:val="18"/>
          </w:rPr>
          <w:t>https://mondoweiss.net/2017/05/gaza-horror-siege/</w:t>
        </w:r>
      </w:hyperlink>
      <w:r w:rsidRPr="007C7DCB">
        <w:rPr>
          <w:rFonts w:asciiTheme="minorHAnsi" w:hAnsiTheme="minorHAnsi" w:cstheme="minorHAnsi"/>
          <w:spacing w:val="-6"/>
          <w:sz w:val="18"/>
          <w:szCs w:val="18"/>
        </w:rPr>
        <w:t xml:space="preserve">; Associated Press, “Israel used 'calorie count' to limit Gaza food during blockade, critics claim,” </w:t>
      </w:r>
      <w:r w:rsidRPr="007C7DCB">
        <w:rPr>
          <w:rFonts w:asciiTheme="minorHAnsi" w:hAnsiTheme="minorHAnsi" w:cstheme="minorHAnsi"/>
          <w:i/>
          <w:iCs/>
          <w:spacing w:val="-6"/>
          <w:sz w:val="18"/>
          <w:szCs w:val="18"/>
        </w:rPr>
        <w:t>The Guardian</w:t>
      </w:r>
      <w:r w:rsidRPr="007C7DCB">
        <w:rPr>
          <w:rFonts w:asciiTheme="minorHAnsi" w:hAnsiTheme="minorHAnsi" w:cstheme="minorHAnsi"/>
          <w:spacing w:val="-6"/>
          <w:sz w:val="18"/>
          <w:szCs w:val="18"/>
        </w:rPr>
        <w:t xml:space="preserve">, (17 October 2013), at: </w:t>
      </w:r>
      <w:hyperlink r:id="rId30" w:history="1">
        <w:r w:rsidRPr="007C7DCB">
          <w:rPr>
            <w:rStyle w:val="Hyperlink"/>
            <w:rFonts w:asciiTheme="minorHAnsi" w:hAnsiTheme="minorHAnsi" w:cstheme="minorHAnsi"/>
            <w:spacing w:val="-6"/>
            <w:sz w:val="18"/>
            <w:szCs w:val="18"/>
          </w:rPr>
          <w:t>https://www.theguardian.com/world/2012/oct/17/israeli-military-calorie-limit-gaza</w:t>
        </w:r>
      </w:hyperlink>
      <w:r w:rsidRPr="007C7DCB">
        <w:rPr>
          <w:rFonts w:asciiTheme="minorHAnsi" w:hAnsiTheme="minorHAnsi" w:cstheme="minorHAnsi"/>
          <w:spacing w:val="-6"/>
          <w:sz w:val="18"/>
          <w:szCs w:val="18"/>
        </w:rPr>
        <w:t>.</w:t>
      </w:r>
    </w:p>
  </w:endnote>
  <w:endnote w:id="31">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w:t>
      </w:r>
      <w:r w:rsidRPr="007C7DCB">
        <w:rPr>
          <w:rFonts w:asciiTheme="minorHAnsi" w:hAnsiTheme="minorHAnsi" w:cstheme="minorHAnsi"/>
          <w:sz w:val="18"/>
          <w:szCs w:val="18"/>
        </w:rPr>
        <w:tab/>
        <w:t xml:space="preserve">“Israel forced to release study on Gaza blockade,” </w:t>
      </w:r>
      <w:r w:rsidRPr="007C7DCB">
        <w:rPr>
          <w:rFonts w:asciiTheme="minorHAnsi" w:hAnsiTheme="minorHAnsi" w:cstheme="minorHAnsi"/>
          <w:i/>
          <w:iCs/>
          <w:sz w:val="18"/>
          <w:szCs w:val="18"/>
        </w:rPr>
        <w:t xml:space="preserve">BBC News </w:t>
      </w:r>
      <w:r w:rsidRPr="007C7DCB">
        <w:rPr>
          <w:rFonts w:asciiTheme="minorHAnsi" w:hAnsiTheme="minorHAnsi" w:cstheme="minorHAnsi"/>
          <w:sz w:val="18"/>
          <w:szCs w:val="18"/>
        </w:rPr>
        <w:t xml:space="preserve">(17 October 2012), at: </w:t>
      </w:r>
      <w:hyperlink r:id="rId31" w:history="1">
        <w:r w:rsidRPr="007C7DCB">
          <w:rPr>
            <w:rStyle w:val="Hyperlink"/>
            <w:rFonts w:asciiTheme="minorHAnsi" w:hAnsiTheme="minorHAnsi" w:cstheme="minorHAnsi"/>
            <w:sz w:val="18"/>
            <w:szCs w:val="18"/>
          </w:rPr>
          <w:t>https://www.bbc.com/news/world-middle-east-19975211</w:t>
        </w:r>
      </w:hyperlink>
      <w:r w:rsidRPr="007C7DCB">
        <w:rPr>
          <w:rFonts w:asciiTheme="minorHAnsi" w:hAnsiTheme="minorHAnsi" w:cstheme="minorHAnsi"/>
          <w:sz w:val="18"/>
          <w:szCs w:val="18"/>
        </w:rPr>
        <w:t xml:space="preserve">; </w:t>
      </w:r>
      <w:proofErr w:type="spellStart"/>
      <w:r w:rsidRPr="007C7DCB">
        <w:rPr>
          <w:rFonts w:asciiTheme="minorHAnsi" w:hAnsiTheme="minorHAnsi" w:cstheme="minorHAnsi"/>
          <w:sz w:val="18"/>
          <w:szCs w:val="18"/>
        </w:rPr>
        <w:t>Haaretz</w:t>
      </w:r>
      <w:proofErr w:type="spellEnd"/>
      <w:r w:rsidRPr="007C7DCB">
        <w:rPr>
          <w:rFonts w:asciiTheme="minorHAnsi" w:hAnsiTheme="minorHAnsi" w:cstheme="minorHAnsi"/>
          <w:sz w:val="18"/>
          <w:szCs w:val="18"/>
        </w:rPr>
        <w:t xml:space="preserve"> Exclusive 2,279 Calories per Person: How Israel Made Sure Gaza Didn't Starve State forced to release 'red lines' document,” </w:t>
      </w:r>
      <w:proofErr w:type="spellStart"/>
      <w:r w:rsidRPr="007C7DCB">
        <w:rPr>
          <w:rFonts w:asciiTheme="minorHAnsi" w:hAnsiTheme="minorHAnsi" w:cstheme="minorHAnsi"/>
          <w:i/>
          <w:iCs/>
          <w:sz w:val="18"/>
          <w:szCs w:val="18"/>
        </w:rPr>
        <w:t>Haaretz</w:t>
      </w:r>
      <w:proofErr w:type="spellEnd"/>
      <w:r w:rsidRPr="007C7DCB">
        <w:rPr>
          <w:rFonts w:asciiTheme="minorHAnsi" w:hAnsiTheme="minorHAnsi" w:cstheme="minorHAnsi"/>
          <w:i/>
          <w:iCs/>
          <w:sz w:val="18"/>
          <w:szCs w:val="18"/>
        </w:rPr>
        <w:t xml:space="preserve"> </w:t>
      </w:r>
      <w:r w:rsidRPr="007C7DCB">
        <w:rPr>
          <w:rFonts w:asciiTheme="minorHAnsi" w:hAnsiTheme="minorHAnsi" w:cstheme="minorHAnsi"/>
          <w:sz w:val="18"/>
          <w:szCs w:val="18"/>
        </w:rPr>
        <w:t xml:space="preserve">(217 October 2002), at: </w:t>
      </w:r>
      <w:hyperlink r:id="rId32" w:history="1">
        <w:r w:rsidRPr="007C7DCB">
          <w:rPr>
            <w:rStyle w:val="Hyperlink"/>
            <w:rFonts w:asciiTheme="minorHAnsi" w:hAnsiTheme="minorHAnsi" w:cstheme="minorHAnsi"/>
            <w:sz w:val="18"/>
            <w:szCs w:val="18"/>
          </w:rPr>
          <w:t>https://www.haaretz.com/.premium-israel-s-gaza-quota-2-279-calories-a-day-1.5193157</w:t>
        </w:r>
      </w:hyperlink>
      <w:r w:rsidRPr="007C7DCB">
        <w:rPr>
          <w:rFonts w:asciiTheme="minorHAnsi" w:hAnsiTheme="minorHAnsi" w:cstheme="minorHAnsi"/>
          <w:sz w:val="18"/>
          <w:szCs w:val="18"/>
        </w:rPr>
        <w:t xml:space="preserve">; Coordination of Government Activities in the Territories, “Food Consumption in the Gaza Strip – Red Lines,” 1 January 2008, at: </w:t>
      </w:r>
      <w:hyperlink r:id="rId33" w:history="1">
        <w:r w:rsidRPr="007C7DCB">
          <w:rPr>
            <w:rStyle w:val="Hyperlink"/>
            <w:rFonts w:asciiTheme="minorHAnsi" w:hAnsiTheme="minorHAnsi" w:cstheme="minorHAnsi"/>
            <w:sz w:val="18"/>
            <w:szCs w:val="18"/>
          </w:rPr>
          <w:t>https://www.haaretz.com/resources/Pdf/red-lines.pdf</w:t>
        </w:r>
      </w:hyperlink>
      <w:r w:rsidRPr="007C7DCB">
        <w:rPr>
          <w:rFonts w:asciiTheme="minorHAnsi" w:hAnsiTheme="minorHAnsi" w:cstheme="minorHAnsi"/>
          <w:sz w:val="18"/>
          <w:szCs w:val="18"/>
        </w:rPr>
        <w:t xml:space="preserve">. </w:t>
      </w:r>
    </w:p>
  </w:endnote>
  <w:endnote w:id="32">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w:t>
      </w:r>
      <w:r w:rsidRPr="007C7DCB">
        <w:rPr>
          <w:rFonts w:asciiTheme="minorHAnsi" w:hAnsiTheme="minorHAnsi" w:cstheme="minorHAnsi"/>
          <w:sz w:val="18"/>
          <w:szCs w:val="18"/>
        </w:rPr>
        <w:tab/>
        <w:t xml:space="preserve">UNDP, Human Development Report 2006: Beyond Scarcity: Power, poverty and the global water crisis (New York: UNDP, 2006), Chapter 6 “Managing </w:t>
      </w:r>
      <w:proofErr w:type="spellStart"/>
      <w:r w:rsidRPr="007C7DCB">
        <w:rPr>
          <w:rFonts w:asciiTheme="minorHAnsi" w:hAnsiTheme="minorHAnsi" w:cstheme="minorHAnsi"/>
          <w:sz w:val="18"/>
          <w:szCs w:val="18"/>
        </w:rPr>
        <w:t>transboundary</w:t>
      </w:r>
      <w:proofErr w:type="spellEnd"/>
      <w:r w:rsidRPr="007C7DCB">
        <w:rPr>
          <w:rFonts w:asciiTheme="minorHAnsi" w:hAnsiTheme="minorHAnsi" w:cstheme="minorHAnsi"/>
          <w:sz w:val="18"/>
          <w:szCs w:val="18"/>
        </w:rPr>
        <w:t xml:space="preserve"> waters,” p. 217,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Fonts w:asciiTheme="minorHAnsi" w:hAnsiTheme="minorHAnsi" w:cstheme="minorHAnsi"/>
          <w:sz w:val="18"/>
          <w:szCs w:val="18"/>
        </w:rPr>
        <w:tab/>
      </w:r>
      <w:hyperlink r:id="rId34" w:history="1">
        <w:r w:rsidRPr="007C7DCB">
          <w:rPr>
            <w:rStyle w:val="Hyperlink"/>
            <w:rFonts w:asciiTheme="minorHAnsi" w:hAnsiTheme="minorHAnsi" w:cstheme="minorHAnsi"/>
            <w:sz w:val="18"/>
            <w:szCs w:val="18"/>
          </w:rPr>
          <w:t>http://hdr.undp.org/sites/default/files/reports/267/hdr06-complete.pdf</w:t>
        </w:r>
      </w:hyperlink>
      <w:r w:rsidRPr="007C7DCB">
        <w:rPr>
          <w:rFonts w:asciiTheme="minorHAnsi" w:hAnsiTheme="minorHAnsi" w:cstheme="minorHAnsi"/>
          <w:sz w:val="18"/>
          <w:szCs w:val="18"/>
        </w:rPr>
        <w:t xml:space="preserve">. </w:t>
      </w:r>
    </w:p>
  </w:endnote>
  <w:endnote w:id="33">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Style w:val="EndnoteReference"/>
          <w:rFonts w:asciiTheme="minorHAnsi" w:hAnsiTheme="minorHAnsi" w:cstheme="minorHAnsi"/>
          <w:sz w:val="18"/>
          <w:szCs w:val="18"/>
        </w:rPr>
        <w:endnoteRef/>
      </w:r>
      <w:r w:rsidRPr="007C7DCB">
        <w:rPr>
          <w:rFonts w:asciiTheme="minorHAnsi" w:hAnsiTheme="minorHAnsi" w:cstheme="minorHAnsi"/>
          <w:sz w:val="18"/>
          <w:szCs w:val="18"/>
        </w:rPr>
        <w:t xml:space="preserve"> “Report on UNCTAD assistance to the Palestinian people: Developments in the economy of the Occupied Palestinian Territory: Report of the UNCTAD Secretariat,” TD/B/62/3, 6 July 2015, pp. 12, 15,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rPr>
      </w:pPr>
      <w:r w:rsidRPr="007C7DCB">
        <w:rPr>
          <w:rFonts w:asciiTheme="minorHAnsi" w:hAnsiTheme="minorHAnsi" w:cstheme="minorHAnsi"/>
          <w:sz w:val="18"/>
          <w:szCs w:val="18"/>
        </w:rPr>
        <w:tab/>
      </w:r>
      <w:hyperlink r:id="rId35" w:history="1">
        <w:r w:rsidRPr="007C7DCB">
          <w:rPr>
            <w:rStyle w:val="Hyperlink"/>
            <w:rFonts w:asciiTheme="minorHAnsi" w:hAnsiTheme="minorHAnsi" w:cstheme="minorHAnsi"/>
            <w:sz w:val="18"/>
            <w:szCs w:val="18"/>
          </w:rPr>
          <w:t>https://unctad.org/en/PublicationsLibrary/tdb62d3_en.pdf</w:t>
        </w:r>
      </w:hyperlink>
      <w:r w:rsidRPr="007C7DCB">
        <w:rPr>
          <w:rFonts w:asciiTheme="minorHAnsi" w:hAnsiTheme="minorHAnsi" w:cstheme="minorHAnsi"/>
          <w:sz w:val="18"/>
          <w:szCs w:val="18"/>
        </w:rPr>
        <w:t xml:space="preserve">. </w:t>
      </w:r>
    </w:p>
  </w:endnote>
  <w:endnote w:id="34">
    <w:p w:rsidR="0098151C" w:rsidRPr="007C7DCB" w:rsidRDefault="0098151C" w:rsidP="007C7DCB">
      <w:pPr>
        <w:spacing w:after="0" w:line="240" w:lineRule="auto"/>
        <w:ind w:left="216" w:hanging="216"/>
        <w:jc w:val="lowKashida"/>
        <w:rPr>
          <w:color w:val="000000"/>
          <w:sz w:val="18"/>
          <w:szCs w:val="18"/>
          <w:lang w:val="en-GB"/>
        </w:rPr>
      </w:pPr>
      <w:r w:rsidRPr="007C7DCB">
        <w:rPr>
          <w:rStyle w:val="EndnoteReference"/>
          <w:sz w:val="18"/>
          <w:szCs w:val="18"/>
        </w:rPr>
        <w:endnoteRef/>
      </w:r>
      <w:r w:rsidRPr="007C7DCB">
        <w:rPr>
          <w:sz w:val="18"/>
          <w:szCs w:val="18"/>
        </w:rPr>
        <w:t xml:space="preserve"> </w:t>
      </w:r>
      <w:r w:rsidRPr="007C7DCB">
        <w:rPr>
          <w:sz w:val="18"/>
          <w:szCs w:val="18"/>
        </w:rPr>
        <w:tab/>
      </w:r>
      <w:r w:rsidRPr="007C7DCB">
        <w:rPr>
          <w:color w:val="000000"/>
          <w:spacing w:val="-2"/>
          <w:sz w:val="18"/>
          <w:szCs w:val="18"/>
          <w:lang w:val="en-GB"/>
        </w:rPr>
        <w:t>Al-</w:t>
      </w:r>
      <w:proofErr w:type="spellStart"/>
      <w:r w:rsidRPr="007C7DCB">
        <w:rPr>
          <w:color w:val="000000"/>
          <w:spacing w:val="-2"/>
          <w:sz w:val="18"/>
          <w:szCs w:val="18"/>
          <w:lang w:val="en-GB"/>
        </w:rPr>
        <w:t>Haq</w:t>
      </w:r>
      <w:proofErr w:type="spellEnd"/>
      <w:r w:rsidRPr="007C7DCB">
        <w:rPr>
          <w:color w:val="000000"/>
          <w:spacing w:val="-2"/>
          <w:sz w:val="18"/>
          <w:szCs w:val="18"/>
          <w:lang w:val="en-GB"/>
        </w:rPr>
        <w:t xml:space="preserve"> – Law in the Service of Man, BADIL</w:t>
      </w:r>
      <w:r w:rsidRPr="007C7DCB">
        <w:rPr>
          <w:spacing w:val="-2"/>
          <w:sz w:val="18"/>
          <w:szCs w:val="18"/>
        </w:rPr>
        <w:t xml:space="preserve"> </w:t>
      </w:r>
      <w:r w:rsidRPr="007C7DCB">
        <w:rPr>
          <w:color w:val="000000"/>
          <w:spacing w:val="-2"/>
          <w:sz w:val="18"/>
          <w:szCs w:val="18"/>
          <w:lang w:val="en-GB"/>
        </w:rPr>
        <w:t xml:space="preserve">Resource </w:t>
      </w:r>
      <w:proofErr w:type="spellStart"/>
      <w:r w:rsidRPr="007C7DCB">
        <w:rPr>
          <w:color w:val="000000"/>
          <w:spacing w:val="-2"/>
          <w:sz w:val="18"/>
          <w:szCs w:val="18"/>
          <w:lang w:val="en-GB"/>
        </w:rPr>
        <w:t>Center</w:t>
      </w:r>
      <w:proofErr w:type="spellEnd"/>
      <w:r w:rsidRPr="007C7DCB">
        <w:rPr>
          <w:color w:val="000000"/>
          <w:spacing w:val="-2"/>
          <w:sz w:val="18"/>
          <w:szCs w:val="18"/>
          <w:lang w:val="en-GB"/>
        </w:rPr>
        <w:t xml:space="preserve"> for Palestinian Residency and Refugee Rights, Cairo Institute for Human Rights Studies (CIHRS), and Habitat International Coalition (HIC) – Housing and Land Rights Network (HLRN), "Joint Submission to the Committee on the Elimination of Racial Discrimination for the List of Themes on Israel’s Seventeenth to Nineteenth Periodic Reports," 100</w:t>
      </w:r>
      <w:r w:rsidRPr="007C7DCB">
        <w:rPr>
          <w:color w:val="000000"/>
          <w:spacing w:val="-2"/>
          <w:sz w:val="18"/>
          <w:szCs w:val="18"/>
          <w:vertAlign w:val="superscript"/>
          <w:lang w:val="en-GB"/>
        </w:rPr>
        <w:t xml:space="preserve">th </w:t>
      </w:r>
      <w:r w:rsidRPr="007C7DCB">
        <w:rPr>
          <w:color w:val="000000"/>
          <w:spacing w:val="-2"/>
          <w:sz w:val="18"/>
          <w:szCs w:val="18"/>
          <w:lang w:val="en-GB"/>
        </w:rPr>
        <w:t>Session, submitted: 5 September 2019, p. 19.</w:t>
      </w:r>
    </w:p>
  </w:endnote>
  <w:endnote w:id="35">
    <w:p w:rsidR="0098151C" w:rsidRDefault="0098151C" w:rsidP="007C7DCB">
      <w:pPr>
        <w:pStyle w:val="EndnoteText"/>
        <w:spacing w:line="240" w:lineRule="auto"/>
        <w:ind w:left="216" w:hanging="216"/>
        <w:jc w:val="lowKashida"/>
        <w:rPr>
          <w:rStyle w:val="Hyperlink"/>
          <w:rFonts w:asciiTheme="minorHAnsi" w:hAnsiTheme="minorHAnsi"/>
          <w:color w:val="auto"/>
          <w:sz w:val="18"/>
          <w:szCs w:val="18"/>
          <w:u w:val="none"/>
        </w:rPr>
      </w:pPr>
      <w:r w:rsidRPr="007C7DCB">
        <w:rPr>
          <w:rStyle w:val="EndnoteReference"/>
          <w:rFonts w:asciiTheme="minorHAnsi" w:hAnsiTheme="minorHAnsi"/>
          <w:sz w:val="18"/>
          <w:szCs w:val="18"/>
        </w:rPr>
        <w:endnoteRef/>
      </w:r>
      <w:r w:rsidRPr="007C7DCB">
        <w:rPr>
          <w:rFonts w:asciiTheme="minorHAnsi" w:hAnsiTheme="minorHAnsi"/>
          <w:sz w:val="18"/>
          <w:szCs w:val="18"/>
        </w:rPr>
        <w:t xml:space="preserve"> </w:t>
      </w:r>
      <w:r>
        <w:rPr>
          <w:rFonts w:asciiTheme="minorHAnsi" w:hAnsiTheme="minorHAnsi"/>
          <w:sz w:val="18"/>
          <w:szCs w:val="18"/>
        </w:rPr>
        <w:tab/>
      </w:r>
      <w:r w:rsidRPr="007C7DCB">
        <w:rPr>
          <w:rStyle w:val="Hyperlink"/>
          <w:rFonts w:asciiTheme="minorHAnsi" w:hAnsiTheme="minorHAnsi"/>
          <w:color w:val="auto"/>
          <w:sz w:val="18"/>
          <w:szCs w:val="18"/>
          <w:u w:val="none"/>
        </w:rPr>
        <w:t xml:space="preserve">Committee on Economic, Social and Cultural Rights (CESCR), General Comment No. 4: “the right to housing,” 13 December 1991, contained in document E/1992/23, especially </w:t>
      </w:r>
      <w:proofErr w:type="spellStart"/>
      <w:r w:rsidRPr="007C7DCB">
        <w:rPr>
          <w:rStyle w:val="Hyperlink"/>
          <w:rFonts w:asciiTheme="minorHAnsi" w:hAnsiTheme="minorHAnsi"/>
          <w:color w:val="auto"/>
          <w:sz w:val="18"/>
          <w:szCs w:val="18"/>
          <w:u w:val="none"/>
        </w:rPr>
        <w:t>para</w:t>
      </w:r>
      <w:proofErr w:type="spellEnd"/>
      <w:r w:rsidRPr="007C7DCB">
        <w:rPr>
          <w:rStyle w:val="Hyperlink"/>
          <w:rFonts w:asciiTheme="minorHAnsi" w:hAnsiTheme="minorHAnsi"/>
          <w:color w:val="auto"/>
          <w:sz w:val="18"/>
          <w:szCs w:val="18"/>
          <w:u w:val="none"/>
        </w:rPr>
        <w:t xml:space="preserve">. 8(e), at: </w:t>
      </w:r>
    </w:p>
    <w:p w:rsidR="0098151C" w:rsidRPr="007C7DCB" w:rsidRDefault="0098151C" w:rsidP="007C7DCB">
      <w:pPr>
        <w:pStyle w:val="EndnoteText"/>
        <w:spacing w:line="240" w:lineRule="auto"/>
        <w:ind w:left="216" w:hanging="216"/>
        <w:jc w:val="lowKashida"/>
        <w:rPr>
          <w:rFonts w:asciiTheme="minorHAnsi" w:hAnsiTheme="minorHAnsi"/>
          <w:sz w:val="18"/>
          <w:szCs w:val="18"/>
        </w:rPr>
      </w:pPr>
      <w:r>
        <w:rPr>
          <w:rStyle w:val="Hyperlink"/>
          <w:rFonts w:asciiTheme="minorHAnsi" w:hAnsiTheme="minorHAnsi"/>
          <w:color w:val="auto"/>
          <w:sz w:val="18"/>
          <w:szCs w:val="18"/>
          <w:u w:val="none"/>
        </w:rPr>
        <w:tab/>
      </w:r>
      <w:hyperlink r:id="rId36" w:history="1">
        <w:r w:rsidRPr="007C7DCB">
          <w:rPr>
            <w:rStyle w:val="Hyperlink"/>
            <w:rFonts w:asciiTheme="minorHAnsi" w:hAnsiTheme="minorHAnsi"/>
            <w:sz w:val="18"/>
            <w:szCs w:val="18"/>
          </w:rPr>
          <w:t>http://www.hlrn.org/img/documents/GC4.pdf</w:t>
        </w:r>
      </w:hyperlink>
      <w:r w:rsidRPr="007C7DCB">
        <w:rPr>
          <w:rStyle w:val="Hyperlink"/>
          <w:rFonts w:asciiTheme="minorHAnsi" w:hAnsiTheme="minorHAnsi"/>
          <w:color w:val="auto"/>
          <w:sz w:val="18"/>
          <w:szCs w:val="18"/>
          <w:u w:val="none"/>
        </w:rPr>
        <w:t>.</w:t>
      </w:r>
    </w:p>
  </w:endnote>
  <w:endnote w:id="36">
    <w:p w:rsidR="0098151C" w:rsidRPr="007C7DCB" w:rsidRDefault="0098151C" w:rsidP="007C7DCB">
      <w:pPr>
        <w:tabs>
          <w:tab w:val="left" w:pos="-720"/>
        </w:tabs>
        <w:suppressAutoHyphens/>
        <w:spacing w:after="0" w:line="240" w:lineRule="auto"/>
        <w:ind w:left="216" w:hanging="216"/>
        <w:jc w:val="lowKashida"/>
        <w:rPr>
          <w:rFonts w:cstheme="minorHAnsi"/>
          <w:iCs/>
          <w:spacing w:val="-4"/>
          <w:sz w:val="18"/>
          <w:szCs w:val="18"/>
        </w:rPr>
      </w:pPr>
      <w:r w:rsidRPr="007C7DCB">
        <w:rPr>
          <w:rStyle w:val="EndnoteReference"/>
          <w:sz w:val="18"/>
          <w:szCs w:val="18"/>
        </w:rPr>
        <w:endnoteRef/>
      </w:r>
      <w:r w:rsidRPr="007C7DCB">
        <w:rPr>
          <w:sz w:val="18"/>
          <w:szCs w:val="18"/>
        </w:rPr>
        <w:t xml:space="preserve"> </w:t>
      </w:r>
      <w:r w:rsidRPr="007C7DCB">
        <w:rPr>
          <w:sz w:val="18"/>
          <w:szCs w:val="18"/>
        </w:rPr>
        <w:tab/>
        <w:t>"</w:t>
      </w:r>
      <w:r w:rsidRPr="007C7DCB">
        <w:rPr>
          <w:rFonts w:cstheme="minorHAnsi"/>
          <w:iCs/>
          <w:spacing w:val="-4"/>
          <w:sz w:val="18"/>
          <w:szCs w:val="18"/>
        </w:rPr>
        <w:t>Israel’s Implementation of Covenant Rights and Obligations Related to Habitat," Submission by Habitat International Coalition’s Housing and Land Rights Network to the Committee on Economic, Social and Cultural Rights on the occasion of its review of the State of Israel, 64</w:t>
      </w:r>
      <w:r w:rsidRPr="007C7DCB">
        <w:rPr>
          <w:rFonts w:cstheme="minorHAnsi"/>
          <w:iCs/>
          <w:spacing w:val="-4"/>
          <w:sz w:val="18"/>
          <w:szCs w:val="18"/>
          <w:vertAlign w:val="superscript"/>
        </w:rPr>
        <w:t>th</w:t>
      </w:r>
      <w:r w:rsidRPr="007C7DCB">
        <w:rPr>
          <w:rFonts w:cstheme="minorHAnsi"/>
          <w:iCs/>
          <w:spacing w:val="-4"/>
          <w:sz w:val="18"/>
          <w:szCs w:val="18"/>
        </w:rPr>
        <w:t xml:space="preserve"> Pre-</w:t>
      </w:r>
      <w:proofErr w:type="spellStart"/>
      <w:r w:rsidRPr="007C7DCB">
        <w:rPr>
          <w:rFonts w:cstheme="minorHAnsi"/>
          <w:iCs/>
          <w:spacing w:val="-4"/>
          <w:sz w:val="18"/>
          <w:szCs w:val="18"/>
        </w:rPr>
        <w:t>Sessional</w:t>
      </w:r>
      <w:proofErr w:type="spellEnd"/>
      <w:r w:rsidRPr="007C7DCB">
        <w:rPr>
          <w:rFonts w:cstheme="minorHAnsi"/>
          <w:iCs/>
          <w:spacing w:val="-4"/>
          <w:sz w:val="18"/>
          <w:szCs w:val="18"/>
        </w:rPr>
        <w:t xml:space="preserve"> Working Group (11 –15 March 2019), at: </w:t>
      </w:r>
    </w:p>
    <w:p w:rsidR="0098151C" w:rsidRPr="007C7DCB" w:rsidRDefault="0098151C" w:rsidP="007C7DCB">
      <w:pPr>
        <w:pStyle w:val="EndnoteText"/>
        <w:spacing w:line="240" w:lineRule="auto"/>
        <w:ind w:left="216" w:hanging="216"/>
        <w:jc w:val="lowKashida"/>
        <w:rPr>
          <w:rFonts w:asciiTheme="minorHAnsi" w:hAnsiTheme="minorHAnsi"/>
          <w:sz w:val="18"/>
          <w:szCs w:val="18"/>
        </w:rPr>
      </w:pPr>
      <w:r w:rsidRPr="007C7DCB">
        <w:rPr>
          <w:rFonts w:asciiTheme="minorHAnsi" w:hAnsiTheme="minorHAnsi"/>
          <w:spacing w:val="-4"/>
          <w:sz w:val="18"/>
          <w:szCs w:val="18"/>
        </w:rPr>
        <w:tab/>
      </w:r>
      <w:hyperlink r:id="rId37" w:history="1">
        <w:r w:rsidRPr="007C7DCB">
          <w:rPr>
            <w:rStyle w:val="Hyperlink"/>
            <w:rFonts w:asciiTheme="minorHAnsi" w:hAnsiTheme="minorHAnsi"/>
            <w:spacing w:val="-4"/>
            <w:sz w:val="18"/>
            <w:szCs w:val="18"/>
          </w:rPr>
          <w:t>https://tbinternet.ohchr.org/_layouts/15/treatybodyexternal/Download.aspx?symbolno=INT%2fCESCR%2fICO%2fISR%2f33532&amp;Lang=en</w:t>
        </w:r>
      </w:hyperlink>
      <w:r w:rsidRPr="007C7DCB">
        <w:rPr>
          <w:rFonts w:asciiTheme="minorHAnsi" w:hAnsiTheme="minorHAnsi"/>
          <w:spacing w:val="-4"/>
          <w:sz w:val="18"/>
          <w:szCs w:val="18"/>
        </w:rPr>
        <w:t>.</w:t>
      </w:r>
      <w:r w:rsidRPr="007C7DCB">
        <w:rPr>
          <w:rFonts w:asciiTheme="minorHAnsi" w:hAnsiTheme="minorHAnsi"/>
          <w:sz w:val="18"/>
          <w:szCs w:val="18"/>
        </w:rPr>
        <w:t xml:space="preserve"> </w:t>
      </w:r>
    </w:p>
  </w:endnote>
  <w:endnote w:id="37">
    <w:p w:rsidR="0098151C" w:rsidRPr="007C7DCB" w:rsidRDefault="0098151C" w:rsidP="007C7DCB">
      <w:pPr>
        <w:pStyle w:val="EndnoteText"/>
        <w:spacing w:line="240" w:lineRule="auto"/>
        <w:ind w:left="216" w:hanging="216"/>
        <w:jc w:val="lowKashida"/>
        <w:rPr>
          <w:rFonts w:asciiTheme="minorHAnsi" w:hAnsiTheme="minorHAnsi"/>
          <w:spacing w:val="-6"/>
          <w:sz w:val="18"/>
          <w:szCs w:val="18"/>
        </w:rPr>
      </w:pPr>
      <w:r w:rsidRPr="007C7DCB">
        <w:rPr>
          <w:rStyle w:val="EndnoteReference"/>
          <w:rFonts w:asciiTheme="minorHAnsi" w:hAnsiTheme="minorHAnsi"/>
          <w:sz w:val="18"/>
          <w:szCs w:val="18"/>
        </w:rPr>
        <w:endnoteRef/>
      </w:r>
      <w:r w:rsidRPr="007C7DCB">
        <w:rPr>
          <w:rFonts w:asciiTheme="minorHAnsi" w:hAnsiTheme="minorHAnsi"/>
          <w:sz w:val="18"/>
          <w:szCs w:val="18"/>
        </w:rPr>
        <w:t xml:space="preserve"> </w:t>
      </w:r>
      <w:r w:rsidRPr="007C7DCB">
        <w:rPr>
          <w:rFonts w:asciiTheme="minorHAnsi" w:hAnsiTheme="minorHAnsi"/>
          <w:sz w:val="18"/>
          <w:szCs w:val="18"/>
        </w:rPr>
        <w:tab/>
      </w:r>
      <w:r w:rsidRPr="007C7DCB">
        <w:rPr>
          <w:rFonts w:asciiTheme="minorHAnsi" w:hAnsiTheme="minorHAnsi"/>
          <w:spacing w:val="-6"/>
          <w:sz w:val="18"/>
          <w:szCs w:val="18"/>
        </w:rPr>
        <w:t>Fourth periodic report submitted by Israel under articles 16 and 17 of the Covenant, due in 2016, E/C.12/ISR/4, 14 January 2019, at:</w:t>
      </w:r>
    </w:p>
    <w:p w:rsidR="0098151C" w:rsidRPr="007C7DCB" w:rsidRDefault="0098151C" w:rsidP="007C7DCB">
      <w:pPr>
        <w:pStyle w:val="EndnoteText"/>
        <w:spacing w:line="240" w:lineRule="auto"/>
        <w:ind w:left="216" w:hanging="216"/>
        <w:jc w:val="lowKashida"/>
        <w:rPr>
          <w:rFonts w:asciiTheme="minorHAnsi" w:hAnsiTheme="minorHAnsi"/>
          <w:sz w:val="18"/>
          <w:szCs w:val="18"/>
        </w:rPr>
      </w:pPr>
      <w:r w:rsidRPr="007C7DCB">
        <w:rPr>
          <w:rFonts w:asciiTheme="minorHAnsi" w:hAnsiTheme="minorHAnsi"/>
          <w:spacing w:val="-6"/>
          <w:sz w:val="18"/>
          <w:szCs w:val="18"/>
        </w:rPr>
        <w:tab/>
      </w:r>
      <w:hyperlink r:id="rId38" w:history="1">
        <w:r w:rsidRPr="007C7DCB">
          <w:rPr>
            <w:rStyle w:val="Hyperlink"/>
            <w:rFonts w:asciiTheme="minorHAnsi" w:hAnsiTheme="minorHAnsi"/>
            <w:spacing w:val="-6"/>
            <w:sz w:val="18"/>
            <w:szCs w:val="18"/>
          </w:rPr>
          <w:t>https://tbinternet.ohchr.org/_layouts/15/treatybodyexternal/Download.aspx?symbolno=E%2fC.12%2fISR%2f4&amp;Lang=en</w:t>
        </w:r>
      </w:hyperlink>
      <w:r w:rsidRPr="007C7DCB">
        <w:rPr>
          <w:rFonts w:asciiTheme="minorHAnsi" w:hAnsiTheme="minorHAnsi"/>
          <w:spacing w:val="-6"/>
          <w:sz w:val="18"/>
          <w:szCs w:val="18"/>
        </w:rPr>
        <w:t>.</w:t>
      </w:r>
    </w:p>
  </w:endnote>
  <w:endnote w:id="38">
    <w:p w:rsidR="0098151C" w:rsidRPr="007C7DCB" w:rsidRDefault="0098151C" w:rsidP="007C7DCB">
      <w:pPr>
        <w:pStyle w:val="Heading9"/>
        <w:spacing w:before="0" w:line="240" w:lineRule="auto"/>
        <w:ind w:left="216" w:hanging="216"/>
        <w:jc w:val="lowKashida"/>
        <w:rPr>
          <w:rFonts w:asciiTheme="minorHAnsi" w:eastAsia="Times New Roman" w:hAnsiTheme="minorHAnsi" w:cs="Arial"/>
          <w:sz w:val="18"/>
          <w:szCs w:val="18"/>
        </w:rPr>
      </w:pPr>
      <w:r w:rsidRPr="007C7DCB">
        <w:rPr>
          <w:rStyle w:val="EndnoteReference"/>
          <w:rFonts w:asciiTheme="minorHAnsi" w:hAnsiTheme="minorHAnsi"/>
          <w:sz w:val="18"/>
          <w:szCs w:val="18"/>
        </w:rPr>
        <w:endnoteRef/>
      </w:r>
      <w:r w:rsidRPr="007C7DCB">
        <w:rPr>
          <w:rFonts w:asciiTheme="minorHAnsi" w:hAnsiTheme="minorHAnsi"/>
          <w:sz w:val="18"/>
          <w:szCs w:val="18"/>
        </w:rPr>
        <w:t xml:space="preserve"> </w:t>
      </w:r>
      <w:r w:rsidRPr="007C7DCB">
        <w:rPr>
          <w:rFonts w:asciiTheme="minorHAnsi" w:hAnsiTheme="minorHAnsi"/>
          <w:sz w:val="18"/>
          <w:szCs w:val="18"/>
        </w:rPr>
        <w:tab/>
      </w:r>
      <w:r w:rsidRPr="007C7DCB">
        <w:rPr>
          <w:rFonts w:asciiTheme="minorHAnsi" w:hAnsiTheme="minorHAnsi"/>
          <w:i w:val="0"/>
          <w:iCs w:val="0"/>
          <w:color w:val="auto"/>
          <w:sz w:val="18"/>
          <w:szCs w:val="18"/>
        </w:rPr>
        <w:t>Office of the Deputy Attorney General (International Law), Ministry of Justice, "</w:t>
      </w:r>
      <w:r w:rsidRPr="007C7DCB">
        <w:rPr>
          <w:rFonts w:asciiTheme="minorHAnsi" w:eastAsia="SimSun" w:hAnsiTheme="minorHAnsi" w:cs="Times New Roman"/>
          <w:color w:val="auto"/>
          <w:sz w:val="18"/>
          <w:szCs w:val="18"/>
          <w:lang w:eastAsia="zh-CN"/>
        </w:rPr>
        <w:t xml:space="preserve">Annex No. II - Statistic Information </w:t>
      </w:r>
      <w:r w:rsidRPr="007C7DCB">
        <w:rPr>
          <w:rFonts w:asciiTheme="minorHAnsi" w:eastAsia="Times New Roman" w:hAnsiTheme="minorHAnsi" w:cs="Times New Roman"/>
          <w:color w:val="auto"/>
          <w:sz w:val="18"/>
          <w:szCs w:val="18"/>
        </w:rPr>
        <w:t xml:space="preserve">Attached to the </w:t>
      </w:r>
      <w:r w:rsidRPr="007C7DCB">
        <w:rPr>
          <w:rFonts w:asciiTheme="minorHAnsi" w:eastAsia="Times New Roman" w:hAnsiTheme="minorHAnsi" w:cs="Arial"/>
          <w:color w:val="auto"/>
          <w:sz w:val="18"/>
          <w:szCs w:val="18"/>
        </w:rPr>
        <w:t xml:space="preserve">Fourth Periodic Report by the State of Israel </w:t>
      </w:r>
      <w:r w:rsidRPr="007C7DCB">
        <w:rPr>
          <w:rFonts w:asciiTheme="minorHAnsi" w:eastAsia="Times New Roman" w:hAnsiTheme="minorHAnsi" w:cs="Arial"/>
          <w:i w:val="0"/>
          <w:iCs w:val="0"/>
          <w:color w:val="auto"/>
          <w:sz w:val="18"/>
          <w:szCs w:val="18"/>
        </w:rPr>
        <w:t>(2018)</w:t>
      </w:r>
      <w:r w:rsidRPr="007C7DCB">
        <w:rPr>
          <w:rFonts w:asciiTheme="minorHAnsi" w:hAnsiTheme="minorHAnsi"/>
          <w:color w:val="auto"/>
          <w:sz w:val="18"/>
          <w:szCs w:val="18"/>
        </w:rPr>
        <w:t xml:space="preserve">, </w:t>
      </w:r>
      <w:r w:rsidRPr="007C7DCB">
        <w:rPr>
          <w:rFonts w:asciiTheme="minorHAnsi" w:hAnsiTheme="minorHAnsi"/>
          <w:i w:val="0"/>
          <w:iCs w:val="0"/>
          <w:color w:val="auto"/>
          <w:sz w:val="18"/>
          <w:szCs w:val="18"/>
        </w:rPr>
        <w:t>at:</w:t>
      </w:r>
      <w:r w:rsidRPr="007C7DCB">
        <w:rPr>
          <w:rFonts w:asciiTheme="minorHAnsi" w:hAnsiTheme="minorHAnsi"/>
          <w:sz w:val="18"/>
          <w:szCs w:val="18"/>
        </w:rPr>
        <w:t xml:space="preserve"> </w:t>
      </w:r>
      <w:r w:rsidRPr="007C7DCB">
        <w:rPr>
          <w:rFonts w:asciiTheme="minorHAnsi" w:eastAsia="Times New Roman" w:hAnsiTheme="minorHAnsi" w:cs="Arial"/>
          <w:sz w:val="18"/>
          <w:szCs w:val="18"/>
        </w:rPr>
        <w:t xml:space="preserve"> </w:t>
      </w:r>
    </w:p>
    <w:p w:rsidR="0098151C" w:rsidRPr="007C7DCB" w:rsidRDefault="0098151C" w:rsidP="007C7DCB">
      <w:pPr>
        <w:pStyle w:val="Heading9"/>
        <w:spacing w:before="0" w:line="240" w:lineRule="auto"/>
        <w:ind w:left="216" w:hanging="216"/>
        <w:jc w:val="lowKashida"/>
        <w:rPr>
          <w:rFonts w:asciiTheme="minorHAnsi" w:hAnsiTheme="minorHAnsi"/>
          <w:sz w:val="18"/>
          <w:szCs w:val="18"/>
        </w:rPr>
      </w:pPr>
      <w:r w:rsidRPr="007C7DCB">
        <w:rPr>
          <w:rFonts w:asciiTheme="minorHAnsi" w:eastAsia="Times New Roman" w:hAnsiTheme="minorHAnsi" w:cs="Arial"/>
          <w:sz w:val="18"/>
          <w:szCs w:val="18"/>
        </w:rPr>
        <w:tab/>
      </w:r>
      <w:hyperlink r:id="rId39" w:history="1">
        <w:r w:rsidRPr="007C7DCB">
          <w:rPr>
            <w:rStyle w:val="Hyperlink"/>
            <w:rFonts w:asciiTheme="minorHAnsi" w:hAnsiTheme="minorHAnsi"/>
            <w:i w:val="0"/>
            <w:iCs w:val="0"/>
            <w:sz w:val="18"/>
            <w:szCs w:val="18"/>
          </w:rPr>
          <w:t>https://tbinternet.ohchr.org/_layouts/15/treatybodyexternal/Download.aspx?symbolno=INT%2fCESCR%2fADR%2fISR%2f32059&amp;Lang=en</w:t>
        </w:r>
      </w:hyperlink>
      <w:r w:rsidRPr="007C7DCB">
        <w:rPr>
          <w:rFonts w:asciiTheme="minorHAnsi" w:hAnsiTheme="minorHAnsi"/>
          <w:i w:val="0"/>
          <w:iCs w:val="0"/>
          <w:sz w:val="18"/>
          <w:szCs w:val="18"/>
        </w:rPr>
        <w:t>.</w:t>
      </w:r>
    </w:p>
  </w:endnote>
  <w:endnote w:id="39">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r>
      <w:r w:rsidRPr="007C7DCB">
        <w:rPr>
          <w:rFonts w:asciiTheme="minorHAnsi" w:hAnsiTheme="minorHAnsi" w:cstheme="minorHAnsi"/>
          <w:spacing w:val="-4"/>
          <w:sz w:val="18"/>
          <w:szCs w:val="18"/>
          <w:lang w:val="en-GB"/>
        </w:rPr>
        <w:t xml:space="preserve">List of issues in relation to the fourth periodic report of Israel, E/C.12/ISR/Q/4, 15 March 2019, </w:t>
      </w:r>
      <w:proofErr w:type="spellStart"/>
      <w:r w:rsidRPr="007C7DCB">
        <w:rPr>
          <w:rFonts w:asciiTheme="minorHAnsi" w:hAnsiTheme="minorHAnsi" w:cstheme="minorHAnsi"/>
          <w:spacing w:val="-4"/>
          <w:sz w:val="18"/>
          <w:szCs w:val="18"/>
          <w:lang w:val="en-GB"/>
        </w:rPr>
        <w:t>paras</w:t>
      </w:r>
      <w:proofErr w:type="spellEnd"/>
      <w:r w:rsidRPr="007C7DCB">
        <w:rPr>
          <w:rFonts w:asciiTheme="minorHAnsi" w:hAnsiTheme="minorHAnsi" w:cstheme="minorHAnsi"/>
          <w:spacing w:val="-4"/>
          <w:sz w:val="18"/>
          <w:szCs w:val="18"/>
          <w:lang w:val="en-GB"/>
        </w:rPr>
        <w:t xml:space="preserve">. 14 and 25, at: </w:t>
      </w:r>
      <w:hyperlink r:id="rId40" w:history="1">
        <w:r w:rsidRPr="007C7DCB">
          <w:rPr>
            <w:rStyle w:val="Hyperlink"/>
            <w:rFonts w:asciiTheme="minorHAnsi" w:hAnsiTheme="minorHAnsi" w:cstheme="minorHAnsi"/>
            <w:spacing w:val="-4"/>
            <w:sz w:val="18"/>
            <w:szCs w:val="18"/>
            <w:lang w:val="en-GB"/>
          </w:rPr>
          <w:t>https://tbinternet.ohchr.org/_layouts/15/treatybodyexternal/Download.aspx?symbolno=E%2fC.12%2fISR%2fQ%2f4&amp;Lang=en</w:t>
        </w:r>
      </w:hyperlink>
      <w:r w:rsidRPr="007C7DCB">
        <w:rPr>
          <w:rFonts w:asciiTheme="minorHAnsi" w:hAnsiTheme="minorHAnsi" w:cstheme="minorHAnsi"/>
          <w:spacing w:val="-4"/>
          <w:sz w:val="18"/>
          <w:szCs w:val="18"/>
          <w:lang w:val="en-GB"/>
        </w:rPr>
        <w:t>.</w:t>
      </w:r>
      <w:r w:rsidRPr="007C7DCB">
        <w:rPr>
          <w:rFonts w:asciiTheme="minorHAnsi" w:hAnsiTheme="minorHAnsi" w:cstheme="minorHAnsi"/>
          <w:sz w:val="18"/>
          <w:szCs w:val="18"/>
          <w:lang w:val="en-GB"/>
        </w:rPr>
        <w:t xml:space="preserve"> </w:t>
      </w:r>
    </w:p>
  </w:endnote>
  <w:endnote w:id="40">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Draft Code of Crimes against the Peace and Security of Mankind, Articles 20: War crimes, (c)(</w:t>
      </w:r>
      <w:proofErr w:type="spellStart"/>
      <w:r w:rsidRPr="007C7DCB">
        <w:rPr>
          <w:rFonts w:asciiTheme="minorHAnsi" w:hAnsiTheme="minorHAnsi"/>
          <w:sz w:val="18"/>
          <w:szCs w:val="18"/>
          <w:lang w:val="en-GB"/>
        </w:rPr>
        <w:t>i</w:t>
      </w:r>
      <w:proofErr w:type="spellEnd"/>
      <w:r w:rsidRPr="007C7DCB">
        <w:rPr>
          <w:rFonts w:asciiTheme="minorHAnsi" w:hAnsiTheme="minorHAnsi"/>
          <w:sz w:val="18"/>
          <w:szCs w:val="18"/>
          <w:lang w:val="en-GB"/>
        </w:rPr>
        <w:t xml:space="preserve">), at: </w:t>
      </w:r>
      <w:hyperlink r:id="rId41" w:history="1">
        <w:r w:rsidRPr="007C7DCB">
          <w:rPr>
            <w:rStyle w:val="Hyperlink"/>
            <w:rFonts w:asciiTheme="minorHAnsi" w:hAnsiTheme="minorHAnsi"/>
            <w:sz w:val="18"/>
            <w:szCs w:val="18"/>
            <w:lang w:val="en-GB"/>
          </w:rPr>
          <w:t>http://legal.un.org/ilc/texts/instruments/english/commentaries/7_4_1996.pdf</w:t>
        </w:r>
      </w:hyperlink>
      <w:r w:rsidRPr="007C7DCB">
        <w:rPr>
          <w:rFonts w:asciiTheme="minorHAnsi" w:hAnsiTheme="minorHAnsi"/>
          <w:sz w:val="18"/>
          <w:szCs w:val="18"/>
          <w:lang w:val="en-GB"/>
        </w:rPr>
        <w:t xml:space="preserve">; United Nations Diplomatic Conference of Plenipotentiaries on the Establishment of an International Criminal Court, </w:t>
      </w:r>
      <w:r w:rsidRPr="007C7DCB">
        <w:rPr>
          <w:rFonts w:asciiTheme="minorHAnsi" w:hAnsiTheme="minorHAnsi"/>
          <w:i/>
          <w:sz w:val="18"/>
          <w:szCs w:val="18"/>
          <w:lang w:val="en-GB"/>
        </w:rPr>
        <w:t>Rome Statute of the International Criminal Court</w:t>
      </w:r>
      <w:r w:rsidRPr="007C7DCB">
        <w:rPr>
          <w:rFonts w:asciiTheme="minorHAnsi" w:hAnsiTheme="minorHAnsi"/>
          <w:sz w:val="18"/>
          <w:szCs w:val="18"/>
          <w:lang w:val="en-GB"/>
        </w:rPr>
        <w:t xml:space="preserve">, 17 July 1998, A/CONF.193/9, Articles 7 and 8, at: </w:t>
      </w:r>
      <w:hyperlink r:id="rId42" w:history="1">
        <w:r w:rsidRPr="007C7DCB">
          <w:rPr>
            <w:rStyle w:val="Hyperlink"/>
            <w:rFonts w:asciiTheme="minorHAnsi" w:hAnsiTheme="minorHAnsi"/>
            <w:sz w:val="18"/>
            <w:szCs w:val="18"/>
            <w:lang w:val="en-GB"/>
          </w:rPr>
          <w:t>https://www.icc-cpi.int/resource-library/Documents/RS-Eng.pdf</w:t>
        </w:r>
      </w:hyperlink>
      <w:r w:rsidRPr="007C7DCB">
        <w:rPr>
          <w:rFonts w:asciiTheme="minorHAnsi" w:hAnsiTheme="minorHAnsi"/>
          <w:sz w:val="18"/>
          <w:szCs w:val="18"/>
          <w:lang w:val="en-GB"/>
        </w:rPr>
        <w:t xml:space="preserve">. </w:t>
      </w:r>
    </w:p>
  </w:endnote>
  <w:endnote w:id="41">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S/RES/252 (1968) of 21 May 1968,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sz w:val="18"/>
          <w:szCs w:val="18"/>
          <w:lang w:val="en-GB"/>
        </w:rPr>
        <w:tab/>
      </w:r>
      <w:hyperlink r:id="rId43" w:history="1">
        <w:r w:rsidRPr="007C7DCB">
          <w:rPr>
            <w:rStyle w:val="Hyperlink"/>
            <w:rFonts w:asciiTheme="minorHAnsi" w:hAnsiTheme="minorHAnsi"/>
            <w:sz w:val="18"/>
            <w:szCs w:val="18"/>
            <w:lang w:val="en-GB"/>
          </w:rPr>
          <w:t>https://unispal.un.org/UNISPAL.NSF/b86613e7d92097880525672e007227a7/46f2803d78a0488e852560c3006023a8?OpenDocument</w:t>
        </w:r>
      </w:hyperlink>
      <w:r w:rsidRPr="007C7DCB">
        <w:rPr>
          <w:rFonts w:asciiTheme="minorHAnsi" w:hAnsiTheme="minorHAnsi"/>
          <w:sz w:val="18"/>
          <w:szCs w:val="18"/>
          <w:lang w:val="en-GB"/>
        </w:rPr>
        <w:t xml:space="preserve">; S/RES/267 (1969), 3 July 1969,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sz w:val="18"/>
          <w:szCs w:val="18"/>
          <w:lang w:val="en-GB"/>
        </w:rPr>
        <w:tab/>
      </w:r>
      <w:hyperlink r:id="rId44" w:history="1">
        <w:r w:rsidRPr="007C7DCB">
          <w:rPr>
            <w:rStyle w:val="Hyperlink"/>
            <w:rFonts w:asciiTheme="minorHAnsi" w:hAnsiTheme="minorHAnsi"/>
            <w:sz w:val="18"/>
            <w:szCs w:val="18"/>
            <w:lang w:val="en-GB"/>
          </w:rPr>
          <w:t>https://unispal.un.org/UNISPAL.NSF/b86613e7d92097880525672e007227a7/5932ecf53ff36a04852560c300656122?OpenDocument</w:t>
        </w:r>
      </w:hyperlink>
      <w:r w:rsidRPr="007C7DCB">
        <w:rPr>
          <w:rFonts w:asciiTheme="minorHAnsi" w:hAnsiTheme="minorHAnsi"/>
          <w:sz w:val="18"/>
          <w:szCs w:val="18"/>
          <w:lang w:val="en-GB"/>
        </w:rPr>
        <w:t>; S/RES/</w:t>
      </w:r>
      <w:hyperlink r:id="rId45" w:history="1">
        <w:r w:rsidRPr="007C7DCB">
          <w:rPr>
            <w:rStyle w:val="Hyperlink"/>
            <w:rFonts w:asciiTheme="minorHAnsi" w:hAnsiTheme="minorHAnsi"/>
            <w:sz w:val="18"/>
            <w:szCs w:val="18"/>
            <w:lang w:val="en-GB"/>
          </w:rPr>
          <w:t>271 (1969)</w:t>
        </w:r>
      </w:hyperlink>
      <w:r w:rsidRPr="007C7DCB">
        <w:rPr>
          <w:rFonts w:asciiTheme="minorHAnsi" w:hAnsiTheme="minorHAnsi"/>
          <w:sz w:val="18"/>
          <w:szCs w:val="18"/>
          <w:lang w:val="en-GB"/>
        </w:rPr>
        <w:t xml:space="preserve">, 15 September 1969,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sz w:val="18"/>
          <w:szCs w:val="18"/>
          <w:lang w:val="en-GB"/>
        </w:rPr>
        <w:tab/>
      </w:r>
      <w:hyperlink r:id="rId46" w:history="1">
        <w:r w:rsidRPr="007C7DCB">
          <w:rPr>
            <w:rStyle w:val="Hyperlink"/>
            <w:rFonts w:asciiTheme="minorHAnsi" w:hAnsiTheme="minorHAnsi"/>
            <w:sz w:val="18"/>
            <w:szCs w:val="18"/>
            <w:lang w:val="en-GB"/>
          </w:rPr>
          <w:t>https://unispal.un.org/UNISPAL.NSF/b86613e7d92097880525672e007227a7/35941b603b4459b8852560c50061dc5e?OpenDocument</w:t>
        </w:r>
      </w:hyperlink>
      <w:r w:rsidRPr="007C7DCB">
        <w:rPr>
          <w:rFonts w:asciiTheme="minorHAnsi" w:hAnsiTheme="minorHAnsi"/>
          <w:sz w:val="18"/>
          <w:szCs w:val="18"/>
          <w:lang w:val="en-GB"/>
        </w:rPr>
        <w:t xml:space="preserve">; A/RES/298 (1971), 25 September 1971, at: </w:t>
      </w:r>
    </w:p>
    <w:p w:rsidR="0098151C" w:rsidRPr="007C7DCB" w:rsidRDefault="0098151C" w:rsidP="007C7DCB">
      <w:pPr>
        <w:pStyle w:val="EndnoteText"/>
        <w:spacing w:line="240" w:lineRule="auto"/>
        <w:ind w:left="216" w:hanging="216"/>
        <w:jc w:val="lowKashida"/>
        <w:rPr>
          <w:rFonts w:asciiTheme="minorHAnsi" w:hAnsiTheme="minorHAnsi" w:cs="Courier New"/>
          <w:sz w:val="18"/>
          <w:szCs w:val="18"/>
          <w:lang w:val="en-GB"/>
        </w:rPr>
      </w:pPr>
      <w:r w:rsidRPr="007C7DCB">
        <w:rPr>
          <w:rFonts w:asciiTheme="minorHAnsi" w:hAnsiTheme="minorHAnsi"/>
          <w:sz w:val="18"/>
          <w:szCs w:val="18"/>
          <w:lang w:val="en-GB"/>
        </w:rPr>
        <w:tab/>
      </w:r>
      <w:hyperlink r:id="rId47" w:history="1">
        <w:r w:rsidRPr="007C7DCB">
          <w:rPr>
            <w:rStyle w:val="Hyperlink"/>
            <w:rFonts w:asciiTheme="minorHAnsi" w:hAnsiTheme="minorHAnsi"/>
            <w:sz w:val="18"/>
            <w:szCs w:val="18"/>
            <w:lang w:val="en-GB"/>
          </w:rPr>
          <w:t>https://unispal.un.org/UNISPAL.NSF/b86613e7d92097880525672e007227a7/441329a958089eaa852560c4004ee74d?OpenDocument</w:t>
        </w:r>
      </w:hyperlink>
      <w:r w:rsidRPr="007C7DCB">
        <w:rPr>
          <w:rFonts w:asciiTheme="minorHAnsi" w:hAnsiTheme="minorHAnsi"/>
          <w:sz w:val="18"/>
          <w:szCs w:val="18"/>
          <w:lang w:val="en-GB"/>
        </w:rPr>
        <w:t>; A/RES/465 (1980), 1 March 1980,</w:t>
      </w:r>
      <w:r w:rsidRPr="007C7DCB">
        <w:rPr>
          <w:rFonts w:asciiTheme="minorHAnsi" w:hAnsiTheme="minorHAnsi" w:cs="Courier New"/>
          <w:sz w:val="18"/>
          <w:szCs w:val="18"/>
          <w:lang w:val="en-GB"/>
        </w:rPr>
        <w:t xml:space="preserve"> at: </w:t>
      </w:r>
    </w:p>
    <w:p w:rsidR="0098151C" w:rsidRPr="007C7DCB" w:rsidRDefault="0098151C" w:rsidP="007C7DCB">
      <w:pPr>
        <w:pStyle w:val="EndnoteText"/>
        <w:spacing w:line="240" w:lineRule="auto"/>
        <w:ind w:left="216" w:hanging="216"/>
        <w:jc w:val="lowKashida"/>
        <w:rPr>
          <w:rFonts w:asciiTheme="minorHAnsi" w:hAnsiTheme="minorHAnsi" w:cs="Courier New"/>
          <w:sz w:val="18"/>
          <w:szCs w:val="18"/>
          <w:lang w:val="en-GB"/>
        </w:rPr>
      </w:pPr>
      <w:r w:rsidRPr="007C7DCB">
        <w:rPr>
          <w:rFonts w:asciiTheme="minorHAnsi" w:hAnsiTheme="minorHAnsi" w:cs="Courier New"/>
          <w:sz w:val="18"/>
          <w:szCs w:val="18"/>
          <w:lang w:val="en-GB"/>
        </w:rPr>
        <w:tab/>
      </w:r>
      <w:hyperlink r:id="rId48" w:history="1">
        <w:r w:rsidRPr="007C7DCB">
          <w:rPr>
            <w:rStyle w:val="Hyperlink"/>
            <w:rFonts w:asciiTheme="minorHAnsi" w:hAnsiTheme="minorHAnsi" w:cs="Courier New"/>
            <w:sz w:val="18"/>
            <w:szCs w:val="18"/>
            <w:lang w:val="en-GB"/>
          </w:rPr>
          <w:t>https://unispal.un.org/UNISPAL.NSF/b86613e7d92097880525672e007227a7/5aa254a1c8f8b1cb852560e50075d7d5?OpenDocument</w:t>
        </w:r>
      </w:hyperlink>
      <w:r w:rsidRPr="007C7DCB">
        <w:rPr>
          <w:rFonts w:asciiTheme="minorHAnsi" w:hAnsiTheme="minorHAnsi" w:cs="Courier New"/>
          <w:sz w:val="18"/>
          <w:szCs w:val="18"/>
          <w:lang w:val="en-GB"/>
        </w:rPr>
        <w:t xml:space="preserve">; S/RES/476 (1980), 30 June 1980,at: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cs="Courier New"/>
          <w:sz w:val="18"/>
          <w:szCs w:val="18"/>
          <w:lang w:val="en-GB"/>
        </w:rPr>
        <w:tab/>
      </w:r>
      <w:hyperlink r:id="rId49" w:history="1">
        <w:r w:rsidRPr="007C7DCB">
          <w:rPr>
            <w:rStyle w:val="Hyperlink"/>
            <w:rFonts w:asciiTheme="minorHAnsi" w:hAnsiTheme="minorHAnsi" w:cs="Courier New"/>
            <w:sz w:val="18"/>
            <w:szCs w:val="18"/>
            <w:lang w:val="en-GB"/>
          </w:rPr>
          <w:t>https://unispal.un.org/UNISPAL.NSF/0/6DE6DA8A650B4C3B852560DF00663826; and S/RES/2334, 23 December 2016, at: https://unispal.un.org/DPA/DPR/unispal.nsf/0/6E628F30062A868385258096005D36BE</w:t>
        </w:r>
      </w:hyperlink>
      <w:r w:rsidRPr="007C7DCB">
        <w:rPr>
          <w:rFonts w:asciiTheme="minorHAnsi" w:hAnsiTheme="minorHAnsi" w:cs="Courier New"/>
          <w:sz w:val="18"/>
          <w:szCs w:val="18"/>
          <w:lang w:val="en-GB"/>
        </w:rPr>
        <w:t xml:space="preserve">. </w:t>
      </w:r>
    </w:p>
  </w:endnote>
  <w:endnote w:id="42">
    <w:p w:rsidR="0098151C" w:rsidRPr="007C7DCB" w:rsidRDefault="0098151C" w:rsidP="007C7DCB">
      <w:pPr>
        <w:pStyle w:val="EndnoteText"/>
        <w:spacing w:line="240" w:lineRule="auto"/>
        <w:ind w:left="216" w:hanging="216"/>
        <w:jc w:val="lowKashida"/>
        <w:rPr>
          <w:rFonts w:asciiTheme="minorHAnsi" w:hAnsiTheme="minorHAnsi" w:cs="Arial"/>
          <w:spacing w:val="-4"/>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r>
      <w:proofErr w:type="spellStart"/>
      <w:r w:rsidRPr="007C7DCB">
        <w:rPr>
          <w:rFonts w:asciiTheme="minorHAnsi" w:hAnsiTheme="minorHAnsi"/>
          <w:spacing w:val="-4"/>
          <w:sz w:val="18"/>
          <w:szCs w:val="18"/>
          <w:lang w:val="en-GB"/>
        </w:rPr>
        <w:t>Yotam</w:t>
      </w:r>
      <w:proofErr w:type="spellEnd"/>
      <w:r w:rsidRPr="007C7DCB">
        <w:rPr>
          <w:rFonts w:asciiTheme="minorHAnsi" w:hAnsiTheme="minorHAnsi"/>
          <w:spacing w:val="-4"/>
          <w:sz w:val="18"/>
          <w:szCs w:val="18"/>
          <w:lang w:val="en-GB"/>
        </w:rPr>
        <w:t xml:space="preserve"> Berger, "Overstepping Authority, State Body Advances Illegal Israeli Settlement Construction in West Bank," </w:t>
      </w:r>
      <w:proofErr w:type="spellStart"/>
      <w:r w:rsidRPr="007C7DCB">
        <w:rPr>
          <w:rFonts w:asciiTheme="minorHAnsi" w:hAnsiTheme="minorHAnsi"/>
          <w:i/>
          <w:iCs/>
          <w:spacing w:val="-4"/>
          <w:sz w:val="18"/>
          <w:szCs w:val="18"/>
          <w:lang w:val="en-GB"/>
        </w:rPr>
        <w:t>Haaretz</w:t>
      </w:r>
      <w:proofErr w:type="spellEnd"/>
      <w:r w:rsidRPr="007C7DCB">
        <w:rPr>
          <w:rFonts w:asciiTheme="minorHAnsi" w:hAnsiTheme="minorHAnsi"/>
          <w:i/>
          <w:iCs/>
          <w:spacing w:val="-4"/>
          <w:sz w:val="18"/>
          <w:szCs w:val="18"/>
          <w:lang w:val="en-GB"/>
        </w:rPr>
        <w:t xml:space="preserve"> </w:t>
      </w:r>
      <w:r w:rsidRPr="007C7DCB">
        <w:rPr>
          <w:rFonts w:asciiTheme="minorHAnsi" w:hAnsiTheme="minorHAnsi"/>
          <w:spacing w:val="-4"/>
          <w:sz w:val="18"/>
          <w:szCs w:val="18"/>
          <w:lang w:val="en-GB"/>
        </w:rPr>
        <w:t xml:space="preserve">(9 March 2017), at: </w:t>
      </w:r>
      <w:hyperlink r:id="rId50" w:history="1">
        <w:r w:rsidRPr="007C7DCB">
          <w:rPr>
            <w:rStyle w:val="Hyperlink"/>
            <w:rFonts w:asciiTheme="minorHAnsi" w:hAnsiTheme="minorHAnsi"/>
            <w:spacing w:val="-4"/>
            <w:sz w:val="18"/>
            <w:szCs w:val="18"/>
            <w:lang w:val="en-GB"/>
          </w:rPr>
          <w:t>https://www.haaretz.com/israel-news/.premium-overstepping-authority-state-body-advances-illegal-settlement-construction-1.5446620</w:t>
        </w:r>
      </w:hyperlink>
      <w:r w:rsidRPr="007C7DCB">
        <w:rPr>
          <w:rFonts w:asciiTheme="minorHAnsi" w:hAnsiTheme="minorHAnsi"/>
          <w:spacing w:val="-4"/>
          <w:sz w:val="18"/>
          <w:szCs w:val="18"/>
          <w:lang w:val="en-GB"/>
        </w:rPr>
        <w:t xml:space="preserve">; </w:t>
      </w:r>
      <w:r w:rsidRPr="007C7DCB">
        <w:rPr>
          <w:rFonts w:asciiTheme="minorHAnsi" w:hAnsiTheme="minorHAnsi" w:cs="Arial"/>
          <w:spacing w:val="-4"/>
          <w:sz w:val="18"/>
          <w:szCs w:val="18"/>
          <w:lang w:val="en-GB"/>
        </w:rPr>
        <w:t xml:space="preserve">Talia </w:t>
      </w:r>
      <w:proofErr w:type="spellStart"/>
      <w:r w:rsidRPr="007C7DCB">
        <w:rPr>
          <w:rFonts w:asciiTheme="minorHAnsi" w:hAnsiTheme="minorHAnsi" w:cs="Arial"/>
          <w:spacing w:val="-4"/>
          <w:sz w:val="18"/>
          <w:szCs w:val="18"/>
          <w:lang w:val="en-GB"/>
        </w:rPr>
        <w:t>Sasson</w:t>
      </w:r>
      <w:proofErr w:type="spellEnd"/>
      <w:r w:rsidRPr="007C7DCB">
        <w:rPr>
          <w:rFonts w:asciiTheme="minorHAnsi" w:hAnsiTheme="minorHAnsi" w:cs="Arial"/>
          <w:spacing w:val="-4"/>
          <w:sz w:val="18"/>
          <w:szCs w:val="18"/>
          <w:lang w:val="en-GB"/>
        </w:rPr>
        <w:t xml:space="preserve"> (interim Prosecutor General), “Summary of the Opinion Concerning Unauthorized Outposts,” Israeli Prime Minister’s Office, 10 March 2005, at: </w:t>
      </w:r>
    </w:p>
    <w:p w:rsidR="0098151C" w:rsidRPr="007C7DCB" w:rsidRDefault="0098151C" w:rsidP="007C7DCB">
      <w:pPr>
        <w:pStyle w:val="Heading1"/>
        <w:spacing w:before="0" w:line="240" w:lineRule="auto"/>
        <w:ind w:left="216" w:hanging="216"/>
        <w:jc w:val="lowKashida"/>
        <w:rPr>
          <w:rFonts w:asciiTheme="minorHAnsi" w:hAnsiTheme="minorHAnsi"/>
          <w:sz w:val="18"/>
          <w:szCs w:val="18"/>
          <w:lang w:val="en-GB"/>
        </w:rPr>
      </w:pPr>
      <w:r w:rsidRPr="007C7DCB">
        <w:rPr>
          <w:rFonts w:asciiTheme="minorHAnsi" w:hAnsiTheme="minorHAnsi" w:cs="Arial"/>
          <w:spacing w:val="-4"/>
          <w:sz w:val="18"/>
          <w:szCs w:val="18"/>
          <w:lang w:val="en-GB"/>
        </w:rPr>
        <w:tab/>
      </w:r>
      <w:hyperlink r:id="rId51" w:history="1">
        <w:r w:rsidRPr="007C7DCB">
          <w:rPr>
            <w:rStyle w:val="Hyperlink"/>
            <w:rFonts w:asciiTheme="minorHAnsi" w:hAnsiTheme="minorHAnsi" w:cs="Arial"/>
            <w:color w:val="0000FF"/>
            <w:spacing w:val="-4"/>
            <w:sz w:val="18"/>
            <w:szCs w:val="18"/>
            <w:lang w:val="en-GB"/>
          </w:rPr>
          <w:t>http://unispal.un.org/unispal.nsf/9a798adbf322aff38525617b006d88d7/956aa60f2a7bd6a185256fc0006305f4?OpenDocument&amp;Highlight=0,outposts</w:t>
        </w:r>
      </w:hyperlink>
      <w:r w:rsidRPr="007C7DCB">
        <w:rPr>
          <w:rFonts w:asciiTheme="minorHAnsi" w:hAnsiTheme="minorHAnsi"/>
          <w:color w:val="auto"/>
          <w:spacing w:val="-4"/>
          <w:sz w:val="18"/>
          <w:szCs w:val="18"/>
          <w:lang w:val="en-GB"/>
        </w:rPr>
        <w:t xml:space="preserve">; </w:t>
      </w:r>
      <w:r w:rsidRPr="007C7DCB">
        <w:rPr>
          <w:rFonts w:asciiTheme="minorHAnsi" w:eastAsia="Times New Roman" w:hAnsiTheme="minorHAnsi" w:cs="Times New Roman"/>
          <w:color w:val="auto"/>
          <w:spacing w:val="-4"/>
          <w:sz w:val="18"/>
          <w:szCs w:val="18"/>
          <w:lang w:val="en-GB"/>
        </w:rPr>
        <w:t xml:space="preserve">"Lawsuit Reveals West Bank Land Fraud," </w:t>
      </w:r>
      <w:r w:rsidRPr="007C7DCB">
        <w:rPr>
          <w:rFonts w:asciiTheme="minorHAnsi" w:eastAsia="Times New Roman" w:hAnsiTheme="minorHAnsi" w:cs="Times New Roman"/>
          <w:i/>
          <w:iCs/>
          <w:color w:val="auto"/>
          <w:spacing w:val="-4"/>
          <w:sz w:val="18"/>
          <w:szCs w:val="18"/>
          <w:lang w:val="en-GB"/>
        </w:rPr>
        <w:t xml:space="preserve">HIC-MENA News </w:t>
      </w:r>
      <w:r w:rsidRPr="007C7DCB">
        <w:rPr>
          <w:rFonts w:asciiTheme="minorHAnsi" w:eastAsia="Times New Roman" w:hAnsiTheme="minorHAnsi" w:cs="Times New Roman"/>
          <w:color w:val="auto"/>
          <w:spacing w:val="-4"/>
          <w:sz w:val="18"/>
          <w:szCs w:val="18"/>
          <w:lang w:val="en-GB"/>
        </w:rPr>
        <w:t xml:space="preserve">(20 June 2009), at: </w:t>
      </w:r>
      <w:hyperlink r:id="rId52" w:history="1">
        <w:r w:rsidRPr="007C7DCB">
          <w:rPr>
            <w:rStyle w:val="Hyperlink"/>
            <w:rFonts w:asciiTheme="minorHAnsi" w:eastAsia="Times New Roman" w:hAnsiTheme="minorHAnsi" w:cs="Times New Roman"/>
            <w:spacing w:val="-4"/>
            <w:sz w:val="18"/>
            <w:szCs w:val="18"/>
            <w:lang w:val="en-GB"/>
          </w:rPr>
          <w:t>http://www.hic-mena.</w:t>
        </w:r>
        <w:r w:rsidRPr="007C7DCB">
          <w:rPr>
            <w:rStyle w:val="Hyperlink"/>
            <w:rFonts w:asciiTheme="minorHAnsi" w:eastAsia="Times New Roman" w:hAnsiTheme="minorHAnsi" w:cs="Times New Roman"/>
            <w:color w:val="0000FF"/>
            <w:spacing w:val="-4"/>
            <w:sz w:val="18"/>
            <w:szCs w:val="18"/>
            <w:lang w:val="en-GB"/>
          </w:rPr>
          <w:t>org/new</w:t>
        </w:r>
        <w:r w:rsidRPr="007C7DCB">
          <w:rPr>
            <w:rStyle w:val="Hyperlink"/>
            <w:rFonts w:asciiTheme="minorHAnsi" w:eastAsia="Times New Roman" w:hAnsiTheme="minorHAnsi" w:cs="Times New Roman"/>
            <w:spacing w:val="-4"/>
            <w:sz w:val="18"/>
            <w:szCs w:val="18"/>
            <w:lang w:val="en-GB"/>
          </w:rPr>
          <w:t>s.php?id=pGhlag==#.XXJjpX9S_IU</w:t>
        </w:r>
      </w:hyperlink>
      <w:r w:rsidRPr="007C7DCB">
        <w:rPr>
          <w:rFonts w:asciiTheme="minorHAnsi" w:eastAsia="Times New Roman" w:hAnsiTheme="minorHAnsi" w:cs="Times New Roman"/>
          <w:spacing w:val="-4"/>
          <w:sz w:val="18"/>
          <w:szCs w:val="18"/>
          <w:lang w:val="en-GB"/>
        </w:rPr>
        <w:t xml:space="preserve">. </w:t>
      </w:r>
      <w:r w:rsidRPr="007C7DCB">
        <w:rPr>
          <w:rFonts w:asciiTheme="minorHAnsi" w:hAnsiTheme="minorHAnsi"/>
          <w:color w:val="auto"/>
          <w:spacing w:val="-4"/>
          <w:sz w:val="18"/>
          <w:szCs w:val="18"/>
          <w:lang w:val="en-GB"/>
        </w:rPr>
        <w:t>See also World Zionist Organization, "Elected Offices and Committees," at:</w:t>
      </w:r>
      <w:r w:rsidRPr="007C7DCB">
        <w:rPr>
          <w:rFonts w:asciiTheme="minorHAnsi" w:hAnsiTheme="minorHAnsi"/>
          <w:spacing w:val="-4"/>
          <w:sz w:val="18"/>
          <w:szCs w:val="18"/>
          <w:lang w:val="en-GB"/>
        </w:rPr>
        <w:t xml:space="preserve"> </w:t>
      </w:r>
      <w:hyperlink r:id="rId53" w:history="1">
        <w:r w:rsidRPr="007C7DCB">
          <w:rPr>
            <w:rStyle w:val="Hyperlink"/>
            <w:rFonts w:asciiTheme="minorHAnsi" w:hAnsiTheme="minorHAnsi"/>
            <w:spacing w:val="-4"/>
            <w:sz w:val="18"/>
            <w:szCs w:val="18"/>
            <w:lang w:val="en-GB"/>
          </w:rPr>
          <w:t>https://www.wzo.org.il/congress/index.php?dir=site&amp;page=content&amp;cs=3026&amp;langpage=eng</w:t>
        </w:r>
      </w:hyperlink>
      <w:r w:rsidRPr="007C7DCB">
        <w:rPr>
          <w:rFonts w:asciiTheme="minorHAnsi" w:hAnsiTheme="minorHAnsi"/>
          <w:color w:val="auto"/>
          <w:spacing w:val="-4"/>
          <w:sz w:val="18"/>
          <w:szCs w:val="18"/>
          <w:lang w:val="en-GB"/>
        </w:rPr>
        <w:t>.</w:t>
      </w:r>
    </w:p>
  </w:endnote>
  <w:endnote w:id="43">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7C7DCB">
        <w:rPr>
          <w:rFonts w:asciiTheme="minorHAnsi" w:hAnsiTheme="minorHAnsi" w:cstheme="minorHAnsi"/>
          <w:spacing w:val="-2"/>
          <w:sz w:val="18"/>
          <w:szCs w:val="18"/>
          <w:lang w:val="en-GB"/>
        </w:rPr>
        <w:tab/>
      </w:r>
      <w:r w:rsidRPr="007C7DCB">
        <w:rPr>
          <w:rStyle w:val="EndnoteReference"/>
          <w:rFonts w:asciiTheme="minorHAnsi" w:hAnsiTheme="minorHAnsi" w:cstheme="minorHAnsi"/>
          <w:spacing w:val="-2"/>
          <w:sz w:val="18"/>
          <w:szCs w:val="18"/>
          <w:vertAlign w:val="baseline"/>
          <w:lang w:val="en-GB"/>
        </w:rPr>
        <w:t>Concluding Observations of the Committee on Economic, Social and Cultural Rights: Israel, E/C.12/1/Add.27</w:t>
      </w:r>
      <w:r w:rsidRPr="007C7DCB">
        <w:rPr>
          <w:rFonts w:asciiTheme="minorHAnsi" w:hAnsiTheme="minorHAnsi" w:cstheme="minorHAnsi"/>
          <w:spacing w:val="-2"/>
          <w:sz w:val="18"/>
          <w:szCs w:val="18"/>
          <w:lang w:val="en-GB"/>
        </w:rPr>
        <w:t xml:space="preserve">,  </w:t>
      </w:r>
      <w:r w:rsidRPr="007C7DCB">
        <w:rPr>
          <w:rStyle w:val="EndnoteReference"/>
          <w:rFonts w:asciiTheme="minorHAnsi" w:hAnsiTheme="minorHAnsi" w:cstheme="minorHAnsi"/>
          <w:spacing w:val="-2"/>
          <w:sz w:val="18"/>
          <w:szCs w:val="18"/>
          <w:vertAlign w:val="baseline"/>
          <w:lang w:val="en-GB"/>
        </w:rPr>
        <w:t>4 December 1998.</w:t>
      </w:r>
    </w:p>
  </w:endnote>
  <w:endnote w:id="44">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7C7DCB">
        <w:rPr>
          <w:rFonts w:asciiTheme="minorHAnsi" w:hAnsiTheme="minorHAnsi" w:cstheme="minorHAnsi"/>
          <w:spacing w:val="-2"/>
          <w:sz w:val="18"/>
          <w:szCs w:val="18"/>
          <w:lang w:val="en-GB"/>
        </w:rPr>
        <w:tab/>
      </w:r>
      <w:r w:rsidRPr="007C7DCB">
        <w:rPr>
          <w:rStyle w:val="EndnoteReference"/>
          <w:rFonts w:asciiTheme="minorHAnsi" w:hAnsiTheme="minorHAnsi" w:cstheme="minorHAnsi"/>
          <w:spacing w:val="-2"/>
          <w:sz w:val="18"/>
          <w:szCs w:val="18"/>
          <w:vertAlign w:val="baseline"/>
          <w:lang w:val="en-GB"/>
        </w:rPr>
        <w:t xml:space="preserve">Ibid., </w:t>
      </w:r>
      <w:proofErr w:type="spellStart"/>
      <w:r w:rsidRPr="007C7DCB">
        <w:rPr>
          <w:rStyle w:val="EndnoteReference"/>
          <w:rFonts w:asciiTheme="minorHAnsi" w:hAnsiTheme="minorHAnsi" w:cstheme="minorHAnsi"/>
          <w:spacing w:val="-2"/>
          <w:sz w:val="18"/>
          <w:szCs w:val="18"/>
          <w:vertAlign w:val="baseline"/>
          <w:lang w:val="en-GB"/>
        </w:rPr>
        <w:t>para</w:t>
      </w:r>
      <w:proofErr w:type="spellEnd"/>
      <w:r w:rsidRPr="007C7DCB">
        <w:rPr>
          <w:rStyle w:val="EndnoteReference"/>
          <w:rFonts w:asciiTheme="minorHAnsi" w:hAnsiTheme="minorHAnsi" w:cstheme="minorHAnsi"/>
          <w:spacing w:val="-2"/>
          <w:sz w:val="18"/>
          <w:szCs w:val="18"/>
          <w:vertAlign w:val="baseline"/>
          <w:lang w:val="en-GB"/>
        </w:rPr>
        <w:t>. 11.</w:t>
      </w:r>
    </w:p>
  </w:endnote>
  <w:endnote w:id="45">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7C7DCB">
        <w:rPr>
          <w:rStyle w:val="EndnoteReference"/>
          <w:rFonts w:asciiTheme="minorHAnsi" w:hAnsiTheme="minorHAnsi" w:cstheme="minorHAnsi"/>
          <w:spacing w:val="-2"/>
          <w:sz w:val="18"/>
          <w:szCs w:val="18"/>
          <w:lang w:val="en-GB"/>
        </w:rPr>
        <w:tab/>
      </w:r>
      <w:r w:rsidRPr="007C7DCB">
        <w:rPr>
          <w:rStyle w:val="EndnoteReference"/>
          <w:rFonts w:asciiTheme="minorHAnsi" w:hAnsiTheme="minorHAnsi" w:cstheme="minorHAnsi"/>
          <w:spacing w:val="-2"/>
          <w:sz w:val="18"/>
          <w:szCs w:val="18"/>
          <w:vertAlign w:val="baseline"/>
          <w:lang w:val="en-GB"/>
        </w:rPr>
        <w:t xml:space="preserve">Ibid., </w:t>
      </w:r>
      <w:proofErr w:type="spellStart"/>
      <w:r w:rsidRPr="007C7DCB">
        <w:rPr>
          <w:rStyle w:val="EndnoteReference"/>
          <w:rFonts w:asciiTheme="minorHAnsi" w:hAnsiTheme="minorHAnsi" w:cstheme="minorHAnsi"/>
          <w:spacing w:val="-2"/>
          <w:sz w:val="18"/>
          <w:szCs w:val="18"/>
          <w:vertAlign w:val="baseline"/>
          <w:lang w:val="en-GB"/>
        </w:rPr>
        <w:t>paras</w:t>
      </w:r>
      <w:proofErr w:type="spellEnd"/>
      <w:r w:rsidRPr="007C7DCB">
        <w:rPr>
          <w:rStyle w:val="EndnoteReference"/>
          <w:rFonts w:asciiTheme="minorHAnsi" w:hAnsiTheme="minorHAnsi" w:cstheme="minorHAnsi"/>
          <w:spacing w:val="-2"/>
          <w:sz w:val="18"/>
          <w:szCs w:val="18"/>
          <w:vertAlign w:val="baseline"/>
          <w:lang w:val="en-GB"/>
        </w:rPr>
        <w:t>, 26</w:t>
      </w:r>
      <w:r w:rsidRPr="007C7DCB">
        <w:rPr>
          <w:rFonts w:asciiTheme="minorHAnsi" w:hAnsiTheme="minorHAnsi" w:cstheme="minorHAnsi"/>
          <w:spacing w:val="-2"/>
          <w:sz w:val="18"/>
          <w:szCs w:val="18"/>
          <w:lang w:val="en-GB"/>
        </w:rPr>
        <w:t>–</w:t>
      </w:r>
      <w:r w:rsidRPr="007C7DCB">
        <w:rPr>
          <w:rStyle w:val="EndnoteReference"/>
          <w:rFonts w:asciiTheme="minorHAnsi" w:hAnsiTheme="minorHAnsi" w:cstheme="minorHAnsi"/>
          <w:spacing w:val="-2"/>
          <w:sz w:val="18"/>
          <w:szCs w:val="18"/>
          <w:vertAlign w:val="baseline"/>
          <w:lang w:val="en-GB"/>
        </w:rPr>
        <w:t>38.</w:t>
      </w:r>
    </w:p>
  </w:endnote>
  <w:endnote w:id="46">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Ibid., </w:t>
      </w:r>
      <w:proofErr w:type="spellStart"/>
      <w:r w:rsidRPr="007C7DCB">
        <w:rPr>
          <w:rFonts w:asciiTheme="minorHAnsi" w:hAnsiTheme="minorHAnsi" w:cstheme="minorHAnsi"/>
          <w:sz w:val="18"/>
          <w:szCs w:val="18"/>
          <w:lang w:val="en-GB"/>
        </w:rPr>
        <w:t>para</w:t>
      </w:r>
      <w:proofErr w:type="spellEnd"/>
      <w:r w:rsidRPr="007C7DCB">
        <w:rPr>
          <w:rFonts w:asciiTheme="minorHAnsi" w:hAnsiTheme="minorHAnsi" w:cstheme="minorHAnsi"/>
          <w:sz w:val="18"/>
          <w:szCs w:val="18"/>
          <w:lang w:val="en-GB"/>
        </w:rPr>
        <w:t>. 28.</w:t>
      </w:r>
    </w:p>
  </w:endnote>
  <w:endnote w:id="47">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7C7DCB">
        <w:rPr>
          <w:rFonts w:asciiTheme="minorHAnsi" w:hAnsiTheme="minorHAnsi" w:cstheme="minorHAnsi"/>
          <w:spacing w:val="-2"/>
          <w:sz w:val="18"/>
          <w:szCs w:val="18"/>
          <w:lang w:val="en-GB"/>
        </w:rPr>
        <w:tab/>
      </w:r>
      <w:r w:rsidRPr="007C7DCB">
        <w:rPr>
          <w:rStyle w:val="EndnoteReference"/>
          <w:rFonts w:asciiTheme="minorHAnsi" w:hAnsiTheme="minorHAnsi" w:cstheme="minorHAnsi"/>
          <w:spacing w:val="-2"/>
          <w:sz w:val="18"/>
          <w:szCs w:val="18"/>
          <w:vertAlign w:val="baseline"/>
          <w:lang w:val="en-GB"/>
        </w:rPr>
        <w:t xml:space="preserve">Ibid., </w:t>
      </w:r>
      <w:proofErr w:type="spellStart"/>
      <w:r w:rsidRPr="007C7DCB">
        <w:rPr>
          <w:rStyle w:val="EndnoteReference"/>
          <w:rFonts w:asciiTheme="minorHAnsi" w:hAnsiTheme="minorHAnsi" w:cstheme="minorHAnsi"/>
          <w:spacing w:val="-2"/>
          <w:sz w:val="18"/>
          <w:szCs w:val="18"/>
          <w:vertAlign w:val="baseline"/>
          <w:lang w:val="en-GB"/>
        </w:rPr>
        <w:t>paras</w:t>
      </w:r>
      <w:proofErr w:type="spellEnd"/>
      <w:r w:rsidRPr="007C7DCB">
        <w:rPr>
          <w:rStyle w:val="EndnoteReference"/>
          <w:rFonts w:asciiTheme="minorHAnsi" w:hAnsiTheme="minorHAnsi" w:cstheme="minorHAnsi"/>
          <w:spacing w:val="-2"/>
          <w:sz w:val="18"/>
          <w:szCs w:val="18"/>
          <w:vertAlign w:val="baseline"/>
          <w:lang w:val="en-GB"/>
        </w:rPr>
        <w:t>. 25, 41.</w:t>
      </w:r>
    </w:p>
  </w:endnote>
  <w:endnote w:id="48">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Ibid., </w:t>
      </w:r>
      <w:proofErr w:type="spellStart"/>
      <w:r w:rsidRPr="007C7DCB">
        <w:rPr>
          <w:rFonts w:asciiTheme="minorHAnsi" w:hAnsiTheme="minorHAnsi" w:cstheme="minorHAnsi"/>
          <w:sz w:val="18"/>
          <w:szCs w:val="18"/>
          <w:lang w:val="en-GB"/>
        </w:rPr>
        <w:t>para</w:t>
      </w:r>
      <w:proofErr w:type="spellEnd"/>
      <w:r w:rsidRPr="007C7DCB">
        <w:rPr>
          <w:rFonts w:asciiTheme="minorHAnsi" w:hAnsiTheme="minorHAnsi" w:cstheme="minorHAnsi"/>
          <w:sz w:val="18"/>
          <w:szCs w:val="18"/>
          <w:lang w:val="en-GB"/>
        </w:rPr>
        <w:t>. 34</w:t>
      </w:r>
    </w:p>
  </w:endnote>
  <w:endnote w:id="49">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7C7DCB">
        <w:rPr>
          <w:rStyle w:val="EndnoteReference"/>
          <w:rFonts w:asciiTheme="minorHAnsi" w:hAnsiTheme="minorHAnsi" w:cstheme="minorHAnsi"/>
          <w:spacing w:val="-2"/>
          <w:sz w:val="18"/>
          <w:szCs w:val="18"/>
          <w:lang w:val="en-GB"/>
        </w:rPr>
        <w:tab/>
      </w:r>
      <w:r w:rsidRPr="007C7DCB">
        <w:rPr>
          <w:rStyle w:val="EndnoteReference"/>
          <w:rFonts w:asciiTheme="minorHAnsi" w:hAnsiTheme="minorHAnsi" w:cstheme="minorHAnsi"/>
          <w:spacing w:val="-2"/>
          <w:sz w:val="18"/>
          <w:szCs w:val="18"/>
          <w:vertAlign w:val="baseline"/>
          <w:lang w:val="en-GB"/>
        </w:rPr>
        <w:t xml:space="preserve">Ibid., </w:t>
      </w:r>
      <w:proofErr w:type="spellStart"/>
      <w:r w:rsidRPr="007C7DCB">
        <w:rPr>
          <w:rStyle w:val="EndnoteReference"/>
          <w:rFonts w:asciiTheme="minorHAnsi" w:hAnsiTheme="minorHAnsi" w:cstheme="minorHAnsi"/>
          <w:spacing w:val="-2"/>
          <w:sz w:val="18"/>
          <w:szCs w:val="18"/>
          <w:vertAlign w:val="baseline"/>
          <w:lang w:val="en-GB"/>
        </w:rPr>
        <w:t>para</w:t>
      </w:r>
      <w:proofErr w:type="spellEnd"/>
      <w:r w:rsidRPr="007C7DCB">
        <w:rPr>
          <w:rStyle w:val="EndnoteReference"/>
          <w:rFonts w:asciiTheme="minorHAnsi" w:hAnsiTheme="minorHAnsi" w:cstheme="minorHAnsi"/>
          <w:spacing w:val="-2"/>
          <w:sz w:val="18"/>
          <w:szCs w:val="18"/>
          <w:vertAlign w:val="baseline"/>
          <w:lang w:val="en-GB"/>
        </w:rPr>
        <w:t>. 35.</w:t>
      </w:r>
    </w:p>
  </w:endnote>
  <w:endnote w:id="50">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pacing w:val="-2"/>
          <w:sz w:val="18"/>
          <w:szCs w:val="18"/>
          <w:lang w:val="en-GB"/>
        </w:rPr>
        <w:endnoteRef/>
      </w:r>
      <w:r w:rsidRPr="007C7DCB">
        <w:rPr>
          <w:rStyle w:val="EndnoteReference"/>
          <w:rFonts w:asciiTheme="minorHAnsi" w:hAnsiTheme="minorHAnsi" w:cstheme="minorHAnsi"/>
          <w:spacing w:val="-2"/>
          <w:sz w:val="18"/>
          <w:szCs w:val="18"/>
          <w:lang w:val="en-GB"/>
        </w:rPr>
        <w:t xml:space="preserve"> </w:t>
      </w:r>
      <w:r w:rsidRPr="004D70D3">
        <w:rPr>
          <w:rFonts w:asciiTheme="minorHAnsi" w:hAnsiTheme="minorHAnsi" w:cstheme="minorHAnsi"/>
          <w:i/>
          <w:iCs/>
          <w:spacing w:val="-2"/>
          <w:sz w:val="18"/>
          <w:szCs w:val="18"/>
          <w:lang w:val="en-GB"/>
        </w:rPr>
        <w:tab/>
      </w:r>
      <w:r w:rsidRPr="004D70D3">
        <w:rPr>
          <w:rStyle w:val="EndnoteReference"/>
          <w:rFonts w:asciiTheme="minorHAnsi" w:hAnsiTheme="minorHAnsi" w:cstheme="minorHAnsi"/>
          <w:i/>
          <w:iCs/>
          <w:spacing w:val="-2"/>
          <w:sz w:val="18"/>
          <w:szCs w:val="18"/>
          <w:vertAlign w:val="baseline"/>
          <w:lang w:val="en-GB"/>
        </w:rPr>
        <w:t>Ibid</w:t>
      </w:r>
      <w:r w:rsidRPr="007C7DCB">
        <w:rPr>
          <w:rStyle w:val="EndnoteReference"/>
          <w:rFonts w:asciiTheme="minorHAnsi" w:hAnsiTheme="minorHAnsi" w:cstheme="minorHAnsi"/>
          <w:spacing w:val="-2"/>
          <w:sz w:val="18"/>
          <w:szCs w:val="18"/>
          <w:vertAlign w:val="baseline"/>
          <w:lang w:val="en-GB"/>
        </w:rPr>
        <w:t xml:space="preserve">., </w:t>
      </w:r>
      <w:proofErr w:type="spellStart"/>
      <w:r w:rsidRPr="007C7DCB">
        <w:rPr>
          <w:rStyle w:val="EndnoteReference"/>
          <w:rFonts w:asciiTheme="minorHAnsi" w:hAnsiTheme="minorHAnsi" w:cstheme="minorHAnsi"/>
          <w:spacing w:val="-2"/>
          <w:sz w:val="18"/>
          <w:szCs w:val="18"/>
          <w:vertAlign w:val="baseline"/>
          <w:lang w:val="en-GB"/>
        </w:rPr>
        <w:t>para</w:t>
      </w:r>
      <w:proofErr w:type="spellEnd"/>
      <w:r w:rsidRPr="007C7DCB">
        <w:rPr>
          <w:rStyle w:val="EndnoteReference"/>
          <w:rFonts w:asciiTheme="minorHAnsi" w:hAnsiTheme="minorHAnsi" w:cstheme="minorHAnsi"/>
          <w:spacing w:val="-2"/>
          <w:sz w:val="18"/>
          <w:szCs w:val="18"/>
          <w:vertAlign w:val="baseline"/>
          <w:lang w:val="en-GB"/>
        </w:rPr>
        <w:t>. 36.</w:t>
      </w:r>
    </w:p>
  </w:endnote>
  <w:endnote w:id="51">
    <w:p w:rsidR="0098151C" w:rsidRPr="004C2312" w:rsidRDefault="0098151C" w:rsidP="004C2312">
      <w:pPr>
        <w:spacing w:after="0" w:line="240" w:lineRule="auto"/>
        <w:ind w:left="216" w:hanging="216"/>
        <w:jc w:val="lowKashida"/>
        <w:rPr>
          <w:rFonts w:cs="Times New Roman"/>
          <w:sz w:val="18"/>
          <w:szCs w:val="18"/>
        </w:rPr>
      </w:pPr>
      <w:r w:rsidRPr="004C2312">
        <w:rPr>
          <w:rStyle w:val="EndnoteReference"/>
          <w:rFonts w:cs="Times New Roman"/>
          <w:sz w:val="18"/>
          <w:szCs w:val="18"/>
        </w:rPr>
        <w:endnoteRef/>
      </w:r>
      <w:r w:rsidRPr="004C2312">
        <w:rPr>
          <w:rFonts w:cs="Times New Roman"/>
          <w:sz w:val="18"/>
          <w:szCs w:val="18"/>
        </w:rPr>
        <w:t xml:space="preserve"> </w:t>
      </w:r>
      <w:r w:rsidRPr="004C2312">
        <w:rPr>
          <w:sz w:val="18"/>
          <w:szCs w:val="18"/>
        </w:rPr>
        <w:tab/>
      </w:r>
      <w:r w:rsidRPr="004D70D3">
        <w:rPr>
          <w:rFonts w:cs="Times New Roman"/>
          <w:sz w:val="18"/>
          <w:szCs w:val="18"/>
        </w:rPr>
        <w:t xml:space="preserve">Roselle </w:t>
      </w:r>
      <w:proofErr w:type="spellStart"/>
      <w:r w:rsidRPr="004D70D3">
        <w:rPr>
          <w:rFonts w:cs="Times New Roman"/>
          <w:sz w:val="18"/>
          <w:szCs w:val="18"/>
        </w:rPr>
        <w:t>Tekiner</w:t>
      </w:r>
      <w:proofErr w:type="spellEnd"/>
      <w:r w:rsidRPr="004C2312">
        <w:rPr>
          <w:b/>
          <w:bCs/>
          <w:sz w:val="18"/>
          <w:szCs w:val="18"/>
        </w:rPr>
        <w:t>, "</w:t>
      </w:r>
      <w:r w:rsidRPr="004C2312">
        <w:rPr>
          <w:rFonts w:cs="Times New Roman"/>
          <w:sz w:val="18"/>
          <w:szCs w:val="18"/>
        </w:rPr>
        <w:t xml:space="preserve">Race and the Issue of National </w:t>
      </w:r>
      <w:proofErr w:type="spellStart"/>
      <w:r w:rsidRPr="004C2312">
        <w:rPr>
          <w:rFonts w:cs="Times New Roman"/>
          <w:sz w:val="18"/>
          <w:szCs w:val="18"/>
        </w:rPr>
        <w:t>Indentity</w:t>
      </w:r>
      <w:proofErr w:type="spellEnd"/>
      <w:r w:rsidRPr="004C2312">
        <w:rPr>
          <w:rFonts w:cs="Times New Roman"/>
          <w:sz w:val="18"/>
          <w:szCs w:val="18"/>
        </w:rPr>
        <w:t xml:space="preserve"> in Israel</w:t>
      </w:r>
      <w:r w:rsidRPr="004C2312">
        <w:rPr>
          <w:b/>
          <w:bCs/>
          <w:sz w:val="18"/>
          <w:szCs w:val="18"/>
        </w:rPr>
        <w:t xml:space="preserve">," </w:t>
      </w:r>
      <w:r w:rsidRPr="004C2312">
        <w:rPr>
          <w:rFonts w:cs="Times New Roman"/>
          <w:i/>
          <w:iCs/>
          <w:sz w:val="18"/>
          <w:szCs w:val="18"/>
        </w:rPr>
        <w:t>International Journal of Middle Eastern Studies</w:t>
      </w:r>
      <w:r w:rsidRPr="004C2312">
        <w:rPr>
          <w:b/>
          <w:bCs/>
          <w:sz w:val="18"/>
          <w:szCs w:val="18"/>
        </w:rPr>
        <w:t xml:space="preserve">, </w:t>
      </w:r>
      <w:hyperlink r:id="rId54" w:tooltip="Volume 23 " w:history="1">
        <w:r w:rsidRPr="004C2312">
          <w:rPr>
            <w:rStyle w:val="Hyperlink"/>
            <w:rFonts w:cs="Times New Roman"/>
            <w:sz w:val="18"/>
            <w:szCs w:val="18"/>
          </w:rPr>
          <w:t>Volume 23</w:t>
        </w:r>
      </w:hyperlink>
      <w:r w:rsidRPr="004C2312">
        <w:rPr>
          <w:rFonts w:cs="Times New Roman"/>
          <w:sz w:val="18"/>
          <w:szCs w:val="18"/>
        </w:rPr>
        <w:t xml:space="preserve">, </w:t>
      </w:r>
      <w:hyperlink r:id="rId55" w:tooltip="Issue 1 " w:history="1">
        <w:r w:rsidRPr="004C2312">
          <w:rPr>
            <w:rStyle w:val="Hyperlink"/>
            <w:rFonts w:cs="Times New Roman"/>
            <w:sz w:val="18"/>
            <w:szCs w:val="18"/>
          </w:rPr>
          <w:t>Issue 1 (</w:t>
        </w:r>
      </w:hyperlink>
      <w:r w:rsidRPr="004C2312">
        <w:rPr>
          <w:rStyle w:val="date"/>
          <w:rFonts w:cs="Times New Roman"/>
          <w:sz w:val="18"/>
          <w:szCs w:val="18"/>
        </w:rPr>
        <w:t>February 1991</w:t>
      </w:r>
      <w:r w:rsidRPr="004C2312">
        <w:rPr>
          <w:rFonts w:cs="Times New Roman"/>
          <w:sz w:val="18"/>
          <w:szCs w:val="18"/>
        </w:rPr>
        <w:t>)</w:t>
      </w:r>
      <w:r w:rsidRPr="004C2312">
        <w:rPr>
          <w:rStyle w:val="date"/>
          <w:rFonts w:cs="Times New Roman"/>
          <w:sz w:val="18"/>
          <w:szCs w:val="18"/>
        </w:rPr>
        <w:t>, pp. 39–55.</w:t>
      </w:r>
    </w:p>
  </w:endnote>
  <w:endnote w:id="52">
    <w:p w:rsidR="0098151C" w:rsidRPr="004C2312" w:rsidRDefault="0098151C" w:rsidP="004C2312">
      <w:pPr>
        <w:spacing w:after="0" w:line="240" w:lineRule="auto"/>
        <w:ind w:left="216" w:hanging="216"/>
        <w:jc w:val="lowKashida"/>
      </w:pPr>
      <w:r w:rsidRPr="004C2312">
        <w:rPr>
          <w:rStyle w:val="EndnoteReference"/>
          <w:sz w:val="18"/>
          <w:szCs w:val="18"/>
        </w:rPr>
        <w:endnoteRef/>
      </w:r>
      <w:r w:rsidRPr="004C2312">
        <w:rPr>
          <w:sz w:val="18"/>
          <w:szCs w:val="18"/>
        </w:rPr>
        <w:t xml:space="preserve"> </w:t>
      </w:r>
      <w:r w:rsidR="004D70D3">
        <w:rPr>
          <w:sz w:val="18"/>
          <w:szCs w:val="18"/>
        </w:rPr>
        <w:tab/>
      </w:r>
      <w:hyperlink r:id="rId56" w:history="1">
        <w:r w:rsidRPr="004C2312">
          <w:rPr>
            <w:rFonts w:cs="Arial"/>
            <w:i/>
            <w:iCs/>
            <w:sz w:val="18"/>
            <w:szCs w:val="18"/>
          </w:rPr>
          <w:t>The Goldberg Opportunity: A Chance for Human Rights-based Statecraft in Israel</w:t>
        </w:r>
      </w:hyperlink>
      <w:r w:rsidRPr="004C2312">
        <w:rPr>
          <w:rFonts w:cs="Arial"/>
          <w:color w:val="F47233"/>
          <w:sz w:val="18"/>
          <w:szCs w:val="18"/>
        </w:rPr>
        <w:t xml:space="preserve"> </w:t>
      </w:r>
      <w:r w:rsidRPr="004C2312">
        <w:rPr>
          <w:rFonts w:cs="Arial"/>
          <w:sz w:val="18"/>
          <w:szCs w:val="18"/>
        </w:rPr>
        <w:t xml:space="preserve">(Cairo: HIC-HLRN, 2010), available at: </w:t>
      </w:r>
      <w:hyperlink r:id="rId57" w:history="1">
        <w:r w:rsidRPr="004C2312">
          <w:rPr>
            <w:rStyle w:val="Hyperlink"/>
            <w:rFonts w:cs="Times New Roman"/>
            <w:sz w:val="18"/>
            <w:szCs w:val="18"/>
          </w:rPr>
          <w:t>http://www.hlrn.org/img/publications/Naqab%20FFM%20report%202010.zip</w:t>
        </w:r>
      </w:hyperlink>
      <w:r w:rsidRPr="004C2312">
        <w:rPr>
          <w:rFonts w:cs="Times New Roman"/>
          <w:sz w:val="18"/>
          <w:szCs w:val="18"/>
        </w:rPr>
        <w:t>.</w:t>
      </w:r>
      <w:r w:rsidRPr="004C2312">
        <w:rPr>
          <w:sz w:val="18"/>
          <w:szCs w:val="18"/>
        </w:rPr>
        <w:t xml:space="preserve"> </w:t>
      </w:r>
    </w:p>
  </w:endnote>
  <w:endnote w:id="53">
    <w:p w:rsidR="00EA00A5" w:rsidRDefault="00CE7505" w:rsidP="00CE7505">
      <w:pPr>
        <w:pStyle w:val="EndnoteText"/>
        <w:spacing w:line="240" w:lineRule="auto"/>
        <w:ind w:left="216" w:hanging="216"/>
        <w:jc w:val="lowKashida"/>
        <w:rPr>
          <w:rFonts w:asciiTheme="minorHAnsi" w:hAnsiTheme="minorHAnsi"/>
          <w:sz w:val="18"/>
          <w:szCs w:val="18"/>
        </w:rPr>
      </w:pPr>
      <w:r w:rsidRPr="00CE7505">
        <w:rPr>
          <w:rStyle w:val="EndnoteReference"/>
          <w:rFonts w:asciiTheme="minorHAnsi" w:hAnsiTheme="minorHAnsi"/>
          <w:sz w:val="18"/>
          <w:szCs w:val="18"/>
        </w:rPr>
        <w:endnoteRef/>
      </w:r>
      <w:r w:rsidRPr="00CE7505">
        <w:rPr>
          <w:rFonts w:asciiTheme="minorHAnsi" w:hAnsiTheme="minorHAnsi"/>
          <w:sz w:val="18"/>
          <w:szCs w:val="18"/>
        </w:rPr>
        <w:t xml:space="preserve"> </w:t>
      </w:r>
      <w:r w:rsidR="004D70D3">
        <w:rPr>
          <w:rFonts w:asciiTheme="minorHAnsi" w:hAnsiTheme="minorHAnsi"/>
          <w:sz w:val="18"/>
          <w:szCs w:val="18"/>
        </w:rPr>
        <w:tab/>
      </w:r>
      <w:r w:rsidRPr="00CE7505">
        <w:rPr>
          <w:rFonts w:asciiTheme="minorHAnsi" w:hAnsiTheme="minorHAnsi"/>
          <w:sz w:val="18"/>
          <w:szCs w:val="18"/>
        </w:rPr>
        <w:t>"</w:t>
      </w:r>
      <w:proofErr w:type="spellStart"/>
      <w:r w:rsidRPr="00CE7505">
        <w:rPr>
          <w:rFonts w:asciiTheme="minorHAnsi" w:hAnsiTheme="minorHAnsi"/>
          <w:sz w:val="18"/>
          <w:szCs w:val="18"/>
        </w:rPr>
        <w:t>Gov’t</w:t>
      </w:r>
      <w:proofErr w:type="spellEnd"/>
      <w:r w:rsidRPr="00CE7505">
        <w:rPr>
          <w:rFonts w:asciiTheme="minorHAnsi" w:hAnsiTheme="minorHAnsi"/>
          <w:sz w:val="18"/>
          <w:szCs w:val="18"/>
        </w:rPr>
        <w:t xml:space="preserve">. Razes 11 </w:t>
      </w:r>
      <w:proofErr w:type="spellStart"/>
      <w:r w:rsidRPr="00CE7505">
        <w:rPr>
          <w:rFonts w:asciiTheme="minorHAnsi" w:hAnsiTheme="minorHAnsi"/>
          <w:sz w:val="18"/>
          <w:szCs w:val="18"/>
        </w:rPr>
        <w:t>Qalansuwa</w:t>
      </w:r>
      <w:proofErr w:type="spellEnd"/>
      <w:r w:rsidRPr="00CE7505">
        <w:rPr>
          <w:rFonts w:asciiTheme="minorHAnsi" w:hAnsiTheme="minorHAnsi"/>
          <w:sz w:val="18"/>
          <w:szCs w:val="18"/>
        </w:rPr>
        <w:t xml:space="preserve"> Homes," </w:t>
      </w:r>
      <w:proofErr w:type="spellStart"/>
      <w:r w:rsidRPr="00CE7505">
        <w:rPr>
          <w:rFonts w:asciiTheme="minorHAnsi" w:hAnsiTheme="minorHAnsi"/>
          <w:i/>
          <w:iCs/>
          <w:sz w:val="18"/>
          <w:szCs w:val="18"/>
        </w:rPr>
        <w:t>Palinfo</w:t>
      </w:r>
      <w:proofErr w:type="spellEnd"/>
      <w:r w:rsidRPr="00CE7505">
        <w:rPr>
          <w:rFonts w:asciiTheme="minorHAnsi" w:hAnsiTheme="minorHAnsi"/>
          <w:i/>
          <w:iCs/>
          <w:sz w:val="18"/>
          <w:szCs w:val="18"/>
        </w:rPr>
        <w:t xml:space="preserve"> </w:t>
      </w:r>
      <w:r w:rsidRPr="00CE7505">
        <w:rPr>
          <w:rFonts w:asciiTheme="minorHAnsi" w:hAnsiTheme="minorHAnsi"/>
          <w:sz w:val="18"/>
          <w:szCs w:val="18"/>
        </w:rPr>
        <w:t xml:space="preserve">(10 January 2017), at: </w:t>
      </w:r>
    </w:p>
    <w:p w:rsidR="00CE7505" w:rsidRPr="00EA00A5" w:rsidRDefault="00EA00A5" w:rsidP="00CE7505">
      <w:pPr>
        <w:pStyle w:val="EndnoteText"/>
        <w:spacing w:line="240" w:lineRule="auto"/>
        <w:ind w:left="216" w:hanging="216"/>
        <w:jc w:val="lowKashida"/>
        <w:rPr>
          <w:rFonts w:asciiTheme="minorHAnsi" w:hAnsiTheme="minorHAnsi"/>
          <w:sz w:val="18"/>
          <w:szCs w:val="18"/>
        </w:rPr>
      </w:pPr>
      <w:r>
        <w:rPr>
          <w:rFonts w:asciiTheme="minorHAnsi" w:hAnsiTheme="minorHAnsi"/>
          <w:sz w:val="18"/>
          <w:szCs w:val="18"/>
        </w:rPr>
        <w:tab/>
      </w:r>
      <w:hyperlink r:id="rId58" w:history="1">
        <w:r w:rsidR="00CE7505" w:rsidRPr="00CE7505">
          <w:rPr>
            <w:rStyle w:val="Hyperlink"/>
            <w:rFonts w:asciiTheme="minorHAnsi" w:hAnsiTheme="minorHAnsi"/>
            <w:sz w:val="18"/>
            <w:szCs w:val="18"/>
          </w:rPr>
          <w:t>https://english.palinfo.com/news/2017/1/10/Israeli-authorities-demolish-9-houses-in-Qalansuwa</w:t>
        </w:r>
      </w:hyperlink>
      <w:r w:rsidR="00CE7505" w:rsidRPr="00CE7505">
        <w:rPr>
          <w:rFonts w:asciiTheme="minorHAnsi" w:hAnsiTheme="minorHAnsi"/>
          <w:sz w:val="18"/>
          <w:szCs w:val="18"/>
        </w:rPr>
        <w:t xml:space="preserve">; "Israel’s Arabs Stage General Strike after </w:t>
      </w:r>
      <w:proofErr w:type="spellStart"/>
      <w:r w:rsidR="00CE7505" w:rsidRPr="00CE7505">
        <w:rPr>
          <w:rFonts w:asciiTheme="minorHAnsi" w:hAnsiTheme="minorHAnsi"/>
          <w:sz w:val="18"/>
          <w:szCs w:val="18"/>
        </w:rPr>
        <w:t>Qalansuwa</w:t>
      </w:r>
      <w:proofErr w:type="spellEnd"/>
      <w:r w:rsidR="00CE7505" w:rsidRPr="00CE7505">
        <w:rPr>
          <w:rFonts w:asciiTheme="minorHAnsi" w:hAnsiTheme="minorHAnsi"/>
          <w:sz w:val="18"/>
          <w:szCs w:val="18"/>
        </w:rPr>
        <w:t xml:space="preserve"> Home Demolitions," </w:t>
      </w:r>
      <w:proofErr w:type="spellStart"/>
      <w:r w:rsidR="00CE7505" w:rsidRPr="00CE7505">
        <w:rPr>
          <w:rFonts w:asciiTheme="minorHAnsi" w:hAnsiTheme="minorHAnsi"/>
          <w:i/>
          <w:iCs/>
          <w:sz w:val="18"/>
          <w:szCs w:val="18"/>
        </w:rPr>
        <w:t>Palinfo</w:t>
      </w:r>
      <w:proofErr w:type="spellEnd"/>
      <w:r w:rsidR="00CE7505" w:rsidRPr="00CE7505">
        <w:rPr>
          <w:rFonts w:asciiTheme="minorHAnsi" w:hAnsiTheme="minorHAnsi"/>
          <w:i/>
          <w:iCs/>
          <w:sz w:val="18"/>
          <w:szCs w:val="18"/>
        </w:rPr>
        <w:t xml:space="preserve"> </w:t>
      </w:r>
      <w:r w:rsidR="00CE7505" w:rsidRPr="00CE7505">
        <w:rPr>
          <w:rFonts w:asciiTheme="minorHAnsi" w:hAnsiTheme="minorHAnsi"/>
          <w:sz w:val="18"/>
          <w:szCs w:val="18"/>
        </w:rPr>
        <w:t xml:space="preserve">(13 January 2017), at: </w:t>
      </w:r>
      <w:hyperlink r:id="rId59" w:history="1">
        <w:r w:rsidR="00CE7505" w:rsidRPr="00CE7505">
          <w:rPr>
            <w:rStyle w:val="Hyperlink"/>
            <w:rFonts w:asciiTheme="minorHAnsi" w:hAnsiTheme="minorHAnsi"/>
            <w:sz w:val="18"/>
            <w:szCs w:val="18"/>
          </w:rPr>
          <w:t>https://english.palinfo.com/news/2017/1/10/Israeli-authorities-demolish-9-houses-in-Qalansuwa</w:t>
        </w:r>
      </w:hyperlink>
      <w:r w:rsidR="00CE7505" w:rsidRPr="00CE7505">
        <w:rPr>
          <w:rFonts w:asciiTheme="minorHAnsi" w:hAnsiTheme="minorHAnsi"/>
          <w:sz w:val="18"/>
          <w:szCs w:val="18"/>
        </w:rPr>
        <w:t>.</w:t>
      </w:r>
      <w:r>
        <w:rPr>
          <w:rFonts w:asciiTheme="minorHAnsi" w:hAnsiTheme="minorHAnsi"/>
          <w:sz w:val="18"/>
          <w:szCs w:val="18"/>
        </w:rPr>
        <w:t xml:space="preserve"> See video report on </w:t>
      </w:r>
      <w:r>
        <w:rPr>
          <w:rFonts w:asciiTheme="minorHAnsi" w:hAnsiTheme="minorHAnsi"/>
          <w:i/>
          <w:iCs/>
          <w:sz w:val="18"/>
          <w:szCs w:val="18"/>
        </w:rPr>
        <w:t>Aljazeera</w:t>
      </w:r>
      <w:r>
        <w:rPr>
          <w:rFonts w:asciiTheme="minorHAnsi" w:hAnsiTheme="minorHAnsi"/>
          <w:sz w:val="18"/>
          <w:szCs w:val="18"/>
        </w:rPr>
        <w:t xml:space="preserve">, at: </w:t>
      </w:r>
      <w:hyperlink r:id="rId60" w:history="1">
        <w:r w:rsidRPr="00EA00A5">
          <w:rPr>
            <w:rStyle w:val="Hyperlink"/>
            <w:rFonts w:asciiTheme="minorHAnsi" w:hAnsiTheme="minorHAnsi"/>
            <w:sz w:val="18"/>
            <w:szCs w:val="18"/>
          </w:rPr>
          <w:t>https://youtu.be/IFMZvMZWpLA</w:t>
        </w:r>
      </w:hyperlink>
      <w:r>
        <w:rPr>
          <w:rFonts w:asciiTheme="minorHAnsi" w:hAnsiTheme="minorHAnsi"/>
          <w:sz w:val="18"/>
          <w:szCs w:val="18"/>
        </w:rPr>
        <w:t>.</w:t>
      </w:r>
    </w:p>
  </w:endnote>
  <w:endnote w:id="54">
    <w:p w:rsidR="004D70D3" w:rsidRPr="004D70D3" w:rsidRDefault="004D70D3" w:rsidP="004D70D3">
      <w:pPr>
        <w:pStyle w:val="EndnoteText"/>
        <w:spacing w:line="240" w:lineRule="auto"/>
        <w:ind w:left="216" w:hanging="216"/>
        <w:jc w:val="lowKashida"/>
        <w:rPr>
          <w:rFonts w:asciiTheme="minorHAnsi" w:hAnsiTheme="minorHAnsi"/>
          <w:sz w:val="18"/>
          <w:szCs w:val="18"/>
        </w:rPr>
      </w:pPr>
      <w:r w:rsidRPr="004D70D3">
        <w:rPr>
          <w:rStyle w:val="EndnoteReference"/>
          <w:rFonts w:asciiTheme="minorHAnsi" w:hAnsiTheme="minorHAnsi"/>
          <w:sz w:val="18"/>
          <w:szCs w:val="18"/>
        </w:rPr>
        <w:endnoteRef/>
      </w:r>
      <w:r>
        <w:rPr>
          <w:rFonts w:asciiTheme="minorHAnsi" w:hAnsiTheme="minorHAnsi"/>
          <w:sz w:val="18"/>
          <w:szCs w:val="18"/>
        </w:rPr>
        <w:tab/>
      </w:r>
      <w:r w:rsidRPr="004D70D3">
        <w:rPr>
          <w:rFonts w:asciiTheme="minorHAnsi" w:hAnsiTheme="minorHAnsi"/>
          <w:sz w:val="18"/>
          <w:szCs w:val="18"/>
          <w:rtl/>
        </w:rPr>
        <w:t xml:space="preserve"> </w:t>
      </w:r>
      <w:proofErr w:type="spellStart"/>
      <w:r w:rsidRPr="004D70D3">
        <w:rPr>
          <w:rFonts w:asciiTheme="minorHAnsi" w:hAnsiTheme="minorHAnsi"/>
          <w:sz w:val="18"/>
          <w:szCs w:val="18"/>
        </w:rPr>
        <w:t>B'Tselem</w:t>
      </w:r>
      <w:proofErr w:type="spellEnd"/>
      <w:r w:rsidRPr="004D70D3">
        <w:rPr>
          <w:rFonts w:asciiTheme="minorHAnsi" w:hAnsiTheme="minorHAnsi"/>
          <w:sz w:val="18"/>
          <w:szCs w:val="18"/>
        </w:rPr>
        <w:t>, "</w:t>
      </w:r>
      <w:r w:rsidRPr="004D70D3">
        <w:rPr>
          <w:rStyle w:val="tlid-translation"/>
          <w:rFonts w:asciiTheme="minorHAnsi" w:hAnsiTheme="minorHAnsi"/>
          <w:sz w:val="18"/>
          <w:szCs w:val="18"/>
          <w:lang/>
        </w:rPr>
        <w:t>Data on the demolition of unlicensed homes in East Jerusalem" ("</w:t>
      </w:r>
      <w:r w:rsidRPr="004D70D3">
        <w:rPr>
          <w:rStyle w:val="tlid-translation"/>
          <w:rFonts w:asciiTheme="minorHAnsi" w:hAnsiTheme="minorHAnsi"/>
          <w:sz w:val="18"/>
          <w:szCs w:val="18"/>
          <w:rtl/>
          <w:lang/>
        </w:rPr>
        <w:t>معطيات حول هدم البيوت غير المرخصة في شرقي القدس</w:t>
      </w:r>
      <w:r w:rsidRPr="004D70D3">
        <w:rPr>
          <w:rStyle w:val="tlid-translation"/>
          <w:rFonts w:asciiTheme="minorHAnsi" w:hAnsiTheme="minorHAnsi"/>
          <w:sz w:val="18"/>
          <w:szCs w:val="18"/>
          <w:lang/>
        </w:rPr>
        <w:t xml:space="preserve">"), 8 August 2019, at: </w:t>
      </w:r>
      <w:hyperlink r:id="rId61" w:history="1">
        <w:r w:rsidRPr="004D70D3">
          <w:rPr>
            <w:rStyle w:val="Hyperlink"/>
            <w:rFonts w:asciiTheme="minorHAnsi" w:hAnsiTheme="minorHAnsi"/>
            <w:sz w:val="18"/>
            <w:szCs w:val="18"/>
          </w:rPr>
          <w:t>https://www.btselem.org/arabic/planning_and_building/east_jerusalem_statistics</w:t>
        </w:r>
      </w:hyperlink>
      <w:r w:rsidRPr="004D70D3">
        <w:rPr>
          <w:rFonts w:asciiTheme="minorHAnsi" w:hAnsiTheme="minorHAnsi"/>
          <w:sz w:val="18"/>
          <w:szCs w:val="18"/>
        </w:rPr>
        <w:t>.</w:t>
      </w:r>
    </w:p>
  </w:endnote>
  <w:endnote w:id="55">
    <w:p w:rsidR="004D70D3" w:rsidRPr="004D70D3" w:rsidRDefault="004D70D3" w:rsidP="004D70D3">
      <w:pPr>
        <w:pStyle w:val="EndnoteText"/>
        <w:spacing w:line="240" w:lineRule="auto"/>
        <w:ind w:left="216" w:hanging="216"/>
        <w:jc w:val="lowKashida"/>
        <w:rPr>
          <w:rFonts w:asciiTheme="minorHAnsi" w:hAnsiTheme="minorHAnsi"/>
          <w:sz w:val="18"/>
          <w:szCs w:val="18"/>
        </w:rPr>
      </w:pPr>
      <w:r w:rsidRPr="004D70D3">
        <w:rPr>
          <w:rStyle w:val="EndnoteReference"/>
          <w:rFonts w:asciiTheme="minorHAnsi" w:hAnsiTheme="minorHAnsi"/>
          <w:sz w:val="18"/>
          <w:szCs w:val="18"/>
        </w:rPr>
        <w:endnoteRef/>
      </w:r>
      <w:r w:rsidRPr="004D70D3">
        <w:rPr>
          <w:rFonts w:asciiTheme="minorHAnsi" w:hAnsiTheme="minorHAnsi"/>
          <w:sz w:val="18"/>
          <w:szCs w:val="18"/>
        </w:rPr>
        <w:t xml:space="preserve"> </w:t>
      </w:r>
      <w:r>
        <w:rPr>
          <w:rFonts w:asciiTheme="minorHAnsi" w:hAnsiTheme="minorHAnsi"/>
          <w:sz w:val="18"/>
          <w:szCs w:val="18"/>
        </w:rPr>
        <w:tab/>
      </w:r>
      <w:r w:rsidRPr="004D70D3">
        <w:rPr>
          <w:rStyle w:val="tlid-translation"/>
          <w:rFonts w:asciiTheme="minorHAnsi" w:hAnsiTheme="minorHAnsi"/>
          <w:sz w:val="18"/>
          <w:szCs w:val="18"/>
          <w:lang/>
        </w:rPr>
        <w:t>Two other houses were closed by the owners according to the decision of the municipality, leaving 11 persons, including at least two minors, homeless.</w:t>
      </w:r>
    </w:p>
  </w:endnote>
  <w:endnote w:id="56">
    <w:p w:rsidR="004D70D3" w:rsidRPr="004D70D3" w:rsidRDefault="004D70D3" w:rsidP="004D70D3">
      <w:pPr>
        <w:pStyle w:val="EndnoteText"/>
        <w:spacing w:line="240" w:lineRule="auto"/>
        <w:ind w:left="216" w:hanging="216"/>
        <w:jc w:val="lowKashida"/>
        <w:rPr>
          <w:rFonts w:asciiTheme="minorHAnsi" w:hAnsiTheme="minorHAnsi"/>
          <w:sz w:val="18"/>
          <w:szCs w:val="18"/>
        </w:rPr>
      </w:pPr>
      <w:r w:rsidRPr="004D70D3">
        <w:rPr>
          <w:rStyle w:val="EndnoteReference"/>
          <w:rFonts w:asciiTheme="minorHAnsi" w:hAnsiTheme="minorHAnsi"/>
          <w:sz w:val="18"/>
          <w:szCs w:val="18"/>
        </w:rPr>
        <w:endnoteRef/>
      </w:r>
      <w:r w:rsidRPr="004D70D3">
        <w:rPr>
          <w:rFonts w:asciiTheme="minorHAnsi" w:hAnsiTheme="minorHAnsi"/>
          <w:sz w:val="18"/>
          <w:szCs w:val="18"/>
        </w:rPr>
        <w:t xml:space="preserve"> </w:t>
      </w:r>
      <w:r>
        <w:rPr>
          <w:rFonts w:asciiTheme="minorHAnsi" w:hAnsiTheme="minorHAnsi"/>
          <w:sz w:val="18"/>
          <w:szCs w:val="18"/>
        </w:rPr>
        <w:tab/>
      </w:r>
      <w:r w:rsidRPr="004D70D3">
        <w:rPr>
          <w:rStyle w:val="tlid-translation"/>
          <w:rFonts w:asciiTheme="minorHAnsi" w:hAnsiTheme="minorHAnsi"/>
          <w:sz w:val="18"/>
          <w:szCs w:val="18"/>
          <w:lang/>
        </w:rPr>
        <w:t>Another house, which was closed by its owners upon the decision of the municipality, left 6 people, including at least 3 minors, homeless.</w:t>
      </w:r>
    </w:p>
  </w:endnote>
  <w:endnote w:id="57">
    <w:p w:rsidR="004D70D3" w:rsidRPr="004D70D3" w:rsidRDefault="004D70D3" w:rsidP="004D70D3">
      <w:pPr>
        <w:pStyle w:val="EndnoteText"/>
        <w:spacing w:line="240" w:lineRule="auto"/>
        <w:ind w:left="216" w:hanging="216"/>
        <w:jc w:val="lowKashida"/>
        <w:rPr>
          <w:rFonts w:asciiTheme="minorHAnsi" w:hAnsiTheme="minorHAnsi"/>
          <w:sz w:val="18"/>
          <w:szCs w:val="18"/>
        </w:rPr>
      </w:pPr>
      <w:r w:rsidRPr="004D70D3">
        <w:rPr>
          <w:rStyle w:val="EndnoteReference"/>
          <w:rFonts w:asciiTheme="minorHAnsi" w:hAnsiTheme="minorHAnsi"/>
          <w:sz w:val="18"/>
          <w:szCs w:val="18"/>
        </w:rPr>
        <w:endnoteRef/>
      </w:r>
      <w:r w:rsidRPr="004D70D3">
        <w:rPr>
          <w:rFonts w:asciiTheme="minorHAnsi" w:hAnsiTheme="minorHAnsi"/>
          <w:sz w:val="18"/>
          <w:szCs w:val="18"/>
        </w:rPr>
        <w:t xml:space="preserve"> </w:t>
      </w:r>
      <w:r>
        <w:rPr>
          <w:rFonts w:asciiTheme="minorHAnsi" w:hAnsiTheme="minorHAnsi"/>
          <w:sz w:val="18"/>
          <w:szCs w:val="18"/>
        </w:rPr>
        <w:tab/>
      </w:r>
      <w:r w:rsidRPr="004D70D3">
        <w:rPr>
          <w:rStyle w:val="tlid-translation"/>
          <w:rFonts w:asciiTheme="minorHAnsi" w:hAnsiTheme="minorHAnsi"/>
          <w:sz w:val="18"/>
          <w:szCs w:val="18"/>
          <w:lang/>
        </w:rPr>
        <w:t>In addition, seven houses were partially demolished by their owners after obtaining an order from the municipality.</w:t>
      </w:r>
    </w:p>
  </w:endnote>
  <w:endnote w:id="58">
    <w:p w:rsidR="004D70D3" w:rsidRDefault="004D70D3" w:rsidP="004D70D3">
      <w:pPr>
        <w:pStyle w:val="EndnoteText"/>
        <w:spacing w:line="240" w:lineRule="auto"/>
        <w:ind w:left="216" w:hanging="216"/>
        <w:jc w:val="lowKashida"/>
      </w:pPr>
      <w:r w:rsidRPr="004D70D3">
        <w:rPr>
          <w:rStyle w:val="EndnoteReference"/>
          <w:rFonts w:asciiTheme="minorHAnsi" w:hAnsiTheme="minorHAnsi"/>
          <w:sz w:val="18"/>
          <w:szCs w:val="18"/>
        </w:rPr>
        <w:endnoteRef/>
      </w:r>
      <w:r w:rsidRPr="004D70D3">
        <w:rPr>
          <w:rFonts w:asciiTheme="minorHAnsi" w:hAnsiTheme="minorHAnsi"/>
          <w:sz w:val="18"/>
          <w:szCs w:val="18"/>
        </w:rPr>
        <w:t xml:space="preserve"> </w:t>
      </w:r>
      <w:r>
        <w:rPr>
          <w:rFonts w:asciiTheme="minorHAnsi" w:hAnsiTheme="minorHAnsi"/>
          <w:sz w:val="18"/>
          <w:szCs w:val="18"/>
        </w:rPr>
        <w:tab/>
      </w:r>
      <w:r w:rsidRPr="004D70D3">
        <w:rPr>
          <w:rStyle w:val="tlid-translation"/>
          <w:rFonts w:asciiTheme="minorHAnsi" w:hAnsiTheme="minorHAnsi"/>
          <w:sz w:val="18"/>
          <w:szCs w:val="18"/>
          <w:lang/>
        </w:rPr>
        <w:t>In addition, parts of three houses were demolished by their owners after obtaining an order from the municipality.</w:t>
      </w:r>
    </w:p>
  </w:endnote>
  <w:endnote w:id="59">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W. Thomas </w:t>
      </w:r>
      <w:proofErr w:type="spellStart"/>
      <w:r w:rsidRPr="007C7DCB">
        <w:rPr>
          <w:rFonts w:asciiTheme="minorHAnsi" w:hAnsiTheme="minorHAnsi"/>
          <w:sz w:val="18"/>
          <w:szCs w:val="18"/>
          <w:lang w:val="en-GB"/>
        </w:rPr>
        <w:t>Mallison</w:t>
      </w:r>
      <w:proofErr w:type="spellEnd"/>
      <w:r w:rsidRPr="007C7DCB">
        <w:rPr>
          <w:rFonts w:asciiTheme="minorHAnsi" w:hAnsiTheme="minorHAnsi"/>
          <w:sz w:val="18"/>
          <w:szCs w:val="18"/>
          <w:lang w:val="en-GB"/>
        </w:rPr>
        <w:t xml:space="preserve">, "The Legal Problems Concerning the Juridical Status and Political Activities of the World Zionist Organization / Jewish Agency: A Study in International and United States Law," </w:t>
      </w:r>
      <w:r w:rsidRPr="007C7DCB">
        <w:rPr>
          <w:rFonts w:asciiTheme="minorHAnsi" w:hAnsiTheme="minorHAnsi"/>
          <w:i/>
          <w:iCs/>
          <w:sz w:val="18"/>
          <w:szCs w:val="18"/>
          <w:lang w:val="en-GB"/>
        </w:rPr>
        <w:t>William and Mary Law Review</w:t>
      </w:r>
      <w:r w:rsidRPr="007C7DCB">
        <w:rPr>
          <w:rFonts w:asciiTheme="minorHAnsi" w:hAnsiTheme="minorHAnsi"/>
          <w:sz w:val="18"/>
          <w:szCs w:val="18"/>
          <w:lang w:val="en-GB"/>
        </w:rPr>
        <w:t xml:space="preserve">, Vol. 9, Issue 3 (1867–1968), at: </w:t>
      </w:r>
      <w:hyperlink r:id="rId62" w:history="1">
        <w:r w:rsidRPr="007C7DCB">
          <w:rPr>
            <w:rStyle w:val="Hyperlink"/>
            <w:rFonts w:asciiTheme="minorHAnsi" w:hAnsiTheme="minorHAnsi"/>
            <w:sz w:val="18"/>
            <w:szCs w:val="18"/>
            <w:lang w:val="en-GB"/>
          </w:rPr>
          <w:t>https://core.ac.uk/download/pdf/73966303.pdf</w:t>
        </w:r>
      </w:hyperlink>
      <w:r w:rsidRPr="007C7DCB">
        <w:rPr>
          <w:rFonts w:asciiTheme="minorHAnsi" w:hAnsiTheme="minorHAnsi"/>
          <w:sz w:val="18"/>
          <w:szCs w:val="18"/>
          <w:lang w:val="en-GB"/>
        </w:rPr>
        <w:t>.</w:t>
      </w:r>
    </w:p>
  </w:endnote>
  <w:endnote w:id="60">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“Preliminary Approval for Settlement Division Bill,” </w:t>
      </w:r>
      <w:r w:rsidRPr="007C7DCB">
        <w:rPr>
          <w:rFonts w:asciiTheme="minorHAnsi" w:hAnsiTheme="minorHAnsi" w:cstheme="minorHAnsi"/>
          <w:i/>
          <w:iCs/>
          <w:sz w:val="18"/>
          <w:szCs w:val="18"/>
          <w:lang w:val="en-GB"/>
        </w:rPr>
        <w:t xml:space="preserve">Peace Now </w:t>
      </w:r>
      <w:r w:rsidRPr="007C7DCB">
        <w:rPr>
          <w:rFonts w:asciiTheme="minorHAnsi" w:hAnsiTheme="minorHAnsi" w:cstheme="minorHAnsi"/>
          <w:sz w:val="18"/>
          <w:szCs w:val="18"/>
          <w:lang w:val="en-GB"/>
        </w:rPr>
        <w:t xml:space="preserve">(13 June 2018), at: </w:t>
      </w:r>
    </w:p>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Fonts w:asciiTheme="minorHAnsi" w:hAnsiTheme="minorHAnsi" w:cstheme="minorHAnsi"/>
          <w:sz w:val="18"/>
          <w:szCs w:val="18"/>
          <w:lang w:val="en-GB"/>
        </w:rPr>
        <w:tab/>
      </w:r>
      <w:hyperlink r:id="rId63" w:history="1">
        <w:r w:rsidRPr="007C7DCB">
          <w:rPr>
            <w:rStyle w:val="Hyperlink"/>
            <w:rFonts w:asciiTheme="minorHAnsi" w:hAnsiTheme="minorHAnsi" w:cstheme="minorHAnsi"/>
            <w:sz w:val="18"/>
            <w:szCs w:val="18"/>
            <w:lang w:val="en-GB"/>
          </w:rPr>
          <w:t>https://peacenow.org.il/en/preliminary-approval-settlement-division-bill</w:t>
        </w:r>
      </w:hyperlink>
      <w:r w:rsidRPr="007C7DCB">
        <w:rPr>
          <w:rFonts w:asciiTheme="minorHAnsi" w:hAnsiTheme="minorHAnsi" w:cstheme="minorHAnsi"/>
          <w:sz w:val="18"/>
          <w:szCs w:val="18"/>
          <w:lang w:val="en-GB"/>
        </w:rPr>
        <w:t xml:space="preserve">; </w:t>
      </w:r>
      <w:proofErr w:type="spellStart"/>
      <w:r w:rsidRPr="007C7DCB">
        <w:rPr>
          <w:rFonts w:asciiTheme="minorHAnsi" w:hAnsiTheme="minorHAnsi" w:cstheme="minorHAnsi"/>
          <w:sz w:val="18"/>
          <w:szCs w:val="18"/>
          <w:lang w:val="en-GB"/>
        </w:rPr>
        <w:t>Yotam</w:t>
      </w:r>
      <w:proofErr w:type="spellEnd"/>
      <w:r w:rsidRPr="007C7DCB">
        <w:rPr>
          <w:rFonts w:asciiTheme="minorHAnsi" w:hAnsiTheme="minorHAnsi" w:cstheme="minorHAnsi"/>
          <w:sz w:val="18"/>
          <w:szCs w:val="18"/>
          <w:lang w:val="en-GB"/>
        </w:rPr>
        <w:t xml:space="preserve"> Berger, “World Zionist Organization Settlement Division Finances Illegal West Bank Outposts,” </w:t>
      </w:r>
      <w:proofErr w:type="spellStart"/>
      <w:r w:rsidRPr="007C7DCB">
        <w:rPr>
          <w:rFonts w:asciiTheme="minorHAnsi" w:hAnsiTheme="minorHAnsi" w:cstheme="minorHAnsi"/>
          <w:i/>
          <w:iCs/>
          <w:sz w:val="18"/>
          <w:szCs w:val="18"/>
          <w:lang w:val="en-GB"/>
        </w:rPr>
        <w:t>Haaretz</w:t>
      </w:r>
      <w:proofErr w:type="spellEnd"/>
      <w:r w:rsidRPr="007C7DCB">
        <w:rPr>
          <w:rFonts w:asciiTheme="minorHAnsi" w:hAnsiTheme="minorHAnsi" w:cstheme="minorHAnsi"/>
          <w:i/>
          <w:iCs/>
          <w:sz w:val="18"/>
          <w:szCs w:val="18"/>
          <w:lang w:val="en-GB"/>
        </w:rPr>
        <w:t xml:space="preserve"> </w:t>
      </w:r>
      <w:r w:rsidRPr="007C7DCB">
        <w:rPr>
          <w:rFonts w:asciiTheme="minorHAnsi" w:hAnsiTheme="minorHAnsi" w:cstheme="minorHAnsi"/>
          <w:sz w:val="18"/>
          <w:szCs w:val="18"/>
          <w:lang w:val="en-GB"/>
        </w:rPr>
        <w:t xml:space="preserve">(7 December 21018), at: </w:t>
      </w:r>
      <w:hyperlink r:id="rId64" w:history="1">
        <w:r w:rsidRPr="007C7DCB">
          <w:rPr>
            <w:rStyle w:val="Hyperlink"/>
            <w:rFonts w:asciiTheme="minorHAnsi" w:hAnsiTheme="minorHAnsi" w:cstheme="minorHAnsi"/>
            <w:sz w:val="18"/>
            <w:szCs w:val="18"/>
            <w:lang w:val="en-GB"/>
          </w:rPr>
          <w:t>https://www.haaretz.com/israel-news/.premium-world-zionist-organization-settlement-division-finances-illegal-west-bank-outposts-1.6723987</w:t>
        </w:r>
      </w:hyperlink>
      <w:r w:rsidRPr="007C7DCB">
        <w:rPr>
          <w:rFonts w:asciiTheme="minorHAnsi" w:hAnsiTheme="minorHAnsi" w:cstheme="minorHAnsi"/>
          <w:sz w:val="18"/>
          <w:szCs w:val="18"/>
          <w:lang w:val="en-GB"/>
        </w:rPr>
        <w:t xml:space="preserve">. </w:t>
      </w:r>
    </w:p>
  </w:endnote>
  <w:endnote w:id="61">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t xml:space="preserve">Jonathan </w:t>
      </w:r>
      <w:proofErr w:type="spellStart"/>
      <w:r w:rsidRPr="007C7DCB">
        <w:rPr>
          <w:rFonts w:asciiTheme="minorHAnsi" w:hAnsiTheme="minorHAnsi" w:cstheme="minorHAnsi"/>
          <w:sz w:val="18"/>
          <w:szCs w:val="18"/>
          <w:lang w:val="en-GB"/>
        </w:rPr>
        <w:t>Lis</w:t>
      </w:r>
      <w:proofErr w:type="spellEnd"/>
      <w:r w:rsidRPr="007C7DCB">
        <w:rPr>
          <w:rFonts w:asciiTheme="minorHAnsi" w:hAnsiTheme="minorHAnsi" w:cstheme="minorHAnsi"/>
          <w:sz w:val="18"/>
          <w:szCs w:val="18"/>
          <w:lang w:val="en-GB"/>
        </w:rPr>
        <w:t xml:space="preserve"> and </w:t>
      </w:r>
      <w:proofErr w:type="spellStart"/>
      <w:r w:rsidRPr="007C7DCB">
        <w:rPr>
          <w:rFonts w:asciiTheme="minorHAnsi" w:hAnsiTheme="minorHAnsi" w:cstheme="minorHAnsi"/>
          <w:sz w:val="18"/>
          <w:szCs w:val="18"/>
          <w:lang w:val="en-GB"/>
        </w:rPr>
        <w:t>Yoram</w:t>
      </w:r>
      <w:proofErr w:type="spellEnd"/>
      <w:r w:rsidRPr="007C7DCB">
        <w:rPr>
          <w:rFonts w:asciiTheme="minorHAnsi" w:hAnsiTheme="minorHAnsi" w:cstheme="minorHAnsi"/>
          <w:sz w:val="18"/>
          <w:szCs w:val="18"/>
          <w:lang w:val="en-GB"/>
        </w:rPr>
        <w:t xml:space="preserve"> Berger, “Israeli Ministers Approve Bill That Would Legalize 66 West Bank Outposts,” </w:t>
      </w:r>
      <w:proofErr w:type="spellStart"/>
      <w:r w:rsidRPr="007C7DCB">
        <w:rPr>
          <w:rFonts w:asciiTheme="minorHAnsi" w:hAnsiTheme="minorHAnsi" w:cstheme="minorHAnsi"/>
          <w:i/>
          <w:iCs/>
          <w:sz w:val="18"/>
          <w:szCs w:val="18"/>
          <w:lang w:val="en-GB"/>
        </w:rPr>
        <w:t>Haaretz</w:t>
      </w:r>
      <w:proofErr w:type="spellEnd"/>
      <w:r w:rsidRPr="007C7DCB">
        <w:rPr>
          <w:rFonts w:asciiTheme="minorHAnsi" w:hAnsiTheme="minorHAnsi" w:cstheme="minorHAnsi"/>
          <w:i/>
          <w:iCs/>
          <w:sz w:val="18"/>
          <w:szCs w:val="18"/>
          <w:lang w:val="en-GB"/>
        </w:rPr>
        <w:t xml:space="preserve"> </w:t>
      </w:r>
      <w:r w:rsidRPr="007C7DCB">
        <w:rPr>
          <w:rFonts w:asciiTheme="minorHAnsi" w:hAnsiTheme="minorHAnsi" w:cstheme="minorHAnsi"/>
          <w:sz w:val="18"/>
          <w:szCs w:val="18"/>
          <w:lang w:val="en-GB"/>
        </w:rPr>
        <w:t xml:space="preserve">(16 December 2018), at: </w:t>
      </w:r>
      <w:hyperlink r:id="rId65" w:history="1">
        <w:r w:rsidRPr="007C7DCB">
          <w:rPr>
            <w:rStyle w:val="Hyperlink"/>
            <w:rFonts w:asciiTheme="minorHAnsi" w:hAnsiTheme="minorHAnsi" w:cstheme="minorHAnsi"/>
            <w:sz w:val="18"/>
            <w:szCs w:val="18"/>
            <w:lang w:val="en-GB"/>
          </w:rPr>
          <w:t>https://www.haaretz.com/israel-news/.premium-israeli-ministers-approve-bill-that-would-legalize-66-west-bank-outposts-1.6747792</w:t>
        </w:r>
      </w:hyperlink>
      <w:r w:rsidRPr="007C7DCB">
        <w:rPr>
          <w:rFonts w:asciiTheme="minorHAnsi" w:hAnsiTheme="minorHAnsi" w:cstheme="minorHAnsi"/>
          <w:sz w:val="18"/>
          <w:szCs w:val="18"/>
          <w:lang w:val="en-GB"/>
        </w:rPr>
        <w:t xml:space="preserve">. </w:t>
      </w:r>
    </w:p>
  </w:endnote>
  <w:endnote w:id="62">
    <w:p w:rsidR="0098151C" w:rsidRPr="007C7DCB" w:rsidRDefault="0098151C" w:rsidP="007C7DCB">
      <w:pPr>
        <w:pStyle w:val="EndnoteText"/>
        <w:spacing w:line="240" w:lineRule="auto"/>
        <w:ind w:left="216" w:hanging="216"/>
        <w:jc w:val="lowKashida"/>
        <w:rPr>
          <w:rFonts w:asciiTheme="minorHAnsi" w:hAnsiTheme="minorHAnsi" w:cstheme="minorHAnsi"/>
          <w:sz w:val="18"/>
          <w:szCs w:val="18"/>
          <w:lang w:val="en-GB"/>
        </w:rPr>
      </w:pPr>
      <w:r w:rsidRPr="007C7DCB">
        <w:rPr>
          <w:rStyle w:val="EndnoteReference"/>
          <w:rFonts w:asciiTheme="minorHAnsi" w:hAnsiTheme="minorHAnsi" w:cstheme="minorHAnsi"/>
          <w:sz w:val="18"/>
          <w:szCs w:val="18"/>
          <w:lang w:val="en-GB"/>
        </w:rPr>
        <w:endnoteRef/>
      </w:r>
      <w:r w:rsidRPr="007C7DCB">
        <w:rPr>
          <w:rFonts w:asciiTheme="minorHAnsi" w:hAnsiTheme="minorHAnsi" w:cstheme="minorHAnsi"/>
          <w:sz w:val="18"/>
          <w:szCs w:val="18"/>
          <w:lang w:val="en-GB"/>
        </w:rPr>
        <w:t xml:space="preserve"> </w:t>
      </w:r>
      <w:r w:rsidRPr="007C7DCB">
        <w:rPr>
          <w:rFonts w:asciiTheme="minorHAnsi" w:hAnsiTheme="minorHAnsi" w:cstheme="minorHAnsi"/>
          <w:sz w:val="18"/>
          <w:szCs w:val="18"/>
          <w:lang w:val="en-GB"/>
        </w:rPr>
        <w:tab/>
      </w:r>
      <w:proofErr w:type="spellStart"/>
      <w:r w:rsidRPr="007C7DCB">
        <w:rPr>
          <w:rFonts w:asciiTheme="minorHAnsi" w:hAnsiTheme="minorHAnsi" w:cstheme="minorHAnsi"/>
          <w:sz w:val="18"/>
          <w:szCs w:val="18"/>
          <w:lang w:val="en-GB"/>
        </w:rPr>
        <w:t>Zvi</w:t>
      </w:r>
      <w:proofErr w:type="spellEnd"/>
      <w:r w:rsidRPr="007C7DCB">
        <w:rPr>
          <w:rFonts w:asciiTheme="minorHAnsi" w:hAnsiTheme="minorHAnsi" w:cstheme="minorHAnsi"/>
          <w:sz w:val="18"/>
          <w:szCs w:val="18"/>
          <w:lang w:val="en-GB"/>
        </w:rPr>
        <w:t xml:space="preserve"> </w:t>
      </w:r>
      <w:proofErr w:type="spellStart"/>
      <w:r w:rsidRPr="007C7DCB">
        <w:rPr>
          <w:rFonts w:asciiTheme="minorHAnsi" w:hAnsiTheme="minorHAnsi" w:cstheme="minorHAnsi"/>
          <w:sz w:val="18"/>
          <w:szCs w:val="18"/>
          <w:lang w:val="en-GB"/>
        </w:rPr>
        <w:t>Lavi</w:t>
      </w:r>
      <w:proofErr w:type="spellEnd"/>
      <w:r w:rsidRPr="007C7DCB">
        <w:rPr>
          <w:rFonts w:asciiTheme="minorHAnsi" w:hAnsiTheme="minorHAnsi" w:cstheme="minorHAnsi"/>
          <w:sz w:val="18"/>
          <w:szCs w:val="18"/>
          <w:lang w:val="en-GB"/>
        </w:rPr>
        <w:t xml:space="preserve">, “The Settlement Division has received official status” [in Hebrew: </w:t>
      </w:r>
      <w:r w:rsidRPr="007C7DCB">
        <w:rPr>
          <w:rFonts w:asciiTheme="minorHAnsi" w:hAnsiTheme="minorHAnsi"/>
          <w:sz w:val="18"/>
          <w:szCs w:val="18"/>
          <w:rtl/>
          <w:lang w:val="en-GB" w:bidi="he-IL"/>
        </w:rPr>
        <w:t>החטיבה להתיישבות קיבלה מעמד רשמי</w:t>
      </w:r>
      <w:r w:rsidRPr="007C7DCB">
        <w:rPr>
          <w:rFonts w:asciiTheme="minorHAnsi" w:hAnsiTheme="minorHAnsi" w:cstheme="minorHAnsi"/>
          <w:sz w:val="18"/>
          <w:szCs w:val="18"/>
          <w:lang w:val="en-GB" w:bidi="he-IL"/>
        </w:rPr>
        <w:t xml:space="preserve">], </w:t>
      </w:r>
      <w:proofErr w:type="spellStart"/>
      <w:r w:rsidRPr="007C7DCB">
        <w:rPr>
          <w:rFonts w:asciiTheme="minorHAnsi" w:hAnsiTheme="minorHAnsi" w:cstheme="minorHAnsi"/>
          <w:i/>
          <w:iCs/>
          <w:sz w:val="18"/>
          <w:szCs w:val="18"/>
          <w:lang w:val="en-GB" w:bidi="he-IL"/>
        </w:rPr>
        <w:t>ynet</w:t>
      </w:r>
      <w:proofErr w:type="spellEnd"/>
      <w:r w:rsidRPr="007C7DCB">
        <w:rPr>
          <w:rFonts w:asciiTheme="minorHAnsi" w:hAnsiTheme="minorHAnsi" w:cstheme="minorHAnsi"/>
          <w:i/>
          <w:iCs/>
          <w:sz w:val="18"/>
          <w:szCs w:val="18"/>
          <w:lang w:val="en-GB" w:bidi="he-IL"/>
        </w:rPr>
        <w:t xml:space="preserve"> </w:t>
      </w:r>
      <w:r w:rsidRPr="007C7DCB">
        <w:rPr>
          <w:rFonts w:asciiTheme="minorHAnsi" w:hAnsiTheme="minorHAnsi" w:cstheme="minorHAnsi"/>
          <w:sz w:val="18"/>
          <w:szCs w:val="18"/>
          <w:lang w:val="en-GB" w:bidi="he-IL"/>
        </w:rPr>
        <w:t xml:space="preserve">(24 December 2015), at: </w:t>
      </w:r>
      <w:hyperlink r:id="rId66" w:history="1">
        <w:r w:rsidRPr="007C7DCB">
          <w:rPr>
            <w:rStyle w:val="Hyperlink"/>
            <w:rFonts w:asciiTheme="minorHAnsi" w:hAnsiTheme="minorHAnsi" w:cstheme="minorHAnsi"/>
            <w:sz w:val="18"/>
            <w:szCs w:val="18"/>
            <w:lang w:val="en-GB" w:bidi="he-IL"/>
          </w:rPr>
          <w:t>https://www.ynet.co.il/articles/0,7340,L-4743812,00.html</w:t>
        </w:r>
      </w:hyperlink>
      <w:r w:rsidRPr="007C7DCB">
        <w:rPr>
          <w:rFonts w:asciiTheme="minorHAnsi" w:hAnsiTheme="minorHAnsi" w:cstheme="minorHAnsi"/>
          <w:sz w:val="18"/>
          <w:szCs w:val="18"/>
          <w:lang w:val="en-GB" w:bidi="he-IL"/>
        </w:rPr>
        <w:t xml:space="preserve">. </w:t>
      </w:r>
    </w:p>
  </w:endnote>
  <w:endnote w:id="63">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CESCR, </w:t>
      </w:r>
      <w:r w:rsidRPr="007C7DCB">
        <w:rPr>
          <w:rFonts w:asciiTheme="minorHAnsi" w:hAnsiTheme="minorHAnsi" w:cs="Courier New"/>
          <w:sz w:val="18"/>
          <w:szCs w:val="18"/>
          <w:lang w:val="en-GB"/>
        </w:rPr>
        <w:t>Concluding observations of the Committee on Economic, Social and Cultural Rights: Israel</w:t>
      </w:r>
      <w:r w:rsidRPr="007C7DCB">
        <w:rPr>
          <w:rFonts w:asciiTheme="minorHAnsi" w:hAnsiTheme="minorHAnsi"/>
          <w:sz w:val="18"/>
          <w:szCs w:val="18"/>
          <w:lang w:val="en-GB"/>
        </w:rPr>
        <w:t xml:space="preserve">, E/C.12/1/Add.27, 4 December 1998, </w:t>
      </w:r>
      <w:proofErr w:type="spellStart"/>
      <w:r w:rsidRPr="007C7DCB">
        <w:rPr>
          <w:rFonts w:asciiTheme="minorHAnsi" w:hAnsiTheme="minorHAnsi"/>
          <w:sz w:val="18"/>
          <w:szCs w:val="18"/>
          <w:lang w:val="en-GB"/>
        </w:rPr>
        <w:t>para</w:t>
      </w:r>
      <w:proofErr w:type="spellEnd"/>
      <w:r w:rsidRPr="007C7DCB">
        <w:rPr>
          <w:rFonts w:asciiTheme="minorHAnsi" w:hAnsiTheme="minorHAnsi"/>
          <w:sz w:val="18"/>
          <w:szCs w:val="18"/>
          <w:lang w:val="en-GB"/>
        </w:rPr>
        <w:t xml:space="preserve">. 11, at:  </w:t>
      </w:r>
      <w:hyperlink r:id="rId67" w:history="1">
        <w:r w:rsidRPr="007C7DCB">
          <w:rPr>
            <w:rStyle w:val="Hyperlink"/>
            <w:rFonts w:asciiTheme="minorHAnsi" w:hAnsiTheme="minorHAnsi"/>
            <w:sz w:val="18"/>
            <w:szCs w:val="18"/>
            <w:lang w:val="en-GB"/>
          </w:rPr>
          <w:t>https://undocs.org/E/C.12/1/Add.27</w:t>
        </w:r>
      </w:hyperlink>
      <w:r w:rsidRPr="007C7DCB">
        <w:rPr>
          <w:rFonts w:asciiTheme="minorHAnsi" w:hAnsiTheme="minorHAnsi"/>
          <w:sz w:val="18"/>
          <w:szCs w:val="18"/>
          <w:lang w:val="en-GB"/>
        </w:rPr>
        <w:t xml:space="preserve">. </w:t>
      </w:r>
    </w:p>
  </w:endnote>
  <w:endnote w:id="64">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“Statement of the ICC on Palestine,” </w:t>
      </w:r>
      <w:r w:rsidRPr="007C7DCB">
        <w:rPr>
          <w:rFonts w:asciiTheme="minorHAnsi" w:hAnsiTheme="minorHAnsi"/>
          <w:i/>
          <w:iCs/>
          <w:sz w:val="18"/>
          <w:szCs w:val="18"/>
          <w:lang w:val="en-GB"/>
        </w:rPr>
        <w:t xml:space="preserve">HLRN News </w:t>
      </w:r>
      <w:r w:rsidRPr="007C7DCB">
        <w:rPr>
          <w:rFonts w:asciiTheme="minorHAnsi" w:hAnsiTheme="minorHAnsi"/>
          <w:sz w:val="18"/>
          <w:szCs w:val="18"/>
          <w:lang w:val="en-GB"/>
        </w:rPr>
        <w:t xml:space="preserve">(17 October 2018),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sz w:val="18"/>
          <w:szCs w:val="18"/>
          <w:lang w:val="en-GB"/>
        </w:rPr>
        <w:tab/>
      </w:r>
      <w:hyperlink r:id="rId68" w:anchor=".XV7kj1QzZMG" w:history="1">
        <w:r w:rsidRPr="007C7DCB">
          <w:rPr>
            <w:rStyle w:val="Hyperlink"/>
            <w:rFonts w:asciiTheme="minorHAnsi" w:hAnsiTheme="minorHAnsi"/>
            <w:sz w:val="18"/>
            <w:szCs w:val="18"/>
            <w:lang w:val="en-GB"/>
          </w:rPr>
          <w:t>http://hlrn.org/news.php?id=p21oZA==#.XV7kj1QzZMG</w:t>
        </w:r>
      </w:hyperlink>
      <w:r w:rsidRPr="007C7DCB">
        <w:rPr>
          <w:rFonts w:asciiTheme="minorHAnsi" w:hAnsiTheme="minorHAnsi"/>
          <w:sz w:val="18"/>
          <w:szCs w:val="18"/>
          <w:lang w:val="en-GB"/>
        </w:rPr>
        <w:t xml:space="preserve">. </w:t>
      </w:r>
    </w:p>
  </w:endnote>
  <w:endnote w:id="65">
    <w:p w:rsidR="0098151C" w:rsidRPr="007C7DCB" w:rsidRDefault="0098151C" w:rsidP="007C7DCB">
      <w:pPr>
        <w:pStyle w:val="Heading1"/>
        <w:spacing w:before="0" w:line="240" w:lineRule="auto"/>
        <w:ind w:left="216" w:hanging="216"/>
        <w:jc w:val="lowKashida"/>
        <w:rPr>
          <w:rFonts w:asciiTheme="minorHAnsi" w:hAnsiTheme="minorHAnsi"/>
          <w:color w:val="auto"/>
          <w:sz w:val="18"/>
          <w:szCs w:val="18"/>
          <w:lang w:val="en-GB"/>
        </w:rPr>
      </w:pPr>
      <w:r w:rsidRPr="007C7DCB">
        <w:rPr>
          <w:rStyle w:val="EndnoteReference"/>
          <w:rFonts w:asciiTheme="minorHAnsi" w:hAnsiTheme="minorHAnsi"/>
          <w:color w:val="auto"/>
          <w:sz w:val="18"/>
          <w:szCs w:val="18"/>
          <w:lang w:val="en-GB"/>
        </w:rPr>
        <w:endnoteRef/>
      </w:r>
      <w:r w:rsidRPr="007C7DCB">
        <w:rPr>
          <w:rFonts w:asciiTheme="minorHAnsi" w:hAnsiTheme="minorHAnsi"/>
          <w:color w:val="auto"/>
          <w:sz w:val="18"/>
          <w:szCs w:val="18"/>
          <w:lang w:val="en-GB"/>
        </w:rPr>
        <w:t xml:space="preserve"> </w:t>
      </w:r>
      <w:r w:rsidRPr="007C7DCB">
        <w:rPr>
          <w:rFonts w:asciiTheme="minorHAnsi" w:hAnsiTheme="minorHAnsi"/>
          <w:color w:val="auto"/>
          <w:sz w:val="18"/>
          <w:szCs w:val="18"/>
          <w:lang w:val="en-GB"/>
        </w:rPr>
        <w:tab/>
        <w:t xml:space="preserve">"Israel demolishes Palestinian homes near West Bank barrier," </w:t>
      </w:r>
      <w:r w:rsidRPr="007C7DCB">
        <w:rPr>
          <w:rFonts w:asciiTheme="minorHAnsi" w:hAnsiTheme="minorHAnsi"/>
          <w:i/>
          <w:iCs/>
          <w:color w:val="auto"/>
          <w:sz w:val="18"/>
          <w:szCs w:val="18"/>
          <w:lang w:val="en-GB"/>
        </w:rPr>
        <w:t xml:space="preserve">Reuters </w:t>
      </w:r>
      <w:r w:rsidRPr="007C7DCB">
        <w:rPr>
          <w:rFonts w:asciiTheme="minorHAnsi" w:hAnsiTheme="minorHAnsi"/>
          <w:color w:val="auto"/>
          <w:sz w:val="18"/>
          <w:szCs w:val="18"/>
          <w:lang w:val="en-GB"/>
        </w:rPr>
        <w:t xml:space="preserve">(22 July 2019, at: </w:t>
      </w:r>
    </w:p>
    <w:p w:rsidR="0098151C" w:rsidRPr="007C7DCB" w:rsidRDefault="0098151C" w:rsidP="007C7DCB">
      <w:pPr>
        <w:pStyle w:val="Heading1"/>
        <w:spacing w:before="0" w:line="240" w:lineRule="auto"/>
        <w:ind w:left="216" w:hanging="216"/>
        <w:jc w:val="lowKashida"/>
        <w:rPr>
          <w:rFonts w:asciiTheme="minorHAnsi" w:hAnsiTheme="minorHAnsi"/>
          <w:color w:val="auto"/>
          <w:sz w:val="18"/>
          <w:szCs w:val="18"/>
          <w:lang w:val="en-GB"/>
        </w:rPr>
      </w:pPr>
      <w:r w:rsidRPr="007C7DCB">
        <w:rPr>
          <w:rFonts w:asciiTheme="minorHAnsi" w:hAnsiTheme="minorHAnsi"/>
          <w:color w:val="auto"/>
          <w:sz w:val="18"/>
          <w:szCs w:val="18"/>
          <w:lang w:val="en-GB"/>
        </w:rPr>
        <w:tab/>
      </w:r>
      <w:hyperlink r:id="rId69" w:history="1">
        <w:r w:rsidRPr="007C7DCB">
          <w:rPr>
            <w:rStyle w:val="Hyperlink"/>
            <w:rFonts w:asciiTheme="minorHAnsi" w:hAnsiTheme="minorHAnsi"/>
            <w:sz w:val="18"/>
            <w:szCs w:val="18"/>
            <w:lang w:val="en-GB"/>
          </w:rPr>
          <w:t>https://www.reuters.com/article/us-israel-palestinians-jerusalem-demolit/israel-demolishes-palestinian-homes-near-west-bank-barrier-idUSKCN1UH07N</w:t>
        </w:r>
      </w:hyperlink>
      <w:r w:rsidRPr="007C7DCB">
        <w:rPr>
          <w:rFonts w:asciiTheme="minorHAnsi" w:hAnsiTheme="minorHAnsi"/>
          <w:color w:val="auto"/>
          <w:sz w:val="18"/>
          <w:szCs w:val="18"/>
          <w:lang w:val="en-GB"/>
        </w:rPr>
        <w:t>.</w:t>
      </w:r>
    </w:p>
  </w:endnote>
  <w:endnote w:id="66">
    <w:p w:rsidR="0098151C" w:rsidRPr="007C7DCB" w:rsidRDefault="0098151C" w:rsidP="007C7DCB">
      <w:pPr>
        <w:pStyle w:val="Heading1"/>
        <w:spacing w:before="0" w:line="240" w:lineRule="auto"/>
        <w:ind w:left="216" w:hanging="216"/>
        <w:jc w:val="lowKashida"/>
        <w:rPr>
          <w:rFonts w:asciiTheme="minorHAnsi" w:hAnsiTheme="minorHAnsi"/>
          <w:color w:val="auto"/>
          <w:sz w:val="18"/>
          <w:szCs w:val="18"/>
          <w:lang w:val="en-GB"/>
        </w:rPr>
      </w:pPr>
      <w:r w:rsidRPr="007C7DCB">
        <w:rPr>
          <w:rStyle w:val="EndnoteReference"/>
          <w:rFonts w:asciiTheme="minorHAnsi" w:hAnsiTheme="minorHAnsi"/>
          <w:color w:val="auto"/>
          <w:sz w:val="18"/>
          <w:szCs w:val="18"/>
          <w:lang w:val="en-GB"/>
        </w:rPr>
        <w:endnoteRef/>
      </w:r>
      <w:r w:rsidRPr="007C7DCB">
        <w:rPr>
          <w:rFonts w:asciiTheme="minorHAnsi" w:hAnsiTheme="minorHAnsi"/>
          <w:color w:val="auto"/>
          <w:sz w:val="18"/>
          <w:szCs w:val="18"/>
          <w:lang w:val="en-GB"/>
        </w:rPr>
        <w:t xml:space="preserve"> </w:t>
      </w:r>
      <w:r w:rsidRPr="007C7DCB">
        <w:rPr>
          <w:rFonts w:asciiTheme="minorHAnsi" w:hAnsiTheme="minorHAnsi"/>
          <w:color w:val="auto"/>
          <w:sz w:val="18"/>
          <w:szCs w:val="18"/>
          <w:lang w:val="en-GB"/>
        </w:rPr>
        <w:tab/>
        <w:t xml:space="preserve">"The Arab Group @ the First UN Habitat Assembly," </w:t>
      </w:r>
      <w:r w:rsidRPr="007C7DCB">
        <w:rPr>
          <w:rFonts w:asciiTheme="minorHAnsi" w:hAnsiTheme="minorHAnsi"/>
          <w:i/>
          <w:iCs/>
          <w:color w:val="auto"/>
          <w:sz w:val="18"/>
          <w:szCs w:val="18"/>
          <w:lang w:val="en-GB"/>
        </w:rPr>
        <w:t xml:space="preserve">Land Times </w:t>
      </w:r>
      <w:r w:rsidRPr="007C7DCB">
        <w:rPr>
          <w:rFonts w:asciiTheme="minorHAnsi" w:hAnsiTheme="minorHAnsi"/>
          <w:color w:val="auto"/>
          <w:sz w:val="18"/>
          <w:szCs w:val="18"/>
          <w:lang w:val="en-GB"/>
        </w:rPr>
        <w:t xml:space="preserve">(July 2019), at: </w:t>
      </w:r>
    </w:p>
    <w:p w:rsidR="0098151C" w:rsidRPr="007C7DCB" w:rsidRDefault="0098151C" w:rsidP="007C7DCB">
      <w:pPr>
        <w:pStyle w:val="Heading1"/>
        <w:spacing w:before="0" w:line="240" w:lineRule="auto"/>
        <w:ind w:left="216" w:hanging="216"/>
        <w:jc w:val="lowKashida"/>
        <w:rPr>
          <w:rFonts w:asciiTheme="minorHAnsi" w:hAnsiTheme="minorHAnsi"/>
          <w:sz w:val="18"/>
          <w:szCs w:val="18"/>
          <w:lang w:val="en-GB"/>
        </w:rPr>
      </w:pPr>
      <w:r w:rsidRPr="007C7DCB">
        <w:rPr>
          <w:rFonts w:asciiTheme="minorHAnsi" w:hAnsiTheme="minorHAnsi"/>
          <w:color w:val="auto"/>
          <w:sz w:val="18"/>
          <w:szCs w:val="18"/>
          <w:lang w:val="en-GB"/>
        </w:rPr>
        <w:tab/>
      </w:r>
      <w:hyperlink r:id="rId70" w:history="1">
        <w:r w:rsidRPr="007C7DCB">
          <w:rPr>
            <w:rStyle w:val="Hyperlink"/>
            <w:rFonts w:asciiTheme="minorHAnsi" w:hAnsiTheme="minorHAnsi"/>
            <w:sz w:val="18"/>
            <w:szCs w:val="18"/>
            <w:lang w:val="en-GB"/>
          </w:rPr>
          <w:t>http://landtimes.landpedia.org/newsdes.php?id=pnFq&amp;catid=ow==&amp;edition=o3E=.</w:t>
        </w:r>
      </w:hyperlink>
      <w:r w:rsidRPr="007C7DCB">
        <w:rPr>
          <w:rFonts w:asciiTheme="minorHAnsi" w:hAnsiTheme="minorHAnsi"/>
          <w:color w:val="auto"/>
          <w:sz w:val="18"/>
          <w:szCs w:val="18"/>
          <w:lang w:val="en-GB"/>
        </w:rPr>
        <w:t xml:space="preserve"> </w:t>
      </w:r>
    </w:p>
  </w:endnote>
  <w:endnote w:id="67">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The New Urban Agenda, </w:t>
      </w:r>
      <w:r w:rsidRPr="007C7DCB">
        <w:rPr>
          <w:rFonts w:asciiTheme="minorHAnsi" w:hAnsiTheme="minorHAnsi" w:cs="Arial"/>
          <w:sz w:val="18"/>
          <w:szCs w:val="18"/>
          <w:lang w:val="en-GB"/>
        </w:rPr>
        <w:t xml:space="preserve">A/RES/71/256, 23 December 2016, at: </w:t>
      </w:r>
      <w:hyperlink r:id="rId71" w:history="1">
        <w:r w:rsidRPr="007C7DCB">
          <w:rPr>
            <w:rStyle w:val="Hyperlink"/>
            <w:rFonts w:asciiTheme="minorHAnsi" w:hAnsiTheme="minorHAnsi"/>
            <w:sz w:val="18"/>
            <w:szCs w:val="18"/>
            <w:lang w:val="en-GB"/>
          </w:rPr>
          <w:t>http://habitat3.org/wp-content/uploads/NUA-English.pdf</w:t>
        </w:r>
      </w:hyperlink>
      <w:r w:rsidRPr="007C7DCB">
        <w:rPr>
          <w:rFonts w:asciiTheme="minorHAnsi" w:hAnsiTheme="minorHAnsi"/>
          <w:sz w:val="18"/>
          <w:szCs w:val="18"/>
          <w:lang w:val="en-GB"/>
        </w:rPr>
        <w:t xml:space="preserve">. </w:t>
      </w:r>
    </w:p>
  </w:endnote>
  <w:endnote w:id="68">
    <w:p w:rsidR="0098151C" w:rsidRPr="007C7DCB" w:rsidRDefault="0098151C" w:rsidP="007C7DCB">
      <w:pPr>
        <w:pStyle w:val="EndnoteText"/>
        <w:spacing w:line="240" w:lineRule="auto"/>
        <w:ind w:left="216" w:hanging="216"/>
        <w:jc w:val="lowKashida"/>
        <w:rPr>
          <w:rFonts w:asciiTheme="minorHAnsi" w:hAnsiTheme="minorHAnsi" w:cstheme="majorBid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"Transforming our world: the 2030 Agenda for Sustainable Development," A/RES/70/1, </w:t>
      </w:r>
      <w:proofErr w:type="spellStart"/>
      <w:r w:rsidRPr="007C7DCB">
        <w:rPr>
          <w:rFonts w:asciiTheme="minorHAnsi" w:hAnsiTheme="minorHAnsi"/>
          <w:sz w:val="18"/>
          <w:szCs w:val="18"/>
          <w:lang w:val="en-GB"/>
        </w:rPr>
        <w:t>para</w:t>
      </w:r>
      <w:proofErr w:type="spellEnd"/>
      <w:r w:rsidRPr="007C7DCB">
        <w:rPr>
          <w:rFonts w:asciiTheme="minorHAnsi" w:hAnsiTheme="minorHAnsi"/>
          <w:sz w:val="18"/>
          <w:szCs w:val="18"/>
          <w:lang w:val="en-GB"/>
        </w:rPr>
        <w:t xml:space="preserve">. 35, at: </w:t>
      </w:r>
      <w:hyperlink r:id="rId72" w:history="1">
        <w:r w:rsidRPr="007C7DCB">
          <w:rPr>
            <w:rStyle w:val="Hyperlink"/>
            <w:rFonts w:asciiTheme="minorHAnsi" w:hAnsiTheme="minorHAnsi"/>
            <w:sz w:val="18"/>
            <w:szCs w:val="18"/>
            <w:lang w:val="en-GB"/>
          </w:rPr>
          <w:t>https://sustainabledevelopment.un.org/index.php?page=view&amp;type=111&amp;nr=8496&amp;menu=35</w:t>
        </w:r>
      </w:hyperlink>
      <w:r w:rsidRPr="007C7DCB">
        <w:rPr>
          <w:rFonts w:asciiTheme="minorHAnsi" w:hAnsiTheme="minorHAnsi"/>
          <w:sz w:val="18"/>
          <w:szCs w:val="18"/>
          <w:lang w:val="en-GB"/>
        </w:rPr>
        <w:t xml:space="preserve">; NUA, </w:t>
      </w:r>
      <w:r w:rsidRPr="007C7DCB">
        <w:rPr>
          <w:rFonts w:asciiTheme="minorHAnsi" w:hAnsiTheme="minorHAnsi"/>
          <w:i/>
          <w:iCs/>
          <w:sz w:val="18"/>
          <w:szCs w:val="18"/>
          <w:lang w:val="en-GB"/>
        </w:rPr>
        <w:t>op. cit.,</w:t>
      </w:r>
      <w:r w:rsidRPr="007C7DCB">
        <w:rPr>
          <w:rFonts w:asciiTheme="minorHAnsi" w:hAnsiTheme="minorHAnsi"/>
          <w:sz w:val="18"/>
          <w:szCs w:val="18"/>
          <w:lang w:val="en-GB"/>
        </w:rPr>
        <w:t xml:space="preserve"> </w:t>
      </w:r>
      <w:proofErr w:type="spellStart"/>
      <w:r w:rsidRPr="007C7DCB">
        <w:rPr>
          <w:rFonts w:asciiTheme="minorHAnsi" w:hAnsiTheme="minorHAnsi"/>
          <w:sz w:val="18"/>
          <w:szCs w:val="18"/>
          <w:lang w:val="en-GB"/>
        </w:rPr>
        <w:t>para</w:t>
      </w:r>
      <w:proofErr w:type="spellEnd"/>
      <w:r w:rsidRPr="007C7DCB">
        <w:rPr>
          <w:rFonts w:asciiTheme="minorHAnsi" w:hAnsiTheme="minorHAnsi"/>
          <w:sz w:val="18"/>
          <w:szCs w:val="18"/>
          <w:lang w:val="en-GB"/>
        </w:rPr>
        <w:t xml:space="preserve">. 19;  </w:t>
      </w:r>
      <w:r w:rsidRPr="007C7DCB">
        <w:rPr>
          <w:rFonts w:asciiTheme="minorHAnsi" w:hAnsiTheme="minorHAnsi" w:cstheme="majorBidi"/>
          <w:sz w:val="18"/>
          <w:szCs w:val="18"/>
          <w:lang w:val="en-GB"/>
        </w:rPr>
        <w:t xml:space="preserve">ESCWA, </w:t>
      </w:r>
      <w:r w:rsidRPr="007C7DCB">
        <w:rPr>
          <w:rFonts w:asciiTheme="minorHAnsi" w:hAnsiTheme="minorHAnsi" w:cstheme="majorBidi"/>
          <w:i/>
          <w:iCs/>
          <w:sz w:val="18"/>
          <w:szCs w:val="18"/>
          <w:lang w:val="en-GB"/>
        </w:rPr>
        <w:t>Israeli Practices towards the Palestinian People and the Question of Apartheid Palestine and the Israeli Occupatio</w:t>
      </w:r>
      <w:r w:rsidRPr="007C7DCB">
        <w:rPr>
          <w:rFonts w:asciiTheme="minorHAnsi" w:hAnsiTheme="minorHAnsi" w:cstheme="majorBidi"/>
          <w:sz w:val="18"/>
          <w:szCs w:val="18"/>
          <w:lang w:val="en-GB"/>
        </w:rPr>
        <w:t xml:space="preserve">n, Issue No. 1, 2017, E/ESCWA/ECRI/2017/1, p.  4, at: </w:t>
      </w:r>
    </w:p>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Fonts w:asciiTheme="minorHAnsi" w:hAnsiTheme="minorHAnsi" w:cstheme="majorBidi"/>
          <w:sz w:val="18"/>
          <w:szCs w:val="18"/>
          <w:lang w:val="en-GB"/>
        </w:rPr>
        <w:tab/>
      </w:r>
      <w:hyperlink r:id="rId73" w:history="1">
        <w:r w:rsidRPr="007C7DCB">
          <w:rPr>
            <w:rStyle w:val="Hyperlink"/>
            <w:rFonts w:asciiTheme="minorHAnsi" w:hAnsiTheme="minorHAnsi" w:cstheme="majorBidi"/>
            <w:sz w:val="18"/>
            <w:szCs w:val="18"/>
            <w:lang w:val="en-GB"/>
          </w:rPr>
          <w:t>https://www.unescwa.org/publications/publications/israeli-practices-palestinian-people-apartheid-occupation</w:t>
        </w:r>
      </w:hyperlink>
      <w:r w:rsidRPr="007C7DCB">
        <w:rPr>
          <w:rFonts w:asciiTheme="minorHAnsi" w:hAnsiTheme="minorHAnsi" w:cstheme="majorBidi"/>
          <w:sz w:val="18"/>
          <w:szCs w:val="18"/>
          <w:lang w:val="en-GB"/>
        </w:rPr>
        <w:t xml:space="preserve">. </w:t>
      </w:r>
    </w:p>
  </w:endnote>
  <w:endnote w:id="69">
    <w:p w:rsidR="0098151C" w:rsidRPr="007C7DCB" w:rsidRDefault="0098151C" w:rsidP="007C7DCB">
      <w:pPr>
        <w:pStyle w:val="EndnoteText"/>
        <w:spacing w:line="240" w:lineRule="auto"/>
        <w:ind w:left="216" w:hanging="216"/>
        <w:jc w:val="lowKashida"/>
        <w:rPr>
          <w:rFonts w:asciiTheme="minorHAnsi" w:hAnsiTheme="minorHAnsi"/>
          <w:sz w:val="18"/>
          <w:szCs w:val="18"/>
          <w:lang w:val="en-GB"/>
        </w:rPr>
      </w:pPr>
      <w:r w:rsidRPr="007C7DCB">
        <w:rPr>
          <w:rStyle w:val="EndnoteReference"/>
          <w:rFonts w:asciiTheme="minorHAnsi" w:hAnsiTheme="minorHAnsi"/>
          <w:sz w:val="18"/>
          <w:szCs w:val="18"/>
          <w:lang w:val="en-GB"/>
        </w:rPr>
        <w:endnoteRef/>
      </w:r>
      <w:r w:rsidRPr="007C7DCB">
        <w:rPr>
          <w:rFonts w:asciiTheme="minorHAnsi" w:hAnsiTheme="minorHAnsi"/>
          <w:sz w:val="18"/>
          <w:szCs w:val="18"/>
          <w:lang w:val="en-GB"/>
        </w:rPr>
        <w:t xml:space="preserve"> </w:t>
      </w:r>
      <w:r w:rsidRPr="007C7DCB">
        <w:rPr>
          <w:rFonts w:asciiTheme="minorHAnsi" w:hAnsiTheme="minorHAnsi"/>
          <w:sz w:val="18"/>
          <w:szCs w:val="18"/>
          <w:lang w:val="en-GB"/>
        </w:rPr>
        <w:tab/>
        <w:t xml:space="preserve">CESCR, General Comment No. 24 on State Obligations under the International Covenant on Economic, Social and Cultural Rights in the Context of Business Activities, E/C.12/GC/24, 23 June 2017, at:  </w:t>
      </w:r>
      <w:hyperlink r:id="rId74" w:history="1">
        <w:r w:rsidRPr="007C7DCB">
          <w:rPr>
            <w:rStyle w:val="Hyperlink"/>
            <w:rFonts w:asciiTheme="minorHAnsi" w:hAnsiTheme="minorHAnsi"/>
            <w:sz w:val="18"/>
            <w:szCs w:val="18"/>
            <w:lang w:val="en-GB"/>
          </w:rPr>
          <w:t>https://tbinternet.ohchr.org/_layouts/15/treatybodyexternal/Download.aspx?symbolno=E%2fC.12%2fGC%2f24&amp;Lang=en</w:t>
        </w:r>
      </w:hyperlink>
      <w:r w:rsidRPr="007C7DCB">
        <w:rPr>
          <w:rFonts w:asciiTheme="minorHAnsi" w:hAnsiTheme="minorHAnsi"/>
          <w:sz w:val="18"/>
          <w:szCs w:val="18"/>
          <w:lang w:val="en-GB"/>
        </w:rPr>
        <w:t xml:space="preserve">. </w:t>
      </w:r>
    </w:p>
  </w:endnote>
  <w:endnote w:id="70">
    <w:p w:rsidR="0098151C" w:rsidRPr="007C7DCB" w:rsidRDefault="0098151C" w:rsidP="007C7DCB">
      <w:pPr>
        <w:pStyle w:val="Heading1"/>
        <w:spacing w:before="0" w:line="240" w:lineRule="auto"/>
        <w:ind w:left="216" w:hanging="216"/>
        <w:jc w:val="lowKashida"/>
        <w:rPr>
          <w:rFonts w:asciiTheme="minorHAnsi" w:hAnsiTheme="minorHAnsi"/>
          <w:color w:val="auto"/>
          <w:sz w:val="18"/>
          <w:szCs w:val="18"/>
        </w:rPr>
      </w:pPr>
      <w:r w:rsidRPr="007C7DCB">
        <w:rPr>
          <w:rStyle w:val="EndnoteReference"/>
          <w:rFonts w:asciiTheme="minorHAnsi" w:hAnsiTheme="minorHAnsi"/>
          <w:color w:val="auto"/>
          <w:sz w:val="18"/>
          <w:szCs w:val="18"/>
        </w:rPr>
        <w:endnoteRef/>
      </w:r>
      <w:r w:rsidRPr="007C7DCB">
        <w:rPr>
          <w:rFonts w:asciiTheme="minorHAnsi" w:hAnsiTheme="minorHAnsi"/>
          <w:color w:val="auto"/>
          <w:sz w:val="18"/>
          <w:szCs w:val="18"/>
        </w:rPr>
        <w:t xml:space="preserve"> </w:t>
      </w:r>
      <w:r w:rsidRPr="007C7DCB">
        <w:rPr>
          <w:rFonts w:asciiTheme="minorHAnsi" w:hAnsiTheme="minorHAnsi"/>
          <w:color w:val="auto"/>
          <w:sz w:val="18"/>
          <w:szCs w:val="18"/>
        </w:rPr>
        <w:tab/>
      </w:r>
      <w:r w:rsidRPr="007C7DCB">
        <w:rPr>
          <w:rFonts w:asciiTheme="minorHAnsi" w:hAnsiTheme="minorHAnsi"/>
          <w:i/>
          <w:iCs/>
          <w:color w:val="auto"/>
          <w:sz w:val="18"/>
          <w:szCs w:val="18"/>
        </w:rPr>
        <w:t>Occupation, Inc.: How Settlement Businesses Contribute to Israel’s Violations of Palestinian Rights</w:t>
      </w:r>
      <w:r w:rsidRPr="007C7DCB">
        <w:rPr>
          <w:rFonts w:asciiTheme="minorHAnsi" w:hAnsiTheme="minorHAnsi"/>
          <w:color w:val="auto"/>
          <w:sz w:val="18"/>
          <w:szCs w:val="18"/>
        </w:rPr>
        <w:t xml:space="preserve"> (New York: Human Rights Watch, 2016), at: </w:t>
      </w:r>
      <w:hyperlink r:id="rId75" w:history="1">
        <w:r w:rsidRPr="007C7DCB">
          <w:rPr>
            <w:rStyle w:val="Hyperlink"/>
            <w:rFonts w:asciiTheme="minorHAnsi" w:hAnsiTheme="minorHAnsi"/>
            <w:sz w:val="18"/>
            <w:szCs w:val="18"/>
          </w:rPr>
          <w:t>https://www.hrw.org/report/2016/01/19/occupation-inc/how-settlement-businesses-contribute-israels-violations-palestinian</w:t>
        </w:r>
      </w:hyperlink>
      <w:r w:rsidRPr="007C7DCB">
        <w:rPr>
          <w:rFonts w:asciiTheme="minorHAnsi" w:hAnsiTheme="minorHAnsi"/>
          <w:color w:val="auto"/>
          <w:sz w:val="18"/>
          <w:szCs w:val="18"/>
        </w:rPr>
        <w:t xml:space="preserve">. </w:t>
      </w:r>
    </w:p>
    <w:p w:rsidR="0098151C" w:rsidRPr="007C7DCB" w:rsidRDefault="0098151C" w:rsidP="007C7DCB">
      <w:pPr>
        <w:pStyle w:val="EndnoteText"/>
        <w:spacing w:line="240" w:lineRule="auto"/>
        <w:ind w:left="216" w:hanging="216"/>
        <w:jc w:val="lowKashida"/>
        <w:rPr>
          <w:rFonts w:asciiTheme="minorHAnsi" w:hAnsiTheme="minorHAnsi"/>
          <w:sz w:val="18"/>
          <w:szCs w:val="18"/>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altName w:val="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162338"/>
      <w:docPartObj>
        <w:docPartGallery w:val="Page Numbers (Bottom of Page)"/>
        <w:docPartUnique/>
      </w:docPartObj>
    </w:sdtPr>
    <w:sdtContent>
      <w:p w:rsidR="0098151C" w:rsidRDefault="0098151C">
        <w:pPr>
          <w:pStyle w:val="Footer"/>
          <w:jc w:val="center"/>
        </w:pPr>
        <w:r w:rsidRPr="00250308">
          <w:rPr>
            <w:sz w:val="20"/>
            <w:szCs w:val="20"/>
          </w:rPr>
          <w:fldChar w:fldCharType="begin"/>
        </w:r>
        <w:r w:rsidRPr="00250308">
          <w:rPr>
            <w:sz w:val="20"/>
            <w:szCs w:val="20"/>
          </w:rPr>
          <w:instrText xml:space="preserve"> PAGE   \* MERGEFORMAT </w:instrText>
        </w:r>
        <w:r w:rsidRPr="00250308">
          <w:rPr>
            <w:sz w:val="20"/>
            <w:szCs w:val="20"/>
          </w:rPr>
          <w:fldChar w:fldCharType="separate"/>
        </w:r>
        <w:r w:rsidR="004D70D3">
          <w:rPr>
            <w:noProof/>
            <w:sz w:val="20"/>
            <w:szCs w:val="20"/>
          </w:rPr>
          <w:t>1</w:t>
        </w:r>
        <w:r w:rsidRPr="00250308">
          <w:rPr>
            <w:sz w:val="20"/>
            <w:szCs w:val="20"/>
          </w:rPr>
          <w:fldChar w:fldCharType="end"/>
        </w:r>
      </w:p>
    </w:sdtContent>
  </w:sdt>
  <w:p w:rsidR="0098151C" w:rsidRDefault="0098151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E19" w:rsidRDefault="00D35E19" w:rsidP="0060532C">
      <w:pPr>
        <w:spacing w:after="0" w:line="240" w:lineRule="auto"/>
      </w:pPr>
      <w:r>
        <w:separator/>
      </w:r>
    </w:p>
  </w:footnote>
  <w:footnote w:type="continuationSeparator" w:id="0">
    <w:p w:rsidR="00D35E19" w:rsidRDefault="00D35E19" w:rsidP="006053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70A61"/>
    <w:multiLevelType w:val="hybridMultilevel"/>
    <w:tmpl w:val="34AAAB74"/>
    <w:lvl w:ilvl="0" w:tplc="D262731A">
      <w:start w:val="1"/>
      <w:numFmt w:val="decimal"/>
      <w:lvlText w:val="%1."/>
      <w:lvlJc w:val="left"/>
      <w:pPr>
        <w:ind w:left="360" w:hanging="360"/>
      </w:pPr>
      <w:rPr>
        <w:rFonts w:asciiTheme="majorBidi" w:hAnsiTheme="majorBidi" w:cstheme="majorBidi" w:hint="default"/>
        <w:b w:val="0"/>
        <w:bCs w:val="0"/>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301671BF"/>
    <w:multiLevelType w:val="hybridMultilevel"/>
    <w:tmpl w:val="166C9D92"/>
    <w:lvl w:ilvl="0" w:tplc="851E37A6">
      <w:start w:val="1"/>
      <w:numFmt w:val="decimal"/>
      <w:lvlText w:val="%1."/>
      <w:lvlJc w:val="left"/>
      <w:pPr>
        <w:ind w:left="360" w:hanging="360"/>
      </w:pPr>
      <w:rPr>
        <w:rFonts w:ascii="Times New Roman" w:hAnsi="Times New Roman" w:cs="Times New Roman" w:hint="default"/>
        <w:b w:val="0"/>
        <w:bCs w:val="0"/>
        <w:i w:val="0"/>
        <w:sz w:val="20"/>
        <w:szCs w:val="20"/>
      </w:rPr>
    </w:lvl>
    <w:lvl w:ilvl="1" w:tplc="04090019" w:tentative="1">
      <w:start w:val="1"/>
      <w:numFmt w:val="lowerLetter"/>
      <w:lvlText w:val="%2."/>
      <w:lvlJc w:val="left"/>
      <w:pPr>
        <w:ind w:left="654" w:hanging="360"/>
      </w:pPr>
    </w:lvl>
    <w:lvl w:ilvl="2" w:tplc="0409001B" w:tentative="1">
      <w:start w:val="1"/>
      <w:numFmt w:val="lowerRoman"/>
      <w:lvlText w:val="%3."/>
      <w:lvlJc w:val="right"/>
      <w:pPr>
        <w:ind w:left="1374" w:hanging="180"/>
      </w:pPr>
    </w:lvl>
    <w:lvl w:ilvl="3" w:tplc="0409000F" w:tentative="1">
      <w:start w:val="1"/>
      <w:numFmt w:val="decimal"/>
      <w:lvlText w:val="%4."/>
      <w:lvlJc w:val="left"/>
      <w:pPr>
        <w:ind w:left="2094" w:hanging="360"/>
      </w:pPr>
    </w:lvl>
    <w:lvl w:ilvl="4" w:tplc="04090019" w:tentative="1">
      <w:start w:val="1"/>
      <w:numFmt w:val="lowerLetter"/>
      <w:lvlText w:val="%5."/>
      <w:lvlJc w:val="left"/>
      <w:pPr>
        <w:ind w:left="2814" w:hanging="360"/>
      </w:pPr>
    </w:lvl>
    <w:lvl w:ilvl="5" w:tplc="0409001B" w:tentative="1">
      <w:start w:val="1"/>
      <w:numFmt w:val="lowerRoman"/>
      <w:lvlText w:val="%6."/>
      <w:lvlJc w:val="right"/>
      <w:pPr>
        <w:ind w:left="3534" w:hanging="180"/>
      </w:pPr>
    </w:lvl>
    <w:lvl w:ilvl="6" w:tplc="0409000F" w:tentative="1">
      <w:start w:val="1"/>
      <w:numFmt w:val="decimal"/>
      <w:lvlText w:val="%7."/>
      <w:lvlJc w:val="left"/>
      <w:pPr>
        <w:ind w:left="4254" w:hanging="360"/>
      </w:pPr>
    </w:lvl>
    <w:lvl w:ilvl="7" w:tplc="04090019" w:tentative="1">
      <w:start w:val="1"/>
      <w:numFmt w:val="lowerLetter"/>
      <w:lvlText w:val="%8."/>
      <w:lvlJc w:val="left"/>
      <w:pPr>
        <w:ind w:left="4974" w:hanging="360"/>
      </w:pPr>
    </w:lvl>
    <w:lvl w:ilvl="8" w:tplc="0409001B" w:tentative="1">
      <w:start w:val="1"/>
      <w:numFmt w:val="lowerRoman"/>
      <w:lvlText w:val="%9."/>
      <w:lvlJc w:val="right"/>
      <w:pPr>
        <w:ind w:left="5694" w:hanging="180"/>
      </w:pPr>
    </w:lvl>
  </w:abstractNum>
  <w:abstractNum w:abstractNumId="2">
    <w:nsid w:val="4CAE675E"/>
    <w:multiLevelType w:val="hybridMultilevel"/>
    <w:tmpl w:val="FE92A9E2"/>
    <w:lvl w:ilvl="0" w:tplc="3C8AEF96">
      <w:start w:val="1"/>
      <w:numFmt w:val="lowerLetter"/>
      <w:lvlText w:val="(%1)"/>
      <w:lvlJc w:val="left"/>
      <w:pPr>
        <w:ind w:left="2721" w:hanging="102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
    <w:nsid w:val="57AE6581"/>
    <w:multiLevelType w:val="hybridMultilevel"/>
    <w:tmpl w:val="906C0D74"/>
    <w:lvl w:ilvl="0" w:tplc="3C8AEF96">
      <w:start w:val="1"/>
      <w:numFmt w:val="lowerLetter"/>
      <w:lvlText w:val="(%1)"/>
      <w:lvlJc w:val="left"/>
      <w:pPr>
        <w:ind w:left="1020" w:hanging="1020"/>
      </w:pPr>
      <w:rPr>
        <w:rFonts w:hint="default"/>
      </w:rPr>
    </w:lvl>
    <w:lvl w:ilvl="1" w:tplc="04090019" w:tentative="1">
      <w:start w:val="1"/>
      <w:numFmt w:val="lowerLetter"/>
      <w:lvlText w:val="%2."/>
      <w:lvlJc w:val="left"/>
      <w:pPr>
        <w:ind w:left="-261" w:hanging="360"/>
      </w:pPr>
    </w:lvl>
    <w:lvl w:ilvl="2" w:tplc="0409001B" w:tentative="1">
      <w:start w:val="1"/>
      <w:numFmt w:val="lowerRoman"/>
      <w:lvlText w:val="%3."/>
      <w:lvlJc w:val="right"/>
      <w:pPr>
        <w:ind w:left="459" w:hanging="180"/>
      </w:pPr>
    </w:lvl>
    <w:lvl w:ilvl="3" w:tplc="0409000F" w:tentative="1">
      <w:start w:val="1"/>
      <w:numFmt w:val="decimal"/>
      <w:lvlText w:val="%4."/>
      <w:lvlJc w:val="left"/>
      <w:pPr>
        <w:ind w:left="1179" w:hanging="360"/>
      </w:pPr>
    </w:lvl>
    <w:lvl w:ilvl="4" w:tplc="04090019" w:tentative="1">
      <w:start w:val="1"/>
      <w:numFmt w:val="lowerLetter"/>
      <w:lvlText w:val="%5."/>
      <w:lvlJc w:val="left"/>
      <w:pPr>
        <w:ind w:left="1899" w:hanging="360"/>
      </w:pPr>
    </w:lvl>
    <w:lvl w:ilvl="5" w:tplc="0409001B" w:tentative="1">
      <w:start w:val="1"/>
      <w:numFmt w:val="lowerRoman"/>
      <w:lvlText w:val="%6."/>
      <w:lvlJc w:val="right"/>
      <w:pPr>
        <w:ind w:left="2619" w:hanging="180"/>
      </w:pPr>
    </w:lvl>
    <w:lvl w:ilvl="6" w:tplc="0409000F" w:tentative="1">
      <w:start w:val="1"/>
      <w:numFmt w:val="decimal"/>
      <w:lvlText w:val="%7."/>
      <w:lvlJc w:val="left"/>
      <w:pPr>
        <w:ind w:left="3339" w:hanging="360"/>
      </w:pPr>
    </w:lvl>
    <w:lvl w:ilvl="7" w:tplc="04090019" w:tentative="1">
      <w:start w:val="1"/>
      <w:numFmt w:val="lowerLetter"/>
      <w:lvlText w:val="%8."/>
      <w:lvlJc w:val="left"/>
      <w:pPr>
        <w:ind w:left="4059" w:hanging="360"/>
      </w:pPr>
    </w:lvl>
    <w:lvl w:ilvl="8" w:tplc="0409001B" w:tentative="1">
      <w:start w:val="1"/>
      <w:numFmt w:val="lowerRoman"/>
      <w:lvlText w:val="%9."/>
      <w:lvlJc w:val="right"/>
      <w:pPr>
        <w:ind w:left="4779" w:hanging="180"/>
      </w:pPr>
    </w:lvl>
  </w:abstractNum>
  <w:abstractNum w:abstractNumId="4">
    <w:nsid w:val="7EC223A8"/>
    <w:multiLevelType w:val="hybridMultilevel"/>
    <w:tmpl w:val="3FAAA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AA7E8E"/>
    <w:multiLevelType w:val="hybridMultilevel"/>
    <w:tmpl w:val="0A166F96"/>
    <w:lvl w:ilvl="0" w:tplc="40BA9490">
      <w:start w:val="1"/>
      <w:numFmt w:val="decimal"/>
      <w:pStyle w:val="Numberedpara"/>
      <w:lvlText w:val="%1."/>
      <w:lvlJc w:val="left"/>
      <w:pPr>
        <w:ind w:left="720" w:hanging="360"/>
      </w:pPr>
      <w:rPr>
        <w:rFonts w:ascii="Times New Roman" w:hAnsi="Times New Roman" w:cs="Times New Roman" w:hint="default"/>
        <w:b w:val="0"/>
        <w:bCs w:val="0"/>
        <w:sz w:val="24"/>
        <w:szCs w:val="24"/>
      </w:rPr>
    </w:lvl>
    <w:lvl w:ilvl="1" w:tplc="663C8C66">
      <w:start w:val="1"/>
      <w:numFmt w:val="lowerLetter"/>
      <w:lvlText w:val="(%2)"/>
      <w:lvlJc w:val="left"/>
      <w:pPr>
        <w:ind w:left="1520" w:hanging="4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FD73E1B"/>
    <w:multiLevelType w:val="hybridMultilevel"/>
    <w:tmpl w:val="53AEBD82"/>
    <w:lvl w:ilvl="0" w:tplc="0809000F">
      <w:start w:val="1"/>
      <w:numFmt w:val="decimal"/>
      <w:lvlText w:val="%1."/>
      <w:lvlJc w:val="left"/>
      <w:pPr>
        <w:ind w:left="1635" w:hanging="555"/>
      </w:pPr>
      <w:rPr>
        <w:rFonts w:hint="default"/>
        <w:vertAlign w:val="baseline"/>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6"/>
  </w:num>
  <w:num w:numId="3">
    <w:abstractNumId w:val="4"/>
  </w:num>
  <w:num w:numId="4">
    <w:abstractNumId w:val="2"/>
  </w:num>
  <w:num w:numId="5">
    <w:abstractNumId w:val="3"/>
  </w:num>
  <w:num w:numId="6">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proofState w:spelling="clean"/>
  <w:defaultTabStop w:val="720"/>
  <w:characterSpacingControl w:val="doNotCompress"/>
  <w:footnotePr>
    <w:footnote w:id="-1"/>
    <w:footnote w:id="0"/>
  </w:footnotePr>
  <w:endnotePr>
    <w:numFmt w:val="decimal"/>
    <w:endnote w:id="-1"/>
    <w:endnote w:id="0"/>
  </w:endnotePr>
  <w:compat>
    <w:useFELayout/>
  </w:compat>
  <w:rsids>
    <w:rsidRoot w:val="00214F47"/>
    <w:rsid w:val="0000592A"/>
    <w:rsid w:val="000079F7"/>
    <w:rsid w:val="00013B90"/>
    <w:rsid w:val="00025D7F"/>
    <w:rsid w:val="00046EBC"/>
    <w:rsid w:val="00050DE0"/>
    <w:rsid w:val="000607EE"/>
    <w:rsid w:val="00061D65"/>
    <w:rsid w:val="00065DA6"/>
    <w:rsid w:val="000826F3"/>
    <w:rsid w:val="000862BA"/>
    <w:rsid w:val="00094268"/>
    <w:rsid w:val="000B282F"/>
    <w:rsid w:val="001142E8"/>
    <w:rsid w:val="001209ED"/>
    <w:rsid w:val="001350C9"/>
    <w:rsid w:val="00152C5A"/>
    <w:rsid w:val="00170DA0"/>
    <w:rsid w:val="001742B1"/>
    <w:rsid w:val="00183FCB"/>
    <w:rsid w:val="001B4BA4"/>
    <w:rsid w:val="001C25CA"/>
    <w:rsid w:val="001E0E13"/>
    <w:rsid w:val="001F108E"/>
    <w:rsid w:val="001F68C1"/>
    <w:rsid w:val="00207722"/>
    <w:rsid w:val="00214F47"/>
    <w:rsid w:val="002336CB"/>
    <w:rsid w:val="002353BD"/>
    <w:rsid w:val="00250308"/>
    <w:rsid w:val="002712E3"/>
    <w:rsid w:val="00284BEF"/>
    <w:rsid w:val="002930A4"/>
    <w:rsid w:val="002941DC"/>
    <w:rsid w:val="002B4D07"/>
    <w:rsid w:val="002B5814"/>
    <w:rsid w:val="002C0710"/>
    <w:rsid w:val="002C098D"/>
    <w:rsid w:val="002C3858"/>
    <w:rsid w:val="00304945"/>
    <w:rsid w:val="00310D78"/>
    <w:rsid w:val="003157EE"/>
    <w:rsid w:val="0031735E"/>
    <w:rsid w:val="00323FC8"/>
    <w:rsid w:val="00335B2E"/>
    <w:rsid w:val="0041724D"/>
    <w:rsid w:val="00417612"/>
    <w:rsid w:val="00420B27"/>
    <w:rsid w:val="00420EEA"/>
    <w:rsid w:val="00434102"/>
    <w:rsid w:val="00434D9D"/>
    <w:rsid w:val="004377D5"/>
    <w:rsid w:val="00450716"/>
    <w:rsid w:val="00461A5B"/>
    <w:rsid w:val="00487A8B"/>
    <w:rsid w:val="004A2E67"/>
    <w:rsid w:val="004C2312"/>
    <w:rsid w:val="004C2AB5"/>
    <w:rsid w:val="004D70D3"/>
    <w:rsid w:val="004E4C13"/>
    <w:rsid w:val="005548B0"/>
    <w:rsid w:val="00560045"/>
    <w:rsid w:val="005609FF"/>
    <w:rsid w:val="005771C4"/>
    <w:rsid w:val="005904CE"/>
    <w:rsid w:val="00592ECF"/>
    <w:rsid w:val="005C5F67"/>
    <w:rsid w:val="005D4BD2"/>
    <w:rsid w:val="005D7372"/>
    <w:rsid w:val="005E0400"/>
    <w:rsid w:val="0060532C"/>
    <w:rsid w:val="00610A5B"/>
    <w:rsid w:val="006452D3"/>
    <w:rsid w:val="0065668D"/>
    <w:rsid w:val="006644F9"/>
    <w:rsid w:val="00667072"/>
    <w:rsid w:val="006763BC"/>
    <w:rsid w:val="006C7A03"/>
    <w:rsid w:val="006F6A5A"/>
    <w:rsid w:val="00701EA0"/>
    <w:rsid w:val="007061D1"/>
    <w:rsid w:val="00732D97"/>
    <w:rsid w:val="00762B22"/>
    <w:rsid w:val="00770A03"/>
    <w:rsid w:val="00786080"/>
    <w:rsid w:val="007A517D"/>
    <w:rsid w:val="007C7AF3"/>
    <w:rsid w:val="007C7DCB"/>
    <w:rsid w:val="007E26CC"/>
    <w:rsid w:val="007E2DD3"/>
    <w:rsid w:val="007F05D7"/>
    <w:rsid w:val="00800503"/>
    <w:rsid w:val="00801433"/>
    <w:rsid w:val="0081765E"/>
    <w:rsid w:val="00836264"/>
    <w:rsid w:val="00850C1D"/>
    <w:rsid w:val="00895E58"/>
    <w:rsid w:val="008C2754"/>
    <w:rsid w:val="008D26AD"/>
    <w:rsid w:val="008E30F2"/>
    <w:rsid w:val="008E4A2F"/>
    <w:rsid w:val="00933A8E"/>
    <w:rsid w:val="00955722"/>
    <w:rsid w:val="00962095"/>
    <w:rsid w:val="009763E8"/>
    <w:rsid w:val="0098151C"/>
    <w:rsid w:val="009B275F"/>
    <w:rsid w:val="009B6609"/>
    <w:rsid w:val="009C6BCB"/>
    <w:rsid w:val="009D6961"/>
    <w:rsid w:val="009E52DB"/>
    <w:rsid w:val="00A353A3"/>
    <w:rsid w:val="00A37C80"/>
    <w:rsid w:val="00A400B7"/>
    <w:rsid w:val="00A41055"/>
    <w:rsid w:val="00A6408B"/>
    <w:rsid w:val="00A778CB"/>
    <w:rsid w:val="00A93D1B"/>
    <w:rsid w:val="00AD2061"/>
    <w:rsid w:val="00AD4FFC"/>
    <w:rsid w:val="00AE3762"/>
    <w:rsid w:val="00B162A7"/>
    <w:rsid w:val="00B43561"/>
    <w:rsid w:val="00B715D0"/>
    <w:rsid w:val="00B80955"/>
    <w:rsid w:val="00B90CB3"/>
    <w:rsid w:val="00B944FA"/>
    <w:rsid w:val="00B974F1"/>
    <w:rsid w:val="00BA56C0"/>
    <w:rsid w:val="00BD1E1C"/>
    <w:rsid w:val="00C01267"/>
    <w:rsid w:val="00C15943"/>
    <w:rsid w:val="00C171E5"/>
    <w:rsid w:val="00C91268"/>
    <w:rsid w:val="00C94C89"/>
    <w:rsid w:val="00CC007A"/>
    <w:rsid w:val="00CE7505"/>
    <w:rsid w:val="00D144C3"/>
    <w:rsid w:val="00D35E19"/>
    <w:rsid w:val="00D366DD"/>
    <w:rsid w:val="00D50B63"/>
    <w:rsid w:val="00D55A4A"/>
    <w:rsid w:val="00D650E0"/>
    <w:rsid w:val="00D76E5D"/>
    <w:rsid w:val="00DA0A72"/>
    <w:rsid w:val="00DA76B4"/>
    <w:rsid w:val="00DC4798"/>
    <w:rsid w:val="00DF5474"/>
    <w:rsid w:val="00E37857"/>
    <w:rsid w:val="00E567B8"/>
    <w:rsid w:val="00E64D93"/>
    <w:rsid w:val="00E80810"/>
    <w:rsid w:val="00E90117"/>
    <w:rsid w:val="00EA00A5"/>
    <w:rsid w:val="00EA1E62"/>
    <w:rsid w:val="00EA2764"/>
    <w:rsid w:val="00F27ED1"/>
    <w:rsid w:val="00F8268E"/>
    <w:rsid w:val="00F86E4F"/>
    <w:rsid w:val="00FA3C9C"/>
    <w:rsid w:val="00FC6F53"/>
    <w:rsid w:val="00FD5FF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7B8"/>
  </w:style>
  <w:style w:type="paragraph" w:styleId="Heading1">
    <w:name w:val="heading 1"/>
    <w:basedOn w:val="Normal"/>
    <w:next w:val="Normal"/>
    <w:link w:val="Heading1Char"/>
    <w:uiPriority w:val="9"/>
    <w:qFormat/>
    <w:rsid w:val="007E26CC"/>
    <w:pPr>
      <w:keepNext/>
      <w:keepLines/>
      <w:spacing w:before="240" w:after="0" w:line="360" w:lineRule="auto"/>
      <w:outlineLvl w:val="0"/>
    </w:pPr>
    <w:rPr>
      <w:rFonts w:asciiTheme="majorHAnsi" w:eastAsiaTheme="majorEastAsia" w:hAnsiTheme="majorHAnsi" w:cstheme="majorBidi"/>
      <w:color w:val="365F91" w:themeColor="accent1" w:themeShade="BF"/>
      <w:sz w:val="32"/>
      <w:szCs w:val="32"/>
      <w:lang w:bidi="he-IL"/>
    </w:rPr>
  </w:style>
  <w:style w:type="paragraph" w:styleId="Heading2">
    <w:name w:val="heading 2"/>
    <w:basedOn w:val="Normal"/>
    <w:next w:val="Normal"/>
    <w:link w:val="Heading2Char"/>
    <w:uiPriority w:val="9"/>
    <w:unhideWhenUsed/>
    <w:qFormat/>
    <w:rsid w:val="00850C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607EE"/>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uiPriority w:val="9"/>
    <w:unhideWhenUsed/>
    <w:qFormat/>
    <w:rsid w:val="004E4C1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D1B"/>
    <w:rPr>
      <w:color w:val="0000FF" w:themeColor="hyperlink"/>
      <w:u w:val="single"/>
    </w:rPr>
  </w:style>
  <w:style w:type="character" w:customStyle="1" w:styleId="UnresolvedMention">
    <w:name w:val="Unresolved Mention"/>
    <w:basedOn w:val="DefaultParagraphFont"/>
    <w:uiPriority w:val="99"/>
    <w:semiHidden/>
    <w:unhideWhenUsed/>
    <w:rsid w:val="00A93D1B"/>
    <w:rPr>
      <w:color w:val="605E5C"/>
      <w:shd w:val="clear" w:color="auto" w:fill="E1DFDD"/>
    </w:rPr>
  </w:style>
  <w:style w:type="paragraph" w:styleId="BalloonText">
    <w:name w:val="Balloon Text"/>
    <w:basedOn w:val="Normal"/>
    <w:link w:val="BalloonTextChar"/>
    <w:uiPriority w:val="99"/>
    <w:semiHidden/>
    <w:unhideWhenUsed/>
    <w:rsid w:val="00D55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A4A"/>
    <w:rPr>
      <w:rFonts w:ascii="Tahoma" w:hAnsi="Tahoma" w:cs="Tahoma"/>
      <w:sz w:val="16"/>
      <w:szCs w:val="16"/>
    </w:rPr>
  </w:style>
  <w:style w:type="character" w:styleId="CommentReference">
    <w:name w:val="annotation reference"/>
    <w:basedOn w:val="DefaultParagraphFont"/>
    <w:uiPriority w:val="99"/>
    <w:semiHidden/>
    <w:unhideWhenUsed/>
    <w:rsid w:val="00D55A4A"/>
    <w:rPr>
      <w:sz w:val="16"/>
      <w:szCs w:val="16"/>
    </w:rPr>
  </w:style>
  <w:style w:type="paragraph" w:styleId="CommentText">
    <w:name w:val="annotation text"/>
    <w:basedOn w:val="Normal"/>
    <w:link w:val="CommentTextChar"/>
    <w:uiPriority w:val="99"/>
    <w:semiHidden/>
    <w:unhideWhenUsed/>
    <w:rsid w:val="00D55A4A"/>
    <w:pPr>
      <w:spacing w:line="240" w:lineRule="auto"/>
    </w:pPr>
    <w:rPr>
      <w:sz w:val="20"/>
      <w:szCs w:val="20"/>
    </w:rPr>
  </w:style>
  <w:style w:type="character" w:customStyle="1" w:styleId="CommentTextChar">
    <w:name w:val="Comment Text Char"/>
    <w:basedOn w:val="DefaultParagraphFont"/>
    <w:link w:val="CommentText"/>
    <w:uiPriority w:val="99"/>
    <w:semiHidden/>
    <w:rsid w:val="00D55A4A"/>
    <w:rPr>
      <w:sz w:val="20"/>
      <w:szCs w:val="20"/>
    </w:rPr>
  </w:style>
  <w:style w:type="paragraph" w:styleId="CommentSubject">
    <w:name w:val="annotation subject"/>
    <w:basedOn w:val="CommentText"/>
    <w:next w:val="CommentText"/>
    <w:link w:val="CommentSubjectChar"/>
    <w:uiPriority w:val="99"/>
    <w:semiHidden/>
    <w:unhideWhenUsed/>
    <w:rsid w:val="00D55A4A"/>
    <w:rPr>
      <w:b/>
      <w:bCs/>
    </w:rPr>
  </w:style>
  <w:style w:type="character" w:customStyle="1" w:styleId="CommentSubjectChar">
    <w:name w:val="Comment Subject Char"/>
    <w:basedOn w:val="CommentTextChar"/>
    <w:link w:val="CommentSubject"/>
    <w:uiPriority w:val="99"/>
    <w:semiHidden/>
    <w:rsid w:val="00D55A4A"/>
    <w:rPr>
      <w:b/>
      <w:bCs/>
      <w:sz w:val="20"/>
      <w:szCs w:val="20"/>
    </w:rPr>
  </w:style>
  <w:style w:type="paragraph" w:customStyle="1" w:styleId="SingleTxtG">
    <w:name w:val="_ Single Txt_G"/>
    <w:basedOn w:val="Normal"/>
    <w:link w:val="SingleTxtGChar"/>
    <w:qFormat/>
    <w:rsid w:val="00701EA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701EA0"/>
    <w:rPr>
      <w:rFonts w:ascii="Times New Roman" w:eastAsia="Times New Roman" w:hAnsi="Times New Roman" w:cs="Times New Roman"/>
      <w:sz w:val="20"/>
      <w:szCs w:val="20"/>
      <w:lang w:val="en-GB"/>
    </w:rPr>
  </w:style>
  <w:style w:type="paragraph" w:customStyle="1" w:styleId="H23G">
    <w:name w:val="_ H_2/3_G"/>
    <w:basedOn w:val="Normal"/>
    <w:next w:val="Normal"/>
    <w:qFormat/>
    <w:rsid w:val="00701EA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eading1Char">
    <w:name w:val="Heading 1 Char"/>
    <w:basedOn w:val="DefaultParagraphFont"/>
    <w:link w:val="Heading1"/>
    <w:uiPriority w:val="9"/>
    <w:rsid w:val="007E26CC"/>
    <w:rPr>
      <w:rFonts w:asciiTheme="majorHAnsi" w:eastAsiaTheme="majorEastAsia" w:hAnsiTheme="majorHAnsi" w:cstheme="majorBidi"/>
      <w:color w:val="365F91" w:themeColor="accent1" w:themeShade="BF"/>
      <w:sz w:val="32"/>
      <w:szCs w:val="32"/>
      <w:lang w:bidi="he-IL"/>
    </w:rPr>
  </w:style>
  <w:style w:type="paragraph" w:styleId="BodyText">
    <w:name w:val="Body Text"/>
    <w:basedOn w:val="Normal"/>
    <w:next w:val="Normal"/>
    <w:link w:val="BodyTextChar"/>
    <w:unhideWhenUsed/>
    <w:rsid w:val="007E26CC"/>
    <w:pPr>
      <w:spacing w:after="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7E26CC"/>
    <w:rPr>
      <w:rFonts w:ascii="Times New Roman" w:eastAsia="Times New Roman" w:hAnsi="Times New Roman" w:cs="Times New Roman"/>
      <w:sz w:val="24"/>
      <w:szCs w:val="20"/>
      <w:lang w:val="en-GB"/>
    </w:rPr>
  </w:style>
  <w:style w:type="paragraph" w:styleId="FootnoteText">
    <w:name w:val="footnote text"/>
    <w:basedOn w:val="Normal"/>
    <w:link w:val="FootnoteTextChar"/>
    <w:uiPriority w:val="99"/>
    <w:unhideWhenUsed/>
    <w:rsid w:val="0060532C"/>
    <w:pPr>
      <w:spacing w:after="0" w:line="240" w:lineRule="auto"/>
    </w:pPr>
    <w:rPr>
      <w:sz w:val="20"/>
      <w:szCs w:val="20"/>
    </w:rPr>
  </w:style>
  <w:style w:type="character" w:customStyle="1" w:styleId="FootnoteTextChar">
    <w:name w:val="Footnote Text Char"/>
    <w:basedOn w:val="DefaultParagraphFont"/>
    <w:link w:val="FootnoteText"/>
    <w:uiPriority w:val="99"/>
    <w:rsid w:val="0060532C"/>
    <w:rPr>
      <w:sz w:val="20"/>
      <w:szCs w:val="20"/>
    </w:rPr>
  </w:style>
  <w:style w:type="character" w:styleId="FootnoteReference">
    <w:name w:val="footnote reference"/>
    <w:aliases w:val="4_G,Footnote number,Footnotes refss,Footnote Ref,16 Point,Superscript 6 Point,ftref,callout,Ref,de nota al pie,Appel note de bas de p.,Footnote,4_G Char Char,a Footnote Reference,FZ,Appel note de bas de page,Footnote Refernece,["/>
    <w:basedOn w:val="DefaultParagraphFont"/>
    <w:link w:val="CharChar1CharCharCharChar1CharCharCharCharCharCharCharCharCharCharCharCharCharCharCharChar"/>
    <w:uiPriority w:val="99"/>
    <w:unhideWhenUsed/>
    <w:qFormat/>
    <w:rsid w:val="0060532C"/>
    <w:rPr>
      <w:vertAlign w:val="superscript"/>
    </w:rPr>
  </w:style>
  <w:style w:type="character" w:styleId="FollowedHyperlink">
    <w:name w:val="FollowedHyperlink"/>
    <w:basedOn w:val="DefaultParagraphFont"/>
    <w:uiPriority w:val="99"/>
    <w:semiHidden/>
    <w:unhideWhenUsed/>
    <w:rsid w:val="00C171E5"/>
    <w:rPr>
      <w:color w:val="800080" w:themeColor="followedHyperlink"/>
      <w:u w:val="single"/>
    </w:rPr>
  </w:style>
  <w:style w:type="character" w:customStyle="1" w:styleId="Heading2Char">
    <w:name w:val="Heading 2 Char"/>
    <w:basedOn w:val="DefaultParagraphFont"/>
    <w:link w:val="Heading2"/>
    <w:uiPriority w:val="9"/>
    <w:rsid w:val="00850C1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607EE"/>
    <w:rPr>
      <w:rFonts w:asciiTheme="majorHAnsi" w:eastAsiaTheme="majorEastAsia" w:hAnsiTheme="majorHAnsi" w:cstheme="majorBidi"/>
      <w:b/>
      <w:bCs/>
      <w:color w:val="4F81BD" w:themeColor="accent1"/>
    </w:rPr>
  </w:style>
  <w:style w:type="character" w:customStyle="1" w:styleId="st">
    <w:name w:val="st"/>
    <w:basedOn w:val="DefaultParagraphFont"/>
    <w:rsid w:val="00170DA0"/>
  </w:style>
  <w:style w:type="character" w:styleId="Emphasis">
    <w:name w:val="Emphasis"/>
    <w:basedOn w:val="DefaultParagraphFont"/>
    <w:uiPriority w:val="20"/>
    <w:qFormat/>
    <w:rsid w:val="00170DA0"/>
    <w:rPr>
      <w:i/>
      <w:iCs/>
    </w:rPr>
  </w:style>
  <w:style w:type="paragraph" w:styleId="EndnoteText">
    <w:name w:val="endnote text"/>
    <w:basedOn w:val="Normal"/>
    <w:link w:val="EndnoteTextChar"/>
    <w:uiPriority w:val="99"/>
    <w:semiHidden/>
    <w:rsid w:val="00CC007A"/>
    <w:pPr>
      <w:widowControl w:val="0"/>
      <w:tabs>
        <w:tab w:val="left" w:pos="-720"/>
      </w:tabs>
      <w:suppressAutoHyphens/>
      <w:spacing w:after="0" w:line="240" w:lineRule="atLeast"/>
    </w:pPr>
    <w:rPr>
      <w:rFonts w:ascii="Courier New" w:eastAsia="Times New Roman" w:hAnsi="Courier New" w:cs="Times New Roman"/>
      <w:sz w:val="24"/>
      <w:szCs w:val="20"/>
    </w:rPr>
  </w:style>
  <w:style w:type="character" w:customStyle="1" w:styleId="EndnoteTextChar">
    <w:name w:val="Endnote Text Char"/>
    <w:basedOn w:val="DefaultParagraphFont"/>
    <w:link w:val="EndnoteText"/>
    <w:uiPriority w:val="99"/>
    <w:semiHidden/>
    <w:rsid w:val="00CC007A"/>
    <w:rPr>
      <w:rFonts w:ascii="Courier New" w:eastAsia="Times New Roman" w:hAnsi="Courier New" w:cs="Times New Roman"/>
      <w:sz w:val="24"/>
      <w:szCs w:val="20"/>
    </w:rPr>
  </w:style>
  <w:style w:type="paragraph" w:styleId="Header">
    <w:name w:val="header"/>
    <w:basedOn w:val="Normal"/>
    <w:link w:val="HeaderChar"/>
    <w:uiPriority w:val="99"/>
    <w:semiHidden/>
    <w:unhideWhenUsed/>
    <w:rsid w:val="0025030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50308"/>
  </w:style>
  <w:style w:type="paragraph" w:styleId="Footer">
    <w:name w:val="footer"/>
    <w:basedOn w:val="Normal"/>
    <w:link w:val="FooterChar"/>
    <w:uiPriority w:val="99"/>
    <w:unhideWhenUsed/>
    <w:rsid w:val="002503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50308"/>
  </w:style>
  <w:style w:type="character" w:customStyle="1" w:styleId="Heading9Char">
    <w:name w:val="Heading 9 Char"/>
    <w:basedOn w:val="DefaultParagraphFont"/>
    <w:link w:val="Heading9"/>
    <w:uiPriority w:val="9"/>
    <w:rsid w:val="004E4C13"/>
    <w:rPr>
      <w:rFonts w:asciiTheme="majorHAnsi" w:eastAsiaTheme="majorEastAsia" w:hAnsiTheme="majorHAnsi" w:cstheme="majorBidi"/>
      <w:i/>
      <w:iCs/>
      <w:color w:val="404040" w:themeColor="text1" w:themeTint="BF"/>
      <w:sz w:val="20"/>
      <w:szCs w:val="20"/>
    </w:rPr>
  </w:style>
  <w:style w:type="paragraph" w:customStyle="1" w:styleId="subtitle">
    <w:name w:val="subtitle"/>
    <w:basedOn w:val="Normal"/>
    <w:rsid w:val="00284BEF"/>
    <w:pPr>
      <w:spacing w:before="100" w:beforeAutospacing="1" w:after="100" w:afterAutospacing="1" w:line="240" w:lineRule="auto"/>
    </w:pPr>
    <w:rPr>
      <w:rFonts w:ascii="Times New Roman" w:eastAsia="Times New Roman" w:hAnsi="Times New Roman" w:cs="Times New Roman"/>
      <w:sz w:val="24"/>
      <w:szCs w:val="24"/>
    </w:rPr>
  </w:style>
  <w:style w:type="character" w:styleId="EndnoteReference">
    <w:name w:val="endnote reference"/>
    <w:basedOn w:val="DefaultParagraphFont"/>
    <w:uiPriority w:val="99"/>
    <w:semiHidden/>
    <w:unhideWhenUsed/>
    <w:rsid w:val="007C7DCB"/>
    <w:rPr>
      <w:vertAlign w:val="superscript"/>
    </w:rPr>
  </w:style>
  <w:style w:type="character" w:customStyle="1" w:styleId="tlid-translation">
    <w:name w:val="tlid-translation"/>
    <w:basedOn w:val="DefaultParagraphFont"/>
    <w:rsid w:val="00E37857"/>
  </w:style>
  <w:style w:type="table" w:styleId="TableGrid">
    <w:name w:val="Table Grid"/>
    <w:basedOn w:val="TableNormal"/>
    <w:uiPriority w:val="59"/>
    <w:unhideWhenUsed/>
    <w:rsid w:val="007860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Shading1">
    <w:name w:val="Medium Shading 1"/>
    <w:basedOn w:val="TableNormal"/>
    <w:uiPriority w:val="63"/>
    <w:rsid w:val="00786080"/>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C91268"/>
    <w:pPr>
      <w:spacing w:line="240" w:lineRule="exact"/>
    </w:pPr>
    <w:rPr>
      <w:vertAlign w:val="superscript"/>
    </w:rPr>
  </w:style>
  <w:style w:type="paragraph" w:customStyle="1" w:styleId="Numberedpara">
    <w:name w:val="Numbered para."/>
    <w:basedOn w:val="ListParagraph"/>
    <w:qFormat/>
    <w:rsid w:val="00C91268"/>
    <w:pPr>
      <w:numPr>
        <w:numId w:val="7"/>
      </w:numPr>
      <w:spacing w:before="200"/>
      <w:contextualSpacing w:val="0"/>
      <w:jc w:val="both"/>
    </w:pPr>
    <w:rPr>
      <w:rFonts w:ascii="Times New Roman" w:eastAsiaTheme="minorHAnsi" w:hAnsi="Times New Roman" w:cs="Times New Roman"/>
      <w:color w:val="000000"/>
      <w:sz w:val="24"/>
      <w:szCs w:val="24"/>
      <w:lang w:val="en-GB"/>
    </w:rPr>
  </w:style>
  <w:style w:type="character" w:customStyle="1" w:styleId="date">
    <w:name w:val="date"/>
    <w:basedOn w:val="DefaultParagraphFont"/>
    <w:rsid w:val="00C91268"/>
  </w:style>
  <w:style w:type="paragraph" w:styleId="ListParagraph">
    <w:name w:val="List Paragraph"/>
    <w:basedOn w:val="Normal"/>
    <w:uiPriority w:val="34"/>
    <w:qFormat/>
    <w:rsid w:val="00C91268"/>
    <w:pPr>
      <w:ind w:left="720"/>
      <w:contextualSpacing/>
    </w:pPr>
  </w:style>
  <w:style w:type="paragraph" w:styleId="NormalWeb">
    <w:name w:val="Normal (Web)"/>
    <w:basedOn w:val="Normal"/>
    <w:uiPriority w:val="99"/>
    <w:semiHidden/>
    <w:unhideWhenUsed/>
    <w:rsid w:val="0098151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E26CC"/>
    <w:pPr>
      <w:keepNext/>
      <w:keepLines/>
      <w:spacing w:before="240" w:after="0" w:line="360" w:lineRule="auto"/>
      <w:outlineLvl w:val="0"/>
    </w:pPr>
    <w:rPr>
      <w:rFonts w:asciiTheme="majorHAnsi" w:eastAsiaTheme="majorEastAsia" w:hAnsiTheme="majorHAnsi" w:cstheme="majorBidi"/>
      <w:color w:val="365F91" w:themeColor="accent1" w:themeShade="BF"/>
      <w:sz w:val="32"/>
      <w:szCs w:val="32"/>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3D1B"/>
    <w:rPr>
      <w:color w:val="0000FF" w:themeColor="hyperlink"/>
      <w:u w:val="single"/>
    </w:rPr>
  </w:style>
  <w:style w:type="character" w:customStyle="1" w:styleId="UnresolvedMention">
    <w:name w:val="Unresolved Mention"/>
    <w:basedOn w:val="DefaultParagraphFont"/>
    <w:uiPriority w:val="99"/>
    <w:semiHidden/>
    <w:unhideWhenUsed/>
    <w:rsid w:val="00A93D1B"/>
    <w:rPr>
      <w:color w:val="605E5C"/>
      <w:shd w:val="clear" w:color="auto" w:fill="E1DFDD"/>
    </w:rPr>
  </w:style>
  <w:style w:type="paragraph" w:styleId="BalloonText">
    <w:name w:val="Balloon Text"/>
    <w:basedOn w:val="Normal"/>
    <w:link w:val="BalloonTextChar"/>
    <w:uiPriority w:val="99"/>
    <w:semiHidden/>
    <w:unhideWhenUsed/>
    <w:rsid w:val="00D55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5A4A"/>
    <w:rPr>
      <w:rFonts w:ascii="Tahoma" w:hAnsi="Tahoma" w:cs="Tahoma"/>
      <w:sz w:val="16"/>
      <w:szCs w:val="16"/>
    </w:rPr>
  </w:style>
  <w:style w:type="character" w:styleId="CommentReference">
    <w:name w:val="annotation reference"/>
    <w:basedOn w:val="DefaultParagraphFont"/>
    <w:uiPriority w:val="99"/>
    <w:semiHidden/>
    <w:unhideWhenUsed/>
    <w:rsid w:val="00D55A4A"/>
    <w:rPr>
      <w:sz w:val="16"/>
      <w:szCs w:val="16"/>
    </w:rPr>
  </w:style>
  <w:style w:type="paragraph" w:styleId="CommentText">
    <w:name w:val="annotation text"/>
    <w:basedOn w:val="Normal"/>
    <w:link w:val="CommentTextChar"/>
    <w:uiPriority w:val="99"/>
    <w:semiHidden/>
    <w:unhideWhenUsed/>
    <w:rsid w:val="00D55A4A"/>
    <w:pPr>
      <w:spacing w:line="240" w:lineRule="auto"/>
    </w:pPr>
    <w:rPr>
      <w:sz w:val="20"/>
      <w:szCs w:val="20"/>
    </w:rPr>
  </w:style>
  <w:style w:type="character" w:customStyle="1" w:styleId="CommentTextChar">
    <w:name w:val="Comment Text Char"/>
    <w:basedOn w:val="DefaultParagraphFont"/>
    <w:link w:val="CommentText"/>
    <w:uiPriority w:val="99"/>
    <w:semiHidden/>
    <w:rsid w:val="00D55A4A"/>
    <w:rPr>
      <w:sz w:val="20"/>
      <w:szCs w:val="20"/>
    </w:rPr>
  </w:style>
  <w:style w:type="paragraph" w:styleId="CommentSubject">
    <w:name w:val="annotation subject"/>
    <w:basedOn w:val="CommentText"/>
    <w:next w:val="CommentText"/>
    <w:link w:val="CommentSubjectChar"/>
    <w:uiPriority w:val="99"/>
    <w:semiHidden/>
    <w:unhideWhenUsed/>
    <w:rsid w:val="00D55A4A"/>
    <w:rPr>
      <w:b/>
      <w:bCs/>
    </w:rPr>
  </w:style>
  <w:style w:type="character" w:customStyle="1" w:styleId="CommentSubjectChar">
    <w:name w:val="Comment Subject Char"/>
    <w:basedOn w:val="CommentTextChar"/>
    <w:link w:val="CommentSubject"/>
    <w:uiPriority w:val="99"/>
    <w:semiHidden/>
    <w:rsid w:val="00D55A4A"/>
    <w:rPr>
      <w:b/>
      <w:bCs/>
      <w:sz w:val="20"/>
      <w:szCs w:val="20"/>
    </w:rPr>
  </w:style>
  <w:style w:type="paragraph" w:customStyle="1" w:styleId="SingleTxtG">
    <w:name w:val="_ Single Txt_G"/>
    <w:basedOn w:val="Normal"/>
    <w:link w:val="SingleTxtGChar"/>
    <w:qFormat/>
    <w:rsid w:val="00701EA0"/>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701EA0"/>
    <w:rPr>
      <w:rFonts w:ascii="Times New Roman" w:eastAsia="Times New Roman" w:hAnsi="Times New Roman" w:cs="Times New Roman"/>
      <w:sz w:val="20"/>
      <w:szCs w:val="20"/>
      <w:lang w:val="en-GB"/>
    </w:rPr>
  </w:style>
  <w:style w:type="paragraph" w:customStyle="1" w:styleId="H23G">
    <w:name w:val="_ H_2/3_G"/>
    <w:basedOn w:val="Normal"/>
    <w:next w:val="Normal"/>
    <w:qFormat/>
    <w:rsid w:val="00701EA0"/>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character" w:customStyle="1" w:styleId="Heading1Char">
    <w:name w:val="Heading 1 Char"/>
    <w:basedOn w:val="DefaultParagraphFont"/>
    <w:link w:val="Heading1"/>
    <w:uiPriority w:val="9"/>
    <w:rsid w:val="007E26CC"/>
    <w:rPr>
      <w:rFonts w:asciiTheme="majorHAnsi" w:eastAsiaTheme="majorEastAsia" w:hAnsiTheme="majorHAnsi" w:cstheme="majorBidi"/>
      <w:color w:val="365F91" w:themeColor="accent1" w:themeShade="BF"/>
      <w:sz w:val="32"/>
      <w:szCs w:val="32"/>
      <w:lang w:bidi="he-IL"/>
    </w:rPr>
  </w:style>
  <w:style w:type="paragraph" w:styleId="BodyText">
    <w:name w:val="Body Text"/>
    <w:basedOn w:val="Normal"/>
    <w:next w:val="Normal"/>
    <w:link w:val="BodyTextChar"/>
    <w:unhideWhenUsed/>
    <w:rsid w:val="007E26CC"/>
    <w:pPr>
      <w:spacing w:after="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7E26CC"/>
    <w:rPr>
      <w:rFonts w:ascii="Times New Roman" w:eastAsia="Times New Roman" w:hAnsi="Times New Roman" w:cs="Times New Roman"/>
      <w:sz w:val="24"/>
      <w:szCs w:val="20"/>
      <w:lang w:val="en-GB"/>
    </w:rPr>
  </w:style>
  <w:style w:type="paragraph" w:styleId="FootnoteText">
    <w:name w:val="footnote text"/>
    <w:basedOn w:val="Normal"/>
    <w:link w:val="FootnoteTextChar"/>
    <w:uiPriority w:val="99"/>
    <w:unhideWhenUsed/>
    <w:rsid w:val="0060532C"/>
    <w:pPr>
      <w:spacing w:after="0" w:line="240" w:lineRule="auto"/>
    </w:pPr>
    <w:rPr>
      <w:sz w:val="20"/>
      <w:szCs w:val="20"/>
    </w:rPr>
  </w:style>
  <w:style w:type="character" w:customStyle="1" w:styleId="FootnoteTextChar">
    <w:name w:val="Footnote Text Char"/>
    <w:basedOn w:val="DefaultParagraphFont"/>
    <w:link w:val="FootnoteText"/>
    <w:uiPriority w:val="99"/>
    <w:rsid w:val="0060532C"/>
    <w:rPr>
      <w:sz w:val="20"/>
      <w:szCs w:val="20"/>
    </w:rPr>
  </w:style>
  <w:style w:type="character" w:styleId="FootnoteReference">
    <w:name w:val="footnote reference"/>
    <w:basedOn w:val="DefaultParagraphFont"/>
    <w:uiPriority w:val="99"/>
    <w:semiHidden/>
    <w:unhideWhenUsed/>
    <w:rsid w:val="0060532C"/>
    <w:rPr>
      <w:vertAlign w:val="superscript"/>
    </w:rPr>
  </w:style>
  <w:style w:type="character" w:styleId="FollowedHyperlink">
    <w:name w:val="FollowedHyperlink"/>
    <w:basedOn w:val="DefaultParagraphFont"/>
    <w:uiPriority w:val="99"/>
    <w:semiHidden/>
    <w:unhideWhenUsed/>
    <w:rsid w:val="00C171E5"/>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1810078">
      <w:bodyDiv w:val="1"/>
      <w:marLeft w:val="0"/>
      <w:marRight w:val="0"/>
      <w:marTop w:val="0"/>
      <w:marBottom w:val="0"/>
      <w:divBdr>
        <w:top w:val="none" w:sz="0" w:space="0" w:color="auto"/>
        <w:left w:val="none" w:sz="0" w:space="0" w:color="auto"/>
        <w:bottom w:val="none" w:sz="0" w:space="0" w:color="auto"/>
        <w:right w:val="none" w:sz="0" w:space="0" w:color="auto"/>
      </w:divBdr>
    </w:div>
    <w:div w:id="14967419">
      <w:bodyDiv w:val="1"/>
      <w:marLeft w:val="0"/>
      <w:marRight w:val="0"/>
      <w:marTop w:val="0"/>
      <w:marBottom w:val="0"/>
      <w:divBdr>
        <w:top w:val="none" w:sz="0" w:space="0" w:color="auto"/>
        <w:left w:val="none" w:sz="0" w:space="0" w:color="auto"/>
        <w:bottom w:val="none" w:sz="0" w:space="0" w:color="auto"/>
        <w:right w:val="none" w:sz="0" w:space="0" w:color="auto"/>
      </w:divBdr>
    </w:div>
    <w:div w:id="35399936">
      <w:bodyDiv w:val="1"/>
      <w:marLeft w:val="0"/>
      <w:marRight w:val="0"/>
      <w:marTop w:val="0"/>
      <w:marBottom w:val="0"/>
      <w:divBdr>
        <w:top w:val="none" w:sz="0" w:space="0" w:color="auto"/>
        <w:left w:val="none" w:sz="0" w:space="0" w:color="auto"/>
        <w:bottom w:val="none" w:sz="0" w:space="0" w:color="auto"/>
        <w:right w:val="none" w:sz="0" w:space="0" w:color="auto"/>
      </w:divBdr>
      <w:divsChild>
        <w:div w:id="1909414862">
          <w:marLeft w:val="0"/>
          <w:marRight w:val="0"/>
          <w:marTop w:val="0"/>
          <w:marBottom w:val="0"/>
          <w:divBdr>
            <w:top w:val="none" w:sz="0" w:space="0" w:color="auto"/>
            <w:left w:val="none" w:sz="0" w:space="0" w:color="auto"/>
            <w:bottom w:val="none" w:sz="0" w:space="0" w:color="auto"/>
            <w:right w:val="none" w:sz="0" w:space="0" w:color="auto"/>
          </w:divBdr>
          <w:divsChild>
            <w:div w:id="460272403">
              <w:marLeft w:val="0"/>
              <w:marRight w:val="0"/>
              <w:marTop w:val="0"/>
              <w:marBottom w:val="0"/>
              <w:divBdr>
                <w:top w:val="none" w:sz="0" w:space="0" w:color="auto"/>
                <w:left w:val="none" w:sz="0" w:space="0" w:color="auto"/>
                <w:bottom w:val="none" w:sz="0" w:space="0" w:color="auto"/>
                <w:right w:val="none" w:sz="0" w:space="0" w:color="auto"/>
              </w:divBdr>
              <w:divsChild>
                <w:div w:id="181575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35960">
      <w:bodyDiv w:val="1"/>
      <w:marLeft w:val="0"/>
      <w:marRight w:val="0"/>
      <w:marTop w:val="0"/>
      <w:marBottom w:val="0"/>
      <w:divBdr>
        <w:top w:val="none" w:sz="0" w:space="0" w:color="auto"/>
        <w:left w:val="none" w:sz="0" w:space="0" w:color="auto"/>
        <w:bottom w:val="none" w:sz="0" w:space="0" w:color="auto"/>
        <w:right w:val="none" w:sz="0" w:space="0" w:color="auto"/>
      </w:divBdr>
    </w:div>
    <w:div w:id="170334491">
      <w:bodyDiv w:val="1"/>
      <w:marLeft w:val="0"/>
      <w:marRight w:val="0"/>
      <w:marTop w:val="0"/>
      <w:marBottom w:val="0"/>
      <w:divBdr>
        <w:top w:val="none" w:sz="0" w:space="0" w:color="auto"/>
        <w:left w:val="none" w:sz="0" w:space="0" w:color="auto"/>
        <w:bottom w:val="none" w:sz="0" w:space="0" w:color="auto"/>
        <w:right w:val="none" w:sz="0" w:space="0" w:color="auto"/>
      </w:divBdr>
    </w:div>
    <w:div w:id="179511694">
      <w:bodyDiv w:val="1"/>
      <w:marLeft w:val="0"/>
      <w:marRight w:val="0"/>
      <w:marTop w:val="0"/>
      <w:marBottom w:val="0"/>
      <w:divBdr>
        <w:top w:val="none" w:sz="0" w:space="0" w:color="auto"/>
        <w:left w:val="none" w:sz="0" w:space="0" w:color="auto"/>
        <w:bottom w:val="none" w:sz="0" w:space="0" w:color="auto"/>
        <w:right w:val="none" w:sz="0" w:space="0" w:color="auto"/>
      </w:divBdr>
    </w:div>
    <w:div w:id="325594596">
      <w:bodyDiv w:val="1"/>
      <w:marLeft w:val="0"/>
      <w:marRight w:val="0"/>
      <w:marTop w:val="0"/>
      <w:marBottom w:val="0"/>
      <w:divBdr>
        <w:top w:val="none" w:sz="0" w:space="0" w:color="auto"/>
        <w:left w:val="none" w:sz="0" w:space="0" w:color="auto"/>
        <w:bottom w:val="none" w:sz="0" w:space="0" w:color="auto"/>
        <w:right w:val="none" w:sz="0" w:space="0" w:color="auto"/>
      </w:divBdr>
    </w:div>
    <w:div w:id="697505462">
      <w:bodyDiv w:val="1"/>
      <w:marLeft w:val="0"/>
      <w:marRight w:val="0"/>
      <w:marTop w:val="0"/>
      <w:marBottom w:val="0"/>
      <w:divBdr>
        <w:top w:val="none" w:sz="0" w:space="0" w:color="auto"/>
        <w:left w:val="none" w:sz="0" w:space="0" w:color="auto"/>
        <w:bottom w:val="none" w:sz="0" w:space="0" w:color="auto"/>
        <w:right w:val="none" w:sz="0" w:space="0" w:color="auto"/>
      </w:divBdr>
    </w:div>
    <w:div w:id="836114634">
      <w:bodyDiv w:val="1"/>
      <w:marLeft w:val="0"/>
      <w:marRight w:val="0"/>
      <w:marTop w:val="0"/>
      <w:marBottom w:val="0"/>
      <w:divBdr>
        <w:top w:val="none" w:sz="0" w:space="0" w:color="auto"/>
        <w:left w:val="none" w:sz="0" w:space="0" w:color="auto"/>
        <w:bottom w:val="none" w:sz="0" w:space="0" w:color="auto"/>
        <w:right w:val="none" w:sz="0" w:space="0" w:color="auto"/>
      </w:divBdr>
    </w:div>
    <w:div w:id="1109013545">
      <w:bodyDiv w:val="1"/>
      <w:marLeft w:val="0"/>
      <w:marRight w:val="0"/>
      <w:marTop w:val="0"/>
      <w:marBottom w:val="0"/>
      <w:divBdr>
        <w:top w:val="none" w:sz="0" w:space="0" w:color="auto"/>
        <w:left w:val="none" w:sz="0" w:space="0" w:color="auto"/>
        <w:bottom w:val="none" w:sz="0" w:space="0" w:color="auto"/>
        <w:right w:val="none" w:sz="0" w:space="0" w:color="auto"/>
      </w:divBdr>
    </w:div>
    <w:div w:id="1256011130">
      <w:bodyDiv w:val="1"/>
      <w:marLeft w:val="0"/>
      <w:marRight w:val="0"/>
      <w:marTop w:val="0"/>
      <w:marBottom w:val="0"/>
      <w:divBdr>
        <w:top w:val="none" w:sz="0" w:space="0" w:color="auto"/>
        <w:left w:val="none" w:sz="0" w:space="0" w:color="auto"/>
        <w:bottom w:val="none" w:sz="0" w:space="0" w:color="auto"/>
        <w:right w:val="none" w:sz="0" w:space="0" w:color="auto"/>
      </w:divBdr>
    </w:div>
    <w:div w:id="1340690859">
      <w:bodyDiv w:val="1"/>
      <w:marLeft w:val="0"/>
      <w:marRight w:val="0"/>
      <w:marTop w:val="0"/>
      <w:marBottom w:val="0"/>
      <w:divBdr>
        <w:top w:val="none" w:sz="0" w:space="0" w:color="auto"/>
        <w:left w:val="none" w:sz="0" w:space="0" w:color="auto"/>
        <w:bottom w:val="none" w:sz="0" w:space="0" w:color="auto"/>
        <w:right w:val="none" w:sz="0" w:space="0" w:color="auto"/>
      </w:divBdr>
    </w:div>
    <w:div w:id="1416705229">
      <w:bodyDiv w:val="1"/>
      <w:marLeft w:val="0"/>
      <w:marRight w:val="0"/>
      <w:marTop w:val="0"/>
      <w:marBottom w:val="0"/>
      <w:divBdr>
        <w:top w:val="none" w:sz="0" w:space="0" w:color="auto"/>
        <w:left w:val="none" w:sz="0" w:space="0" w:color="auto"/>
        <w:bottom w:val="none" w:sz="0" w:space="0" w:color="auto"/>
        <w:right w:val="none" w:sz="0" w:space="0" w:color="auto"/>
      </w:divBdr>
    </w:div>
    <w:div w:id="1423645103">
      <w:bodyDiv w:val="1"/>
      <w:marLeft w:val="0"/>
      <w:marRight w:val="0"/>
      <w:marTop w:val="0"/>
      <w:marBottom w:val="0"/>
      <w:divBdr>
        <w:top w:val="none" w:sz="0" w:space="0" w:color="auto"/>
        <w:left w:val="none" w:sz="0" w:space="0" w:color="auto"/>
        <w:bottom w:val="none" w:sz="0" w:space="0" w:color="auto"/>
        <w:right w:val="none" w:sz="0" w:space="0" w:color="auto"/>
      </w:divBdr>
    </w:div>
    <w:div w:id="1491751299">
      <w:bodyDiv w:val="1"/>
      <w:marLeft w:val="0"/>
      <w:marRight w:val="0"/>
      <w:marTop w:val="0"/>
      <w:marBottom w:val="0"/>
      <w:divBdr>
        <w:top w:val="none" w:sz="0" w:space="0" w:color="auto"/>
        <w:left w:val="none" w:sz="0" w:space="0" w:color="auto"/>
        <w:bottom w:val="none" w:sz="0" w:space="0" w:color="auto"/>
        <w:right w:val="none" w:sz="0" w:space="0" w:color="auto"/>
      </w:divBdr>
    </w:div>
    <w:div w:id="1504129892">
      <w:bodyDiv w:val="1"/>
      <w:marLeft w:val="0"/>
      <w:marRight w:val="0"/>
      <w:marTop w:val="0"/>
      <w:marBottom w:val="0"/>
      <w:divBdr>
        <w:top w:val="none" w:sz="0" w:space="0" w:color="auto"/>
        <w:left w:val="none" w:sz="0" w:space="0" w:color="auto"/>
        <w:bottom w:val="none" w:sz="0" w:space="0" w:color="auto"/>
        <w:right w:val="none" w:sz="0" w:space="0" w:color="auto"/>
      </w:divBdr>
    </w:div>
    <w:div w:id="1791195807">
      <w:bodyDiv w:val="1"/>
      <w:marLeft w:val="0"/>
      <w:marRight w:val="0"/>
      <w:marTop w:val="0"/>
      <w:marBottom w:val="0"/>
      <w:divBdr>
        <w:top w:val="none" w:sz="0" w:space="0" w:color="auto"/>
        <w:left w:val="none" w:sz="0" w:space="0" w:color="auto"/>
        <w:bottom w:val="none" w:sz="0" w:space="0" w:color="auto"/>
        <w:right w:val="none" w:sz="0" w:space="0" w:color="auto"/>
      </w:divBdr>
    </w:div>
    <w:div w:id="2102022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26"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aaretz.com/israel-news/.premium-jerusalem-rejects-procedure-allowing-palestinian-construction-in-east-jerusalem-1.6982181" TargetMode="External"/><Relationship Id="rId24"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yperlink" Target="https://972mag.com/what-it-means-that-east-jerusalems-palestinians-are-not-citizens/131079/" TargetMode="External"/><Relationship Id="rId4" Type="http://schemas.openxmlformats.org/officeDocument/2006/relationships/settings" Target="settings.xml"/><Relationship Id="rId9" Type="http://schemas.openxmlformats.org/officeDocument/2006/relationships/hyperlink" Target="https://www.ochaopt.org/content/un-officials-statement-demolitions-sur-bahir" TargetMode="External"/><Relationship Id="rId14" Type="http://schemas.openxmlformats.org/officeDocument/2006/relationships/theme" Target="theme/theme1.xml"/><Relationship Id="rId27" Type="http://schemas.openxmlformats.org/officeDocument/2006/relationships/customXml" Target="../customXml/item4.xml"/></Relationships>
</file>

<file path=word/_rels/endnotes.xml.rels><?xml version="1.0" encoding="UTF-8" standalone="yes"?>
<Relationships xmlns="http://schemas.openxmlformats.org/package/2006/relationships"><Relationship Id="rId13" Type="http://schemas.openxmlformats.org/officeDocument/2006/relationships/hyperlink" Target="https://www.un.org/ecosoc/sites/www.un.org.ecosoc/files/files/en/qcpr/undg-key-msgs-functions-and-funding.pdf" TargetMode="External"/><Relationship Id="rId18" Type="http://schemas.openxmlformats.org/officeDocument/2006/relationships/hyperlink" Target="http://www.fao.org/3/a-bc852e.pdf" TargetMode="External"/><Relationship Id="rId26" Type="http://schemas.openxmlformats.org/officeDocument/2006/relationships/hyperlink" Target="http://www1.wfp.org/countries/state-palestine" TargetMode="External"/><Relationship Id="rId39" Type="http://schemas.openxmlformats.org/officeDocument/2006/relationships/hyperlink" Target="https://tbinternet.ohchr.org/_layouts/15/treatybodyexternal/Download.aspx?symbolno=INT%2fCESCR%2fADR%2fISR%2f32059&amp;Lang=en" TargetMode="External"/><Relationship Id="rId21" Type="http://schemas.openxmlformats.org/officeDocument/2006/relationships/hyperlink" Target="https://tbinternet.ohchr.org/_layouts/15/treatybodyexternal/Download.aspx?symbolno=E%2fC.12%2fISR%2f4&amp;Lang=en" TargetMode="External"/><Relationship Id="rId34" Type="http://schemas.openxmlformats.org/officeDocument/2006/relationships/hyperlink" Target="http://hdr.undp.org/sites/default/files/reports/267/hdr06-complete.pdf" TargetMode="External"/><Relationship Id="rId42" Type="http://schemas.openxmlformats.org/officeDocument/2006/relationships/hyperlink" Target="https://www.icc-cpi.int/resource-library/Documents/RS-Eng.pdf" TargetMode="External"/><Relationship Id="rId47" Type="http://schemas.openxmlformats.org/officeDocument/2006/relationships/hyperlink" Target="https://unispal.un.org/UNISPAL.NSF/b86613e7d92097880525672e007227a7/441329a958089eaa852560c4004ee74d?OpenDocument" TargetMode="External"/><Relationship Id="rId50" Type="http://schemas.openxmlformats.org/officeDocument/2006/relationships/hyperlink" Target="https://www.haaretz.com/israel-news/.premium-overstepping-authority-state-body-advances-illegal-settlement-construction-1.5446620" TargetMode="External"/><Relationship Id="rId55" Type="http://schemas.openxmlformats.org/officeDocument/2006/relationships/hyperlink" Target="https://www.cambridge.org/core/journals/international-journal-of-middle-east-studies/issue/5DCA4FBFCAB1381E76070BD0DA22D947" TargetMode="External"/><Relationship Id="rId63" Type="http://schemas.openxmlformats.org/officeDocument/2006/relationships/hyperlink" Target="https://peacenow.org.il/en/preliminary-approval-settlement-division-bill" TargetMode="External"/><Relationship Id="rId68" Type="http://schemas.openxmlformats.org/officeDocument/2006/relationships/hyperlink" Target="http://hlrn.org/news.php?id=p21oZA==" TargetMode="External"/><Relationship Id="rId7" Type="http://schemas.openxmlformats.org/officeDocument/2006/relationships/hyperlink" Target="https://www.thenational.ae/world/mena/sharp-increase-in-demolitions-of-palestinian-homes-in-east-jerusalem-1.861060" TargetMode="External"/><Relationship Id="rId71" Type="http://schemas.openxmlformats.org/officeDocument/2006/relationships/hyperlink" Target="http://habitat3.org/wp-content/uploads/NUA-English.pdf" TargetMode="External"/><Relationship Id="rId2" Type="http://schemas.openxmlformats.org/officeDocument/2006/relationships/hyperlink" Target="https://tbinternet.ohchr.org/_layouts/15/treatybodyexternal/Download.aspx?symbolno=E%2fC.12%2fISR%2fQ%2f4%2fAdd.1&amp;Lang=en" TargetMode="External"/><Relationship Id="rId16" Type="http://schemas.openxmlformats.org/officeDocument/2006/relationships/hyperlink" Target="https://sustainabledevelopment.un.org/post2015/transformingourworld" TargetMode="External"/><Relationship Id="rId29" Type="http://schemas.openxmlformats.org/officeDocument/2006/relationships/hyperlink" Target="https://mondoweiss.net/2017/05/gaza-horror-siege/" TargetMode="External"/><Relationship Id="rId11" Type="http://schemas.openxmlformats.org/officeDocument/2006/relationships/hyperlink" Target="https://undocs.org/A/72/124" TargetMode="External"/><Relationship Id="rId24" Type="http://schemas.openxmlformats.org/officeDocument/2006/relationships/hyperlink" Target="https://undocs.org/A/HRC/34/38" TargetMode="External"/><Relationship Id="rId32" Type="http://schemas.openxmlformats.org/officeDocument/2006/relationships/hyperlink" Target="https://www.haaretz.com/.premium-israel-s-gaza-quota-2-279-calories-a-day-1.5193157" TargetMode="External"/><Relationship Id="rId37" Type="http://schemas.openxmlformats.org/officeDocument/2006/relationships/hyperlink" Target="https://tbinternet.ohchr.org/_layouts/15/treatybodyexternal/Download.aspx?symbolno=INT%2fCESCR%2fICO%2fISR%2f33532&amp;Lang=en" TargetMode="External"/><Relationship Id="rId40" Type="http://schemas.openxmlformats.org/officeDocument/2006/relationships/hyperlink" Target="https://tbinternet.ohchr.org/_layouts/15/treatybodyexternal/Download.aspx?symbolno=E%2fC.12%2fISR%2fQ%2f4&amp;Lang=en" TargetMode="External"/><Relationship Id="rId45" Type="http://schemas.openxmlformats.org/officeDocument/2006/relationships/hyperlink" Target="https://unispal.un.org/UNISPAL.NSF/b86613e7d92097880525672e007227a7/35941b603b4459b8852560c50061dc5e?OpenDocument" TargetMode="External"/><Relationship Id="rId53" Type="http://schemas.openxmlformats.org/officeDocument/2006/relationships/hyperlink" Target="https://www.wzo.org.il/congress/index.php?dir=site&amp;page=content&amp;cs=3026&amp;langpage=eng" TargetMode="External"/><Relationship Id="rId58" Type="http://schemas.openxmlformats.org/officeDocument/2006/relationships/hyperlink" Target="https://english.palinfo.com/news/2017/1/10/Israeli-authorities-demolish-9-houses-in-Qalansuwa" TargetMode="External"/><Relationship Id="rId66" Type="http://schemas.openxmlformats.org/officeDocument/2006/relationships/hyperlink" Target="https://www.ynet.co.il/articles/0,7340,L-4743812,00.html" TargetMode="External"/><Relationship Id="rId74" Type="http://schemas.openxmlformats.org/officeDocument/2006/relationships/hyperlink" Target="https://tbinternet.ohchr.org/_layouts/15/treatybodyexternal/Download.aspx?symbolno=E%2fC.12%2fGC%2f24&amp;Lang=en" TargetMode="External"/><Relationship Id="rId5" Type="http://schemas.openxmlformats.org/officeDocument/2006/relationships/hyperlink" Target="https://www.ohchr.org/EN/ProfessionalInterest/Pages/RemedyAndReparation.aspx" TargetMode="External"/><Relationship Id="rId15" Type="http://schemas.openxmlformats.org/officeDocument/2006/relationships/hyperlink" Target="https://undocs.org/A/71/63" TargetMode="External"/><Relationship Id="rId23" Type="http://schemas.openxmlformats.org/officeDocument/2006/relationships/hyperlink" Target="https://tbinternet.ohchr.org/_layouts/15/treatybodyexternal/Download.aspx?symbolno=INT%2fCESCR%2fARL%2fISR%2f35805&amp;Lang=en" TargetMode="External"/><Relationship Id="rId28" Type="http://schemas.openxmlformats.org/officeDocument/2006/relationships/hyperlink" Target="https://www.ipb.org/wp-content/uploads/2017/03/briefing-paper.pdf" TargetMode="External"/><Relationship Id="rId36" Type="http://schemas.openxmlformats.org/officeDocument/2006/relationships/hyperlink" Target="http://www.hlrn.org/img/documents/GC4.pdf" TargetMode="External"/><Relationship Id="rId49" Type="http://schemas.openxmlformats.org/officeDocument/2006/relationships/hyperlink" Target="https://unispal.un.org/UNISPAL.NSF/0/6DE6DA8A650B4C3B852560DF00663826;%20and%20S/RES/2334,%2023%20December%202016,%20at:%20https:/unispal.un.org/DPA/DPR/unispal.nsf/0/6E628F30062A868385258096005D36BE" TargetMode="External"/><Relationship Id="rId57" Type="http://schemas.openxmlformats.org/officeDocument/2006/relationships/hyperlink" Target="http://www.hlrn.org/img/publications/Naqab%20FFM%20report%202010.zip" TargetMode="External"/><Relationship Id="rId61" Type="http://schemas.openxmlformats.org/officeDocument/2006/relationships/hyperlink" Target="https://www.btselem.org/arabic/planning_and_building/east_jerusalem_statistics" TargetMode="External"/><Relationship Id="rId10" Type="http://schemas.openxmlformats.org/officeDocument/2006/relationships/hyperlink" Target="https://tbinternet.ohchr.org/_layouts/15/treatybodyexternal/Download.aspx?symbolno=INT%2fCESCR%2fICO%2fISR%2f33532&amp;Lang=en" TargetMode="External"/><Relationship Id="rId19" Type="http://schemas.openxmlformats.org/officeDocument/2006/relationships/hyperlink" Target="http://webtv.un.org/search/part-1-2019-high-level-political-forum-on-sustainable-development-hlpf-2019-20th-meeting/6060480078001/?term=2019-07-17&amp;lan=English&amp;sort=date&amp;page=1" TargetMode="External"/><Relationship Id="rId31" Type="http://schemas.openxmlformats.org/officeDocument/2006/relationships/hyperlink" Target="https://www.bbc.com/news/world-middle-east-19975211" TargetMode="External"/><Relationship Id="rId44" Type="http://schemas.openxmlformats.org/officeDocument/2006/relationships/hyperlink" Target="https://unispal.un.org/UNISPAL.NSF/b86613e7d92097880525672e007227a7/5932ecf53ff36a04852560c300656122?OpenDocument" TargetMode="External"/><Relationship Id="rId52" Type="http://schemas.openxmlformats.org/officeDocument/2006/relationships/hyperlink" Target="http://www.hic-mena.org/news.php?id=pGhlag==%23.XXJjpX9S_IU" TargetMode="External"/><Relationship Id="rId60" Type="http://schemas.openxmlformats.org/officeDocument/2006/relationships/hyperlink" Target="https://youtu.be/IFMZvMZWpLA" TargetMode="External"/><Relationship Id="rId65" Type="http://schemas.openxmlformats.org/officeDocument/2006/relationships/hyperlink" Target="https://www.haaretz.com/israel-news/.premium-israeli-ministers-approve-bill-that-would-legalize-66-west-bank-outposts-1.6747792" TargetMode="External"/><Relationship Id="rId73" Type="http://schemas.openxmlformats.org/officeDocument/2006/relationships/hyperlink" Target="https://www.unescwa.org/publications/publications/israeli-practices-palestinian-people-apartheid-occupation" TargetMode="External"/><Relationship Id="rId4" Type="http://schemas.openxmlformats.org/officeDocument/2006/relationships/hyperlink" Target="http://www.hlrn.org/img/documents/icj20040709.pdf" TargetMode="External"/><Relationship Id="rId9" Type="http://schemas.openxmlformats.org/officeDocument/2006/relationships/hyperlink" Target="https://www.haaretz.com/israel-news/.premium-jerusalem-rejects-procedure-allowing-palestinian-construction-in-east-jerusalem-1.6982181" TargetMode="External"/><Relationship Id="rId14" Type="http://schemas.openxmlformats.org/officeDocument/2006/relationships/hyperlink" Target="https://www.un.org/ecosoc/sites/www.un.org.ecosoc/files/files/en/qcpr/ita-findings-and-conclusions-16-jun-2016.pdf" TargetMode="External"/><Relationship Id="rId22" Type="http://schemas.openxmlformats.org/officeDocument/2006/relationships/hyperlink" Target="https://tbinternet.ohchr.org/_layouts/15/treatybodyexternal/Download.aspx?symbolno=E%2fC.12%2fISR%2fQ%2f4&amp;Lang=en" TargetMode="External"/><Relationship Id="rId27" Type="http://schemas.openxmlformats.org/officeDocument/2006/relationships/hyperlink" Target="http://www.arij.org/files/admin/2009/The%20environmental%20impact%20of%20Israeli%20military.pdf" TargetMode="External"/><Relationship Id="rId30" Type="http://schemas.openxmlformats.org/officeDocument/2006/relationships/hyperlink" Target="https://www.theguardian.com/world/2012/oct/17/israeli-military-calorie-limit-gaza" TargetMode="External"/><Relationship Id="rId35" Type="http://schemas.openxmlformats.org/officeDocument/2006/relationships/hyperlink" Target="https://unctad.org/en/PublicationsLibrary/tdb62d3_en.pdf" TargetMode="External"/><Relationship Id="rId43" Type="http://schemas.openxmlformats.org/officeDocument/2006/relationships/hyperlink" Target="https://unispal.un.org/UNISPAL.NSF/b86613e7d92097880525672e007227a7/46f2803d78a0488e852560c3006023a8?OpenDocument" TargetMode="External"/><Relationship Id="rId48" Type="http://schemas.openxmlformats.org/officeDocument/2006/relationships/hyperlink" Target="https://unispal.un.org/UNISPAL.NSF/b86613e7d92097880525672e007227a7/5aa254a1c8f8b1cb852560e50075d7d5?OpenDocument" TargetMode="External"/><Relationship Id="rId56" Type="http://schemas.openxmlformats.org/officeDocument/2006/relationships/hyperlink" Target="http://www.hlrn.org/img/publications/Naqab%20FFM%20report%202010.zip" TargetMode="External"/><Relationship Id="rId64" Type="http://schemas.openxmlformats.org/officeDocument/2006/relationships/hyperlink" Target="https://www.haaretz.com/israel-news/.premium-world-zionist-organization-settlement-division-finances-illegal-west-bank-outposts-1.6723987" TargetMode="External"/><Relationship Id="rId69" Type="http://schemas.openxmlformats.org/officeDocument/2006/relationships/hyperlink" Target="https://www.reuters.com/article/us-israel-palestinians-jerusalem-demolit/israel-demolishes-palestinian-homes-near-west-bank-barrier-idUSKCN1UH07N" TargetMode="External"/><Relationship Id="rId8" Type="http://schemas.openxmlformats.org/officeDocument/2006/relationships/hyperlink" Target="https://972mag.com/what-it-means-that-east-jerusalems-palestinians-are-not-citizens/131079/" TargetMode="External"/><Relationship Id="rId51" Type="http://schemas.openxmlformats.org/officeDocument/2006/relationships/hyperlink" Target="http://unispal.un.org/unispal.nsf/9a798adbf322aff38525617b006d88d7/956aa60f2a7bd6a185256fc0006305f4?OpenDocument&amp;Highlight=0,outposts" TargetMode="External"/><Relationship Id="rId72" Type="http://schemas.openxmlformats.org/officeDocument/2006/relationships/hyperlink" Target="https://sustainabledevelopment.un.org/index.php?page=view&amp;type=111&amp;nr=8496&amp;menu=35" TargetMode="External"/><Relationship Id="rId3" Type="http://schemas.openxmlformats.org/officeDocument/2006/relationships/hyperlink" Target="https://icahd.org/" TargetMode="External"/><Relationship Id="rId12" Type="http://schemas.openxmlformats.org/officeDocument/2006/relationships/hyperlink" Target="https://www.worldhumanitariansummit.org/sites/default/files/media/WHS%20Commitment%20to%20Action_8September2016.pdf" TargetMode="External"/><Relationship Id="rId17" Type="http://schemas.openxmlformats.org/officeDocument/2006/relationships/hyperlink" Target="https://documents-dds-ny.un.org/doc/UNDOC/GEN/N12/492/16/PDF/N1249216.pdf?OpenElement" TargetMode="External"/><Relationship Id="rId25" Type="http://schemas.openxmlformats.org/officeDocument/2006/relationships/hyperlink" Target="https://unispal.un.org/DPA/DPR/unispal.nsf/5ba47a5c6cef541b802563e000493b8c/0aed277dcbb2bcf585257b0400568621" TargetMode="External"/><Relationship Id="rId33" Type="http://schemas.openxmlformats.org/officeDocument/2006/relationships/hyperlink" Target="https://www.haaretz.com/resources/Pdf/red-lines.pdf" TargetMode="External"/><Relationship Id="rId38" Type="http://schemas.openxmlformats.org/officeDocument/2006/relationships/hyperlink" Target="https://tbinternet.ohchr.org/_layouts/15/treatybodyexternal/Download.aspx?symbolno=E%2fC.12%2fISR%2f4&amp;Lang=en" TargetMode="External"/><Relationship Id="rId46" Type="http://schemas.openxmlformats.org/officeDocument/2006/relationships/hyperlink" Target="https://unispal.un.org/UNISPAL.NSF/b86613e7d92097880525672e007227a7/35941b603b4459b8852560c50061dc5e?OpenDocument" TargetMode="External"/><Relationship Id="rId59" Type="http://schemas.openxmlformats.org/officeDocument/2006/relationships/hyperlink" Target="https://english.palinfo.com/news/2017/1/10/Israeli-authorities-demolish-9-houses-in-Qalansuwa" TargetMode="External"/><Relationship Id="rId67" Type="http://schemas.openxmlformats.org/officeDocument/2006/relationships/hyperlink" Target="https://undocs.org/E/C.12/1/Add.27" TargetMode="External"/><Relationship Id="rId20" Type="http://schemas.openxmlformats.org/officeDocument/2006/relationships/hyperlink" Target="https://www.un.org/en/development/desa/population/migration/generalassembly/docs/globalcompact/A_RES_70_1_E.pdf" TargetMode="External"/><Relationship Id="rId41" Type="http://schemas.openxmlformats.org/officeDocument/2006/relationships/hyperlink" Target="http://legal.un.org/ilc/texts/instruments/english/commentaries/7_4_1996.pdf" TargetMode="External"/><Relationship Id="rId54" Type="http://schemas.openxmlformats.org/officeDocument/2006/relationships/hyperlink" Target="https://www.cambridge.org/core/journals/international-journal-of-middle-east-studies/volume/A888E095E7FAB5AA7B284C5D20715E20" TargetMode="External"/><Relationship Id="rId62" Type="http://schemas.openxmlformats.org/officeDocument/2006/relationships/hyperlink" Target="https://core.ac.uk/download/pdf/73966303.pdf" TargetMode="External"/><Relationship Id="rId70" Type="http://schemas.openxmlformats.org/officeDocument/2006/relationships/hyperlink" Target="http://landtimes.landpedia.org/newsdes.php?id=pnFq&amp;catid=ow==&amp;edition=o3E=.%20" TargetMode="External"/><Relationship Id="rId75" Type="http://schemas.openxmlformats.org/officeDocument/2006/relationships/hyperlink" Target="https://www.hrw.org/report/2016/01/19/occupation-inc/how-settlement-businesses-contribute-israels-violations-palestinian" TargetMode="External"/><Relationship Id="rId1" Type="http://schemas.openxmlformats.org/officeDocument/2006/relationships/hyperlink" Target="https://www.ochaopt.org/content/un-officials-statement-demolitions-sur-bahir" TargetMode="External"/><Relationship Id="rId6" Type="http://schemas.openxmlformats.org/officeDocument/2006/relationships/hyperlink" Target="https://sustainabledevelopment.un.org/index.php?page=view&amp;type=30022&amp;nr=1273&amp;menu=31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3E3D9C-67A4-4370-A1AC-A6D369CFE932}">
  <ds:schemaRefs>
    <ds:schemaRef ds:uri="http://schemas.openxmlformats.org/officeDocument/2006/bibliography"/>
  </ds:schemaRefs>
</ds:datastoreItem>
</file>

<file path=customXml/itemProps2.xml><?xml version="1.0" encoding="utf-8"?>
<ds:datastoreItem xmlns:ds="http://schemas.openxmlformats.org/officeDocument/2006/customXml" ds:itemID="{12EFB6D6-471F-4882-9812-DD42B14C67D4}"/>
</file>

<file path=customXml/itemProps3.xml><?xml version="1.0" encoding="utf-8"?>
<ds:datastoreItem xmlns:ds="http://schemas.openxmlformats.org/officeDocument/2006/customXml" ds:itemID="{B1EBC199-12A5-4078-A83C-A72F9B3BFA7F}"/>
</file>

<file path=customXml/itemProps4.xml><?xml version="1.0" encoding="utf-8"?>
<ds:datastoreItem xmlns:ds="http://schemas.openxmlformats.org/officeDocument/2006/customXml" ds:itemID="{F9844C01-E5BC-4C90-A4A6-D2C81ACFB8CA}"/>
</file>

<file path=docProps/app.xml><?xml version="1.0" encoding="utf-8"?>
<Properties xmlns="http://schemas.openxmlformats.org/officeDocument/2006/extended-properties" xmlns:vt="http://schemas.openxmlformats.org/officeDocument/2006/docPropsVTypes">
  <Template>Normal</Template>
  <TotalTime>215</TotalTime>
  <Pages>13</Pages>
  <Words>4502</Words>
  <Characters>25665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30107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 Mansour</dc:creator>
  <cp:lastModifiedBy>Al-Haq Center 1</cp:lastModifiedBy>
  <cp:revision>7</cp:revision>
  <dcterms:created xsi:type="dcterms:W3CDTF">2019-09-06T17:17:00Z</dcterms:created>
  <dcterms:modified xsi:type="dcterms:W3CDTF">2019-09-06T21:16:00Z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