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B75A34" w14:textId="476CDDE7" w:rsidR="007A00AB" w:rsidRPr="009A1FED" w:rsidRDefault="007A00AB" w:rsidP="00644A7A">
      <w:pPr>
        <w:spacing w:line="200" w:lineRule="exact"/>
        <w:rPr>
          <w:rFonts w:ascii="Calibri" w:hAnsi="Calibri"/>
        </w:rPr>
      </w:pPr>
      <w:bookmarkStart w:id="0" w:name="_GoBack"/>
      <w:bookmarkEnd w:id="0"/>
    </w:p>
    <w:p w14:paraId="5D0C76F3" w14:textId="6ADEC273" w:rsidR="007A00AB" w:rsidRPr="009A1FED" w:rsidRDefault="00605573" w:rsidP="00644A7A">
      <w:pPr>
        <w:spacing w:line="200" w:lineRule="exact"/>
        <w:rPr>
          <w:rFonts w:ascii="Calibri" w:hAnsi="Calibri"/>
        </w:rPr>
      </w:pPr>
      <w:r>
        <w:rPr>
          <w:rFonts w:ascii="Calibri" w:hAnsi="Calibri"/>
          <w:noProof/>
        </w:rPr>
        <w:drawing>
          <wp:anchor distT="0" distB="0" distL="114300" distR="114300" simplePos="0" relativeHeight="251759616" behindDoc="0" locked="0" layoutInCell="1" allowOverlap="1" wp14:anchorId="46BB8E7E" wp14:editId="14CBC1DE">
            <wp:simplePos x="0" y="0"/>
            <wp:positionH relativeFrom="column">
              <wp:posOffset>3611766</wp:posOffset>
            </wp:positionH>
            <wp:positionV relativeFrom="paragraph">
              <wp:posOffset>78105</wp:posOffset>
            </wp:positionV>
            <wp:extent cx="2628265" cy="1125855"/>
            <wp:effectExtent l="0" t="0" r="0" b="0"/>
            <wp:wrapNone/>
            <wp:docPr id="6" name="Picture 6" descr="Untitled:Users:aa:Downloads:APRRNlogo-small copy H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titled:Users:aa:Downloads:APRRNlogo-small copy HR.jpg"/>
                    <pic:cNvPicPr>
                      <a:picLocks noChangeAspect="1" noChangeArrowheads="1"/>
                    </pic:cNvPicPr>
                  </pic:nvPicPr>
                  <pic:blipFill>
                    <a:blip r:embed="rId9" cstate="print">
                      <a:extLst>
                        <a:ext uri="{28A0092B-C50C-407E-A947-70E740481C1C}">
                          <a14:useLocalDpi xmlns:a14="http://schemas.microsoft.com/office/drawing/2010/main"/>
                        </a:ext>
                      </a:extLst>
                    </a:blip>
                    <a:srcRect/>
                    <a:stretch>
                      <a:fillRect/>
                    </a:stretch>
                  </pic:blipFill>
                  <pic:spPr bwMode="auto">
                    <a:xfrm>
                      <a:off x="0" y="0"/>
                      <a:ext cx="2628265" cy="11258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A1FED">
        <w:rPr>
          <w:rFonts w:ascii="Calibri" w:hAnsi="Calibri"/>
          <w:noProof/>
        </w:rPr>
        <w:drawing>
          <wp:anchor distT="0" distB="0" distL="114300" distR="114300" simplePos="0" relativeHeight="251660288" behindDoc="0" locked="0" layoutInCell="1" allowOverlap="1" wp14:anchorId="18B31ACE" wp14:editId="7ED69ADA">
            <wp:simplePos x="0" y="0"/>
            <wp:positionH relativeFrom="column">
              <wp:posOffset>-19799</wp:posOffset>
            </wp:positionH>
            <wp:positionV relativeFrom="paragraph">
              <wp:posOffset>98425</wp:posOffset>
            </wp:positionV>
            <wp:extent cx="3597910" cy="1116330"/>
            <wp:effectExtent l="0" t="0" r="8890" b="1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A_logo_w_tagline_HD.png"/>
                    <pic:cNvPicPr/>
                  </pic:nvPicPr>
                  <pic:blipFill>
                    <a:blip r:embed="rId10" cstate="print">
                      <a:extLst>
                        <a:ext uri="{28A0092B-C50C-407E-A947-70E740481C1C}">
                          <a14:useLocalDpi xmlns:a14="http://schemas.microsoft.com/office/drawing/2010/main"/>
                        </a:ext>
                      </a:extLst>
                    </a:blip>
                    <a:stretch>
                      <a:fillRect/>
                    </a:stretch>
                  </pic:blipFill>
                  <pic:spPr>
                    <a:xfrm>
                      <a:off x="0" y="0"/>
                      <a:ext cx="3597910" cy="1116330"/>
                    </a:xfrm>
                    <a:prstGeom prst="rect">
                      <a:avLst/>
                    </a:prstGeom>
                  </pic:spPr>
                </pic:pic>
              </a:graphicData>
            </a:graphic>
            <wp14:sizeRelH relativeFrom="margin">
              <wp14:pctWidth>0</wp14:pctWidth>
            </wp14:sizeRelH>
            <wp14:sizeRelV relativeFrom="margin">
              <wp14:pctHeight>0</wp14:pctHeight>
            </wp14:sizeRelV>
          </wp:anchor>
        </w:drawing>
      </w:r>
      <w:r w:rsidR="0023628F" w:rsidRPr="009A1FED">
        <w:rPr>
          <w:rFonts w:ascii="Calibri" w:hAnsi="Calibri"/>
          <w:noProof/>
        </w:rPr>
        <w:drawing>
          <wp:inline distT="0" distB="0" distL="0" distR="0" wp14:anchorId="290E05B1" wp14:editId="1D0125B5">
            <wp:extent cx="5044440" cy="2921635"/>
            <wp:effectExtent l="0" t="0" r="10160" b="0"/>
            <wp:docPr id="11" name="Picture 11" descr="Untitled:Users:aa:Downloads:PEF Logo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ntitled:Users:aa:Downloads:PEF Logo2.jpg"/>
                    <pic:cNvPicPr>
                      <a:picLocks noChangeAspect="1" noChangeArrowheads="1"/>
                    </pic:cNvPicPr>
                  </pic:nvPicPr>
                  <pic:blipFill>
                    <a:blip r:embed="rId11" cstate="print">
                      <a:extLst>
                        <a:ext uri="{28A0092B-C50C-407E-A947-70E740481C1C}">
                          <a14:useLocalDpi xmlns:a14="http://schemas.microsoft.com/office/drawing/2010/main"/>
                        </a:ext>
                      </a:extLst>
                    </a:blip>
                    <a:srcRect/>
                    <a:stretch>
                      <a:fillRect/>
                    </a:stretch>
                  </pic:blipFill>
                  <pic:spPr bwMode="auto">
                    <a:xfrm>
                      <a:off x="0" y="0"/>
                      <a:ext cx="5044440" cy="2921635"/>
                    </a:xfrm>
                    <a:prstGeom prst="rect">
                      <a:avLst/>
                    </a:prstGeom>
                    <a:noFill/>
                    <a:ln>
                      <a:noFill/>
                    </a:ln>
                  </pic:spPr>
                </pic:pic>
              </a:graphicData>
            </a:graphic>
          </wp:inline>
        </w:drawing>
      </w:r>
    </w:p>
    <w:p w14:paraId="2511CB5B" w14:textId="6CFB5C80" w:rsidR="00644A7A" w:rsidRPr="009A1FED" w:rsidRDefault="00644A7A" w:rsidP="00D80D43">
      <w:pPr>
        <w:spacing w:line="200" w:lineRule="exact"/>
        <w:jc w:val="center"/>
        <w:rPr>
          <w:rFonts w:ascii="Calibri" w:hAnsi="Calibri"/>
        </w:rPr>
      </w:pPr>
    </w:p>
    <w:p w14:paraId="36B319A8" w14:textId="784823DA" w:rsidR="00644A7A" w:rsidRPr="009A1FED" w:rsidRDefault="0023628F" w:rsidP="00644A7A">
      <w:pPr>
        <w:spacing w:line="200" w:lineRule="exact"/>
        <w:rPr>
          <w:rFonts w:ascii="Calibri" w:hAnsi="Calibri"/>
        </w:rPr>
      </w:pPr>
      <w:r w:rsidRPr="009A1FED">
        <w:rPr>
          <w:rFonts w:ascii="Calibri" w:hAnsi="Calibri"/>
          <w:noProof/>
        </w:rPr>
        <w:drawing>
          <wp:inline distT="0" distB="0" distL="0" distR="0" wp14:anchorId="75FDA469" wp14:editId="50104E1F">
            <wp:extent cx="5044440" cy="2921635"/>
            <wp:effectExtent l="0" t="0" r="10160" b="0"/>
            <wp:docPr id="9" name="Picture 9" descr="Untitled:Users:aa:Downloads:PEF Logo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ntitled:Users:aa:Downloads:PEF Logo2.jpg"/>
                    <pic:cNvPicPr>
                      <a:picLocks noChangeAspect="1" noChangeArrowheads="1"/>
                    </pic:cNvPicPr>
                  </pic:nvPicPr>
                  <pic:blipFill>
                    <a:blip r:embed="rId11" cstate="print">
                      <a:extLst>
                        <a:ext uri="{28A0092B-C50C-407E-A947-70E740481C1C}">
                          <a14:useLocalDpi xmlns:a14="http://schemas.microsoft.com/office/drawing/2010/main"/>
                        </a:ext>
                      </a:extLst>
                    </a:blip>
                    <a:srcRect/>
                    <a:stretch>
                      <a:fillRect/>
                    </a:stretch>
                  </pic:blipFill>
                  <pic:spPr bwMode="auto">
                    <a:xfrm>
                      <a:off x="0" y="0"/>
                      <a:ext cx="5044440" cy="2921635"/>
                    </a:xfrm>
                    <a:prstGeom prst="rect">
                      <a:avLst/>
                    </a:prstGeom>
                    <a:noFill/>
                    <a:ln>
                      <a:noFill/>
                    </a:ln>
                  </pic:spPr>
                </pic:pic>
              </a:graphicData>
            </a:graphic>
          </wp:inline>
        </w:drawing>
      </w:r>
    </w:p>
    <w:p w14:paraId="0FEC1355" w14:textId="219DC8D5" w:rsidR="00644A7A" w:rsidRPr="009A1FED" w:rsidRDefault="00644A7A" w:rsidP="00644A7A">
      <w:pPr>
        <w:spacing w:line="200" w:lineRule="exact"/>
        <w:rPr>
          <w:rFonts w:ascii="Calibri" w:hAnsi="Calibri"/>
        </w:rPr>
      </w:pPr>
    </w:p>
    <w:p w14:paraId="6EAE5A6D" w14:textId="4DCA6FA2" w:rsidR="00644A7A" w:rsidRPr="009A1FED" w:rsidRDefault="00644A7A" w:rsidP="00644A7A">
      <w:pPr>
        <w:spacing w:line="200" w:lineRule="exact"/>
        <w:rPr>
          <w:rFonts w:ascii="Calibri" w:hAnsi="Calibri"/>
        </w:rPr>
      </w:pPr>
    </w:p>
    <w:p w14:paraId="31CFEA6E" w14:textId="0A70B910" w:rsidR="00644A7A" w:rsidRPr="009A1FED" w:rsidRDefault="00644A7A" w:rsidP="00644A7A">
      <w:pPr>
        <w:rPr>
          <w:rFonts w:ascii="Calibri" w:hAnsi="Calibri"/>
        </w:rPr>
      </w:pPr>
    </w:p>
    <w:p w14:paraId="58663A88" w14:textId="41056062" w:rsidR="0023628F" w:rsidRPr="009A1FED" w:rsidRDefault="0023628F" w:rsidP="00644A7A">
      <w:pPr>
        <w:tabs>
          <w:tab w:val="left" w:pos="1620"/>
        </w:tabs>
        <w:ind w:left="112"/>
        <w:jc w:val="center"/>
        <w:rPr>
          <w:rFonts w:ascii="Calibri" w:hAnsi="Calibri"/>
        </w:rPr>
      </w:pPr>
    </w:p>
    <w:p w14:paraId="64E06512" w14:textId="0CF3A9E6" w:rsidR="0023628F" w:rsidRPr="009A1FED" w:rsidRDefault="0023628F" w:rsidP="00644A7A">
      <w:pPr>
        <w:tabs>
          <w:tab w:val="left" w:pos="1620"/>
        </w:tabs>
        <w:ind w:left="112"/>
        <w:jc w:val="center"/>
        <w:rPr>
          <w:rFonts w:ascii="Calibri" w:hAnsi="Calibri"/>
        </w:rPr>
      </w:pPr>
    </w:p>
    <w:p w14:paraId="0F925270" w14:textId="39796273" w:rsidR="0023628F" w:rsidRPr="009A1FED" w:rsidRDefault="0023628F" w:rsidP="00644A7A">
      <w:pPr>
        <w:tabs>
          <w:tab w:val="left" w:pos="1620"/>
        </w:tabs>
        <w:ind w:left="112"/>
        <w:jc w:val="center"/>
        <w:rPr>
          <w:rFonts w:ascii="Calibri" w:hAnsi="Calibri"/>
        </w:rPr>
      </w:pPr>
    </w:p>
    <w:p w14:paraId="7B713F91" w14:textId="322C5AD4" w:rsidR="0023628F" w:rsidRPr="009A1FED" w:rsidRDefault="0023628F" w:rsidP="00644A7A">
      <w:pPr>
        <w:tabs>
          <w:tab w:val="left" w:pos="1620"/>
        </w:tabs>
        <w:ind w:left="112"/>
        <w:jc w:val="center"/>
        <w:rPr>
          <w:rFonts w:ascii="Calibri" w:hAnsi="Calibri"/>
        </w:rPr>
      </w:pPr>
    </w:p>
    <w:p w14:paraId="106147EB" w14:textId="014AF96F" w:rsidR="0059072E" w:rsidRPr="009A1FED" w:rsidRDefault="0059072E" w:rsidP="008609F0">
      <w:pPr>
        <w:tabs>
          <w:tab w:val="left" w:pos="1620"/>
        </w:tabs>
        <w:rPr>
          <w:rFonts w:ascii="Calibri" w:hAnsi="Calibri"/>
          <w:sz w:val="23"/>
          <w:szCs w:val="23"/>
        </w:rPr>
      </w:pPr>
    </w:p>
    <w:p w14:paraId="41CCB15F" w14:textId="77777777" w:rsidR="00D86344" w:rsidRPr="009A1FED" w:rsidRDefault="008C6A23" w:rsidP="00D93762">
      <w:pPr>
        <w:tabs>
          <w:tab w:val="left" w:pos="1620"/>
        </w:tabs>
        <w:ind w:left="112"/>
        <w:jc w:val="center"/>
        <w:rPr>
          <w:rFonts w:ascii="Calibri" w:hAnsi="Calibri"/>
          <w:b/>
          <w:sz w:val="26"/>
          <w:szCs w:val="26"/>
        </w:rPr>
      </w:pPr>
      <w:r w:rsidRPr="009A1FED">
        <w:rPr>
          <w:rFonts w:ascii="Calibri" w:hAnsi="Calibri"/>
          <w:b/>
          <w:sz w:val="26"/>
          <w:szCs w:val="26"/>
        </w:rPr>
        <w:t>Report</w:t>
      </w:r>
      <w:r w:rsidR="00D86344" w:rsidRPr="009A1FED">
        <w:rPr>
          <w:rFonts w:ascii="Calibri" w:hAnsi="Calibri"/>
          <w:b/>
          <w:sz w:val="26"/>
          <w:szCs w:val="26"/>
        </w:rPr>
        <w:t xml:space="preserve"> on the I</w:t>
      </w:r>
      <w:r w:rsidR="00D93762" w:rsidRPr="009A1FED">
        <w:rPr>
          <w:rFonts w:ascii="Calibri" w:hAnsi="Calibri"/>
          <w:b/>
          <w:sz w:val="26"/>
          <w:szCs w:val="26"/>
        </w:rPr>
        <w:t xml:space="preserve">mplementation of the </w:t>
      </w:r>
      <w:r w:rsidRPr="009A1FED">
        <w:rPr>
          <w:rFonts w:ascii="Calibri" w:hAnsi="Calibri"/>
          <w:b/>
          <w:sz w:val="26"/>
          <w:szCs w:val="26"/>
        </w:rPr>
        <w:t>International Covenant on Civil and Political Rights</w:t>
      </w:r>
      <w:r w:rsidR="00D86344" w:rsidRPr="009A1FED">
        <w:rPr>
          <w:rFonts w:ascii="Calibri" w:hAnsi="Calibri"/>
          <w:b/>
          <w:sz w:val="26"/>
          <w:szCs w:val="26"/>
        </w:rPr>
        <w:t xml:space="preserve"> with Regard to the Rights of Urban Refugees and A</w:t>
      </w:r>
      <w:r w:rsidR="00D93762" w:rsidRPr="009A1FED">
        <w:rPr>
          <w:rFonts w:ascii="Calibri" w:hAnsi="Calibri"/>
          <w:b/>
          <w:sz w:val="26"/>
          <w:szCs w:val="26"/>
        </w:rPr>
        <w:t xml:space="preserve">sylum Seekers and </w:t>
      </w:r>
    </w:p>
    <w:p w14:paraId="131DDE98" w14:textId="64BD581C" w:rsidR="00D93762" w:rsidRPr="009A1FED" w:rsidRDefault="00D93762" w:rsidP="00D93762">
      <w:pPr>
        <w:tabs>
          <w:tab w:val="left" w:pos="1620"/>
        </w:tabs>
        <w:ind w:left="112"/>
        <w:jc w:val="center"/>
        <w:rPr>
          <w:rFonts w:ascii="Calibri" w:hAnsi="Calibri"/>
          <w:b/>
          <w:sz w:val="26"/>
          <w:szCs w:val="26"/>
        </w:rPr>
      </w:pPr>
      <w:r w:rsidRPr="009A1FED">
        <w:rPr>
          <w:rFonts w:ascii="Calibri" w:hAnsi="Calibri"/>
          <w:b/>
          <w:sz w:val="26"/>
          <w:szCs w:val="26"/>
        </w:rPr>
        <w:t>Rohingya Refugees and Asylum Seekers in Thailand</w:t>
      </w:r>
    </w:p>
    <w:p w14:paraId="6207C584" w14:textId="77777777" w:rsidR="00D93762" w:rsidRPr="009A1FED" w:rsidRDefault="00D93762" w:rsidP="00D93762">
      <w:pPr>
        <w:tabs>
          <w:tab w:val="left" w:pos="1620"/>
        </w:tabs>
        <w:ind w:left="112"/>
        <w:jc w:val="center"/>
        <w:rPr>
          <w:rFonts w:ascii="Calibri" w:hAnsi="Calibri"/>
          <w:b/>
          <w:sz w:val="24"/>
          <w:szCs w:val="24"/>
        </w:rPr>
      </w:pPr>
    </w:p>
    <w:p w14:paraId="443C5F27" w14:textId="77777777" w:rsidR="00D86344" w:rsidRPr="009A1FED" w:rsidRDefault="00D86344" w:rsidP="00D86344">
      <w:pPr>
        <w:tabs>
          <w:tab w:val="left" w:pos="1620"/>
        </w:tabs>
        <w:ind w:left="112"/>
        <w:jc w:val="center"/>
        <w:rPr>
          <w:rFonts w:ascii="Calibri" w:hAnsi="Calibri"/>
          <w:b/>
          <w:sz w:val="26"/>
          <w:szCs w:val="26"/>
        </w:rPr>
      </w:pPr>
      <w:r w:rsidRPr="009A1FED">
        <w:rPr>
          <w:rFonts w:ascii="Calibri" w:hAnsi="Calibri"/>
          <w:b/>
          <w:sz w:val="26"/>
          <w:szCs w:val="26"/>
        </w:rPr>
        <w:t xml:space="preserve">Submitted for the Adoption of the List of Issues On the Second Periodic Report of </w:t>
      </w:r>
    </w:p>
    <w:p w14:paraId="763898F0" w14:textId="77777777" w:rsidR="00D86344" w:rsidRPr="009A1FED" w:rsidRDefault="00D86344" w:rsidP="00D86344">
      <w:pPr>
        <w:tabs>
          <w:tab w:val="left" w:pos="1620"/>
        </w:tabs>
        <w:ind w:left="112"/>
        <w:jc w:val="center"/>
        <w:rPr>
          <w:rFonts w:ascii="Calibri" w:hAnsi="Calibri"/>
          <w:b/>
          <w:sz w:val="26"/>
          <w:szCs w:val="26"/>
        </w:rPr>
      </w:pPr>
      <w:r w:rsidRPr="009A1FED">
        <w:rPr>
          <w:rFonts w:ascii="Calibri" w:hAnsi="Calibri"/>
          <w:b/>
          <w:sz w:val="26"/>
          <w:szCs w:val="26"/>
        </w:rPr>
        <w:t xml:space="preserve">Thailand (CCPR/C/THA/2) at the 117th Session of the </w:t>
      </w:r>
    </w:p>
    <w:p w14:paraId="33FDA05A" w14:textId="745025F2" w:rsidR="00D86344" w:rsidRPr="009A1FED" w:rsidRDefault="00D86344" w:rsidP="00D86344">
      <w:pPr>
        <w:tabs>
          <w:tab w:val="left" w:pos="1620"/>
        </w:tabs>
        <w:ind w:left="112"/>
        <w:jc w:val="center"/>
        <w:rPr>
          <w:rFonts w:ascii="Calibri" w:hAnsi="Calibri"/>
          <w:b/>
          <w:sz w:val="26"/>
          <w:szCs w:val="26"/>
        </w:rPr>
      </w:pPr>
      <w:r w:rsidRPr="009A1FED">
        <w:rPr>
          <w:rFonts w:ascii="Calibri" w:hAnsi="Calibri"/>
          <w:b/>
          <w:sz w:val="26"/>
          <w:szCs w:val="26"/>
        </w:rPr>
        <w:t>United Nations Human Rights Committee</w:t>
      </w:r>
    </w:p>
    <w:p w14:paraId="15499678" w14:textId="77777777" w:rsidR="008C6A23" w:rsidRPr="009A1FED" w:rsidRDefault="008C6A23" w:rsidP="00D86344">
      <w:pPr>
        <w:tabs>
          <w:tab w:val="left" w:pos="1620"/>
        </w:tabs>
        <w:rPr>
          <w:rFonts w:ascii="Calibri" w:hAnsi="Calibri"/>
          <w:b/>
          <w:sz w:val="24"/>
          <w:szCs w:val="24"/>
        </w:rPr>
      </w:pPr>
    </w:p>
    <w:p w14:paraId="6FF57DF1" w14:textId="37ED6FD3" w:rsidR="00D86344" w:rsidRPr="009A1FED" w:rsidRDefault="00D86344" w:rsidP="00D86344">
      <w:pPr>
        <w:pStyle w:val="Headers"/>
        <w:rPr>
          <w:rFonts w:ascii="Calibri" w:hAnsi="Calibri"/>
          <w:sz w:val="26"/>
          <w:szCs w:val="26"/>
        </w:rPr>
      </w:pPr>
      <w:r w:rsidRPr="009A1FED">
        <w:rPr>
          <w:rFonts w:ascii="Calibri" w:hAnsi="Calibri"/>
          <w:sz w:val="26"/>
          <w:szCs w:val="26"/>
        </w:rPr>
        <w:t>Bangkok,</w:t>
      </w:r>
      <w:r w:rsidR="0080317D" w:rsidRPr="009A1FED">
        <w:rPr>
          <w:rFonts w:ascii="Calibri" w:hAnsi="Calibri"/>
          <w:sz w:val="26"/>
          <w:szCs w:val="26"/>
        </w:rPr>
        <w:t xml:space="preserve"> </w:t>
      </w:r>
      <w:r w:rsidR="008609F0" w:rsidRPr="009A1FED">
        <w:rPr>
          <w:rFonts w:ascii="Calibri" w:hAnsi="Calibri"/>
          <w:sz w:val="26"/>
          <w:szCs w:val="26"/>
        </w:rPr>
        <w:t>7</w:t>
      </w:r>
      <w:r w:rsidR="0080317D" w:rsidRPr="009A1FED">
        <w:rPr>
          <w:rFonts w:ascii="Calibri" w:hAnsi="Calibri"/>
          <w:sz w:val="26"/>
          <w:szCs w:val="26"/>
        </w:rPr>
        <w:t xml:space="preserve"> </w:t>
      </w:r>
      <w:r w:rsidR="008609F0" w:rsidRPr="009A1FED">
        <w:rPr>
          <w:rFonts w:ascii="Calibri" w:hAnsi="Calibri"/>
          <w:sz w:val="26"/>
          <w:szCs w:val="26"/>
        </w:rPr>
        <w:t>April</w:t>
      </w:r>
      <w:r w:rsidR="0080317D" w:rsidRPr="009A1FED">
        <w:rPr>
          <w:rFonts w:ascii="Calibri" w:hAnsi="Calibri"/>
          <w:sz w:val="26"/>
          <w:szCs w:val="26"/>
        </w:rPr>
        <w:t xml:space="preserve"> 201</w:t>
      </w:r>
      <w:r w:rsidR="008609F0" w:rsidRPr="009A1FED">
        <w:rPr>
          <w:rFonts w:ascii="Calibri" w:hAnsi="Calibri"/>
          <w:sz w:val="26"/>
          <w:szCs w:val="26"/>
        </w:rPr>
        <w:t>6</w:t>
      </w:r>
    </w:p>
    <w:p w14:paraId="2AE7D36F" w14:textId="77777777" w:rsidR="00D86344" w:rsidRPr="009A1FED" w:rsidRDefault="00D86344" w:rsidP="00D86344">
      <w:pPr>
        <w:pStyle w:val="Headers"/>
        <w:rPr>
          <w:rFonts w:ascii="Calibri" w:hAnsi="Calibri"/>
        </w:rPr>
      </w:pPr>
    </w:p>
    <w:p w14:paraId="1AA724BD" w14:textId="77777777" w:rsidR="00D86344" w:rsidRPr="009A1FED" w:rsidRDefault="00D86344" w:rsidP="00D86344">
      <w:pPr>
        <w:pStyle w:val="Headers"/>
        <w:rPr>
          <w:rFonts w:ascii="Calibri" w:hAnsi="Calibri"/>
          <w:spacing w:val="-2"/>
          <w:w w:val="101"/>
        </w:rPr>
      </w:pPr>
    </w:p>
    <w:p w14:paraId="2581D0B3" w14:textId="12B0B288" w:rsidR="008C6A23" w:rsidRPr="009A1FED" w:rsidRDefault="008C6A23" w:rsidP="008C6A23">
      <w:pPr>
        <w:spacing w:before="25"/>
        <w:ind w:left="112"/>
        <w:jc w:val="both"/>
        <w:rPr>
          <w:rFonts w:ascii="Calibri" w:hAnsi="Calibri"/>
          <w:sz w:val="23"/>
          <w:szCs w:val="23"/>
        </w:rPr>
      </w:pPr>
      <w:r w:rsidRPr="009A1FED">
        <w:rPr>
          <w:rFonts w:ascii="Calibri" w:hAnsi="Calibri"/>
          <w:noProof/>
        </w:rPr>
        <mc:AlternateContent>
          <mc:Choice Requires="wpg">
            <w:drawing>
              <wp:anchor distT="0" distB="0" distL="114300" distR="114300" simplePos="0" relativeHeight="251745280" behindDoc="1" locked="0" layoutInCell="1" allowOverlap="1" wp14:anchorId="23D4297F" wp14:editId="1D48ABDB">
                <wp:simplePos x="0" y="0"/>
                <wp:positionH relativeFrom="page">
                  <wp:posOffset>1094105</wp:posOffset>
                </wp:positionH>
                <wp:positionV relativeFrom="paragraph">
                  <wp:posOffset>200660</wp:posOffset>
                </wp:positionV>
                <wp:extent cx="5376545" cy="0"/>
                <wp:effectExtent l="1905" t="4445" r="19050" b="8255"/>
                <wp:wrapNone/>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76545" cy="0"/>
                          <a:chOff x="1723" y="317"/>
                          <a:chExt cx="8467" cy="0"/>
                        </a:xfrm>
                      </wpg:grpSpPr>
                      <wps:wsp>
                        <wps:cNvPr id="21" name="Freeform 21"/>
                        <wps:cNvSpPr>
                          <a:spLocks/>
                        </wps:cNvSpPr>
                        <wps:spPr bwMode="auto">
                          <a:xfrm>
                            <a:off x="1723" y="317"/>
                            <a:ext cx="8467" cy="0"/>
                          </a:xfrm>
                          <a:custGeom>
                            <a:avLst/>
                            <a:gdLst>
                              <a:gd name="T0" fmla="+- 0 1723 1723"/>
                              <a:gd name="T1" fmla="*/ T0 w 8467"/>
                              <a:gd name="T2" fmla="+- 0 10190 1723"/>
                              <a:gd name="T3" fmla="*/ T2 w 8467"/>
                            </a:gdLst>
                            <a:ahLst/>
                            <a:cxnLst>
                              <a:cxn ang="0">
                                <a:pos x="T1" y="0"/>
                              </a:cxn>
                              <a:cxn ang="0">
                                <a:pos x="T3" y="0"/>
                              </a:cxn>
                            </a:cxnLst>
                            <a:rect l="0" t="0" r="r" b="b"/>
                            <a:pathLst>
                              <a:path w="8467">
                                <a:moveTo>
                                  <a:pt x="0" y="0"/>
                                </a:moveTo>
                                <a:lnTo>
                                  <a:pt x="8467" y="0"/>
                                </a:lnTo>
                              </a:path>
                            </a:pathLst>
                          </a:custGeom>
                          <a:noFill/>
                          <a:ln w="7366">
                            <a:solidFill>
                              <a:srgbClr val="000000">
                                <a:alpha val="16000"/>
                              </a:srgb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0" o:spid="_x0000_s1026" style="position:absolute;margin-left:86.15pt;margin-top:15.8pt;width:423.35pt;height:0;z-index:-251571200;mso-position-horizontal-relative:page" coordorigin="1723,317" coordsize="8467,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qjGF2cDAAADCAAADgAAAGRycy9lMm9Eb2MueG1spFVZb9s4EH5fYP8DwccuHEm2bCdClKLwESzQ&#10;C4j7A2iKOrASqSVpy2nR/97hULJVB8EuWj/IQ85wjm+u+7enpiZHoU2lZEqjm5ASIbnKKlmk9Mtu&#10;O7mlxFgmM1YrKVL6LAx9+/DnH/ddm4ipKlWdCU1AiTRJ16a0tLZNgsDwUjTM3KhWSGDmSjfMwlEX&#10;QaZZB9qbOpiG4SLolM5arbgwBm7XnkkfUH+eC24/5bkRltQpBd8sfjV+9+4bPNyzpNCsLSveu8F+&#10;wYuGVRKMnlWtmWXkoKsXqpqKa2VUbm+4agKV5xUXGANEE4VX0TxqdWgxliLpivYME0B7hdMvq+Uf&#10;j581qbKUTgEeyRrIEZolcAZwurZIQOZRt0/tZ+0jBPK94v8YYAfXfHcuvDDZdx9UBvrYwSoE55Tr&#10;xqmAsMkJc/B8zoE4WcLhcj5bLubxnBJ+4fESkuheRMvpjBJgzKKlTx0vN/3D23ixHL0KWOLNoYu9&#10;Sy4eqDNzgdL8HpRPJWsFZsg4mAYoowHKrRbCFS+ZRh5NFBugNGMcRxznpAG4/xPBl3gMML6GBkv4&#10;wdhHoTAR7PjeWN8CGVCY3qyvgh3UQ97U0A1/TUhInCn89C1zFoNYvdibgOxC0hE03SsddE0HIa8r&#10;jO68xmtlkN2LsulIGaSzGFxk5eA1P8nebaAIczMnxEprlXH1sgPnhjICDSDkQnxF1lcWVv0g6/97&#10;ExqGyfUY0ZTAGNn7MFpmnWfOhCNJl1LEwl006ih2Cln2qvbByIVby7GUz+IoAs+GF84AtJ8n0Kjz&#10;dZRaqbZVXWMaaulcWc4WC8TGqLrKHNN5Y3SxX9WaHJkbkPhDIVa3JfO30QKuXYRgoRf39FgPTCqZ&#10;obVSsGzT05ZVtafhbY3gQ4H2GLlSxRH57S6829xubuNJPF1sJnGYZZN321U8WWyj5Xw9W69W6+i7&#10;cyuKk7LKMiGd+8O4juL/18P94vCD9jywX0dji78h8Euwwc9uIBYQy/DvkzG0sJ84e5U9Qztr5fcP&#10;7EsgSqW/UtLB7kmp+ffAtKCk/lvCRLqL4tgtKzzE86UbzXrM2Y85THJQlVJLoQMcubJ+wR1aXRUl&#10;WIowpVK9g0GcV67hYSiaxHvVH2AoIoWbBmPpt6JbZeMzSl1298MPAAAA//8DAFBLAwQUAAYACAAA&#10;ACEAlAIRpd4AAAAKAQAADwAAAGRycy9kb3ducmV2LnhtbEyPQUvDQBCF74L/YRnBm91sg1VjNqUU&#10;9VQEW0G8TbPTJDS7G7LbJP33TvGgx/fm4817+XKyrRioD413GtQsAUGu9KZxlYbP3evdI4gQ0Rls&#10;vSMNZwqwLK6vcsyMH90HDdtYCQ5xIUMNdYxdJmUoa7IYZr4jx7eD7y1Gln0lTY8jh9tWzpNkIS02&#10;jj/U2NG6pvK4PVkNbyOOq1S9DJvjYX3+3t2/f20UaX17M62eQUSa4h8Ml/pcHQrutPcnZ4JoWT/M&#10;U0Y1pGoB4gIk6onX7X8dWeTy/4TiBwAA//8DAFBLAQItABQABgAIAAAAIQDkmcPA+wAAAOEBAAAT&#10;AAAAAAAAAAAAAAAAAAAAAABbQ29udGVudF9UeXBlc10ueG1sUEsBAi0AFAAGAAgAAAAhACOyauHX&#10;AAAAlAEAAAsAAAAAAAAAAAAAAAAALAEAAF9yZWxzLy5yZWxzUEsBAi0AFAAGAAgAAAAhAJ6oxhdn&#10;AwAAAwgAAA4AAAAAAAAAAAAAAAAALAIAAGRycy9lMm9Eb2MueG1sUEsBAi0AFAAGAAgAAAAhAJQC&#10;EaXeAAAACgEAAA8AAAAAAAAAAAAAAAAAvwUAAGRycy9kb3ducmV2LnhtbFBLBQYAAAAABAAEAPMA&#10;AADKBgAAAAA=&#10;">
                <v:polyline id="Freeform 21" o:spid="_x0000_s1027" style="position:absolute;visibility:visible;mso-wrap-style:square;v-text-anchor:top" points="1723,317,10190,317" coordsize="8467,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dRgVtxQAA&#10;ANsAAAAPAAAAZHJzL2Rvd25yZXYueG1sRI9Pa8JAFMTvBb/D8gRvdRMRCdFVWkHwZGlSKN4e2df8&#10;afZtyG5M7KfvCoUeh5n5DbM7TKYVN+pdbVlBvIxAEBdW11wq+MhPzwkI55E1tpZJwZ0cHPazpx2m&#10;2o78TrfMlyJA2KWooPK+S6V0RUUG3dJ2xMH7sr1BH2RfSt3jGOCmlaso2kiDNYeFCjs6VlR8Z4NR&#10;cO3WTb5+Gy7JmA9N/Jo1n8nwo9RiPr1sQXia/H/4r33WClYxPL6EHyD3v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J1GBW3FAAAA2wAAAA8AAAAAAAAAAAAAAAAAlwIAAGRycy9k&#10;b3ducmV2LnhtbFBLBQYAAAAABAAEAPUAAACJAwAAAAA=&#10;" filled="f" strokeweight=".58pt">
                  <v:stroke opacity="10537f"/>
                  <v:path arrowok="t" o:connecttype="custom" o:connectlocs="0,0;8467,0" o:connectangles="0,0"/>
                </v:polyline>
                <w10:wrap anchorx="page"/>
              </v:group>
            </w:pict>
          </mc:Fallback>
        </mc:AlternateContent>
      </w:r>
      <w:r w:rsidRPr="009A1FED">
        <w:rPr>
          <w:rFonts w:ascii="Calibri" w:hAnsi="Calibri"/>
          <w:b/>
          <w:w w:val="101"/>
          <w:sz w:val="23"/>
          <w:szCs w:val="23"/>
        </w:rPr>
        <w:t>TABLE OF CONTENTS</w:t>
      </w:r>
    </w:p>
    <w:p w14:paraId="00301FE0" w14:textId="77777777" w:rsidR="008C6A23" w:rsidRPr="009A1FED" w:rsidRDefault="008C6A23" w:rsidP="008C6A23">
      <w:pPr>
        <w:jc w:val="both"/>
        <w:rPr>
          <w:rFonts w:ascii="Calibri" w:hAnsi="Calibri"/>
          <w:sz w:val="23"/>
          <w:szCs w:val="23"/>
        </w:rPr>
      </w:pPr>
    </w:p>
    <w:p w14:paraId="06CC0538" w14:textId="59FF4983" w:rsidR="0023628F" w:rsidRPr="009A1FED" w:rsidRDefault="008C6A23" w:rsidP="008C6A23">
      <w:pPr>
        <w:tabs>
          <w:tab w:val="left" w:pos="630"/>
          <w:tab w:val="right" w:pos="9360"/>
        </w:tabs>
        <w:spacing w:before="9" w:line="240" w:lineRule="exact"/>
        <w:rPr>
          <w:rFonts w:ascii="Calibri" w:hAnsi="Calibri"/>
          <w:b/>
          <w:sz w:val="23"/>
          <w:szCs w:val="23"/>
        </w:rPr>
      </w:pPr>
      <w:r w:rsidRPr="009A1FED">
        <w:rPr>
          <w:rFonts w:ascii="Calibri" w:hAnsi="Calibri"/>
          <w:b/>
          <w:sz w:val="23"/>
          <w:szCs w:val="23"/>
        </w:rPr>
        <w:t>I.</w:t>
      </w:r>
      <w:r w:rsidRPr="009A1FED">
        <w:rPr>
          <w:rFonts w:ascii="Calibri" w:hAnsi="Calibri"/>
          <w:b/>
          <w:sz w:val="23"/>
          <w:szCs w:val="23"/>
        </w:rPr>
        <w:tab/>
        <w:t>INTRODUCTION</w:t>
      </w:r>
      <w:r w:rsidRPr="009A1FED">
        <w:rPr>
          <w:rFonts w:ascii="Calibri" w:hAnsi="Calibri"/>
          <w:b/>
          <w:sz w:val="23"/>
          <w:szCs w:val="23"/>
        </w:rPr>
        <w:tab/>
        <w:t>2</w:t>
      </w:r>
    </w:p>
    <w:p w14:paraId="0B731BD4" w14:textId="77777777" w:rsidR="008C6A23" w:rsidRPr="009A1FED" w:rsidRDefault="008C6A23" w:rsidP="008C6A23">
      <w:pPr>
        <w:tabs>
          <w:tab w:val="left" w:pos="630"/>
          <w:tab w:val="right" w:pos="9360"/>
        </w:tabs>
        <w:spacing w:before="9" w:line="240" w:lineRule="exact"/>
        <w:rPr>
          <w:rFonts w:ascii="Calibri" w:hAnsi="Calibri"/>
          <w:b/>
          <w:sz w:val="23"/>
          <w:szCs w:val="23"/>
        </w:rPr>
      </w:pPr>
    </w:p>
    <w:p w14:paraId="31B41AF4" w14:textId="607D0EEA" w:rsidR="008C6A23" w:rsidRPr="009A1FED" w:rsidRDefault="008C6A23" w:rsidP="008C6A23">
      <w:pPr>
        <w:tabs>
          <w:tab w:val="left" w:pos="630"/>
          <w:tab w:val="right" w:pos="9360"/>
        </w:tabs>
        <w:spacing w:before="9" w:line="240" w:lineRule="exact"/>
        <w:rPr>
          <w:rFonts w:ascii="Calibri" w:hAnsi="Calibri"/>
          <w:b/>
          <w:sz w:val="23"/>
          <w:szCs w:val="23"/>
        </w:rPr>
      </w:pPr>
      <w:r w:rsidRPr="009A1FED">
        <w:rPr>
          <w:rFonts w:ascii="Calibri" w:hAnsi="Calibri"/>
          <w:b/>
          <w:sz w:val="23"/>
          <w:szCs w:val="23"/>
        </w:rPr>
        <w:t>II.</w:t>
      </w:r>
      <w:r w:rsidRPr="009A1FED">
        <w:rPr>
          <w:rFonts w:ascii="Calibri" w:hAnsi="Calibri"/>
          <w:b/>
          <w:sz w:val="23"/>
          <w:szCs w:val="23"/>
        </w:rPr>
        <w:tab/>
        <w:t xml:space="preserve">EXECUTIVE </w:t>
      </w:r>
      <w:r w:rsidR="00605573">
        <w:rPr>
          <w:rFonts w:ascii="Calibri" w:hAnsi="Calibri"/>
          <w:b/>
          <w:sz w:val="23"/>
          <w:szCs w:val="23"/>
        </w:rPr>
        <w:t>SUMMARY</w:t>
      </w:r>
      <w:r w:rsidR="00605573">
        <w:rPr>
          <w:rFonts w:ascii="Calibri" w:hAnsi="Calibri"/>
          <w:b/>
          <w:sz w:val="23"/>
          <w:szCs w:val="23"/>
        </w:rPr>
        <w:tab/>
        <w:t>2</w:t>
      </w:r>
    </w:p>
    <w:p w14:paraId="174EA351" w14:textId="77777777" w:rsidR="008C6A23" w:rsidRPr="009A1FED" w:rsidRDefault="008C6A23" w:rsidP="00444D4B">
      <w:pPr>
        <w:spacing w:before="25"/>
        <w:ind w:left="112"/>
        <w:jc w:val="both"/>
        <w:rPr>
          <w:rFonts w:ascii="Calibri" w:hAnsi="Calibri"/>
          <w:b/>
          <w:w w:val="101"/>
          <w:sz w:val="23"/>
          <w:szCs w:val="23"/>
        </w:rPr>
      </w:pPr>
    </w:p>
    <w:p w14:paraId="3EDC226F" w14:textId="22723881" w:rsidR="008C6A23" w:rsidRPr="009A1FED" w:rsidRDefault="008C6A23" w:rsidP="009D677C">
      <w:pPr>
        <w:tabs>
          <w:tab w:val="left" w:pos="630"/>
          <w:tab w:val="right" w:pos="9360"/>
        </w:tabs>
        <w:spacing w:before="25"/>
        <w:jc w:val="both"/>
        <w:rPr>
          <w:rFonts w:ascii="Calibri" w:hAnsi="Calibri"/>
          <w:b/>
          <w:w w:val="101"/>
          <w:sz w:val="23"/>
          <w:szCs w:val="23"/>
        </w:rPr>
      </w:pPr>
      <w:r w:rsidRPr="009A1FED">
        <w:rPr>
          <w:rFonts w:ascii="Calibri" w:hAnsi="Calibri"/>
          <w:b/>
          <w:w w:val="101"/>
          <w:sz w:val="23"/>
          <w:szCs w:val="23"/>
        </w:rPr>
        <w:t>III.</w:t>
      </w:r>
      <w:r w:rsidR="009D677C" w:rsidRPr="009A1FED">
        <w:rPr>
          <w:rFonts w:ascii="Calibri" w:hAnsi="Calibri"/>
          <w:b/>
          <w:w w:val="101"/>
          <w:sz w:val="23"/>
          <w:szCs w:val="23"/>
        </w:rPr>
        <w:tab/>
        <w:t>CONTRIBUTION</w:t>
      </w:r>
      <w:r w:rsidR="005B4F9D" w:rsidRPr="009A1FED">
        <w:rPr>
          <w:rFonts w:ascii="Calibri" w:hAnsi="Calibri"/>
          <w:b/>
          <w:w w:val="101"/>
          <w:sz w:val="23"/>
          <w:szCs w:val="23"/>
        </w:rPr>
        <w:t>S</w:t>
      </w:r>
      <w:r w:rsidR="00605573">
        <w:rPr>
          <w:rFonts w:ascii="Calibri" w:hAnsi="Calibri"/>
          <w:b/>
          <w:w w:val="101"/>
          <w:sz w:val="23"/>
          <w:szCs w:val="23"/>
        </w:rPr>
        <w:t xml:space="preserve"> TO THE LIST OF ISSUES</w:t>
      </w:r>
      <w:r w:rsidR="00605573">
        <w:rPr>
          <w:rFonts w:ascii="Calibri" w:hAnsi="Calibri"/>
          <w:b/>
          <w:w w:val="101"/>
          <w:sz w:val="23"/>
          <w:szCs w:val="23"/>
        </w:rPr>
        <w:tab/>
        <w:t>3</w:t>
      </w:r>
    </w:p>
    <w:p w14:paraId="0C9A8123" w14:textId="77777777" w:rsidR="009D677C" w:rsidRPr="009A1FED" w:rsidRDefault="009D677C" w:rsidP="009D677C">
      <w:pPr>
        <w:tabs>
          <w:tab w:val="left" w:pos="630"/>
          <w:tab w:val="right" w:pos="9360"/>
        </w:tabs>
        <w:spacing w:before="25"/>
        <w:jc w:val="both"/>
        <w:rPr>
          <w:rFonts w:ascii="Calibri" w:hAnsi="Calibri"/>
          <w:b/>
          <w:w w:val="101"/>
          <w:sz w:val="23"/>
          <w:szCs w:val="23"/>
        </w:rPr>
      </w:pPr>
    </w:p>
    <w:p w14:paraId="4564A4AB" w14:textId="5E5476E1" w:rsidR="00966947" w:rsidRPr="009A1FED" w:rsidRDefault="009D677C" w:rsidP="00C1202C">
      <w:pPr>
        <w:tabs>
          <w:tab w:val="left" w:pos="630"/>
          <w:tab w:val="left" w:pos="1260"/>
          <w:tab w:val="right" w:pos="9360"/>
        </w:tabs>
        <w:spacing w:before="25"/>
        <w:jc w:val="both"/>
        <w:rPr>
          <w:rFonts w:ascii="Calibri" w:hAnsi="Calibri"/>
          <w:b/>
          <w:w w:val="101"/>
          <w:sz w:val="23"/>
          <w:szCs w:val="23"/>
        </w:rPr>
      </w:pPr>
      <w:r w:rsidRPr="009A1FED">
        <w:rPr>
          <w:rFonts w:ascii="Calibri" w:hAnsi="Calibri"/>
          <w:b/>
          <w:w w:val="101"/>
          <w:sz w:val="23"/>
          <w:szCs w:val="23"/>
        </w:rPr>
        <w:tab/>
        <w:t>i.</w:t>
      </w:r>
      <w:r w:rsidR="00966947" w:rsidRPr="009A1FED">
        <w:rPr>
          <w:rFonts w:ascii="Calibri" w:hAnsi="Calibri"/>
          <w:b/>
          <w:w w:val="101"/>
          <w:sz w:val="23"/>
          <w:szCs w:val="23"/>
        </w:rPr>
        <w:tab/>
      </w:r>
      <w:r w:rsidR="00C1202C" w:rsidRPr="00C1202C">
        <w:rPr>
          <w:rFonts w:ascii="Calibri" w:hAnsi="Calibri"/>
          <w:b/>
          <w:w w:val="101"/>
          <w:sz w:val="23"/>
          <w:szCs w:val="23"/>
        </w:rPr>
        <w:t>Right to Life and Prohibition Against Torture (Article 6 and 7)</w:t>
      </w:r>
      <w:r w:rsidR="00605573">
        <w:rPr>
          <w:rFonts w:ascii="Calibri" w:hAnsi="Calibri"/>
          <w:b/>
          <w:w w:val="101"/>
          <w:sz w:val="23"/>
          <w:szCs w:val="23"/>
        </w:rPr>
        <w:tab/>
        <w:t>3</w:t>
      </w:r>
    </w:p>
    <w:p w14:paraId="03043C21" w14:textId="77777777" w:rsidR="00966947" w:rsidRPr="009A1FED" w:rsidRDefault="00966947" w:rsidP="00966947">
      <w:pPr>
        <w:tabs>
          <w:tab w:val="left" w:pos="630"/>
          <w:tab w:val="left" w:pos="1260"/>
          <w:tab w:val="right" w:pos="9360"/>
        </w:tabs>
        <w:spacing w:before="25"/>
        <w:jc w:val="both"/>
        <w:rPr>
          <w:rFonts w:ascii="Calibri" w:hAnsi="Calibri"/>
          <w:b/>
          <w:w w:val="101"/>
          <w:sz w:val="23"/>
          <w:szCs w:val="23"/>
        </w:rPr>
      </w:pPr>
    </w:p>
    <w:p w14:paraId="14E63484" w14:textId="5AA8F95B" w:rsidR="00F77298" w:rsidRDefault="00C1202C" w:rsidP="00626D75">
      <w:pPr>
        <w:tabs>
          <w:tab w:val="left" w:pos="630"/>
          <w:tab w:val="left" w:pos="1260"/>
          <w:tab w:val="right" w:pos="9360"/>
        </w:tabs>
        <w:spacing w:before="25"/>
        <w:ind w:left="1260" w:hanging="1260"/>
        <w:jc w:val="both"/>
        <w:rPr>
          <w:rFonts w:ascii="Calibri" w:hAnsi="Calibri"/>
          <w:b/>
          <w:w w:val="101"/>
          <w:sz w:val="23"/>
          <w:szCs w:val="23"/>
        </w:rPr>
      </w:pPr>
      <w:r>
        <w:rPr>
          <w:rFonts w:ascii="Calibri" w:hAnsi="Calibri"/>
          <w:b/>
          <w:w w:val="101"/>
          <w:sz w:val="23"/>
          <w:szCs w:val="23"/>
        </w:rPr>
        <w:tab/>
        <w:t>ii</w:t>
      </w:r>
      <w:r>
        <w:rPr>
          <w:rFonts w:ascii="Calibri" w:hAnsi="Calibri"/>
          <w:b/>
          <w:w w:val="101"/>
          <w:sz w:val="23"/>
          <w:szCs w:val="23"/>
        </w:rPr>
        <w:tab/>
        <w:t>Prohibition of Arbitrary D</w:t>
      </w:r>
      <w:r w:rsidR="00966947" w:rsidRPr="009A1FED">
        <w:rPr>
          <w:rFonts w:ascii="Calibri" w:hAnsi="Calibri"/>
          <w:b/>
          <w:w w:val="101"/>
          <w:sz w:val="23"/>
          <w:szCs w:val="23"/>
        </w:rPr>
        <w:t>eten</w:t>
      </w:r>
      <w:r>
        <w:rPr>
          <w:rFonts w:ascii="Calibri" w:hAnsi="Calibri"/>
          <w:b/>
          <w:w w:val="101"/>
          <w:sz w:val="23"/>
          <w:szCs w:val="23"/>
        </w:rPr>
        <w:t xml:space="preserve">tion, </w:t>
      </w:r>
      <w:r w:rsidR="00626D75">
        <w:rPr>
          <w:rFonts w:ascii="Calibri" w:hAnsi="Calibri"/>
          <w:b/>
          <w:w w:val="101"/>
          <w:sz w:val="23"/>
          <w:szCs w:val="23"/>
        </w:rPr>
        <w:t>Humane Conditions of D</w:t>
      </w:r>
      <w:r w:rsidR="00626D75" w:rsidRPr="00626D75">
        <w:rPr>
          <w:rFonts w:ascii="Calibri" w:hAnsi="Calibri"/>
          <w:b/>
          <w:w w:val="101"/>
          <w:sz w:val="23"/>
          <w:szCs w:val="23"/>
        </w:rPr>
        <w:t>etention</w:t>
      </w:r>
      <w:r w:rsidR="00311B45">
        <w:rPr>
          <w:rFonts w:ascii="Calibri" w:hAnsi="Calibri"/>
          <w:b/>
          <w:w w:val="101"/>
          <w:sz w:val="23"/>
          <w:szCs w:val="23"/>
        </w:rPr>
        <w:t xml:space="preserve">, </w:t>
      </w:r>
      <w:r w:rsidR="00F77298">
        <w:rPr>
          <w:rFonts w:ascii="Calibri" w:hAnsi="Calibri"/>
          <w:b/>
          <w:w w:val="101"/>
          <w:sz w:val="23"/>
          <w:szCs w:val="23"/>
        </w:rPr>
        <w:tab/>
        <w:t>6</w:t>
      </w:r>
    </w:p>
    <w:p w14:paraId="524B6C67" w14:textId="2217859C" w:rsidR="00966947" w:rsidRPr="009A1FED" w:rsidRDefault="00F77298" w:rsidP="00626D75">
      <w:pPr>
        <w:tabs>
          <w:tab w:val="left" w:pos="630"/>
          <w:tab w:val="left" w:pos="1260"/>
          <w:tab w:val="right" w:pos="9360"/>
        </w:tabs>
        <w:spacing w:before="25"/>
        <w:ind w:left="1260" w:hanging="1260"/>
        <w:jc w:val="both"/>
        <w:rPr>
          <w:rFonts w:ascii="Calibri" w:hAnsi="Calibri"/>
          <w:b/>
          <w:w w:val="101"/>
          <w:sz w:val="23"/>
          <w:szCs w:val="23"/>
        </w:rPr>
      </w:pPr>
      <w:r>
        <w:rPr>
          <w:rFonts w:ascii="Calibri" w:hAnsi="Calibri"/>
          <w:b/>
          <w:w w:val="101"/>
          <w:sz w:val="23"/>
          <w:szCs w:val="23"/>
        </w:rPr>
        <w:tab/>
      </w:r>
      <w:r>
        <w:rPr>
          <w:rFonts w:ascii="Calibri" w:hAnsi="Calibri"/>
          <w:b/>
          <w:w w:val="101"/>
          <w:sz w:val="23"/>
          <w:szCs w:val="23"/>
        </w:rPr>
        <w:tab/>
      </w:r>
      <w:r w:rsidR="00C1202C">
        <w:rPr>
          <w:rFonts w:ascii="Calibri" w:hAnsi="Calibri"/>
          <w:b/>
          <w:w w:val="101"/>
          <w:sz w:val="23"/>
          <w:szCs w:val="23"/>
        </w:rPr>
        <w:t xml:space="preserve">and </w:t>
      </w:r>
      <w:r w:rsidR="00296652">
        <w:rPr>
          <w:rFonts w:ascii="Calibri" w:hAnsi="Calibri"/>
          <w:b/>
          <w:w w:val="101"/>
          <w:sz w:val="23"/>
          <w:szCs w:val="23"/>
        </w:rPr>
        <w:t xml:space="preserve">the </w:t>
      </w:r>
      <w:r w:rsidR="00C1202C">
        <w:rPr>
          <w:rFonts w:ascii="Calibri" w:hAnsi="Calibri"/>
          <w:b/>
          <w:w w:val="101"/>
          <w:sz w:val="23"/>
          <w:szCs w:val="23"/>
        </w:rPr>
        <w:t>R</w:t>
      </w:r>
      <w:r w:rsidR="00966947" w:rsidRPr="009A1FED">
        <w:rPr>
          <w:rFonts w:ascii="Calibri" w:hAnsi="Calibri"/>
          <w:b/>
          <w:w w:val="101"/>
          <w:sz w:val="23"/>
          <w:szCs w:val="23"/>
        </w:rPr>
        <w:t xml:space="preserve">ights </w:t>
      </w:r>
      <w:r w:rsidR="00C1202C">
        <w:rPr>
          <w:rFonts w:ascii="Calibri" w:hAnsi="Calibri"/>
          <w:b/>
          <w:w w:val="101"/>
          <w:sz w:val="23"/>
          <w:szCs w:val="23"/>
        </w:rPr>
        <w:t>of the C</w:t>
      </w:r>
      <w:r w:rsidR="00966947" w:rsidRPr="009A1FED">
        <w:rPr>
          <w:rFonts w:ascii="Calibri" w:hAnsi="Calibri"/>
          <w:b/>
          <w:w w:val="101"/>
          <w:sz w:val="23"/>
          <w:szCs w:val="23"/>
        </w:rPr>
        <w:t>hild (Article 9, 10, and 24)</w:t>
      </w:r>
      <w:r w:rsidR="00966947" w:rsidRPr="009A1FED">
        <w:rPr>
          <w:rFonts w:ascii="Calibri" w:hAnsi="Calibri"/>
          <w:b/>
          <w:w w:val="101"/>
          <w:sz w:val="23"/>
          <w:szCs w:val="23"/>
        </w:rPr>
        <w:tab/>
      </w:r>
    </w:p>
    <w:p w14:paraId="1E21C528" w14:textId="77777777" w:rsidR="008C6A23" w:rsidRPr="009A1FED" w:rsidRDefault="008C6A23" w:rsidP="00444D4B">
      <w:pPr>
        <w:spacing w:before="25"/>
        <w:ind w:left="112"/>
        <w:jc w:val="both"/>
        <w:rPr>
          <w:rFonts w:ascii="Calibri" w:hAnsi="Calibri"/>
          <w:b/>
          <w:w w:val="101"/>
          <w:sz w:val="23"/>
          <w:szCs w:val="23"/>
        </w:rPr>
      </w:pPr>
    </w:p>
    <w:p w14:paraId="1095584A" w14:textId="77777777" w:rsidR="008C6A23" w:rsidRPr="009A1FED" w:rsidRDefault="008C6A23" w:rsidP="00444D4B">
      <w:pPr>
        <w:spacing w:before="25"/>
        <w:ind w:left="112"/>
        <w:jc w:val="both"/>
        <w:rPr>
          <w:rFonts w:ascii="Calibri" w:hAnsi="Calibri"/>
          <w:b/>
          <w:w w:val="101"/>
          <w:sz w:val="23"/>
          <w:szCs w:val="23"/>
        </w:rPr>
      </w:pPr>
    </w:p>
    <w:p w14:paraId="4C68D0AB" w14:textId="77777777" w:rsidR="008C6A23" w:rsidRPr="009A1FED" w:rsidRDefault="008C6A23" w:rsidP="00444D4B">
      <w:pPr>
        <w:spacing w:before="25"/>
        <w:ind w:left="112"/>
        <w:jc w:val="both"/>
        <w:rPr>
          <w:rFonts w:ascii="Calibri" w:hAnsi="Calibri"/>
          <w:b/>
          <w:w w:val="101"/>
          <w:sz w:val="23"/>
          <w:szCs w:val="23"/>
        </w:rPr>
      </w:pPr>
    </w:p>
    <w:p w14:paraId="6C1A1C64" w14:textId="77777777" w:rsidR="008C6A23" w:rsidRPr="009A1FED" w:rsidRDefault="008C6A23" w:rsidP="00444D4B">
      <w:pPr>
        <w:spacing w:before="25"/>
        <w:ind w:left="112"/>
        <w:jc w:val="both"/>
        <w:rPr>
          <w:rFonts w:ascii="Calibri" w:hAnsi="Calibri"/>
          <w:b/>
          <w:w w:val="101"/>
          <w:sz w:val="23"/>
          <w:szCs w:val="23"/>
        </w:rPr>
      </w:pPr>
    </w:p>
    <w:p w14:paraId="40C0143A" w14:textId="77777777" w:rsidR="008C6A23" w:rsidRPr="009A1FED" w:rsidRDefault="008C6A23" w:rsidP="00444D4B">
      <w:pPr>
        <w:spacing w:before="25"/>
        <w:ind w:left="112"/>
        <w:jc w:val="both"/>
        <w:rPr>
          <w:rFonts w:ascii="Calibri" w:hAnsi="Calibri"/>
          <w:b/>
          <w:w w:val="101"/>
          <w:sz w:val="23"/>
          <w:szCs w:val="23"/>
        </w:rPr>
      </w:pPr>
    </w:p>
    <w:p w14:paraId="23D4BE21" w14:textId="77777777" w:rsidR="008C6A23" w:rsidRPr="009A1FED" w:rsidRDefault="008C6A23" w:rsidP="00444D4B">
      <w:pPr>
        <w:spacing w:before="25"/>
        <w:ind w:left="112"/>
        <w:jc w:val="both"/>
        <w:rPr>
          <w:rFonts w:ascii="Calibri" w:hAnsi="Calibri"/>
          <w:b/>
          <w:w w:val="101"/>
          <w:sz w:val="23"/>
          <w:szCs w:val="23"/>
        </w:rPr>
      </w:pPr>
    </w:p>
    <w:p w14:paraId="338EAF49" w14:textId="77777777" w:rsidR="008C6A23" w:rsidRPr="009A1FED" w:rsidRDefault="008C6A23" w:rsidP="00444D4B">
      <w:pPr>
        <w:spacing w:before="25"/>
        <w:ind w:left="112"/>
        <w:jc w:val="both"/>
        <w:rPr>
          <w:rFonts w:ascii="Calibri" w:hAnsi="Calibri"/>
          <w:b/>
          <w:w w:val="101"/>
          <w:sz w:val="23"/>
          <w:szCs w:val="23"/>
        </w:rPr>
      </w:pPr>
    </w:p>
    <w:p w14:paraId="27CA4FAE" w14:textId="77777777" w:rsidR="00384221" w:rsidRDefault="00384221" w:rsidP="005B4F9D">
      <w:pPr>
        <w:spacing w:before="25"/>
        <w:jc w:val="both"/>
        <w:rPr>
          <w:rFonts w:ascii="Calibri" w:hAnsi="Calibri"/>
          <w:b/>
          <w:w w:val="101"/>
          <w:sz w:val="23"/>
          <w:szCs w:val="23"/>
        </w:rPr>
      </w:pPr>
    </w:p>
    <w:p w14:paraId="3D9DC75F" w14:textId="77777777" w:rsidR="00C1202C" w:rsidRPr="009A1FED" w:rsidRDefault="00C1202C" w:rsidP="005B4F9D">
      <w:pPr>
        <w:spacing w:before="25"/>
        <w:jc w:val="both"/>
        <w:rPr>
          <w:rFonts w:ascii="Calibri" w:hAnsi="Calibri"/>
          <w:b/>
          <w:w w:val="101"/>
          <w:sz w:val="23"/>
          <w:szCs w:val="23"/>
        </w:rPr>
      </w:pPr>
    </w:p>
    <w:p w14:paraId="37E1CB84" w14:textId="5EEA8A59" w:rsidR="00644A7A" w:rsidRPr="009A1FED" w:rsidRDefault="00644A7A" w:rsidP="00444D4B">
      <w:pPr>
        <w:spacing w:before="25"/>
        <w:ind w:left="112"/>
        <w:jc w:val="both"/>
        <w:rPr>
          <w:rFonts w:ascii="Calibri" w:hAnsi="Calibri"/>
          <w:sz w:val="23"/>
          <w:szCs w:val="23"/>
        </w:rPr>
      </w:pPr>
      <w:r w:rsidRPr="009A1FED">
        <w:rPr>
          <w:rFonts w:ascii="Calibri" w:hAnsi="Calibri"/>
          <w:noProof/>
        </w:rPr>
        <w:lastRenderedPageBreak/>
        <mc:AlternateContent>
          <mc:Choice Requires="wpg">
            <w:drawing>
              <wp:anchor distT="0" distB="0" distL="114300" distR="114300" simplePos="0" relativeHeight="251659264" behindDoc="1" locked="0" layoutInCell="1" allowOverlap="1" wp14:anchorId="772ADA11" wp14:editId="41FCB65C">
                <wp:simplePos x="0" y="0"/>
                <wp:positionH relativeFrom="page">
                  <wp:posOffset>1094105</wp:posOffset>
                </wp:positionH>
                <wp:positionV relativeFrom="paragraph">
                  <wp:posOffset>200660</wp:posOffset>
                </wp:positionV>
                <wp:extent cx="5376545" cy="0"/>
                <wp:effectExtent l="1905" t="4445" r="19050" b="8255"/>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76545" cy="0"/>
                          <a:chOff x="1723" y="317"/>
                          <a:chExt cx="8467" cy="0"/>
                        </a:xfrm>
                      </wpg:grpSpPr>
                      <wps:wsp>
                        <wps:cNvPr id="3" name="Freeform 3"/>
                        <wps:cNvSpPr>
                          <a:spLocks/>
                        </wps:cNvSpPr>
                        <wps:spPr bwMode="auto">
                          <a:xfrm>
                            <a:off x="1723" y="317"/>
                            <a:ext cx="8467" cy="0"/>
                          </a:xfrm>
                          <a:custGeom>
                            <a:avLst/>
                            <a:gdLst>
                              <a:gd name="T0" fmla="+- 0 1723 1723"/>
                              <a:gd name="T1" fmla="*/ T0 w 8467"/>
                              <a:gd name="T2" fmla="+- 0 10190 1723"/>
                              <a:gd name="T3" fmla="*/ T2 w 8467"/>
                            </a:gdLst>
                            <a:ahLst/>
                            <a:cxnLst>
                              <a:cxn ang="0">
                                <a:pos x="T1" y="0"/>
                              </a:cxn>
                              <a:cxn ang="0">
                                <a:pos x="T3" y="0"/>
                              </a:cxn>
                            </a:cxnLst>
                            <a:rect l="0" t="0" r="r" b="b"/>
                            <a:pathLst>
                              <a:path w="8467">
                                <a:moveTo>
                                  <a:pt x="0" y="0"/>
                                </a:moveTo>
                                <a:lnTo>
                                  <a:pt x="8467" y="0"/>
                                </a:lnTo>
                              </a:path>
                            </a:pathLst>
                          </a:custGeom>
                          <a:noFill/>
                          <a:ln w="7366">
                            <a:solidFill>
                              <a:srgbClr val="000000">
                                <a:alpha val="16000"/>
                              </a:srgb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2" o:spid="_x0000_s1026" style="position:absolute;margin-left:86.15pt;margin-top:15.8pt;width:423.35pt;height:0;z-index:-251657216;mso-position-horizontal-relative:page" coordorigin="1723,317" coordsize="8467,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0nTl2cDAAD/BwAADgAAAGRycy9lMm9Eb2MueG1spFXbjts4DH1fYP9B0GMXGduJk8wY4ymKXAYL&#10;9AZM+gGKLF+wtuSVlDjTov9eirITN4PBLto8OJRIkYeHFHX/9tTU5Ci0qZRMaXQTUiIkV1kli5R+&#10;2W0nt5QYy2TGaiVFSp+FoW8f/vzjvmsTMVWlqjOhCTiRJunalJbWtkkQGF6Khpkb1QoJylzphllY&#10;6iLINOvAe1MH0zBcBJ3SWasVF8bA7tor6QP6z3PB7ac8N8KSOqWAzeJX43fvvsHDPUsKzdqy4j0M&#10;9gsoGlZJCHp2tWaWkYOuXrhqKq6VUbm94aoJVJ5XXGAOkE0UXmXzqNWhxVyKpCvaM01A7RVPv+yW&#10;fzx+1qTKUjqlRLIGSoRRydRR07VFAhaPun1qP2ufH4jvFf/HgDq41rt14Y3JvvugMnDHDlYhNadc&#10;N84FJE1OWIHncwXEyRIOm/PZcjGP55Twi46XUEJ3IlpOZ5SAYhYtfeF4uekP3saL5ehUwBIfDiH2&#10;kFw+0GXmQqT5PSKfStYKrI9xNPVEAkZP5FYL4TqXzDyXaDQQacYsjjQOogGy/5O/l2wMJL7GBUv4&#10;wdhHobAM7PjeWN/+GUhY3KxHvoOrkjc13IS/JiQkLhR++utyNosGszcB2YWkIxi6dzr4gsYa+wqj&#10;O+/x2hnw5u2cs+nIGRSzGCCyckDNT7KHDRJhbt6E2GetMq5bdgBuaCLwAEYuxVdsfV/hOBhs/X8f&#10;QsMguR4hmhIYIXufRsusQ+ZCOJF0KUUu3EajjmKnUGWvOh+CXLS1HFv5Ko4y8Go44QLA5fMCBnVY&#10;R6WValvVNZahlg7KcrZYIDdG1VXmlA6N0cV+VWtyZG444g+NWN2WzO9GC9h2GUKE3tzLYz8wpWSG&#10;0UrBsk0vW1bVXoazNZIPDdpz5FoVx+O3u/Buc7u5jSfxdLGZxGGWTd5tV/FksY2W8/VsvVqto+8O&#10;VhQnZZVlQjr4w6iO4v93g/tHww/Z87B+nY0t/obEL8kGP8NALiCX4d8XY7jCft7sVfYM11kr//bA&#10;WwlCqfRXSjp4d1Jq/j0wLSip/5Ywj+6iOHYPFS7i+XIKCz3W7McaJjm4SqmlcAOcuLL+cTu0uipK&#10;iBRhSaV6B2M4r9yFh5FoEo+qX8BIRAlfGcylfxHdMzZeo9Xl3X74AQAA//8DAFBLAwQUAAYACAAA&#10;ACEAlAIRpd4AAAAKAQAADwAAAGRycy9kb3ducmV2LnhtbEyPQUvDQBCF74L/YRnBm91sg1VjNqUU&#10;9VQEW0G8TbPTJDS7G7LbJP33TvGgx/fm4817+XKyrRioD413GtQsAUGu9KZxlYbP3evdI4gQ0Rls&#10;vSMNZwqwLK6vcsyMH90HDdtYCQ5xIUMNdYxdJmUoa7IYZr4jx7eD7y1Gln0lTY8jh9tWzpNkIS02&#10;jj/U2NG6pvK4PVkNbyOOq1S9DJvjYX3+3t2/f20UaX17M62eQUSa4h8Ml/pcHQrutPcnZ4JoWT/M&#10;U0Y1pGoB4gIk6onX7X8dWeTy/4TiBwAA//8DAFBLAQItABQABgAIAAAAIQDkmcPA+wAAAOEBAAAT&#10;AAAAAAAAAAAAAAAAAAAAAABbQ29udGVudF9UeXBlc10ueG1sUEsBAi0AFAAGAAgAAAAhACOyauHX&#10;AAAAlAEAAAsAAAAAAAAAAAAAAAAALAEAAF9yZWxzLy5yZWxzUEsBAi0AFAAGAAgAAAAhAB9J05dn&#10;AwAA/wcAAA4AAAAAAAAAAAAAAAAALAIAAGRycy9lMm9Eb2MueG1sUEsBAi0AFAAGAAgAAAAhAJQC&#10;EaXeAAAACgEAAA8AAAAAAAAAAAAAAAAAvwUAAGRycy9kb3ducmV2LnhtbFBLBQYAAAAABAAEAPMA&#10;AADKBgAAAAA=&#10;">
                <v:polyline id="Freeform 3" o:spid="_x0000_s1027" style="position:absolute;visibility:visible;mso-wrap-style:square;v-text-anchor:top" points="1723,317,10190,317" coordsize="8467,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sl+WxxQAA&#10;ANoAAAAPAAAAZHJzL2Rvd25yZXYueG1sRI9Pa8JAFMTvBb/D8gRvzUYrEqKrVEHoydKkUHp7ZJ/5&#10;0+zbkN2YtJ++WxB6HGbmN8zuMJlW3Kh3tWUFyygGQVxYXXOp4D0/PyYgnEfW2FomBd/k4LCfPeww&#10;1XbkN7plvhQBwi5FBZX3XSqlKyoy6CLbEQfvanuDPsi+lLrHMcBNK1dxvJEGaw4LFXZ0qqj4ygaj&#10;4LNbN/n6dbgkYz40y2PWfCTDj1KL+fS8BeFp8v/he/tFK3iCvyvhBsj9L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OyX5bHFAAAA2gAAAA8AAAAAAAAAAAAAAAAAlwIAAGRycy9k&#10;b3ducmV2LnhtbFBLBQYAAAAABAAEAPUAAACJAwAAAAA=&#10;" filled="f" strokeweight=".58pt">
                  <v:stroke opacity="10537f"/>
                  <v:path arrowok="t" o:connecttype="custom" o:connectlocs="0,0;8467,0" o:connectangles="0,0"/>
                </v:polyline>
                <w10:wrap anchorx="page"/>
              </v:group>
            </w:pict>
          </mc:Fallback>
        </mc:AlternateContent>
      </w:r>
      <w:r w:rsidR="005B4F9D" w:rsidRPr="009A1FED">
        <w:rPr>
          <w:rFonts w:ascii="Calibri" w:hAnsi="Calibri"/>
          <w:b/>
          <w:w w:val="101"/>
          <w:sz w:val="23"/>
          <w:szCs w:val="23"/>
        </w:rPr>
        <w:t>I.</w:t>
      </w:r>
      <w:r w:rsidR="005B4F9D" w:rsidRPr="009A1FED">
        <w:rPr>
          <w:rFonts w:ascii="Calibri" w:hAnsi="Calibri"/>
          <w:b/>
          <w:w w:val="101"/>
          <w:sz w:val="23"/>
          <w:szCs w:val="23"/>
        </w:rPr>
        <w:tab/>
      </w:r>
      <w:r w:rsidR="0080317D" w:rsidRPr="009A1FED">
        <w:rPr>
          <w:rFonts w:ascii="Calibri" w:hAnsi="Calibri"/>
          <w:b/>
          <w:w w:val="101"/>
          <w:sz w:val="23"/>
          <w:szCs w:val="23"/>
        </w:rPr>
        <w:t>INTRODUCTION</w:t>
      </w:r>
    </w:p>
    <w:p w14:paraId="6C495AB8" w14:textId="77777777" w:rsidR="00F751C5" w:rsidRPr="009A1FED" w:rsidRDefault="00F751C5" w:rsidP="00444D4B">
      <w:pPr>
        <w:jc w:val="both"/>
        <w:rPr>
          <w:rFonts w:ascii="Calibri" w:hAnsi="Calibri"/>
        </w:rPr>
      </w:pPr>
    </w:p>
    <w:p w14:paraId="53860CE4" w14:textId="7E07B791" w:rsidR="00605573" w:rsidRPr="00605573" w:rsidRDefault="00157070" w:rsidP="008C6A23">
      <w:pPr>
        <w:pStyle w:val="ListParagraph"/>
        <w:numPr>
          <w:ilvl w:val="0"/>
          <w:numId w:val="5"/>
        </w:numPr>
        <w:jc w:val="both"/>
        <w:rPr>
          <w:rFonts w:ascii="Calibri" w:hAnsi="Calibri"/>
          <w:szCs w:val="22"/>
        </w:rPr>
      </w:pPr>
      <w:r w:rsidRPr="009A1FED">
        <w:rPr>
          <w:rFonts w:ascii="Calibri" w:hAnsi="Calibri"/>
          <w:spacing w:val="-1"/>
          <w:szCs w:val="22"/>
        </w:rPr>
        <w:t>The following report is submitted on behalf of Asylum Access</w:t>
      </w:r>
      <w:r w:rsidR="00605573">
        <w:rPr>
          <w:rFonts w:ascii="Calibri" w:hAnsi="Calibri"/>
          <w:spacing w:val="-1"/>
          <w:szCs w:val="22"/>
        </w:rPr>
        <w:t xml:space="preserve"> and the Asia Pac</w:t>
      </w:r>
      <w:r w:rsidR="008B0593">
        <w:rPr>
          <w:rFonts w:ascii="Calibri" w:hAnsi="Calibri"/>
          <w:spacing w:val="-1"/>
          <w:szCs w:val="22"/>
        </w:rPr>
        <w:t>ific Refugee Rights Network (APR</w:t>
      </w:r>
      <w:r w:rsidR="00605573">
        <w:rPr>
          <w:rFonts w:ascii="Calibri" w:hAnsi="Calibri"/>
          <w:spacing w:val="-1"/>
          <w:szCs w:val="22"/>
        </w:rPr>
        <w:t>RN). Asylum Access is</w:t>
      </w:r>
      <w:r w:rsidR="008C6A23" w:rsidRPr="009A1FED">
        <w:rPr>
          <w:rFonts w:ascii="Calibri" w:hAnsi="Calibri"/>
          <w:spacing w:val="-1"/>
          <w:szCs w:val="22"/>
        </w:rPr>
        <w:t xml:space="preserve"> an international refugee rights organization providing legal aid, empowerment, law and policy reform for refugees in Latin America, Africa and Asia. </w:t>
      </w:r>
      <w:r w:rsidR="00605573">
        <w:rPr>
          <w:rFonts w:ascii="Calibri" w:hAnsi="Calibri"/>
          <w:spacing w:val="-1"/>
          <w:szCs w:val="22"/>
        </w:rPr>
        <w:t xml:space="preserve">APPRN </w:t>
      </w:r>
      <w:r w:rsidR="00605573" w:rsidRPr="00605573">
        <w:rPr>
          <w:rFonts w:ascii="Calibri" w:hAnsi="Calibri"/>
          <w:spacing w:val="-1"/>
          <w:szCs w:val="22"/>
        </w:rPr>
        <w:t>is a network of organizations working on advancing the rights of refugees in the Asia Pacific Region through information sharing, mutual capacity building, and joint advocacy.</w:t>
      </w:r>
    </w:p>
    <w:p w14:paraId="78A8A6DB" w14:textId="77777777" w:rsidR="00605573" w:rsidRPr="00605573" w:rsidRDefault="00605573" w:rsidP="00605573">
      <w:pPr>
        <w:jc w:val="both"/>
        <w:rPr>
          <w:rFonts w:ascii="Calibri" w:hAnsi="Calibri"/>
          <w:szCs w:val="22"/>
        </w:rPr>
      </w:pPr>
    </w:p>
    <w:p w14:paraId="552A47E4" w14:textId="58A9798B" w:rsidR="00644A7A" w:rsidRPr="009A1FED" w:rsidRDefault="008C6A23" w:rsidP="008C6A23">
      <w:pPr>
        <w:pStyle w:val="ListParagraph"/>
        <w:numPr>
          <w:ilvl w:val="0"/>
          <w:numId w:val="5"/>
        </w:numPr>
        <w:jc w:val="both"/>
        <w:rPr>
          <w:rFonts w:ascii="Calibri" w:hAnsi="Calibri"/>
          <w:szCs w:val="22"/>
        </w:rPr>
      </w:pPr>
      <w:r w:rsidRPr="009A1FED">
        <w:rPr>
          <w:rFonts w:ascii="Calibri" w:hAnsi="Calibri"/>
          <w:spacing w:val="-1"/>
          <w:szCs w:val="22"/>
        </w:rPr>
        <w:t>The report was made possible</w:t>
      </w:r>
      <w:r w:rsidR="009D677C" w:rsidRPr="009A1FED">
        <w:rPr>
          <w:rFonts w:ascii="Calibri" w:hAnsi="Calibri"/>
          <w:spacing w:val="-1"/>
          <w:szCs w:val="22"/>
        </w:rPr>
        <w:t xml:space="preserve"> in part</w:t>
      </w:r>
      <w:r w:rsidRPr="009A1FED">
        <w:rPr>
          <w:rFonts w:ascii="Calibri" w:hAnsi="Calibri"/>
          <w:spacing w:val="-1"/>
          <w:szCs w:val="22"/>
        </w:rPr>
        <w:t xml:space="preserve"> with support from the Centre for Civil and Political Rights (CCPR Centre)</w:t>
      </w:r>
      <w:r w:rsidR="00157070" w:rsidRPr="009A1FED">
        <w:rPr>
          <w:rFonts w:ascii="Calibri" w:hAnsi="Calibri"/>
          <w:spacing w:val="-1"/>
          <w:szCs w:val="22"/>
        </w:rPr>
        <w:t>.</w:t>
      </w:r>
    </w:p>
    <w:p w14:paraId="5D44622A" w14:textId="77777777" w:rsidR="008C6A23" w:rsidRPr="009A1FED" w:rsidRDefault="008C6A23" w:rsidP="008C6A23">
      <w:pPr>
        <w:jc w:val="both"/>
        <w:rPr>
          <w:rFonts w:ascii="Calibri" w:hAnsi="Calibri"/>
          <w:szCs w:val="22"/>
        </w:rPr>
      </w:pPr>
    </w:p>
    <w:p w14:paraId="7E354927" w14:textId="2248D743" w:rsidR="008C6A23" w:rsidRPr="009A1FED" w:rsidRDefault="00966947" w:rsidP="008C6A23">
      <w:pPr>
        <w:pStyle w:val="ListParagraph"/>
        <w:numPr>
          <w:ilvl w:val="0"/>
          <w:numId w:val="5"/>
        </w:numPr>
        <w:jc w:val="both"/>
        <w:rPr>
          <w:rFonts w:ascii="Calibri" w:hAnsi="Calibri"/>
          <w:szCs w:val="22"/>
        </w:rPr>
      </w:pPr>
      <w:r w:rsidRPr="009A1FED">
        <w:rPr>
          <w:rFonts w:ascii="Calibri" w:hAnsi="Calibri"/>
          <w:szCs w:val="22"/>
        </w:rPr>
        <w:t>For questions or comments about this report, please contact:</w:t>
      </w:r>
    </w:p>
    <w:p w14:paraId="281E3B2E" w14:textId="77777777" w:rsidR="00966947" w:rsidRPr="009A1FED" w:rsidRDefault="00966947" w:rsidP="00966947">
      <w:pPr>
        <w:pStyle w:val="Maintext"/>
        <w:numPr>
          <w:ilvl w:val="0"/>
          <w:numId w:val="0"/>
        </w:numPr>
        <w:spacing w:after="120"/>
        <w:ind w:left="360"/>
        <w:jc w:val="both"/>
        <w:rPr>
          <w:rFonts w:ascii="Calibri" w:hAnsi="Calibri" w:cs="Angsana New"/>
          <w:lang w:bidi="th-TH"/>
        </w:rPr>
      </w:pPr>
    </w:p>
    <w:p w14:paraId="32696B47" w14:textId="77777777" w:rsidR="00966947" w:rsidRPr="009A1FED" w:rsidRDefault="00966947" w:rsidP="00966947">
      <w:pPr>
        <w:pStyle w:val="Maintext"/>
        <w:numPr>
          <w:ilvl w:val="0"/>
          <w:numId w:val="0"/>
        </w:numPr>
        <w:spacing w:after="120"/>
        <w:ind w:left="810"/>
        <w:jc w:val="both"/>
        <w:rPr>
          <w:rFonts w:ascii="Calibri" w:hAnsi="Calibri" w:cs="Angsana New"/>
          <w:lang w:bidi="th-TH"/>
        </w:rPr>
      </w:pPr>
      <w:r w:rsidRPr="009A1FED">
        <w:rPr>
          <w:rFonts w:ascii="Calibri" w:hAnsi="Calibri" w:cs="Angsana New"/>
          <w:lang w:bidi="th-TH"/>
        </w:rPr>
        <w:t>Ms. Parinya (Ann) Boonridrerthaikul</w:t>
      </w:r>
    </w:p>
    <w:p w14:paraId="114562B5" w14:textId="77777777" w:rsidR="00966947" w:rsidRPr="009A1FED" w:rsidRDefault="00966947" w:rsidP="00966947">
      <w:pPr>
        <w:pStyle w:val="Maintext"/>
        <w:numPr>
          <w:ilvl w:val="0"/>
          <w:numId w:val="0"/>
        </w:numPr>
        <w:spacing w:after="120"/>
        <w:ind w:left="810"/>
        <w:jc w:val="both"/>
        <w:rPr>
          <w:rFonts w:ascii="Calibri" w:hAnsi="Calibri" w:cs="Angsana New"/>
          <w:lang w:bidi="th-TH"/>
        </w:rPr>
      </w:pPr>
      <w:r w:rsidRPr="009A1FED">
        <w:rPr>
          <w:rFonts w:ascii="Calibri" w:hAnsi="Calibri" w:cs="Angsana New"/>
          <w:lang w:bidi="th-TH"/>
        </w:rPr>
        <w:t>Director</w:t>
      </w:r>
    </w:p>
    <w:p w14:paraId="2DE8710D" w14:textId="77777777" w:rsidR="00966947" w:rsidRPr="009A1FED" w:rsidRDefault="00966947" w:rsidP="00966947">
      <w:pPr>
        <w:pStyle w:val="Maintext"/>
        <w:numPr>
          <w:ilvl w:val="0"/>
          <w:numId w:val="0"/>
        </w:numPr>
        <w:spacing w:after="120"/>
        <w:ind w:left="810"/>
        <w:jc w:val="both"/>
        <w:rPr>
          <w:rFonts w:ascii="Calibri" w:hAnsi="Calibri" w:cs="Angsana New"/>
          <w:lang w:bidi="th-TH"/>
        </w:rPr>
      </w:pPr>
      <w:r w:rsidRPr="009A1FED">
        <w:rPr>
          <w:rFonts w:ascii="Calibri" w:hAnsi="Calibri" w:cs="Angsana New"/>
          <w:lang w:bidi="th-TH"/>
        </w:rPr>
        <w:t>Asylum Access Thailand</w:t>
      </w:r>
    </w:p>
    <w:p w14:paraId="4945DB82" w14:textId="77777777" w:rsidR="00966947" w:rsidRPr="009A1FED" w:rsidRDefault="00966947" w:rsidP="00966947">
      <w:pPr>
        <w:pStyle w:val="Maintext"/>
        <w:numPr>
          <w:ilvl w:val="0"/>
          <w:numId w:val="0"/>
        </w:numPr>
        <w:spacing w:after="120"/>
        <w:ind w:left="810"/>
        <w:jc w:val="both"/>
        <w:rPr>
          <w:rFonts w:ascii="Calibri" w:hAnsi="Calibri" w:cs="Angsana New"/>
          <w:lang w:bidi="th-TH"/>
        </w:rPr>
      </w:pPr>
      <w:r w:rsidRPr="009A1FED">
        <w:rPr>
          <w:rFonts w:ascii="Calibri" w:hAnsi="Calibri" w:cs="Angsana New"/>
          <w:lang w:bidi="th-TH"/>
        </w:rPr>
        <w:t>13 Deva Building, Intamara 35, Dindaeng, Bangkok 10400 Thailand</w:t>
      </w:r>
    </w:p>
    <w:p w14:paraId="1802F7A0" w14:textId="77777777" w:rsidR="00966947" w:rsidRPr="009A1FED" w:rsidRDefault="00966947" w:rsidP="00966947">
      <w:pPr>
        <w:pStyle w:val="Maintext"/>
        <w:numPr>
          <w:ilvl w:val="0"/>
          <w:numId w:val="0"/>
        </w:numPr>
        <w:spacing w:after="120"/>
        <w:ind w:left="810"/>
        <w:jc w:val="both"/>
        <w:rPr>
          <w:rFonts w:ascii="Calibri" w:hAnsi="Calibri" w:cs="Angsana New"/>
          <w:lang w:bidi="th-TH"/>
        </w:rPr>
      </w:pPr>
      <w:r w:rsidRPr="009A1FED">
        <w:rPr>
          <w:rFonts w:ascii="Calibri" w:hAnsi="Calibri" w:cs="Angsana New"/>
          <w:lang w:bidi="th-TH"/>
        </w:rPr>
        <w:t>p.boonridrerthaikul@asylumaccess.org</w:t>
      </w:r>
    </w:p>
    <w:p w14:paraId="6707CCE9" w14:textId="3C8501C5" w:rsidR="00357BAF" w:rsidRPr="009A1FED" w:rsidRDefault="00357BAF" w:rsidP="00444D4B">
      <w:pPr>
        <w:jc w:val="both"/>
        <w:rPr>
          <w:rFonts w:ascii="Calibri" w:hAnsi="Calibri" w:cs="Angsana New"/>
          <w:szCs w:val="22"/>
        </w:rPr>
      </w:pPr>
    </w:p>
    <w:p w14:paraId="6A70466E" w14:textId="66CA5491" w:rsidR="00644A7A" w:rsidRPr="009A1FED" w:rsidRDefault="00357BAF" w:rsidP="00444D4B">
      <w:pPr>
        <w:spacing w:before="25"/>
        <w:ind w:left="112"/>
        <w:jc w:val="both"/>
        <w:rPr>
          <w:rFonts w:ascii="Calibri" w:hAnsi="Calibri"/>
          <w:sz w:val="23"/>
          <w:szCs w:val="23"/>
        </w:rPr>
      </w:pPr>
      <w:r w:rsidRPr="009A1FED">
        <w:rPr>
          <w:rFonts w:ascii="Calibri" w:hAnsi="Calibri"/>
          <w:noProof/>
        </w:rPr>
        <mc:AlternateContent>
          <mc:Choice Requires="wpg">
            <w:drawing>
              <wp:anchor distT="0" distB="0" distL="114300" distR="114300" simplePos="0" relativeHeight="251668480" behindDoc="1" locked="0" layoutInCell="1" allowOverlap="1" wp14:anchorId="23178622" wp14:editId="5881921A">
                <wp:simplePos x="0" y="0"/>
                <wp:positionH relativeFrom="page">
                  <wp:posOffset>1094105</wp:posOffset>
                </wp:positionH>
                <wp:positionV relativeFrom="paragraph">
                  <wp:posOffset>200660</wp:posOffset>
                </wp:positionV>
                <wp:extent cx="5376545" cy="0"/>
                <wp:effectExtent l="1905" t="4445" r="19050" b="8255"/>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76545" cy="0"/>
                          <a:chOff x="1723" y="317"/>
                          <a:chExt cx="8467" cy="0"/>
                        </a:xfrm>
                      </wpg:grpSpPr>
                      <wps:wsp>
                        <wps:cNvPr id="16" name="Freeform 16"/>
                        <wps:cNvSpPr>
                          <a:spLocks/>
                        </wps:cNvSpPr>
                        <wps:spPr bwMode="auto">
                          <a:xfrm>
                            <a:off x="1723" y="317"/>
                            <a:ext cx="8467" cy="0"/>
                          </a:xfrm>
                          <a:custGeom>
                            <a:avLst/>
                            <a:gdLst>
                              <a:gd name="T0" fmla="+- 0 1723 1723"/>
                              <a:gd name="T1" fmla="*/ T0 w 8467"/>
                              <a:gd name="T2" fmla="+- 0 10190 1723"/>
                              <a:gd name="T3" fmla="*/ T2 w 8467"/>
                            </a:gdLst>
                            <a:ahLst/>
                            <a:cxnLst>
                              <a:cxn ang="0">
                                <a:pos x="T1" y="0"/>
                              </a:cxn>
                              <a:cxn ang="0">
                                <a:pos x="T3" y="0"/>
                              </a:cxn>
                            </a:cxnLst>
                            <a:rect l="0" t="0" r="r" b="b"/>
                            <a:pathLst>
                              <a:path w="8467">
                                <a:moveTo>
                                  <a:pt x="0" y="0"/>
                                </a:moveTo>
                                <a:lnTo>
                                  <a:pt x="8467" y="0"/>
                                </a:lnTo>
                              </a:path>
                            </a:pathLst>
                          </a:custGeom>
                          <a:noFill/>
                          <a:ln w="7366">
                            <a:solidFill>
                              <a:srgbClr val="000000">
                                <a:alpha val="16000"/>
                              </a:srgb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5" o:spid="_x0000_s1026" style="position:absolute;margin-left:86.15pt;margin-top:15.8pt;width:423.35pt;height:0;z-index:-251648000;mso-position-horizontal-relative:page" coordorigin="1723,317" coordsize="8467,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5TRmcDAAADCAAADgAAAGRycy9lMm9Eb2MueG1spFVZb9s4EH5fYP8DwccuHEm2LCdCnKLwESzQ&#10;C4j7A2iKOrASqSVpy2nR/97hULJVB8EuWj/IQ85wjm+u+7enpiZHoU2l5JJGNyElQnKVVbJY0i+7&#10;7eSWEmOZzFitpFjSZ2Ho24c//7jv2lRMVanqTGgCSqRJu3ZJS2vbNAgML0XDzI1qhQRmrnTDLBx1&#10;EWSadaC9qYNpGCZBp3TWasWFMXC79kz6gPrzXHD7Kc+NsKReUvDN4lfjd+++wcM9SwvN2rLivRvs&#10;F7xoWCXB6FnVmllGDrp6oaqpuFZG5faGqyZQeV5xgTFANFF4Fc2jVocWYynSrmjPMAG0Vzj9slr+&#10;8fhZkyqD3M0pkayBHKFZAmcAp2uLFGQedfvUftY+QiDfK/6PAXZwzXfnwguTffdBZaCPHaxCcE65&#10;bpwKCJucMAfP5xyIkyUcLuezRTKPwRd+4fESkuheRIvpjBJgzKKFTx0vN/3D2zhZjF4FLPXm0MXe&#10;JRcP1Jm5QGl+D8qnkrUCM2QcTAOUyQDlVgvhipdEiUcTxQYozRjHEcc5aQDu/0TwJR4DjK+hwVJ+&#10;MPZRKEwEO7431rdABhSmN+urYAftkjc1dMNfExISZwo/fcucxaJB7E1AdiHpCJrulQ66poOQ1xVG&#10;d17jtTLIrrfplE1HyiCdxeAiKwev+Un2bgNFmJs5IVZaq4yrlx04N5QRaAAhF+Irsr6ycCQMsv6/&#10;N6FhmFyPEU0JjJG9D6Nl1nnmTDiSdEuKWLiLRh3FTiHLXtU+GLlwazmW8lkcReDZ8MIZgPbzBBp1&#10;vo5SK9W2qmtMQy2dK4tZkiA2RtVV5pjOG6OL/arW5MjcgMQfCrG6LZm/jRK4dhGChV7c02M9MKlk&#10;htZKwbJNT1tW1Z6GtzWCDwXaY+RKFUfkt7vwbnO7uY0n8TTZTOIwyybvtqt4kmyjxXw9W69W6+i7&#10;cyuK07LKMiGd+8O4juL/18P94vCD9jywX0dji78h8Euwwc9uIBYQy/DvkzG0sJ84e5U9Qztr5fcP&#10;7EsgSqW/UtLB7llS8++BaUFJ/beEiXQXxbFbVniI54spHPSYsx9zmOSgakkthQ5w5Mr6BXdodVWU&#10;YCnClEr1DgZxXrmGh6FoUu9Vf4ChiBRuGoyl34pulY3PKHXZ3Q8/AAAA//8DAFBLAwQUAAYACAAA&#10;ACEAlAIRpd4AAAAKAQAADwAAAGRycy9kb3ducmV2LnhtbEyPQUvDQBCF74L/YRnBm91sg1VjNqUU&#10;9VQEW0G8TbPTJDS7G7LbJP33TvGgx/fm4817+XKyrRioD413GtQsAUGu9KZxlYbP3evdI4gQ0Rls&#10;vSMNZwqwLK6vcsyMH90HDdtYCQ5xIUMNdYxdJmUoa7IYZr4jx7eD7y1Gln0lTY8jh9tWzpNkIS02&#10;jj/U2NG6pvK4PVkNbyOOq1S9DJvjYX3+3t2/f20UaX17M62eQUSa4h8Ml/pcHQrutPcnZ4JoWT/M&#10;U0Y1pGoB4gIk6onX7X8dWeTy/4TiBwAA//8DAFBLAQItABQABgAIAAAAIQDkmcPA+wAAAOEBAAAT&#10;AAAAAAAAAAAAAAAAAAAAAABbQ29udGVudF9UeXBlc10ueG1sUEsBAi0AFAAGAAgAAAAhACOyauHX&#10;AAAAlAEAAAsAAAAAAAAAAAAAAAAALAEAAF9yZWxzLy5yZWxzUEsBAi0AFAAGAAgAAAAhAPuOU0Zn&#10;AwAAAwgAAA4AAAAAAAAAAAAAAAAALAIAAGRycy9lMm9Eb2MueG1sUEsBAi0AFAAGAAgAAAAhAJQC&#10;EaXeAAAACgEAAA8AAAAAAAAAAAAAAAAAvwUAAGRycy9kb3ducmV2LnhtbFBLBQYAAAAABAAEAPMA&#10;AADKBgAAAAA=&#10;">
                <v:polyline id="Freeform 16" o:spid="_x0000_s1027" style="position:absolute;visibility:visible;mso-wrap-style:square;v-text-anchor:top" points="1723,317,10190,317" coordsize="8467,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cw1ekwgAA&#10;ANsAAAAPAAAAZHJzL2Rvd25yZXYueG1sRE9La8JAEL4X/A/LCL3VjSISUldpBcFTi4kgvQ3ZMQ+z&#10;syG7MWl/fVcQvM3H95z1djSNuFHnKssK5rMIBHFudcWFglO2f4tBOI+ssbFMCn7JwXYzeVljou3A&#10;R7qlvhAhhF2CCkrv20RKl5dk0M1sSxy4i+0M+gC7QuoOhxBuGrmIopU0WHFoKLGlXUn5Ne2Ngp92&#10;WWfL7/4rHrK+nn+m9Tnu/5R6nY4f7yA8jf4pfrgPOsxfwf2XcIDc/AM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NzDV6TCAAAA2wAAAA8AAAAAAAAAAAAAAAAAlwIAAGRycy9kb3du&#10;cmV2LnhtbFBLBQYAAAAABAAEAPUAAACGAwAAAAA=&#10;" filled="f" strokeweight=".58pt">
                  <v:stroke opacity="10537f"/>
                  <v:path arrowok="t" o:connecttype="custom" o:connectlocs="0,0;8467,0" o:connectangles="0,0"/>
                </v:polyline>
                <w10:wrap anchorx="page"/>
              </v:group>
            </w:pict>
          </mc:Fallback>
        </mc:AlternateContent>
      </w:r>
      <w:r w:rsidR="005B4F9D" w:rsidRPr="009A1FED">
        <w:rPr>
          <w:rFonts w:ascii="Calibri" w:hAnsi="Calibri"/>
          <w:b/>
          <w:w w:val="101"/>
          <w:sz w:val="23"/>
          <w:szCs w:val="23"/>
        </w:rPr>
        <w:t>II.</w:t>
      </w:r>
      <w:r w:rsidR="005B4F9D" w:rsidRPr="009A1FED">
        <w:rPr>
          <w:rFonts w:ascii="Calibri" w:hAnsi="Calibri"/>
          <w:b/>
          <w:w w:val="101"/>
          <w:sz w:val="23"/>
          <w:szCs w:val="23"/>
        </w:rPr>
        <w:tab/>
      </w:r>
      <w:r w:rsidR="0073125F" w:rsidRPr="009A1FED">
        <w:rPr>
          <w:rFonts w:ascii="Calibri" w:hAnsi="Calibri"/>
          <w:b/>
          <w:w w:val="101"/>
          <w:sz w:val="23"/>
          <w:szCs w:val="23"/>
        </w:rPr>
        <w:t>EXECUTIVE SUMMARY</w:t>
      </w:r>
    </w:p>
    <w:p w14:paraId="04B8BCE8" w14:textId="77777777" w:rsidR="00357BAF" w:rsidRPr="009A1FED" w:rsidRDefault="00357BAF" w:rsidP="00444D4B">
      <w:pPr>
        <w:spacing w:before="25"/>
        <w:ind w:left="112"/>
        <w:jc w:val="both"/>
        <w:rPr>
          <w:rFonts w:ascii="Calibri" w:hAnsi="Calibri"/>
          <w:sz w:val="23"/>
          <w:szCs w:val="23"/>
        </w:rPr>
      </w:pPr>
    </w:p>
    <w:p w14:paraId="0072FDF2" w14:textId="245D1F4F" w:rsidR="00E81626" w:rsidRPr="009A1FED" w:rsidRDefault="00ED7039" w:rsidP="00444D4B">
      <w:pPr>
        <w:pStyle w:val="ListParagraph"/>
        <w:numPr>
          <w:ilvl w:val="0"/>
          <w:numId w:val="5"/>
        </w:numPr>
        <w:jc w:val="both"/>
        <w:rPr>
          <w:rFonts w:ascii="Calibri" w:hAnsi="Calibri"/>
          <w:szCs w:val="22"/>
        </w:rPr>
      </w:pPr>
      <w:r w:rsidRPr="009A1FED">
        <w:rPr>
          <w:rFonts w:ascii="Calibri" w:hAnsi="Calibri"/>
          <w:spacing w:val="-1"/>
          <w:szCs w:val="22"/>
        </w:rPr>
        <w:t>Thailand is home to</w:t>
      </w:r>
      <w:r w:rsidR="00157070" w:rsidRPr="009A1FED">
        <w:rPr>
          <w:rFonts w:ascii="Calibri" w:hAnsi="Calibri"/>
          <w:spacing w:val="-1"/>
          <w:szCs w:val="22"/>
        </w:rPr>
        <w:t xml:space="preserve"> </w:t>
      </w:r>
      <w:r w:rsidR="002C04AA" w:rsidRPr="009A1FED">
        <w:rPr>
          <w:rFonts w:ascii="Calibri" w:hAnsi="Calibri"/>
          <w:spacing w:val="-1"/>
          <w:szCs w:val="22"/>
        </w:rPr>
        <w:t>an estimated 3.7 million migrants</w:t>
      </w:r>
      <w:r w:rsidR="006930C0" w:rsidRPr="009A1FED">
        <w:rPr>
          <w:rFonts w:ascii="Calibri" w:hAnsi="Calibri"/>
          <w:spacing w:val="-1"/>
          <w:szCs w:val="22"/>
        </w:rPr>
        <w:t xml:space="preserve"> – one of the largest populations in Southeast Asia. A</w:t>
      </w:r>
      <w:r w:rsidR="00D249DF" w:rsidRPr="009A1FED">
        <w:rPr>
          <w:rFonts w:ascii="Calibri" w:hAnsi="Calibri"/>
          <w:spacing w:val="-1"/>
          <w:szCs w:val="22"/>
        </w:rPr>
        <w:t>n estimated</w:t>
      </w:r>
      <w:r w:rsidR="00157070" w:rsidRPr="009A1FED">
        <w:rPr>
          <w:rFonts w:ascii="Calibri" w:hAnsi="Calibri"/>
          <w:spacing w:val="-1"/>
          <w:szCs w:val="22"/>
        </w:rPr>
        <w:t xml:space="preserve"> 130,000 </w:t>
      </w:r>
      <w:r w:rsidR="006930C0" w:rsidRPr="009A1FED">
        <w:rPr>
          <w:rFonts w:ascii="Calibri" w:hAnsi="Calibri"/>
          <w:spacing w:val="-1"/>
          <w:szCs w:val="22"/>
        </w:rPr>
        <w:t xml:space="preserve">of these migrants </w:t>
      </w:r>
      <w:r w:rsidR="002C04AA" w:rsidRPr="009A1FED">
        <w:rPr>
          <w:rFonts w:ascii="Calibri" w:hAnsi="Calibri"/>
          <w:spacing w:val="-1"/>
          <w:szCs w:val="22"/>
        </w:rPr>
        <w:t xml:space="preserve">are </w:t>
      </w:r>
      <w:r w:rsidR="00EB090C" w:rsidRPr="009A1FED">
        <w:rPr>
          <w:rFonts w:ascii="Calibri" w:hAnsi="Calibri"/>
          <w:spacing w:val="-1"/>
          <w:szCs w:val="22"/>
        </w:rPr>
        <w:t>asylum seekers and refugees</w:t>
      </w:r>
      <w:r w:rsidR="0028551C" w:rsidRPr="009A1FED">
        <w:rPr>
          <w:rFonts w:ascii="Calibri" w:hAnsi="Calibri"/>
          <w:spacing w:val="-1"/>
          <w:szCs w:val="22"/>
        </w:rPr>
        <w:t>,</w:t>
      </w:r>
      <w:r w:rsidR="009263EA" w:rsidRPr="009A1FED">
        <w:rPr>
          <w:rStyle w:val="EndnoteReference"/>
          <w:rFonts w:ascii="Calibri" w:hAnsi="Calibri"/>
          <w:spacing w:val="-1"/>
          <w:szCs w:val="22"/>
        </w:rPr>
        <w:endnoteReference w:id="1"/>
      </w:r>
      <w:r w:rsidR="00467DA3" w:rsidRPr="009A1FED">
        <w:rPr>
          <w:rFonts w:ascii="Calibri" w:hAnsi="Calibri"/>
          <w:spacing w:val="-1"/>
          <w:szCs w:val="22"/>
        </w:rPr>
        <w:t xml:space="preserve"> </w:t>
      </w:r>
      <w:r w:rsidR="008A4AEC" w:rsidRPr="009A1FED">
        <w:rPr>
          <w:rFonts w:ascii="Calibri" w:hAnsi="Calibri"/>
          <w:spacing w:val="-1"/>
          <w:szCs w:val="22"/>
        </w:rPr>
        <w:t>90</w:t>
      </w:r>
      <w:r w:rsidR="00157070" w:rsidRPr="009A1FED">
        <w:rPr>
          <w:rFonts w:ascii="Calibri" w:hAnsi="Calibri"/>
          <w:spacing w:val="-1"/>
          <w:szCs w:val="22"/>
        </w:rPr>
        <w:t xml:space="preserve"> percent of </w:t>
      </w:r>
      <w:r w:rsidR="00434C82" w:rsidRPr="009A1FED">
        <w:rPr>
          <w:rFonts w:ascii="Calibri" w:hAnsi="Calibri"/>
          <w:spacing w:val="-1"/>
          <w:szCs w:val="22"/>
        </w:rPr>
        <w:t>who</w:t>
      </w:r>
      <w:r w:rsidR="0028551C" w:rsidRPr="009A1FED">
        <w:rPr>
          <w:rFonts w:ascii="Calibri" w:hAnsi="Calibri"/>
          <w:spacing w:val="-1"/>
          <w:szCs w:val="22"/>
        </w:rPr>
        <w:t xml:space="preserve"> </w:t>
      </w:r>
      <w:r w:rsidR="00157070" w:rsidRPr="009A1FED">
        <w:rPr>
          <w:rFonts w:ascii="Calibri" w:hAnsi="Calibri"/>
          <w:spacing w:val="-1"/>
          <w:szCs w:val="22"/>
        </w:rPr>
        <w:t xml:space="preserve">are from neighboring Myanmar and have been living in camps along the Thailand-Myanmar border for more than two decades. </w:t>
      </w:r>
      <w:r w:rsidR="0028551C" w:rsidRPr="009A1FED">
        <w:rPr>
          <w:rFonts w:ascii="Calibri" w:hAnsi="Calibri"/>
          <w:spacing w:val="-1"/>
          <w:szCs w:val="22"/>
        </w:rPr>
        <w:t xml:space="preserve">An estimated </w:t>
      </w:r>
      <w:r w:rsidR="00157070" w:rsidRPr="009A1FED">
        <w:rPr>
          <w:rFonts w:ascii="Calibri" w:hAnsi="Calibri"/>
          <w:spacing w:val="-1"/>
          <w:szCs w:val="22"/>
        </w:rPr>
        <w:t xml:space="preserve">10,000 </w:t>
      </w:r>
      <w:r w:rsidR="00EB090C" w:rsidRPr="009A1FED">
        <w:rPr>
          <w:rFonts w:ascii="Calibri" w:hAnsi="Calibri"/>
          <w:spacing w:val="-1"/>
          <w:szCs w:val="22"/>
        </w:rPr>
        <w:t>asylum seekers and refugees</w:t>
      </w:r>
      <w:r w:rsidR="00157070" w:rsidRPr="009A1FED">
        <w:rPr>
          <w:rFonts w:ascii="Calibri" w:hAnsi="Calibri"/>
          <w:spacing w:val="-1"/>
          <w:szCs w:val="22"/>
        </w:rPr>
        <w:t xml:space="preserve"> representing more than 40 nationalities</w:t>
      </w:r>
      <w:r w:rsidR="0028551C" w:rsidRPr="009A1FED">
        <w:rPr>
          <w:rFonts w:ascii="Calibri" w:hAnsi="Calibri"/>
          <w:spacing w:val="-1"/>
          <w:szCs w:val="22"/>
        </w:rPr>
        <w:t xml:space="preserve"> live outside the camps in urban areas</w:t>
      </w:r>
      <w:r w:rsidR="00157070" w:rsidRPr="009A1FED">
        <w:rPr>
          <w:rFonts w:ascii="Calibri" w:hAnsi="Calibri"/>
          <w:spacing w:val="-1"/>
          <w:szCs w:val="22"/>
        </w:rPr>
        <w:t>.</w:t>
      </w:r>
      <w:r w:rsidR="009263EA" w:rsidRPr="009A1FED">
        <w:rPr>
          <w:rStyle w:val="EndnoteReference"/>
          <w:rFonts w:ascii="Calibri" w:hAnsi="Calibri"/>
          <w:spacing w:val="-1"/>
          <w:szCs w:val="22"/>
        </w:rPr>
        <w:endnoteReference w:id="2"/>
      </w:r>
      <w:r w:rsidR="00157070" w:rsidRPr="009A1FED">
        <w:rPr>
          <w:rFonts w:ascii="Calibri" w:hAnsi="Calibri"/>
          <w:spacing w:val="-1"/>
          <w:szCs w:val="22"/>
        </w:rPr>
        <w:t xml:space="preserve"> </w:t>
      </w:r>
      <w:r w:rsidR="00EB090C" w:rsidRPr="009A1FED">
        <w:rPr>
          <w:rFonts w:ascii="Calibri" w:hAnsi="Calibri"/>
          <w:spacing w:val="-1"/>
          <w:szCs w:val="22"/>
        </w:rPr>
        <w:t>Asylum seekers and refugees</w:t>
      </w:r>
      <w:r w:rsidR="00157070" w:rsidRPr="009A1FED">
        <w:rPr>
          <w:rFonts w:ascii="Calibri" w:hAnsi="Calibri"/>
          <w:spacing w:val="-1"/>
          <w:szCs w:val="22"/>
        </w:rPr>
        <w:t xml:space="preserve"> </w:t>
      </w:r>
      <w:r w:rsidRPr="009A1FED">
        <w:rPr>
          <w:rFonts w:ascii="Calibri" w:hAnsi="Calibri"/>
          <w:spacing w:val="-1"/>
          <w:szCs w:val="22"/>
        </w:rPr>
        <w:t xml:space="preserve">in Thailand </w:t>
      </w:r>
      <w:r w:rsidR="00D249DF" w:rsidRPr="009A1FED">
        <w:rPr>
          <w:rFonts w:ascii="Calibri" w:hAnsi="Calibri"/>
          <w:spacing w:val="-1"/>
          <w:szCs w:val="22"/>
        </w:rPr>
        <w:t xml:space="preserve">have </w:t>
      </w:r>
      <w:r w:rsidR="00237FDC" w:rsidRPr="009A1FED">
        <w:rPr>
          <w:rFonts w:ascii="Calibri" w:hAnsi="Calibri"/>
          <w:spacing w:val="-1"/>
          <w:szCs w:val="22"/>
        </w:rPr>
        <w:t xml:space="preserve">no </w:t>
      </w:r>
      <w:r w:rsidR="009263EA" w:rsidRPr="009A1FED">
        <w:rPr>
          <w:rFonts w:ascii="Calibri" w:hAnsi="Calibri"/>
          <w:spacing w:val="-1"/>
          <w:szCs w:val="22"/>
        </w:rPr>
        <w:t xml:space="preserve">legal status, face </w:t>
      </w:r>
      <w:r w:rsidR="002274D1" w:rsidRPr="009A1FED">
        <w:rPr>
          <w:rFonts w:ascii="Calibri" w:hAnsi="Calibri"/>
          <w:spacing w:val="-1"/>
          <w:szCs w:val="22"/>
        </w:rPr>
        <w:t xml:space="preserve">constant </w:t>
      </w:r>
      <w:r w:rsidR="009263EA" w:rsidRPr="009A1FED">
        <w:rPr>
          <w:rFonts w:ascii="Calibri" w:hAnsi="Calibri"/>
          <w:spacing w:val="-1"/>
          <w:szCs w:val="22"/>
        </w:rPr>
        <w:t>discrimination</w:t>
      </w:r>
      <w:r w:rsidR="002C04AA" w:rsidRPr="009A1FED">
        <w:rPr>
          <w:rFonts w:ascii="Calibri" w:hAnsi="Calibri"/>
          <w:spacing w:val="-1"/>
          <w:szCs w:val="22"/>
        </w:rPr>
        <w:t>,</w:t>
      </w:r>
      <w:r w:rsidR="00157070" w:rsidRPr="009A1FED">
        <w:rPr>
          <w:rFonts w:ascii="Calibri" w:hAnsi="Calibri"/>
          <w:spacing w:val="-1"/>
          <w:szCs w:val="22"/>
        </w:rPr>
        <w:t xml:space="preserve"> and are at risk of</w:t>
      </w:r>
      <w:r w:rsidR="009F3C0B" w:rsidRPr="009A1FED">
        <w:rPr>
          <w:rFonts w:ascii="Calibri" w:hAnsi="Calibri"/>
          <w:spacing w:val="-1"/>
          <w:szCs w:val="22"/>
        </w:rPr>
        <w:t xml:space="preserve"> arbitrary</w:t>
      </w:r>
      <w:r w:rsidR="008A4AEC" w:rsidRPr="009A1FED">
        <w:rPr>
          <w:rFonts w:ascii="Calibri" w:hAnsi="Calibri"/>
          <w:spacing w:val="-1"/>
          <w:szCs w:val="22"/>
        </w:rPr>
        <w:t xml:space="preserve"> arrest and </w:t>
      </w:r>
      <w:r w:rsidR="00157070" w:rsidRPr="009A1FED">
        <w:rPr>
          <w:rFonts w:ascii="Calibri" w:hAnsi="Calibri"/>
          <w:spacing w:val="-1"/>
          <w:szCs w:val="22"/>
        </w:rPr>
        <w:t xml:space="preserve">detention, refoulement, and exploitation. </w:t>
      </w:r>
      <w:r w:rsidR="00434C82" w:rsidRPr="009A1FED">
        <w:rPr>
          <w:rFonts w:ascii="Calibri" w:hAnsi="Calibri"/>
          <w:spacing w:val="-1"/>
          <w:szCs w:val="22"/>
        </w:rPr>
        <w:t>Access to justice is</w:t>
      </w:r>
      <w:r w:rsidR="00157070" w:rsidRPr="009A1FED">
        <w:rPr>
          <w:rFonts w:ascii="Calibri" w:hAnsi="Calibri"/>
          <w:spacing w:val="-1"/>
          <w:szCs w:val="22"/>
        </w:rPr>
        <w:t xml:space="preserve"> limited </w:t>
      </w:r>
      <w:r w:rsidR="0028551C" w:rsidRPr="009A1FED">
        <w:rPr>
          <w:rFonts w:ascii="Calibri" w:hAnsi="Calibri"/>
          <w:spacing w:val="-1"/>
          <w:szCs w:val="22"/>
        </w:rPr>
        <w:t>and little relief is possible for human rights violations</w:t>
      </w:r>
      <w:r w:rsidR="006D2623" w:rsidRPr="009A1FED">
        <w:rPr>
          <w:rFonts w:ascii="Calibri" w:hAnsi="Calibri"/>
          <w:spacing w:val="-1"/>
          <w:szCs w:val="22"/>
          <w:lang w:val="en-AU"/>
        </w:rPr>
        <w:t>.</w:t>
      </w:r>
    </w:p>
    <w:p w14:paraId="033E8D39" w14:textId="77777777" w:rsidR="0028551C" w:rsidRPr="009A1FED" w:rsidRDefault="0028551C" w:rsidP="000F35B0">
      <w:pPr>
        <w:pStyle w:val="ListParagraph"/>
        <w:ind w:left="360"/>
        <w:jc w:val="both"/>
        <w:rPr>
          <w:rFonts w:ascii="Calibri" w:hAnsi="Calibri"/>
          <w:szCs w:val="22"/>
        </w:rPr>
      </w:pPr>
    </w:p>
    <w:p w14:paraId="02CF3469" w14:textId="7B1C21F9" w:rsidR="00467DA3" w:rsidRPr="00C1202C" w:rsidRDefault="00467DA3" w:rsidP="00C1202C">
      <w:pPr>
        <w:pStyle w:val="ListParagraph"/>
        <w:numPr>
          <w:ilvl w:val="0"/>
          <w:numId w:val="5"/>
        </w:numPr>
        <w:jc w:val="both"/>
        <w:rPr>
          <w:rFonts w:ascii="Calibri" w:hAnsi="Calibri"/>
          <w:szCs w:val="22"/>
        </w:rPr>
      </w:pPr>
      <w:r w:rsidRPr="00C1202C">
        <w:rPr>
          <w:rFonts w:ascii="Calibri" w:hAnsi="Calibri"/>
          <w:szCs w:val="22"/>
        </w:rPr>
        <w:t xml:space="preserve">This </w:t>
      </w:r>
      <w:r w:rsidR="00D249DF" w:rsidRPr="00C1202C">
        <w:rPr>
          <w:rFonts w:ascii="Calibri" w:hAnsi="Calibri"/>
          <w:szCs w:val="22"/>
        </w:rPr>
        <w:t xml:space="preserve">submission </w:t>
      </w:r>
      <w:r w:rsidRPr="00C1202C">
        <w:rPr>
          <w:rFonts w:ascii="Calibri" w:hAnsi="Calibri"/>
          <w:szCs w:val="22"/>
        </w:rPr>
        <w:t xml:space="preserve">highlights violations of the rights of </w:t>
      </w:r>
      <w:r w:rsidR="00EB090C" w:rsidRPr="00C1202C">
        <w:rPr>
          <w:rFonts w:ascii="Calibri" w:hAnsi="Calibri"/>
          <w:szCs w:val="22"/>
        </w:rPr>
        <w:t>asylum seekers and refugees</w:t>
      </w:r>
      <w:r w:rsidRPr="00C1202C">
        <w:rPr>
          <w:rFonts w:ascii="Calibri" w:hAnsi="Calibri"/>
          <w:szCs w:val="22"/>
        </w:rPr>
        <w:t xml:space="preserve"> in Thailand that have occurred </w:t>
      </w:r>
      <w:r w:rsidR="009D677C" w:rsidRPr="00C1202C">
        <w:rPr>
          <w:rFonts w:ascii="Calibri" w:hAnsi="Calibri"/>
          <w:szCs w:val="22"/>
        </w:rPr>
        <w:t>between 2011 to 2016</w:t>
      </w:r>
      <w:r w:rsidRPr="00C1202C">
        <w:rPr>
          <w:rFonts w:ascii="Calibri" w:hAnsi="Calibri"/>
          <w:szCs w:val="22"/>
        </w:rPr>
        <w:t>; namely</w:t>
      </w:r>
      <w:r w:rsidR="009263EA" w:rsidRPr="00C1202C">
        <w:rPr>
          <w:rFonts w:ascii="Calibri" w:hAnsi="Calibri"/>
          <w:szCs w:val="22"/>
        </w:rPr>
        <w:t xml:space="preserve"> </w:t>
      </w:r>
      <w:r w:rsidR="00C1202C">
        <w:rPr>
          <w:rFonts w:ascii="Calibri" w:hAnsi="Calibri"/>
          <w:szCs w:val="22"/>
        </w:rPr>
        <w:t>the denial of (i</w:t>
      </w:r>
      <w:r w:rsidRPr="00C1202C">
        <w:rPr>
          <w:rFonts w:ascii="Calibri" w:hAnsi="Calibri"/>
          <w:szCs w:val="22"/>
        </w:rPr>
        <w:t xml:space="preserve">) the </w:t>
      </w:r>
      <w:r w:rsidR="00C1202C">
        <w:rPr>
          <w:rFonts w:ascii="Calibri" w:hAnsi="Calibri"/>
          <w:szCs w:val="22"/>
        </w:rPr>
        <w:t>right to life and the prohibition against torture under Article 6 and 7 respectively; and (ii</w:t>
      </w:r>
      <w:r w:rsidR="009263EA" w:rsidRPr="00C1202C">
        <w:rPr>
          <w:rFonts w:ascii="Calibri" w:hAnsi="Calibri"/>
          <w:szCs w:val="22"/>
        </w:rPr>
        <w:t xml:space="preserve">) </w:t>
      </w:r>
      <w:r w:rsidR="00C1202C">
        <w:rPr>
          <w:rFonts w:ascii="Calibri" w:hAnsi="Calibri"/>
          <w:szCs w:val="22"/>
        </w:rPr>
        <w:t xml:space="preserve">the prohibition of arbitrary detention, </w:t>
      </w:r>
      <w:r w:rsidR="00626D75">
        <w:rPr>
          <w:rFonts w:ascii="Calibri" w:hAnsi="Calibri"/>
          <w:szCs w:val="22"/>
        </w:rPr>
        <w:t>humane conditions of detention</w:t>
      </w:r>
      <w:r w:rsidR="00C1202C" w:rsidRPr="00C1202C">
        <w:rPr>
          <w:rFonts w:ascii="Calibri" w:hAnsi="Calibri"/>
          <w:szCs w:val="22"/>
        </w:rPr>
        <w:t xml:space="preserve">, and </w:t>
      </w:r>
      <w:r w:rsidR="00626D75">
        <w:rPr>
          <w:rFonts w:ascii="Calibri" w:hAnsi="Calibri"/>
          <w:szCs w:val="22"/>
        </w:rPr>
        <w:t xml:space="preserve">the </w:t>
      </w:r>
      <w:r w:rsidR="00C1202C" w:rsidRPr="00C1202C">
        <w:rPr>
          <w:rFonts w:ascii="Calibri" w:hAnsi="Calibri"/>
          <w:szCs w:val="22"/>
        </w:rPr>
        <w:t xml:space="preserve">rights </w:t>
      </w:r>
      <w:r w:rsidR="00C1202C">
        <w:rPr>
          <w:rFonts w:ascii="Calibri" w:hAnsi="Calibri"/>
          <w:szCs w:val="22"/>
        </w:rPr>
        <w:t xml:space="preserve">of the child under Article 9, 10, and 24 respectively. </w:t>
      </w:r>
    </w:p>
    <w:p w14:paraId="16FA451C" w14:textId="77777777" w:rsidR="001E7634" w:rsidRPr="009A1FED" w:rsidRDefault="001E7634" w:rsidP="001E7634">
      <w:pPr>
        <w:jc w:val="both"/>
        <w:rPr>
          <w:rFonts w:ascii="Calibri" w:hAnsi="Calibri"/>
          <w:szCs w:val="22"/>
        </w:rPr>
      </w:pPr>
    </w:p>
    <w:p w14:paraId="5C29F16C" w14:textId="582BEDFD" w:rsidR="001E7634" w:rsidRPr="009A1FED" w:rsidRDefault="00E82473" w:rsidP="001E7634">
      <w:pPr>
        <w:pStyle w:val="ListParagraph"/>
        <w:numPr>
          <w:ilvl w:val="0"/>
          <w:numId w:val="5"/>
        </w:numPr>
        <w:jc w:val="both"/>
        <w:rPr>
          <w:rFonts w:ascii="Calibri" w:hAnsi="Calibri"/>
          <w:szCs w:val="22"/>
        </w:rPr>
      </w:pPr>
      <w:r w:rsidRPr="009A1FED">
        <w:rPr>
          <w:rFonts w:ascii="Calibri" w:hAnsi="Calibri"/>
          <w:spacing w:val="-1"/>
          <w:szCs w:val="22"/>
          <w:lang w:val="en-AU"/>
        </w:rPr>
        <w:t>Since r</w:t>
      </w:r>
      <w:r w:rsidR="001E7634" w:rsidRPr="009A1FED">
        <w:rPr>
          <w:rFonts w:ascii="Calibri" w:hAnsi="Calibri"/>
          <w:spacing w:val="-1"/>
          <w:szCs w:val="22"/>
          <w:lang w:val="en-AU"/>
        </w:rPr>
        <w:t>efugee status is declaratory and not dependent on adjudication</w:t>
      </w:r>
      <w:r w:rsidRPr="009A1FED">
        <w:rPr>
          <w:rFonts w:ascii="Calibri" w:hAnsi="Calibri"/>
          <w:spacing w:val="-1"/>
          <w:szCs w:val="22"/>
          <w:lang w:val="en-AU"/>
        </w:rPr>
        <w:t>,</w:t>
      </w:r>
      <w:r w:rsidR="001E7634" w:rsidRPr="009A1FED">
        <w:rPr>
          <w:rFonts w:ascii="Calibri" w:hAnsi="Calibri"/>
          <w:spacing w:val="-1"/>
          <w:szCs w:val="22"/>
          <w:lang w:val="en-AU"/>
        </w:rPr>
        <w:t xml:space="preserve"> any person who satisfies the definition under the Convention Relating to the Status of Refugees (Refugee Convention) is a refugee.</w:t>
      </w:r>
      <w:r w:rsidR="001E7634" w:rsidRPr="009A1FED">
        <w:rPr>
          <w:rStyle w:val="EndnoteReference"/>
          <w:rFonts w:ascii="Calibri" w:hAnsi="Calibri"/>
          <w:spacing w:val="-1"/>
          <w:szCs w:val="22"/>
          <w:lang w:val="en-AU"/>
        </w:rPr>
        <w:endnoteReference w:id="3"/>
      </w:r>
      <w:r w:rsidR="001E7634" w:rsidRPr="009A1FED">
        <w:rPr>
          <w:rFonts w:ascii="Calibri" w:hAnsi="Calibri"/>
          <w:spacing w:val="-1"/>
          <w:szCs w:val="22"/>
          <w:lang w:val="en-AU"/>
        </w:rPr>
        <w:t xml:space="preserve"> For purposes of this </w:t>
      </w:r>
      <w:r w:rsidR="007F50EF" w:rsidRPr="009A1FED">
        <w:rPr>
          <w:rFonts w:ascii="Calibri" w:hAnsi="Calibri"/>
          <w:spacing w:val="-1"/>
          <w:szCs w:val="22"/>
          <w:lang w:val="en-AU"/>
        </w:rPr>
        <w:t>submission</w:t>
      </w:r>
      <w:r w:rsidR="001E7634" w:rsidRPr="009A1FED">
        <w:rPr>
          <w:rFonts w:ascii="Calibri" w:hAnsi="Calibri"/>
          <w:spacing w:val="-1"/>
          <w:szCs w:val="22"/>
          <w:lang w:val="en-AU"/>
        </w:rPr>
        <w:t xml:space="preserve">, </w:t>
      </w:r>
      <w:r w:rsidRPr="009A1FED">
        <w:rPr>
          <w:rFonts w:ascii="Calibri" w:hAnsi="Calibri"/>
          <w:spacing w:val="-1"/>
          <w:szCs w:val="22"/>
          <w:lang w:val="en-AU"/>
        </w:rPr>
        <w:t>however, the term “refugee” will be used to refer to any person whose refugee cla</w:t>
      </w:r>
      <w:r w:rsidR="008519A7" w:rsidRPr="009A1FED">
        <w:rPr>
          <w:rFonts w:ascii="Calibri" w:hAnsi="Calibri"/>
          <w:spacing w:val="-1"/>
          <w:szCs w:val="22"/>
          <w:lang w:val="en-AU"/>
        </w:rPr>
        <w:t xml:space="preserve">im has been recognized by </w:t>
      </w:r>
      <w:r w:rsidR="005E6B13" w:rsidRPr="009A1FED">
        <w:rPr>
          <w:rFonts w:ascii="Calibri" w:hAnsi="Calibri"/>
          <w:spacing w:val="-1"/>
          <w:szCs w:val="22"/>
          <w:lang w:val="en-AU"/>
        </w:rPr>
        <w:t>the UN High Commissioner for Refugees (UNHCR)</w:t>
      </w:r>
      <w:r w:rsidR="00542BF4" w:rsidRPr="009A1FED">
        <w:rPr>
          <w:rFonts w:ascii="Calibri" w:hAnsi="Calibri"/>
          <w:spacing w:val="-1"/>
          <w:szCs w:val="22"/>
          <w:lang w:val="en-AU"/>
        </w:rPr>
        <w:t xml:space="preserve"> or through Thailand’s domestic mechanisms, such as the Provincial Admissions Board system</w:t>
      </w:r>
      <w:r w:rsidR="008519A7" w:rsidRPr="009A1FED">
        <w:rPr>
          <w:rFonts w:ascii="Calibri" w:hAnsi="Calibri"/>
          <w:spacing w:val="-1"/>
          <w:szCs w:val="22"/>
          <w:lang w:val="en-AU"/>
        </w:rPr>
        <w:t>. The</w:t>
      </w:r>
      <w:r w:rsidR="001E7634" w:rsidRPr="009A1FED">
        <w:rPr>
          <w:rFonts w:ascii="Calibri" w:hAnsi="Calibri"/>
          <w:spacing w:val="-1"/>
          <w:szCs w:val="22"/>
          <w:lang w:val="en-AU"/>
        </w:rPr>
        <w:t xml:space="preserve"> term “asylum seeker” will be used to refer to </w:t>
      </w:r>
      <w:r w:rsidR="001E7634" w:rsidRPr="009A1FED">
        <w:rPr>
          <w:rFonts w:ascii="Calibri" w:hAnsi="Calibri"/>
          <w:bCs/>
          <w:spacing w:val="-1"/>
          <w:szCs w:val="22"/>
          <w:lang w:val="en-AU"/>
        </w:rPr>
        <w:t>any person seeking to be adjudicated for refugee status who is yet to be recognized as a refugee by UNHCR</w:t>
      </w:r>
      <w:r w:rsidR="00542BF4" w:rsidRPr="009A1FED">
        <w:rPr>
          <w:rFonts w:ascii="Calibri" w:hAnsi="Calibri"/>
          <w:bCs/>
          <w:spacing w:val="-1"/>
          <w:szCs w:val="22"/>
          <w:lang w:val="en-AU"/>
        </w:rPr>
        <w:t xml:space="preserve"> or domestic mechanisms</w:t>
      </w:r>
      <w:r w:rsidR="001E7634" w:rsidRPr="009A1FED">
        <w:rPr>
          <w:rFonts w:ascii="Calibri" w:hAnsi="Calibri"/>
          <w:bCs/>
          <w:spacing w:val="-1"/>
          <w:szCs w:val="22"/>
          <w:lang w:val="en-AU"/>
        </w:rPr>
        <w:t>.</w:t>
      </w:r>
    </w:p>
    <w:p w14:paraId="5DB504E6" w14:textId="77777777" w:rsidR="00177E15" w:rsidRPr="009A1FED" w:rsidRDefault="00177E15" w:rsidP="00444D4B">
      <w:pPr>
        <w:jc w:val="both"/>
        <w:rPr>
          <w:rFonts w:ascii="Calibri" w:hAnsi="Calibri"/>
          <w:szCs w:val="22"/>
        </w:rPr>
      </w:pPr>
    </w:p>
    <w:p w14:paraId="4291ED1F" w14:textId="7C9F13CF" w:rsidR="00177E15" w:rsidRPr="009A1FED" w:rsidRDefault="00384221" w:rsidP="00444D4B">
      <w:pPr>
        <w:pStyle w:val="ListParagraph"/>
        <w:numPr>
          <w:ilvl w:val="0"/>
          <w:numId w:val="5"/>
        </w:numPr>
        <w:jc w:val="both"/>
        <w:rPr>
          <w:rFonts w:ascii="Calibri" w:hAnsi="Calibri"/>
          <w:szCs w:val="22"/>
        </w:rPr>
      </w:pPr>
      <w:r w:rsidRPr="009A1FED">
        <w:rPr>
          <w:rFonts w:ascii="Calibri" w:hAnsi="Calibri"/>
          <w:szCs w:val="22"/>
        </w:rPr>
        <w:t>Asylum Access recommend</w:t>
      </w:r>
      <w:r w:rsidR="00626D75">
        <w:rPr>
          <w:rFonts w:ascii="Calibri" w:hAnsi="Calibri"/>
          <w:szCs w:val="22"/>
        </w:rPr>
        <w:t>s</w:t>
      </w:r>
      <w:r w:rsidR="00997E97" w:rsidRPr="009A1FED">
        <w:rPr>
          <w:rFonts w:ascii="Calibri" w:hAnsi="Calibri"/>
          <w:szCs w:val="22"/>
        </w:rPr>
        <w:t xml:space="preserve"> </w:t>
      </w:r>
      <w:r w:rsidRPr="009A1FED">
        <w:rPr>
          <w:rFonts w:ascii="Calibri" w:hAnsi="Calibri"/>
          <w:szCs w:val="22"/>
        </w:rPr>
        <w:t>that the</w:t>
      </w:r>
      <w:r w:rsidR="00997E97" w:rsidRPr="009A1FED">
        <w:rPr>
          <w:rFonts w:ascii="Calibri" w:hAnsi="Calibri"/>
          <w:szCs w:val="22"/>
        </w:rPr>
        <w:t xml:space="preserve"> following </w:t>
      </w:r>
      <w:r w:rsidRPr="009A1FED">
        <w:rPr>
          <w:rFonts w:ascii="Calibri" w:hAnsi="Calibri"/>
          <w:szCs w:val="22"/>
        </w:rPr>
        <w:t xml:space="preserve">questions be included in the List of Issues on Thailand: </w:t>
      </w:r>
    </w:p>
    <w:p w14:paraId="54A4BD51" w14:textId="1AFFAD76" w:rsidR="00997E97" w:rsidRPr="009A1FED" w:rsidRDefault="00997E97" w:rsidP="00444D4B">
      <w:pPr>
        <w:jc w:val="both"/>
        <w:rPr>
          <w:rFonts w:ascii="Calibri" w:hAnsi="Calibri"/>
          <w:szCs w:val="22"/>
        </w:rPr>
      </w:pPr>
    </w:p>
    <w:p w14:paraId="78932072" w14:textId="7E6EBB97" w:rsidR="00997E97" w:rsidRPr="00F77298" w:rsidRDefault="00605573" w:rsidP="00444D4B">
      <w:pPr>
        <w:ind w:left="360"/>
        <w:jc w:val="both"/>
        <w:rPr>
          <w:rFonts w:ascii="Calibri" w:hAnsi="Calibri"/>
          <w:b/>
          <w:sz w:val="23"/>
          <w:szCs w:val="23"/>
        </w:rPr>
      </w:pPr>
      <w:r w:rsidRPr="00F77298">
        <w:rPr>
          <w:rFonts w:ascii="Calibri" w:hAnsi="Calibri"/>
          <w:noProof/>
          <w:szCs w:val="22"/>
        </w:rPr>
        <mc:AlternateContent>
          <mc:Choice Requires="wps">
            <w:drawing>
              <wp:anchor distT="0" distB="0" distL="114300" distR="114300" simplePos="0" relativeHeight="251755520" behindDoc="1" locked="0" layoutInCell="1" allowOverlap="1" wp14:anchorId="2054DB00" wp14:editId="16409C2F">
                <wp:simplePos x="0" y="0"/>
                <wp:positionH relativeFrom="column">
                  <wp:posOffset>-267335</wp:posOffset>
                </wp:positionH>
                <wp:positionV relativeFrom="paragraph">
                  <wp:posOffset>-82550</wp:posOffset>
                </wp:positionV>
                <wp:extent cx="6400800" cy="5834380"/>
                <wp:effectExtent l="50800" t="25400" r="50800" b="83820"/>
                <wp:wrapNone/>
                <wp:docPr id="37" name="Rectangle 37"/>
                <wp:cNvGraphicFramePr/>
                <a:graphic xmlns:a="http://schemas.openxmlformats.org/drawingml/2006/main">
                  <a:graphicData uri="http://schemas.microsoft.com/office/word/2010/wordprocessingShape">
                    <wps:wsp>
                      <wps:cNvSpPr/>
                      <wps:spPr>
                        <a:xfrm>
                          <a:off x="0" y="0"/>
                          <a:ext cx="6400800" cy="5834380"/>
                        </a:xfrm>
                        <a:prstGeom prst="rect">
                          <a:avLst/>
                        </a:prstGeom>
                        <a:solidFill>
                          <a:schemeClr val="bg1">
                            <a:lumMod val="85000"/>
                          </a:schemeClr>
                        </a:solidFill>
                        <a:ln>
                          <a:noFill/>
                        </a:ln>
                        <a:extLst>
                          <a:ext uri="{FAA26D3D-D897-4be2-8F04-BA451C77F1D7}">
                            <ma14:placeholderFlag xmlns:ma14="http://schemas.microsoft.com/office/mac/drawingml/2011/main"/>
                          </a:ext>
                          <a:ext uri="{C572A759-6A51-4108-AA02-DFA0A04FC94B}">
                            <ma14:wrappingTextBoxFlag xmlns:ma14="http://schemas.microsoft.com/office/mac/drawingml/2011/main"/>
                          </a:ext>
                        </a:extLst>
                      </wps:spPr>
                      <wps:style>
                        <a:lnRef idx="1">
                          <a:schemeClr val="accent1"/>
                        </a:lnRef>
                        <a:fillRef idx="3">
                          <a:schemeClr val="accent1"/>
                        </a:fillRef>
                        <a:effectRef idx="2">
                          <a:schemeClr val="accent1"/>
                        </a:effectRef>
                        <a:fontRef idx="minor">
                          <a:schemeClr val="lt1"/>
                        </a:fontRef>
                      </wps:style>
                      <wps:txbx>
                        <w:txbxContent>
                          <w:p w14:paraId="38963BC5" w14:textId="77777777" w:rsidR="001F587F" w:rsidRDefault="001F587F" w:rsidP="00626D7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7" o:spid="_x0000_s1026" style="position:absolute;left:0;text-align:left;margin-left:-21pt;margin-top:-6.45pt;width:7in;height:459.4pt;z-index:-251560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r56uR0DAADrBgAADgAAAGRycy9lMm9Eb2MueG1stFVbb9MwFH5H4j9Efs+StGmbVkunrFUQ0tim&#10;bWjPruO0kXzDdi8D8d85dtKsGxMgBC+p7XM/5ztfzy8OnAU7qk0jRY6SsxgFVBBZNWKdo88PZZih&#10;wFgsKsykoDl6ogZdzN+/O9+rGR3IjWQV1QE4EWa2VznaWKtmUWTIhnJszqSiAoS11BxbuOp1VGm8&#10;B++cRYM4Hkd7qSulJaHGwOuyFaK591/XlNibujbUBixHkJv1X+2/K/eN5ud4ttZYbRrSpYH/IguO&#10;GwFBe1dLbHGw1c1PrnhDtDSytmdE8kjWdUOorwGqSeJX1dxvsKK+FmiOUX2bzL9zS653tzpoqhwN&#10;JygQmMOM7qBrWKwZDeANGrRXZgZ69+pWdzcDR1ftodbc/UIdwcE39alvKj3YgMDjOI3jLIbeE5CN&#10;smE6zHzbo2dzpY39QCUP3CFHGuL7ZuLdlbEQElSPKi6akaypyoYxf3FIoQumgx2GGa/WiTdlW/5J&#10;Vu1bNoohfuvHA8upe68vPDHh/AnpPLfK7QsUAmk4mSvJD/VbWRSD8XK4DJfZdBKmKzoIszJOw8si&#10;HSWLyaRMlpPvkAjHSTpTDBPaIr1keN2N0Yn+bI4ckxeoT5LI461NEpJ6mdtiNBkUk9E0HBejJEyT&#10;OAuLIh6Ey7KIizgtF9P0ss9tD9BXsDgP4OZSHv5XfjDBYxsjB6cWQP5knxh1BTBxR2tAIkCmHWE/&#10;qnaKmBAqbNLN0Ws7sxqm1RsO/ex/adjp+5Z5fuiNB783pkcLH1kK2xvzRkj9lgPWp1y3+gC8k7rd&#10;0R5WB7+Cvjj3spLVE6ylli1fGUXKBlbjCht7izUQFKwTkK69gU/N5D5HsjuhYCP117fenT7gDaQo&#10;cFPPkfmyxZqigH0UwCjTJE0dQ/pLChiCiz6VrE4lYssXEvYtAXpXxB+dvmXHY60lfwRuLlxUEGFB&#10;IHaOiNXHy8K2RAzsTmhReDVgRYXtlbhX5IgDt/oPh0esVccPFqB0LY/kiGevaKLVdRMSsthaWTee&#10;Q5772k0AGNWTQMf+jrJP717r+T9q/gMAAP//AwBQSwMEFAAGAAgAAAAhAJHizIDfAAAACwEAAA8A&#10;AABkcnMvZG93bnJldi54bWxMT01PwzAMvSPxHyIjcZm2ZIVVtDSd0MTEhYE2+AFpY9pC41RNtpV/&#10;jznB7dl+fh/FenK9OOEYOk8algsFAqn2tqNGw/vbdn4HIkRD1vSeUMM3BliXlxeFya0/0x5Ph9gI&#10;FqGQGw1tjEMuZahbdCYs/IDEtw8/OhN5HBtpR3NmcdfLRKlUOtMRO7RmwE2L9dfh6DjG8+OLerrZ&#10;Vul+9roZP3duthqc1tdX08M9iIhT/CPDb3z+gZIzVf5INohew/w24S6RwTLJQDAjS1PeVAzUKgNZ&#10;FvJ/h/IHAAD//wMAUEsBAi0AFAAGAAgAAAAhAOSZw8D7AAAA4QEAABMAAAAAAAAAAAAAAAAAAAAA&#10;AFtDb250ZW50X1R5cGVzXS54bWxQSwECLQAUAAYACAAAACEAI7Jq4dcAAACUAQAACwAAAAAAAAAA&#10;AAAAAAAsAQAAX3JlbHMvLnJlbHNQSwECLQAUAAYACAAAACEAqr56uR0DAADrBgAADgAAAAAAAAAA&#10;AAAAAAAsAgAAZHJzL2Uyb0RvYy54bWxQSwECLQAUAAYACAAAACEAkeLMgN8AAAALAQAADwAAAAAA&#10;AAAAAAAAAAB1BQAAZHJzL2Rvd25yZXYueG1sUEsFBgAAAAAEAAQA8wAAAIEGAAAAAA==&#10;" fillcolor="#d8d8d8 [2732]" stroked="f">
                <v:shadow on="t" opacity="22937f" mv:blur="40000f" origin=",.5" offset="0,23000emu"/>
                <v:textbox>
                  <w:txbxContent>
                    <w:p w14:paraId="38963BC5" w14:textId="77777777" w:rsidR="001F587F" w:rsidRDefault="001F587F" w:rsidP="00626D75">
                      <w:pPr>
                        <w:jc w:val="center"/>
                      </w:pPr>
                    </w:p>
                  </w:txbxContent>
                </v:textbox>
              </v:rect>
            </w:pict>
          </mc:Fallback>
        </mc:AlternateContent>
      </w:r>
      <w:r w:rsidR="00997E97" w:rsidRPr="00F77298">
        <w:rPr>
          <w:rFonts w:ascii="Calibri" w:hAnsi="Calibri"/>
          <w:b/>
          <w:i/>
          <w:sz w:val="23"/>
          <w:szCs w:val="23"/>
        </w:rPr>
        <w:t>Regarding</w:t>
      </w:r>
      <w:r w:rsidR="00626D75" w:rsidRPr="00F77298">
        <w:rPr>
          <w:rFonts w:ascii="Calibri" w:hAnsi="Calibri"/>
          <w:b/>
          <w:i/>
          <w:sz w:val="23"/>
          <w:szCs w:val="23"/>
        </w:rPr>
        <w:t xml:space="preserve"> the</w:t>
      </w:r>
      <w:r w:rsidR="00997E97" w:rsidRPr="00F77298">
        <w:rPr>
          <w:rFonts w:ascii="Calibri" w:hAnsi="Calibri"/>
          <w:b/>
          <w:i/>
          <w:sz w:val="23"/>
          <w:szCs w:val="23"/>
        </w:rPr>
        <w:t xml:space="preserve"> </w:t>
      </w:r>
      <w:r w:rsidR="00626D75" w:rsidRPr="00F77298">
        <w:rPr>
          <w:rFonts w:ascii="Calibri" w:hAnsi="Calibri"/>
          <w:b/>
          <w:i/>
          <w:sz w:val="23"/>
          <w:szCs w:val="23"/>
        </w:rPr>
        <w:t>Right to Life and Prohibition Against Torture (Article 6 and 7)</w:t>
      </w:r>
    </w:p>
    <w:p w14:paraId="706B9595" w14:textId="2CAD5C84" w:rsidR="00626D75" w:rsidRPr="009A1FED" w:rsidRDefault="00626D75" w:rsidP="00626D75">
      <w:pPr>
        <w:pStyle w:val="ListParagraph"/>
        <w:numPr>
          <w:ilvl w:val="0"/>
          <w:numId w:val="24"/>
        </w:numPr>
        <w:jc w:val="both"/>
        <w:rPr>
          <w:rFonts w:ascii="Calibri" w:hAnsi="Calibri"/>
          <w:b/>
          <w:szCs w:val="22"/>
          <w:lang w:val="en-AU"/>
        </w:rPr>
      </w:pPr>
      <w:r w:rsidRPr="0091663B">
        <w:rPr>
          <w:rFonts w:ascii="Calibri" w:hAnsi="Calibri"/>
          <w:b/>
          <w:szCs w:val="22"/>
        </w:rPr>
        <w:t xml:space="preserve">Given that current Thai law provides no statutory basis for assessing the likelihood of harm an individual faces upon removal from Thailand to a third country; and further given that the use of discretion by Thai officials with regards to the removal of refugees and </w:t>
      </w:r>
      <w:r w:rsidR="00296652">
        <w:rPr>
          <w:rFonts w:ascii="Calibri" w:hAnsi="Calibri"/>
          <w:b/>
          <w:szCs w:val="22"/>
        </w:rPr>
        <w:t>asylum seeker</w:t>
      </w:r>
      <w:r w:rsidR="00373BF4">
        <w:rPr>
          <w:rFonts w:ascii="Calibri" w:hAnsi="Calibri"/>
          <w:b/>
          <w:szCs w:val="22"/>
        </w:rPr>
        <w:t>s</w:t>
      </w:r>
      <w:r w:rsidRPr="0091663B">
        <w:rPr>
          <w:rFonts w:ascii="Calibri" w:hAnsi="Calibri"/>
          <w:b/>
          <w:szCs w:val="22"/>
        </w:rPr>
        <w:t xml:space="preserve"> has resulted in breaches of the international obligation of non-refoulement, what measures will Thailand put in place to ensure individualized assessments pertaining to the risk an individual faces upon removal to a third country before such individuals are removed?</w:t>
      </w:r>
    </w:p>
    <w:p w14:paraId="6A565CFA" w14:textId="6BE9ABBF" w:rsidR="00626D75" w:rsidRPr="00F77298" w:rsidRDefault="00626D75" w:rsidP="00626D75">
      <w:pPr>
        <w:pStyle w:val="ListParagraph"/>
        <w:numPr>
          <w:ilvl w:val="0"/>
          <w:numId w:val="24"/>
        </w:numPr>
        <w:spacing w:before="25"/>
        <w:jc w:val="both"/>
        <w:rPr>
          <w:rFonts w:ascii="Calibri" w:hAnsi="Calibri"/>
          <w:b/>
          <w:w w:val="101"/>
          <w:szCs w:val="22"/>
        </w:rPr>
      </w:pPr>
      <w:r w:rsidRPr="00F77298">
        <w:rPr>
          <w:rFonts w:ascii="Calibri" w:hAnsi="Calibri"/>
          <w:b/>
          <w:w w:val="101"/>
          <w:szCs w:val="22"/>
        </w:rPr>
        <w:t xml:space="preserve">What are Thailand’s plans to extend temporary protection and establish a legal framework to protect the rights of </w:t>
      </w:r>
      <w:r w:rsidR="00296652">
        <w:rPr>
          <w:rFonts w:ascii="Calibri" w:hAnsi="Calibri"/>
          <w:b/>
          <w:w w:val="101"/>
          <w:szCs w:val="22"/>
        </w:rPr>
        <w:t xml:space="preserve">asylum seekers and refugees in Thailand, including </w:t>
      </w:r>
      <w:r w:rsidRPr="00F77298">
        <w:rPr>
          <w:rFonts w:ascii="Calibri" w:hAnsi="Calibri"/>
          <w:b/>
          <w:w w:val="101"/>
          <w:szCs w:val="22"/>
        </w:rPr>
        <w:t>Rohingya</w:t>
      </w:r>
      <w:r w:rsidR="00296652">
        <w:rPr>
          <w:rFonts w:ascii="Calibri" w:hAnsi="Calibri"/>
          <w:b/>
          <w:w w:val="101"/>
          <w:szCs w:val="22"/>
        </w:rPr>
        <w:t xml:space="preserve"> asylum seekers and refugees</w:t>
      </w:r>
      <w:r w:rsidRPr="00F77298">
        <w:rPr>
          <w:rFonts w:ascii="Calibri" w:hAnsi="Calibri"/>
          <w:b/>
          <w:w w:val="101"/>
          <w:szCs w:val="22"/>
        </w:rPr>
        <w:t>? Does Thailand have any plans to execute an order concretely ending the “push back” policy?</w:t>
      </w:r>
    </w:p>
    <w:p w14:paraId="2BE13315" w14:textId="77777777" w:rsidR="00F77298" w:rsidRPr="00F77298" w:rsidRDefault="00F77298" w:rsidP="00F77298">
      <w:pPr>
        <w:jc w:val="both"/>
        <w:rPr>
          <w:rFonts w:ascii="Calibri" w:hAnsi="Calibri"/>
          <w:b/>
          <w:szCs w:val="22"/>
          <w:lang w:val="en-AU"/>
        </w:rPr>
      </w:pPr>
    </w:p>
    <w:p w14:paraId="6DDD2028" w14:textId="11417C81" w:rsidR="00F77298" w:rsidRDefault="00F77298" w:rsidP="00F77298">
      <w:pPr>
        <w:ind w:left="360"/>
        <w:jc w:val="both"/>
        <w:rPr>
          <w:rFonts w:ascii="Calibri" w:hAnsi="Calibri"/>
          <w:b/>
          <w:i/>
          <w:w w:val="101"/>
          <w:sz w:val="23"/>
          <w:szCs w:val="23"/>
        </w:rPr>
      </w:pPr>
      <w:r w:rsidRPr="00F77298">
        <w:rPr>
          <w:rFonts w:ascii="Calibri" w:hAnsi="Calibri"/>
          <w:b/>
          <w:i/>
          <w:szCs w:val="22"/>
          <w:lang w:val="en-AU"/>
        </w:rPr>
        <w:t xml:space="preserve">Regarding </w:t>
      </w:r>
      <w:r w:rsidRPr="00F77298">
        <w:rPr>
          <w:rFonts w:ascii="Calibri" w:hAnsi="Calibri"/>
          <w:b/>
          <w:i/>
          <w:w w:val="101"/>
          <w:sz w:val="23"/>
          <w:szCs w:val="23"/>
        </w:rPr>
        <w:t>the Prohibition of Arbitrary Detention, Humane Conditions of Detention, and</w:t>
      </w:r>
      <w:r w:rsidR="00296652">
        <w:rPr>
          <w:rFonts w:ascii="Calibri" w:hAnsi="Calibri"/>
          <w:b/>
          <w:i/>
          <w:w w:val="101"/>
          <w:sz w:val="23"/>
          <w:szCs w:val="23"/>
        </w:rPr>
        <w:t xml:space="preserve"> the</w:t>
      </w:r>
      <w:r w:rsidRPr="00F77298">
        <w:rPr>
          <w:rFonts w:ascii="Calibri" w:hAnsi="Calibri"/>
          <w:b/>
          <w:i/>
          <w:w w:val="101"/>
          <w:sz w:val="23"/>
          <w:szCs w:val="23"/>
        </w:rPr>
        <w:t xml:space="preserve"> Rights of the Child (Article 9, 10, and 24)</w:t>
      </w:r>
    </w:p>
    <w:p w14:paraId="1A5D41DF" w14:textId="7A68AC8B" w:rsidR="00F77298" w:rsidRPr="00B5403F" w:rsidRDefault="00F77298" w:rsidP="00F77298">
      <w:pPr>
        <w:pStyle w:val="ListParagraph"/>
        <w:numPr>
          <w:ilvl w:val="0"/>
          <w:numId w:val="24"/>
        </w:numPr>
        <w:jc w:val="both"/>
        <w:rPr>
          <w:rFonts w:ascii="Calibri" w:hAnsi="Calibri"/>
          <w:b/>
          <w:szCs w:val="22"/>
          <w:lang w:val="en-AU"/>
        </w:rPr>
      </w:pPr>
      <w:r w:rsidRPr="00B5403F">
        <w:rPr>
          <w:rFonts w:ascii="Calibri" w:hAnsi="Calibri"/>
          <w:b/>
          <w:szCs w:val="22"/>
        </w:rPr>
        <w:t xml:space="preserve">Thailand’s current practice indicates that the detention of </w:t>
      </w:r>
      <w:r w:rsidR="00296652">
        <w:rPr>
          <w:rFonts w:ascii="Calibri" w:hAnsi="Calibri"/>
          <w:b/>
          <w:szCs w:val="22"/>
        </w:rPr>
        <w:t>asylum seeker</w:t>
      </w:r>
      <w:r w:rsidR="002807D6">
        <w:rPr>
          <w:rFonts w:ascii="Calibri" w:hAnsi="Calibri"/>
          <w:b/>
          <w:szCs w:val="22"/>
        </w:rPr>
        <w:t>s</w:t>
      </w:r>
      <w:r w:rsidRPr="00B5403F">
        <w:rPr>
          <w:rFonts w:ascii="Calibri" w:hAnsi="Calibri"/>
          <w:b/>
          <w:szCs w:val="22"/>
        </w:rPr>
        <w:t xml:space="preserve"> and refugees is arbitrary and potentially indefinite; what measures does Thailand plan to take to end the indefinite detention of </w:t>
      </w:r>
      <w:r w:rsidR="00296652">
        <w:rPr>
          <w:rFonts w:ascii="Calibri" w:hAnsi="Calibri"/>
          <w:b/>
          <w:szCs w:val="22"/>
        </w:rPr>
        <w:t>asylum seeker</w:t>
      </w:r>
      <w:r w:rsidR="002807D6">
        <w:rPr>
          <w:rFonts w:ascii="Calibri" w:hAnsi="Calibri"/>
          <w:b/>
          <w:szCs w:val="22"/>
        </w:rPr>
        <w:t>s</w:t>
      </w:r>
      <w:r w:rsidRPr="00B5403F">
        <w:rPr>
          <w:rFonts w:ascii="Calibri" w:hAnsi="Calibri"/>
          <w:b/>
          <w:szCs w:val="22"/>
        </w:rPr>
        <w:t xml:space="preserve"> and refugees, and ensure that </w:t>
      </w:r>
      <w:r w:rsidR="00296652">
        <w:rPr>
          <w:rFonts w:ascii="Calibri" w:hAnsi="Calibri"/>
          <w:b/>
          <w:szCs w:val="22"/>
        </w:rPr>
        <w:t>asylum seeker</w:t>
      </w:r>
      <w:r w:rsidR="002807D6">
        <w:rPr>
          <w:rFonts w:ascii="Calibri" w:hAnsi="Calibri"/>
          <w:b/>
          <w:szCs w:val="22"/>
        </w:rPr>
        <w:t>s</w:t>
      </w:r>
      <w:r w:rsidRPr="00B5403F">
        <w:rPr>
          <w:rFonts w:ascii="Calibri" w:hAnsi="Calibri"/>
          <w:b/>
          <w:szCs w:val="22"/>
        </w:rPr>
        <w:t xml:space="preserve"> and refugees are processed in a timely manner and that their protected status under international law is considered in the course of such processing?</w:t>
      </w:r>
    </w:p>
    <w:p w14:paraId="06B4CF0C" w14:textId="1CB0423D" w:rsidR="00F77298" w:rsidRPr="00B5403F" w:rsidRDefault="00F77298" w:rsidP="00F77298">
      <w:pPr>
        <w:pStyle w:val="ListParagraph"/>
        <w:numPr>
          <w:ilvl w:val="0"/>
          <w:numId w:val="24"/>
        </w:numPr>
        <w:jc w:val="both"/>
        <w:rPr>
          <w:rFonts w:ascii="Calibri" w:hAnsi="Calibri"/>
          <w:b/>
          <w:szCs w:val="22"/>
          <w:lang w:val="en-AU"/>
        </w:rPr>
      </w:pPr>
      <w:r w:rsidRPr="00B5403F">
        <w:rPr>
          <w:rFonts w:ascii="Calibri" w:hAnsi="Calibri"/>
          <w:b/>
          <w:szCs w:val="22"/>
        </w:rPr>
        <w:t xml:space="preserve">Is there any plan or measures in place to amend detention policies to ensure that when necessary, detention of </w:t>
      </w:r>
      <w:r w:rsidR="00296652">
        <w:rPr>
          <w:rFonts w:ascii="Calibri" w:hAnsi="Calibri"/>
          <w:b/>
          <w:szCs w:val="22"/>
        </w:rPr>
        <w:t>asylum seeker</w:t>
      </w:r>
      <w:r w:rsidR="002807D6">
        <w:rPr>
          <w:rFonts w:ascii="Calibri" w:hAnsi="Calibri"/>
          <w:b/>
          <w:szCs w:val="22"/>
        </w:rPr>
        <w:t>s</w:t>
      </w:r>
      <w:r w:rsidRPr="00B5403F">
        <w:rPr>
          <w:rFonts w:ascii="Calibri" w:hAnsi="Calibri"/>
          <w:b/>
          <w:szCs w:val="22"/>
        </w:rPr>
        <w:t xml:space="preserve"> and refugees is used only in exceptional circumstances, following an individualized assessment, and after all less invasive alternatives to detention have been exhausted?</w:t>
      </w:r>
    </w:p>
    <w:p w14:paraId="6177BA54" w14:textId="62AD4B19" w:rsidR="00F77298" w:rsidRPr="00B5403F" w:rsidRDefault="00F77298" w:rsidP="00F77298">
      <w:pPr>
        <w:pStyle w:val="ListParagraph"/>
        <w:numPr>
          <w:ilvl w:val="0"/>
          <w:numId w:val="24"/>
        </w:numPr>
        <w:jc w:val="both"/>
        <w:rPr>
          <w:rFonts w:ascii="Calibri" w:hAnsi="Calibri"/>
          <w:b/>
          <w:szCs w:val="22"/>
          <w:lang w:val="en-AU"/>
        </w:rPr>
      </w:pPr>
      <w:r w:rsidRPr="00B5403F">
        <w:rPr>
          <w:rFonts w:ascii="Calibri" w:hAnsi="Calibri"/>
          <w:b/>
          <w:szCs w:val="22"/>
        </w:rPr>
        <w:t xml:space="preserve">What measures are in place to ensure all immigration detention centers are sanitary, appropriate in size, and provide those detained with access to physical and mental health services, in </w:t>
      </w:r>
      <w:r w:rsidR="004A0825">
        <w:rPr>
          <w:rFonts w:ascii="Calibri" w:hAnsi="Calibri"/>
          <w:b/>
          <w:szCs w:val="22"/>
        </w:rPr>
        <w:t xml:space="preserve">line </w:t>
      </w:r>
      <w:r w:rsidRPr="00B5403F">
        <w:rPr>
          <w:rFonts w:ascii="Calibri" w:hAnsi="Calibri"/>
          <w:b/>
          <w:szCs w:val="22"/>
        </w:rPr>
        <w:t>the with the United Nations Standard Minimum Rules for the Treatment of Prisoners?</w:t>
      </w:r>
    </w:p>
    <w:p w14:paraId="55F14DF3" w14:textId="30E9EDCF" w:rsidR="00F77298" w:rsidRPr="00F77298" w:rsidRDefault="00F77298" w:rsidP="00F77298">
      <w:pPr>
        <w:pStyle w:val="ListParagraph"/>
        <w:numPr>
          <w:ilvl w:val="0"/>
          <w:numId w:val="24"/>
        </w:numPr>
        <w:jc w:val="both"/>
        <w:rPr>
          <w:rFonts w:ascii="Calibri" w:hAnsi="Calibri"/>
          <w:b/>
          <w:szCs w:val="22"/>
          <w:lang w:val="en-AU"/>
        </w:rPr>
      </w:pPr>
      <w:r w:rsidRPr="00B5403F">
        <w:rPr>
          <w:rFonts w:ascii="Calibri" w:hAnsi="Calibri"/>
          <w:b/>
          <w:szCs w:val="22"/>
        </w:rPr>
        <w:t xml:space="preserve">What measures are in place to provide </w:t>
      </w:r>
      <w:r w:rsidR="00296652">
        <w:rPr>
          <w:rFonts w:ascii="Calibri" w:hAnsi="Calibri"/>
          <w:b/>
          <w:szCs w:val="22"/>
        </w:rPr>
        <w:t>asylum seeker</w:t>
      </w:r>
      <w:r w:rsidR="002807D6">
        <w:rPr>
          <w:rFonts w:ascii="Calibri" w:hAnsi="Calibri"/>
          <w:b/>
          <w:szCs w:val="22"/>
        </w:rPr>
        <w:t>s</w:t>
      </w:r>
      <w:r w:rsidRPr="00B5403F">
        <w:rPr>
          <w:rFonts w:ascii="Calibri" w:hAnsi="Calibri"/>
          <w:b/>
          <w:szCs w:val="22"/>
        </w:rPr>
        <w:t xml:space="preserve"> and refugees in detention with access to legal aid, asylum mechanisms, and screening services for human trafficking survivors?</w:t>
      </w:r>
    </w:p>
    <w:p w14:paraId="53DE2E29" w14:textId="25483806" w:rsidR="00F77298" w:rsidRPr="00F77298" w:rsidRDefault="00F77298" w:rsidP="00F77298">
      <w:pPr>
        <w:pStyle w:val="ListParagraph"/>
        <w:numPr>
          <w:ilvl w:val="0"/>
          <w:numId w:val="24"/>
        </w:numPr>
        <w:jc w:val="both"/>
        <w:rPr>
          <w:rFonts w:ascii="Calibri" w:hAnsi="Calibri"/>
          <w:b/>
          <w:szCs w:val="22"/>
          <w:lang w:val="en-AU"/>
        </w:rPr>
      </w:pPr>
      <w:r w:rsidRPr="00F77298">
        <w:rPr>
          <w:rFonts w:ascii="Calibri" w:hAnsi="Calibri"/>
          <w:b/>
          <w:szCs w:val="22"/>
        </w:rPr>
        <w:t>What measures are taken to ensure children are not detained based solely on their parents’ immigration status?</w:t>
      </w:r>
    </w:p>
    <w:p w14:paraId="3140EDB8" w14:textId="77777777" w:rsidR="00F77298" w:rsidRPr="00F77298" w:rsidRDefault="00F77298" w:rsidP="00F77298">
      <w:pPr>
        <w:ind w:left="360"/>
        <w:jc w:val="both"/>
        <w:rPr>
          <w:rFonts w:ascii="Calibri" w:hAnsi="Calibri"/>
          <w:b/>
          <w:i/>
          <w:szCs w:val="22"/>
          <w:lang w:val="en-AU"/>
        </w:rPr>
      </w:pPr>
    </w:p>
    <w:p w14:paraId="773E8779" w14:textId="77EE0F81" w:rsidR="00CF51CD" w:rsidRPr="009A1FED" w:rsidRDefault="00CF51CD" w:rsidP="0052202B">
      <w:pPr>
        <w:spacing w:before="25"/>
        <w:jc w:val="both"/>
        <w:rPr>
          <w:rFonts w:ascii="Calibri" w:hAnsi="Calibri"/>
          <w:b/>
          <w:w w:val="101"/>
          <w:sz w:val="23"/>
          <w:szCs w:val="23"/>
        </w:rPr>
      </w:pPr>
    </w:p>
    <w:p w14:paraId="43DAD669" w14:textId="3AF61E64" w:rsidR="00E31973" w:rsidRPr="009A1FED" w:rsidRDefault="00E64F6C" w:rsidP="00DC446F">
      <w:pPr>
        <w:spacing w:before="25"/>
        <w:ind w:left="112"/>
        <w:jc w:val="both"/>
        <w:rPr>
          <w:rFonts w:ascii="Calibri" w:hAnsi="Calibri"/>
          <w:sz w:val="23"/>
          <w:szCs w:val="23"/>
        </w:rPr>
      </w:pPr>
      <w:r w:rsidRPr="009A1FED">
        <w:rPr>
          <w:rFonts w:ascii="Calibri" w:hAnsi="Calibri"/>
          <w:noProof/>
        </w:rPr>
        <mc:AlternateContent>
          <mc:Choice Requires="wpg">
            <w:drawing>
              <wp:anchor distT="0" distB="0" distL="114300" distR="114300" simplePos="0" relativeHeight="251672576" behindDoc="1" locked="0" layoutInCell="1" allowOverlap="1" wp14:anchorId="6DF871B7" wp14:editId="6F2F7CFA">
                <wp:simplePos x="0" y="0"/>
                <wp:positionH relativeFrom="page">
                  <wp:posOffset>1094105</wp:posOffset>
                </wp:positionH>
                <wp:positionV relativeFrom="paragraph">
                  <wp:posOffset>200660</wp:posOffset>
                </wp:positionV>
                <wp:extent cx="5376545" cy="0"/>
                <wp:effectExtent l="1905" t="4445" r="19050" b="8255"/>
                <wp:wrapNone/>
                <wp:docPr id="1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376545" cy="0"/>
                          <a:chOff x="1723" y="317"/>
                          <a:chExt cx="8467" cy="0"/>
                        </a:xfrm>
                      </wpg:grpSpPr>
                      <wps:wsp>
                        <wps:cNvPr id="19" name="Freeform 19"/>
                        <wps:cNvSpPr>
                          <a:spLocks/>
                        </wps:cNvSpPr>
                        <wps:spPr bwMode="auto">
                          <a:xfrm>
                            <a:off x="1723" y="317"/>
                            <a:ext cx="8467" cy="0"/>
                          </a:xfrm>
                          <a:custGeom>
                            <a:avLst/>
                            <a:gdLst>
                              <a:gd name="T0" fmla="+- 0 1723 1723"/>
                              <a:gd name="T1" fmla="*/ T0 w 8467"/>
                              <a:gd name="T2" fmla="+- 0 10190 1723"/>
                              <a:gd name="T3" fmla="*/ T2 w 8467"/>
                            </a:gdLst>
                            <a:ahLst/>
                            <a:cxnLst>
                              <a:cxn ang="0">
                                <a:pos x="T1" y="0"/>
                              </a:cxn>
                              <a:cxn ang="0">
                                <a:pos x="T3" y="0"/>
                              </a:cxn>
                            </a:cxnLst>
                            <a:rect l="0" t="0" r="r" b="b"/>
                            <a:pathLst>
                              <a:path w="8467">
                                <a:moveTo>
                                  <a:pt x="0" y="0"/>
                                </a:moveTo>
                                <a:lnTo>
                                  <a:pt x="8467" y="0"/>
                                </a:lnTo>
                              </a:path>
                            </a:pathLst>
                          </a:custGeom>
                          <a:noFill/>
                          <a:ln w="7366">
                            <a:solidFill>
                              <a:srgbClr val="000000">
                                <a:alpha val="16000"/>
                              </a:srgb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8" o:spid="_x0000_s1026" style="position:absolute;margin-left:86.15pt;margin-top:15.8pt;width:423.35pt;height:0;z-index:-251643904;mso-position-horizontal-relative:page" coordorigin="1723,317" coordsize="8467,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dYV1mgDAAADCAAADgAAAGRycy9lMm9Eb2MueG1spFXbjts2EH0v0H8g+NjCK8mW7bWw3iDwZVEg&#10;TQLE/QCapC6oRKokbXlT9N87HEq26mDRIvWDPOQM53Lm9vTu0tTkLI2ttFrT5CGmRCquRaWKNf3t&#10;sJ88UmIdU4LVWsk1fZWWvnv+8Yenrs3kVJe6FtIQUKJs1rVrWjrXZlFkeSkbZh90KxUwc20a5uBo&#10;ikgY1oH2po6mcbyIOm1EazSX1sLtNjDpM+rPc8ndpzy30pF6TcE3h1+D36P/Rs9PLCsMa8uK926w&#10;7/CiYZUCo1dVW+YYOZnqG1VNxY22OncPXDeRzvOKS4wBokniu2hejD61GEuRdUV7hQmgvcPpu9Xy&#10;j+fPhlQCcgeZUqyBHKFZAmcAp2uLDGReTPul/WxChEB+0Px3C+zonu/PRRAmx+5XLUAfOzmN4Fxy&#10;03gVEDa5YA5erzmQF0c4XM5ny8U8nVPCbzxeQhL9i2Q5nVECjFmyDKnj5a5/+JgulqNXEcuCOXSx&#10;d8nHA3Vmb1Da/wfll5K1EjNkPUwDlKsByr2R0hcvSVYBTRQboLRjHEcc76QFuP8VwW/xGGB8Cw2W&#10;8ZN1L1JjItj5g3WhBQRQmF7RV8EB2iVvauiGnyckJt4UfvqWuYolg9hPETnEpCNoulc66JoOQkFX&#10;nKyCxntlkN1g0yubjpRBOovBRVYOXvOL6t0GijA/c2KstFZbXy8HcG4oI9AAQj7EN2RDZeFIGGTD&#10;f2/CwDC5HyOGEhgjxxBGy5z3zJvwJOnWFLHwF40+y4NGlrurfTBy49ZqLBWyOIogsOGFNwDtFwg0&#10;6n0dpVbpfVXXmIZaeVeWs8UCsbG6roRnem+sKY6b2pAz8wMSfyjE6rZk4TZZwLWPECz04oEe64FJ&#10;pQRaKyUTu552rKoDDW9rBB8KtMfIlyqOyD9X8Wr3uHtMJ+l0sZuksRCT9/tNOlnsk+V8O9tuNtvk&#10;L+9WkmZlJYRU3v1hXCfpf+vhfnGEQXsd2G+jscffEPgt2OifbiAWEMvwH5IxtHCYOEctXqGdjQ77&#10;B/YlEKU2XynpYPesqf3jxIykpP5FwURaJWnqlxUe0vlyCgcz5hzHHKY4qFpTR6EDPLlxYcGdWlMV&#10;JVhKMKVKv4dBnFe+4WEo2ix41R9gKCKFmwZj6beiX2XjM0rddvfz3wAAAP//AwBQSwMEFAAGAAgA&#10;AAAhAJQCEaXeAAAACgEAAA8AAABkcnMvZG93bnJldi54bWxMj0FLw0AQhe+C/2EZwZvdbINVYzal&#10;FPVUBFtBvE2z0yQ0uxuy2yT9907xoMf35uPNe/lysq0YqA+NdxrULAFBrvSmcZWGz93r3SOIENEZ&#10;bL0jDWcKsCyur3LMjB/dBw3bWAkOcSFDDXWMXSZlKGuyGGa+I8e3g+8tRpZ9JU2PI4fbVs6TZCEt&#10;No4/1NjRuqbyuD1ZDW8jjqtUvQyb42F9/t7dv39tFGl9ezOtnkFEmuIfDJf6XB0K7rT3J2eCaFk/&#10;zFNGNaRqAeICJOqJ1+1/HVnk8v+E4gcAAP//AwBQSwECLQAUAAYACAAAACEA5JnDwPsAAADhAQAA&#10;EwAAAAAAAAAAAAAAAAAAAAAAW0NvbnRlbnRfVHlwZXNdLnhtbFBLAQItABQABgAIAAAAIQAjsmrh&#10;1wAAAJQBAAALAAAAAAAAAAAAAAAAACwBAABfcmVscy8ucmVsc1BLAQItABQABgAIAAAAIQCp1hXW&#10;aAMAAAMIAAAOAAAAAAAAAAAAAAAAACwCAABkcnMvZTJvRG9jLnhtbFBLAQItABQABgAIAAAAIQCU&#10;AhGl3gAAAAoBAAAPAAAAAAAAAAAAAAAAAMAFAABkcnMvZG93bnJldi54bWxQSwUGAAAAAAQABADz&#10;AAAAywYAAAAA&#10;">
                <v:polyline id="Freeform 19" o:spid="_x0000_s1027" style="position:absolute;visibility:visible;mso-wrap-style:square;v-text-anchor:top" points="1723,317,10190,317" coordsize="8467,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tXMPWwwAA&#10;ANsAAAAPAAAAZHJzL2Rvd25yZXYueG1sRE9La8JAEL4X/A/LCN7qxiIlRlfRguDJ0qQg3obsmIfZ&#10;2ZDdmLS/vlso9DYf33M2u9E04kGdqywrWMwjEMS51RUXCj6z43MMwnlkjY1lUvBFDnbbydMGE20H&#10;/qBH6gsRQtglqKD0vk2kdHlJBt3ctsSBu9nOoA+wK6TucAjhppEvUfQqDVYcGkps6a2k/J72RsG1&#10;XdbZ8r0/x0PW14tDWl/i/lup2XTcr0F4Gv2/+M990mH+Cn5/CQfI7Q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tXMPWwwAAANsAAAAPAAAAAAAAAAAAAAAAAJcCAABkcnMvZG93&#10;bnJldi54bWxQSwUGAAAAAAQABAD1AAAAhwMAAAAA&#10;" filled="f" strokeweight=".58pt">
                  <v:stroke opacity="10537f"/>
                  <v:path arrowok="t" o:connecttype="custom" o:connectlocs="0,0;8467,0" o:connectangles="0,0"/>
                </v:polyline>
                <w10:wrap anchorx="page"/>
              </v:group>
            </w:pict>
          </mc:Fallback>
        </mc:AlternateContent>
      </w:r>
      <w:r w:rsidR="005B4F9D" w:rsidRPr="009A1FED">
        <w:rPr>
          <w:rFonts w:ascii="Calibri" w:hAnsi="Calibri"/>
          <w:b/>
          <w:w w:val="101"/>
          <w:sz w:val="23"/>
          <w:szCs w:val="23"/>
        </w:rPr>
        <w:t>III.</w:t>
      </w:r>
      <w:r w:rsidR="005B4F9D" w:rsidRPr="009A1FED">
        <w:rPr>
          <w:rFonts w:ascii="Calibri" w:hAnsi="Calibri"/>
          <w:b/>
          <w:w w:val="101"/>
          <w:sz w:val="23"/>
          <w:szCs w:val="23"/>
        </w:rPr>
        <w:tab/>
      </w:r>
      <w:r w:rsidR="005B4F9D" w:rsidRPr="00BF76EE">
        <w:rPr>
          <w:rFonts w:ascii="Calibri" w:hAnsi="Calibri"/>
          <w:b/>
          <w:w w:val="101"/>
          <w:sz w:val="23"/>
          <w:szCs w:val="23"/>
        </w:rPr>
        <w:t>CONTRIBUTIONS TO THE LIST OF ISSUES</w:t>
      </w:r>
    </w:p>
    <w:p w14:paraId="0B65B797" w14:textId="77777777" w:rsidR="00E31973" w:rsidRPr="009A1FED" w:rsidRDefault="00E31973" w:rsidP="00E31973">
      <w:pPr>
        <w:pStyle w:val="ListParagraph"/>
        <w:tabs>
          <w:tab w:val="left" w:pos="810"/>
        </w:tabs>
        <w:ind w:left="360"/>
        <w:jc w:val="both"/>
        <w:rPr>
          <w:rFonts w:ascii="Calibri" w:hAnsi="Calibri"/>
          <w:szCs w:val="22"/>
        </w:rPr>
      </w:pPr>
    </w:p>
    <w:p w14:paraId="450765A8" w14:textId="5CE707FC" w:rsidR="005B4F9D" w:rsidRPr="009A1FED" w:rsidRDefault="005B4F9D" w:rsidP="005B4F9D">
      <w:pPr>
        <w:tabs>
          <w:tab w:val="left" w:pos="630"/>
          <w:tab w:val="left" w:pos="1260"/>
          <w:tab w:val="right" w:pos="9360"/>
        </w:tabs>
        <w:spacing w:before="25"/>
        <w:jc w:val="both"/>
        <w:rPr>
          <w:rFonts w:ascii="Calibri" w:hAnsi="Calibri"/>
          <w:b/>
          <w:w w:val="101"/>
          <w:sz w:val="23"/>
          <w:szCs w:val="23"/>
        </w:rPr>
      </w:pPr>
      <w:r w:rsidRPr="009A1FED">
        <w:rPr>
          <w:rFonts w:ascii="Calibri" w:hAnsi="Calibri"/>
          <w:szCs w:val="22"/>
        </w:rPr>
        <w:tab/>
      </w:r>
      <w:r w:rsidRPr="009A1FED">
        <w:rPr>
          <w:rFonts w:ascii="Calibri" w:hAnsi="Calibri"/>
          <w:b/>
          <w:w w:val="101"/>
          <w:sz w:val="23"/>
          <w:szCs w:val="23"/>
        </w:rPr>
        <w:t>i.</w:t>
      </w:r>
      <w:r w:rsidRPr="009A1FED">
        <w:rPr>
          <w:rFonts w:ascii="Calibri" w:hAnsi="Calibri"/>
          <w:b/>
          <w:w w:val="101"/>
          <w:sz w:val="23"/>
          <w:szCs w:val="23"/>
        </w:rPr>
        <w:tab/>
      </w:r>
      <w:r w:rsidRPr="00F77298">
        <w:rPr>
          <w:rFonts w:ascii="Calibri" w:hAnsi="Calibri"/>
          <w:b/>
          <w:w w:val="101"/>
          <w:sz w:val="23"/>
          <w:szCs w:val="23"/>
        </w:rPr>
        <w:t xml:space="preserve">Right to Life </w:t>
      </w:r>
      <w:r w:rsidR="00CD2489" w:rsidRPr="00F77298">
        <w:rPr>
          <w:rFonts w:ascii="Calibri" w:hAnsi="Calibri"/>
          <w:b/>
          <w:w w:val="101"/>
          <w:sz w:val="23"/>
          <w:szCs w:val="23"/>
        </w:rPr>
        <w:t xml:space="preserve">and </w:t>
      </w:r>
      <w:r w:rsidRPr="00F77298">
        <w:rPr>
          <w:rFonts w:ascii="Calibri" w:hAnsi="Calibri"/>
          <w:b/>
          <w:w w:val="101"/>
          <w:sz w:val="23"/>
          <w:szCs w:val="23"/>
        </w:rPr>
        <w:t>Prohibition Against Torture (Article 6 and 7)</w:t>
      </w:r>
    </w:p>
    <w:p w14:paraId="14050A21" w14:textId="77777777" w:rsidR="005B4F9D" w:rsidRPr="009A1FED" w:rsidRDefault="005B4F9D" w:rsidP="005B4F9D">
      <w:pPr>
        <w:tabs>
          <w:tab w:val="left" w:pos="630"/>
          <w:tab w:val="left" w:pos="1260"/>
          <w:tab w:val="right" w:pos="9360"/>
        </w:tabs>
        <w:spacing w:before="25"/>
        <w:jc w:val="both"/>
        <w:rPr>
          <w:rFonts w:ascii="Calibri" w:hAnsi="Calibri"/>
          <w:b/>
          <w:w w:val="101"/>
          <w:szCs w:val="22"/>
        </w:rPr>
      </w:pPr>
    </w:p>
    <w:p w14:paraId="20625122" w14:textId="26CA0CE3" w:rsidR="005B4F9D" w:rsidRPr="009A1FED" w:rsidRDefault="005B4F9D" w:rsidP="005B4F9D">
      <w:pPr>
        <w:tabs>
          <w:tab w:val="left" w:pos="630"/>
          <w:tab w:val="left" w:pos="1260"/>
          <w:tab w:val="right" w:pos="9360"/>
        </w:tabs>
        <w:spacing w:before="25"/>
        <w:jc w:val="both"/>
        <w:rPr>
          <w:rFonts w:ascii="Calibri" w:hAnsi="Calibri"/>
          <w:i/>
          <w:w w:val="101"/>
          <w:sz w:val="23"/>
          <w:szCs w:val="23"/>
        </w:rPr>
      </w:pPr>
      <w:r w:rsidRPr="009A1FED">
        <w:rPr>
          <w:rFonts w:ascii="Calibri" w:hAnsi="Calibri"/>
          <w:i/>
          <w:w w:val="101"/>
          <w:sz w:val="23"/>
          <w:szCs w:val="23"/>
        </w:rPr>
        <w:t>Legal Obligation</w:t>
      </w:r>
    </w:p>
    <w:p w14:paraId="2D5E00FC" w14:textId="77777777" w:rsidR="005B4F9D" w:rsidRPr="009A1FED" w:rsidRDefault="005B4F9D" w:rsidP="005B4F9D">
      <w:pPr>
        <w:tabs>
          <w:tab w:val="left" w:pos="630"/>
          <w:tab w:val="left" w:pos="1260"/>
          <w:tab w:val="right" w:pos="9360"/>
        </w:tabs>
        <w:spacing w:before="25"/>
        <w:jc w:val="both"/>
        <w:rPr>
          <w:rFonts w:ascii="Calibri" w:hAnsi="Calibri"/>
          <w:i/>
          <w:w w:val="101"/>
          <w:szCs w:val="22"/>
        </w:rPr>
      </w:pPr>
    </w:p>
    <w:p w14:paraId="2D027AA4" w14:textId="77777777" w:rsidR="005B4F9D" w:rsidRPr="009A1FED" w:rsidRDefault="005B4F9D" w:rsidP="005B4F9D">
      <w:pPr>
        <w:pStyle w:val="ListParagraph"/>
        <w:numPr>
          <w:ilvl w:val="0"/>
          <w:numId w:val="5"/>
        </w:numPr>
        <w:jc w:val="both"/>
        <w:rPr>
          <w:rFonts w:ascii="Calibri" w:hAnsi="Calibri"/>
        </w:rPr>
      </w:pPr>
      <w:r w:rsidRPr="009A1FED">
        <w:rPr>
          <w:rFonts w:ascii="Calibri" w:hAnsi="Calibri"/>
        </w:rPr>
        <w:t>As interpreted by the Human Rights Committee, under Articles 6 and 7 of the ICCPR, states “must not expose individuals to the danger of torture or cruel, inhuman or degrading treatment or punishment upon return to another country by way of their extradition, expulsion or refoulement.”</w:t>
      </w:r>
      <w:r w:rsidRPr="009A1FED">
        <w:rPr>
          <w:rStyle w:val="EndnoteReference"/>
          <w:rFonts w:ascii="Calibri" w:hAnsi="Calibri"/>
        </w:rPr>
        <w:endnoteReference w:id="4"/>
      </w:r>
      <w:r w:rsidRPr="009A1FED">
        <w:rPr>
          <w:rFonts w:ascii="Calibri" w:hAnsi="Calibri"/>
        </w:rPr>
        <w:t xml:space="preserve"> This includes persons who may not be in the state’s territory but fall within the state’s effective control.</w:t>
      </w:r>
      <w:r w:rsidRPr="009A1FED">
        <w:rPr>
          <w:rStyle w:val="EndnoteReference"/>
          <w:rFonts w:ascii="Calibri" w:hAnsi="Calibri"/>
        </w:rPr>
        <w:endnoteReference w:id="5"/>
      </w:r>
    </w:p>
    <w:p w14:paraId="364C0487" w14:textId="77777777" w:rsidR="005B4F9D" w:rsidRPr="009A1FED" w:rsidRDefault="005B4F9D" w:rsidP="005B4F9D">
      <w:pPr>
        <w:jc w:val="both"/>
        <w:rPr>
          <w:rFonts w:ascii="Calibri" w:hAnsi="Calibri"/>
        </w:rPr>
      </w:pPr>
    </w:p>
    <w:p w14:paraId="47C07DDA" w14:textId="1954FB43" w:rsidR="005B4F9D" w:rsidRPr="009A1FED" w:rsidRDefault="005B4F9D" w:rsidP="005B4F9D">
      <w:pPr>
        <w:pStyle w:val="ListParagraph"/>
        <w:numPr>
          <w:ilvl w:val="0"/>
          <w:numId w:val="5"/>
        </w:numPr>
        <w:jc w:val="both"/>
        <w:rPr>
          <w:rFonts w:ascii="Calibri" w:hAnsi="Calibri"/>
        </w:rPr>
      </w:pPr>
      <w:r w:rsidRPr="009A1FED">
        <w:rPr>
          <w:rFonts w:ascii="Calibri" w:hAnsi="Calibri"/>
        </w:rPr>
        <w:t>The principle of</w:t>
      </w:r>
      <w:r w:rsidR="009A1FED" w:rsidRPr="009A1FED">
        <w:rPr>
          <w:rFonts w:ascii="Calibri" w:hAnsi="Calibri"/>
        </w:rPr>
        <w:t xml:space="preserve"> </w:t>
      </w:r>
      <w:r w:rsidRPr="009A1FED">
        <w:rPr>
          <w:rFonts w:ascii="Calibri" w:hAnsi="Calibri"/>
        </w:rPr>
        <w:t xml:space="preserve">non-refoulement is also found in customary law as a requirement that states do not return </w:t>
      </w:r>
      <w:r w:rsidR="00296652">
        <w:rPr>
          <w:rFonts w:ascii="Calibri" w:hAnsi="Calibri"/>
        </w:rPr>
        <w:t>asylum seeker</w:t>
      </w:r>
      <w:r w:rsidR="002807D6">
        <w:rPr>
          <w:rFonts w:ascii="Calibri" w:hAnsi="Calibri"/>
        </w:rPr>
        <w:t>s</w:t>
      </w:r>
      <w:r w:rsidRPr="009A1FED">
        <w:rPr>
          <w:rFonts w:ascii="Calibri" w:hAnsi="Calibri"/>
        </w:rPr>
        <w:t xml:space="preserve"> and refugees, regardless of their legal status, to countries where they would face a threat to their life or freedom. </w:t>
      </w:r>
      <w:r w:rsidRPr="009A1FED">
        <w:rPr>
          <w:rFonts w:ascii="Calibri" w:hAnsi="Calibri"/>
          <w:iCs/>
        </w:rPr>
        <w:t>Non-refoulement</w:t>
      </w:r>
      <w:r w:rsidRPr="009A1FED">
        <w:rPr>
          <w:rFonts w:ascii="Calibri" w:hAnsi="Calibri"/>
          <w:i/>
          <w:iCs/>
        </w:rPr>
        <w:t xml:space="preserve"> </w:t>
      </w:r>
      <w:r w:rsidRPr="009A1FED">
        <w:rPr>
          <w:rFonts w:ascii="Calibri" w:hAnsi="Calibri"/>
        </w:rPr>
        <w:t>is also a fundamental component of the absolute prohibition of torture. Under Article 3 of the CAT, states are required to ensure that no individual, regardless of whether she is an asylum-seeker or refugees, is expelled to a country where such person would face a substantial risk of torture.</w:t>
      </w:r>
      <w:r w:rsidRPr="009A1FED">
        <w:rPr>
          <w:rFonts w:ascii="Calibri" w:hAnsi="Calibri"/>
          <w:vertAlign w:val="superscript"/>
        </w:rPr>
        <w:endnoteReference w:id="6"/>
      </w:r>
      <w:r w:rsidRPr="009A1FED">
        <w:rPr>
          <w:rFonts w:ascii="Calibri" w:hAnsi="Calibri"/>
        </w:rPr>
        <w:t xml:space="preserve"> </w:t>
      </w:r>
    </w:p>
    <w:p w14:paraId="1EE95D84" w14:textId="77777777" w:rsidR="005B4F9D" w:rsidRPr="009A1FED" w:rsidRDefault="005B4F9D" w:rsidP="005B4F9D">
      <w:pPr>
        <w:jc w:val="both"/>
        <w:rPr>
          <w:rFonts w:ascii="Calibri" w:hAnsi="Calibri"/>
        </w:rPr>
      </w:pPr>
    </w:p>
    <w:p w14:paraId="42E0461C" w14:textId="2504946F" w:rsidR="005B4F9D" w:rsidRPr="009A1FED" w:rsidRDefault="00CD2489" w:rsidP="005B4F9D">
      <w:pPr>
        <w:pStyle w:val="Maintext"/>
        <w:numPr>
          <w:ilvl w:val="0"/>
          <w:numId w:val="0"/>
        </w:numPr>
        <w:spacing w:after="120"/>
        <w:ind w:left="360" w:hanging="360"/>
        <w:jc w:val="both"/>
        <w:rPr>
          <w:rFonts w:ascii="Calibri" w:hAnsi="Calibri"/>
          <w:i/>
          <w:sz w:val="23"/>
          <w:szCs w:val="23"/>
        </w:rPr>
      </w:pPr>
      <w:r>
        <w:rPr>
          <w:rFonts w:ascii="Calibri" w:hAnsi="Calibri"/>
          <w:i/>
          <w:sz w:val="23"/>
          <w:szCs w:val="23"/>
        </w:rPr>
        <w:t>State Practice</w:t>
      </w:r>
    </w:p>
    <w:p w14:paraId="1489CD6F" w14:textId="77777777" w:rsidR="005B4F9D" w:rsidRPr="009A1FED" w:rsidRDefault="005B4F9D" w:rsidP="005B4F9D">
      <w:pPr>
        <w:pStyle w:val="Maintext"/>
        <w:numPr>
          <w:ilvl w:val="0"/>
          <w:numId w:val="0"/>
        </w:numPr>
        <w:spacing w:after="120"/>
        <w:ind w:left="360" w:hanging="360"/>
        <w:jc w:val="both"/>
        <w:rPr>
          <w:rFonts w:ascii="Calibri" w:hAnsi="Calibri"/>
          <w:i/>
        </w:rPr>
      </w:pPr>
    </w:p>
    <w:p w14:paraId="30EE6A21" w14:textId="3055A7DD" w:rsidR="005B4F9D" w:rsidRPr="009A1FED" w:rsidRDefault="005B4F9D" w:rsidP="005B4F9D">
      <w:pPr>
        <w:pStyle w:val="Maintext"/>
        <w:spacing w:after="120"/>
        <w:jc w:val="both"/>
        <w:rPr>
          <w:rFonts w:ascii="Calibri" w:hAnsi="Calibri"/>
        </w:rPr>
      </w:pPr>
      <w:r w:rsidRPr="009A1FED">
        <w:rPr>
          <w:rFonts w:ascii="Calibri" w:hAnsi="Calibri"/>
        </w:rPr>
        <w:t xml:space="preserve">Thailand continues to deport </w:t>
      </w:r>
      <w:r w:rsidR="00296652">
        <w:rPr>
          <w:rFonts w:ascii="Calibri" w:hAnsi="Calibri"/>
        </w:rPr>
        <w:t>asylum seeker</w:t>
      </w:r>
      <w:r w:rsidR="00373BF4">
        <w:rPr>
          <w:rFonts w:ascii="Calibri" w:hAnsi="Calibri"/>
        </w:rPr>
        <w:t>s</w:t>
      </w:r>
      <w:r w:rsidRPr="009A1FED">
        <w:rPr>
          <w:rFonts w:ascii="Calibri" w:hAnsi="Calibri"/>
        </w:rPr>
        <w:t xml:space="preserve"> and refugees without judicial oversight under Section 54 of the 1979 Immigration Act.”</w:t>
      </w:r>
      <w:r w:rsidRPr="009A1FED">
        <w:rPr>
          <w:rFonts w:ascii="Calibri" w:hAnsi="Calibri"/>
          <w:vertAlign w:val="superscript"/>
        </w:rPr>
        <w:endnoteReference w:id="7"/>
      </w:r>
      <w:r w:rsidRPr="009A1FED">
        <w:rPr>
          <w:rFonts w:ascii="Calibri" w:hAnsi="Calibri"/>
        </w:rPr>
        <w:t xml:space="preserve"> Under the Immigration Act, officials must assess the risks of deportation, the circumstances in the home or receiving country, and inform a returnee of these findings. However, since Thailand’s last ICCPR review, Thailand has repeatedly returned refugees and </w:t>
      </w:r>
      <w:r w:rsidR="00296652">
        <w:rPr>
          <w:rFonts w:ascii="Calibri" w:hAnsi="Calibri"/>
        </w:rPr>
        <w:t>asylum seeker</w:t>
      </w:r>
      <w:r w:rsidR="00373BF4">
        <w:rPr>
          <w:rFonts w:ascii="Calibri" w:hAnsi="Calibri"/>
        </w:rPr>
        <w:t>s</w:t>
      </w:r>
      <w:r w:rsidRPr="009A1FED">
        <w:rPr>
          <w:rFonts w:ascii="Calibri" w:hAnsi="Calibri"/>
        </w:rPr>
        <w:t xml:space="preserve"> to countries where they risk torture, including Rohingya refugees, as well as refugees and </w:t>
      </w:r>
      <w:r w:rsidR="00296652">
        <w:rPr>
          <w:rFonts w:ascii="Calibri" w:hAnsi="Calibri"/>
        </w:rPr>
        <w:t>asylum seeker</w:t>
      </w:r>
      <w:r w:rsidR="00373BF4">
        <w:rPr>
          <w:rFonts w:ascii="Calibri" w:hAnsi="Calibri"/>
        </w:rPr>
        <w:t>s</w:t>
      </w:r>
      <w:r w:rsidRPr="009A1FED">
        <w:rPr>
          <w:rFonts w:ascii="Calibri" w:hAnsi="Calibri"/>
        </w:rPr>
        <w:t xml:space="preserve"> from Laos, Vietnam, and China.  </w:t>
      </w:r>
    </w:p>
    <w:p w14:paraId="021C03A7" w14:textId="77777777" w:rsidR="009A1FED" w:rsidRPr="009A1FED" w:rsidRDefault="009A1FED" w:rsidP="009A1FED">
      <w:pPr>
        <w:pStyle w:val="Maintext"/>
        <w:numPr>
          <w:ilvl w:val="0"/>
          <w:numId w:val="0"/>
        </w:numPr>
        <w:spacing w:after="120"/>
        <w:ind w:left="360" w:hanging="360"/>
        <w:jc w:val="both"/>
        <w:rPr>
          <w:rFonts w:ascii="Calibri" w:hAnsi="Calibri"/>
        </w:rPr>
      </w:pPr>
    </w:p>
    <w:p w14:paraId="456A322E" w14:textId="16D7D786" w:rsidR="005B4F9D" w:rsidRPr="009A1FED" w:rsidRDefault="005B4F9D" w:rsidP="005B4F9D">
      <w:pPr>
        <w:pStyle w:val="Maintext"/>
        <w:spacing w:after="120"/>
        <w:jc w:val="both"/>
        <w:rPr>
          <w:rFonts w:ascii="Calibri" w:hAnsi="Calibri"/>
          <w:lang w:val="en-AU"/>
        </w:rPr>
      </w:pPr>
      <w:r w:rsidRPr="009A1FED">
        <w:rPr>
          <w:rFonts w:ascii="Calibri" w:hAnsi="Calibri"/>
        </w:rPr>
        <w:t xml:space="preserve">Since 2009, Thailand has seen a large number of arrivals of Rohingya </w:t>
      </w:r>
      <w:r w:rsidR="00296652">
        <w:rPr>
          <w:rFonts w:ascii="Calibri" w:hAnsi="Calibri"/>
        </w:rPr>
        <w:t>asylum seeker</w:t>
      </w:r>
      <w:r w:rsidR="00373BF4">
        <w:rPr>
          <w:rFonts w:ascii="Calibri" w:hAnsi="Calibri"/>
        </w:rPr>
        <w:t>s</w:t>
      </w:r>
      <w:r w:rsidRPr="009A1FED">
        <w:rPr>
          <w:rFonts w:ascii="Calibri" w:hAnsi="Calibri"/>
        </w:rPr>
        <w:t>.</w:t>
      </w:r>
      <w:r w:rsidRPr="009A1FED">
        <w:rPr>
          <w:rStyle w:val="EndnoteReference"/>
          <w:rFonts w:ascii="Calibri" w:hAnsi="Calibri"/>
        </w:rPr>
        <w:endnoteReference w:id="8"/>
      </w:r>
      <w:r w:rsidRPr="009A1FED">
        <w:rPr>
          <w:rFonts w:ascii="Calibri" w:hAnsi="Calibri"/>
        </w:rPr>
        <w:t xml:space="preserve"> After serving a term in detention, some </w:t>
      </w:r>
      <w:r w:rsidR="00296652">
        <w:rPr>
          <w:rFonts w:ascii="Calibri" w:hAnsi="Calibri"/>
        </w:rPr>
        <w:t>asylum seeker</w:t>
      </w:r>
      <w:r w:rsidR="00373BF4">
        <w:rPr>
          <w:rFonts w:ascii="Calibri" w:hAnsi="Calibri"/>
        </w:rPr>
        <w:t>s</w:t>
      </w:r>
      <w:r w:rsidRPr="009A1FED">
        <w:rPr>
          <w:rFonts w:ascii="Calibri" w:hAnsi="Calibri"/>
        </w:rPr>
        <w:t xml:space="preserve"> were immediately transported back to Myanmar without any risk assessment from Thailand or UNHCR. The Immigration Bureau deports some 200-300 immigration detainees every week without proper screening of their protection claims.</w:t>
      </w:r>
      <w:r w:rsidRPr="009A1FED">
        <w:rPr>
          <w:rFonts w:ascii="Calibri" w:hAnsi="Calibri"/>
          <w:vertAlign w:val="superscript"/>
        </w:rPr>
        <w:endnoteReference w:id="9"/>
      </w:r>
      <w:r w:rsidRPr="009A1FED">
        <w:rPr>
          <w:rFonts w:ascii="Calibri" w:hAnsi="Calibri"/>
        </w:rPr>
        <w:t xml:space="preserve"> Returnees hence are at risk of persecution or being trafficked.</w:t>
      </w:r>
    </w:p>
    <w:p w14:paraId="07C4BEA4" w14:textId="77777777" w:rsidR="009A1FED" w:rsidRPr="009A1FED" w:rsidRDefault="009A1FED" w:rsidP="009A1FED">
      <w:pPr>
        <w:pStyle w:val="Maintext"/>
        <w:numPr>
          <w:ilvl w:val="0"/>
          <w:numId w:val="0"/>
        </w:numPr>
        <w:spacing w:after="120"/>
        <w:ind w:left="360" w:hanging="360"/>
        <w:jc w:val="both"/>
        <w:rPr>
          <w:rFonts w:ascii="Calibri" w:hAnsi="Calibri"/>
          <w:lang w:val="en-AU"/>
        </w:rPr>
      </w:pPr>
    </w:p>
    <w:p w14:paraId="1613DF69" w14:textId="785B946C" w:rsidR="005B4F9D" w:rsidRPr="009A1FED" w:rsidRDefault="005B4F9D" w:rsidP="005B4F9D">
      <w:pPr>
        <w:pStyle w:val="Maintext"/>
        <w:spacing w:after="120"/>
        <w:jc w:val="both"/>
        <w:rPr>
          <w:rFonts w:ascii="Calibri" w:hAnsi="Calibri"/>
        </w:rPr>
      </w:pPr>
      <w:r w:rsidRPr="009A1FED">
        <w:rPr>
          <w:rFonts w:ascii="Calibri" w:hAnsi="Calibri"/>
        </w:rPr>
        <w:t xml:space="preserve">In addition, since 2009, Thailand has implemented a “push back” policy with regard to </w:t>
      </w:r>
      <w:r w:rsidR="00296652">
        <w:rPr>
          <w:rFonts w:ascii="Calibri" w:hAnsi="Calibri"/>
        </w:rPr>
        <w:t>asylum seeker</w:t>
      </w:r>
      <w:r w:rsidR="00373BF4">
        <w:rPr>
          <w:rFonts w:ascii="Calibri" w:hAnsi="Calibri"/>
        </w:rPr>
        <w:t>s</w:t>
      </w:r>
      <w:r w:rsidRPr="009A1FED">
        <w:rPr>
          <w:rFonts w:ascii="Calibri" w:hAnsi="Calibri"/>
        </w:rPr>
        <w:t xml:space="preserve"> arriving by boat. The policy essentially intercepts boats of </w:t>
      </w:r>
      <w:r w:rsidR="00296652">
        <w:rPr>
          <w:rFonts w:ascii="Calibri" w:hAnsi="Calibri"/>
        </w:rPr>
        <w:t>asylum seeker</w:t>
      </w:r>
      <w:r w:rsidR="00373BF4">
        <w:rPr>
          <w:rFonts w:ascii="Calibri" w:hAnsi="Calibri"/>
        </w:rPr>
        <w:t>s</w:t>
      </w:r>
      <w:r w:rsidRPr="009A1FED">
        <w:rPr>
          <w:rFonts w:ascii="Calibri" w:hAnsi="Calibri"/>
        </w:rPr>
        <w:t xml:space="preserve"> approaching Thailand’s shores and turns them back to sea. In 2014, Thai authorities regularly intercepted and pushed back more than 250 Rohingya </w:t>
      </w:r>
      <w:r w:rsidR="00296652">
        <w:rPr>
          <w:rFonts w:ascii="Calibri" w:hAnsi="Calibri"/>
        </w:rPr>
        <w:t>asylum seeker</w:t>
      </w:r>
      <w:r w:rsidR="00373BF4">
        <w:rPr>
          <w:rFonts w:ascii="Calibri" w:hAnsi="Calibri"/>
        </w:rPr>
        <w:t>s</w:t>
      </w:r>
      <w:r w:rsidRPr="009A1FED">
        <w:rPr>
          <w:rFonts w:ascii="Calibri" w:hAnsi="Calibri"/>
        </w:rPr>
        <w:t>.</w:t>
      </w:r>
      <w:r w:rsidRPr="009A1FED">
        <w:rPr>
          <w:rStyle w:val="EndnoteReference"/>
          <w:rFonts w:ascii="Calibri" w:hAnsi="Calibri"/>
        </w:rPr>
        <w:endnoteReference w:id="10"/>
      </w:r>
      <w:r w:rsidRPr="009A1FED">
        <w:rPr>
          <w:rFonts w:ascii="Calibri" w:hAnsi="Calibri"/>
        </w:rPr>
        <w:t xml:space="preserve"> In May 2015, Thailand also refused to allow the disembarkation of Rohingya </w:t>
      </w:r>
      <w:r w:rsidR="00296652">
        <w:rPr>
          <w:rFonts w:ascii="Calibri" w:hAnsi="Calibri"/>
        </w:rPr>
        <w:t>asylum seeker</w:t>
      </w:r>
      <w:r w:rsidR="00373BF4">
        <w:rPr>
          <w:rFonts w:ascii="Calibri" w:hAnsi="Calibri"/>
        </w:rPr>
        <w:t>s</w:t>
      </w:r>
      <w:r w:rsidRPr="009A1FED">
        <w:rPr>
          <w:rFonts w:ascii="Calibri" w:hAnsi="Calibri"/>
        </w:rPr>
        <w:t xml:space="preserve"> and Bangladeshi survivors of human trafficking arriving to Thailand by sea. Consequently, human traffickers abandoned boats after Thai authorities enforced push back policies, leaving many Rohingya and Bangladeshis to die at sea.</w:t>
      </w:r>
      <w:r w:rsidRPr="009A1FED">
        <w:rPr>
          <w:rStyle w:val="EndnoteReference"/>
          <w:rFonts w:ascii="Calibri" w:hAnsi="Calibri"/>
        </w:rPr>
        <w:endnoteReference w:id="11"/>
      </w:r>
      <w:r w:rsidRPr="009A1FED">
        <w:rPr>
          <w:rFonts w:ascii="Calibri" w:hAnsi="Calibri"/>
        </w:rPr>
        <w:t xml:space="preserve"> While Indonesia and Malaysia agreed to provide temporary protection to Rohingya, Thailand remained silent on any offer to do so, agreeing only to deploy ships carrying humanitarian aid. </w:t>
      </w:r>
      <w:r w:rsidRPr="009A1FED">
        <w:rPr>
          <w:rFonts w:ascii="Calibri" w:hAnsi="Calibri"/>
          <w:lang w:val="en-AU"/>
        </w:rPr>
        <w:t xml:space="preserve">By deporting Rohingya </w:t>
      </w:r>
      <w:r w:rsidR="00296652">
        <w:rPr>
          <w:rFonts w:ascii="Calibri" w:hAnsi="Calibri"/>
          <w:lang w:val="en-AU"/>
        </w:rPr>
        <w:t>asylum seeker</w:t>
      </w:r>
      <w:r w:rsidR="00373BF4">
        <w:rPr>
          <w:rFonts w:ascii="Calibri" w:hAnsi="Calibri"/>
          <w:lang w:val="en-AU"/>
        </w:rPr>
        <w:t>s</w:t>
      </w:r>
      <w:r w:rsidRPr="009A1FED">
        <w:rPr>
          <w:rFonts w:ascii="Calibri" w:hAnsi="Calibri"/>
          <w:lang w:val="en-AU"/>
        </w:rPr>
        <w:t xml:space="preserve"> in Thailand without properly assessing their protection needs and diverting </w:t>
      </w:r>
      <w:r w:rsidR="00296652">
        <w:rPr>
          <w:rFonts w:ascii="Calibri" w:hAnsi="Calibri"/>
          <w:lang w:val="en-AU"/>
        </w:rPr>
        <w:t>asylum seeker</w:t>
      </w:r>
      <w:r w:rsidR="00373BF4">
        <w:rPr>
          <w:rFonts w:ascii="Calibri" w:hAnsi="Calibri"/>
          <w:lang w:val="en-AU"/>
        </w:rPr>
        <w:t>s</w:t>
      </w:r>
      <w:r w:rsidRPr="009A1FED">
        <w:rPr>
          <w:rFonts w:ascii="Calibri" w:hAnsi="Calibri"/>
          <w:lang w:val="en-AU"/>
        </w:rPr>
        <w:t xml:space="preserve"> traveling on boats away from its borders, Thailand risks returning individuals to countries where they will face serious risk of torture or threat to life or liberty. </w:t>
      </w:r>
    </w:p>
    <w:p w14:paraId="09F4579F" w14:textId="77777777" w:rsidR="009A1FED" w:rsidRPr="009A1FED" w:rsidRDefault="009A1FED" w:rsidP="009A1FED">
      <w:pPr>
        <w:pStyle w:val="Maintext"/>
        <w:numPr>
          <w:ilvl w:val="0"/>
          <w:numId w:val="0"/>
        </w:numPr>
        <w:spacing w:after="120"/>
        <w:ind w:left="360" w:hanging="360"/>
        <w:jc w:val="both"/>
        <w:rPr>
          <w:rFonts w:ascii="Calibri" w:hAnsi="Calibri"/>
        </w:rPr>
      </w:pPr>
    </w:p>
    <w:p w14:paraId="136E8AAD" w14:textId="51EB40B6" w:rsidR="005B4F9D" w:rsidRPr="009A1FED" w:rsidRDefault="005B4F9D" w:rsidP="005B4F9D">
      <w:pPr>
        <w:pStyle w:val="Maintext"/>
        <w:spacing w:after="120"/>
        <w:jc w:val="both"/>
        <w:rPr>
          <w:rFonts w:ascii="Calibri" w:hAnsi="Calibri"/>
        </w:rPr>
      </w:pPr>
      <w:r w:rsidRPr="009A1FED">
        <w:rPr>
          <w:rFonts w:ascii="Calibri" w:hAnsi="Calibri"/>
        </w:rPr>
        <w:t xml:space="preserve">In 2015, Thailand handed over about 109 male Uighur </w:t>
      </w:r>
      <w:r w:rsidR="00296652">
        <w:rPr>
          <w:rFonts w:ascii="Calibri" w:hAnsi="Calibri"/>
        </w:rPr>
        <w:t>asylum seeker</w:t>
      </w:r>
      <w:r w:rsidR="00373BF4">
        <w:rPr>
          <w:rFonts w:ascii="Calibri" w:hAnsi="Calibri"/>
        </w:rPr>
        <w:t>s</w:t>
      </w:r>
      <w:r w:rsidRPr="009A1FED">
        <w:rPr>
          <w:rFonts w:ascii="Calibri" w:hAnsi="Calibri"/>
        </w:rPr>
        <w:t xml:space="preserve"> under its custody to China.</w:t>
      </w:r>
      <w:r w:rsidRPr="009A1FED">
        <w:rPr>
          <w:rStyle w:val="EndnoteReference"/>
          <w:rFonts w:ascii="Calibri" w:hAnsi="Calibri"/>
        </w:rPr>
        <w:endnoteReference w:id="12"/>
      </w:r>
      <w:r w:rsidRPr="009A1FED">
        <w:rPr>
          <w:rFonts w:ascii="Calibri" w:hAnsi="Calibri"/>
        </w:rPr>
        <w:t xml:space="preserve"> Following claims by Chinese authorities that deportees were terrorism suspects, the Uighur </w:t>
      </w:r>
      <w:r w:rsidR="00296652">
        <w:rPr>
          <w:rFonts w:ascii="Calibri" w:hAnsi="Calibri"/>
        </w:rPr>
        <w:t>asylum seeker</w:t>
      </w:r>
      <w:r w:rsidR="00373BF4">
        <w:rPr>
          <w:rFonts w:ascii="Calibri" w:hAnsi="Calibri"/>
        </w:rPr>
        <w:t>s</w:t>
      </w:r>
      <w:r w:rsidRPr="009A1FED">
        <w:rPr>
          <w:rFonts w:ascii="Calibri" w:hAnsi="Calibri"/>
        </w:rPr>
        <w:t xml:space="preserve"> were officially extradited to China under a Sino-Thai bilateral extradition agreement with no assessment of their protection needs. Those extradited face a great risk of persecution, torture or enforced disappearance upon return to China due to the ongoing conflict between the Chinese Government and ethnic Uighurs.</w:t>
      </w:r>
      <w:r w:rsidRPr="009A1FED">
        <w:rPr>
          <w:rStyle w:val="EndnoteReference"/>
          <w:rFonts w:ascii="Calibri" w:hAnsi="Calibri"/>
        </w:rPr>
        <w:endnoteReference w:id="13"/>
      </w:r>
      <w:r w:rsidRPr="009A1FED">
        <w:rPr>
          <w:rFonts w:ascii="Calibri" w:hAnsi="Calibri"/>
        </w:rPr>
        <w:t xml:space="preserve"> The fate of those returned remains unknown.</w:t>
      </w:r>
    </w:p>
    <w:p w14:paraId="7DD2265B" w14:textId="77777777" w:rsidR="009A1FED" w:rsidRPr="009A1FED" w:rsidRDefault="009A1FED" w:rsidP="009A1FED">
      <w:pPr>
        <w:pStyle w:val="Maintext"/>
        <w:numPr>
          <w:ilvl w:val="0"/>
          <w:numId w:val="0"/>
        </w:numPr>
        <w:spacing w:after="120"/>
        <w:ind w:left="360" w:hanging="360"/>
        <w:jc w:val="both"/>
        <w:rPr>
          <w:rFonts w:ascii="Calibri" w:hAnsi="Calibri"/>
        </w:rPr>
      </w:pPr>
    </w:p>
    <w:p w14:paraId="12CAC5EC" w14:textId="2FEEEDAC" w:rsidR="005B4F9D" w:rsidRPr="009A1FED" w:rsidRDefault="005B4F9D" w:rsidP="005B4F9D">
      <w:pPr>
        <w:pStyle w:val="Maintext"/>
        <w:spacing w:after="120"/>
        <w:jc w:val="both"/>
        <w:rPr>
          <w:rFonts w:ascii="Calibri" w:hAnsi="Calibri"/>
          <w:lang w:val="en-AU"/>
        </w:rPr>
      </w:pPr>
      <w:r w:rsidRPr="009A1FED">
        <w:rPr>
          <w:rFonts w:ascii="Calibri" w:hAnsi="Calibri"/>
        </w:rPr>
        <w:t xml:space="preserve">In 2013, Thailand allowed the arrest and deportation of Vietnamese </w:t>
      </w:r>
      <w:r w:rsidR="00296652">
        <w:rPr>
          <w:rFonts w:ascii="Calibri" w:hAnsi="Calibri"/>
        </w:rPr>
        <w:t>asylum seeker</w:t>
      </w:r>
      <w:r w:rsidR="00373BF4">
        <w:rPr>
          <w:rFonts w:ascii="Calibri" w:hAnsi="Calibri"/>
        </w:rPr>
        <w:t>s</w:t>
      </w:r>
      <w:r w:rsidRPr="009A1FED">
        <w:rPr>
          <w:rFonts w:ascii="Calibri" w:hAnsi="Calibri"/>
        </w:rPr>
        <w:t xml:space="preserve"> to Cambodia, where they were put on trial as suspected members of the Khmer National Liberation Front. </w:t>
      </w:r>
      <w:r w:rsidR="00296652">
        <w:rPr>
          <w:rFonts w:ascii="Calibri" w:hAnsi="Calibri"/>
        </w:rPr>
        <w:t>Asylum seeker</w:t>
      </w:r>
      <w:r w:rsidRPr="009A1FED">
        <w:rPr>
          <w:rFonts w:ascii="Calibri" w:hAnsi="Calibri"/>
        </w:rPr>
        <w:t xml:space="preserve"> removed to Cambodia claim they were later tortured and coerced into confessing.</w:t>
      </w:r>
      <w:r w:rsidRPr="009A1FED">
        <w:rPr>
          <w:rStyle w:val="EndnoteReference"/>
          <w:rFonts w:ascii="Calibri" w:hAnsi="Calibri"/>
        </w:rPr>
        <w:endnoteReference w:id="14"/>
      </w:r>
      <w:r w:rsidRPr="009A1FED">
        <w:rPr>
          <w:rFonts w:ascii="Calibri" w:hAnsi="Calibri"/>
        </w:rPr>
        <w:t xml:space="preserve"> In 2009, Thailand returned an estimated 4,000 Hmong refugees and </w:t>
      </w:r>
      <w:r w:rsidR="00296652">
        <w:rPr>
          <w:rFonts w:ascii="Calibri" w:hAnsi="Calibri"/>
        </w:rPr>
        <w:t>asylum seeker</w:t>
      </w:r>
      <w:r w:rsidR="00373BF4">
        <w:rPr>
          <w:rFonts w:ascii="Calibri" w:hAnsi="Calibri"/>
        </w:rPr>
        <w:t>s</w:t>
      </w:r>
      <w:r w:rsidRPr="009A1FED">
        <w:rPr>
          <w:rFonts w:ascii="Calibri" w:hAnsi="Calibri"/>
        </w:rPr>
        <w:t xml:space="preserve"> to Laos, where they faced risk of persecution.</w:t>
      </w:r>
      <w:r w:rsidRPr="009A1FED">
        <w:rPr>
          <w:rStyle w:val="EndnoteReference"/>
          <w:rFonts w:ascii="Calibri" w:hAnsi="Calibri"/>
        </w:rPr>
        <w:endnoteReference w:id="15"/>
      </w:r>
    </w:p>
    <w:p w14:paraId="021668B9" w14:textId="77777777" w:rsidR="009A1FED" w:rsidRPr="009A1FED" w:rsidRDefault="009A1FED" w:rsidP="009A1FED">
      <w:pPr>
        <w:pStyle w:val="Maintext"/>
        <w:numPr>
          <w:ilvl w:val="0"/>
          <w:numId w:val="0"/>
        </w:numPr>
        <w:spacing w:after="120"/>
        <w:ind w:left="360" w:hanging="360"/>
        <w:jc w:val="both"/>
        <w:rPr>
          <w:rFonts w:ascii="Calibri" w:hAnsi="Calibri"/>
          <w:lang w:val="en-AU"/>
        </w:rPr>
      </w:pPr>
    </w:p>
    <w:p w14:paraId="62E1A0A5" w14:textId="0ED4326E" w:rsidR="009A1FED" w:rsidRPr="009A1FED" w:rsidRDefault="005B4F9D" w:rsidP="009A1FED">
      <w:pPr>
        <w:pStyle w:val="Maintext"/>
        <w:spacing w:after="120"/>
        <w:jc w:val="both"/>
        <w:rPr>
          <w:rFonts w:ascii="Calibri" w:hAnsi="Calibri"/>
        </w:rPr>
      </w:pPr>
      <w:r w:rsidRPr="009A1FED">
        <w:rPr>
          <w:rFonts w:ascii="Calibri" w:hAnsi="Calibri"/>
        </w:rPr>
        <w:t xml:space="preserve">The deportation of 200-300 immigration detainees every week risks violating the State’s duty against refoulement by forcing individuals to return to countries they fled for reasons of persecution. The risk of refoulement also arises when the State diverts boats of </w:t>
      </w:r>
      <w:r w:rsidR="00296652">
        <w:rPr>
          <w:rFonts w:ascii="Calibri" w:hAnsi="Calibri"/>
        </w:rPr>
        <w:t>asylum seeker</w:t>
      </w:r>
      <w:r w:rsidR="00373BF4">
        <w:rPr>
          <w:rFonts w:ascii="Calibri" w:hAnsi="Calibri"/>
        </w:rPr>
        <w:t>s</w:t>
      </w:r>
      <w:r w:rsidRPr="009A1FED">
        <w:rPr>
          <w:rFonts w:ascii="Calibri" w:hAnsi="Calibri"/>
        </w:rPr>
        <w:t xml:space="preserve"> at sea and prevents them from disembarking. This “push back” policy risks violating Thailand’s duty under customary international law to ensure that no one is sent back to a country where there exists a threat to her life or freedom. Further, the return of refugees and </w:t>
      </w:r>
      <w:r w:rsidR="00296652">
        <w:rPr>
          <w:rFonts w:ascii="Calibri" w:hAnsi="Calibri"/>
        </w:rPr>
        <w:t>asylum seeker</w:t>
      </w:r>
      <w:r w:rsidR="00373BF4">
        <w:rPr>
          <w:rFonts w:ascii="Calibri" w:hAnsi="Calibri"/>
        </w:rPr>
        <w:t>s</w:t>
      </w:r>
      <w:r w:rsidRPr="009A1FED">
        <w:rPr>
          <w:rFonts w:ascii="Calibri" w:hAnsi="Calibri"/>
        </w:rPr>
        <w:t xml:space="preserve"> to China, Cambodia, and Laos, where they faced the risk of torture, is a violation of the principle of non-refoulement.</w:t>
      </w:r>
    </w:p>
    <w:p w14:paraId="2622A0B4" w14:textId="77777777" w:rsidR="009A1FED" w:rsidRPr="009A1FED" w:rsidRDefault="009A1FED" w:rsidP="009A1FED">
      <w:pPr>
        <w:pStyle w:val="Maintext"/>
        <w:numPr>
          <w:ilvl w:val="0"/>
          <w:numId w:val="0"/>
        </w:numPr>
        <w:spacing w:after="120"/>
        <w:jc w:val="both"/>
        <w:rPr>
          <w:rFonts w:ascii="Calibri" w:hAnsi="Calibri"/>
        </w:rPr>
      </w:pPr>
    </w:p>
    <w:p w14:paraId="174D0D01" w14:textId="04DCCFF5" w:rsidR="009A1FED" w:rsidRDefault="009A1FED" w:rsidP="009A1FED">
      <w:pPr>
        <w:pStyle w:val="Maintext"/>
        <w:numPr>
          <w:ilvl w:val="0"/>
          <w:numId w:val="0"/>
        </w:numPr>
        <w:jc w:val="both"/>
        <w:rPr>
          <w:rFonts w:ascii="Calibri" w:hAnsi="Calibri"/>
          <w:i/>
          <w:sz w:val="23"/>
          <w:szCs w:val="23"/>
        </w:rPr>
      </w:pPr>
      <w:r w:rsidRPr="009A1FED">
        <w:rPr>
          <w:rFonts w:ascii="Calibri" w:hAnsi="Calibri"/>
          <w:i/>
          <w:sz w:val="23"/>
          <w:szCs w:val="23"/>
        </w:rPr>
        <w:t>Prior Observations by the Human Rights Committee and other Human Rights Treaty Bodies</w:t>
      </w:r>
    </w:p>
    <w:p w14:paraId="51D3EAD6" w14:textId="77777777" w:rsidR="009A1FED" w:rsidRPr="009A1FED" w:rsidRDefault="009A1FED" w:rsidP="009A1FED">
      <w:pPr>
        <w:pStyle w:val="Maintext"/>
        <w:numPr>
          <w:ilvl w:val="0"/>
          <w:numId w:val="0"/>
        </w:numPr>
        <w:jc w:val="both"/>
        <w:rPr>
          <w:rFonts w:ascii="Calibri" w:hAnsi="Calibri"/>
        </w:rPr>
      </w:pPr>
    </w:p>
    <w:p w14:paraId="01F89FF5" w14:textId="51315F38" w:rsidR="009A1FED" w:rsidRDefault="009A1FED" w:rsidP="009A1FED">
      <w:pPr>
        <w:pStyle w:val="ListParagraph"/>
        <w:numPr>
          <w:ilvl w:val="0"/>
          <w:numId w:val="5"/>
        </w:numPr>
        <w:jc w:val="both"/>
        <w:rPr>
          <w:rFonts w:ascii="Calibri" w:hAnsi="Calibri"/>
        </w:rPr>
      </w:pPr>
      <w:r w:rsidRPr="009A1FED">
        <w:rPr>
          <w:rFonts w:ascii="Calibri" w:hAnsi="Calibri"/>
          <w:szCs w:val="22"/>
        </w:rPr>
        <w:t>I</w:t>
      </w:r>
      <w:r w:rsidRPr="009A1FED">
        <w:rPr>
          <w:rFonts w:ascii="Calibri" w:hAnsi="Calibri"/>
        </w:rPr>
        <w:t>n its 2005 Concluding Observations, the Human Rights Committee recommended that Thailand:</w:t>
      </w:r>
    </w:p>
    <w:p w14:paraId="49E4E843" w14:textId="77777777" w:rsidR="009A1FED" w:rsidRPr="009A1FED" w:rsidRDefault="009A1FED" w:rsidP="009A1FED">
      <w:pPr>
        <w:jc w:val="both"/>
        <w:rPr>
          <w:rFonts w:ascii="Calibri" w:hAnsi="Calibri"/>
          <w:szCs w:val="22"/>
        </w:rPr>
      </w:pPr>
    </w:p>
    <w:p w14:paraId="3A1D1D25" w14:textId="77777777" w:rsidR="009A1FED" w:rsidRPr="009A1FED" w:rsidRDefault="009A1FED" w:rsidP="009A1FED">
      <w:pPr>
        <w:autoSpaceDE w:val="0"/>
        <w:autoSpaceDN w:val="0"/>
        <w:adjustRightInd w:val="0"/>
        <w:ind w:left="810"/>
        <w:rPr>
          <w:rFonts w:ascii="Calibri" w:hAnsi="Calibri"/>
          <w:bCs/>
          <w:szCs w:val="22"/>
        </w:rPr>
      </w:pPr>
      <w:r w:rsidRPr="009A1FED">
        <w:rPr>
          <w:rFonts w:ascii="Calibri" w:hAnsi="Calibri"/>
          <w:szCs w:val="22"/>
        </w:rPr>
        <w:t>“</w:t>
      </w:r>
      <w:r w:rsidRPr="009A1FED">
        <w:rPr>
          <w:rFonts w:ascii="Calibri" w:hAnsi="Calibri"/>
          <w:bCs/>
          <w:szCs w:val="22"/>
        </w:rPr>
        <w:t>establish a mechanism to prohibit the extradition, expulsion, deportation or forcible return of aliens to a country where they would be at risk of torture or ill-treatment, including the right to judicial review with suspensive effect. The State party should observe its obligation to respect a fundamental principle of international law, the principle of non-refoulement.”</w:t>
      </w:r>
      <w:r w:rsidRPr="009A1FED">
        <w:rPr>
          <w:rStyle w:val="EndnoteReference"/>
          <w:rFonts w:ascii="Calibri" w:hAnsi="Calibri"/>
          <w:bCs/>
          <w:sz w:val="22"/>
          <w:szCs w:val="22"/>
        </w:rPr>
        <w:endnoteReference w:id="16"/>
      </w:r>
    </w:p>
    <w:p w14:paraId="09F3F58E" w14:textId="77777777" w:rsidR="009A1FED" w:rsidRPr="009A1FED" w:rsidRDefault="009A1FED" w:rsidP="009A1FED">
      <w:pPr>
        <w:autoSpaceDE w:val="0"/>
        <w:autoSpaceDN w:val="0"/>
        <w:adjustRightInd w:val="0"/>
        <w:rPr>
          <w:rFonts w:ascii="Calibri" w:hAnsi="Calibri"/>
          <w:bCs/>
          <w:szCs w:val="22"/>
        </w:rPr>
      </w:pPr>
    </w:p>
    <w:p w14:paraId="1216100E" w14:textId="77777777" w:rsidR="009A1FED" w:rsidRPr="009A1FED" w:rsidRDefault="009A1FED" w:rsidP="009A1FED">
      <w:pPr>
        <w:pStyle w:val="ListParagraph"/>
        <w:numPr>
          <w:ilvl w:val="0"/>
          <w:numId w:val="5"/>
        </w:numPr>
        <w:jc w:val="both"/>
        <w:rPr>
          <w:rFonts w:ascii="Calibri" w:hAnsi="Calibri"/>
          <w:bCs/>
        </w:rPr>
      </w:pPr>
      <w:r w:rsidRPr="009A1FED">
        <w:rPr>
          <w:rFonts w:ascii="Calibri" w:hAnsi="Calibri"/>
          <w:bCs/>
          <w:szCs w:val="22"/>
        </w:rPr>
        <w:t>More recently, in its review under the Convention against Torture, Thailand stated that it had “</w:t>
      </w:r>
      <w:r w:rsidRPr="009A1FED">
        <w:rPr>
          <w:rFonts w:ascii="Calibri" w:hAnsi="Calibri"/>
          <w:szCs w:val="22"/>
        </w:rPr>
        <w:t>not stipulated any specific provision” in regard to the prohibition against refoulement.</w:t>
      </w:r>
      <w:r w:rsidRPr="009A1FED">
        <w:rPr>
          <w:rStyle w:val="EndnoteReference"/>
          <w:rFonts w:ascii="Calibri" w:hAnsi="Calibri"/>
          <w:sz w:val="22"/>
          <w:szCs w:val="22"/>
        </w:rPr>
        <w:endnoteReference w:id="17"/>
      </w:r>
      <w:r w:rsidRPr="009A1FED">
        <w:rPr>
          <w:rFonts w:ascii="Calibri" w:hAnsi="Calibri"/>
          <w:szCs w:val="22"/>
        </w:rPr>
        <w:t xml:space="preserve"> </w:t>
      </w:r>
      <w:r w:rsidRPr="009A1FED">
        <w:rPr>
          <w:rFonts w:ascii="Calibri" w:hAnsi="Calibri"/>
          <w:bCs/>
          <w:szCs w:val="22"/>
        </w:rPr>
        <w:t>It elaborated that: “</w:t>
      </w:r>
      <w:r w:rsidRPr="009A1FED">
        <w:rPr>
          <w:rFonts w:ascii="Calibri" w:hAnsi="Calibri"/>
          <w:szCs w:val="22"/>
        </w:rPr>
        <w:t>Thai law has prescribed approaches to the exercising of discretion on the part of competent authorities. In practice, military officers, police officers, immigration officers, public prosecutors, and officers of other public agencies have acquired the understanding of the non-refoulement principle whereby foreign nationals shall not be sent from or forced out of the country if there appear to be convincing grounds that any such person thus forced out of the country might be subjected to danger or torture. Thailand’s adherence to this principle is widely acknowledged and has accordingly earned Thailand recognition internationally.”</w:t>
      </w:r>
    </w:p>
    <w:p w14:paraId="12E6A435" w14:textId="77777777" w:rsidR="009A1FED" w:rsidRPr="009A1FED" w:rsidRDefault="009A1FED" w:rsidP="009A1FED">
      <w:pPr>
        <w:jc w:val="both"/>
        <w:rPr>
          <w:rFonts w:ascii="Calibri" w:hAnsi="Calibri"/>
          <w:bCs/>
        </w:rPr>
      </w:pPr>
    </w:p>
    <w:p w14:paraId="391E6319" w14:textId="03063E0A" w:rsidR="009A1FED" w:rsidRDefault="00EF4A62" w:rsidP="009A1FED">
      <w:pPr>
        <w:pStyle w:val="ListParagraph"/>
        <w:numPr>
          <w:ilvl w:val="0"/>
          <w:numId w:val="5"/>
        </w:numPr>
        <w:jc w:val="both"/>
        <w:rPr>
          <w:rFonts w:ascii="Calibri" w:hAnsi="Calibri"/>
          <w:bCs/>
        </w:rPr>
      </w:pPr>
      <w:r>
        <w:rPr>
          <w:rFonts w:ascii="Calibri" w:hAnsi="Calibri"/>
          <w:bCs/>
        </w:rPr>
        <w:t>In its Concluding R</w:t>
      </w:r>
      <w:r w:rsidR="009A1FED" w:rsidRPr="009A1FED">
        <w:rPr>
          <w:rFonts w:ascii="Calibri" w:hAnsi="Calibri"/>
          <w:bCs/>
        </w:rPr>
        <w:t xml:space="preserve">ecommendations, </w:t>
      </w:r>
      <w:r w:rsidR="009A1FED" w:rsidRPr="009A1FED">
        <w:rPr>
          <w:rFonts w:ascii="Calibri" w:hAnsi="Calibri"/>
          <w:bCs/>
          <w:szCs w:val="22"/>
        </w:rPr>
        <w:t xml:space="preserve">the Committee </w:t>
      </w:r>
      <w:r>
        <w:rPr>
          <w:rFonts w:ascii="Calibri" w:hAnsi="Calibri"/>
          <w:bCs/>
        </w:rPr>
        <w:t>A</w:t>
      </w:r>
      <w:r w:rsidR="009A1FED" w:rsidRPr="009A1FED">
        <w:rPr>
          <w:rFonts w:ascii="Calibri" w:hAnsi="Calibri"/>
          <w:bCs/>
          <w:szCs w:val="22"/>
        </w:rPr>
        <w:t>gainst Torture</w:t>
      </w:r>
      <w:r w:rsidR="009A1FED" w:rsidRPr="009A1FED">
        <w:rPr>
          <w:rFonts w:ascii="Calibri" w:hAnsi="Calibri"/>
          <w:bCs/>
        </w:rPr>
        <w:t xml:space="preserve"> recommended that Thailand</w:t>
      </w:r>
      <w:r w:rsidR="009A1FED" w:rsidRPr="009A1FED">
        <w:rPr>
          <w:rFonts w:ascii="Calibri" w:hAnsi="Calibri"/>
          <w:bCs/>
          <w:szCs w:val="22"/>
        </w:rPr>
        <w:t>:</w:t>
      </w:r>
      <w:r w:rsidR="009A1FED" w:rsidRPr="009A1FED">
        <w:rPr>
          <w:rFonts w:ascii="Calibri" w:hAnsi="Calibri"/>
          <w:bCs/>
        </w:rPr>
        <w:t xml:space="preserve"> </w:t>
      </w:r>
    </w:p>
    <w:p w14:paraId="429B14E3" w14:textId="77777777" w:rsidR="009A1FED" w:rsidRPr="009A1FED" w:rsidRDefault="009A1FED" w:rsidP="009A1FED">
      <w:pPr>
        <w:jc w:val="both"/>
        <w:rPr>
          <w:rFonts w:ascii="Calibri" w:hAnsi="Calibri"/>
          <w:bCs/>
        </w:rPr>
      </w:pPr>
    </w:p>
    <w:p w14:paraId="5DCC832F" w14:textId="7D9F6652" w:rsidR="009A1FED" w:rsidRPr="009A1FED" w:rsidRDefault="009A1FED" w:rsidP="00311B45">
      <w:pPr>
        <w:ind w:left="810"/>
        <w:jc w:val="both"/>
        <w:rPr>
          <w:rFonts w:ascii="Calibri" w:hAnsi="Calibri"/>
          <w:bCs/>
        </w:rPr>
      </w:pPr>
      <w:r w:rsidRPr="009A1FED">
        <w:rPr>
          <w:rFonts w:ascii="Calibri" w:hAnsi="Calibri"/>
          <w:bCs/>
        </w:rPr>
        <w:t>“</w:t>
      </w:r>
      <w:r w:rsidRPr="009A1FED">
        <w:rPr>
          <w:rFonts w:ascii="Calibri" w:hAnsi="Calibri"/>
          <w:bCs/>
          <w:szCs w:val="22"/>
        </w:rPr>
        <w:t xml:space="preserve">adopt appropriate legislation and procedures to comply with the principle of non-refoulement and to protect refugees and </w:t>
      </w:r>
      <w:r w:rsidR="00296652">
        <w:rPr>
          <w:rFonts w:ascii="Calibri" w:hAnsi="Calibri"/>
          <w:bCs/>
        </w:rPr>
        <w:t>asylum seeker</w:t>
      </w:r>
      <w:r w:rsidR="00373BF4">
        <w:rPr>
          <w:rFonts w:ascii="Calibri" w:hAnsi="Calibri"/>
          <w:bCs/>
        </w:rPr>
        <w:t>s</w:t>
      </w:r>
      <w:r w:rsidRPr="009A1FED">
        <w:rPr>
          <w:rFonts w:ascii="Calibri" w:hAnsi="Calibri"/>
          <w:bCs/>
          <w:szCs w:val="22"/>
        </w:rPr>
        <w:t>, in line with article 3 of the Convention, in particular by:</w:t>
      </w:r>
    </w:p>
    <w:p w14:paraId="09D17865" w14:textId="6725591D" w:rsidR="009A1FED" w:rsidRPr="009A1FED" w:rsidRDefault="009A1FED" w:rsidP="00311B45">
      <w:pPr>
        <w:ind w:left="810"/>
        <w:jc w:val="both"/>
        <w:rPr>
          <w:rFonts w:ascii="Calibri" w:hAnsi="Calibri"/>
          <w:bCs/>
        </w:rPr>
      </w:pPr>
      <w:r w:rsidRPr="009A1FED">
        <w:rPr>
          <w:rFonts w:ascii="Calibri" w:hAnsi="Calibri"/>
          <w:bCs/>
        </w:rPr>
        <w:t>(</w:t>
      </w:r>
      <w:r w:rsidRPr="009A1FED">
        <w:rPr>
          <w:rFonts w:ascii="Calibri" w:hAnsi="Calibri"/>
          <w:bCs/>
          <w:szCs w:val="22"/>
        </w:rPr>
        <w:t xml:space="preserve">a) Amending the Immigration Act and establishing a national asylum system to provide the legal framework required to address the situation of refugees and </w:t>
      </w:r>
      <w:r w:rsidR="00296652">
        <w:rPr>
          <w:rFonts w:ascii="Calibri" w:hAnsi="Calibri"/>
          <w:bCs/>
        </w:rPr>
        <w:t>asylum seeker</w:t>
      </w:r>
      <w:r w:rsidR="00373BF4">
        <w:rPr>
          <w:rFonts w:ascii="Calibri" w:hAnsi="Calibri"/>
          <w:bCs/>
        </w:rPr>
        <w:t>s</w:t>
      </w:r>
      <w:r w:rsidRPr="009A1FED">
        <w:rPr>
          <w:rFonts w:ascii="Calibri" w:hAnsi="Calibri"/>
          <w:bCs/>
          <w:szCs w:val="22"/>
        </w:rPr>
        <w:t>. Moreover, the State party should take the necessary measures, in cooperation with the United Nations High Commissioner for Refugees (UNHCR), to review its procedures for determining refugee status;</w:t>
      </w:r>
    </w:p>
    <w:p w14:paraId="440477C2" w14:textId="77777777" w:rsidR="009A1FED" w:rsidRPr="009A1FED" w:rsidRDefault="009A1FED" w:rsidP="00311B45">
      <w:pPr>
        <w:autoSpaceDE w:val="0"/>
        <w:autoSpaceDN w:val="0"/>
        <w:adjustRightInd w:val="0"/>
        <w:ind w:left="810"/>
        <w:rPr>
          <w:rFonts w:ascii="Calibri" w:hAnsi="Calibri"/>
          <w:bCs/>
          <w:szCs w:val="22"/>
        </w:rPr>
      </w:pPr>
      <w:r w:rsidRPr="009A1FED">
        <w:rPr>
          <w:rFonts w:ascii="Calibri" w:hAnsi="Calibri"/>
          <w:bCs/>
          <w:szCs w:val="22"/>
        </w:rPr>
        <w:t>(b) Providing protection and rehabilitation support to victims rescued from human smugglers’ camps in southern Thailand and defining the temporary protection regime and related rights granted to Rohingya refugees and stateless persons, including protection from refoulement;</w:t>
      </w:r>
    </w:p>
    <w:p w14:paraId="7A7328BC" w14:textId="77777777" w:rsidR="009A1FED" w:rsidRPr="009A1FED" w:rsidRDefault="009A1FED" w:rsidP="00311B45">
      <w:pPr>
        <w:autoSpaceDE w:val="0"/>
        <w:autoSpaceDN w:val="0"/>
        <w:adjustRightInd w:val="0"/>
        <w:ind w:left="810"/>
        <w:rPr>
          <w:rFonts w:ascii="Calibri" w:hAnsi="Calibri"/>
          <w:bCs/>
        </w:rPr>
      </w:pPr>
      <w:r w:rsidRPr="009A1FED">
        <w:rPr>
          <w:rFonts w:ascii="Calibri" w:hAnsi="Calibri"/>
          <w:bCs/>
          <w:szCs w:val="22"/>
        </w:rPr>
        <w:t>(c) Acceding to the 1951 Convention relating to the Status of Refugees and its 1967 Protocol.</w:t>
      </w:r>
      <w:r w:rsidRPr="009A1FED">
        <w:rPr>
          <w:rFonts w:ascii="Calibri" w:hAnsi="Calibri"/>
          <w:bCs/>
        </w:rPr>
        <w:t>”</w:t>
      </w:r>
      <w:r w:rsidRPr="009A1FED">
        <w:rPr>
          <w:rStyle w:val="EndnoteReference"/>
          <w:rFonts w:ascii="Calibri" w:hAnsi="Calibri"/>
          <w:bCs/>
          <w:szCs w:val="22"/>
        </w:rPr>
        <w:endnoteReference w:id="18"/>
      </w:r>
    </w:p>
    <w:p w14:paraId="1A2BA45C" w14:textId="71B11E77" w:rsidR="009A1FED" w:rsidRPr="009A1FED" w:rsidRDefault="00864566" w:rsidP="009A1FED">
      <w:pPr>
        <w:jc w:val="both"/>
        <w:rPr>
          <w:rFonts w:ascii="Calibri" w:hAnsi="Calibri"/>
        </w:rPr>
      </w:pPr>
      <w:r w:rsidRPr="009A1FED">
        <w:rPr>
          <w:rFonts w:ascii="Calibri" w:hAnsi="Calibri"/>
          <w:noProof/>
          <w:szCs w:val="22"/>
        </w:rPr>
        <mc:AlternateContent>
          <mc:Choice Requires="wps">
            <w:drawing>
              <wp:anchor distT="0" distB="0" distL="114300" distR="114300" simplePos="0" relativeHeight="251749376" behindDoc="1" locked="0" layoutInCell="1" allowOverlap="1" wp14:anchorId="02467F7B" wp14:editId="6EAA4B29">
                <wp:simplePos x="0" y="0"/>
                <wp:positionH relativeFrom="column">
                  <wp:posOffset>-123825</wp:posOffset>
                </wp:positionH>
                <wp:positionV relativeFrom="paragraph">
                  <wp:posOffset>123190</wp:posOffset>
                </wp:positionV>
                <wp:extent cx="6400800" cy="679136"/>
                <wp:effectExtent l="50800" t="25400" r="50800" b="83185"/>
                <wp:wrapNone/>
                <wp:docPr id="29" name="Rectangle 29"/>
                <wp:cNvGraphicFramePr/>
                <a:graphic xmlns:a="http://schemas.openxmlformats.org/drawingml/2006/main">
                  <a:graphicData uri="http://schemas.microsoft.com/office/word/2010/wordprocessingShape">
                    <wps:wsp>
                      <wps:cNvSpPr/>
                      <wps:spPr>
                        <a:xfrm>
                          <a:off x="0" y="0"/>
                          <a:ext cx="6400800" cy="679136"/>
                        </a:xfrm>
                        <a:prstGeom prst="rect">
                          <a:avLst/>
                        </a:prstGeom>
                        <a:solidFill>
                          <a:schemeClr val="bg1">
                            <a:lumMod val="85000"/>
                          </a:schemeClr>
                        </a:solidFill>
                        <a:ln>
                          <a:noFill/>
                        </a:ln>
                        <a:extLst>
                          <a:ext uri="{FAA26D3D-D897-4be2-8F04-BA451C77F1D7}">
                            <ma14:placeholderFlag xmlns:ma14="http://schemas.microsoft.com/office/mac/drawingml/2011/main"/>
                          </a:ext>
                          <a:ext uri="{C572A759-6A51-4108-AA02-DFA0A04FC94B}">
                            <ma14:wrappingTextBoxFlag xmlns:ma14="http://schemas.microsoft.com/office/mac/drawingml/2011/main"/>
                          </a:ext>
                        </a:ex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 o:spid="_x0000_s1026" style="position:absolute;margin-left:-9.7pt;margin-top:9.7pt;width:7in;height:53.5pt;z-index:-251567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iY9sBIDAADYBgAADgAAAGRycy9lMm9Eb2MueG1stFVbb9MwFH5H4j9Yfs9yWXrV0ilrFYQ0tmkb&#10;2rPrOG0kxza2ewPx3zl20qwbEyAEL+mxz/18x18vLvcNR1umTS1FhuOzCCMmqCxrscrw58ciGGNk&#10;LBEl4VKwDB+YwZez9+8udmrKErmWvGQaQRBhpjuV4bW1ahqGhq5ZQ8yZVEyAspK6IRaOehWWmuwg&#10;esPDJIqG4U7qUmlJmTFwu2iVeObjVxWj9raqDLOIZxhqs/6r/XfpvuHsgkxXmqh1TbsyyF9U0ZBa&#10;QNI+1IJYgja6/ilUU1MtjazsGZVNKKuqpsz3AN3E0atuHtZEMd8LDMeofkzm34WlN9s7jeoyw8kE&#10;I0EawOgepkbEijMEdzCgnTJTsHtQd7o7GRBdt/tKN+4X+kB7P9RDP1S2t4jC5TCNonEEs6egG44m&#10;8fnQBQ2fvZU29gOTDXJChjWk97Mk22tjW9OjiUtmJK/LoubcH9yisDnXaEsA4uUq9q5803ySZXs3&#10;HkSQvo3j98qZ+wJeROLCxRPSRW6N2xvoA8pwOteRx/RbkefJcHG+CBbjyShIlywJxkWUBld5Oojn&#10;o1ERL0bfoZCGxOlUcUJZu+gFJ6sORaf6MxgbQl8sfRyHft3aIqGol7XNB6MkHw0mwTAfxEEaR+Mg&#10;z6MkWBR5lEdpMZ+kV31tO9h8Be/mEcJcyf3/qg/APo4xdNvU7o+X7IEz1wAX96yCRYSNaSHsoWpR&#10;JJQyYeMOR2/t3CpAq3c899j/0rGz9yPz9NA7J793ZkcPn1kK2zs3tZD6rQC8L7lq7WHxTvp24lKW&#10;B3iDWrbkZBQtangI18TYO6KBjeDtAMPaW/hUXO4yLDsJo7XUX9+6d/awXaDFyGGcYfNlQzTDiH8U&#10;QB+TOE0dHfpDChsDB32qWZ5qxKaZS3hdMXC5ol509pYfxUrL5gmIOHdZQUUEhdwZplYfD3Pbsi5Q&#10;OWV57s2AAhWx1+JB0SPq7qE/7p+IVh0bWFicG3lkQjJ9RQqtrcNDyHxjZVV7xnieazdvoE//5Duq&#10;d/x8evZWz39Isx8AAAD//wMAUEsDBBQABgAIAAAAIQBJvNgZ4AAAAAoBAAAPAAAAZHJzL2Rvd25y&#10;ZXYueG1sTI/BTsMwDIbvSLxDZCQu05ZujKorTSc0MXFhoA0eIG1MW2icKsm28vZ4JzhZ9v/79+di&#10;PdpenNCHzpGC+SwBgVQ701Gj4ON9O81AhKjJ6N4RKvjBAOvy+qrQuXFn2uPpEBvBIRRyraCNccil&#10;DHWLVoeZG5BY+3Te6sitb6Tx+szhtpeLJEml1R3xhVYPuGmx/j4cLWO8PL0mz3fbKt1P3jb+a2cn&#10;94NV6vZmfHwAEXGMf2a44PMOlMxUuSOZIHoF0/lqyVYWLpUNqyxLQVQ8WKRLkGUh/79Q/gIAAP//&#10;AwBQSwECLQAUAAYACAAAACEA5JnDwPsAAADhAQAAEwAAAAAAAAAAAAAAAAAAAAAAW0NvbnRlbnRf&#10;VHlwZXNdLnhtbFBLAQItABQABgAIAAAAIQAjsmrh1wAAAJQBAAALAAAAAAAAAAAAAAAAACwBAABf&#10;cmVscy8ucmVsc1BLAQItABQABgAIAAAAIQDOJj2wEgMAANgGAAAOAAAAAAAAAAAAAAAAACwCAABk&#10;cnMvZTJvRG9jLnhtbFBLAQItABQABgAIAAAAIQBJvNgZ4AAAAAoBAAAPAAAAAAAAAAAAAAAAAGoF&#10;AABkcnMvZG93bnJldi54bWxQSwUGAAAAAAQABADzAAAAdwYAAAAA&#10;" fillcolor="#d8d8d8 [2732]" stroked="f">
                <v:shadow on="t" opacity="22937f" mv:blur="40000f" origin=",.5" offset="0,23000emu"/>
              </v:rect>
            </w:pict>
          </mc:Fallback>
        </mc:AlternateContent>
      </w:r>
    </w:p>
    <w:p w14:paraId="45448527" w14:textId="5CF66FC6" w:rsidR="0091663B" w:rsidRPr="0091663B" w:rsidRDefault="0091663B" w:rsidP="0091663B">
      <w:pPr>
        <w:pStyle w:val="ListParagraph"/>
        <w:ind w:left="360"/>
        <w:jc w:val="both"/>
        <w:rPr>
          <w:rFonts w:ascii="Calibri" w:hAnsi="Calibri"/>
          <w:b/>
          <w:i/>
          <w:sz w:val="23"/>
          <w:szCs w:val="23"/>
          <w:lang w:val="en-AU"/>
        </w:rPr>
      </w:pPr>
      <w:r w:rsidRPr="0091663B">
        <w:rPr>
          <w:rFonts w:ascii="Calibri" w:hAnsi="Calibri"/>
          <w:b/>
          <w:i/>
          <w:sz w:val="23"/>
          <w:szCs w:val="23"/>
          <w:lang w:val="en-AU"/>
        </w:rPr>
        <w:t>Suggested Questions</w:t>
      </w:r>
    </w:p>
    <w:p w14:paraId="70B510CB" w14:textId="3B66BDAE" w:rsidR="0091663B" w:rsidRPr="009A1FED" w:rsidRDefault="0091663B" w:rsidP="0091663B">
      <w:pPr>
        <w:pStyle w:val="ListParagraph"/>
        <w:numPr>
          <w:ilvl w:val="0"/>
          <w:numId w:val="24"/>
        </w:numPr>
        <w:jc w:val="both"/>
        <w:rPr>
          <w:rFonts w:ascii="Calibri" w:hAnsi="Calibri"/>
          <w:b/>
          <w:szCs w:val="22"/>
          <w:lang w:val="en-AU"/>
        </w:rPr>
      </w:pPr>
      <w:r w:rsidRPr="0091663B">
        <w:rPr>
          <w:rFonts w:ascii="Calibri" w:hAnsi="Calibri"/>
          <w:b/>
          <w:szCs w:val="22"/>
        </w:rPr>
        <w:t xml:space="preserve">Given that current Thai law provides no statutory basis for assessing the likelihood of harm an individual faces upon removal from Thailand to a third country; and further given that the use of discretion by Thai officials with regards to the removal of refugees and </w:t>
      </w:r>
      <w:r w:rsidR="00296652">
        <w:rPr>
          <w:rFonts w:ascii="Calibri" w:hAnsi="Calibri"/>
          <w:b/>
          <w:szCs w:val="22"/>
        </w:rPr>
        <w:t>asylum seeker</w:t>
      </w:r>
      <w:r w:rsidR="00373BF4">
        <w:rPr>
          <w:rFonts w:ascii="Calibri" w:hAnsi="Calibri"/>
          <w:b/>
          <w:szCs w:val="22"/>
        </w:rPr>
        <w:t>s</w:t>
      </w:r>
      <w:r w:rsidRPr="0091663B">
        <w:rPr>
          <w:rFonts w:ascii="Calibri" w:hAnsi="Calibri"/>
          <w:b/>
          <w:szCs w:val="22"/>
        </w:rPr>
        <w:t xml:space="preserve"> has resulted in breaches of the international obligation of non-refoulement, what measures will Thailand put in place to ensure individualized assessments pertaining to the risk an individual faces upon removal to a third country before such individuals are removed?</w:t>
      </w:r>
    </w:p>
    <w:p w14:paraId="6D521D9A" w14:textId="08A02AF7" w:rsidR="0091663B" w:rsidRPr="00F77298" w:rsidRDefault="00864566" w:rsidP="0091663B">
      <w:pPr>
        <w:pStyle w:val="ListParagraph"/>
        <w:numPr>
          <w:ilvl w:val="0"/>
          <w:numId w:val="24"/>
        </w:numPr>
        <w:spacing w:before="25"/>
        <w:jc w:val="both"/>
        <w:rPr>
          <w:rFonts w:ascii="Calibri" w:hAnsi="Calibri"/>
          <w:b/>
          <w:w w:val="101"/>
          <w:szCs w:val="22"/>
        </w:rPr>
      </w:pPr>
      <w:r w:rsidRPr="009A1FED">
        <w:rPr>
          <w:rFonts w:ascii="Calibri" w:hAnsi="Calibri"/>
          <w:noProof/>
          <w:szCs w:val="22"/>
        </w:rPr>
        <mc:AlternateContent>
          <mc:Choice Requires="wps">
            <w:drawing>
              <wp:anchor distT="0" distB="0" distL="114300" distR="114300" simplePos="0" relativeHeight="251757568" behindDoc="1" locked="0" layoutInCell="1" allowOverlap="1" wp14:anchorId="773C66DB" wp14:editId="324BB6D9">
                <wp:simplePos x="0" y="0"/>
                <wp:positionH relativeFrom="column">
                  <wp:posOffset>-123190</wp:posOffset>
                </wp:positionH>
                <wp:positionV relativeFrom="paragraph">
                  <wp:posOffset>-861060</wp:posOffset>
                </wp:positionV>
                <wp:extent cx="6400800" cy="1559653"/>
                <wp:effectExtent l="50800" t="25400" r="50800" b="66040"/>
                <wp:wrapNone/>
                <wp:docPr id="4" name="Rectangle 4"/>
                <wp:cNvGraphicFramePr/>
                <a:graphic xmlns:a="http://schemas.openxmlformats.org/drawingml/2006/main">
                  <a:graphicData uri="http://schemas.microsoft.com/office/word/2010/wordprocessingShape">
                    <wps:wsp>
                      <wps:cNvSpPr/>
                      <wps:spPr>
                        <a:xfrm>
                          <a:off x="0" y="0"/>
                          <a:ext cx="6400800" cy="1559653"/>
                        </a:xfrm>
                        <a:prstGeom prst="rect">
                          <a:avLst/>
                        </a:prstGeom>
                        <a:solidFill>
                          <a:schemeClr val="bg1">
                            <a:lumMod val="85000"/>
                          </a:schemeClr>
                        </a:solidFill>
                        <a:ln>
                          <a:noFill/>
                        </a:ln>
                        <a:extLst>
                          <a:ext uri="{FAA26D3D-D897-4be2-8F04-BA451C77F1D7}">
                            <ma14:placeholderFlag xmlns:ma14="http://schemas.microsoft.com/office/mac/drawingml/2011/main"/>
                          </a:ext>
                          <a:ext uri="{C572A759-6A51-4108-AA02-DFA0A04FC94B}">
                            <ma14:wrappingTextBoxFlag xmlns:ma14="http://schemas.microsoft.com/office/mac/drawingml/2011/main"/>
                          </a:ext>
                        </a:ex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26" style="position:absolute;margin-left:-9.65pt;margin-top:-67.75pt;width:7in;height:122.8pt;z-index:-251558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rBhmxIDAADXBgAADgAAAGRycy9lMm9Eb2MueG1stFVbb9MwFH5H4j9Yfs+SdElvWjplrYKQxjZt&#10;Q3t2HaeN5NjGdm8g/jvHTpp1YwKE4CU99rmf7/jrxeW+4WjLtKmlyHB8FmHEBJVlLVYZ/vxYBGOM&#10;jCWiJFwKluEDM/hy9v7dxU5N2UCuJS+ZRhBEmOlOZXhtrZqGoaFr1hBzJhUToKykboiFo16FpSY7&#10;iN7wcBBFw3Andam0pMwYuF20Sjzz8auKUXtbVYZZxDMMtVn/1f67dN9wdkGmK03UuqZdGeQvqmhI&#10;LSBpH2pBLEEbXf8UqqmplkZW9ozKJpRVVVPme4Bu4uhVNw9ropjvBYZjVD8m8+/C0pvtnUZ1meEE&#10;I0EagOgehkbEijOUuPHslJmC1YO6093JgOh63Ve6cb/QBdr7kR76kbK9RRQuh0kUjSOYPAVdnKaT&#10;YXruoobP7kob+4HJBjkhwxrS+1GS7bWxrenRxGUzktdlUXPuD25P2JxrtCWA8HIVe1e+aT7Jsr0b&#10;pxHkb+P4tXLmvoAXkbhw8YR0kVvj9gYagTKczrXkIf1W5PlguDhfBIvxZBQkSzYIxkWUBFd5ksbz&#10;0aiIF6PvUEhD4mSqOKGs3fOCk1UHolP9GYoNoS92Po5Dv21tkVDUy9rm6WiQj9JJMMzTOEjiaBzk&#10;eTQIFkUe5VFSzCfJVV/bDhZfwbN5hDBXcv+/6gOwj2MM3Tq1C+Qle+DMNcDFPatgD2FlWgh7qFoU&#10;CaVM2LjD0Vs7twrQ6h3PPfa/dOzs/cg8O/TOg987s6OHzyyF7Z2bWkj9VgDel1y19rB4J307cSnL&#10;AzxBLVtuMooWNTyEa2LsHdFARvB4gGDtLXwqLncZlp2E0Vrqr2/dO3vYLtBi5DDOsPmyIZphxD8K&#10;YI9JnCSODf0hgY2Bgz7VLE81YtPMJbyuGKhcUS86e8uPYqVl8wQ8nLusoCKCQu4MU6uPh7ltSReY&#10;nLI892bAgIrYa/Gg6BF199Af909Eq44NLCzOjTwSIZm+IoXW1uEhZL6xsqo9YzzPtZs3sKd/8h3T&#10;O3o+PXur5/+j2Q8AAAD//wMAUEsDBBQABgAIAAAAIQAmBcxl4QAAAAwBAAAPAAAAZHJzL2Rvd25y&#10;ZXYueG1sTI/BTsMwDIbvSLxDZCQu05aUqqMrTSc0MXFhoA0eIG1CW2icKsm28vZ4J7jZ8uffn8v1&#10;ZAd2Mj70DiUkCwHMYON0j62Ej/ftPAcWokKtBodGwo8JsK6ur0pVaHfGvTkdYssoBEOhJHQxjgXn&#10;oemMVWHhRoM0+3Teqkitb7n26kzhduB3Qiy5VT3ShU6NZtOZ5vtwtKTx8vQqntNtvdzP3jb+a2dn&#10;2WilvL2ZHh+ARTPFPxgu+rQDFTnV7og6sEHCPFmlhF6KNMuAEbLK83tgNbGJSIBXJf//RPULAAD/&#10;/wMAUEsBAi0AFAAGAAgAAAAhAOSZw8D7AAAA4QEAABMAAAAAAAAAAAAAAAAAAAAAAFtDb250ZW50&#10;X1R5cGVzXS54bWxQSwECLQAUAAYACAAAACEAI7Jq4dcAAACUAQAACwAAAAAAAAAAAAAAAAAsAQAA&#10;X3JlbHMvLnJlbHNQSwECLQAUAAYACAAAACEAbrBhmxIDAADXBgAADgAAAAAAAAAAAAAAAAAsAgAA&#10;ZHJzL2Uyb0RvYy54bWxQSwECLQAUAAYACAAAACEAJgXMZeEAAAAMAQAADwAAAAAAAAAAAAAAAABq&#10;BQAAZHJzL2Rvd25yZXYueG1sUEsFBgAAAAAEAAQA8wAAAHgGAAAAAA==&#10;" fillcolor="#d8d8d8 [2732]" stroked="f">
                <v:shadow on="t" opacity="22937f" mv:blur="40000f" origin=",.5" offset="0,23000emu"/>
              </v:rect>
            </w:pict>
          </mc:Fallback>
        </mc:AlternateContent>
      </w:r>
      <w:r w:rsidRPr="00864566">
        <w:rPr>
          <w:rFonts w:ascii="Calibri" w:hAnsi="Calibri"/>
          <w:b/>
          <w:w w:val="101"/>
          <w:szCs w:val="22"/>
        </w:rPr>
        <w:t xml:space="preserve"> </w:t>
      </w:r>
      <w:r w:rsidRPr="00F77298">
        <w:rPr>
          <w:rFonts w:ascii="Calibri" w:hAnsi="Calibri"/>
          <w:b/>
          <w:w w:val="101"/>
          <w:szCs w:val="22"/>
        </w:rPr>
        <w:t xml:space="preserve">What are Thailand’s plans to extend temporary protection and establish a legal framework to protect the rights of </w:t>
      </w:r>
      <w:r>
        <w:rPr>
          <w:rFonts w:ascii="Calibri" w:hAnsi="Calibri"/>
          <w:b/>
          <w:w w:val="101"/>
          <w:szCs w:val="22"/>
        </w:rPr>
        <w:t xml:space="preserve">asylum seekers and refugees in Thailand, including </w:t>
      </w:r>
      <w:r w:rsidRPr="00F77298">
        <w:rPr>
          <w:rFonts w:ascii="Calibri" w:hAnsi="Calibri"/>
          <w:b/>
          <w:w w:val="101"/>
          <w:szCs w:val="22"/>
        </w:rPr>
        <w:t>Rohingya</w:t>
      </w:r>
      <w:r>
        <w:rPr>
          <w:rFonts w:ascii="Calibri" w:hAnsi="Calibri"/>
          <w:b/>
          <w:w w:val="101"/>
          <w:szCs w:val="22"/>
        </w:rPr>
        <w:t xml:space="preserve"> asylum seekers and refugees</w:t>
      </w:r>
      <w:r w:rsidRPr="00F77298">
        <w:rPr>
          <w:rFonts w:ascii="Calibri" w:hAnsi="Calibri"/>
          <w:b/>
          <w:w w:val="101"/>
          <w:szCs w:val="22"/>
        </w:rPr>
        <w:t>? Does Thailand have any plans to execute an order concretely ending the “push back” policy?</w:t>
      </w:r>
    </w:p>
    <w:p w14:paraId="46FD8909" w14:textId="77777777" w:rsidR="00CD2489" w:rsidRDefault="00CD2489" w:rsidP="005B4F9D">
      <w:pPr>
        <w:tabs>
          <w:tab w:val="left" w:pos="810"/>
        </w:tabs>
        <w:jc w:val="both"/>
        <w:rPr>
          <w:rFonts w:ascii="Calibri" w:hAnsi="Calibri"/>
          <w:w w:val="101"/>
          <w:sz w:val="23"/>
          <w:szCs w:val="23"/>
        </w:rPr>
      </w:pPr>
    </w:p>
    <w:p w14:paraId="3F1923B0" w14:textId="38476294" w:rsidR="005B4F9D" w:rsidRPr="009A1FED" w:rsidRDefault="005B4F9D" w:rsidP="005B4F9D">
      <w:pPr>
        <w:tabs>
          <w:tab w:val="left" w:pos="810"/>
        </w:tabs>
        <w:jc w:val="both"/>
        <w:rPr>
          <w:rFonts w:ascii="Calibri" w:hAnsi="Calibri"/>
          <w:szCs w:val="22"/>
        </w:rPr>
      </w:pPr>
      <w:r w:rsidRPr="009A1FED">
        <w:rPr>
          <w:rFonts w:ascii="Calibri" w:hAnsi="Calibri"/>
          <w:szCs w:val="22"/>
        </w:rPr>
        <w:tab/>
      </w:r>
    </w:p>
    <w:p w14:paraId="31134630" w14:textId="77777777" w:rsidR="00626D75" w:rsidRDefault="00CD2489" w:rsidP="00CD2489">
      <w:pPr>
        <w:tabs>
          <w:tab w:val="left" w:pos="630"/>
          <w:tab w:val="left" w:pos="1260"/>
          <w:tab w:val="right" w:pos="9360"/>
        </w:tabs>
        <w:spacing w:before="25"/>
        <w:ind w:left="720" w:hanging="720"/>
        <w:jc w:val="both"/>
        <w:rPr>
          <w:rFonts w:ascii="Calibri" w:hAnsi="Calibri"/>
          <w:b/>
          <w:w w:val="101"/>
          <w:sz w:val="23"/>
          <w:szCs w:val="23"/>
        </w:rPr>
      </w:pPr>
      <w:r w:rsidRPr="009A1FED">
        <w:rPr>
          <w:rFonts w:ascii="Calibri" w:hAnsi="Calibri"/>
          <w:szCs w:val="22"/>
        </w:rPr>
        <w:tab/>
      </w:r>
      <w:r w:rsidRPr="009A1FED">
        <w:rPr>
          <w:rFonts w:ascii="Calibri" w:hAnsi="Calibri"/>
          <w:b/>
          <w:w w:val="101"/>
          <w:sz w:val="23"/>
          <w:szCs w:val="23"/>
        </w:rPr>
        <w:t>i</w:t>
      </w:r>
      <w:r>
        <w:rPr>
          <w:rFonts w:ascii="Calibri" w:hAnsi="Calibri"/>
          <w:b/>
          <w:w w:val="101"/>
          <w:sz w:val="23"/>
          <w:szCs w:val="23"/>
        </w:rPr>
        <w:t>i</w:t>
      </w:r>
      <w:r w:rsidRPr="009A1FED">
        <w:rPr>
          <w:rFonts w:ascii="Calibri" w:hAnsi="Calibri"/>
          <w:b/>
          <w:w w:val="101"/>
          <w:sz w:val="23"/>
          <w:szCs w:val="23"/>
        </w:rPr>
        <w:t>.</w:t>
      </w:r>
      <w:r w:rsidRPr="009A1FED">
        <w:rPr>
          <w:rFonts w:ascii="Calibri" w:hAnsi="Calibri"/>
          <w:b/>
          <w:w w:val="101"/>
          <w:sz w:val="23"/>
          <w:szCs w:val="23"/>
        </w:rPr>
        <w:tab/>
      </w:r>
      <w:r>
        <w:rPr>
          <w:rFonts w:ascii="Calibri" w:hAnsi="Calibri"/>
          <w:b/>
          <w:w w:val="101"/>
          <w:sz w:val="23"/>
          <w:szCs w:val="23"/>
        </w:rPr>
        <w:t>Prohibition of Arbitrary D</w:t>
      </w:r>
      <w:r w:rsidRPr="009A1FED">
        <w:rPr>
          <w:rFonts w:ascii="Calibri" w:hAnsi="Calibri"/>
          <w:b/>
          <w:w w:val="101"/>
          <w:sz w:val="23"/>
          <w:szCs w:val="23"/>
        </w:rPr>
        <w:t>eten</w:t>
      </w:r>
      <w:r>
        <w:rPr>
          <w:rFonts w:ascii="Calibri" w:hAnsi="Calibri"/>
          <w:b/>
          <w:w w:val="101"/>
          <w:sz w:val="23"/>
          <w:szCs w:val="23"/>
        </w:rPr>
        <w:t xml:space="preserve">tion, </w:t>
      </w:r>
      <w:r w:rsidR="00626D75">
        <w:rPr>
          <w:rFonts w:ascii="Calibri" w:hAnsi="Calibri"/>
          <w:b/>
          <w:w w:val="101"/>
          <w:sz w:val="23"/>
          <w:szCs w:val="23"/>
        </w:rPr>
        <w:t xml:space="preserve">Humane </w:t>
      </w:r>
      <w:r>
        <w:rPr>
          <w:rFonts w:ascii="Calibri" w:hAnsi="Calibri"/>
          <w:b/>
          <w:w w:val="101"/>
          <w:sz w:val="23"/>
          <w:szCs w:val="23"/>
        </w:rPr>
        <w:t xml:space="preserve">Conditions of Detention, and </w:t>
      </w:r>
      <w:r w:rsidR="00626D75">
        <w:rPr>
          <w:rFonts w:ascii="Calibri" w:hAnsi="Calibri"/>
          <w:b/>
          <w:w w:val="101"/>
          <w:sz w:val="23"/>
          <w:szCs w:val="23"/>
        </w:rPr>
        <w:t xml:space="preserve">the </w:t>
      </w:r>
      <w:r>
        <w:rPr>
          <w:rFonts w:ascii="Calibri" w:hAnsi="Calibri"/>
          <w:b/>
          <w:w w:val="101"/>
          <w:sz w:val="23"/>
          <w:szCs w:val="23"/>
        </w:rPr>
        <w:t>R</w:t>
      </w:r>
      <w:r w:rsidRPr="009A1FED">
        <w:rPr>
          <w:rFonts w:ascii="Calibri" w:hAnsi="Calibri"/>
          <w:b/>
          <w:w w:val="101"/>
          <w:sz w:val="23"/>
          <w:szCs w:val="23"/>
        </w:rPr>
        <w:t xml:space="preserve">ights </w:t>
      </w:r>
    </w:p>
    <w:p w14:paraId="328BC6A1" w14:textId="0DB76FED" w:rsidR="00CD2489" w:rsidRPr="009A1FED" w:rsidRDefault="00626D75" w:rsidP="00626D75">
      <w:pPr>
        <w:tabs>
          <w:tab w:val="left" w:pos="630"/>
          <w:tab w:val="left" w:pos="1260"/>
          <w:tab w:val="right" w:pos="9360"/>
        </w:tabs>
        <w:spacing w:before="25"/>
        <w:ind w:left="720" w:hanging="720"/>
        <w:jc w:val="both"/>
        <w:rPr>
          <w:rFonts w:ascii="Calibri" w:hAnsi="Calibri"/>
          <w:b/>
          <w:w w:val="101"/>
          <w:sz w:val="23"/>
          <w:szCs w:val="23"/>
        </w:rPr>
      </w:pPr>
      <w:r>
        <w:rPr>
          <w:rFonts w:ascii="Calibri" w:hAnsi="Calibri"/>
          <w:b/>
          <w:w w:val="101"/>
          <w:sz w:val="23"/>
          <w:szCs w:val="23"/>
        </w:rPr>
        <w:tab/>
      </w:r>
      <w:r>
        <w:rPr>
          <w:rFonts w:ascii="Calibri" w:hAnsi="Calibri"/>
          <w:b/>
          <w:w w:val="101"/>
          <w:sz w:val="23"/>
          <w:szCs w:val="23"/>
        </w:rPr>
        <w:tab/>
      </w:r>
      <w:r>
        <w:rPr>
          <w:rFonts w:ascii="Calibri" w:hAnsi="Calibri"/>
          <w:b/>
          <w:w w:val="101"/>
          <w:sz w:val="23"/>
          <w:szCs w:val="23"/>
        </w:rPr>
        <w:tab/>
      </w:r>
      <w:r w:rsidR="00CD2489">
        <w:rPr>
          <w:rFonts w:ascii="Calibri" w:hAnsi="Calibri"/>
          <w:b/>
          <w:w w:val="101"/>
          <w:sz w:val="23"/>
          <w:szCs w:val="23"/>
        </w:rPr>
        <w:t xml:space="preserve">of the Child </w:t>
      </w:r>
      <w:r w:rsidR="00CD2489" w:rsidRPr="009A1FED">
        <w:rPr>
          <w:rFonts w:ascii="Calibri" w:hAnsi="Calibri"/>
          <w:b/>
          <w:w w:val="101"/>
          <w:sz w:val="23"/>
          <w:szCs w:val="23"/>
        </w:rPr>
        <w:t>(Article 9, 10, and 24)</w:t>
      </w:r>
    </w:p>
    <w:p w14:paraId="4DDD0168" w14:textId="77777777" w:rsidR="00CD2489" w:rsidRPr="00CD2489" w:rsidRDefault="00CD2489" w:rsidP="002F3469">
      <w:pPr>
        <w:tabs>
          <w:tab w:val="left" w:pos="630"/>
          <w:tab w:val="left" w:pos="1260"/>
          <w:tab w:val="right" w:pos="9360"/>
        </w:tabs>
        <w:spacing w:before="25"/>
        <w:jc w:val="both"/>
        <w:rPr>
          <w:rFonts w:ascii="Calibri" w:hAnsi="Calibri"/>
          <w:w w:val="101"/>
          <w:sz w:val="23"/>
          <w:szCs w:val="23"/>
        </w:rPr>
      </w:pPr>
    </w:p>
    <w:p w14:paraId="02B7CC76" w14:textId="77777777" w:rsidR="002F3469" w:rsidRPr="009A1FED" w:rsidRDefault="002F3469" w:rsidP="002F3469">
      <w:pPr>
        <w:tabs>
          <w:tab w:val="left" w:pos="630"/>
          <w:tab w:val="left" w:pos="1260"/>
          <w:tab w:val="right" w:pos="9360"/>
        </w:tabs>
        <w:spacing w:before="25"/>
        <w:jc w:val="both"/>
        <w:rPr>
          <w:rFonts w:ascii="Calibri" w:hAnsi="Calibri"/>
          <w:i/>
          <w:w w:val="101"/>
          <w:sz w:val="23"/>
          <w:szCs w:val="23"/>
        </w:rPr>
      </w:pPr>
      <w:r w:rsidRPr="009A1FED">
        <w:rPr>
          <w:rFonts w:ascii="Calibri" w:hAnsi="Calibri"/>
          <w:i/>
          <w:w w:val="101"/>
          <w:sz w:val="23"/>
          <w:szCs w:val="23"/>
        </w:rPr>
        <w:t>Legal Obligation</w:t>
      </w:r>
    </w:p>
    <w:p w14:paraId="602B88FB" w14:textId="77777777" w:rsidR="002F3469" w:rsidRPr="009A1FED" w:rsidRDefault="002F3469" w:rsidP="002F3469">
      <w:pPr>
        <w:tabs>
          <w:tab w:val="left" w:pos="630"/>
          <w:tab w:val="left" w:pos="1260"/>
          <w:tab w:val="right" w:pos="9360"/>
        </w:tabs>
        <w:spacing w:before="25"/>
        <w:jc w:val="both"/>
        <w:rPr>
          <w:rFonts w:ascii="Calibri" w:hAnsi="Calibri"/>
          <w:i/>
          <w:w w:val="101"/>
          <w:szCs w:val="22"/>
        </w:rPr>
      </w:pPr>
    </w:p>
    <w:p w14:paraId="5C9EB270" w14:textId="5894309A" w:rsidR="00CD2489" w:rsidRDefault="002F3469" w:rsidP="00CD2489">
      <w:pPr>
        <w:pStyle w:val="ListParagraph"/>
        <w:numPr>
          <w:ilvl w:val="0"/>
          <w:numId w:val="5"/>
        </w:numPr>
        <w:jc w:val="both"/>
        <w:rPr>
          <w:rFonts w:asciiTheme="majorHAnsi" w:hAnsiTheme="majorHAnsi" w:cs="Arial"/>
        </w:rPr>
      </w:pPr>
      <w:r w:rsidRPr="002F3469">
        <w:rPr>
          <w:rStyle w:val="hps"/>
          <w:lang w:val="en-GB"/>
        </w:rPr>
        <w:t xml:space="preserve">Article 9 of the ICCPR protects against arbitrary arrest and detention, including in the course of immigration proceedings.  Guidance by the Human Rights Committee indicates that detention should be reasonable, necessary and proportionate.  </w:t>
      </w:r>
      <w:r w:rsidR="00296652">
        <w:rPr>
          <w:rStyle w:val="hps"/>
          <w:lang w:val="en-GB"/>
        </w:rPr>
        <w:t>Asylum seeker</w:t>
      </w:r>
      <w:r w:rsidRPr="002F3469">
        <w:rPr>
          <w:rStyle w:val="hps"/>
          <w:lang w:val="en-GB"/>
        </w:rPr>
        <w:t xml:space="preserve"> who unlawfully enter a State party’s territory should only be detained for as long as is necessary to identify the individuals and register their claims.</w:t>
      </w:r>
      <w:r>
        <w:rPr>
          <w:rStyle w:val="EndnoteReference"/>
          <w:lang w:val="en-GB"/>
        </w:rPr>
        <w:endnoteReference w:id="19"/>
      </w:r>
      <w:r w:rsidRPr="002F3469">
        <w:rPr>
          <w:rStyle w:val="hps"/>
          <w:lang w:val="en-GB"/>
        </w:rPr>
        <w:t xml:space="preserve"> When necessary, detention should take place in appropriate, sanitary, non-punitive facilities, and should not take place in prisons.  </w:t>
      </w:r>
      <w:r w:rsidRPr="002F3469">
        <w:rPr>
          <w:rStyle w:val="hps"/>
          <w:rFonts w:asciiTheme="majorHAnsi" w:hAnsiTheme="majorHAnsi"/>
          <w:lang w:val="en-GB"/>
        </w:rPr>
        <w:t>General Comment 35 sets forth that, “</w:t>
      </w:r>
      <w:r w:rsidRPr="002F3469">
        <w:rPr>
          <w:rFonts w:asciiTheme="majorHAnsi" w:hAnsiTheme="majorHAnsi" w:cs="Arial"/>
        </w:rPr>
        <w:t>Children should not be deprived of liberty, except as a measure of last resort and for the shortest appropriate period of time, taking into account their best interests as a primary consideration with regard to the duration and conditions of detention, and also taking into account the extreme vulnerability and need for care of unaccompanied minors.”</w:t>
      </w:r>
      <w:r>
        <w:rPr>
          <w:rStyle w:val="EndnoteReference"/>
          <w:rFonts w:cs="Arial"/>
        </w:rPr>
        <w:endnoteReference w:id="20"/>
      </w:r>
    </w:p>
    <w:p w14:paraId="0C255B02" w14:textId="77777777" w:rsidR="00CD2489" w:rsidRPr="00CD2489" w:rsidRDefault="00CD2489" w:rsidP="00CD2489">
      <w:pPr>
        <w:jc w:val="both"/>
        <w:rPr>
          <w:rFonts w:asciiTheme="majorHAnsi" w:hAnsiTheme="majorHAnsi" w:cs="Arial"/>
        </w:rPr>
      </w:pPr>
    </w:p>
    <w:p w14:paraId="6DFC13B7" w14:textId="4F305478" w:rsidR="002F3469" w:rsidRPr="00CD2489" w:rsidRDefault="002F3469" w:rsidP="00CD2489">
      <w:pPr>
        <w:pStyle w:val="ListParagraph"/>
        <w:numPr>
          <w:ilvl w:val="0"/>
          <w:numId w:val="5"/>
        </w:numPr>
        <w:jc w:val="both"/>
        <w:rPr>
          <w:rFonts w:asciiTheme="majorHAnsi" w:hAnsiTheme="majorHAnsi" w:cs="Arial"/>
        </w:rPr>
      </w:pPr>
      <w:r w:rsidRPr="00CD2489">
        <w:rPr>
          <w:rStyle w:val="hps"/>
          <w:lang w:val="en-GB"/>
        </w:rPr>
        <w:t>Article 10 sets forth that, “</w:t>
      </w:r>
      <w:r>
        <w:t>All persons deprived of their liberty shall be treated with humanity and with respect for the inherent dignity of the human person.”</w:t>
      </w:r>
      <w:r>
        <w:rPr>
          <w:rStyle w:val="EndnoteReference"/>
        </w:rPr>
        <w:endnoteReference w:id="21"/>
      </w:r>
    </w:p>
    <w:p w14:paraId="3781B754" w14:textId="77777777" w:rsidR="00CD2489" w:rsidRPr="00CD2489" w:rsidRDefault="00CD2489" w:rsidP="00CD2489">
      <w:pPr>
        <w:jc w:val="both"/>
        <w:rPr>
          <w:rStyle w:val="hps"/>
          <w:rFonts w:asciiTheme="majorHAnsi" w:hAnsiTheme="majorHAnsi" w:cs="Arial"/>
        </w:rPr>
      </w:pPr>
    </w:p>
    <w:p w14:paraId="5EE1CF04" w14:textId="35F9CFBD" w:rsidR="00F77298" w:rsidRPr="00F77298" w:rsidRDefault="002F3469" w:rsidP="00CD2489">
      <w:pPr>
        <w:pStyle w:val="ListParagraph"/>
        <w:numPr>
          <w:ilvl w:val="0"/>
          <w:numId w:val="5"/>
        </w:numPr>
        <w:jc w:val="both"/>
        <w:rPr>
          <w:rStyle w:val="hps"/>
          <w:rFonts w:ascii="Calibri" w:hAnsi="Calibri"/>
        </w:rPr>
      </w:pPr>
      <w:r>
        <w:rPr>
          <w:rStyle w:val="hps"/>
          <w:lang w:val="en-GB"/>
        </w:rPr>
        <w:t>Article 24 of the ICCPR provides that, “</w:t>
      </w:r>
      <w:r>
        <w:t>Every child shall have</w:t>
      </w:r>
      <w:r w:rsidR="001F587F">
        <w:t xml:space="preserve"> […]</w:t>
      </w:r>
      <w:r>
        <w:t xml:space="preserve"> the right to such measures of protection as are required by his status as a minor.”</w:t>
      </w:r>
      <w:r>
        <w:rPr>
          <w:rStyle w:val="EndnoteReference"/>
        </w:rPr>
        <w:endnoteReference w:id="22"/>
      </w:r>
      <w:r>
        <w:t xml:space="preserve"> </w:t>
      </w:r>
      <w:r>
        <w:rPr>
          <w:rStyle w:val="hps"/>
          <w:lang w:val="en-GB"/>
        </w:rPr>
        <w:t xml:space="preserve">The Convention on the Rights of the Child provides further guidance in relation to detention of children. </w:t>
      </w:r>
      <w:r w:rsidRPr="003F7149">
        <w:rPr>
          <w:rStyle w:val="hps"/>
          <w:lang w:val="en-GB"/>
        </w:rPr>
        <w:t>Article 3 of the CRC obligates states to take the best interest of the child as the primary consideration in all actions that concern children.  The Committee on the Rights of the Child has found that the “detention of a child because of their or their parent’s migration status constitutes a child rights violation and always contravenes the principle of the best interests of the child.”</w:t>
      </w:r>
      <w:r>
        <w:rPr>
          <w:rStyle w:val="EndnoteReference"/>
          <w:lang w:val="en-GB"/>
        </w:rPr>
        <w:endnoteReference w:id="23"/>
      </w:r>
    </w:p>
    <w:p w14:paraId="6AFD96EE" w14:textId="77777777" w:rsidR="00F77298" w:rsidRPr="00F77298" w:rsidRDefault="00F77298" w:rsidP="00F77298">
      <w:pPr>
        <w:pStyle w:val="ListParagraph"/>
        <w:ind w:left="360"/>
        <w:jc w:val="both"/>
        <w:rPr>
          <w:rFonts w:ascii="Calibri" w:hAnsi="Calibri"/>
        </w:rPr>
      </w:pPr>
    </w:p>
    <w:p w14:paraId="038A0031" w14:textId="13AC1C5B" w:rsidR="00CD2489" w:rsidRPr="009A1FED" w:rsidRDefault="00CD2489" w:rsidP="00CD2489">
      <w:pPr>
        <w:tabs>
          <w:tab w:val="left" w:pos="630"/>
          <w:tab w:val="left" w:pos="1260"/>
          <w:tab w:val="right" w:pos="9360"/>
        </w:tabs>
        <w:spacing w:before="25"/>
        <w:jc w:val="both"/>
        <w:rPr>
          <w:rFonts w:ascii="Calibri" w:hAnsi="Calibri"/>
          <w:i/>
          <w:w w:val="101"/>
          <w:sz w:val="23"/>
          <w:szCs w:val="23"/>
        </w:rPr>
      </w:pPr>
      <w:r>
        <w:rPr>
          <w:rFonts w:ascii="Calibri" w:hAnsi="Calibri"/>
          <w:i/>
          <w:w w:val="101"/>
          <w:sz w:val="23"/>
          <w:szCs w:val="23"/>
        </w:rPr>
        <w:t>State Practice</w:t>
      </w:r>
    </w:p>
    <w:p w14:paraId="753C8766" w14:textId="001BCF43" w:rsidR="00CD2489" w:rsidRDefault="00CD2489" w:rsidP="00CD2489">
      <w:pPr>
        <w:jc w:val="both"/>
        <w:rPr>
          <w:rFonts w:ascii="Calibri" w:hAnsi="Calibri"/>
        </w:rPr>
      </w:pPr>
    </w:p>
    <w:p w14:paraId="7B10632B" w14:textId="3774CD82" w:rsidR="00CD2489" w:rsidRDefault="00CD2489" w:rsidP="00CD2489">
      <w:pPr>
        <w:pStyle w:val="ListParagraph"/>
        <w:numPr>
          <w:ilvl w:val="0"/>
          <w:numId w:val="5"/>
        </w:numPr>
        <w:jc w:val="both"/>
        <w:rPr>
          <w:rStyle w:val="hps"/>
          <w:lang w:val="en-GB"/>
        </w:rPr>
      </w:pPr>
      <w:r w:rsidRPr="00307056">
        <w:rPr>
          <w:rStyle w:val="hps"/>
          <w:lang w:val="en-GB"/>
        </w:rPr>
        <w:t xml:space="preserve">By virtue of being treated as illegal migrants under Thai law, </w:t>
      </w:r>
      <w:r w:rsidR="00296652">
        <w:rPr>
          <w:rStyle w:val="hps"/>
          <w:lang w:val="en-GB"/>
        </w:rPr>
        <w:t>asylum seeker</w:t>
      </w:r>
      <w:r w:rsidR="00373BF4">
        <w:rPr>
          <w:rStyle w:val="hps"/>
          <w:lang w:val="en-GB"/>
        </w:rPr>
        <w:t>s</w:t>
      </w:r>
      <w:r w:rsidRPr="00307056">
        <w:rPr>
          <w:rStyle w:val="hps"/>
          <w:lang w:val="en-GB"/>
        </w:rPr>
        <w:t xml:space="preserve"> and refugees without valid visas are increasingly subject to arbitrary detention. In 2014, 254 individuals including 34 children were arrested in 108 incidents; while in 2013, 125 individuals were arrested in 58 incidents. Of those detained in 2014, 38 </w:t>
      </w:r>
      <w:r w:rsidR="00296652">
        <w:rPr>
          <w:rStyle w:val="hps"/>
          <w:lang w:val="en-GB"/>
        </w:rPr>
        <w:t>asylum seeker</w:t>
      </w:r>
      <w:r w:rsidR="001F1F5B">
        <w:rPr>
          <w:rStyle w:val="hps"/>
          <w:lang w:val="en-GB"/>
        </w:rPr>
        <w:t>s</w:t>
      </w:r>
      <w:r w:rsidRPr="00307056">
        <w:rPr>
          <w:rStyle w:val="hps"/>
          <w:lang w:val="en-GB"/>
        </w:rPr>
        <w:t xml:space="preserve"> and refugees were successfully released after UNHCR intervened. From December 2013 to August 2015, Thai authorities detained 4,569 ethnic Rohingya, 2,598 Bangladeshi migrants and over 240 Uighur </w:t>
      </w:r>
      <w:r w:rsidR="00296652">
        <w:rPr>
          <w:rStyle w:val="hps"/>
          <w:lang w:val="en-GB"/>
        </w:rPr>
        <w:t>asylum seeker</w:t>
      </w:r>
      <w:r w:rsidR="001F1F5B">
        <w:rPr>
          <w:rStyle w:val="hps"/>
          <w:lang w:val="en-GB"/>
        </w:rPr>
        <w:t>s</w:t>
      </w:r>
      <w:r w:rsidRPr="00307056">
        <w:rPr>
          <w:rStyle w:val="hps"/>
          <w:lang w:val="en-GB"/>
        </w:rPr>
        <w:t xml:space="preserve"> in different Immigration Detention Centers (IDCs) nationwide.</w:t>
      </w:r>
      <w:r>
        <w:rPr>
          <w:rStyle w:val="EndnoteReference"/>
          <w:lang w:val="en-GB"/>
        </w:rPr>
        <w:endnoteReference w:id="24"/>
      </w:r>
      <w:r w:rsidRPr="00307056">
        <w:rPr>
          <w:rStyle w:val="hps"/>
          <w:lang w:val="en-GB"/>
        </w:rPr>
        <w:t xml:space="preserve"> </w:t>
      </w:r>
    </w:p>
    <w:p w14:paraId="6BA944F2" w14:textId="77777777" w:rsidR="00CD2489" w:rsidRPr="00CD2489" w:rsidRDefault="00CD2489" w:rsidP="00CD2489">
      <w:pPr>
        <w:jc w:val="both"/>
        <w:rPr>
          <w:rStyle w:val="hps"/>
          <w:lang w:val="en-GB"/>
        </w:rPr>
      </w:pPr>
    </w:p>
    <w:p w14:paraId="46D92F44" w14:textId="3FE97E43" w:rsidR="00CD2489" w:rsidRDefault="00CD2489" w:rsidP="00CD2489">
      <w:pPr>
        <w:pStyle w:val="ListParagraph"/>
        <w:numPr>
          <w:ilvl w:val="0"/>
          <w:numId w:val="5"/>
        </w:numPr>
        <w:jc w:val="both"/>
        <w:rPr>
          <w:rStyle w:val="hps"/>
          <w:lang w:val="en-GB"/>
        </w:rPr>
      </w:pPr>
      <w:r w:rsidRPr="00CD2489">
        <w:rPr>
          <w:rStyle w:val="hps"/>
          <w:lang w:val="en-GB"/>
        </w:rPr>
        <w:t>In southern Thailand, families are typically separated in detention centers—women and children are normally confined to shelters run by the Minister of Social Development and Human Security while men are typically detained in jails or holding cells.</w:t>
      </w:r>
      <w:r>
        <w:rPr>
          <w:rStyle w:val="EndnoteReference"/>
          <w:lang w:val="en-GB"/>
        </w:rPr>
        <w:endnoteReference w:id="25"/>
      </w:r>
      <w:r w:rsidRPr="00CD2489">
        <w:rPr>
          <w:rStyle w:val="hps"/>
          <w:lang w:val="en-GB"/>
        </w:rPr>
        <w:t xml:space="preserve"> Civil society organizations, including legal services providers, are unable to speak with at-risk populations held in IDCs. This makes it difficult for </w:t>
      </w:r>
      <w:r w:rsidR="00296652">
        <w:rPr>
          <w:rStyle w:val="hps"/>
          <w:lang w:val="en-GB"/>
        </w:rPr>
        <w:t>asylum seeker</w:t>
      </w:r>
      <w:r w:rsidR="001F1F5B">
        <w:rPr>
          <w:rStyle w:val="hps"/>
          <w:lang w:val="en-GB"/>
        </w:rPr>
        <w:t>s</w:t>
      </w:r>
      <w:r w:rsidRPr="00CD2489">
        <w:rPr>
          <w:rStyle w:val="hps"/>
          <w:lang w:val="en-GB"/>
        </w:rPr>
        <w:t xml:space="preserve"> and refugees to obtain services, legal support, and screening for human trafficking. </w:t>
      </w:r>
      <w:r w:rsidR="00296652">
        <w:rPr>
          <w:rStyle w:val="hps"/>
          <w:lang w:val="en-GB"/>
        </w:rPr>
        <w:t>Asylum seeker</w:t>
      </w:r>
      <w:r w:rsidRPr="00CD2489">
        <w:rPr>
          <w:rStyle w:val="hps"/>
          <w:lang w:val="en-GB"/>
        </w:rPr>
        <w:t xml:space="preserve"> and refugees, including children and the sick, are held in overcrowded detention facilities. Reportedly, these facilities do not have adequate healthcare access due to limited budgets. Officials in IDCs have low cultural and religious awareness about detainee populations and, thus, do not offer meals in line with their religious dietary restrictions.</w:t>
      </w:r>
      <w:r>
        <w:rPr>
          <w:rStyle w:val="EndnoteReference"/>
          <w:lang w:val="en-GB"/>
        </w:rPr>
        <w:endnoteReference w:id="26"/>
      </w:r>
      <w:r>
        <w:rPr>
          <w:rStyle w:val="hps"/>
          <w:lang w:val="en-GB"/>
        </w:rPr>
        <w:t xml:space="preserve"> </w:t>
      </w:r>
    </w:p>
    <w:p w14:paraId="1C173145" w14:textId="77777777" w:rsidR="00CD2489" w:rsidRPr="00CD2489" w:rsidRDefault="00CD2489" w:rsidP="00CD2489">
      <w:pPr>
        <w:jc w:val="both"/>
        <w:rPr>
          <w:rStyle w:val="hps"/>
          <w:lang w:val="en-GB"/>
        </w:rPr>
      </w:pPr>
    </w:p>
    <w:p w14:paraId="25723908" w14:textId="77777777" w:rsidR="00CD2489" w:rsidRDefault="00CD2489" w:rsidP="00CD2489">
      <w:pPr>
        <w:pStyle w:val="ListParagraph"/>
        <w:numPr>
          <w:ilvl w:val="0"/>
          <w:numId w:val="5"/>
        </w:numPr>
        <w:jc w:val="both"/>
        <w:rPr>
          <w:rStyle w:val="hps"/>
          <w:lang w:val="en-GB"/>
        </w:rPr>
      </w:pPr>
      <w:r w:rsidRPr="00CD2489">
        <w:rPr>
          <w:rStyle w:val="hps"/>
          <w:lang w:val="en-GB"/>
        </w:rPr>
        <w:t>Studies by civil society organizations in Thailand reveal that detained children in Bangkok are often separated from their parents, typically for periods of more than a year and are at great risk of sexual abuse by adult detainees.</w:t>
      </w:r>
      <w:r>
        <w:rPr>
          <w:rStyle w:val="EndnoteReference"/>
          <w:lang w:val="en-GB"/>
        </w:rPr>
        <w:endnoteReference w:id="27"/>
      </w:r>
      <w:r w:rsidRPr="00CD2489">
        <w:rPr>
          <w:rStyle w:val="hps"/>
          <w:lang w:val="en-GB"/>
        </w:rPr>
        <w:t xml:space="preserve"> The report also discovered that children in IDCs cannot enjoy basic services necessary for their development; many detained children suffer from stress, depression, fear, and alienation and cannot access education otherwise available to all children in Thailand under the 1999 National Education Act.</w:t>
      </w:r>
      <w:r>
        <w:rPr>
          <w:rStyle w:val="EndnoteReference"/>
          <w:lang w:val="en-GB"/>
        </w:rPr>
        <w:endnoteReference w:id="28"/>
      </w:r>
      <w:r w:rsidRPr="00CD2489">
        <w:rPr>
          <w:rStyle w:val="hps"/>
          <w:lang w:val="en-GB"/>
        </w:rPr>
        <w:t xml:space="preserve"> </w:t>
      </w:r>
    </w:p>
    <w:p w14:paraId="429F5E4C" w14:textId="77777777" w:rsidR="00CD2489" w:rsidRPr="00CD2489" w:rsidRDefault="00CD2489" w:rsidP="00CD2489">
      <w:pPr>
        <w:jc w:val="both"/>
        <w:rPr>
          <w:rStyle w:val="hps"/>
          <w:lang w:val="en-GB"/>
        </w:rPr>
      </w:pPr>
    </w:p>
    <w:p w14:paraId="704DB300" w14:textId="6E7E44ED" w:rsidR="00CD2489" w:rsidRDefault="00CD2489" w:rsidP="00CD2489">
      <w:pPr>
        <w:pStyle w:val="ListParagraph"/>
        <w:numPr>
          <w:ilvl w:val="0"/>
          <w:numId w:val="5"/>
        </w:numPr>
        <w:jc w:val="both"/>
        <w:rPr>
          <w:rStyle w:val="hps"/>
          <w:lang w:val="en-GB"/>
        </w:rPr>
      </w:pPr>
      <w:r w:rsidRPr="00CD2489">
        <w:rPr>
          <w:rStyle w:val="hps"/>
          <w:lang w:val="en-GB"/>
        </w:rPr>
        <w:t xml:space="preserve">The State breaches its obligations under articles 9 and 10 of the ICCPR by arbitrarily detaining </w:t>
      </w:r>
      <w:r w:rsidR="00296652">
        <w:rPr>
          <w:rStyle w:val="hps"/>
          <w:lang w:val="en-GB"/>
        </w:rPr>
        <w:t>asylum seeker</w:t>
      </w:r>
      <w:r w:rsidR="001F1F5B">
        <w:rPr>
          <w:rStyle w:val="hps"/>
          <w:lang w:val="en-GB"/>
        </w:rPr>
        <w:t>s</w:t>
      </w:r>
      <w:r w:rsidRPr="00CD2489">
        <w:rPr>
          <w:rStyle w:val="hps"/>
          <w:lang w:val="en-GB"/>
        </w:rPr>
        <w:t xml:space="preserve"> and refugees and housing them in facilities with conditions that fall below international standards. The detention of </w:t>
      </w:r>
      <w:r w:rsidR="00296652">
        <w:rPr>
          <w:rStyle w:val="hps"/>
          <w:lang w:val="en-GB"/>
        </w:rPr>
        <w:t>asylum seeker</w:t>
      </w:r>
      <w:r w:rsidR="001F1F5B">
        <w:rPr>
          <w:rStyle w:val="hps"/>
          <w:lang w:val="en-GB"/>
        </w:rPr>
        <w:t>s</w:t>
      </w:r>
      <w:r w:rsidRPr="00CD2489">
        <w:rPr>
          <w:rStyle w:val="hps"/>
          <w:lang w:val="en-GB"/>
        </w:rPr>
        <w:t xml:space="preserve"> and refugees in Thailand is arbitrary under Article 9 as it is not for purposes of identification, but rather to punish those who violate the Immigration Act. The detention is neither reasonable nor proportionate, and can last indefinitely. Furthermore, the conditions of Thailand’s detention centers fall below international standards since they are often overcrowded, take place in jails or holding cells, and lack access to adequate healthcare services,</w:t>
      </w:r>
      <w:r>
        <w:rPr>
          <w:rStyle w:val="EndnoteReference"/>
          <w:lang w:val="en-GB"/>
        </w:rPr>
        <w:endnoteReference w:id="29"/>
      </w:r>
      <w:r w:rsidR="00605573">
        <w:rPr>
          <w:rStyle w:val="hps"/>
          <w:lang w:val="en-GB"/>
        </w:rPr>
        <w:t xml:space="preserve"> violating article 10 of the C</w:t>
      </w:r>
      <w:r w:rsidRPr="00CD2489">
        <w:rPr>
          <w:rStyle w:val="hps"/>
          <w:lang w:val="en-GB"/>
        </w:rPr>
        <w:t>ovenant.</w:t>
      </w:r>
    </w:p>
    <w:p w14:paraId="722D1C1F" w14:textId="77777777" w:rsidR="00CD2489" w:rsidRPr="00CD2489" w:rsidRDefault="00CD2489" w:rsidP="00CD2489">
      <w:pPr>
        <w:jc w:val="both"/>
        <w:rPr>
          <w:rStyle w:val="hps"/>
          <w:lang w:val="en-GB"/>
        </w:rPr>
      </w:pPr>
    </w:p>
    <w:p w14:paraId="56BC2B5C" w14:textId="0E5AF45C" w:rsidR="00605573" w:rsidRDefault="00CD2489" w:rsidP="00605573">
      <w:pPr>
        <w:pStyle w:val="ListParagraph"/>
        <w:numPr>
          <w:ilvl w:val="0"/>
          <w:numId w:val="5"/>
        </w:numPr>
        <w:jc w:val="both"/>
        <w:rPr>
          <w:rStyle w:val="hps"/>
          <w:lang w:val="en-GB"/>
        </w:rPr>
      </w:pPr>
      <w:r w:rsidRPr="00CD2489">
        <w:rPr>
          <w:rStyle w:val="hps"/>
          <w:lang w:val="en-GB"/>
        </w:rPr>
        <w:t xml:space="preserve">Article 24 is violated when refugee and asylum-seeker children are detained without regard to measures of protection required by their status of minors. This principle is not only violated when Thailand subjects children of </w:t>
      </w:r>
      <w:r w:rsidR="00296652">
        <w:rPr>
          <w:rStyle w:val="hps"/>
          <w:lang w:val="en-GB"/>
        </w:rPr>
        <w:t>asylum seeker</w:t>
      </w:r>
      <w:r w:rsidR="001F1F5B">
        <w:rPr>
          <w:rStyle w:val="hps"/>
          <w:lang w:val="en-GB"/>
        </w:rPr>
        <w:t>s</w:t>
      </w:r>
      <w:r w:rsidRPr="00CD2489">
        <w:rPr>
          <w:rStyle w:val="hps"/>
          <w:lang w:val="en-GB"/>
        </w:rPr>
        <w:t xml:space="preserve"> and refugees to detention, but when the State separates such children from their parents and house them in IDCs where they face a risk of sexual abuse and lack access to services necessary for their development. </w:t>
      </w:r>
    </w:p>
    <w:p w14:paraId="525D2D56" w14:textId="77777777" w:rsidR="00605573" w:rsidRDefault="00605573" w:rsidP="00605573">
      <w:pPr>
        <w:jc w:val="both"/>
        <w:rPr>
          <w:rStyle w:val="hps"/>
          <w:lang w:val="en-GB"/>
        </w:rPr>
      </w:pPr>
    </w:p>
    <w:p w14:paraId="1098B859" w14:textId="77777777" w:rsidR="00605573" w:rsidRDefault="00605573" w:rsidP="00605573">
      <w:pPr>
        <w:jc w:val="both"/>
        <w:rPr>
          <w:rStyle w:val="hps"/>
          <w:lang w:val="en-GB"/>
        </w:rPr>
      </w:pPr>
    </w:p>
    <w:p w14:paraId="4DE4FB82" w14:textId="77777777" w:rsidR="00605573" w:rsidRDefault="00605573" w:rsidP="00605573">
      <w:pPr>
        <w:jc w:val="both"/>
        <w:rPr>
          <w:rStyle w:val="hps"/>
          <w:lang w:val="en-GB"/>
        </w:rPr>
      </w:pPr>
    </w:p>
    <w:p w14:paraId="64918783" w14:textId="77777777" w:rsidR="00605573" w:rsidRPr="00605573" w:rsidRDefault="00605573" w:rsidP="00605573">
      <w:pPr>
        <w:jc w:val="both"/>
        <w:rPr>
          <w:rStyle w:val="hps"/>
          <w:lang w:val="en-GB"/>
        </w:rPr>
      </w:pPr>
    </w:p>
    <w:p w14:paraId="2AC37742" w14:textId="77777777" w:rsidR="00CD2489" w:rsidRPr="00CD2489" w:rsidRDefault="00CD2489" w:rsidP="00CD2489">
      <w:pPr>
        <w:jc w:val="both"/>
        <w:rPr>
          <w:rFonts w:ascii="Calibri" w:hAnsi="Calibri"/>
          <w:sz w:val="23"/>
          <w:szCs w:val="23"/>
        </w:rPr>
      </w:pPr>
    </w:p>
    <w:p w14:paraId="40BEDF39" w14:textId="77777777" w:rsidR="00CD2489" w:rsidRDefault="00CD2489" w:rsidP="00CD2489">
      <w:pPr>
        <w:jc w:val="both"/>
        <w:rPr>
          <w:i/>
          <w:sz w:val="24"/>
          <w:szCs w:val="24"/>
        </w:rPr>
      </w:pPr>
      <w:r w:rsidRPr="00CD2489">
        <w:rPr>
          <w:i/>
          <w:sz w:val="24"/>
          <w:szCs w:val="24"/>
        </w:rPr>
        <w:t>Prior Observations by the Human Rights Committee and other Human Rights Treaty Bodies</w:t>
      </w:r>
    </w:p>
    <w:p w14:paraId="15E8D50A" w14:textId="77777777" w:rsidR="00CD2489" w:rsidRPr="00CD2489" w:rsidRDefault="00CD2489" w:rsidP="00CD2489">
      <w:pPr>
        <w:jc w:val="both"/>
        <w:rPr>
          <w:i/>
          <w:sz w:val="24"/>
          <w:szCs w:val="24"/>
        </w:rPr>
      </w:pPr>
    </w:p>
    <w:p w14:paraId="69281329" w14:textId="1B95231C" w:rsidR="00CD2489" w:rsidRPr="00CD2489" w:rsidRDefault="00CD2489" w:rsidP="00CD2489">
      <w:pPr>
        <w:pStyle w:val="ListParagraph"/>
        <w:numPr>
          <w:ilvl w:val="0"/>
          <w:numId w:val="5"/>
        </w:numPr>
        <w:jc w:val="both"/>
        <w:rPr>
          <w:rFonts w:asciiTheme="majorHAnsi" w:hAnsiTheme="majorHAnsi"/>
          <w:szCs w:val="22"/>
          <w:lang w:val="en-GB"/>
        </w:rPr>
      </w:pPr>
      <w:r w:rsidRPr="00CD2489">
        <w:rPr>
          <w:rStyle w:val="hps"/>
          <w:rFonts w:asciiTheme="majorHAnsi" w:hAnsiTheme="majorHAnsi"/>
          <w:lang w:val="en-GB"/>
        </w:rPr>
        <w:t>In its 2005 Concluding Observations, the Human Rights Committee stated it was “</w:t>
      </w:r>
      <w:r w:rsidRPr="00CD2489">
        <w:rPr>
          <w:rFonts w:asciiTheme="majorHAnsi" w:hAnsiTheme="majorHAnsi"/>
          <w:szCs w:val="22"/>
        </w:rPr>
        <w:t>concerned at the overcrowding and general conditions of places of</w:t>
      </w:r>
      <w:r w:rsidRPr="00CD2489">
        <w:rPr>
          <w:rFonts w:asciiTheme="majorHAnsi" w:hAnsiTheme="majorHAnsi"/>
        </w:rPr>
        <w:t xml:space="preserve"> </w:t>
      </w:r>
      <w:r w:rsidRPr="00CD2489">
        <w:rPr>
          <w:rFonts w:asciiTheme="majorHAnsi" w:hAnsiTheme="majorHAnsi"/>
          <w:szCs w:val="22"/>
        </w:rPr>
        <w:t>detention, particularly with regard to sanitation and access to health care and adequate food.”</w:t>
      </w:r>
      <w:r w:rsidRPr="00CD2489">
        <w:rPr>
          <w:rFonts w:asciiTheme="majorHAnsi" w:hAnsiTheme="majorHAnsi"/>
          <w:lang w:val="en-GB"/>
        </w:rPr>
        <w:t xml:space="preserve"> </w:t>
      </w:r>
      <w:r w:rsidRPr="00CD2489">
        <w:rPr>
          <w:rFonts w:asciiTheme="majorHAnsi" w:hAnsiTheme="majorHAnsi"/>
          <w:szCs w:val="22"/>
        </w:rPr>
        <w:t xml:space="preserve">It recommended that Thailand: </w:t>
      </w:r>
    </w:p>
    <w:p w14:paraId="4173F5EB" w14:textId="77777777" w:rsidR="00CD2489" w:rsidRPr="00BA2D67" w:rsidRDefault="00CD2489" w:rsidP="00CD2489">
      <w:pPr>
        <w:autoSpaceDE w:val="0"/>
        <w:autoSpaceDN w:val="0"/>
        <w:adjustRightInd w:val="0"/>
        <w:rPr>
          <w:rFonts w:asciiTheme="majorHAnsi" w:hAnsiTheme="majorHAnsi"/>
          <w:szCs w:val="22"/>
        </w:rPr>
      </w:pPr>
    </w:p>
    <w:p w14:paraId="18AE1309" w14:textId="77777777" w:rsidR="00CD2489" w:rsidRPr="00BA2D67" w:rsidRDefault="00CD2489" w:rsidP="00CD2489">
      <w:pPr>
        <w:autoSpaceDE w:val="0"/>
        <w:autoSpaceDN w:val="0"/>
        <w:adjustRightInd w:val="0"/>
        <w:ind w:left="810"/>
        <w:rPr>
          <w:rStyle w:val="hps"/>
          <w:rFonts w:asciiTheme="majorHAnsi" w:hAnsiTheme="majorHAnsi"/>
        </w:rPr>
      </w:pPr>
      <w:r w:rsidRPr="00BA2D67">
        <w:rPr>
          <w:rFonts w:asciiTheme="majorHAnsi" w:hAnsiTheme="majorHAnsi"/>
          <w:bCs/>
          <w:szCs w:val="22"/>
        </w:rPr>
        <w:t>“bring prison conditions into line with the United Nations</w:t>
      </w:r>
      <w:r>
        <w:rPr>
          <w:rFonts w:asciiTheme="majorHAnsi" w:hAnsiTheme="majorHAnsi"/>
        </w:rPr>
        <w:t xml:space="preserve"> </w:t>
      </w:r>
      <w:r w:rsidRPr="00BA2D67">
        <w:rPr>
          <w:rFonts w:asciiTheme="majorHAnsi" w:hAnsiTheme="majorHAnsi"/>
          <w:bCs/>
          <w:szCs w:val="22"/>
        </w:rPr>
        <w:t>Standard Minimum Rules for the Treatment of Prisoners as a matter of priority.</w:t>
      </w:r>
      <w:r>
        <w:rPr>
          <w:rFonts w:asciiTheme="majorHAnsi" w:hAnsiTheme="majorHAnsi"/>
          <w:bCs/>
        </w:rPr>
        <w:t xml:space="preserve"> </w:t>
      </w:r>
      <w:r w:rsidRPr="00BA2D67">
        <w:rPr>
          <w:rFonts w:asciiTheme="majorHAnsi" w:hAnsiTheme="majorHAnsi"/>
          <w:bCs/>
          <w:szCs w:val="22"/>
        </w:rPr>
        <w:t>The State party should guarantee the right of detainees to be treated humanely and</w:t>
      </w:r>
      <w:r>
        <w:rPr>
          <w:rFonts w:asciiTheme="majorHAnsi" w:hAnsiTheme="majorHAnsi"/>
          <w:bCs/>
        </w:rPr>
        <w:t xml:space="preserve"> </w:t>
      </w:r>
      <w:r w:rsidRPr="00BA2D67">
        <w:rPr>
          <w:rFonts w:asciiTheme="majorHAnsi" w:hAnsiTheme="majorHAnsi"/>
          <w:bCs/>
          <w:szCs w:val="22"/>
        </w:rPr>
        <w:t>with respect for their dignity, particularly with regard to hygienic conditions, access</w:t>
      </w:r>
      <w:r>
        <w:rPr>
          <w:rFonts w:asciiTheme="majorHAnsi" w:hAnsiTheme="majorHAnsi"/>
          <w:bCs/>
        </w:rPr>
        <w:t xml:space="preserve"> </w:t>
      </w:r>
      <w:r w:rsidRPr="00BA2D67">
        <w:rPr>
          <w:rFonts w:asciiTheme="majorHAnsi" w:hAnsiTheme="majorHAnsi"/>
          <w:bCs/>
          <w:szCs w:val="22"/>
        </w:rPr>
        <w:t>to health care and adequate food.</w:t>
      </w:r>
      <w:r>
        <w:rPr>
          <w:rFonts w:asciiTheme="majorHAnsi" w:hAnsiTheme="majorHAnsi"/>
          <w:bCs/>
        </w:rPr>
        <w:t>”</w:t>
      </w:r>
      <w:r>
        <w:rPr>
          <w:rStyle w:val="EndnoteReference"/>
          <w:bCs/>
        </w:rPr>
        <w:endnoteReference w:id="30"/>
      </w:r>
    </w:p>
    <w:p w14:paraId="691D11DD" w14:textId="77777777" w:rsidR="00CD2489" w:rsidRPr="00BA2D67" w:rsidRDefault="00CD2489" w:rsidP="00CD2489">
      <w:pPr>
        <w:jc w:val="both"/>
        <w:rPr>
          <w:rStyle w:val="hps"/>
          <w:rFonts w:asciiTheme="majorHAnsi" w:hAnsiTheme="majorHAnsi"/>
          <w:lang w:val="en-GB"/>
        </w:rPr>
      </w:pPr>
    </w:p>
    <w:p w14:paraId="1B434412" w14:textId="6726631F" w:rsidR="00CD2489" w:rsidRPr="00CD2489" w:rsidRDefault="00CD2489" w:rsidP="00CD2489">
      <w:pPr>
        <w:pStyle w:val="ListParagraph"/>
        <w:numPr>
          <w:ilvl w:val="0"/>
          <w:numId w:val="5"/>
        </w:numPr>
        <w:autoSpaceDE w:val="0"/>
        <w:autoSpaceDN w:val="0"/>
        <w:adjustRightInd w:val="0"/>
        <w:jc w:val="both"/>
        <w:rPr>
          <w:rFonts w:asciiTheme="majorHAnsi" w:hAnsiTheme="majorHAnsi"/>
        </w:rPr>
      </w:pPr>
      <w:r w:rsidRPr="00CD2489">
        <w:rPr>
          <w:rFonts w:asciiTheme="majorHAnsi" w:hAnsiTheme="majorHAnsi"/>
        </w:rPr>
        <w:t>The Committee against Torture noted in its 2014 concluding observations it was:</w:t>
      </w:r>
    </w:p>
    <w:p w14:paraId="7E9738E2" w14:textId="77777777" w:rsidR="00CD2489" w:rsidRDefault="00CD2489" w:rsidP="00CD2489">
      <w:pPr>
        <w:autoSpaceDE w:val="0"/>
        <w:autoSpaceDN w:val="0"/>
        <w:adjustRightInd w:val="0"/>
        <w:ind w:left="720"/>
        <w:rPr>
          <w:rFonts w:asciiTheme="majorHAnsi" w:hAnsiTheme="majorHAnsi"/>
        </w:rPr>
      </w:pPr>
    </w:p>
    <w:p w14:paraId="0A6E27D9" w14:textId="1F88DBE3" w:rsidR="00CD2489" w:rsidRPr="00BA2D67" w:rsidRDefault="00CD2489" w:rsidP="00B5403F">
      <w:pPr>
        <w:autoSpaceDE w:val="0"/>
        <w:autoSpaceDN w:val="0"/>
        <w:adjustRightInd w:val="0"/>
        <w:ind w:left="810"/>
        <w:rPr>
          <w:rFonts w:asciiTheme="majorHAnsi" w:hAnsiTheme="majorHAnsi"/>
          <w:szCs w:val="22"/>
        </w:rPr>
      </w:pPr>
      <w:r w:rsidRPr="00E86748">
        <w:rPr>
          <w:rFonts w:asciiTheme="majorHAnsi" w:hAnsiTheme="majorHAnsi"/>
        </w:rPr>
        <w:t>“</w:t>
      </w:r>
      <w:r w:rsidRPr="00BA2D67">
        <w:rPr>
          <w:rFonts w:asciiTheme="majorHAnsi" w:hAnsiTheme="majorHAnsi"/>
          <w:szCs w:val="22"/>
        </w:rPr>
        <w:t xml:space="preserve">concerned at the use of lengthy and, in some cases, indefinite detention in immigration detention centres for </w:t>
      </w:r>
      <w:r w:rsidR="00296652">
        <w:rPr>
          <w:rFonts w:asciiTheme="majorHAnsi" w:hAnsiTheme="majorHAnsi"/>
        </w:rPr>
        <w:t>asylum seeker</w:t>
      </w:r>
      <w:r w:rsidR="001F1F5B">
        <w:rPr>
          <w:rFonts w:asciiTheme="majorHAnsi" w:hAnsiTheme="majorHAnsi"/>
        </w:rPr>
        <w:t>s</w:t>
      </w:r>
      <w:r w:rsidRPr="00BA2D67">
        <w:rPr>
          <w:rFonts w:asciiTheme="majorHAnsi" w:hAnsiTheme="majorHAnsi"/>
          <w:szCs w:val="22"/>
        </w:rPr>
        <w:t xml:space="preserve"> and migrants who enter the State party undocumented, as well as at the lack of an independent and systematic review of such detention decisions and the restrictive use of alternatives to detention for </w:t>
      </w:r>
      <w:r w:rsidR="00296652">
        <w:rPr>
          <w:rFonts w:asciiTheme="majorHAnsi" w:hAnsiTheme="majorHAnsi"/>
        </w:rPr>
        <w:t>asylum seeker</w:t>
      </w:r>
      <w:r w:rsidR="001F1F5B">
        <w:rPr>
          <w:rFonts w:asciiTheme="majorHAnsi" w:hAnsiTheme="majorHAnsi"/>
        </w:rPr>
        <w:t>s</w:t>
      </w:r>
      <w:r w:rsidRPr="00BA2D67">
        <w:rPr>
          <w:rFonts w:asciiTheme="majorHAnsi" w:hAnsiTheme="majorHAnsi"/>
          <w:szCs w:val="22"/>
        </w:rPr>
        <w:t>,”</w:t>
      </w:r>
    </w:p>
    <w:p w14:paraId="3EFB591E" w14:textId="77777777" w:rsidR="00CD2489" w:rsidRPr="00BA2D67" w:rsidRDefault="00CD2489" w:rsidP="00CD2489">
      <w:pPr>
        <w:autoSpaceDE w:val="0"/>
        <w:autoSpaceDN w:val="0"/>
        <w:adjustRightInd w:val="0"/>
        <w:rPr>
          <w:rFonts w:asciiTheme="majorHAnsi" w:hAnsiTheme="majorHAnsi"/>
          <w:szCs w:val="22"/>
        </w:rPr>
      </w:pPr>
    </w:p>
    <w:p w14:paraId="6114E839" w14:textId="1C36F48F" w:rsidR="00B5403F" w:rsidRPr="00B5403F" w:rsidRDefault="00CD2489" w:rsidP="00CD2489">
      <w:pPr>
        <w:pStyle w:val="ListParagraph"/>
        <w:numPr>
          <w:ilvl w:val="0"/>
          <w:numId w:val="5"/>
        </w:numPr>
        <w:autoSpaceDE w:val="0"/>
        <w:autoSpaceDN w:val="0"/>
        <w:adjustRightInd w:val="0"/>
        <w:jc w:val="both"/>
        <w:rPr>
          <w:rFonts w:asciiTheme="majorHAnsi" w:hAnsiTheme="majorHAnsi"/>
          <w:bCs/>
        </w:rPr>
      </w:pPr>
      <w:r w:rsidRPr="00B5403F">
        <w:rPr>
          <w:rFonts w:asciiTheme="majorHAnsi" w:hAnsiTheme="majorHAnsi"/>
        </w:rPr>
        <w:t xml:space="preserve">It recommended Thailand, </w:t>
      </w:r>
      <w:r w:rsidRPr="00B5403F">
        <w:rPr>
          <w:rFonts w:asciiTheme="majorHAnsi" w:hAnsiTheme="majorHAnsi"/>
          <w:bCs/>
          <w:szCs w:val="22"/>
        </w:rPr>
        <w:t xml:space="preserve">“review its detention policy with regard to </w:t>
      </w:r>
      <w:r w:rsidR="00296652">
        <w:rPr>
          <w:rFonts w:asciiTheme="majorHAnsi" w:hAnsiTheme="majorHAnsi"/>
          <w:bCs/>
        </w:rPr>
        <w:t>asylum seeker</w:t>
      </w:r>
      <w:r w:rsidR="001F1F5B">
        <w:rPr>
          <w:rFonts w:asciiTheme="majorHAnsi" w:hAnsiTheme="majorHAnsi"/>
          <w:bCs/>
        </w:rPr>
        <w:t>s</w:t>
      </w:r>
      <w:r w:rsidRPr="00B5403F">
        <w:rPr>
          <w:rFonts w:asciiTheme="majorHAnsi" w:hAnsiTheme="majorHAnsi"/>
          <w:bCs/>
          <w:szCs w:val="22"/>
        </w:rPr>
        <w:t xml:space="preserve"> and give priorit</w:t>
      </w:r>
      <w:r w:rsidRPr="00B5403F">
        <w:rPr>
          <w:rFonts w:asciiTheme="majorHAnsi" w:hAnsiTheme="majorHAnsi"/>
          <w:bCs/>
        </w:rPr>
        <w:t>y to alternatives to detention,” and “</w:t>
      </w:r>
      <w:r w:rsidRPr="00B5403F">
        <w:rPr>
          <w:rFonts w:asciiTheme="majorHAnsi" w:hAnsiTheme="majorHAnsi"/>
          <w:bCs/>
          <w:szCs w:val="22"/>
        </w:rPr>
        <w:t xml:space="preserve">end indefinite detention for </w:t>
      </w:r>
      <w:r w:rsidR="00296652">
        <w:rPr>
          <w:rFonts w:asciiTheme="majorHAnsi" w:hAnsiTheme="majorHAnsi"/>
          <w:bCs/>
        </w:rPr>
        <w:t>asylum seeker</w:t>
      </w:r>
      <w:r w:rsidR="001F1F5B">
        <w:rPr>
          <w:rFonts w:asciiTheme="majorHAnsi" w:hAnsiTheme="majorHAnsi"/>
          <w:bCs/>
        </w:rPr>
        <w:t>s</w:t>
      </w:r>
      <w:r w:rsidRPr="00B5403F">
        <w:rPr>
          <w:rFonts w:asciiTheme="majorHAnsi" w:hAnsiTheme="majorHAnsi"/>
          <w:bCs/>
          <w:szCs w:val="22"/>
        </w:rPr>
        <w:t xml:space="preserve"> and migrants and guarantee them access to independent, qualified and free legal advice and representation.</w:t>
      </w:r>
      <w:r>
        <w:rPr>
          <w:rStyle w:val="EndnoteReference"/>
          <w:bCs/>
        </w:rPr>
        <w:endnoteReference w:id="31"/>
      </w:r>
    </w:p>
    <w:p w14:paraId="618AD058" w14:textId="77777777" w:rsidR="00B5403F" w:rsidRPr="00B5403F" w:rsidRDefault="00B5403F" w:rsidP="00B5403F">
      <w:pPr>
        <w:autoSpaceDE w:val="0"/>
        <w:autoSpaceDN w:val="0"/>
        <w:adjustRightInd w:val="0"/>
        <w:jc w:val="both"/>
        <w:rPr>
          <w:rFonts w:asciiTheme="majorHAnsi" w:hAnsiTheme="majorHAnsi"/>
          <w:bCs/>
        </w:rPr>
      </w:pPr>
    </w:p>
    <w:p w14:paraId="443E4891" w14:textId="33B7B3A1" w:rsidR="00CD2489" w:rsidRPr="00B5403F" w:rsidRDefault="00F77298" w:rsidP="00CD2489">
      <w:pPr>
        <w:pStyle w:val="ListParagraph"/>
        <w:numPr>
          <w:ilvl w:val="0"/>
          <w:numId w:val="5"/>
        </w:numPr>
        <w:autoSpaceDE w:val="0"/>
        <w:autoSpaceDN w:val="0"/>
        <w:adjustRightInd w:val="0"/>
        <w:jc w:val="both"/>
        <w:rPr>
          <w:rFonts w:asciiTheme="majorHAnsi" w:hAnsiTheme="majorHAnsi"/>
          <w:bCs/>
        </w:rPr>
      </w:pPr>
      <w:r>
        <w:rPr>
          <w:rFonts w:asciiTheme="majorHAnsi" w:hAnsiTheme="majorHAnsi"/>
        </w:rPr>
        <w:t>The Committee A</w:t>
      </w:r>
      <w:r w:rsidR="00CD2489" w:rsidRPr="00B5403F">
        <w:rPr>
          <w:rFonts w:asciiTheme="majorHAnsi" w:hAnsiTheme="majorHAnsi"/>
        </w:rPr>
        <w:t>gainst Torture also remained:</w:t>
      </w:r>
    </w:p>
    <w:p w14:paraId="2472C103" w14:textId="77777777" w:rsidR="00CD2489" w:rsidRPr="00E86748" w:rsidRDefault="00CD2489" w:rsidP="00CD2489">
      <w:pPr>
        <w:autoSpaceDE w:val="0"/>
        <w:autoSpaceDN w:val="0"/>
        <w:adjustRightInd w:val="0"/>
        <w:rPr>
          <w:rFonts w:asciiTheme="majorHAnsi" w:hAnsiTheme="majorHAnsi"/>
        </w:rPr>
      </w:pPr>
    </w:p>
    <w:p w14:paraId="61635DDD" w14:textId="77777777" w:rsidR="00CD2489" w:rsidRPr="00BA2D67" w:rsidRDefault="00CD2489" w:rsidP="00CD2489">
      <w:pPr>
        <w:autoSpaceDE w:val="0"/>
        <w:autoSpaceDN w:val="0"/>
        <w:adjustRightInd w:val="0"/>
        <w:ind w:left="720"/>
        <w:rPr>
          <w:rFonts w:asciiTheme="majorHAnsi" w:hAnsiTheme="majorHAnsi"/>
          <w:szCs w:val="22"/>
        </w:rPr>
      </w:pPr>
      <w:r w:rsidRPr="00E86748">
        <w:rPr>
          <w:rFonts w:asciiTheme="majorHAnsi" w:hAnsiTheme="majorHAnsi"/>
        </w:rPr>
        <w:t>“s</w:t>
      </w:r>
      <w:r w:rsidRPr="00BA2D67">
        <w:rPr>
          <w:rFonts w:asciiTheme="majorHAnsi" w:hAnsiTheme="majorHAnsi"/>
          <w:szCs w:val="22"/>
        </w:rPr>
        <w:t>eriously concerned at the extremely high levels of overcrowding and harsh conditions prevailing in detention facilities, including immigration detention centres. Such conditions include insufficient ventilation and lighting, poor sanitation and hygiene facilities and inadequate access to health care</w:t>
      </w:r>
      <w:r w:rsidRPr="00F620F7">
        <w:rPr>
          <w:rFonts w:asciiTheme="majorHAnsi" w:hAnsiTheme="majorHAnsi"/>
        </w:rPr>
        <w:t>.</w:t>
      </w:r>
      <w:r>
        <w:rPr>
          <w:rFonts w:asciiTheme="majorHAnsi" w:hAnsiTheme="majorHAnsi"/>
        </w:rPr>
        <w:t>”</w:t>
      </w:r>
    </w:p>
    <w:p w14:paraId="3C14D5F4" w14:textId="77777777" w:rsidR="00CD2489" w:rsidRDefault="00CD2489" w:rsidP="00CD2489">
      <w:pPr>
        <w:autoSpaceDE w:val="0"/>
        <w:autoSpaceDN w:val="0"/>
        <w:adjustRightInd w:val="0"/>
        <w:rPr>
          <w:rFonts w:asciiTheme="majorHAnsi" w:hAnsiTheme="majorHAnsi"/>
        </w:rPr>
      </w:pPr>
    </w:p>
    <w:p w14:paraId="341D3B79" w14:textId="5A59011C" w:rsidR="00B5403F" w:rsidRPr="00B5403F" w:rsidRDefault="00B5403F" w:rsidP="00B5403F">
      <w:pPr>
        <w:pStyle w:val="ListParagraph"/>
        <w:numPr>
          <w:ilvl w:val="0"/>
          <w:numId w:val="5"/>
        </w:numPr>
        <w:autoSpaceDE w:val="0"/>
        <w:autoSpaceDN w:val="0"/>
        <w:adjustRightInd w:val="0"/>
        <w:jc w:val="both"/>
        <w:rPr>
          <w:rFonts w:asciiTheme="majorHAnsi" w:hAnsiTheme="majorHAnsi"/>
        </w:rPr>
      </w:pPr>
      <w:r>
        <w:rPr>
          <w:rFonts w:asciiTheme="majorHAnsi" w:hAnsiTheme="majorHAnsi"/>
        </w:rPr>
        <w:t>It</w:t>
      </w:r>
      <w:r w:rsidR="00CD2489" w:rsidRPr="00B5403F">
        <w:rPr>
          <w:rFonts w:asciiTheme="majorHAnsi" w:hAnsiTheme="majorHAnsi"/>
        </w:rPr>
        <w:t xml:space="preserve"> recommended Thailand “</w:t>
      </w:r>
      <w:r w:rsidR="00CD2489" w:rsidRPr="00B5403F">
        <w:rPr>
          <w:rFonts w:asciiTheme="majorHAnsi" w:hAnsiTheme="majorHAnsi"/>
          <w:bCs/>
          <w:szCs w:val="22"/>
        </w:rPr>
        <w:t>strengthen its efforts to improve prison conditions in order to end any cruel, inhuman or degrading treatment or punishment</w:t>
      </w:r>
      <w:r w:rsidR="00CD2489" w:rsidRPr="00B5403F">
        <w:rPr>
          <w:rFonts w:asciiTheme="majorHAnsi" w:hAnsiTheme="majorHAnsi"/>
          <w:bCs/>
        </w:rPr>
        <w:t>,” in particular by reducing prison overcrowding, and  “(e)</w:t>
      </w:r>
      <w:r w:rsidR="00CD2489" w:rsidRPr="00B5403F">
        <w:rPr>
          <w:rFonts w:asciiTheme="majorHAnsi" w:hAnsiTheme="majorHAnsi"/>
          <w:bCs/>
          <w:szCs w:val="22"/>
        </w:rPr>
        <w:t xml:space="preserve">nsuring the basic needs of persons deprived of their liberty with regard to sanitation, medical care, food and </w:t>
      </w:r>
      <w:r w:rsidR="00CD2489" w:rsidRPr="00B5403F">
        <w:rPr>
          <w:rFonts w:asciiTheme="majorHAnsi" w:hAnsiTheme="majorHAnsi"/>
          <w:bCs/>
        </w:rPr>
        <w:t>water, and taking measures to prevent violence in prison.”</w:t>
      </w:r>
      <w:r w:rsidR="00CD2489">
        <w:rPr>
          <w:rStyle w:val="EndnoteReference"/>
          <w:bCs/>
        </w:rPr>
        <w:endnoteReference w:id="32"/>
      </w:r>
    </w:p>
    <w:p w14:paraId="607F72D0" w14:textId="68EBD231" w:rsidR="00B5403F" w:rsidRPr="009A1FED" w:rsidRDefault="00B5403F" w:rsidP="00B5403F">
      <w:pPr>
        <w:jc w:val="both"/>
        <w:rPr>
          <w:rFonts w:ascii="Calibri" w:hAnsi="Calibri"/>
        </w:rPr>
      </w:pPr>
    </w:p>
    <w:p w14:paraId="146477F2" w14:textId="5105AA0B" w:rsidR="00B5403F" w:rsidRPr="0091663B" w:rsidRDefault="00605573" w:rsidP="00B5403F">
      <w:pPr>
        <w:pStyle w:val="ListParagraph"/>
        <w:ind w:left="360"/>
        <w:jc w:val="both"/>
        <w:rPr>
          <w:rFonts w:ascii="Calibri" w:hAnsi="Calibri"/>
          <w:b/>
          <w:i/>
          <w:sz w:val="23"/>
          <w:szCs w:val="23"/>
          <w:lang w:val="en-AU"/>
        </w:rPr>
      </w:pPr>
      <w:r w:rsidRPr="009A1FED">
        <w:rPr>
          <w:rFonts w:ascii="Calibri" w:hAnsi="Calibri"/>
          <w:noProof/>
          <w:szCs w:val="22"/>
        </w:rPr>
        <mc:AlternateContent>
          <mc:Choice Requires="wps">
            <w:drawing>
              <wp:anchor distT="0" distB="0" distL="114300" distR="114300" simplePos="0" relativeHeight="251753472" behindDoc="1" locked="0" layoutInCell="1" allowOverlap="1" wp14:anchorId="3ED8A06D" wp14:editId="3AFCE0DC">
                <wp:simplePos x="0" y="0"/>
                <wp:positionH relativeFrom="column">
                  <wp:posOffset>-184150</wp:posOffset>
                </wp:positionH>
                <wp:positionV relativeFrom="paragraph">
                  <wp:posOffset>-8255</wp:posOffset>
                </wp:positionV>
                <wp:extent cx="6400800" cy="2090056"/>
                <wp:effectExtent l="50800" t="25400" r="50800" b="69215"/>
                <wp:wrapNone/>
                <wp:docPr id="31" name="Rectangle 31"/>
                <wp:cNvGraphicFramePr/>
                <a:graphic xmlns:a="http://schemas.openxmlformats.org/drawingml/2006/main">
                  <a:graphicData uri="http://schemas.microsoft.com/office/word/2010/wordprocessingShape">
                    <wps:wsp>
                      <wps:cNvSpPr/>
                      <wps:spPr>
                        <a:xfrm>
                          <a:off x="0" y="0"/>
                          <a:ext cx="6400800" cy="2090056"/>
                        </a:xfrm>
                        <a:prstGeom prst="rect">
                          <a:avLst/>
                        </a:prstGeom>
                        <a:solidFill>
                          <a:schemeClr val="bg1">
                            <a:lumMod val="85000"/>
                          </a:schemeClr>
                        </a:solidFill>
                        <a:ln>
                          <a:noFill/>
                        </a:ln>
                        <a:extLst>
                          <a:ext uri="{FAA26D3D-D897-4be2-8F04-BA451C77F1D7}">
                            <ma14:placeholderFlag xmlns:ma14="http://schemas.microsoft.com/office/mac/drawingml/2011/main"/>
                          </a:ext>
                          <a:ext uri="{C572A759-6A51-4108-AA02-DFA0A04FC94B}">
                            <ma14:wrappingTextBoxFlag xmlns:ma14="http://schemas.microsoft.com/office/mac/drawingml/2011/main"/>
                          </a:ext>
                        </a:ex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26" style="position:absolute;margin-left:-14.45pt;margin-top:-.6pt;width:7in;height:164.55pt;z-index:-251563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OOVixMDAADZBgAADgAAAGRycy9lMm9Eb2MueG1stFVbb9MwFH5H4j9Yfs9yWXrV0ilrFYQ0tmkb&#10;2rPrOG0kxza2ewPx3zl20qwbEyAEL+mxz/2cz18vLvcNR1umTS1FhuOzCCMmqCxrscrw58ciGGNk&#10;LBEl4VKwDB+YwZez9+8udmrKErmWvGQaQRBhpjuV4bW1ahqGhq5ZQ8yZVEyAspK6IRaOehWWmuwg&#10;esPDJIqG4U7qUmlJmTFwu2iVeObjVxWj9raqDLOIZxhqs/6r/XfpvuHsgkxXmqh1TbsyyF9U0ZBa&#10;QNI+1IJYgja6/ilUU1MtjazsGZVNKKuqpsz3AN3E0atuHtZEMd8LDMeofkzm34WlN9s7jeoyw+cx&#10;RoI0sKN7mBoRK84Q3MGAdspMwe5B3enuZEB03e4r3bhf6APt/VAP/VDZ3iIKl8M0isYRzJ6CLokm&#10;UTQYuqjhs7vSxn5gskFOyLCG/H6YZHttbGt6NHHZjOR1WdSc+4NDCptzjbYEdrxcxd6Vb5pPsmzv&#10;xoMI8rdxPLCcuS/gRSQuXDwhXeTWuL2BRqAMp3Mt+aV+K/I8GS7OF8FiPBkF6ZIlwbiI0uAqTwfx&#10;fDQq4sXoOxTSkDidKk4oa5FecLLq1uhUf7bHhtAXqI/j0OOtLRKKelnbfDBK8tFgEgzzQRykcTQO&#10;8jxKgkWRR3mUFvNJetXXtgPoK3g4jxDmSu7/V32w7OMYQwenFkBesgfOXANc3LMKkAiQaVfYr6rd&#10;IqGUCesBCdG8tXOrYFu947nf/S8dO3s/Ms8PvXPye2d29PCZpbC9c1MLqd8KwPuSq9YegHfStxOX&#10;sjzAI9SyZSejaFHDQ7gmxt4RDXQEjwco1t7Cp+Jyl2HZSRitpf761r2zB3SBFiO34wybLxuiGUb8&#10;owD+mMRp6vjQH1JADBz0qWZ5qhGbZi7hdQFFQHVedPaWH8VKy+YJmDh3WUFFBIXcGaZWHw9z29Iu&#10;cDllee7NgAMVsdfiQdHj1t1Df9w/Ea06NrAAnBt5pEIyfUUKra3bh5D5xsqq9ozxPNdu3sCf/sl3&#10;XO8I+vTsrZ7/kWY/AAAA//8DAFBLAwQUAAYACAAAACEA9EP83+EAAAAKAQAADwAAAGRycy9kb3du&#10;cmV2LnhtbEyPwU7DMAyG70i8Q2QkLtOWthPb2jWd0MTEhYE29gBpY9pC41RNtpW3x5zgZsuff3/O&#10;N6PtxAUH3zpSEM8iEEiVMy3VCk7vu+kKhA+ajO4coYJv9LApbm9ynRl3pQNejqEWHEI+0wqaEPpM&#10;Sl81aLWfuR6JZx9usDpwO9TSDPrK4baTSRQtpNUt8YVG97htsPo6ni1rvDy9Rs/zXbk4TN62w+fe&#10;Th56q9T93fi4BhFwDH8w/OrzDhTsVLozGS86BdNklTLKRZyAYCBdpjGIUsE8WaYgi1z+f6H4AQAA&#10;//8DAFBLAQItABQABgAIAAAAIQDkmcPA+wAAAOEBAAATAAAAAAAAAAAAAAAAAAAAAABbQ29udGVu&#10;dF9UeXBlc10ueG1sUEsBAi0AFAAGAAgAAAAhACOyauHXAAAAlAEAAAsAAAAAAAAAAAAAAAAALAEA&#10;AF9yZWxzLy5yZWxzUEsBAi0AFAAGAAgAAAAhABjjlYsTAwAA2QYAAA4AAAAAAAAAAAAAAAAALAIA&#10;AGRycy9lMm9Eb2MueG1sUEsBAi0AFAAGAAgAAAAhAPRD/N/hAAAACgEAAA8AAAAAAAAAAAAAAAAA&#10;awUAAGRycy9kb3ducmV2LnhtbFBLBQYAAAAABAAEAPMAAAB5BgAAAAA=&#10;" fillcolor="#d8d8d8 [2732]" stroked="f">
                <v:shadow on="t" opacity="22937f" mv:blur="40000f" origin=",.5" offset="0,23000emu"/>
              </v:rect>
            </w:pict>
          </mc:Fallback>
        </mc:AlternateContent>
      </w:r>
      <w:r w:rsidR="00B5403F" w:rsidRPr="0091663B">
        <w:rPr>
          <w:rFonts w:ascii="Calibri" w:hAnsi="Calibri"/>
          <w:b/>
          <w:i/>
          <w:sz w:val="23"/>
          <w:szCs w:val="23"/>
          <w:lang w:val="en-AU"/>
        </w:rPr>
        <w:t>Suggested Questions</w:t>
      </w:r>
    </w:p>
    <w:p w14:paraId="1812678D" w14:textId="2A9DE54B" w:rsidR="00B5403F" w:rsidRPr="00B5403F" w:rsidRDefault="00B5403F" w:rsidP="00B5403F">
      <w:pPr>
        <w:pStyle w:val="ListParagraph"/>
        <w:numPr>
          <w:ilvl w:val="0"/>
          <w:numId w:val="24"/>
        </w:numPr>
        <w:jc w:val="both"/>
        <w:rPr>
          <w:rFonts w:ascii="Calibri" w:hAnsi="Calibri"/>
          <w:b/>
          <w:szCs w:val="22"/>
          <w:lang w:val="en-AU"/>
        </w:rPr>
      </w:pPr>
      <w:r w:rsidRPr="00B5403F">
        <w:rPr>
          <w:rFonts w:ascii="Calibri" w:hAnsi="Calibri"/>
          <w:b/>
          <w:szCs w:val="22"/>
        </w:rPr>
        <w:t xml:space="preserve">Thailand’s current practice indicates that the detention of </w:t>
      </w:r>
      <w:r w:rsidR="00296652">
        <w:rPr>
          <w:rFonts w:ascii="Calibri" w:hAnsi="Calibri"/>
          <w:b/>
          <w:szCs w:val="22"/>
        </w:rPr>
        <w:t>asylum seeker</w:t>
      </w:r>
      <w:r w:rsidR="001F1F5B">
        <w:rPr>
          <w:rFonts w:ascii="Calibri" w:hAnsi="Calibri"/>
          <w:b/>
          <w:szCs w:val="22"/>
        </w:rPr>
        <w:t>s</w:t>
      </w:r>
      <w:r w:rsidRPr="00B5403F">
        <w:rPr>
          <w:rFonts w:ascii="Calibri" w:hAnsi="Calibri"/>
          <w:b/>
          <w:szCs w:val="22"/>
        </w:rPr>
        <w:t xml:space="preserve"> and refugees is arbitrary and potentially indefinite; what measures does Thailand plan to take to end the indefinite detention of </w:t>
      </w:r>
      <w:r w:rsidR="00296652">
        <w:rPr>
          <w:rFonts w:ascii="Calibri" w:hAnsi="Calibri"/>
          <w:b/>
          <w:szCs w:val="22"/>
        </w:rPr>
        <w:t>asylum seeker</w:t>
      </w:r>
      <w:r w:rsidR="001F1F5B">
        <w:rPr>
          <w:rFonts w:ascii="Calibri" w:hAnsi="Calibri"/>
          <w:b/>
          <w:szCs w:val="22"/>
        </w:rPr>
        <w:t>s</w:t>
      </w:r>
      <w:r w:rsidRPr="00B5403F">
        <w:rPr>
          <w:rFonts w:ascii="Calibri" w:hAnsi="Calibri"/>
          <w:b/>
          <w:szCs w:val="22"/>
        </w:rPr>
        <w:t xml:space="preserve"> and refugees, and ensure that </w:t>
      </w:r>
      <w:r w:rsidR="00296652">
        <w:rPr>
          <w:rFonts w:ascii="Calibri" w:hAnsi="Calibri"/>
          <w:b/>
          <w:szCs w:val="22"/>
        </w:rPr>
        <w:t>asylum seeker</w:t>
      </w:r>
      <w:r w:rsidR="001F1F5B">
        <w:rPr>
          <w:rFonts w:ascii="Calibri" w:hAnsi="Calibri"/>
          <w:b/>
          <w:szCs w:val="22"/>
        </w:rPr>
        <w:t>s</w:t>
      </w:r>
      <w:r w:rsidRPr="00B5403F">
        <w:rPr>
          <w:rFonts w:ascii="Calibri" w:hAnsi="Calibri"/>
          <w:b/>
          <w:szCs w:val="22"/>
        </w:rPr>
        <w:t xml:space="preserve"> and refugees are processed in a timely manner and that their protected status under international law is considered in the course of such processing?</w:t>
      </w:r>
    </w:p>
    <w:p w14:paraId="5AA8FD90" w14:textId="34B26A73" w:rsidR="00B5403F" w:rsidRPr="00B5403F" w:rsidRDefault="00B5403F" w:rsidP="00B5403F">
      <w:pPr>
        <w:pStyle w:val="ListParagraph"/>
        <w:numPr>
          <w:ilvl w:val="0"/>
          <w:numId w:val="24"/>
        </w:numPr>
        <w:jc w:val="both"/>
        <w:rPr>
          <w:rFonts w:ascii="Calibri" w:hAnsi="Calibri"/>
          <w:b/>
          <w:szCs w:val="22"/>
          <w:lang w:val="en-AU"/>
        </w:rPr>
      </w:pPr>
      <w:r w:rsidRPr="00B5403F">
        <w:rPr>
          <w:rFonts w:ascii="Calibri" w:hAnsi="Calibri"/>
          <w:b/>
          <w:szCs w:val="22"/>
        </w:rPr>
        <w:t xml:space="preserve">Is there any plan or measures in place to amend detention policies to ensure that when necessary, detention of </w:t>
      </w:r>
      <w:r w:rsidR="00296652">
        <w:rPr>
          <w:rFonts w:ascii="Calibri" w:hAnsi="Calibri"/>
          <w:b/>
          <w:szCs w:val="22"/>
        </w:rPr>
        <w:t>asylum seeker</w:t>
      </w:r>
      <w:r w:rsidR="001F1F5B">
        <w:rPr>
          <w:rFonts w:ascii="Calibri" w:hAnsi="Calibri"/>
          <w:b/>
          <w:szCs w:val="22"/>
        </w:rPr>
        <w:t>s</w:t>
      </w:r>
      <w:r w:rsidRPr="00B5403F">
        <w:rPr>
          <w:rFonts w:ascii="Calibri" w:hAnsi="Calibri"/>
          <w:b/>
          <w:szCs w:val="22"/>
        </w:rPr>
        <w:t xml:space="preserve"> and refugees is used only in exceptional circumstances, following an individualized assessment, and after all less invasive alternatives to detention have been exhausted?</w:t>
      </w:r>
    </w:p>
    <w:p w14:paraId="02F3E9BC" w14:textId="2D26E389" w:rsidR="00B5403F" w:rsidRPr="00B5403F" w:rsidRDefault="00B5403F" w:rsidP="00B5403F">
      <w:pPr>
        <w:pStyle w:val="ListParagraph"/>
        <w:numPr>
          <w:ilvl w:val="0"/>
          <w:numId w:val="24"/>
        </w:numPr>
        <w:jc w:val="both"/>
        <w:rPr>
          <w:rFonts w:ascii="Calibri" w:hAnsi="Calibri"/>
          <w:b/>
          <w:szCs w:val="22"/>
          <w:lang w:val="en-AU"/>
        </w:rPr>
      </w:pPr>
      <w:r w:rsidRPr="00B5403F">
        <w:rPr>
          <w:rFonts w:ascii="Calibri" w:hAnsi="Calibri"/>
          <w:b/>
          <w:szCs w:val="22"/>
        </w:rPr>
        <w:t xml:space="preserve">What measures are in place to ensure all immigration detention centers are sanitary, appropriate in size, and provide those detained with access to physical and mental health services, in </w:t>
      </w:r>
      <w:r w:rsidR="004A0825">
        <w:rPr>
          <w:rFonts w:ascii="Calibri" w:hAnsi="Calibri"/>
          <w:b/>
          <w:szCs w:val="22"/>
        </w:rPr>
        <w:t xml:space="preserve">line </w:t>
      </w:r>
      <w:r w:rsidRPr="00B5403F">
        <w:rPr>
          <w:rFonts w:ascii="Calibri" w:hAnsi="Calibri"/>
          <w:b/>
          <w:szCs w:val="22"/>
        </w:rPr>
        <w:t>the with the United Nations Standard Minimum Rules for the Treatment of Prisoners?</w:t>
      </w:r>
    </w:p>
    <w:p w14:paraId="2B0B406B" w14:textId="2CF38C16" w:rsidR="00B5403F" w:rsidRPr="00B5403F" w:rsidRDefault="00605573" w:rsidP="00B5403F">
      <w:pPr>
        <w:pStyle w:val="ListParagraph"/>
        <w:numPr>
          <w:ilvl w:val="0"/>
          <w:numId w:val="24"/>
        </w:numPr>
        <w:jc w:val="both"/>
        <w:rPr>
          <w:rFonts w:ascii="Calibri" w:hAnsi="Calibri"/>
          <w:b/>
          <w:szCs w:val="22"/>
          <w:lang w:val="en-AU"/>
        </w:rPr>
      </w:pPr>
      <w:r w:rsidRPr="009A1FED">
        <w:rPr>
          <w:rFonts w:ascii="Calibri" w:hAnsi="Calibri"/>
          <w:noProof/>
          <w:szCs w:val="22"/>
        </w:rPr>
        <mc:AlternateContent>
          <mc:Choice Requires="wps">
            <w:drawing>
              <wp:anchor distT="0" distB="0" distL="114300" distR="114300" simplePos="0" relativeHeight="251761664" behindDoc="1" locked="0" layoutInCell="1" allowOverlap="1" wp14:anchorId="7082E14B" wp14:editId="6D34DAB9">
                <wp:simplePos x="0" y="0"/>
                <wp:positionH relativeFrom="column">
                  <wp:posOffset>-174625</wp:posOffset>
                </wp:positionH>
                <wp:positionV relativeFrom="paragraph">
                  <wp:posOffset>-360045</wp:posOffset>
                </wp:positionV>
                <wp:extent cx="6400800" cy="1282771"/>
                <wp:effectExtent l="50800" t="25400" r="50800" b="88900"/>
                <wp:wrapNone/>
                <wp:docPr id="5" name="Rectangle 5"/>
                <wp:cNvGraphicFramePr/>
                <a:graphic xmlns:a="http://schemas.openxmlformats.org/drawingml/2006/main">
                  <a:graphicData uri="http://schemas.microsoft.com/office/word/2010/wordprocessingShape">
                    <wps:wsp>
                      <wps:cNvSpPr/>
                      <wps:spPr>
                        <a:xfrm>
                          <a:off x="0" y="0"/>
                          <a:ext cx="6400800" cy="1282771"/>
                        </a:xfrm>
                        <a:prstGeom prst="rect">
                          <a:avLst/>
                        </a:prstGeom>
                        <a:solidFill>
                          <a:schemeClr val="bg1">
                            <a:lumMod val="85000"/>
                          </a:schemeClr>
                        </a:solidFill>
                        <a:ln>
                          <a:noFill/>
                        </a:ln>
                        <a:extLst>
                          <a:ext uri="{FAA26D3D-D897-4be2-8F04-BA451C77F1D7}">
                            <ma14:placeholderFlag xmlns:ma14="http://schemas.microsoft.com/office/mac/drawingml/2011/main"/>
                          </a:ext>
                          <a:ext uri="{C572A759-6A51-4108-AA02-DFA0A04FC94B}">
                            <ma14:wrappingTextBoxFlag xmlns:ma14="http://schemas.microsoft.com/office/mac/drawingml/2011/main"/>
                          </a:ext>
                        </a:extLst>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 o:spid="_x0000_s1026" style="position:absolute;margin-left:-13.7pt;margin-top:-28.3pt;width:7in;height:101pt;z-index:-251554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LcQAREDAADXBgAADgAAAGRycy9lMm9Eb2MueG1stFVbb9MwFH5H4j9Efs9yWdq01dIpaxWENLZp&#10;G9qz6zhtJMc2tnsD8d85di7rxgQIwUt67HM/5/PXi8tDw7wdVboWPEPRWYg8yokoa77O0OfHwp8g&#10;TxvMS8wEpxk6Uo0u5+/fXezljMZiI1hJlQdBuJ7tZYY2xshZEGiyoQ3WZ0JSDspKqAYbOKp1UCq8&#10;h+gNC+IwHAd7oUqpBKFaw+2yVaK5i19VlJjbqtLUeCxDUJtxX+W+K/sN5hd4tlZYbmrSlYH/oooG&#10;1xySDqGW2GBvq+qfQjU1UUKLypwR0QSiqmpCXQ/QTRS+6uZhgyV1vcBwtBzGpP9dWHKzu1NeXWZo&#10;hDyOG1jRPQwN8zWj3siOZy/1DKwe5J3qThpE2+uhUo39hS68gxvpcRgpPRiPwOU4CcNJCJMnoIvi&#10;SZymkY0aPLtLpc0HKhrPChlSkN6NEu+utWlNexObTQtWl0XNmDtYnNAFU94Ow4ZX68i5sm3zSZTt&#10;3WQUQv42joOVNXcFvIjEuI3HhY3cGrc30AiUYXW2JbfSb0Wex+Pl+dJfTqapn6xo7E+KMPGv8mQU&#10;LdK0iJbpdyikwVEykwwT2uK8YHjdLdGq/myLDSYvMB9FgUNbWyQU9bK2xSiN83Q09cf5KPKTKJz4&#10;eR7G/rLIwzxMisU0uRpq2wPwJTybRwhzJQ7/qz5Ydj/GwMKpBZCTzJFR2wDj97QCHAJk2hUOq2q3&#10;iAmh3PTQcdbWrYJtDY7nbve/dOzs3cgcOwzO8e+dae/hMgtuBuem5kK9FYANJVetPQDvpG8rrkR5&#10;hCeoRMtNWpKihodwjbW5wwrICB4PEKy5hU/FxD5DopOQtxHq61v31h7QBVrk2R1nSH/ZYkWRxz5y&#10;YI9plCSWDd0hAcTAQZ1qVqcavm0WAl5XBFQuiROtvWG9WCnRPAEP5zYrqDAnkDtDxKj+sDAt6QKT&#10;E5rnzgwYUGJzzR8k6bduH/rj4Qkr2bGBAeDciJ4I8ewVKbS2dh9c5FsjqtoxxvNcu3kDe7on3zG9&#10;pefTs7N6/j+a/wAAAP//AwBQSwMEFAAGAAgAAAAhAInp2tXhAAAACwEAAA8AAABkcnMvZG93bnJl&#10;di54bWxMj81OwzAQhO9IvIO1SFyq1qYkoYQ4FaqouPCjFh7ASZYkEK8j223D27Oc4Dar/XZ2plhP&#10;dhBH9KF3pOFqoUAg1a7pqdXw/radr0CEaKgxgyPU8I0B1uX5WWHyxp1oh8d9bAWbUMiNhi7GMZcy&#10;1B1aExZuROLdh/PWRB59KxtvTmxuB7lUKpPW9MQfOjPipsP6a3+wHOPp4UU9Xm+rbDd73fjPZztL&#10;R6v15cV0fwci4hT/YPiNzzdQcqbKHagJYtAwX94kjLJIswwEE7crxaJiNEkTkGUh/3cofwAAAP//&#10;AwBQSwECLQAUAAYACAAAACEA5JnDwPsAAADhAQAAEwAAAAAAAAAAAAAAAAAAAAAAW0NvbnRlbnRf&#10;VHlwZXNdLnhtbFBLAQItABQABgAIAAAAIQAjsmrh1wAAAJQBAAALAAAAAAAAAAAAAAAAACwBAABf&#10;cmVscy8ucmVsc1BLAQItABQABgAIAAAAIQDQtxABEQMAANcGAAAOAAAAAAAAAAAAAAAAACwCAABk&#10;cnMvZTJvRG9jLnhtbFBLAQItABQABgAIAAAAIQCJ6drV4QAAAAsBAAAPAAAAAAAAAAAAAAAAAGkF&#10;AABkcnMvZG93bnJldi54bWxQSwUGAAAAAAQABADzAAAAdwYAAAAA&#10;" fillcolor="#d8d8d8 [2732]" stroked="f">
                <v:shadow on="t" opacity="22937f" mv:blur="40000f" origin=",.5" offset="0,23000emu"/>
              </v:rect>
            </w:pict>
          </mc:Fallback>
        </mc:AlternateContent>
      </w:r>
      <w:r w:rsidR="00B5403F" w:rsidRPr="00B5403F">
        <w:rPr>
          <w:rFonts w:ascii="Calibri" w:hAnsi="Calibri"/>
          <w:b/>
          <w:szCs w:val="22"/>
        </w:rPr>
        <w:t xml:space="preserve">What measures are in place to provide </w:t>
      </w:r>
      <w:r w:rsidR="00296652">
        <w:rPr>
          <w:rFonts w:ascii="Calibri" w:hAnsi="Calibri"/>
          <w:b/>
          <w:szCs w:val="22"/>
        </w:rPr>
        <w:t>asylum seeker</w:t>
      </w:r>
      <w:r w:rsidR="001F1F5B">
        <w:rPr>
          <w:rFonts w:ascii="Calibri" w:hAnsi="Calibri"/>
          <w:b/>
          <w:szCs w:val="22"/>
        </w:rPr>
        <w:t>s</w:t>
      </w:r>
      <w:r w:rsidR="00B5403F" w:rsidRPr="00B5403F">
        <w:rPr>
          <w:rFonts w:ascii="Calibri" w:hAnsi="Calibri"/>
          <w:b/>
          <w:szCs w:val="22"/>
        </w:rPr>
        <w:t xml:space="preserve"> and refugees in detention with access to legal aid, asylum mechanisms, and screening services for human trafficking survivors?</w:t>
      </w:r>
    </w:p>
    <w:p w14:paraId="7C8466F3" w14:textId="279F7FB8" w:rsidR="000206A5" w:rsidRPr="00F77298" w:rsidRDefault="00B5403F" w:rsidP="00B5403F">
      <w:pPr>
        <w:pStyle w:val="ListParagraph"/>
        <w:numPr>
          <w:ilvl w:val="0"/>
          <w:numId w:val="24"/>
        </w:numPr>
        <w:jc w:val="both"/>
        <w:rPr>
          <w:rFonts w:ascii="Calibri" w:hAnsi="Calibri"/>
          <w:b/>
          <w:szCs w:val="22"/>
          <w:lang w:val="en-AU"/>
        </w:rPr>
        <w:sectPr w:rsidR="000206A5" w:rsidRPr="00F77298" w:rsidSect="0066495F">
          <w:footerReference w:type="even" r:id="rId12"/>
          <w:footerReference w:type="default" r:id="rId13"/>
          <w:endnotePr>
            <w:numFmt w:val="decimal"/>
          </w:endnotePr>
          <w:pgSz w:w="12240" w:h="15840"/>
          <w:pgMar w:top="1440" w:right="1440" w:bottom="1440" w:left="1440" w:header="720" w:footer="720" w:gutter="0"/>
          <w:cols w:space="720"/>
          <w:docGrid w:linePitch="360"/>
        </w:sectPr>
      </w:pPr>
      <w:r w:rsidRPr="00B5403F">
        <w:rPr>
          <w:rFonts w:ascii="Calibri" w:hAnsi="Calibri"/>
          <w:b/>
          <w:szCs w:val="22"/>
        </w:rPr>
        <w:t>What measures are taken to ensure children are not detained based solely on their parents’ immigration status?</w:t>
      </w:r>
      <w:r w:rsidR="00F77298">
        <w:rPr>
          <w:rFonts w:ascii="Calibri" w:hAnsi="Calibri"/>
          <w:b/>
          <w:szCs w:val="22"/>
        </w:rPr>
        <w:tab/>
      </w:r>
    </w:p>
    <w:p w14:paraId="3E11E948" w14:textId="79FF813F" w:rsidR="00B52673" w:rsidRPr="009A1FED" w:rsidRDefault="00B52673" w:rsidP="005B04E4">
      <w:pPr>
        <w:ind w:right="-180"/>
        <w:rPr>
          <w:rFonts w:ascii="Calibri" w:hAnsi="Calibri"/>
          <w:color w:val="808080" w:themeColor="background1" w:themeShade="80"/>
          <w:sz w:val="18"/>
          <w:szCs w:val="18"/>
        </w:rPr>
      </w:pPr>
    </w:p>
    <w:sectPr w:rsidR="00B52673" w:rsidRPr="009A1FED" w:rsidSect="0066495F">
      <w:endnotePr>
        <w:numFmt w:val="decimal"/>
      </w:endnotePr>
      <w:pgSz w:w="12240" w:h="15840"/>
      <w:pgMar w:top="1440" w:right="1440" w:bottom="1440" w:left="1440" w:header="720" w:footer="720" w:gutter="0"/>
      <w:cols w:num="2" w:space="36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C7A0053" w14:textId="77777777" w:rsidR="001F587F" w:rsidRDefault="001F587F" w:rsidP="0059072E">
      <w:r>
        <w:separator/>
      </w:r>
    </w:p>
    <w:p w14:paraId="6F6B784B" w14:textId="77777777" w:rsidR="001F587F" w:rsidRDefault="001F587F"/>
  </w:endnote>
  <w:endnote w:type="continuationSeparator" w:id="0">
    <w:p w14:paraId="6732ABAD" w14:textId="77777777" w:rsidR="001F587F" w:rsidRDefault="001F587F" w:rsidP="0059072E">
      <w:r>
        <w:continuationSeparator/>
      </w:r>
    </w:p>
    <w:p w14:paraId="1DF104A2" w14:textId="77777777" w:rsidR="001F587F" w:rsidRDefault="001F587F"/>
  </w:endnote>
  <w:endnote w:id="1">
    <w:p w14:paraId="3DDDE579" w14:textId="0D2C5C1D" w:rsidR="001F587F" w:rsidRPr="00C1202C" w:rsidRDefault="001F587F">
      <w:pPr>
        <w:pStyle w:val="EndnoteText"/>
        <w:rPr>
          <w:rFonts w:ascii="Times New Roman" w:hAnsi="Times New Roman"/>
          <w:color w:val="808080" w:themeColor="background1" w:themeShade="80"/>
          <w:sz w:val="18"/>
          <w:szCs w:val="18"/>
        </w:rPr>
      </w:pPr>
      <w:r w:rsidRPr="00C1202C">
        <w:rPr>
          <w:rStyle w:val="EndnoteReference"/>
          <w:rFonts w:ascii="Times New Roman" w:hAnsi="Times New Roman"/>
          <w:color w:val="808080" w:themeColor="background1" w:themeShade="80"/>
          <w:sz w:val="18"/>
          <w:szCs w:val="18"/>
        </w:rPr>
        <w:endnoteRef/>
      </w:r>
      <w:r w:rsidRPr="00C1202C">
        <w:rPr>
          <w:rFonts w:ascii="Times New Roman" w:hAnsi="Times New Roman"/>
          <w:color w:val="808080" w:themeColor="background1" w:themeShade="80"/>
          <w:sz w:val="18"/>
          <w:szCs w:val="18"/>
        </w:rPr>
        <w:t xml:space="preserve"> UN Department of Economic and Social Affairs, Population Division, International Migration 2013 Wallchart, 15 July 2013; UNHCR. (2015) UNHCR Refugee in Thailand [Online] Available from: http://bit.ly/1gRC0fl.</w:t>
      </w:r>
    </w:p>
  </w:endnote>
  <w:endnote w:id="2">
    <w:p w14:paraId="633E0EA7" w14:textId="083E3685" w:rsidR="001F587F" w:rsidRPr="00C1202C" w:rsidRDefault="001F587F">
      <w:pPr>
        <w:pStyle w:val="EndnoteText"/>
        <w:rPr>
          <w:rFonts w:ascii="Times New Roman" w:hAnsi="Times New Roman"/>
          <w:color w:val="808080" w:themeColor="background1" w:themeShade="80"/>
          <w:sz w:val="18"/>
          <w:szCs w:val="18"/>
        </w:rPr>
      </w:pPr>
      <w:r w:rsidRPr="00C1202C">
        <w:rPr>
          <w:rStyle w:val="EndnoteReference"/>
          <w:rFonts w:ascii="Times New Roman" w:hAnsi="Times New Roman"/>
          <w:color w:val="808080" w:themeColor="background1" w:themeShade="80"/>
          <w:sz w:val="18"/>
          <w:szCs w:val="18"/>
        </w:rPr>
        <w:endnoteRef/>
      </w:r>
      <w:r w:rsidRPr="00C1202C">
        <w:rPr>
          <w:rFonts w:ascii="Times New Roman" w:hAnsi="Times New Roman"/>
          <w:color w:val="808080" w:themeColor="background1" w:themeShade="80"/>
          <w:sz w:val="18"/>
          <w:szCs w:val="18"/>
        </w:rPr>
        <w:t xml:space="preserve"> </w:t>
      </w:r>
      <w:r w:rsidRPr="00C1202C">
        <w:rPr>
          <w:rFonts w:ascii="Times New Roman" w:hAnsi="Times New Roman"/>
          <w:bCs/>
          <w:color w:val="808080" w:themeColor="background1" w:themeShade="80"/>
          <w:sz w:val="18"/>
          <w:szCs w:val="18"/>
        </w:rPr>
        <w:t>Over 40 ethnic groups are represented in Thailand’s refugee population</w:t>
      </w:r>
      <w:r w:rsidRPr="00C1202C">
        <w:rPr>
          <w:rFonts w:ascii="Times New Roman" w:hAnsi="Times New Roman"/>
          <w:color w:val="808080" w:themeColor="background1" w:themeShade="80"/>
          <w:sz w:val="18"/>
          <w:szCs w:val="18"/>
        </w:rPr>
        <w:t xml:space="preserve"> including: Pakistanis, Sri Lankans, Rohingya, Vietnamese (Hmong, Khmer Krom), Lao Hmong, Syrians (Palestinian), Somali and other African nationalities;  </w:t>
      </w:r>
      <w:r w:rsidRPr="00C1202C">
        <w:rPr>
          <w:rFonts w:ascii="Times New Roman" w:hAnsi="Times New Roman"/>
          <w:color w:val="808080" w:themeColor="background1" w:themeShade="80"/>
          <w:sz w:val="18"/>
          <w:szCs w:val="18"/>
          <w:lang w:val="fil-PH"/>
        </w:rPr>
        <w:t xml:space="preserve">UN High Commissioner for Refugees, “Thailand Factsheet: September 2014,” </w:t>
      </w:r>
      <w:r w:rsidRPr="00C1202C">
        <w:rPr>
          <w:rFonts w:ascii="Times New Roman" w:hAnsi="Times New Roman"/>
          <w:i/>
          <w:color w:val="808080" w:themeColor="background1" w:themeShade="80"/>
          <w:sz w:val="18"/>
          <w:szCs w:val="18"/>
          <w:lang w:val="fil-PH"/>
        </w:rPr>
        <w:t>UNHCR The UN Refugee Agency,</w:t>
      </w:r>
      <w:r w:rsidRPr="00C1202C">
        <w:rPr>
          <w:rFonts w:ascii="Times New Roman" w:hAnsi="Times New Roman"/>
          <w:color w:val="808080" w:themeColor="background1" w:themeShade="80"/>
          <w:sz w:val="18"/>
          <w:szCs w:val="18"/>
          <w:lang w:val="fil-PH"/>
        </w:rPr>
        <w:t xml:space="preserve">(August 2015), </w:t>
      </w:r>
      <w:hyperlink r:id="rId1" w:history="1">
        <w:r w:rsidRPr="00C1202C">
          <w:rPr>
            <w:rStyle w:val="Hyperlink"/>
            <w:rFonts w:ascii="Times New Roman" w:hAnsi="Times New Roman"/>
            <w:color w:val="808080" w:themeColor="background1" w:themeShade="80"/>
            <w:sz w:val="18"/>
            <w:szCs w:val="18"/>
            <w:u w:val="none"/>
            <w:lang w:val="fil-PH"/>
          </w:rPr>
          <w:t>http://bit.ly/1fjOevQ</w:t>
        </w:r>
      </w:hyperlink>
    </w:p>
  </w:endnote>
  <w:endnote w:id="3">
    <w:p w14:paraId="088CA749" w14:textId="77777777" w:rsidR="001F587F" w:rsidRPr="00C1202C" w:rsidRDefault="001F587F" w:rsidP="001E7634">
      <w:pPr>
        <w:pStyle w:val="EndnoteText"/>
        <w:rPr>
          <w:rFonts w:ascii="Times New Roman" w:hAnsi="Times New Roman"/>
          <w:color w:val="808080" w:themeColor="background1" w:themeShade="80"/>
          <w:sz w:val="18"/>
          <w:szCs w:val="18"/>
        </w:rPr>
      </w:pPr>
      <w:r w:rsidRPr="00C1202C">
        <w:rPr>
          <w:rStyle w:val="EndnoteReference"/>
          <w:rFonts w:ascii="Times New Roman" w:hAnsi="Times New Roman"/>
          <w:color w:val="808080" w:themeColor="background1" w:themeShade="80"/>
          <w:sz w:val="18"/>
          <w:szCs w:val="18"/>
        </w:rPr>
        <w:endnoteRef/>
      </w:r>
      <w:r w:rsidRPr="00C1202C">
        <w:rPr>
          <w:rFonts w:ascii="Times New Roman" w:hAnsi="Times New Roman"/>
          <w:color w:val="808080" w:themeColor="background1" w:themeShade="80"/>
          <w:sz w:val="18"/>
          <w:szCs w:val="18"/>
        </w:rPr>
        <w:t xml:space="preserve"> </w:t>
      </w:r>
      <w:r w:rsidRPr="00C1202C">
        <w:rPr>
          <w:rFonts w:ascii="Times New Roman" w:hAnsi="Times New Roman"/>
          <w:i/>
          <w:color w:val="808080" w:themeColor="background1" w:themeShade="80"/>
          <w:sz w:val="18"/>
          <w:szCs w:val="18"/>
        </w:rPr>
        <w:t>Convention Relating to the Status of Refugees</w:t>
      </w:r>
      <w:r w:rsidRPr="00C1202C">
        <w:rPr>
          <w:rFonts w:ascii="Times New Roman" w:hAnsi="Times New Roman"/>
          <w:color w:val="808080" w:themeColor="background1" w:themeShade="80"/>
          <w:sz w:val="18"/>
          <w:szCs w:val="18"/>
        </w:rPr>
        <w:t>, 189 U.N.T.S. 137, article 1(2) (</w:t>
      </w:r>
      <w:r w:rsidRPr="00C1202C">
        <w:rPr>
          <w:rFonts w:ascii="Times New Roman" w:hAnsi="Times New Roman"/>
          <w:i/>
          <w:color w:val="808080" w:themeColor="background1" w:themeShade="80"/>
          <w:sz w:val="18"/>
          <w:szCs w:val="18"/>
        </w:rPr>
        <w:t>Refugee Convention</w:t>
      </w:r>
      <w:r w:rsidRPr="00C1202C">
        <w:rPr>
          <w:rFonts w:ascii="Times New Roman" w:hAnsi="Times New Roman"/>
          <w:color w:val="808080" w:themeColor="background1" w:themeShade="80"/>
          <w:sz w:val="18"/>
          <w:szCs w:val="18"/>
        </w:rPr>
        <w:t>).</w:t>
      </w:r>
    </w:p>
  </w:endnote>
  <w:endnote w:id="4">
    <w:p w14:paraId="74CB9DE4" w14:textId="77777777" w:rsidR="001F587F" w:rsidRPr="00C1202C" w:rsidRDefault="001F587F" w:rsidP="005B4F9D">
      <w:pPr>
        <w:pStyle w:val="EndnoteText"/>
        <w:rPr>
          <w:rFonts w:ascii="Times New Roman" w:hAnsi="Times New Roman"/>
          <w:color w:val="808080" w:themeColor="background1" w:themeShade="80"/>
          <w:sz w:val="18"/>
          <w:szCs w:val="18"/>
        </w:rPr>
      </w:pPr>
      <w:r w:rsidRPr="00C1202C">
        <w:rPr>
          <w:rStyle w:val="EndnoteReference"/>
          <w:rFonts w:ascii="Times New Roman" w:hAnsi="Times New Roman"/>
          <w:color w:val="808080" w:themeColor="background1" w:themeShade="80"/>
          <w:sz w:val="18"/>
          <w:szCs w:val="18"/>
        </w:rPr>
        <w:endnoteRef/>
      </w:r>
      <w:r w:rsidRPr="00C1202C">
        <w:rPr>
          <w:rFonts w:ascii="Times New Roman" w:hAnsi="Times New Roman"/>
          <w:color w:val="808080" w:themeColor="background1" w:themeShade="80"/>
          <w:sz w:val="18"/>
          <w:szCs w:val="18"/>
        </w:rPr>
        <w:t xml:space="preserve"> Human Rights Committee, General Comment No. 20: Article 7 (Prohibition of torture, or other cruel, inhuman or degrading treatment or punishment), 10 March 1992, U.N. Doc. HRI/ GEN/1/Rev.7, para. 9.</w:t>
      </w:r>
    </w:p>
  </w:endnote>
  <w:endnote w:id="5">
    <w:p w14:paraId="42752F4F" w14:textId="77777777" w:rsidR="001F587F" w:rsidRPr="00C1202C" w:rsidRDefault="001F587F" w:rsidP="005B4F9D">
      <w:pPr>
        <w:rPr>
          <w:rFonts w:ascii="Times New Roman" w:hAnsi="Times New Roman"/>
          <w:color w:val="808080" w:themeColor="background1" w:themeShade="80"/>
          <w:sz w:val="18"/>
          <w:szCs w:val="18"/>
        </w:rPr>
      </w:pPr>
      <w:r w:rsidRPr="00C1202C">
        <w:rPr>
          <w:rStyle w:val="EndnoteReference"/>
          <w:rFonts w:ascii="Times New Roman" w:hAnsi="Times New Roman"/>
          <w:color w:val="808080" w:themeColor="background1" w:themeShade="80"/>
          <w:sz w:val="18"/>
          <w:szCs w:val="18"/>
        </w:rPr>
        <w:endnoteRef/>
      </w:r>
      <w:r w:rsidRPr="00C1202C">
        <w:rPr>
          <w:rFonts w:ascii="Times New Roman" w:hAnsi="Times New Roman"/>
          <w:color w:val="808080" w:themeColor="background1" w:themeShade="80"/>
          <w:sz w:val="18"/>
          <w:szCs w:val="18"/>
        </w:rPr>
        <w:t xml:space="preserve"> Human Rights Committee, General Comment No 31: The Nature of the Legal Obligation Imposed on States Parties to the Covenant, UN Doc CCPR/C/21/Rev.1/Add.13 (2004), para. 10.</w:t>
      </w:r>
    </w:p>
  </w:endnote>
  <w:endnote w:id="6">
    <w:p w14:paraId="24A4D0BA" w14:textId="77777777" w:rsidR="001F587F" w:rsidRPr="00C1202C" w:rsidRDefault="001F587F" w:rsidP="005B4F9D">
      <w:pPr>
        <w:pStyle w:val="EndnoteText"/>
        <w:rPr>
          <w:rFonts w:ascii="Times New Roman" w:hAnsi="Times New Roman"/>
          <w:color w:val="808080" w:themeColor="background1" w:themeShade="80"/>
          <w:sz w:val="18"/>
          <w:szCs w:val="18"/>
        </w:rPr>
      </w:pPr>
      <w:r w:rsidRPr="00C1202C">
        <w:rPr>
          <w:rStyle w:val="EndnoteReference"/>
          <w:rFonts w:ascii="Times New Roman" w:hAnsi="Times New Roman"/>
          <w:color w:val="808080" w:themeColor="background1" w:themeShade="80"/>
          <w:sz w:val="18"/>
          <w:szCs w:val="18"/>
        </w:rPr>
        <w:endnoteRef/>
      </w:r>
      <w:r w:rsidRPr="00C1202C">
        <w:rPr>
          <w:rFonts w:ascii="Times New Roman" w:hAnsi="Times New Roman"/>
          <w:color w:val="808080" w:themeColor="background1" w:themeShade="80"/>
          <w:sz w:val="18"/>
          <w:szCs w:val="18"/>
        </w:rPr>
        <w:t xml:space="preserve"> </w:t>
      </w:r>
      <w:r w:rsidRPr="00C1202C">
        <w:rPr>
          <w:rFonts w:ascii="Times New Roman" w:hAnsi="Times New Roman"/>
          <w:i/>
          <w:color w:val="808080" w:themeColor="background1" w:themeShade="80"/>
          <w:sz w:val="18"/>
          <w:szCs w:val="18"/>
        </w:rPr>
        <w:t>Convention Against Torture and Other Cruel, Inhuman or Degrading Treatment or Punishment</w:t>
      </w:r>
      <w:r w:rsidRPr="00C1202C">
        <w:rPr>
          <w:rFonts w:ascii="Times New Roman" w:hAnsi="Times New Roman"/>
          <w:color w:val="808080" w:themeColor="background1" w:themeShade="80"/>
          <w:sz w:val="18"/>
          <w:szCs w:val="18"/>
        </w:rPr>
        <w:t>, 1465 U.N.T.S 85, Article 3.</w:t>
      </w:r>
    </w:p>
  </w:endnote>
  <w:endnote w:id="7">
    <w:p w14:paraId="48ABE8F4" w14:textId="77777777" w:rsidR="001F587F" w:rsidRPr="00C1202C" w:rsidRDefault="001F587F" w:rsidP="005B4F9D">
      <w:pPr>
        <w:pStyle w:val="EndnoteText"/>
        <w:rPr>
          <w:rFonts w:ascii="Times New Roman" w:hAnsi="Times New Roman"/>
          <w:color w:val="808080" w:themeColor="background1" w:themeShade="80"/>
          <w:sz w:val="18"/>
          <w:szCs w:val="18"/>
        </w:rPr>
      </w:pPr>
      <w:r w:rsidRPr="00C1202C">
        <w:rPr>
          <w:rStyle w:val="EndnoteReference"/>
          <w:rFonts w:ascii="Times New Roman" w:hAnsi="Times New Roman"/>
          <w:color w:val="808080" w:themeColor="background1" w:themeShade="80"/>
          <w:sz w:val="18"/>
          <w:szCs w:val="18"/>
        </w:rPr>
        <w:endnoteRef/>
      </w:r>
      <w:r w:rsidRPr="00C1202C">
        <w:rPr>
          <w:rFonts w:ascii="Times New Roman" w:hAnsi="Times New Roman"/>
          <w:color w:val="808080" w:themeColor="background1" w:themeShade="80"/>
          <w:sz w:val="18"/>
          <w:szCs w:val="18"/>
        </w:rPr>
        <w:t xml:space="preserve"> Migrant Working Group (MWG) Annual Report 2014; </w:t>
      </w:r>
      <w:r w:rsidRPr="00C1202C">
        <w:rPr>
          <w:rFonts w:ascii="Times New Roman" w:hAnsi="Times New Roman"/>
          <w:i/>
          <w:iCs/>
          <w:color w:val="808080" w:themeColor="background1" w:themeShade="80"/>
          <w:sz w:val="18"/>
          <w:szCs w:val="18"/>
        </w:rPr>
        <w:t>Op., Cit. Supra note</w:t>
      </w:r>
      <w:r w:rsidRPr="00C1202C">
        <w:rPr>
          <w:rFonts w:ascii="Times New Roman" w:hAnsi="Times New Roman"/>
          <w:color w:val="808080" w:themeColor="background1" w:themeShade="80"/>
          <w:sz w:val="18"/>
          <w:szCs w:val="18"/>
        </w:rPr>
        <w:t xml:space="preserve"> No.</w:t>
      </w:r>
    </w:p>
  </w:endnote>
  <w:endnote w:id="8">
    <w:p w14:paraId="0614BB2D" w14:textId="77777777" w:rsidR="001F587F" w:rsidRPr="00C1202C" w:rsidRDefault="001F587F" w:rsidP="005B4F9D">
      <w:pPr>
        <w:pStyle w:val="EndnoteText"/>
        <w:rPr>
          <w:rFonts w:ascii="Times New Roman" w:hAnsi="Times New Roman"/>
          <w:color w:val="808080" w:themeColor="background1" w:themeShade="80"/>
          <w:sz w:val="18"/>
          <w:szCs w:val="18"/>
        </w:rPr>
      </w:pPr>
      <w:r w:rsidRPr="00C1202C">
        <w:rPr>
          <w:rStyle w:val="EndnoteReference"/>
          <w:rFonts w:ascii="Times New Roman" w:hAnsi="Times New Roman"/>
          <w:color w:val="808080" w:themeColor="background1" w:themeShade="80"/>
          <w:sz w:val="18"/>
          <w:szCs w:val="18"/>
        </w:rPr>
        <w:endnoteRef/>
      </w:r>
      <w:r w:rsidRPr="00C1202C">
        <w:rPr>
          <w:rFonts w:ascii="Times New Roman" w:hAnsi="Times New Roman"/>
          <w:color w:val="808080" w:themeColor="background1" w:themeShade="80"/>
          <w:sz w:val="18"/>
          <w:szCs w:val="18"/>
        </w:rPr>
        <w:t xml:space="preserve"> UNHCR. (2014). </w:t>
      </w:r>
      <w:r w:rsidRPr="00C1202C">
        <w:rPr>
          <w:rFonts w:ascii="Times New Roman" w:hAnsi="Times New Roman"/>
          <w:i/>
          <w:color w:val="808080" w:themeColor="background1" w:themeShade="80"/>
          <w:sz w:val="18"/>
          <w:szCs w:val="18"/>
        </w:rPr>
        <w:t>More than 20,000 people risk all on Indian Ocean to reach safety</w:t>
      </w:r>
      <w:r w:rsidRPr="00C1202C">
        <w:rPr>
          <w:rFonts w:ascii="Times New Roman" w:hAnsi="Times New Roman"/>
          <w:color w:val="808080" w:themeColor="background1" w:themeShade="80"/>
          <w:sz w:val="18"/>
          <w:szCs w:val="18"/>
        </w:rPr>
        <w:t>. UNHCR Report. Retrieved, April 08, 2016, from http://www.unhcr.org/53f741fc9.html</w:t>
      </w:r>
    </w:p>
  </w:endnote>
  <w:endnote w:id="9">
    <w:p w14:paraId="645D5B5A" w14:textId="77777777" w:rsidR="001F587F" w:rsidRPr="00C1202C" w:rsidRDefault="001F587F" w:rsidP="005B4F9D">
      <w:pPr>
        <w:pStyle w:val="EndnoteText"/>
        <w:rPr>
          <w:rFonts w:ascii="Times New Roman" w:hAnsi="Times New Roman"/>
          <w:color w:val="808080" w:themeColor="background1" w:themeShade="80"/>
          <w:sz w:val="18"/>
          <w:szCs w:val="18"/>
        </w:rPr>
      </w:pPr>
      <w:r w:rsidRPr="00C1202C">
        <w:rPr>
          <w:rStyle w:val="EndnoteReference"/>
          <w:rFonts w:ascii="Times New Roman" w:hAnsi="Times New Roman"/>
          <w:color w:val="808080" w:themeColor="background1" w:themeShade="80"/>
          <w:sz w:val="18"/>
          <w:szCs w:val="18"/>
        </w:rPr>
        <w:endnoteRef/>
      </w:r>
      <w:r w:rsidRPr="00C1202C">
        <w:rPr>
          <w:rFonts w:ascii="Times New Roman" w:hAnsi="Times New Roman"/>
          <w:color w:val="808080" w:themeColor="background1" w:themeShade="80"/>
          <w:sz w:val="18"/>
          <w:szCs w:val="18"/>
        </w:rPr>
        <w:t xml:space="preserve"> </w:t>
      </w:r>
      <w:r w:rsidRPr="00C1202C">
        <w:rPr>
          <w:rFonts w:ascii="Times New Roman" w:eastAsia="Arial" w:hAnsi="Times New Roman"/>
          <w:color w:val="808080" w:themeColor="background1" w:themeShade="80"/>
          <w:sz w:val="18"/>
          <w:szCs w:val="18"/>
          <w:lang w:bidi="th-TH"/>
        </w:rPr>
        <w:t xml:space="preserve">Office of Democracy, Human Rights and Labor Rights, </w:t>
      </w:r>
      <w:r w:rsidRPr="00C1202C">
        <w:rPr>
          <w:rFonts w:ascii="Times New Roman" w:eastAsia="Arial" w:hAnsi="Times New Roman"/>
          <w:i/>
          <w:color w:val="808080" w:themeColor="background1" w:themeShade="80"/>
          <w:sz w:val="18"/>
          <w:szCs w:val="18"/>
          <w:lang w:bidi="th-TH"/>
        </w:rPr>
        <w:t>2014 Human Rights Report</w:t>
      </w:r>
      <w:r w:rsidRPr="00C1202C">
        <w:rPr>
          <w:rFonts w:ascii="Times New Roman" w:eastAsia="Arial" w:hAnsi="Times New Roman"/>
          <w:color w:val="808080" w:themeColor="background1" w:themeShade="80"/>
          <w:sz w:val="18"/>
          <w:szCs w:val="18"/>
          <w:lang w:bidi="th-TH"/>
        </w:rPr>
        <w:t>,</w:t>
      </w:r>
      <w:r w:rsidRPr="00C1202C">
        <w:rPr>
          <w:rFonts w:ascii="Times New Roman" w:eastAsia="Arial" w:hAnsi="Times New Roman"/>
          <w:i/>
          <w:color w:val="808080" w:themeColor="background1" w:themeShade="80"/>
          <w:sz w:val="18"/>
          <w:szCs w:val="18"/>
          <w:lang w:bidi="th-TH"/>
        </w:rPr>
        <w:t xml:space="preserve"> Thailand</w:t>
      </w:r>
      <w:r w:rsidRPr="00C1202C">
        <w:rPr>
          <w:rFonts w:ascii="Times New Roman" w:eastAsia="Arial" w:hAnsi="Times New Roman"/>
          <w:color w:val="808080" w:themeColor="background1" w:themeShade="80"/>
          <w:sz w:val="18"/>
          <w:szCs w:val="18"/>
          <w:lang w:bidi="th-TH"/>
        </w:rPr>
        <w:t xml:space="preserve">, </w:t>
      </w:r>
      <w:hyperlink r:id="rId2" w:anchor="wrapper" w:history="1">
        <w:r w:rsidRPr="00C1202C">
          <w:rPr>
            <w:rStyle w:val="Hyperlink"/>
            <w:rFonts w:ascii="Times New Roman" w:eastAsia="Arial" w:hAnsi="Times New Roman"/>
            <w:color w:val="808080" w:themeColor="background1" w:themeShade="80"/>
            <w:sz w:val="18"/>
            <w:szCs w:val="18"/>
            <w:lang w:bidi="th-TH"/>
          </w:rPr>
          <w:t>http://www.state.gov/j/drl/rls/hrrpt/humanrightsreport/index.htm#wrapper</w:t>
        </w:r>
      </w:hyperlink>
      <w:r w:rsidRPr="00C1202C">
        <w:rPr>
          <w:rFonts w:ascii="Times New Roman" w:eastAsia="Arial" w:hAnsi="Times New Roman"/>
          <w:color w:val="808080" w:themeColor="background1" w:themeShade="80"/>
          <w:sz w:val="18"/>
          <w:szCs w:val="18"/>
          <w:lang w:bidi="th-TH"/>
        </w:rPr>
        <w:t xml:space="preserve">. </w:t>
      </w:r>
    </w:p>
  </w:endnote>
  <w:endnote w:id="10">
    <w:p w14:paraId="6C8679C3" w14:textId="77777777" w:rsidR="001F587F" w:rsidRPr="00C1202C" w:rsidRDefault="001F587F" w:rsidP="005B4F9D">
      <w:pPr>
        <w:pStyle w:val="EndnoteText"/>
        <w:rPr>
          <w:rFonts w:ascii="Times New Roman" w:hAnsi="Times New Roman"/>
          <w:color w:val="808080" w:themeColor="background1" w:themeShade="80"/>
          <w:sz w:val="18"/>
          <w:szCs w:val="18"/>
        </w:rPr>
      </w:pPr>
      <w:r w:rsidRPr="00C1202C">
        <w:rPr>
          <w:rStyle w:val="EndnoteReference"/>
          <w:rFonts w:ascii="Times New Roman" w:hAnsi="Times New Roman"/>
          <w:color w:val="808080" w:themeColor="background1" w:themeShade="80"/>
          <w:sz w:val="18"/>
          <w:szCs w:val="18"/>
        </w:rPr>
        <w:endnoteRef/>
      </w:r>
      <w:r w:rsidRPr="00C1202C">
        <w:rPr>
          <w:rFonts w:ascii="Times New Roman" w:hAnsi="Times New Roman"/>
          <w:color w:val="808080" w:themeColor="background1" w:themeShade="80"/>
          <w:sz w:val="18"/>
          <w:szCs w:val="18"/>
        </w:rPr>
        <w:t xml:space="preserve"> BBC. (2014, February 13). </w:t>
      </w:r>
      <w:r w:rsidRPr="00C1202C">
        <w:rPr>
          <w:rFonts w:ascii="Times New Roman" w:hAnsi="Times New Roman"/>
          <w:i/>
          <w:color w:val="808080" w:themeColor="background1" w:themeShade="80"/>
          <w:sz w:val="18"/>
          <w:szCs w:val="18"/>
        </w:rPr>
        <w:t>Thailand Sends Rohingya Muslims Back to Burma</w:t>
      </w:r>
      <w:r w:rsidRPr="00C1202C">
        <w:rPr>
          <w:rFonts w:ascii="Times New Roman" w:hAnsi="Times New Roman"/>
          <w:color w:val="808080" w:themeColor="background1" w:themeShade="80"/>
          <w:sz w:val="18"/>
          <w:szCs w:val="18"/>
        </w:rPr>
        <w:t>. BBC News. Retrieved April 08, 2016, from http://www.bbc.com/news/world-asia-26167676</w:t>
      </w:r>
    </w:p>
  </w:endnote>
  <w:endnote w:id="11">
    <w:p w14:paraId="7DFA2785" w14:textId="77777777" w:rsidR="001F587F" w:rsidRPr="00C1202C" w:rsidRDefault="001F587F" w:rsidP="005B4F9D">
      <w:pPr>
        <w:pStyle w:val="EndnoteText"/>
        <w:rPr>
          <w:rFonts w:ascii="Times New Roman" w:hAnsi="Times New Roman"/>
          <w:color w:val="808080" w:themeColor="background1" w:themeShade="80"/>
          <w:sz w:val="18"/>
          <w:szCs w:val="18"/>
        </w:rPr>
      </w:pPr>
      <w:r w:rsidRPr="00C1202C">
        <w:rPr>
          <w:rStyle w:val="EndnoteReference"/>
          <w:rFonts w:ascii="Times New Roman" w:hAnsi="Times New Roman"/>
          <w:color w:val="808080" w:themeColor="background1" w:themeShade="80"/>
          <w:sz w:val="18"/>
          <w:szCs w:val="18"/>
        </w:rPr>
        <w:endnoteRef/>
      </w:r>
      <w:r w:rsidRPr="00C1202C">
        <w:rPr>
          <w:rFonts w:ascii="Times New Roman" w:hAnsi="Times New Roman"/>
          <w:color w:val="808080" w:themeColor="background1" w:themeShade="80"/>
          <w:sz w:val="18"/>
          <w:szCs w:val="18"/>
        </w:rPr>
        <w:t xml:space="preserve"> The Guardian. (2015, May 14). </w:t>
      </w:r>
      <w:r w:rsidRPr="00C1202C">
        <w:rPr>
          <w:rFonts w:ascii="Times New Roman" w:hAnsi="Times New Roman"/>
          <w:i/>
          <w:color w:val="808080" w:themeColor="background1" w:themeShade="80"/>
          <w:sz w:val="18"/>
          <w:szCs w:val="18"/>
        </w:rPr>
        <w:t xml:space="preserve">Malaysia and Thailand turn away hundreds on migrant boats – </w:t>
      </w:r>
      <w:r w:rsidRPr="00C1202C">
        <w:rPr>
          <w:rFonts w:ascii="Times New Roman" w:hAnsi="Times New Roman"/>
          <w:color w:val="808080" w:themeColor="background1" w:themeShade="80"/>
          <w:sz w:val="18"/>
          <w:szCs w:val="18"/>
        </w:rPr>
        <w:t>The Guardian News. Retrived April 08, 2016, from http://www.theguardian.com/world/2015/may/14/malaysia-turns-back-migrant-boat-with-more-than-500-aboard</w:t>
      </w:r>
    </w:p>
  </w:endnote>
  <w:endnote w:id="12">
    <w:p w14:paraId="00CB18EC" w14:textId="77777777" w:rsidR="001F587F" w:rsidRPr="00C1202C" w:rsidRDefault="001F587F" w:rsidP="005B4F9D">
      <w:pPr>
        <w:pStyle w:val="EndnoteText"/>
        <w:rPr>
          <w:rFonts w:ascii="Times New Roman" w:hAnsi="Times New Roman"/>
          <w:color w:val="808080" w:themeColor="background1" w:themeShade="80"/>
          <w:sz w:val="18"/>
          <w:szCs w:val="18"/>
        </w:rPr>
      </w:pPr>
      <w:r w:rsidRPr="00C1202C">
        <w:rPr>
          <w:rStyle w:val="EndnoteReference"/>
          <w:rFonts w:ascii="Times New Roman" w:hAnsi="Times New Roman"/>
          <w:color w:val="808080" w:themeColor="background1" w:themeShade="80"/>
          <w:sz w:val="18"/>
          <w:szCs w:val="18"/>
        </w:rPr>
        <w:endnoteRef/>
      </w:r>
      <w:r w:rsidRPr="00C1202C">
        <w:rPr>
          <w:rFonts w:ascii="Times New Roman" w:hAnsi="Times New Roman"/>
          <w:color w:val="808080" w:themeColor="background1" w:themeShade="80"/>
          <w:sz w:val="18"/>
          <w:szCs w:val="18"/>
        </w:rPr>
        <w:t xml:space="preserve"> Putz, Catherine. (2015, July 11). </w:t>
      </w:r>
      <w:r w:rsidRPr="00C1202C">
        <w:rPr>
          <w:rFonts w:ascii="Times New Roman" w:hAnsi="Times New Roman"/>
          <w:i/>
          <w:color w:val="808080" w:themeColor="background1" w:themeShade="80"/>
          <w:sz w:val="18"/>
          <w:szCs w:val="18"/>
        </w:rPr>
        <w:t xml:space="preserve">Thailand Deports 100 Uyghurs to China. </w:t>
      </w:r>
      <w:r w:rsidRPr="00C1202C">
        <w:rPr>
          <w:rFonts w:ascii="Times New Roman" w:hAnsi="Times New Roman"/>
          <w:color w:val="808080" w:themeColor="background1" w:themeShade="80"/>
          <w:sz w:val="18"/>
          <w:szCs w:val="18"/>
        </w:rPr>
        <w:t>The Diplomat. Retrieved April 08, 2016, from http://thediplomat.com/2015/07/thailand-deports-100-uyghurs-to-china.</w:t>
      </w:r>
    </w:p>
  </w:endnote>
  <w:endnote w:id="13">
    <w:p w14:paraId="0A87D61A" w14:textId="77777777" w:rsidR="001F587F" w:rsidRPr="00C1202C" w:rsidRDefault="001F587F" w:rsidP="005B4F9D">
      <w:pPr>
        <w:pStyle w:val="EndnoteText"/>
        <w:rPr>
          <w:rFonts w:ascii="Times New Roman" w:hAnsi="Times New Roman"/>
          <w:color w:val="808080" w:themeColor="background1" w:themeShade="80"/>
          <w:sz w:val="18"/>
          <w:szCs w:val="18"/>
        </w:rPr>
      </w:pPr>
      <w:r w:rsidRPr="00C1202C">
        <w:rPr>
          <w:rStyle w:val="EndnoteReference"/>
          <w:rFonts w:ascii="Times New Roman" w:hAnsi="Times New Roman"/>
          <w:color w:val="808080" w:themeColor="background1" w:themeShade="80"/>
          <w:sz w:val="18"/>
          <w:szCs w:val="18"/>
        </w:rPr>
        <w:endnoteRef/>
      </w:r>
      <w:r w:rsidRPr="00C1202C">
        <w:rPr>
          <w:rFonts w:ascii="Times New Roman" w:hAnsi="Times New Roman"/>
          <w:color w:val="808080" w:themeColor="background1" w:themeShade="80"/>
          <w:sz w:val="18"/>
          <w:szCs w:val="18"/>
        </w:rPr>
        <w:t xml:space="preserve"> US Department of Sate. (2015). </w:t>
      </w:r>
      <w:r w:rsidRPr="00C1202C">
        <w:rPr>
          <w:rFonts w:ascii="Times New Roman" w:hAnsi="Times New Roman"/>
          <w:i/>
          <w:color w:val="808080" w:themeColor="background1" w:themeShade="80"/>
          <w:sz w:val="18"/>
          <w:szCs w:val="18"/>
        </w:rPr>
        <w:t xml:space="preserve">U.S. Condemns Forced Deportation of Ethnic Uighurs in Thailand to China </w:t>
      </w:r>
      <w:r w:rsidRPr="00C1202C">
        <w:rPr>
          <w:rFonts w:ascii="Times New Roman" w:hAnsi="Times New Roman"/>
          <w:color w:val="808080" w:themeColor="background1" w:themeShade="80"/>
          <w:sz w:val="18"/>
          <w:szCs w:val="18"/>
        </w:rPr>
        <w:t>[Pressed Release]</w:t>
      </w:r>
      <w:r w:rsidRPr="00C1202C">
        <w:rPr>
          <w:rFonts w:ascii="Times New Roman" w:hAnsi="Times New Roman"/>
          <w:i/>
          <w:color w:val="808080" w:themeColor="background1" w:themeShade="80"/>
          <w:sz w:val="18"/>
          <w:szCs w:val="18"/>
        </w:rPr>
        <w:t>.</w:t>
      </w:r>
      <w:r w:rsidRPr="00C1202C">
        <w:rPr>
          <w:rFonts w:ascii="Times New Roman" w:hAnsi="Times New Roman"/>
          <w:color w:val="808080" w:themeColor="background1" w:themeShade="80"/>
          <w:sz w:val="18"/>
          <w:szCs w:val="18"/>
        </w:rPr>
        <w:t xml:space="preserve"> Retrieved from http://www.state.gov/r/pa/prs/ps/2015/07/244754.htm</w:t>
      </w:r>
    </w:p>
  </w:endnote>
  <w:endnote w:id="14">
    <w:p w14:paraId="182D580D" w14:textId="77777777" w:rsidR="001F587F" w:rsidRPr="00C1202C" w:rsidRDefault="001F587F" w:rsidP="005B4F9D">
      <w:pPr>
        <w:rPr>
          <w:rFonts w:ascii="Times New Roman" w:hAnsi="Times New Roman"/>
          <w:color w:val="808080" w:themeColor="background1" w:themeShade="80"/>
          <w:sz w:val="18"/>
          <w:szCs w:val="18"/>
          <w:shd w:val="clear" w:color="auto" w:fill="FFFFFF"/>
        </w:rPr>
      </w:pPr>
      <w:r w:rsidRPr="00C1202C">
        <w:rPr>
          <w:rStyle w:val="EndnoteReference"/>
          <w:rFonts w:ascii="Times New Roman" w:hAnsi="Times New Roman"/>
          <w:color w:val="808080" w:themeColor="background1" w:themeShade="80"/>
          <w:sz w:val="18"/>
          <w:szCs w:val="18"/>
        </w:rPr>
        <w:endnoteRef/>
      </w:r>
      <w:r w:rsidRPr="00C1202C">
        <w:rPr>
          <w:rFonts w:ascii="Times New Roman" w:hAnsi="Times New Roman"/>
          <w:color w:val="808080" w:themeColor="background1" w:themeShade="80"/>
          <w:sz w:val="18"/>
          <w:szCs w:val="18"/>
        </w:rPr>
        <w:t xml:space="preserve"> </w:t>
      </w:r>
      <w:r w:rsidRPr="00C1202C">
        <w:rPr>
          <w:rFonts w:ascii="Times New Roman" w:hAnsi="Times New Roman"/>
          <w:color w:val="808080" w:themeColor="background1" w:themeShade="80"/>
          <w:sz w:val="18"/>
          <w:szCs w:val="18"/>
          <w:shd w:val="clear" w:color="auto" w:fill="FFFFFF"/>
        </w:rPr>
        <w:t>The Cambodia Daily. (2015).</w:t>
      </w:r>
      <w:r w:rsidRPr="00C1202C">
        <w:rPr>
          <w:rFonts w:ascii="Times New Roman" w:hAnsi="Times New Roman"/>
          <w:i/>
          <w:iCs/>
          <w:color w:val="808080" w:themeColor="background1" w:themeShade="80"/>
          <w:sz w:val="18"/>
          <w:szCs w:val="18"/>
          <w:shd w:val="clear" w:color="auto" w:fill="FFFFFF"/>
        </w:rPr>
        <w:t xml:space="preserve"> KNLF Group Claim Confessions Came By Torture. </w:t>
      </w:r>
      <w:r w:rsidRPr="00C1202C">
        <w:rPr>
          <w:rFonts w:ascii="Times New Roman" w:hAnsi="Times New Roman"/>
          <w:color w:val="808080" w:themeColor="background1" w:themeShade="80"/>
          <w:sz w:val="18"/>
          <w:szCs w:val="18"/>
          <w:shd w:val="clear" w:color="auto" w:fill="FFFFFF"/>
        </w:rPr>
        <w:t>Retrieved April 08, 2016, from </w:t>
      </w:r>
      <w:r w:rsidRPr="00C1202C">
        <w:rPr>
          <w:rFonts w:ascii="Times New Roman" w:hAnsi="Times New Roman"/>
          <w:i/>
          <w:iCs/>
          <w:color w:val="808080" w:themeColor="background1" w:themeShade="80"/>
          <w:sz w:val="18"/>
          <w:szCs w:val="18"/>
          <w:shd w:val="clear" w:color="auto" w:fill="FFFFFF"/>
        </w:rPr>
        <w:t> </w:t>
      </w:r>
      <w:r w:rsidRPr="00C1202C">
        <w:rPr>
          <w:rFonts w:ascii="Times New Roman" w:hAnsi="Times New Roman"/>
          <w:color w:val="808080" w:themeColor="background1" w:themeShade="80"/>
          <w:sz w:val="18"/>
          <w:szCs w:val="18"/>
          <w:shd w:val="clear" w:color="auto" w:fill="FFFFFF"/>
        </w:rPr>
        <w:fldChar w:fldCharType="begin"/>
      </w:r>
      <w:r w:rsidRPr="00C1202C">
        <w:rPr>
          <w:rFonts w:ascii="Times New Roman" w:hAnsi="Times New Roman"/>
          <w:color w:val="808080" w:themeColor="background1" w:themeShade="80"/>
          <w:sz w:val="18"/>
          <w:szCs w:val="18"/>
          <w:shd w:val="clear" w:color="auto" w:fill="FFFFFF"/>
        </w:rPr>
        <w:instrText xml:space="preserve"> HYPERLINK "https://www.cambodiadaily.com/archives/knlf-group-claim-confessions-came-by-torture-82799/" \t "_blank" </w:instrText>
      </w:r>
      <w:r w:rsidRPr="00C1202C">
        <w:rPr>
          <w:rFonts w:ascii="Times New Roman" w:hAnsi="Times New Roman"/>
          <w:color w:val="808080" w:themeColor="background1" w:themeShade="80"/>
          <w:sz w:val="18"/>
          <w:szCs w:val="18"/>
          <w:shd w:val="clear" w:color="auto" w:fill="FFFFFF"/>
        </w:rPr>
        <w:fldChar w:fldCharType="separate"/>
      </w:r>
      <w:r w:rsidRPr="00C1202C">
        <w:rPr>
          <w:rStyle w:val="Hyperlink"/>
          <w:rFonts w:ascii="Times New Roman" w:hAnsi="Times New Roman"/>
          <w:i/>
          <w:iCs/>
          <w:color w:val="808080" w:themeColor="background1" w:themeShade="80"/>
          <w:sz w:val="18"/>
          <w:szCs w:val="18"/>
          <w:shd w:val="clear" w:color="auto" w:fill="FFFFFF"/>
        </w:rPr>
        <w:t>https://www.cambodiadaily.com/archives/knlf-group-claim-confessions-came-by-torture-82799/</w:t>
      </w:r>
      <w:r w:rsidRPr="00C1202C">
        <w:rPr>
          <w:rFonts w:ascii="Times New Roman" w:hAnsi="Times New Roman"/>
          <w:color w:val="808080" w:themeColor="background1" w:themeShade="80"/>
          <w:sz w:val="18"/>
          <w:szCs w:val="18"/>
          <w:shd w:val="clear" w:color="auto" w:fill="FFFFFF"/>
        </w:rPr>
        <w:fldChar w:fldCharType="end"/>
      </w:r>
      <w:r w:rsidRPr="00C1202C">
        <w:rPr>
          <w:rFonts w:ascii="Times New Roman" w:hAnsi="Times New Roman"/>
          <w:color w:val="808080" w:themeColor="background1" w:themeShade="80"/>
          <w:sz w:val="18"/>
          <w:szCs w:val="18"/>
          <w:shd w:val="clear" w:color="auto" w:fill="FFFFFF"/>
        </w:rPr>
        <w:t>.</w:t>
      </w:r>
    </w:p>
  </w:endnote>
  <w:endnote w:id="15">
    <w:p w14:paraId="1E9796F8" w14:textId="77777777" w:rsidR="001F587F" w:rsidRPr="00C1202C" w:rsidRDefault="001F587F" w:rsidP="005B4F9D">
      <w:pPr>
        <w:rPr>
          <w:rFonts w:ascii="Times New Roman" w:hAnsi="Times New Roman"/>
          <w:color w:val="808080" w:themeColor="background1" w:themeShade="80"/>
          <w:sz w:val="18"/>
          <w:szCs w:val="18"/>
          <w:shd w:val="clear" w:color="auto" w:fill="FFFFFF"/>
        </w:rPr>
      </w:pPr>
      <w:r w:rsidRPr="00C1202C">
        <w:rPr>
          <w:rStyle w:val="EndnoteReference"/>
          <w:rFonts w:ascii="Times New Roman" w:hAnsi="Times New Roman"/>
          <w:color w:val="808080" w:themeColor="background1" w:themeShade="80"/>
          <w:sz w:val="18"/>
          <w:szCs w:val="18"/>
        </w:rPr>
        <w:endnoteRef/>
      </w:r>
      <w:r w:rsidRPr="00C1202C">
        <w:rPr>
          <w:rFonts w:ascii="Times New Roman" w:hAnsi="Times New Roman"/>
          <w:color w:val="808080" w:themeColor="background1" w:themeShade="80"/>
          <w:sz w:val="18"/>
          <w:szCs w:val="18"/>
        </w:rPr>
        <w:t xml:space="preserve"> </w:t>
      </w:r>
      <w:r w:rsidRPr="00C1202C">
        <w:rPr>
          <w:rFonts w:ascii="Times New Roman" w:hAnsi="Times New Roman"/>
          <w:color w:val="808080" w:themeColor="background1" w:themeShade="80"/>
          <w:sz w:val="18"/>
          <w:szCs w:val="18"/>
          <w:shd w:val="clear" w:color="auto" w:fill="FFFFFF"/>
        </w:rPr>
        <w:t>The Guardian. (2009 December, 28). </w:t>
      </w:r>
      <w:r w:rsidRPr="00C1202C">
        <w:rPr>
          <w:rFonts w:ascii="Times New Roman" w:hAnsi="Times New Roman"/>
          <w:i/>
          <w:iCs/>
          <w:color w:val="808080" w:themeColor="background1" w:themeShade="80"/>
          <w:sz w:val="18"/>
          <w:szCs w:val="18"/>
          <w:shd w:val="clear" w:color="auto" w:fill="FFFFFF"/>
        </w:rPr>
        <w:t xml:space="preserve">Thailand begins deportation of more than 4,000 Hmong asylum seekers. </w:t>
      </w:r>
      <w:r w:rsidRPr="00C1202C">
        <w:rPr>
          <w:rFonts w:ascii="Times New Roman" w:hAnsi="Times New Roman"/>
          <w:color w:val="808080" w:themeColor="background1" w:themeShade="80"/>
          <w:sz w:val="18"/>
          <w:szCs w:val="18"/>
          <w:shd w:val="clear" w:color="auto" w:fill="FFFFFF"/>
        </w:rPr>
        <w:t xml:space="preserve">Retrieved April 08, 2016, </w:t>
      </w:r>
      <w:r w:rsidRPr="00C1202C">
        <w:rPr>
          <w:rFonts w:ascii="Times New Roman" w:hAnsi="Times New Roman"/>
          <w:i/>
          <w:iCs/>
          <w:color w:val="808080" w:themeColor="background1" w:themeShade="80"/>
          <w:sz w:val="18"/>
          <w:szCs w:val="18"/>
          <w:shd w:val="clear" w:color="auto" w:fill="FFFFFF"/>
        </w:rPr>
        <w:t>from </w:t>
      </w:r>
      <w:r w:rsidRPr="00C1202C">
        <w:rPr>
          <w:rFonts w:ascii="Times New Roman" w:hAnsi="Times New Roman"/>
          <w:color w:val="808080" w:themeColor="background1" w:themeShade="80"/>
          <w:sz w:val="18"/>
          <w:szCs w:val="18"/>
          <w:shd w:val="clear" w:color="auto" w:fill="FFFFFF"/>
        </w:rPr>
        <w:fldChar w:fldCharType="begin"/>
      </w:r>
      <w:r w:rsidRPr="00C1202C">
        <w:rPr>
          <w:rFonts w:ascii="Times New Roman" w:hAnsi="Times New Roman"/>
          <w:color w:val="808080" w:themeColor="background1" w:themeShade="80"/>
          <w:sz w:val="18"/>
          <w:szCs w:val="18"/>
          <w:shd w:val="clear" w:color="auto" w:fill="FFFFFF"/>
        </w:rPr>
        <w:instrText xml:space="preserve"> HYPERLINK "http://www.theguardian.com/world/2009/dec/28/thailand-deportation-hmong-laos" \t "_blank" </w:instrText>
      </w:r>
      <w:r w:rsidRPr="00C1202C">
        <w:rPr>
          <w:rFonts w:ascii="Times New Roman" w:hAnsi="Times New Roman"/>
          <w:color w:val="808080" w:themeColor="background1" w:themeShade="80"/>
          <w:sz w:val="18"/>
          <w:szCs w:val="18"/>
          <w:shd w:val="clear" w:color="auto" w:fill="FFFFFF"/>
        </w:rPr>
        <w:fldChar w:fldCharType="separate"/>
      </w:r>
      <w:r w:rsidRPr="00C1202C">
        <w:rPr>
          <w:rStyle w:val="Hyperlink"/>
          <w:rFonts w:ascii="Times New Roman" w:hAnsi="Times New Roman"/>
          <w:i/>
          <w:iCs/>
          <w:color w:val="808080" w:themeColor="background1" w:themeShade="80"/>
          <w:sz w:val="18"/>
          <w:szCs w:val="18"/>
          <w:shd w:val="clear" w:color="auto" w:fill="FFFFFF"/>
        </w:rPr>
        <w:t>http://www.theguardian.com/world/2009/dec/28/thailand-deportation-hmong-laos</w:t>
      </w:r>
      <w:r w:rsidRPr="00C1202C">
        <w:rPr>
          <w:rFonts w:ascii="Times New Roman" w:hAnsi="Times New Roman"/>
          <w:color w:val="808080" w:themeColor="background1" w:themeShade="80"/>
          <w:sz w:val="18"/>
          <w:szCs w:val="18"/>
          <w:shd w:val="clear" w:color="auto" w:fill="FFFFFF"/>
        </w:rPr>
        <w:fldChar w:fldCharType="end"/>
      </w:r>
      <w:r w:rsidRPr="00C1202C">
        <w:rPr>
          <w:rFonts w:ascii="Times New Roman" w:hAnsi="Times New Roman"/>
          <w:color w:val="808080" w:themeColor="background1" w:themeShade="80"/>
          <w:sz w:val="18"/>
          <w:szCs w:val="18"/>
          <w:shd w:val="clear" w:color="auto" w:fill="FFFFFF"/>
        </w:rPr>
        <w:t>.</w:t>
      </w:r>
    </w:p>
  </w:endnote>
  <w:endnote w:id="16">
    <w:p w14:paraId="2EEEBDA4" w14:textId="77777777" w:rsidR="001F587F" w:rsidRPr="00C1202C" w:rsidRDefault="001F587F" w:rsidP="009A1FED">
      <w:pPr>
        <w:autoSpaceDE w:val="0"/>
        <w:autoSpaceDN w:val="0"/>
        <w:adjustRightInd w:val="0"/>
        <w:rPr>
          <w:rFonts w:ascii="Times New Roman" w:hAnsi="Times New Roman"/>
          <w:bCs/>
          <w:color w:val="808080" w:themeColor="background1" w:themeShade="80"/>
          <w:sz w:val="18"/>
          <w:szCs w:val="18"/>
        </w:rPr>
      </w:pPr>
      <w:r w:rsidRPr="00C1202C">
        <w:rPr>
          <w:rStyle w:val="EndnoteReference"/>
          <w:rFonts w:ascii="Times New Roman" w:hAnsi="Times New Roman"/>
          <w:color w:val="808080" w:themeColor="background1" w:themeShade="80"/>
          <w:sz w:val="18"/>
          <w:szCs w:val="18"/>
        </w:rPr>
        <w:endnoteRef/>
      </w:r>
      <w:r w:rsidRPr="00C1202C">
        <w:rPr>
          <w:rFonts w:ascii="Times New Roman" w:hAnsi="Times New Roman"/>
          <w:color w:val="808080" w:themeColor="background1" w:themeShade="80"/>
          <w:sz w:val="18"/>
          <w:szCs w:val="18"/>
        </w:rPr>
        <w:t xml:space="preserve"> Human Rights Committee, </w:t>
      </w:r>
      <w:r w:rsidRPr="00C1202C">
        <w:rPr>
          <w:rFonts w:ascii="Times New Roman" w:hAnsi="Times New Roman"/>
          <w:bCs/>
          <w:color w:val="808080" w:themeColor="background1" w:themeShade="80"/>
          <w:sz w:val="18"/>
          <w:szCs w:val="18"/>
        </w:rPr>
        <w:t xml:space="preserve">Concluding observations of the Human Rights Committee: Thailand, </w:t>
      </w:r>
      <w:r w:rsidRPr="00C1202C">
        <w:rPr>
          <w:rFonts w:ascii="Times New Roman" w:hAnsi="Times New Roman"/>
          <w:color w:val="808080" w:themeColor="background1" w:themeShade="80"/>
          <w:sz w:val="18"/>
          <w:szCs w:val="18"/>
        </w:rPr>
        <w:t>CCPR/CO/84/THA, 8 July 2005, para. 17.</w:t>
      </w:r>
    </w:p>
  </w:endnote>
  <w:endnote w:id="17">
    <w:p w14:paraId="17EE1479" w14:textId="77777777" w:rsidR="001F587F" w:rsidRPr="00C1202C" w:rsidRDefault="001F587F" w:rsidP="009A1FED">
      <w:pPr>
        <w:pStyle w:val="EndnoteText"/>
        <w:rPr>
          <w:rFonts w:ascii="Times New Roman" w:hAnsi="Times New Roman"/>
          <w:color w:val="808080" w:themeColor="background1" w:themeShade="80"/>
          <w:sz w:val="18"/>
          <w:szCs w:val="18"/>
        </w:rPr>
      </w:pPr>
      <w:r w:rsidRPr="00C1202C">
        <w:rPr>
          <w:rStyle w:val="EndnoteReference"/>
          <w:rFonts w:ascii="Times New Roman" w:hAnsi="Times New Roman"/>
          <w:color w:val="808080" w:themeColor="background1" w:themeShade="80"/>
          <w:sz w:val="18"/>
          <w:szCs w:val="18"/>
        </w:rPr>
        <w:endnoteRef/>
      </w:r>
      <w:r w:rsidRPr="00C1202C">
        <w:rPr>
          <w:rFonts w:ascii="Times New Roman" w:hAnsi="Times New Roman"/>
          <w:color w:val="808080" w:themeColor="background1" w:themeShade="80"/>
          <w:sz w:val="18"/>
          <w:szCs w:val="18"/>
        </w:rPr>
        <w:t xml:space="preserve"> Committee against Torture, Initial reports of States parties due in 2008, Thailand, CAT/C/THA/1, 9 July 2013, paras 74-75.</w:t>
      </w:r>
    </w:p>
  </w:endnote>
  <w:endnote w:id="18">
    <w:p w14:paraId="23941BE8" w14:textId="77777777" w:rsidR="001F587F" w:rsidRPr="00C1202C" w:rsidRDefault="001F587F" w:rsidP="009A1FED">
      <w:pPr>
        <w:pStyle w:val="EndnoteText"/>
        <w:rPr>
          <w:rFonts w:ascii="Times New Roman" w:hAnsi="Times New Roman"/>
          <w:color w:val="808080" w:themeColor="background1" w:themeShade="80"/>
          <w:sz w:val="18"/>
          <w:szCs w:val="18"/>
        </w:rPr>
      </w:pPr>
      <w:r w:rsidRPr="00C1202C">
        <w:rPr>
          <w:rStyle w:val="EndnoteReference"/>
          <w:rFonts w:ascii="Times New Roman" w:hAnsi="Times New Roman"/>
          <w:color w:val="808080" w:themeColor="background1" w:themeShade="80"/>
          <w:sz w:val="18"/>
          <w:szCs w:val="18"/>
        </w:rPr>
        <w:endnoteRef/>
      </w:r>
      <w:r w:rsidRPr="00C1202C">
        <w:rPr>
          <w:rFonts w:ascii="Times New Roman" w:hAnsi="Times New Roman"/>
          <w:color w:val="808080" w:themeColor="background1" w:themeShade="80"/>
          <w:sz w:val="18"/>
          <w:szCs w:val="18"/>
        </w:rPr>
        <w:t xml:space="preserve"> Committee against Torture, </w:t>
      </w:r>
      <w:r w:rsidRPr="00C1202C">
        <w:rPr>
          <w:rFonts w:ascii="Times New Roman" w:hAnsi="Times New Roman"/>
          <w:bCs/>
          <w:color w:val="808080" w:themeColor="background1" w:themeShade="80"/>
          <w:sz w:val="18"/>
          <w:szCs w:val="18"/>
        </w:rPr>
        <w:t xml:space="preserve">Concluding observations on the initial report of Thailand, </w:t>
      </w:r>
      <w:r w:rsidRPr="00C1202C">
        <w:rPr>
          <w:rFonts w:ascii="Times New Roman" w:hAnsi="Times New Roman"/>
          <w:color w:val="808080" w:themeColor="background1" w:themeShade="80"/>
          <w:sz w:val="18"/>
          <w:szCs w:val="18"/>
        </w:rPr>
        <w:t xml:space="preserve">CAT/C/THA/CO/1, 20 June 2014. </w:t>
      </w:r>
    </w:p>
  </w:endnote>
  <w:endnote w:id="19">
    <w:p w14:paraId="1604C979" w14:textId="77777777" w:rsidR="001F587F" w:rsidRPr="00C1202C" w:rsidRDefault="001F587F" w:rsidP="002F3469">
      <w:pPr>
        <w:pStyle w:val="EndnoteText"/>
        <w:rPr>
          <w:rFonts w:ascii="Times New Roman" w:hAnsi="Times New Roman"/>
          <w:color w:val="808080" w:themeColor="background1" w:themeShade="80"/>
          <w:sz w:val="18"/>
          <w:szCs w:val="18"/>
        </w:rPr>
      </w:pPr>
      <w:r w:rsidRPr="00C1202C">
        <w:rPr>
          <w:rStyle w:val="EndnoteReference"/>
          <w:rFonts w:ascii="Times New Roman" w:hAnsi="Times New Roman"/>
          <w:color w:val="808080" w:themeColor="background1" w:themeShade="80"/>
          <w:sz w:val="18"/>
          <w:szCs w:val="18"/>
        </w:rPr>
        <w:endnoteRef/>
      </w:r>
      <w:r w:rsidRPr="00C1202C">
        <w:rPr>
          <w:rFonts w:ascii="Times New Roman" w:hAnsi="Times New Roman"/>
          <w:color w:val="808080" w:themeColor="background1" w:themeShade="80"/>
          <w:sz w:val="18"/>
          <w:szCs w:val="18"/>
        </w:rPr>
        <w:t xml:space="preserve"> Human Rights Committee, </w:t>
      </w:r>
      <w:r w:rsidRPr="00C1202C">
        <w:rPr>
          <w:rFonts w:ascii="Times New Roman" w:hAnsi="Times New Roman"/>
          <w:i/>
          <w:iCs/>
          <w:color w:val="808080" w:themeColor="background1" w:themeShade="80"/>
          <w:sz w:val="18"/>
          <w:szCs w:val="18"/>
        </w:rPr>
        <w:t>General comment no. 35, Article 9 (Liberty and security of person)</w:t>
      </w:r>
      <w:r w:rsidRPr="00C1202C">
        <w:rPr>
          <w:rFonts w:ascii="Times New Roman" w:hAnsi="Times New Roman"/>
          <w:color w:val="808080" w:themeColor="background1" w:themeShade="80"/>
          <w:sz w:val="18"/>
          <w:szCs w:val="18"/>
        </w:rPr>
        <w:t>, 16 December 2014, CCPR/C/GC/35, para. 18.</w:t>
      </w:r>
    </w:p>
  </w:endnote>
  <w:endnote w:id="20">
    <w:p w14:paraId="50B1D50A" w14:textId="77777777" w:rsidR="001F587F" w:rsidRPr="00C1202C" w:rsidRDefault="001F587F" w:rsidP="002F3469">
      <w:pPr>
        <w:pStyle w:val="EndnoteText"/>
        <w:rPr>
          <w:rFonts w:ascii="Times New Roman" w:hAnsi="Times New Roman"/>
          <w:color w:val="808080" w:themeColor="background1" w:themeShade="80"/>
          <w:sz w:val="18"/>
          <w:szCs w:val="18"/>
        </w:rPr>
      </w:pPr>
      <w:r w:rsidRPr="00C1202C">
        <w:rPr>
          <w:rStyle w:val="EndnoteReference"/>
          <w:rFonts w:ascii="Times New Roman" w:hAnsi="Times New Roman"/>
          <w:color w:val="808080" w:themeColor="background1" w:themeShade="80"/>
          <w:sz w:val="18"/>
          <w:szCs w:val="18"/>
        </w:rPr>
        <w:endnoteRef/>
      </w:r>
      <w:r w:rsidRPr="00C1202C">
        <w:rPr>
          <w:rFonts w:ascii="Times New Roman" w:hAnsi="Times New Roman"/>
          <w:color w:val="808080" w:themeColor="background1" w:themeShade="80"/>
          <w:sz w:val="18"/>
          <w:szCs w:val="18"/>
        </w:rPr>
        <w:t xml:space="preserve"> Ibid.</w:t>
      </w:r>
    </w:p>
  </w:endnote>
  <w:endnote w:id="21">
    <w:p w14:paraId="5146AF4F" w14:textId="77777777" w:rsidR="001F587F" w:rsidRPr="00C1202C" w:rsidRDefault="001F587F" w:rsidP="002F3469">
      <w:pPr>
        <w:pStyle w:val="EndnoteText"/>
        <w:rPr>
          <w:rFonts w:ascii="Times New Roman" w:hAnsi="Times New Roman"/>
          <w:color w:val="808080" w:themeColor="background1" w:themeShade="80"/>
          <w:sz w:val="18"/>
          <w:szCs w:val="18"/>
        </w:rPr>
      </w:pPr>
      <w:r w:rsidRPr="00C1202C">
        <w:rPr>
          <w:rStyle w:val="EndnoteReference"/>
          <w:rFonts w:ascii="Times New Roman" w:hAnsi="Times New Roman"/>
          <w:color w:val="808080" w:themeColor="background1" w:themeShade="80"/>
          <w:sz w:val="18"/>
          <w:szCs w:val="18"/>
        </w:rPr>
        <w:endnoteRef/>
      </w:r>
      <w:r w:rsidRPr="00C1202C">
        <w:rPr>
          <w:rFonts w:ascii="Times New Roman" w:hAnsi="Times New Roman"/>
          <w:color w:val="808080" w:themeColor="background1" w:themeShade="80"/>
          <w:sz w:val="18"/>
          <w:szCs w:val="18"/>
        </w:rPr>
        <w:t xml:space="preserve"> </w:t>
      </w:r>
      <w:r w:rsidRPr="00C1202C">
        <w:rPr>
          <w:rFonts w:ascii="Times New Roman" w:hAnsi="Times New Roman"/>
          <w:i/>
          <w:iCs/>
          <w:color w:val="808080" w:themeColor="background1" w:themeShade="80"/>
          <w:sz w:val="18"/>
          <w:szCs w:val="18"/>
        </w:rPr>
        <w:t>International Covenant on Civil and Political Rights</w:t>
      </w:r>
      <w:r w:rsidRPr="00C1202C">
        <w:rPr>
          <w:rFonts w:ascii="Times New Roman" w:hAnsi="Times New Roman"/>
          <w:color w:val="808080" w:themeColor="background1" w:themeShade="80"/>
          <w:sz w:val="18"/>
          <w:szCs w:val="18"/>
        </w:rPr>
        <w:t>, 999 U.N.T.S. 171, article 10 (</w:t>
      </w:r>
      <w:r w:rsidRPr="00C1202C">
        <w:rPr>
          <w:rFonts w:ascii="Times New Roman" w:hAnsi="Times New Roman"/>
          <w:i/>
          <w:iCs/>
          <w:color w:val="808080" w:themeColor="background1" w:themeShade="80"/>
          <w:sz w:val="18"/>
          <w:szCs w:val="18"/>
        </w:rPr>
        <w:t>ICCPR</w:t>
      </w:r>
      <w:r w:rsidRPr="00C1202C">
        <w:rPr>
          <w:rFonts w:ascii="Times New Roman" w:hAnsi="Times New Roman"/>
          <w:color w:val="808080" w:themeColor="background1" w:themeShade="80"/>
          <w:sz w:val="18"/>
          <w:szCs w:val="18"/>
        </w:rPr>
        <w:t xml:space="preserve">).  </w:t>
      </w:r>
    </w:p>
  </w:endnote>
  <w:endnote w:id="22">
    <w:p w14:paraId="1FC038E7" w14:textId="77777777" w:rsidR="001F587F" w:rsidRPr="00C1202C" w:rsidRDefault="001F587F" w:rsidP="002F3469">
      <w:pPr>
        <w:pStyle w:val="EndnoteText"/>
        <w:rPr>
          <w:rFonts w:ascii="Times New Roman" w:hAnsi="Times New Roman"/>
          <w:color w:val="808080" w:themeColor="background1" w:themeShade="80"/>
          <w:sz w:val="18"/>
          <w:szCs w:val="18"/>
        </w:rPr>
      </w:pPr>
      <w:r w:rsidRPr="00C1202C">
        <w:rPr>
          <w:rStyle w:val="EndnoteReference"/>
          <w:rFonts w:ascii="Times New Roman" w:hAnsi="Times New Roman"/>
          <w:color w:val="808080" w:themeColor="background1" w:themeShade="80"/>
          <w:sz w:val="18"/>
          <w:szCs w:val="18"/>
        </w:rPr>
        <w:endnoteRef/>
      </w:r>
      <w:r w:rsidRPr="00C1202C">
        <w:rPr>
          <w:rFonts w:ascii="Times New Roman" w:hAnsi="Times New Roman"/>
          <w:color w:val="808080" w:themeColor="background1" w:themeShade="80"/>
          <w:sz w:val="18"/>
          <w:szCs w:val="18"/>
        </w:rPr>
        <w:t xml:space="preserve"> </w:t>
      </w:r>
      <w:r w:rsidRPr="00C1202C">
        <w:rPr>
          <w:rFonts w:ascii="Times New Roman" w:hAnsi="Times New Roman"/>
          <w:i/>
          <w:color w:val="808080" w:themeColor="background1" w:themeShade="80"/>
          <w:sz w:val="18"/>
          <w:szCs w:val="18"/>
        </w:rPr>
        <w:t>ICCPR</w:t>
      </w:r>
      <w:r w:rsidRPr="00C1202C">
        <w:rPr>
          <w:rFonts w:ascii="Times New Roman" w:hAnsi="Times New Roman"/>
          <w:color w:val="808080" w:themeColor="background1" w:themeShade="80"/>
          <w:sz w:val="18"/>
          <w:szCs w:val="18"/>
        </w:rPr>
        <w:t xml:space="preserve"> article 24.</w:t>
      </w:r>
    </w:p>
  </w:endnote>
  <w:endnote w:id="23">
    <w:p w14:paraId="2C53A92C" w14:textId="77777777" w:rsidR="001F587F" w:rsidRPr="00C1202C" w:rsidRDefault="001F587F" w:rsidP="002F3469">
      <w:pPr>
        <w:widowControl w:val="0"/>
        <w:autoSpaceDE w:val="0"/>
        <w:autoSpaceDN w:val="0"/>
        <w:adjustRightInd w:val="0"/>
        <w:rPr>
          <w:rFonts w:ascii="Times New Roman" w:hAnsi="Times New Roman"/>
          <w:color w:val="808080" w:themeColor="background1" w:themeShade="80"/>
          <w:sz w:val="18"/>
          <w:szCs w:val="18"/>
        </w:rPr>
      </w:pPr>
      <w:r w:rsidRPr="00C1202C">
        <w:rPr>
          <w:rStyle w:val="EndnoteReference"/>
          <w:rFonts w:ascii="Times New Roman" w:hAnsi="Times New Roman"/>
          <w:color w:val="808080" w:themeColor="background1" w:themeShade="80"/>
          <w:sz w:val="18"/>
          <w:szCs w:val="18"/>
        </w:rPr>
        <w:endnoteRef/>
      </w:r>
      <w:r w:rsidRPr="00C1202C">
        <w:rPr>
          <w:rFonts w:ascii="Times New Roman" w:hAnsi="Times New Roman"/>
          <w:color w:val="808080" w:themeColor="background1" w:themeShade="80"/>
          <w:sz w:val="18"/>
          <w:szCs w:val="18"/>
        </w:rPr>
        <w:t xml:space="preserve"> </w:t>
      </w:r>
      <w:r w:rsidRPr="00C1202C">
        <w:rPr>
          <w:rFonts w:ascii="Times New Roman" w:hAnsi="Times New Roman"/>
          <w:i/>
          <w:iCs/>
          <w:color w:val="808080" w:themeColor="background1" w:themeShade="80"/>
          <w:sz w:val="18"/>
          <w:szCs w:val="18"/>
        </w:rPr>
        <w:t xml:space="preserve">Report of the 2012 Day of General Discussion, </w:t>
      </w:r>
      <w:r w:rsidRPr="00C1202C">
        <w:rPr>
          <w:rFonts w:ascii="Times New Roman" w:hAnsi="Times New Roman"/>
          <w:color w:val="808080" w:themeColor="background1" w:themeShade="80"/>
          <w:sz w:val="18"/>
          <w:szCs w:val="18"/>
        </w:rPr>
        <w:t xml:space="preserve">Committee on the Rights of the Child, par. 78. </w:t>
      </w:r>
    </w:p>
    <w:p w14:paraId="208DB9C1" w14:textId="77777777" w:rsidR="001F587F" w:rsidRPr="00C1202C" w:rsidRDefault="001F587F" w:rsidP="002F3469">
      <w:pPr>
        <w:pStyle w:val="EndnoteText"/>
        <w:rPr>
          <w:rFonts w:ascii="Times New Roman" w:hAnsi="Times New Roman"/>
          <w:color w:val="808080" w:themeColor="background1" w:themeShade="80"/>
          <w:sz w:val="18"/>
          <w:szCs w:val="18"/>
        </w:rPr>
      </w:pPr>
      <w:r w:rsidRPr="00C1202C">
        <w:rPr>
          <w:rFonts w:ascii="Times New Roman" w:hAnsi="Times New Roman"/>
          <w:i/>
          <w:color w:val="808080" w:themeColor="background1" w:themeShade="80"/>
          <w:sz w:val="18"/>
          <w:szCs w:val="18"/>
        </w:rPr>
        <w:t>Retrieved April 08, 2016, from http://aprrn.info/wp-content/uploads/2016/03/UPR-Submission-FINAL.pdf.</w:t>
      </w:r>
    </w:p>
  </w:endnote>
  <w:endnote w:id="24">
    <w:p w14:paraId="7EF0D891" w14:textId="77777777" w:rsidR="001F587F" w:rsidRPr="00C1202C" w:rsidRDefault="001F587F" w:rsidP="00CD2489">
      <w:pPr>
        <w:pStyle w:val="EndnoteText"/>
        <w:rPr>
          <w:rFonts w:ascii="Times New Roman" w:hAnsi="Times New Roman"/>
          <w:color w:val="808080" w:themeColor="background1" w:themeShade="80"/>
          <w:sz w:val="18"/>
          <w:szCs w:val="18"/>
        </w:rPr>
      </w:pPr>
      <w:r w:rsidRPr="00C1202C">
        <w:rPr>
          <w:rStyle w:val="EndnoteReference"/>
          <w:rFonts w:ascii="Times New Roman" w:hAnsi="Times New Roman"/>
          <w:color w:val="808080" w:themeColor="background1" w:themeShade="80"/>
          <w:sz w:val="18"/>
          <w:szCs w:val="18"/>
        </w:rPr>
        <w:endnoteRef/>
      </w:r>
      <w:r w:rsidRPr="00C1202C">
        <w:rPr>
          <w:rFonts w:ascii="Times New Roman" w:hAnsi="Times New Roman"/>
          <w:color w:val="808080" w:themeColor="background1" w:themeShade="80"/>
          <w:sz w:val="18"/>
          <w:szCs w:val="18"/>
        </w:rPr>
        <w:t xml:space="preserve"> Migrant Working Group (MWG). Monthly report from January to August 2015.</w:t>
      </w:r>
      <w:r w:rsidRPr="00C1202C">
        <w:rPr>
          <w:rFonts w:ascii="Times New Roman" w:eastAsia="MS Gothic" w:hAnsi="Times New Roman"/>
          <w:color w:val="808080" w:themeColor="background1" w:themeShade="80"/>
          <w:sz w:val="18"/>
          <w:szCs w:val="18"/>
        </w:rPr>
        <w:t> </w:t>
      </w:r>
    </w:p>
  </w:endnote>
  <w:endnote w:id="25">
    <w:p w14:paraId="78B13832" w14:textId="77777777" w:rsidR="001F587F" w:rsidRPr="00C1202C" w:rsidRDefault="001F587F" w:rsidP="00CD2489">
      <w:pPr>
        <w:pStyle w:val="EndnoteText"/>
        <w:rPr>
          <w:rFonts w:ascii="Times New Roman" w:hAnsi="Times New Roman"/>
          <w:color w:val="808080" w:themeColor="background1" w:themeShade="80"/>
          <w:sz w:val="18"/>
          <w:szCs w:val="18"/>
        </w:rPr>
      </w:pPr>
      <w:r w:rsidRPr="00C1202C">
        <w:rPr>
          <w:rStyle w:val="EndnoteReference"/>
          <w:rFonts w:ascii="Times New Roman" w:hAnsi="Times New Roman"/>
          <w:color w:val="808080" w:themeColor="background1" w:themeShade="80"/>
          <w:sz w:val="18"/>
          <w:szCs w:val="18"/>
        </w:rPr>
        <w:endnoteRef/>
      </w:r>
      <w:r w:rsidRPr="00C1202C">
        <w:rPr>
          <w:rFonts w:ascii="Times New Roman" w:hAnsi="Times New Roman"/>
          <w:color w:val="808080" w:themeColor="background1" w:themeShade="80"/>
          <w:sz w:val="18"/>
          <w:szCs w:val="18"/>
        </w:rPr>
        <w:t xml:space="preserve"> Cambell, Charlie. (2014). </w:t>
      </w:r>
      <w:r w:rsidRPr="00C1202C">
        <w:rPr>
          <w:rFonts w:ascii="Times New Roman" w:hAnsi="Times New Roman"/>
          <w:i/>
          <w:color w:val="808080" w:themeColor="background1" w:themeShade="80"/>
          <w:sz w:val="18"/>
          <w:szCs w:val="18"/>
        </w:rPr>
        <w:t xml:space="preserve">Thousands of Refugee Children Are Suffering in Thai Detention Centers. </w:t>
      </w:r>
      <w:r w:rsidRPr="00C1202C">
        <w:rPr>
          <w:rFonts w:ascii="Times New Roman" w:hAnsi="Times New Roman"/>
          <w:color w:val="808080" w:themeColor="background1" w:themeShade="80"/>
          <w:sz w:val="18"/>
          <w:szCs w:val="18"/>
        </w:rPr>
        <w:t>TIME. Retrieved April 08, 2016, from http://time.com/3252129/thailand-migrant-children-detention-human-rights/.</w:t>
      </w:r>
    </w:p>
  </w:endnote>
  <w:endnote w:id="26">
    <w:p w14:paraId="41C5CA61" w14:textId="77777777" w:rsidR="001F587F" w:rsidRPr="00C1202C" w:rsidRDefault="001F587F" w:rsidP="00CD2489">
      <w:pPr>
        <w:pStyle w:val="EndnoteText"/>
        <w:rPr>
          <w:rFonts w:ascii="Times New Roman" w:hAnsi="Times New Roman"/>
          <w:color w:val="808080" w:themeColor="background1" w:themeShade="80"/>
          <w:sz w:val="18"/>
          <w:szCs w:val="18"/>
        </w:rPr>
      </w:pPr>
      <w:r w:rsidRPr="00C1202C">
        <w:rPr>
          <w:rStyle w:val="EndnoteReference"/>
          <w:rFonts w:ascii="Times New Roman" w:hAnsi="Times New Roman"/>
          <w:color w:val="808080" w:themeColor="background1" w:themeShade="80"/>
          <w:sz w:val="18"/>
          <w:szCs w:val="18"/>
        </w:rPr>
        <w:endnoteRef/>
      </w:r>
      <w:r w:rsidRPr="00C1202C">
        <w:rPr>
          <w:rFonts w:ascii="Times New Roman" w:hAnsi="Times New Roman"/>
          <w:color w:val="808080" w:themeColor="background1" w:themeShade="80"/>
          <w:sz w:val="18"/>
          <w:szCs w:val="18"/>
        </w:rPr>
        <w:t xml:space="preserve"> Kongchantuek, Rasasiripong, and Kanchanatiwat. (2013). Preliminary Study of the Situation of Children in SuanPlu Immigration Detention Centers, Bangkok, Thailand.</w:t>
      </w:r>
      <w:r w:rsidRPr="00C1202C">
        <w:rPr>
          <w:rFonts w:ascii="Times New Roman" w:eastAsia="MS Gothic" w:hAnsi="Times New Roman"/>
          <w:color w:val="808080" w:themeColor="background1" w:themeShade="80"/>
          <w:sz w:val="18"/>
          <w:szCs w:val="18"/>
        </w:rPr>
        <w:t> </w:t>
      </w:r>
      <w:r w:rsidRPr="00C1202C">
        <w:rPr>
          <w:rFonts w:ascii="Times New Roman" w:hAnsi="Times New Roman"/>
          <w:color w:val="808080" w:themeColor="background1" w:themeShade="80"/>
          <w:sz w:val="18"/>
          <w:szCs w:val="18"/>
        </w:rPr>
        <w:t>Bangkok: Save the Children International.</w:t>
      </w:r>
    </w:p>
  </w:endnote>
  <w:endnote w:id="27">
    <w:p w14:paraId="5BF1BA96" w14:textId="77777777" w:rsidR="001F587F" w:rsidRPr="00C1202C" w:rsidRDefault="001F587F" w:rsidP="00CD2489">
      <w:pPr>
        <w:pStyle w:val="EndnoteText"/>
        <w:rPr>
          <w:rFonts w:ascii="Times New Roman" w:hAnsi="Times New Roman"/>
          <w:color w:val="808080" w:themeColor="background1" w:themeShade="80"/>
          <w:sz w:val="18"/>
          <w:szCs w:val="18"/>
        </w:rPr>
      </w:pPr>
      <w:r w:rsidRPr="00C1202C">
        <w:rPr>
          <w:rStyle w:val="EndnoteReference"/>
          <w:rFonts w:ascii="Times New Roman" w:hAnsi="Times New Roman"/>
          <w:color w:val="808080" w:themeColor="background1" w:themeShade="80"/>
          <w:sz w:val="18"/>
          <w:szCs w:val="18"/>
        </w:rPr>
        <w:endnoteRef/>
      </w:r>
      <w:r w:rsidRPr="00C1202C">
        <w:rPr>
          <w:rFonts w:ascii="Times New Roman" w:hAnsi="Times New Roman"/>
          <w:color w:val="808080" w:themeColor="background1" w:themeShade="80"/>
          <w:sz w:val="18"/>
          <w:szCs w:val="18"/>
        </w:rPr>
        <w:t xml:space="preserve"> Ibid.</w:t>
      </w:r>
    </w:p>
  </w:endnote>
  <w:endnote w:id="28">
    <w:p w14:paraId="638FF40B" w14:textId="77777777" w:rsidR="001F587F" w:rsidRPr="00C1202C" w:rsidRDefault="001F587F" w:rsidP="00CD2489">
      <w:pPr>
        <w:pStyle w:val="EndnoteText"/>
        <w:rPr>
          <w:rFonts w:ascii="Times New Roman" w:hAnsi="Times New Roman"/>
          <w:color w:val="808080" w:themeColor="background1" w:themeShade="80"/>
          <w:sz w:val="18"/>
          <w:szCs w:val="18"/>
        </w:rPr>
      </w:pPr>
      <w:r w:rsidRPr="00C1202C">
        <w:rPr>
          <w:rStyle w:val="EndnoteReference"/>
          <w:rFonts w:ascii="Times New Roman" w:hAnsi="Times New Roman"/>
          <w:color w:val="808080" w:themeColor="background1" w:themeShade="80"/>
          <w:sz w:val="18"/>
          <w:szCs w:val="18"/>
        </w:rPr>
        <w:endnoteRef/>
      </w:r>
      <w:r w:rsidRPr="00C1202C">
        <w:rPr>
          <w:rFonts w:ascii="Times New Roman" w:hAnsi="Times New Roman"/>
          <w:color w:val="808080" w:themeColor="background1" w:themeShade="80"/>
          <w:sz w:val="18"/>
          <w:szCs w:val="18"/>
        </w:rPr>
        <w:t xml:space="preserve"> Sukpanich, Tunya. (2013). </w:t>
      </w:r>
      <w:r w:rsidRPr="00C1202C">
        <w:rPr>
          <w:rFonts w:ascii="Times New Roman" w:hAnsi="Times New Roman"/>
          <w:i/>
          <w:color w:val="808080" w:themeColor="background1" w:themeShade="80"/>
          <w:sz w:val="18"/>
          <w:szCs w:val="18"/>
        </w:rPr>
        <w:t xml:space="preserve">A Childhood Behind Bars. </w:t>
      </w:r>
      <w:r w:rsidRPr="00C1202C">
        <w:rPr>
          <w:rFonts w:ascii="Times New Roman" w:hAnsi="Times New Roman"/>
          <w:color w:val="808080" w:themeColor="background1" w:themeShade="80"/>
          <w:sz w:val="18"/>
          <w:szCs w:val="18"/>
        </w:rPr>
        <w:t>The Bankok Post. Retrieved April 08, 2016, from http://www.bangkokpost.com/print/370898/.</w:t>
      </w:r>
    </w:p>
  </w:endnote>
  <w:endnote w:id="29">
    <w:p w14:paraId="249224E3" w14:textId="77777777" w:rsidR="001F587F" w:rsidRPr="00C1202C" w:rsidRDefault="001F587F" w:rsidP="00CD2489">
      <w:pPr>
        <w:pStyle w:val="EndnoteText"/>
        <w:rPr>
          <w:rFonts w:ascii="Times New Roman" w:hAnsi="Times New Roman"/>
          <w:color w:val="808080" w:themeColor="background1" w:themeShade="80"/>
          <w:sz w:val="18"/>
          <w:szCs w:val="18"/>
        </w:rPr>
      </w:pPr>
      <w:r w:rsidRPr="00C1202C">
        <w:rPr>
          <w:rStyle w:val="EndnoteReference"/>
          <w:rFonts w:ascii="Times New Roman" w:hAnsi="Times New Roman"/>
          <w:color w:val="808080" w:themeColor="background1" w:themeShade="80"/>
          <w:sz w:val="18"/>
          <w:szCs w:val="18"/>
        </w:rPr>
        <w:endnoteRef/>
      </w:r>
      <w:r w:rsidRPr="00C1202C">
        <w:rPr>
          <w:rFonts w:ascii="Times New Roman" w:hAnsi="Times New Roman"/>
          <w:color w:val="808080" w:themeColor="background1" w:themeShade="80"/>
          <w:sz w:val="18"/>
          <w:szCs w:val="18"/>
        </w:rPr>
        <w:t xml:space="preserve"> Farmer, Alice. (2014). </w:t>
      </w:r>
      <w:r w:rsidRPr="00C1202C">
        <w:rPr>
          <w:rFonts w:ascii="Times New Roman" w:hAnsi="Times New Roman"/>
          <w:i/>
          <w:color w:val="808080" w:themeColor="background1" w:themeShade="80"/>
          <w:sz w:val="18"/>
          <w:szCs w:val="18"/>
        </w:rPr>
        <w:t xml:space="preserve">Two Years with No Moon. Immigration Detention of Children in Thailand. </w:t>
      </w:r>
      <w:r w:rsidRPr="00C1202C">
        <w:rPr>
          <w:rFonts w:ascii="Times New Roman" w:hAnsi="Times New Roman"/>
          <w:color w:val="808080" w:themeColor="background1" w:themeShade="80"/>
          <w:sz w:val="18"/>
          <w:szCs w:val="18"/>
        </w:rPr>
        <w:t>Retrieved from Human Rights Watch Website: https://www.hrw.org/sites/default/files/reports/thailand0914_ForUpload_0.pdf</w:t>
      </w:r>
    </w:p>
  </w:endnote>
  <w:endnote w:id="30">
    <w:p w14:paraId="4C0BCC9A" w14:textId="77777777" w:rsidR="001F587F" w:rsidRPr="00C1202C" w:rsidRDefault="001F587F" w:rsidP="00CD2489">
      <w:pPr>
        <w:pStyle w:val="EndnoteText"/>
        <w:rPr>
          <w:rFonts w:ascii="Times New Roman" w:hAnsi="Times New Roman"/>
          <w:sz w:val="18"/>
          <w:szCs w:val="18"/>
        </w:rPr>
      </w:pPr>
      <w:r w:rsidRPr="00C1202C">
        <w:rPr>
          <w:rStyle w:val="EndnoteReference"/>
          <w:rFonts w:ascii="Times New Roman" w:hAnsi="Times New Roman"/>
          <w:sz w:val="18"/>
          <w:szCs w:val="18"/>
        </w:rPr>
        <w:endnoteRef/>
      </w:r>
      <w:r w:rsidRPr="00C1202C">
        <w:rPr>
          <w:rFonts w:ascii="Times New Roman" w:hAnsi="Times New Roman"/>
          <w:sz w:val="18"/>
          <w:szCs w:val="18"/>
        </w:rPr>
        <w:t xml:space="preserve"> </w:t>
      </w:r>
      <w:r w:rsidRPr="00C1202C">
        <w:rPr>
          <w:rFonts w:ascii="Times New Roman" w:hAnsi="Times New Roman"/>
          <w:color w:val="808080" w:themeColor="background1" w:themeShade="80"/>
          <w:sz w:val="18"/>
          <w:szCs w:val="18"/>
        </w:rPr>
        <w:t xml:space="preserve">Human Rights Committee, </w:t>
      </w:r>
      <w:r w:rsidRPr="00C1202C">
        <w:rPr>
          <w:rFonts w:ascii="Times New Roman" w:hAnsi="Times New Roman"/>
          <w:bCs/>
          <w:color w:val="808080" w:themeColor="background1" w:themeShade="80"/>
          <w:sz w:val="18"/>
          <w:szCs w:val="18"/>
        </w:rPr>
        <w:t xml:space="preserve">Concluding observations of the Human Rights Committee: Thailand, </w:t>
      </w:r>
      <w:r w:rsidRPr="00C1202C">
        <w:rPr>
          <w:rFonts w:ascii="Times New Roman" w:hAnsi="Times New Roman"/>
          <w:color w:val="808080" w:themeColor="background1" w:themeShade="80"/>
          <w:sz w:val="18"/>
          <w:szCs w:val="18"/>
        </w:rPr>
        <w:t>CCPR/CO/84/THA, 8 July 2005, para. 16.</w:t>
      </w:r>
    </w:p>
  </w:endnote>
  <w:endnote w:id="31">
    <w:p w14:paraId="7BB51997" w14:textId="77777777" w:rsidR="001F587F" w:rsidRPr="00C1202C" w:rsidRDefault="001F587F" w:rsidP="00CD2489">
      <w:pPr>
        <w:pStyle w:val="EndnoteText"/>
        <w:rPr>
          <w:rFonts w:ascii="Times New Roman" w:hAnsi="Times New Roman"/>
          <w:color w:val="808080" w:themeColor="background1" w:themeShade="80"/>
          <w:sz w:val="18"/>
          <w:szCs w:val="18"/>
        </w:rPr>
      </w:pPr>
      <w:r w:rsidRPr="00C1202C">
        <w:rPr>
          <w:rStyle w:val="EndnoteReference"/>
          <w:rFonts w:ascii="Times New Roman" w:hAnsi="Times New Roman"/>
          <w:color w:val="808080" w:themeColor="background1" w:themeShade="80"/>
          <w:sz w:val="18"/>
          <w:szCs w:val="18"/>
        </w:rPr>
        <w:endnoteRef/>
      </w:r>
      <w:r w:rsidRPr="00C1202C">
        <w:rPr>
          <w:rFonts w:ascii="Times New Roman" w:hAnsi="Times New Roman"/>
          <w:color w:val="808080" w:themeColor="background1" w:themeShade="80"/>
          <w:sz w:val="18"/>
          <w:szCs w:val="18"/>
        </w:rPr>
        <w:t xml:space="preserve"> Committee against Torture, </w:t>
      </w:r>
      <w:r w:rsidRPr="00C1202C">
        <w:rPr>
          <w:rFonts w:ascii="Times New Roman" w:hAnsi="Times New Roman"/>
          <w:bCs/>
          <w:color w:val="808080" w:themeColor="background1" w:themeShade="80"/>
          <w:sz w:val="18"/>
          <w:szCs w:val="18"/>
        </w:rPr>
        <w:t xml:space="preserve">Concluding observations on the initial report of Thailand, </w:t>
      </w:r>
      <w:r w:rsidRPr="00C1202C">
        <w:rPr>
          <w:rFonts w:ascii="Times New Roman" w:hAnsi="Times New Roman"/>
          <w:color w:val="808080" w:themeColor="background1" w:themeShade="80"/>
          <w:sz w:val="18"/>
          <w:szCs w:val="18"/>
        </w:rPr>
        <w:t>CAT/C/THA/CO/1, 20 June 2014, para. 21.</w:t>
      </w:r>
    </w:p>
  </w:endnote>
  <w:endnote w:id="32">
    <w:p w14:paraId="6DA3BA67" w14:textId="77777777" w:rsidR="001F587F" w:rsidRPr="00C1202C" w:rsidRDefault="001F587F" w:rsidP="00CD2489">
      <w:pPr>
        <w:pStyle w:val="EndnoteText"/>
        <w:rPr>
          <w:rFonts w:ascii="Times New Roman" w:hAnsi="Times New Roman"/>
          <w:color w:val="808080" w:themeColor="background1" w:themeShade="80"/>
          <w:sz w:val="18"/>
          <w:szCs w:val="18"/>
        </w:rPr>
      </w:pPr>
      <w:r w:rsidRPr="00C1202C">
        <w:rPr>
          <w:rStyle w:val="EndnoteReference"/>
          <w:rFonts w:ascii="Times New Roman" w:hAnsi="Times New Roman"/>
          <w:color w:val="808080" w:themeColor="background1" w:themeShade="80"/>
          <w:sz w:val="18"/>
          <w:szCs w:val="18"/>
        </w:rPr>
        <w:endnoteRef/>
      </w:r>
      <w:r w:rsidRPr="00C1202C">
        <w:rPr>
          <w:rFonts w:ascii="Times New Roman" w:hAnsi="Times New Roman"/>
          <w:color w:val="808080" w:themeColor="background1" w:themeShade="80"/>
          <w:sz w:val="18"/>
          <w:szCs w:val="18"/>
        </w:rPr>
        <w:t xml:space="preserve"> Committee against Torture, </w:t>
      </w:r>
      <w:r w:rsidRPr="00C1202C">
        <w:rPr>
          <w:rFonts w:ascii="Times New Roman" w:hAnsi="Times New Roman"/>
          <w:bCs/>
          <w:color w:val="808080" w:themeColor="background1" w:themeShade="80"/>
          <w:sz w:val="18"/>
          <w:szCs w:val="18"/>
        </w:rPr>
        <w:t xml:space="preserve">Concluding observations on the initial report of Thailand, </w:t>
      </w:r>
      <w:r w:rsidRPr="00C1202C">
        <w:rPr>
          <w:rFonts w:ascii="Times New Roman" w:hAnsi="Times New Roman"/>
          <w:color w:val="808080" w:themeColor="background1" w:themeShade="80"/>
          <w:sz w:val="18"/>
          <w:szCs w:val="18"/>
        </w:rPr>
        <w:t>CAT/C/THA/CO/1, 20 June 2014, para. 22.</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Angsana New">
    <w:panose1 w:val="00000000000000000000"/>
    <w:charset w:val="DE"/>
    <w:family w:val="roman"/>
    <w:notTrueType/>
    <w:pitch w:val="variable"/>
    <w:sig w:usb0="01000001" w:usb1="00000000" w:usb2="00000000" w:usb3="00000000" w:csb0="00010000" w:csb1="00000000"/>
  </w:font>
  <w:font w:name="Trade Gothic LT">
    <w:altName w:val="Calibri"/>
    <w:charset w:val="00"/>
    <w:family w:val="auto"/>
    <w:pitch w:val="variable"/>
    <w:sig w:usb0="80000027"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MS Gothic">
    <w:altName w:val="ＭＳ ゴシック"/>
    <w:charset w:val="80"/>
    <w:family w:val="modern"/>
    <w:pitch w:val="fixed"/>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74A8E7" w14:textId="77777777" w:rsidR="001F587F" w:rsidRDefault="001F587F" w:rsidP="0059072E">
    <w:pP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1809BC9" w14:textId="77777777" w:rsidR="001F587F" w:rsidRDefault="001F587F"/>
  <w:p w14:paraId="3DE516C8" w14:textId="77777777" w:rsidR="001F587F" w:rsidRDefault="001F587F"/>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E281AF" w14:textId="77777777" w:rsidR="001F587F" w:rsidRPr="006719D4" w:rsidRDefault="001F587F" w:rsidP="0059072E">
    <w:pPr>
      <w:framePr w:wrap="around" w:vAnchor="text" w:hAnchor="margin" w:xAlign="center" w:y="1"/>
      <w:rPr>
        <w:rStyle w:val="PageNumber"/>
        <w:sz w:val="20"/>
      </w:rPr>
    </w:pPr>
    <w:r w:rsidRPr="006719D4">
      <w:rPr>
        <w:rStyle w:val="PageNumber"/>
        <w:sz w:val="20"/>
      </w:rPr>
      <w:fldChar w:fldCharType="begin"/>
    </w:r>
    <w:r w:rsidRPr="006719D4">
      <w:rPr>
        <w:rStyle w:val="PageNumber"/>
        <w:sz w:val="20"/>
      </w:rPr>
      <w:instrText xml:space="preserve">PAGE  </w:instrText>
    </w:r>
    <w:r w:rsidRPr="006719D4">
      <w:rPr>
        <w:rStyle w:val="PageNumber"/>
        <w:sz w:val="20"/>
      </w:rPr>
      <w:fldChar w:fldCharType="separate"/>
    </w:r>
    <w:r w:rsidR="006363C7">
      <w:rPr>
        <w:rStyle w:val="PageNumber"/>
        <w:noProof/>
        <w:sz w:val="20"/>
      </w:rPr>
      <w:t>1</w:t>
    </w:r>
    <w:r w:rsidRPr="006719D4">
      <w:rPr>
        <w:rStyle w:val="PageNumber"/>
        <w:sz w:val="20"/>
      </w:rPr>
      <w:fldChar w:fldCharType="end"/>
    </w:r>
  </w:p>
  <w:p w14:paraId="47961A4C" w14:textId="77777777" w:rsidR="001F587F" w:rsidRDefault="001F587F"/>
  <w:p w14:paraId="647BBC09" w14:textId="77777777" w:rsidR="001F587F" w:rsidRDefault="001F587F" w:rsidP="00AE3C07"/>
  <w:p w14:paraId="79E98AB8" w14:textId="77777777" w:rsidR="001F587F" w:rsidRPr="007A00AB" w:rsidRDefault="001F587F" w:rsidP="00AE3C07">
    <w:pPr>
      <w:jc w:val="center"/>
      <w:rPr>
        <w:sz w:val="20"/>
      </w:rPr>
    </w:pPr>
    <w:r w:rsidRPr="007A00AB">
      <w:rPr>
        <w:sz w:val="20"/>
      </w:rPr>
      <w:t xml:space="preserve">    </w:t>
    </w:r>
    <w:hyperlink r:id="rId1" w:history="1">
      <w:r w:rsidRPr="007A00AB">
        <w:rPr>
          <w:rStyle w:val="Hyperlink"/>
          <w:color w:val="auto"/>
          <w:sz w:val="20"/>
          <w:u w:val="none"/>
        </w:rPr>
        <w:t>www.asylumaccess.org</w:t>
      </w:r>
    </w:hyperlink>
    <w:r w:rsidRPr="007A00AB">
      <w:rPr>
        <w:sz w:val="20"/>
      </w:rPr>
      <w:t xml:space="preserve"> | </w:t>
    </w:r>
    <w:r w:rsidRPr="007A00AB">
      <w:rPr>
        <w:sz w:val="20"/>
      </w:rPr>
      <w:fldChar w:fldCharType="begin"/>
    </w:r>
    <w:r w:rsidRPr="007A00AB">
      <w:rPr>
        <w:sz w:val="20"/>
      </w:rPr>
      <w:instrText xml:space="preserve"> HYPERLINK "mailto:policy@asylumaccess.org" \t "_blank" </w:instrText>
    </w:r>
    <w:r w:rsidRPr="007A00AB">
      <w:rPr>
        <w:sz w:val="20"/>
      </w:rPr>
      <w:fldChar w:fldCharType="separate"/>
    </w:r>
    <w:r w:rsidRPr="007A00AB">
      <w:rPr>
        <w:rStyle w:val="Hyperlink"/>
        <w:color w:val="auto"/>
        <w:sz w:val="20"/>
        <w:u w:val="none"/>
      </w:rPr>
      <w:t>policy@asylumaccess.org</w:t>
    </w:r>
    <w:r w:rsidRPr="007A00AB">
      <w:rPr>
        <w:sz w:val="20"/>
      </w:rPr>
      <w:fldChar w:fldCharType="end"/>
    </w:r>
  </w:p>
  <w:p w14:paraId="0F7BB2CD" w14:textId="77777777" w:rsidR="001F587F" w:rsidRPr="00AE3C07" w:rsidRDefault="001F587F" w:rsidP="00AE3C07">
    <w:pPr>
      <w:jc w:val="cen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45779D1" w14:textId="77777777" w:rsidR="001F587F" w:rsidRDefault="001F587F" w:rsidP="0059072E">
      <w:r>
        <w:separator/>
      </w:r>
    </w:p>
    <w:p w14:paraId="3AE91F44" w14:textId="77777777" w:rsidR="001F587F" w:rsidRDefault="001F587F"/>
  </w:footnote>
  <w:footnote w:type="continuationSeparator" w:id="0">
    <w:p w14:paraId="5CCBB4F3" w14:textId="77777777" w:rsidR="001F587F" w:rsidRDefault="001F587F" w:rsidP="0059072E">
      <w:r>
        <w:continuationSeparator/>
      </w:r>
    </w:p>
    <w:p w14:paraId="0DE9BB60" w14:textId="77777777" w:rsidR="001F587F" w:rsidRDefault="001F587F"/>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A6D8428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C2D6FF86"/>
    <w:lvl w:ilvl="0">
      <w:start w:val="1"/>
      <w:numFmt w:val="decimal"/>
      <w:lvlText w:val="%1."/>
      <w:lvlJc w:val="left"/>
      <w:pPr>
        <w:tabs>
          <w:tab w:val="num" w:pos="1800"/>
        </w:tabs>
        <w:ind w:left="1800" w:hanging="360"/>
      </w:pPr>
    </w:lvl>
  </w:abstractNum>
  <w:abstractNum w:abstractNumId="2">
    <w:nsid w:val="FFFFFF7D"/>
    <w:multiLevelType w:val="singleLevel"/>
    <w:tmpl w:val="3912F560"/>
    <w:lvl w:ilvl="0">
      <w:start w:val="1"/>
      <w:numFmt w:val="decimal"/>
      <w:lvlText w:val="%1."/>
      <w:lvlJc w:val="left"/>
      <w:pPr>
        <w:tabs>
          <w:tab w:val="num" w:pos="1440"/>
        </w:tabs>
        <w:ind w:left="1440" w:hanging="360"/>
      </w:pPr>
    </w:lvl>
  </w:abstractNum>
  <w:abstractNum w:abstractNumId="3">
    <w:nsid w:val="FFFFFF7E"/>
    <w:multiLevelType w:val="singleLevel"/>
    <w:tmpl w:val="AE2409CA"/>
    <w:lvl w:ilvl="0">
      <w:start w:val="1"/>
      <w:numFmt w:val="decimal"/>
      <w:lvlText w:val="%1."/>
      <w:lvlJc w:val="left"/>
      <w:pPr>
        <w:tabs>
          <w:tab w:val="num" w:pos="1080"/>
        </w:tabs>
        <w:ind w:left="1080" w:hanging="360"/>
      </w:pPr>
    </w:lvl>
  </w:abstractNum>
  <w:abstractNum w:abstractNumId="4">
    <w:nsid w:val="FFFFFF7F"/>
    <w:multiLevelType w:val="singleLevel"/>
    <w:tmpl w:val="BC94163E"/>
    <w:lvl w:ilvl="0">
      <w:start w:val="1"/>
      <w:numFmt w:val="decimal"/>
      <w:lvlText w:val="%1."/>
      <w:lvlJc w:val="left"/>
      <w:pPr>
        <w:tabs>
          <w:tab w:val="num" w:pos="720"/>
        </w:tabs>
        <w:ind w:left="720" w:hanging="360"/>
      </w:pPr>
    </w:lvl>
  </w:abstractNum>
  <w:abstractNum w:abstractNumId="5">
    <w:nsid w:val="FFFFFF80"/>
    <w:multiLevelType w:val="singleLevel"/>
    <w:tmpl w:val="B9F8E3AC"/>
    <w:lvl w:ilvl="0">
      <w:start w:val="1"/>
      <w:numFmt w:val="bullet"/>
      <w:lvlText w:val=""/>
      <w:lvlJc w:val="left"/>
      <w:pPr>
        <w:tabs>
          <w:tab w:val="num" w:pos="1800"/>
        </w:tabs>
        <w:ind w:left="1800" w:hanging="360"/>
      </w:pPr>
      <w:rPr>
        <w:rFonts w:ascii="Symbol" w:hAnsi="Symbol" w:hint="default"/>
      </w:rPr>
    </w:lvl>
  </w:abstractNum>
  <w:abstractNum w:abstractNumId="6">
    <w:nsid w:val="FFFFFF81"/>
    <w:multiLevelType w:val="singleLevel"/>
    <w:tmpl w:val="6BB2073C"/>
    <w:lvl w:ilvl="0">
      <w:start w:val="1"/>
      <w:numFmt w:val="bullet"/>
      <w:lvlText w:val=""/>
      <w:lvlJc w:val="left"/>
      <w:pPr>
        <w:tabs>
          <w:tab w:val="num" w:pos="1440"/>
        </w:tabs>
        <w:ind w:left="1440" w:hanging="360"/>
      </w:pPr>
      <w:rPr>
        <w:rFonts w:ascii="Symbol" w:hAnsi="Symbol" w:hint="default"/>
      </w:rPr>
    </w:lvl>
  </w:abstractNum>
  <w:abstractNum w:abstractNumId="7">
    <w:nsid w:val="FFFFFF82"/>
    <w:multiLevelType w:val="singleLevel"/>
    <w:tmpl w:val="84B2277E"/>
    <w:lvl w:ilvl="0">
      <w:start w:val="1"/>
      <w:numFmt w:val="bullet"/>
      <w:lvlText w:val=""/>
      <w:lvlJc w:val="left"/>
      <w:pPr>
        <w:tabs>
          <w:tab w:val="num" w:pos="1080"/>
        </w:tabs>
        <w:ind w:left="1080" w:hanging="360"/>
      </w:pPr>
      <w:rPr>
        <w:rFonts w:ascii="Symbol" w:hAnsi="Symbol" w:hint="default"/>
      </w:rPr>
    </w:lvl>
  </w:abstractNum>
  <w:abstractNum w:abstractNumId="8">
    <w:nsid w:val="FFFFFF83"/>
    <w:multiLevelType w:val="singleLevel"/>
    <w:tmpl w:val="74C4E5C6"/>
    <w:lvl w:ilvl="0">
      <w:start w:val="1"/>
      <w:numFmt w:val="bullet"/>
      <w:lvlText w:val=""/>
      <w:lvlJc w:val="left"/>
      <w:pPr>
        <w:tabs>
          <w:tab w:val="num" w:pos="720"/>
        </w:tabs>
        <w:ind w:left="720" w:hanging="360"/>
      </w:pPr>
      <w:rPr>
        <w:rFonts w:ascii="Symbol" w:hAnsi="Symbol" w:hint="default"/>
      </w:rPr>
    </w:lvl>
  </w:abstractNum>
  <w:abstractNum w:abstractNumId="9">
    <w:nsid w:val="FFFFFF88"/>
    <w:multiLevelType w:val="singleLevel"/>
    <w:tmpl w:val="16C01812"/>
    <w:lvl w:ilvl="0">
      <w:start w:val="1"/>
      <w:numFmt w:val="decimal"/>
      <w:lvlText w:val="%1."/>
      <w:lvlJc w:val="left"/>
      <w:pPr>
        <w:tabs>
          <w:tab w:val="num" w:pos="360"/>
        </w:tabs>
        <w:ind w:left="360" w:hanging="360"/>
      </w:pPr>
    </w:lvl>
  </w:abstractNum>
  <w:abstractNum w:abstractNumId="10">
    <w:nsid w:val="FFFFFF89"/>
    <w:multiLevelType w:val="singleLevel"/>
    <w:tmpl w:val="89FE6844"/>
    <w:lvl w:ilvl="0">
      <w:start w:val="1"/>
      <w:numFmt w:val="bullet"/>
      <w:lvlText w:val=""/>
      <w:lvlJc w:val="left"/>
      <w:pPr>
        <w:tabs>
          <w:tab w:val="num" w:pos="360"/>
        </w:tabs>
        <w:ind w:left="360" w:hanging="360"/>
      </w:pPr>
      <w:rPr>
        <w:rFonts w:ascii="Symbol" w:hAnsi="Symbol" w:hint="default"/>
      </w:rPr>
    </w:lvl>
  </w:abstractNum>
  <w:abstractNum w:abstractNumId="11">
    <w:nsid w:val="028B4A8E"/>
    <w:multiLevelType w:val="hybridMultilevel"/>
    <w:tmpl w:val="C4520A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34B137C"/>
    <w:multiLevelType w:val="multilevel"/>
    <w:tmpl w:val="282ECCCE"/>
    <w:numStyleLink w:val="AsylumAccess"/>
  </w:abstractNum>
  <w:abstractNum w:abstractNumId="13">
    <w:nsid w:val="103B4C08"/>
    <w:multiLevelType w:val="hybridMultilevel"/>
    <w:tmpl w:val="0FE08B84"/>
    <w:lvl w:ilvl="0" w:tplc="04090001">
      <w:start w:val="1"/>
      <w:numFmt w:val="bullet"/>
      <w:lvlText w:val=""/>
      <w:lvlJc w:val="left"/>
      <w:pPr>
        <w:ind w:left="1504" w:hanging="360"/>
      </w:pPr>
      <w:rPr>
        <w:rFonts w:ascii="Symbol" w:hAnsi="Symbol" w:hint="default"/>
      </w:rPr>
    </w:lvl>
    <w:lvl w:ilvl="1" w:tplc="04090003">
      <w:start w:val="1"/>
      <w:numFmt w:val="bullet"/>
      <w:lvlText w:val="o"/>
      <w:lvlJc w:val="left"/>
      <w:pPr>
        <w:ind w:left="2224" w:hanging="360"/>
      </w:pPr>
      <w:rPr>
        <w:rFonts w:ascii="Courier New" w:hAnsi="Courier New" w:hint="default"/>
      </w:rPr>
    </w:lvl>
    <w:lvl w:ilvl="2" w:tplc="04090005">
      <w:start w:val="1"/>
      <w:numFmt w:val="bullet"/>
      <w:lvlText w:val=""/>
      <w:lvlJc w:val="left"/>
      <w:pPr>
        <w:ind w:left="2944" w:hanging="360"/>
      </w:pPr>
      <w:rPr>
        <w:rFonts w:ascii="Wingdings" w:hAnsi="Wingdings" w:hint="default"/>
      </w:rPr>
    </w:lvl>
    <w:lvl w:ilvl="3" w:tplc="04090001" w:tentative="1">
      <w:start w:val="1"/>
      <w:numFmt w:val="bullet"/>
      <w:lvlText w:val=""/>
      <w:lvlJc w:val="left"/>
      <w:pPr>
        <w:ind w:left="3664" w:hanging="360"/>
      </w:pPr>
      <w:rPr>
        <w:rFonts w:ascii="Symbol" w:hAnsi="Symbol" w:hint="default"/>
      </w:rPr>
    </w:lvl>
    <w:lvl w:ilvl="4" w:tplc="04090003" w:tentative="1">
      <w:start w:val="1"/>
      <w:numFmt w:val="bullet"/>
      <w:lvlText w:val="o"/>
      <w:lvlJc w:val="left"/>
      <w:pPr>
        <w:ind w:left="4384" w:hanging="360"/>
      </w:pPr>
      <w:rPr>
        <w:rFonts w:ascii="Courier New" w:hAnsi="Courier New" w:hint="default"/>
      </w:rPr>
    </w:lvl>
    <w:lvl w:ilvl="5" w:tplc="04090005" w:tentative="1">
      <w:start w:val="1"/>
      <w:numFmt w:val="bullet"/>
      <w:lvlText w:val=""/>
      <w:lvlJc w:val="left"/>
      <w:pPr>
        <w:ind w:left="5104" w:hanging="360"/>
      </w:pPr>
      <w:rPr>
        <w:rFonts w:ascii="Wingdings" w:hAnsi="Wingdings" w:hint="default"/>
      </w:rPr>
    </w:lvl>
    <w:lvl w:ilvl="6" w:tplc="04090001" w:tentative="1">
      <w:start w:val="1"/>
      <w:numFmt w:val="bullet"/>
      <w:lvlText w:val=""/>
      <w:lvlJc w:val="left"/>
      <w:pPr>
        <w:ind w:left="5824" w:hanging="360"/>
      </w:pPr>
      <w:rPr>
        <w:rFonts w:ascii="Symbol" w:hAnsi="Symbol" w:hint="default"/>
      </w:rPr>
    </w:lvl>
    <w:lvl w:ilvl="7" w:tplc="04090003" w:tentative="1">
      <w:start w:val="1"/>
      <w:numFmt w:val="bullet"/>
      <w:lvlText w:val="o"/>
      <w:lvlJc w:val="left"/>
      <w:pPr>
        <w:ind w:left="6544" w:hanging="360"/>
      </w:pPr>
      <w:rPr>
        <w:rFonts w:ascii="Courier New" w:hAnsi="Courier New" w:hint="default"/>
      </w:rPr>
    </w:lvl>
    <w:lvl w:ilvl="8" w:tplc="04090005" w:tentative="1">
      <w:start w:val="1"/>
      <w:numFmt w:val="bullet"/>
      <w:lvlText w:val=""/>
      <w:lvlJc w:val="left"/>
      <w:pPr>
        <w:ind w:left="7264" w:hanging="360"/>
      </w:pPr>
      <w:rPr>
        <w:rFonts w:ascii="Wingdings" w:hAnsi="Wingdings" w:hint="default"/>
      </w:rPr>
    </w:lvl>
  </w:abstractNum>
  <w:abstractNum w:abstractNumId="14">
    <w:nsid w:val="13C934AA"/>
    <w:multiLevelType w:val="multilevel"/>
    <w:tmpl w:val="0409001D"/>
    <w:lvl w:ilvl="0">
      <w:start w:val="1"/>
      <w:numFmt w:val="bullet"/>
      <w:lvlText w:val=""/>
      <w:lvlJc w:val="left"/>
      <w:pPr>
        <w:ind w:left="360" w:hanging="360"/>
      </w:pPr>
      <w:rPr>
        <w:rFonts w:ascii="Symbol" w:hAnsi="Symbol"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16C656FE"/>
    <w:multiLevelType w:val="multilevel"/>
    <w:tmpl w:val="0409001D"/>
    <w:numStyleLink w:val="Recommendations"/>
  </w:abstractNum>
  <w:abstractNum w:abstractNumId="16">
    <w:nsid w:val="21765469"/>
    <w:multiLevelType w:val="hybridMultilevel"/>
    <w:tmpl w:val="F80C747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
    <w:nsid w:val="25CE14F2"/>
    <w:multiLevelType w:val="multilevel"/>
    <w:tmpl w:val="56D46E22"/>
    <w:lvl w:ilvl="0">
      <w:numFmt w:val="bullet"/>
      <w:lvlText w:val="•"/>
      <w:lvlJc w:val="left"/>
      <w:pPr>
        <w:tabs>
          <w:tab w:val="num" w:pos="990"/>
        </w:tabs>
        <w:ind w:left="990" w:hanging="270"/>
      </w:pPr>
      <w:rPr>
        <w:rFonts w:ascii="Times" w:eastAsia="Times" w:hAnsi="Times" w:cs="Times"/>
        <w:position w:val="0"/>
      </w:rPr>
    </w:lvl>
    <w:lvl w:ilvl="1">
      <w:start w:val="1"/>
      <w:numFmt w:val="bullet"/>
      <w:lvlText w:val="o"/>
      <w:lvlJc w:val="left"/>
      <w:pPr>
        <w:tabs>
          <w:tab w:val="num" w:pos="1800"/>
        </w:tabs>
        <w:ind w:left="1800" w:hanging="360"/>
      </w:pPr>
      <w:rPr>
        <w:rFonts w:ascii="Times" w:eastAsia="Times" w:hAnsi="Times" w:cs="Times"/>
        <w:position w:val="0"/>
      </w:rPr>
    </w:lvl>
    <w:lvl w:ilvl="2">
      <w:start w:val="1"/>
      <w:numFmt w:val="bullet"/>
      <w:lvlText w:val="▪"/>
      <w:lvlJc w:val="left"/>
      <w:pPr>
        <w:tabs>
          <w:tab w:val="num" w:pos="2520"/>
        </w:tabs>
        <w:ind w:left="2520" w:hanging="360"/>
      </w:pPr>
      <w:rPr>
        <w:rFonts w:ascii="Times" w:eastAsia="Times" w:hAnsi="Times" w:cs="Times"/>
        <w:position w:val="0"/>
      </w:rPr>
    </w:lvl>
    <w:lvl w:ilvl="3">
      <w:start w:val="1"/>
      <w:numFmt w:val="bullet"/>
      <w:lvlText w:val="•"/>
      <w:lvlJc w:val="left"/>
      <w:pPr>
        <w:tabs>
          <w:tab w:val="num" w:pos="3240"/>
        </w:tabs>
        <w:ind w:left="3240" w:hanging="360"/>
      </w:pPr>
      <w:rPr>
        <w:rFonts w:ascii="Times" w:eastAsia="Times" w:hAnsi="Times" w:cs="Times"/>
        <w:position w:val="0"/>
      </w:rPr>
    </w:lvl>
    <w:lvl w:ilvl="4">
      <w:start w:val="1"/>
      <w:numFmt w:val="bullet"/>
      <w:lvlText w:val="o"/>
      <w:lvlJc w:val="left"/>
      <w:pPr>
        <w:tabs>
          <w:tab w:val="num" w:pos="3960"/>
        </w:tabs>
        <w:ind w:left="3960" w:hanging="360"/>
      </w:pPr>
      <w:rPr>
        <w:rFonts w:ascii="Times" w:eastAsia="Times" w:hAnsi="Times" w:cs="Times"/>
        <w:position w:val="0"/>
      </w:rPr>
    </w:lvl>
    <w:lvl w:ilvl="5">
      <w:start w:val="1"/>
      <w:numFmt w:val="bullet"/>
      <w:lvlText w:val="▪"/>
      <w:lvlJc w:val="left"/>
      <w:pPr>
        <w:tabs>
          <w:tab w:val="num" w:pos="4680"/>
        </w:tabs>
        <w:ind w:left="4680" w:hanging="360"/>
      </w:pPr>
      <w:rPr>
        <w:rFonts w:ascii="Times" w:eastAsia="Times" w:hAnsi="Times" w:cs="Times"/>
        <w:position w:val="0"/>
      </w:rPr>
    </w:lvl>
    <w:lvl w:ilvl="6">
      <w:start w:val="1"/>
      <w:numFmt w:val="bullet"/>
      <w:lvlText w:val="•"/>
      <w:lvlJc w:val="left"/>
      <w:pPr>
        <w:tabs>
          <w:tab w:val="num" w:pos="5400"/>
        </w:tabs>
        <w:ind w:left="5400" w:hanging="360"/>
      </w:pPr>
      <w:rPr>
        <w:rFonts w:ascii="Times" w:eastAsia="Times" w:hAnsi="Times" w:cs="Times"/>
        <w:position w:val="0"/>
      </w:rPr>
    </w:lvl>
    <w:lvl w:ilvl="7">
      <w:start w:val="1"/>
      <w:numFmt w:val="bullet"/>
      <w:lvlText w:val="o"/>
      <w:lvlJc w:val="left"/>
      <w:pPr>
        <w:tabs>
          <w:tab w:val="num" w:pos="6120"/>
        </w:tabs>
        <w:ind w:left="6120" w:hanging="360"/>
      </w:pPr>
      <w:rPr>
        <w:rFonts w:ascii="Times" w:eastAsia="Times" w:hAnsi="Times" w:cs="Times"/>
        <w:position w:val="0"/>
      </w:rPr>
    </w:lvl>
    <w:lvl w:ilvl="8">
      <w:start w:val="1"/>
      <w:numFmt w:val="bullet"/>
      <w:lvlText w:val="▪"/>
      <w:lvlJc w:val="left"/>
      <w:pPr>
        <w:tabs>
          <w:tab w:val="num" w:pos="6840"/>
        </w:tabs>
        <w:ind w:left="6840" w:hanging="360"/>
      </w:pPr>
      <w:rPr>
        <w:rFonts w:ascii="Times" w:eastAsia="Times" w:hAnsi="Times" w:cs="Times"/>
        <w:position w:val="0"/>
      </w:rPr>
    </w:lvl>
  </w:abstractNum>
  <w:abstractNum w:abstractNumId="18">
    <w:nsid w:val="260E16D4"/>
    <w:multiLevelType w:val="multilevel"/>
    <w:tmpl w:val="DC401C8E"/>
    <w:lvl w:ilvl="0">
      <w:numFmt w:val="bullet"/>
      <w:lvlText w:val="•"/>
      <w:lvlJc w:val="left"/>
      <w:pPr>
        <w:tabs>
          <w:tab w:val="num" w:pos="1080"/>
        </w:tabs>
        <w:ind w:left="1080" w:hanging="360"/>
      </w:pPr>
      <w:rPr>
        <w:rFonts w:ascii="Times" w:eastAsia="Times" w:hAnsi="Times" w:cs="Times"/>
        <w:position w:val="0"/>
        <w:sz w:val="24"/>
        <w:szCs w:val="24"/>
      </w:rPr>
    </w:lvl>
    <w:lvl w:ilvl="1">
      <w:start w:val="1"/>
      <w:numFmt w:val="bullet"/>
      <w:lvlText w:val="o"/>
      <w:lvlJc w:val="left"/>
      <w:pPr>
        <w:tabs>
          <w:tab w:val="num" w:pos="1920"/>
        </w:tabs>
        <w:ind w:left="1920" w:hanging="480"/>
      </w:pPr>
      <w:rPr>
        <w:rFonts w:ascii="Angsana New" w:eastAsia="Angsana New" w:hAnsi="Angsana New" w:cs="Angsana New"/>
        <w:position w:val="0"/>
        <w:sz w:val="32"/>
        <w:szCs w:val="32"/>
      </w:rPr>
    </w:lvl>
    <w:lvl w:ilvl="2">
      <w:start w:val="1"/>
      <w:numFmt w:val="bullet"/>
      <w:lvlText w:val="▪"/>
      <w:lvlJc w:val="left"/>
      <w:pPr>
        <w:tabs>
          <w:tab w:val="num" w:pos="2640"/>
        </w:tabs>
        <w:ind w:left="2640" w:hanging="480"/>
      </w:pPr>
      <w:rPr>
        <w:rFonts w:ascii="Angsana New" w:eastAsia="Angsana New" w:hAnsi="Angsana New" w:cs="Angsana New"/>
        <w:position w:val="0"/>
        <w:sz w:val="32"/>
        <w:szCs w:val="32"/>
      </w:rPr>
    </w:lvl>
    <w:lvl w:ilvl="3">
      <w:start w:val="1"/>
      <w:numFmt w:val="bullet"/>
      <w:lvlText w:val="•"/>
      <w:lvlJc w:val="left"/>
      <w:pPr>
        <w:tabs>
          <w:tab w:val="num" w:pos="3360"/>
        </w:tabs>
        <w:ind w:left="3360" w:hanging="480"/>
      </w:pPr>
      <w:rPr>
        <w:rFonts w:ascii="Angsana New" w:eastAsia="Angsana New" w:hAnsi="Angsana New" w:cs="Angsana New"/>
        <w:position w:val="0"/>
        <w:sz w:val="32"/>
        <w:szCs w:val="32"/>
      </w:rPr>
    </w:lvl>
    <w:lvl w:ilvl="4">
      <w:start w:val="1"/>
      <w:numFmt w:val="bullet"/>
      <w:lvlText w:val="o"/>
      <w:lvlJc w:val="left"/>
      <w:pPr>
        <w:tabs>
          <w:tab w:val="num" w:pos="4080"/>
        </w:tabs>
        <w:ind w:left="4080" w:hanging="480"/>
      </w:pPr>
      <w:rPr>
        <w:rFonts w:ascii="Angsana New" w:eastAsia="Angsana New" w:hAnsi="Angsana New" w:cs="Angsana New"/>
        <w:position w:val="0"/>
        <w:sz w:val="32"/>
        <w:szCs w:val="32"/>
      </w:rPr>
    </w:lvl>
    <w:lvl w:ilvl="5">
      <w:start w:val="1"/>
      <w:numFmt w:val="bullet"/>
      <w:lvlText w:val="▪"/>
      <w:lvlJc w:val="left"/>
      <w:pPr>
        <w:tabs>
          <w:tab w:val="num" w:pos="4800"/>
        </w:tabs>
        <w:ind w:left="4800" w:hanging="480"/>
      </w:pPr>
      <w:rPr>
        <w:rFonts w:ascii="Angsana New" w:eastAsia="Angsana New" w:hAnsi="Angsana New" w:cs="Angsana New"/>
        <w:position w:val="0"/>
        <w:sz w:val="32"/>
        <w:szCs w:val="32"/>
      </w:rPr>
    </w:lvl>
    <w:lvl w:ilvl="6">
      <w:start w:val="1"/>
      <w:numFmt w:val="bullet"/>
      <w:lvlText w:val="•"/>
      <w:lvlJc w:val="left"/>
      <w:pPr>
        <w:tabs>
          <w:tab w:val="num" w:pos="5520"/>
        </w:tabs>
        <w:ind w:left="5520" w:hanging="480"/>
      </w:pPr>
      <w:rPr>
        <w:rFonts w:ascii="Angsana New" w:eastAsia="Angsana New" w:hAnsi="Angsana New" w:cs="Angsana New"/>
        <w:position w:val="0"/>
        <w:sz w:val="32"/>
        <w:szCs w:val="32"/>
      </w:rPr>
    </w:lvl>
    <w:lvl w:ilvl="7">
      <w:start w:val="1"/>
      <w:numFmt w:val="bullet"/>
      <w:lvlText w:val="o"/>
      <w:lvlJc w:val="left"/>
      <w:pPr>
        <w:tabs>
          <w:tab w:val="num" w:pos="6240"/>
        </w:tabs>
        <w:ind w:left="6240" w:hanging="480"/>
      </w:pPr>
      <w:rPr>
        <w:rFonts w:ascii="Angsana New" w:eastAsia="Angsana New" w:hAnsi="Angsana New" w:cs="Angsana New"/>
        <w:position w:val="0"/>
        <w:sz w:val="32"/>
        <w:szCs w:val="32"/>
      </w:rPr>
    </w:lvl>
    <w:lvl w:ilvl="8">
      <w:start w:val="1"/>
      <w:numFmt w:val="bullet"/>
      <w:lvlText w:val="▪"/>
      <w:lvlJc w:val="left"/>
      <w:pPr>
        <w:tabs>
          <w:tab w:val="num" w:pos="6960"/>
        </w:tabs>
        <w:ind w:left="6960" w:hanging="480"/>
      </w:pPr>
      <w:rPr>
        <w:rFonts w:ascii="Angsana New" w:eastAsia="Angsana New" w:hAnsi="Angsana New" w:cs="Angsana New"/>
        <w:position w:val="0"/>
        <w:sz w:val="32"/>
        <w:szCs w:val="32"/>
      </w:rPr>
    </w:lvl>
  </w:abstractNum>
  <w:abstractNum w:abstractNumId="19">
    <w:nsid w:val="2E8C5DE1"/>
    <w:multiLevelType w:val="multilevel"/>
    <w:tmpl w:val="B34E6A2E"/>
    <w:styleLink w:val="List0"/>
    <w:lvl w:ilvl="0">
      <w:numFmt w:val="bullet"/>
      <w:lvlText w:val="•"/>
      <w:lvlJc w:val="left"/>
      <w:pPr>
        <w:tabs>
          <w:tab w:val="num" w:pos="1080"/>
        </w:tabs>
        <w:ind w:left="1080" w:hanging="360"/>
      </w:pPr>
      <w:rPr>
        <w:rFonts w:ascii="Times" w:eastAsia="Times" w:hAnsi="Times" w:cs="Times"/>
        <w:position w:val="0"/>
        <w:sz w:val="24"/>
        <w:szCs w:val="24"/>
        <w:lang w:val="en-US"/>
      </w:rPr>
    </w:lvl>
    <w:lvl w:ilvl="1">
      <w:start w:val="1"/>
      <w:numFmt w:val="bullet"/>
      <w:lvlText w:val="o"/>
      <w:lvlJc w:val="left"/>
      <w:pPr>
        <w:tabs>
          <w:tab w:val="num" w:pos="1920"/>
        </w:tabs>
        <w:ind w:left="1920" w:hanging="480"/>
      </w:pPr>
      <w:rPr>
        <w:rFonts w:ascii="Angsana New" w:eastAsia="Angsana New" w:hAnsi="Angsana New" w:cs="Angsana New"/>
        <w:position w:val="0"/>
        <w:sz w:val="32"/>
        <w:szCs w:val="32"/>
        <w:lang w:val="en-US"/>
      </w:rPr>
    </w:lvl>
    <w:lvl w:ilvl="2">
      <w:start w:val="1"/>
      <w:numFmt w:val="bullet"/>
      <w:lvlText w:val="▪"/>
      <w:lvlJc w:val="left"/>
      <w:pPr>
        <w:tabs>
          <w:tab w:val="num" w:pos="2640"/>
        </w:tabs>
        <w:ind w:left="2640" w:hanging="480"/>
      </w:pPr>
      <w:rPr>
        <w:rFonts w:ascii="Angsana New" w:eastAsia="Angsana New" w:hAnsi="Angsana New" w:cs="Angsana New"/>
        <w:position w:val="0"/>
        <w:sz w:val="32"/>
        <w:szCs w:val="32"/>
        <w:lang w:val="en-US"/>
      </w:rPr>
    </w:lvl>
    <w:lvl w:ilvl="3">
      <w:start w:val="1"/>
      <w:numFmt w:val="bullet"/>
      <w:lvlText w:val="•"/>
      <w:lvlJc w:val="left"/>
      <w:pPr>
        <w:tabs>
          <w:tab w:val="num" w:pos="3360"/>
        </w:tabs>
        <w:ind w:left="3360" w:hanging="480"/>
      </w:pPr>
      <w:rPr>
        <w:rFonts w:ascii="Angsana New" w:eastAsia="Angsana New" w:hAnsi="Angsana New" w:cs="Angsana New"/>
        <w:position w:val="0"/>
        <w:sz w:val="32"/>
        <w:szCs w:val="32"/>
        <w:lang w:val="en-US"/>
      </w:rPr>
    </w:lvl>
    <w:lvl w:ilvl="4">
      <w:start w:val="1"/>
      <w:numFmt w:val="bullet"/>
      <w:lvlText w:val="o"/>
      <w:lvlJc w:val="left"/>
      <w:pPr>
        <w:tabs>
          <w:tab w:val="num" w:pos="4080"/>
        </w:tabs>
        <w:ind w:left="4080" w:hanging="480"/>
      </w:pPr>
      <w:rPr>
        <w:rFonts w:ascii="Angsana New" w:eastAsia="Angsana New" w:hAnsi="Angsana New" w:cs="Angsana New"/>
        <w:position w:val="0"/>
        <w:sz w:val="32"/>
        <w:szCs w:val="32"/>
        <w:lang w:val="en-US"/>
      </w:rPr>
    </w:lvl>
    <w:lvl w:ilvl="5">
      <w:start w:val="1"/>
      <w:numFmt w:val="bullet"/>
      <w:lvlText w:val="▪"/>
      <w:lvlJc w:val="left"/>
      <w:pPr>
        <w:tabs>
          <w:tab w:val="num" w:pos="4800"/>
        </w:tabs>
        <w:ind w:left="4800" w:hanging="480"/>
      </w:pPr>
      <w:rPr>
        <w:rFonts w:ascii="Angsana New" w:eastAsia="Angsana New" w:hAnsi="Angsana New" w:cs="Angsana New"/>
        <w:position w:val="0"/>
        <w:sz w:val="32"/>
        <w:szCs w:val="32"/>
        <w:lang w:val="en-US"/>
      </w:rPr>
    </w:lvl>
    <w:lvl w:ilvl="6">
      <w:start w:val="1"/>
      <w:numFmt w:val="bullet"/>
      <w:lvlText w:val="•"/>
      <w:lvlJc w:val="left"/>
      <w:pPr>
        <w:tabs>
          <w:tab w:val="num" w:pos="5520"/>
        </w:tabs>
        <w:ind w:left="5520" w:hanging="480"/>
      </w:pPr>
      <w:rPr>
        <w:rFonts w:ascii="Angsana New" w:eastAsia="Angsana New" w:hAnsi="Angsana New" w:cs="Angsana New"/>
        <w:position w:val="0"/>
        <w:sz w:val="32"/>
        <w:szCs w:val="32"/>
        <w:lang w:val="en-US"/>
      </w:rPr>
    </w:lvl>
    <w:lvl w:ilvl="7">
      <w:start w:val="1"/>
      <w:numFmt w:val="bullet"/>
      <w:lvlText w:val="o"/>
      <w:lvlJc w:val="left"/>
      <w:pPr>
        <w:tabs>
          <w:tab w:val="num" w:pos="6240"/>
        </w:tabs>
        <w:ind w:left="6240" w:hanging="480"/>
      </w:pPr>
      <w:rPr>
        <w:rFonts w:ascii="Angsana New" w:eastAsia="Angsana New" w:hAnsi="Angsana New" w:cs="Angsana New"/>
        <w:position w:val="0"/>
        <w:sz w:val="32"/>
        <w:szCs w:val="32"/>
        <w:lang w:val="en-US"/>
      </w:rPr>
    </w:lvl>
    <w:lvl w:ilvl="8">
      <w:start w:val="1"/>
      <w:numFmt w:val="bullet"/>
      <w:lvlText w:val="▪"/>
      <w:lvlJc w:val="left"/>
      <w:pPr>
        <w:tabs>
          <w:tab w:val="num" w:pos="6960"/>
        </w:tabs>
        <w:ind w:left="6960" w:hanging="480"/>
      </w:pPr>
      <w:rPr>
        <w:rFonts w:ascii="Angsana New" w:eastAsia="Angsana New" w:hAnsi="Angsana New" w:cs="Angsana New"/>
        <w:position w:val="0"/>
        <w:sz w:val="32"/>
        <w:szCs w:val="32"/>
        <w:lang w:val="en-US"/>
      </w:rPr>
    </w:lvl>
  </w:abstractNum>
  <w:abstractNum w:abstractNumId="20">
    <w:nsid w:val="357E72F5"/>
    <w:multiLevelType w:val="multilevel"/>
    <w:tmpl w:val="0986B9D6"/>
    <w:lvl w:ilvl="0">
      <w:start w:val="1"/>
      <w:numFmt w:val="decimal"/>
      <w:lvlText w:val="%1."/>
      <w:lvlJc w:val="left"/>
      <w:pPr>
        <w:ind w:left="360" w:hanging="360"/>
      </w:pPr>
    </w:lvl>
    <w:lvl w:ilvl="1">
      <w:start w:val="1"/>
      <w:numFmt w:val="decimal"/>
      <w:isLgl/>
      <w:lvlText w:val="%1.%2"/>
      <w:lvlJc w:val="left"/>
      <w:pPr>
        <w:ind w:left="360" w:hanging="360"/>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1">
    <w:nsid w:val="372B1BCE"/>
    <w:multiLevelType w:val="multilevel"/>
    <w:tmpl w:val="0409001D"/>
    <w:styleLink w:val="Recommedations"/>
    <w:lvl w:ilvl="0">
      <w:start w:val="1"/>
      <w:numFmt w:val="bullet"/>
      <w:lvlText w:val=""/>
      <w:lvlJc w:val="left"/>
      <w:pPr>
        <w:ind w:left="360" w:hanging="360"/>
      </w:pPr>
      <w:rPr>
        <w:rFonts w:ascii="Symbol" w:hAnsi="Symbol"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nsid w:val="46D93294"/>
    <w:multiLevelType w:val="multilevel"/>
    <w:tmpl w:val="282ECCCE"/>
    <w:styleLink w:val="AsylumAccess"/>
    <w:lvl w:ilvl="0">
      <w:start w:val="1"/>
      <w:numFmt w:val="decimal"/>
      <w:pStyle w:val="Maintext"/>
      <w:lvlText w:val="%1."/>
      <w:lvlJc w:val="left"/>
      <w:pPr>
        <w:ind w:left="360" w:hanging="360"/>
      </w:pPr>
      <w:rPr>
        <w:rFonts w:ascii="Trade Gothic LT" w:hAnsi="Trade Gothic LT"/>
        <w:sz w:val="23"/>
        <w:szCs w:val="23"/>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nsid w:val="473634A1"/>
    <w:multiLevelType w:val="hybridMultilevel"/>
    <w:tmpl w:val="282ECCCE"/>
    <w:lvl w:ilvl="0" w:tplc="A39282A2">
      <w:start w:val="1"/>
      <w:numFmt w:val="decimal"/>
      <w:lvlText w:val="%1."/>
      <w:lvlJc w:val="left"/>
      <w:pPr>
        <w:ind w:left="720" w:hanging="360"/>
      </w:pPr>
      <w:rPr>
        <w:sz w:val="23"/>
        <w:szCs w:val="23"/>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7FF458E"/>
    <w:multiLevelType w:val="multilevel"/>
    <w:tmpl w:val="0409001D"/>
    <w:styleLink w:val="Recommendations"/>
    <w:lvl w:ilvl="0">
      <w:start w:val="1"/>
      <w:numFmt w:val="bullet"/>
      <w:pStyle w:val="Bulletlist"/>
      <w:lvlText w:val=""/>
      <w:lvlJc w:val="left"/>
      <w:pPr>
        <w:ind w:left="360" w:hanging="360"/>
      </w:pPr>
      <w:rPr>
        <w:rFonts w:ascii="Symbol" w:hAnsi="Symbol"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nsid w:val="4820416E"/>
    <w:multiLevelType w:val="multilevel"/>
    <w:tmpl w:val="6B7CFF4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nsid w:val="4C8F3C85"/>
    <w:multiLevelType w:val="hybridMultilevel"/>
    <w:tmpl w:val="C2A81D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DE76239"/>
    <w:multiLevelType w:val="multilevel"/>
    <w:tmpl w:val="0409001D"/>
    <w:styleLink w:val="Recs"/>
    <w:lvl w:ilvl="0">
      <w:start w:val="1"/>
      <w:numFmt w:val="bullet"/>
      <w:lvlText w:val=""/>
      <w:lvlJc w:val="left"/>
      <w:pPr>
        <w:ind w:left="360" w:hanging="360"/>
      </w:pPr>
      <w:rPr>
        <w:rFonts w:ascii="Symbol" w:hAnsi="Symbol"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nsid w:val="5FBD2F3E"/>
    <w:multiLevelType w:val="multilevel"/>
    <w:tmpl w:val="3EB86C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0795779"/>
    <w:multiLevelType w:val="multilevel"/>
    <w:tmpl w:val="282ECCCE"/>
    <w:lvl w:ilvl="0">
      <w:start w:val="1"/>
      <w:numFmt w:val="decimal"/>
      <w:lvlText w:val="%1."/>
      <w:lvlJc w:val="left"/>
      <w:pPr>
        <w:ind w:left="720" w:hanging="360"/>
      </w:pPr>
      <w:rPr>
        <w:sz w:val="23"/>
        <w:szCs w:val="23"/>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nsid w:val="61666041"/>
    <w:multiLevelType w:val="hybridMultilevel"/>
    <w:tmpl w:val="CAC0D3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nsid w:val="65B34239"/>
    <w:multiLevelType w:val="multilevel"/>
    <w:tmpl w:val="6E74C042"/>
    <w:lvl w:ilvl="0">
      <w:numFmt w:val="bullet"/>
      <w:lvlText w:val="•"/>
      <w:lvlJc w:val="left"/>
      <w:pPr>
        <w:tabs>
          <w:tab w:val="num" w:pos="1080"/>
        </w:tabs>
        <w:ind w:left="1080" w:hanging="360"/>
      </w:pPr>
      <w:rPr>
        <w:rFonts w:ascii="Times" w:eastAsia="Times" w:hAnsi="Times" w:cs="Times"/>
        <w:position w:val="0"/>
        <w:sz w:val="24"/>
        <w:szCs w:val="24"/>
        <w:lang w:val="en-US"/>
      </w:rPr>
    </w:lvl>
    <w:lvl w:ilvl="1">
      <w:start w:val="1"/>
      <w:numFmt w:val="bullet"/>
      <w:lvlText w:val="o"/>
      <w:lvlJc w:val="left"/>
      <w:pPr>
        <w:tabs>
          <w:tab w:val="num" w:pos="1920"/>
        </w:tabs>
        <w:ind w:left="1920" w:hanging="480"/>
      </w:pPr>
      <w:rPr>
        <w:rFonts w:ascii="Angsana New" w:eastAsia="Angsana New" w:hAnsi="Angsana New" w:cs="Angsana New"/>
        <w:position w:val="0"/>
        <w:sz w:val="32"/>
        <w:szCs w:val="32"/>
        <w:lang w:val="en-US"/>
      </w:rPr>
    </w:lvl>
    <w:lvl w:ilvl="2">
      <w:start w:val="1"/>
      <w:numFmt w:val="bullet"/>
      <w:lvlText w:val="▪"/>
      <w:lvlJc w:val="left"/>
      <w:pPr>
        <w:tabs>
          <w:tab w:val="num" w:pos="2640"/>
        </w:tabs>
        <w:ind w:left="2640" w:hanging="480"/>
      </w:pPr>
      <w:rPr>
        <w:rFonts w:ascii="Angsana New" w:eastAsia="Angsana New" w:hAnsi="Angsana New" w:cs="Angsana New"/>
        <w:position w:val="0"/>
        <w:sz w:val="32"/>
        <w:szCs w:val="32"/>
        <w:lang w:val="en-US"/>
      </w:rPr>
    </w:lvl>
    <w:lvl w:ilvl="3">
      <w:start w:val="1"/>
      <w:numFmt w:val="bullet"/>
      <w:lvlText w:val="•"/>
      <w:lvlJc w:val="left"/>
      <w:pPr>
        <w:tabs>
          <w:tab w:val="num" w:pos="3360"/>
        </w:tabs>
        <w:ind w:left="3360" w:hanging="480"/>
      </w:pPr>
      <w:rPr>
        <w:rFonts w:ascii="Angsana New" w:eastAsia="Angsana New" w:hAnsi="Angsana New" w:cs="Angsana New"/>
        <w:position w:val="0"/>
        <w:sz w:val="32"/>
        <w:szCs w:val="32"/>
        <w:lang w:val="en-US"/>
      </w:rPr>
    </w:lvl>
    <w:lvl w:ilvl="4">
      <w:start w:val="1"/>
      <w:numFmt w:val="bullet"/>
      <w:lvlText w:val="o"/>
      <w:lvlJc w:val="left"/>
      <w:pPr>
        <w:tabs>
          <w:tab w:val="num" w:pos="4080"/>
        </w:tabs>
        <w:ind w:left="4080" w:hanging="480"/>
      </w:pPr>
      <w:rPr>
        <w:rFonts w:ascii="Angsana New" w:eastAsia="Angsana New" w:hAnsi="Angsana New" w:cs="Angsana New"/>
        <w:position w:val="0"/>
        <w:sz w:val="32"/>
        <w:szCs w:val="32"/>
        <w:lang w:val="en-US"/>
      </w:rPr>
    </w:lvl>
    <w:lvl w:ilvl="5">
      <w:start w:val="1"/>
      <w:numFmt w:val="bullet"/>
      <w:lvlText w:val="▪"/>
      <w:lvlJc w:val="left"/>
      <w:pPr>
        <w:tabs>
          <w:tab w:val="num" w:pos="4800"/>
        </w:tabs>
        <w:ind w:left="4800" w:hanging="480"/>
      </w:pPr>
      <w:rPr>
        <w:rFonts w:ascii="Angsana New" w:eastAsia="Angsana New" w:hAnsi="Angsana New" w:cs="Angsana New"/>
        <w:position w:val="0"/>
        <w:sz w:val="32"/>
        <w:szCs w:val="32"/>
        <w:lang w:val="en-US"/>
      </w:rPr>
    </w:lvl>
    <w:lvl w:ilvl="6">
      <w:start w:val="1"/>
      <w:numFmt w:val="bullet"/>
      <w:lvlText w:val="•"/>
      <w:lvlJc w:val="left"/>
      <w:pPr>
        <w:tabs>
          <w:tab w:val="num" w:pos="5520"/>
        </w:tabs>
        <w:ind w:left="5520" w:hanging="480"/>
      </w:pPr>
      <w:rPr>
        <w:rFonts w:ascii="Angsana New" w:eastAsia="Angsana New" w:hAnsi="Angsana New" w:cs="Angsana New"/>
        <w:position w:val="0"/>
        <w:sz w:val="32"/>
        <w:szCs w:val="32"/>
        <w:lang w:val="en-US"/>
      </w:rPr>
    </w:lvl>
    <w:lvl w:ilvl="7">
      <w:start w:val="1"/>
      <w:numFmt w:val="bullet"/>
      <w:lvlText w:val="o"/>
      <w:lvlJc w:val="left"/>
      <w:pPr>
        <w:tabs>
          <w:tab w:val="num" w:pos="6240"/>
        </w:tabs>
        <w:ind w:left="6240" w:hanging="480"/>
      </w:pPr>
      <w:rPr>
        <w:rFonts w:ascii="Angsana New" w:eastAsia="Angsana New" w:hAnsi="Angsana New" w:cs="Angsana New"/>
        <w:position w:val="0"/>
        <w:sz w:val="32"/>
        <w:szCs w:val="32"/>
        <w:lang w:val="en-US"/>
      </w:rPr>
    </w:lvl>
    <w:lvl w:ilvl="8">
      <w:start w:val="1"/>
      <w:numFmt w:val="bullet"/>
      <w:lvlText w:val="▪"/>
      <w:lvlJc w:val="left"/>
      <w:pPr>
        <w:tabs>
          <w:tab w:val="num" w:pos="6960"/>
        </w:tabs>
        <w:ind w:left="6960" w:hanging="480"/>
      </w:pPr>
      <w:rPr>
        <w:rFonts w:ascii="Angsana New" w:eastAsia="Angsana New" w:hAnsi="Angsana New" w:cs="Angsana New"/>
        <w:position w:val="0"/>
        <w:sz w:val="32"/>
        <w:szCs w:val="32"/>
        <w:lang w:val="en-US"/>
      </w:rPr>
    </w:lvl>
  </w:abstractNum>
  <w:abstractNum w:abstractNumId="32">
    <w:nsid w:val="6C0132D1"/>
    <w:multiLevelType w:val="hybridMultilevel"/>
    <w:tmpl w:val="8BAA88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4A777BB"/>
    <w:multiLevelType w:val="hybridMultilevel"/>
    <w:tmpl w:val="85CC5F4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3"/>
  </w:num>
  <w:num w:numId="2">
    <w:abstractNumId w:val="25"/>
  </w:num>
  <w:num w:numId="3">
    <w:abstractNumId w:val="29"/>
  </w:num>
  <w:num w:numId="4">
    <w:abstractNumId w:val="22"/>
  </w:num>
  <w:num w:numId="5">
    <w:abstractNumId w:val="12"/>
    <w:lvlOverride w:ilvl="0">
      <w:lvl w:ilvl="0">
        <w:start w:val="1"/>
        <w:numFmt w:val="decimal"/>
        <w:pStyle w:val="Maintext"/>
        <w:lvlText w:val="%1."/>
        <w:lvlJc w:val="left"/>
        <w:pPr>
          <w:ind w:left="360" w:hanging="360"/>
        </w:pPr>
        <w:rPr>
          <w:rFonts w:ascii="Calibri" w:hAnsi="Calibri" w:hint="default"/>
          <w:b w:val="0"/>
          <w:color w:val="auto"/>
          <w:sz w:val="22"/>
          <w:szCs w:val="22"/>
        </w:rPr>
      </w:lvl>
    </w:lvlOverride>
  </w:num>
  <w:num w:numId="6">
    <w:abstractNumId w:val="24"/>
  </w:num>
  <w:num w:numId="7">
    <w:abstractNumId w:val="21"/>
  </w:num>
  <w:num w:numId="8">
    <w:abstractNumId w:val="15"/>
  </w:num>
  <w:num w:numId="9">
    <w:abstractNumId w:val="27"/>
  </w:num>
  <w:num w:numId="10">
    <w:abstractNumId w:val="10"/>
  </w:num>
  <w:num w:numId="11">
    <w:abstractNumId w:val="8"/>
  </w:num>
  <w:num w:numId="12">
    <w:abstractNumId w:val="7"/>
  </w:num>
  <w:num w:numId="13">
    <w:abstractNumId w:val="6"/>
  </w:num>
  <w:num w:numId="14">
    <w:abstractNumId w:val="5"/>
  </w:num>
  <w:num w:numId="15">
    <w:abstractNumId w:val="9"/>
  </w:num>
  <w:num w:numId="16">
    <w:abstractNumId w:val="4"/>
  </w:num>
  <w:num w:numId="17">
    <w:abstractNumId w:val="3"/>
  </w:num>
  <w:num w:numId="18">
    <w:abstractNumId w:val="2"/>
  </w:num>
  <w:num w:numId="19">
    <w:abstractNumId w:val="1"/>
  </w:num>
  <w:num w:numId="20">
    <w:abstractNumId w:val="0"/>
  </w:num>
  <w:num w:numId="21">
    <w:abstractNumId w:val="14"/>
  </w:num>
  <w:num w:numId="22">
    <w:abstractNumId w:val="26"/>
  </w:num>
  <w:num w:numId="23">
    <w:abstractNumId w:val="30"/>
  </w:num>
  <w:num w:numId="24">
    <w:abstractNumId w:val="33"/>
  </w:num>
  <w:num w:numId="25">
    <w:abstractNumId w:val="32"/>
  </w:num>
  <w:num w:numId="26">
    <w:abstractNumId w:val="13"/>
  </w:num>
  <w:num w:numId="27">
    <w:abstractNumId w:val="20"/>
  </w:num>
  <w:num w:numId="28">
    <w:abstractNumId w:val="16"/>
  </w:num>
  <w:num w:numId="29">
    <w:abstractNumId w:val="28"/>
  </w:num>
  <w:num w:numId="30">
    <w:abstractNumId w:val="18"/>
  </w:num>
  <w:num w:numId="31">
    <w:abstractNumId w:val="17"/>
  </w:num>
  <w:num w:numId="32">
    <w:abstractNumId w:val="31"/>
  </w:num>
  <w:num w:numId="33">
    <w:abstractNumId w:val="19"/>
  </w:num>
  <w:num w:numId="3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20"/>
  <w:characterSpacingControl w:val="doNotCompress"/>
  <w:savePreviewPicture/>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4A7A"/>
    <w:rsid w:val="000022C5"/>
    <w:rsid w:val="00005CD4"/>
    <w:rsid w:val="00006D34"/>
    <w:rsid w:val="00013870"/>
    <w:rsid w:val="00020058"/>
    <w:rsid w:val="00020110"/>
    <w:rsid w:val="000206A5"/>
    <w:rsid w:val="000214AF"/>
    <w:rsid w:val="00025653"/>
    <w:rsid w:val="00031AD5"/>
    <w:rsid w:val="00032ABF"/>
    <w:rsid w:val="00044AC0"/>
    <w:rsid w:val="00045B1E"/>
    <w:rsid w:val="00055C4B"/>
    <w:rsid w:val="0006376C"/>
    <w:rsid w:val="000742E3"/>
    <w:rsid w:val="00083296"/>
    <w:rsid w:val="000937ED"/>
    <w:rsid w:val="000A7C00"/>
    <w:rsid w:val="000B136C"/>
    <w:rsid w:val="000B6DD9"/>
    <w:rsid w:val="000D351E"/>
    <w:rsid w:val="000D3E99"/>
    <w:rsid w:val="000E23CE"/>
    <w:rsid w:val="000F35B0"/>
    <w:rsid w:val="000F4BA0"/>
    <w:rsid w:val="00106E71"/>
    <w:rsid w:val="001112D2"/>
    <w:rsid w:val="00113B82"/>
    <w:rsid w:val="00115157"/>
    <w:rsid w:val="00121484"/>
    <w:rsid w:val="00121606"/>
    <w:rsid w:val="001226A1"/>
    <w:rsid w:val="001303FC"/>
    <w:rsid w:val="0013467D"/>
    <w:rsid w:val="00134FFA"/>
    <w:rsid w:val="001366AC"/>
    <w:rsid w:val="00157070"/>
    <w:rsid w:val="00161B5E"/>
    <w:rsid w:val="0017785E"/>
    <w:rsid w:val="00177E15"/>
    <w:rsid w:val="00186E52"/>
    <w:rsid w:val="00187488"/>
    <w:rsid w:val="0018778E"/>
    <w:rsid w:val="001932B8"/>
    <w:rsid w:val="00193C7C"/>
    <w:rsid w:val="00197599"/>
    <w:rsid w:val="001A05E2"/>
    <w:rsid w:val="001A1BE6"/>
    <w:rsid w:val="001B0166"/>
    <w:rsid w:val="001B2D01"/>
    <w:rsid w:val="001B5481"/>
    <w:rsid w:val="001C1DD6"/>
    <w:rsid w:val="001C7861"/>
    <w:rsid w:val="001D4421"/>
    <w:rsid w:val="001D5E0B"/>
    <w:rsid w:val="001D6449"/>
    <w:rsid w:val="001E099A"/>
    <w:rsid w:val="001E206D"/>
    <w:rsid w:val="001E2742"/>
    <w:rsid w:val="001E3CD1"/>
    <w:rsid w:val="001E7634"/>
    <w:rsid w:val="001F111E"/>
    <w:rsid w:val="001F1F5B"/>
    <w:rsid w:val="001F587F"/>
    <w:rsid w:val="0020156A"/>
    <w:rsid w:val="0021645E"/>
    <w:rsid w:val="002246B6"/>
    <w:rsid w:val="002274D1"/>
    <w:rsid w:val="00231C75"/>
    <w:rsid w:val="0023628F"/>
    <w:rsid w:val="00237FDC"/>
    <w:rsid w:val="002416F7"/>
    <w:rsid w:val="0024317F"/>
    <w:rsid w:val="00244FD3"/>
    <w:rsid w:val="0024531A"/>
    <w:rsid w:val="0025250D"/>
    <w:rsid w:val="00254729"/>
    <w:rsid w:val="00260D4C"/>
    <w:rsid w:val="00263C3C"/>
    <w:rsid w:val="002729F8"/>
    <w:rsid w:val="002807D6"/>
    <w:rsid w:val="00283DEC"/>
    <w:rsid w:val="00285097"/>
    <w:rsid w:val="0028551C"/>
    <w:rsid w:val="00296652"/>
    <w:rsid w:val="002A0C42"/>
    <w:rsid w:val="002A2EDF"/>
    <w:rsid w:val="002B1142"/>
    <w:rsid w:val="002B6C01"/>
    <w:rsid w:val="002B7C8F"/>
    <w:rsid w:val="002C0322"/>
    <w:rsid w:val="002C04AA"/>
    <w:rsid w:val="002C172E"/>
    <w:rsid w:val="002D119C"/>
    <w:rsid w:val="002D541D"/>
    <w:rsid w:val="002E3559"/>
    <w:rsid w:val="002F0C31"/>
    <w:rsid w:val="002F3469"/>
    <w:rsid w:val="002F3CE4"/>
    <w:rsid w:val="003069D6"/>
    <w:rsid w:val="00311B45"/>
    <w:rsid w:val="0031399A"/>
    <w:rsid w:val="003328FF"/>
    <w:rsid w:val="00334159"/>
    <w:rsid w:val="003536B4"/>
    <w:rsid w:val="00355145"/>
    <w:rsid w:val="00356053"/>
    <w:rsid w:val="00356A2A"/>
    <w:rsid w:val="00357BAF"/>
    <w:rsid w:val="00361055"/>
    <w:rsid w:val="00373BF4"/>
    <w:rsid w:val="00374E80"/>
    <w:rsid w:val="00375039"/>
    <w:rsid w:val="003822F9"/>
    <w:rsid w:val="00384221"/>
    <w:rsid w:val="00391163"/>
    <w:rsid w:val="00394A8F"/>
    <w:rsid w:val="003A1A1B"/>
    <w:rsid w:val="003A34A4"/>
    <w:rsid w:val="003A59D0"/>
    <w:rsid w:val="003C247F"/>
    <w:rsid w:val="003D47BF"/>
    <w:rsid w:val="003E3315"/>
    <w:rsid w:val="003E3457"/>
    <w:rsid w:val="003E7259"/>
    <w:rsid w:val="003F3552"/>
    <w:rsid w:val="0040064E"/>
    <w:rsid w:val="004045D1"/>
    <w:rsid w:val="00405E28"/>
    <w:rsid w:val="00407523"/>
    <w:rsid w:val="004121C2"/>
    <w:rsid w:val="00416A6B"/>
    <w:rsid w:val="004171DA"/>
    <w:rsid w:val="00425351"/>
    <w:rsid w:val="00426562"/>
    <w:rsid w:val="00430368"/>
    <w:rsid w:val="00434C82"/>
    <w:rsid w:val="00434DA1"/>
    <w:rsid w:val="00436AE4"/>
    <w:rsid w:val="004370D4"/>
    <w:rsid w:val="004434CE"/>
    <w:rsid w:val="00444D4B"/>
    <w:rsid w:val="00452D12"/>
    <w:rsid w:val="00454DCB"/>
    <w:rsid w:val="00464097"/>
    <w:rsid w:val="00467DA3"/>
    <w:rsid w:val="00467EC0"/>
    <w:rsid w:val="00471670"/>
    <w:rsid w:val="00472DCA"/>
    <w:rsid w:val="00490449"/>
    <w:rsid w:val="00495103"/>
    <w:rsid w:val="0049570D"/>
    <w:rsid w:val="004A0825"/>
    <w:rsid w:val="004A09E3"/>
    <w:rsid w:val="004B56D1"/>
    <w:rsid w:val="004E5CA8"/>
    <w:rsid w:val="004F52C2"/>
    <w:rsid w:val="00501CBF"/>
    <w:rsid w:val="00506883"/>
    <w:rsid w:val="00511A0B"/>
    <w:rsid w:val="005210F6"/>
    <w:rsid w:val="0052202B"/>
    <w:rsid w:val="00531C02"/>
    <w:rsid w:val="00532ED0"/>
    <w:rsid w:val="005339CF"/>
    <w:rsid w:val="00535188"/>
    <w:rsid w:val="00542302"/>
    <w:rsid w:val="00542BF4"/>
    <w:rsid w:val="00542C78"/>
    <w:rsid w:val="005550EA"/>
    <w:rsid w:val="00565349"/>
    <w:rsid w:val="00573E72"/>
    <w:rsid w:val="00576D01"/>
    <w:rsid w:val="00584A60"/>
    <w:rsid w:val="0059072E"/>
    <w:rsid w:val="005932B9"/>
    <w:rsid w:val="005A5318"/>
    <w:rsid w:val="005B04E4"/>
    <w:rsid w:val="005B4F9D"/>
    <w:rsid w:val="005C0B7D"/>
    <w:rsid w:val="005C25A4"/>
    <w:rsid w:val="005D704A"/>
    <w:rsid w:val="005E65C7"/>
    <w:rsid w:val="005E6B13"/>
    <w:rsid w:val="0060384F"/>
    <w:rsid w:val="00605573"/>
    <w:rsid w:val="00613A2B"/>
    <w:rsid w:val="0061484D"/>
    <w:rsid w:val="00620227"/>
    <w:rsid w:val="00624547"/>
    <w:rsid w:val="00626D75"/>
    <w:rsid w:val="00627E9D"/>
    <w:rsid w:val="006324B1"/>
    <w:rsid w:val="006363C7"/>
    <w:rsid w:val="00637D9F"/>
    <w:rsid w:val="0064092E"/>
    <w:rsid w:val="00641B06"/>
    <w:rsid w:val="00644A7A"/>
    <w:rsid w:val="0064603D"/>
    <w:rsid w:val="00647E0B"/>
    <w:rsid w:val="00651626"/>
    <w:rsid w:val="00662A6D"/>
    <w:rsid w:val="0066495F"/>
    <w:rsid w:val="006719D4"/>
    <w:rsid w:val="00673EDB"/>
    <w:rsid w:val="00682E78"/>
    <w:rsid w:val="00690981"/>
    <w:rsid w:val="00692F17"/>
    <w:rsid w:val="006930C0"/>
    <w:rsid w:val="00696717"/>
    <w:rsid w:val="006968D9"/>
    <w:rsid w:val="00697994"/>
    <w:rsid w:val="006A53B6"/>
    <w:rsid w:val="006C2B1B"/>
    <w:rsid w:val="006C5235"/>
    <w:rsid w:val="006C572A"/>
    <w:rsid w:val="006C5F76"/>
    <w:rsid w:val="006D1622"/>
    <w:rsid w:val="006D2623"/>
    <w:rsid w:val="006D3234"/>
    <w:rsid w:val="006D71A9"/>
    <w:rsid w:val="007165BC"/>
    <w:rsid w:val="007236CE"/>
    <w:rsid w:val="007245ED"/>
    <w:rsid w:val="0073125F"/>
    <w:rsid w:val="00731460"/>
    <w:rsid w:val="00761F96"/>
    <w:rsid w:val="00762EE5"/>
    <w:rsid w:val="00764367"/>
    <w:rsid w:val="00775F22"/>
    <w:rsid w:val="007761F0"/>
    <w:rsid w:val="007858CA"/>
    <w:rsid w:val="007863C5"/>
    <w:rsid w:val="00786857"/>
    <w:rsid w:val="0078736F"/>
    <w:rsid w:val="00787C9F"/>
    <w:rsid w:val="007922D1"/>
    <w:rsid w:val="00792BFD"/>
    <w:rsid w:val="00794235"/>
    <w:rsid w:val="0079441F"/>
    <w:rsid w:val="00794F2C"/>
    <w:rsid w:val="007A008F"/>
    <w:rsid w:val="007A00AB"/>
    <w:rsid w:val="007A3B29"/>
    <w:rsid w:val="007B0108"/>
    <w:rsid w:val="007B02E5"/>
    <w:rsid w:val="007B6557"/>
    <w:rsid w:val="007B738E"/>
    <w:rsid w:val="007D0E2C"/>
    <w:rsid w:val="007D3002"/>
    <w:rsid w:val="007D613B"/>
    <w:rsid w:val="007E4A0C"/>
    <w:rsid w:val="007E5079"/>
    <w:rsid w:val="007E74B5"/>
    <w:rsid w:val="007F50EF"/>
    <w:rsid w:val="007F5251"/>
    <w:rsid w:val="007F5882"/>
    <w:rsid w:val="007F5A10"/>
    <w:rsid w:val="007F74D9"/>
    <w:rsid w:val="007F75DA"/>
    <w:rsid w:val="007F7F1C"/>
    <w:rsid w:val="0080317D"/>
    <w:rsid w:val="0080670C"/>
    <w:rsid w:val="00810101"/>
    <w:rsid w:val="00817893"/>
    <w:rsid w:val="00821578"/>
    <w:rsid w:val="0083217E"/>
    <w:rsid w:val="00842D6F"/>
    <w:rsid w:val="00846DFF"/>
    <w:rsid w:val="008519A7"/>
    <w:rsid w:val="00853EF7"/>
    <w:rsid w:val="00857997"/>
    <w:rsid w:val="008609F0"/>
    <w:rsid w:val="00862030"/>
    <w:rsid w:val="0086350A"/>
    <w:rsid w:val="00864566"/>
    <w:rsid w:val="008820D3"/>
    <w:rsid w:val="0088738C"/>
    <w:rsid w:val="00891A7F"/>
    <w:rsid w:val="008969AA"/>
    <w:rsid w:val="008A4AEC"/>
    <w:rsid w:val="008A6619"/>
    <w:rsid w:val="008B0593"/>
    <w:rsid w:val="008B1C40"/>
    <w:rsid w:val="008C6A23"/>
    <w:rsid w:val="008D2297"/>
    <w:rsid w:val="008D36B5"/>
    <w:rsid w:val="008E07F7"/>
    <w:rsid w:val="00900C4A"/>
    <w:rsid w:val="009044E4"/>
    <w:rsid w:val="009047B7"/>
    <w:rsid w:val="0091663B"/>
    <w:rsid w:val="009179D0"/>
    <w:rsid w:val="009263EA"/>
    <w:rsid w:val="00931039"/>
    <w:rsid w:val="009319E3"/>
    <w:rsid w:val="00932D1B"/>
    <w:rsid w:val="00936EBE"/>
    <w:rsid w:val="00940276"/>
    <w:rsid w:val="00945058"/>
    <w:rsid w:val="009463CF"/>
    <w:rsid w:val="0096142C"/>
    <w:rsid w:val="009617E5"/>
    <w:rsid w:val="00964981"/>
    <w:rsid w:val="00966947"/>
    <w:rsid w:val="00972A95"/>
    <w:rsid w:val="0097585E"/>
    <w:rsid w:val="00977366"/>
    <w:rsid w:val="009820A3"/>
    <w:rsid w:val="009858C7"/>
    <w:rsid w:val="00990B41"/>
    <w:rsid w:val="009936A8"/>
    <w:rsid w:val="00995DF3"/>
    <w:rsid w:val="00997E97"/>
    <w:rsid w:val="009A1FED"/>
    <w:rsid w:val="009A4E6C"/>
    <w:rsid w:val="009C285F"/>
    <w:rsid w:val="009D32F5"/>
    <w:rsid w:val="009D677C"/>
    <w:rsid w:val="009F1154"/>
    <w:rsid w:val="009F3C0B"/>
    <w:rsid w:val="00A11A0C"/>
    <w:rsid w:val="00A228EC"/>
    <w:rsid w:val="00A23BF6"/>
    <w:rsid w:val="00A24AB5"/>
    <w:rsid w:val="00A25630"/>
    <w:rsid w:val="00A2579D"/>
    <w:rsid w:val="00A305AC"/>
    <w:rsid w:val="00A35310"/>
    <w:rsid w:val="00A42042"/>
    <w:rsid w:val="00A42BAA"/>
    <w:rsid w:val="00A44942"/>
    <w:rsid w:val="00A51C20"/>
    <w:rsid w:val="00A6037B"/>
    <w:rsid w:val="00A61D0E"/>
    <w:rsid w:val="00A63947"/>
    <w:rsid w:val="00A734D7"/>
    <w:rsid w:val="00A82B56"/>
    <w:rsid w:val="00A82F2B"/>
    <w:rsid w:val="00AA013C"/>
    <w:rsid w:val="00AA0C26"/>
    <w:rsid w:val="00AA2F15"/>
    <w:rsid w:val="00AB4750"/>
    <w:rsid w:val="00AB7BCF"/>
    <w:rsid w:val="00AC5581"/>
    <w:rsid w:val="00AE3C07"/>
    <w:rsid w:val="00AF2696"/>
    <w:rsid w:val="00AF2C1E"/>
    <w:rsid w:val="00B15066"/>
    <w:rsid w:val="00B252EB"/>
    <w:rsid w:val="00B305DC"/>
    <w:rsid w:val="00B30F9B"/>
    <w:rsid w:val="00B32C1E"/>
    <w:rsid w:val="00B374D0"/>
    <w:rsid w:val="00B41BEB"/>
    <w:rsid w:val="00B4507F"/>
    <w:rsid w:val="00B46AC0"/>
    <w:rsid w:val="00B5148B"/>
    <w:rsid w:val="00B52673"/>
    <w:rsid w:val="00B5403F"/>
    <w:rsid w:val="00B61B16"/>
    <w:rsid w:val="00B72E62"/>
    <w:rsid w:val="00B739DF"/>
    <w:rsid w:val="00B75201"/>
    <w:rsid w:val="00B80B57"/>
    <w:rsid w:val="00B90B7D"/>
    <w:rsid w:val="00B92E39"/>
    <w:rsid w:val="00B94378"/>
    <w:rsid w:val="00BA02D8"/>
    <w:rsid w:val="00BA3FE4"/>
    <w:rsid w:val="00BB0653"/>
    <w:rsid w:val="00BB29EE"/>
    <w:rsid w:val="00BB4FC6"/>
    <w:rsid w:val="00BC08E1"/>
    <w:rsid w:val="00BC1AC8"/>
    <w:rsid w:val="00BC5675"/>
    <w:rsid w:val="00BD0884"/>
    <w:rsid w:val="00BE19A9"/>
    <w:rsid w:val="00BE6A72"/>
    <w:rsid w:val="00BF038B"/>
    <w:rsid w:val="00BF1430"/>
    <w:rsid w:val="00BF76EE"/>
    <w:rsid w:val="00C0395C"/>
    <w:rsid w:val="00C062DB"/>
    <w:rsid w:val="00C077EE"/>
    <w:rsid w:val="00C1202C"/>
    <w:rsid w:val="00C134A1"/>
    <w:rsid w:val="00C2003B"/>
    <w:rsid w:val="00C22771"/>
    <w:rsid w:val="00C3316C"/>
    <w:rsid w:val="00C34BEA"/>
    <w:rsid w:val="00C40BA2"/>
    <w:rsid w:val="00C40D58"/>
    <w:rsid w:val="00C5281D"/>
    <w:rsid w:val="00C55873"/>
    <w:rsid w:val="00C61275"/>
    <w:rsid w:val="00C61B2A"/>
    <w:rsid w:val="00C61E6D"/>
    <w:rsid w:val="00C63874"/>
    <w:rsid w:val="00C63CFB"/>
    <w:rsid w:val="00C73370"/>
    <w:rsid w:val="00C7758F"/>
    <w:rsid w:val="00C81922"/>
    <w:rsid w:val="00C9718B"/>
    <w:rsid w:val="00CB561F"/>
    <w:rsid w:val="00CC6FCD"/>
    <w:rsid w:val="00CD2489"/>
    <w:rsid w:val="00CF4953"/>
    <w:rsid w:val="00CF4CE9"/>
    <w:rsid w:val="00CF51CD"/>
    <w:rsid w:val="00D00619"/>
    <w:rsid w:val="00D05660"/>
    <w:rsid w:val="00D1071A"/>
    <w:rsid w:val="00D249DF"/>
    <w:rsid w:val="00D4091A"/>
    <w:rsid w:val="00D46DDA"/>
    <w:rsid w:val="00D52549"/>
    <w:rsid w:val="00D538B6"/>
    <w:rsid w:val="00D55994"/>
    <w:rsid w:val="00D63884"/>
    <w:rsid w:val="00D712E6"/>
    <w:rsid w:val="00D73EB7"/>
    <w:rsid w:val="00D74F50"/>
    <w:rsid w:val="00D75F70"/>
    <w:rsid w:val="00D80D43"/>
    <w:rsid w:val="00D81A09"/>
    <w:rsid w:val="00D8223F"/>
    <w:rsid w:val="00D86344"/>
    <w:rsid w:val="00D86E10"/>
    <w:rsid w:val="00D93762"/>
    <w:rsid w:val="00DA1E91"/>
    <w:rsid w:val="00DA5472"/>
    <w:rsid w:val="00DA7302"/>
    <w:rsid w:val="00DB22EB"/>
    <w:rsid w:val="00DC3FEB"/>
    <w:rsid w:val="00DC446F"/>
    <w:rsid w:val="00DC5518"/>
    <w:rsid w:val="00DC6650"/>
    <w:rsid w:val="00DC70FE"/>
    <w:rsid w:val="00DD1C01"/>
    <w:rsid w:val="00DD3F32"/>
    <w:rsid w:val="00DE01D4"/>
    <w:rsid w:val="00DE793B"/>
    <w:rsid w:val="00E2596B"/>
    <w:rsid w:val="00E30AC5"/>
    <w:rsid w:val="00E31973"/>
    <w:rsid w:val="00E31BF3"/>
    <w:rsid w:val="00E42143"/>
    <w:rsid w:val="00E4444B"/>
    <w:rsid w:val="00E4535B"/>
    <w:rsid w:val="00E45605"/>
    <w:rsid w:val="00E45E4D"/>
    <w:rsid w:val="00E636AA"/>
    <w:rsid w:val="00E64F6C"/>
    <w:rsid w:val="00E656AF"/>
    <w:rsid w:val="00E7106C"/>
    <w:rsid w:val="00E721ED"/>
    <w:rsid w:val="00E80F19"/>
    <w:rsid w:val="00E81626"/>
    <w:rsid w:val="00E82473"/>
    <w:rsid w:val="00E921F6"/>
    <w:rsid w:val="00E95AC8"/>
    <w:rsid w:val="00EA3C76"/>
    <w:rsid w:val="00EB090C"/>
    <w:rsid w:val="00EB625A"/>
    <w:rsid w:val="00EC0E1B"/>
    <w:rsid w:val="00EC73BA"/>
    <w:rsid w:val="00EC79C2"/>
    <w:rsid w:val="00ED59A2"/>
    <w:rsid w:val="00ED7039"/>
    <w:rsid w:val="00ED7A86"/>
    <w:rsid w:val="00EE4ED2"/>
    <w:rsid w:val="00EE5AE4"/>
    <w:rsid w:val="00EE7DCF"/>
    <w:rsid w:val="00EF1497"/>
    <w:rsid w:val="00EF4A62"/>
    <w:rsid w:val="00EF5AAA"/>
    <w:rsid w:val="00F004C1"/>
    <w:rsid w:val="00F22FD8"/>
    <w:rsid w:val="00F267C8"/>
    <w:rsid w:val="00F301C8"/>
    <w:rsid w:val="00F374FC"/>
    <w:rsid w:val="00F42D92"/>
    <w:rsid w:val="00F459CB"/>
    <w:rsid w:val="00F52EB8"/>
    <w:rsid w:val="00F62D9C"/>
    <w:rsid w:val="00F71553"/>
    <w:rsid w:val="00F751C5"/>
    <w:rsid w:val="00F77298"/>
    <w:rsid w:val="00F9190E"/>
    <w:rsid w:val="00F9364E"/>
    <w:rsid w:val="00F943C7"/>
    <w:rsid w:val="00F94CD7"/>
    <w:rsid w:val="00FB49CD"/>
    <w:rsid w:val="00FD20CC"/>
    <w:rsid w:val="00FD76A4"/>
    <w:rsid w:val="00FE1DE9"/>
    <w:rsid w:val="00FE344D"/>
    <w:rsid w:val="00FE500D"/>
    <w:rsid w:val="00FF4FC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2380EC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00AB"/>
    <w:rPr>
      <w:rFonts w:ascii="Trade Gothic LT" w:eastAsia="Times New Roman" w:hAnsi="Trade Gothic LT" w:cs="Times New Roman"/>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4A7A"/>
    <w:pPr>
      <w:ind w:left="720"/>
      <w:contextualSpacing/>
    </w:pPr>
  </w:style>
  <w:style w:type="paragraph" w:styleId="Header">
    <w:name w:val="header"/>
    <w:basedOn w:val="Normal"/>
    <w:link w:val="HeaderChar"/>
    <w:uiPriority w:val="99"/>
    <w:unhideWhenUsed/>
    <w:rsid w:val="009820A3"/>
    <w:pPr>
      <w:tabs>
        <w:tab w:val="center" w:pos="4320"/>
        <w:tab w:val="right" w:pos="8640"/>
      </w:tabs>
    </w:pPr>
  </w:style>
  <w:style w:type="numbering" w:customStyle="1" w:styleId="AsylumAccess">
    <w:name w:val="Asylum Access"/>
    <w:uiPriority w:val="99"/>
    <w:rsid w:val="00644A7A"/>
    <w:pPr>
      <w:numPr>
        <w:numId w:val="4"/>
      </w:numPr>
    </w:pPr>
  </w:style>
  <w:style w:type="character" w:customStyle="1" w:styleId="HeaderChar">
    <w:name w:val="Header Char"/>
    <w:basedOn w:val="DefaultParagraphFont"/>
    <w:link w:val="Header"/>
    <w:uiPriority w:val="99"/>
    <w:rsid w:val="009820A3"/>
    <w:rPr>
      <w:rFonts w:ascii="Times New Roman" w:eastAsia="Times New Roman" w:hAnsi="Times New Roman" w:cs="Times New Roman"/>
      <w:sz w:val="20"/>
      <w:szCs w:val="20"/>
    </w:rPr>
  </w:style>
  <w:style w:type="character" w:styleId="PageNumber">
    <w:name w:val="page number"/>
    <w:basedOn w:val="DefaultParagraphFont"/>
    <w:uiPriority w:val="99"/>
    <w:semiHidden/>
    <w:unhideWhenUsed/>
    <w:rsid w:val="0059072E"/>
  </w:style>
  <w:style w:type="paragraph" w:styleId="Footer">
    <w:name w:val="footer"/>
    <w:basedOn w:val="Normal"/>
    <w:link w:val="FooterChar"/>
    <w:uiPriority w:val="99"/>
    <w:unhideWhenUsed/>
    <w:rsid w:val="009820A3"/>
    <w:pPr>
      <w:tabs>
        <w:tab w:val="center" w:pos="4320"/>
        <w:tab w:val="right" w:pos="8640"/>
      </w:tabs>
    </w:pPr>
  </w:style>
  <w:style w:type="character" w:customStyle="1" w:styleId="FooterChar">
    <w:name w:val="Footer Char"/>
    <w:basedOn w:val="DefaultParagraphFont"/>
    <w:link w:val="Footer"/>
    <w:uiPriority w:val="99"/>
    <w:rsid w:val="009820A3"/>
    <w:rPr>
      <w:rFonts w:ascii="Times New Roman" w:eastAsia="Times New Roman" w:hAnsi="Times New Roman" w:cs="Times New Roman"/>
      <w:sz w:val="20"/>
      <w:szCs w:val="20"/>
    </w:rPr>
  </w:style>
  <w:style w:type="paragraph" w:styleId="EndnoteText">
    <w:name w:val="endnote text"/>
    <w:basedOn w:val="Normal"/>
    <w:link w:val="EndnoteTextChar"/>
    <w:unhideWhenUsed/>
    <w:rsid w:val="004121C2"/>
    <w:rPr>
      <w:szCs w:val="24"/>
    </w:rPr>
  </w:style>
  <w:style w:type="character" w:customStyle="1" w:styleId="EndnoteTextChar">
    <w:name w:val="Endnote Text Char"/>
    <w:basedOn w:val="DefaultParagraphFont"/>
    <w:link w:val="EndnoteText"/>
    <w:rsid w:val="004121C2"/>
    <w:rPr>
      <w:rFonts w:ascii="Trade Gothic LT" w:eastAsia="Times New Roman" w:hAnsi="Trade Gothic LT" w:cs="Times New Roman"/>
      <w:sz w:val="20"/>
    </w:rPr>
  </w:style>
  <w:style w:type="character" w:styleId="EndnoteReference">
    <w:name w:val="endnote reference"/>
    <w:basedOn w:val="DefaultParagraphFont"/>
    <w:uiPriority w:val="99"/>
    <w:unhideWhenUsed/>
    <w:rsid w:val="004121C2"/>
    <w:rPr>
      <w:rFonts w:ascii="Trade Gothic LT" w:hAnsi="Trade Gothic LT"/>
      <w:sz w:val="20"/>
      <w:vertAlign w:val="superscript"/>
    </w:rPr>
  </w:style>
  <w:style w:type="paragraph" w:customStyle="1" w:styleId="MajorIssue">
    <w:name w:val="Major Issue"/>
    <w:basedOn w:val="Normal"/>
    <w:qFormat/>
    <w:rsid w:val="00731460"/>
    <w:pPr>
      <w:spacing w:before="25"/>
      <w:ind w:left="112"/>
    </w:pPr>
    <w:rPr>
      <w:b/>
      <w:bCs/>
      <w:caps/>
      <w:noProof/>
      <w:sz w:val="23"/>
      <w:szCs w:val="24"/>
    </w:rPr>
  </w:style>
  <w:style w:type="paragraph" w:customStyle="1" w:styleId="SubIssue">
    <w:name w:val="Sub Issue"/>
    <w:next w:val="Normal"/>
    <w:qFormat/>
    <w:rsid w:val="004121C2"/>
    <w:rPr>
      <w:rFonts w:ascii="Trade Gothic LT" w:eastAsia="Times New Roman" w:hAnsi="Trade Gothic LT" w:cs="Times New Roman"/>
      <w:b/>
      <w:bCs/>
      <w:noProof/>
      <w:spacing w:val="-1"/>
      <w:sz w:val="23"/>
      <w:szCs w:val="23"/>
      <w:u w:val="single"/>
    </w:rPr>
  </w:style>
  <w:style w:type="numbering" w:customStyle="1" w:styleId="Recommendations">
    <w:name w:val="Recommendations"/>
    <w:basedOn w:val="NoList"/>
    <w:uiPriority w:val="99"/>
    <w:rsid w:val="004121C2"/>
    <w:pPr>
      <w:numPr>
        <w:numId w:val="6"/>
      </w:numPr>
    </w:pPr>
  </w:style>
  <w:style w:type="numbering" w:customStyle="1" w:styleId="Recommedations">
    <w:name w:val="Recommedations"/>
    <w:basedOn w:val="NoList"/>
    <w:uiPriority w:val="99"/>
    <w:rsid w:val="004121C2"/>
    <w:pPr>
      <w:numPr>
        <w:numId w:val="7"/>
      </w:numPr>
    </w:pPr>
  </w:style>
  <w:style w:type="paragraph" w:customStyle="1" w:styleId="AboutAsylumAccess">
    <w:name w:val="About Asylum Access"/>
    <w:basedOn w:val="SubIssue"/>
    <w:qFormat/>
    <w:rsid w:val="009820A3"/>
    <w:rPr>
      <w:u w:val="none"/>
    </w:rPr>
  </w:style>
  <w:style w:type="character" w:styleId="Hyperlink">
    <w:name w:val="Hyperlink"/>
    <w:basedOn w:val="DefaultParagraphFont"/>
    <w:uiPriority w:val="99"/>
    <w:unhideWhenUsed/>
    <w:rsid w:val="00AE3C07"/>
    <w:rPr>
      <w:color w:val="0000FF" w:themeColor="hyperlink"/>
      <w:u w:val="single"/>
    </w:rPr>
  </w:style>
  <w:style w:type="character" w:styleId="FollowedHyperlink">
    <w:name w:val="FollowedHyperlink"/>
    <w:basedOn w:val="DefaultParagraphFont"/>
    <w:uiPriority w:val="99"/>
    <w:semiHidden/>
    <w:unhideWhenUsed/>
    <w:rsid w:val="00AE3C07"/>
    <w:rPr>
      <w:color w:val="800080" w:themeColor="followedHyperlink"/>
      <w:u w:val="single"/>
    </w:rPr>
  </w:style>
  <w:style w:type="numbering" w:customStyle="1" w:styleId="Recs">
    <w:name w:val="Recs"/>
    <w:basedOn w:val="Recommendations"/>
    <w:uiPriority w:val="99"/>
    <w:rsid w:val="007A00AB"/>
    <w:pPr>
      <w:numPr>
        <w:numId w:val="9"/>
      </w:numPr>
    </w:pPr>
  </w:style>
  <w:style w:type="paragraph" w:customStyle="1" w:styleId="Bulletlist">
    <w:name w:val="Bullet list"/>
    <w:qFormat/>
    <w:rsid w:val="007A00AB"/>
    <w:pPr>
      <w:numPr>
        <w:numId w:val="8"/>
      </w:numPr>
      <w:ind w:left="900"/>
    </w:pPr>
    <w:rPr>
      <w:rFonts w:ascii="Trade Gothic LT" w:eastAsia="Times New Roman" w:hAnsi="Trade Gothic LT" w:cs="Times New Roman"/>
      <w:sz w:val="22"/>
      <w:szCs w:val="22"/>
    </w:rPr>
  </w:style>
  <w:style w:type="paragraph" w:customStyle="1" w:styleId="Headers">
    <w:name w:val="Headers"/>
    <w:basedOn w:val="Normal"/>
    <w:qFormat/>
    <w:rsid w:val="00BB29EE"/>
    <w:pPr>
      <w:spacing w:line="300" w:lineRule="exact"/>
      <w:ind w:left="1620" w:right="1620"/>
      <w:jc w:val="center"/>
    </w:pPr>
    <w:rPr>
      <w:b/>
      <w:spacing w:val="-1"/>
      <w:position w:val="-1"/>
      <w:sz w:val="24"/>
      <w:szCs w:val="24"/>
    </w:rPr>
  </w:style>
  <w:style w:type="paragraph" w:styleId="NormalWeb">
    <w:name w:val="Normal (Web)"/>
    <w:basedOn w:val="Normal"/>
    <w:uiPriority w:val="99"/>
    <w:semiHidden/>
    <w:unhideWhenUsed/>
    <w:rsid w:val="00BB29EE"/>
    <w:pPr>
      <w:spacing w:before="100" w:beforeAutospacing="1" w:after="100" w:afterAutospacing="1"/>
    </w:pPr>
    <w:rPr>
      <w:rFonts w:ascii="Times" w:eastAsiaTheme="minorEastAsia" w:hAnsi="Times"/>
      <w:sz w:val="20"/>
    </w:rPr>
  </w:style>
  <w:style w:type="paragraph" w:customStyle="1" w:styleId="Maintext">
    <w:name w:val="Main text"/>
    <w:basedOn w:val="ListParagraph"/>
    <w:qFormat/>
    <w:rsid w:val="006719D4"/>
    <w:pPr>
      <w:numPr>
        <w:numId w:val="5"/>
      </w:numPr>
    </w:pPr>
    <w:rPr>
      <w:szCs w:val="22"/>
    </w:rPr>
  </w:style>
  <w:style w:type="paragraph" w:styleId="BalloonText">
    <w:name w:val="Balloon Text"/>
    <w:basedOn w:val="Normal"/>
    <w:link w:val="BalloonTextChar"/>
    <w:uiPriority w:val="99"/>
    <w:semiHidden/>
    <w:unhideWhenUsed/>
    <w:rsid w:val="0080317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0317D"/>
    <w:rPr>
      <w:rFonts w:ascii="Lucida Grande" w:eastAsia="Times New Roman" w:hAnsi="Lucida Grande" w:cs="Lucida Grande"/>
      <w:sz w:val="18"/>
      <w:szCs w:val="18"/>
    </w:rPr>
  </w:style>
  <w:style w:type="paragraph" w:styleId="FootnoteText">
    <w:name w:val="footnote text"/>
    <w:aliases w:val="5_G,Footnote Text Char Char Char Char Char,Footnote Text Char Char Char Char,Footnote reference,FA Fu,Footnote Text Char Char Char, Char,Footnote Reference1,Footnote Text Char Char,single space,ft,Geneva 9,Font: Geneva 9,Boston 10,f,fn"/>
    <w:basedOn w:val="Normal"/>
    <w:link w:val="FootnoteTextChar"/>
    <w:uiPriority w:val="99"/>
    <w:rsid w:val="00357BAF"/>
    <w:rPr>
      <w:rFonts w:ascii="Cambria" w:eastAsia="Cambria" w:hAnsi="Cambria"/>
      <w:sz w:val="24"/>
      <w:szCs w:val="24"/>
      <w:lang w:val="en-AU"/>
    </w:rPr>
  </w:style>
  <w:style w:type="character" w:customStyle="1" w:styleId="FootnoteTextChar">
    <w:name w:val="Footnote Text Char"/>
    <w:aliases w:val="5_G Char,Footnote Text Char Char Char Char Char Char,Footnote Text Char Char Char Char Char1,Footnote reference Char,FA Fu Char,Footnote Text Char Char Char Char1, Char Char,Footnote Reference1 Char,Footnote Text Char Char Char1"/>
    <w:basedOn w:val="DefaultParagraphFont"/>
    <w:link w:val="FootnoteText"/>
    <w:uiPriority w:val="99"/>
    <w:rsid w:val="00357BAF"/>
    <w:rPr>
      <w:rFonts w:ascii="Cambria" w:eastAsia="Cambria" w:hAnsi="Cambria" w:cs="Times New Roman"/>
      <w:lang w:val="en-AU"/>
    </w:rPr>
  </w:style>
  <w:style w:type="character" w:styleId="FootnoteReference">
    <w:name w:val="footnote reference"/>
    <w:aliases w:val="4_G,Footnote number,ftref,Fußnotenzeichen DISS,16 Point,Superscript 6 Point,Footnote,callout,Footnote Refernece,Footnote Reference Number,Fußnotenzeichen_Raxen,BVI fnr,Fago Fußnotenzeichen,4_G Char Char,Footnote Char Char"/>
    <w:link w:val="4GChar"/>
    <w:uiPriority w:val="99"/>
    <w:rsid w:val="00357BAF"/>
    <w:rPr>
      <w:vertAlign w:val="superscript"/>
    </w:rPr>
  </w:style>
  <w:style w:type="character" w:styleId="CommentReference">
    <w:name w:val="annotation reference"/>
    <w:basedOn w:val="DefaultParagraphFont"/>
    <w:unhideWhenUsed/>
    <w:rsid w:val="00932D1B"/>
    <w:rPr>
      <w:sz w:val="18"/>
      <w:szCs w:val="18"/>
    </w:rPr>
  </w:style>
  <w:style w:type="paragraph" w:styleId="CommentText">
    <w:name w:val="annotation text"/>
    <w:basedOn w:val="Normal"/>
    <w:link w:val="CommentTextChar"/>
    <w:unhideWhenUsed/>
    <w:rsid w:val="00932D1B"/>
    <w:rPr>
      <w:sz w:val="24"/>
      <w:szCs w:val="24"/>
    </w:rPr>
  </w:style>
  <w:style w:type="character" w:customStyle="1" w:styleId="CommentTextChar">
    <w:name w:val="Comment Text Char"/>
    <w:basedOn w:val="DefaultParagraphFont"/>
    <w:link w:val="CommentText"/>
    <w:rsid w:val="00932D1B"/>
    <w:rPr>
      <w:rFonts w:ascii="Trade Gothic LT" w:eastAsia="Times New Roman" w:hAnsi="Trade Gothic LT" w:cs="Times New Roman"/>
    </w:rPr>
  </w:style>
  <w:style w:type="paragraph" w:styleId="CommentSubject">
    <w:name w:val="annotation subject"/>
    <w:basedOn w:val="CommentText"/>
    <w:next w:val="CommentText"/>
    <w:link w:val="CommentSubjectChar"/>
    <w:uiPriority w:val="99"/>
    <w:semiHidden/>
    <w:unhideWhenUsed/>
    <w:rsid w:val="00932D1B"/>
    <w:rPr>
      <w:b/>
      <w:bCs/>
      <w:sz w:val="20"/>
      <w:szCs w:val="20"/>
    </w:rPr>
  </w:style>
  <w:style w:type="character" w:customStyle="1" w:styleId="CommentSubjectChar">
    <w:name w:val="Comment Subject Char"/>
    <w:basedOn w:val="CommentTextChar"/>
    <w:link w:val="CommentSubject"/>
    <w:uiPriority w:val="99"/>
    <w:semiHidden/>
    <w:rsid w:val="00932D1B"/>
    <w:rPr>
      <w:rFonts w:ascii="Trade Gothic LT" w:eastAsia="Times New Roman" w:hAnsi="Trade Gothic LT" w:cs="Times New Roman"/>
      <w:b/>
      <w:bCs/>
      <w:sz w:val="20"/>
      <w:szCs w:val="20"/>
    </w:rPr>
  </w:style>
  <w:style w:type="paragraph" w:styleId="Revision">
    <w:name w:val="Revision"/>
    <w:hidden/>
    <w:uiPriority w:val="99"/>
    <w:semiHidden/>
    <w:rsid w:val="00E656AF"/>
    <w:rPr>
      <w:rFonts w:ascii="Trade Gothic LT" w:eastAsia="Times New Roman" w:hAnsi="Trade Gothic LT" w:cs="Times New Roman"/>
      <w:sz w:val="22"/>
      <w:szCs w:val="20"/>
    </w:rPr>
  </w:style>
  <w:style w:type="numbering" w:customStyle="1" w:styleId="List0">
    <w:name w:val="List 0"/>
    <w:basedOn w:val="NoList"/>
    <w:rsid w:val="009C285F"/>
    <w:pPr>
      <w:numPr>
        <w:numId w:val="33"/>
      </w:numPr>
    </w:pPr>
  </w:style>
  <w:style w:type="character" w:customStyle="1" w:styleId="FootnoteTextChar1">
    <w:name w:val="Footnote Text Char1"/>
    <w:aliases w:val="5_G Char1,Footnote Text Char Char Char2,single space Char1,ft Char2,Geneva 9 Char1,Font: Geneva 9 Char1,Boston 10 Char1,f Char1,fn Char1,FOOTNOTES Char1,Footnote Text Char2 Char1,Footnote Text Char1 Char Char1,Char Char1 Char Char"/>
    <w:uiPriority w:val="99"/>
    <w:locked/>
    <w:rsid w:val="005B4F9D"/>
    <w:rPr>
      <w:rFonts w:ascii="Calibri" w:eastAsia="Times New Roman" w:hAnsi="Calibri" w:cs="Times New Roman"/>
      <w:sz w:val="20"/>
      <w:szCs w:val="20"/>
    </w:rPr>
  </w:style>
  <w:style w:type="paragraph" w:customStyle="1" w:styleId="4GChar">
    <w:name w:val="4_G Char"/>
    <w:aliases w:val="Footnote Char,callout Char,Footnote Refernece Char,Footnote Reference Number Char,Fußnotenzeichen_Raxen Char,BVI fnr Char,Fago Fußnotenzeichen Char,Footnotes refss Char,Style 10 Char,ftref Char,16 Point Char,Ref Char"/>
    <w:basedOn w:val="Normal"/>
    <w:link w:val="FootnoteReference"/>
    <w:uiPriority w:val="99"/>
    <w:rsid w:val="005B4F9D"/>
    <w:pPr>
      <w:spacing w:after="160" w:line="240" w:lineRule="exact"/>
    </w:pPr>
    <w:rPr>
      <w:rFonts w:asciiTheme="minorHAnsi" w:eastAsiaTheme="minorEastAsia" w:hAnsiTheme="minorHAnsi" w:cstheme="minorBidi"/>
      <w:sz w:val="24"/>
      <w:szCs w:val="24"/>
      <w:vertAlign w:val="superscript"/>
    </w:rPr>
  </w:style>
  <w:style w:type="character" w:customStyle="1" w:styleId="hps">
    <w:name w:val="hps"/>
    <w:uiPriority w:val="99"/>
    <w:rsid w:val="002F3469"/>
    <w:rPr>
      <w:rFonts w:cs="Times New Roman"/>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00AB"/>
    <w:rPr>
      <w:rFonts w:ascii="Trade Gothic LT" w:eastAsia="Times New Roman" w:hAnsi="Trade Gothic LT" w:cs="Times New Roman"/>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4A7A"/>
    <w:pPr>
      <w:ind w:left="720"/>
      <w:contextualSpacing/>
    </w:pPr>
  </w:style>
  <w:style w:type="paragraph" w:styleId="Header">
    <w:name w:val="header"/>
    <w:basedOn w:val="Normal"/>
    <w:link w:val="HeaderChar"/>
    <w:uiPriority w:val="99"/>
    <w:unhideWhenUsed/>
    <w:rsid w:val="009820A3"/>
    <w:pPr>
      <w:tabs>
        <w:tab w:val="center" w:pos="4320"/>
        <w:tab w:val="right" w:pos="8640"/>
      </w:tabs>
    </w:pPr>
  </w:style>
  <w:style w:type="numbering" w:customStyle="1" w:styleId="AsylumAccess">
    <w:name w:val="Asylum Access"/>
    <w:uiPriority w:val="99"/>
    <w:rsid w:val="00644A7A"/>
    <w:pPr>
      <w:numPr>
        <w:numId w:val="4"/>
      </w:numPr>
    </w:pPr>
  </w:style>
  <w:style w:type="character" w:customStyle="1" w:styleId="HeaderChar">
    <w:name w:val="Header Char"/>
    <w:basedOn w:val="DefaultParagraphFont"/>
    <w:link w:val="Header"/>
    <w:uiPriority w:val="99"/>
    <w:rsid w:val="009820A3"/>
    <w:rPr>
      <w:rFonts w:ascii="Times New Roman" w:eastAsia="Times New Roman" w:hAnsi="Times New Roman" w:cs="Times New Roman"/>
      <w:sz w:val="20"/>
      <w:szCs w:val="20"/>
    </w:rPr>
  </w:style>
  <w:style w:type="character" w:styleId="PageNumber">
    <w:name w:val="page number"/>
    <w:basedOn w:val="DefaultParagraphFont"/>
    <w:uiPriority w:val="99"/>
    <w:semiHidden/>
    <w:unhideWhenUsed/>
    <w:rsid w:val="0059072E"/>
  </w:style>
  <w:style w:type="paragraph" w:styleId="Footer">
    <w:name w:val="footer"/>
    <w:basedOn w:val="Normal"/>
    <w:link w:val="FooterChar"/>
    <w:uiPriority w:val="99"/>
    <w:unhideWhenUsed/>
    <w:rsid w:val="009820A3"/>
    <w:pPr>
      <w:tabs>
        <w:tab w:val="center" w:pos="4320"/>
        <w:tab w:val="right" w:pos="8640"/>
      </w:tabs>
    </w:pPr>
  </w:style>
  <w:style w:type="character" w:customStyle="1" w:styleId="FooterChar">
    <w:name w:val="Footer Char"/>
    <w:basedOn w:val="DefaultParagraphFont"/>
    <w:link w:val="Footer"/>
    <w:uiPriority w:val="99"/>
    <w:rsid w:val="009820A3"/>
    <w:rPr>
      <w:rFonts w:ascii="Times New Roman" w:eastAsia="Times New Roman" w:hAnsi="Times New Roman" w:cs="Times New Roman"/>
      <w:sz w:val="20"/>
      <w:szCs w:val="20"/>
    </w:rPr>
  </w:style>
  <w:style w:type="paragraph" w:styleId="EndnoteText">
    <w:name w:val="endnote text"/>
    <w:basedOn w:val="Normal"/>
    <w:link w:val="EndnoteTextChar"/>
    <w:unhideWhenUsed/>
    <w:rsid w:val="004121C2"/>
    <w:rPr>
      <w:szCs w:val="24"/>
    </w:rPr>
  </w:style>
  <w:style w:type="character" w:customStyle="1" w:styleId="EndnoteTextChar">
    <w:name w:val="Endnote Text Char"/>
    <w:basedOn w:val="DefaultParagraphFont"/>
    <w:link w:val="EndnoteText"/>
    <w:rsid w:val="004121C2"/>
    <w:rPr>
      <w:rFonts w:ascii="Trade Gothic LT" w:eastAsia="Times New Roman" w:hAnsi="Trade Gothic LT" w:cs="Times New Roman"/>
      <w:sz w:val="20"/>
    </w:rPr>
  </w:style>
  <w:style w:type="character" w:styleId="EndnoteReference">
    <w:name w:val="endnote reference"/>
    <w:basedOn w:val="DefaultParagraphFont"/>
    <w:uiPriority w:val="99"/>
    <w:unhideWhenUsed/>
    <w:rsid w:val="004121C2"/>
    <w:rPr>
      <w:rFonts w:ascii="Trade Gothic LT" w:hAnsi="Trade Gothic LT"/>
      <w:sz w:val="20"/>
      <w:vertAlign w:val="superscript"/>
    </w:rPr>
  </w:style>
  <w:style w:type="paragraph" w:customStyle="1" w:styleId="MajorIssue">
    <w:name w:val="Major Issue"/>
    <w:basedOn w:val="Normal"/>
    <w:qFormat/>
    <w:rsid w:val="00731460"/>
    <w:pPr>
      <w:spacing w:before="25"/>
      <w:ind w:left="112"/>
    </w:pPr>
    <w:rPr>
      <w:b/>
      <w:bCs/>
      <w:caps/>
      <w:noProof/>
      <w:sz w:val="23"/>
      <w:szCs w:val="24"/>
    </w:rPr>
  </w:style>
  <w:style w:type="paragraph" w:customStyle="1" w:styleId="SubIssue">
    <w:name w:val="Sub Issue"/>
    <w:next w:val="Normal"/>
    <w:qFormat/>
    <w:rsid w:val="004121C2"/>
    <w:rPr>
      <w:rFonts w:ascii="Trade Gothic LT" w:eastAsia="Times New Roman" w:hAnsi="Trade Gothic LT" w:cs="Times New Roman"/>
      <w:b/>
      <w:bCs/>
      <w:noProof/>
      <w:spacing w:val="-1"/>
      <w:sz w:val="23"/>
      <w:szCs w:val="23"/>
      <w:u w:val="single"/>
    </w:rPr>
  </w:style>
  <w:style w:type="numbering" w:customStyle="1" w:styleId="Recommendations">
    <w:name w:val="Recommendations"/>
    <w:basedOn w:val="NoList"/>
    <w:uiPriority w:val="99"/>
    <w:rsid w:val="004121C2"/>
    <w:pPr>
      <w:numPr>
        <w:numId w:val="6"/>
      </w:numPr>
    </w:pPr>
  </w:style>
  <w:style w:type="numbering" w:customStyle="1" w:styleId="Recommedations">
    <w:name w:val="Recommedations"/>
    <w:basedOn w:val="NoList"/>
    <w:uiPriority w:val="99"/>
    <w:rsid w:val="004121C2"/>
    <w:pPr>
      <w:numPr>
        <w:numId w:val="7"/>
      </w:numPr>
    </w:pPr>
  </w:style>
  <w:style w:type="paragraph" w:customStyle="1" w:styleId="AboutAsylumAccess">
    <w:name w:val="About Asylum Access"/>
    <w:basedOn w:val="SubIssue"/>
    <w:qFormat/>
    <w:rsid w:val="009820A3"/>
    <w:rPr>
      <w:u w:val="none"/>
    </w:rPr>
  </w:style>
  <w:style w:type="character" w:styleId="Hyperlink">
    <w:name w:val="Hyperlink"/>
    <w:basedOn w:val="DefaultParagraphFont"/>
    <w:uiPriority w:val="99"/>
    <w:unhideWhenUsed/>
    <w:rsid w:val="00AE3C07"/>
    <w:rPr>
      <w:color w:val="0000FF" w:themeColor="hyperlink"/>
      <w:u w:val="single"/>
    </w:rPr>
  </w:style>
  <w:style w:type="character" w:styleId="FollowedHyperlink">
    <w:name w:val="FollowedHyperlink"/>
    <w:basedOn w:val="DefaultParagraphFont"/>
    <w:uiPriority w:val="99"/>
    <w:semiHidden/>
    <w:unhideWhenUsed/>
    <w:rsid w:val="00AE3C07"/>
    <w:rPr>
      <w:color w:val="800080" w:themeColor="followedHyperlink"/>
      <w:u w:val="single"/>
    </w:rPr>
  </w:style>
  <w:style w:type="numbering" w:customStyle="1" w:styleId="Recs">
    <w:name w:val="Recs"/>
    <w:basedOn w:val="Recommendations"/>
    <w:uiPriority w:val="99"/>
    <w:rsid w:val="007A00AB"/>
    <w:pPr>
      <w:numPr>
        <w:numId w:val="9"/>
      </w:numPr>
    </w:pPr>
  </w:style>
  <w:style w:type="paragraph" w:customStyle="1" w:styleId="Bulletlist">
    <w:name w:val="Bullet list"/>
    <w:qFormat/>
    <w:rsid w:val="007A00AB"/>
    <w:pPr>
      <w:numPr>
        <w:numId w:val="8"/>
      </w:numPr>
      <w:ind w:left="900"/>
    </w:pPr>
    <w:rPr>
      <w:rFonts w:ascii="Trade Gothic LT" w:eastAsia="Times New Roman" w:hAnsi="Trade Gothic LT" w:cs="Times New Roman"/>
      <w:sz w:val="22"/>
      <w:szCs w:val="22"/>
    </w:rPr>
  </w:style>
  <w:style w:type="paragraph" w:customStyle="1" w:styleId="Headers">
    <w:name w:val="Headers"/>
    <w:basedOn w:val="Normal"/>
    <w:qFormat/>
    <w:rsid w:val="00BB29EE"/>
    <w:pPr>
      <w:spacing w:line="300" w:lineRule="exact"/>
      <w:ind w:left="1620" w:right="1620"/>
      <w:jc w:val="center"/>
    </w:pPr>
    <w:rPr>
      <w:b/>
      <w:spacing w:val="-1"/>
      <w:position w:val="-1"/>
      <w:sz w:val="24"/>
      <w:szCs w:val="24"/>
    </w:rPr>
  </w:style>
  <w:style w:type="paragraph" w:styleId="NormalWeb">
    <w:name w:val="Normal (Web)"/>
    <w:basedOn w:val="Normal"/>
    <w:uiPriority w:val="99"/>
    <w:semiHidden/>
    <w:unhideWhenUsed/>
    <w:rsid w:val="00BB29EE"/>
    <w:pPr>
      <w:spacing w:before="100" w:beforeAutospacing="1" w:after="100" w:afterAutospacing="1"/>
    </w:pPr>
    <w:rPr>
      <w:rFonts w:ascii="Times" w:eastAsiaTheme="minorEastAsia" w:hAnsi="Times"/>
      <w:sz w:val="20"/>
    </w:rPr>
  </w:style>
  <w:style w:type="paragraph" w:customStyle="1" w:styleId="Maintext">
    <w:name w:val="Main text"/>
    <w:basedOn w:val="ListParagraph"/>
    <w:qFormat/>
    <w:rsid w:val="006719D4"/>
    <w:pPr>
      <w:numPr>
        <w:numId w:val="5"/>
      </w:numPr>
    </w:pPr>
    <w:rPr>
      <w:szCs w:val="22"/>
    </w:rPr>
  </w:style>
  <w:style w:type="paragraph" w:styleId="BalloonText">
    <w:name w:val="Balloon Text"/>
    <w:basedOn w:val="Normal"/>
    <w:link w:val="BalloonTextChar"/>
    <w:uiPriority w:val="99"/>
    <w:semiHidden/>
    <w:unhideWhenUsed/>
    <w:rsid w:val="0080317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0317D"/>
    <w:rPr>
      <w:rFonts w:ascii="Lucida Grande" w:eastAsia="Times New Roman" w:hAnsi="Lucida Grande" w:cs="Lucida Grande"/>
      <w:sz w:val="18"/>
      <w:szCs w:val="18"/>
    </w:rPr>
  </w:style>
  <w:style w:type="paragraph" w:styleId="FootnoteText">
    <w:name w:val="footnote text"/>
    <w:aliases w:val="5_G,Footnote Text Char Char Char Char Char,Footnote Text Char Char Char Char,Footnote reference,FA Fu,Footnote Text Char Char Char, Char,Footnote Reference1,Footnote Text Char Char,single space,ft,Geneva 9,Font: Geneva 9,Boston 10,f,fn"/>
    <w:basedOn w:val="Normal"/>
    <w:link w:val="FootnoteTextChar"/>
    <w:uiPriority w:val="99"/>
    <w:rsid w:val="00357BAF"/>
    <w:rPr>
      <w:rFonts w:ascii="Cambria" w:eastAsia="Cambria" w:hAnsi="Cambria"/>
      <w:sz w:val="24"/>
      <w:szCs w:val="24"/>
      <w:lang w:val="en-AU"/>
    </w:rPr>
  </w:style>
  <w:style w:type="character" w:customStyle="1" w:styleId="FootnoteTextChar">
    <w:name w:val="Footnote Text Char"/>
    <w:aliases w:val="5_G Char,Footnote Text Char Char Char Char Char Char,Footnote Text Char Char Char Char Char1,Footnote reference Char,FA Fu Char,Footnote Text Char Char Char Char1, Char Char,Footnote Reference1 Char,Footnote Text Char Char Char1"/>
    <w:basedOn w:val="DefaultParagraphFont"/>
    <w:link w:val="FootnoteText"/>
    <w:uiPriority w:val="99"/>
    <w:rsid w:val="00357BAF"/>
    <w:rPr>
      <w:rFonts w:ascii="Cambria" w:eastAsia="Cambria" w:hAnsi="Cambria" w:cs="Times New Roman"/>
      <w:lang w:val="en-AU"/>
    </w:rPr>
  </w:style>
  <w:style w:type="character" w:styleId="FootnoteReference">
    <w:name w:val="footnote reference"/>
    <w:aliases w:val="4_G,Footnote number,ftref,Fußnotenzeichen DISS,16 Point,Superscript 6 Point,Footnote,callout,Footnote Refernece,Footnote Reference Number,Fußnotenzeichen_Raxen,BVI fnr,Fago Fußnotenzeichen,4_G Char Char,Footnote Char Char"/>
    <w:link w:val="4GChar"/>
    <w:uiPriority w:val="99"/>
    <w:rsid w:val="00357BAF"/>
    <w:rPr>
      <w:vertAlign w:val="superscript"/>
    </w:rPr>
  </w:style>
  <w:style w:type="character" w:styleId="CommentReference">
    <w:name w:val="annotation reference"/>
    <w:basedOn w:val="DefaultParagraphFont"/>
    <w:unhideWhenUsed/>
    <w:rsid w:val="00932D1B"/>
    <w:rPr>
      <w:sz w:val="18"/>
      <w:szCs w:val="18"/>
    </w:rPr>
  </w:style>
  <w:style w:type="paragraph" w:styleId="CommentText">
    <w:name w:val="annotation text"/>
    <w:basedOn w:val="Normal"/>
    <w:link w:val="CommentTextChar"/>
    <w:unhideWhenUsed/>
    <w:rsid w:val="00932D1B"/>
    <w:rPr>
      <w:sz w:val="24"/>
      <w:szCs w:val="24"/>
    </w:rPr>
  </w:style>
  <w:style w:type="character" w:customStyle="1" w:styleId="CommentTextChar">
    <w:name w:val="Comment Text Char"/>
    <w:basedOn w:val="DefaultParagraphFont"/>
    <w:link w:val="CommentText"/>
    <w:rsid w:val="00932D1B"/>
    <w:rPr>
      <w:rFonts w:ascii="Trade Gothic LT" w:eastAsia="Times New Roman" w:hAnsi="Trade Gothic LT" w:cs="Times New Roman"/>
    </w:rPr>
  </w:style>
  <w:style w:type="paragraph" w:styleId="CommentSubject">
    <w:name w:val="annotation subject"/>
    <w:basedOn w:val="CommentText"/>
    <w:next w:val="CommentText"/>
    <w:link w:val="CommentSubjectChar"/>
    <w:uiPriority w:val="99"/>
    <w:semiHidden/>
    <w:unhideWhenUsed/>
    <w:rsid w:val="00932D1B"/>
    <w:rPr>
      <w:b/>
      <w:bCs/>
      <w:sz w:val="20"/>
      <w:szCs w:val="20"/>
    </w:rPr>
  </w:style>
  <w:style w:type="character" w:customStyle="1" w:styleId="CommentSubjectChar">
    <w:name w:val="Comment Subject Char"/>
    <w:basedOn w:val="CommentTextChar"/>
    <w:link w:val="CommentSubject"/>
    <w:uiPriority w:val="99"/>
    <w:semiHidden/>
    <w:rsid w:val="00932D1B"/>
    <w:rPr>
      <w:rFonts w:ascii="Trade Gothic LT" w:eastAsia="Times New Roman" w:hAnsi="Trade Gothic LT" w:cs="Times New Roman"/>
      <w:b/>
      <w:bCs/>
      <w:sz w:val="20"/>
      <w:szCs w:val="20"/>
    </w:rPr>
  </w:style>
  <w:style w:type="paragraph" w:styleId="Revision">
    <w:name w:val="Revision"/>
    <w:hidden/>
    <w:uiPriority w:val="99"/>
    <w:semiHidden/>
    <w:rsid w:val="00E656AF"/>
    <w:rPr>
      <w:rFonts w:ascii="Trade Gothic LT" w:eastAsia="Times New Roman" w:hAnsi="Trade Gothic LT" w:cs="Times New Roman"/>
      <w:sz w:val="22"/>
      <w:szCs w:val="20"/>
    </w:rPr>
  </w:style>
  <w:style w:type="numbering" w:customStyle="1" w:styleId="List0">
    <w:name w:val="List 0"/>
    <w:basedOn w:val="NoList"/>
    <w:rsid w:val="009C285F"/>
    <w:pPr>
      <w:numPr>
        <w:numId w:val="33"/>
      </w:numPr>
    </w:pPr>
  </w:style>
  <w:style w:type="character" w:customStyle="1" w:styleId="FootnoteTextChar1">
    <w:name w:val="Footnote Text Char1"/>
    <w:aliases w:val="5_G Char1,Footnote Text Char Char Char2,single space Char1,ft Char2,Geneva 9 Char1,Font: Geneva 9 Char1,Boston 10 Char1,f Char1,fn Char1,FOOTNOTES Char1,Footnote Text Char2 Char1,Footnote Text Char1 Char Char1,Char Char1 Char Char"/>
    <w:uiPriority w:val="99"/>
    <w:locked/>
    <w:rsid w:val="005B4F9D"/>
    <w:rPr>
      <w:rFonts w:ascii="Calibri" w:eastAsia="Times New Roman" w:hAnsi="Calibri" w:cs="Times New Roman"/>
      <w:sz w:val="20"/>
      <w:szCs w:val="20"/>
    </w:rPr>
  </w:style>
  <w:style w:type="paragraph" w:customStyle="1" w:styleId="4GChar">
    <w:name w:val="4_G Char"/>
    <w:aliases w:val="Footnote Char,callout Char,Footnote Refernece Char,Footnote Reference Number Char,Fußnotenzeichen_Raxen Char,BVI fnr Char,Fago Fußnotenzeichen Char,Footnotes refss Char,Style 10 Char,ftref Char,16 Point Char,Ref Char"/>
    <w:basedOn w:val="Normal"/>
    <w:link w:val="FootnoteReference"/>
    <w:uiPriority w:val="99"/>
    <w:rsid w:val="005B4F9D"/>
    <w:pPr>
      <w:spacing w:after="160" w:line="240" w:lineRule="exact"/>
    </w:pPr>
    <w:rPr>
      <w:rFonts w:asciiTheme="minorHAnsi" w:eastAsiaTheme="minorEastAsia" w:hAnsiTheme="minorHAnsi" w:cstheme="minorBidi"/>
      <w:sz w:val="24"/>
      <w:szCs w:val="24"/>
      <w:vertAlign w:val="superscript"/>
    </w:rPr>
  </w:style>
  <w:style w:type="character" w:customStyle="1" w:styleId="hps">
    <w:name w:val="hps"/>
    <w:uiPriority w:val="99"/>
    <w:rsid w:val="002F346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270603">
      <w:bodyDiv w:val="1"/>
      <w:marLeft w:val="0"/>
      <w:marRight w:val="0"/>
      <w:marTop w:val="0"/>
      <w:marBottom w:val="0"/>
      <w:divBdr>
        <w:top w:val="none" w:sz="0" w:space="0" w:color="auto"/>
        <w:left w:val="none" w:sz="0" w:space="0" w:color="auto"/>
        <w:bottom w:val="none" w:sz="0" w:space="0" w:color="auto"/>
        <w:right w:val="none" w:sz="0" w:space="0" w:color="auto"/>
      </w:divBdr>
      <w:divsChild>
        <w:div w:id="770784494">
          <w:marLeft w:val="0"/>
          <w:marRight w:val="0"/>
          <w:marTop w:val="0"/>
          <w:marBottom w:val="0"/>
          <w:divBdr>
            <w:top w:val="none" w:sz="0" w:space="0" w:color="auto"/>
            <w:left w:val="none" w:sz="0" w:space="0" w:color="auto"/>
            <w:bottom w:val="none" w:sz="0" w:space="0" w:color="auto"/>
            <w:right w:val="none" w:sz="0" w:space="0" w:color="auto"/>
          </w:divBdr>
          <w:divsChild>
            <w:div w:id="1599021189">
              <w:marLeft w:val="0"/>
              <w:marRight w:val="0"/>
              <w:marTop w:val="0"/>
              <w:marBottom w:val="0"/>
              <w:divBdr>
                <w:top w:val="none" w:sz="0" w:space="0" w:color="auto"/>
                <w:left w:val="none" w:sz="0" w:space="0" w:color="auto"/>
                <w:bottom w:val="none" w:sz="0" w:space="0" w:color="auto"/>
                <w:right w:val="none" w:sz="0" w:space="0" w:color="auto"/>
              </w:divBdr>
              <w:divsChild>
                <w:div w:id="1050767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823975">
      <w:bodyDiv w:val="1"/>
      <w:marLeft w:val="0"/>
      <w:marRight w:val="0"/>
      <w:marTop w:val="0"/>
      <w:marBottom w:val="0"/>
      <w:divBdr>
        <w:top w:val="none" w:sz="0" w:space="0" w:color="auto"/>
        <w:left w:val="none" w:sz="0" w:space="0" w:color="auto"/>
        <w:bottom w:val="none" w:sz="0" w:space="0" w:color="auto"/>
        <w:right w:val="none" w:sz="0" w:space="0" w:color="auto"/>
      </w:divBdr>
      <w:divsChild>
        <w:div w:id="122191838">
          <w:marLeft w:val="0"/>
          <w:marRight w:val="0"/>
          <w:marTop w:val="0"/>
          <w:marBottom w:val="0"/>
          <w:divBdr>
            <w:top w:val="none" w:sz="0" w:space="0" w:color="auto"/>
            <w:left w:val="none" w:sz="0" w:space="0" w:color="auto"/>
            <w:bottom w:val="none" w:sz="0" w:space="0" w:color="auto"/>
            <w:right w:val="none" w:sz="0" w:space="0" w:color="auto"/>
          </w:divBdr>
          <w:divsChild>
            <w:div w:id="2081097769">
              <w:marLeft w:val="0"/>
              <w:marRight w:val="0"/>
              <w:marTop w:val="0"/>
              <w:marBottom w:val="0"/>
              <w:divBdr>
                <w:top w:val="none" w:sz="0" w:space="0" w:color="auto"/>
                <w:left w:val="none" w:sz="0" w:space="0" w:color="auto"/>
                <w:bottom w:val="none" w:sz="0" w:space="0" w:color="auto"/>
                <w:right w:val="none" w:sz="0" w:space="0" w:color="auto"/>
              </w:divBdr>
              <w:divsChild>
                <w:div w:id="25954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154652">
      <w:bodyDiv w:val="1"/>
      <w:marLeft w:val="0"/>
      <w:marRight w:val="0"/>
      <w:marTop w:val="0"/>
      <w:marBottom w:val="0"/>
      <w:divBdr>
        <w:top w:val="none" w:sz="0" w:space="0" w:color="auto"/>
        <w:left w:val="none" w:sz="0" w:space="0" w:color="auto"/>
        <w:bottom w:val="none" w:sz="0" w:space="0" w:color="auto"/>
        <w:right w:val="none" w:sz="0" w:space="0" w:color="auto"/>
      </w:divBdr>
      <w:divsChild>
        <w:div w:id="1776242474">
          <w:marLeft w:val="0"/>
          <w:marRight w:val="0"/>
          <w:marTop w:val="0"/>
          <w:marBottom w:val="0"/>
          <w:divBdr>
            <w:top w:val="none" w:sz="0" w:space="0" w:color="auto"/>
            <w:left w:val="none" w:sz="0" w:space="0" w:color="auto"/>
            <w:bottom w:val="none" w:sz="0" w:space="0" w:color="auto"/>
            <w:right w:val="none" w:sz="0" w:space="0" w:color="auto"/>
          </w:divBdr>
          <w:divsChild>
            <w:div w:id="450630810">
              <w:marLeft w:val="0"/>
              <w:marRight w:val="0"/>
              <w:marTop w:val="0"/>
              <w:marBottom w:val="0"/>
              <w:divBdr>
                <w:top w:val="none" w:sz="0" w:space="0" w:color="auto"/>
                <w:left w:val="none" w:sz="0" w:space="0" w:color="auto"/>
                <w:bottom w:val="none" w:sz="0" w:space="0" w:color="auto"/>
                <w:right w:val="none" w:sz="0" w:space="0" w:color="auto"/>
              </w:divBdr>
              <w:divsChild>
                <w:div w:id="269749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3486960">
      <w:bodyDiv w:val="1"/>
      <w:marLeft w:val="0"/>
      <w:marRight w:val="0"/>
      <w:marTop w:val="0"/>
      <w:marBottom w:val="0"/>
      <w:divBdr>
        <w:top w:val="none" w:sz="0" w:space="0" w:color="auto"/>
        <w:left w:val="none" w:sz="0" w:space="0" w:color="auto"/>
        <w:bottom w:val="none" w:sz="0" w:space="0" w:color="auto"/>
        <w:right w:val="none" w:sz="0" w:space="0" w:color="auto"/>
      </w:divBdr>
    </w:div>
    <w:div w:id="906644942">
      <w:bodyDiv w:val="1"/>
      <w:marLeft w:val="0"/>
      <w:marRight w:val="0"/>
      <w:marTop w:val="0"/>
      <w:marBottom w:val="0"/>
      <w:divBdr>
        <w:top w:val="none" w:sz="0" w:space="0" w:color="auto"/>
        <w:left w:val="none" w:sz="0" w:space="0" w:color="auto"/>
        <w:bottom w:val="none" w:sz="0" w:space="0" w:color="auto"/>
        <w:right w:val="none" w:sz="0" w:space="0" w:color="auto"/>
      </w:divBdr>
      <w:divsChild>
        <w:div w:id="583883987">
          <w:marLeft w:val="0"/>
          <w:marRight w:val="0"/>
          <w:marTop w:val="0"/>
          <w:marBottom w:val="0"/>
          <w:divBdr>
            <w:top w:val="none" w:sz="0" w:space="0" w:color="auto"/>
            <w:left w:val="none" w:sz="0" w:space="0" w:color="auto"/>
            <w:bottom w:val="none" w:sz="0" w:space="0" w:color="auto"/>
            <w:right w:val="none" w:sz="0" w:space="0" w:color="auto"/>
          </w:divBdr>
          <w:divsChild>
            <w:div w:id="1305894075">
              <w:marLeft w:val="0"/>
              <w:marRight w:val="0"/>
              <w:marTop w:val="0"/>
              <w:marBottom w:val="0"/>
              <w:divBdr>
                <w:top w:val="none" w:sz="0" w:space="0" w:color="auto"/>
                <w:left w:val="none" w:sz="0" w:space="0" w:color="auto"/>
                <w:bottom w:val="none" w:sz="0" w:space="0" w:color="auto"/>
                <w:right w:val="none" w:sz="0" w:space="0" w:color="auto"/>
              </w:divBdr>
              <w:divsChild>
                <w:div w:id="376273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8197317">
      <w:bodyDiv w:val="1"/>
      <w:marLeft w:val="0"/>
      <w:marRight w:val="0"/>
      <w:marTop w:val="0"/>
      <w:marBottom w:val="0"/>
      <w:divBdr>
        <w:top w:val="none" w:sz="0" w:space="0" w:color="auto"/>
        <w:left w:val="none" w:sz="0" w:space="0" w:color="auto"/>
        <w:bottom w:val="none" w:sz="0" w:space="0" w:color="auto"/>
        <w:right w:val="none" w:sz="0" w:space="0" w:color="auto"/>
      </w:divBdr>
      <w:divsChild>
        <w:div w:id="2106803667">
          <w:marLeft w:val="0"/>
          <w:marRight w:val="0"/>
          <w:marTop w:val="0"/>
          <w:marBottom w:val="0"/>
          <w:divBdr>
            <w:top w:val="none" w:sz="0" w:space="0" w:color="auto"/>
            <w:left w:val="none" w:sz="0" w:space="0" w:color="auto"/>
            <w:bottom w:val="none" w:sz="0" w:space="0" w:color="auto"/>
            <w:right w:val="none" w:sz="0" w:space="0" w:color="auto"/>
          </w:divBdr>
          <w:divsChild>
            <w:div w:id="918908659">
              <w:marLeft w:val="0"/>
              <w:marRight w:val="0"/>
              <w:marTop w:val="0"/>
              <w:marBottom w:val="0"/>
              <w:divBdr>
                <w:top w:val="none" w:sz="0" w:space="0" w:color="auto"/>
                <w:left w:val="none" w:sz="0" w:space="0" w:color="auto"/>
                <w:bottom w:val="none" w:sz="0" w:space="0" w:color="auto"/>
                <w:right w:val="none" w:sz="0" w:space="0" w:color="auto"/>
              </w:divBdr>
              <w:divsChild>
                <w:div w:id="1589078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5643880">
      <w:bodyDiv w:val="1"/>
      <w:marLeft w:val="0"/>
      <w:marRight w:val="0"/>
      <w:marTop w:val="0"/>
      <w:marBottom w:val="0"/>
      <w:divBdr>
        <w:top w:val="none" w:sz="0" w:space="0" w:color="auto"/>
        <w:left w:val="none" w:sz="0" w:space="0" w:color="auto"/>
        <w:bottom w:val="none" w:sz="0" w:space="0" w:color="auto"/>
        <w:right w:val="none" w:sz="0" w:space="0" w:color="auto"/>
      </w:divBdr>
    </w:div>
    <w:div w:id="1355422600">
      <w:bodyDiv w:val="1"/>
      <w:marLeft w:val="0"/>
      <w:marRight w:val="0"/>
      <w:marTop w:val="0"/>
      <w:marBottom w:val="0"/>
      <w:divBdr>
        <w:top w:val="none" w:sz="0" w:space="0" w:color="auto"/>
        <w:left w:val="none" w:sz="0" w:space="0" w:color="auto"/>
        <w:bottom w:val="none" w:sz="0" w:space="0" w:color="auto"/>
        <w:right w:val="none" w:sz="0" w:space="0" w:color="auto"/>
      </w:divBdr>
    </w:div>
    <w:div w:id="1429041419">
      <w:bodyDiv w:val="1"/>
      <w:marLeft w:val="0"/>
      <w:marRight w:val="0"/>
      <w:marTop w:val="0"/>
      <w:marBottom w:val="0"/>
      <w:divBdr>
        <w:top w:val="none" w:sz="0" w:space="0" w:color="auto"/>
        <w:left w:val="none" w:sz="0" w:space="0" w:color="auto"/>
        <w:bottom w:val="none" w:sz="0" w:space="0" w:color="auto"/>
        <w:right w:val="none" w:sz="0" w:space="0" w:color="auto"/>
      </w:divBdr>
    </w:div>
    <w:div w:id="1775664532">
      <w:bodyDiv w:val="1"/>
      <w:marLeft w:val="0"/>
      <w:marRight w:val="0"/>
      <w:marTop w:val="0"/>
      <w:marBottom w:val="0"/>
      <w:divBdr>
        <w:top w:val="none" w:sz="0" w:space="0" w:color="auto"/>
        <w:left w:val="none" w:sz="0" w:space="0" w:color="auto"/>
        <w:bottom w:val="none" w:sz="0" w:space="0" w:color="auto"/>
        <w:right w:val="none" w:sz="0" w:space="0" w:color="auto"/>
      </w:divBdr>
      <w:divsChild>
        <w:div w:id="1285426550">
          <w:marLeft w:val="0"/>
          <w:marRight w:val="0"/>
          <w:marTop w:val="0"/>
          <w:marBottom w:val="0"/>
          <w:divBdr>
            <w:top w:val="none" w:sz="0" w:space="0" w:color="auto"/>
            <w:left w:val="none" w:sz="0" w:space="0" w:color="auto"/>
            <w:bottom w:val="none" w:sz="0" w:space="0" w:color="auto"/>
            <w:right w:val="none" w:sz="0" w:space="0" w:color="auto"/>
          </w:divBdr>
          <w:divsChild>
            <w:div w:id="1470588700">
              <w:marLeft w:val="0"/>
              <w:marRight w:val="0"/>
              <w:marTop w:val="0"/>
              <w:marBottom w:val="0"/>
              <w:divBdr>
                <w:top w:val="none" w:sz="0" w:space="0" w:color="auto"/>
                <w:left w:val="none" w:sz="0" w:space="0" w:color="auto"/>
                <w:bottom w:val="none" w:sz="0" w:space="0" w:color="auto"/>
                <w:right w:val="none" w:sz="0" w:space="0" w:color="auto"/>
              </w:divBdr>
              <w:divsChild>
                <w:div w:id="1664312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6939616">
      <w:bodyDiv w:val="1"/>
      <w:marLeft w:val="0"/>
      <w:marRight w:val="0"/>
      <w:marTop w:val="0"/>
      <w:marBottom w:val="0"/>
      <w:divBdr>
        <w:top w:val="none" w:sz="0" w:space="0" w:color="auto"/>
        <w:left w:val="none" w:sz="0" w:space="0" w:color="auto"/>
        <w:bottom w:val="none" w:sz="0" w:space="0" w:color="auto"/>
        <w:right w:val="none" w:sz="0" w:space="0" w:color="auto"/>
      </w:divBdr>
      <w:divsChild>
        <w:div w:id="241910434">
          <w:marLeft w:val="0"/>
          <w:marRight w:val="0"/>
          <w:marTop w:val="0"/>
          <w:marBottom w:val="0"/>
          <w:divBdr>
            <w:top w:val="none" w:sz="0" w:space="0" w:color="auto"/>
            <w:left w:val="none" w:sz="0" w:space="0" w:color="auto"/>
            <w:bottom w:val="none" w:sz="0" w:space="0" w:color="auto"/>
            <w:right w:val="none" w:sz="0" w:space="0" w:color="auto"/>
          </w:divBdr>
          <w:divsChild>
            <w:div w:id="1377706614">
              <w:marLeft w:val="0"/>
              <w:marRight w:val="0"/>
              <w:marTop w:val="0"/>
              <w:marBottom w:val="0"/>
              <w:divBdr>
                <w:top w:val="none" w:sz="0" w:space="0" w:color="auto"/>
                <w:left w:val="none" w:sz="0" w:space="0" w:color="auto"/>
                <w:bottom w:val="none" w:sz="0" w:space="0" w:color="auto"/>
                <w:right w:val="none" w:sz="0" w:space="0" w:color="auto"/>
              </w:divBdr>
              <w:divsChild>
                <w:div w:id="1310938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7600799">
      <w:bodyDiv w:val="1"/>
      <w:marLeft w:val="0"/>
      <w:marRight w:val="0"/>
      <w:marTop w:val="0"/>
      <w:marBottom w:val="0"/>
      <w:divBdr>
        <w:top w:val="none" w:sz="0" w:space="0" w:color="auto"/>
        <w:left w:val="none" w:sz="0" w:space="0" w:color="auto"/>
        <w:bottom w:val="none" w:sz="0" w:space="0" w:color="auto"/>
        <w:right w:val="none" w:sz="0" w:space="0" w:color="auto"/>
      </w:divBdr>
      <w:divsChild>
        <w:div w:id="961419492">
          <w:marLeft w:val="0"/>
          <w:marRight w:val="0"/>
          <w:marTop w:val="0"/>
          <w:marBottom w:val="0"/>
          <w:divBdr>
            <w:top w:val="none" w:sz="0" w:space="0" w:color="auto"/>
            <w:left w:val="none" w:sz="0" w:space="0" w:color="auto"/>
            <w:bottom w:val="none" w:sz="0" w:space="0" w:color="auto"/>
            <w:right w:val="none" w:sz="0" w:space="0" w:color="auto"/>
          </w:divBdr>
          <w:divsChild>
            <w:div w:id="2045207380">
              <w:marLeft w:val="0"/>
              <w:marRight w:val="0"/>
              <w:marTop w:val="0"/>
              <w:marBottom w:val="0"/>
              <w:divBdr>
                <w:top w:val="none" w:sz="0" w:space="0" w:color="auto"/>
                <w:left w:val="none" w:sz="0" w:space="0" w:color="auto"/>
                <w:bottom w:val="none" w:sz="0" w:space="0" w:color="auto"/>
                <w:right w:val="none" w:sz="0" w:space="0" w:color="auto"/>
              </w:divBdr>
              <w:divsChild>
                <w:div w:id="352922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5867798">
      <w:bodyDiv w:val="1"/>
      <w:marLeft w:val="0"/>
      <w:marRight w:val="0"/>
      <w:marTop w:val="0"/>
      <w:marBottom w:val="0"/>
      <w:divBdr>
        <w:top w:val="none" w:sz="0" w:space="0" w:color="auto"/>
        <w:left w:val="none" w:sz="0" w:space="0" w:color="auto"/>
        <w:bottom w:val="none" w:sz="0" w:space="0" w:color="auto"/>
        <w:right w:val="none" w:sz="0" w:space="0" w:color="auto"/>
      </w:divBdr>
    </w:div>
    <w:div w:id="1892497805">
      <w:bodyDiv w:val="1"/>
      <w:marLeft w:val="0"/>
      <w:marRight w:val="0"/>
      <w:marTop w:val="0"/>
      <w:marBottom w:val="0"/>
      <w:divBdr>
        <w:top w:val="none" w:sz="0" w:space="0" w:color="auto"/>
        <w:left w:val="none" w:sz="0" w:space="0" w:color="auto"/>
        <w:bottom w:val="none" w:sz="0" w:space="0" w:color="auto"/>
        <w:right w:val="none" w:sz="0" w:space="0" w:color="auto"/>
      </w:divBdr>
    </w:div>
    <w:div w:id="2012370044">
      <w:bodyDiv w:val="1"/>
      <w:marLeft w:val="0"/>
      <w:marRight w:val="0"/>
      <w:marTop w:val="0"/>
      <w:marBottom w:val="0"/>
      <w:divBdr>
        <w:top w:val="none" w:sz="0" w:space="0" w:color="auto"/>
        <w:left w:val="none" w:sz="0" w:space="0" w:color="auto"/>
        <w:bottom w:val="none" w:sz="0" w:space="0" w:color="auto"/>
        <w:right w:val="none" w:sz="0" w:space="0" w:color="auto"/>
      </w:divBdr>
      <w:divsChild>
        <w:div w:id="604728097">
          <w:marLeft w:val="0"/>
          <w:marRight w:val="0"/>
          <w:marTop w:val="0"/>
          <w:marBottom w:val="0"/>
          <w:divBdr>
            <w:top w:val="none" w:sz="0" w:space="0" w:color="auto"/>
            <w:left w:val="none" w:sz="0" w:space="0" w:color="auto"/>
            <w:bottom w:val="none" w:sz="0" w:space="0" w:color="auto"/>
            <w:right w:val="none" w:sz="0" w:space="0" w:color="auto"/>
          </w:divBdr>
          <w:divsChild>
            <w:div w:id="1909026791">
              <w:marLeft w:val="0"/>
              <w:marRight w:val="0"/>
              <w:marTop w:val="0"/>
              <w:marBottom w:val="0"/>
              <w:divBdr>
                <w:top w:val="none" w:sz="0" w:space="0" w:color="auto"/>
                <w:left w:val="none" w:sz="0" w:space="0" w:color="auto"/>
                <w:bottom w:val="none" w:sz="0" w:space="0" w:color="auto"/>
                <w:right w:val="none" w:sz="0" w:space="0" w:color="auto"/>
              </w:divBdr>
              <w:divsChild>
                <w:div w:id="1173953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6836604">
      <w:bodyDiv w:val="1"/>
      <w:marLeft w:val="0"/>
      <w:marRight w:val="0"/>
      <w:marTop w:val="0"/>
      <w:marBottom w:val="0"/>
      <w:divBdr>
        <w:top w:val="none" w:sz="0" w:space="0" w:color="auto"/>
        <w:left w:val="none" w:sz="0" w:space="0" w:color="auto"/>
        <w:bottom w:val="none" w:sz="0" w:space="0" w:color="auto"/>
        <w:right w:val="none" w:sz="0" w:space="0" w:color="auto"/>
      </w:divBdr>
      <w:divsChild>
        <w:div w:id="729695890">
          <w:marLeft w:val="0"/>
          <w:marRight w:val="0"/>
          <w:marTop w:val="0"/>
          <w:marBottom w:val="0"/>
          <w:divBdr>
            <w:top w:val="none" w:sz="0" w:space="0" w:color="auto"/>
            <w:left w:val="none" w:sz="0" w:space="0" w:color="auto"/>
            <w:bottom w:val="none" w:sz="0" w:space="0" w:color="auto"/>
            <w:right w:val="none" w:sz="0" w:space="0" w:color="auto"/>
          </w:divBdr>
          <w:divsChild>
            <w:div w:id="682248892">
              <w:marLeft w:val="0"/>
              <w:marRight w:val="0"/>
              <w:marTop w:val="0"/>
              <w:marBottom w:val="0"/>
              <w:divBdr>
                <w:top w:val="none" w:sz="0" w:space="0" w:color="auto"/>
                <w:left w:val="none" w:sz="0" w:space="0" w:color="auto"/>
                <w:bottom w:val="none" w:sz="0" w:space="0" w:color="auto"/>
                <w:right w:val="none" w:sz="0" w:space="0" w:color="auto"/>
              </w:divBdr>
              <w:divsChild>
                <w:div w:id="1960911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0568541">
      <w:bodyDiv w:val="1"/>
      <w:marLeft w:val="0"/>
      <w:marRight w:val="0"/>
      <w:marTop w:val="0"/>
      <w:marBottom w:val="0"/>
      <w:divBdr>
        <w:top w:val="none" w:sz="0" w:space="0" w:color="auto"/>
        <w:left w:val="none" w:sz="0" w:space="0" w:color="auto"/>
        <w:bottom w:val="none" w:sz="0" w:space="0" w:color="auto"/>
        <w:right w:val="none" w:sz="0" w:space="0" w:color="auto"/>
      </w:divBdr>
      <w:divsChild>
        <w:div w:id="2077319335">
          <w:marLeft w:val="0"/>
          <w:marRight w:val="0"/>
          <w:marTop w:val="0"/>
          <w:marBottom w:val="0"/>
          <w:divBdr>
            <w:top w:val="none" w:sz="0" w:space="0" w:color="auto"/>
            <w:left w:val="none" w:sz="0" w:space="0" w:color="auto"/>
            <w:bottom w:val="none" w:sz="0" w:space="0" w:color="auto"/>
            <w:right w:val="none" w:sz="0" w:space="0" w:color="auto"/>
          </w:divBdr>
          <w:divsChild>
            <w:div w:id="2049794345">
              <w:marLeft w:val="0"/>
              <w:marRight w:val="0"/>
              <w:marTop w:val="0"/>
              <w:marBottom w:val="0"/>
              <w:divBdr>
                <w:top w:val="none" w:sz="0" w:space="0" w:color="auto"/>
                <w:left w:val="none" w:sz="0" w:space="0" w:color="auto"/>
                <w:bottom w:val="none" w:sz="0" w:space="0" w:color="auto"/>
                <w:right w:val="none" w:sz="0" w:space="0" w:color="auto"/>
              </w:divBdr>
              <w:divsChild>
                <w:div w:id="477262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2189888">
      <w:bodyDiv w:val="1"/>
      <w:marLeft w:val="0"/>
      <w:marRight w:val="0"/>
      <w:marTop w:val="0"/>
      <w:marBottom w:val="0"/>
      <w:divBdr>
        <w:top w:val="none" w:sz="0" w:space="0" w:color="auto"/>
        <w:left w:val="none" w:sz="0" w:space="0" w:color="auto"/>
        <w:bottom w:val="none" w:sz="0" w:space="0" w:color="auto"/>
        <w:right w:val="none" w:sz="0" w:space="0" w:color="auto"/>
      </w:divBdr>
      <w:divsChild>
        <w:div w:id="1986422748">
          <w:marLeft w:val="0"/>
          <w:marRight w:val="0"/>
          <w:marTop w:val="0"/>
          <w:marBottom w:val="0"/>
          <w:divBdr>
            <w:top w:val="none" w:sz="0" w:space="0" w:color="auto"/>
            <w:left w:val="none" w:sz="0" w:space="0" w:color="auto"/>
            <w:bottom w:val="none" w:sz="0" w:space="0" w:color="auto"/>
            <w:right w:val="none" w:sz="0" w:space="0" w:color="auto"/>
          </w:divBdr>
          <w:divsChild>
            <w:div w:id="2019771139">
              <w:marLeft w:val="0"/>
              <w:marRight w:val="0"/>
              <w:marTop w:val="0"/>
              <w:marBottom w:val="0"/>
              <w:divBdr>
                <w:top w:val="none" w:sz="0" w:space="0" w:color="auto"/>
                <w:left w:val="none" w:sz="0" w:space="0" w:color="auto"/>
                <w:bottom w:val="none" w:sz="0" w:space="0" w:color="auto"/>
                <w:right w:val="none" w:sz="0" w:space="0" w:color="auto"/>
              </w:divBdr>
              <w:divsChild>
                <w:div w:id="760221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8" Type="http://schemas.openxmlformats.org/officeDocument/2006/relationships/endnotes" Target="endnotes.xml"/><Relationship Id="rId18" Type="http://schemas.openxmlformats.org/officeDocument/2006/relationships/customXml" Target="../customXml/item4.xml"/><Relationship Id="rId3" Type="http://schemas.openxmlformats.org/officeDocument/2006/relationships/styles" Target="styles.xml"/><Relationship Id="rId12" Type="http://schemas.openxmlformats.org/officeDocument/2006/relationships/footer" Target="footer1.xml"/><Relationship Id="rId7" Type="http://schemas.openxmlformats.org/officeDocument/2006/relationships/footnotes" Target="footnotes.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1" Type="http://schemas.openxmlformats.org/officeDocument/2006/relationships/image" Target="media/image3.jpe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image" Target="media/image2.png"/><Relationship Id="rId14"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s>
</file>

<file path=word/_rels/endnotes.xml.rels><?xml version="1.0" encoding="UTF-8" standalone="yes"?>
<Relationships xmlns="http://schemas.openxmlformats.org/package/2006/relationships"><Relationship Id="rId1" Type="http://schemas.openxmlformats.org/officeDocument/2006/relationships/hyperlink" Target="http://bit.ly/1fjOevQ" TargetMode="External"/><Relationship Id="rId2" Type="http://schemas.openxmlformats.org/officeDocument/2006/relationships/hyperlink" Target="http://www.state.gov/j/drl/rls/hrrpt/humanrightsreport/index.htm"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asylumaccess.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FABFA90-CC36-4A0F-BD67-CB2730939F67}"/>
</file>

<file path=customXml/itemProps2.xml><?xml version="1.0" encoding="utf-8"?>
<ds:datastoreItem xmlns:ds="http://schemas.openxmlformats.org/officeDocument/2006/customXml" ds:itemID="{2EE75961-CA40-404A-A61E-CFD5A2D2DD09}"/>
</file>

<file path=customXml/itemProps3.xml><?xml version="1.0" encoding="utf-8"?>
<ds:datastoreItem xmlns:ds="http://schemas.openxmlformats.org/officeDocument/2006/customXml" ds:itemID="{6E734A0E-8C30-4449-8422-9B48FF5890EF}"/>
</file>

<file path=customXml/itemProps4.xml><?xml version="1.0" encoding="utf-8"?>
<ds:datastoreItem xmlns:ds="http://schemas.openxmlformats.org/officeDocument/2006/customXml" ds:itemID="{56C72027-9F98-4454-A214-7999DD654FD9}"/>
</file>

<file path=docProps/app.xml><?xml version="1.0" encoding="utf-8"?>
<Properties xmlns="http://schemas.openxmlformats.org/officeDocument/2006/extended-properties" xmlns:vt="http://schemas.openxmlformats.org/officeDocument/2006/docPropsVTypes">
  <Template>Normal.dotm</Template>
  <TotalTime>1</TotalTime>
  <Pages>10</Pages>
  <Words>3371</Words>
  <Characters>19219</Characters>
  <Application>Microsoft Macintosh Word</Application>
  <DocSecurity>0</DocSecurity>
  <Lines>160</Lines>
  <Paragraphs>45</Paragraphs>
  <ScaleCrop>false</ScaleCrop>
  <Company/>
  <LinksUpToDate>false</LinksUpToDate>
  <CharactersWithSpaces>22545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Asylum Access</dc:creator>
  <cp:keywords/>
  <dc:description/>
  <cp:lastModifiedBy>Alen Mirza</cp:lastModifiedBy>
  <cp:revision>2</cp:revision>
  <cp:lastPrinted>2015-09-21T22:43:00Z</cp:lastPrinted>
  <dcterms:created xsi:type="dcterms:W3CDTF">2016-04-13T20:39:00Z</dcterms:created>
  <dcterms:modified xsi:type="dcterms:W3CDTF">2016-04-13T20:39:00Z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