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CF5CF0" w14:textId="77777777" w:rsidR="002835C6" w:rsidRDefault="002835C6" w:rsidP="002835C6">
      <w:pPr>
        <w:pStyle w:val="Title"/>
        <w:jc w:val="center"/>
        <w:rPr>
          <w:rStyle w:val="Strong"/>
          <w:rFonts w:asciiTheme="minorHAnsi" w:hAnsiTheme="minorHAnsi" w:cstheme="minorHAnsi"/>
          <w:color w:val="538135" w:themeColor="accent6" w:themeShade="BF"/>
          <w:sz w:val="36"/>
          <w:szCs w:val="36"/>
        </w:rPr>
      </w:pPr>
      <w:r w:rsidRPr="002835C6">
        <w:rPr>
          <w:rStyle w:val="Strong"/>
          <w:rFonts w:asciiTheme="minorHAnsi" w:hAnsiTheme="minorHAnsi" w:cstheme="minorHAnsi"/>
          <w:color w:val="538135" w:themeColor="accent6" w:themeShade="BF"/>
          <w:sz w:val="36"/>
          <w:szCs w:val="36"/>
        </w:rPr>
        <w:t>Report to CMW Concerning Egypt</w:t>
      </w:r>
      <w:r>
        <w:rPr>
          <w:rStyle w:val="Strong"/>
          <w:rFonts w:asciiTheme="minorHAnsi" w:hAnsiTheme="minorHAnsi" w:cstheme="minorHAnsi"/>
          <w:color w:val="538135" w:themeColor="accent6" w:themeShade="BF"/>
          <w:sz w:val="36"/>
          <w:szCs w:val="36"/>
        </w:rPr>
        <w:t>- 39</w:t>
      </w:r>
      <w:r w:rsidRPr="002835C6">
        <w:rPr>
          <w:rStyle w:val="Strong"/>
          <w:rFonts w:asciiTheme="minorHAnsi" w:hAnsiTheme="minorHAnsi" w:cstheme="minorHAnsi"/>
          <w:color w:val="538135" w:themeColor="accent6" w:themeShade="BF"/>
          <w:sz w:val="36"/>
          <w:szCs w:val="36"/>
          <w:vertAlign w:val="superscript"/>
        </w:rPr>
        <w:t>th</w:t>
      </w:r>
      <w:r>
        <w:rPr>
          <w:rStyle w:val="Strong"/>
          <w:rFonts w:asciiTheme="minorHAnsi" w:hAnsiTheme="minorHAnsi" w:cstheme="minorHAnsi"/>
          <w:color w:val="538135" w:themeColor="accent6" w:themeShade="BF"/>
          <w:sz w:val="36"/>
          <w:szCs w:val="36"/>
        </w:rPr>
        <w:t xml:space="preserve"> Session</w:t>
      </w:r>
    </w:p>
    <w:p w14:paraId="62CF5CF1" w14:textId="77777777" w:rsidR="002835C6" w:rsidRPr="002835C6" w:rsidRDefault="002835C6" w:rsidP="002835C6"/>
    <w:p w14:paraId="62CF5CF2" w14:textId="77777777" w:rsidR="002835C6" w:rsidRPr="002835C6" w:rsidRDefault="002835C6" w:rsidP="002835C6">
      <w:pPr>
        <w:jc w:val="both"/>
        <w:rPr>
          <w:rFonts w:cstheme="minorHAnsi"/>
          <w:sz w:val="24"/>
          <w:szCs w:val="24"/>
        </w:rPr>
      </w:pPr>
      <w:r w:rsidRPr="002835C6">
        <w:rPr>
          <w:rFonts w:cstheme="minorHAnsi"/>
          <w:sz w:val="24"/>
          <w:szCs w:val="24"/>
        </w:rPr>
        <w:t>In this report, Elizka provides additional information to the Committee on the Rights of Migrant Workers and Members of Their Families ahead o</w:t>
      </w:r>
      <w:r>
        <w:rPr>
          <w:rFonts w:cstheme="minorHAnsi"/>
          <w:sz w:val="24"/>
          <w:szCs w:val="24"/>
        </w:rPr>
        <w:t>f Egypt’s review during the 39</w:t>
      </w:r>
      <w:r w:rsidRPr="002835C6">
        <w:rPr>
          <w:rFonts w:cstheme="minorHAnsi"/>
          <w:sz w:val="24"/>
          <w:szCs w:val="24"/>
          <w:vertAlign w:val="superscript"/>
        </w:rPr>
        <w:t>th</w:t>
      </w:r>
      <w:r w:rsidRPr="002835C6">
        <w:rPr>
          <w:rFonts w:cstheme="minorHAnsi"/>
          <w:sz w:val="24"/>
          <w:szCs w:val="24"/>
        </w:rPr>
        <w:t xml:space="preserve"> session scheduled for December 2024. The information contained in this report addresses some of the Committee’s concerns outlined in the list of issues related to Egypt’s combined second to fourth periodic reports. The report primarily focuses on the legislative framework for migrants in Egypt, including guarantees of the right to privacy, informing migrants of the provisions of the Convention, access to health care, and employment opportunities for migrants.</w:t>
      </w:r>
    </w:p>
    <w:p w14:paraId="62CF5CF3" w14:textId="77777777" w:rsidR="002835C6" w:rsidRPr="00DD272D" w:rsidRDefault="002835C6" w:rsidP="00E856ED">
      <w:pPr>
        <w:jc w:val="both"/>
        <w:rPr>
          <w:rFonts w:cstheme="minorHAnsi"/>
          <w:b/>
          <w:bCs/>
          <w:color w:val="538135" w:themeColor="accent6" w:themeShade="BF"/>
          <w:sz w:val="28"/>
          <w:szCs w:val="28"/>
          <w:u w:val="single"/>
        </w:rPr>
      </w:pPr>
      <w:r w:rsidRPr="00DD272D">
        <w:rPr>
          <w:rFonts w:cstheme="minorHAnsi"/>
          <w:b/>
          <w:bCs/>
          <w:color w:val="538135" w:themeColor="accent6" w:themeShade="BF"/>
          <w:sz w:val="28"/>
          <w:szCs w:val="28"/>
          <w:u w:val="single"/>
        </w:rPr>
        <w:t>First: Legislative Measures for Migrants</w:t>
      </w:r>
    </w:p>
    <w:p w14:paraId="62CF5CF4" w14:textId="77777777" w:rsidR="002835C6" w:rsidRPr="002835C6" w:rsidRDefault="002835C6" w:rsidP="002835C6">
      <w:pPr>
        <w:ind w:firstLine="720"/>
        <w:jc w:val="both"/>
        <w:rPr>
          <w:rFonts w:cstheme="minorHAnsi"/>
          <w:sz w:val="24"/>
          <w:szCs w:val="24"/>
        </w:rPr>
      </w:pPr>
      <w:r w:rsidRPr="002835C6">
        <w:rPr>
          <w:rFonts w:cstheme="minorHAnsi"/>
          <w:sz w:val="24"/>
          <w:szCs w:val="24"/>
        </w:rPr>
        <w:t>In its list of issues related to Egypt's combined second to fourth periodic reports, the Committee requested clarification on the legislation that aligns with the provisions of the Convention. This includes legislation addressing discrimination against migrants, as well as laws and practices concerning the status of refugees, all aimed at ensuring and protecting the human rights of asylum seekers. Upon reviewing the constitutional and legislative framework in Egypt, Elizka notes the presence of guarantees that prevent discriminatory practices against migrants. Article 53 of the Egyptian Constitution, amended in 2019, prohibits discrimination based on religion, belief, sex, origin, race, color, language, disability, social status, political affiliation, geography, or any other consideration.</w:t>
      </w:r>
      <w:r w:rsidRPr="002835C6">
        <w:rPr>
          <w:rStyle w:val="FootnoteReference"/>
          <w:rFonts w:cstheme="minorHAnsi"/>
          <w:sz w:val="24"/>
          <w:szCs w:val="24"/>
        </w:rPr>
        <w:footnoteReference w:id="1"/>
      </w:r>
      <w:r w:rsidRPr="002835C6">
        <w:rPr>
          <w:rFonts w:cstheme="minorHAnsi"/>
          <w:sz w:val="24"/>
          <w:szCs w:val="24"/>
        </w:rPr>
        <w:t xml:space="preserve"> The legal framework also criminalizes discrimination based on nationality and imposes penalties for such practices. However, </w:t>
      </w:r>
      <w:r>
        <w:rPr>
          <w:rFonts w:cstheme="minorHAnsi"/>
          <w:sz w:val="24"/>
          <w:szCs w:val="24"/>
        </w:rPr>
        <w:t xml:space="preserve">Elizka believes that </w:t>
      </w:r>
      <w:r w:rsidRPr="002835C6">
        <w:rPr>
          <w:rFonts w:cstheme="minorHAnsi"/>
          <w:sz w:val="24"/>
          <w:szCs w:val="24"/>
        </w:rPr>
        <w:t>to strengthen this framework, it is essential to establish an anti-discrimination commission in accordance with Article 53 of th</w:t>
      </w:r>
      <w:r>
        <w:rPr>
          <w:rFonts w:cstheme="minorHAnsi"/>
          <w:sz w:val="24"/>
          <w:szCs w:val="24"/>
        </w:rPr>
        <w:t xml:space="preserve">e Constitution. Despite several </w:t>
      </w:r>
      <w:r w:rsidRPr="002835C6">
        <w:rPr>
          <w:rFonts w:cstheme="minorHAnsi"/>
          <w:sz w:val="24"/>
          <w:szCs w:val="24"/>
        </w:rPr>
        <w:t>legislatio</w:t>
      </w:r>
      <w:r>
        <w:rPr>
          <w:rFonts w:cstheme="minorHAnsi"/>
          <w:sz w:val="24"/>
          <w:szCs w:val="24"/>
        </w:rPr>
        <w:t xml:space="preserve">n </w:t>
      </w:r>
      <w:r w:rsidRPr="002835C6">
        <w:rPr>
          <w:rFonts w:cstheme="minorHAnsi"/>
          <w:sz w:val="24"/>
          <w:szCs w:val="24"/>
        </w:rPr>
        <w:t>proposals</w:t>
      </w:r>
      <w:r>
        <w:rPr>
          <w:rFonts w:cstheme="minorHAnsi"/>
          <w:sz w:val="24"/>
          <w:szCs w:val="24"/>
        </w:rPr>
        <w:t xml:space="preserve"> to create this commission, it has not yet </w:t>
      </w:r>
      <w:r w:rsidRPr="002835C6">
        <w:rPr>
          <w:rFonts w:cstheme="minorHAnsi"/>
          <w:sz w:val="24"/>
          <w:szCs w:val="24"/>
        </w:rPr>
        <w:t>established.</w:t>
      </w:r>
    </w:p>
    <w:p w14:paraId="62CF5CF5" w14:textId="77777777" w:rsidR="002835C6" w:rsidRPr="002835C6" w:rsidRDefault="002835C6" w:rsidP="001373E9">
      <w:pPr>
        <w:ind w:firstLine="720"/>
        <w:jc w:val="both"/>
        <w:rPr>
          <w:rFonts w:cstheme="minorHAnsi"/>
          <w:sz w:val="24"/>
          <w:szCs w:val="24"/>
        </w:rPr>
      </w:pPr>
      <w:r w:rsidRPr="002835C6">
        <w:rPr>
          <w:rFonts w:cstheme="minorHAnsi"/>
          <w:sz w:val="24"/>
          <w:szCs w:val="24"/>
        </w:rPr>
        <w:t xml:space="preserve">In this context, Elizka highlights the Cabinet’s approval on June 7, 2023, of a draft law to issue the Foreign Asylum Law. This draft law stipulates that refugees and asylum seekers must regularize their status in accordance with its provisions within one year from the date the executive regulations are implemented. The draft law allows the Prime Minister, with Cabinet approval, to extend this period for an additional year. It also establishes a committee called the “Permanent Committee for Refugee Affairs,” which will have legal personality and report to the Prime Minister. Its headquarters will be located in Cairo Governorate, and it will be responsible for all refugee affairs, including the collection of information and statistical data on the number of refugees. Additionally, the committee will coordinate with the Ministry of Foreign Affairs and </w:t>
      </w:r>
      <w:r w:rsidRPr="002835C6">
        <w:rPr>
          <w:rFonts w:cstheme="minorHAnsi"/>
          <w:sz w:val="24"/>
          <w:szCs w:val="24"/>
        </w:rPr>
        <w:lastRenderedPageBreak/>
        <w:t>collaborate with the United Nations High Commissioner for Refugees and other international organizations concerned with refugee affairs. It will also work with state administrative bodies to ensure the provision of all forms of support, care, and services to refugees.</w:t>
      </w:r>
      <w:r w:rsidRPr="002835C6">
        <w:rPr>
          <w:rStyle w:val="FootnoteReference"/>
          <w:rFonts w:cstheme="minorHAnsi"/>
          <w:sz w:val="24"/>
          <w:szCs w:val="24"/>
        </w:rPr>
        <w:footnoteReference w:id="2"/>
      </w:r>
      <w:r w:rsidRPr="002835C6">
        <w:rPr>
          <w:rFonts w:cstheme="minorHAnsi"/>
          <w:sz w:val="24"/>
          <w:szCs w:val="24"/>
        </w:rPr>
        <w:t xml:space="preserve"> However, as of October 2024, there has been no further information available regarding the draft law, nor has it been referred to the Legislative Committee in the House of Representatives for discussion.</w:t>
      </w:r>
    </w:p>
    <w:p w14:paraId="62CF5CF6" w14:textId="77777777" w:rsidR="002835C6" w:rsidRPr="00DD272D" w:rsidRDefault="002835C6" w:rsidP="00E856ED">
      <w:pPr>
        <w:jc w:val="both"/>
        <w:rPr>
          <w:rFonts w:cstheme="minorHAnsi"/>
          <w:b/>
          <w:bCs/>
          <w:color w:val="538135" w:themeColor="accent6" w:themeShade="BF"/>
          <w:sz w:val="28"/>
          <w:szCs w:val="28"/>
          <w:u w:val="single"/>
        </w:rPr>
      </w:pPr>
      <w:r w:rsidRPr="00DD272D">
        <w:rPr>
          <w:rFonts w:cstheme="minorHAnsi"/>
          <w:b/>
          <w:bCs/>
          <w:color w:val="538135" w:themeColor="accent6" w:themeShade="BF"/>
          <w:sz w:val="28"/>
          <w:szCs w:val="28"/>
          <w:u w:val="single"/>
        </w:rPr>
        <w:t>Second: Health Care for Migrants</w:t>
      </w:r>
    </w:p>
    <w:p w14:paraId="62CF5CF7" w14:textId="77777777" w:rsidR="002835C6" w:rsidRPr="002835C6" w:rsidRDefault="002835C6" w:rsidP="008A264E">
      <w:pPr>
        <w:ind w:firstLine="720"/>
        <w:jc w:val="both"/>
        <w:rPr>
          <w:rFonts w:cstheme="minorHAnsi"/>
          <w:sz w:val="24"/>
          <w:szCs w:val="24"/>
        </w:rPr>
      </w:pPr>
      <w:r w:rsidRPr="002835C6">
        <w:rPr>
          <w:rFonts w:cstheme="minorHAnsi"/>
          <w:sz w:val="24"/>
          <w:szCs w:val="24"/>
        </w:rPr>
        <w:t>Access to health care services for migrants and their family members has remained consistent, with the government facilitating projects to promote the mental health of migrants and refugees, particularly in the Greater Cairo governorate. From May to October 2024, Elizka noted that migrants could access vaccination services free of charge. Public hospitals also continued to provide health care services to migrants at affordable costs. Elizka highlighted the Egyptian government's commitment to hosting international forums on migrant health. For instance, from September 9 to 13, 2024, the Migrant Health Consortium for the Middle East and North Africa held its third assembly in Cairo.</w:t>
      </w:r>
      <w:r w:rsidRPr="002835C6">
        <w:rPr>
          <w:rStyle w:val="FootnoteReference"/>
          <w:rFonts w:cstheme="minorHAnsi"/>
          <w:sz w:val="24"/>
          <w:szCs w:val="24"/>
        </w:rPr>
        <w:footnoteReference w:id="3"/>
      </w:r>
      <w:r w:rsidRPr="002835C6">
        <w:rPr>
          <w:rFonts w:cstheme="minorHAnsi"/>
          <w:sz w:val="24"/>
          <w:szCs w:val="24"/>
        </w:rPr>
        <w:t xml:space="preserve"> </w:t>
      </w:r>
    </w:p>
    <w:p w14:paraId="62CF5CF8" w14:textId="77777777" w:rsidR="002835C6" w:rsidRPr="002835C6" w:rsidRDefault="002835C6" w:rsidP="00444DB2">
      <w:pPr>
        <w:ind w:firstLine="720"/>
        <w:jc w:val="both"/>
        <w:rPr>
          <w:rFonts w:cstheme="minorHAnsi"/>
          <w:sz w:val="24"/>
          <w:szCs w:val="24"/>
        </w:rPr>
      </w:pPr>
      <w:r w:rsidRPr="002835C6">
        <w:rPr>
          <w:rFonts w:cstheme="minorHAnsi"/>
          <w:sz w:val="24"/>
          <w:szCs w:val="24"/>
        </w:rPr>
        <w:t>However, reports indicate that access to care is sometimes contingent on the nationality of the migrant, and many still rely on support from UN agencies for medical services.</w:t>
      </w:r>
      <w:r w:rsidRPr="002835C6">
        <w:rPr>
          <w:rStyle w:val="FootnoteReference"/>
          <w:rFonts w:cstheme="minorHAnsi"/>
          <w:sz w:val="24"/>
          <w:szCs w:val="24"/>
        </w:rPr>
        <w:footnoteReference w:id="4"/>
      </w:r>
      <w:r w:rsidRPr="002835C6">
        <w:rPr>
          <w:rFonts w:cstheme="minorHAnsi"/>
          <w:sz w:val="24"/>
          <w:szCs w:val="24"/>
        </w:rPr>
        <w:t xml:space="preserve"> In this context, Elizka noted that more than 9,000 women, including migrants, receive specialized reproductive health services annually through UNFPA-supported programs.</w:t>
      </w:r>
      <w:r w:rsidRPr="002835C6">
        <w:rPr>
          <w:rStyle w:val="FootnoteReference"/>
          <w:rFonts w:cstheme="minorHAnsi"/>
          <w:sz w:val="24"/>
          <w:szCs w:val="24"/>
        </w:rPr>
        <w:footnoteReference w:id="5"/>
      </w:r>
      <w:r w:rsidRPr="002835C6">
        <w:rPr>
          <w:rFonts w:cstheme="minorHAnsi"/>
          <w:sz w:val="24"/>
          <w:szCs w:val="24"/>
        </w:rPr>
        <w:t xml:space="preserve"> Nevertheless, some migrant women lack information on how to access these reproductive health services.</w:t>
      </w:r>
    </w:p>
    <w:p w14:paraId="62CF5CF9" w14:textId="77777777" w:rsidR="002835C6" w:rsidRPr="00DD272D" w:rsidRDefault="002835C6" w:rsidP="00E856ED">
      <w:pPr>
        <w:jc w:val="both"/>
        <w:rPr>
          <w:rFonts w:cstheme="minorHAnsi"/>
          <w:b/>
          <w:bCs/>
          <w:color w:val="538135" w:themeColor="accent6" w:themeShade="BF"/>
          <w:sz w:val="28"/>
          <w:szCs w:val="28"/>
          <w:u w:val="single"/>
        </w:rPr>
      </w:pPr>
      <w:r w:rsidRPr="00DD272D">
        <w:rPr>
          <w:rFonts w:cstheme="minorHAnsi"/>
          <w:b/>
          <w:bCs/>
          <w:color w:val="538135" w:themeColor="accent6" w:themeShade="BF"/>
          <w:sz w:val="28"/>
          <w:szCs w:val="28"/>
          <w:u w:val="single"/>
        </w:rPr>
        <w:t>Third: Right to Privacy for Migrants</w:t>
      </w:r>
    </w:p>
    <w:p w14:paraId="62CF5CFA" w14:textId="77777777" w:rsidR="00290FBC" w:rsidRDefault="002835C6" w:rsidP="00290FBC">
      <w:pPr>
        <w:ind w:firstLine="720"/>
        <w:jc w:val="both"/>
        <w:rPr>
          <w:rFonts w:cstheme="minorHAnsi"/>
          <w:sz w:val="24"/>
          <w:szCs w:val="24"/>
        </w:rPr>
      </w:pPr>
      <w:r w:rsidRPr="002835C6">
        <w:rPr>
          <w:rFonts w:cstheme="minorHAnsi"/>
          <w:sz w:val="24"/>
          <w:szCs w:val="24"/>
        </w:rPr>
        <w:t xml:space="preserve">Article 14 of the Convention guarantees the right to privacy for migrant workers and their families, prohibiting arbitrary or unlawful interference with their privacy, family, home, correspondence, or other communications, as well as unlawful attacks on their honor and reputation. Elizka reviewed the Egyptian constitutional and legal framework and noted that it upholds the right to privacy for all residents in Egyptian territory, including migrant workers and their families. Article 57 of the current Egyptian Constitution guarantees the sanctity and </w:t>
      </w:r>
      <w:r w:rsidRPr="002835C6">
        <w:rPr>
          <w:rFonts w:cstheme="minorHAnsi"/>
          <w:sz w:val="24"/>
          <w:szCs w:val="24"/>
        </w:rPr>
        <w:lastRenderedPageBreak/>
        <w:t>preservation of private life, as well as the confidentiality</w:t>
      </w:r>
      <w:r w:rsidRPr="002835C6">
        <w:rPr>
          <w:rStyle w:val="FootnoteReference"/>
          <w:rFonts w:cstheme="minorHAnsi"/>
          <w:sz w:val="24"/>
          <w:szCs w:val="24"/>
        </w:rPr>
        <w:footnoteReference w:id="6"/>
      </w:r>
      <w:r w:rsidRPr="002835C6">
        <w:rPr>
          <w:rFonts w:cstheme="minorHAnsi"/>
          <w:sz w:val="24"/>
          <w:szCs w:val="24"/>
        </w:rPr>
        <w:t xml:space="preserve"> of postal and electronic correspondence, telephone conversations, and other means of communication.</w:t>
      </w:r>
    </w:p>
    <w:p w14:paraId="62CF5CFB" w14:textId="77777777" w:rsidR="002835C6" w:rsidRPr="002835C6" w:rsidRDefault="002835C6" w:rsidP="00290FBC">
      <w:pPr>
        <w:ind w:firstLine="720"/>
        <w:jc w:val="both"/>
        <w:rPr>
          <w:rFonts w:cstheme="minorHAnsi"/>
          <w:sz w:val="24"/>
          <w:szCs w:val="24"/>
        </w:rPr>
      </w:pPr>
      <w:r w:rsidRPr="002835C6">
        <w:rPr>
          <w:rFonts w:cstheme="minorHAnsi"/>
          <w:sz w:val="24"/>
          <w:szCs w:val="24"/>
        </w:rPr>
        <w:t xml:space="preserve"> Elizka notes that the Egyptian authorities are committed to protecting the right to privacy of migrant workers. They have permitted migrant workers of various nationalities to gather in residential areas of their choice without imposing specific locations. Additionally, migrants </w:t>
      </w:r>
      <w:proofErr w:type="gramStart"/>
      <w:r w:rsidRPr="002835C6">
        <w:rPr>
          <w:rFonts w:cstheme="minorHAnsi"/>
          <w:sz w:val="24"/>
          <w:szCs w:val="24"/>
        </w:rPr>
        <w:t>are allowed to</w:t>
      </w:r>
      <w:proofErr w:type="gramEnd"/>
      <w:r w:rsidRPr="002835C6">
        <w:rPr>
          <w:rFonts w:cstheme="minorHAnsi"/>
          <w:sz w:val="24"/>
          <w:szCs w:val="24"/>
        </w:rPr>
        <w:t xml:space="preserve"> establish restaurants and shops that cater exclusively to their nationalities, demonstrating respect for their privacy and the preservation of their identity and culture. For instance, the Egyptian authorities facilitate Sudanese gatherings in several Egyptian cities and neighborhoods, particularly in Greater Cairo and Aswan.</w:t>
      </w:r>
      <w:r w:rsidRPr="002835C6">
        <w:rPr>
          <w:rStyle w:val="FootnoteReference"/>
          <w:rFonts w:cstheme="minorHAnsi"/>
          <w:sz w:val="24"/>
          <w:szCs w:val="24"/>
        </w:rPr>
        <w:footnoteReference w:id="7"/>
      </w:r>
      <w:r w:rsidRPr="002835C6">
        <w:rPr>
          <w:rFonts w:cstheme="minorHAnsi"/>
          <w:sz w:val="24"/>
          <w:szCs w:val="24"/>
        </w:rPr>
        <w:t xml:space="preserve"> </w:t>
      </w:r>
    </w:p>
    <w:p w14:paraId="62CF5CFC" w14:textId="77777777" w:rsidR="002835C6" w:rsidRPr="002835C6" w:rsidRDefault="002835C6" w:rsidP="0085587E">
      <w:pPr>
        <w:ind w:firstLine="720"/>
        <w:jc w:val="both"/>
        <w:rPr>
          <w:rFonts w:cstheme="minorHAnsi"/>
          <w:sz w:val="24"/>
          <w:szCs w:val="24"/>
        </w:rPr>
      </w:pPr>
      <w:r w:rsidRPr="002835C6">
        <w:rPr>
          <w:rFonts w:cstheme="minorHAnsi"/>
          <w:sz w:val="24"/>
          <w:szCs w:val="24"/>
        </w:rPr>
        <w:t>Despite these positive measures, Elizka expresses concerns regarding campaigns on social media in Egypt</w:t>
      </w:r>
      <w:r w:rsidRPr="002835C6">
        <w:rPr>
          <w:rStyle w:val="FootnoteReference"/>
          <w:rFonts w:cstheme="minorHAnsi"/>
          <w:sz w:val="24"/>
          <w:szCs w:val="24"/>
        </w:rPr>
        <w:footnoteReference w:id="8"/>
      </w:r>
      <w:r w:rsidRPr="002835C6">
        <w:rPr>
          <w:rFonts w:cstheme="minorHAnsi"/>
          <w:sz w:val="24"/>
          <w:szCs w:val="24"/>
        </w:rPr>
        <w:t xml:space="preserve"> that advocate for restrictions on gatherings of migrants from specific nationalities in designated areas. Such calls could infringe upon the rights of these migrant workers and their families to privacy and the preservation of their cultural identity. Elizka shares similar concerns regarding campaigns that have called for the expulsion of Syrian migrants and the defamation of certain individuals on social media, particularly through groups targeting the online accounts of Syrian migrants in Egypt.</w:t>
      </w:r>
      <w:r w:rsidRPr="002835C6">
        <w:rPr>
          <w:rStyle w:val="FootnoteReference"/>
          <w:rFonts w:cstheme="minorHAnsi"/>
          <w:sz w:val="24"/>
          <w:szCs w:val="24"/>
        </w:rPr>
        <w:footnoteReference w:id="9"/>
      </w:r>
    </w:p>
    <w:p w14:paraId="62CF5CFD" w14:textId="77777777" w:rsidR="002835C6" w:rsidRPr="00DD272D" w:rsidRDefault="002835C6" w:rsidP="0085587E">
      <w:pPr>
        <w:jc w:val="both"/>
        <w:rPr>
          <w:rFonts w:cstheme="minorHAnsi"/>
          <w:b/>
          <w:bCs/>
          <w:color w:val="538135" w:themeColor="accent6" w:themeShade="BF"/>
          <w:sz w:val="28"/>
          <w:szCs w:val="28"/>
          <w:u w:val="single"/>
        </w:rPr>
      </w:pPr>
      <w:r w:rsidRPr="00DD272D">
        <w:rPr>
          <w:rFonts w:cstheme="minorHAnsi"/>
          <w:b/>
          <w:bCs/>
          <w:color w:val="538135" w:themeColor="accent6" w:themeShade="BF"/>
          <w:sz w:val="28"/>
          <w:szCs w:val="28"/>
          <w:u w:val="single"/>
        </w:rPr>
        <w:t>Fourth: Introducing Convention and its Provisions to Migrants</w:t>
      </w:r>
    </w:p>
    <w:p w14:paraId="62CF5CFE" w14:textId="77777777" w:rsidR="00290FBC" w:rsidRDefault="002835C6" w:rsidP="00043AC9">
      <w:pPr>
        <w:ind w:firstLine="720"/>
        <w:jc w:val="both"/>
        <w:rPr>
          <w:rFonts w:cstheme="minorHAnsi"/>
          <w:sz w:val="24"/>
          <w:szCs w:val="24"/>
          <w:rtl/>
        </w:rPr>
      </w:pPr>
      <w:r w:rsidRPr="002835C6">
        <w:rPr>
          <w:rFonts w:cstheme="minorHAnsi"/>
          <w:sz w:val="24"/>
          <w:szCs w:val="24"/>
        </w:rPr>
        <w:t xml:space="preserve">In the list of issues related to Egypt’s combined second to fourth reports, the Committee requested details on measures taken to inform non-Arabic-speaking migrant workers of their rights under the Convention. Elizka highlights initiatives undertaken by Egypt, including the issuance of the Judicial Guide on International Labor Standards, which outlines the status of the International Convention on the Rights of All Migrant Workers in Egyptian law and its potential for direct application by judges. </w:t>
      </w:r>
    </w:p>
    <w:p w14:paraId="62CF5CFF" w14:textId="77777777" w:rsidR="002835C6" w:rsidRPr="002835C6" w:rsidRDefault="002835C6" w:rsidP="00043AC9">
      <w:pPr>
        <w:ind w:firstLine="720"/>
        <w:jc w:val="both"/>
        <w:rPr>
          <w:rFonts w:cstheme="minorHAnsi"/>
          <w:sz w:val="24"/>
          <w:szCs w:val="24"/>
        </w:rPr>
      </w:pPr>
      <w:r w:rsidRPr="002835C6">
        <w:rPr>
          <w:rFonts w:cstheme="minorHAnsi"/>
          <w:sz w:val="24"/>
          <w:szCs w:val="24"/>
        </w:rPr>
        <w:t>However, Elizka notes a significant gap in efforts to disseminate information about the Convention and to raise awareness among migrant communities in Egypt. There is a lack of organizations actively promoting knowledge of the Convention's provisions. Elizka believes that enhancing awareness of the Convention requires the Egyptian government to support non-governmental organizations focused on migrant and refugee issues.</w:t>
      </w:r>
    </w:p>
    <w:p w14:paraId="62CF5D00" w14:textId="77777777" w:rsidR="002835C6" w:rsidRPr="00DD272D" w:rsidRDefault="002835C6" w:rsidP="00043AC9">
      <w:pPr>
        <w:jc w:val="both"/>
        <w:rPr>
          <w:rFonts w:cstheme="minorHAnsi"/>
          <w:b/>
          <w:bCs/>
          <w:color w:val="538135" w:themeColor="accent6" w:themeShade="BF"/>
          <w:sz w:val="28"/>
          <w:szCs w:val="28"/>
          <w:u w:val="single"/>
        </w:rPr>
      </w:pPr>
      <w:r w:rsidRPr="00DD272D">
        <w:rPr>
          <w:rFonts w:cstheme="minorHAnsi"/>
          <w:b/>
          <w:bCs/>
          <w:color w:val="538135" w:themeColor="accent6" w:themeShade="BF"/>
          <w:sz w:val="28"/>
          <w:szCs w:val="28"/>
          <w:u w:val="single"/>
        </w:rPr>
        <w:lastRenderedPageBreak/>
        <w:t>Fifth: Migrants Transferring Money to Their Families</w:t>
      </w:r>
    </w:p>
    <w:p w14:paraId="62CF5D01" w14:textId="77777777" w:rsidR="002835C6" w:rsidRPr="002835C6" w:rsidRDefault="002835C6" w:rsidP="00B24468">
      <w:pPr>
        <w:ind w:firstLine="720"/>
        <w:jc w:val="both"/>
        <w:rPr>
          <w:rFonts w:cstheme="minorHAnsi"/>
          <w:sz w:val="24"/>
          <w:szCs w:val="24"/>
        </w:rPr>
      </w:pPr>
      <w:r w:rsidRPr="002835C6">
        <w:rPr>
          <w:rFonts w:cstheme="minorHAnsi"/>
          <w:sz w:val="24"/>
          <w:szCs w:val="24"/>
        </w:rPr>
        <w:t>Article 47 of the International Convention on the Protection of the Rights of All Migrant Workers and Members of Their Families</w:t>
      </w:r>
      <w:r w:rsidRPr="002835C6">
        <w:rPr>
          <w:rStyle w:val="FootnoteReference"/>
          <w:rFonts w:cstheme="minorHAnsi"/>
          <w:sz w:val="24"/>
          <w:szCs w:val="24"/>
        </w:rPr>
        <w:footnoteReference w:id="10"/>
      </w:r>
      <w:r w:rsidRPr="002835C6">
        <w:rPr>
          <w:rFonts w:cstheme="minorHAnsi"/>
          <w:sz w:val="24"/>
          <w:szCs w:val="24"/>
        </w:rPr>
        <w:t xml:space="preserve"> guarantees migrants the right to transfer their earnings to their families. Elizka observes that Egyptian laws uphold the right of migrant workers to transfer their income, savings, and personal property to their countries of origin. Central Bank and Banking System Law No. 194 of 2020, particularly Article 209, authorizes companies to provide money transfer services. Article 212 allows individuals and legal entities to retain all foreign currency they acquire or possess, granting them the right to engage in foreign currency transactions, including transfers both domestically and internationally. Furthermore, Article 215 empowers banks to conduct all foreign currency operations, including accepting deposits and facilitating transfers.</w:t>
      </w:r>
      <w:r w:rsidRPr="002835C6">
        <w:rPr>
          <w:rStyle w:val="FootnoteReference"/>
          <w:rFonts w:cstheme="minorHAnsi"/>
          <w:sz w:val="24"/>
          <w:szCs w:val="24"/>
        </w:rPr>
        <w:footnoteReference w:id="11"/>
      </w:r>
    </w:p>
    <w:p w14:paraId="62CF5D02" w14:textId="77777777" w:rsidR="002835C6" w:rsidRPr="002835C6" w:rsidRDefault="002835C6" w:rsidP="00B24468">
      <w:pPr>
        <w:ind w:firstLine="720"/>
        <w:jc w:val="both"/>
        <w:rPr>
          <w:rFonts w:cstheme="minorHAnsi"/>
          <w:sz w:val="24"/>
          <w:szCs w:val="24"/>
        </w:rPr>
      </w:pPr>
      <w:r w:rsidRPr="002835C6">
        <w:rPr>
          <w:rFonts w:cstheme="minorHAnsi"/>
          <w:sz w:val="24"/>
          <w:szCs w:val="24"/>
        </w:rPr>
        <w:t xml:space="preserve">However, </w:t>
      </w:r>
      <w:proofErr w:type="gramStart"/>
      <w:r w:rsidRPr="002835C6">
        <w:rPr>
          <w:rFonts w:cstheme="minorHAnsi"/>
          <w:sz w:val="24"/>
          <w:szCs w:val="24"/>
        </w:rPr>
        <w:t>as a result of</w:t>
      </w:r>
      <w:proofErr w:type="gramEnd"/>
      <w:r w:rsidRPr="002835C6">
        <w:rPr>
          <w:rFonts w:cstheme="minorHAnsi"/>
          <w:sz w:val="24"/>
          <w:szCs w:val="24"/>
        </w:rPr>
        <w:t xml:space="preserve"> the economic crisis that Egypt experienced in early 2024, the Egyptian authorities implemented several measures that restricted the ability of migrant workers to transfer money to their families abroad. These measures included setting a maximum limit on transfers, restricting the use of ATM cards outside Egypt, and capping credit card usage at $250 per month. While these restrictions resulted in a violation of the right of migrant workers to transfer their money, Elizka believes that these measures were not primarily aimed at migrant workers.</w:t>
      </w:r>
      <w:r w:rsidRPr="002835C6">
        <w:rPr>
          <w:rStyle w:val="FootnoteReference"/>
          <w:rFonts w:cstheme="minorHAnsi"/>
          <w:sz w:val="24"/>
          <w:szCs w:val="24"/>
        </w:rPr>
        <w:footnoteReference w:id="12"/>
      </w:r>
      <w:r w:rsidRPr="002835C6">
        <w:rPr>
          <w:rFonts w:cstheme="minorHAnsi"/>
          <w:sz w:val="24"/>
          <w:szCs w:val="24"/>
        </w:rPr>
        <w:t xml:space="preserve"> Instead, the Egyptian government resorted to them due to the economic crisis, part of which stemmed from a shortage of foreign currency.</w:t>
      </w:r>
    </w:p>
    <w:p w14:paraId="62CF5D03" w14:textId="77777777" w:rsidR="002835C6" w:rsidRPr="00DD272D" w:rsidRDefault="002835C6" w:rsidP="00E856ED">
      <w:pPr>
        <w:jc w:val="both"/>
        <w:rPr>
          <w:rFonts w:cstheme="minorHAnsi"/>
          <w:b/>
          <w:bCs/>
          <w:color w:val="538135" w:themeColor="accent6" w:themeShade="BF"/>
          <w:sz w:val="28"/>
          <w:szCs w:val="28"/>
          <w:u w:val="single"/>
        </w:rPr>
      </w:pPr>
      <w:r w:rsidRPr="00DD272D">
        <w:rPr>
          <w:rFonts w:cstheme="minorHAnsi"/>
          <w:b/>
          <w:bCs/>
          <w:color w:val="538135" w:themeColor="accent6" w:themeShade="BF"/>
          <w:sz w:val="28"/>
          <w:szCs w:val="28"/>
          <w:u w:val="single"/>
        </w:rPr>
        <w:t>Sixth: Employment of Migrants in Egypt</w:t>
      </w:r>
    </w:p>
    <w:p w14:paraId="62CF5D04" w14:textId="77777777" w:rsidR="002835C6" w:rsidRPr="002835C6" w:rsidRDefault="002835C6" w:rsidP="006F43E7">
      <w:pPr>
        <w:ind w:firstLine="720"/>
        <w:jc w:val="both"/>
        <w:rPr>
          <w:rFonts w:cstheme="minorHAnsi"/>
          <w:sz w:val="24"/>
          <w:szCs w:val="24"/>
        </w:rPr>
      </w:pPr>
      <w:r w:rsidRPr="002835C6">
        <w:rPr>
          <w:rFonts w:cstheme="minorHAnsi"/>
          <w:sz w:val="24"/>
          <w:szCs w:val="24"/>
        </w:rPr>
        <w:t>According to official statistics, 37% of foreigners in Egypt—including migrants, refugees, and asylum seekers—work in permanent and stable jobs.</w:t>
      </w:r>
      <w:r w:rsidRPr="002835C6">
        <w:rPr>
          <w:rStyle w:val="FootnoteReference"/>
          <w:rFonts w:cstheme="minorHAnsi"/>
          <w:sz w:val="24"/>
          <w:szCs w:val="24"/>
        </w:rPr>
        <w:footnoteReference w:id="13"/>
      </w:r>
      <w:r w:rsidRPr="002835C6">
        <w:rPr>
          <w:rFonts w:cstheme="minorHAnsi"/>
          <w:sz w:val="24"/>
          <w:szCs w:val="24"/>
        </w:rPr>
        <w:t xml:space="preserve"> Additionally, migrant networks on social media, particularly those of Syrian nationality, have been actively posting job opportunities, especially in the restaurant sector.</w:t>
      </w:r>
      <w:r w:rsidRPr="002835C6">
        <w:rPr>
          <w:rStyle w:val="FootnoteReference"/>
          <w:rFonts w:cstheme="minorHAnsi"/>
          <w:sz w:val="24"/>
          <w:szCs w:val="24"/>
        </w:rPr>
        <w:footnoteReference w:id="14"/>
      </w:r>
      <w:r w:rsidRPr="002835C6">
        <w:rPr>
          <w:rFonts w:cstheme="minorHAnsi"/>
          <w:sz w:val="24"/>
          <w:szCs w:val="24"/>
        </w:rPr>
        <w:t xml:space="preserve"> However, Elizka notes that a significant portion of migrants work in low-skilled sectors, predominantly within the informal economy, which is unregulated. This makes tracking arbitrary labor practices challenging.</w:t>
      </w:r>
      <w:r w:rsidRPr="002835C6">
        <w:rPr>
          <w:rStyle w:val="FootnoteReference"/>
          <w:rFonts w:cstheme="minorHAnsi"/>
          <w:sz w:val="24"/>
          <w:szCs w:val="24"/>
        </w:rPr>
        <w:footnoteReference w:id="15"/>
      </w:r>
      <w:r w:rsidRPr="002835C6">
        <w:rPr>
          <w:rFonts w:cstheme="minorHAnsi"/>
          <w:sz w:val="24"/>
          <w:szCs w:val="24"/>
        </w:rPr>
        <w:t xml:space="preserve"> Reports indicate that migrants often hesitate and fear engaging with labor unions due to concerns about losing </w:t>
      </w:r>
      <w:r w:rsidRPr="002835C6">
        <w:rPr>
          <w:rFonts w:cstheme="minorHAnsi"/>
          <w:sz w:val="24"/>
          <w:szCs w:val="24"/>
        </w:rPr>
        <w:lastRenderedPageBreak/>
        <w:t>their jobs or work permits if they complain about working conditions. On a positive note, Elizka acknowledges the increase in the number of migrants who have obtained work permits in the private and investment sectors within the formal economy. These permits rose to 17,357 in 2023, compared to approximately 13,331 in 2022, representing an increase of over 30% according to data from the Central Agency for Public Mobilization and Statistics.</w:t>
      </w:r>
      <w:r w:rsidRPr="002835C6">
        <w:rPr>
          <w:rStyle w:val="FootnoteReference"/>
          <w:rFonts w:cstheme="minorHAnsi"/>
          <w:sz w:val="24"/>
          <w:szCs w:val="24"/>
        </w:rPr>
        <w:footnoteReference w:id="16"/>
      </w:r>
    </w:p>
    <w:p w14:paraId="62CF5D05" w14:textId="77777777" w:rsidR="002835C6" w:rsidRPr="002835C6" w:rsidRDefault="002835C6" w:rsidP="006F43E7">
      <w:pPr>
        <w:ind w:firstLine="720"/>
        <w:jc w:val="both"/>
        <w:rPr>
          <w:rFonts w:cstheme="minorHAnsi"/>
          <w:sz w:val="24"/>
          <w:szCs w:val="24"/>
        </w:rPr>
      </w:pPr>
      <w:r w:rsidRPr="002835C6">
        <w:rPr>
          <w:rFonts w:cstheme="minorHAnsi"/>
          <w:sz w:val="24"/>
          <w:szCs w:val="24"/>
        </w:rPr>
        <w:t>Nonetheless, Elizka expresses concern about the large number of migrant workers in the informal sector, which constitutes 50% of GDP.</w:t>
      </w:r>
      <w:r w:rsidRPr="002835C6">
        <w:rPr>
          <w:rStyle w:val="FootnoteReference"/>
          <w:rFonts w:cstheme="minorHAnsi"/>
          <w:sz w:val="24"/>
          <w:szCs w:val="24"/>
        </w:rPr>
        <w:footnoteReference w:id="17"/>
      </w:r>
      <w:r w:rsidRPr="002835C6">
        <w:rPr>
          <w:rFonts w:cstheme="minorHAnsi"/>
          <w:sz w:val="24"/>
          <w:szCs w:val="24"/>
        </w:rPr>
        <w:t xml:space="preserve"> Reliable estimates suggest that 60.4% of irregular workers, including migrant workers, are employed in the informal economy. While Elizka appreciates the efforts made by the Ministry of Labor to establish vocational training offices aimed at building the capacities of migrants and facilitating their employment, reports indicate that the number of migrants registered in technical and vocational education and training remains low. Most students prefer to enroll in public secondary schools to gain admission to Egyptian universities and institutes.</w:t>
      </w:r>
      <w:r w:rsidRPr="002835C6">
        <w:rPr>
          <w:rStyle w:val="FootnoteReference"/>
          <w:rFonts w:cstheme="minorHAnsi"/>
          <w:sz w:val="24"/>
          <w:szCs w:val="24"/>
        </w:rPr>
        <w:footnoteReference w:id="18"/>
      </w:r>
    </w:p>
    <w:p w14:paraId="62CF5D06" w14:textId="77777777" w:rsidR="002835C6" w:rsidRPr="00DD272D" w:rsidRDefault="002835C6" w:rsidP="00E856ED">
      <w:pPr>
        <w:jc w:val="both"/>
        <w:rPr>
          <w:rFonts w:cstheme="minorHAnsi"/>
          <w:b/>
          <w:bCs/>
          <w:color w:val="538135" w:themeColor="accent6" w:themeShade="BF"/>
          <w:sz w:val="28"/>
          <w:szCs w:val="28"/>
        </w:rPr>
      </w:pPr>
      <w:r w:rsidRPr="00DD272D">
        <w:rPr>
          <w:rFonts w:cstheme="minorHAnsi"/>
          <w:b/>
          <w:bCs/>
          <w:color w:val="538135" w:themeColor="accent6" w:themeShade="BF"/>
          <w:sz w:val="28"/>
          <w:szCs w:val="28"/>
        </w:rPr>
        <w:t>Recommendations</w:t>
      </w:r>
    </w:p>
    <w:p w14:paraId="62CF5D07" w14:textId="77777777" w:rsidR="002835C6" w:rsidRPr="002835C6" w:rsidRDefault="002835C6" w:rsidP="002835C6">
      <w:pPr>
        <w:pStyle w:val="ListParagraph"/>
        <w:numPr>
          <w:ilvl w:val="0"/>
          <w:numId w:val="6"/>
        </w:numPr>
        <w:spacing w:after="160" w:line="278" w:lineRule="auto"/>
        <w:jc w:val="both"/>
        <w:rPr>
          <w:rFonts w:cstheme="minorHAnsi"/>
          <w:sz w:val="24"/>
          <w:szCs w:val="24"/>
        </w:rPr>
      </w:pPr>
      <w:r w:rsidRPr="002835C6">
        <w:rPr>
          <w:rFonts w:cstheme="minorHAnsi"/>
          <w:sz w:val="24"/>
          <w:szCs w:val="24"/>
        </w:rPr>
        <w:t>Accelerate establishment of an anti-discrimination commission in accordance with the constitutional obligation outlined in Article 53 of Constitution.</w:t>
      </w:r>
    </w:p>
    <w:p w14:paraId="62CF5D08" w14:textId="77777777" w:rsidR="002835C6" w:rsidRPr="002835C6" w:rsidRDefault="002835C6" w:rsidP="002835C6">
      <w:pPr>
        <w:pStyle w:val="ListParagraph"/>
        <w:numPr>
          <w:ilvl w:val="0"/>
          <w:numId w:val="6"/>
        </w:numPr>
        <w:spacing w:after="160" w:line="278" w:lineRule="auto"/>
        <w:jc w:val="both"/>
        <w:rPr>
          <w:rFonts w:cstheme="minorHAnsi"/>
          <w:sz w:val="24"/>
          <w:szCs w:val="24"/>
        </w:rPr>
      </w:pPr>
      <w:r w:rsidRPr="002835C6">
        <w:rPr>
          <w:rFonts w:cstheme="minorHAnsi"/>
          <w:sz w:val="24"/>
          <w:szCs w:val="24"/>
        </w:rPr>
        <w:t>Ensure that the draft law on foreign asylum is made available and open a community dialogue with organizations concerned with migrants prior to its approval.</w:t>
      </w:r>
    </w:p>
    <w:p w14:paraId="62CF5D09" w14:textId="77777777" w:rsidR="002835C6" w:rsidRPr="002835C6" w:rsidRDefault="002835C6" w:rsidP="002835C6">
      <w:pPr>
        <w:pStyle w:val="ListParagraph"/>
        <w:numPr>
          <w:ilvl w:val="0"/>
          <w:numId w:val="6"/>
        </w:numPr>
        <w:spacing w:after="160" w:line="278" w:lineRule="auto"/>
        <w:jc w:val="both"/>
        <w:rPr>
          <w:rFonts w:cstheme="minorHAnsi"/>
          <w:sz w:val="24"/>
          <w:szCs w:val="24"/>
        </w:rPr>
      </w:pPr>
      <w:r w:rsidRPr="002835C6">
        <w:rPr>
          <w:rFonts w:cstheme="minorHAnsi"/>
          <w:sz w:val="24"/>
          <w:szCs w:val="24"/>
        </w:rPr>
        <w:t>Address concerns of migrants regarding their reluctance to engage with independent unions due to fears of job loss or permit revocation.</w:t>
      </w:r>
    </w:p>
    <w:p w14:paraId="62CF5D0A" w14:textId="77777777" w:rsidR="002835C6" w:rsidRPr="002835C6" w:rsidRDefault="002835C6" w:rsidP="002835C6">
      <w:pPr>
        <w:pStyle w:val="ListParagraph"/>
        <w:numPr>
          <w:ilvl w:val="0"/>
          <w:numId w:val="6"/>
        </w:numPr>
        <w:spacing w:after="160" w:line="278" w:lineRule="auto"/>
        <w:jc w:val="both"/>
        <w:rPr>
          <w:rFonts w:cstheme="minorHAnsi"/>
          <w:sz w:val="24"/>
          <w:szCs w:val="24"/>
        </w:rPr>
      </w:pPr>
      <w:r w:rsidRPr="002835C6">
        <w:rPr>
          <w:rFonts w:cstheme="minorHAnsi"/>
          <w:sz w:val="24"/>
          <w:szCs w:val="24"/>
        </w:rPr>
        <w:t>Establish a health services portal for migrants in English and French that provides information on reproductive health, particularly for migrant women in Egypt.</w:t>
      </w:r>
    </w:p>
    <w:p w14:paraId="62CF5D0B" w14:textId="77777777" w:rsidR="002835C6" w:rsidRPr="002835C6" w:rsidRDefault="002835C6" w:rsidP="002835C6">
      <w:pPr>
        <w:pStyle w:val="ListParagraph"/>
        <w:numPr>
          <w:ilvl w:val="0"/>
          <w:numId w:val="6"/>
        </w:numPr>
        <w:spacing w:after="160" w:line="278" w:lineRule="auto"/>
        <w:jc w:val="both"/>
        <w:rPr>
          <w:rFonts w:cstheme="minorHAnsi"/>
          <w:sz w:val="24"/>
          <w:szCs w:val="24"/>
        </w:rPr>
      </w:pPr>
      <w:r w:rsidRPr="002835C6">
        <w:rPr>
          <w:rFonts w:cstheme="minorHAnsi"/>
          <w:sz w:val="24"/>
          <w:szCs w:val="24"/>
        </w:rPr>
        <w:t>Implement additional programs to enhance migrants’ access to training and vocational education.</w:t>
      </w:r>
    </w:p>
    <w:p w14:paraId="62CF5D0C" w14:textId="77777777" w:rsidR="002835C6" w:rsidRPr="002835C6" w:rsidRDefault="002835C6" w:rsidP="002835C6">
      <w:pPr>
        <w:pStyle w:val="ListParagraph"/>
        <w:numPr>
          <w:ilvl w:val="0"/>
          <w:numId w:val="6"/>
        </w:numPr>
        <w:spacing w:after="160" w:line="278" w:lineRule="auto"/>
        <w:jc w:val="both"/>
        <w:rPr>
          <w:rFonts w:cstheme="minorHAnsi"/>
          <w:sz w:val="24"/>
          <w:szCs w:val="24"/>
        </w:rPr>
      </w:pPr>
      <w:r w:rsidRPr="002835C6">
        <w:rPr>
          <w:rFonts w:cstheme="minorHAnsi"/>
          <w:sz w:val="24"/>
          <w:szCs w:val="24"/>
        </w:rPr>
        <w:t>Raise awareness of the provisions of Convention among migrant communities and encourage civil society organizations concerned with migrants to promote the dissemination of the Convention</w:t>
      </w:r>
      <w:permStart w:id="933521509" w:edGrp="everyone"/>
      <w:permEnd w:id="933521509"/>
    </w:p>
    <w:p w14:paraId="62CF5D0D" w14:textId="77777777" w:rsidR="007F4089" w:rsidRPr="002835C6" w:rsidRDefault="007F4089" w:rsidP="00BA3716">
      <w:pPr>
        <w:rPr>
          <w:rFonts w:cstheme="minorHAnsi"/>
          <w:sz w:val="24"/>
          <w:szCs w:val="24"/>
        </w:rPr>
      </w:pPr>
    </w:p>
    <w:sectPr w:rsidR="007F4089" w:rsidRPr="002835C6">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CF5D10" w14:textId="77777777" w:rsidR="00F37EFD" w:rsidRDefault="00F37EFD" w:rsidP="002C5016">
      <w:pPr>
        <w:spacing w:after="0" w:line="240" w:lineRule="auto"/>
      </w:pPr>
      <w:r>
        <w:separator/>
      </w:r>
    </w:p>
  </w:endnote>
  <w:endnote w:type="continuationSeparator" w:id="0">
    <w:p w14:paraId="62CF5D11" w14:textId="77777777" w:rsidR="00F37EFD" w:rsidRDefault="00F37EFD" w:rsidP="002C50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CF5D0E" w14:textId="77777777" w:rsidR="00F37EFD" w:rsidRDefault="00F37EFD" w:rsidP="002C5016">
      <w:pPr>
        <w:spacing w:after="0" w:line="240" w:lineRule="auto"/>
      </w:pPr>
      <w:r>
        <w:separator/>
      </w:r>
    </w:p>
  </w:footnote>
  <w:footnote w:type="continuationSeparator" w:id="0">
    <w:p w14:paraId="62CF5D0F" w14:textId="77777777" w:rsidR="00F37EFD" w:rsidRDefault="00F37EFD" w:rsidP="002C5016">
      <w:pPr>
        <w:spacing w:after="0" w:line="240" w:lineRule="auto"/>
      </w:pPr>
      <w:r>
        <w:continuationSeparator/>
      </w:r>
    </w:p>
  </w:footnote>
  <w:footnote w:id="1">
    <w:p w14:paraId="62CF5D1A" w14:textId="77777777" w:rsidR="002835C6" w:rsidRPr="00C57FAA" w:rsidRDefault="002835C6">
      <w:pPr>
        <w:pStyle w:val="FootnoteText"/>
        <w:rPr>
          <w:rFonts w:asciiTheme="majorBidi" w:hAnsiTheme="majorBidi" w:cstheme="majorBidi"/>
          <w:sz w:val="16"/>
          <w:szCs w:val="16"/>
        </w:rPr>
      </w:pPr>
      <w:r w:rsidRPr="00C57FAA">
        <w:rPr>
          <w:rStyle w:val="FootnoteReference"/>
          <w:rFonts w:asciiTheme="majorBidi" w:hAnsiTheme="majorBidi" w:cstheme="majorBidi"/>
          <w:sz w:val="16"/>
          <w:szCs w:val="16"/>
        </w:rPr>
        <w:footnoteRef/>
      </w:r>
      <w:r w:rsidRPr="00C57FAA">
        <w:rPr>
          <w:rFonts w:asciiTheme="majorBidi" w:hAnsiTheme="majorBidi" w:cstheme="majorBidi"/>
          <w:sz w:val="16"/>
          <w:szCs w:val="16"/>
        </w:rPr>
        <w:t xml:space="preserve"> </w:t>
      </w:r>
      <w:r w:rsidRPr="001467E6">
        <w:rPr>
          <w:rFonts w:asciiTheme="majorBidi" w:hAnsiTheme="majorBidi" w:cstheme="majorBidi"/>
          <w:sz w:val="16"/>
          <w:szCs w:val="16"/>
        </w:rPr>
        <w:t xml:space="preserve">Egypt 2014 (rev. 2019), Article 53, </w:t>
      </w:r>
      <w:hyperlink r:id="rId1" w:history="1">
        <w:r w:rsidRPr="0016483C">
          <w:rPr>
            <w:rStyle w:val="Hyperlink"/>
            <w:rFonts w:asciiTheme="majorBidi" w:hAnsiTheme="majorBidi" w:cstheme="majorBidi"/>
            <w:sz w:val="16"/>
            <w:szCs w:val="16"/>
          </w:rPr>
          <w:t>https://www.constituteproject.org/constitution/Egypt_2019</w:t>
        </w:r>
      </w:hyperlink>
      <w:r>
        <w:rPr>
          <w:rFonts w:asciiTheme="majorBidi" w:hAnsiTheme="majorBidi" w:cstheme="majorBidi"/>
          <w:sz w:val="16"/>
          <w:szCs w:val="16"/>
        </w:rPr>
        <w:t xml:space="preserve"> </w:t>
      </w:r>
    </w:p>
  </w:footnote>
  <w:footnote w:id="2">
    <w:p w14:paraId="62CF5D1B" w14:textId="77777777" w:rsidR="002835C6" w:rsidRPr="00C57FAA" w:rsidRDefault="002835C6">
      <w:pPr>
        <w:pStyle w:val="FootnoteText"/>
        <w:rPr>
          <w:rFonts w:asciiTheme="majorBidi" w:hAnsiTheme="majorBidi" w:cstheme="majorBidi"/>
          <w:sz w:val="16"/>
          <w:szCs w:val="16"/>
        </w:rPr>
      </w:pPr>
      <w:r w:rsidRPr="00C57FAA">
        <w:rPr>
          <w:rStyle w:val="FootnoteReference"/>
          <w:rFonts w:asciiTheme="majorBidi" w:hAnsiTheme="majorBidi" w:cstheme="majorBidi"/>
          <w:sz w:val="16"/>
          <w:szCs w:val="16"/>
        </w:rPr>
        <w:footnoteRef/>
      </w:r>
      <w:r w:rsidRPr="00C57FAA">
        <w:rPr>
          <w:rFonts w:asciiTheme="majorBidi" w:hAnsiTheme="majorBidi" w:cstheme="majorBidi"/>
          <w:sz w:val="16"/>
          <w:szCs w:val="16"/>
        </w:rPr>
        <w:t xml:space="preserve"> Council of Ministers approves several decisions during its 243rd meeting, the State Information Service, at the following link: </w:t>
      </w:r>
      <w:hyperlink r:id="rId2" w:history="1">
        <w:r w:rsidRPr="00C57FAA">
          <w:rPr>
            <w:rStyle w:val="Hyperlink"/>
            <w:rFonts w:asciiTheme="majorBidi" w:hAnsiTheme="majorBidi" w:cstheme="majorBidi"/>
            <w:sz w:val="16"/>
            <w:szCs w:val="16"/>
          </w:rPr>
          <w:t>http://tinyurl.com/5n8p2jtt</w:t>
        </w:r>
      </w:hyperlink>
      <w:r w:rsidRPr="00C57FAA">
        <w:rPr>
          <w:rFonts w:asciiTheme="majorBidi" w:hAnsiTheme="majorBidi" w:cstheme="majorBidi"/>
          <w:sz w:val="16"/>
          <w:szCs w:val="16"/>
        </w:rPr>
        <w:t xml:space="preserve"> </w:t>
      </w:r>
    </w:p>
  </w:footnote>
  <w:footnote w:id="3">
    <w:p w14:paraId="62CF5D1C" w14:textId="77777777" w:rsidR="002835C6" w:rsidRPr="00C57FAA" w:rsidRDefault="002835C6">
      <w:pPr>
        <w:pStyle w:val="FootnoteText"/>
        <w:rPr>
          <w:rFonts w:asciiTheme="majorBidi" w:hAnsiTheme="majorBidi" w:cstheme="majorBidi"/>
          <w:sz w:val="16"/>
          <w:szCs w:val="16"/>
        </w:rPr>
      </w:pPr>
      <w:r w:rsidRPr="00C57FAA">
        <w:rPr>
          <w:rStyle w:val="FootnoteReference"/>
          <w:rFonts w:asciiTheme="majorBidi" w:hAnsiTheme="majorBidi" w:cstheme="majorBidi"/>
          <w:sz w:val="16"/>
          <w:szCs w:val="16"/>
        </w:rPr>
        <w:footnoteRef/>
      </w:r>
      <w:r w:rsidRPr="00C57FAA">
        <w:rPr>
          <w:rFonts w:asciiTheme="majorBidi" w:hAnsiTheme="majorBidi" w:cstheme="majorBidi"/>
          <w:sz w:val="16"/>
          <w:szCs w:val="16"/>
        </w:rPr>
        <w:t xml:space="preserve"> </w:t>
      </w:r>
      <w:r w:rsidRPr="00C57FAA">
        <w:rPr>
          <w:rFonts w:asciiTheme="majorBidi" w:hAnsiTheme="majorBidi" w:cstheme="majorBidi"/>
          <w:sz w:val="16"/>
          <w:szCs w:val="16"/>
          <w:rtl/>
        </w:rPr>
        <w:t>3</w:t>
      </w:r>
      <w:proofErr w:type="spellStart"/>
      <w:r w:rsidRPr="00C57FAA">
        <w:rPr>
          <w:rFonts w:asciiTheme="majorBidi" w:hAnsiTheme="majorBidi" w:cstheme="majorBidi"/>
          <w:sz w:val="16"/>
          <w:szCs w:val="16"/>
        </w:rPr>
        <w:t>rd</w:t>
      </w:r>
      <w:proofErr w:type="spellEnd"/>
      <w:r w:rsidRPr="00C57FAA">
        <w:rPr>
          <w:rFonts w:asciiTheme="majorBidi" w:hAnsiTheme="majorBidi" w:cstheme="majorBidi"/>
          <w:sz w:val="16"/>
          <w:szCs w:val="16"/>
        </w:rPr>
        <w:t xml:space="preserve"> General Assembly Held in Cairo, </w:t>
      </w:r>
      <w:hyperlink r:id="rId3" w:history="1">
        <w:r w:rsidRPr="00C57FAA">
          <w:rPr>
            <w:rStyle w:val="Hyperlink"/>
            <w:rFonts w:asciiTheme="majorBidi" w:hAnsiTheme="majorBidi" w:cstheme="majorBidi"/>
            <w:sz w:val="16"/>
            <w:szCs w:val="16"/>
          </w:rPr>
          <w:t>https://menamigranthealth.org/3rd-general-assembly-held-in-cairo/</w:t>
        </w:r>
      </w:hyperlink>
    </w:p>
  </w:footnote>
  <w:footnote w:id="4">
    <w:p w14:paraId="62CF5D1D" w14:textId="77777777" w:rsidR="002835C6" w:rsidRPr="00C57FAA" w:rsidRDefault="002835C6">
      <w:pPr>
        <w:pStyle w:val="FootnoteText"/>
        <w:rPr>
          <w:rFonts w:asciiTheme="majorBidi" w:hAnsiTheme="majorBidi" w:cstheme="majorBidi"/>
          <w:sz w:val="16"/>
          <w:szCs w:val="16"/>
        </w:rPr>
      </w:pPr>
      <w:r w:rsidRPr="00C57FAA">
        <w:rPr>
          <w:rStyle w:val="FootnoteReference"/>
          <w:rFonts w:asciiTheme="majorBidi" w:hAnsiTheme="majorBidi" w:cstheme="majorBidi"/>
          <w:sz w:val="16"/>
          <w:szCs w:val="16"/>
        </w:rPr>
        <w:footnoteRef/>
      </w:r>
      <w:r w:rsidRPr="00C57FAA">
        <w:rPr>
          <w:rFonts w:asciiTheme="majorBidi" w:hAnsiTheme="majorBidi" w:cstheme="majorBidi"/>
          <w:sz w:val="16"/>
          <w:szCs w:val="16"/>
        </w:rPr>
        <w:t xml:space="preserve"> </w:t>
      </w:r>
      <w:r w:rsidRPr="00C57FAA">
        <w:rPr>
          <w:rFonts w:asciiTheme="majorBidi" w:hAnsiTheme="majorBidi" w:cstheme="majorBidi"/>
          <w:sz w:val="16"/>
          <w:szCs w:val="16"/>
          <w:rtl/>
        </w:rPr>
        <w:t>2023</w:t>
      </w:r>
      <w:r w:rsidRPr="00C57FAA">
        <w:rPr>
          <w:rFonts w:asciiTheme="majorBidi" w:hAnsiTheme="majorBidi" w:cstheme="majorBidi"/>
          <w:sz w:val="16"/>
          <w:szCs w:val="16"/>
        </w:rPr>
        <w:t xml:space="preserve"> Country Reports on Human Rights Practices: Egypt, </w:t>
      </w:r>
      <w:hyperlink r:id="rId4" w:history="1">
        <w:r w:rsidRPr="00C57FAA">
          <w:rPr>
            <w:rStyle w:val="Hyperlink"/>
            <w:rFonts w:asciiTheme="majorBidi" w:hAnsiTheme="majorBidi" w:cstheme="majorBidi"/>
            <w:sz w:val="16"/>
            <w:szCs w:val="16"/>
          </w:rPr>
          <w:t>https://www.state.gov/reports/2023-country-reports-on-human-rights-practices/egypt/</w:t>
        </w:r>
      </w:hyperlink>
    </w:p>
  </w:footnote>
  <w:footnote w:id="5">
    <w:p w14:paraId="62CF5D1E" w14:textId="77777777" w:rsidR="002835C6" w:rsidRPr="00C57FAA" w:rsidRDefault="002835C6">
      <w:pPr>
        <w:pStyle w:val="FootnoteText"/>
        <w:rPr>
          <w:rFonts w:asciiTheme="majorBidi" w:hAnsiTheme="majorBidi" w:cstheme="majorBidi"/>
          <w:sz w:val="16"/>
          <w:szCs w:val="16"/>
        </w:rPr>
      </w:pPr>
      <w:r w:rsidRPr="00C57FAA">
        <w:rPr>
          <w:rStyle w:val="FootnoteReference"/>
          <w:rFonts w:asciiTheme="majorBidi" w:hAnsiTheme="majorBidi" w:cstheme="majorBidi"/>
          <w:sz w:val="16"/>
          <w:szCs w:val="16"/>
        </w:rPr>
        <w:footnoteRef/>
      </w:r>
      <w:r w:rsidRPr="00C57FAA">
        <w:rPr>
          <w:rFonts w:asciiTheme="majorBidi" w:hAnsiTheme="majorBidi" w:cstheme="majorBidi"/>
          <w:sz w:val="16"/>
          <w:szCs w:val="16"/>
        </w:rPr>
        <w:t xml:space="preserve"> Joint Platform for Migrants and Refugees in Egypt Common Situational Analysis Education and Health Services for Migrants and Refugees in Egypt, page 19, </w:t>
      </w:r>
      <w:hyperlink r:id="rId5" w:history="1">
        <w:r w:rsidRPr="00C57FAA">
          <w:rPr>
            <w:rStyle w:val="Hyperlink"/>
            <w:rFonts w:asciiTheme="majorBidi" w:hAnsiTheme="majorBidi" w:cstheme="majorBidi"/>
            <w:sz w:val="16"/>
            <w:szCs w:val="16"/>
          </w:rPr>
          <w:t>https://tinyurl.com/ym68cv3p</w:t>
        </w:r>
      </w:hyperlink>
      <w:r w:rsidRPr="00C57FAA">
        <w:rPr>
          <w:rStyle w:val="Hyperlink"/>
          <w:rFonts w:asciiTheme="majorBidi" w:hAnsiTheme="majorBidi" w:cstheme="majorBidi"/>
          <w:sz w:val="16"/>
          <w:szCs w:val="16"/>
        </w:rPr>
        <w:t xml:space="preserve"> </w:t>
      </w:r>
    </w:p>
  </w:footnote>
  <w:footnote w:id="6">
    <w:p w14:paraId="62CF5D1F" w14:textId="77777777" w:rsidR="002835C6" w:rsidRPr="00C57FAA" w:rsidRDefault="002835C6">
      <w:pPr>
        <w:pStyle w:val="FootnoteText"/>
        <w:rPr>
          <w:rFonts w:asciiTheme="majorBidi" w:hAnsiTheme="majorBidi" w:cstheme="majorBidi"/>
          <w:sz w:val="16"/>
          <w:szCs w:val="16"/>
        </w:rPr>
      </w:pPr>
      <w:r w:rsidRPr="00C57FAA">
        <w:rPr>
          <w:rStyle w:val="FootnoteReference"/>
          <w:rFonts w:asciiTheme="majorBidi" w:hAnsiTheme="majorBidi" w:cstheme="majorBidi"/>
          <w:sz w:val="16"/>
          <w:szCs w:val="16"/>
        </w:rPr>
        <w:footnoteRef/>
      </w:r>
      <w:r w:rsidRPr="00C57FAA">
        <w:rPr>
          <w:rFonts w:asciiTheme="majorBidi" w:hAnsiTheme="majorBidi" w:cstheme="majorBidi"/>
          <w:sz w:val="16"/>
          <w:szCs w:val="16"/>
        </w:rPr>
        <w:t xml:space="preserve"> Egyptian Constitution 2014 as amended in 2019, Article 57, </w:t>
      </w:r>
      <w:hyperlink r:id="rId6" w:history="1">
        <w:r w:rsidRPr="00C57FAA">
          <w:rPr>
            <w:rStyle w:val="Hyperlink"/>
            <w:rFonts w:asciiTheme="majorBidi" w:hAnsiTheme="majorBidi" w:cstheme="majorBidi"/>
            <w:sz w:val="16"/>
            <w:szCs w:val="16"/>
          </w:rPr>
          <w:t>https://tinyurl.com/y9wd9653</w:t>
        </w:r>
      </w:hyperlink>
      <w:r w:rsidRPr="00C57FAA">
        <w:rPr>
          <w:rFonts w:asciiTheme="majorBidi" w:hAnsiTheme="majorBidi" w:cstheme="majorBidi"/>
          <w:sz w:val="16"/>
          <w:szCs w:val="16"/>
        </w:rPr>
        <w:t xml:space="preserve"> </w:t>
      </w:r>
    </w:p>
  </w:footnote>
  <w:footnote w:id="7">
    <w:p w14:paraId="62CF5D20" w14:textId="77777777" w:rsidR="002835C6" w:rsidRPr="00C57FAA" w:rsidRDefault="002835C6">
      <w:pPr>
        <w:pStyle w:val="FootnoteText"/>
        <w:rPr>
          <w:rFonts w:asciiTheme="majorBidi" w:hAnsiTheme="majorBidi" w:cstheme="majorBidi"/>
          <w:sz w:val="16"/>
          <w:szCs w:val="16"/>
        </w:rPr>
      </w:pPr>
      <w:r w:rsidRPr="00C57FAA">
        <w:rPr>
          <w:rStyle w:val="FootnoteReference"/>
          <w:rFonts w:asciiTheme="majorBidi" w:hAnsiTheme="majorBidi" w:cstheme="majorBidi"/>
          <w:sz w:val="16"/>
          <w:szCs w:val="16"/>
        </w:rPr>
        <w:footnoteRef/>
      </w:r>
      <w:r w:rsidRPr="00C57FAA">
        <w:rPr>
          <w:rFonts w:asciiTheme="majorBidi" w:hAnsiTheme="majorBidi" w:cstheme="majorBidi"/>
          <w:sz w:val="16"/>
          <w:szCs w:val="16"/>
        </w:rPr>
        <w:t xml:space="preserve"> An alternative Sudan in Egypt gives its people a safe haven... and raises sensitivities, Asharq Al-Awsat, July 15, 2024, </w:t>
      </w:r>
      <w:hyperlink r:id="rId7" w:history="1">
        <w:r w:rsidRPr="00C57FAA">
          <w:rPr>
            <w:rStyle w:val="Hyperlink"/>
            <w:rFonts w:asciiTheme="majorBidi" w:hAnsiTheme="majorBidi" w:cstheme="majorBidi"/>
            <w:sz w:val="16"/>
            <w:szCs w:val="16"/>
          </w:rPr>
          <w:t>https://tinyurl.com/4d5jvj5k</w:t>
        </w:r>
      </w:hyperlink>
      <w:r w:rsidRPr="00C57FAA">
        <w:rPr>
          <w:rFonts w:asciiTheme="majorBidi" w:hAnsiTheme="majorBidi" w:cstheme="majorBidi"/>
          <w:sz w:val="16"/>
          <w:szCs w:val="16"/>
        </w:rPr>
        <w:t xml:space="preserve"> </w:t>
      </w:r>
    </w:p>
  </w:footnote>
  <w:footnote w:id="8">
    <w:p w14:paraId="62CF5D21" w14:textId="77777777" w:rsidR="002835C6" w:rsidRPr="00C57FAA" w:rsidRDefault="002835C6">
      <w:pPr>
        <w:pStyle w:val="FootnoteText"/>
        <w:rPr>
          <w:rFonts w:asciiTheme="majorBidi" w:hAnsiTheme="majorBidi" w:cstheme="majorBidi"/>
          <w:sz w:val="16"/>
          <w:szCs w:val="16"/>
        </w:rPr>
      </w:pPr>
      <w:r w:rsidRPr="00C57FAA">
        <w:rPr>
          <w:rStyle w:val="FootnoteReference"/>
          <w:rFonts w:asciiTheme="majorBidi" w:hAnsiTheme="majorBidi" w:cstheme="majorBidi"/>
          <w:sz w:val="16"/>
          <w:szCs w:val="16"/>
        </w:rPr>
        <w:footnoteRef/>
      </w:r>
      <w:r w:rsidRPr="00C57FAA">
        <w:rPr>
          <w:rFonts w:asciiTheme="majorBidi" w:hAnsiTheme="majorBidi" w:cstheme="majorBidi"/>
          <w:sz w:val="16"/>
          <w:szCs w:val="16"/>
        </w:rPr>
        <w:t xml:space="preserve"> Online Campaigns or Government Strategy? The Calls for the Deportation of Refugees in Egypt, </w:t>
      </w:r>
      <w:hyperlink r:id="rId8" w:history="1">
        <w:r w:rsidRPr="00C57FAA">
          <w:rPr>
            <w:rStyle w:val="Hyperlink"/>
            <w:rFonts w:asciiTheme="majorBidi" w:hAnsiTheme="majorBidi" w:cstheme="majorBidi"/>
            <w:sz w:val="16"/>
            <w:szCs w:val="16"/>
          </w:rPr>
          <w:t>https://zawia3.com/en/refugee/</w:t>
        </w:r>
      </w:hyperlink>
    </w:p>
  </w:footnote>
  <w:footnote w:id="9">
    <w:p w14:paraId="62CF5D22" w14:textId="77777777" w:rsidR="002835C6" w:rsidRPr="00C57FAA" w:rsidRDefault="002835C6">
      <w:pPr>
        <w:pStyle w:val="FootnoteText"/>
        <w:rPr>
          <w:rFonts w:asciiTheme="majorBidi" w:hAnsiTheme="majorBidi" w:cstheme="majorBidi"/>
          <w:sz w:val="16"/>
          <w:szCs w:val="16"/>
        </w:rPr>
      </w:pPr>
      <w:r w:rsidRPr="00C57FAA">
        <w:rPr>
          <w:rStyle w:val="FootnoteReference"/>
          <w:rFonts w:asciiTheme="majorBidi" w:hAnsiTheme="majorBidi" w:cstheme="majorBidi"/>
          <w:sz w:val="16"/>
          <w:szCs w:val="16"/>
        </w:rPr>
        <w:footnoteRef/>
      </w:r>
      <w:r w:rsidRPr="00C57FAA">
        <w:rPr>
          <w:rFonts w:asciiTheme="majorBidi" w:hAnsiTheme="majorBidi" w:cstheme="majorBidi"/>
          <w:sz w:val="16"/>
          <w:szCs w:val="16"/>
        </w:rPr>
        <w:t xml:space="preserve"> Social media hate campaign in Egypt calls for expulsion of Syrians, </w:t>
      </w:r>
      <w:hyperlink r:id="rId9" w:history="1">
        <w:r w:rsidRPr="00C57FAA">
          <w:rPr>
            <w:rStyle w:val="Hyperlink"/>
            <w:rFonts w:asciiTheme="majorBidi" w:hAnsiTheme="majorBidi" w:cstheme="majorBidi"/>
            <w:sz w:val="16"/>
            <w:szCs w:val="16"/>
          </w:rPr>
          <w:t>https://www.thenationalnews.com/mena/2024/01/13/social-media-hate-campaign-targets-syrians-in-egypt-calls-for-their-expulsion/</w:t>
        </w:r>
      </w:hyperlink>
    </w:p>
  </w:footnote>
  <w:footnote w:id="10">
    <w:p w14:paraId="62CF5D23" w14:textId="77777777" w:rsidR="002835C6" w:rsidRPr="00C57FAA" w:rsidRDefault="002835C6">
      <w:pPr>
        <w:pStyle w:val="FootnoteText"/>
        <w:rPr>
          <w:rFonts w:asciiTheme="majorBidi" w:hAnsiTheme="majorBidi" w:cstheme="majorBidi"/>
          <w:sz w:val="16"/>
          <w:szCs w:val="16"/>
        </w:rPr>
      </w:pPr>
      <w:r w:rsidRPr="00C57FAA">
        <w:rPr>
          <w:rStyle w:val="FootnoteReference"/>
          <w:rFonts w:asciiTheme="majorBidi" w:hAnsiTheme="majorBidi" w:cstheme="majorBidi"/>
          <w:sz w:val="16"/>
          <w:szCs w:val="16"/>
        </w:rPr>
        <w:footnoteRef/>
      </w:r>
      <w:r w:rsidRPr="00C57FAA">
        <w:rPr>
          <w:rFonts w:asciiTheme="majorBidi" w:hAnsiTheme="majorBidi" w:cstheme="majorBidi"/>
          <w:sz w:val="16"/>
          <w:szCs w:val="16"/>
        </w:rPr>
        <w:t xml:space="preserve"> International Convention on the Protection of the Rights of All Migrant Workers and Members of Their Families, Article </w:t>
      </w:r>
      <w:r w:rsidRPr="00C57FAA">
        <w:rPr>
          <w:rFonts w:asciiTheme="majorBidi" w:hAnsiTheme="majorBidi" w:cstheme="majorBidi"/>
          <w:sz w:val="16"/>
          <w:szCs w:val="16"/>
          <w:rtl/>
        </w:rPr>
        <w:t>37</w:t>
      </w:r>
      <w:r w:rsidRPr="00C57FAA">
        <w:rPr>
          <w:rFonts w:asciiTheme="majorBidi" w:hAnsiTheme="majorBidi" w:cstheme="majorBidi"/>
          <w:sz w:val="16"/>
          <w:szCs w:val="16"/>
        </w:rPr>
        <w:t xml:space="preserve">, </w:t>
      </w:r>
      <w:hyperlink r:id="rId10" w:history="1">
        <w:r w:rsidRPr="00C57FAA">
          <w:rPr>
            <w:rStyle w:val="Hyperlink"/>
            <w:rFonts w:asciiTheme="majorBidi" w:hAnsiTheme="majorBidi" w:cstheme="majorBidi"/>
            <w:sz w:val="16"/>
            <w:szCs w:val="16"/>
          </w:rPr>
          <w:t>https://tinyurl.com/mrxjcxwf</w:t>
        </w:r>
      </w:hyperlink>
    </w:p>
  </w:footnote>
  <w:footnote w:id="11">
    <w:p w14:paraId="62CF5D24" w14:textId="77777777" w:rsidR="002835C6" w:rsidRPr="00C57FAA" w:rsidRDefault="002835C6">
      <w:pPr>
        <w:pStyle w:val="FootnoteText"/>
        <w:rPr>
          <w:rFonts w:asciiTheme="majorBidi" w:hAnsiTheme="majorBidi" w:cstheme="majorBidi"/>
          <w:sz w:val="16"/>
          <w:szCs w:val="16"/>
        </w:rPr>
      </w:pPr>
      <w:r w:rsidRPr="00C57FAA">
        <w:rPr>
          <w:rStyle w:val="FootnoteReference"/>
          <w:rFonts w:asciiTheme="majorBidi" w:hAnsiTheme="majorBidi" w:cstheme="majorBidi"/>
          <w:sz w:val="16"/>
          <w:szCs w:val="16"/>
        </w:rPr>
        <w:footnoteRef/>
      </w:r>
      <w:r w:rsidRPr="00C57FAA">
        <w:rPr>
          <w:rFonts w:asciiTheme="majorBidi" w:hAnsiTheme="majorBidi" w:cstheme="majorBidi"/>
          <w:sz w:val="16"/>
          <w:szCs w:val="16"/>
        </w:rPr>
        <w:t xml:space="preserve"> Central Bank and Banking System Law, Articles 212, 215, to view the rest of the articles: </w:t>
      </w:r>
      <w:hyperlink r:id="rId11" w:history="1">
        <w:r w:rsidRPr="00C57FAA">
          <w:rPr>
            <w:rStyle w:val="Hyperlink"/>
            <w:rFonts w:asciiTheme="majorBidi" w:hAnsiTheme="majorBidi" w:cstheme="majorBidi"/>
            <w:sz w:val="16"/>
            <w:szCs w:val="16"/>
          </w:rPr>
          <w:t>https://manshurat.org/node/68148</w:t>
        </w:r>
      </w:hyperlink>
      <w:r w:rsidRPr="00C57FAA">
        <w:rPr>
          <w:rFonts w:asciiTheme="majorBidi" w:hAnsiTheme="majorBidi" w:cstheme="majorBidi"/>
          <w:sz w:val="16"/>
          <w:szCs w:val="16"/>
        </w:rPr>
        <w:t xml:space="preserve"> </w:t>
      </w:r>
    </w:p>
  </w:footnote>
  <w:footnote w:id="12">
    <w:p w14:paraId="62CF5D25" w14:textId="77777777" w:rsidR="002835C6" w:rsidRPr="00C57FAA" w:rsidRDefault="002835C6">
      <w:pPr>
        <w:pStyle w:val="FootnoteText"/>
        <w:rPr>
          <w:rFonts w:asciiTheme="majorBidi" w:hAnsiTheme="majorBidi" w:cstheme="majorBidi"/>
          <w:sz w:val="16"/>
          <w:szCs w:val="16"/>
        </w:rPr>
      </w:pPr>
      <w:r w:rsidRPr="00C57FAA">
        <w:rPr>
          <w:rStyle w:val="FootnoteReference"/>
          <w:rFonts w:asciiTheme="majorBidi" w:hAnsiTheme="majorBidi" w:cstheme="majorBidi"/>
          <w:sz w:val="16"/>
          <w:szCs w:val="16"/>
        </w:rPr>
        <w:footnoteRef/>
      </w:r>
      <w:r w:rsidRPr="00C57FAA">
        <w:rPr>
          <w:rFonts w:asciiTheme="majorBidi" w:hAnsiTheme="majorBidi" w:cstheme="majorBidi"/>
          <w:sz w:val="16"/>
          <w:szCs w:val="16"/>
        </w:rPr>
        <w:t xml:space="preserve"> Egypt... Complaints of “difficulties” in transferring money abroad amid the dollar crisis. Available at, </w:t>
      </w:r>
      <w:hyperlink r:id="rId12" w:history="1">
        <w:r w:rsidRPr="00C57FAA">
          <w:rPr>
            <w:rStyle w:val="Hyperlink"/>
            <w:rFonts w:asciiTheme="majorBidi" w:hAnsiTheme="majorBidi" w:cstheme="majorBidi"/>
            <w:sz w:val="16"/>
            <w:szCs w:val="16"/>
          </w:rPr>
          <w:t>https://tinyurl.com/3pskzvkb</w:t>
        </w:r>
      </w:hyperlink>
      <w:r w:rsidRPr="00C57FAA">
        <w:rPr>
          <w:rFonts w:asciiTheme="majorBidi" w:hAnsiTheme="majorBidi" w:cstheme="majorBidi"/>
          <w:sz w:val="16"/>
          <w:szCs w:val="16"/>
        </w:rPr>
        <w:t xml:space="preserve"> </w:t>
      </w:r>
    </w:p>
  </w:footnote>
  <w:footnote w:id="13">
    <w:p w14:paraId="62CF5D26" w14:textId="77777777" w:rsidR="002835C6" w:rsidRPr="00C57FAA" w:rsidRDefault="002835C6">
      <w:pPr>
        <w:pStyle w:val="FootnoteText"/>
        <w:rPr>
          <w:rFonts w:asciiTheme="majorBidi" w:hAnsiTheme="majorBidi" w:cstheme="majorBidi"/>
          <w:sz w:val="16"/>
          <w:szCs w:val="16"/>
        </w:rPr>
      </w:pPr>
      <w:r w:rsidRPr="00C57FAA">
        <w:rPr>
          <w:rStyle w:val="FootnoteReference"/>
          <w:rFonts w:asciiTheme="majorBidi" w:hAnsiTheme="majorBidi" w:cstheme="majorBidi"/>
          <w:sz w:val="16"/>
          <w:szCs w:val="16"/>
        </w:rPr>
        <w:footnoteRef/>
      </w:r>
      <w:r w:rsidRPr="00C57FAA">
        <w:rPr>
          <w:rFonts w:asciiTheme="majorBidi" w:hAnsiTheme="majorBidi" w:cstheme="majorBidi"/>
          <w:sz w:val="16"/>
          <w:szCs w:val="16"/>
        </w:rPr>
        <w:t xml:space="preserve"> The government begins auditing the number of refugees... and the cost of the services the state bears to care for them,  </w:t>
      </w:r>
      <w:hyperlink r:id="rId13" w:history="1">
        <w:r w:rsidRPr="00C57FAA">
          <w:rPr>
            <w:rStyle w:val="Hyperlink"/>
            <w:rFonts w:asciiTheme="majorBidi" w:hAnsiTheme="majorBidi" w:cstheme="majorBidi"/>
            <w:sz w:val="16"/>
            <w:szCs w:val="16"/>
          </w:rPr>
          <w:t>https://www.cabinet.gov.eg/News/Details/74779</w:t>
        </w:r>
      </w:hyperlink>
      <w:r w:rsidRPr="00C57FAA">
        <w:rPr>
          <w:rStyle w:val="Hyperlink"/>
          <w:rFonts w:asciiTheme="majorBidi" w:hAnsiTheme="majorBidi" w:cstheme="majorBidi"/>
          <w:sz w:val="16"/>
          <w:szCs w:val="16"/>
        </w:rPr>
        <w:t xml:space="preserve"> </w:t>
      </w:r>
    </w:p>
  </w:footnote>
  <w:footnote w:id="14">
    <w:p w14:paraId="62CF5D27" w14:textId="77777777" w:rsidR="002835C6" w:rsidRPr="00C57FAA" w:rsidRDefault="002835C6">
      <w:pPr>
        <w:pStyle w:val="FootnoteText"/>
        <w:rPr>
          <w:rFonts w:asciiTheme="majorBidi" w:hAnsiTheme="majorBidi" w:cstheme="majorBidi"/>
          <w:sz w:val="16"/>
          <w:szCs w:val="16"/>
        </w:rPr>
      </w:pPr>
      <w:r w:rsidRPr="00C57FAA">
        <w:rPr>
          <w:rStyle w:val="FootnoteReference"/>
          <w:rFonts w:asciiTheme="majorBidi" w:hAnsiTheme="majorBidi" w:cstheme="majorBidi"/>
          <w:sz w:val="16"/>
          <w:szCs w:val="16"/>
        </w:rPr>
        <w:footnoteRef/>
      </w:r>
      <w:r w:rsidRPr="00C57FAA">
        <w:rPr>
          <w:rFonts w:asciiTheme="majorBidi" w:hAnsiTheme="majorBidi" w:cstheme="majorBidi"/>
          <w:sz w:val="16"/>
          <w:szCs w:val="16"/>
        </w:rPr>
        <w:t xml:space="preserve"> Market systems analysis of the food service sector for employment inclusion of refugees in Egypt, page 25, </w:t>
      </w:r>
      <w:hyperlink r:id="rId14" w:history="1">
        <w:r w:rsidRPr="00C57FAA">
          <w:rPr>
            <w:rStyle w:val="Hyperlink"/>
            <w:rFonts w:asciiTheme="majorBidi" w:hAnsiTheme="majorBidi" w:cstheme="majorBidi"/>
            <w:sz w:val="16"/>
            <w:szCs w:val="16"/>
          </w:rPr>
          <w:t>https://www.3rpsyriacrisis.org/wp-content/uploads/2023/06/prospects_Egypt_June2023.pdf</w:t>
        </w:r>
      </w:hyperlink>
    </w:p>
  </w:footnote>
  <w:footnote w:id="15">
    <w:p w14:paraId="62CF5D28" w14:textId="77777777" w:rsidR="002835C6" w:rsidRPr="00C57FAA" w:rsidRDefault="002835C6" w:rsidP="0078541A">
      <w:pPr>
        <w:pStyle w:val="FootnoteText"/>
        <w:rPr>
          <w:rFonts w:asciiTheme="majorBidi" w:hAnsiTheme="majorBidi" w:cstheme="majorBidi"/>
          <w:sz w:val="16"/>
          <w:szCs w:val="16"/>
          <w:lang w:bidi="ar-EG"/>
        </w:rPr>
      </w:pPr>
      <w:r w:rsidRPr="00C57FAA">
        <w:rPr>
          <w:rStyle w:val="FootnoteReference"/>
          <w:rFonts w:asciiTheme="majorBidi" w:hAnsiTheme="majorBidi" w:cstheme="majorBidi"/>
          <w:sz w:val="16"/>
          <w:szCs w:val="16"/>
        </w:rPr>
        <w:footnoteRef/>
      </w:r>
      <w:r w:rsidRPr="00C57FAA">
        <w:rPr>
          <w:rFonts w:asciiTheme="majorBidi" w:hAnsiTheme="majorBidi" w:cstheme="majorBidi"/>
          <w:sz w:val="16"/>
          <w:szCs w:val="16"/>
        </w:rPr>
        <w:t xml:space="preserve"> Living and working as a Syrian in Egypt: A constant balancing act, </w:t>
      </w:r>
      <w:hyperlink r:id="rId15" w:history="1">
        <w:r w:rsidRPr="00C57FAA">
          <w:rPr>
            <w:rStyle w:val="Hyperlink"/>
            <w:rFonts w:asciiTheme="majorBidi" w:hAnsiTheme="majorBidi" w:cstheme="majorBidi"/>
            <w:sz w:val="16"/>
            <w:szCs w:val="16"/>
          </w:rPr>
          <w:t>https://syriadirect.org/living-and-working-as-a-syrian-in-egypt-a-constant-balancing-act/</w:t>
        </w:r>
      </w:hyperlink>
      <w:r w:rsidRPr="00C57FAA">
        <w:rPr>
          <w:rFonts w:asciiTheme="majorBidi" w:hAnsiTheme="majorBidi" w:cstheme="majorBidi"/>
          <w:sz w:val="16"/>
          <w:szCs w:val="16"/>
        </w:rPr>
        <w:t xml:space="preserve"> </w:t>
      </w:r>
    </w:p>
  </w:footnote>
  <w:footnote w:id="16">
    <w:p w14:paraId="62CF5D29" w14:textId="77777777" w:rsidR="002835C6" w:rsidRPr="00C57FAA" w:rsidRDefault="002835C6">
      <w:pPr>
        <w:pStyle w:val="FootnoteText"/>
        <w:rPr>
          <w:rFonts w:asciiTheme="majorBidi" w:hAnsiTheme="majorBidi" w:cstheme="majorBidi"/>
          <w:sz w:val="16"/>
          <w:szCs w:val="16"/>
        </w:rPr>
      </w:pPr>
      <w:r w:rsidRPr="00C57FAA">
        <w:rPr>
          <w:rStyle w:val="FootnoteReference"/>
          <w:rFonts w:asciiTheme="majorBidi" w:hAnsiTheme="majorBidi" w:cstheme="majorBidi"/>
          <w:sz w:val="16"/>
          <w:szCs w:val="16"/>
        </w:rPr>
        <w:footnoteRef/>
      </w:r>
      <w:r w:rsidRPr="00C57FAA">
        <w:rPr>
          <w:rFonts w:asciiTheme="majorBidi" w:hAnsiTheme="majorBidi" w:cstheme="majorBidi"/>
          <w:sz w:val="16"/>
          <w:szCs w:val="16"/>
        </w:rPr>
        <w:t xml:space="preserve"> Annual Bulletin for Foreigners Working in the Private and Investment Sector in Egypt in 2023, Central Agency for Public Mobilization and Statistics, at the following link: </w:t>
      </w:r>
      <w:hyperlink r:id="rId16" w:history="1">
        <w:r w:rsidRPr="00C57FAA">
          <w:rPr>
            <w:rStyle w:val="Hyperlink"/>
            <w:rFonts w:asciiTheme="majorBidi" w:hAnsiTheme="majorBidi" w:cstheme="majorBidi"/>
            <w:sz w:val="16"/>
            <w:szCs w:val="16"/>
          </w:rPr>
          <w:t>https://censusinfo.capmas.gov.eg/metadata-ar-v4.2/index.php/catalog/1896</w:t>
        </w:r>
      </w:hyperlink>
      <w:r w:rsidRPr="00C57FAA">
        <w:rPr>
          <w:rFonts w:asciiTheme="majorBidi" w:hAnsiTheme="majorBidi" w:cstheme="majorBidi"/>
          <w:sz w:val="16"/>
          <w:szCs w:val="16"/>
        </w:rPr>
        <w:t xml:space="preserve"> </w:t>
      </w:r>
    </w:p>
  </w:footnote>
  <w:footnote w:id="17">
    <w:p w14:paraId="62CF5D2A" w14:textId="77777777" w:rsidR="002835C6" w:rsidRPr="00C57FAA" w:rsidRDefault="002835C6">
      <w:pPr>
        <w:pStyle w:val="FootnoteText"/>
        <w:rPr>
          <w:rFonts w:asciiTheme="majorBidi" w:hAnsiTheme="majorBidi" w:cstheme="majorBidi"/>
          <w:sz w:val="16"/>
          <w:szCs w:val="16"/>
        </w:rPr>
      </w:pPr>
      <w:r w:rsidRPr="00C57FAA">
        <w:rPr>
          <w:rStyle w:val="FootnoteReference"/>
          <w:rFonts w:asciiTheme="majorBidi" w:hAnsiTheme="majorBidi" w:cstheme="majorBidi"/>
          <w:sz w:val="16"/>
          <w:szCs w:val="16"/>
        </w:rPr>
        <w:footnoteRef/>
      </w:r>
      <w:r w:rsidRPr="00C57FAA">
        <w:rPr>
          <w:rFonts w:asciiTheme="majorBidi" w:hAnsiTheme="majorBidi" w:cstheme="majorBidi"/>
          <w:sz w:val="16"/>
          <w:szCs w:val="16"/>
        </w:rPr>
        <w:t xml:space="preserve"> The informal economy... repercussions and implications, international politics, at the following link: </w:t>
      </w:r>
      <w:hyperlink r:id="rId17" w:history="1">
        <w:r w:rsidRPr="00C57FAA">
          <w:rPr>
            <w:rStyle w:val="Hyperlink"/>
            <w:rFonts w:asciiTheme="majorBidi" w:hAnsiTheme="majorBidi" w:cstheme="majorBidi"/>
            <w:sz w:val="16"/>
            <w:szCs w:val="16"/>
          </w:rPr>
          <w:t>https://www.siyassa.org.eg/News/19646.aspx</w:t>
        </w:r>
      </w:hyperlink>
      <w:r w:rsidRPr="00C57FAA">
        <w:rPr>
          <w:rFonts w:asciiTheme="majorBidi" w:hAnsiTheme="majorBidi" w:cstheme="majorBidi"/>
          <w:sz w:val="16"/>
          <w:szCs w:val="16"/>
        </w:rPr>
        <w:t xml:space="preserve"> </w:t>
      </w:r>
    </w:p>
  </w:footnote>
  <w:footnote w:id="18">
    <w:p w14:paraId="62CF5D2B" w14:textId="77777777" w:rsidR="002835C6" w:rsidRPr="00C57FAA" w:rsidRDefault="002835C6">
      <w:pPr>
        <w:pStyle w:val="FootnoteText"/>
        <w:rPr>
          <w:rFonts w:asciiTheme="majorBidi" w:hAnsiTheme="majorBidi" w:cstheme="majorBidi"/>
          <w:sz w:val="16"/>
          <w:szCs w:val="16"/>
        </w:rPr>
      </w:pPr>
      <w:r w:rsidRPr="00C57FAA">
        <w:rPr>
          <w:rStyle w:val="FootnoteReference"/>
          <w:rFonts w:asciiTheme="majorBidi" w:hAnsiTheme="majorBidi" w:cstheme="majorBidi"/>
          <w:sz w:val="16"/>
          <w:szCs w:val="16"/>
        </w:rPr>
        <w:footnoteRef/>
      </w:r>
      <w:r w:rsidRPr="00C57FAA">
        <w:rPr>
          <w:rFonts w:asciiTheme="majorBidi" w:hAnsiTheme="majorBidi" w:cstheme="majorBidi"/>
          <w:sz w:val="16"/>
          <w:szCs w:val="16"/>
        </w:rPr>
        <w:t xml:space="preserve"> Joint Platform for Migrants and Refugees in Egypt, page 9, </w:t>
      </w:r>
      <w:hyperlink r:id="rId18" w:history="1">
        <w:r w:rsidRPr="00C57FAA">
          <w:rPr>
            <w:rStyle w:val="Hyperlink"/>
            <w:rFonts w:asciiTheme="majorBidi" w:hAnsiTheme="majorBidi" w:cstheme="majorBidi"/>
            <w:sz w:val="16"/>
            <w:szCs w:val="16"/>
          </w:rPr>
          <w:t>https://tinyurl.com/2p9r3ecz</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48"/>
      <w:gridCol w:w="5712"/>
    </w:tblGrid>
    <w:tr w:rsidR="00DA2028" w14:paraId="62CF5D14" w14:textId="77777777" w:rsidTr="000A1657">
      <w:tc>
        <w:tcPr>
          <w:tcW w:w="2500" w:type="pct"/>
        </w:tcPr>
        <w:p w14:paraId="62CF5D12" w14:textId="77777777" w:rsidR="00DA2028" w:rsidRDefault="004E3F47" w:rsidP="00DA2028">
          <w:pPr>
            <w:pStyle w:val="Header"/>
          </w:pPr>
          <w:r w:rsidRPr="00956EDF">
            <w:rPr>
              <w:rFonts w:ascii="Simplified Arabic" w:hAnsi="Simplified Arabic" w:cs="Simplified Arabic"/>
              <w:noProof/>
              <w:sz w:val="28"/>
              <w:szCs w:val="28"/>
              <w:rtl/>
            </w:rPr>
            <w:drawing>
              <wp:anchor distT="0" distB="0" distL="114300" distR="114300" simplePos="0" relativeHeight="251660288" behindDoc="0" locked="0" layoutInCell="1" allowOverlap="1" wp14:anchorId="62CF5D16" wp14:editId="62CF5D17">
                <wp:simplePos x="0" y="0"/>
                <wp:positionH relativeFrom="column">
                  <wp:posOffset>0</wp:posOffset>
                </wp:positionH>
                <wp:positionV relativeFrom="paragraph">
                  <wp:posOffset>167640</wp:posOffset>
                </wp:positionV>
                <wp:extent cx="922020" cy="92202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r="81466"/>
                        <a:stretch/>
                      </pic:blipFill>
                      <pic:spPr bwMode="auto">
                        <a:xfrm>
                          <a:off x="0" y="0"/>
                          <a:ext cx="922020" cy="9220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500" w:type="pct"/>
        </w:tcPr>
        <w:p w14:paraId="62CF5D13" w14:textId="77777777" w:rsidR="00DA2028" w:rsidRDefault="004E3F47" w:rsidP="00DA2028">
          <w:pPr>
            <w:pStyle w:val="Header"/>
          </w:pPr>
          <w:r w:rsidRPr="00956EDF">
            <w:rPr>
              <w:rFonts w:ascii="Simplified Arabic" w:hAnsi="Simplified Arabic" w:cs="Simplified Arabic"/>
              <w:noProof/>
              <w:sz w:val="28"/>
              <w:szCs w:val="28"/>
              <w:rtl/>
            </w:rPr>
            <w:drawing>
              <wp:anchor distT="0" distB="0" distL="114300" distR="114300" simplePos="0" relativeHeight="251659264" behindDoc="0" locked="0" layoutInCell="1" allowOverlap="1" wp14:anchorId="62CF5D18" wp14:editId="62CF5D19">
                <wp:simplePos x="0" y="0"/>
                <wp:positionH relativeFrom="margin">
                  <wp:posOffset>-68580</wp:posOffset>
                </wp:positionH>
                <wp:positionV relativeFrom="paragraph">
                  <wp:posOffset>220980</wp:posOffset>
                </wp:positionV>
                <wp:extent cx="3489960" cy="77978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l="17108"/>
                        <a:stretch/>
                      </pic:blipFill>
                      <pic:spPr bwMode="auto">
                        <a:xfrm>
                          <a:off x="0" y="0"/>
                          <a:ext cx="3489960" cy="7797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62CF5D15" w14:textId="77777777" w:rsidR="00DA2028" w:rsidRPr="00DA2028" w:rsidRDefault="00DA2028" w:rsidP="00DA20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B72BC1"/>
    <w:multiLevelType w:val="hybridMultilevel"/>
    <w:tmpl w:val="01E2A46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795726"/>
    <w:multiLevelType w:val="hybridMultilevel"/>
    <w:tmpl w:val="C6122468"/>
    <w:lvl w:ilvl="0" w:tplc="20A6D1F4">
      <w:start w:val="1"/>
      <w:numFmt w:val="lowerLetter"/>
      <w:lvlText w:val="%1."/>
      <w:lvlJc w:val="left"/>
      <w:pPr>
        <w:ind w:left="720" w:hanging="360"/>
      </w:pPr>
      <w:rPr>
        <w:b/>
        <w:bCs/>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FC7EF8"/>
    <w:multiLevelType w:val="hybridMultilevel"/>
    <w:tmpl w:val="ECBCA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1122D5"/>
    <w:multiLevelType w:val="hybridMultilevel"/>
    <w:tmpl w:val="95BA8BA0"/>
    <w:lvl w:ilvl="0" w:tplc="08090001">
      <w:start w:val="1"/>
      <w:numFmt w:val="bullet"/>
      <w:lvlText w:val=""/>
      <w:lvlJc w:val="left"/>
      <w:pPr>
        <w:ind w:left="720" w:hanging="360"/>
      </w:pPr>
      <w:rPr>
        <w:rFonts w:ascii="Symbol" w:hAnsi="Symbol" w:hint="default"/>
      </w:rPr>
    </w:lvl>
    <w:lvl w:ilvl="1" w:tplc="1B1EA77E">
      <w:numFmt w:val="bullet"/>
      <w:lvlText w:val="•"/>
      <w:lvlJc w:val="left"/>
      <w:pPr>
        <w:ind w:left="1440" w:hanging="360"/>
      </w:pPr>
      <w:rPr>
        <w:rFonts w:ascii="Aptos" w:eastAsiaTheme="minorHAnsi" w:hAnsi="Apto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540CC7"/>
    <w:multiLevelType w:val="hybridMultilevel"/>
    <w:tmpl w:val="7B9481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1E44677"/>
    <w:multiLevelType w:val="hybridMultilevel"/>
    <w:tmpl w:val="730E5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formatting="1" w:enforcement="1" w:cryptProviderType="rsaAES" w:cryptAlgorithmClass="hash" w:cryptAlgorithmType="typeAny" w:cryptAlgorithmSid="14" w:cryptSpinCount="100000" w:hash="gPUysJwy6SYHo8YOZHiN23+/Qj2kDlpvvKPGNypHShu7e/wh89jAmPFdQMmyhaTMkY2itoi7oz/nbkFMn2qi9A==" w:salt="qYNBxrVC7Z6yDLhHBHH6IA=="/>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35C6"/>
    <w:rsid w:val="0003009E"/>
    <w:rsid w:val="000C6778"/>
    <w:rsid w:val="00130716"/>
    <w:rsid w:val="00130877"/>
    <w:rsid w:val="001B2D66"/>
    <w:rsid w:val="001D199E"/>
    <w:rsid w:val="001E58B3"/>
    <w:rsid w:val="001F32C8"/>
    <w:rsid w:val="00231D55"/>
    <w:rsid w:val="002361A8"/>
    <w:rsid w:val="00241CBD"/>
    <w:rsid w:val="002835C6"/>
    <w:rsid w:val="00290FBC"/>
    <w:rsid w:val="002C5016"/>
    <w:rsid w:val="00303623"/>
    <w:rsid w:val="00342653"/>
    <w:rsid w:val="00362A51"/>
    <w:rsid w:val="004120E1"/>
    <w:rsid w:val="004B2A93"/>
    <w:rsid w:val="004E3F47"/>
    <w:rsid w:val="00502CBB"/>
    <w:rsid w:val="0051530A"/>
    <w:rsid w:val="005911A5"/>
    <w:rsid w:val="00632313"/>
    <w:rsid w:val="006705F1"/>
    <w:rsid w:val="007044CA"/>
    <w:rsid w:val="007D2875"/>
    <w:rsid w:val="007F3023"/>
    <w:rsid w:val="007F4089"/>
    <w:rsid w:val="00893E7C"/>
    <w:rsid w:val="008B082D"/>
    <w:rsid w:val="00A26EAB"/>
    <w:rsid w:val="00A5122E"/>
    <w:rsid w:val="00A85189"/>
    <w:rsid w:val="00B03A62"/>
    <w:rsid w:val="00B06133"/>
    <w:rsid w:val="00BA3716"/>
    <w:rsid w:val="00BD0244"/>
    <w:rsid w:val="00BE44E0"/>
    <w:rsid w:val="00BE76B3"/>
    <w:rsid w:val="00C01235"/>
    <w:rsid w:val="00C0749E"/>
    <w:rsid w:val="00C12CA6"/>
    <w:rsid w:val="00C22F29"/>
    <w:rsid w:val="00CB3471"/>
    <w:rsid w:val="00CF0577"/>
    <w:rsid w:val="00D04D29"/>
    <w:rsid w:val="00D958DC"/>
    <w:rsid w:val="00DA2028"/>
    <w:rsid w:val="00DC32B9"/>
    <w:rsid w:val="00DD272D"/>
    <w:rsid w:val="00DF208A"/>
    <w:rsid w:val="00DF5BB1"/>
    <w:rsid w:val="00E577A1"/>
    <w:rsid w:val="00E7399F"/>
    <w:rsid w:val="00E95269"/>
    <w:rsid w:val="00EA526C"/>
    <w:rsid w:val="00F24856"/>
    <w:rsid w:val="00F37EFD"/>
    <w:rsid w:val="00F9178B"/>
    <w:rsid w:val="00FC021A"/>
    <w:rsid w:val="00FD47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F5CF0"/>
  <w15:chartTrackingRefBased/>
  <w15:docId w15:val="{97307A11-6C89-4778-922F-97DEF9F9B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B2D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2D66"/>
    <w:rPr>
      <w:color w:val="0563C1" w:themeColor="hyperlink"/>
      <w:u w:val="single"/>
    </w:rPr>
  </w:style>
  <w:style w:type="character" w:customStyle="1" w:styleId="UnresolvedMention1">
    <w:name w:val="Unresolved Mention1"/>
    <w:basedOn w:val="DefaultParagraphFont"/>
    <w:uiPriority w:val="99"/>
    <w:semiHidden/>
    <w:unhideWhenUsed/>
    <w:rsid w:val="001B2D66"/>
    <w:rPr>
      <w:color w:val="605E5C"/>
      <w:shd w:val="clear" w:color="auto" w:fill="E1DFDD"/>
    </w:rPr>
  </w:style>
  <w:style w:type="paragraph" w:styleId="FootnoteText">
    <w:name w:val="footnote text"/>
    <w:aliases w:val="5_G,Footnote Text Char Char,Footnote Text Char1 Char Char,Footnote Text Char Char Char Char,Footnote Text Char1 Char Char1 Char Char,Footnote Text Char Char Char Char1 Char Char,ft Char Char Char Char Char Char,ft,Geneva 9,Font: Geneva 9"/>
    <w:basedOn w:val="Normal"/>
    <w:link w:val="FootnoteTextChar"/>
    <w:uiPriority w:val="99"/>
    <w:unhideWhenUsed/>
    <w:qFormat/>
    <w:rsid w:val="002C5016"/>
    <w:pPr>
      <w:spacing w:after="0" w:line="240" w:lineRule="auto"/>
    </w:pPr>
    <w:rPr>
      <w:sz w:val="20"/>
      <w:szCs w:val="20"/>
    </w:rPr>
  </w:style>
  <w:style w:type="character" w:customStyle="1" w:styleId="FootnoteTextChar">
    <w:name w:val="Footnote Text Char"/>
    <w:aliases w:val="5_G Char,Footnote Text Char Char Char,Footnote Text Char1 Char Char Char,Footnote Text Char Char Char Char Char,Footnote Text Char1 Char Char1 Char Char Char,Footnote Text Char Char Char Char1 Char Char Char,ft Char,Geneva 9 Char"/>
    <w:basedOn w:val="DefaultParagraphFont"/>
    <w:link w:val="FootnoteText"/>
    <w:uiPriority w:val="99"/>
    <w:rsid w:val="002C5016"/>
    <w:rPr>
      <w:sz w:val="20"/>
      <w:szCs w:val="20"/>
    </w:rPr>
  </w:style>
  <w:style w:type="character" w:styleId="FootnoteReference">
    <w:name w:val="footnote reference"/>
    <w:aliases w:val="4_G,4_GA"/>
    <w:basedOn w:val="DefaultParagraphFont"/>
    <w:uiPriority w:val="99"/>
    <w:unhideWhenUsed/>
    <w:qFormat/>
    <w:rsid w:val="002C5016"/>
    <w:rPr>
      <w:vertAlign w:val="superscript"/>
    </w:rPr>
  </w:style>
  <w:style w:type="paragraph" w:styleId="Header">
    <w:name w:val="header"/>
    <w:basedOn w:val="Normal"/>
    <w:link w:val="HeaderChar"/>
    <w:uiPriority w:val="99"/>
    <w:unhideWhenUsed/>
    <w:rsid w:val="00DA20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2028"/>
  </w:style>
  <w:style w:type="paragraph" w:styleId="Footer">
    <w:name w:val="footer"/>
    <w:basedOn w:val="Normal"/>
    <w:link w:val="FooterChar"/>
    <w:uiPriority w:val="99"/>
    <w:unhideWhenUsed/>
    <w:rsid w:val="00DA20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2028"/>
  </w:style>
  <w:style w:type="character" w:customStyle="1" w:styleId="Hyperlink1">
    <w:name w:val="Hyperlink1"/>
    <w:basedOn w:val="DefaultParagraphFont"/>
    <w:uiPriority w:val="99"/>
    <w:unhideWhenUsed/>
    <w:rsid w:val="00BD0244"/>
    <w:rPr>
      <w:color w:val="0563C1"/>
      <w:u w:val="single"/>
    </w:rPr>
  </w:style>
  <w:style w:type="paragraph" w:styleId="ListParagraph">
    <w:name w:val="List Paragraph"/>
    <w:basedOn w:val="Normal"/>
    <w:uiPriority w:val="34"/>
    <w:qFormat/>
    <w:rsid w:val="00BD0244"/>
    <w:pPr>
      <w:spacing w:after="200" w:line="276" w:lineRule="auto"/>
      <w:ind w:left="720"/>
      <w:contextualSpacing/>
    </w:pPr>
  </w:style>
  <w:style w:type="paragraph" w:styleId="NormalWeb">
    <w:name w:val="Normal (Web)"/>
    <w:basedOn w:val="Normal"/>
    <w:uiPriority w:val="99"/>
    <w:unhideWhenUsed/>
    <w:rsid w:val="00D958DC"/>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2835C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35C6"/>
    <w:rPr>
      <w:rFonts w:asciiTheme="majorHAnsi" w:eastAsiaTheme="majorEastAsia" w:hAnsiTheme="majorHAnsi" w:cstheme="majorBidi"/>
      <w:spacing w:val="-10"/>
      <w:kern w:val="28"/>
      <w:sz w:val="56"/>
      <w:szCs w:val="56"/>
    </w:rPr>
  </w:style>
  <w:style w:type="character" w:styleId="BookTitle">
    <w:name w:val="Book Title"/>
    <w:basedOn w:val="DefaultParagraphFont"/>
    <w:uiPriority w:val="33"/>
    <w:qFormat/>
    <w:rsid w:val="002835C6"/>
    <w:rPr>
      <w:b/>
      <w:bCs/>
      <w:i/>
      <w:iCs/>
      <w:spacing w:val="5"/>
    </w:rPr>
  </w:style>
  <w:style w:type="character" w:styleId="Strong">
    <w:name w:val="Strong"/>
    <w:basedOn w:val="DefaultParagraphFont"/>
    <w:uiPriority w:val="22"/>
    <w:qFormat/>
    <w:rsid w:val="002835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3079420">
      <w:bodyDiv w:val="1"/>
      <w:marLeft w:val="0"/>
      <w:marRight w:val="0"/>
      <w:marTop w:val="0"/>
      <w:marBottom w:val="0"/>
      <w:divBdr>
        <w:top w:val="none" w:sz="0" w:space="0" w:color="auto"/>
        <w:left w:val="none" w:sz="0" w:space="0" w:color="auto"/>
        <w:bottom w:val="none" w:sz="0" w:space="0" w:color="auto"/>
        <w:right w:val="none" w:sz="0" w:space="0" w:color="auto"/>
      </w:divBdr>
    </w:div>
    <w:div w:id="1569807891">
      <w:bodyDiv w:val="1"/>
      <w:marLeft w:val="0"/>
      <w:marRight w:val="0"/>
      <w:marTop w:val="0"/>
      <w:marBottom w:val="0"/>
      <w:divBdr>
        <w:top w:val="none" w:sz="0" w:space="0" w:color="auto"/>
        <w:left w:val="none" w:sz="0" w:space="0" w:color="auto"/>
        <w:bottom w:val="none" w:sz="0" w:space="0" w:color="auto"/>
        <w:right w:val="none" w:sz="0" w:space="0" w:color="auto"/>
      </w:divBdr>
    </w:div>
    <w:div w:id="2121101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s://zawia3.com/en/refugee/" TargetMode="External"/><Relationship Id="rId13" Type="http://schemas.openxmlformats.org/officeDocument/2006/relationships/hyperlink" Target="https://www.cabinet.gov.eg/News/Details/74779" TargetMode="External"/><Relationship Id="rId18" Type="http://schemas.openxmlformats.org/officeDocument/2006/relationships/hyperlink" Target="https://tinyurl.com/2p9r3ecz" TargetMode="External"/><Relationship Id="rId3" Type="http://schemas.openxmlformats.org/officeDocument/2006/relationships/hyperlink" Target="https://menamigranthealth.org/3rd-general-assembly-held-in-cairo/" TargetMode="External"/><Relationship Id="rId7" Type="http://schemas.openxmlformats.org/officeDocument/2006/relationships/hyperlink" Target="https://tinyurl.com/4d5jvj5k" TargetMode="External"/><Relationship Id="rId12" Type="http://schemas.openxmlformats.org/officeDocument/2006/relationships/hyperlink" Target="https://tinyurl.com/3pskzvkb" TargetMode="External"/><Relationship Id="rId17" Type="http://schemas.openxmlformats.org/officeDocument/2006/relationships/hyperlink" Target="https://www.siyassa.org.eg/News/19646.aspx" TargetMode="External"/><Relationship Id="rId2" Type="http://schemas.openxmlformats.org/officeDocument/2006/relationships/hyperlink" Target="http://tinyurl.com/5n8p2jtt" TargetMode="External"/><Relationship Id="rId16" Type="http://schemas.openxmlformats.org/officeDocument/2006/relationships/hyperlink" Target="https://censusinfo.capmas.gov.eg/metadata-ar-v4.2/index.php/catalog/1896" TargetMode="External"/><Relationship Id="rId1" Type="http://schemas.openxmlformats.org/officeDocument/2006/relationships/hyperlink" Target="https://www.constituteproject.org/constitution/Egypt_2019" TargetMode="External"/><Relationship Id="rId6" Type="http://schemas.openxmlformats.org/officeDocument/2006/relationships/hyperlink" Target="https://tinyurl.com/y9wd9653" TargetMode="External"/><Relationship Id="rId11" Type="http://schemas.openxmlformats.org/officeDocument/2006/relationships/hyperlink" Target="https://manshurat.org/node/68148" TargetMode="External"/><Relationship Id="rId5" Type="http://schemas.openxmlformats.org/officeDocument/2006/relationships/hyperlink" Target="https://tinyurl.com/ym68cv3p" TargetMode="External"/><Relationship Id="rId15" Type="http://schemas.openxmlformats.org/officeDocument/2006/relationships/hyperlink" Target="https://syriadirect.org/living-and-working-as-a-syrian-in-egypt-a-constant-balancing-act/" TargetMode="External"/><Relationship Id="rId10" Type="http://schemas.openxmlformats.org/officeDocument/2006/relationships/hyperlink" Target="https://tinyurl.com/mrxjcxwf" TargetMode="External"/><Relationship Id="rId4" Type="http://schemas.openxmlformats.org/officeDocument/2006/relationships/hyperlink" Target="https://www.state.gov/reports/2023-country-reports-on-human-rights-practices/egypt/" TargetMode="External"/><Relationship Id="rId9" Type="http://schemas.openxmlformats.org/officeDocument/2006/relationships/hyperlink" Target="https://www.thenationalnews.com/mena/2024/01/13/social-media-hate-campaign-targets-syrians-in-egypt-calls-for-their-expulsion/" TargetMode="External"/><Relationship Id="rId14" Type="http://schemas.openxmlformats.org/officeDocument/2006/relationships/hyperlink" Target="https://www.3rpsyriacrisis.org/wp-content/uploads/2023/06/prospects_Egypt_June2023.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Maat%20Templates\templates_Reports\elizk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2024-11-06T16:33:59+00:00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2FE792-1524-47DE-8173-3C3BDD1D2531}">
  <ds:schemaRefs>
    <ds:schemaRef ds:uri="http://schemas.openxmlformats.org/officeDocument/2006/bibliography"/>
  </ds:schemaRefs>
</ds:datastoreItem>
</file>

<file path=customXml/itemProps2.xml><?xml version="1.0" encoding="utf-8"?>
<ds:datastoreItem xmlns:ds="http://schemas.openxmlformats.org/officeDocument/2006/customXml" ds:itemID="{9BF96109-5B95-417D-A62F-26BE2CDB4C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C54393-90F4-4412-BD1E-C254A9877C1E}">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4.xml><?xml version="1.0" encoding="utf-8"?>
<ds:datastoreItem xmlns:ds="http://schemas.openxmlformats.org/officeDocument/2006/customXml" ds:itemID="{0DBF48F4-49CF-4F36-8FA5-94764E62E69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elizka.dotx</Template>
  <TotalTime>17</TotalTime>
  <Pages>5</Pages>
  <Words>1756</Words>
  <Characters>10010</Characters>
  <Application>Microsoft Office Word</Application>
  <DocSecurity>8</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CMW</cp:lastModifiedBy>
  <cp:revision>6</cp:revision>
  <dcterms:created xsi:type="dcterms:W3CDTF">2024-10-28T13:31:00Z</dcterms:created>
  <dcterms:modified xsi:type="dcterms:W3CDTF">2024-11-07T10:08:00Z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y fmtid="{D5CDD505-2E9C-101B-9397-08002B2CF9AE}" pid="3" name="MediaServiceImageTags">
    <vt:lpwstr/>
  </property>
</Properties>
</file>