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05" w:rsidRDefault="00DC1605" w:rsidP="00DC1605">
      <w:pPr>
        <w:pStyle w:val="absatzschattenbericht"/>
        <w:rPr>
          <w:lang w:val="pt-BR"/>
        </w:rPr>
      </w:pPr>
      <w:bookmarkStart w:id="0" w:name="_GoBack"/>
      <w:bookmarkEnd w:id="0"/>
    </w:p>
    <w:p w:rsidR="00DC1605" w:rsidRDefault="00DC1605" w:rsidP="00DC1605">
      <w:pPr>
        <w:pStyle w:val="absatzschattenbericht"/>
        <w:rPr>
          <w:lang w:val="pt-BR"/>
        </w:rPr>
      </w:pPr>
    </w:p>
    <w:p w:rsidR="00FE2215" w:rsidRPr="00C933AC" w:rsidRDefault="00FE2215" w:rsidP="00FE2215">
      <w:pPr>
        <w:pStyle w:val="absatzschattenbericht"/>
        <w:rPr>
          <w:sz w:val="20"/>
          <w:szCs w:val="20"/>
          <w:lang w:val="en-GB"/>
        </w:rPr>
      </w:pPr>
    </w:p>
    <w:p w:rsidR="00FE2215" w:rsidRPr="0031653B" w:rsidRDefault="005B0346" w:rsidP="00FE2215">
      <w:pPr>
        <w:pStyle w:val="Title1"/>
        <w:rPr>
          <w:lang w:val="en-GB"/>
        </w:rPr>
      </w:pPr>
      <w:r>
        <w:rPr>
          <w:lang w:val="en-GB"/>
        </w:rPr>
        <w:t xml:space="preserve">Intersex Genital Mutilation in </w:t>
      </w:r>
      <w:r w:rsidR="00304CB0">
        <w:rPr>
          <w:lang w:val="en-GB"/>
        </w:rPr>
        <w:t>Poland</w:t>
      </w:r>
    </w:p>
    <w:p w:rsidR="00FE2215" w:rsidRPr="00304CB0" w:rsidRDefault="00FE2215" w:rsidP="00FE2215">
      <w:pPr>
        <w:pStyle w:val="absatzschattenbericht"/>
        <w:rPr>
          <w:rFonts w:eastAsia="Baskerville-SemiBold" w:cs="Baskerville-SemiBold"/>
          <w:lang w:val="en-GB"/>
        </w:rPr>
      </w:pPr>
    </w:p>
    <w:p w:rsidR="00FE2215" w:rsidRDefault="00FE2215" w:rsidP="00304CB0">
      <w:pPr>
        <w:pStyle w:val="absatzschattenbericht"/>
        <w:rPr>
          <w:rFonts w:eastAsia="Baskerville-SemiBold" w:cs="Baskerville-SemiBold"/>
          <w:lang w:val="en-GB"/>
        </w:rPr>
      </w:pPr>
      <w:r w:rsidRPr="00304CB0">
        <w:rPr>
          <w:rFonts w:eastAsia="Baskerville-SemiBold" w:cs="Baskerville-SemiBold"/>
          <w:lang w:val="en-GB"/>
        </w:rPr>
        <w:t>Dear Committee on the Rights of the Child</w:t>
      </w:r>
    </w:p>
    <w:p w:rsidR="00304CB0" w:rsidRDefault="00A35095" w:rsidP="00304CB0">
      <w:pPr>
        <w:pStyle w:val="absatzschattenbericht"/>
        <w:rPr>
          <w:rFonts w:eastAsia="Baskerville-SemiBold" w:cs="Baskerville-SemiBold"/>
          <w:lang w:val="en-GB"/>
        </w:rPr>
      </w:pPr>
      <w:r>
        <w:rPr>
          <w:rFonts w:eastAsia="Baskerville-SemiBold" w:cs="Baskerville-SemiBold"/>
          <w:lang w:val="en-GB"/>
        </w:rPr>
        <w:t>As demonstrated below, a</w:t>
      </w:r>
      <w:r w:rsidR="00304CB0">
        <w:rPr>
          <w:rFonts w:eastAsia="Baskerville-SemiBold" w:cs="Baskerville-SemiBold"/>
          <w:lang w:val="en-GB"/>
        </w:rPr>
        <w:t xml:space="preserve">lso in Poland, </w:t>
      </w:r>
      <w:r w:rsidR="00304CB0">
        <w:rPr>
          <w:rFonts w:eastAsia="Baskerville-SemiBold" w:cs="Baskerville-SemiBold"/>
          <w:b/>
          <w:bCs/>
          <w:lang w:val="en-GB"/>
        </w:rPr>
        <w:t>all typical forms of IGM practices persist</w:t>
      </w:r>
      <w:r w:rsidR="00304CB0">
        <w:rPr>
          <w:rFonts w:eastAsia="Baskerville-SemiBold" w:cs="Baskerville-SemiBold"/>
          <w:lang w:val="en-GB"/>
        </w:rPr>
        <w:t>, advocated and practised in public</w:t>
      </w:r>
      <w:r w:rsidR="007B0A7C">
        <w:rPr>
          <w:rFonts w:eastAsia="Baskerville-SemiBold" w:cs="Baskerville-SemiBold"/>
          <w:lang w:val="en-GB"/>
        </w:rPr>
        <w:t xml:space="preserve"> and</w:t>
      </w:r>
      <w:r w:rsidR="00304CB0">
        <w:rPr>
          <w:rFonts w:eastAsia="Baskerville-SemiBold" w:cs="Baskerville-SemiBold"/>
          <w:lang w:val="en-GB"/>
        </w:rPr>
        <w:t xml:space="preserve"> University Children’s Hospitals and </w:t>
      </w:r>
      <w:r w:rsidR="00304CB0" w:rsidRPr="009660BD">
        <w:rPr>
          <w:rFonts w:eastAsia="Baskerville-SemiBold" w:cs="Baskerville-SemiBold"/>
          <w:b/>
          <w:lang w:val="en-GB"/>
        </w:rPr>
        <w:t>paid for</w:t>
      </w:r>
      <w:r w:rsidR="00304CB0" w:rsidRPr="008F2F0A">
        <w:rPr>
          <w:rFonts w:eastAsia="Baskerville-SemiBold" w:cs="Baskerville-SemiBold"/>
          <w:b/>
          <w:lang w:val="en-GB"/>
        </w:rPr>
        <w:t xml:space="preserve"> by the State party</w:t>
      </w:r>
      <w:r w:rsidR="00304CB0" w:rsidRPr="00D638FF">
        <w:rPr>
          <w:rFonts w:eastAsia="Baskerville-SemiBold" w:cs="Baskerville-SemiBold"/>
          <w:lang w:val="en-GB"/>
        </w:rPr>
        <w:t xml:space="preserve"> via the</w:t>
      </w:r>
      <w:r w:rsidR="00304CB0" w:rsidRPr="00D638FF">
        <w:rPr>
          <w:rFonts w:eastAsia="Baskerville-SemiBold" w:cs="Baskerville-SemiBold"/>
          <w:b/>
          <w:lang w:val="en-GB"/>
        </w:rPr>
        <w:t xml:space="preserve"> </w:t>
      </w:r>
      <w:r w:rsidR="00304CB0" w:rsidRPr="00D638FF">
        <w:rPr>
          <w:b/>
          <w:lang w:val="en-GB"/>
        </w:rPr>
        <w:t>public health system</w:t>
      </w:r>
      <w:r w:rsidR="00304CB0">
        <w:rPr>
          <w:rFonts w:eastAsia="Baskerville-SemiBold" w:cs="Baskerville-SemiBold"/>
          <w:lang w:val="en-GB"/>
        </w:rPr>
        <w:t xml:space="preserve"> (</w:t>
      </w:r>
      <w:r w:rsidR="00304CB0" w:rsidRPr="00304CB0">
        <w:rPr>
          <w:rFonts w:eastAsia="Baskerville-SemiBold" w:cs="Baskerville-SemiBold"/>
          <w:lang w:val="en-GB"/>
        </w:rPr>
        <w:t>Narodowy Fundusz Zdrowia</w:t>
      </w:r>
      <w:r w:rsidR="00304CB0">
        <w:rPr>
          <w:rFonts w:eastAsia="Baskerville-SemiBold" w:cs="Baskerville-SemiBold"/>
          <w:lang w:val="en-GB"/>
        </w:rPr>
        <w:t>).</w:t>
      </w:r>
      <w:r>
        <w:rPr>
          <w:rFonts w:eastAsia="Baskerville-SemiBold" w:cs="Baskerville-SemiBold"/>
          <w:lang w:val="en-GB"/>
        </w:rPr>
        <w:t xml:space="preserve"> Further, there are </w:t>
      </w:r>
      <w:r w:rsidRPr="00A35095">
        <w:rPr>
          <w:rFonts w:eastAsia="Baskerville-SemiBold" w:cs="Baskerville-SemiBold"/>
          <w:b/>
          <w:bCs/>
          <w:lang w:val="en-GB"/>
        </w:rPr>
        <w:t xml:space="preserve">no legal </w:t>
      </w:r>
      <w:r>
        <w:rPr>
          <w:rFonts w:eastAsia="Baskerville-SemiBold" w:cs="Baskerville-SemiBold"/>
          <w:b/>
          <w:bCs/>
          <w:lang w:val="en-GB"/>
        </w:rPr>
        <w:t>p</w:t>
      </w:r>
      <w:r w:rsidRPr="00A35095">
        <w:rPr>
          <w:rFonts w:eastAsia="Baskerville-SemiBold" w:cs="Baskerville-SemiBold"/>
          <w:b/>
          <w:bCs/>
          <w:lang w:val="en-GB"/>
        </w:rPr>
        <w:t>rotections</w:t>
      </w:r>
      <w:r>
        <w:rPr>
          <w:rFonts w:eastAsia="Baskerville-SemiBold" w:cs="Baskerville-SemiBold"/>
          <w:lang w:val="en-GB"/>
        </w:rPr>
        <w:t xml:space="preserve">, </w:t>
      </w:r>
      <w:r w:rsidRPr="00A35095">
        <w:rPr>
          <w:rFonts w:eastAsia="Baskerville-SemiBold" w:cs="Baskerville-SemiBold"/>
          <w:b/>
          <w:bCs/>
          <w:lang w:val="en-GB"/>
        </w:rPr>
        <w:t>no data collection</w:t>
      </w:r>
      <w:r>
        <w:rPr>
          <w:rFonts w:eastAsia="Baskerville-SemiBold" w:cs="Baskerville-SemiBold"/>
          <w:lang w:val="en-GB"/>
        </w:rPr>
        <w:t xml:space="preserve">, and the </w:t>
      </w:r>
      <w:r w:rsidRPr="00A35095">
        <w:rPr>
          <w:rFonts w:eastAsia="Baskerville-SemiBold" w:cs="Baskerville-SemiBold"/>
          <w:b/>
          <w:bCs/>
          <w:lang w:val="en-GB"/>
        </w:rPr>
        <w:t>Government fails to act</w:t>
      </w:r>
      <w:r>
        <w:rPr>
          <w:rFonts w:eastAsia="Baskerville-SemiBold" w:cs="Baskerville-SemiBold"/>
          <w:lang w:val="en-GB"/>
        </w:rPr>
        <w:t>.</w:t>
      </w:r>
    </w:p>
    <w:p w:rsidR="00A35095" w:rsidRPr="00396144" w:rsidRDefault="00A35095" w:rsidP="00304CB0">
      <w:pPr>
        <w:pStyle w:val="absatzschattenbericht"/>
        <w:rPr>
          <w:rFonts w:eastAsia="Baskerville-SemiBold" w:cs="Baskerville-SemiBold"/>
          <w:sz w:val="28"/>
          <w:szCs w:val="28"/>
          <w:lang w:val="en-GB"/>
        </w:rPr>
      </w:pPr>
      <w:r w:rsidRPr="00396144">
        <w:rPr>
          <w:rFonts w:eastAsia="Baskerville-SemiBold" w:cs="Baskerville-SemiBold"/>
          <w:sz w:val="28"/>
          <w:szCs w:val="28"/>
          <w:lang w:val="en-GB"/>
        </w:rPr>
        <w:t xml:space="preserve">If still possible, we would </w:t>
      </w:r>
      <w:r w:rsidR="006B7E95">
        <w:rPr>
          <w:rFonts w:eastAsia="Baskerville-SemiBold" w:cs="Baskerville-SemiBold"/>
          <w:sz w:val="28"/>
          <w:szCs w:val="28"/>
          <w:lang w:val="en-GB"/>
        </w:rPr>
        <w:t xml:space="preserve">therefore </w:t>
      </w:r>
      <w:r w:rsidRPr="00396144">
        <w:rPr>
          <w:rFonts w:eastAsia="Baskerville-SemiBold" w:cs="Baskerville-SemiBold"/>
          <w:sz w:val="28"/>
          <w:szCs w:val="28"/>
          <w:lang w:val="en-GB"/>
        </w:rPr>
        <w:t xml:space="preserve">like to urge the Committee to </w:t>
      </w:r>
      <w:r w:rsidRPr="00396144">
        <w:rPr>
          <w:rFonts w:eastAsia="Baskerville-SemiBold" w:cs="Baskerville-SemiBold"/>
          <w:b/>
          <w:bCs/>
          <w:sz w:val="28"/>
          <w:szCs w:val="28"/>
          <w:lang w:val="en-GB"/>
        </w:rPr>
        <w:t>raise IGM in Poland under harmful practices</w:t>
      </w:r>
      <w:r w:rsidRPr="00396144">
        <w:rPr>
          <w:rFonts w:eastAsia="Baskerville-SemiBold" w:cs="Baskerville-SemiBold"/>
          <w:sz w:val="28"/>
          <w:szCs w:val="28"/>
          <w:lang w:val="en-GB"/>
        </w:rPr>
        <w:t xml:space="preserve">, and to </w:t>
      </w:r>
      <w:r w:rsidRPr="00396144">
        <w:rPr>
          <w:rFonts w:eastAsia="Baskerville-SemiBold" w:cs="Baskerville-SemiBold"/>
          <w:b/>
          <w:bCs/>
          <w:sz w:val="28"/>
          <w:szCs w:val="28"/>
          <w:lang w:val="en-GB"/>
        </w:rPr>
        <w:t xml:space="preserve">urge the State party to adopt </w:t>
      </w:r>
      <w:r w:rsidR="00C46E72">
        <w:rPr>
          <w:rFonts w:eastAsia="Baskerville-SemiBold" w:cs="Baskerville-SemiBold"/>
          <w:b/>
          <w:bCs/>
          <w:sz w:val="28"/>
          <w:szCs w:val="28"/>
          <w:lang w:val="en-GB"/>
        </w:rPr>
        <w:t>a legal prohibition</w:t>
      </w:r>
      <w:r w:rsidRPr="00396144">
        <w:rPr>
          <w:rFonts w:eastAsia="Baskerville-SemiBold" w:cs="Baskerville-SemiBold"/>
          <w:sz w:val="28"/>
          <w:szCs w:val="28"/>
          <w:lang w:val="en-GB"/>
        </w:rPr>
        <w:t xml:space="preserve"> to protect intersex children from harmful practices, to ensure </w:t>
      </w:r>
      <w:r w:rsidRPr="00396144">
        <w:rPr>
          <w:rFonts w:eastAsia="Baskerville-SemiBold" w:cs="Baskerville-SemiBold"/>
          <w:b/>
          <w:bCs/>
          <w:sz w:val="28"/>
          <w:szCs w:val="28"/>
          <w:lang w:val="en-GB"/>
        </w:rPr>
        <w:t xml:space="preserve">access to </w:t>
      </w:r>
      <w:r w:rsidR="00C46E72">
        <w:rPr>
          <w:rFonts w:eastAsia="Baskerville-SemiBold" w:cs="Baskerville-SemiBold"/>
          <w:b/>
          <w:bCs/>
          <w:sz w:val="28"/>
          <w:szCs w:val="28"/>
          <w:lang w:val="en-GB"/>
        </w:rPr>
        <w:t xml:space="preserve">justice, </w:t>
      </w:r>
      <w:r w:rsidRPr="00396144">
        <w:rPr>
          <w:rFonts w:eastAsia="Baskerville-SemiBold" w:cs="Baskerville-SemiBold"/>
          <w:b/>
          <w:bCs/>
          <w:sz w:val="28"/>
          <w:szCs w:val="28"/>
          <w:lang w:val="en-GB"/>
        </w:rPr>
        <w:t>redress and rehabilitation</w:t>
      </w:r>
      <w:r w:rsidRPr="00396144">
        <w:rPr>
          <w:rFonts w:eastAsia="Baskerville-SemiBold" w:cs="Baskerville-SemiBold"/>
          <w:sz w:val="28"/>
          <w:szCs w:val="28"/>
          <w:lang w:val="en-GB"/>
        </w:rPr>
        <w:t xml:space="preserve"> for IGM survivors, and to provide families with intersex children with </w:t>
      </w:r>
      <w:r w:rsidRPr="00396144">
        <w:rPr>
          <w:rFonts w:eastAsia="Baskerville-SemiBold" w:cs="Baskerville-SemiBold"/>
          <w:b/>
          <w:bCs/>
          <w:sz w:val="28"/>
          <w:szCs w:val="28"/>
          <w:lang w:val="en-GB"/>
        </w:rPr>
        <w:t>adequate counselling and support</w:t>
      </w:r>
      <w:r w:rsidRPr="00396144">
        <w:rPr>
          <w:rFonts w:eastAsia="Baskerville-SemiBold" w:cs="Baskerville-SemiBold"/>
          <w:sz w:val="28"/>
          <w:szCs w:val="28"/>
          <w:lang w:val="en-GB"/>
        </w:rPr>
        <w:t>.</w:t>
      </w:r>
    </w:p>
    <w:p w:rsidR="00C60485" w:rsidRPr="00EC32A2" w:rsidRDefault="00C60485" w:rsidP="00C60485">
      <w:pPr>
        <w:pStyle w:val="absatzschattenbericht"/>
      </w:pPr>
      <w:r>
        <w:t xml:space="preserve">Thank you for your consideration and kind </w:t>
      </w:r>
      <w:r w:rsidRPr="00EC32A2">
        <w:t>regards,</w:t>
      </w:r>
    </w:p>
    <w:p w:rsidR="00C60485" w:rsidRPr="00CA4CCE" w:rsidRDefault="00C60485" w:rsidP="00C60485">
      <w:pPr>
        <w:pStyle w:val="absatzschattenbericht"/>
        <w:rPr>
          <w:lang w:val="de-CH"/>
        </w:rPr>
      </w:pPr>
      <w:r w:rsidRPr="00CA4CCE">
        <w:rPr>
          <w:lang w:val="de-CH"/>
        </w:rPr>
        <w:t>Daniela Truffer &amp; Markus Bauer (StopIGM.org / Zwischengeschlecht.org)</w:t>
      </w:r>
    </w:p>
    <w:p w:rsidR="00C60485" w:rsidRPr="00304CB0" w:rsidRDefault="00C60485" w:rsidP="00304CB0">
      <w:pPr>
        <w:pStyle w:val="absatzschattenbericht"/>
        <w:rPr>
          <w:rFonts w:eastAsia="Baskerville-SemiBold" w:cs="Baskerville-SemiBold"/>
          <w:lang w:val="en-GB"/>
        </w:rPr>
      </w:pPr>
    </w:p>
    <w:p w:rsidR="00FD182A" w:rsidRDefault="00FD182A" w:rsidP="00FD182A">
      <w:pPr>
        <w:pStyle w:val="Title2"/>
      </w:pPr>
      <w:bookmarkStart w:id="1" w:name="_Toc516594088"/>
      <w:bookmarkStart w:id="2" w:name="_Toc65442468"/>
      <w:bookmarkStart w:id="3" w:name="_Toc475924599"/>
      <w:bookmarkStart w:id="4" w:name="_Toc475924776"/>
      <w:r>
        <w:t>Evidence of IGM practices in Poland</w:t>
      </w:r>
    </w:p>
    <w:bookmarkEnd w:id="1"/>
    <w:bookmarkEnd w:id="2"/>
    <w:p w:rsidR="00B16A70" w:rsidRPr="00B16A70" w:rsidRDefault="00FD182A" w:rsidP="00B16A70">
      <w:pPr>
        <w:pStyle w:val="absatzschattenbericht"/>
        <w:rPr>
          <w:rFonts w:eastAsia="Times New Roman"/>
          <w:i/>
          <w:iCs/>
          <w:lang w:val="en-GB" w:eastAsia="hi-IN"/>
        </w:rPr>
      </w:pPr>
      <w:r>
        <w:rPr>
          <w:lang w:val="en-GB"/>
        </w:rPr>
        <w:t>Same as there counterparts in Czechia and Switzerland, t</w:t>
      </w:r>
      <w:r w:rsidRPr="006203CD">
        <w:rPr>
          <w:lang w:val="en-GB"/>
        </w:rPr>
        <w:t xml:space="preserve">he </w:t>
      </w:r>
      <w:r w:rsidRPr="00CB34FD">
        <w:rPr>
          <w:b/>
          <w:bCs/>
          <w:lang w:val="en-GB"/>
        </w:rPr>
        <w:t xml:space="preserve">Polish Urological Association </w:t>
      </w:r>
      <w:r>
        <w:rPr>
          <w:b/>
          <w:bCs/>
          <w:lang w:val="en-GB"/>
        </w:rPr>
        <w:t>(“</w:t>
      </w:r>
      <w:r w:rsidRPr="00CB34FD">
        <w:rPr>
          <w:b/>
          <w:bCs/>
          <w:lang w:val="en-GB"/>
        </w:rPr>
        <w:t>Polskie Towarzystwo Urologiczne</w:t>
      </w:r>
      <w:r w:rsidRPr="00B53CED">
        <w:rPr>
          <w:b/>
          <w:bCs/>
        </w:rPr>
        <w:t>”)</w:t>
      </w:r>
      <w:r w:rsidRPr="006203CD">
        <w:rPr>
          <w:lang w:val="en-GB"/>
        </w:rPr>
        <w:t xml:space="preserve"> endorses the </w:t>
      </w:r>
      <w:r>
        <w:rPr>
          <w:b/>
          <w:lang w:val="en-GB"/>
        </w:rPr>
        <w:t>2021</w:t>
      </w:r>
      <w:r w:rsidRPr="006203CD">
        <w:rPr>
          <w:b/>
          <w:lang w:val="en-GB"/>
        </w:rPr>
        <w:t xml:space="preserve"> Guidelines of the European Association of Urology (EAU)</w:t>
      </w:r>
      <w:r w:rsidRPr="006203CD">
        <w:rPr>
          <w:bCs/>
          <w:lang w:val="en-GB"/>
        </w:rPr>
        <w:t>,</w:t>
      </w:r>
      <w:r w:rsidRPr="006203CD">
        <w:rPr>
          <w:rStyle w:val="FootnoteReference"/>
          <w:lang w:val="en-GB"/>
        </w:rPr>
        <w:footnoteReference w:id="1"/>
      </w:r>
      <w:r w:rsidRPr="006203CD">
        <w:rPr>
          <w:bCs/>
          <w:lang w:val="en-GB"/>
        </w:rPr>
        <w:t xml:space="preserve"> which include the current </w:t>
      </w:r>
      <w:r w:rsidRPr="006203CD">
        <w:rPr>
          <w:b/>
          <w:lang w:val="en-GB"/>
        </w:rPr>
        <w:t xml:space="preserve">ESPU/EAU </w:t>
      </w:r>
      <w:r w:rsidRPr="006203CD">
        <w:rPr>
          <w:b/>
          <w:i/>
          <w:lang w:val="en-GB"/>
        </w:rPr>
        <w:t xml:space="preserve">“Paediatric Urology” </w:t>
      </w:r>
      <w:r w:rsidRPr="006203CD">
        <w:rPr>
          <w:b/>
          <w:lang w:val="en-GB"/>
        </w:rPr>
        <w:t>Guidelines</w:t>
      </w:r>
      <w:r>
        <w:rPr>
          <w:b/>
          <w:lang w:val="en-GB"/>
        </w:rPr>
        <w:t xml:space="preserve"> 2021</w:t>
      </w:r>
      <w:r w:rsidRPr="006203CD">
        <w:rPr>
          <w:rStyle w:val="FootnoteReference"/>
          <w:lang w:val="en-GB"/>
        </w:rPr>
        <w:footnoteReference w:id="2"/>
      </w:r>
      <w:r w:rsidRPr="006203CD">
        <w:rPr>
          <w:lang w:val="en-GB"/>
        </w:rPr>
        <w:t xml:space="preserve"> of the European Society for Paediatric Urology (ESPU) and the European Association of Urology (EAU) which</w:t>
      </w:r>
      <w:r w:rsidR="00B16A70">
        <w:rPr>
          <w:lang w:val="en-GB"/>
        </w:rPr>
        <w:t xml:space="preserve"> </w:t>
      </w:r>
      <w:r w:rsidR="00B16A70" w:rsidRPr="00B16A70">
        <w:rPr>
          <w:b/>
          <w:bCs/>
          <w:lang w:val="en-GB"/>
        </w:rPr>
        <w:t>promote all forms of IGM practices</w:t>
      </w:r>
      <w:r w:rsidR="00B16A70" w:rsidRPr="00580F61">
        <w:rPr>
          <w:lang w:val="en-GB"/>
        </w:rPr>
        <w:t xml:space="preserve">, in particular </w:t>
      </w:r>
      <w:r w:rsidR="00B16A70" w:rsidRPr="00580F61">
        <w:rPr>
          <w:b/>
          <w:bCs/>
          <w:lang w:val="en-GB"/>
        </w:rPr>
        <w:t>IGM 3: “removal of testes”</w:t>
      </w:r>
      <w:r w:rsidR="00B16A70" w:rsidRPr="00580F61">
        <w:rPr>
          <w:lang w:val="en-GB"/>
        </w:rPr>
        <w:t>,</w:t>
      </w:r>
      <w:r w:rsidR="00B16A70" w:rsidRPr="00580F61">
        <w:rPr>
          <w:rStyle w:val="FootnoteReference"/>
          <w:rFonts w:eastAsia="Times New Roman"/>
          <w:lang w:val="en-GB" w:eastAsia="hi-IN"/>
        </w:rPr>
        <w:footnoteReference w:id="3"/>
      </w:r>
      <w:r w:rsidR="00B16A70" w:rsidRPr="00580F61">
        <w:rPr>
          <w:lang w:val="en-GB"/>
        </w:rPr>
        <w:t xml:space="preserve"> </w:t>
      </w:r>
      <w:r w:rsidR="00B16A70" w:rsidRPr="00580F61">
        <w:rPr>
          <w:b/>
          <w:bCs/>
          <w:lang w:val="en-GB"/>
        </w:rPr>
        <w:t xml:space="preserve">IGM 2: </w:t>
      </w:r>
      <w:r w:rsidR="00B16A70" w:rsidRPr="00580F61">
        <w:rPr>
          <w:rFonts w:cs="Times New Roman"/>
          <w:b/>
          <w:bCs/>
          <w:lang w:val="en-GB"/>
        </w:rPr>
        <w:t>partial clitoris amputation</w:t>
      </w:r>
      <w:r w:rsidR="00B16A70" w:rsidRPr="00580F61">
        <w:rPr>
          <w:rFonts w:cs="Times New Roman"/>
          <w:lang w:val="en-GB"/>
        </w:rPr>
        <w:t xml:space="preserve"> on young children based on </w:t>
      </w:r>
      <w:r w:rsidR="00B16A70" w:rsidRPr="00580F61">
        <w:rPr>
          <w:rFonts w:cs="Times New Roman"/>
          <w:b/>
          <w:bCs/>
          <w:i/>
          <w:iCs/>
          <w:lang w:val="en-GB"/>
        </w:rPr>
        <w:t>“social and emotional conditions”</w:t>
      </w:r>
      <w:r w:rsidR="00B16A70" w:rsidRPr="00580F61">
        <w:rPr>
          <w:rFonts w:cs="Times New Roman"/>
          <w:lang w:val="en-GB"/>
        </w:rPr>
        <w:t xml:space="preserve"> and </w:t>
      </w:r>
      <w:r w:rsidR="00B16A70" w:rsidRPr="00580F61">
        <w:rPr>
          <w:rFonts w:cs="Times New Roman"/>
          <w:b/>
          <w:bCs/>
          <w:lang w:val="en-GB"/>
        </w:rPr>
        <w:t>substituted decision-making</w:t>
      </w:r>
      <w:r w:rsidR="00B16A70" w:rsidRPr="00580F61">
        <w:rPr>
          <w:rFonts w:cs="Times New Roman"/>
          <w:b/>
          <w:bCs/>
          <w:i/>
          <w:iCs/>
          <w:lang w:val="en-GB"/>
        </w:rPr>
        <w:t xml:space="preserve"> </w:t>
      </w:r>
      <w:r w:rsidR="00B16A70" w:rsidRPr="00580F61">
        <w:rPr>
          <w:rFonts w:cs="Times New Roman"/>
          <w:b/>
          <w:bCs/>
          <w:lang w:val="en-GB"/>
        </w:rPr>
        <w:t xml:space="preserve">by </w:t>
      </w:r>
      <w:r w:rsidR="00B16A70" w:rsidRPr="00580F61">
        <w:rPr>
          <w:rFonts w:cs="Times New Roman"/>
          <w:b/>
          <w:bCs/>
          <w:i/>
          <w:iCs/>
          <w:lang w:val="en-GB"/>
        </w:rPr>
        <w:t>“parents and caregivers</w:t>
      </w:r>
      <w:r w:rsidR="00B16A70" w:rsidRPr="00580F61">
        <w:rPr>
          <w:rFonts w:cs="Times New Roman"/>
          <w:i/>
          <w:iCs/>
          <w:lang w:val="en-GB"/>
        </w:rPr>
        <w:t xml:space="preserve"> implicitly act[ing] in the best interest of their children”</w:t>
      </w:r>
      <w:r w:rsidR="00B16A70" w:rsidRPr="00580F61">
        <w:rPr>
          <w:rFonts w:cs="Times New Roman"/>
          <w:lang w:val="en-GB"/>
        </w:rPr>
        <w:t>,</w:t>
      </w:r>
      <w:r w:rsidR="00B16A70" w:rsidRPr="00580F61">
        <w:rPr>
          <w:rStyle w:val="FootnoteReference"/>
          <w:rFonts w:eastAsia="Times New Roman"/>
          <w:lang w:val="en-GB" w:eastAsia="hi-IN"/>
        </w:rPr>
        <w:footnoteReference w:id="4"/>
      </w:r>
      <w:r w:rsidR="00B16A70" w:rsidRPr="00580F61">
        <w:rPr>
          <w:rFonts w:cs="Times New Roman"/>
          <w:lang w:val="en-GB"/>
        </w:rPr>
        <w:t xml:space="preserve"> and </w:t>
      </w:r>
      <w:r w:rsidR="00B16A70" w:rsidRPr="00580F61">
        <w:rPr>
          <w:rFonts w:cs="Times New Roman"/>
          <w:b/>
          <w:bCs/>
          <w:lang w:val="en-GB"/>
        </w:rPr>
        <w:t>IGM 1:</w:t>
      </w:r>
      <w:r w:rsidR="00B16A70" w:rsidRPr="00580F61">
        <w:rPr>
          <w:rFonts w:cs="Times New Roman"/>
          <w:lang w:val="en-GB"/>
        </w:rPr>
        <w:t xml:space="preserve"> </w:t>
      </w:r>
      <w:r w:rsidR="00B16A70" w:rsidRPr="00580F61">
        <w:rPr>
          <w:rFonts w:cs="Times New Roman"/>
          <w:b/>
          <w:bCs/>
          <w:i/>
          <w:iCs/>
          <w:lang w:val="en-GB"/>
        </w:rPr>
        <w:t>“The age at surgery for primary hypospadias repair is usually 6-18 (24) months.”</w:t>
      </w:r>
      <w:r w:rsidR="00965449">
        <w:rPr>
          <w:rFonts w:cs="Times New Roman"/>
          <w:i/>
          <w:iCs/>
          <w:lang w:val="en-GB"/>
        </w:rPr>
        <w:t xml:space="preserve"> </w:t>
      </w:r>
      <w:r w:rsidR="00B16A70" w:rsidRPr="00580F61">
        <w:rPr>
          <w:rStyle w:val="FootnoteReference"/>
          <w:rFonts w:eastAsia="Times New Roman"/>
          <w:lang w:val="en-GB" w:eastAsia="hi-IN"/>
        </w:rPr>
        <w:footnoteReference w:id="5"/>
      </w:r>
    </w:p>
    <w:p w:rsidR="00BA5637" w:rsidRDefault="00BA5637" w:rsidP="00BA5637">
      <w:pPr>
        <w:pStyle w:val="absatzschattenbericht"/>
        <w:jc w:val="right"/>
        <w:rPr>
          <w:lang w:val="en-GB"/>
        </w:rPr>
      </w:pPr>
      <w:r>
        <w:rPr>
          <w:lang w:val="en-GB"/>
        </w:rPr>
        <w:t>./.</w:t>
      </w:r>
    </w:p>
    <w:p w:rsidR="00B16A70" w:rsidRDefault="00B16A70" w:rsidP="00FD182A">
      <w:pPr>
        <w:pStyle w:val="absatzschattenbericht"/>
        <w:rPr>
          <w:lang w:val="en-GB"/>
        </w:rPr>
      </w:pPr>
      <w:r>
        <w:rPr>
          <w:lang w:val="en-GB"/>
        </w:rPr>
        <w:lastRenderedPageBreak/>
        <w:t xml:space="preserve">Accordingly, regarding </w:t>
      </w:r>
      <w:r>
        <w:rPr>
          <w:b/>
          <w:bCs/>
          <w:lang w:val="en-GB"/>
        </w:rPr>
        <w:t>IGM 3</w:t>
      </w:r>
      <w:r>
        <w:rPr>
          <w:lang w:val="en-GB"/>
        </w:rPr>
        <w:t xml:space="preserve">, </w:t>
      </w:r>
      <w:r w:rsidR="001F4F29">
        <w:rPr>
          <w:lang w:val="en-GB"/>
        </w:rPr>
        <w:t xml:space="preserve">a </w:t>
      </w:r>
      <w:r w:rsidR="001F4F29">
        <w:rPr>
          <w:b/>
          <w:bCs/>
          <w:lang w:val="en-GB"/>
        </w:rPr>
        <w:t xml:space="preserve">2016 </w:t>
      </w:r>
      <w:r w:rsidR="001F4F29">
        <w:rPr>
          <w:lang w:val="en-GB"/>
        </w:rPr>
        <w:t xml:space="preserve">medical presentation from the </w:t>
      </w:r>
      <w:r w:rsidR="001F4F29" w:rsidRPr="00965449">
        <w:rPr>
          <w:b/>
          <w:bCs/>
          <w:lang w:val="en-GB"/>
        </w:rPr>
        <w:t>Cracow University Children’s Hospital</w:t>
      </w:r>
      <w:r w:rsidR="001F4F29">
        <w:rPr>
          <w:lang w:val="en-GB"/>
        </w:rPr>
        <w:t xml:space="preserve"> (“</w:t>
      </w:r>
      <w:r w:rsidR="001F4F29" w:rsidRPr="001F4F29">
        <w:rPr>
          <w:lang w:val="en-GB"/>
        </w:rPr>
        <w:t>Uniwersytecki Szpital Dziecięcy w Krakowi</w:t>
      </w:r>
      <w:r w:rsidR="001F4F29">
        <w:rPr>
          <w:lang w:val="en-GB"/>
        </w:rPr>
        <w:t>e</w:t>
      </w:r>
      <w:r w:rsidR="00B4429C">
        <w:rPr>
          <w:lang w:val="en-GB"/>
        </w:rPr>
        <w:t xml:space="preserve">”) </w:t>
      </w:r>
      <w:r w:rsidR="00965449">
        <w:rPr>
          <w:lang w:val="en-GB"/>
        </w:rPr>
        <w:t>states:</w:t>
      </w:r>
      <w:r w:rsidR="00965449" w:rsidRPr="00580F61">
        <w:rPr>
          <w:rStyle w:val="FootnoteReference"/>
          <w:rFonts w:eastAsia="Times New Roman"/>
          <w:lang w:val="en-GB" w:eastAsia="hi-IN"/>
        </w:rPr>
        <w:footnoteReference w:id="6"/>
      </w:r>
    </w:p>
    <w:p w:rsidR="00965449" w:rsidRPr="00965449" w:rsidRDefault="00965449" w:rsidP="00965449">
      <w:pPr>
        <w:pStyle w:val="absatzschattenbericht"/>
        <w:ind w:left="284"/>
        <w:rPr>
          <w:i/>
          <w:iCs/>
          <w:lang w:val="en-GB"/>
        </w:rPr>
      </w:pPr>
      <w:r w:rsidRPr="00965449">
        <w:rPr>
          <w:i/>
          <w:iCs/>
          <w:lang w:val="en-GB"/>
        </w:rPr>
        <w:t xml:space="preserve">“In our Clinic we performed 17 laparoscopies between 2002 and 2015 in patients with DSD disorders. Four patients with a 46 XY karyotype have bilateral cryptorchidism and Peristent Mullerian Duct Syndrome /PMDS/. </w:t>
      </w:r>
      <w:r w:rsidRPr="00965449">
        <w:rPr>
          <w:b/>
          <w:bCs/>
          <w:i/>
          <w:iCs/>
          <w:lang w:val="en-GB"/>
        </w:rPr>
        <w:t>In all of this patients Mullerian Duct Remnant /MDR/ were removed out.</w:t>
      </w:r>
      <w:r w:rsidRPr="00965449">
        <w:rPr>
          <w:i/>
          <w:iCs/>
          <w:lang w:val="en-GB"/>
        </w:rPr>
        <w:t xml:space="preserve"> In 13 patients with DSD problems were performed diagnostic laparoscopy. Among them, 5 were diagnostic laparoscopy including gonadal biopsy, </w:t>
      </w:r>
      <w:r w:rsidRPr="00965449">
        <w:rPr>
          <w:b/>
          <w:bCs/>
          <w:i/>
          <w:iCs/>
          <w:lang w:val="en-GB"/>
        </w:rPr>
        <w:t>and 8 were therapeutic laparoscopy with gonadal resection</w:t>
      </w:r>
      <w:r>
        <w:rPr>
          <w:i/>
          <w:iCs/>
          <w:lang w:val="en-GB"/>
        </w:rPr>
        <w:t>.</w:t>
      </w:r>
      <w:r w:rsidRPr="00965449">
        <w:rPr>
          <w:i/>
          <w:iCs/>
          <w:lang w:val="en-GB"/>
        </w:rPr>
        <w:t>”</w:t>
      </w:r>
    </w:p>
    <w:p w:rsidR="004B4FF0" w:rsidRDefault="004B4FF0" w:rsidP="004B4FF0">
      <w:pPr>
        <w:pStyle w:val="absatzschattenbericht"/>
        <w:rPr>
          <w:lang w:val="en-GB"/>
        </w:rPr>
      </w:pPr>
      <w:r>
        <w:rPr>
          <w:rFonts w:eastAsia="Baskerville-SemiBold" w:cs="Baskerville-SemiBold"/>
          <w:bCs/>
          <w:lang w:val="en-GB"/>
        </w:rPr>
        <w:t xml:space="preserve">Regarding </w:t>
      </w:r>
      <w:r>
        <w:rPr>
          <w:rFonts w:eastAsia="Baskerville-SemiBold" w:cs="Baskerville-SemiBold"/>
          <w:b/>
          <w:lang w:val="en-GB"/>
        </w:rPr>
        <w:t>IGM 2</w:t>
      </w:r>
      <w:r>
        <w:rPr>
          <w:rFonts w:eastAsia="Baskerville-SemiBold" w:cs="Baskerville-SemiBold"/>
          <w:bCs/>
          <w:lang w:val="en-GB"/>
        </w:rPr>
        <w:t xml:space="preserve">, </w:t>
      </w:r>
      <w:r>
        <w:rPr>
          <w:lang w:val="en-GB"/>
        </w:rPr>
        <w:t xml:space="preserve">a </w:t>
      </w:r>
      <w:r>
        <w:rPr>
          <w:b/>
          <w:bCs/>
          <w:lang w:val="en-GB"/>
        </w:rPr>
        <w:t xml:space="preserve">2019 </w:t>
      </w:r>
      <w:r>
        <w:rPr>
          <w:lang w:val="en-GB"/>
        </w:rPr>
        <w:t xml:space="preserve">medical presentation from the </w:t>
      </w:r>
      <w:r w:rsidRPr="00965449">
        <w:rPr>
          <w:b/>
          <w:bCs/>
          <w:lang w:val="en-GB"/>
        </w:rPr>
        <w:t>Cracow University Children’s Hospital</w:t>
      </w:r>
      <w:r>
        <w:rPr>
          <w:lang w:val="en-GB"/>
        </w:rPr>
        <w:t xml:space="preserve"> (“</w:t>
      </w:r>
      <w:r w:rsidRPr="001F4F29">
        <w:rPr>
          <w:lang w:val="en-GB"/>
        </w:rPr>
        <w:t>Uniwersytecki Szpital Dziecięcy w Krakowi</w:t>
      </w:r>
      <w:r>
        <w:rPr>
          <w:lang w:val="en-GB"/>
        </w:rPr>
        <w:t>e”) states:</w:t>
      </w:r>
      <w:r w:rsidRPr="00580F61">
        <w:rPr>
          <w:rStyle w:val="FootnoteReference"/>
          <w:rFonts w:eastAsia="Times New Roman"/>
          <w:lang w:val="en-GB" w:eastAsia="hi-IN"/>
        </w:rPr>
        <w:footnoteReference w:id="7"/>
      </w:r>
    </w:p>
    <w:p w:rsidR="00FD182A" w:rsidRPr="004B4FF0" w:rsidRDefault="004B4FF0" w:rsidP="004B4FF0">
      <w:pPr>
        <w:pStyle w:val="absatzschattenbericht"/>
        <w:ind w:left="284"/>
        <w:rPr>
          <w:rFonts w:eastAsia="Baskerville-SemiBold" w:cs="Baskerville-SemiBold"/>
          <w:bCs/>
          <w:i/>
          <w:iCs/>
          <w:lang w:val="en-GB"/>
        </w:rPr>
      </w:pPr>
      <w:r>
        <w:rPr>
          <w:rFonts w:eastAsia="Baskerville-SemiBold" w:cs="Baskerville-SemiBold"/>
          <w:bCs/>
          <w:i/>
          <w:iCs/>
          <w:lang w:val="en-GB"/>
        </w:rPr>
        <w:t>“</w:t>
      </w:r>
      <w:r w:rsidRPr="008A4C4E">
        <w:rPr>
          <w:rFonts w:eastAsia="Baskerville-SemiBold" w:cs="Baskerville-SemiBold"/>
          <w:b/>
          <w:i/>
          <w:iCs/>
          <w:lang w:val="en-GB"/>
        </w:rPr>
        <w:t xml:space="preserve">Fifty adult patients who had genitoplasty in childhood </w:t>
      </w:r>
      <w:r w:rsidRPr="004B4FF0">
        <w:rPr>
          <w:rFonts w:eastAsia="Baskerville-SemiBold" w:cs="Baskerville-SemiBold"/>
          <w:bCs/>
          <w:i/>
          <w:iCs/>
          <w:lang w:val="en-GB"/>
        </w:rPr>
        <w:t xml:space="preserve">were identified and 9 (18%) agreed to participate in the study (mean age -30.6 years). </w:t>
      </w:r>
      <w:r w:rsidRPr="007B0A7C">
        <w:rPr>
          <w:rFonts w:eastAsia="Baskerville-SemiBold" w:cs="Baskerville-SemiBold"/>
          <w:b/>
          <w:i/>
          <w:iCs/>
          <w:lang w:val="en-GB"/>
        </w:rPr>
        <w:t>Mean age at operation was 5.4 years</w:t>
      </w:r>
      <w:r w:rsidRPr="004B4FF0">
        <w:rPr>
          <w:rFonts w:eastAsia="Baskerville-SemiBold" w:cs="Baskerville-SemiBold"/>
          <w:bCs/>
          <w:i/>
          <w:iCs/>
          <w:lang w:val="en-GB"/>
        </w:rPr>
        <w:t xml:space="preserve"> and mean follow-up was 10.9 years.</w:t>
      </w:r>
      <w:r>
        <w:rPr>
          <w:rFonts w:eastAsia="Baskerville-SemiBold" w:cs="Baskerville-SemiBold"/>
          <w:bCs/>
          <w:i/>
          <w:iCs/>
          <w:lang w:val="en-GB"/>
        </w:rPr>
        <w:t>”</w:t>
      </w:r>
    </w:p>
    <w:p w:rsidR="00FD182A" w:rsidRDefault="007B0A7C" w:rsidP="001435A6">
      <w:pPr>
        <w:pStyle w:val="absatzschattenbericht"/>
        <w:rPr>
          <w:lang w:val="en-GB"/>
        </w:rPr>
      </w:pPr>
      <w:r>
        <w:rPr>
          <w:rFonts w:eastAsia="Baskerville-SemiBold" w:cs="Baskerville-SemiBold"/>
          <w:bCs/>
          <w:lang w:val="en-GB"/>
        </w:rPr>
        <w:t xml:space="preserve">Regarding </w:t>
      </w:r>
      <w:r>
        <w:rPr>
          <w:rFonts w:eastAsia="Baskerville-SemiBold" w:cs="Baskerville-SemiBold"/>
          <w:b/>
          <w:lang w:val="en-GB"/>
        </w:rPr>
        <w:t>IGM 1</w:t>
      </w:r>
      <w:r>
        <w:rPr>
          <w:rFonts w:eastAsia="Baskerville-SemiBold" w:cs="Baskerville-SemiBold"/>
          <w:bCs/>
          <w:lang w:val="en-GB"/>
        </w:rPr>
        <w:t xml:space="preserve">, </w:t>
      </w:r>
      <w:r w:rsidR="00094081">
        <w:rPr>
          <w:lang w:val="en-GB"/>
        </w:rPr>
        <w:t xml:space="preserve">a </w:t>
      </w:r>
      <w:r w:rsidR="00094081">
        <w:rPr>
          <w:b/>
          <w:bCs/>
          <w:lang w:val="en-GB"/>
        </w:rPr>
        <w:t xml:space="preserve">2019 </w:t>
      </w:r>
      <w:r w:rsidR="00094081">
        <w:rPr>
          <w:lang w:val="en-GB"/>
        </w:rPr>
        <w:t xml:space="preserve">medical presentation from the </w:t>
      </w:r>
      <w:r w:rsidR="00094081">
        <w:rPr>
          <w:b/>
          <w:bCs/>
          <w:lang w:val="en-GB"/>
        </w:rPr>
        <w:t>War</w:t>
      </w:r>
      <w:r w:rsidR="00F93230">
        <w:rPr>
          <w:b/>
          <w:bCs/>
          <w:lang w:val="en-GB"/>
        </w:rPr>
        <w:t>saw</w:t>
      </w:r>
      <w:r w:rsidR="00094081" w:rsidRPr="00965449">
        <w:rPr>
          <w:b/>
          <w:bCs/>
          <w:lang w:val="en-GB"/>
        </w:rPr>
        <w:t xml:space="preserve"> Children’s Hospital</w:t>
      </w:r>
      <w:r w:rsidR="00094081">
        <w:rPr>
          <w:lang w:val="en-GB"/>
        </w:rPr>
        <w:t xml:space="preserve"> (“</w:t>
      </w:r>
      <w:r w:rsidR="00F93230" w:rsidRPr="00F93230">
        <w:rPr>
          <w:lang w:val="en-GB"/>
        </w:rPr>
        <w:t>Warszawski Szpital dla Dzieci SPZOZ</w:t>
      </w:r>
      <w:r w:rsidR="00094081">
        <w:rPr>
          <w:lang w:val="en-GB"/>
        </w:rPr>
        <w:t>”) states:</w:t>
      </w:r>
      <w:r w:rsidR="00094081" w:rsidRPr="00580F61">
        <w:rPr>
          <w:rStyle w:val="FootnoteReference"/>
          <w:rFonts w:eastAsia="Times New Roman"/>
          <w:lang w:val="en-GB" w:eastAsia="hi-IN"/>
        </w:rPr>
        <w:footnoteReference w:id="8"/>
      </w:r>
    </w:p>
    <w:p w:rsidR="00F93230" w:rsidRDefault="00F93230" w:rsidP="00EC1A8C">
      <w:pPr>
        <w:pStyle w:val="absatzschattenbericht"/>
        <w:ind w:left="284"/>
        <w:rPr>
          <w:rFonts w:eastAsia="Baskerville-SemiBold" w:cs="Baskerville-SemiBold"/>
          <w:bCs/>
          <w:i/>
          <w:iCs/>
          <w:lang w:val="en-GB"/>
        </w:rPr>
      </w:pPr>
      <w:r>
        <w:rPr>
          <w:rFonts w:eastAsia="Baskerville-SemiBold" w:cs="Baskerville-SemiBold"/>
          <w:bCs/>
          <w:i/>
          <w:iCs/>
          <w:lang w:val="en-GB"/>
        </w:rPr>
        <w:t>“</w:t>
      </w:r>
      <w:r w:rsidRPr="00F93230">
        <w:rPr>
          <w:rFonts w:eastAsia="Baskerville-SemiBold" w:cs="Baskerville-SemiBold"/>
          <w:bCs/>
          <w:i/>
          <w:iCs/>
          <w:lang w:val="en-GB"/>
        </w:rPr>
        <w:t>The aim of the hypospadias repair is to restore the normal appearance of the penis.</w:t>
      </w:r>
      <w:r>
        <w:rPr>
          <w:rFonts w:eastAsia="Baskerville-SemiBold" w:cs="Baskerville-SemiBold"/>
          <w:bCs/>
          <w:i/>
          <w:iCs/>
          <w:lang w:val="en-GB"/>
        </w:rPr>
        <w:t xml:space="preserve"> […] </w:t>
      </w:r>
      <w:r w:rsidRPr="00F93230">
        <w:rPr>
          <w:rFonts w:eastAsia="Baskerville-SemiBold" w:cs="Baskerville-SemiBold"/>
          <w:bCs/>
          <w:i/>
          <w:iCs/>
          <w:lang w:val="en-GB"/>
        </w:rPr>
        <w:t xml:space="preserve">A </w:t>
      </w:r>
      <w:r w:rsidRPr="00285912">
        <w:rPr>
          <w:rFonts w:eastAsia="Baskerville-SemiBold" w:cs="Baskerville-SemiBold"/>
          <w:b/>
          <w:i/>
          <w:iCs/>
          <w:lang w:val="en-GB"/>
        </w:rPr>
        <w:t>total number of 562 boys aged from 6 months to 12 years underwent one-stage hypospadias repair</w:t>
      </w:r>
      <w:r w:rsidRPr="00F93230">
        <w:rPr>
          <w:rFonts w:eastAsia="Baskerville-SemiBold" w:cs="Baskerville-SemiBold"/>
          <w:bCs/>
          <w:i/>
          <w:iCs/>
          <w:lang w:val="en-GB"/>
        </w:rPr>
        <w:t xml:space="preserve"> with full foreskin reconstruction. TIP, Thiersch-Duplay, Mathieu and Beck procedures were used in 454</w:t>
      </w:r>
      <w:r w:rsidR="00285912">
        <w:rPr>
          <w:rFonts w:eastAsia="Baskerville-SemiBold" w:cs="Baskerville-SemiBold"/>
          <w:bCs/>
          <w:i/>
          <w:iCs/>
          <w:lang w:val="en-GB"/>
        </w:rPr>
        <w:t>[,]</w:t>
      </w:r>
      <w:r w:rsidRPr="00F93230">
        <w:rPr>
          <w:rFonts w:eastAsia="Baskerville-SemiBold" w:cs="Baskerville-SemiBold"/>
          <w:bCs/>
          <w:i/>
          <w:iCs/>
          <w:lang w:val="en-GB"/>
        </w:rPr>
        <w:t xml:space="preserve"> 88, 6 and 14 cases respectively.</w:t>
      </w:r>
      <w:r>
        <w:rPr>
          <w:rFonts w:eastAsia="Baskerville-SemiBold" w:cs="Baskerville-SemiBold"/>
          <w:bCs/>
          <w:i/>
          <w:iCs/>
          <w:lang w:val="en-GB"/>
        </w:rPr>
        <w:t xml:space="preserve"> […]</w:t>
      </w:r>
      <w:r w:rsidR="004F05E8">
        <w:rPr>
          <w:rFonts w:eastAsia="Baskerville-SemiBold" w:cs="Baskerville-SemiBold"/>
          <w:bCs/>
          <w:i/>
          <w:iCs/>
          <w:lang w:val="en-GB"/>
        </w:rPr>
        <w:t xml:space="preserve"> </w:t>
      </w:r>
      <w:r w:rsidR="004F05E8" w:rsidRPr="004F05E8">
        <w:rPr>
          <w:rFonts w:eastAsia="Baskerville-SemiBold" w:cs="Baskerville-SemiBold"/>
          <w:bCs/>
          <w:i/>
          <w:iCs/>
          <w:lang w:val="en-GB"/>
        </w:rPr>
        <w:t>distal hypospadias may be regarded as mostly cosmetic defect</w:t>
      </w:r>
      <w:r w:rsidR="004F05E8">
        <w:rPr>
          <w:rFonts w:eastAsia="Baskerville-SemiBold" w:cs="Baskerville-SemiBold"/>
          <w:bCs/>
          <w:i/>
          <w:iCs/>
          <w:lang w:val="en-GB"/>
        </w:rPr>
        <w:t xml:space="preserve"> […].”</w:t>
      </w:r>
    </w:p>
    <w:p w:rsidR="00703EDA" w:rsidRPr="00C37D6B" w:rsidRDefault="00EC1A8C" w:rsidP="00C37D6B">
      <w:pPr>
        <w:pStyle w:val="absatzschattenbericht"/>
        <w:rPr>
          <w:lang w:val="en-GB"/>
        </w:rPr>
      </w:pPr>
      <w:r>
        <w:rPr>
          <w:lang w:val="en-GB"/>
        </w:rPr>
        <w:t xml:space="preserve">Further, </w:t>
      </w:r>
      <w:r w:rsidR="001D4BD6">
        <w:rPr>
          <w:lang w:val="en-GB"/>
        </w:rPr>
        <w:t xml:space="preserve">Polish University Hospitals </w:t>
      </w:r>
      <w:r w:rsidR="00731133">
        <w:rPr>
          <w:lang w:val="en-GB"/>
        </w:rPr>
        <w:t xml:space="preserve">participate in </w:t>
      </w:r>
      <w:r w:rsidR="00731133" w:rsidRPr="00C60485">
        <w:rPr>
          <w:b/>
          <w:bCs/>
          <w:lang w:val="en-GB"/>
        </w:rPr>
        <w:t>international medical networks promoting IGM practices</w:t>
      </w:r>
      <w:r w:rsidR="00731133">
        <w:rPr>
          <w:lang w:val="en-GB"/>
        </w:rPr>
        <w:t xml:space="preserve">. Namely, the </w:t>
      </w:r>
      <w:r w:rsidR="00731133" w:rsidRPr="00731133">
        <w:rPr>
          <w:b/>
          <w:bCs/>
          <w:lang w:val="en-GB"/>
        </w:rPr>
        <w:t>Medical University of Gdańsk</w:t>
      </w:r>
      <w:r w:rsidR="00731133">
        <w:rPr>
          <w:lang w:val="en-GB"/>
        </w:rPr>
        <w:t xml:space="preserve"> (“</w:t>
      </w:r>
      <w:r w:rsidR="00731133" w:rsidRPr="00731133">
        <w:rPr>
          <w:lang w:val="en-GB"/>
        </w:rPr>
        <w:t>Gdański Uniwersytet Medyczny</w:t>
      </w:r>
      <w:r w:rsidR="00731133">
        <w:rPr>
          <w:lang w:val="en-GB"/>
        </w:rPr>
        <w:t xml:space="preserve">”) participates in the European Union </w:t>
      </w:r>
      <w:r w:rsidR="00731133" w:rsidRPr="00FB43F3">
        <w:rPr>
          <w:b/>
          <w:bCs/>
          <w:lang w:val="en-GB"/>
        </w:rPr>
        <w:t>“Network Urogenital Diseases”</w:t>
      </w:r>
      <w:r w:rsidR="00731133" w:rsidRPr="00731133">
        <w:rPr>
          <w:lang w:val="en-GB"/>
        </w:rPr>
        <w:t xml:space="preserve"> a.k.a. </w:t>
      </w:r>
      <w:r w:rsidR="00731133" w:rsidRPr="00FB43F3">
        <w:rPr>
          <w:b/>
          <w:bCs/>
          <w:lang w:val="en-GB"/>
        </w:rPr>
        <w:t>“eUROGEN”</w:t>
      </w:r>
      <w:r w:rsidR="00731133">
        <w:rPr>
          <w:lang w:val="en-GB"/>
        </w:rPr>
        <w:t xml:space="preserve">, </w:t>
      </w:r>
      <w:r w:rsidR="00595D79">
        <w:rPr>
          <w:lang w:val="en-GB"/>
        </w:rPr>
        <w:t xml:space="preserve">listing as </w:t>
      </w:r>
      <w:r w:rsidR="00595D79" w:rsidRPr="00595D79">
        <w:rPr>
          <w:i/>
          <w:iCs/>
          <w:lang w:val="en-GB"/>
        </w:rPr>
        <w:t xml:space="preserve">“Thematic areas of expertise: </w:t>
      </w:r>
      <w:r w:rsidR="00595D79" w:rsidRPr="00FB43F3">
        <w:rPr>
          <w:b/>
          <w:bCs/>
          <w:i/>
          <w:iCs/>
          <w:lang w:val="en-GB"/>
        </w:rPr>
        <w:t>Complex genital reconstructions (DSDs)</w:t>
      </w:r>
      <w:r w:rsidR="00595D79" w:rsidRPr="00595D79">
        <w:rPr>
          <w:i/>
          <w:iCs/>
          <w:lang w:val="en-GB"/>
        </w:rPr>
        <w:t xml:space="preserve"> […] </w:t>
      </w:r>
      <w:r w:rsidR="00595D79" w:rsidRPr="00FB43F3">
        <w:rPr>
          <w:b/>
          <w:bCs/>
          <w:i/>
          <w:iCs/>
          <w:lang w:val="en-GB"/>
        </w:rPr>
        <w:t>Posterior hypospadias”</w:t>
      </w:r>
      <w:r w:rsidR="00595D79">
        <w:rPr>
          <w:lang w:val="en-GB"/>
        </w:rPr>
        <w:t>.</w:t>
      </w:r>
      <w:r w:rsidR="00FB43F3" w:rsidRPr="00580F61">
        <w:rPr>
          <w:rStyle w:val="FootnoteReference"/>
          <w:rFonts w:eastAsia="Times New Roman"/>
          <w:lang w:val="en-GB" w:eastAsia="hi-IN"/>
        </w:rPr>
        <w:footnoteReference w:id="9"/>
      </w:r>
      <w:r w:rsidR="00595D79">
        <w:rPr>
          <w:lang w:val="en-GB"/>
        </w:rPr>
        <w:t xml:space="preserve"> </w:t>
      </w:r>
      <w:r w:rsidR="00F44879">
        <w:rPr>
          <w:lang w:val="en-GB"/>
        </w:rPr>
        <w:t xml:space="preserve">Also, the </w:t>
      </w:r>
      <w:r w:rsidR="00F44879" w:rsidRPr="009865BA">
        <w:rPr>
          <w:b/>
          <w:bCs/>
          <w:lang w:val="en-GB"/>
        </w:rPr>
        <w:t>Medical University of Lodz</w:t>
      </w:r>
      <w:r w:rsidR="00F44879">
        <w:rPr>
          <w:lang w:val="en-GB"/>
        </w:rPr>
        <w:t xml:space="preserve"> (“</w:t>
      </w:r>
      <w:r w:rsidR="00852272" w:rsidRPr="00852272">
        <w:rPr>
          <w:lang w:val="en-GB"/>
        </w:rPr>
        <w:t>Uniwersytet Medyczny w Łodzi</w:t>
      </w:r>
      <w:r w:rsidR="00F44879">
        <w:rPr>
          <w:lang w:val="en-GB"/>
        </w:rPr>
        <w:t>”)</w:t>
      </w:r>
      <w:r w:rsidR="00F02666" w:rsidRPr="00580F61">
        <w:rPr>
          <w:rStyle w:val="FootnoteReference"/>
          <w:rFonts w:eastAsia="Times New Roman"/>
          <w:lang w:val="en-GB" w:eastAsia="hi-IN"/>
        </w:rPr>
        <w:footnoteReference w:id="10"/>
      </w:r>
      <w:r w:rsidR="00F44879">
        <w:rPr>
          <w:lang w:val="en-GB"/>
        </w:rPr>
        <w:t xml:space="preserve"> and the </w:t>
      </w:r>
      <w:r w:rsidR="00F44879" w:rsidRPr="009865BA">
        <w:rPr>
          <w:b/>
          <w:bCs/>
          <w:lang w:val="en-GB"/>
        </w:rPr>
        <w:t>Warsaw Children’s Memorial Health Institute (IPCZD)</w:t>
      </w:r>
      <w:r w:rsidR="00F44879" w:rsidRPr="00F44879">
        <w:rPr>
          <w:lang w:val="en-GB"/>
        </w:rPr>
        <w:t xml:space="preserve"> </w:t>
      </w:r>
      <w:r w:rsidR="00F44879">
        <w:rPr>
          <w:lang w:val="en-GB"/>
        </w:rPr>
        <w:t>(</w:t>
      </w:r>
      <w:r w:rsidR="00F02666">
        <w:rPr>
          <w:lang w:val="en-GB"/>
        </w:rPr>
        <w:t>“I</w:t>
      </w:r>
      <w:r w:rsidR="00F02666" w:rsidRPr="00F02666">
        <w:rPr>
          <w:lang w:val="en-GB"/>
        </w:rPr>
        <w:t xml:space="preserve">nstytut </w:t>
      </w:r>
      <w:r w:rsidR="00F02666">
        <w:rPr>
          <w:lang w:val="en-GB"/>
        </w:rPr>
        <w:t>‘</w:t>
      </w:r>
      <w:r w:rsidR="00F02666" w:rsidRPr="00F02666">
        <w:rPr>
          <w:lang w:val="en-GB"/>
        </w:rPr>
        <w:t>Pomnik-Centrum Zdrowia Dziecka</w:t>
      </w:r>
      <w:r w:rsidR="00F02666">
        <w:rPr>
          <w:lang w:val="en-GB"/>
        </w:rPr>
        <w:t>’”</w:t>
      </w:r>
      <w:r w:rsidR="00F44879">
        <w:rPr>
          <w:lang w:val="en-GB"/>
        </w:rPr>
        <w:t>)</w:t>
      </w:r>
      <w:r w:rsidR="00F02666" w:rsidRPr="00580F61">
        <w:rPr>
          <w:rStyle w:val="FootnoteReference"/>
          <w:rFonts w:eastAsia="Times New Roman"/>
          <w:lang w:val="en-GB" w:eastAsia="hi-IN"/>
        </w:rPr>
        <w:footnoteReference w:id="11"/>
      </w:r>
      <w:r w:rsidR="00F44879">
        <w:rPr>
          <w:lang w:val="en-GB"/>
        </w:rPr>
        <w:t xml:space="preserve"> participate in the EU study group </w:t>
      </w:r>
      <w:r w:rsidR="00F44879" w:rsidRPr="00C60485">
        <w:rPr>
          <w:b/>
          <w:bCs/>
          <w:lang w:val="en-GB"/>
        </w:rPr>
        <w:t>“dsd-LIFE”</w:t>
      </w:r>
      <w:r w:rsidR="00F44879">
        <w:rPr>
          <w:lang w:val="en-GB"/>
        </w:rPr>
        <w:t xml:space="preserve"> specialising in </w:t>
      </w:r>
      <w:r w:rsidR="00F44879" w:rsidRPr="00F52381">
        <w:rPr>
          <w:i/>
          <w:iCs/>
          <w:lang w:val="en-GB"/>
        </w:rPr>
        <w:t>“disorders in sex development (DSD)”</w:t>
      </w:r>
      <w:r w:rsidR="007867EB">
        <w:rPr>
          <w:lang w:val="en-GB"/>
        </w:rPr>
        <w:t>.</w:t>
      </w:r>
      <w:bookmarkEnd w:id="3"/>
      <w:bookmarkEnd w:id="4"/>
    </w:p>
    <w:sectPr w:rsidR="00703EDA" w:rsidRPr="00C37D6B" w:rsidSect="00FC2867">
      <w:head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637" w:rsidRDefault="00285637" w:rsidP="005541D9">
      <w:pPr>
        <w:spacing w:after="0" w:line="240" w:lineRule="auto"/>
      </w:pPr>
      <w:r>
        <w:separator/>
      </w:r>
    </w:p>
  </w:endnote>
  <w:endnote w:type="continuationSeparator" w:id="0">
    <w:p w:rsidR="00285637" w:rsidRDefault="00285637" w:rsidP="00554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Baskerville">
    <w:altName w:val="Cambria Math"/>
    <w:charset w:val="00"/>
    <w:family w:val="roman"/>
    <w:pitch w:val="variable"/>
    <w:sig w:usb0="00000001" w:usb1="02000000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Helvetica"/>
    <w:charset w:val="00"/>
    <w:family w:val="auto"/>
    <w:pitch w:val="variable"/>
    <w:sig w:usb0="00000001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-SemiBold">
    <w:altName w:val="MS Mincho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1EF" w:rsidRDefault="00E561EF" w:rsidP="003E391D">
    <w:pPr>
      <w:spacing w:after="0" w:line="240" w:lineRule="auto"/>
      <w:jc w:val="right"/>
      <w:rPr>
        <w:rFonts w:ascii="Century Gothic" w:hAnsi="Century Gothic" w:cs="Century Gothic"/>
        <w:color w:val="660066"/>
        <w:sz w:val="24"/>
      </w:rPr>
    </w:pPr>
  </w:p>
  <w:p w:rsidR="00E561EF" w:rsidRDefault="00E561EF" w:rsidP="003E391D">
    <w:pPr>
      <w:spacing w:after="0" w:line="240" w:lineRule="auto"/>
      <w:jc w:val="right"/>
      <w:rPr>
        <w:rFonts w:ascii="Century Gothic" w:hAnsi="Century Gothic" w:cs="Century Gothic"/>
        <w:color w:val="660066"/>
        <w:sz w:val="24"/>
      </w:rPr>
    </w:pPr>
    <w:r>
      <w:rPr>
        <w:rFonts w:ascii="Century Gothic" w:hAnsi="Century Gothic" w:cs="Century Gothic"/>
        <w:color w:val="660066"/>
        <w:sz w:val="24"/>
      </w:rPr>
      <w:t xml:space="preserve">c/o Zwischengeschlecht.org ·  P.O.Box </w:t>
    </w:r>
    <w:r w:rsidR="00767323">
      <w:rPr>
        <w:rFonts w:ascii="Century Gothic" w:hAnsi="Century Gothic" w:cs="Century Gothic"/>
        <w:color w:val="660066"/>
        <w:sz w:val="24"/>
      </w:rPr>
      <w:t>1318</w:t>
    </w:r>
    <w:r>
      <w:rPr>
        <w:rFonts w:ascii="Century Gothic" w:hAnsi="Century Gothic" w:cs="Century Gothic"/>
        <w:color w:val="660066"/>
        <w:sz w:val="24"/>
      </w:rPr>
      <w:t xml:space="preserve"> ·  CH-8031 Zurich ·  Switzerland</w:t>
    </w:r>
  </w:p>
  <w:p w:rsidR="00E561EF" w:rsidRDefault="00E561EF" w:rsidP="003E391D">
    <w:pPr>
      <w:spacing w:after="0" w:line="240" w:lineRule="auto"/>
      <w:jc w:val="right"/>
      <w:rPr>
        <w:rFonts w:ascii="Century Gothic" w:hAnsi="Century Gothic" w:cs="Century Gothic"/>
        <w:color w:val="660066"/>
        <w:sz w:val="24"/>
      </w:rPr>
    </w:pPr>
    <w:r>
      <w:rPr>
        <w:rFonts w:ascii="Century Gothic" w:hAnsi="Century Gothic" w:cs="Century Gothic"/>
        <w:color w:val="660066"/>
        <w:sz w:val="24"/>
      </w:rPr>
      <w:t>info@zwischengeschlecht.org</w:t>
    </w:r>
  </w:p>
  <w:p w:rsidR="00E561EF" w:rsidRPr="003E391D" w:rsidRDefault="00E561EF" w:rsidP="003E391D">
    <w:pPr>
      <w:spacing w:after="0" w:line="240" w:lineRule="auto"/>
      <w:jc w:val="right"/>
    </w:pPr>
    <w:r>
      <w:rPr>
        <w:rFonts w:ascii="Century Gothic" w:hAnsi="Century Gothic" w:cs="Century Gothic"/>
        <w:color w:val="660066"/>
        <w:sz w:val="24"/>
      </w:rPr>
      <w:t>Mobile +41 76 398 06 50 ·  http</w:t>
    </w:r>
    <w:r w:rsidR="00DB36FA">
      <w:rPr>
        <w:rFonts w:ascii="Century Gothic" w:hAnsi="Century Gothic" w:cs="Century Gothic"/>
        <w:color w:val="660066"/>
        <w:sz w:val="24"/>
      </w:rPr>
      <w:t>s</w:t>
    </w:r>
    <w:r>
      <w:rPr>
        <w:rFonts w:ascii="Century Gothic" w:hAnsi="Century Gothic" w:cs="Century Gothic"/>
        <w:color w:val="660066"/>
        <w:sz w:val="24"/>
      </w:rPr>
      <w:t>://</w:t>
    </w:r>
    <w:r w:rsidR="00DB36FA">
      <w:rPr>
        <w:rFonts w:ascii="Century Gothic" w:hAnsi="Century Gothic" w:cs="Century Gothic"/>
        <w:color w:val="660066"/>
        <w:sz w:val="24"/>
      </w:rPr>
      <w:t>s</w:t>
    </w:r>
    <w:r>
      <w:rPr>
        <w:rFonts w:ascii="Century Gothic" w:hAnsi="Century Gothic" w:cs="Century Gothic"/>
        <w:color w:val="660066"/>
        <w:sz w:val="24"/>
      </w:rPr>
      <w:t>to</w:t>
    </w:r>
    <w:r w:rsidR="00DB36FA">
      <w:rPr>
        <w:rFonts w:ascii="Century Gothic" w:hAnsi="Century Gothic" w:cs="Century Gothic"/>
        <w:color w:val="660066"/>
        <w:sz w:val="24"/>
      </w:rPr>
      <w:t>pigm</w:t>
    </w:r>
    <w:r>
      <w:rPr>
        <w:rFonts w:ascii="Century Gothic" w:hAnsi="Century Gothic" w:cs="Century Gothic"/>
        <w:color w:val="660066"/>
        <w:sz w:val="24"/>
      </w:rPr>
      <w:t>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637" w:rsidRDefault="00285637" w:rsidP="005541D9">
      <w:pPr>
        <w:spacing w:after="0" w:line="240" w:lineRule="auto"/>
      </w:pPr>
      <w:r>
        <w:separator/>
      </w:r>
    </w:p>
  </w:footnote>
  <w:footnote w:type="continuationSeparator" w:id="0">
    <w:p w:rsidR="00285637" w:rsidRDefault="00285637" w:rsidP="005541D9">
      <w:pPr>
        <w:spacing w:after="0" w:line="240" w:lineRule="auto"/>
      </w:pPr>
      <w:r>
        <w:continuationSeparator/>
      </w:r>
    </w:p>
  </w:footnote>
  <w:footnote w:id="1">
    <w:p w:rsidR="00FD182A" w:rsidRPr="00C153F5" w:rsidRDefault="00FD182A" w:rsidP="00FD182A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C153F5">
        <w:tab/>
      </w:r>
      <w:hyperlink r:id="rId1" w:history="1">
        <w:r w:rsidRPr="00530BE6">
          <w:rPr>
            <w:rStyle w:val="Hyperlink"/>
          </w:rPr>
          <w:t>https://uroweb.org/guidelines/endorsement/</w:t>
        </w:r>
      </w:hyperlink>
      <w:r>
        <w:t xml:space="preserve"> </w:t>
      </w:r>
    </w:p>
  </w:footnote>
  <w:footnote w:id="2">
    <w:p w:rsidR="00FD182A" w:rsidRPr="00C153F5" w:rsidRDefault="00FD182A" w:rsidP="00FD182A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C153F5">
        <w:tab/>
      </w:r>
      <w:hyperlink r:id="rId2" w:history="1">
        <w:r w:rsidRPr="00530BE6">
          <w:rPr>
            <w:rStyle w:val="Hyperlink"/>
          </w:rPr>
          <w:t>https://uroweb.org/wp-content/uploads/EAU-Guidelines-on-Paediatric-Urology-2021-1.pdf</w:t>
        </w:r>
      </w:hyperlink>
      <w:r>
        <w:t xml:space="preserve"> </w:t>
      </w:r>
    </w:p>
  </w:footnote>
  <w:footnote w:id="3">
    <w:p w:rsidR="00B16A70" w:rsidRPr="00F02D0B" w:rsidRDefault="00B16A70" w:rsidP="00B16A70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  <w:t xml:space="preserve">For details and relevant quotes, see </w:t>
      </w:r>
      <w:r>
        <w:t>2020</w:t>
      </w:r>
      <w:r w:rsidRPr="00F02D0B">
        <w:t xml:space="preserve"> CRC </w:t>
      </w:r>
      <w:r>
        <w:t>Czechia</w:t>
      </w:r>
      <w:r w:rsidRPr="00F02D0B">
        <w:t xml:space="preserve"> NGO Report</w:t>
      </w:r>
      <w:r>
        <w:t xml:space="preserve"> (for Session)</w:t>
      </w:r>
      <w:r w:rsidRPr="00F02D0B">
        <w:t xml:space="preserve">, p. </w:t>
      </w:r>
      <w:r>
        <w:t>7-8</w:t>
      </w:r>
      <w:r w:rsidRPr="00F02D0B">
        <w:t xml:space="preserve">, </w:t>
      </w:r>
    </w:p>
    <w:p w:rsidR="00B16A70" w:rsidRPr="00F02D0B" w:rsidRDefault="007F6A0C" w:rsidP="00B16A70">
      <w:pPr>
        <w:pStyle w:val="fussnoteschattenbericht"/>
        <w:ind w:firstLine="0"/>
      </w:pPr>
      <w:hyperlink r:id="rId3" w:history="1">
        <w:r w:rsidR="00B16A70" w:rsidRPr="005A5CE1">
          <w:rPr>
            <w:rStyle w:val="Hyperlink"/>
          </w:rPr>
          <w:t>http://intersex.shadowreport.org/public/2020-CRC-Czechia-NGO-Zwischengeschlecht-Intersex-IGM.pdf</w:t>
        </w:r>
      </w:hyperlink>
      <w:r w:rsidR="00B16A70">
        <w:t xml:space="preserve"> </w:t>
      </w:r>
    </w:p>
  </w:footnote>
  <w:footnote w:id="4">
    <w:p w:rsidR="00B16A70" w:rsidRPr="00F02D0B" w:rsidRDefault="00B16A70" w:rsidP="00B16A70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  <w:t>For details and relevant quotes, see ibid., p. 10</w:t>
      </w:r>
    </w:p>
  </w:footnote>
  <w:footnote w:id="5">
    <w:p w:rsidR="00B16A70" w:rsidRPr="00F02D0B" w:rsidRDefault="00B16A70" w:rsidP="00B16A70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F02D0B">
        <w:t xml:space="preserve"> </w:t>
      </w:r>
      <w:r w:rsidRPr="00F02D0B">
        <w:tab/>
        <w:t>For details and relevant quotes, see ibid., p. 1</w:t>
      </w:r>
      <w:r>
        <w:t>2</w:t>
      </w:r>
    </w:p>
  </w:footnote>
  <w:footnote w:id="6">
    <w:p w:rsidR="00965449" w:rsidRPr="00F02D0B" w:rsidRDefault="00965449" w:rsidP="00965449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</w:r>
      <w:r w:rsidRPr="00965449">
        <w:t xml:space="preserve">Michal Wolnicki, PhD, Janusz Sulislawski, MD, Barbara Dobrowolska-Glazar, PhD, Ireneneusz Honkisz, MD (2016), P105 DISORDERS OF SEX DEVELOPMENT - LAPAROSCOPY MANAGEMENT IN PATIENTS WITH DIFFERENT TYPE OF DSD DISORDERS, IPEG 2016, p. 102, </w:t>
      </w:r>
      <w:r>
        <w:br/>
      </w:r>
      <w:hyperlink r:id="rId4" w:history="1">
        <w:r w:rsidR="004B4FF0" w:rsidRPr="005A5CE1">
          <w:rPr>
            <w:rStyle w:val="Hyperlink"/>
          </w:rPr>
          <w:t>https://www.ipeg.org/wp-content/uploads/2013/08/IPEG2016_FinalProgram_FINALWEBLONG.pdf</w:t>
        </w:r>
      </w:hyperlink>
      <w:r>
        <w:t xml:space="preserve"> </w:t>
      </w:r>
    </w:p>
  </w:footnote>
  <w:footnote w:id="7">
    <w:p w:rsidR="004B4FF0" w:rsidRPr="00F02D0B" w:rsidRDefault="004B4FF0" w:rsidP="004B4FF0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</w:r>
      <w:r w:rsidR="007B0A7C" w:rsidRPr="007B0A7C">
        <w:t xml:space="preserve">Barbara DOBROWOLSKA-GLAZAR, Anna GUZIK, Ireneusz HONKISZ, Janusz SULISŁAWSKI, Katarzyna TYRAWA, Michał WOLNICKI, Rafał CHRZAN (2019), </w:t>
      </w:r>
      <w:r w:rsidR="00DE0167" w:rsidRPr="00DE0167">
        <w:t>S9-1 (LO)</w:t>
      </w:r>
      <w:r w:rsidR="00DE0167">
        <w:t xml:space="preserve">: </w:t>
      </w:r>
      <w:r w:rsidR="007B0A7C" w:rsidRPr="007B0A7C">
        <w:t xml:space="preserve">SEXUAL FUNCTION AND QUALITY OF LIFE IN ADULT PATIENTS WITH CONGENITAL ADRENAL HYPERPLASIA, ESPU 2019, </w:t>
      </w:r>
      <w:hyperlink r:id="rId5" w:history="1">
        <w:r w:rsidR="007B0A7C" w:rsidRPr="005A5CE1">
          <w:rPr>
            <w:rStyle w:val="Hyperlink"/>
          </w:rPr>
          <w:t>https://www.espu.org/olas/abstract_view.php?mid=16&amp;sid=9poland-saudi-arabia-spain_30th%20ESPU%20Congress%20-%20Lyon,%20France%20-%202019%20-%20S9/%20DSD.pdf</w:t>
        </w:r>
      </w:hyperlink>
      <w:r w:rsidR="007B0A7C">
        <w:t xml:space="preserve"> </w:t>
      </w:r>
      <w:r>
        <w:t xml:space="preserve"> </w:t>
      </w:r>
    </w:p>
  </w:footnote>
  <w:footnote w:id="8">
    <w:p w:rsidR="00094081" w:rsidRPr="00F02D0B" w:rsidRDefault="00094081" w:rsidP="00094081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</w:r>
      <w:r w:rsidR="00992E5F" w:rsidRPr="00992E5F">
        <w:t xml:space="preserve">Jerzy CZYŻ (2019), VD-19: PREPUTIAL RECONSTRUCTION IN DISTAL HYPOSPADIAS REPAIR - A NEW TECHNIQUE, ESPU 2019, </w:t>
      </w:r>
      <w:hyperlink r:id="rId6" w:history="1">
        <w:r w:rsidR="00992E5F" w:rsidRPr="00C37D6B">
          <w:rPr>
            <w:rStyle w:val="Hyperlink"/>
            <w:sz w:val="17"/>
            <w:szCs w:val="17"/>
          </w:rPr>
          <w:t>https://www.espu.org/olas/abstract_view.php?mid=16&amp;sid=29poland-usa-hypospadias_30th%20ESPU%20Congress%20-%20Lyon,%20France%20-%202019%20-%20VD/%20VIDEO%20DISPLAY.pdf</w:t>
        </w:r>
      </w:hyperlink>
      <w:r w:rsidR="00992E5F">
        <w:t xml:space="preserve"> </w:t>
      </w:r>
    </w:p>
  </w:footnote>
  <w:footnote w:id="9">
    <w:p w:rsidR="00FB43F3" w:rsidRPr="00F02D0B" w:rsidRDefault="00FB43F3" w:rsidP="00FB43F3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</w:r>
      <w:hyperlink r:id="rId7" w:history="1">
        <w:r w:rsidRPr="005A5CE1">
          <w:rPr>
            <w:rStyle w:val="Hyperlink"/>
          </w:rPr>
          <w:t>https://eurogen-ern.eu/our-members/full-members/</w:t>
        </w:r>
      </w:hyperlink>
      <w:r>
        <w:t xml:space="preserve"> </w:t>
      </w:r>
      <w:r w:rsidR="002B41B5">
        <w:br/>
      </w:r>
      <w:r>
        <w:t xml:space="preserve">See also </w:t>
      </w:r>
      <w:r w:rsidRPr="00FB43F3">
        <w:t>Open Letter of Concern to 6th I-DSD 2017,</w:t>
      </w:r>
      <w:r>
        <w:t xml:space="preserve"> </w:t>
      </w:r>
      <w:r w:rsidRPr="00FB43F3">
        <w:t>DSDnet, eUROGEN, Endo-ERN, DSD-Life and Affiliates</w:t>
      </w:r>
      <w:r>
        <w:t xml:space="preserve">, </w:t>
      </w:r>
      <w:hyperlink r:id="rId8" w:history="1">
        <w:r w:rsidR="00F44879" w:rsidRPr="005A5CE1">
          <w:rPr>
            <w:rStyle w:val="Hyperlink"/>
          </w:rPr>
          <w:t>https://stopigm.org/public/Open_Letter_I-DSD_Copenhagen_2017.pdf</w:t>
        </w:r>
      </w:hyperlink>
      <w:r>
        <w:t xml:space="preserve"> </w:t>
      </w:r>
    </w:p>
  </w:footnote>
  <w:footnote w:id="10">
    <w:p w:rsidR="00F02666" w:rsidRPr="00F02D0B" w:rsidRDefault="00F02666" w:rsidP="00F02666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</w:r>
      <w:hyperlink r:id="rId9" w:history="1">
        <w:r w:rsidR="00852272" w:rsidRPr="005A5CE1">
          <w:rPr>
            <w:rStyle w:val="Hyperlink"/>
          </w:rPr>
          <w:t>https://www.dsd-life.eu/the-group/consortium/medical-university-of-lodz/index.html</w:t>
        </w:r>
      </w:hyperlink>
      <w:r w:rsidR="00852272">
        <w:t xml:space="preserve"> </w:t>
      </w:r>
    </w:p>
  </w:footnote>
  <w:footnote w:id="11">
    <w:p w:rsidR="00F02666" w:rsidRPr="00F02D0B" w:rsidRDefault="00F02666" w:rsidP="00F02666">
      <w:pPr>
        <w:pStyle w:val="fussnoteschattenbericht"/>
      </w:pPr>
      <w:r w:rsidRPr="00BA5637">
        <w:rPr>
          <w:rStyle w:val="FootnoteReference"/>
          <w:vertAlign w:val="baseline"/>
        </w:rPr>
        <w:footnoteRef/>
      </w:r>
      <w:r w:rsidRPr="00BA5637">
        <w:rPr>
          <w:rStyle w:val="FootnoteReference"/>
          <w:vertAlign w:val="baseline"/>
        </w:rPr>
        <w:t xml:space="preserve"> </w:t>
      </w:r>
      <w:r w:rsidRPr="00F02D0B">
        <w:tab/>
      </w:r>
      <w:hyperlink r:id="rId10" w:history="1">
        <w:r w:rsidR="00852272" w:rsidRPr="005A5CE1">
          <w:rPr>
            <w:rStyle w:val="Hyperlink"/>
          </w:rPr>
          <w:t>https://www.dsd-life.eu/the-group/consortium/childrens-memorial-health-institute/index.html</w:t>
        </w:r>
      </w:hyperlink>
      <w:r w:rsidR="00852272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1EF" w:rsidRPr="00F74BE8" w:rsidRDefault="00E561EF" w:rsidP="00F74BE8">
    <w:pPr>
      <w:spacing w:after="0" w:line="240" w:lineRule="auto"/>
      <w:jc w:val="right"/>
      <w:rPr>
        <w:rFonts w:ascii="Century Gothic" w:hAnsi="Century Gothic" w:cs="Century Gothic"/>
        <w:color w:val="660066"/>
        <w:sz w:val="24"/>
      </w:rPr>
    </w:pPr>
    <w:r w:rsidRPr="007A5C86">
      <w:rPr>
        <w:rFonts w:ascii="Century Gothic" w:hAnsi="Century Gothic" w:cs="Century Gothic"/>
        <w:color w:val="660066"/>
        <w:sz w:val="24"/>
      </w:rPr>
      <w:fldChar w:fldCharType="begin"/>
    </w:r>
    <w:r>
      <w:rPr>
        <w:rFonts w:ascii="Century Gothic" w:hAnsi="Century Gothic" w:cs="Century Gothic"/>
        <w:color w:val="660066"/>
        <w:sz w:val="24"/>
      </w:rPr>
      <w:instrText>PAGE</w:instrText>
    </w:r>
    <w:r w:rsidRPr="007A5C86">
      <w:rPr>
        <w:rFonts w:ascii="Century Gothic" w:hAnsi="Century Gothic" w:cs="Century Gothic"/>
        <w:color w:val="660066"/>
        <w:sz w:val="24"/>
      </w:rPr>
      <w:instrText xml:space="preserve">   \* MERGEFORMAT</w:instrText>
    </w:r>
    <w:r w:rsidRPr="007A5C86">
      <w:rPr>
        <w:rFonts w:ascii="Century Gothic" w:hAnsi="Century Gothic" w:cs="Century Gothic"/>
        <w:color w:val="660066"/>
        <w:sz w:val="24"/>
      </w:rPr>
      <w:fldChar w:fldCharType="separate"/>
    </w:r>
    <w:r w:rsidR="007F6A0C">
      <w:rPr>
        <w:rFonts w:ascii="Century Gothic" w:hAnsi="Century Gothic" w:cs="Century Gothic"/>
        <w:noProof/>
        <w:color w:val="660066"/>
        <w:sz w:val="24"/>
      </w:rPr>
      <w:t>2</w:t>
    </w:r>
    <w:r w:rsidRPr="007A5C86">
      <w:rPr>
        <w:rFonts w:ascii="Century Gothic" w:hAnsi="Century Gothic" w:cs="Century Gothic"/>
        <w:color w:val="660066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1EF" w:rsidRPr="00991D4E" w:rsidRDefault="00E561EF" w:rsidP="002A12D5">
    <w:pPr>
      <w:spacing w:after="0" w:line="240" w:lineRule="auto"/>
      <w:jc w:val="right"/>
      <w:rPr>
        <w:rFonts w:ascii="Century Gothic" w:hAnsi="Century Gothic" w:cs="Century Gothic"/>
        <w:color w:val="660066"/>
        <w:sz w:val="28"/>
        <w:lang w:val="en-US"/>
      </w:rPr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53975</wp:posOffset>
          </wp:positionH>
          <wp:positionV relativeFrom="paragraph">
            <wp:posOffset>-81915</wp:posOffset>
          </wp:positionV>
          <wp:extent cx="979805" cy="1139190"/>
          <wp:effectExtent l="0" t="0" r="0" b="0"/>
          <wp:wrapThrough wrapText="bothSides">
            <wp:wrapPolygon edited="0">
              <wp:start x="0" y="0"/>
              <wp:lineTo x="0" y="21431"/>
              <wp:lineTo x="21278" y="21431"/>
              <wp:lineTo x="21278" y="0"/>
              <wp:lineTo x="0" y="0"/>
            </wp:wrapPolygon>
          </wp:wrapThrough>
          <wp:docPr id="1" name="Bild 2" descr="Beschreibung: Macintosh HD:Users:PowerbookDT:Desktop:StopIGM_org-Logo-Briefkopf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 descr="Beschreibung: Macintosh HD:Users:PowerbookDT:Desktop:StopIGM_org-Logo-Briefkopf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805" cy="1139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D4E">
      <w:rPr>
        <w:rFonts w:ascii="Century Gothic" w:hAnsi="Century Gothic" w:cs="Century Gothic"/>
        <w:color w:val="660066"/>
        <w:sz w:val="40"/>
        <w:lang w:val="en-US"/>
      </w:rPr>
      <w:t>StopIGM.org</w:t>
    </w:r>
  </w:p>
  <w:p w:rsidR="00E561EF" w:rsidRPr="00991D4E" w:rsidRDefault="00E561EF" w:rsidP="002A12D5">
    <w:pPr>
      <w:spacing w:after="0" w:line="240" w:lineRule="auto"/>
      <w:jc w:val="right"/>
      <w:rPr>
        <w:lang w:val="en-US"/>
      </w:rPr>
    </w:pPr>
    <w:r w:rsidRPr="00991D4E">
      <w:rPr>
        <w:rFonts w:ascii="Century Gothic" w:hAnsi="Century Gothic" w:cs="Century Gothic"/>
        <w:color w:val="660066"/>
        <w:sz w:val="28"/>
        <w:lang w:val="en-US"/>
      </w:rPr>
      <w:t>Human Rights for Hermaphrodites Too!</w:t>
    </w:r>
  </w:p>
  <w:p w:rsidR="00E561EF" w:rsidRPr="00991D4E" w:rsidRDefault="00E561EF" w:rsidP="002A12D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3424A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2176287"/>
    <w:multiLevelType w:val="hybridMultilevel"/>
    <w:tmpl w:val="9718000A"/>
    <w:lvl w:ilvl="0" w:tplc="9B4A0936">
      <w:numFmt w:val="bullet"/>
      <w:lvlText w:val="•"/>
      <w:lvlJc w:val="left"/>
      <w:pPr>
        <w:ind w:left="720" w:hanging="360"/>
      </w:pPr>
      <w:rPr>
        <w:rFonts w:ascii="Times New Roman" w:eastAsia="Baskerville" w:hAnsi="Times New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34348"/>
    <w:multiLevelType w:val="hybridMultilevel"/>
    <w:tmpl w:val="8DDEE06E"/>
    <w:lvl w:ilvl="0" w:tplc="71AEBF62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  <w:bCs/>
        <w:i w:val="0"/>
        <w:i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1C8A0D94"/>
    <w:multiLevelType w:val="hybridMultilevel"/>
    <w:tmpl w:val="821AAD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6151D"/>
    <w:multiLevelType w:val="hybridMultilevel"/>
    <w:tmpl w:val="5D38B9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61690C"/>
    <w:multiLevelType w:val="hybridMultilevel"/>
    <w:tmpl w:val="837A3DF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A312AF"/>
    <w:multiLevelType w:val="hybridMultilevel"/>
    <w:tmpl w:val="FF18E2F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809B7"/>
    <w:multiLevelType w:val="hybridMultilevel"/>
    <w:tmpl w:val="D7AA3C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F1B1B"/>
    <w:multiLevelType w:val="hybridMultilevel"/>
    <w:tmpl w:val="24E826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D26EE"/>
    <w:multiLevelType w:val="hybridMultilevel"/>
    <w:tmpl w:val="46ACA7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07BD7"/>
    <w:multiLevelType w:val="hybridMultilevel"/>
    <w:tmpl w:val="53125C8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8014E5"/>
    <w:multiLevelType w:val="hybridMultilevel"/>
    <w:tmpl w:val="0374E2E4"/>
    <w:lvl w:ilvl="0" w:tplc="15E680E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4A7F3407"/>
    <w:multiLevelType w:val="hybridMultilevel"/>
    <w:tmpl w:val="4A0C05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E0695"/>
    <w:multiLevelType w:val="hybridMultilevel"/>
    <w:tmpl w:val="54E678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112D3C"/>
    <w:multiLevelType w:val="hybridMultilevel"/>
    <w:tmpl w:val="365822B0"/>
    <w:lvl w:ilvl="0" w:tplc="B8D68F3A">
      <w:start w:val="1"/>
      <w:numFmt w:val="lowerLetter"/>
      <w:lvlText w:val="(%1)"/>
      <w:lvlJc w:val="left"/>
      <w:pPr>
        <w:ind w:left="760" w:hanging="40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4B2C72"/>
    <w:multiLevelType w:val="hybridMultilevel"/>
    <w:tmpl w:val="7B74787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9"/>
  </w:num>
  <w:num w:numId="6">
    <w:abstractNumId w:val="13"/>
  </w:num>
  <w:num w:numId="7">
    <w:abstractNumId w:val="14"/>
  </w:num>
  <w:num w:numId="8">
    <w:abstractNumId w:val="5"/>
  </w:num>
  <w:num w:numId="9">
    <w:abstractNumId w:val="0"/>
  </w:num>
  <w:num w:numId="10">
    <w:abstractNumId w:val="15"/>
  </w:num>
  <w:num w:numId="11">
    <w:abstractNumId w:val="6"/>
  </w:num>
  <w:num w:numId="12">
    <w:abstractNumId w:val="8"/>
  </w:num>
  <w:num w:numId="13">
    <w:abstractNumId w:val="7"/>
  </w:num>
  <w:num w:numId="14">
    <w:abstractNumId w:val="11"/>
  </w:num>
  <w:num w:numId="15">
    <w:abstractNumId w:val="12"/>
  </w:num>
  <w:num w:numId="16">
    <w:abstractNumId w:val="17"/>
  </w:num>
  <w:num w:numId="17">
    <w:abstractNumId w:val="18"/>
  </w:num>
  <w:num w:numId="18">
    <w:abstractNumId w:val="10"/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1D9"/>
    <w:rsid w:val="0000435E"/>
    <w:rsid w:val="000160D3"/>
    <w:rsid w:val="00030049"/>
    <w:rsid w:val="00031253"/>
    <w:rsid w:val="00033F4B"/>
    <w:rsid w:val="00034A0B"/>
    <w:rsid w:val="00046241"/>
    <w:rsid w:val="00050EAC"/>
    <w:rsid w:val="00064617"/>
    <w:rsid w:val="00065C38"/>
    <w:rsid w:val="00066FC1"/>
    <w:rsid w:val="000764CF"/>
    <w:rsid w:val="00077801"/>
    <w:rsid w:val="00093952"/>
    <w:rsid w:val="00094081"/>
    <w:rsid w:val="000A120B"/>
    <w:rsid w:val="000B0BF4"/>
    <w:rsid w:val="000B5656"/>
    <w:rsid w:val="000B6183"/>
    <w:rsid w:val="000C7211"/>
    <w:rsid w:val="000D3261"/>
    <w:rsid w:val="000D54E3"/>
    <w:rsid w:val="000E0AB1"/>
    <w:rsid w:val="000E4B94"/>
    <w:rsid w:val="000E6CC4"/>
    <w:rsid w:val="000F0E17"/>
    <w:rsid w:val="000F5866"/>
    <w:rsid w:val="000F6721"/>
    <w:rsid w:val="000F721B"/>
    <w:rsid w:val="000F7483"/>
    <w:rsid w:val="001158FE"/>
    <w:rsid w:val="001161BF"/>
    <w:rsid w:val="001237DD"/>
    <w:rsid w:val="001435A6"/>
    <w:rsid w:val="00147317"/>
    <w:rsid w:val="00147B45"/>
    <w:rsid w:val="0015009A"/>
    <w:rsid w:val="00157C3E"/>
    <w:rsid w:val="001668FD"/>
    <w:rsid w:val="00171F46"/>
    <w:rsid w:val="00172DD9"/>
    <w:rsid w:val="0018397C"/>
    <w:rsid w:val="00193252"/>
    <w:rsid w:val="001A20D8"/>
    <w:rsid w:val="001B3CE4"/>
    <w:rsid w:val="001B76FE"/>
    <w:rsid w:val="001C258A"/>
    <w:rsid w:val="001C348A"/>
    <w:rsid w:val="001D4BD6"/>
    <w:rsid w:val="001F22E4"/>
    <w:rsid w:val="001F4F29"/>
    <w:rsid w:val="002005DF"/>
    <w:rsid w:val="00201B6B"/>
    <w:rsid w:val="00203D98"/>
    <w:rsid w:val="00205FE7"/>
    <w:rsid w:val="00214EDF"/>
    <w:rsid w:val="002236CB"/>
    <w:rsid w:val="00223DF2"/>
    <w:rsid w:val="0023096C"/>
    <w:rsid w:val="002345BC"/>
    <w:rsid w:val="00241181"/>
    <w:rsid w:val="00243E82"/>
    <w:rsid w:val="00255B2A"/>
    <w:rsid w:val="0025741D"/>
    <w:rsid w:val="00264DC2"/>
    <w:rsid w:val="00266830"/>
    <w:rsid w:val="00275078"/>
    <w:rsid w:val="00275596"/>
    <w:rsid w:val="00282E83"/>
    <w:rsid w:val="00285637"/>
    <w:rsid w:val="00285912"/>
    <w:rsid w:val="00290A09"/>
    <w:rsid w:val="00295D6B"/>
    <w:rsid w:val="002A0CD1"/>
    <w:rsid w:val="002A12D5"/>
    <w:rsid w:val="002A1BF0"/>
    <w:rsid w:val="002A2D20"/>
    <w:rsid w:val="002A4CF2"/>
    <w:rsid w:val="002A68F3"/>
    <w:rsid w:val="002A6948"/>
    <w:rsid w:val="002B0370"/>
    <w:rsid w:val="002B41B5"/>
    <w:rsid w:val="002B47C8"/>
    <w:rsid w:val="002C3181"/>
    <w:rsid w:val="002C6033"/>
    <w:rsid w:val="002D00B1"/>
    <w:rsid w:val="002D2ABB"/>
    <w:rsid w:val="002E26D9"/>
    <w:rsid w:val="002E64A6"/>
    <w:rsid w:val="002F00B4"/>
    <w:rsid w:val="002F0581"/>
    <w:rsid w:val="002F0F83"/>
    <w:rsid w:val="002F1F2B"/>
    <w:rsid w:val="002F571A"/>
    <w:rsid w:val="002F7A6B"/>
    <w:rsid w:val="00304CB0"/>
    <w:rsid w:val="00306737"/>
    <w:rsid w:val="00307489"/>
    <w:rsid w:val="0033595A"/>
    <w:rsid w:val="00335EEA"/>
    <w:rsid w:val="00352972"/>
    <w:rsid w:val="003607E1"/>
    <w:rsid w:val="0036112F"/>
    <w:rsid w:val="00364B65"/>
    <w:rsid w:val="00365C19"/>
    <w:rsid w:val="00371C65"/>
    <w:rsid w:val="00377288"/>
    <w:rsid w:val="003824DA"/>
    <w:rsid w:val="00384C73"/>
    <w:rsid w:val="00386155"/>
    <w:rsid w:val="00396144"/>
    <w:rsid w:val="003A48DB"/>
    <w:rsid w:val="003B03EE"/>
    <w:rsid w:val="003B331A"/>
    <w:rsid w:val="003B3B29"/>
    <w:rsid w:val="003B6D1B"/>
    <w:rsid w:val="003D0872"/>
    <w:rsid w:val="003E1B43"/>
    <w:rsid w:val="003E391D"/>
    <w:rsid w:val="003E6DAB"/>
    <w:rsid w:val="003E7F52"/>
    <w:rsid w:val="0040757C"/>
    <w:rsid w:val="00410CB7"/>
    <w:rsid w:val="00420A0C"/>
    <w:rsid w:val="00426E79"/>
    <w:rsid w:val="00435205"/>
    <w:rsid w:val="004377C7"/>
    <w:rsid w:val="0043791A"/>
    <w:rsid w:val="004414F4"/>
    <w:rsid w:val="0044402F"/>
    <w:rsid w:val="00447F3C"/>
    <w:rsid w:val="004637B5"/>
    <w:rsid w:val="00474AF2"/>
    <w:rsid w:val="00482EEC"/>
    <w:rsid w:val="004A3447"/>
    <w:rsid w:val="004A3D43"/>
    <w:rsid w:val="004B0E10"/>
    <w:rsid w:val="004B4FF0"/>
    <w:rsid w:val="004B5D0D"/>
    <w:rsid w:val="004C2495"/>
    <w:rsid w:val="004C29D5"/>
    <w:rsid w:val="004C4C84"/>
    <w:rsid w:val="004E2F8B"/>
    <w:rsid w:val="004E48C1"/>
    <w:rsid w:val="004F05E8"/>
    <w:rsid w:val="004F5AF8"/>
    <w:rsid w:val="004F673C"/>
    <w:rsid w:val="00504F2A"/>
    <w:rsid w:val="00506DA7"/>
    <w:rsid w:val="00507E9A"/>
    <w:rsid w:val="0051046C"/>
    <w:rsid w:val="00511623"/>
    <w:rsid w:val="00514165"/>
    <w:rsid w:val="00515555"/>
    <w:rsid w:val="0052264E"/>
    <w:rsid w:val="00525603"/>
    <w:rsid w:val="00525F08"/>
    <w:rsid w:val="00543A93"/>
    <w:rsid w:val="00543F73"/>
    <w:rsid w:val="00552F8F"/>
    <w:rsid w:val="00553604"/>
    <w:rsid w:val="005541D9"/>
    <w:rsid w:val="0055544F"/>
    <w:rsid w:val="005574A0"/>
    <w:rsid w:val="00557A4E"/>
    <w:rsid w:val="005602AA"/>
    <w:rsid w:val="00562FA2"/>
    <w:rsid w:val="005661CF"/>
    <w:rsid w:val="0057435F"/>
    <w:rsid w:val="00577EA1"/>
    <w:rsid w:val="00580838"/>
    <w:rsid w:val="00581111"/>
    <w:rsid w:val="00581A68"/>
    <w:rsid w:val="0058252D"/>
    <w:rsid w:val="00595D79"/>
    <w:rsid w:val="005B006C"/>
    <w:rsid w:val="005B0346"/>
    <w:rsid w:val="005B2CF4"/>
    <w:rsid w:val="005B360C"/>
    <w:rsid w:val="005B46A5"/>
    <w:rsid w:val="005C147F"/>
    <w:rsid w:val="00605E44"/>
    <w:rsid w:val="0061492D"/>
    <w:rsid w:val="00623CDF"/>
    <w:rsid w:val="00623D50"/>
    <w:rsid w:val="0062721E"/>
    <w:rsid w:val="00633EB7"/>
    <w:rsid w:val="006373FA"/>
    <w:rsid w:val="00641D7F"/>
    <w:rsid w:val="00645A95"/>
    <w:rsid w:val="006529C8"/>
    <w:rsid w:val="00652F2A"/>
    <w:rsid w:val="0065327F"/>
    <w:rsid w:val="00656DCA"/>
    <w:rsid w:val="006626D4"/>
    <w:rsid w:val="00690808"/>
    <w:rsid w:val="00692CBA"/>
    <w:rsid w:val="00697735"/>
    <w:rsid w:val="006A18C4"/>
    <w:rsid w:val="006A23CF"/>
    <w:rsid w:val="006A3404"/>
    <w:rsid w:val="006A3425"/>
    <w:rsid w:val="006A5B6D"/>
    <w:rsid w:val="006A65E4"/>
    <w:rsid w:val="006B46DE"/>
    <w:rsid w:val="006B5CB1"/>
    <w:rsid w:val="006B7CE2"/>
    <w:rsid w:val="006B7E95"/>
    <w:rsid w:val="006C7D41"/>
    <w:rsid w:val="006F7FB6"/>
    <w:rsid w:val="00701865"/>
    <w:rsid w:val="00703EDA"/>
    <w:rsid w:val="0071269C"/>
    <w:rsid w:val="00713BD8"/>
    <w:rsid w:val="007143B8"/>
    <w:rsid w:val="0073041F"/>
    <w:rsid w:val="00731133"/>
    <w:rsid w:val="00733A7D"/>
    <w:rsid w:val="00740065"/>
    <w:rsid w:val="00744F30"/>
    <w:rsid w:val="00757684"/>
    <w:rsid w:val="00767323"/>
    <w:rsid w:val="007836E8"/>
    <w:rsid w:val="007867EB"/>
    <w:rsid w:val="00786C15"/>
    <w:rsid w:val="00793049"/>
    <w:rsid w:val="00793AE8"/>
    <w:rsid w:val="007A38AE"/>
    <w:rsid w:val="007A4DEC"/>
    <w:rsid w:val="007A5C86"/>
    <w:rsid w:val="007B0A7C"/>
    <w:rsid w:val="007C0C61"/>
    <w:rsid w:val="007C4251"/>
    <w:rsid w:val="007C5E5B"/>
    <w:rsid w:val="007C73A2"/>
    <w:rsid w:val="007D2697"/>
    <w:rsid w:val="007D62A9"/>
    <w:rsid w:val="007E0929"/>
    <w:rsid w:val="007E49F2"/>
    <w:rsid w:val="007E7A39"/>
    <w:rsid w:val="007F138C"/>
    <w:rsid w:val="007F31C9"/>
    <w:rsid w:val="007F6A0C"/>
    <w:rsid w:val="00802563"/>
    <w:rsid w:val="00805700"/>
    <w:rsid w:val="00806763"/>
    <w:rsid w:val="00817CEF"/>
    <w:rsid w:val="00823442"/>
    <w:rsid w:val="00823F3A"/>
    <w:rsid w:val="00834B70"/>
    <w:rsid w:val="008521BF"/>
    <w:rsid w:val="00852272"/>
    <w:rsid w:val="00853CB5"/>
    <w:rsid w:val="00855D6E"/>
    <w:rsid w:val="00855ED0"/>
    <w:rsid w:val="00857837"/>
    <w:rsid w:val="0086055C"/>
    <w:rsid w:val="00894D5F"/>
    <w:rsid w:val="00897681"/>
    <w:rsid w:val="008A4C4E"/>
    <w:rsid w:val="008B2D32"/>
    <w:rsid w:val="008C05B1"/>
    <w:rsid w:val="008C34FF"/>
    <w:rsid w:val="008D1235"/>
    <w:rsid w:val="008D4867"/>
    <w:rsid w:val="008D626E"/>
    <w:rsid w:val="008E1E97"/>
    <w:rsid w:val="008E265D"/>
    <w:rsid w:val="00912D8E"/>
    <w:rsid w:val="00917BF1"/>
    <w:rsid w:val="00936727"/>
    <w:rsid w:val="00941296"/>
    <w:rsid w:val="00945688"/>
    <w:rsid w:val="0094612C"/>
    <w:rsid w:val="00950DDB"/>
    <w:rsid w:val="00965449"/>
    <w:rsid w:val="00977FB5"/>
    <w:rsid w:val="0098487A"/>
    <w:rsid w:val="00986222"/>
    <w:rsid w:val="009865BA"/>
    <w:rsid w:val="00991D4E"/>
    <w:rsid w:val="00992E5F"/>
    <w:rsid w:val="00993C8E"/>
    <w:rsid w:val="00995F45"/>
    <w:rsid w:val="0099651C"/>
    <w:rsid w:val="00997EC4"/>
    <w:rsid w:val="009A58B8"/>
    <w:rsid w:val="009A5D4A"/>
    <w:rsid w:val="009B279E"/>
    <w:rsid w:val="009B60E0"/>
    <w:rsid w:val="009B7C85"/>
    <w:rsid w:val="009C0F87"/>
    <w:rsid w:val="009C2580"/>
    <w:rsid w:val="009E16C5"/>
    <w:rsid w:val="009F1BA1"/>
    <w:rsid w:val="00A0334F"/>
    <w:rsid w:val="00A074F3"/>
    <w:rsid w:val="00A14796"/>
    <w:rsid w:val="00A22802"/>
    <w:rsid w:val="00A25A68"/>
    <w:rsid w:val="00A35095"/>
    <w:rsid w:val="00A40D18"/>
    <w:rsid w:val="00A53EC5"/>
    <w:rsid w:val="00A555E2"/>
    <w:rsid w:val="00A6017A"/>
    <w:rsid w:val="00A6167B"/>
    <w:rsid w:val="00A87A90"/>
    <w:rsid w:val="00A916D7"/>
    <w:rsid w:val="00A916E0"/>
    <w:rsid w:val="00A9282B"/>
    <w:rsid w:val="00AB6B9C"/>
    <w:rsid w:val="00AC22FD"/>
    <w:rsid w:val="00AC33EC"/>
    <w:rsid w:val="00AC492E"/>
    <w:rsid w:val="00AC50CD"/>
    <w:rsid w:val="00AD06E3"/>
    <w:rsid w:val="00AD12F1"/>
    <w:rsid w:val="00AD54BF"/>
    <w:rsid w:val="00AD5876"/>
    <w:rsid w:val="00AE68CB"/>
    <w:rsid w:val="00B02E24"/>
    <w:rsid w:val="00B03E25"/>
    <w:rsid w:val="00B1105D"/>
    <w:rsid w:val="00B1271B"/>
    <w:rsid w:val="00B1495F"/>
    <w:rsid w:val="00B16A70"/>
    <w:rsid w:val="00B17B48"/>
    <w:rsid w:val="00B230F0"/>
    <w:rsid w:val="00B25629"/>
    <w:rsid w:val="00B2743C"/>
    <w:rsid w:val="00B276BD"/>
    <w:rsid w:val="00B37660"/>
    <w:rsid w:val="00B42605"/>
    <w:rsid w:val="00B4429C"/>
    <w:rsid w:val="00B54B5B"/>
    <w:rsid w:val="00B647CB"/>
    <w:rsid w:val="00B76C69"/>
    <w:rsid w:val="00B80D0E"/>
    <w:rsid w:val="00B92972"/>
    <w:rsid w:val="00BA5637"/>
    <w:rsid w:val="00BB2863"/>
    <w:rsid w:val="00BC1D1B"/>
    <w:rsid w:val="00BC51FF"/>
    <w:rsid w:val="00BC7767"/>
    <w:rsid w:val="00BD2A5F"/>
    <w:rsid w:val="00BE06EF"/>
    <w:rsid w:val="00BF51E5"/>
    <w:rsid w:val="00C03A05"/>
    <w:rsid w:val="00C04297"/>
    <w:rsid w:val="00C04C8C"/>
    <w:rsid w:val="00C264C8"/>
    <w:rsid w:val="00C3540C"/>
    <w:rsid w:val="00C35DA6"/>
    <w:rsid w:val="00C37D6B"/>
    <w:rsid w:val="00C4031D"/>
    <w:rsid w:val="00C43ADC"/>
    <w:rsid w:val="00C45B25"/>
    <w:rsid w:val="00C46E72"/>
    <w:rsid w:val="00C47EE1"/>
    <w:rsid w:val="00C547EE"/>
    <w:rsid w:val="00C551BC"/>
    <w:rsid w:val="00C5540D"/>
    <w:rsid w:val="00C60485"/>
    <w:rsid w:val="00C628D1"/>
    <w:rsid w:val="00C67F79"/>
    <w:rsid w:val="00C8344D"/>
    <w:rsid w:val="00C845F3"/>
    <w:rsid w:val="00C85B2A"/>
    <w:rsid w:val="00C8771B"/>
    <w:rsid w:val="00C933AC"/>
    <w:rsid w:val="00C93B92"/>
    <w:rsid w:val="00C96C27"/>
    <w:rsid w:val="00CA1B9D"/>
    <w:rsid w:val="00CA1D4D"/>
    <w:rsid w:val="00CA4CCE"/>
    <w:rsid w:val="00CC2337"/>
    <w:rsid w:val="00CC2F93"/>
    <w:rsid w:val="00CD2374"/>
    <w:rsid w:val="00CD75A1"/>
    <w:rsid w:val="00CE5326"/>
    <w:rsid w:val="00CF04FD"/>
    <w:rsid w:val="00CF665C"/>
    <w:rsid w:val="00D011BF"/>
    <w:rsid w:val="00D04243"/>
    <w:rsid w:val="00D072AA"/>
    <w:rsid w:val="00D1283C"/>
    <w:rsid w:val="00D1488C"/>
    <w:rsid w:val="00D23157"/>
    <w:rsid w:val="00D33CE1"/>
    <w:rsid w:val="00D46515"/>
    <w:rsid w:val="00D5566E"/>
    <w:rsid w:val="00D5668E"/>
    <w:rsid w:val="00D61913"/>
    <w:rsid w:val="00D6376B"/>
    <w:rsid w:val="00D73312"/>
    <w:rsid w:val="00D739DC"/>
    <w:rsid w:val="00D7440E"/>
    <w:rsid w:val="00D8691E"/>
    <w:rsid w:val="00D93025"/>
    <w:rsid w:val="00DA267C"/>
    <w:rsid w:val="00DA3D57"/>
    <w:rsid w:val="00DB03D5"/>
    <w:rsid w:val="00DB0BE3"/>
    <w:rsid w:val="00DB1C88"/>
    <w:rsid w:val="00DB255F"/>
    <w:rsid w:val="00DB36FA"/>
    <w:rsid w:val="00DC1605"/>
    <w:rsid w:val="00DC1C51"/>
    <w:rsid w:val="00DC41BE"/>
    <w:rsid w:val="00DD2601"/>
    <w:rsid w:val="00DD5239"/>
    <w:rsid w:val="00DE0167"/>
    <w:rsid w:val="00DE6EA6"/>
    <w:rsid w:val="00DF3D7B"/>
    <w:rsid w:val="00DF4D75"/>
    <w:rsid w:val="00DF5131"/>
    <w:rsid w:val="00E03212"/>
    <w:rsid w:val="00E05D2E"/>
    <w:rsid w:val="00E064BF"/>
    <w:rsid w:val="00E15B6A"/>
    <w:rsid w:val="00E24978"/>
    <w:rsid w:val="00E309E0"/>
    <w:rsid w:val="00E34596"/>
    <w:rsid w:val="00E35E81"/>
    <w:rsid w:val="00E40DC5"/>
    <w:rsid w:val="00E46FA4"/>
    <w:rsid w:val="00E507D6"/>
    <w:rsid w:val="00E561EF"/>
    <w:rsid w:val="00E8637C"/>
    <w:rsid w:val="00E86492"/>
    <w:rsid w:val="00E86ADC"/>
    <w:rsid w:val="00EA1796"/>
    <w:rsid w:val="00EA5E56"/>
    <w:rsid w:val="00EB582C"/>
    <w:rsid w:val="00EB798E"/>
    <w:rsid w:val="00EC1A8C"/>
    <w:rsid w:val="00EC32A2"/>
    <w:rsid w:val="00EC4379"/>
    <w:rsid w:val="00ED3D31"/>
    <w:rsid w:val="00ED3EEB"/>
    <w:rsid w:val="00ED6476"/>
    <w:rsid w:val="00EE282C"/>
    <w:rsid w:val="00EE5C85"/>
    <w:rsid w:val="00EF3FDB"/>
    <w:rsid w:val="00EF5B26"/>
    <w:rsid w:val="00EF607C"/>
    <w:rsid w:val="00EF74A8"/>
    <w:rsid w:val="00F02666"/>
    <w:rsid w:val="00F02789"/>
    <w:rsid w:val="00F1001F"/>
    <w:rsid w:val="00F16D25"/>
    <w:rsid w:val="00F1738E"/>
    <w:rsid w:val="00F213B0"/>
    <w:rsid w:val="00F3240B"/>
    <w:rsid w:val="00F3646C"/>
    <w:rsid w:val="00F424A1"/>
    <w:rsid w:val="00F44879"/>
    <w:rsid w:val="00F45F78"/>
    <w:rsid w:val="00F52381"/>
    <w:rsid w:val="00F54275"/>
    <w:rsid w:val="00F64470"/>
    <w:rsid w:val="00F64487"/>
    <w:rsid w:val="00F65789"/>
    <w:rsid w:val="00F744E9"/>
    <w:rsid w:val="00F74BE8"/>
    <w:rsid w:val="00F75C2B"/>
    <w:rsid w:val="00F76221"/>
    <w:rsid w:val="00F777B5"/>
    <w:rsid w:val="00F806DB"/>
    <w:rsid w:val="00F84465"/>
    <w:rsid w:val="00F93230"/>
    <w:rsid w:val="00F9445C"/>
    <w:rsid w:val="00FA414D"/>
    <w:rsid w:val="00FA76A1"/>
    <w:rsid w:val="00FB0850"/>
    <w:rsid w:val="00FB43F3"/>
    <w:rsid w:val="00FB4EAC"/>
    <w:rsid w:val="00FB7BF1"/>
    <w:rsid w:val="00FC2867"/>
    <w:rsid w:val="00FC5345"/>
    <w:rsid w:val="00FD182A"/>
    <w:rsid w:val="00FD5992"/>
    <w:rsid w:val="00FE2215"/>
    <w:rsid w:val="00FE3664"/>
    <w:rsid w:val="00FF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53EA024-68E9-4049-B85A-C49FA1DE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e-CH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32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2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2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11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4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1D9"/>
  </w:style>
  <w:style w:type="paragraph" w:styleId="Footer">
    <w:name w:val="footer"/>
    <w:basedOn w:val="Normal"/>
    <w:link w:val="FooterChar"/>
    <w:uiPriority w:val="99"/>
    <w:unhideWhenUsed/>
    <w:rsid w:val="00554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1D9"/>
  </w:style>
  <w:style w:type="paragraph" w:styleId="FootnoteText">
    <w:name w:val="footnote text"/>
    <w:basedOn w:val="Normal"/>
    <w:link w:val="FootnoteTextChar"/>
    <w:unhideWhenUsed/>
    <w:rsid w:val="00FA76A1"/>
    <w:rPr>
      <w:sz w:val="20"/>
      <w:szCs w:val="20"/>
    </w:rPr>
  </w:style>
  <w:style w:type="character" w:customStyle="1" w:styleId="FootnoteTextChar">
    <w:name w:val="Footnote Text Char"/>
    <w:link w:val="FootnoteText"/>
    <w:rsid w:val="00FA76A1"/>
    <w:rPr>
      <w:lang w:eastAsia="en-US"/>
    </w:rPr>
  </w:style>
  <w:style w:type="character" w:styleId="FootnoteReference">
    <w:name w:val="footnote reference"/>
    <w:unhideWhenUsed/>
    <w:rsid w:val="00FA76A1"/>
    <w:rPr>
      <w:vertAlign w:val="superscript"/>
    </w:rPr>
  </w:style>
  <w:style w:type="character" w:customStyle="1" w:styleId="Absatz-Standardschriftart1">
    <w:name w:val="Absatz-Standardschriftart1"/>
    <w:rsid w:val="00F9445C"/>
  </w:style>
  <w:style w:type="character" w:styleId="Hyperlink">
    <w:name w:val="Hyperlink"/>
    <w:uiPriority w:val="99"/>
    <w:rsid w:val="00F9445C"/>
    <w:rPr>
      <w:color w:val="000080"/>
      <w:u w:val="single"/>
    </w:rPr>
  </w:style>
  <w:style w:type="character" w:customStyle="1" w:styleId="Funotenzeichen1">
    <w:name w:val="Fußnotenzeichen1"/>
    <w:rsid w:val="00F9445C"/>
  </w:style>
  <w:style w:type="character" w:customStyle="1" w:styleId="Funotenzeichen2">
    <w:name w:val="Fußnotenzeichen2"/>
    <w:qFormat/>
    <w:rsid w:val="00F9445C"/>
    <w:rPr>
      <w:sz w:val="18"/>
      <w:vertAlign w:val="baseline"/>
    </w:rPr>
  </w:style>
  <w:style w:type="character" w:customStyle="1" w:styleId="Funotenzeichen3">
    <w:name w:val="Fußnotenzeichen3"/>
    <w:rsid w:val="00F9445C"/>
    <w:rPr>
      <w:vertAlign w:val="superscript"/>
    </w:rPr>
  </w:style>
  <w:style w:type="paragraph" w:customStyle="1" w:styleId="absatzschattenbericht">
    <w:name w:val="absatz schattenbericht"/>
    <w:basedOn w:val="Normal"/>
    <w:rsid w:val="00F9445C"/>
    <w:pPr>
      <w:widowControl w:val="0"/>
      <w:suppressAutoHyphens/>
      <w:autoSpaceDE w:val="0"/>
      <w:spacing w:after="113" w:line="288" w:lineRule="auto"/>
      <w:jc w:val="both"/>
      <w:textAlignment w:val="center"/>
    </w:pPr>
    <w:rPr>
      <w:rFonts w:ascii="Times New Roman" w:eastAsia="Baskerville" w:hAnsi="Times New Roman" w:cs="Baskerville"/>
      <w:color w:val="000000"/>
      <w:spacing w:val="2"/>
      <w:kern w:val="1"/>
      <w:sz w:val="24"/>
      <w:szCs w:val="24"/>
      <w:lang w:val="en-US" w:eastAsia="zh-CN" w:bidi="hi-IN"/>
    </w:rPr>
  </w:style>
  <w:style w:type="paragraph" w:customStyle="1" w:styleId="Title1">
    <w:name w:val="Title 1"/>
    <w:basedOn w:val="Normal"/>
    <w:rsid w:val="000F0E17"/>
    <w:pPr>
      <w:widowControl w:val="0"/>
      <w:suppressLineNumbers/>
      <w:suppressAutoHyphens/>
      <w:spacing w:before="120" w:after="120" w:line="240" w:lineRule="auto"/>
    </w:pPr>
    <w:rPr>
      <w:rFonts w:ascii="Arial" w:eastAsia="Helvetica-Bold" w:hAnsi="Arial" w:cs="Helvetica-Bold"/>
      <w:b/>
      <w:bCs/>
      <w:iCs/>
      <w:color w:val="5E175E"/>
      <w:spacing w:val="3"/>
      <w:kern w:val="1"/>
      <w:sz w:val="28"/>
      <w:szCs w:val="28"/>
      <w:lang w:val="de-DE" w:eastAsia="zh-CN" w:bidi="hi-IN"/>
    </w:rPr>
  </w:style>
  <w:style w:type="paragraph" w:customStyle="1" w:styleId="Title2">
    <w:name w:val="Title 2"/>
    <w:basedOn w:val="Normal"/>
    <w:rsid w:val="00F9445C"/>
    <w:pPr>
      <w:widowControl w:val="0"/>
      <w:suppressLineNumbers/>
      <w:suppressAutoHyphens/>
      <w:autoSpaceDE w:val="0"/>
      <w:spacing w:after="113" w:line="288" w:lineRule="atLeast"/>
      <w:textAlignment w:val="center"/>
    </w:pPr>
    <w:rPr>
      <w:rFonts w:ascii="Arial" w:eastAsia="Helvetica-Bold" w:hAnsi="Arial" w:cs="Arial"/>
      <w:b/>
      <w:bCs/>
      <w:iCs/>
      <w:color w:val="5E175E"/>
      <w:spacing w:val="2"/>
      <w:kern w:val="1"/>
      <w:sz w:val="24"/>
      <w:szCs w:val="28"/>
      <w:lang w:val="en-GB" w:eastAsia="zh-CN" w:bidi="hi-IN"/>
    </w:rPr>
  </w:style>
  <w:style w:type="paragraph" w:customStyle="1" w:styleId="Title3">
    <w:name w:val="Title 3"/>
    <w:basedOn w:val="Title2"/>
    <w:rsid w:val="00F9445C"/>
    <w:pPr>
      <w:spacing w:before="28" w:after="85"/>
    </w:pPr>
    <w:rPr>
      <w:color w:val="232657"/>
      <w:szCs w:val="24"/>
    </w:rPr>
  </w:style>
  <w:style w:type="character" w:customStyle="1" w:styleId="FootnoteSymbol">
    <w:name w:val="Footnote Symbol"/>
    <w:rsid w:val="004F673C"/>
    <w:rPr>
      <w:rFonts w:ascii="Times New Roman" w:hAnsi="Times New Roman"/>
      <w:sz w:val="20"/>
    </w:rPr>
  </w:style>
  <w:style w:type="character" w:styleId="FollowedHyperlink">
    <w:name w:val="FollowedHyperlink"/>
    <w:rsid w:val="004F673C"/>
    <w:rPr>
      <w:color w:val="0070C0"/>
      <w:u w:val="single"/>
    </w:rPr>
  </w:style>
  <w:style w:type="paragraph" w:customStyle="1" w:styleId="fussnoteschattenbericht">
    <w:name w:val="fussnote schattenbericht"/>
    <w:basedOn w:val="Normal"/>
    <w:autoRedefine/>
    <w:rsid w:val="003A48DB"/>
    <w:pPr>
      <w:widowControl w:val="0"/>
      <w:suppressAutoHyphens/>
      <w:autoSpaceDE w:val="0"/>
      <w:spacing w:after="0" w:line="264" w:lineRule="auto"/>
      <w:ind w:left="454" w:hanging="448"/>
      <w:textAlignment w:val="center"/>
    </w:pPr>
    <w:rPr>
      <w:rFonts w:ascii="Times New Roman" w:eastAsia="Baskerville" w:hAnsi="Times New Roman"/>
      <w:color w:val="000000"/>
      <w:spacing w:val="2"/>
      <w:kern w:val="1"/>
      <w:sz w:val="20"/>
      <w:szCs w:val="20"/>
      <w:lang w:val="en-US" w:eastAsia="zh-CN" w:bidi="hi-I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0065"/>
    <w:rPr>
      <w:sz w:val="24"/>
      <w:szCs w:val="24"/>
    </w:rPr>
  </w:style>
  <w:style w:type="paragraph" w:customStyle="1" w:styleId="AbsatzConcludingObs">
    <w:name w:val="Absatz Concluding Obs"/>
    <w:basedOn w:val="absatzschattenbericht"/>
    <w:qFormat/>
    <w:rsid w:val="00F3646C"/>
    <w:pPr>
      <w:tabs>
        <w:tab w:val="left" w:pos="567"/>
        <w:tab w:val="left" w:pos="1134"/>
      </w:tabs>
    </w:pPr>
    <w:rPr>
      <w:i/>
      <w:iCs/>
      <w:lang w:val="fr-FR"/>
    </w:rPr>
  </w:style>
  <w:style w:type="character" w:customStyle="1" w:styleId="CommentTextChar">
    <w:name w:val="Comment Text Char"/>
    <w:link w:val="CommentText"/>
    <w:uiPriority w:val="99"/>
    <w:semiHidden/>
    <w:rsid w:val="00740065"/>
    <w:rPr>
      <w:sz w:val="24"/>
      <w:szCs w:val="24"/>
      <w:lang w:val="de-CH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0065"/>
    <w:pPr>
      <w:suppressAutoHyphens/>
      <w:spacing w:after="0" w:line="240" w:lineRule="auto"/>
    </w:pPr>
    <w:rPr>
      <w:rFonts w:ascii="Times New Roman" w:eastAsia="SimSun" w:hAnsi="Times New Roman"/>
      <w:b/>
      <w:bCs/>
      <w:sz w:val="20"/>
      <w:szCs w:val="20"/>
      <w:lang w:val="fr-CH"/>
    </w:rPr>
  </w:style>
  <w:style w:type="character" w:customStyle="1" w:styleId="CommentSubjectChar">
    <w:name w:val="Comment Subject Char"/>
    <w:link w:val="CommentSubject"/>
    <w:uiPriority w:val="99"/>
    <w:semiHidden/>
    <w:rsid w:val="00740065"/>
    <w:rPr>
      <w:rFonts w:ascii="Times New Roman" w:eastAsia="SimSun" w:hAnsi="Times New Roman"/>
      <w:b/>
      <w:bCs/>
      <w:sz w:val="24"/>
      <w:szCs w:val="24"/>
      <w:lang w:val="fr-CH" w:eastAsia="en-US"/>
    </w:rPr>
  </w:style>
  <w:style w:type="character" w:styleId="EndnoteReference">
    <w:name w:val="endnote reference"/>
    <w:aliases w:val="1_G"/>
    <w:rsid w:val="00426E79"/>
    <w:rPr>
      <w:rFonts w:ascii="Times New Roman" w:hAnsi="Times New Roman"/>
      <w:sz w:val="18"/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B2A"/>
    <w:pPr>
      <w:spacing w:after="60"/>
      <w:jc w:val="center"/>
      <w:outlineLvl w:val="1"/>
    </w:pPr>
    <w:rPr>
      <w:rFonts w:eastAsia="MS Gothic"/>
      <w:sz w:val="24"/>
      <w:szCs w:val="24"/>
    </w:rPr>
  </w:style>
  <w:style w:type="character" w:customStyle="1" w:styleId="SubtitleChar">
    <w:name w:val="Subtitle Char"/>
    <w:link w:val="Subtitle"/>
    <w:uiPriority w:val="11"/>
    <w:rsid w:val="00C85B2A"/>
    <w:rPr>
      <w:rFonts w:ascii="Calibri" w:eastAsia="MS Gothic" w:hAnsi="Calibri" w:cs="Times New Roman"/>
      <w:sz w:val="24"/>
      <w:szCs w:val="24"/>
      <w:lang w:val="de-CH" w:eastAsia="en-US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51555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7CE2"/>
    <w:rPr>
      <w:rFonts w:ascii="Times New Roman" w:hAnsi="Times New Roman"/>
      <w:sz w:val="24"/>
      <w:szCs w:val="24"/>
    </w:rPr>
  </w:style>
  <w:style w:type="character" w:customStyle="1" w:styleId="WW8Num1z3">
    <w:name w:val="WW8Num1z3"/>
    <w:rsid w:val="003824DA"/>
  </w:style>
  <w:style w:type="paragraph" w:styleId="BalloonText">
    <w:name w:val="Balloon Text"/>
    <w:basedOn w:val="Normal"/>
    <w:link w:val="BalloonTextChar"/>
    <w:uiPriority w:val="99"/>
    <w:semiHidden/>
    <w:unhideWhenUsed/>
    <w:rsid w:val="003B3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31A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5327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27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27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C5E5B"/>
    <w:pPr>
      <w:tabs>
        <w:tab w:val="right" w:leader="dot" w:pos="9628"/>
      </w:tabs>
      <w:spacing w:after="0" w:line="288" w:lineRule="auto"/>
      <w:ind w:left="284"/>
    </w:pPr>
  </w:style>
  <w:style w:type="paragraph" w:styleId="TOC2">
    <w:name w:val="toc 2"/>
    <w:basedOn w:val="Normal"/>
    <w:next w:val="Normal"/>
    <w:autoRedefine/>
    <w:uiPriority w:val="39"/>
    <w:unhideWhenUsed/>
    <w:rsid w:val="0065327F"/>
    <w:pPr>
      <w:spacing w:after="100"/>
      <w:ind w:left="220"/>
    </w:p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8D62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A68F3"/>
    <w:rPr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04CB0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1133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82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72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62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0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0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0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2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3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5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5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5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24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1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7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6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1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7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7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2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9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6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5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topigm.org/public/Open_Letter_I-DSD_Copenhagen_2017.pdf" TargetMode="External"/><Relationship Id="rId3" Type="http://schemas.openxmlformats.org/officeDocument/2006/relationships/hyperlink" Target="http://intersex.shadowreport.org/public/2020-CRC-Czechia-NGO-Zwischengeschlecht-Intersex-IGM.pdf" TargetMode="External"/><Relationship Id="rId7" Type="http://schemas.openxmlformats.org/officeDocument/2006/relationships/hyperlink" Target="https://eurogen-ern.eu/our-members/full-members/" TargetMode="External"/><Relationship Id="rId2" Type="http://schemas.openxmlformats.org/officeDocument/2006/relationships/hyperlink" Target="https://uroweb.org/wp-content/uploads/EAU-Guidelines-on-Paediatric-Urology-2021-1.pdf" TargetMode="External"/><Relationship Id="rId1" Type="http://schemas.openxmlformats.org/officeDocument/2006/relationships/hyperlink" Target="https://uroweb.org/guidelines/endorsement/" TargetMode="External"/><Relationship Id="rId6" Type="http://schemas.openxmlformats.org/officeDocument/2006/relationships/hyperlink" Target="https://www.espu.org/olas/abstract_view.php?mid=16&amp;sid=29poland-usa-hypospadias_30th%20ESPU%20Congress%20-%20Lyon,%20France%20-%202019%20-%20VD/%20VIDEO%20DISPLAY.pdf" TargetMode="External"/><Relationship Id="rId5" Type="http://schemas.openxmlformats.org/officeDocument/2006/relationships/hyperlink" Target="https://www.espu.org/olas/abstract_view.php?mid=16&amp;sid=9poland-saudi-arabia-spain_30th%20ESPU%20Congress%20-%20Lyon,%20France%20-%202019%20-%20S9/%20DSD.pdf" TargetMode="External"/><Relationship Id="rId10" Type="http://schemas.openxmlformats.org/officeDocument/2006/relationships/hyperlink" Target="https://www.dsd-life.eu/the-group/consortium/childrens-memorial-health-institute/index.html" TargetMode="External"/><Relationship Id="rId4" Type="http://schemas.openxmlformats.org/officeDocument/2006/relationships/hyperlink" Target="https://www.ipeg.org/wp-content/uploads/2013/08/IPEG2016_FinalProgram_FINALWEBLONG.pdf" TargetMode="External"/><Relationship Id="rId9" Type="http://schemas.openxmlformats.org/officeDocument/2006/relationships/hyperlink" Target="https://www.dsd-life.eu/the-group/consortium/medical-university-of-lodz/index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D8FCF9-4355-419F-8479-61C6D8AC1A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078258-FD3B-41E7-B587-47775951DC17}"/>
</file>

<file path=customXml/itemProps3.xml><?xml version="1.0" encoding="utf-8"?>
<ds:datastoreItem xmlns:ds="http://schemas.openxmlformats.org/officeDocument/2006/customXml" ds:itemID="{B8CCDF52-1FD2-4D8C-8FA0-7571D59ACB89}"/>
</file>

<file path=customXml/itemProps4.xml><?xml version="1.0" encoding="utf-8"?>
<ds:datastoreItem xmlns:ds="http://schemas.openxmlformats.org/officeDocument/2006/customXml" ds:itemID="{D182668E-78C6-4351-816E-481F0A0FEB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584</Words>
  <Characters>3335</Characters>
  <Application>Microsoft Office Word</Application>
  <DocSecurity>4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Intersex Genital Mutilation in Poland - CRC NGO Report 2021</vt:lpstr>
      <vt:lpstr>Intersex Genital Mutilation in Poland - CRC NGO Report 2021</vt:lpstr>
    </vt:vector>
  </TitlesOfParts>
  <Manager/>
  <Company/>
  <LinksUpToDate>false</LinksUpToDate>
  <CharactersWithSpaces>3912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Intersex Genital Mutilation in Poland - CRC NGO Report 2021</dc:title>
  <dc:subject/>
  <dc:creator>StopIGM.org (Markus Bauer, Daniela Truffer)</dc:creator>
  <cp:keywords/>
  <dc:description/>
  <cp:lastModifiedBy>BOIT James</cp:lastModifiedBy>
  <cp:revision>2</cp:revision>
  <cp:lastPrinted>2017-09-29T10:55:00Z</cp:lastPrinted>
  <dcterms:created xsi:type="dcterms:W3CDTF">2021-08-23T09:39:00Z</dcterms:created>
  <dcterms:modified xsi:type="dcterms:W3CDTF">2021-08-23T09:39:00Z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