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FDEDA" w14:textId="77777777" w:rsidR="000F40E7" w:rsidRPr="00DF5BBF" w:rsidRDefault="000F40E7" w:rsidP="00DF5BBF">
      <w:pPr>
        <w:snapToGrid w:val="0"/>
        <w:spacing w:before="120" w:after="0" w:line="240" w:lineRule="auto"/>
        <w:ind w:left="1080" w:hanging="720"/>
        <w:jc w:val="center"/>
        <w:rPr>
          <w:rFonts w:ascii="Calibri" w:hAnsi="Calibri" w:cs="Calibri"/>
          <w:b/>
          <w:bCs/>
          <w:lang w:val="es-ES_tradnl"/>
        </w:rPr>
      </w:pPr>
      <w:r w:rsidRPr="00DF5BBF">
        <w:rPr>
          <w:rFonts w:ascii="Calibri" w:hAnsi="Calibri" w:cs="Calibri"/>
          <w:b/>
          <w:bCs/>
          <w:lang w:val="es-ES_tradnl"/>
        </w:rPr>
        <w:t>Informe alternativo para el Comité para la Eliminación de la Discriminación Racial</w:t>
      </w:r>
    </w:p>
    <w:p w14:paraId="61F7F296" w14:textId="2567B8C4" w:rsidR="000F40E7" w:rsidRPr="00DF5BBF" w:rsidRDefault="000F40E7" w:rsidP="00DF5BBF">
      <w:pPr>
        <w:snapToGrid w:val="0"/>
        <w:spacing w:before="120" w:after="0" w:line="240" w:lineRule="auto"/>
        <w:ind w:left="1080" w:hanging="720"/>
        <w:jc w:val="center"/>
        <w:rPr>
          <w:rFonts w:ascii="Calibri" w:hAnsi="Calibri" w:cs="Calibri"/>
          <w:b/>
          <w:bCs/>
          <w:lang w:val="es-ES_tradnl"/>
        </w:rPr>
      </w:pPr>
      <w:r w:rsidRPr="00DF5BBF">
        <w:rPr>
          <w:rFonts w:ascii="Calibri" w:hAnsi="Calibri" w:cs="Calibri"/>
          <w:b/>
          <w:bCs/>
          <w:lang w:val="es-ES_tradnl"/>
        </w:rPr>
        <w:t>Revisión de los informes periódicos 22º a 26º combinados del Estado cubano</w:t>
      </w:r>
    </w:p>
    <w:p w14:paraId="6E8539E7" w14:textId="777516C8" w:rsidR="000F40E7" w:rsidRPr="00DF5BBF" w:rsidRDefault="000F40E7" w:rsidP="00DF5BBF">
      <w:pPr>
        <w:snapToGrid w:val="0"/>
        <w:spacing w:before="120" w:after="0" w:line="240" w:lineRule="auto"/>
        <w:ind w:left="1080" w:hanging="720"/>
        <w:jc w:val="center"/>
        <w:rPr>
          <w:rFonts w:ascii="Calibri" w:hAnsi="Calibri" w:cs="Calibri"/>
          <w:b/>
          <w:bCs/>
          <w:lang w:val="es-ES_tradnl"/>
        </w:rPr>
      </w:pPr>
      <w:r w:rsidRPr="00DF5BBF">
        <w:rPr>
          <w:rFonts w:ascii="Calibri" w:hAnsi="Calibri" w:cs="Calibri"/>
          <w:b/>
          <w:bCs/>
          <w:lang w:val="es-ES_tradnl"/>
        </w:rPr>
        <w:t>2026</w:t>
      </w:r>
    </w:p>
    <w:p w14:paraId="055FA287" w14:textId="77777777" w:rsidR="000F40E7" w:rsidRPr="00DF5BBF" w:rsidRDefault="000F40E7" w:rsidP="00DF5BBF">
      <w:pPr>
        <w:snapToGrid w:val="0"/>
        <w:spacing w:before="120" w:after="0" w:line="240" w:lineRule="auto"/>
        <w:jc w:val="center"/>
        <w:rPr>
          <w:rFonts w:ascii="Calibri" w:hAnsi="Calibri" w:cs="Calibri"/>
          <w:b/>
          <w:bCs/>
          <w:lang w:val="es-ES_tradnl"/>
        </w:rPr>
      </w:pPr>
      <w:r w:rsidRPr="00DF5BBF">
        <w:rPr>
          <w:rFonts w:ascii="Calibri" w:hAnsi="Calibri" w:cs="Calibri"/>
          <w:b/>
          <w:bCs/>
          <w:lang w:val="es-ES_tradnl"/>
        </w:rPr>
        <w:t>Instituto sobre Raza, Igualdad y Derechos Humanos</w:t>
      </w:r>
    </w:p>
    <w:p w14:paraId="25BC7A93" w14:textId="1A805906" w:rsidR="001D34BC" w:rsidRPr="00DF5BBF" w:rsidRDefault="001D34BC" w:rsidP="00DF5BBF">
      <w:pPr>
        <w:pStyle w:val="ListParagraph"/>
        <w:numPr>
          <w:ilvl w:val="0"/>
          <w:numId w:val="6"/>
        </w:numPr>
        <w:snapToGrid w:val="0"/>
        <w:spacing w:before="120" w:after="0" w:line="240" w:lineRule="auto"/>
        <w:contextualSpacing w:val="0"/>
        <w:jc w:val="both"/>
        <w:rPr>
          <w:rFonts w:ascii="Calibri" w:hAnsi="Calibri" w:cs="Calibri"/>
          <w:b/>
        </w:rPr>
      </w:pPr>
      <w:r w:rsidRPr="00DF5BBF">
        <w:rPr>
          <w:rFonts w:ascii="Calibri" w:hAnsi="Calibri" w:cs="Calibri"/>
          <w:b/>
        </w:rPr>
        <w:t>Presentación</w:t>
      </w:r>
    </w:p>
    <w:p w14:paraId="5B6404E8" w14:textId="17056C33" w:rsidR="001D34BC" w:rsidRPr="00DF5BBF" w:rsidRDefault="001D34BC" w:rsidP="00DF5BBF">
      <w:pPr>
        <w:snapToGrid w:val="0"/>
        <w:spacing w:before="120" w:after="0" w:line="240" w:lineRule="auto"/>
        <w:jc w:val="both"/>
        <w:rPr>
          <w:rStyle w:val="fontstyle01"/>
          <w:sz w:val="22"/>
          <w:szCs w:val="22"/>
        </w:rPr>
      </w:pPr>
      <w:r w:rsidRPr="00DF5BBF">
        <w:rPr>
          <w:rStyle w:val="fontstyle01"/>
          <w:sz w:val="22"/>
          <w:szCs w:val="22"/>
        </w:rPr>
        <w:t>El Instituto Internacional sobre Raza, Igualdad y Derechos Humanos es una organización no gubernamental internacional que trabaja con organizaciones socias y activistas en América Latina para promover y proteger los derechos humanos de las poblaciones en condiciones de marginación, ya sea por su origen nacional o étnico, su orientación sexual o identidad de género. Fortalecemos a las organizaciones de base para que se conviertan en actores políticos y promuevan cambios estructurales en los países donde trabajamos. Nuestra metodología se basa en la capacitación técnica, la documentación de violaciones de derechos humanos y el trabajo de incidencia a nivel nacional e internacional para lograr cambios estructurales sostenibles.</w:t>
      </w:r>
    </w:p>
    <w:p w14:paraId="0D411DC1" w14:textId="77777777" w:rsidR="000F40E7" w:rsidRPr="00DF5BBF" w:rsidRDefault="000F40E7" w:rsidP="00DF5BBF">
      <w:pPr>
        <w:snapToGrid w:val="0"/>
        <w:spacing w:before="120" w:after="0" w:line="240" w:lineRule="auto"/>
        <w:jc w:val="both"/>
        <w:rPr>
          <w:rFonts w:ascii="Calibri" w:hAnsi="Calibri" w:cs="Calibri"/>
          <w:b/>
        </w:rPr>
      </w:pPr>
    </w:p>
    <w:p w14:paraId="322DB50A" w14:textId="0C562968" w:rsidR="008C23FA" w:rsidRPr="00DF5BBF" w:rsidRDefault="00680C6B" w:rsidP="00DF5BBF">
      <w:pPr>
        <w:pStyle w:val="ListParagraph"/>
        <w:numPr>
          <w:ilvl w:val="0"/>
          <w:numId w:val="6"/>
        </w:numPr>
        <w:snapToGrid w:val="0"/>
        <w:spacing w:before="120" w:after="0" w:line="240" w:lineRule="auto"/>
        <w:contextualSpacing w:val="0"/>
        <w:jc w:val="both"/>
        <w:rPr>
          <w:rStyle w:val="fontstyle01"/>
          <w:b/>
          <w:color w:val="auto"/>
          <w:sz w:val="22"/>
          <w:szCs w:val="22"/>
        </w:rPr>
      </w:pPr>
      <w:r w:rsidRPr="00DF5BBF">
        <w:rPr>
          <w:rFonts w:ascii="Calibri" w:hAnsi="Calibri" w:cs="Calibri"/>
          <w:b/>
        </w:rPr>
        <w:t>Introducción</w:t>
      </w:r>
    </w:p>
    <w:p w14:paraId="3FF15474" w14:textId="2C93529B" w:rsidR="000F40E7" w:rsidRPr="00DF5BBF" w:rsidRDefault="000F40E7" w:rsidP="00DF5BBF">
      <w:pPr>
        <w:snapToGrid w:val="0"/>
        <w:spacing w:before="120" w:after="0" w:line="240" w:lineRule="auto"/>
        <w:jc w:val="both"/>
        <w:rPr>
          <w:rStyle w:val="fontstyle01"/>
          <w:sz w:val="22"/>
          <w:szCs w:val="22"/>
        </w:rPr>
      </w:pPr>
      <w:r w:rsidRPr="00DF5BBF">
        <w:rPr>
          <w:rStyle w:val="fontstyle01"/>
          <w:sz w:val="22"/>
          <w:szCs w:val="22"/>
        </w:rPr>
        <w:t>El Estado cubano presentó ante el Comité un informe unificado que abarca los informes periódicos 22° a 26°</w:t>
      </w:r>
      <w:r w:rsidR="00955462" w:rsidRPr="00DF5BBF">
        <w:rPr>
          <w:rStyle w:val="fontstyle01"/>
          <w:sz w:val="22"/>
          <w:szCs w:val="22"/>
        </w:rPr>
        <w:t xml:space="preserve"> (en adelante, el “informe”)</w:t>
      </w:r>
      <w:r w:rsidRPr="00DF5BBF">
        <w:rPr>
          <w:rStyle w:val="fontstyle01"/>
          <w:sz w:val="22"/>
          <w:szCs w:val="22"/>
        </w:rPr>
        <w:t>, correspondiente al período 2018–2023. Dicho informe expone medidas legislativas, administrativas y judiciales supuestamente adoptadas para cumplir con la Convención.</w:t>
      </w:r>
    </w:p>
    <w:p w14:paraId="3309EF96" w14:textId="2841B112" w:rsidR="001D34BC" w:rsidRPr="00DF5BBF" w:rsidRDefault="000F40E7" w:rsidP="00DF5BBF">
      <w:pPr>
        <w:snapToGrid w:val="0"/>
        <w:spacing w:before="120" w:after="0" w:line="240" w:lineRule="auto"/>
        <w:jc w:val="both"/>
        <w:rPr>
          <w:rStyle w:val="fontstyle01"/>
          <w:sz w:val="22"/>
          <w:szCs w:val="22"/>
        </w:rPr>
      </w:pPr>
      <w:r w:rsidRPr="00DF5BBF">
        <w:rPr>
          <w:rStyle w:val="fontstyle01"/>
          <w:sz w:val="22"/>
          <w:szCs w:val="22"/>
        </w:rPr>
        <w:t>El presente informe sombra tiene por finalidad contrastar la información oficial con datos empíricos, testimonios, análisis jurídicos y estándares internacionales de derechos humanos, con el fin de contribuir a una valoración rigurosa por parte del Comité.</w:t>
      </w:r>
    </w:p>
    <w:p w14:paraId="431D4945" w14:textId="77777777" w:rsidR="000F40E7" w:rsidRPr="00DF5BBF" w:rsidRDefault="000F40E7" w:rsidP="00DF5BBF">
      <w:pPr>
        <w:snapToGrid w:val="0"/>
        <w:spacing w:before="120" w:after="0" w:line="240" w:lineRule="auto"/>
        <w:jc w:val="both"/>
        <w:rPr>
          <w:rStyle w:val="fontstyle01"/>
          <w:sz w:val="22"/>
          <w:szCs w:val="22"/>
        </w:rPr>
      </w:pPr>
    </w:p>
    <w:p w14:paraId="02B2F3F5" w14:textId="729A5007" w:rsidR="000F40E7" w:rsidRPr="00DF5BBF" w:rsidRDefault="000F40E7"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Metodología</w:t>
      </w:r>
    </w:p>
    <w:p w14:paraId="2CF8476F" w14:textId="504CCAC5" w:rsidR="000F40E7" w:rsidRPr="00DF5BBF" w:rsidRDefault="000F40E7" w:rsidP="00DF5BBF">
      <w:pPr>
        <w:snapToGrid w:val="0"/>
        <w:spacing w:before="120" w:after="0" w:line="240" w:lineRule="auto"/>
        <w:jc w:val="both"/>
        <w:rPr>
          <w:rStyle w:val="fontstyle01"/>
          <w:sz w:val="22"/>
          <w:szCs w:val="22"/>
        </w:rPr>
      </w:pPr>
      <w:r w:rsidRPr="00DF5BBF">
        <w:rPr>
          <w:rStyle w:val="fontstyle01"/>
          <w:sz w:val="22"/>
          <w:szCs w:val="22"/>
        </w:rPr>
        <w:t xml:space="preserve">El objetivo de este informe sombra es analizar la discriminación racial en Cuba en el periodo 2018 a 2026 a partir de los estándares internacionales de derechos humanos y de la propia legislación nacional. Para elaborar este informe se utilizó una metodología basada en el análisis de fuentes primarias y secundarias. Como fuentes primarias se emplearon entrevistas realizadas a activistas afrodescendientes cubanos. Como fuentes secundarias, se revisaron legislación nacional, informes de organizaciones de derechos humanos, estudios académicos y estadísticas oficiales. Por último, se realizó un análisis jurídico en el que se confrontó tanto lo afirmado por el Estado en su </w:t>
      </w:r>
      <w:proofErr w:type="gramStart"/>
      <w:r w:rsidRPr="00DF5BBF">
        <w:rPr>
          <w:rStyle w:val="fontstyle01"/>
          <w:sz w:val="22"/>
          <w:szCs w:val="22"/>
        </w:rPr>
        <w:t>informe</w:t>
      </w:r>
      <w:proofErr w:type="gramEnd"/>
      <w:r w:rsidRPr="00DF5BBF">
        <w:rPr>
          <w:rStyle w:val="fontstyle01"/>
          <w:sz w:val="22"/>
          <w:szCs w:val="22"/>
        </w:rPr>
        <w:t xml:space="preserve"> así como la práctica estatal frente a las obligaciones internacionales asumidas por Cuba en virtud de la Convención.</w:t>
      </w:r>
    </w:p>
    <w:p w14:paraId="2F32FCC1" w14:textId="77777777" w:rsidR="000F40E7" w:rsidRPr="00DF5BBF" w:rsidRDefault="000F40E7" w:rsidP="00DF5BBF">
      <w:pPr>
        <w:snapToGrid w:val="0"/>
        <w:spacing w:before="120" w:after="0" w:line="240" w:lineRule="auto"/>
        <w:jc w:val="both"/>
        <w:rPr>
          <w:rFonts w:ascii="Calibri" w:hAnsi="Calibri" w:cs="Calibri"/>
        </w:rPr>
      </w:pPr>
    </w:p>
    <w:p w14:paraId="3DF84FED" w14:textId="72F2EBB1" w:rsidR="00EC6478" w:rsidRPr="00DF5BBF" w:rsidRDefault="00A53861"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 xml:space="preserve">Contexto histórico </w:t>
      </w:r>
      <w:r w:rsidR="00C706C9" w:rsidRPr="00DF5BBF">
        <w:rPr>
          <w:rStyle w:val="fontstyle01"/>
          <w:b/>
          <w:sz w:val="22"/>
          <w:szCs w:val="22"/>
        </w:rPr>
        <w:t xml:space="preserve">cubano </w:t>
      </w:r>
      <w:r w:rsidRPr="00DF5BBF">
        <w:rPr>
          <w:rStyle w:val="fontstyle01"/>
          <w:b/>
          <w:sz w:val="22"/>
          <w:szCs w:val="22"/>
        </w:rPr>
        <w:t>de la discriminación racial</w:t>
      </w:r>
    </w:p>
    <w:p w14:paraId="23E45468" w14:textId="15583266" w:rsidR="001D0BAE" w:rsidRPr="00DF5BBF" w:rsidRDefault="001D0BAE" w:rsidP="00DF5BBF">
      <w:pPr>
        <w:snapToGrid w:val="0"/>
        <w:spacing w:before="120" w:after="0" w:line="240" w:lineRule="auto"/>
        <w:jc w:val="both"/>
        <w:rPr>
          <w:rStyle w:val="fontstyle01"/>
          <w:sz w:val="22"/>
          <w:szCs w:val="22"/>
        </w:rPr>
      </w:pPr>
      <w:r w:rsidRPr="00DF5BBF">
        <w:rPr>
          <w:rStyle w:val="fontstyle01"/>
          <w:sz w:val="22"/>
          <w:szCs w:val="22"/>
        </w:rPr>
        <w:t xml:space="preserve">La discriminación racial en Cuba tiene raíces coloniales profundas, vinculadas al sistema esclavista y a la ideología de la “limpieza de sangre”. Aunque la abolición de la esclavitud en 1886 y la proclamación formal </w:t>
      </w:r>
      <w:r w:rsidRPr="00DF5BBF">
        <w:rPr>
          <w:rStyle w:val="fontstyle01"/>
          <w:sz w:val="22"/>
          <w:szCs w:val="22"/>
        </w:rPr>
        <w:lastRenderedPageBreak/>
        <w:t>de la igualdad jurídica marcaron hitos importantes, no eliminaron la exclusión estructural de la población negra y mestiza.</w:t>
      </w:r>
    </w:p>
    <w:p w14:paraId="24F0404A" w14:textId="7E108FCD" w:rsidR="003F070D" w:rsidRPr="00DF5BBF" w:rsidRDefault="001D0BAE" w:rsidP="00DF5BBF">
      <w:pPr>
        <w:snapToGrid w:val="0"/>
        <w:spacing w:before="120" w:after="0" w:line="240" w:lineRule="auto"/>
        <w:jc w:val="both"/>
        <w:rPr>
          <w:rStyle w:val="fontstyle01"/>
          <w:sz w:val="22"/>
          <w:szCs w:val="22"/>
        </w:rPr>
      </w:pPr>
      <w:r w:rsidRPr="00DF5BBF">
        <w:rPr>
          <w:rStyle w:val="fontstyle01"/>
          <w:sz w:val="22"/>
          <w:szCs w:val="22"/>
        </w:rPr>
        <w:t>Durante la etapa revolucionaria iniciada en 1959, el Estado proclamó la eliminación del racismo como logro político. Sin embargo, la cuestión racial fue convertida en un tabú político, impidiendo su análisis crítico y la adopción de políticas diferenciadas.</w:t>
      </w:r>
    </w:p>
    <w:p w14:paraId="7505510E" w14:textId="77777777" w:rsidR="00F90E21" w:rsidRPr="00DF5BBF" w:rsidRDefault="00F90E21" w:rsidP="00DF5BBF">
      <w:pPr>
        <w:snapToGrid w:val="0"/>
        <w:spacing w:before="120" w:after="0" w:line="240" w:lineRule="auto"/>
        <w:jc w:val="both"/>
        <w:rPr>
          <w:rStyle w:val="fontstyle01"/>
          <w:sz w:val="22"/>
          <w:szCs w:val="22"/>
        </w:rPr>
      </w:pPr>
    </w:p>
    <w:p w14:paraId="08D6528D" w14:textId="49ACC2D5" w:rsidR="003A244E" w:rsidRPr="00DF5BBF" w:rsidRDefault="003A244E"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Impacto diferenciado de la crisis humanitaria en la población afrodescendiente</w:t>
      </w:r>
    </w:p>
    <w:p w14:paraId="793F7D0B" w14:textId="13AD0E74" w:rsidR="007D4723" w:rsidRPr="00DF5BBF" w:rsidRDefault="003A244E" w:rsidP="00DF5BBF">
      <w:pPr>
        <w:snapToGrid w:val="0"/>
        <w:spacing w:before="120" w:after="0" w:line="240" w:lineRule="auto"/>
        <w:jc w:val="both"/>
        <w:rPr>
          <w:rStyle w:val="fontstyle01"/>
          <w:bCs/>
          <w:sz w:val="22"/>
          <w:szCs w:val="22"/>
        </w:rPr>
      </w:pPr>
      <w:r w:rsidRPr="00DF5BBF">
        <w:rPr>
          <w:rStyle w:val="fontstyle01"/>
          <w:bCs/>
          <w:sz w:val="22"/>
          <w:szCs w:val="22"/>
        </w:rPr>
        <w:t>La convergencia de crisis económica, sanitaria, energética y migratoria ha tenido un impacto desproporcionado en la población afrodescendiente, que reside mayoritariamente en barrios marginales, tiene menor acceso a remesas, propiedad y emprendimientos privados, y enfrenta mayores niveles de pobreza extrema y exclusión social</w:t>
      </w:r>
      <w:r w:rsidR="00303101" w:rsidRPr="00DF5BBF">
        <w:rPr>
          <w:rStyle w:val="FootnoteReference"/>
          <w:rFonts w:ascii="Calibri" w:hAnsi="Calibri" w:cs="Calibri"/>
          <w:bCs/>
          <w:color w:val="000000"/>
        </w:rPr>
        <w:footnoteReference w:id="1"/>
      </w:r>
      <w:r w:rsidRPr="00DF5BBF">
        <w:rPr>
          <w:rStyle w:val="fontstyle01"/>
          <w:bCs/>
          <w:sz w:val="22"/>
          <w:szCs w:val="22"/>
        </w:rPr>
        <w:t>.</w:t>
      </w:r>
    </w:p>
    <w:p w14:paraId="1ABA0477" w14:textId="77777777" w:rsidR="007D4723" w:rsidRPr="00DF5BBF" w:rsidRDefault="003A244E" w:rsidP="00DF5BBF">
      <w:pPr>
        <w:snapToGrid w:val="0"/>
        <w:spacing w:before="120" w:after="0" w:line="240" w:lineRule="auto"/>
        <w:jc w:val="both"/>
        <w:rPr>
          <w:rStyle w:val="fontstyle01"/>
          <w:sz w:val="22"/>
          <w:szCs w:val="22"/>
        </w:rPr>
      </w:pPr>
      <w:r w:rsidRPr="00DF5BBF">
        <w:rPr>
          <w:rStyle w:val="fontstyle01"/>
          <w:sz w:val="22"/>
          <w:szCs w:val="22"/>
        </w:rPr>
        <w:t xml:space="preserve">Existe muy poca información sobre la crisis humanitaria del pueblo cubano. </w:t>
      </w:r>
      <w:r w:rsidR="007D4723" w:rsidRPr="00DF5BBF">
        <w:rPr>
          <w:rStyle w:val="fontstyle01"/>
          <w:sz w:val="22"/>
          <w:szCs w:val="22"/>
        </w:rPr>
        <w:t xml:space="preserve">Según estudios realizados en 2019 por el German </w:t>
      </w:r>
      <w:proofErr w:type="spellStart"/>
      <w:r w:rsidR="007D4723" w:rsidRPr="00DF5BBF">
        <w:rPr>
          <w:rStyle w:val="fontstyle01"/>
          <w:sz w:val="22"/>
          <w:szCs w:val="22"/>
        </w:rPr>
        <w:t>Institute</w:t>
      </w:r>
      <w:proofErr w:type="spellEnd"/>
      <w:r w:rsidR="007D4723" w:rsidRPr="00DF5BBF">
        <w:rPr>
          <w:rStyle w:val="fontstyle01"/>
          <w:sz w:val="22"/>
          <w:szCs w:val="22"/>
        </w:rPr>
        <w:t xml:space="preserve"> </w:t>
      </w:r>
      <w:proofErr w:type="spellStart"/>
      <w:r w:rsidR="007D4723" w:rsidRPr="00DF5BBF">
        <w:rPr>
          <w:rStyle w:val="fontstyle01"/>
          <w:sz w:val="22"/>
          <w:szCs w:val="22"/>
        </w:rPr>
        <w:t>of</w:t>
      </w:r>
      <w:proofErr w:type="spellEnd"/>
      <w:r w:rsidR="007D4723" w:rsidRPr="00DF5BBF">
        <w:rPr>
          <w:rStyle w:val="fontstyle01"/>
          <w:sz w:val="22"/>
          <w:szCs w:val="22"/>
        </w:rPr>
        <w:t xml:space="preserve"> Global and </w:t>
      </w:r>
      <w:proofErr w:type="spellStart"/>
      <w:r w:rsidR="007D4723" w:rsidRPr="00DF5BBF">
        <w:rPr>
          <w:rStyle w:val="fontstyle01"/>
          <w:sz w:val="22"/>
          <w:szCs w:val="22"/>
        </w:rPr>
        <w:t>Area</w:t>
      </w:r>
      <w:proofErr w:type="spellEnd"/>
      <w:r w:rsidR="007D4723" w:rsidRPr="00DF5BBF">
        <w:rPr>
          <w:rStyle w:val="fontstyle01"/>
          <w:sz w:val="22"/>
          <w:szCs w:val="22"/>
        </w:rPr>
        <w:t xml:space="preserve"> </w:t>
      </w:r>
      <w:proofErr w:type="spellStart"/>
      <w:r w:rsidR="007D4723" w:rsidRPr="00DF5BBF">
        <w:rPr>
          <w:rStyle w:val="fontstyle01"/>
          <w:sz w:val="22"/>
          <w:szCs w:val="22"/>
        </w:rPr>
        <w:t>Studies</w:t>
      </w:r>
      <w:proofErr w:type="spellEnd"/>
      <w:r w:rsidR="007D4723" w:rsidRPr="00DF5BBF">
        <w:rPr>
          <w:rStyle w:val="fontstyle01"/>
          <w:sz w:val="22"/>
          <w:szCs w:val="22"/>
        </w:rPr>
        <w:t xml:space="preserve"> (GIGA), tan sólo un 11% de la población negra tiene cuentas bancarias de ahorro y sólo el 3% ha viajado al exterior de la Isla</w:t>
      </w:r>
      <w:r w:rsidR="007D4723" w:rsidRPr="00DF5BBF">
        <w:rPr>
          <w:rStyle w:val="FootnoteReference"/>
          <w:rFonts w:ascii="Calibri" w:hAnsi="Calibri" w:cs="Calibri"/>
          <w:color w:val="000000"/>
        </w:rPr>
        <w:footnoteReference w:id="2"/>
      </w:r>
      <w:r w:rsidR="007D4723" w:rsidRPr="00DF5BBF">
        <w:rPr>
          <w:rStyle w:val="fontstyle01"/>
          <w:sz w:val="22"/>
          <w:szCs w:val="22"/>
        </w:rPr>
        <w:t>. Por otro lado, según este estudio las personas clasificadas como blancas captaban el 76% del volumen de las remesas llegadas a Cuba, mientras que las personas negras y mestizas solo se beneficiaban del 29%</w:t>
      </w:r>
      <w:r w:rsidR="007D4723" w:rsidRPr="00DF5BBF">
        <w:rPr>
          <w:rStyle w:val="FootnoteReference"/>
          <w:rFonts w:ascii="Calibri" w:hAnsi="Calibri" w:cs="Calibri"/>
          <w:color w:val="000000"/>
        </w:rPr>
        <w:footnoteReference w:id="3"/>
      </w:r>
      <w:r w:rsidR="007D4723" w:rsidRPr="00DF5BBF">
        <w:rPr>
          <w:rStyle w:val="fontstyle01"/>
          <w:sz w:val="22"/>
          <w:szCs w:val="22"/>
        </w:rPr>
        <w:t>. También la propia encuesta reveló que el 98% de los servicios de hospedaje y restaurantes para el turismo son de propiedad de blancos</w:t>
      </w:r>
      <w:r w:rsidR="007D4723" w:rsidRPr="00DF5BBF">
        <w:rPr>
          <w:rStyle w:val="FootnoteReference"/>
          <w:rFonts w:ascii="Calibri" w:hAnsi="Calibri" w:cs="Calibri"/>
          <w:color w:val="000000"/>
        </w:rPr>
        <w:footnoteReference w:id="4"/>
      </w:r>
      <w:r w:rsidR="007D4723" w:rsidRPr="00DF5BBF">
        <w:rPr>
          <w:rStyle w:val="fontstyle01"/>
          <w:sz w:val="22"/>
          <w:szCs w:val="22"/>
        </w:rPr>
        <w:t xml:space="preserve">. </w:t>
      </w:r>
    </w:p>
    <w:p w14:paraId="477DBE67" w14:textId="66842898" w:rsidR="007D4723" w:rsidRPr="00DF5BBF" w:rsidRDefault="007D4723" w:rsidP="00DF5BBF">
      <w:pPr>
        <w:snapToGrid w:val="0"/>
        <w:spacing w:before="120" w:after="0" w:line="240" w:lineRule="auto"/>
        <w:jc w:val="both"/>
        <w:rPr>
          <w:rStyle w:val="fontstyle01"/>
          <w:sz w:val="22"/>
          <w:szCs w:val="22"/>
        </w:rPr>
      </w:pPr>
      <w:r w:rsidRPr="00DF5BBF">
        <w:rPr>
          <w:rStyle w:val="fontstyle01"/>
          <w:sz w:val="22"/>
          <w:szCs w:val="22"/>
        </w:rPr>
        <w:t xml:space="preserve">Otras cifras reveladoras indican </w:t>
      </w:r>
      <w:r w:rsidR="00691249" w:rsidRPr="00DF5BBF">
        <w:rPr>
          <w:rStyle w:val="fontstyle01"/>
          <w:sz w:val="22"/>
          <w:szCs w:val="22"/>
        </w:rPr>
        <w:t>que,</w:t>
      </w:r>
      <w:r w:rsidRPr="00DF5BBF">
        <w:rPr>
          <w:rStyle w:val="fontstyle01"/>
          <w:sz w:val="22"/>
          <w:szCs w:val="22"/>
        </w:rPr>
        <w:t xml:space="preserve"> en el 2019, el Fondo de las Naciones Unidas para la Infancia (UNICEF), aplicó la Encuesta de Indicadores, Múltiples por Conglomerados, MICS, a 11.966 hogares cubanos. Los resultados evidenciaron una brecha digital entre las familias blancas y negras, las primeras acreditaron 4,1% de acceso doméstico a Internet y 70,7% de posesión de líneas móviles, mientras que para negros y mestizos las cifras arrojaron 2,4% y 61,1% respectivamente.</w:t>
      </w:r>
      <w:r w:rsidRPr="00DF5BBF">
        <w:rPr>
          <w:rStyle w:val="FootnoteReference"/>
          <w:rFonts w:ascii="Calibri" w:hAnsi="Calibri" w:cs="Calibri"/>
          <w:color w:val="000000"/>
        </w:rPr>
        <w:footnoteReference w:id="5"/>
      </w:r>
    </w:p>
    <w:p w14:paraId="17D98F3A" w14:textId="226A2D89" w:rsidR="003A244E" w:rsidRPr="00DF5BBF" w:rsidRDefault="007D4723" w:rsidP="00DF5BBF">
      <w:pPr>
        <w:snapToGrid w:val="0"/>
        <w:spacing w:before="120" w:after="0" w:line="240" w:lineRule="auto"/>
        <w:jc w:val="both"/>
        <w:rPr>
          <w:rStyle w:val="fontstyle01"/>
          <w:sz w:val="22"/>
          <w:szCs w:val="22"/>
        </w:rPr>
      </w:pPr>
      <w:r w:rsidRPr="00DF5BBF">
        <w:rPr>
          <w:rStyle w:val="fontstyle01"/>
          <w:sz w:val="22"/>
          <w:szCs w:val="22"/>
        </w:rPr>
        <w:t>U</w:t>
      </w:r>
      <w:r w:rsidR="003A244E" w:rsidRPr="00DF5BBF">
        <w:rPr>
          <w:rStyle w:val="fontstyle01"/>
          <w:sz w:val="22"/>
          <w:szCs w:val="22"/>
        </w:rPr>
        <w:t>n informe del Observatorio Cubano de Derechos Humanos</w:t>
      </w:r>
      <w:r w:rsidRPr="00DF5BBF">
        <w:rPr>
          <w:rStyle w:val="fontstyle01"/>
          <w:sz w:val="22"/>
          <w:szCs w:val="22"/>
        </w:rPr>
        <w:t xml:space="preserve"> del año 2024 reveló que</w:t>
      </w:r>
      <w:r w:rsidR="003A244E" w:rsidRPr="00DF5BBF">
        <w:rPr>
          <w:rStyle w:val="fontstyle01"/>
          <w:sz w:val="22"/>
          <w:szCs w:val="22"/>
        </w:rPr>
        <w:t xml:space="preserve"> del total de encuestados 61% dijo tener problemas para comprar lo más esencial para sobrevivir</w:t>
      </w:r>
      <w:r w:rsidRPr="00DF5BBF">
        <w:rPr>
          <w:rStyle w:val="fontstyle01"/>
          <w:sz w:val="22"/>
          <w:szCs w:val="22"/>
        </w:rPr>
        <w:t xml:space="preserve"> y</w:t>
      </w:r>
      <w:r w:rsidR="003A244E" w:rsidRPr="00DF5BBF">
        <w:rPr>
          <w:rStyle w:val="fontstyle01"/>
          <w:sz w:val="22"/>
          <w:szCs w:val="22"/>
        </w:rPr>
        <w:t xml:space="preserve"> en</w:t>
      </w:r>
      <w:r w:rsidR="00303101" w:rsidRPr="00DF5BBF">
        <w:rPr>
          <w:rStyle w:val="fontstyle01"/>
          <w:sz w:val="22"/>
          <w:szCs w:val="22"/>
        </w:rPr>
        <w:t xml:space="preserve"> el caso de</w:t>
      </w:r>
      <w:r w:rsidR="003A244E" w:rsidRPr="00DF5BBF">
        <w:rPr>
          <w:rStyle w:val="fontstyle01"/>
          <w:sz w:val="22"/>
          <w:szCs w:val="22"/>
        </w:rPr>
        <w:t xml:space="preserve"> la población afrocubana la cifra se ubica en el 68%</w:t>
      </w:r>
      <w:r w:rsidR="003A244E" w:rsidRPr="00DF5BBF">
        <w:rPr>
          <w:rStyle w:val="FootnoteReference"/>
          <w:rFonts w:ascii="Calibri" w:hAnsi="Calibri" w:cs="Calibri"/>
          <w:color w:val="000000"/>
        </w:rPr>
        <w:footnoteReference w:id="6"/>
      </w:r>
      <w:r w:rsidR="003A244E" w:rsidRPr="00DF5BBF">
        <w:rPr>
          <w:rStyle w:val="fontstyle01"/>
          <w:sz w:val="22"/>
          <w:szCs w:val="22"/>
        </w:rPr>
        <w:t xml:space="preserve">. </w:t>
      </w:r>
    </w:p>
    <w:p w14:paraId="7BFBA4E1" w14:textId="77777777" w:rsidR="003C59F1" w:rsidRPr="00DF5BBF" w:rsidRDefault="003A244E" w:rsidP="00DF5BBF">
      <w:pPr>
        <w:snapToGrid w:val="0"/>
        <w:spacing w:before="120" w:after="0" w:line="240" w:lineRule="auto"/>
        <w:jc w:val="both"/>
        <w:rPr>
          <w:rStyle w:val="fontstyle01"/>
          <w:sz w:val="22"/>
          <w:szCs w:val="22"/>
        </w:rPr>
      </w:pPr>
      <w:r w:rsidRPr="00DF5BBF">
        <w:rPr>
          <w:rStyle w:val="fontstyle01"/>
          <w:sz w:val="22"/>
          <w:szCs w:val="22"/>
        </w:rPr>
        <w:lastRenderedPageBreak/>
        <w:t xml:space="preserve">A partir del 3 de enero de 2026, cuando se produjo la captura de Nicolás Maduro Moros en Caracas, por fuerzas especiales de los Estados Unidos, la crisis humanitaria en Cuba se ha recrudecido, entre otros motivos por la suspensión de envíos de petróleo desde Venezuela, que ha llevado al gobierno cubano a iniciar el tránsito gradual hacia la llamada “opción 0”, que no es más que un brutal recorte de combustible, que significa la paralización del transporte público y privado, la reducción drástica de la generación eléctrica y el cierre de centros laborales, escuelas, centros de recreación, servicios públicos. En medio de esta crisis humanitaria los afrocubanos llevan la peor parte al residir en barrios marginales insalubres, fuera de la protección del deteriorado sistema de atención médica primaria. Otro impacto grande contra la población afrodescendiente ha sido el vaciamiento de la llamada libreta de abastecimiento o cartilla de racionamiento, subsistente en Cuba desde el año 1962. Esta era una forma de garantizar igualdad alimentaria independientemente del color de la piel, pero al desaparecer de hecho su oferta, se profundiza la brecha económica entre los blancos y los negros y mulatos, que tienen muchas menos posibilidades adquisitivas para comprar alimentos en la economía privada, paralela a la inexistente oferta estatal. </w:t>
      </w:r>
    </w:p>
    <w:p w14:paraId="49C67F75" w14:textId="77777777" w:rsidR="003A244E" w:rsidRPr="00DF5BBF" w:rsidRDefault="003A244E" w:rsidP="00DF5BBF">
      <w:pPr>
        <w:snapToGrid w:val="0"/>
        <w:spacing w:before="120" w:after="0" w:line="240" w:lineRule="auto"/>
        <w:jc w:val="both"/>
        <w:rPr>
          <w:rStyle w:val="fontstyle01"/>
          <w:b/>
          <w:sz w:val="22"/>
          <w:szCs w:val="22"/>
        </w:rPr>
      </w:pPr>
    </w:p>
    <w:p w14:paraId="43E0A71B" w14:textId="4EC22EA6" w:rsidR="00056071" w:rsidRPr="00DF5BBF" w:rsidRDefault="00056071"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Protestas del 11 y 12 de julio de 2021</w:t>
      </w:r>
    </w:p>
    <w:p w14:paraId="35762E1D" w14:textId="77777777" w:rsidR="001E1C16" w:rsidRPr="00DF5BBF" w:rsidRDefault="00056071" w:rsidP="00DF5BBF">
      <w:pPr>
        <w:snapToGrid w:val="0"/>
        <w:spacing w:before="120" w:after="0" w:line="240" w:lineRule="auto"/>
        <w:jc w:val="both"/>
        <w:rPr>
          <w:rStyle w:val="fontstyle01"/>
          <w:bCs/>
          <w:sz w:val="22"/>
          <w:szCs w:val="22"/>
        </w:rPr>
      </w:pPr>
      <w:r w:rsidRPr="00DF5BBF">
        <w:rPr>
          <w:rStyle w:val="fontstyle01"/>
          <w:bCs/>
          <w:sz w:val="22"/>
          <w:szCs w:val="22"/>
        </w:rPr>
        <w:t>Si hablamos de impactos diferenciados, las protestas que ocurrieron entre los días 11 y 12 de julio de 2021 (conocidas popularmente como “11J”), representan</w:t>
      </w:r>
      <w:r w:rsidR="001E1C16" w:rsidRPr="00DF5BBF">
        <w:rPr>
          <w:rStyle w:val="fontstyle01"/>
          <w:bCs/>
          <w:sz w:val="22"/>
          <w:szCs w:val="22"/>
        </w:rPr>
        <w:t xml:space="preserve"> un ejemplo de cómo la población afrodescendiente enfrenta una situación de vulnerabilidad en Cuba.</w:t>
      </w:r>
    </w:p>
    <w:p w14:paraId="3ED0F10D" w14:textId="390138EF" w:rsidR="001E1C16" w:rsidRPr="00DF5BBF" w:rsidRDefault="001E1C16" w:rsidP="00DF5BBF">
      <w:pPr>
        <w:snapToGrid w:val="0"/>
        <w:spacing w:before="120" w:after="0" w:line="240" w:lineRule="auto"/>
        <w:jc w:val="both"/>
        <w:rPr>
          <w:rFonts w:ascii="Calibri" w:hAnsi="Calibri" w:cs="Calibri"/>
          <w:lang w:val="es-ES_tradnl"/>
        </w:rPr>
      </w:pPr>
      <w:r w:rsidRPr="00DF5BBF">
        <w:rPr>
          <w:rStyle w:val="fontstyle01"/>
          <w:bCs/>
          <w:sz w:val="22"/>
          <w:szCs w:val="22"/>
        </w:rPr>
        <w:t xml:space="preserve">Por un lado, </w:t>
      </w:r>
      <w:r w:rsidRPr="00DF5BBF">
        <w:rPr>
          <w:rFonts w:ascii="Calibri" w:hAnsi="Calibri" w:cs="Calibri"/>
          <w:lang w:val="es-ES_tradnl"/>
        </w:rPr>
        <w:t>la CIDH afirmó que “la desigualdad racial también habría sido uno de los orígenes que desencadenaron las manifestaciones sociales del 11 de julio, dado que las personas afrodescendientes han estado excluidas de diferentes sectores económicos y sociales, y que el modelo económico imperante en Cuba profundizaría las condiciones de desigualdad a las que han estado expuestas históricamente”</w:t>
      </w:r>
      <w:r w:rsidRPr="00DF5BBF">
        <w:rPr>
          <w:rStyle w:val="FootnoteReference"/>
          <w:rFonts w:ascii="Calibri" w:hAnsi="Calibri" w:cs="Calibri"/>
          <w:lang w:val="es-ES_tradnl"/>
        </w:rPr>
        <w:footnoteReference w:id="7"/>
      </w:r>
      <w:r w:rsidRPr="00DF5BBF">
        <w:rPr>
          <w:rFonts w:ascii="Calibri" w:hAnsi="Calibri" w:cs="Calibri"/>
          <w:lang w:val="es-ES_tradnl"/>
        </w:rPr>
        <w:t>.</w:t>
      </w:r>
    </w:p>
    <w:p w14:paraId="13D24402" w14:textId="6D4C971C" w:rsidR="00056071" w:rsidRPr="00DF5BBF" w:rsidRDefault="001E1C16" w:rsidP="00DF5BBF">
      <w:pPr>
        <w:snapToGrid w:val="0"/>
        <w:spacing w:before="120" w:after="0" w:line="240" w:lineRule="auto"/>
        <w:jc w:val="both"/>
        <w:rPr>
          <w:rStyle w:val="fontstyle01"/>
          <w:bCs/>
          <w:sz w:val="22"/>
          <w:szCs w:val="22"/>
        </w:rPr>
      </w:pPr>
      <w:r w:rsidRPr="00DF5BBF">
        <w:rPr>
          <w:rFonts w:ascii="Calibri" w:hAnsi="Calibri" w:cs="Calibri"/>
          <w:lang w:val="es-ES_tradnl"/>
        </w:rPr>
        <w:t>Y al mismo tiempo, esta destacó que había recibido información que indicaba que la represión estatal durante las protestas del "11J" había afectado de manera desproporcionada a las personas afrodescendientes</w:t>
      </w:r>
      <w:r w:rsidRPr="00DF5BBF">
        <w:rPr>
          <w:rStyle w:val="FootnoteReference"/>
          <w:rFonts w:ascii="Calibri" w:hAnsi="Calibri" w:cs="Calibri"/>
          <w:lang w:val="es-ES_tradnl"/>
        </w:rPr>
        <w:footnoteReference w:id="8"/>
      </w:r>
      <w:r w:rsidRPr="00DF5BBF">
        <w:rPr>
          <w:rFonts w:ascii="Calibri" w:hAnsi="Calibri" w:cs="Calibri"/>
          <w:lang w:val="es-ES_tradnl"/>
        </w:rPr>
        <w:t xml:space="preserve"> donde los </w:t>
      </w:r>
      <w:r w:rsidRPr="00DF5BBF">
        <w:rPr>
          <w:rFonts w:ascii="Calibri" w:eastAsia="Cambria" w:hAnsi="Calibri" w:cs="Calibri"/>
          <w:lang w:val="es-ES_tradnl"/>
        </w:rPr>
        <w:t xml:space="preserve">encargados del orden habían </w:t>
      </w:r>
      <w:r w:rsidRPr="00DF5BBF">
        <w:rPr>
          <w:rFonts w:ascii="Calibri" w:hAnsi="Calibri" w:cs="Calibri"/>
          <w:lang w:val="es-ES_tradnl"/>
        </w:rPr>
        <w:t>aplicado</w:t>
      </w:r>
      <w:r w:rsidRPr="00DF5BBF">
        <w:rPr>
          <w:rFonts w:ascii="Calibri" w:eastAsia="Cambria" w:hAnsi="Calibri" w:cs="Calibri"/>
          <w:lang w:val="es-ES_tradnl"/>
        </w:rPr>
        <w:t xml:space="preserve"> prácticas de perfilado racial y uso excesivo de la fuerza contra personas afrocubanas que participaron en las protestas sociales</w:t>
      </w:r>
      <w:r w:rsidRPr="00DF5BBF">
        <w:rPr>
          <w:rStyle w:val="FootnoteReference"/>
          <w:rFonts w:ascii="Calibri" w:hAnsi="Calibri" w:cs="Calibri"/>
          <w:lang w:val="es-ES_tradnl"/>
        </w:rPr>
        <w:footnoteReference w:id="9"/>
      </w:r>
      <w:r w:rsidRPr="00DF5BBF">
        <w:rPr>
          <w:rFonts w:ascii="Calibri" w:eastAsia="Cambria" w:hAnsi="Calibri" w:cs="Calibri"/>
          <w:lang w:val="es-ES_tradnl"/>
        </w:rPr>
        <w:t>.</w:t>
      </w:r>
      <w:r w:rsidR="00056071" w:rsidRPr="00DF5BBF">
        <w:rPr>
          <w:rStyle w:val="fontstyle01"/>
          <w:bCs/>
          <w:sz w:val="22"/>
          <w:szCs w:val="22"/>
        </w:rPr>
        <w:t xml:space="preserve"> </w:t>
      </w:r>
    </w:p>
    <w:p w14:paraId="41B53F4D" w14:textId="7C1ECCC9" w:rsidR="001E1C16" w:rsidRPr="00DF5BBF" w:rsidRDefault="001E1C16" w:rsidP="00DF5BBF">
      <w:pPr>
        <w:snapToGrid w:val="0"/>
        <w:spacing w:before="120" w:after="0" w:line="240" w:lineRule="auto"/>
        <w:jc w:val="both"/>
        <w:rPr>
          <w:rStyle w:val="fontstyle01"/>
          <w:bCs/>
          <w:sz w:val="22"/>
          <w:szCs w:val="22"/>
        </w:rPr>
      </w:pPr>
      <w:r w:rsidRPr="00DF5BBF">
        <w:rPr>
          <w:rStyle w:val="fontstyle01"/>
          <w:bCs/>
          <w:sz w:val="22"/>
          <w:szCs w:val="22"/>
        </w:rPr>
        <w:t xml:space="preserve">Por último, </w:t>
      </w:r>
      <w:r w:rsidRPr="00DF5BBF">
        <w:rPr>
          <w:rStyle w:val="fontstyle01"/>
          <w:sz w:val="22"/>
          <w:szCs w:val="22"/>
        </w:rPr>
        <w:t xml:space="preserve">un informe de la organización </w:t>
      </w:r>
      <w:proofErr w:type="spellStart"/>
      <w:r w:rsidRPr="00DF5BBF">
        <w:rPr>
          <w:rStyle w:val="fontstyle01"/>
          <w:sz w:val="22"/>
          <w:szCs w:val="22"/>
        </w:rPr>
        <w:t>Cubalex</w:t>
      </w:r>
      <w:proofErr w:type="spellEnd"/>
      <w:r w:rsidRPr="00DF5BBF">
        <w:rPr>
          <w:rStyle w:val="fontstyle01"/>
          <w:sz w:val="22"/>
          <w:szCs w:val="22"/>
        </w:rPr>
        <w:t xml:space="preserve"> reveló que en los procesos penales por los hechos del 11J los afrodescendientes recibieron las sanciones más severas, comparados con las sanciones a los blancos</w:t>
      </w:r>
      <w:r w:rsidRPr="00DF5BBF">
        <w:rPr>
          <w:rStyle w:val="FootnoteReference"/>
          <w:rFonts w:ascii="Calibri" w:hAnsi="Calibri" w:cs="Calibri"/>
          <w:color w:val="000000"/>
        </w:rPr>
        <w:footnoteReference w:id="10"/>
      </w:r>
      <w:r w:rsidRPr="00DF5BBF">
        <w:rPr>
          <w:rStyle w:val="fontstyle01"/>
          <w:sz w:val="22"/>
          <w:szCs w:val="22"/>
        </w:rPr>
        <w:t>. De acuerdo con esta ONG, los afrodescendientes recibieron sanciones con una duración promedio de 13,02 años, “mientras que las personas no afrodescendientes, bajo la misma clasificación, tienen sanciones promedio de 12,0 años”</w:t>
      </w:r>
      <w:r w:rsidRPr="00DF5BBF">
        <w:rPr>
          <w:rStyle w:val="FootnoteReference"/>
          <w:rFonts w:ascii="Calibri" w:hAnsi="Calibri" w:cs="Calibri"/>
          <w:color w:val="000000"/>
        </w:rPr>
        <w:footnoteReference w:id="11"/>
      </w:r>
      <w:r w:rsidRPr="00DF5BBF">
        <w:rPr>
          <w:rStyle w:val="fontstyle01"/>
          <w:sz w:val="22"/>
          <w:szCs w:val="22"/>
        </w:rPr>
        <w:t>.</w:t>
      </w:r>
    </w:p>
    <w:p w14:paraId="00B7B0DA" w14:textId="77777777" w:rsidR="00056071" w:rsidRPr="00DF5BBF" w:rsidRDefault="00056071" w:rsidP="00DF5BBF">
      <w:pPr>
        <w:snapToGrid w:val="0"/>
        <w:spacing w:before="120" w:after="0" w:line="240" w:lineRule="auto"/>
        <w:jc w:val="both"/>
        <w:rPr>
          <w:rStyle w:val="fontstyle01"/>
          <w:b/>
          <w:sz w:val="22"/>
          <w:szCs w:val="22"/>
        </w:rPr>
      </w:pPr>
    </w:p>
    <w:p w14:paraId="64BB6F08" w14:textId="0DC46EF0" w:rsidR="00F90E21" w:rsidRPr="00DF5BBF" w:rsidRDefault="00F90E21"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lastRenderedPageBreak/>
        <w:t>Persistencia de la situación</w:t>
      </w:r>
      <w:r w:rsidR="00903B67" w:rsidRPr="00DF5BBF">
        <w:rPr>
          <w:rStyle w:val="fontstyle01"/>
          <w:b/>
          <w:sz w:val="22"/>
          <w:szCs w:val="22"/>
        </w:rPr>
        <w:t xml:space="preserve"> estructural</w:t>
      </w:r>
      <w:r w:rsidRPr="00DF5BBF">
        <w:rPr>
          <w:rStyle w:val="fontstyle01"/>
          <w:b/>
          <w:sz w:val="22"/>
          <w:szCs w:val="22"/>
        </w:rPr>
        <w:t xml:space="preserve"> de discriminación racial</w:t>
      </w:r>
      <w:r w:rsidR="008A4E30" w:rsidRPr="00DF5BBF">
        <w:rPr>
          <w:rStyle w:val="fontstyle01"/>
          <w:b/>
          <w:sz w:val="22"/>
          <w:szCs w:val="22"/>
        </w:rPr>
        <w:t xml:space="preserve"> </w:t>
      </w:r>
    </w:p>
    <w:p w14:paraId="62D807FC" w14:textId="77777777" w:rsidR="008A4E30" w:rsidRPr="00DF5BBF" w:rsidRDefault="008A4E30"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En el período que se revisa en este proceso, la Comisión Interamericana de Derechos Humanos (en adelante, “CIDH”) ha denunciado </w:t>
      </w:r>
      <w:r w:rsidRPr="00DF5BBF">
        <w:rPr>
          <w:rFonts w:ascii="Calibri" w:eastAsia="Cambria" w:hAnsi="Calibri" w:cs="Calibri"/>
          <w:lang w:val="es-ES_tradnl"/>
        </w:rPr>
        <w:t>que persisten patrones de discriminación racial en Cuba y que las personas afrodescendientes no han dejado de padecer las desigualdades históricas</w:t>
      </w:r>
      <w:r w:rsidRPr="00DF5BBF">
        <w:rPr>
          <w:rStyle w:val="FootnoteReference"/>
          <w:rFonts w:ascii="Calibri" w:hAnsi="Calibri" w:cs="Calibri"/>
          <w:lang w:val="es-ES_tradnl"/>
        </w:rPr>
        <w:footnoteReference w:id="12"/>
      </w:r>
      <w:r w:rsidRPr="00DF5BBF">
        <w:rPr>
          <w:rFonts w:ascii="Calibri" w:eastAsia="Cambria" w:hAnsi="Calibri" w:cs="Calibri"/>
          <w:lang w:val="es-ES_tradnl"/>
        </w:rPr>
        <w:t>. Así, explicó que el racismo estructural fue el que generó la negación de la propia existencia del racismo por parte del Estado y la ausencia de políticas públicas para contrarrestarlo</w:t>
      </w:r>
      <w:r w:rsidRPr="00DF5BBF">
        <w:rPr>
          <w:rStyle w:val="FootnoteReference"/>
          <w:rFonts w:ascii="Calibri" w:hAnsi="Calibri" w:cs="Calibri"/>
          <w:lang w:val="es-ES_tradnl"/>
        </w:rPr>
        <w:footnoteReference w:id="13"/>
      </w:r>
      <w:r w:rsidRPr="00DF5BBF">
        <w:rPr>
          <w:rFonts w:ascii="Calibri" w:eastAsia="Cambria" w:hAnsi="Calibri" w:cs="Calibri"/>
          <w:lang w:val="es-ES_tradnl"/>
        </w:rPr>
        <w:t xml:space="preserve">. </w:t>
      </w:r>
    </w:p>
    <w:p w14:paraId="14B72F6F" w14:textId="77777777" w:rsidR="008A4E30" w:rsidRPr="00DF5BBF" w:rsidRDefault="008A4E30"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En su más reciente informe anual, la CIDH reiteró su inquietud “en cuanto a la persistencia de desafíos en la implementación de acciones y medidas para la eliminación de la discriminación racial y estructural en el país; así como respecto a la situación de extrema vulnerabilidad a la que sigue expuesta este grupo étnico-racial”</w:t>
      </w:r>
      <w:r w:rsidRPr="00DF5BBF">
        <w:rPr>
          <w:rStyle w:val="FootnoteReference"/>
          <w:rFonts w:ascii="Calibri" w:hAnsi="Calibri" w:cs="Calibri"/>
          <w:lang w:val="es-ES_tradnl"/>
        </w:rPr>
        <w:footnoteReference w:id="14"/>
      </w:r>
      <w:r w:rsidRPr="00DF5BBF">
        <w:rPr>
          <w:rFonts w:ascii="Calibri" w:hAnsi="Calibri" w:cs="Calibri"/>
          <w:lang w:val="es-ES_tradnl"/>
        </w:rPr>
        <w:t>.</w:t>
      </w:r>
    </w:p>
    <w:p w14:paraId="24F95926" w14:textId="4A461C9F"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Aún ante la existencia de evidencia y las advertencias de este Honorable Comité y organismos como la CIDH, el Estado continúa afirmando desde hace años que la Revolución Cubana de 1959 terminó con el racismo estructural. Esto lo reiteró ante este Honorable Comité Rodolfo Reyes Rodríguez, </w:t>
      </w:r>
      <w:proofErr w:type="gramStart"/>
      <w:r w:rsidRPr="00DF5BBF">
        <w:rPr>
          <w:rFonts w:ascii="Calibri" w:hAnsi="Calibri" w:cs="Calibri"/>
          <w:lang w:val="es-ES_tradnl"/>
        </w:rPr>
        <w:t>Director General</w:t>
      </w:r>
      <w:proofErr w:type="gramEnd"/>
      <w:r w:rsidRPr="00DF5BBF">
        <w:rPr>
          <w:rFonts w:ascii="Calibri" w:hAnsi="Calibri" w:cs="Calibri"/>
          <w:lang w:val="es-ES_tradnl"/>
        </w:rPr>
        <w:t xml:space="preserve"> de Asuntos Multilaterales y Derecho Internacional de la Cancillería de Cuba y </w:t>
      </w:r>
      <w:proofErr w:type="gramStart"/>
      <w:r w:rsidRPr="00DF5BBF">
        <w:rPr>
          <w:rFonts w:ascii="Calibri" w:hAnsi="Calibri" w:cs="Calibri"/>
          <w:lang w:val="es-ES_tradnl"/>
        </w:rPr>
        <w:t>Jefe</w:t>
      </w:r>
      <w:proofErr w:type="gramEnd"/>
      <w:r w:rsidRPr="00DF5BBF">
        <w:rPr>
          <w:rFonts w:ascii="Calibri" w:hAnsi="Calibri" w:cs="Calibri"/>
          <w:lang w:val="es-ES_tradnl"/>
        </w:rPr>
        <w:t xml:space="preserve"> de la Delegación cubana en la presentación del informe periódico de Cuba en el año 2018, asegurando que “fue la Revolución la que erradicó definitivamente la discriminación racial institucionalizada y las prácticas de segregación que había en el país antes de 1959”</w:t>
      </w:r>
      <w:r w:rsidRPr="00DF5BBF">
        <w:rPr>
          <w:rStyle w:val="FootnoteReference"/>
          <w:rFonts w:ascii="Calibri" w:hAnsi="Calibri" w:cs="Calibri"/>
          <w:lang w:val="es-ES_tradnl"/>
        </w:rPr>
        <w:footnoteReference w:id="15"/>
      </w:r>
      <w:r w:rsidRPr="00DF5BBF">
        <w:rPr>
          <w:rFonts w:ascii="Calibri" w:hAnsi="Calibri" w:cs="Calibri"/>
          <w:lang w:val="es-ES_tradnl"/>
        </w:rPr>
        <w:t>. Recientemente, afirmó que la Revolución Cubana de 1959 “demolió las bases estructurales del racismo”</w:t>
      </w:r>
      <w:r w:rsidRPr="00DF5BBF">
        <w:rPr>
          <w:rStyle w:val="FootnoteReference"/>
          <w:rFonts w:ascii="Calibri" w:hAnsi="Calibri" w:cs="Calibri"/>
          <w:lang w:val="es-ES_tradnl"/>
        </w:rPr>
        <w:footnoteReference w:id="16"/>
      </w:r>
      <w:r w:rsidRPr="00DF5BBF">
        <w:rPr>
          <w:rFonts w:ascii="Calibri" w:hAnsi="Calibri" w:cs="Calibri"/>
          <w:lang w:val="es-ES_tradnl"/>
        </w:rPr>
        <w:t xml:space="preserve"> y “eliminó para siempre la discriminación racial institucionalizada”</w:t>
      </w:r>
      <w:r w:rsidRPr="00DF5BBF">
        <w:rPr>
          <w:rStyle w:val="FootnoteReference"/>
          <w:rFonts w:ascii="Calibri" w:hAnsi="Calibri" w:cs="Calibri"/>
          <w:lang w:val="es-ES_tradnl"/>
        </w:rPr>
        <w:footnoteReference w:id="17"/>
      </w:r>
      <w:r w:rsidRPr="00DF5BBF">
        <w:rPr>
          <w:rFonts w:ascii="Calibri" w:hAnsi="Calibri" w:cs="Calibri"/>
          <w:lang w:val="es-ES_tradnl"/>
        </w:rPr>
        <w:t>.</w:t>
      </w:r>
    </w:p>
    <w:p w14:paraId="0CDDD329" w14:textId="77777777"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Algo más sutil, en su informe al presente proceso de revisión, el Estado nuevamente habla de “acciones para combatir y eliminar definitivamente los </w:t>
      </w:r>
      <w:r w:rsidRPr="00DF5BBF">
        <w:rPr>
          <w:rFonts w:ascii="Calibri" w:hAnsi="Calibri" w:cs="Calibri"/>
          <w:b/>
          <w:bCs/>
          <w:lang w:val="es-ES_tradnl"/>
        </w:rPr>
        <w:t>vestigios</w:t>
      </w:r>
      <w:r w:rsidRPr="00DF5BBF">
        <w:rPr>
          <w:rFonts w:ascii="Calibri" w:hAnsi="Calibri" w:cs="Calibri"/>
          <w:lang w:val="es-ES_tradnl"/>
        </w:rPr>
        <w:t xml:space="preserve"> de racismo, </w:t>
      </w:r>
      <w:proofErr w:type="gramStart"/>
      <w:r w:rsidRPr="00DF5BBF">
        <w:rPr>
          <w:rFonts w:ascii="Calibri" w:hAnsi="Calibri" w:cs="Calibri"/>
          <w:lang w:val="es-ES_tradnl"/>
        </w:rPr>
        <w:t>prejuicios raciales y discriminación racial</w:t>
      </w:r>
      <w:proofErr w:type="gramEnd"/>
      <w:r w:rsidRPr="00DF5BBF">
        <w:rPr>
          <w:rFonts w:ascii="Calibri" w:hAnsi="Calibri" w:cs="Calibri"/>
          <w:lang w:val="es-ES_tradnl"/>
        </w:rPr>
        <w:t xml:space="preserve"> que subsisten en Cuba”</w:t>
      </w:r>
      <w:r w:rsidRPr="00DF5BBF">
        <w:rPr>
          <w:rStyle w:val="FootnoteReference"/>
          <w:rFonts w:ascii="Calibri" w:hAnsi="Calibri" w:cs="Calibri"/>
          <w:lang w:val="es-ES_tradnl"/>
        </w:rPr>
        <w:footnoteReference w:id="18"/>
      </w:r>
      <w:r w:rsidRPr="00DF5BBF">
        <w:rPr>
          <w:rFonts w:ascii="Calibri" w:hAnsi="Calibri" w:cs="Calibri"/>
          <w:lang w:val="es-ES_tradnl"/>
        </w:rPr>
        <w:t xml:space="preserve"> y de “la voluntad de eliminar los </w:t>
      </w:r>
      <w:r w:rsidRPr="00DF5BBF">
        <w:rPr>
          <w:rFonts w:ascii="Calibri" w:hAnsi="Calibri" w:cs="Calibri"/>
          <w:b/>
          <w:bCs/>
          <w:lang w:val="es-ES_tradnl"/>
        </w:rPr>
        <w:t>vestigios</w:t>
      </w:r>
      <w:r w:rsidRPr="00DF5BBF">
        <w:rPr>
          <w:rFonts w:ascii="Calibri" w:hAnsi="Calibri" w:cs="Calibri"/>
          <w:lang w:val="es-ES_tradnl"/>
        </w:rPr>
        <w:t xml:space="preserve"> de racismo, </w:t>
      </w:r>
      <w:proofErr w:type="gramStart"/>
      <w:r w:rsidRPr="00DF5BBF">
        <w:rPr>
          <w:rFonts w:ascii="Calibri" w:hAnsi="Calibri" w:cs="Calibri"/>
          <w:lang w:val="es-ES_tradnl"/>
        </w:rPr>
        <w:t>discriminación racial y prejuicios raciales</w:t>
      </w:r>
      <w:proofErr w:type="gramEnd"/>
      <w:r w:rsidRPr="00DF5BBF">
        <w:rPr>
          <w:rFonts w:ascii="Calibri" w:hAnsi="Calibri" w:cs="Calibri"/>
          <w:lang w:val="es-ES_tradnl"/>
        </w:rPr>
        <w:t xml:space="preserve"> que persisten en el país”</w:t>
      </w:r>
      <w:r w:rsidRPr="00DF5BBF">
        <w:rPr>
          <w:rStyle w:val="FootnoteReference"/>
          <w:rFonts w:ascii="Calibri" w:hAnsi="Calibri" w:cs="Calibri"/>
          <w:lang w:val="es-ES_tradnl"/>
        </w:rPr>
        <w:footnoteReference w:id="19"/>
      </w:r>
      <w:r w:rsidRPr="00DF5BBF">
        <w:rPr>
          <w:rFonts w:ascii="Calibri" w:hAnsi="Calibri" w:cs="Calibri"/>
          <w:lang w:val="es-ES_tradnl"/>
        </w:rPr>
        <w:t>.</w:t>
      </w:r>
    </w:p>
    <w:p w14:paraId="34FA82E5" w14:textId="1244A8B5"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lastRenderedPageBreak/>
        <w:t>La única excepción a esta posición que el Estado defiende firmemente desde hace años parece encontrarse en el Programa Nacional contra el Racismo y la Discriminación Racial que, luego de asegurar que, aunque desaparecieron las circunstancias históricas que generan barreras para las personas afrodescendientes, los ciclos de estereotipos negativos que ponen a estas personas en una situación inicial de desventaja se renuevan “sistemáticamente”</w:t>
      </w:r>
      <w:r w:rsidRPr="00DF5BBF">
        <w:rPr>
          <w:rStyle w:val="FootnoteReference"/>
          <w:rFonts w:ascii="Calibri" w:hAnsi="Calibri" w:cs="Calibri"/>
          <w:lang w:val="es-ES_tradnl"/>
        </w:rPr>
        <w:footnoteReference w:id="20"/>
      </w:r>
      <w:r w:rsidRPr="00DF5BBF">
        <w:rPr>
          <w:rFonts w:ascii="Calibri" w:hAnsi="Calibri" w:cs="Calibri"/>
          <w:lang w:val="es-ES_tradnl"/>
        </w:rPr>
        <w:t xml:space="preserve">. </w:t>
      </w:r>
    </w:p>
    <w:p w14:paraId="097C4B1C" w14:textId="77777777"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Las condiciones de inferioridad y exclusión de un grupo de personas que se perpetúan con el paso del tiempo, e incluso por generaciones, es lo que define una situación de discriminación estructural o sistémica</w:t>
      </w:r>
      <w:r w:rsidRPr="00DF5BBF">
        <w:rPr>
          <w:rStyle w:val="FootnoteReference"/>
          <w:rFonts w:ascii="Calibri" w:hAnsi="Calibri" w:cs="Calibri"/>
          <w:lang w:val="es-ES_tradnl"/>
        </w:rPr>
        <w:footnoteReference w:id="21"/>
      </w:r>
      <w:r w:rsidRPr="00DF5BBF">
        <w:rPr>
          <w:rFonts w:ascii="Calibri" w:hAnsi="Calibri" w:cs="Calibri"/>
          <w:lang w:val="es-ES_tradnl"/>
        </w:rPr>
        <w:t>.</w:t>
      </w:r>
    </w:p>
    <w:p w14:paraId="005A2254" w14:textId="77777777"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Recordemos que este Honorable Comité explicó que una de formas en las que se manifiestan el racismo y la discriminación estructural contra afrodescendientes es en el “limitado reconocimiento social” que enfrenta esta población</w:t>
      </w:r>
      <w:r w:rsidRPr="00DF5BBF">
        <w:rPr>
          <w:rStyle w:val="FootnoteReference"/>
          <w:rFonts w:ascii="Calibri" w:hAnsi="Calibri" w:cs="Calibri"/>
          <w:lang w:val="es-ES_tradnl"/>
        </w:rPr>
        <w:footnoteReference w:id="22"/>
      </w:r>
      <w:r w:rsidRPr="00DF5BBF">
        <w:rPr>
          <w:rFonts w:ascii="Calibri" w:hAnsi="Calibri" w:cs="Calibri"/>
          <w:lang w:val="es-ES_tradnl"/>
        </w:rPr>
        <w:t>. Y, como es sabido, el primer paso para enfrentar una situación que presenta patrones o prácticas estructurales requiere del reconocimiento de esa situación. Recién allí se podrá pasar a realizar una evaluación general de las circunstancias históricas, materiales, temporales y espaciales que rodean la situación</w:t>
      </w:r>
      <w:r w:rsidRPr="00DF5BBF">
        <w:rPr>
          <w:rStyle w:val="FootnoteReference"/>
          <w:rFonts w:ascii="Calibri" w:hAnsi="Calibri" w:cs="Calibri"/>
          <w:lang w:val="es-ES_tradnl"/>
        </w:rPr>
        <w:footnoteReference w:id="23"/>
      </w:r>
      <w:r w:rsidRPr="00DF5BBF">
        <w:rPr>
          <w:rFonts w:ascii="Calibri" w:hAnsi="Calibri" w:cs="Calibri"/>
          <w:lang w:val="es-ES_tradnl"/>
        </w:rPr>
        <w:t>.</w:t>
      </w:r>
    </w:p>
    <w:p w14:paraId="1CE3A9FD" w14:textId="77777777"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Cuba continúa negando esta situación y, más allá de la creación del Programa Nacional contra el Racismo y la Discriminación Racial que analizaremos ut infra, continúa confiando en modificaciones legislativas para “eliminar definitivamente los vestigios de racismo”</w:t>
      </w:r>
      <w:r w:rsidRPr="00DF5BBF">
        <w:rPr>
          <w:rStyle w:val="FootnoteReference"/>
          <w:rFonts w:ascii="Calibri" w:hAnsi="Calibri" w:cs="Calibri"/>
          <w:lang w:val="es-ES_tradnl"/>
        </w:rPr>
        <w:footnoteReference w:id="24"/>
      </w:r>
      <w:r w:rsidRPr="00DF5BBF">
        <w:rPr>
          <w:rFonts w:ascii="Calibri" w:hAnsi="Calibri" w:cs="Calibri"/>
          <w:lang w:val="es-ES_tradnl"/>
        </w:rPr>
        <w:t xml:space="preserve">. En su informe al Comité, el Estado le dedica extensas páginas a explicar las reformas legales que, en la mayoría de los casos, si bien en términos formales pueden parecer ajustados a estándares internacionales, en la práctica no son exigibles por parte de la población afrodescendiente que sufre la discriminación. </w:t>
      </w:r>
    </w:p>
    <w:p w14:paraId="64FD0E99" w14:textId="77777777" w:rsidR="00903B67" w:rsidRPr="00DF5BBF" w:rsidRDefault="00903B6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Sin entrar a analizar la pertinencia y la legalidad de cada una de las reformas, vale recordar que el propio Fidel Castro reconoció la ineficacia de las reformas legales aisladas para combatir la discriminación racial. En septiembre del 2000 (hace más de 25 años) en un discurso que promulgó en una iglesia en Harlem, Nueva York, sostuvo: "creíamos al principio que al establecer la más absoluta igualdad ante la ley y la absoluta intolerancia contra toda manifestación de discriminación sexual [...] o racial, [...] desaparecerían de nuestra sociedad. Tiempo tardamos en descubrir, se lo digo así, que la marginalidad y con ella la discriminación racial no se suprimen con una ley ni con diez leyes"</w:t>
      </w:r>
      <w:r w:rsidRPr="00DF5BBF">
        <w:rPr>
          <w:rStyle w:val="FootnoteReference"/>
          <w:rFonts w:ascii="Calibri" w:hAnsi="Calibri" w:cs="Calibri"/>
          <w:lang w:val="es-ES_tradnl"/>
        </w:rPr>
        <w:footnoteReference w:id="25"/>
      </w:r>
      <w:r w:rsidRPr="00DF5BBF">
        <w:rPr>
          <w:rFonts w:ascii="Calibri" w:hAnsi="Calibri" w:cs="Calibri"/>
          <w:lang w:val="es-ES_tradnl"/>
        </w:rPr>
        <w:t>.</w:t>
      </w:r>
    </w:p>
    <w:p w14:paraId="0C1027EB" w14:textId="72DCC130" w:rsidR="008A4E30" w:rsidRPr="00DF5BBF" w:rsidRDefault="00903B67" w:rsidP="00DF5BBF">
      <w:pPr>
        <w:snapToGrid w:val="0"/>
        <w:spacing w:before="120" w:after="0" w:line="240" w:lineRule="auto"/>
        <w:jc w:val="both"/>
        <w:rPr>
          <w:rStyle w:val="fontstyle01"/>
          <w:color w:val="auto"/>
          <w:sz w:val="22"/>
          <w:szCs w:val="22"/>
          <w:lang w:val="es-ES_tradnl"/>
        </w:rPr>
      </w:pPr>
      <w:r w:rsidRPr="00DF5BBF">
        <w:rPr>
          <w:rFonts w:ascii="Calibri" w:hAnsi="Calibri" w:cs="Calibri"/>
          <w:lang w:val="es-ES_tradnl"/>
        </w:rPr>
        <w:t>Por último, la negación de la existencia de una situación estructural se funda también en parte en el supuesto “profundo mestizaje” que argumenta el Estado. Esta situación, como se analizará a continuación, afecta de manera directa el reconocimiento social de esta población.</w:t>
      </w:r>
    </w:p>
    <w:p w14:paraId="31D07DA3" w14:textId="77777777" w:rsidR="008A4E30" w:rsidRPr="00DF5BBF" w:rsidRDefault="008A4E30" w:rsidP="00DF5BBF">
      <w:pPr>
        <w:snapToGrid w:val="0"/>
        <w:spacing w:before="120" w:after="0" w:line="240" w:lineRule="auto"/>
        <w:jc w:val="both"/>
        <w:rPr>
          <w:rStyle w:val="fontstyle01"/>
          <w:b/>
          <w:sz w:val="22"/>
          <w:szCs w:val="22"/>
        </w:rPr>
      </w:pPr>
    </w:p>
    <w:p w14:paraId="2C5F3E3C" w14:textId="30BEFCBB" w:rsidR="00F12382" w:rsidRPr="00DF5BBF" w:rsidRDefault="00F12382" w:rsidP="00DF5BBF">
      <w:pPr>
        <w:pStyle w:val="ListParagraph"/>
        <w:numPr>
          <w:ilvl w:val="0"/>
          <w:numId w:val="6"/>
        </w:numPr>
        <w:snapToGrid w:val="0"/>
        <w:spacing w:before="120" w:after="0" w:line="240" w:lineRule="auto"/>
        <w:contextualSpacing w:val="0"/>
        <w:jc w:val="both"/>
        <w:rPr>
          <w:rFonts w:ascii="Calibri" w:hAnsi="Calibri" w:cs="Calibri"/>
          <w:b/>
          <w:color w:val="000000"/>
        </w:rPr>
      </w:pPr>
      <w:r w:rsidRPr="00DF5BBF">
        <w:rPr>
          <w:rFonts w:ascii="Calibri" w:hAnsi="Calibri" w:cs="Calibri"/>
          <w:b/>
          <w:bCs/>
          <w:lang w:val="es-ES_tradnl"/>
        </w:rPr>
        <w:lastRenderedPageBreak/>
        <w:t>Identificación étnico-racial de la población cubana</w:t>
      </w:r>
    </w:p>
    <w:p w14:paraId="65F98F58" w14:textId="77777777" w:rsidR="00F12382" w:rsidRPr="00DF5BBF" w:rsidRDefault="00F12382"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En su intervención ante este Honorable Comité en el año 2018, el representante del Estado se refirió al “profundo mestizaje tanto cultural como genético” que justifica para el Estado cubano que este sea una “nación </w:t>
      </w:r>
      <w:proofErr w:type="spellStart"/>
      <w:r w:rsidRPr="00DF5BBF">
        <w:rPr>
          <w:rFonts w:ascii="Calibri" w:hAnsi="Calibri" w:cs="Calibri"/>
          <w:lang w:val="es-ES_tradnl"/>
        </w:rPr>
        <w:t>uniétnica</w:t>
      </w:r>
      <w:proofErr w:type="spellEnd"/>
      <w:r w:rsidRPr="00DF5BBF">
        <w:rPr>
          <w:rFonts w:ascii="Calibri" w:hAnsi="Calibri" w:cs="Calibri"/>
          <w:lang w:val="es-ES_tradnl"/>
        </w:rPr>
        <w:t>”</w:t>
      </w:r>
      <w:r w:rsidRPr="00DF5BBF">
        <w:rPr>
          <w:rStyle w:val="FootnoteReference"/>
          <w:rFonts w:ascii="Calibri" w:hAnsi="Calibri" w:cs="Calibri"/>
          <w:lang w:val="es-ES_tradnl"/>
        </w:rPr>
        <w:footnoteReference w:id="26"/>
      </w:r>
      <w:r w:rsidRPr="00DF5BBF">
        <w:rPr>
          <w:rFonts w:ascii="Calibri" w:hAnsi="Calibri" w:cs="Calibri"/>
          <w:lang w:val="es-ES_tradnl"/>
        </w:rPr>
        <w:t>. Explicando, a continuación, que, por esta razón, “no existen en el país, ni se han reconocido nunca jurídica, política o socialmente diferentes etnias o minorías nacionales. El concepto de “</w:t>
      </w:r>
      <w:proofErr w:type="gramStart"/>
      <w:r w:rsidRPr="00DF5BBF">
        <w:rPr>
          <w:rFonts w:ascii="Calibri" w:hAnsi="Calibri" w:cs="Calibri"/>
          <w:lang w:val="es-ES_tradnl"/>
        </w:rPr>
        <w:t>afro-cubano</w:t>
      </w:r>
      <w:proofErr w:type="gramEnd"/>
      <w:r w:rsidRPr="00DF5BBF">
        <w:rPr>
          <w:rFonts w:ascii="Calibri" w:hAnsi="Calibri" w:cs="Calibri"/>
          <w:lang w:val="es-ES_tradnl"/>
        </w:rPr>
        <w:t>” o “</w:t>
      </w:r>
      <w:proofErr w:type="gramStart"/>
      <w:r w:rsidRPr="00DF5BBF">
        <w:rPr>
          <w:rFonts w:ascii="Calibri" w:hAnsi="Calibri" w:cs="Calibri"/>
          <w:lang w:val="es-ES_tradnl"/>
        </w:rPr>
        <w:t>afro-descendiente</w:t>
      </w:r>
      <w:proofErr w:type="gramEnd"/>
      <w:r w:rsidRPr="00DF5BBF">
        <w:rPr>
          <w:rFonts w:ascii="Calibri" w:hAnsi="Calibri" w:cs="Calibri"/>
          <w:lang w:val="es-ES_tradnl"/>
        </w:rPr>
        <w:t>” es ajeno a nuestra realidad; como también lo son los conceptos de “hispano-cubanos” o “</w:t>
      </w:r>
      <w:proofErr w:type="gramStart"/>
      <w:r w:rsidRPr="00DF5BBF">
        <w:rPr>
          <w:rFonts w:ascii="Calibri" w:hAnsi="Calibri" w:cs="Calibri"/>
          <w:lang w:val="es-ES_tradnl"/>
        </w:rPr>
        <w:t>indo-cubanos</w:t>
      </w:r>
      <w:proofErr w:type="gramEnd"/>
      <w:r w:rsidRPr="00DF5BBF">
        <w:rPr>
          <w:rFonts w:ascii="Calibri" w:hAnsi="Calibri" w:cs="Calibri"/>
          <w:lang w:val="es-ES_tradnl"/>
        </w:rPr>
        <w:t>”</w:t>
      </w:r>
      <w:r w:rsidRPr="00DF5BBF">
        <w:rPr>
          <w:rStyle w:val="FootnoteReference"/>
          <w:rFonts w:ascii="Calibri" w:hAnsi="Calibri" w:cs="Calibri"/>
          <w:lang w:val="es-ES_tradnl"/>
        </w:rPr>
        <w:footnoteReference w:id="27"/>
      </w:r>
      <w:r w:rsidRPr="00DF5BBF">
        <w:rPr>
          <w:rFonts w:ascii="Calibri" w:hAnsi="Calibri" w:cs="Calibri"/>
          <w:lang w:val="es-ES_tradnl"/>
        </w:rPr>
        <w:t>.</w:t>
      </w:r>
    </w:p>
    <w:p w14:paraId="31FD195B" w14:textId="77777777" w:rsidR="00F12382" w:rsidRPr="00DF5BBF" w:rsidRDefault="00F12382"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Esta postura fue reiterada en el Programa Color Cubano, que hace parte del Programa Nacional contra el Racismo y la Discriminación Racial. Este aseguró que “no se reconocen, a nivel social: </w:t>
      </w:r>
      <w:proofErr w:type="spellStart"/>
      <w:r w:rsidRPr="00DF5BBF">
        <w:rPr>
          <w:rFonts w:ascii="Calibri" w:hAnsi="Calibri" w:cs="Calibri"/>
          <w:lang w:val="es-ES_tradnl"/>
        </w:rPr>
        <w:t>hispanocubanos</w:t>
      </w:r>
      <w:proofErr w:type="spellEnd"/>
      <w:r w:rsidRPr="00DF5BBF">
        <w:rPr>
          <w:rFonts w:ascii="Calibri" w:hAnsi="Calibri" w:cs="Calibri"/>
          <w:lang w:val="es-ES_tradnl"/>
        </w:rPr>
        <w:t xml:space="preserve">, afrocubanos, indocubanos, </w:t>
      </w:r>
      <w:proofErr w:type="spellStart"/>
      <w:r w:rsidRPr="00DF5BBF">
        <w:rPr>
          <w:rFonts w:ascii="Calibri" w:hAnsi="Calibri" w:cs="Calibri"/>
          <w:lang w:val="es-ES_tradnl"/>
        </w:rPr>
        <w:t>francocubanos</w:t>
      </w:r>
      <w:proofErr w:type="spellEnd"/>
      <w:r w:rsidRPr="00DF5BBF">
        <w:rPr>
          <w:rFonts w:ascii="Calibri" w:hAnsi="Calibri" w:cs="Calibri"/>
          <w:lang w:val="es-ES_tradnl"/>
        </w:rPr>
        <w:t xml:space="preserve">, </w:t>
      </w:r>
      <w:proofErr w:type="spellStart"/>
      <w:r w:rsidRPr="00DF5BBF">
        <w:rPr>
          <w:rFonts w:ascii="Calibri" w:hAnsi="Calibri" w:cs="Calibri"/>
          <w:lang w:val="es-ES_tradnl"/>
        </w:rPr>
        <w:t>chinocubanos</w:t>
      </w:r>
      <w:proofErr w:type="spellEnd"/>
      <w:r w:rsidRPr="00DF5BBF">
        <w:rPr>
          <w:rFonts w:ascii="Calibri" w:hAnsi="Calibri" w:cs="Calibri"/>
          <w:lang w:val="es-ES_tradnl"/>
        </w:rPr>
        <w:t xml:space="preserve"> ni ninguna otra denominación que “cubanos” y “cubanas” en los sujetos individuales y en la espiritualidad: “la cultura cubana, lo cubano, la </w:t>
      </w:r>
      <w:proofErr w:type="spellStart"/>
      <w:r w:rsidRPr="00DF5BBF">
        <w:rPr>
          <w:rFonts w:ascii="Calibri" w:hAnsi="Calibri" w:cs="Calibri"/>
          <w:lang w:val="es-ES_tradnl"/>
        </w:rPr>
        <w:t>cubanía</w:t>
      </w:r>
      <w:proofErr w:type="spellEnd"/>
      <w:r w:rsidRPr="00DF5BBF">
        <w:rPr>
          <w:rFonts w:ascii="Calibri" w:hAnsi="Calibri" w:cs="Calibri"/>
          <w:lang w:val="es-ES_tradnl"/>
        </w:rPr>
        <w:t xml:space="preserve"> y la cubanidad”</w:t>
      </w:r>
      <w:r w:rsidRPr="00DF5BBF">
        <w:rPr>
          <w:rStyle w:val="FootnoteReference"/>
          <w:rFonts w:ascii="Calibri" w:hAnsi="Calibri" w:cs="Calibri"/>
          <w:lang w:val="es-ES_tradnl"/>
        </w:rPr>
        <w:footnoteReference w:id="28"/>
      </w:r>
      <w:r w:rsidRPr="00DF5BBF">
        <w:rPr>
          <w:rFonts w:ascii="Calibri" w:hAnsi="Calibri" w:cs="Calibri"/>
          <w:lang w:val="es-ES_tradnl"/>
        </w:rPr>
        <w:t>.</w:t>
      </w:r>
    </w:p>
    <w:p w14:paraId="55C29199" w14:textId="77777777" w:rsidR="00F12382" w:rsidRPr="00DF5BBF" w:rsidRDefault="00F12382"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En el marco de este programa, como parte del Subprograma 4, el Estado se propuso realizar algunas publicaciones. Una de ellas se denominó “Conceptualización de la etnicidad cubana” y es “un manual sugerido por la dirección del Ministerio de Educación dirigido en lo fundamental a los organismos formadores”</w:t>
      </w:r>
      <w:r w:rsidRPr="00DF5BBF">
        <w:rPr>
          <w:rStyle w:val="FootnoteReference"/>
          <w:rFonts w:ascii="Calibri" w:hAnsi="Calibri" w:cs="Calibri"/>
          <w:lang w:val="es-ES_tradnl"/>
        </w:rPr>
        <w:footnoteReference w:id="29"/>
      </w:r>
      <w:r w:rsidRPr="00DF5BBF">
        <w:rPr>
          <w:rFonts w:ascii="Calibri" w:hAnsi="Calibri" w:cs="Calibri"/>
          <w:lang w:val="es-ES_tradnl"/>
        </w:rPr>
        <w:t xml:space="preserve">. Lo llamativo de esta publicación es que, si bien reitera la postura general del programa sobre el mestizaje de la población cubana, reconoce que “el mestizo entre españoles, portugueses o franceses y africanos negros fue llamado en las colonias de las tres potencias </w:t>
      </w:r>
      <w:r w:rsidRPr="00DF5BBF">
        <w:rPr>
          <w:rFonts w:ascii="Calibri" w:hAnsi="Calibri" w:cs="Calibri"/>
          <w:i/>
          <w:iCs/>
          <w:lang w:val="es-ES_tradnl"/>
        </w:rPr>
        <w:t>mulato</w:t>
      </w:r>
      <w:r w:rsidRPr="00DF5BBF">
        <w:rPr>
          <w:rFonts w:ascii="Calibri" w:hAnsi="Calibri" w:cs="Calibri"/>
          <w:lang w:val="es-ES_tradnl"/>
        </w:rPr>
        <w:t>. Tal denominación obedeció a comparar peyorativamente esa mezcla con el mulo o mula, que es un híbrido entre el caballo o yegua y burro o burra”</w:t>
      </w:r>
      <w:r w:rsidRPr="00DF5BBF">
        <w:rPr>
          <w:rStyle w:val="FootnoteReference"/>
          <w:rFonts w:ascii="Calibri" w:hAnsi="Calibri" w:cs="Calibri"/>
          <w:lang w:val="es-ES_tradnl"/>
        </w:rPr>
        <w:footnoteReference w:id="30"/>
      </w:r>
      <w:r w:rsidRPr="00DF5BBF">
        <w:rPr>
          <w:rFonts w:ascii="Calibri" w:hAnsi="Calibri" w:cs="Calibri"/>
          <w:lang w:val="es-ES_tradnl"/>
        </w:rPr>
        <w:t>. A pesar de ello, sigue adelante con el uso del término que considera peyorativo.</w:t>
      </w:r>
    </w:p>
    <w:p w14:paraId="245876BF" w14:textId="77777777" w:rsidR="00F12382" w:rsidRPr="00DF5BBF" w:rsidRDefault="00F12382"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Y concluye que “existe una amplia gama de tonalidades en la epidermis de los cubanos, pero básicamente se asumen tres: piel blanca, piel parda o mulata y piel negra”</w:t>
      </w:r>
      <w:r w:rsidRPr="00DF5BBF">
        <w:rPr>
          <w:rStyle w:val="FootnoteReference"/>
          <w:rFonts w:ascii="Calibri" w:hAnsi="Calibri" w:cs="Calibri"/>
          <w:lang w:val="es-ES_tradnl"/>
        </w:rPr>
        <w:footnoteReference w:id="31"/>
      </w:r>
      <w:r w:rsidRPr="00DF5BBF">
        <w:rPr>
          <w:rFonts w:ascii="Calibri" w:hAnsi="Calibri" w:cs="Calibri"/>
          <w:lang w:val="es-ES_tradnl"/>
        </w:rPr>
        <w:t>. Esta conclusión tiene un correlato directo en la negativa a modificar la metodología utilizada en el censo 2012 y que repetirá en el censo que viene siendo postergado</w:t>
      </w:r>
      <w:r w:rsidRPr="00DF5BBF">
        <w:rPr>
          <w:rStyle w:val="FootnoteReference"/>
          <w:rFonts w:ascii="Calibri" w:hAnsi="Calibri" w:cs="Calibri"/>
          <w:lang w:val="es-ES_tradnl"/>
        </w:rPr>
        <w:footnoteReference w:id="32"/>
      </w:r>
      <w:r w:rsidRPr="00DF5BBF">
        <w:rPr>
          <w:rFonts w:ascii="Calibri" w:hAnsi="Calibri" w:cs="Calibri"/>
          <w:lang w:val="es-ES_tradnl"/>
        </w:rPr>
        <w:t>.</w:t>
      </w:r>
    </w:p>
    <w:p w14:paraId="6D806B15" w14:textId="70D040E5" w:rsidR="00F12382" w:rsidRPr="00DF5BBF" w:rsidRDefault="00F12382"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Frente a esta concepción de “democracia racial”, la CIDH viene advirtiendo desde hace tiempo que es importante identificar y solucionar el mito de la democracia racial que consiste en “la idea según la cual […] no hay racismo porque […] todas las razas y culturas se fundieron para siempre en una síntesis feliz”</w:t>
      </w:r>
      <w:r w:rsidRPr="00DF5BBF">
        <w:rPr>
          <w:rStyle w:val="FootnoteReference"/>
          <w:rFonts w:ascii="Calibri" w:hAnsi="Calibri" w:cs="Calibri"/>
          <w:lang w:val="es-ES_tradnl"/>
        </w:rPr>
        <w:footnoteReference w:id="33"/>
      </w:r>
      <w:r w:rsidRPr="00DF5BBF">
        <w:rPr>
          <w:rFonts w:ascii="Calibri" w:hAnsi="Calibri" w:cs="Calibri"/>
          <w:lang w:val="es-ES_tradnl"/>
        </w:rPr>
        <w:t>.</w:t>
      </w:r>
    </w:p>
    <w:p w14:paraId="1E0309B6" w14:textId="77777777" w:rsidR="00F12382" w:rsidRPr="00DF5BBF" w:rsidRDefault="00F12382" w:rsidP="00DF5BBF">
      <w:pPr>
        <w:snapToGrid w:val="0"/>
        <w:spacing w:before="120" w:after="0" w:line="240" w:lineRule="auto"/>
        <w:jc w:val="both"/>
        <w:rPr>
          <w:rStyle w:val="fontstyle01"/>
          <w:b/>
          <w:sz w:val="22"/>
          <w:szCs w:val="22"/>
        </w:rPr>
      </w:pPr>
    </w:p>
    <w:p w14:paraId="77671665" w14:textId="6FB03B20" w:rsidR="00D86B47" w:rsidRPr="00DF5BBF" w:rsidRDefault="004D0117"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Fonts w:ascii="Calibri" w:hAnsi="Calibri" w:cs="Calibri"/>
          <w:b/>
          <w:bCs/>
          <w:lang w:val="es-ES_tradnl"/>
        </w:rPr>
        <w:t>La identificación étnico-racial en el censo poblacional</w:t>
      </w:r>
    </w:p>
    <w:p w14:paraId="7B313A09" w14:textId="2A8C6F98" w:rsidR="004D0117" w:rsidRPr="00DF5BBF" w:rsidRDefault="004D0117" w:rsidP="00DF5BBF">
      <w:pPr>
        <w:snapToGrid w:val="0"/>
        <w:spacing w:before="120" w:after="0" w:line="240" w:lineRule="auto"/>
        <w:jc w:val="both"/>
        <w:rPr>
          <w:rStyle w:val="fontstyle01"/>
          <w:sz w:val="22"/>
          <w:szCs w:val="22"/>
        </w:rPr>
      </w:pPr>
      <w:r w:rsidRPr="00DF5BBF">
        <w:rPr>
          <w:rFonts w:ascii="Calibri" w:hAnsi="Calibri" w:cs="Calibri"/>
          <w:lang w:val="es-ES_tradnl"/>
        </w:rPr>
        <w:t>En sus Observaciones finales sobre los informes periódicos 19º a 21º combinados del Estado cubano (en adelante, “observaciones finales”) este Honorable Comité transmitió al Estado su preocupación por la metodología utilizada en el censo de 2012, ya que esta no permitía obtener información objetiva que refleje fielmente la composición étnica de la población</w:t>
      </w:r>
      <w:r w:rsidRPr="00DF5BBF">
        <w:rPr>
          <w:rStyle w:val="FootnoteReference"/>
          <w:rFonts w:ascii="Calibri" w:hAnsi="Calibri" w:cs="Calibri"/>
          <w:lang w:val="es-ES_tradnl"/>
        </w:rPr>
        <w:footnoteReference w:id="34"/>
      </w:r>
      <w:r w:rsidRPr="00DF5BBF">
        <w:rPr>
          <w:rFonts w:ascii="Calibri" w:hAnsi="Calibri" w:cs="Calibri"/>
          <w:lang w:val="es-ES_tradnl"/>
        </w:rPr>
        <w:t xml:space="preserve">. </w:t>
      </w:r>
      <w:proofErr w:type="gramStart"/>
      <w:r w:rsidRPr="00DF5BBF">
        <w:rPr>
          <w:rFonts w:ascii="Calibri" w:hAnsi="Calibri" w:cs="Calibri"/>
          <w:lang w:val="es-ES_tradnl"/>
        </w:rPr>
        <w:t>En razón de</w:t>
      </w:r>
      <w:proofErr w:type="gramEnd"/>
      <w:r w:rsidRPr="00DF5BBF">
        <w:rPr>
          <w:rFonts w:ascii="Calibri" w:hAnsi="Calibri" w:cs="Calibri"/>
          <w:lang w:val="es-ES_tradnl"/>
        </w:rPr>
        <w:t xml:space="preserve"> lo anterior, recomendó al Estado revisar “la metodología para la recolección de datos utilizada en los censos de población y viviendas, a fin de que dicha metodología esté basada en el criterio de la autoidentificación, asegurando que las preguntas censales sean formuladas en consulta con la población afrodescendiente y puedan reflejar adecuadamente la composición étnica de la población”</w:t>
      </w:r>
      <w:r w:rsidRPr="00DF5BBF">
        <w:rPr>
          <w:rStyle w:val="FootnoteReference"/>
          <w:rFonts w:ascii="Calibri" w:hAnsi="Calibri" w:cs="Calibri"/>
          <w:lang w:val="es-ES_tradnl"/>
        </w:rPr>
        <w:footnoteReference w:id="35"/>
      </w:r>
      <w:r w:rsidRPr="00DF5BBF">
        <w:rPr>
          <w:rFonts w:ascii="Calibri" w:hAnsi="Calibri" w:cs="Calibri"/>
          <w:lang w:val="es-ES_tradnl"/>
        </w:rPr>
        <w:t>. En similar sentido se pronunció la CIDH en el año 2020”</w:t>
      </w:r>
      <w:r w:rsidRPr="00DF5BBF">
        <w:rPr>
          <w:rStyle w:val="FootnoteReference"/>
          <w:rFonts w:ascii="Calibri" w:hAnsi="Calibri" w:cs="Calibri"/>
          <w:lang w:val="es-ES_tradnl"/>
        </w:rPr>
        <w:footnoteReference w:id="36"/>
      </w:r>
      <w:r w:rsidRPr="00DF5BBF">
        <w:rPr>
          <w:rFonts w:ascii="Calibri" w:hAnsi="Calibri" w:cs="Calibri"/>
          <w:lang w:val="es-ES_tradnl"/>
        </w:rPr>
        <w:t>.</w:t>
      </w:r>
    </w:p>
    <w:p w14:paraId="6614E933" w14:textId="255E6381" w:rsidR="00AA0925" w:rsidRPr="00DF5BBF" w:rsidRDefault="00B07CC3" w:rsidP="00DF5BBF">
      <w:pPr>
        <w:snapToGrid w:val="0"/>
        <w:spacing w:before="120" w:after="0" w:line="240" w:lineRule="auto"/>
        <w:jc w:val="both"/>
        <w:rPr>
          <w:rStyle w:val="fontstyle01"/>
          <w:sz w:val="22"/>
          <w:szCs w:val="22"/>
        </w:rPr>
      </w:pPr>
      <w:r w:rsidRPr="00DF5BBF">
        <w:rPr>
          <w:rStyle w:val="fontstyle01"/>
          <w:sz w:val="22"/>
          <w:szCs w:val="22"/>
        </w:rPr>
        <w:t>El último Censo de Población y Vivienda realizado en Cuba en el año 2012, arrojó</w:t>
      </w:r>
      <w:r w:rsidR="00F12382" w:rsidRPr="00DF5BBF">
        <w:rPr>
          <w:rStyle w:val="fontstyle01"/>
          <w:sz w:val="22"/>
          <w:szCs w:val="22"/>
        </w:rPr>
        <w:t xml:space="preserve"> que el</w:t>
      </w:r>
      <w:r w:rsidRPr="00DF5BBF">
        <w:rPr>
          <w:rStyle w:val="fontstyle01"/>
          <w:sz w:val="22"/>
          <w:szCs w:val="22"/>
        </w:rPr>
        <w:t xml:space="preserve"> 64,1 % de</w:t>
      </w:r>
      <w:r w:rsidR="00F12382" w:rsidRPr="00DF5BBF">
        <w:rPr>
          <w:rStyle w:val="fontstyle01"/>
          <w:sz w:val="22"/>
          <w:szCs w:val="22"/>
        </w:rPr>
        <w:t xml:space="preserve"> la población era</w:t>
      </w:r>
      <w:r w:rsidRPr="00DF5BBF">
        <w:rPr>
          <w:rStyle w:val="fontstyle01"/>
          <w:sz w:val="22"/>
          <w:szCs w:val="22"/>
        </w:rPr>
        <w:t xml:space="preserve"> blanc</w:t>
      </w:r>
      <w:r w:rsidR="00F12382" w:rsidRPr="00DF5BBF">
        <w:rPr>
          <w:rStyle w:val="fontstyle01"/>
          <w:sz w:val="22"/>
          <w:szCs w:val="22"/>
        </w:rPr>
        <w:t>a</w:t>
      </w:r>
      <w:r w:rsidRPr="00DF5BBF">
        <w:rPr>
          <w:rStyle w:val="fontstyle01"/>
          <w:sz w:val="22"/>
          <w:szCs w:val="22"/>
        </w:rPr>
        <w:t>, 26,6 % mestiz</w:t>
      </w:r>
      <w:r w:rsidR="00F12382" w:rsidRPr="00DF5BBF">
        <w:rPr>
          <w:rStyle w:val="fontstyle01"/>
          <w:sz w:val="22"/>
          <w:szCs w:val="22"/>
        </w:rPr>
        <w:t>a</w:t>
      </w:r>
      <w:r w:rsidRPr="00DF5BBF">
        <w:rPr>
          <w:rStyle w:val="fontstyle01"/>
          <w:sz w:val="22"/>
          <w:szCs w:val="22"/>
        </w:rPr>
        <w:t>s (mulatos o pardos) y 9,3 % negros</w:t>
      </w:r>
      <w:r w:rsidR="003233A6" w:rsidRPr="00DF5BBF">
        <w:rPr>
          <w:rStyle w:val="fontstyle01"/>
          <w:sz w:val="22"/>
          <w:szCs w:val="22"/>
        </w:rPr>
        <w:t xml:space="preserve">, de una población total de </w:t>
      </w:r>
      <w:r w:rsidR="006D30F3" w:rsidRPr="00DF5BBF">
        <w:rPr>
          <w:rStyle w:val="fontstyle01"/>
          <w:sz w:val="22"/>
          <w:szCs w:val="22"/>
        </w:rPr>
        <w:t>11</w:t>
      </w:r>
      <w:r w:rsidR="00F12382" w:rsidRPr="00DF5BBF">
        <w:rPr>
          <w:rStyle w:val="fontstyle01"/>
          <w:sz w:val="22"/>
          <w:szCs w:val="22"/>
        </w:rPr>
        <w:t>.</w:t>
      </w:r>
      <w:r w:rsidR="006D30F3" w:rsidRPr="00DF5BBF">
        <w:rPr>
          <w:rStyle w:val="fontstyle01"/>
          <w:sz w:val="22"/>
          <w:szCs w:val="22"/>
        </w:rPr>
        <w:t>167</w:t>
      </w:r>
      <w:r w:rsidR="00F12382" w:rsidRPr="00DF5BBF">
        <w:rPr>
          <w:rStyle w:val="fontstyle01"/>
          <w:sz w:val="22"/>
          <w:szCs w:val="22"/>
        </w:rPr>
        <w:t>.</w:t>
      </w:r>
      <w:r w:rsidR="006D30F3" w:rsidRPr="00DF5BBF">
        <w:rPr>
          <w:rStyle w:val="fontstyle01"/>
          <w:sz w:val="22"/>
          <w:szCs w:val="22"/>
        </w:rPr>
        <w:t>325</w:t>
      </w:r>
      <w:r w:rsidR="000A0C53" w:rsidRPr="00DF5BBF">
        <w:rPr>
          <w:rStyle w:val="FootnoteReference"/>
          <w:rFonts w:ascii="Calibri" w:hAnsi="Calibri" w:cs="Calibri"/>
          <w:color w:val="000000"/>
        </w:rPr>
        <w:footnoteReference w:id="37"/>
      </w:r>
      <w:r w:rsidR="00F12382" w:rsidRPr="00DF5BBF">
        <w:rPr>
          <w:rStyle w:val="fontstyle01"/>
          <w:sz w:val="22"/>
          <w:szCs w:val="22"/>
        </w:rPr>
        <w:t>. Por otro lado, e</w:t>
      </w:r>
      <w:r w:rsidR="009C5C45" w:rsidRPr="00DF5BBF">
        <w:rPr>
          <w:rStyle w:val="fontstyle01"/>
          <w:sz w:val="22"/>
          <w:szCs w:val="22"/>
        </w:rPr>
        <w:t>n el informe presentado por el gobierno cubano ante el Comité para su discusión, correspondiente al período 2018-2026</w:t>
      </w:r>
      <w:r w:rsidR="005270DB" w:rsidRPr="00DF5BBF">
        <w:rPr>
          <w:rStyle w:val="fontstyle01"/>
          <w:sz w:val="22"/>
          <w:szCs w:val="22"/>
        </w:rPr>
        <w:t>, en el párrafo 16</w:t>
      </w:r>
      <w:r w:rsidR="0009063B" w:rsidRPr="00DF5BBF">
        <w:rPr>
          <w:rStyle w:val="fontstyle01"/>
          <w:sz w:val="22"/>
          <w:szCs w:val="22"/>
        </w:rPr>
        <w:t>, expone que “Cuba cuenta con una población de 9 354 454 personas. De ellos, el 66,</w:t>
      </w:r>
      <w:r w:rsidR="009172D4" w:rsidRPr="00DF5BBF">
        <w:rPr>
          <w:rStyle w:val="fontstyle01"/>
          <w:sz w:val="22"/>
          <w:szCs w:val="22"/>
        </w:rPr>
        <w:t>3% son blancos, el 9,5% negros y</w:t>
      </w:r>
      <w:r w:rsidR="0009063B" w:rsidRPr="00DF5BBF">
        <w:rPr>
          <w:rStyle w:val="fontstyle01"/>
          <w:sz w:val="22"/>
          <w:szCs w:val="22"/>
        </w:rPr>
        <w:t xml:space="preserve"> el 24,2% mulatos.”</w:t>
      </w:r>
      <w:r w:rsidR="0009063B" w:rsidRPr="00DF5BBF">
        <w:rPr>
          <w:rStyle w:val="FootnoteReference"/>
          <w:rFonts w:ascii="Calibri" w:hAnsi="Calibri" w:cs="Calibri"/>
          <w:color w:val="000000"/>
        </w:rPr>
        <w:footnoteReference w:id="38"/>
      </w:r>
      <w:r w:rsidR="009172D4" w:rsidRPr="00DF5BBF">
        <w:rPr>
          <w:rStyle w:val="fontstyle01"/>
          <w:sz w:val="22"/>
          <w:szCs w:val="22"/>
        </w:rPr>
        <w:t xml:space="preserve"> </w:t>
      </w:r>
    </w:p>
    <w:p w14:paraId="61CCEF92" w14:textId="77777777" w:rsidR="004D0117" w:rsidRPr="00DF5BBF" w:rsidRDefault="004D0117" w:rsidP="00DF5BBF">
      <w:pPr>
        <w:snapToGrid w:val="0"/>
        <w:spacing w:before="120" w:after="0" w:line="240" w:lineRule="auto"/>
        <w:jc w:val="both"/>
        <w:rPr>
          <w:rStyle w:val="fontstyle01"/>
          <w:sz w:val="22"/>
          <w:szCs w:val="22"/>
        </w:rPr>
      </w:pPr>
      <w:r w:rsidRPr="00DF5BBF">
        <w:rPr>
          <w:rStyle w:val="fontstyle01"/>
          <w:sz w:val="22"/>
          <w:szCs w:val="22"/>
        </w:rPr>
        <w:t>En primer lugar, llama la atención que de la información “actualizada” presentada por el Estado se advierte</w:t>
      </w:r>
      <w:r w:rsidR="00245500" w:rsidRPr="00DF5BBF">
        <w:rPr>
          <w:rStyle w:val="fontstyle01"/>
          <w:sz w:val="22"/>
          <w:szCs w:val="22"/>
        </w:rPr>
        <w:t xml:space="preserve"> un crecimiento de la población blanca desde el censo del 2012, de 2,2%; cuando</w:t>
      </w:r>
      <w:r w:rsidRPr="00DF5BBF">
        <w:rPr>
          <w:rStyle w:val="fontstyle01"/>
          <w:sz w:val="22"/>
          <w:szCs w:val="22"/>
        </w:rPr>
        <w:t xml:space="preserve"> se calcula que en el marco de la crisis migratoria que se desencadenó en 2021 habrían salido de la Isla alrededor de 2.000.000 de personas, en su mayoría blancas, toda vez que</w:t>
      </w:r>
      <w:r w:rsidR="00245500" w:rsidRPr="00DF5BBF">
        <w:rPr>
          <w:rStyle w:val="fontstyle01"/>
          <w:sz w:val="22"/>
          <w:szCs w:val="22"/>
        </w:rPr>
        <w:t xml:space="preserve"> los activistas </w:t>
      </w:r>
      <w:r w:rsidRPr="00DF5BBF">
        <w:rPr>
          <w:rStyle w:val="fontstyle01"/>
          <w:sz w:val="22"/>
          <w:szCs w:val="22"/>
        </w:rPr>
        <w:t>señalan que l</w:t>
      </w:r>
      <w:r w:rsidR="00245500" w:rsidRPr="00DF5BBF">
        <w:rPr>
          <w:rStyle w:val="fontstyle01"/>
          <w:sz w:val="22"/>
          <w:szCs w:val="22"/>
        </w:rPr>
        <w:t>as poblaciones afro son las que tienen m</w:t>
      </w:r>
      <w:r w:rsidR="00AF5990" w:rsidRPr="00DF5BBF">
        <w:rPr>
          <w:rStyle w:val="fontstyle01"/>
          <w:sz w:val="22"/>
          <w:szCs w:val="22"/>
        </w:rPr>
        <w:t>ás barreras para salir del país</w:t>
      </w:r>
      <w:r w:rsidRPr="00DF5BBF">
        <w:rPr>
          <w:rStyle w:val="fontstyle01"/>
          <w:sz w:val="22"/>
          <w:szCs w:val="22"/>
        </w:rPr>
        <w:t>.</w:t>
      </w:r>
    </w:p>
    <w:p w14:paraId="7AC1D471" w14:textId="5DAFAED8" w:rsidR="004D0117" w:rsidRPr="00DF5BBF" w:rsidRDefault="004D011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Asimismo, se advierte que</w:t>
      </w:r>
      <w:r w:rsidR="00955462" w:rsidRPr="00DF5BBF">
        <w:rPr>
          <w:rFonts w:ascii="Calibri" w:hAnsi="Calibri" w:cs="Calibri"/>
          <w:lang w:val="es-ES_tradnl"/>
        </w:rPr>
        <w:t>,</w:t>
      </w:r>
      <w:r w:rsidRPr="00DF5BBF">
        <w:rPr>
          <w:rFonts w:ascii="Calibri" w:hAnsi="Calibri" w:cs="Calibri"/>
          <w:lang w:val="es-ES_tradnl"/>
        </w:rPr>
        <w:t xml:space="preserve"> a pesar de la recomendación realizada por este Honorable Comité, el Estado respondió que “en las bases metodológicas del Censo a acometer en 2025, se determina que a los fines censales se estratifica la población en tres grupos (blanco, negro y mulato) y que las características se refieren al concepto que entiende comúnmente la población y no reflejan realmente razas o etnias”</w:t>
      </w:r>
      <w:r w:rsidRPr="00DF5BBF">
        <w:rPr>
          <w:rStyle w:val="FootnoteReference"/>
          <w:rFonts w:ascii="Calibri" w:hAnsi="Calibri" w:cs="Calibri"/>
          <w:lang w:val="es-ES_tradnl"/>
        </w:rPr>
        <w:footnoteReference w:id="39"/>
      </w:r>
      <w:r w:rsidRPr="00DF5BBF">
        <w:rPr>
          <w:rFonts w:ascii="Calibri" w:hAnsi="Calibri" w:cs="Calibri"/>
          <w:lang w:val="es-ES_tradnl"/>
        </w:rPr>
        <w:t>.</w:t>
      </w:r>
    </w:p>
    <w:p w14:paraId="78FFF366" w14:textId="77777777" w:rsidR="004D0117" w:rsidRPr="00DF5BBF" w:rsidRDefault="004D011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Así, Cuba mantiene un criterio racial de autoidentificación, sin incluir elementos de etnicidad en la pregunta. Si bien no existe una manera única de realizar esta pregunta y se reconoce que este tipo de pregunta puede favorecer a la identificación, toda vez que son categorías que entiende comúnmente la población, esta presenta desafíos a la hora de definir quién es o no es afrodescendiente y, en consecuencia, quiénes son los beneficiarios de los derechos y los marcos legales que protegen derechos a los afrodescendientes. </w:t>
      </w:r>
    </w:p>
    <w:p w14:paraId="0E29961B" w14:textId="77777777" w:rsidR="004D0117" w:rsidRPr="00DF5BBF" w:rsidRDefault="004D011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lastRenderedPageBreak/>
        <w:t xml:space="preserve">Si al anterior análisis se suma que la posición del Estado es el desconocimiento de la existencia del “afrocubano” o “afrodescendiente”, se advierte que la pregunta elegida le da el marco para sostener esta postura y evitar identificar debidamente a las personas afrodescendientes titulares de derechos. </w:t>
      </w:r>
    </w:p>
    <w:p w14:paraId="11846A75" w14:textId="77777777" w:rsidR="00D71A8B" w:rsidRPr="00DF5BBF" w:rsidRDefault="004D0117"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 xml:space="preserve">Por último, si como se indicó anteriormente, el gobierno realiza permanentemente campañas públicas de concientización sobre lo que se debería considerar una “nación </w:t>
      </w:r>
      <w:proofErr w:type="spellStart"/>
      <w:r w:rsidRPr="00DF5BBF">
        <w:rPr>
          <w:rFonts w:ascii="Calibri" w:hAnsi="Calibri" w:cs="Calibri"/>
          <w:lang w:val="es-ES_tradnl"/>
        </w:rPr>
        <w:t>uniétnica</w:t>
      </w:r>
      <w:proofErr w:type="spellEnd"/>
      <w:r w:rsidRPr="00DF5BBF">
        <w:rPr>
          <w:rFonts w:ascii="Calibri" w:hAnsi="Calibri" w:cs="Calibri"/>
          <w:lang w:val="es-ES_tradnl"/>
        </w:rPr>
        <w:t>”, sumado a los prejuicios raciales que el propio Estado reconoce que persisten, resulta lógico deducir que una porción de la población afrodescendiente busque autoidentificarse con posiciones intermedias que refuercen la idea del “mestizaje racial”.</w:t>
      </w:r>
    </w:p>
    <w:p w14:paraId="4B432D08" w14:textId="74112C37" w:rsidR="00AA0925" w:rsidRPr="00DF5BBF" w:rsidRDefault="00D71A8B" w:rsidP="00DF5BBF">
      <w:pPr>
        <w:snapToGrid w:val="0"/>
        <w:spacing w:before="120" w:after="0" w:line="240" w:lineRule="auto"/>
        <w:jc w:val="both"/>
        <w:rPr>
          <w:rStyle w:val="fontstyle01"/>
          <w:color w:val="auto"/>
          <w:sz w:val="22"/>
          <w:szCs w:val="22"/>
          <w:lang w:val="es-ES_tradnl"/>
        </w:rPr>
      </w:pPr>
      <w:r w:rsidRPr="00DF5BBF">
        <w:rPr>
          <w:rFonts w:ascii="Calibri" w:hAnsi="Calibri" w:cs="Calibri"/>
          <w:lang w:val="es-ES_tradnl"/>
        </w:rPr>
        <w:t>A pesar de que en</w:t>
      </w:r>
      <w:r w:rsidR="004D0117" w:rsidRPr="00DF5BBF">
        <w:rPr>
          <w:rFonts w:ascii="Calibri" w:hAnsi="Calibri" w:cs="Calibri"/>
          <w:lang w:val="es-ES_tradnl"/>
        </w:rPr>
        <w:t xml:space="preserve"> la realización de actividades de reunión de datos también son fundamentales las campañas direccionadas a la sensibilización de la sociedad de la autoidentificación étnico-racial que fomentan la confianza en las minorías de que no hay nada que temer de la autoidentificación</w:t>
      </w:r>
      <w:r w:rsidR="004D0117" w:rsidRPr="00DF5BBF">
        <w:rPr>
          <w:rStyle w:val="FootnoteReference"/>
          <w:rFonts w:ascii="Calibri" w:hAnsi="Calibri" w:cs="Calibri"/>
          <w:lang w:val="es-ES_tradnl"/>
        </w:rPr>
        <w:footnoteReference w:id="40"/>
      </w:r>
      <w:r w:rsidR="004D0117" w:rsidRPr="00DF5BBF">
        <w:rPr>
          <w:rFonts w:ascii="Calibri" w:hAnsi="Calibri" w:cs="Calibri"/>
          <w:lang w:val="es-ES_tradnl"/>
        </w:rPr>
        <w:t>, en reiteradas oportunidades, l</w:t>
      </w:r>
      <w:r w:rsidR="004D0117" w:rsidRPr="00DF5BBF">
        <w:rPr>
          <w:rStyle w:val="eop"/>
          <w:rFonts w:ascii="Calibri" w:eastAsia="Cambria" w:hAnsi="Calibri" w:cs="Calibri"/>
          <w:lang w:val="es-AR"/>
        </w:rPr>
        <w:t xml:space="preserve">a CIDH destacó </w:t>
      </w:r>
      <w:r w:rsidR="004D0117" w:rsidRPr="00DF5BBF">
        <w:rPr>
          <w:rFonts w:ascii="Calibri" w:hAnsi="Calibri" w:cs="Calibri"/>
          <w:lang w:val="es-ES_tradnl"/>
        </w:rPr>
        <w:t>la ausencia de campañas direccionadas a la sensibilización de la sociedad con relación a la auto identificación étnico-racial</w:t>
      </w:r>
      <w:r w:rsidR="004D0117" w:rsidRPr="00DF5BBF">
        <w:rPr>
          <w:rStyle w:val="FootnoteReference"/>
          <w:rFonts w:ascii="Calibri" w:hAnsi="Calibri" w:cs="Calibri"/>
          <w:lang w:val="es-ES_tradnl"/>
        </w:rPr>
        <w:footnoteReference w:id="41"/>
      </w:r>
      <w:r w:rsidR="004D0117" w:rsidRPr="00DF5BBF">
        <w:rPr>
          <w:rFonts w:ascii="Calibri" w:hAnsi="Calibri" w:cs="Calibri"/>
          <w:lang w:val="es-ES_tradnl"/>
        </w:rPr>
        <w:t xml:space="preserve">. </w:t>
      </w:r>
    </w:p>
    <w:p w14:paraId="49451393" w14:textId="4B7B86B1" w:rsidR="00B45785" w:rsidRPr="00DF5BBF" w:rsidRDefault="00B45785" w:rsidP="00DF5BBF">
      <w:pPr>
        <w:snapToGrid w:val="0"/>
        <w:spacing w:before="120" w:after="0" w:line="240" w:lineRule="auto"/>
        <w:jc w:val="both"/>
        <w:rPr>
          <w:rStyle w:val="fontstyle01"/>
          <w:b/>
          <w:sz w:val="22"/>
          <w:szCs w:val="22"/>
        </w:rPr>
      </w:pPr>
    </w:p>
    <w:p w14:paraId="4E423932" w14:textId="33083A41" w:rsidR="0075591E" w:rsidRPr="00DF5BBF" w:rsidRDefault="0075591E"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Análisis del inform</w:t>
      </w:r>
      <w:r w:rsidR="005B4F8B" w:rsidRPr="00DF5BBF">
        <w:rPr>
          <w:rStyle w:val="fontstyle01"/>
          <w:b/>
          <w:sz w:val="22"/>
          <w:szCs w:val="22"/>
        </w:rPr>
        <w:t xml:space="preserve">e del Estado </w:t>
      </w:r>
      <w:r w:rsidR="00955462" w:rsidRPr="00DF5BBF">
        <w:rPr>
          <w:rStyle w:val="fontstyle01"/>
          <w:b/>
          <w:sz w:val="22"/>
          <w:szCs w:val="22"/>
        </w:rPr>
        <w:t>c</w:t>
      </w:r>
      <w:r w:rsidR="005B4F8B" w:rsidRPr="00DF5BBF">
        <w:rPr>
          <w:rStyle w:val="fontstyle01"/>
          <w:b/>
          <w:sz w:val="22"/>
          <w:szCs w:val="22"/>
        </w:rPr>
        <w:t>ubano al Comité</w:t>
      </w:r>
    </w:p>
    <w:p w14:paraId="5D991E76" w14:textId="766846BC" w:rsidR="008D1D6B" w:rsidRPr="00DF5BBF" w:rsidRDefault="00CB04A8" w:rsidP="00DF5BBF">
      <w:pPr>
        <w:snapToGrid w:val="0"/>
        <w:spacing w:before="120" w:after="0" w:line="240" w:lineRule="auto"/>
        <w:jc w:val="both"/>
        <w:rPr>
          <w:rStyle w:val="fontstyle01"/>
          <w:sz w:val="22"/>
          <w:szCs w:val="22"/>
        </w:rPr>
      </w:pPr>
      <w:r w:rsidRPr="00DF5BBF">
        <w:rPr>
          <w:rStyle w:val="fontstyle01"/>
          <w:sz w:val="22"/>
          <w:szCs w:val="22"/>
        </w:rPr>
        <w:t>El informe del gobierno cubano al Comité</w:t>
      </w:r>
      <w:r w:rsidR="00955462" w:rsidRPr="00DF5BBF">
        <w:rPr>
          <w:rStyle w:val="fontstyle01"/>
          <w:sz w:val="22"/>
          <w:szCs w:val="22"/>
        </w:rPr>
        <w:t xml:space="preserve"> </w:t>
      </w:r>
      <w:r w:rsidRPr="00DF5BBF">
        <w:rPr>
          <w:rStyle w:val="fontstyle01"/>
          <w:sz w:val="22"/>
          <w:szCs w:val="22"/>
        </w:rPr>
        <w:t>presenta las novedades legislativas, judiciales y administrativas, entre otras, adoptadas en el período 2018-2023, con el objetivo de hacer efectivas las disposiciones de la Convención.</w:t>
      </w:r>
      <w:r w:rsidR="008F6B62" w:rsidRPr="00DF5BBF">
        <w:rPr>
          <w:rStyle w:val="fontstyle01"/>
          <w:sz w:val="22"/>
          <w:szCs w:val="22"/>
        </w:rPr>
        <w:t xml:space="preserve"> </w:t>
      </w:r>
    </w:p>
    <w:p w14:paraId="686EE02E" w14:textId="5CCC46F0" w:rsidR="008D1D6B" w:rsidRPr="00DF5BBF" w:rsidRDefault="00955462" w:rsidP="00DF5BBF">
      <w:pPr>
        <w:snapToGrid w:val="0"/>
        <w:spacing w:before="120" w:after="0" w:line="240" w:lineRule="auto"/>
        <w:jc w:val="both"/>
        <w:rPr>
          <w:rStyle w:val="fontstyle01"/>
          <w:sz w:val="22"/>
          <w:szCs w:val="22"/>
        </w:rPr>
      </w:pPr>
      <w:r w:rsidRPr="00DF5BBF">
        <w:rPr>
          <w:rStyle w:val="fontstyle01"/>
          <w:sz w:val="22"/>
          <w:szCs w:val="22"/>
        </w:rPr>
        <w:t xml:space="preserve">El </w:t>
      </w:r>
      <w:r w:rsidR="006F3257" w:rsidRPr="00DF5BBF">
        <w:rPr>
          <w:rStyle w:val="fontstyle01"/>
          <w:sz w:val="22"/>
          <w:szCs w:val="22"/>
        </w:rPr>
        <w:t>párrafo</w:t>
      </w:r>
      <w:r w:rsidRPr="00DF5BBF">
        <w:rPr>
          <w:rStyle w:val="fontstyle01"/>
          <w:sz w:val="22"/>
          <w:szCs w:val="22"/>
        </w:rPr>
        <w:t xml:space="preserve"> 3 contiene una afirmación</w:t>
      </w:r>
      <w:r w:rsidR="006F3257" w:rsidRPr="00DF5BBF">
        <w:rPr>
          <w:rStyle w:val="fontstyle01"/>
          <w:sz w:val="22"/>
          <w:szCs w:val="22"/>
        </w:rPr>
        <w:t xml:space="preserve"> </w:t>
      </w:r>
      <w:r w:rsidRPr="00DF5BBF">
        <w:rPr>
          <w:rStyle w:val="fontstyle01"/>
          <w:sz w:val="22"/>
          <w:szCs w:val="22"/>
        </w:rPr>
        <w:t>s</w:t>
      </w:r>
      <w:r w:rsidR="006F3257" w:rsidRPr="00DF5BBF">
        <w:rPr>
          <w:rStyle w:val="fontstyle01"/>
          <w:sz w:val="22"/>
          <w:szCs w:val="22"/>
        </w:rPr>
        <w:t>obre consultas a la sociedad civil, debemos aclarar que el informe se refiere a la sociedad civil organizada y controlada por el propio gobierno y en ningún momento tuvo en cuenta la opinión de agrupaciones independientes de afrodescendientes</w:t>
      </w:r>
      <w:r w:rsidR="005B7B8B" w:rsidRPr="00DF5BBF">
        <w:rPr>
          <w:rStyle w:val="fontstyle01"/>
          <w:sz w:val="22"/>
          <w:szCs w:val="22"/>
        </w:rPr>
        <w:t xml:space="preserve">. </w:t>
      </w:r>
      <w:r w:rsidR="005B7B8B" w:rsidRPr="00DF5BBF">
        <w:rPr>
          <w:rFonts w:ascii="Calibri" w:hAnsi="Calibri" w:cs="Calibri"/>
          <w:lang w:val="es-ES_tradnl"/>
        </w:rPr>
        <w:t xml:space="preserve">La CIDH tomó nota que en una audiencia de 2024 </w:t>
      </w:r>
      <w:r w:rsidR="005B7B8B" w:rsidRPr="00DF5BBF">
        <w:rPr>
          <w:rFonts w:ascii="Calibri" w:hAnsi="Calibri" w:cs="Calibri"/>
        </w:rPr>
        <w:t>organizaciones participantes denunciaron la falta de espacios para participar y construir una agenda social y política que lleve al Estado a adoptar prácticas públicas que les brinden la posibilidad de ocupar un lugar en la sociedad para abogar por el respeto de sus derechos</w:t>
      </w:r>
      <w:r w:rsidR="005B7B8B" w:rsidRPr="00DF5BBF">
        <w:rPr>
          <w:rStyle w:val="FootnoteReference"/>
          <w:rFonts w:ascii="Calibri" w:hAnsi="Calibri" w:cs="Calibri"/>
        </w:rPr>
        <w:footnoteReference w:id="42"/>
      </w:r>
      <w:r w:rsidR="005B7B8B" w:rsidRPr="00DF5BBF">
        <w:rPr>
          <w:rFonts w:ascii="Calibri" w:hAnsi="Calibri" w:cs="Calibri"/>
        </w:rPr>
        <w:t xml:space="preserve">. </w:t>
      </w:r>
      <w:r w:rsidRPr="00DF5BBF">
        <w:rPr>
          <w:rStyle w:val="fontstyle01"/>
          <w:sz w:val="22"/>
          <w:szCs w:val="22"/>
        </w:rPr>
        <w:t xml:space="preserve"> </w:t>
      </w:r>
      <w:r w:rsidR="005B7B8B" w:rsidRPr="00DF5BBF">
        <w:rPr>
          <w:rStyle w:val="fontstyle01"/>
          <w:sz w:val="22"/>
          <w:szCs w:val="22"/>
        </w:rPr>
        <w:t xml:space="preserve">Lo anterior </w:t>
      </w:r>
      <w:r w:rsidRPr="00DF5BBF">
        <w:rPr>
          <w:rStyle w:val="fontstyle01"/>
          <w:sz w:val="22"/>
          <w:szCs w:val="22"/>
        </w:rPr>
        <w:t>i</w:t>
      </w:r>
      <w:r w:rsidR="00B227C3" w:rsidRPr="00DF5BBF">
        <w:rPr>
          <w:rStyle w:val="fontstyle01"/>
          <w:sz w:val="22"/>
          <w:szCs w:val="22"/>
        </w:rPr>
        <w:t>ncumpl</w:t>
      </w:r>
      <w:r w:rsidR="005B7B8B" w:rsidRPr="00DF5BBF">
        <w:rPr>
          <w:rStyle w:val="fontstyle01"/>
          <w:sz w:val="22"/>
          <w:szCs w:val="22"/>
        </w:rPr>
        <w:t>e</w:t>
      </w:r>
      <w:r w:rsidR="00B227C3" w:rsidRPr="00DF5BBF">
        <w:rPr>
          <w:rStyle w:val="fontstyle01"/>
          <w:sz w:val="22"/>
          <w:szCs w:val="22"/>
        </w:rPr>
        <w:t xml:space="preserve"> </w:t>
      </w:r>
      <w:r w:rsidR="00AA2150" w:rsidRPr="00DF5BBF">
        <w:rPr>
          <w:rStyle w:val="fontstyle01"/>
          <w:sz w:val="22"/>
          <w:szCs w:val="22"/>
        </w:rPr>
        <w:t>la observación final</w:t>
      </w:r>
      <w:r w:rsidR="006807F2" w:rsidRPr="00DF5BBF">
        <w:rPr>
          <w:rStyle w:val="fontstyle01"/>
          <w:sz w:val="22"/>
          <w:szCs w:val="22"/>
        </w:rPr>
        <w:t xml:space="preserve"> 39 del Comité</w:t>
      </w:r>
      <w:r w:rsidR="005B7B8B" w:rsidRPr="00DF5BBF">
        <w:rPr>
          <w:rStyle w:val="fontstyle01"/>
          <w:sz w:val="22"/>
          <w:szCs w:val="22"/>
        </w:rPr>
        <w:t>, que solicitó</w:t>
      </w:r>
      <w:r w:rsidR="00AA2150" w:rsidRPr="00DF5BBF">
        <w:rPr>
          <w:rStyle w:val="fontstyle01"/>
          <w:sz w:val="22"/>
          <w:szCs w:val="22"/>
        </w:rPr>
        <w:t xml:space="preserve"> al Estado parte que intensificara sus esfuerzos para establecer una cooperación constructiva con las organizaciones de la sociedad civil dedicadas a la protección de los derechos humanos, “en particular a la lucha contra la discriminación racial”</w:t>
      </w:r>
      <w:r w:rsidR="005D3968" w:rsidRPr="00DF5BBF">
        <w:rPr>
          <w:rStyle w:val="FootnoteReference"/>
          <w:rFonts w:ascii="Calibri" w:hAnsi="Calibri" w:cs="Calibri"/>
          <w:color w:val="000000"/>
        </w:rPr>
        <w:footnoteReference w:id="43"/>
      </w:r>
      <w:r w:rsidRPr="00DF5BBF">
        <w:rPr>
          <w:rStyle w:val="fontstyle01"/>
          <w:sz w:val="22"/>
          <w:szCs w:val="22"/>
        </w:rPr>
        <w:t>.</w:t>
      </w:r>
    </w:p>
    <w:p w14:paraId="009B43DE" w14:textId="2BC87AD2" w:rsidR="00056F34" w:rsidRPr="00DF5BBF" w:rsidRDefault="00670C0A" w:rsidP="00DF5BBF">
      <w:pPr>
        <w:snapToGrid w:val="0"/>
        <w:spacing w:before="120" w:after="0" w:line="240" w:lineRule="auto"/>
        <w:jc w:val="both"/>
        <w:rPr>
          <w:rStyle w:val="fontstyle01"/>
          <w:sz w:val="22"/>
          <w:szCs w:val="22"/>
        </w:rPr>
      </w:pPr>
      <w:r w:rsidRPr="00DF5BBF">
        <w:rPr>
          <w:rStyle w:val="fontstyle01"/>
          <w:sz w:val="22"/>
          <w:szCs w:val="22"/>
        </w:rPr>
        <w:t>En los</w:t>
      </w:r>
      <w:r w:rsidR="00056F34" w:rsidRPr="00DF5BBF">
        <w:rPr>
          <w:rStyle w:val="fontstyle01"/>
          <w:sz w:val="22"/>
          <w:szCs w:val="22"/>
        </w:rPr>
        <w:t xml:space="preserve"> párrafo</w:t>
      </w:r>
      <w:r w:rsidRPr="00DF5BBF">
        <w:rPr>
          <w:rStyle w:val="fontstyle01"/>
          <w:sz w:val="22"/>
          <w:szCs w:val="22"/>
        </w:rPr>
        <w:t>s</w:t>
      </w:r>
      <w:r w:rsidR="00056F34" w:rsidRPr="00DF5BBF">
        <w:rPr>
          <w:rStyle w:val="fontstyle01"/>
          <w:sz w:val="22"/>
          <w:szCs w:val="22"/>
        </w:rPr>
        <w:t xml:space="preserve"> 10</w:t>
      </w:r>
      <w:r w:rsidR="00DA6AE4" w:rsidRPr="00DF5BBF">
        <w:rPr>
          <w:rStyle w:val="fontstyle01"/>
          <w:sz w:val="22"/>
          <w:szCs w:val="22"/>
        </w:rPr>
        <w:t xml:space="preserve">, </w:t>
      </w:r>
      <w:r w:rsidR="002404C3" w:rsidRPr="00DF5BBF">
        <w:rPr>
          <w:rStyle w:val="fontstyle01"/>
          <w:sz w:val="22"/>
          <w:szCs w:val="22"/>
        </w:rPr>
        <w:t>11</w:t>
      </w:r>
      <w:r w:rsidR="00DA6AE4" w:rsidRPr="00DF5BBF">
        <w:rPr>
          <w:rStyle w:val="fontstyle01"/>
          <w:sz w:val="22"/>
          <w:szCs w:val="22"/>
        </w:rPr>
        <w:t xml:space="preserve"> y 12</w:t>
      </w:r>
      <w:r w:rsidR="002404C3" w:rsidRPr="00DF5BBF">
        <w:rPr>
          <w:rStyle w:val="fontstyle01"/>
          <w:sz w:val="22"/>
          <w:szCs w:val="22"/>
        </w:rPr>
        <w:t>, se</w:t>
      </w:r>
      <w:r w:rsidR="00056F34" w:rsidRPr="00DF5BBF">
        <w:rPr>
          <w:rStyle w:val="fontstyle01"/>
          <w:sz w:val="22"/>
          <w:szCs w:val="22"/>
        </w:rPr>
        <w:t xml:space="preserve"> evidencia la adopción y puesta en marcha, en noviembre de 2019, del Programa Nacional contra el Racismo y la Discriminación Racial, que </w:t>
      </w:r>
      <w:r w:rsidR="00955462" w:rsidRPr="00DF5BBF">
        <w:rPr>
          <w:rStyle w:val="fontstyle01"/>
          <w:sz w:val="22"/>
          <w:szCs w:val="22"/>
        </w:rPr>
        <w:t>representó</w:t>
      </w:r>
      <w:r w:rsidR="00056F34" w:rsidRPr="00DF5BBF">
        <w:rPr>
          <w:rStyle w:val="fontstyle01"/>
          <w:sz w:val="22"/>
          <w:szCs w:val="22"/>
        </w:rPr>
        <w:t xml:space="preserve"> más bien una </w:t>
      </w:r>
      <w:r w:rsidR="00955462" w:rsidRPr="00DF5BBF">
        <w:rPr>
          <w:rStyle w:val="fontstyle01"/>
          <w:sz w:val="22"/>
          <w:szCs w:val="22"/>
        </w:rPr>
        <w:t>expresión</w:t>
      </w:r>
      <w:r w:rsidR="00056F34" w:rsidRPr="00DF5BBF">
        <w:rPr>
          <w:rStyle w:val="fontstyle01"/>
          <w:sz w:val="22"/>
          <w:szCs w:val="22"/>
        </w:rPr>
        <w:t xml:space="preserve"> de deseos que una estrategia real y efectiva.</w:t>
      </w:r>
      <w:r w:rsidR="003729BD" w:rsidRPr="00DF5BBF">
        <w:rPr>
          <w:rStyle w:val="fontstyle01"/>
          <w:sz w:val="22"/>
          <w:szCs w:val="22"/>
        </w:rPr>
        <w:t xml:space="preserve"> El fracaso del Programa contra el Racismo no ha estado en su redacción y formulación, sino en la falta de financiamiento y recursos económicos</w:t>
      </w:r>
      <w:r w:rsidR="00CC4B91" w:rsidRPr="00DF5BBF">
        <w:rPr>
          <w:rStyle w:val="fontstyle01"/>
          <w:sz w:val="22"/>
          <w:szCs w:val="22"/>
        </w:rPr>
        <w:t>,</w:t>
      </w:r>
      <w:r w:rsidR="003729BD" w:rsidRPr="00DF5BBF">
        <w:rPr>
          <w:rStyle w:val="fontstyle01"/>
          <w:sz w:val="22"/>
          <w:szCs w:val="22"/>
        </w:rPr>
        <w:t xml:space="preserve"> que le impiden al Programa convertirse en un instrumento efectivo para eliminar la discriminación racial en Cuba.</w:t>
      </w:r>
    </w:p>
    <w:p w14:paraId="4C3AD05D" w14:textId="1C72CFAD" w:rsidR="00955462" w:rsidRPr="00DF5BBF" w:rsidRDefault="00955462" w:rsidP="00DF5BBF">
      <w:pPr>
        <w:snapToGrid w:val="0"/>
        <w:spacing w:before="120" w:after="0" w:line="240" w:lineRule="auto"/>
        <w:jc w:val="both"/>
        <w:rPr>
          <w:rStyle w:val="fontstyle01"/>
          <w:sz w:val="22"/>
          <w:szCs w:val="22"/>
        </w:rPr>
      </w:pPr>
      <w:r w:rsidRPr="00DF5BBF">
        <w:rPr>
          <w:rStyle w:val="fontstyle01"/>
          <w:sz w:val="22"/>
          <w:szCs w:val="22"/>
        </w:rPr>
        <w:lastRenderedPageBreak/>
        <w:t>Sobre el Programa, vale destacar que</w:t>
      </w:r>
      <w:r w:rsidRPr="00DF5BBF">
        <w:rPr>
          <w:rFonts w:ascii="Calibri" w:hAnsi="Calibri" w:cs="Calibri"/>
          <w:lang w:val="es-ES_tradnl"/>
        </w:rPr>
        <w:t xml:space="preserve"> la CIDH advirtió que en su elaboración no se tuvo en cuenta la participación de organizaciones independientes de la sociedad civil interesadas en el campo, a la vez que se elaboró sobre la base de un diagnóstico incompleto, en especial, en cuanto a las condiciones de vida y de empleabilidad de las personas afrodescendientes</w:t>
      </w:r>
      <w:r w:rsidRPr="00DF5BBF">
        <w:rPr>
          <w:rStyle w:val="FootnoteReference"/>
          <w:rFonts w:ascii="Calibri" w:hAnsi="Calibri" w:cs="Calibri"/>
          <w:lang w:val="es-ES_tradnl"/>
        </w:rPr>
        <w:footnoteReference w:id="44"/>
      </w:r>
      <w:r w:rsidRPr="00DF5BBF">
        <w:rPr>
          <w:rFonts w:ascii="Calibri" w:hAnsi="Calibri" w:cs="Calibri"/>
          <w:lang w:val="es-ES_tradnl"/>
        </w:rPr>
        <w:t>. En el año 2023 este organismo llamó a que se asegure la participación</w:t>
      </w:r>
      <w:r w:rsidRPr="00DF5BBF">
        <w:rPr>
          <w:rStyle w:val="eop"/>
          <w:rFonts w:ascii="Calibri" w:eastAsia="Cambria" w:hAnsi="Calibri" w:cs="Calibri"/>
          <w:lang w:val="es-AR"/>
        </w:rPr>
        <w:t xml:space="preserve"> efectiva de la sociedad civil en el programa, sin discriminación por rasgos ideológicos</w:t>
      </w:r>
      <w:r w:rsidRPr="00DF5BBF">
        <w:rPr>
          <w:rStyle w:val="FootnoteReference"/>
          <w:rFonts w:ascii="Calibri" w:eastAsia="Cambria" w:hAnsi="Calibri" w:cs="Calibri"/>
          <w:lang w:val="es-AR"/>
        </w:rPr>
        <w:footnoteReference w:id="45"/>
      </w:r>
      <w:r w:rsidRPr="00DF5BBF">
        <w:rPr>
          <w:rStyle w:val="eop"/>
          <w:rFonts w:ascii="Calibri" w:eastAsia="Cambria" w:hAnsi="Calibri" w:cs="Calibri"/>
          <w:lang w:val="es-AR"/>
        </w:rPr>
        <w:t>.</w:t>
      </w:r>
    </w:p>
    <w:p w14:paraId="5F87587D" w14:textId="657392D6" w:rsidR="008D1D6B" w:rsidRPr="00DF5BBF" w:rsidRDefault="006E03D4" w:rsidP="00DF5BBF">
      <w:pPr>
        <w:snapToGrid w:val="0"/>
        <w:spacing w:before="120" w:after="0" w:line="240" w:lineRule="auto"/>
        <w:jc w:val="both"/>
        <w:rPr>
          <w:rStyle w:val="fontstyle01"/>
          <w:sz w:val="22"/>
          <w:szCs w:val="22"/>
        </w:rPr>
      </w:pPr>
      <w:r w:rsidRPr="00DF5BBF">
        <w:rPr>
          <w:rStyle w:val="fontstyle01"/>
          <w:sz w:val="22"/>
          <w:szCs w:val="22"/>
        </w:rPr>
        <w:t>En cuanto a los párrafos 13, 14 y 15 del informe, el párrafo 14 refiere el compromiso del gobierno cubano en cuanto a implementar las recomendaciones que le fueron formuladas en materia racial durante su presentación al cuarto ciclo del Examen Periódico Universal del Consejo de Derechos Humanos</w:t>
      </w:r>
      <w:r w:rsidR="00422243" w:rsidRPr="00DF5BBF">
        <w:rPr>
          <w:rStyle w:val="fontstyle01"/>
          <w:sz w:val="22"/>
          <w:szCs w:val="22"/>
        </w:rPr>
        <w:t>; aunque no refiere el informe cuales fueron estas recomendaciones en la temática racial.</w:t>
      </w:r>
      <w:r w:rsidR="00755997" w:rsidRPr="00DF5BBF">
        <w:rPr>
          <w:rStyle w:val="fontstyle01"/>
          <w:sz w:val="22"/>
          <w:szCs w:val="22"/>
        </w:rPr>
        <w:t xml:space="preserve"> Sin </w:t>
      </w:r>
      <w:r w:rsidR="00F04905" w:rsidRPr="00DF5BBF">
        <w:rPr>
          <w:rStyle w:val="fontstyle01"/>
          <w:sz w:val="22"/>
          <w:szCs w:val="22"/>
        </w:rPr>
        <w:t>embargo,</w:t>
      </w:r>
      <w:r w:rsidR="00755997" w:rsidRPr="00DF5BBF">
        <w:rPr>
          <w:rStyle w:val="fontstyle01"/>
          <w:sz w:val="22"/>
          <w:szCs w:val="22"/>
        </w:rPr>
        <w:t xml:space="preserve"> la principal recomendación que se formuló en el diálogo interactivo correspondiente al cuarto ciclo del Examen Periódico Universal fue</w:t>
      </w:r>
      <w:r w:rsidR="009E08C5" w:rsidRPr="00DF5BBF">
        <w:rPr>
          <w:rStyle w:val="fontstyle01"/>
          <w:sz w:val="22"/>
          <w:szCs w:val="22"/>
        </w:rPr>
        <w:t xml:space="preserve"> la de concluir el proceso de ratificación de los principales pactos internacionales, incluidos en el Pacto Internacional de Derechos Civiles y Políticos, el Pacto Internacional de Derechos Económicos, Sociales y Culturales, sus protocolos facultativos además de otros instrumentos</w:t>
      </w:r>
      <w:r w:rsidR="009E08C5" w:rsidRPr="00DF5BBF">
        <w:rPr>
          <w:rStyle w:val="FootnoteReference"/>
          <w:rFonts w:ascii="Calibri" w:hAnsi="Calibri" w:cs="Calibri"/>
          <w:color w:val="000000"/>
        </w:rPr>
        <w:footnoteReference w:id="46"/>
      </w:r>
      <w:r w:rsidR="00955462" w:rsidRPr="00DF5BBF">
        <w:rPr>
          <w:rStyle w:val="fontstyle01"/>
          <w:sz w:val="22"/>
          <w:szCs w:val="22"/>
        </w:rPr>
        <w:t xml:space="preserve"> y</w:t>
      </w:r>
      <w:r w:rsidR="005D46B8" w:rsidRPr="00DF5BBF">
        <w:rPr>
          <w:rStyle w:val="fontstyle01"/>
          <w:sz w:val="22"/>
          <w:szCs w:val="22"/>
        </w:rPr>
        <w:t xml:space="preserve"> </w:t>
      </w:r>
      <w:r w:rsidR="00955462" w:rsidRPr="00DF5BBF">
        <w:rPr>
          <w:rStyle w:val="fontstyle01"/>
          <w:sz w:val="22"/>
          <w:szCs w:val="22"/>
        </w:rPr>
        <w:t xml:space="preserve">esta no fue </w:t>
      </w:r>
      <w:r w:rsidR="005D46B8" w:rsidRPr="00DF5BBF">
        <w:rPr>
          <w:rStyle w:val="fontstyle01"/>
          <w:sz w:val="22"/>
          <w:szCs w:val="22"/>
        </w:rPr>
        <w:t xml:space="preserve">cumplida </w:t>
      </w:r>
      <w:r w:rsidR="00955462" w:rsidRPr="00DF5BBF">
        <w:rPr>
          <w:rStyle w:val="fontstyle01"/>
          <w:sz w:val="22"/>
          <w:szCs w:val="22"/>
        </w:rPr>
        <w:t>hast</w:t>
      </w:r>
      <w:r w:rsidR="005F71EB" w:rsidRPr="00DF5BBF">
        <w:rPr>
          <w:rStyle w:val="fontstyle01"/>
          <w:sz w:val="22"/>
          <w:szCs w:val="22"/>
        </w:rPr>
        <w:t>a</w:t>
      </w:r>
      <w:r w:rsidR="00955462" w:rsidRPr="00DF5BBF">
        <w:rPr>
          <w:rStyle w:val="fontstyle01"/>
          <w:sz w:val="22"/>
          <w:szCs w:val="22"/>
        </w:rPr>
        <w:t xml:space="preserve"> el momento</w:t>
      </w:r>
      <w:r w:rsidR="005D46B8" w:rsidRPr="00DF5BBF">
        <w:rPr>
          <w:rStyle w:val="fontstyle01"/>
          <w:sz w:val="22"/>
          <w:szCs w:val="22"/>
        </w:rPr>
        <w:t>.</w:t>
      </w:r>
      <w:r w:rsidR="00406052" w:rsidRPr="00DF5BBF">
        <w:rPr>
          <w:rStyle w:val="fontstyle01"/>
          <w:sz w:val="22"/>
          <w:szCs w:val="22"/>
        </w:rPr>
        <w:t xml:space="preserve"> </w:t>
      </w:r>
    </w:p>
    <w:p w14:paraId="665AA021" w14:textId="0F6C2451" w:rsidR="00AF415C" w:rsidRPr="00DF5BBF" w:rsidRDefault="00AF415C" w:rsidP="00DF5BBF">
      <w:pPr>
        <w:snapToGrid w:val="0"/>
        <w:spacing w:before="120" w:after="0" w:line="240" w:lineRule="auto"/>
        <w:jc w:val="both"/>
        <w:rPr>
          <w:rStyle w:val="fontstyle01"/>
          <w:sz w:val="22"/>
          <w:szCs w:val="22"/>
        </w:rPr>
      </w:pPr>
      <w:r w:rsidRPr="00DF5BBF">
        <w:rPr>
          <w:rStyle w:val="fontstyle01"/>
          <w:sz w:val="22"/>
          <w:szCs w:val="22"/>
        </w:rPr>
        <w:t xml:space="preserve">Sobre el párrafo 16 </w:t>
      </w:r>
      <w:r w:rsidR="005F71EB" w:rsidRPr="00DF5BBF">
        <w:rPr>
          <w:rStyle w:val="fontstyle01"/>
          <w:sz w:val="22"/>
          <w:szCs w:val="22"/>
        </w:rPr>
        <w:t>referido a</w:t>
      </w:r>
      <w:r w:rsidRPr="00DF5BBF">
        <w:rPr>
          <w:rStyle w:val="fontstyle01"/>
          <w:sz w:val="22"/>
          <w:szCs w:val="22"/>
        </w:rPr>
        <w:t xml:space="preserve"> la información demográfica cubana teniendo en cuenta el color de la piel, ya </w:t>
      </w:r>
      <w:r w:rsidR="0086269D" w:rsidRPr="00DF5BBF">
        <w:rPr>
          <w:rStyle w:val="fontstyle01"/>
          <w:sz w:val="22"/>
          <w:szCs w:val="22"/>
        </w:rPr>
        <w:t>fue analizado ut supra</w:t>
      </w:r>
      <w:r w:rsidR="003E179B" w:rsidRPr="00DF5BBF">
        <w:rPr>
          <w:rStyle w:val="fontstyle01"/>
          <w:sz w:val="22"/>
          <w:szCs w:val="22"/>
        </w:rPr>
        <w:t>.</w:t>
      </w:r>
    </w:p>
    <w:p w14:paraId="3DBE0CCC" w14:textId="76C10B42" w:rsidR="00EA7FEF" w:rsidRPr="00DF5BBF" w:rsidRDefault="00321EE5" w:rsidP="00DF5BBF">
      <w:pPr>
        <w:snapToGrid w:val="0"/>
        <w:spacing w:before="120" w:after="0" w:line="240" w:lineRule="auto"/>
        <w:jc w:val="both"/>
        <w:rPr>
          <w:rStyle w:val="fontstyle01"/>
          <w:sz w:val="22"/>
          <w:szCs w:val="22"/>
        </w:rPr>
      </w:pPr>
      <w:r w:rsidRPr="00DF5BBF">
        <w:rPr>
          <w:rStyle w:val="fontstyle01"/>
          <w:sz w:val="22"/>
          <w:szCs w:val="22"/>
        </w:rPr>
        <w:t>Los párrafos 17, 18 y 19 transcriben artículos de la Constitución cubana de 2019.</w:t>
      </w:r>
      <w:r w:rsidR="00197411" w:rsidRPr="00DF5BBF">
        <w:rPr>
          <w:rStyle w:val="fontstyle01"/>
          <w:sz w:val="22"/>
          <w:szCs w:val="22"/>
        </w:rPr>
        <w:t xml:space="preserve"> Lamentablemente</w:t>
      </w:r>
      <w:r w:rsidR="0086269D" w:rsidRPr="00DF5BBF">
        <w:rPr>
          <w:rStyle w:val="fontstyle01"/>
          <w:sz w:val="22"/>
          <w:szCs w:val="22"/>
        </w:rPr>
        <w:t>,</w:t>
      </w:r>
      <w:r w:rsidR="00197411" w:rsidRPr="00DF5BBF">
        <w:rPr>
          <w:rStyle w:val="fontstyle01"/>
          <w:sz w:val="22"/>
          <w:szCs w:val="22"/>
        </w:rPr>
        <w:t xml:space="preserve"> a pesar del principio de supremacía constitucional vigente en el ordenamiento legal cubano, todavía subsisten en Cuba cuerpos legales, discriminatorios por el lugar de origen territorial de los ciudadanos cubanos</w:t>
      </w:r>
      <w:r w:rsidR="00282F7A" w:rsidRPr="00DF5BBF">
        <w:rPr>
          <w:rStyle w:val="fontstyle01"/>
          <w:sz w:val="22"/>
          <w:szCs w:val="22"/>
        </w:rPr>
        <w:t>. Nos referimos al Decreto Ley 217/1997 “Regulaciones migrator</w:t>
      </w:r>
      <w:r w:rsidR="009D174B" w:rsidRPr="00DF5BBF">
        <w:rPr>
          <w:rStyle w:val="fontstyle01"/>
          <w:sz w:val="22"/>
          <w:szCs w:val="22"/>
        </w:rPr>
        <w:t>ias para la ciudad de La Habana” que limita la libertad de circulación dentro de la Isla y el derecho a escoger el lugar de residencia.</w:t>
      </w:r>
      <w:r w:rsidR="00F8743F" w:rsidRPr="00DF5BBF">
        <w:rPr>
          <w:rStyle w:val="fontstyle01"/>
          <w:sz w:val="22"/>
          <w:szCs w:val="22"/>
        </w:rPr>
        <w:t xml:space="preserve"> Este cuerpo legal en esencia prohíbe la residencia en los municipios más importantes de la capital cubana, para aquellos ciudadanos del resto del país, salvo que se realice una compleja tramitación ante las oficinas de la vivienda capitalinas, para que esta entidad, si así lo entendiere, conceda el permiso de residencia en La Habana. Convirtiendo de hecho a los ciudadanos residentes en las provincias, en ciudadanos de segunda categoría sin acceso a las principales fuentes de empleo y servicios de Cuba, donde se concentran los mayores y mejores hospitales, centros culturales, deportivos y recreativos.</w:t>
      </w:r>
      <w:r w:rsidR="00BC2E75" w:rsidRPr="00DF5BBF">
        <w:rPr>
          <w:rStyle w:val="fontstyle01"/>
          <w:sz w:val="22"/>
          <w:szCs w:val="22"/>
        </w:rPr>
        <w:t xml:space="preserve"> La medida se diseñó específicamente para detener la migración interna de l</w:t>
      </w:r>
      <w:r w:rsidR="002E5564" w:rsidRPr="00DF5BBF">
        <w:rPr>
          <w:rStyle w:val="fontstyle01"/>
          <w:sz w:val="22"/>
          <w:szCs w:val="22"/>
        </w:rPr>
        <w:t xml:space="preserve">os habitantes de las provincias </w:t>
      </w:r>
      <w:r w:rsidR="00BC2E75" w:rsidRPr="00DF5BBF">
        <w:rPr>
          <w:rStyle w:val="fontstyle01"/>
          <w:sz w:val="22"/>
          <w:szCs w:val="22"/>
        </w:rPr>
        <w:t>orientales, afrodescendientes en su mayoría, conocidos peyorativamen</w:t>
      </w:r>
      <w:r w:rsidR="005A53E0" w:rsidRPr="00DF5BBF">
        <w:rPr>
          <w:rStyle w:val="fontstyle01"/>
          <w:sz w:val="22"/>
          <w:szCs w:val="22"/>
        </w:rPr>
        <w:t>te como “palestinos”</w:t>
      </w:r>
      <w:r w:rsidR="00BC2E75" w:rsidRPr="00DF5BBF">
        <w:rPr>
          <w:rStyle w:val="fontstyle01"/>
          <w:sz w:val="22"/>
          <w:szCs w:val="22"/>
        </w:rPr>
        <w:t>.</w:t>
      </w:r>
      <w:r w:rsidR="00893AD7" w:rsidRPr="00DF5BBF">
        <w:rPr>
          <w:rStyle w:val="fontstyle01"/>
          <w:sz w:val="22"/>
          <w:szCs w:val="22"/>
        </w:rPr>
        <w:t xml:space="preserve"> Peor aún es que este texto ha servido como fundamento legal para deportaciones masivas de indocumentados orientales en los llamados </w:t>
      </w:r>
      <w:r w:rsidR="0086269D" w:rsidRPr="00DF5BBF">
        <w:rPr>
          <w:rStyle w:val="fontstyle01"/>
          <w:sz w:val="22"/>
          <w:szCs w:val="22"/>
        </w:rPr>
        <w:t>“</w:t>
      </w:r>
      <w:r w:rsidR="00893AD7" w:rsidRPr="00DF5BBF">
        <w:rPr>
          <w:rStyle w:val="fontstyle01"/>
          <w:sz w:val="22"/>
          <w:szCs w:val="22"/>
        </w:rPr>
        <w:t>trenes de deportación a orientales</w:t>
      </w:r>
      <w:r w:rsidR="0086269D" w:rsidRPr="00DF5BBF">
        <w:rPr>
          <w:rStyle w:val="fontstyle01"/>
          <w:sz w:val="22"/>
          <w:szCs w:val="22"/>
        </w:rPr>
        <w:t>”</w:t>
      </w:r>
      <w:r w:rsidR="00893AD7" w:rsidRPr="00DF5BBF">
        <w:rPr>
          <w:rStyle w:val="fontstyle01"/>
          <w:sz w:val="22"/>
          <w:szCs w:val="22"/>
        </w:rPr>
        <w:t>, realizados por la policía luego de redadas o la aplicación selectiva de la deportación interna a activistas de derechos humanos y periodistas independientes.</w:t>
      </w:r>
      <w:r w:rsidR="00EA7FEF" w:rsidRPr="00DF5BBF">
        <w:rPr>
          <w:rStyle w:val="fontstyle01"/>
          <w:sz w:val="22"/>
          <w:szCs w:val="22"/>
        </w:rPr>
        <w:t xml:space="preserve"> Tampoco se ajusta la redacción de la nueva constitución y leyes complementarias a la recomendación del Comité sobre los informes del estado cubano 19° al 21°, en cuanto a contemplar los actos de discriminación directa e indirecta</w:t>
      </w:r>
      <w:r w:rsidR="00CA3808" w:rsidRPr="00DF5BBF">
        <w:rPr>
          <w:rStyle w:val="FootnoteReference"/>
          <w:rFonts w:ascii="Calibri" w:hAnsi="Calibri" w:cs="Calibri"/>
          <w:color w:val="000000"/>
        </w:rPr>
        <w:footnoteReference w:id="47"/>
      </w:r>
      <w:r w:rsidR="0086269D" w:rsidRPr="00DF5BBF">
        <w:rPr>
          <w:rStyle w:val="fontstyle01"/>
          <w:sz w:val="22"/>
          <w:szCs w:val="22"/>
        </w:rPr>
        <w:t>.</w:t>
      </w:r>
      <w:r w:rsidR="00EA7FEF" w:rsidRPr="00DF5BBF">
        <w:rPr>
          <w:rStyle w:val="fontstyle01"/>
          <w:sz w:val="22"/>
          <w:szCs w:val="22"/>
        </w:rPr>
        <w:t xml:space="preserve"> </w:t>
      </w:r>
    </w:p>
    <w:p w14:paraId="33814067" w14:textId="77777777" w:rsidR="005B7B8B" w:rsidRPr="00DF5BBF" w:rsidRDefault="004B1091" w:rsidP="00DF5BBF">
      <w:pPr>
        <w:snapToGrid w:val="0"/>
        <w:spacing w:before="120" w:after="0" w:line="240" w:lineRule="auto"/>
        <w:jc w:val="both"/>
        <w:rPr>
          <w:rStyle w:val="fontstyle01"/>
          <w:sz w:val="22"/>
          <w:szCs w:val="22"/>
        </w:rPr>
      </w:pPr>
      <w:r w:rsidRPr="00DF5BBF">
        <w:rPr>
          <w:rStyle w:val="fontstyle01"/>
          <w:sz w:val="22"/>
          <w:szCs w:val="22"/>
        </w:rPr>
        <w:lastRenderedPageBreak/>
        <w:t>Los párrafos 22 al 27 del informe hacen referencia al cumplimiento del artículo 2 de la Convención.</w:t>
      </w:r>
      <w:r w:rsidR="003D2CDB" w:rsidRPr="00DF5BBF">
        <w:rPr>
          <w:rStyle w:val="fontstyle01"/>
          <w:sz w:val="22"/>
          <w:szCs w:val="22"/>
        </w:rPr>
        <w:t xml:space="preserve"> El párrafo 23 refiere la formulación del capítulo VIII, Título XIV, libro segun</w:t>
      </w:r>
      <w:r w:rsidR="002D5F1E" w:rsidRPr="00DF5BBF">
        <w:rPr>
          <w:rStyle w:val="fontstyle01"/>
          <w:sz w:val="22"/>
          <w:szCs w:val="22"/>
        </w:rPr>
        <w:t xml:space="preserve">do del Código Penal, Ley 151/22, sobre el delito contra el derecho de igualdad. </w:t>
      </w:r>
      <w:r w:rsidR="001906CD" w:rsidRPr="00DF5BBF">
        <w:rPr>
          <w:rStyle w:val="fontstyle01"/>
          <w:sz w:val="22"/>
          <w:szCs w:val="22"/>
        </w:rPr>
        <w:t>L</w:t>
      </w:r>
      <w:r w:rsidR="00F365BD" w:rsidRPr="00DF5BBF">
        <w:rPr>
          <w:rStyle w:val="fontstyle01"/>
          <w:sz w:val="22"/>
          <w:szCs w:val="22"/>
        </w:rPr>
        <w:t>lama la atención que este delito nunca se ha aplicado desde la promulgación del nuevo código pen</w:t>
      </w:r>
      <w:r w:rsidR="00003875" w:rsidRPr="00DF5BBF">
        <w:rPr>
          <w:rStyle w:val="fontstyle01"/>
          <w:sz w:val="22"/>
          <w:szCs w:val="22"/>
        </w:rPr>
        <w:t>al en el 2022 y</w:t>
      </w:r>
      <w:r w:rsidR="005B7B8B" w:rsidRPr="00DF5BBF">
        <w:rPr>
          <w:rStyle w:val="fontstyle01"/>
          <w:sz w:val="22"/>
          <w:szCs w:val="22"/>
        </w:rPr>
        <w:t>, como ha quedado demostrado a lo largo de este documento,</w:t>
      </w:r>
      <w:r w:rsidR="00003875" w:rsidRPr="00DF5BBF">
        <w:rPr>
          <w:rStyle w:val="fontstyle01"/>
          <w:sz w:val="22"/>
          <w:szCs w:val="22"/>
        </w:rPr>
        <w:t xml:space="preserve"> no</w:t>
      </w:r>
      <w:r w:rsidR="005B7B8B" w:rsidRPr="00DF5BBF">
        <w:rPr>
          <w:rStyle w:val="fontstyle01"/>
          <w:sz w:val="22"/>
          <w:szCs w:val="22"/>
        </w:rPr>
        <w:t xml:space="preserve"> es</w:t>
      </w:r>
      <w:r w:rsidR="00003875" w:rsidRPr="00DF5BBF">
        <w:rPr>
          <w:rStyle w:val="fontstyle01"/>
          <w:sz w:val="22"/>
          <w:szCs w:val="22"/>
        </w:rPr>
        <w:t xml:space="preserve"> por falta de</w:t>
      </w:r>
      <w:r w:rsidR="00F365BD" w:rsidRPr="00DF5BBF">
        <w:rPr>
          <w:rStyle w:val="fontstyle01"/>
          <w:sz w:val="22"/>
          <w:szCs w:val="22"/>
        </w:rPr>
        <w:t xml:space="preserve"> discriminación</w:t>
      </w:r>
      <w:r w:rsidR="005B7B8B" w:rsidRPr="00DF5BBF">
        <w:rPr>
          <w:rStyle w:val="fontstyle01"/>
          <w:sz w:val="22"/>
          <w:szCs w:val="22"/>
        </w:rPr>
        <w:t>, s</w:t>
      </w:r>
      <w:r w:rsidR="0005732B" w:rsidRPr="00DF5BBF">
        <w:rPr>
          <w:rStyle w:val="fontstyle01"/>
          <w:sz w:val="22"/>
          <w:szCs w:val="22"/>
        </w:rPr>
        <w:t xml:space="preserve">ino que la población afrodescendiente </w:t>
      </w:r>
      <w:r w:rsidR="005B7B8B" w:rsidRPr="00DF5BBF">
        <w:rPr>
          <w:rStyle w:val="fontstyle01"/>
          <w:sz w:val="22"/>
          <w:szCs w:val="22"/>
        </w:rPr>
        <w:t xml:space="preserve">por diversas razones no </w:t>
      </w:r>
      <w:r w:rsidR="0005732B" w:rsidRPr="00DF5BBF">
        <w:rPr>
          <w:rStyle w:val="fontstyle01"/>
          <w:sz w:val="22"/>
          <w:szCs w:val="22"/>
        </w:rPr>
        <w:t xml:space="preserve">interpone denuncias por este delito. </w:t>
      </w:r>
    </w:p>
    <w:p w14:paraId="4EF47E90" w14:textId="0633A1D7" w:rsidR="00B36DF8" w:rsidRPr="00DF5BBF" w:rsidRDefault="0005732B" w:rsidP="00DF5BBF">
      <w:pPr>
        <w:snapToGrid w:val="0"/>
        <w:spacing w:before="120" w:after="0" w:line="240" w:lineRule="auto"/>
        <w:jc w:val="both"/>
        <w:rPr>
          <w:rFonts w:ascii="Calibri" w:hAnsi="Calibri" w:cs="Calibri"/>
          <w:highlight w:val="yellow"/>
        </w:rPr>
      </w:pPr>
      <w:r w:rsidRPr="00DF5BBF">
        <w:rPr>
          <w:rStyle w:val="fontstyle01"/>
          <w:sz w:val="22"/>
          <w:szCs w:val="22"/>
        </w:rPr>
        <w:t>Por ejemplo, la actuación de los agentes policiales está se</w:t>
      </w:r>
      <w:r w:rsidR="00F66A45" w:rsidRPr="00DF5BBF">
        <w:rPr>
          <w:rStyle w:val="fontstyle01"/>
          <w:sz w:val="22"/>
          <w:szCs w:val="22"/>
        </w:rPr>
        <w:t>s</w:t>
      </w:r>
      <w:r w:rsidRPr="00DF5BBF">
        <w:rPr>
          <w:rStyle w:val="fontstyle01"/>
          <w:sz w:val="22"/>
          <w:szCs w:val="22"/>
        </w:rPr>
        <w:t xml:space="preserve">gada por </w:t>
      </w:r>
      <w:proofErr w:type="gramStart"/>
      <w:r w:rsidRPr="00DF5BBF">
        <w:rPr>
          <w:rStyle w:val="fontstyle01"/>
          <w:sz w:val="22"/>
          <w:szCs w:val="22"/>
        </w:rPr>
        <w:t>prejuicio</w:t>
      </w:r>
      <w:r w:rsidR="00CC34F7" w:rsidRPr="00DF5BBF">
        <w:rPr>
          <w:rStyle w:val="fontstyle01"/>
          <w:sz w:val="22"/>
          <w:szCs w:val="22"/>
        </w:rPr>
        <w:t>s</w:t>
      </w:r>
      <w:r w:rsidRPr="00DF5BBF">
        <w:rPr>
          <w:rStyle w:val="fontstyle01"/>
          <w:sz w:val="22"/>
          <w:szCs w:val="22"/>
        </w:rPr>
        <w:t xml:space="preserve"> raciales o perfilamiento racial</w:t>
      </w:r>
      <w:proofErr w:type="gramEnd"/>
      <w:r w:rsidRPr="00DF5BBF">
        <w:rPr>
          <w:rStyle w:val="fontstyle01"/>
          <w:sz w:val="22"/>
          <w:szCs w:val="22"/>
        </w:rPr>
        <w:t xml:space="preserve"> como también se le denomina a este fenómeno.</w:t>
      </w:r>
      <w:r w:rsidR="0015270C" w:rsidRPr="00DF5BBF">
        <w:rPr>
          <w:rStyle w:val="fontstyle01"/>
          <w:sz w:val="22"/>
          <w:szCs w:val="22"/>
        </w:rPr>
        <w:t xml:space="preserve"> </w:t>
      </w:r>
      <w:r w:rsidR="00B36DF8" w:rsidRPr="00DF5BBF">
        <w:rPr>
          <w:rFonts w:ascii="Calibri" w:hAnsi="Calibri" w:cs="Calibri"/>
          <w:lang w:val="es-ES_tradnl"/>
        </w:rPr>
        <w:t>Organizaciones de la sociedad civil informaron a la CIDH que la violencia con perfilamiento racial y la discriminación estructural son problemas persistentes en Cuba, especialmente dentro del sistema de justicia y la actuación de las fuerzas policiales, teniendo las personas afrodescendientes mayores probabilidades de ser percibidas como peligrosas y criminales</w:t>
      </w:r>
      <w:r w:rsidR="00B36DF8" w:rsidRPr="00DF5BBF">
        <w:rPr>
          <w:rStyle w:val="FootnoteReference"/>
          <w:rFonts w:ascii="Calibri" w:hAnsi="Calibri" w:cs="Calibri"/>
          <w:lang w:val="es-ES_tradnl"/>
        </w:rPr>
        <w:footnoteReference w:id="48"/>
      </w:r>
      <w:r w:rsidR="00B36DF8" w:rsidRPr="00DF5BBF">
        <w:rPr>
          <w:rFonts w:ascii="Calibri" w:hAnsi="Calibri" w:cs="Calibri"/>
          <w:lang w:val="es-ES_tradnl"/>
        </w:rPr>
        <w:t xml:space="preserve">. </w:t>
      </w:r>
    </w:p>
    <w:p w14:paraId="3EFDBCC9" w14:textId="421E73EF" w:rsidR="0099221F" w:rsidRPr="00DF5BBF" w:rsidRDefault="005D7924" w:rsidP="00DF5BBF">
      <w:pPr>
        <w:snapToGrid w:val="0"/>
        <w:spacing w:before="120" w:after="0" w:line="240" w:lineRule="auto"/>
        <w:jc w:val="both"/>
        <w:rPr>
          <w:rStyle w:val="fontstyle01"/>
          <w:sz w:val="22"/>
          <w:szCs w:val="22"/>
        </w:rPr>
      </w:pPr>
      <w:r w:rsidRPr="00DF5BBF">
        <w:rPr>
          <w:rStyle w:val="fontstyle01"/>
          <w:sz w:val="22"/>
          <w:szCs w:val="22"/>
        </w:rPr>
        <w:t xml:space="preserve">El único antecedente legal de la aplicación de este delito contra el derecho de </w:t>
      </w:r>
      <w:r w:rsidR="005B7B8B" w:rsidRPr="00DF5BBF">
        <w:rPr>
          <w:rStyle w:val="fontstyle01"/>
          <w:sz w:val="22"/>
          <w:szCs w:val="22"/>
        </w:rPr>
        <w:t>igualdad</w:t>
      </w:r>
      <w:r w:rsidRPr="00DF5BBF">
        <w:rPr>
          <w:rStyle w:val="fontstyle01"/>
          <w:sz w:val="22"/>
          <w:szCs w:val="22"/>
        </w:rPr>
        <w:t xml:space="preserve"> ocurrió en el 2017, en la vigencia del anterior código penal, </w:t>
      </w:r>
      <w:r w:rsidR="001D7B75" w:rsidRPr="00DF5BBF">
        <w:rPr>
          <w:rStyle w:val="fontstyle01"/>
          <w:sz w:val="22"/>
          <w:szCs w:val="22"/>
        </w:rPr>
        <w:t xml:space="preserve">y el proceso se cerró con </w:t>
      </w:r>
      <w:r w:rsidR="004E2B04" w:rsidRPr="00DF5BBF">
        <w:rPr>
          <w:rStyle w:val="fontstyle01"/>
          <w:sz w:val="22"/>
          <w:szCs w:val="22"/>
        </w:rPr>
        <w:t xml:space="preserve">una multa de carácter administrativo </w:t>
      </w:r>
      <w:r w:rsidR="001D7B75" w:rsidRPr="00DF5BBF">
        <w:rPr>
          <w:rStyle w:val="fontstyle01"/>
          <w:sz w:val="22"/>
          <w:szCs w:val="22"/>
        </w:rPr>
        <w:t>de</w:t>
      </w:r>
      <w:r w:rsidR="004E2B04" w:rsidRPr="00DF5BBF">
        <w:rPr>
          <w:rStyle w:val="fontstyle01"/>
          <w:sz w:val="22"/>
          <w:szCs w:val="22"/>
        </w:rPr>
        <w:t xml:space="preserve"> 500 pesos, de modo que la denuncia no llegó a sede judicial.</w:t>
      </w:r>
      <w:r w:rsidR="00BF1926" w:rsidRPr="00DF5BBF">
        <w:rPr>
          <w:rStyle w:val="fontstyle01"/>
          <w:sz w:val="22"/>
          <w:szCs w:val="22"/>
        </w:rPr>
        <w:t xml:space="preserve"> </w:t>
      </w:r>
      <w:r w:rsidR="0099221F" w:rsidRPr="00DF5BBF">
        <w:rPr>
          <w:rStyle w:val="fontstyle01"/>
          <w:sz w:val="22"/>
          <w:szCs w:val="22"/>
        </w:rPr>
        <w:t xml:space="preserve">Nunca un policía que haya asesinado a un afrodescendiente en </w:t>
      </w:r>
      <w:r w:rsidR="001D7B75" w:rsidRPr="00DF5BBF">
        <w:rPr>
          <w:rStyle w:val="fontstyle01"/>
          <w:sz w:val="22"/>
          <w:szCs w:val="22"/>
        </w:rPr>
        <w:t>Cuba</w:t>
      </w:r>
      <w:r w:rsidR="0099221F" w:rsidRPr="00DF5BBF">
        <w:rPr>
          <w:rStyle w:val="fontstyle01"/>
          <w:sz w:val="22"/>
          <w:szCs w:val="22"/>
        </w:rPr>
        <w:t xml:space="preserve"> ha sido juzgado ni sancionado</w:t>
      </w:r>
      <w:r w:rsidR="00743E58" w:rsidRPr="00DF5BBF">
        <w:rPr>
          <w:rStyle w:val="fontstyle01"/>
          <w:sz w:val="22"/>
          <w:szCs w:val="22"/>
        </w:rPr>
        <w:t xml:space="preserve"> por tribunales</w:t>
      </w:r>
      <w:r w:rsidR="002E5564" w:rsidRPr="00DF5BBF">
        <w:rPr>
          <w:rStyle w:val="fontstyle01"/>
          <w:sz w:val="22"/>
          <w:szCs w:val="22"/>
        </w:rPr>
        <w:t>,</w:t>
      </w:r>
      <w:r w:rsidR="00743E58" w:rsidRPr="00DF5BBF">
        <w:rPr>
          <w:rStyle w:val="fontstyle01"/>
          <w:sz w:val="22"/>
          <w:szCs w:val="22"/>
        </w:rPr>
        <w:t xml:space="preserve"> por lo que el Código Penal se convierte en letra muerta</w:t>
      </w:r>
      <w:r w:rsidR="002E5564" w:rsidRPr="00DF5BBF">
        <w:rPr>
          <w:rStyle w:val="fontstyle01"/>
          <w:sz w:val="22"/>
          <w:szCs w:val="22"/>
        </w:rPr>
        <w:t>,</w:t>
      </w:r>
      <w:r w:rsidR="00743E58" w:rsidRPr="00DF5BBF">
        <w:rPr>
          <w:rStyle w:val="fontstyle01"/>
          <w:sz w:val="22"/>
          <w:szCs w:val="22"/>
        </w:rPr>
        <w:t xml:space="preserve"> cuando son agentes del </w:t>
      </w:r>
      <w:r w:rsidR="001D7B75" w:rsidRPr="00DF5BBF">
        <w:rPr>
          <w:rStyle w:val="fontstyle01"/>
          <w:sz w:val="22"/>
          <w:szCs w:val="22"/>
        </w:rPr>
        <w:t>E</w:t>
      </w:r>
      <w:r w:rsidR="00743E58" w:rsidRPr="00DF5BBF">
        <w:rPr>
          <w:rStyle w:val="fontstyle01"/>
          <w:sz w:val="22"/>
          <w:szCs w:val="22"/>
        </w:rPr>
        <w:t>stado los responsables de muertes y lesiones a la población afrodescen</w:t>
      </w:r>
      <w:r w:rsidR="001365BE" w:rsidRPr="00DF5BBF">
        <w:rPr>
          <w:rStyle w:val="fontstyle01"/>
          <w:sz w:val="22"/>
          <w:szCs w:val="22"/>
        </w:rPr>
        <w:t>diente</w:t>
      </w:r>
      <w:r w:rsidR="00743E58" w:rsidRPr="00DF5BBF">
        <w:rPr>
          <w:rStyle w:val="fontstyle01"/>
          <w:sz w:val="22"/>
          <w:szCs w:val="22"/>
        </w:rPr>
        <w:t>.</w:t>
      </w:r>
    </w:p>
    <w:p w14:paraId="13CB0DBB" w14:textId="77777777" w:rsidR="00985389" w:rsidRPr="00DF5BBF" w:rsidRDefault="002B7A4E" w:rsidP="00DF5BBF">
      <w:pPr>
        <w:snapToGrid w:val="0"/>
        <w:spacing w:before="120" w:after="0" w:line="240" w:lineRule="auto"/>
        <w:jc w:val="both"/>
        <w:rPr>
          <w:rStyle w:val="fontstyle01"/>
          <w:sz w:val="22"/>
          <w:szCs w:val="22"/>
        </w:rPr>
      </w:pPr>
      <w:r w:rsidRPr="00DF5BBF">
        <w:rPr>
          <w:rStyle w:val="fontstyle01"/>
          <w:sz w:val="22"/>
          <w:szCs w:val="22"/>
        </w:rPr>
        <w:t xml:space="preserve">Los párrafos 28 al 45 del informe del </w:t>
      </w:r>
      <w:r w:rsidR="00985389" w:rsidRPr="00DF5BBF">
        <w:rPr>
          <w:rStyle w:val="fontstyle01"/>
          <w:sz w:val="22"/>
          <w:szCs w:val="22"/>
        </w:rPr>
        <w:t>Estado</w:t>
      </w:r>
      <w:r w:rsidRPr="00DF5BBF">
        <w:rPr>
          <w:rStyle w:val="fontstyle01"/>
          <w:sz w:val="22"/>
          <w:szCs w:val="22"/>
        </w:rPr>
        <w:t xml:space="preserve"> son relativos al cumplimiento del artículo 3 de la Convención.</w:t>
      </w:r>
      <w:r w:rsidR="00B36AA8" w:rsidRPr="00DF5BBF">
        <w:rPr>
          <w:rStyle w:val="fontstyle01"/>
          <w:sz w:val="22"/>
          <w:szCs w:val="22"/>
        </w:rPr>
        <w:t xml:space="preserve"> Los párrafos 38, 39 y 40 de este informe tratan la colaboración médica cubana en distintos países y entre ellos África. </w:t>
      </w:r>
      <w:r w:rsidR="00383BF7" w:rsidRPr="00DF5BBF">
        <w:rPr>
          <w:rStyle w:val="fontstyle01"/>
          <w:sz w:val="22"/>
          <w:szCs w:val="22"/>
        </w:rPr>
        <w:t>Esta colaboración no es gratuita, por el contrario, el personal sanitario cubano, con notable presencia de la población afrodescendiente</w:t>
      </w:r>
      <w:r w:rsidR="00694613" w:rsidRPr="00DF5BBF">
        <w:rPr>
          <w:rStyle w:val="fontstyle01"/>
          <w:sz w:val="22"/>
          <w:szCs w:val="22"/>
        </w:rPr>
        <w:t>, trabaja en condiciones de semiesclavitud en estos países, incluso con prácticas ilegales de las autoridades cubanas como retención de pasaportes, restr</w:t>
      </w:r>
      <w:r w:rsidR="00E1705B" w:rsidRPr="00DF5BBF">
        <w:rPr>
          <w:rStyle w:val="fontstyle01"/>
          <w:sz w:val="22"/>
          <w:szCs w:val="22"/>
        </w:rPr>
        <w:t xml:space="preserve">icciones de movilidad, </w:t>
      </w:r>
      <w:r w:rsidR="00694613" w:rsidRPr="00DF5BBF">
        <w:rPr>
          <w:rStyle w:val="fontstyle01"/>
          <w:sz w:val="22"/>
          <w:szCs w:val="22"/>
        </w:rPr>
        <w:t xml:space="preserve">de contactos sociales, e incluso prohibiciones de entablar parejas afectivas. </w:t>
      </w:r>
      <w:r w:rsidR="0006232A" w:rsidRPr="00DF5BBF">
        <w:rPr>
          <w:rStyle w:val="fontstyle01"/>
          <w:sz w:val="22"/>
          <w:szCs w:val="22"/>
        </w:rPr>
        <w:t>Los sanitar</w:t>
      </w:r>
      <w:r w:rsidR="00242C7F" w:rsidRPr="00DF5BBF">
        <w:rPr>
          <w:rStyle w:val="fontstyle01"/>
          <w:sz w:val="22"/>
          <w:szCs w:val="22"/>
        </w:rPr>
        <w:t>ios cubanos por carencias</w:t>
      </w:r>
      <w:r w:rsidR="0006232A" w:rsidRPr="00DF5BBF">
        <w:rPr>
          <w:rStyle w:val="fontstyle01"/>
          <w:sz w:val="22"/>
          <w:szCs w:val="22"/>
        </w:rPr>
        <w:t xml:space="preserve"> económica</w:t>
      </w:r>
      <w:r w:rsidR="00242C7F" w:rsidRPr="00DF5BBF">
        <w:rPr>
          <w:rStyle w:val="fontstyle01"/>
          <w:sz w:val="22"/>
          <w:szCs w:val="22"/>
        </w:rPr>
        <w:t>s aceptan ser</w:t>
      </w:r>
      <w:r w:rsidR="0006232A" w:rsidRPr="00DF5BBF">
        <w:rPr>
          <w:rStyle w:val="fontstyle01"/>
          <w:sz w:val="22"/>
          <w:szCs w:val="22"/>
        </w:rPr>
        <w:t xml:space="preserve"> enviados a lugares de altos riesgos</w:t>
      </w:r>
      <w:r w:rsidR="00653CEC" w:rsidRPr="00DF5BBF">
        <w:rPr>
          <w:rStyle w:val="fontstyle01"/>
          <w:sz w:val="22"/>
          <w:szCs w:val="22"/>
        </w:rPr>
        <w:t>.</w:t>
      </w:r>
    </w:p>
    <w:p w14:paraId="27403A38" w14:textId="1D17FD2E" w:rsidR="00A954AF" w:rsidRPr="00DF5BBF" w:rsidRDefault="00985389" w:rsidP="00DF5BBF">
      <w:pPr>
        <w:snapToGrid w:val="0"/>
        <w:spacing w:before="120" w:after="0" w:line="240" w:lineRule="auto"/>
        <w:jc w:val="both"/>
        <w:rPr>
          <w:rStyle w:val="fontstyle01"/>
          <w:sz w:val="22"/>
          <w:szCs w:val="22"/>
        </w:rPr>
      </w:pPr>
      <w:r w:rsidRPr="00DF5BBF">
        <w:rPr>
          <w:rStyle w:val="fontstyle01"/>
          <w:sz w:val="22"/>
          <w:szCs w:val="22"/>
        </w:rPr>
        <w:t>Los p</w:t>
      </w:r>
      <w:r w:rsidR="00A954AF" w:rsidRPr="00DF5BBF">
        <w:rPr>
          <w:rStyle w:val="fontstyle01"/>
          <w:sz w:val="22"/>
          <w:szCs w:val="22"/>
        </w:rPr>
        <w:t>árrafos 46 al 50 del informe corresponden al artículo 4 de la Convención.</w:t>
      </w:r>
      <w:r w:rsidR="00F26114" w:rsidRPr="00DF5BBF">
        <w:rPr>
          <w:rStyle w:val="fontstyle01"/>
          <w:sz w:val="22"/>
          <w:szCs w:val="22"/>
        </w:rPr>
        <w:t xml:space="preserve"> El párrafo 49 del informe expone que la Ley 54/85 “Ley de asociaciones” regula el ejercicio del derecho de asociación, reconocido constitucionalmente a todos los ciudadanos.</w:t>
      </w:r>
      <w:r w:rsidR="00434309" w:rsidRPr="00DF5BBF">
        <w:rPr>
          <w:rStyle w:val="fontstyle01"/>
          <w:sz w:val="22"/>
          <w:szCs w:val="22"/>
        </w:rPr>
        <w:t xml:space="preserve"> También refiere que en julio de 2025 será aprobada una nueva Ley de Formas Asociativas. </w:t>
      </w:r>
      <w:r w:rsidR="007F0BFE" w:rsidRPr="00DF5BBF">
        <w:rPr>
          <w:rStyle w:val="fontstyle01"/>
          <w:sz w:val="22"/>
          <w:szCs w:val="22"/>
        </w:rPr>
        <w:t>Esta nueva ley asociativa no fue aprobada en el año 2025 y hasta febrero de 2026, tampoco ha sido aprobada</w:t>
      </w:r>
      <w:r w:rsidR="006C0105" w:rsidRPr="00DF5BBF">
        <w:rPr>
          <w:rStyle w:val="fontstyle01"/>
          <w:sz w:val="22"/>
          <w:szCs w:val="22"/>
        </w:rPr>
        <w:t>,</w:t>
      </w:r>
      <w:r w:rsidR="007F0BFE" w:rsidRPr="00DF5BBF">
        <w:rPr>
          <w:rStyle w:val="fontstyle01"/>
          <w:sz w:val="22"/>
          <w:szCs w:val="22"/>
        </w:rPr>
        <w:t xml:space="preserve"> por lo que continúa vigente la Ley 54/85</w:t>
      </w:r>
      <w:r w:rsidR="00F8291D" w:rsidRPr="00DF5BBF">
        <w:rPr>
          <w:rStyle w:val="fontstyle01"/>
          <w:sz w:val="22"/>
          <w:szCs w:val="22"/>
        </w:rPr>
        <w:t>,</w:t>
      </w:r>
      <w:r w:rsidR="007F0BFE" w:rsidRPr="00DF5BBF">
        <w:rPr>
          <w:rStyle w:val="fontstyle01"/>
          <w:sz w:val="22"/>
          <w:szCs w:val="22"/>
        </w:rPr>
        <w:t xml:space="preserve"> que concede al Registro de Asociaciones del Ministerio de Justicia</w:t>
      </w:r>
      <w:r w:rsidR="006C0105" w:rsidRPr="00DF5BBF">
        <w:rPr>
          <w:rStyle w:val="fontstyle01"/>
          <w:sz w:val="22"/>
          <w:szCs w:val="22"/>
        </w:rPr>
        <w:t>,</w:t>
      </w:r>
      <w:r w:rsidR="007F0BFE" w:rsidRPr="00DF5BBF">
        <w:rPr>
          <w:rStyle w:val="fontstyle01"/>
          <w:sz w:val="22"/>
          <w:szCs w:val="22"/>
        </w:rPr>
        <w:t xml:space="preserve"> la facultad de admitir o no la legalización de entidades asociativas.</w:t>
      </w:r>
      <w:r w:rsidR="00F31431" w:rsidRPr="00DF5BBF">
        <w:rPr>
          <w:rStyle w:val="fontstyle01"/>
          <w:sz w:val="22"/>
          <w:szCs w:val="22"/>
        </w:rPr>
        <w:t xml:space="preserve"> Todas las organizaciones en</w:t>
      </w:r>
      <w:r w:rsidR="00F75DB2" w:rsidRPr="00DF5BBF">
        <w:rPr>
          <w:rStyle w:val="fontstyle01"/>
          <w:sz w:val="22"/>
          <w:szCs w:val="22"/>
        </w:rPr>
        <w:t xml:space="preserve">caminadas a buscar protección y </w:t>
      </w:r>
      <w:r w:rsidR="00F31431" w:rsidRPr="00DF5BBF">
        <w:rPr>
          <w:rStyle w:val="fontstyle01"/>
          <w:sz w:val="22"/>
          <w:szCs w:val="22"/>
        </w:rPr>
        <w:t xml:space="preserve">derechos para los afrodescendientes han sido rechazadas sistemáticamente </w:t>
      </w:r>
      <w:r w:rsidR="00F44B86" w:rsidRPr="00DF5BBF">
        <w:rPr>
          <w:rStyle w:val="fontstyle01"/>
          <w:sz w:val="22"/>
          <w:szCs w:val="22"/>
        </w:rPr>
        <w:t xml:space="preserve">de inscripción </w:t>
      </w:r>
      <w:r w:rsidR="00F31431" w:rsidRPr="00DF5BBF">
        <w:rPr>
          <w:rStyle w:val="fontstyle01"/>
          <w:sz w:val="22"/>
          <w:szCs w:val="22"/>
        </w:rPr>
        <w:t>p</w:t>
      </w:r>
      <w:r w:rsidR="00F44B86" w:rsidRPr="00DF5BBF">
        <w:rPr>
          <w:rStyle w:val="fontstyle01"/>
          <w:sz w:val="22"/>
          <w:szCs w:val="22"/>
        </w:rPr>
        <w:t>or el Registro de Asociaciones.</w:t>
      </w:r>
    </w:p>
    <w:p w14:paraId="66064FF5" w14:textId="357ABA52" w:rsidR="00FD283E" w:rsidRPr="00DF5BBF" w:rsidRDefault="00D65923" w:rsidP="00DF5BBF">
      <w:pPr>
        <w:snapToGrid w:val="0"/>
        <w:spacing w:before="120" w:after="0" w:line="240" w:lineRule="auto"/>
        <w:jc w:val="both"/>
        <w:rPr>
          <w:rStyle w:val="fontstyle01"/>
          <w:sz w:val="22"/>
          <w:szCs w:val="22"/>
        </w:rPr>
      </w:pPr>
      <w:r w:rsidRPr="00DF5BBF">
        <w:rPr>
          <w:rStyle w:val="fontstyle01"/>
          <w:sz w:val="22"/>
          <w:szCs w:val="22"/>
        </w:rPr>
        <w:t>Los párrafos 51 al 175 del informe desarrollan el artículo 5 de la Convención.</w:t>
      </w:r>
      <w:r w:rsidR="0015321E" w:rsidRPr="00DF5BBF">
        <w:rPr>
          <w:rStyle w:val="fontstyle01"/>
          <w:sz w:val="22"/>
          <w:szCs w:val="22"/>
        </w:rPr>
        <w:t xml:space="preserve"> </w:t>
      </w:r>
      <w:r w:rsidR="00113E85" w:rsidRPr="00DF5BBF">
        <w:rPr>
          <w:rStyle w:val="fontstyle01"/>
          <w:sz w:val="22"/>
          <w:szCs w:val="22"/>
        </w:rPr>
        <w:t>En el párrafo</w:t>
      </w:r>
      <w:r w:rsidR="00C544E3" w:rsidRPr="00DF5BBF">
        <w:rPr>
          <w:rStyle w:val="fontstyle01"/>
          <w:sz w:val="22"/>
          <w:szCs w:val="22"/>
        </w:rPr>
        <w:t xml:space="preserve"> 85 se expone el derecho de los ciudadanos </w:t>
      </w:r>
      <w:r w:rsidR="00677080" w:rsidRPr="00DF5BBF">
        <w:rPr>
          <w:rStyle w:val="fontstyle01"/>
          <w:sz w:val="22"/>
          <w:szCs w:val="22"/>
        </w:rPr>
        <w:t>a entrar, permanecer, transitar y salir del territorio nacional, cambiar de domicilio o residencia</w:t>
      </w:r>
      <w:r w:rsidR="009F3CFC" w:rsidRPr="00DF5BBF">
        <w:rPr>
          <w:rStyle w:val="fontstyle01"/>
          <w:sz w:val="22"/>
          <w:szCs w:val="22"/>
        </w:rPr>
        <w:t>, sin más limitaciones que las establecidas por la ley.</w:t>
      </w:r>
      <w:r w:rsidR="00272BA4" w:rsidRPr="00DF5BBF">
        <w:rPr>
          <w:rStyle w:val="fontstyle01"/>
          <w:sz w:val="22"/>
          <w:szCs w:val="22"/>
        </w:rPr>
        <w:t xml:space="preserve"> Además del ya mencionado </w:t>
      </w:r>
      <w:r w:rsidR="008517CB" w:rsidRPr="00DF5BBF">
        <w:rPr>
          <w:rStyle w:val="fontstyle01"/>
          <w:sz w:val="22"/>
          <w:szCs w:val="22"/>
        </w:rPr>
        <w:t xml:space="preserve">Decreto Ley 217/1997 “Regulaciones migratorias para la ciudad de La Habana” que limita la libertad de circulación dentro de la Isla y el derecho a escoger el lugar de residencia, al impedir </w:t>
      </w:r>
      <w:r w:rsidR="001223EE" w:rsidRPr="00DF5BBF">
        <w:rPr>
          <w:rStyle w:val="fontstyle01"/>
          <w:sz w:val="22"/>
          <w:szCs w:val="22"/>
        </w:rPr>
        <w:t>l</w:t>
      </w:r>
      <w:r w:rsidR="008517CB" w:rsidRPr="00DF5BBF">
        <w:rPr>
          <w:rStyle w:val="fontstyle01"/>
          <w:sz w:val="22"/>
          <w:szCs w:val="22"/>
        </w:rPr>
        <w:t>a residencia voluntaria en la capital para el resto d</w:t>
      </w:r>
      <w:r w:rsidR="00C52F29" w:rsidRPr="00DF5BBF">
        <w:rPr>
          <w:rStyle w:val="fontstyle01"/>
          <w:sz w:val="22"/>
          <w:szCs w:val="22"/>
        </w:rPr>
        <w:t>e los cubanos</w:t>
      </w:r>
      <w:r w:rsidR="00985389" w:rsidRPr="00DF5BBF">
        <w:rPr>
          <w:rStyle w:val="fontstyle01"/>
          <w:sz w:val="22"/>
          <w:szCs w:val="22"/>
        </w:rPr>
        <w:t>,</w:t>
      </w:r>
      <w:r w:rsidR="00C52F29" w:rsidRPr="00DF5BBF">
        <w:rPr>
          <w:rStyle w:val="fontstyle01"/>
          <w:sz w:val="22"/>
          <w:szCs w:val="22"/>
        </w:rPr>
        <w:t xml:space="preserve"> existen muchas zonas</w:t>
      </w:r>
      <w:r w:rsidR="00985389" w:rsidRPr="00DF5BBF">
        <w:rPr>
          <w:rStyle w:val="fontstyle01"/>
          <w:sz w:val="22"/>
          <w:szCs w:val="22"/>
        </w:rPr>
        <w:t xml:space="preserve"> legalmente</w:t>
      </w:r>
      <w:r w:rsidR="00C52F29" w:rsidRPr="00DF5BBF">
        <w:rPr>
          <w:rStyle w:val="fontstyle01"/>
          <w:sz w:val="22"/>
          <w:szCs w:val="22"/>
        </w:rPr>
        <w:t xml:space="preserve"> segregadas para los cubanos</w:t>
      </w:r>
      <w:r w:rsidR="00985389" w:rsidRPr="00DF5BBF">
        <w:rPr>
          <w:rStyle w:val="fontstyle01"/>
          <w:sz w:val="22"/>
          <w:szCs w:val="22"/>
        </w:rPr>
        <w:t xml:space="preserve"> </w:t>
      </w:r>
      <w:r w:rsidR="00985389" w:rsidRPr="00DF5BBF">
        <w:rPr>
          <w:rStyle w:val="fontstyle01"/>
          <w:sz w:val="22"/>
          <w:szCs w:val="22"/>
        </w:rPr>
        <w:lastRenderedPageBreak/>
        <w:t>conocidas como “</w:t>
      </w:r>
      <w:r w:rsidR="006326E7" w:rsidRPr="00DF5BBF">
        <w:rPr>
          <w:rStyle w:val="fontstyle01"/>
          <w:sz w:val="22"/>
          <w:szCs w:val="22"/>
        </w:rPr>
        <w:t>zonas congeladas</w:t>
      </w:r>
      <w:r w:rsidR="00985389" w:rsidRPr="00DF5BBF">
        <w:rPr>
          <w:rStyle w:val="fontstyle01"/>
          <w:sz w:val="22"/>
          <w:szCs w:val="22"/>
        </w:rPr>
        <w:t>”</w:t>
      </w:r>
      <w:r w:rsidR="00985389" w:rsidRPr="00DF5BBF">
        <w:rPr>
          <w:rStyle w:val="FootnoteReference"/>
          <w:rFonts w:ascii="Calibri" w:hAnsi="Calibri" w:cs="Calibri"/>
          <w:color w:val="000000"/>
        </w:rPr>
        <w:footnoteReference w:id="49"/>
      </w:r>
      <w:r w:rsidR="00985389" w:rsidRPr="00DF5BBF">
        <w:rPr>
          <w:rStyle w:val="fontstyle01"/>
          <w:sz w:val="22"/>
          <w:szCs w:val="22"/>
        </w:rPr>
        <w:t>.</w:t>
      </w:r>
      <w:r w:rsidR="005B590B" w:rsidRPr="00DF5BBF">
        <w:rPr>
          <w:rStyle w:val="fontstyle01"/>
          <w:sz w:val="22"/>
          <w:szCs w:val="22"/>
        </w:rPr>
        <w:t xml:space="preserve"> </w:t>
      </w:r>
      <w:r w:rsidR="00064934" w:rsidRPr="00DF5BBF">
        <w:rPr>
          <w:rStyle w:val="fontstyle01"/>
          <w:sz w:val="22"/>
          <w:szCs w:val="22"/>
        </w:rPr>
        <w:t>Estas zonas congeladas cuentan con la mejor infraestructura urbana de la capital, como gas de la calle, seguridad policial, recogida habitual de desechos, circuitos eléctricos protegidos de apagones</w:t>
      </w:r>
      <w:r w:rsidR="00DC3FAA" w:rsidRPr="00DF5BBF">
        <w:rPr>
          <w:rStyle w:val="fontstyle01"/>
          <w:sz w:val="22"/>
          <w:szCs w:val="22"/>
        </w:rPr>
        <w:t>, vías bien pavimentadas</w:t>
      </w:r>
      <w:r w:rsidR="00064934" w:rsidRPr="00DF5BBF">
        <w:rPr>
          <w:rStyle w:val="fontstyle01"/>
          <w:sz w:val="22"/>
          <w:szCs w:val="22"/>
        </w:rPr>
        <w:t xml:space="preserve">. En todas ellas reside la élite blanca dirigente del país y cualquier afrodescendiente que deambule por las mismas, sin un permiso especial, será detenido y conducido a la unidad policial más cercana para determinar su estadía en lugares prohibidos. </w:t>
      </w:r>
    </w:p>
    <w:p w14:paraId="0D39F71C" w14:textId="5862A94B" w:rsidR="00C622A6" w:rsidRPr="00DF5BBF" w:rsidRDefault="001D46E1" w:rsidP="00DF5BBF">
      <w:pPr>
        <w:snapToGrid w:val="0"/>
        <w:spacing w:before="120" w:after="0" w:line="240" w:lineRule="auto"/>
        <w:jc w:val="both"/>
        <w:rPr>
          <w:rStyle w:val="fontstyle01"/>
          <w:sz w:val="22"/>
          <w:szCs w:val="22"/>
        </w:rPr>
      </w:pPr>
      <w:r w:rsidRPr="00DF5BBF">
        <w:rPr>
          <w:rStyle w:val="fontstyle01"/>
          <w:sz w:val="22"/>
          <w:szCs w:val="22"/>
        </w:rPr>
        <w:t>El párrafo 86 del informe el Estado cubano reconoce el derecho de toda persona a viajar, salir de cualquier país, incluyendo el suyo.</w:t>
      </w:r>
      <w:r w:rsidR="00064934" w:rsidRPr="00DF5BBF">
        <w:rPr>
          <w:rStyle w:val="fontstyle01"/>
          <w:sz w:val="22"/>
          <w:szCs w:val="22"/>
        </w:rPr>
        <w:t xml:space="preserve"> </w:t>
      </w:r>
      <w:r w:rsidR="005D7A68" w:rsidRPr="00DF5BBF">
        <w:rPr>
          <w:rStyle w:val="fontstyle01"/>
          <w:sz w:val="22"/>
          <w:szCs w:val="22"/>
        </w:rPr>
        <w:t>A pesar de ello, el nuevo Código Penal, Ley 151/2022, en los artículos 282 y 283 mantiene los delitos de entrada y salida ilegal del territorio nacional respectivamente.</w:t>
      </w:r>
      <w:r w:rsidR="009B649D" w:rsidRPr="00DF5BBF">
        <w:rPr>
          <w:rStyle w:val="fontstyle01"/>
          <w:sz w:val="22"/>
          <w:szCs w:val="22"/>
        </w:rPr>
        <w:t xml:space="preserve"> Desoyendo así</w:t>
      </w:r>
      <w:r w:rsidR="00D20EB9" w:rsidRPr="00DF5BBF">
        <w:rPr>
          <w:rStyle w:val="fontstyle01"/>
          <w:sz w:val="22"/>
          <w:szCs w:val="22"/>
        </w:rPr>
        <w:t xml:space="preserve"> las recomendaciones del Comité en la anterior comparecencia del gobierno cubano</w:t>
      </w:r>
      <w:r w:rsidR="00985389" w:rsidRPr="00DF5BBF">
        <w:rPr>
          <w:rStyle w:val="fontstyle01"/>
          <w:sz w:val="22"/>
          <w:szCs w:val="22"/>
        </w:rPr>
        <w:t>.</w:t>
      </w:r>
      <w:r w:rsidR="005922C1" w:rsidRPr="00DF5BBF">
        <w:rPr>
          <w:rStyle w:val="fontstyle01"/>
          <w:sz w:val="22"/>
          <w:szCs w:val="22"/>
        </w:rPr>
        <w:t xml:space="preserve"> También las autoridades cubanas se reservan el derecho de decidir quién entra o quien sale de Cuba, mediante </w:t>
      </w:r>
      <w:r w:rsidR="00FF3DA0" w:rsidRPr="00DF5BBF">
        <w:rPr>
          <w:rStyle w:val="fontstyle01"/>
          <w:sz w:val="22"/>
          <w:szCs w:val="22"/>
        </w:rPr>
        <w:t xml:space="preserve">el eufemismo de </w:t>
      </w:r>
      <w:r w:rsidR="005922C1" w:rsidRPr="00DF5BBF">
        <w:rPr>
          <w:rStyle w:val="fontstyle01"/>
          <w:sz w:val="22"/>
          <w:szCs w:val="22"/>
        </w:rPr>
        <w:t xml:space="preserve">las </w:t>
      </w:r>
      <w:r w:rsidR="00FF3DA0" w:rsidRPr="00DF5BBF">
        <w:rPr>
          <w:rStyle w:val="fontstyle01"/>
          <w:sz w:val="22"/>
          <w:szCs w:val="22"/>
        </w:rPr>
        <w:t>llamadas “personas reguladas</w:t>
      </w:r>
      <w:r w:rsidR="005922C1" w:rsidRPr="00DF5BBF">
        <w:rPr>
          <w:rStyle w:val="fontstyle01"/>
          <w:sz w:val="22"/>
          <w:szCs w:val="22"/>
        </w:rPr>
        <w:t>”</w:t>
      </w:r>
      <w:r w:rsidR="00985389" w:rsidRPr="00DF5BBF">
        <w:rPr>
          <w:rStyle w:val="fontstyle01"/>
          <w:sz w:val="22"/>
          <w:szCs w:val="22"/>
        </w:rPr>
        <w:t>,</w:t>
      </w:r>
      <w:r w:rsidR="00CA623F" w:rsidRPr="00DF5BBF">
        <w:rPr>
          <w:rStyle w:val="fontstyle01"/>
          <w:sz w:val="22"/>
          <w:szCs w:val="22"/>
        </w:rPr>
        <w:t xml:space="preserve"> Ley 171/2024 “De Migración</w:t>
      </w:r>
      <w:r w:rsidR="006526F4" w:rsidRPr="00DF5BBF">
        <w:rPr>
          <w:rStyle w:val="fontstyle01"/>
          <w:sz w:val="22"/>
          <w:szCs w:val="22"/>
        </w:rPr>
        <w:t>”</w:t>
      </w:r>
      <w:r w:rsidR="00CA623F" w:rsidRPr="00DF5BBF">
        <w:rPr>
          <w:rStyle w:val="fontstyle01"/>
          <w:sz w:val="22"/>
          <w:szCs w:val="22"/>
        </w:rPr>
        <w:t xml:space="preserve"> y su reglamento</w:t>
      </w:r>
      <w:r w:rsidR="00CA623F" w:rsidRPr="00DF5BBF">
        <w:rPr>
          <w:rStyle w:val="FootnoteReference"/>
          <w:rFonts w:ascii="Calibri" w:hAnsi="Calibri" w:cs="Calibri"/>
          <w:color w:val="000000"/>
        </w:rPr>
        <w:footnoteReference w:id="50"/>
      </w:r>
      <w:r w:rsidR="00985389" w:rsidRPr="00DF5BBF">
        <w:rPr>
          <w:rStyle w:val="fontstyle01"/>
          <w:sz w:val="22"/>
          <w:szCs w:val="22"/>
        </w:rPr>
        <w:t>.</w:t>
      </w:r>
      <w:r w:rsidR="002F1B02" w:rsidRPr="00DF5BBF">
        <w:rPr>
          <w:rStyle w:val="fontstyle01"/>
          <w:sz w:val="22"/>
          <w:szCs w:val="22"/>
        </w:rPr>
        <w:t xml:space="preserve"> </w:t>
      </w:r>
    </w:p>
    <w:p w14:paraId="03C993EA" w14:textId="13CB51D2" w:rsidR="00E349F0" w:rsidRPr="00DF5BBF" w:rsidRDefault="00773A0E" w:rsidP="00DF5BBF">
      <w:pPr>
        <w:snapToGrid w:val="0"/>
        <w:spacing w:before="120" w:after="0" w:line="240" w:lineRule="auto"/>
        <w:jc w:val="both"/>
        <w:rPr>
          <w:rStyle w:val="fontstyle01"/>
          <w:sz w:val="22"/>
          <w:szCs w:val="22"/>
        </w:rPr>
      </w:pPr>
      <w:r w:rsidRPr="00DF5BBF">
        <w:rPr>
          <w:rStyle w:val="fontstyle01"/>
          <w:sz w:val="22"/>
          <w:szCs w:val="22"/>
        </w:rPr>
        <w:t xml:space="preserve">Los párrafos 103 al 113 del informe abordan la cuestión religiosa en Cuba obviando la realidad de </w:t>
      </w:r>
      <w:proofErr w:type="gramStart"/>
      <w:r w:rsidRPr="00DF5BBF">
        <w:rPr>
          <w:rStyle w:val="fontstyle01"/>
          <w:sz w:val="22"/>
          <w:szCs w:val="22"/>
        </w:rPr>
        <w:t>la misma</w:t>
      </w:r>
      <w:proofErr w:type="gramEnd"/>
      <w:r w:rsidRPr="00DF5BBF">
        <w:rPr>
          <w:rStyle w:val="fontstyle01"/>
          <w:sz w:val="22"/>
          <w:szCs w:val="22"/>
        </w:rPr>
        <w:t>.</w:t>
      </w:r>
      <w:r w:rsidR="00764D6B" w:rsidRPr="00DF5BBF">
        <w:rPr>
          <w:rStyle w:val="fontstyle01"/>
          <w:sz w:val="22"/>
          <w:szCs w:val="22"/>
        </w:rPr>
        <w:t xml:space="preserve"> Las prácticas religiosas en Cuba están estrechamente controladas por funcionarios gubernamentales, como toda la sociedad civil en un estado totalitario.</w:t>
      </w:r>
      <w:r w:rsidR="004D3A99" w:rsidRPr="00DF5BBF">
        <w:rPr>
          <w:rStyle w:val="fontstyle01"/>
          <w:sz w:val="22"/>
          <w:szCs w:val="22"/>
        </w:rPr>
        <w:t xml:space="preserve"> Excepto la </w:t>
      </w:r>
      <w:r w:rsidR="00C9639E" w:rsidRPr="00DF5BBF">
        <w:rPr>
          <w:rStyle w:val="fontstyle01"/>
          <w:sz w:val="22"/>
          <w:szCs w:val="22"/>
        </w:rPr>
        <w:t>I</w:t>
      </w:r>
      <w:r w:rsidR="004D3A99" w:rsidRPr="00DF5BBF">
        <w:rPr>
          <w:rStyle w:val="fontstyle01"/>
          <w:sz w:val="22"/>
          <w:szCs w:val="22"/>
        </w:rPr>
        <w:t xml:space="preserve">glesia </w:t>
      </w:r>
      <w:r w:rsidR="00C9639E" w:rsidRPr="00DF5BBF">
        <w:rPr>
          <w:rStyle w:val="fontstyle01"/>
          <w:sz w:val="22"/>
          <w:szCs w:val="22"/>
        </w:rPr>
        <w:t>C</w:t>
      </w:r>
      <w:r w:rsidR="004D3A99" w:rsidRPr="00DF5BBF">
        <w:rPr>
          <w:rStyle w:val="fontstyle01"/>
          <w:sz w:val="22"/>
          <w:szCs w:val="22"/>
        </w:rPr>
        <w:t>atólica que tiene un estatus especial por ser el Vaticano un estado soberano sujeto del derecho internacional público, todas las demás congregaciones religiosas e instituciones fraternales, para funcionar, deben estar inscriptas en el Registro de Asociaciones del Ministerio de Just</w:t>
      </w:r>
      <w:r w:rsidR="00E64495" w:rsidRPr="00DF5BBF">
        <w:rPr>
          <w:rStyle w:val="fontstyle01"/>
          <w:sz w:val="22"/>
          <w:szCs w:val="22"/>
        </w:rPr>
        <w:t>icia, que controla</w:t>
      </w:r>
      <w:r w:rsidR="00477DD9" w:rsidRPr="00DF5BBF">
        <w:rPr>
          <w:rStyle w:val="fontstyle01"/>
          <w:sz w:val="22"/>
          <w:szCs w:val="22"/>
        </w:rPr>
        <w:t xml:space="preserve"> totalmente</w:t>
      </w:r>
      <w:r w:rsidR="004D3A99" w:rsidRPr="00DF5BBF">
        <w:rPr>
          <w:rStyle w:val="fontstyle01"/>
          <w:sz w:val="22"/>
          <w:szCs w:val="22"/>
        </w:rPr>
        <w:t xml:space="preserve"> la actividad de </w:t>
      </w:r>
      <w:proofErr w:type="gramStart"/>
      <w:r w:rsidR="004D3A99" w:rsidRPr="00DF5BBF">
        <w:rPr>
          <w:rStyle w:val="fontstyle01"/>
          <w:sz w:val="22"/>
          <w:szCs w:val="22"/>
        </w:rPr>
        <w:t>las mismas</w:t>
      </w:r>
      <w:proofErr w:type="gramEnd"/>
      <w:r w:rsidR="004D3A99" w:rsidRPr="00DF5BBF">
        <w:rPr>
          <w:rStyle w:val="fontstyle01"/>
          <w:sz w:val="22"/>
          <w:szCs w:val="22"/>
        </w:rPr>
        <w:t>, bajo la dirección de la Oficina de atención a los asuntos religiosos del Partido Comunista de Cuba</w:t>
      </w:r>
      <w:r w:rsidR="00591C91" w:rsidRPr="00DF5BBF">
        <w:rPr>
          <w:rStyle w:val="fontstyle01"/>
          <w:sz w:val="22"/>
          <w:szCs w:val="22"/>
        </w:rPr>
        <w:t>, suerte de m</w:t>
      </w:r>
      <w:r w:rsidR="00F40D3E" w:rsidRPr="00DF5BBF">
        <w:rPr>
          <w:rStyle w:val="fontstyle01"/>
          <w:sz w:val="22"/>
          <w:szCs w:val="22"/>
        </w:rPr>
        <w:t>inisterio de religiones</w:t>
      </w:r>
      <w:r w:rsidR="0042292A" w:rsidRPr="00DF5BBF">
        <w:rPr>
          <w:rStyle w:val="fontstyle01"/>
          <w:sz w:val="22"/>
          <w:szCs w:val="22"/>
        </w:rPr>
        <w:t>.</w:t>
      </w:r>
      <w:r w:rsidR="005E072D" w:rsidRPr="00DF5BBF">
        <w:rPr>
          <w:rStyle w:val="fontstyle01"/>
          <w:sz w:val="22"/>
          <w:szCs w:val="22"/>
        </w:rPr>
        <w:t xml:space="preserve"> </w:t>
      </w:r>
      <w:r w:rsidR="00725D6B" w:rsidRPr="00DF5BBF">
        <w:rPr>
          <w:rStyle w:val="fontstyle01"/>
          <w:sz w:val="22"/>
          <w:szCs w:val="22"/>
        </w:rPr>
        <w:t>Importantes líderes religiosos, especialmente de las religiones</w:t>
      </w:r>
      <w:r w:rsidR="00AE1343" w:rsidRPr="00DF5BBF">
        <w:rPr>
          <w:rStyle w:val="fontstyle01"/>
          <w:sz w:val="22"/>
          <w:szCs w:val="22"/>
        </w:rPr>
        <w:t xml:space="preserve"> afrocubanas</w:t>
      </w:r>
      <w:r w:rsidR="003349B2" w:rsidRPr="00DF5BBF">
        <w:rPr>
          <w:rStyle w:val="fontstyle01"/>
          <w:sz w:val="22"/>
          <w:szCs w:val="22"/>
        </w:rPr>
        <w:t>, han</w:t>
      </w:r>
      <w:r w:rsidR="00725D6B" w:rsidRPr="00DF5BBF">
        <w:rPr>
          <w:rStyle w:val="fontstyle01"/>
          <w:sz w:val="22"/>
          <w:szCs w:val="22"/>
        </w:rPr>
        <w:t xml:space="preserve"> sido detenidos o expulsados del país</w:t>
      </w:r>
      <w:r w:rsidR="00F92E40" w:rsidRPr="00DF5BBF">
        <w:rPr>
          <w:rStyle w:val="fontstyle01"/>
          <w:sz w:val="22"/>
          <w:szCs w:val="22"/>
        </w:rPr>
        <w:t>.</w:t>
      </w:r>
      <w:r w:rsidR="00926395" w:rsidRPr="00DF5BBF">
        <w:rPr>
          <w:rStyle w:val="fontstyle01"/>
          <w:sz w:val="22"/>
          <w:szCs w:val="22"/>
        </w:rPr>
        <w:t xml:space="preserve"> </w:t>
      </w:r>
      <w:r w:rsidR="00C9639E" w:rsidRPr="00DF5BBF">
        <w:rPr>
          <w:rStyle w:val="fontstyle01"/>
          <w:sz w:val="22"/>
          <w:szCs w:val="22"/>
        </w:rPr>
        <w:t>También e</w:t>
      </w:r>
      <w:r w:rsidR="00156229" w:rsidRPr="00DF5BBF">
        <w:rPr>
          <w:rStyle w:val="fontstyle01"/>
          <w:sz w:val="22"/>
          <w:szCs w:val="22"/>
        </w:rPr>
        <w:t>xisten dos letras del año en la religión yoruba en Cuba</w:t>
      </w:r>
      <w:r w:rsidR="00C9639E" w:rsidRPr="00DF5BBF">
        <w:rPr>
          <w:rStyle w:val="fontstyle01"/>
          <w:sz w:val="22"/>
          <w:szCs w:val="22"/>
        </w:rPr>
        <w:t>: l</w:t>
      </w:r>
      <w:r w:rsidR="00156229" w:rsidRPr="00DF5BBF">
        <w:rPr>
          <w:rStyle w:val="fontstyle01"/>
          <w:sz w:val="22"/>
          <w:szCs w:val="22"/>
        </w:rPr>
        <w:t xml:space="preserve">a agrupación </w:t>
      </w:r>
      <w:r w:rsidR="00605756" w:rsidRPr="00DF5BBF">
        <w:rPr>
          <w:rStyle w:val="fontstyle01"/>
          <w:sz w:val="22"/>
          <w:szCs w:val="22"/>
        </w:rPr>
        <w:t xml:space="preserve">de babalaos </w:t>
      </w:r>
      <w:r w:rsidR="00156229" w:rsidRPr="00DF5BBF">
        <w:rPr>
          <w:rStyle w:val="fontstyle01"/>
          <w:sz w:val="22"/>
          <w:szCs w:val="22"/>
        </w:rPr>
        <w:t>oficialista</w:t>
      </w:r>
      <w:r w:rsidR="00605756" w:rsidRPr="00DF5BBF">
        <w:rPr>
          <w:rStyle w:val="fontstyle01"/>
          <w:sz w:val="22"/>
          <w:szCs w:val="22"/>
        </w:rPr>
        <w:t>s</w:t>
      </w:r>
      <w:r w:rsidR="00490FEC" w:rsidRPr="00DF5BBF">
        <w:rPr>
          <w:rStyle w:val="fontstyle01"/>
          <w:sz w:val="22"/>
          <w:szCs w:val="22"/>
        </w:rPr>
        <w:t xml:space="preserve"> y la de</w:t>
      </w:r>
      <w:r w:rsidR="00156229" w:rsidRPr="00DF5BBF">
        <w:rPr>
          <w:rStyle w:val="fontstyle01"/>
          <w:sz w:val="22"/>
          <w:szCs w:val="22"/>
        </w:rPr>
        <w:t xml:space="preserve"> babal</w:t>
      </w:r>
      <w:r w:rsidR="00DD2A21" w:rsidRPr="00DF5BBF">
        <w:rPr>
          <w:rStyle w:val="fontstyle01"/>
          <w:sz w:val="22"/>
          <w:szCs w:val="22"/>
        </w:rPr>
        <w:t>a</w:t>
      </w:r>
      <w:r w:rsidR="00156229" w:rsidRPr="00DF5BBF">
        <w:rPr>
          <w:rStyle w:val="fontstyle01"/>
          <w:sz w:val="22"/>
          <w:szCs w:val="22"/>
        </w:rPr>
        <w:t>os independientes excluidos por la Ley de Asociaciones</w:t>
      </w:r>
      <w:r w:rsidR="00D57895" w:rsidRPr="00DF5BBF">
        <w:rPr>
          <w:rStyle w:val="fontstyle01"/>
          <w:sz w:val="22"/>
          <w:szCs w:val="22"/>
        </w:rPr>
        <w:t>.</w:t>
      </w:r>
      <w:r w:rsidR="008B2DF0" w:rsidRPr="00DF5BBF">
        <w:rPr>
          <w:rStyle w:val="fontstyle01"/>
          <w:sz w:val="22"/>
          <w:szCs w:val="22"/>
        </w:rPr>
        <w:t xml:space="preserve"> Incluso en las religiones sincréticas de origen africano, </w:t>
      </w:r>
      <w:r w:rsidR="00285FB5" w:rsidRPr="00DF5BBF">
        <w:rPr>
          <w:rStyle w:val="fontstyle01"/>
          <w:sz w:val="22"/>
          <w:szCs w:val="22"/>
        </w:rPr>
        <w:t xml:space="preserve">“dan preferencia absoluta en el trato y posicionamiento a las personas de tez blanca que llegan a sus casas…podemos remarcar también que la mayoría de </w:t>
      </w:r>
      <w:r w:rsidR="00585804" w:rsidRPr="00DF5BBF">
        <w:rPr>
          <w:rStyle w:val="fontstyle01"/>
          <w:sz w:val="22"/>
          <w:szCs w:val="22"/>
        </w:rPr>
        <w:t>las personas</w:t>
      </w:r>
      <w:r w:rsidR="00285FB5" w:rsidRPr="00DF5BBF">
        <w:rPr>
          <w:rStyle w:val="fontstyle01"/>
          <w:sz w:val="22"/>
          <w:szCs w:val="22"/>
        </w:rPr>
        <w:t xml:space="preserve"> en los cargos representativos oficiales de las diferentes organizaciones religiosas como la Asociaci</w:t>
      </w:r>
      <w:r w:rsidR="00A51539" w:rsidRPr="00DF5BBF">
        <w:rPr>
          <w:rStyle w:val="fontstyle01"/>
          <w:sz w:val="22"/>
          <w:szCs w:val="22"/>
        </w:rPr>
        <w:t>ón Cultural Yoruba, las Sociedades Espiritistas, o la Sociedad Secreta Abakuá tienen tez blanca”</w:t>
      </w:r>
      <w:r w:rsidR="00FA3429" w:rsidRPr="00DF5BBF">
        <w:rPr>
          <w:rStyle w:val="FootnoteReference"/>
          <w:rFonts w:ascii="Calibri" w:hAnsi="Calibri" w:cs="Calibri"/>
          <w:color w:val="000000"/>
        </w:rPr>
        <w:footnoteReference w:id="51"/>
      </w:r>
      <w:r w:rsidR="00C9639E" w:rsidRPr="00DF5BBF">
        <w:rPr>
          <w:rStyle w:val="fontstyle01"/>
          <w:sz w:val="22"/>
          <w:szCs w:val="22"/>
        </w:rPr>
        <w:t>.</w:t>
      </w:r>
      <w:r w:rsidR="00D05320" w:rsidRPr="00DF5BBF">
        <w:rPr>
          <w:rStyle w:val="fontstyle01"/>
          <w:sz w:val="22"/>
          <w:szCs w:val="22"/>
        </w:rPr>
        <w:t xml:space="preserve"> </w:t>
      </w:r>
    </w:p>
    <w:p w14:paraId="09D5EBCD" w14:textId="7F9A78E4" w:rsidR="00884F9D" w:rsidRPr="00DF5BBF" w:rsidRDefault="009451B7" w:rsidP="00DF5BBF">
      <w:pPr>
        <w:snapToGrid w:val="0"/>
        <w:spacing w:before="120" w:after="0" w:line="240" w:lineRule="auto"/>
        <w:jc w:val="both"/>
        <w:rPr>
          <w:rStyle w:val="fontstyle01"/>
          <w:sz w:val="22"/>
          <w:szCs w:val="22"/>
        </w:rPr>
      </w:pPr>
      <w:r w:rsidRPr="00DF5BBF">
        <w:rPr>
          <w:rStyle w:val="fontstyle01"/>
          <w:sz w:val="22"/>
          <w:szCs w:val="22"/>
        </w:rPr>
        <w:t>Los</w:t>
      </w:r>
      <w:r w:rsidR="007C502D" w:rsidRPr="00DF5BBF">
        <w:rPr>
          <w:rStyle w:val="fontstyle01"/>
          <w:sz w:val="22"/>
          <w:szCs w:val="22"/>
        </w:rPr>
        <w:t xml:space="preserve"> párrafo</w:t>
      </w:r>
      <w:r w:rsidRPr="00DF5BBF">
        <w:rPr>
          <w:rStyle w:val="fontstyle01"/>
          <w:sz w:val="22"/>
          <w:szCs w:val="22"/>
        </w:rPr>
        <w:t>s</w:t>
      </w:r>
      <w:r w:rsidR="007C502D" w:rsidRPr="00DF5BBF">
        <w:rPr>
          <w:rStyle w:val="fontstyle01"/>
          <w:sz w:val="22"/>
          <w:szCs w:val="22"/>
        </w:rPr>
        <w:t xml:space="preserve"> 114</w:t>
      </w:r>
      <w:r w:rsidRPr="00DF5BBF">
        <w:rPr>
          <w:rStyle w:val="fontstyle01"/>
          <w:sz w:val="22"/>
          <w:szCs w:val="22"/>
        </w:rPr>
        <w:t xml:space="preserve"> al 117</w:t>
      </w:r>
      <w:r w:rsidR="007C502D" w:rsidRPr="00DF5BBF">
        <w:rPr>
          <w:rStyle w:val="fontstyle01"/>
          <w:sz w:val="22"/>
          <w:szCs w:val="22"/>
        </w:rPr>
        <w:t xml:space="preserve"> del informe expresa</w:t>
      </w:r>
      <w:r w:rsidRPr="00DF5BBF">
        <w:rPr>
          <w:rStyle w:val="fontstyle01"/>
          <w:sz w:val="22"/>
          <w:szCs w:val="22"/>
        </w:rPr>
        <w:t>n</w:t>
      </w:r>
      <w:r w:rsidR="007C502D" w:rsidRPr="00DF5BBF">
        <w:rPr>
          <w:rStyle w:val="fontstyle01"/>
          <w:sz w:val="22"/>
          <w:szCs w:val="22"/>
        </w:rPr>
        <w:t xml:space="preserve"> la protección constitucional a los derechos de reunión, manifestación</w:t>
      </w:r>
      <w:r w:rsidR="002B54E8" w:rsidRPr="00DF5BBF">
        <w:rPr>
          <w:rStyle w:val="fontstyle01"/>
          <w:sz w:val="22"/>
          <w:szCs w:val="22"/>
        </w:rPr>
        <w:t xml:space="preserve"> y asociación con fines lícitos y pacíficos, así como el derecho a la libertad de pensamiento, conciencia, expresión y libertad de prensa de conformidad con la ley y los fines de la sociedad.</w:t>
      </w:r>
      <w:r w:rsidR="00B3205D" w:rsidRPr="00DF5BBF">
        <w:rPr>
          <w:rStyle w:val="fontstyle01"/>
          <w:sz w:val="22"/>
          <w:szCs w:val="22"/>
        </w:rPr>
        <w:t xml:space="preserve"> </w:t>
      </w:r>
      <w:r w:rsidR="00444F1B" w:rsidRPr="00DF5BBF">
        <w:rPr>
          <w:rStyle w:val="fontstyle01"/>
          <w:sz w:val="22"/>
          <w:szCs w:val="22"/>
        </w:rPr>
        <w:t>También los afrodescendientes</w:t>
      </w:r>
      <w:r w:rsidR="00585804" w:rsidRPr="00DF5BBF">
        <w:rPr>
          <w:rStyle w:val="fontstyle01"/>
          <w:sz w:val="22"/>
          <w:szCs w:val="22"/>
        </w:rPr>
        <w:t xml:space="preserve"> se</w:t>
      </w:r>
      <w:r w:rsidR="00444F1B" w:rsidRPr="00DF5BBF">
        <w:rPr>
          <w:rStyle w:val="fontstyle01"/>
          <w:sz w:val="22"/>
          <w:szCs w:val="22"/>
        </w:rPr>
        <w:t xml:space="preserve"> llevan la peor parte en la falta de libertad de expresión, por lo que deben acallar sus legítimos reclamos o lanzarse a las calles, como lo hicieron el 11J.</w:t>
      </w:r>
    </w:p>
    <w:p w14:paraId="063C7623" w14:textId="44E7BD33" w:rsidR="007D4723" w:rsidRPr="00DF5BBF" w:rsidRDefault="005E4FDD" w:rsidP="00DF5BBF">
      <w:pPr>
        <w:snapToGrid w:val="0"/>
        <w:spacing w:before="120" w:after="0" w:line="240" w:lineRule="auto"/>
        <w:jc w:val="both"/>
        <w:rPr>
          <w:rStyle w:val="fontstyle01"/>
          <w:sz w:val="22"/>
          <w:szCs w:val="22"/>
        </w:rPr>
      </w:pPr>
      <w:r w:rsidRPr="00DF5BBF">
        <w:rPr>
          <w:rStyle w:val="fontstyle01"/>
          <w:sz w:val="22"/>
          <w:szCs w:val="22"/>
        </w:rPr>
        <w:t>En los párrafos 129 al 141 del informe se enumeran beneficios relacionados con la esfera laboral.</w:t>
      </w:r>
      <w:r w:rsidR="00155717" w:rsidRPr="00DF5BBF">
        <w:rPr>
          <w:rStyle w:val="fontstyle01"/>
          <w:sz w:val="22"/>
          <w:szCs w:val="22"/>
        </w:rPr>
        <w:t xml:space="preserve"> </w:t>
      </w:r>
      <w:r w:rsidR="006D2D45" w:rsidRPr="00DF5BBF">
        <w:rPr>
          <w:rStyle w:val="fontstyle01"/>
          <w:sz w:val="22"/>
          <w:szCs w:val="22"/>
        </w:rPr>
        <w:t xml:space="preserve">Sobre este tema, la CIDH </w:t>
      </w:r>
      <w:r w:rsidR="006D2D45" w:rsidRPr="00DF5BBF">
        <w:rPr>
          <w:rFonts w:ascii="Calibri" w:hAnsi="Calibri" w:cs="Calibri"/>
        </w:rPr>
        <w:t>reconoció</w:t>
      </w:r>
      <w:r w:rsidR="006D2D45" w:rsidRPr="00DF5BBF">
        <w:rPr>
          <w:rFonts w:ascii="Calibri" w:hAnsi="Calibri" w:cs="Calibri"/>
          <w:lang w:val="es-ES_tradnl"/>
        </w:rPr>
        <w:t xml:space="preserve"> la subrepresentación de la comunidad afrocubana en el mundo laboral y económico de la isla, sobre todo en sectores de inversión mixta asociados al turismo</w:t>
      </w:r>
      <w:r w:rsidR="006D2D45" w:rsidRPr="00DF5BBF">
        <w:rPr>
          <w:rStyle w:val="FootnoteReference"/>
          <w:rFonts w:ascii="Calibri" w:hAnsi="Calibri" w:cs="Calibri"/>
          <w:lang w:val="es-ES_tradnl"/>
        </w:rPr>
        <w:footnoteReference w:id="52"/>
      </w:r>
      <w:r w:rsidR="006D2D45" w:rsidRPr="00DF5BBF">
        <w:rPr>
          <w:rFonts w:ascii="Calibri" w:hAnsi="Calibri" w:cs="Calibri"/>
          <w:lang w:val="es-ES_tradnl"/>
        </w:rPr>
        <w:t xml:space="preserve">, en tanto tendrían menores oportunidades de acceso a empleos dignos y remunerados, reflejando una mayor participación en ocupaciones marginales de la economía, con niveles más bajos de salarios y persecución por afiliarse </w:t>
      </w:r>
      <w:r w:rsidR="006D2D45" w:rsidRPr="00DF5BBF">
        <w:rPr>
          <w:rFonts w:ascii="Calibri" w:hAnsi="Calibri" w:cs="Calibri"/>
          <w:lang w:val="es-ES_tradnl"/>
        </w:rPr>
        <w:lastRenderedPageBreak/>
        <w:t>a los sindicatos o agrupaciones independientes</w:t>
      </w:r>
      <w:r w:rsidR="006D2D45" w:rsidRPr="00DF5BBF">
        <w:rPr>
          <w:rStyle w:val="FootnoteReference"/>
          <w:rFonts w:ascii="Calibri" w:hAnsi="Calibri" w:cs="Calibri"/>
          <w:lang w:val="es-ES_tradnl"/>
        </w:rPr>
        <w:footnoteReference w:id="53"/>
      </w:r>
      <w:r w:rsidR="006D2D45" w:rsidRPr="00DF5BBF">
        <w:rPr>
          <w:rFonts w:ascii="Calibri" w:hAnsi="Calibri" w:cs="Calibri"/>
          <w:lang w:val="es-ES_tradnl"/>
        </w:rPr>
        <w:t>. También en el contexto laboral, la ausencia de datos oficiales desagregados por origen étnico-racial continúa siendo un desafío que acentúa la invisibilidad de este grupo poblacional y la imposibilidad de llevar a cabo acciones afirmativas progresivas y efectivas que logren generar cambios estructurales que mejoren la garantía de sus derechos</w:t>
      </w:r>
      <w:r w:rsidR="006D2D45" w:rsidRPr="00DF5BBF">
        <w:rPr>
          <w:rStyle w:val="FootnoteReference"/>
          <w:rFonts w:ascii="Calibri" w:hAnsi="Calibri" w:cs="Calibri"/>
          <w:lang w:val="es-ES_tradnl"/>
        </w:rPr>
        <w:footnoteReference w:id="54"/>
      </w:r>
      <w:r w:rsidR="006D2D45" w:rsidRPr="00DF5BBF">
        <w:rPr>
          <w:rFonts w:ascii="Calibri" w:hAnsi="Calibri" w:cs="Calibri"/>
          <w:lang w:val="es-ES_tradnl"/>
        </w:rPr>
        <w:t>.</w:t>
      </w:r>
    </w:p>
    <w:p w14:paraId="68843B7D" w14:textId="7E84DB1B" w:rsidR="001866BA" w:rsidRPr="00DF5BBF" w:rsidRDefault="003A2C15" w:rsidP="00DF5BBF">
      <w:pPr>
        <w:snapToGrid w:val="0"/>
        <w:spacing w:before="120" w:after="0" w:line="240" w:lineRule="auto"/>
        <w:jc w:val="both"/>
        <w:rPr>
          <w:rStyle w:val="fontstyle01"/>
          <w:sz w:val="22"/>
          <w:szCs w:val="22"/>
        </w:rPr>
      </w:pPr>
      <w:r w:rsidRPr="00DF5BBF">
        <w:rPr>
          <w:rStyle w:val="fontstyle01"/>
          <w:sz w:val="22"/>
          <w:szCs w:val="22"/>
        </w:rPr>
        <w:t>Los</w:t>
      </w:r>
      <w:r w:rsidR="001866BA" w:rsidRPr="00DF5BBF">
        <w:rPr>
          <w:rStyle w:val="fontstyle01"/>
          <w:sz w:val="22"/>
          <w:szCs w:val="22"/>
        </w:rPr>
        <w:t xml:space="preserve"> párrafo</w:t>
      </w:r>
      <w:r w:rsidRPr="00DF5BBF">
        <w:rPr>
          <w:rStyle w:val="fontstyle01"/>
          <w:sz w:val="22"/>
          <w:szCs w:val="22"/>
        </w:rPr>
        <w:t>s</w:t>
      </w:r>
      <w:r w:rsidR="001866BA" w:rsidRPr="00DF5BBF">
        <w:rPr>
          <w:rStyle w:val="fontstyle01"/>
          <w:sz w:val="22"/>
          <w:szCs w:val="22"/>
        </w:rPr>
        <w:t xml:space="preserve"> 142</w:t>
      </w:r>
      <w:r w:rsidRPr="00DF5BBF">
        <w:rPr>
          <w:rStyle w:val="fontstyle01"/>
          <w:sz w:val="22"/>
          <w:szCs w:val="22"/>
        </w:rPr>
        <w:t xml:space="preserve"> al 146</w:t>
      </w:r>
      <w:r w:rsidR="001866BA" w:rsidRPr="00DF5BBF">
        <w:rPr>
          <w:rStyle w:val="fontstyle01"/>
          <w:sz w:val="22"/>
          <w:szCs w:val="22"/>
        </w:rPr>
        <w:t xml:space="preserve"> refiere</w:t>
      </w:r>
      <w:r w:rsidRPr="00DF5BBF">
        <w:rPr>
          <w:rStyle w:val="fontstyle01"/>
          <w:sz w:val="22"/>
          <w:szCs w:val="22"/>
        </w:rPr>
        <w:t xml:space="preserve">n </w:t>
      </w:r>
      <w:r w:rsidR="00363093" w:rsidRPr="00DF5BBF">
        <w:rPr>
          <w:rStyle w:val="fontstyle01"/>
          <w:sz w:val="22"/>
          <w:szCs w:val="22"/>
        </w:rPr>
        <w:t>conquistas laborales</w:t>
      </w:r>
      <w:r w:rsidRPr="00DF5BBF">
        <w:rPr>
          <w:rStyle w:val="fontstyle01"/>
          <w:sz w:val="22"/>
          <w:szCs w:val="22"/>
        </w:rPr>
        <w:t xml:space="preserve"> y el derecho</w:t>
      </w:r>
      <w:r w:rsidR="001866BA" w:rsidRPr="00DF5BBF">
        <w:rPr>
          <w:rStyle w:val="fontstyle01"/>
          <w:sz w:val="22"/>
          <w:szCs w:val="22"/>
        </w:rPr>
        <w:t xml:space="preserve"> a la libre sindicalización, acorde con el artículo 5, inciso e, apartado II de la Convención, sobre el derecho de los trabajadores a fundar sindicatos o afiliarse. En Cuba sólo existen sindicatos verticales gubernamentales. Los trabajadores que han intentado fundar sindicatos independientes del </w:t>
      </w:r>
      <w:r w:rsidR="00A1484A" w:rsidRPr="00DF5BBF">
        <w:rPr>
          <w:rStyle w:val="fontstyle01"/>
          <w:sz w:val="22"/>
          <w:szCs w:val="22"/>
        </w:rPr>
        <w:t>E</w:t>
      </w:r>
      <w:r w:rsidR="001866BA" w:rsidRPr="00DF5BBF">
        <w:rPr>
          <w:rStyle w:val="fontstyle01"/>
          <w:sz w:val="22"/>
          <w:szCs w:val="22"/>
        </w:rPr>
        <w:t xml:space="preserve">stado </w:t>
      </w:r>
      <w:r w:rsidR="004C44B0" w:rsidRPr="00DF5BBF">
        <w:rPr>
          <w:rStyle w:val="fontstyle01"/>
          <w:sz w:val="22"/>
          <w:szCs w:val="22"/>
        </w:rPr>
        <w:t>han sido reprimidos y arrestados</w:t>
      </w:r>
      <w:r w:rsidR="001866BA" w:rsidRPr="00DF5BBF">
        <w:rPr>
          <w:rStyle w:val="fontstyle01"/>
          <w:sz w:val="22"/>
          <w:szCs w:val="22"/>
        </w:rPr>
        <w:t xml:space="preserve">. </w:t>
      </w:r>
    </w:p>
    <w:p w14:paraId="33EB28AA" w14:textId="77777777" w:rsidR="00893E9D" w:rsidRPr="00DF5BBF" w:rsidRDefault="00171DC6" w:rsidP="00DF5BBF">
      <w:pPr>
        <w:snapToGrid w:val="0"/>
        <w:spacing w:before="120" w:after="0" w:line="240" w:lineRule="auto"/>
        <w:jc w:val="both"/>
        <w:rPr>
          <w:rStyle w:val="fontstyle01"/>
          <w:sz w:val="22"/>
          <w:szCs w:val="22"/>
        </w:rPr>
      </w:pPr>
      <w:r w:rsidRPr="00DF5BBF">
        <w:rPr>
          <w:rStyle w:val="fontstyle01"/>
          <w:sz w:val="22"/>
          <w:szCs w:val="22"/>
        </w:rPr>
        <w:t>Los párrafos 147 a 150 del informe</w:t>
      </w:r>
      <w:r w:rsidR="006D0E68" w:rsidRPr="00DF5BBF">
        <w:rPr>
          <w:rStyle w:val="fontstyle01"/>
          <w:sz w:val="22"/>
          <w:szCs w:val="22"/>
        </w:rPr>
        <w:t>, abordan la situación de la vivienda que es verdaderamente crítica, especialmente para los afrodescendientes que son mayoría en los albergues o comunidades de tránsito, donde residen desde hace más de 20 años, esperando asignación de viviendas que no ocurrirán</w:t>
      </w:r>
      <w:r w:rsidR="00E62E0C" w:rsidRPr="00DF5BBF">
        <w:rPr>
          <w:rStyle w:val="fontstyle01"/>
          <w:sz w:val="22"/>
          <w:szCs w:val="22"/>
        </w:rPr>
        <w:t>,</w:t>
      </w:r>
      <w:r w:rsidR="006D0E68" w:rsidRPr="00DF5BBF">
        <w:rPr>
          <w:rStyle w:val="fontstyle01"/>
          <w:sz w:val="22"/>
          <w:szCs w:val="22"/>
        </w:rPr>
        <w:t xml:space="preserve"> porque los planes de construcción de viviendas están totalmente paralizados</w:t>
      </w:r>
      <w:r w:rsidR="00E62E0C" w:rsidRPr="00DF5BBF">
        <w:rPr>
          <w:rStyle w:val="fontstyle01"/>
          <w:sz w:val="22"/>
          <w:szCs w:val="22"/>
        </w:rPr>
        <w:t>,</w:t>
      </w:r>
      <w:r w:rsidR="006D0E68" w:rsidRPr="00DF5BBF">
        <w:rPr>
          <w:rStyle w:val="fontstyle01"/>
          <w:sz w:val="22"/>
          <w:szCs w:val="22"/>
        </w:rPr>
        <w:t xml:space="preserve"> mientras prosiguen la construcción de lujosos hoteles para turistas.</w:t>
      </w:r>
      <w:r w:rsidR="005B0844" w:rsidRPr="00DF5BBF">
        <w:rPr>
          <w:rStyle w:val="fontstyle01"/>
          <w:sz w:val="22"/>
          <w:szCs w:val="22"/>
        </w:rPr>
        <w:t xml:space="preserve"> Estos albergues se nutre</w:t>
      </w:r>
      <w:r w:rsidR="00AA3DD0" w:rsidRPr="00DF5BBF">
        <w:rPr>
          <w:rStyle w:val="fontstyle01"/>
          <w:sz w:val="22"/>
          <w:szCs w:val="22"/>
        </w:rPr>
        <w:t>n</w:t>
      </w:r>
      <w:r w:rsidR="005B0844" w:rsidRPr="00DF5BBF">
        <w:rPr>
          <w:rStyle w:val="fontstyle01"/>
          <w:sz w:val="22"/>
          <w:szCs w:val="22"/>
        </w:rPr>
        <w:t xml:space="preserve"> de los damnificados por ciclones o los frecuentes derrumbes de viviendas.</w:t>
      </w:r>
      <w:r w:rsidR="006D19D4" w:rsidRPr="00DF5BBF">
        <w:rPr>
          <w:rStyle w:val="fontstyle01"/>
          <w:sz w:val="22"/>
          <w:szCs w:val="22"/>
        </w:rPr>
        <w:t xml:space="preserve"> </w:t>
      </w:r>
    </w:p>
    <w:p w14:paraId="5F83DE11" w14:textId="77777777" w:rsidR="003A791C" w:rsidRPr="00DF5BBF" w:rsidRDefault="004F5634" w:rsidP="00DF5BBF">
      <w:pPr>
        <w:snapToGrid w:val="0"/>
        <w:spacing w:before="120" w:after="0" w:line="240" w:lineRule="auto"/>
        <w:jc w:val="both"/>
        <w:rPr>
          <w:rStyle w:val="fontstyle01"/>
          <w:sz w:val="22"/>
          <w:szCs w:val="22"/>
        </w:rPr>
      </w:pPr>
      <w:r w:rsidRPr="00DF5BBF">
        <w:rPr>
          <w:rStyle w:val="fontstyle01"/>
          <w:sz w:val="22"/>
          <w:szCs w:val="22"/>
        </w:rPr>
        <w:t>Los párrafos 151 al 175</w:t>
      </w:r>
      <w:r w:rsidR="00974202" w:rsidRPr="00DF5BBF">
        <w:rPr>
          <w:rStyle w:val="fontstyle01"/>
          <w:sz w:val="22"/>
          <w:szCs w:val="22"/>
        </w:rPr>
        <w:t xml:space="preserve"> del informe</w:t>
      </w:r>
      <w:r w:rsidR="003A791C" w:rsidRPr="00DF5BBF">
        <w:rPr>
          <w:rStyle w:val="fontstyle01"/>
          <w:sz w:val="22"/>
          <w:szCs w:val="22"/>
        </w:rPr>
        <w:t xml:space="preserve"> tratan sobre </w:t>
      </w:r>
      <w:r w:rsidR="004622B1" w:rsidRPr="00DF5BBF">
        <w:rPr>
          <w:rStyle w:val="fontstyle01"/>
          <w:sz w:val="22"/>
          <w:szCs w:val="22"/>
        </w:rPr>
        <w:t xml:space="preserve">logros de la salud, educación, </w:t>
      </w:r>
      <w:r w:rsidR="003A791C" w:rsidRPr="00DF5BBF">
        <w:rPr>
          <w:rStyle w:val="fontstyle01"/>
          <w:sz w:val="22"/>
          <w:szCs w:val="22"/>
        </w:rPr>
        <w:t>cultura</w:t>
      </w:r>
      <w:r w:rsidR="004622B1" w:rsidRPr="00DF5BBF">
        <w:rPr>
          <w:rStyle w:val="fontstyle01"/>
          <w:sz w:val="22"/>
          <w:szCs w:val="22"/>
        </w:rPr>
        <w:t xml:space="preserve"> y la igualdad racial</w:t>
      </w:r>
      <w:r w:rsidR="003A791C" w:rsidRPr="00DF5BBF">
        <w:rPr>
          <w:rStyle w:val="fontstyle01"/>
          <w:sz w:val="22"/>
          <w:szCs w:val="22"/>
        </w:rPr>
        <w:t>.</w:t>
      </w:r>
      <w:r w:rsidR="00AE19BB" w:rsidRPr="00DF5BBF">
        <w:rPr>
          <w:rStyle w:val="fontstyle01"/>
          <w:sz w:val="22"/>
          <w:szCs w:val="22"/>
        </w:rPr>
        <w:t xml:space="preserve"> En estas esferas se han concentrado los principales logros sociales del gobierno cubano, aunque las cifras están maquilladas.</w:t>
      </w:r>
      <w:r w:rsidR="00B333E8" w:rsidRPr="00DF5BBF">
        <w:rPr>
          <w:rStyle w:val="fontstyle01"/>
          <w:sz w:val="22"/>
          <w:szCs w:val="22"/>
        </w:rPr>
        <w:t xml:space="preserve"> La situación actual dista mucho de las cifras expuestas y se han perdido muchos de los avances sociales logrados debido a la crisis humanitaria que sufre Cuba.</w:t>
      </w:r>
      <w:r w:rsidR="00B25F94" w:rsidRPr="00DF5BBF">
        <w:rPr>
          <w:rStyle w:val="fontstyle01"/>
          <w:sz w:val="22"/>
          <w:szCs w:val="22"/>
        </w:rPr>
        <w:t xml:space="preserve"> La mortalidad infantil alcanzó el pasado año 2025 “9,9 por cada mil nacidos vivos, contra 7,1 en 2024.”</w:t>
      </w:r>
      <w:r w:rsidR="00B25F94" w:rsidRPr="00DF5BBF">
        <w:rPr>
          <w:rStyle w:val="FootnoteReference"/>
          <w:rFonts w:ascii="Calibri" w:hAnsi="Calibri" w:cs="Calibri"/>
          <w:color w:val="000000"/>
        </w:rPr>
        <w:footnoteReference w:id="55"/>
      </w:r>
      <w:r w:rsidR="00EE57CC" w:rsidRPr="00DF5BBF">
        <w:rPr>
          <w:rStyle w:val="fontstyle01"/>
          <w:sz w:val="22"/>
          <w:szCs w:val="22"/>
        </w:rPr>
        <w:t xml:space="preserve"> No se cuenta con estadísticas sobre la conformación étnica de este indicador de salud, pero la residencia de los afrodescendientes en comunidades vulnerables con deficientes servicios primarios de salud, presupone mayor afectación para esta población.</w:t>
      </w:r>
    </w:p>
    <w:p w14:paraId="70D085F5" w14:textId="4CC87635" w:rsidR="00A1484A" w:rsidRPr="00DF5BBF" w:rsidRDefault="00A1484A" w:rsidP="00DF5BBF">
      <w:pPr>
        <w:snapToGrid w:val="0"/>
        <w:spacing w:before="120" w:after="0" w:line="240" w:lineRule="auto"/>
        <w:jc w:val="both"/>
        <w:rPr>
          <w:rFonts w:ascii="Calibri" w:hAnsi="Calibri" w:cs="Calibri"/>
          <w:highlight w:val="yellow"/>
        </w:rPr>
      </w:pPr>
      <w:r w:rsidRPr="00DF5BBF">
        <w:rPr>
          <w:rFonts w:ascii="Calibri" w:hAnsi="Calibri" w:cs="Calibri"/>
        </w:rPr>
        <w:t>Sobre estos temas, la CIDH viene reiterando</w:t>
      </w:r>
      <w:r w:rsidRPr="00DF5BBF">
        <w:rPr>
          <w:rStyle w:val="FootnoteReference"/>
          <w:rFonts w:ascii="Calibri" w:hAnsi="Calibri" w:cs="Calibri"/>
        </w:rPr>
        <w:footnoteReference w:id="56"/>
      </w:r>
      <w:r w:rsidRPr="00DF5BBF">
        <w:rPr>
          <w:rFonts w:ascii="Calibri" w:hAnsi="Calibri" w:cs="Calibri"/>
        </w:rPr>
        <w:t xml:space="preserve"> la especial afectación a los derechos económicos, sociales, culturales y ambientales de personas afrocubanas, en particular, en materia de salud, vivienda, desempleo y acceso a servicios sanitarios y agua potable</w:t>
      </w:r>
      <w:r w:rsidRPr="00DF5BBF">
        <w:rPr>
          <w:rStyle w:val="FootnoteReference"/>
          <w:rFonts w:ascii="Calibri" w:hAnsi="Calibri" w:cs="Calibri"/>
        </w:rPr>
        <w:footnoteReference w:id="57"/>
      </w:r>
      <w:r w:rsidRPr="00DF5BBF">
        <w:rPr>
          <w:rFonts w:ascii="Calibri" w:hAnsi="Calibri" w:cs="Calibri"/>
        </w:rPr>
        <w:t>. Sobre este punto, destacó información de parte de las organizaciones de la sociedad civil</w:t>
      </w:r>
      <w:r w:rsidRPr="00DF5BBF">
        <w:rPr>
          <w:rStyle w:val="FootnoteReference"/>
          <w:rFonts w:ascii="Calibri" w:hAnsi="Calibri" w:cs="Calibri"/>
        </w:rPr>
        <w:footnoteReference w:id="58"/>
      </w:r>
      <w:r w:rsidRPr="00DF5BBF">
        <w:rPr>
          <w:rFonts w:ascii="Calibri" w:hAnsi="Calibri" w:cs="Calibri"/>
        </w:rPr>
        <w:t xml:space="preserve"> que explicaron que la pobreza y pobreza extrema afectan principalmente a las personas afrodescendientes, quienes viven en una situación precaria, en zonas insalubres, con salarios bajos, sin recibir remesas y poca escolaridad</w:t>
      </w:r>
      <w:r w:rsidRPr="00DF5BBF">
        <w:rPr>
          <w:rStyle w:val="FootnoteReference"/>
          <w:rFonts w:ascii="Calibri" w:hAnsi="Calibri" w:cs="Calibri"/>
        </w:rPr>
        <w:footnoteReference w:id="59"/>
      </w:r>
      <w:r w:rsidRPr="00DF5BBF">
        <w:rPr>
          <w:rFonts w:ascii="Calibri" w:hAnsi="Calibri" w:cs="Calibri"/>
        </w:rPr>
        <w:t>.</w:t>
      </w:r>
      <w:r w:rsidRPr="00DF5BBF">
        <w:rPr>
          <w:rFonts w:ascii="Calibri" w:hAnsi="Calibri" w:cs="Calibri"/>
          <w:highlight w:val="yellow"/>
        </w:rPr>
        <w:t xml:space="preserve"> </w:t>
      </w:r>
    </w:p>
    <w:p w14:paraId="0AAFF1BB" w14:textId="77D36BE7" w:rsidR="00A1484A" w:rsidRPr="00DF5BBF" w:rsidRDefault="005D203D" w:rsidP="00DF5BBF">
      <w:pPr>
        <w:snapToGrid w:val="0"/>
        <w:spacing w:before="120" w:after="0" w:line="240" w:lineRule="auto"/>
        <w:jc w:val="both"/>
        <w:rPr>
          <w:rStyle w:val="fontstyle01"/>
          <w:sz w:val="22"/>
          <w:szCs w:val="22"/>
        </w:rPr>
      </w:pPr>
      <w:r w:rsidRPr="005D203D">
        <w:rPr>
          <w:rFonts w:ascii="Calibri" w:hAnsi="Calibri" w:cs="Calibri"/>
          <w:lang w:val="es-ES_tradnl"/>
        </w:rPr>
        <w:t xml:space="preserve">Por último, la CIDH manifestó su preocupación ante testimonios recabados que describían la existencia discriminación racial en las escuelas, en la que </w:t>
      </w:r>
      <w:proofErr w:type="gramStart"/>
      <w:r w:rsidRPr="005D203D">
        <w:rPr>
          <w:rFonts w:ascii="Calibri" w:hAnsi="Calibri" w:cs="Calibri"/>
          <w:lang w:val="es-ES_tradnl"/>
        </w:rPr>
        <w:t>niños y niñas</w:t>
      </w:r>
      <w:proofErr w:type="gramEnd"/>
      <w:r w:rsidRPr="005D203D">
        <w:rPr>
          <w:rFonts w:ascii="Calibri" w:hAnsi="Calibri" w:cs="Calibri"/>
          <w:lang w:val="es-ES_tradnl"/>
        </w:rPr>
        <w:t xml:space="preserve"> serían sancionados por el uso de pelo afro</w:t>
      </w:r>
      <w:r w:rsidRPr="005D203D">
        <w:rPr>
          <w:rStyle w:val="FootnoteReference"/>
          <w:rFonts w:ascii="Calibri" w:hAnsi="Calibri" w:cs="Calibri"/>
          <w:lang w:val="es-ES_tradnl"/>
        </w:rPr>
        <w:footnoteReference w:id="60"/>
      </w:r>
      <w:r w:rsidRPr="005D203D">
        <w:rPr>
          <w:rFonts w:ascii="Calibri" w:hAnsi="Calibri" w:cs="Calibri"/>
          <w:lang w:val="es-ES_tradnl"/>
        </w:rPr>
        <w:t>.</w:t>
      </w:r>
    </w:p>
    <w:p w14:paraId="60EB29FC" w14:textId="416BAFD6" w:rsidR="00062019" w:rsidRPr="00DF5BBF" w:rsidRDefault="00C83647" w:rsidP="00DF5BBF">
      <w:pPr>
        <w:snapToGrid w:val="0"/>
        <w:spacing w:before="120" w:after="0" w:line="240" w:lineRule="auto"/>
        <w:jc w:val="both"/>
        <w:rPr>
          <w:rStyle w:val="fontstyle01"/>
          <w:sz w:val="22"/>
          <w:szCs w:val="22"/>
        </w:rPr>
      </w:pPr>
      <w:r w:rsidRPr="00DF5BBF">
        <w:rPr>
          <w:rStyle w:val="fontstyle01"/>
          <w:sz w:val="22"/>
          <w:szCs w:val="22"/>
        </w:rPr>
        <w:t>En los p</w:t>
      </w:r>
      <w:r w:rsidR="00EC596B" w:rsidRPr="00DF5BBF">
        <w:rPr>
          <w:rStyle w:val="fontstyle01"/>
          <w:sz w:val="22"/>
          <w:szCs w:val="22"/>
        </w:rPr>
        <w:t xml:space="preserve">árrafos </w:t>
      </w:r>
      <w:r w:rsidRPr="00DF5BBF">
        <w:rPr>
          <w:rStyle w:val="fontstyle01"/>
          <w:sz w:val="22"/>
          <w:szCs w:val="22"/>
        </w:rPr>
        <w:t xml:space="preserve">176 al 181 del informe, </w:t>
      </w:r>
      <w:r w:rsidR="00ED2740" w:rsidRPr="00DF5BBF">
        <w:rPr>
          <w:rStyle w:val="fontstyle01"/>
          <w:sz w:val="22"/>
          <w:szCs w:val="22"/>
        </w:rPr>
        <w:t xml:space="preserve">se analizan aspectos de la actividad judicial y de las quejas a la población tramitadas por la </w:t>
      </w:r>
      <w:proofErr w:type="gramStart"/>
      <w:r w:rsidR="00ED2740" w:rsidRPr="00DF5BBF">
        <w:rPr>
          <w:rStyle w:val="fontstyle01"/>
          <w:sz w:val="22"/>
          <w:szCs w:val="22"/>
        </w:rPr>
        <w:t>Fiscalía General</w:t>
      </w:r>
      <w:proofErr w:type="gramEnd"/>
      <w:r w:rsidR="00ED2740" w:rsidRPr="00DF5BBF">
        <w:rPr>
          <w:rStyle w:val="fontstyle01"/>
          <w:sz w:val="22"/>
          <w:szCs w:val="22"/>
        </w:rPr>
        <w:t xml:space="preserve"> de la </w:t>
      </w:r>
      <w:r w:rsidR="009416D3" w:rsidRPr="00DF5BBF">
        <w:rPr>
          <w:rStyle w:val="fontstyle01"/>
          <w:sz w:val="22"/>
          <w:szCs w:val="22"/>
        </w:rPr>
        <w:t>República, en</w:t>
      </w:r>
      <w:r w:rsidR="00ED2740" w:rsidRPr="00DF5BBF">
        <w:rPr>
          <w:rStyle w:val="fontstyle01"/>
          <w:sz w:val="22"/>
          <w:szCs w:val="22"/>
        </w:rPr>
        <w:t xml:space="preserve"> el período entre 2018 y 2023. </w:t>
      </w:r>
      <w:r w:rsidR="00CA5E26" w:rsidRPr="00DF5BBF">
        <w:rPr>
          <w:rStyle w:val="fontstyle01"/>
          <w:sz w:val="22"/>
          <w:szCs w:val="22"/>
        </w:rPr>
        <w:t xml:space="preserve">Las estadísticas ofrecidas no tienen confirmación por fuentes independientes y llama la atención que ninguna </w:t>
      </w:r>
      <w:r w:rsidR="00CA5E26" w:rsidRPr="00DF5BBF">
        <w:rPr>
          <w:rStyle w:val="fontstyle01"/>
          <w:sz w:val="22"/>
          <w:szCs w:val="22"/>
        </w:rPr>
        <w:lastRenderedPageBreak/>
        <w:t>queja prosperó por discriminación racial.</w:t>
      </w:r>
      <w:r w:rsidR="009C061B" w:rsidRPr="00DF5BBF">
        <w:rPr>
          <w:rStyle w:val="fontstyle01"/>
          <w:sz w:val="22"/>
          <w:szCs w:val="22"/>
        </w:rPr>
        <w:t xml:space="preserve"> </w:t>
      </w:r>
      <w:r w:rsidR="00D936D2" w:rsidRPr="00DF5BBF">
        <w:rPr>
          <w:rStyle w:val="fontstyle01"/>
          <w:sz w:val="22"/>
          <w:szCs w:val="22"/>
        </w:rPr>
        <w:t>En la práctica judicial e</w:t>
      </w:r>
      <w:r w:rsidR="009C061B" w:rsidRPr="00DF5BBF">
        <w:rPr>
          <w:rStyle w:val="fontstyle01"/>
          <w:sz w:val="22"/>
          <w:szCs w:val="22"/>
        </w:rPr>
        <w:t>s común la existencia de acusados asegurados en prisión provisional, con más de tres años de espera para la celebración del juicio oral y no pasa nada.</w:t>
      </w:r>
      <w:r w:rsidR="00772DBE" w:rsidRPr="00DF5BBF">
        <w:rPr>
          <w:rStyle w:val="fontstyle01"/>
          <w:sz w:val="22"/>
          <w:szCs w:val="22"/>
        </w:rPr>
        <w:t xml:space="preserve"> </w:t>
      </w:r>
    </w:p>
    <w:p w14:paraId="38B69365" w14:textId="6242319D" w:rsidR="005B0479" w:rsidRPr="00DF5BBF" w:rsidRDefault="00A1484A" w:rsidP="00DF5BBF">
      <w:pPr>
        <w:snapToGrid w:val="0"/>
        <w:spacing w:before="120" w:after="0" w:line="240" w:lineRule="auto"/>
        <w:jc w:val="both"/>
        <w:rPr>
          <w:rStyle w:val="fontstyle01"/>
          <w:sz w:val="22"/>
          <w:szCs w:val="22"/>
        </w:rPr>
      </w:pPr>
      <w:r w:rsidRPr="00DF5BBF">
        <w:rPr>
          <w:rStyle w:val="fontstyle01"/>
          <w:sz w:val="22"/>
          <w:szCs w:val="22"/>
        </w:rPr>
        <w:t>En los p</w:t>
      </w:r>
      <w:r w:rsidR="009F72CC" w:rsidRPr="00DF5BBF">
        <w:rPr>
          <w:rStyle w:val="fontstyle01"/>
          <w:sz w:val="22"/>
          <w:szCs w:val="22"/>
        </w:rPr>
        <w:t xml:space="preserve">árrafos 182 al </w:t>
      </w:r>
      <w:r w:rsidR="00D04A06" w:rsidRPr="00DF5BBF">
        <w:rPr>
          <w:rStyle w:val="fontstyle01"/>
          <w:sz w:val="22"/>
          <w:szCs w:val="22"/>
        </w:rPr>
        <w:t>202</w:t>
      </w:r>
      <w:r w:rsidR="00420420" w:rsidRPr="00DF5BBF">
        <w:rPr>
          <w:rStyle w:val="fontstyle01"/>
          <w:sz w:val="22"/>
          <w:szCs w:val="22"/>
        </w:rPr>
        <w:t xml:space="preserve"> se abordan muy diversos temas sobre programas de beneficio e impacto social</w:t>
      </w:r>
      <w:r w:rsidRPr="00DF5BBF">
        <w:rPr>
          <w:rStyle w:val="fontstyle01"/>
          <w:sz w:val="22"/>
          <w:szCs w:val="22"/>
        </w:rPr>
        <w:t>. Sobre e</w:t>
      </w:r>
      <w:r w:rsidR="00B17F2B" w:rsidRPr="00DF5BBF">
        <w:rPr>
          <w:rStyle w:val="fontstyle01"/>
          <w:sz w:val="22"/>
          <w:szCs w:val="22"/>
        </w:rPr>
        <w:t>l acceso al internet</w:t>
      </w:r>
      <w:r w:rsidRPr="00DF5BBF">
        <w:rPr>
          <w:rStyle w:val="fontstyle01"/>
          <w:sz w:val="22"/>
          <w:szCs w:val="22"/>
        </w:rPr>
        <w:t xml:space="preserve"> se debe observar que este</w:t>
      </w:r>
      <w:r w:rsidR="00B17F2B" w:rsidRPr="00DF5BBF">
        <w:rPr>
          <w:rStyle w:val="fontstyle01"/>
          <w:sz w:val="22"/>
          <w:szCs w:val="22"/>
        </w:rPr>
        <w:t xml:space="preserve"> ha quedado muy restringido por </w:t>
      </w:r>
      <w:r w:rsidRPr="00DF5BBF">
        <w:rPr>
          <w:rStyle w:val="fontstyle01"/>
          <w:sz w:val="22"/>
          <w:szCs w:val="22"/>
        </w:rPr>
        <w:t>las medidas adoptadas</w:t>
      </w:r>
      <w:r w:rsidR="00B17F2B" w:rsidRPr="00DF5BBF">
        <w:rPr>
          <w:rStyle w:val="fontstyle01"/>
          <w:sz w:val="22"/>
          <w:szCs w:val="22"/>
        </w:rPr>
        <w:t xml:space="preserve"> </w:t>
      </w:r>
      <w:r w:rsidR="004B164F" w:rsidRPr="00DF5BBF">
        <w:rPr>
          <w:rStyle w:val="fontstyle01"/>
          <w:sz w:val="22"/>
          <w:szCs w:val="22"/>
        </w:rPr>
        <w:t>por el monopolio estatal E</w:t>
      </w:r>
      <w:r w:rsidRPr="00DF5BBF">
        <w:rPr>
          <w:rStyle w:val="fontstyle01"/>
          <w:sz w:val="22"/>
          <w:szCs w:val="22"/>
        </w:rPr>
        <w:t xml:space="preserve">TECSA al </w:t>
      </w:r>
      <w:r w:rsidR="004B164F" w:rsidRPr="00DF5BBF">
        <w:rPr>
          <w:rStyle w:val="fontstyle01"/>
          <w:sz w:val="22"/>
          <w:szCs w:val="22"/>
        </w:rPr>
        <w:t>limita</w:t>
      </w:r>
      <w:r w:rsidRPr="00DF5BBF">
        <w:rPr>
          <w:rStyle w:val="fontstyle01"/>
          <w:sz w:val="22"/>
          <w:szCs w:val="22"/>
        </w:rPr>
        <w:t>r</w:t>
      </w:r>
      <w:r w:rsidR="004B164F" w:rsidRPr="00DF5BBF">
        <w:rPr>
          <w:rStyle w:val="fontstyle01"/>
          <w:sz w:val="22"/>
          <w:szCs w:val="22"/>
        </w:rPr>
        <w:t xml:space="preserve"> la recarga a 360 pesos mensuales para los ciudadanos</w:t>
      </w:r>
      <w:r w:rsidRPr="00DF5BBF">
        <w:rPr>
          <w:rStyle w:val="fontstyle01"/>
          <w:sz w:val="22"/>
          <w:szCs w:val="22"/>
        </w:rPr>
        <w:t>, q</w:t>
      </w:r>
      <w:r w:rsidR="004255A9" w:rsidRPr="00DF5BBF">
        <w:rPr>
          <w:rStyle w:val="fontstyle01"/>
          <w:sz w:val="22"/>
          <w:szCs w:val="22"/>
        </w:rPr>
        <w:t>ue</w:t>
      </w:r>
      <w:r w:rsidR="00447E13" w:rsidRPr="00DF5BBF">
        <w:rPr>
          <w:rStyle w:val="fontstyle01"/>
          <w:sz w:val="22"/>
          <w:szCs w:val="22"/>
        </w:rPr>
        <w:t>dando la opción de recargas desde</w:t>
      </w:r>
      <w:r w:rsidR="004255A9" w:rsidRPr="00DF5BBF">
        <w:rPr>
          <w:rStyle w:val="fontstyle01"/>
          <w:sz w:val="22"/>
          <w:szCs w:val="22"/>
        </w:rPr>
        <w:t xml:space="preserve"> el exterior para la población blanca con familiares en Estados Unidos.</w:t>
      </w:r>
    </w:p>
    <w:p w14:paraId="4F416447" w14:textId="689D643E" w:rsidR="003F44A2" w:rsidRPr="00DF5BBF" w:rsidRDefault="00385837" w:rsidP="00DF5BBF">
      <w:pPr>
        <w:snapToGrid w:val="0"/>
        <w:spacing w:before="120" w:after="0" w:line="240" w:lineRule="auto"/>
        <w:jc w:val="both"/>
        <w:rPr>
          <w:rStyle w:val="fontstyle01"/>
          <w:sz w:val="22"/>
          <w:szCs w:val="22"/>
        </w:rPr>
      </w:pPr>
      <w:r w:rsidRPr="00DF5BBF">
        <w:rPr>
          <w:rStyle w:val="fontstyle01"/>
          <w:sz w:val="22"/>
          <w:szCs w:val="22"/>
        </w:rPr>
        <w:t>E</w:t>
      </w:r>
      <w:r w:rsidR="00F77497" w:rsidRPr="00DF5BBF">
        <w:rPr>
          <w:rStyle w:val="fontstyle01"/>
          <w:sz w:val="22"/>
          <w:szCs w:val="22"/>
        </w:rPr>
        <w:t xml:space="preserve">l informe expone las respuestas a recomendaciones del Comité en los párrafos </w:t>
      </w:r>
      <w:r w:rsidR="00F32FE3" w:rsidRPr="00DF5BBF">
        <w:rPr>
          <w:rStyle w:val="fontstyle01"/>
          <w:sz w:val="22"/>
          <w:szCs w:val="22"/>
        </w:rPr>
        <w:t>203 al 322.</w:t>
      </w:r>
      <w:r w:rsidR="00F03AD3" w:rsidRPr="00DF5BBF">
        <w:rPr>
          <w:rStyle w:val="fontstyle01"/>
          <w:sz w:val="22"/>
          <w:szCs w:val="22"/>
        </w:rPr>
        <w:t xml:space="preserve"> El informe omite la </w:t>
      </w:r>
      <w:r w:rsidR="00D97EC3" w:rsidRPr="00DF5BBF">
        <w:rPr>
          <w:rStyle w:val="fontstyle01"/>
          <w:sz w:val="22"/>
          <w:szCs w:val="22"/>
        </w:rPr>
        <w:t>recomendación</w:t>
      </w:r>
      <w:r w:rsidR="00F03AD3" w:rsidRPr="00DF5BBF">
        <w:rPr>
          <w:rStyle w:val="fontstyle01"/>
          <w:sz w:val="22"/>
          <w:szCs w:val="22"/>
        </w:rPr>
        <w:t xml:space="preserve"> en el párrafo 7 </w:t>
      </w:r>
      <w:r w:rsidR="003B6E56" w:rsidRPr="00DF5BBF">
        <w:rPr>
          <w:rStyle w:val="fontstyle01"/>
          <w:sz w:val="22"/>
          <w:szCs w:val="22"/>
        </w:rPr>
        <w:t xml:space="preserve">referidos a la provisión de </w:t>
      </w:r>
      <w:r w:rsidR="0065571E" w:rsidRPr="00DF5BBF">
        <w:rPr>
          <w:rStyle w:val="fontstyle01"/>
          <w:sz w:val="22"/>
          <w:szCs w:val="22"/>
        </w:rPr>
        <w:t>información sobre casos de aplicación directa de la Convención por sus tribunales</w:t>
      </w:r>
      <w:r w:rsidR="00C61153" w:rsidRPr="00DF5BBF">
        <w:rPr>
          <w:rStyle w:val="FootnoteReference"/>
          <w:rFonts w:ascii="Calibri" w:hAnsi="Calibri" w:cs="Calibri"/>
          <w:color w:val="000000"/>
        </w:rPr>
        <w:footnoteReference w:id="61"/>
      </w:r>
      <w:r w:rsidR="00D97EC3" w:rsidRPr="00DF5BBF">
        <w:rPr>
          <w:rStyle w:val="fontstyle01"/>
          <w:sz w:val="22"/>
          <w:szCs w:val="22"/>
        </w:rPr>
        <w:t>.</w:t>
      </w:r>
      <w:r w:rsidR="0067224E" w:rsidRPr="00DF5BBF">
        <w:rPr>
          <w:rStyle w:val="fontstyle01"/>
          <w:sz w:val="22"/>
          <w:szCs w:val="22"/>
        </w:rPr>
        <w:t xml:space="preserve"> Esta </w:t>
      </w:r>
      <w:r w:rsidR="00D97EC3" w:rsidRPr="00DF5BBF">
        <w:rPr>
          <w:rStyle w:val="fontstyle01"/>
          <w:sz w:val="22"/>
          <w:szCs w:val="22"/>
        </w:rPr>
        <w:t>recomendación</w:t>
      </w:r>
      <w:r w:rsidR="0067224E" w:rsidRPr="00DF5BBF">
        <w:rPr>
          <w:rStyle w:val="fontstyle01"/>
          <w:sz w:val="22"/>
          <w:szCs w:val="22"/>
        </w:rPr>
        <w:t xml:space="preserve"> del Comité no puede ser cumplida por el gobierno cubano porque en el artículo 8 de la Constitución cubana establece que “</w:t>
      </w:r>
      <w:r w:rsidR="00D97EC3" w:rsidRPr="00DF5BBF">
        <w:rPr>
          <w:rStyle w:val="fontstyle01"/>
          <w:sz w:val="22"/>
          <w:szCs w:val="22"/>
        </w:rPr>
        <w:t>l</w:t>
      </w:r>
      <w:r w:rsidR="0067224E" w:rsidRPr="00DF5BBF">
        <w:rPr>
          <w:rStyle w:val="fontstyle01"/>
          <w:sz w:val="22"/>
          <w:szCs w:val="22"/>
        </w:rPr>
        <w:t xml:space="preserve">o prescrito en los tratados internacionales en vigor para la República de Cuba forma parte o se integra, según corresponda, al ordenamiento jurídico nacional. La Constitución de la República de Cuba prima sobre </w:t>
      </w:r>
      <w:r w:rsidR="00377765" w:rsidRPr="00DF5BBF">
        <w:rPr>
          <w:rStyle w:val="fontstyle01"/>
          <w:sz w:val="22"/>
          <w:szCs w:val="22"/>
        </w:rPr>
        <w:t>estos tratados internacionales</w:t>
      </w:r>
      <w:r w:rsidR="00642DE9" w:rsidRPr="00DF5BBF">
        <w:rPr>
          <w:rStyle w:val="fontstyle01"/>
          <w:sz w:val="22"/>
          <w:szCs w:val="22"/>
        </w:rPr>
        <w:t>”</w:t>
      </w:r>
      <w:r w:rsidR="00E23396" w:rsidRPr="00DF5BBF">
        <w:rPr>
          <w:rStyle w:val="FootnoteReference"/>
          <w:rFonts w:ascii="Calibri" w:hAnsi="Calibri" w:cs="Calibri"/>
          <w:color w:val="000000"/>
        </w:rPr>
        <w:footnoteReference w:id="62"/>
      </w:r>
      <w:r w:rsidR="00D97EC3" w:rsidRPr="00DF5BBF">
        <w:rPr>
          <w:rStyle w:val="fontstyle01"/>
          <w:sz w:val="22"/>
          <w:szCs w:val="22"/>
        </w:rPr>
        <w:t>.</w:t>
      </w:r>
      <w:r w:rsidR="004616F0" w:rsidRPr="00DF5BBF">
        <w:rPr>
          <w:rStyle w:val="fontstyle01"/>
          <w:sz w:val="22"/>
          <w:szCs w:val="22"/>
        </w:rPr>
        <w:t xml:space="preserve"> Es decir</w:t>
      </w:r>
      <w:r w:rsidR="00314899" w:rsidRPr="00DF5BBF">
        <w:rPr>
          <w:rStyle w:val="fontstyle01"/>
          <w:sz w:val="22"/>
          <w:szCs w:val="22"/>
        </w:rPr>
        <w:t>,</w:t>
      </w:r>
      <w:r w:rsidR="004616F0" w:rsidRPr="00DF5BBF">
        <w:rPr>
          <w:rStyle w:val="fontstyle01"/>
          <w:sz w:val="22"/>
          <w:szCs w:val="22"/>
        </w:rPr>
        <w:t xml:space="preserve"> todos los artículos de la Convención que no estén expresamente incorporados al ordenamiento jurídico </w:t>
      </w:r>
      <w:r w:rsidR="00314899" w:rsidRPr="00DF5BBF">
        <w:rPr>
          <w:rStyle w:val="fontstyle01"/>
          <w:sz w:val="22"/>
          <w:szCs w:val="22"/>
        </w:rPr>
        <w:t>nacional</w:t>
      </w:r>
      <w:r w:rsidR="004616F0" w:rsidRPr="00DF5BBF">
        <w:rPr>
          <w:rStyle w:val="fontstyle01"/>
          <w:sz w:val="22"/>
          <w:szCs w:val="22"/>
        </w:rPr>
        <w:t xml:space="preserve"> no podrán ser invocados por las partes en los tribunales cubanos</w:t>
      </w:r>
      <w:r w:rsidR="00D258E1" w:rsidRPr="00DF5BBF">
        <w:rPr>
          <w:rStyle w:val="fontstyle01"/>
          <w:sz w:val="22"/>
          <w:szCs w:val="22"/>
        </w:rPr>
        <w:t xml:space="preserve"> como fundamentos de derecho</w:t>
      </w:r>
      <w:r w:rsidR="004616F0" w:rsidRPr="00DF5BBF">
        <w:rPr>
          <w:rStyle w:val="fontstyle01"/>
          <w:sz w:val="22"/>
          <w:szCs w:val="22"/>
        </w:rPr>
        <w:t xml:space="preserve"> y en caso de existir contradicciones.</w:t>
      </w:r>
      <w:r w:rsidR="00E52858" w:rsidRPr="00DF5BBF">
        <w:rPr>
          <w:rStyle w:val="fontstyle01"/>
          <w:sz w:val="22"/>
          <w:szCs w:val="22"/>
        </w:rPr>
        <w:t xml:space="preserve"> </w:t>
      </w:r>
    </w:p>
    <w:p w14:paraId="1AB0E8CA" w14:textId="6948F4F6" w:rsidR="001542BC" w:rsidRPr="00DF5BBF" w:rsidRDefault="00B13BC2" w:rsidP="00DF5BBF">
      <w:pPr>
        <w:snapToGrid w:val="0"/>
        <w:spacing w:before="120" w:after="0" w:line="240" w:lineRule="auto"/>
        <w:jc w:val="both"/>
        <w:rPr>
          <w:rFonts w:ascii="Calibri" w:hAnsi="Calibri" w:cs="Calibri"/>
          <w:color w:val="000000"/>
        </w:rPr>
      </w:pPr>
      <w:r w:rsidRPr="00DF5BBF">
        <w:rPr>
          <w:rStyle w:val="fontstyle01"/>
          <w:sz w:val="22"/>
          <w:szCs w:val="22"/>
        </w:rPr>
        <w:t xml:space="preserve"> </w:t>
      </w:r>
      <w:r w:rsidR="001542BC" w:rsidRPr="00DF5BBF">
        <w:rPr>
          <w:rFonts w:ascii="Calibri" w:hAnsi="Calibri" w:cs="Calibri"/>
          <w:color w:val="000000"/>
        </w:rPr>
        <w:t>Sobre los párrafos 210 y 211</w:t>
      </w:r>
      <w:r w:rsidR="00314899" w:rsidRPr="00DF5BBF">
        <w:rPr>
          <w:rFonts w:ascii="Calibri" w:hAnsi="Calibri" w:cs="Calibri"/>
          <w:color w:val="000000"/>
        </w:rPr>
        <w:t>, el tema de la metodología del censo ya ha sido analizado ut supra.</w:t>
      </w:r>
    </w:p>
    <w:p w14:paraId="0E3991EB" w14:textId="77777777" w:rsidR="00A6482A" w:rsidRPr="00DF5BBF" w:rsidRDefault="003910C4" w:rsidP="00DF5BBF">
      <w:pPr>
        <w:snapToGrid w:val="0"/>
        <w:spacing w:before="120" w:after="0" w:line="240" w:lineRule="auto"/>
        <w:jc w:val="both"/>
        <w:rPr>
          <w:rFonts w:ascii="Calibri" w:hAnsi="Calibri" w:cs="Calibri"/>
          <w:color w:val="000000"/>
        </w:rPr>
      </w:pPr>
      <w:r w:rsidRPr="00DF5BBF">
        <w:rPr>
          <w:rFonts w:ascii="Calibri" w:hAnsi="Calibri" w:cs="Calibri"/>
          <w:color w:val="000000"/>
        </w:rPr>
        <w:t>Los párrafos 212 al 248</w:t>
      </w:r>
      <w:r w:rsidR="0056661B" w:rsidRPr="00DF5BBF">
        <w:rPr>
          <w:rFonts w:ascii="Calibri" w:hAnsi="Calibri" w:cs="Calibri"/>
          <w:color w:val="000000"/>
        </w:rPr>
        <w:t xml:space="preserve"> del informe están encaminados </w:t>
      </w:r>
      <w:r w:rsidR="0034236C" w:rsidRPr="00DF5BBF">
        <w:rPr>
          <w:rFonts w:ascii="Calibri" w:hAnsi="Calibri" w:cs="Calibri"/>
          <w:color w:val="000000"/>
        </w:rPr>
        <w:t xml:space="preserve">a intentar justificar por el Estado parte, la negativa a aceptar la recomendación contenida en los párrafos 11 y 12 de las </w:t>
      </w:r>
      <w:r w:rsidR="00314899" w:rsidRPr="00DF5BBF">
        <w:rPr>
          <w:rFonts w:ascii="Calibri" w:hAnsi="Calibri" w:cs="Calibri"/>
          <w:color w:val="000000"/>
        </w:rPr>
        <w:t>observaciones</w:t>
      </w:r>
      <w:r w:rsidR="0034236C" w:rsidRPr="00DF5BBF">
        <w:rPr>
          <w:rFonts w:ascii="Calibri" w:hAnsi="Calibri" w:cs="Calibri"/>
          <w:color w:val="000000"/>
        </w:rPr>
        <w:t xml:space="preserve"> del Comité</w:t>
      </w:r>
      <w:r w:rsidR="009C5EA6" w:rsidRPr="00DF5BBF">
        <w:rPr>
          <w:rFonts w:ascii="Calibri" w:hAnsi="Calibri" w:cs="Calibri"/>
          <w:color w:val="000000"/>
        </w:rPr>
        <w:t>,</w:t>
      </w:r>
      <w:r w:rsidR="0034236C" w:rsidRPr="00DF5BBF">
        <w:rPr>
          <w:rFonts w:ascii="Calibri" w:hAnsi="Calibri" w:cs="Calibri"/>
          <w:color w:val="000000"/>
        </w:rPr>
        <w:t xml:space="preserve"> sobre el establecimiento en Cuba de una institución nacional de derechos humanos independiente, de conformidad con los Principios de Paris</w:t>
      </w:r>
      <w:r w:rsidR="000D065F" w:rsidRPr="00DF5BBF">
        <w:rPr>
          <w:rStyle w:val="FootnoteReference"/>
          <w:rFonts w:ascii="Calibri" w:hAnsi="Calibri" w:cs="Calibri"/>
          <w:color w:val="000000"/>
        </w:rPr>
        <w:footnoteReference w:id="63"/>
      </w:r>
      <w:r w:rsidR="00314899" w:rsidRPr="00DF5BBF">
        <w:rPr>
          <w:rFonts w:ascii="Calibri" w:hAnsi="Calibri" w:cs="Calibri"/>
          <w:color w:val="000000"/>
        </w:rPr>
        <w:t>.</w:t>
      </w:r>
      <w:r w:rsidR="0034236C" w:rsidRPr="00DF5BBF">
        <w:rPr>
          <w:rFonts w:ascii="Calibri" w:hAnsi="Calibri" w:cs="Calibri"/>
          <w:color w:val="000000"/>
        </w:rPr>
        <w:t xml:space="preserve"> </w:t>
      </w:r>
    </w:p>
    <w:p w14:paraId="67C598F7" w14:textId="519F9F6A" w:rsidR="00A6482A" w:rsidRPr="00DF5BBF" w:rsidRDefault="00B34D65" w:rsidP="00DF5BBF">
      <w:pPr>
        <w:snapToGrid w:val="0"/>
        <w:spacing w:before="120" w:after="0" w:line="240" w:lineRule="auto"/>
        <w:jc w:val="both"/>
        <w:rPr>
          <w:rFonts w:ascii="Calibri" w:hAnsi="Calibri" w:cs="Calibri"/>
          <w:color w:val="000000"/>
        </w:rPr>
      </w:pPr>
      <w:r w:rsidRPr="00DF5BBF">
        <w:rPr>
          <w:rFonts w:ascii="Calibri" w:hAnsi="Calibri" w:cs="Calibri"/>
          <w:color w:val="000000"/>
        </w:rPr>
        <w:t xml:space="preserve">También se intenta justificar por el gobierno cubano la negativa en aceptar las recomendaciones 13 y 14 del Comité </w:t>
      </w:r>
      <w:r w:rsidR="00314899" w:rsidRPr="00DF5BBF">
        <w:rPr>
          <w:rFonts w:ascii="Calibri" w:hAnsi="Calibri" w:cs="Calibri"/>
          <w:color w:val="000000"/>
        </w:rPr>
        <w:t>que instan</w:t>
      </w:r>
      <w:r w:rsidR="000E7BC0" w:rsidRPr="00DF5BBF">
        <w:rPr>
          <w:rFonts w:ascii="Calibri" w:hAnsi="Calibri" w:cs="Calibri"/>
          <w:color w:val="000000"/>
        </w:rPr>
        <w:t xml:space="preserve"> al Estado </w:t>
      </w:r>
      <w:r w:rsidR="00314899" w:rsidRPr="00DF5BBF">
        <w:rPr>
          <w:rFonts w:ascii="Calibri" w:hAnsi="Calibri" w:cs="Calibri"/>
          <w:color w:val="000000"/>
        </w:rPr>
        <w:t xml:space="preserve">a </w:t>
      </w:r>
      <w:r w:rsidR="000E7BC0" w:rsidRPr="00DF5BBF">
        <w:rPr>
          <w:rFonts w:ascii="Calibri" w:hAnsi="Calibri" w:cs="Calibri"/>
          <w:color w:val="000000"/>
        </w:rPr>
        <w:t>adopt</w:t>
      </w:r>
      <w:r w:rsidR="00314899" w:rsidRPr="00DF5BBF">
        <w:rPr>
          <w:rFonts w:ascii="Calibri" w:hAnsi="Calibri" w:cs="Calibri"/>
          <w:color w:val="000000"/>
        </w:rPr>
        <w:t>ar</w:t>
      </w:r>
      <w:r w:rsidR="000E7BC0" w:rsidRPr="00DF5BBF">
        <w:rPr>
          <w:rFonts w:ascii="Calibri" w:hAnsi="Calibri" w:cs="Calibri"/>
          <w:color w:val="000000"/>
        </w:rPr>
        <w:t xml:space="preserve"> medidas efectivas y oportunas para prevenir actos de acoso, hostigamiento, intimidación, amenazas, descalificación y criminalización en contra de defensores de derechos humanos”</w:t>
      </w:r>
      <w:r w:rsidR="007A6FFE" w:rsidRPr="00DF5BBF">
        <w:rPr>
          <w:rStyle w:val="FootnoteReference"/>
          <w:rFonts w:ascii="Calibri" w:hAnsi="Calibri" w:cs="Calibri"/>
          <w:color w:val="000000"/>
        </w:rPr>
        <w:footnoteReference w:id="64"/>
      </w:r>
      <w:r w:rsidR="00314899" w:rsidRPr="00DF5BBF">
        <w:rPr>
          <w:rFonts w:ascii="Calibri" w:hAnsi="Calibri" w:cs="Calibri"/>
          <w:color w:val="000000"/>
        </w:rPr>
        <w:t>.</w:t>
      </w:r>
      <w:r w:rsidR="001D4DA5" w:rsidRPr="00DF5BBF">
        <w:rPr>
          <w:rFonts w:ascii="Calibri" w:hAnsi="Calibri" w:cs="Calibri"/>
          <w:color w:val="000000"/>
        </w:rPr>
        <w:t xml:space="preserve"> </w:t>
      </w:r>
      <w:r w:rsidR="00A6482A" w:rsidRPr="00DF5BBF">
        <w:rPr>
          <w:rFonts w:ascii="Calibri" w:hAnsi="Calibri" w:cs="Calibri"/>
          <w:lang w:val="es-ES_tradnl"/>
        </w:rPr>
        <w:t xml:space="preserve">Ya en su informe de seguimiento a las observaciones, presentado por el Estado en el 2020, este reconocía al Comité la diferencia en el tratamiento de las personas defensoras de derechos humanos </w:t>
      </w:r>
      <w:proofErr w:type="gramStart"/>
      <w:r w:rsidR="00A6482A" w:rsidRPr="00DF5BBF">
        <w:rPr>
          <w:rFonts w:ascii="Calibri" w:hAnsi="Calibri" w:cs="Calibri"/>
          <w:lang w:val="es-ES_tradnl"/>
        </w:rPr>
        <w:t>en razón de</w:t>
      </w:r>
      <w:proofErr w:type="gramEnd"/>
      <w:r w:rsidR="00A6482A" w:rsidRPr="00DF5BBF">
        <w:rPr>
          <w:rFonts w:ascii="Calibri" w:hAnsi="Calibri" w:cs="Calibri"/>
          <w:lang w:val="es-ES_tradnl"/>
        </w:rPr>
        <w:t xml:space="preserve"> la ideología política. De esta forma, luego de aseverar que las personas defensoras de derechos humanos no son objeto de restricciones arbitrarias de sus libertades</w:t>
      </w:r>
      <w:r w:rsidR="00A6482A" w:rsidRPr="00DF5BBF">
        <w:rPr>
          <w:rStyle w:val="FootnoteReference"/>
          <w:rFonts w:ascii="Calibri" w:hAnsi="Calibri" w:cs="Calibri"/>
          <w:lang w:val="es-ES_tradnl"/>
        </w:rPr>
        <w:footnoteReference w:id="65"/>
      </w:r>
      <w:r w:rsidR="00A6482A" w:rsidRPr="00DF5BBF">
        <w:rPr>
          <w:rFonts w:ascii="Calibri" w:hAnsi="Calibri" w:cs="Calibri"/>
          <w:lang w:val="es-ES_tradnl"/>
        </w:rPr>
        <w:t xml:space="preserve">, inmediatamente después aclara que estos “miles” de defensores, se diferencian de aquellos que reciben “financiamiento exterior que se da a aquellos cuyo objetivo es intentar derrocar al gobierno legítimo que el pueblo cubano </w:t>
      </w:r>
      <w:r w:rsidR="00A6482A" w:rsidRPr="00DF5BBF">
        <w:rPr>
          <w:rFonts w:ascii="Calibri" w:hAnsi="Calibri" w:cs="Calibri"/>
          <w:lang w:val="es-ES_tradnl"/>
        </w:rPr>
        <w:lastRenderedPageBreak/>
        <w:t>se ha dado”</w:t>
      </w:r>
      <w:r w:rsidR="00A6482A" w:rsidRPr="00DF5BBF">
        <w:rPr>
          <w:rStyle w:val="FootnoteReference"/>
          <w:rFonts w:ascii="Calibri" w:hAnsi="Calibri" w:cs="Calibri"/>
          <w:lang w:val="es-ES_tradnl"/>
        </w:rPr>
        <w:footnoteReference w:id="66"/>
      </w:r>
      <w:r w:rsidR="00A6482A" w:rsidRPr="00DF5BBF">
        <w:rPr>
          <w:rFonts w:ascii="Calibri" w:hAnsi="Calibri" w:cs="Calibri"/>
          <w:lang w:val="es-ES_tradnl"/>
        </w:rPr>
        <w:t>. Aclarando, a continuación, que para el Estado cubano “las personas o grupos que aceptan financiamiento del exterior para intentar subvertir el orden constitucional de su país de origen no merecen calificarse como defensores de derechos humanos”</w:t>
      </w:r>
      <w:r w:rsidR="00A6482A" w:rsidRPr="00DF5BBF">
        <w:rPr>
          <w:rStyle w:val="FootnoteReference"/>
          <w:rFonts w:ascii="Calibri" w:hAnsi="Calibri" w:cs="Calibri"/>
          <w:lang w:val="es-ES_tradnl"/>
        </w:rPr>
        <w:footnoteReference w:id="67"/>
      </w:r>
      <w:r w:rsidR="00A6482A" w:rsidRPr="00DF5BBF">
        <w:rPr>
          <w:rFonts w:ascii="Calibri" w:hAnsi="Calibri" w:cs="Calibri"/>
          <w:lang w:val="es-ES_tradnl"/>
        </w:rPr>
        <w:t>.</w:t>
      </w:r>
    </w:p>
    <w:p w14:paraId="2D661138" w14:textId="5B1863A6" w:rsidR="00A6482A" w:rsidRPr="00DF5BBF" w:rsidRDefault="00A6482A"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Es lamentable y hasta parece una burla que el Estado en ese mismo informe haya puesto como ejemplo de derechos de las personas defensoras de derechos humanos el hecho de que representantes de la sociedad civil cubana “viajaron libremente y no sufrieron ningún tipo de represalia, amenaza o ataque por su labor” durante la presentación del informe nacional ante este Honorable Comité</w:t>
      </w:r>
      <w:r w:rsidRPr="00DF5BBF">
        <w:rPr>
          <w:rStyle w:val="FootnoteReference"/>
          <w:rFonts w:ascii="Calibri" w:hAnsi="Calibri" w:cs="Calibri"/>
          <w:lang w:val="es-ES_tradnl"/>
        </w:rPr>
        <w:footnoteReference w:id="68"/>
      </w:r>
      <w:r w:rsidRPr="00DF5BBF">
        <w:rPr>
          <w:rFonts w:ascii="Calibri" w:hAnsi="Calibri" w:cs="Calibri"/>
          <w:lang w:val="es-ES_tradnl"/>
        </w:rPr>
        <w:t xml:space="preserve">. Vale recordar que Raza e Igualdad envió una nota dirigida a este Honorable Comité el 13 de agosto de 2018 advirtiendo sobre las represalias que había sufrido </w:t>
      </w:r>
      <w:r w:rsidR="00DF209E">
        <w:rPr>
          <w:rFonts w:ascii="Calibri" w:hAnsi="Calibri" w:cs="Calibri"/>
          <w:lang w:val="es-ES_tradnl"/>
        </w:rPr>
        <w:t>un defensor de derechos humanos</w:t>
      </w:r>
      <w:r w:rsidRPr="00DF5BBF">
        <w:rPr>
          <w:rFonts w:ascii="Calibri" w:hAnsi="Calibri" w:cs="Calibri"/>
          <w:lang w:val="es-ES_tradnl"/>
        </w:rPr>
        <w:t xml:space="preserve"> al intentar asistir a la revisión de Cuba que iba a tener lugar en esa semana. </w:t>
      </w:r>
    </w:p>
    <w:p w14:paraId="466AD1E8" w14:textId="77777777" w:rsidR="00A6482A" w:rsidRPr="00DF5BBF" w:rsidRDefault="00A6482A"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En su informe al presente proceso de revisión, el Estado se remite a su informe de seguimiento</w:t>
      </w:r>
      <w:r w:rsidRPr="00DF5BBF">
        <w:rPr>
          <w:rStyle w:val="FootnoteReference"/>
          <w:rFonts w:ascii="Calibri" w:hAnsi="Calibri" w:cs="Calibri"/>
          <w:lang w:val="es-ES_tradnl"/>
        </w:rPr>
        <w:footnoteReference w:id="69"/>
      </w:r>
      <w:r w:rsidRPr="00DF5BBF">
        <w:rPr>
          <w:rFonts w:ascii="Calibri" w:hAnsi="Calibri" w:cs="Calibri"/>
          <w:lang w:val="es-ES_tradnl"/>
        </w:rPr>
        <w:t xml:space="preserve"> y reitera que se protege el derecho a defender derechos humanos “sobre bases no politizadas ni selectivas”</w:t>
      </w:r>
      <w:r w:rsidRPr="00DF5BBF">
        <w:rPr>
          <w:rStyle w:val="FootnoteReference"/>
          <w:rFonts w:ascii="Calibri" w:hAnsi="Calibri" w:cs="Calibri"/>
          <w:lang w:val="es-ES_tradnl"/>
        </w:rPr>
        <w:footnoteReference w:id="70"/>
      </w:r>
      <w:r w:rsidRPr="00DF5BBF">
        <w:rPr>
          <w:rFonts w:ascii="Calibri" w:hAnsi="Calibri" w:cs="Calibri"/>
          <w:lang w:val="es-ES_tradnl"/>
        </w:rPr>
        <w:t xml:space="preserve">, reafirmando su postura respecto de la distinción </w:t>
      </w:r>
      <w:proofErr w:type="gramStart"/>
      <w:r w:rsidRPr="00DF5BBF">
        <w:rPr>
          <w:rFonts w:ascii="Calibri" w:hAnsi="Calibri" w:cs="Calibri"/>
          <w:lang w:val="es-ES_tradnl"/>
        </w:rPr>
        <w:t>en razón de</w:t>
      </w:r>
      <w:proofErr w:type="gramEnd"/>
      <w:r w:rsidRPr="00DF5BBF">
        <w:rPr>
          <w:rFonts w:ascii="Calibri" w:hAnsi="Calibri" w:cs="Calibri"/>
          <w:lang w:val="es-ES_tradnl"/>
        </w:rPr>
        <w:t xml:space="preserve"> la ideología política o lo que el Estado considera contrario a sus intereses. </w:t>
      </w:r>
    </w:p>
    <w:p w14:paraId="48ECC236" w14:textId="0B039384" w:rsidR="00A6482A" w:rsidRPr="00DF5BBF" w:rsidRDefault="00A6482A" w:rsidP="00DF5BBF">
      <w:pPr>
        <w:snapToGrid w:val="0"/>
        <w:spacing w:before="120" w:after="0" w:line="240" w:lineRule="auto"/>
        <w:jc w:val="both"/>
        <w:rPr>
          <w:rFonts w:ascii="Calibri" w:hAnsi="Calibri" w:cs="Calibri"/>
          <w:color w:val="000000"/>
        </w:rPr>
      </w:pPr>
      <w:r w:rsidRPr="00DF5BBF">
        <w:rPr>
          <w:rFonts w:ascii="Calibri" w:hAnsi="Calibri" w:cs="Calibri"/>
        </w:rPr>
        <w:t>La CIDH viene denunciando desde hace años sobre la represión que sufren las personas defensoras de derechos humanos afrodescendientes en Cuba</w:t>
      </w:r>
      <w:r w:rsidRPr="00DF5BBF">
        <w:rPr>
          <w:rStyle w:val="FootnoteReference"/>
          <w:rFonts w:ascii="Calibri" w:hAnsi="Calibri" w:cs="Calibri"/>
        </w:rPr>
        <w:footnoteReference w:id="71"/>
      </w:r>
      <w:r w:rsidRPr="00DF5BBF">
        <w:rPr>
          <w:rFonts w:ascii="Calibri" w:hAnsi="Calibri" w:cs="Calibri"/>
        </w:rPr>
        <w:t>. Recientemente ha informado que organizaciones de la sociedad civil denunciaron ante ella que las personas defensoras de derechos humanos afrodescendientes son acosadas por agentes de la seguridad del Estado al intentar reunirse pacíficamente y sufren detenciones arbitrarias, sin derecho a una defensa efectiva, y con mayor violencia por parte de las fuerzas policiales</w:t>
      </w:r>
      <w:r w:rsidRPr="00DF5BBF">
        <w:rPr>
          <w:rStyle w:val="FootnoteReference"/>
          <w:rFonts w:ascii="Calibri" w:hAnsi="Calibri" w:cs="Calibri"/>
        </w:rPr>
        <w:footnoteReference w:id="72"/>
      </w:r>
      <w:r w:rsidRPr="00DF5BBF">
        <w:rPr>
          <w:rFonts w:ascii="Calibri" w:hAnsi="Calibri" w:cs="Calibri"/>
        </w:rPr>
        <w:t>. A causa de la represión, organizaciones afrodescendientes de la sociedad civil han anunciado su disolución</w:t>
      </w:r>
      <w:r w:rsidRPr="00DF5BBF">
        <w:rPr>
          <w:rStyle w:val="FootnoteReference"/>
          <w:rFonts w:ascii="Calibri" w:hAnsi="Calibri" w:cs="Calibri"/>
          <w:lang w:val="es-ES_tradnl"/>
        </w:rPr>
        <w:footnoteReference w:id="73"/>
      </w:r>
      <w:r w:rsidRPr="00DF5BBF">
        <w:rPr>
          <w:rFonts w:ascii="Calibri" w:hAnsi="Calibri" w:cs="Calibri"/>
        </w:rPr>
        <w:t>. También activistas afrocubanos han sido despedidos de sus puestos de trabajo como represalia por haberse expresado en contra de la discriminación racial y la violación de derechos humanos</w:t>
      </w:r>
      <w:r w:rsidRPr="00DF5BBF">
        <w:rPr>
          <w:rStyle w:val="FootnoteReference"/>
          <w:rFonts w:ascii="Calibri" w:hAnsi="Calibri" w:cs="Calibri"/>
        </w:rPr>
        <w:footnoteReference w:id="74"/>
      </w:r>
      <w:r w:rsidRPr="00DF5BBF">
        <w:rPr>
          <w:rFonts w:ascii="Calibri" w:hAnsi="Calibri" w:cs="Calibri"/>
        </w:rPr>
        <w:t>.</w:t>
      </w:r>
    </w:p>
    <w:p w14:paraId="0FDF3D91" w14:textId="5095BD60" w:rsidR="009A5907" w:rsidRPr="00DF5BBF" w:rsidRDefault="00291FA3" w:rsidP="00DF5BBF">
      <w:pPr>
        <w:snapToGrid w:val="0"/>
        <w:spacing w:before="120" w:after="0" w:line="240" w:lineRule="auto"/>
        <w:jc w:val="both"/>
        <w:rPr>
          <w:rFonts w:ascii="Calibri" w:hAnsi="Calibri" w:cs="Calibri"/>
          <w:color w:val="000000"/>
        </w:rPr>
      </w:pPr>
      <w:r w:rsidRPr="00DF5BBF">
        <w:rPr>
          <w:rFonts w:ascii="Calibri" w:hAnsi="Calibri" w:cs="Calibri"/>
          <w:color w:val="000000"/>
        </w:rPr>
        <w:t>Continúa pendiente la recomendación 16 del Comité en cuanto a incluir en la Constitución “una definición y prohibición clara y explícita de la discriminación racial que reúna todos los requisitos y elementos contenidos en el artículo 1, párrafo 1, de la Convención, y que además contemple los actos de discriminación directa e indirecta”</w:t>
      </w:r>
      <w:r w:rsidRPr="00DF5BBF">
        <w:rPr>
          <w:rStyle w:val="FootnoteReference"/>
          <w:rFonts w:ascii="Calibri" w:hAnsi="Calibri" w:cs="Calibri"/>
        </w:rPr>
        <w:footnoteReference w:id="75"/>
      </w:r>
      <w:r w:rsidR="00A6482A" w:rsidRPr="00DF5BBF">
        <w:rPr>
          <w:rFonts w:ascii="Calibri" w:hAnsi="Calibri" w:cs="Calibri"/>
          <w:color w:val="000000"/>
        </w:rPr>
        <w:t>.</w:t>
      </w:r>
      <w:r w:rsidR="0070296D" w:rsidRPr="00DF5BBF">
        <w:rPr>
          <w:rFonts w:ascii="Calibri" w:hAnsi="Calibri" w:cs="Calibri"/>
          <w:color w:val="000000"/>
        </w:rPr>
        <w:t xml:space="preserve"> </w:t>
      </w:r>
    </w:p>
    <w:p w14:paraId="02498F4A" w14:textId="7660AD5A" w:rsidR="005E1783" w:rsidRPr="00DF5BBF" w:rsidRDefault="0006495C" w:rsidP="00DF5BBF">
      <w:pPr>
        <w:snapToGrid w:val="0"/>
        <w:spacing w:before="120" w:after="0" w:line="240" w:lineRule="auto"/>
        <w:jc w:val="both"/>
        <w:rPr>
          <w:rFonts w:ascii="Calibri" w:hAnsi="Calibri" w:cs="Calibri"/>
        </w:rPr>
      </w:pPr>
      <w:r w:rsidRPr="00DF5BBF">
        <w:rPr>
          <w:rFonts w:ascii="Calibri" w:hAnsi="Calibri" w:cs="Calibri"/>
          <w:color w:val="000000"/>
        </w:rPr>
        <w:lastRenderedPageBreak/>
        <w:t>Los párrafos 249 a</w:t>
      </w:r>
      <w:r w:rsidR="00E83552" w:rsidRPr="00DF5BBF">
        <w:rPr>
          <w:rFonts w:ascii="Calibri" w:hAnsi="Calibri" w:cs="Calibri"/>
          <w:color w:val="000000"/>
        </w:rPr>
        <w:t>l 263</w:t>
      </w:r>
      <w:r w:rsidRPr="00DF5BBF">
        <w:rPr>
          <w:rFonts w:ascii="Calibri" w:hAnsi="Calibri" w:cs="Calibri"/>
          <w:color w:val="000000"/>
        </w:rPr>
        <w:t xml:space="preserve"> del informe se refieren a la recomendación 20 del Comit</w:t>
      </w:r>
      <w:r w:rsidR="003C1E91" w:rsidRPr="00DF5BBF">
        <w:rPr>
          <w:rFonts w:ascii="Calibri" w:hAnsi="Calibri" w:cs="Calibri"/>
          <w:color w:val="000000"/>
        </w:rPr>
        <w:t>é en cuanto a</w:t>
      </w:r>
      <w:r w:rsidRPr="00DF5BBF">
        <w:rPr>
          <w:rFonts w:ascii="Calibri" w:hAnsi="Calibri" w:cs="Calibri"/>
        </w:rPr>
        <w:t xml:space="preserve"> </w:t>
      </w:r>
      <w:r w:rsidR="00265F08" w:rsidRPr="00DF5BBF">
        <w:rPr>
          <w:rFonts w:ascii="Calibri" w:hAnsi="Calibri" w:cs="Calibri"/>
        </w:rPr>
        <w:t>“</w:t>
      </w:r>
      <w:r w:rsidRPr="00DF5BBF">
        <w:rPr>
          <w:rFonts w:ascii="Calibri" w:hAnsi="Calibri" w:cs="Calibri"/>
        </w:rPr>
        <w:t>la elaboración del plan nacional para la erradicación de todas las formas de discriminación racial, asegurando que el mismo contenga metas claras y específicas, mecanismos de evaluación de sus resultados y prevea la asignación de los recursos humanos, técnicos y financieros necesarios para su implementación efectiva</w:t>
      </w:r>
      <w:r w:rsidR="00265F08" w:rsidRPr="00DF5BBF">
        <w:rPr>
          <w:rFonts w:ascii="Calibri" w:hAnsi="Calibri" w:cs="Calibri"/>
        </w:rPr>
        <w:t>”</w:t>
      </w:r>
      <w:r w:rsidR="004E234B" w:rsidRPr="00DF5BBF">
        <w:rPr>
          <w:rStyle w:val="FootnoteReference"/>
          <w:rFonts w:ascii="Calibri" w:hAnsi="Calibri" w:cs="Calibri"/>
        </w:rPr>
        <w:footnoteReference w:id="76"/>
      </w:r>
      <w:r w:rsidR="00A6482A" w:rsidRPr="00DF5BBF">
        <w:rPr>
          <w:rFonts w:ascii="Calibri" w:hAnsi="Calibri" w:cs="Calibri"/>
        </w:rPr>
        <w:t>.</w:t>
      </w:r>
      <w:r w:rsidR="00937450" w:rsidRPr="00DF5BBF">
        <w:rPr>
          <w:rFonts w:ascii="Calibri" w:hAnsi="Calibri" w:cs="Calibri"/>
        </w:rPr>
        <w:t xml:space="preserve"> </w:t>
      </w:r>
      <w:r w:rsidR="00A6482A" w:rsidRPr="00DF5BBF">
        <w:rPr>
          <w:rFonts w:ascii="Calibri" w:hAnsi="Calibri" w:cs="Calibri"/>
        </w:rPr>
        <w:t xml:space="preserve">Sobre el </w:t>
      </w:r>
      <w:r w:rsidR="00A6482A" w:rsidRPr="00DF5BBF">
        <w:rPr>
          <w:rFonts w:ascii="Calibri" w:hAnsi="Calibri" w:cs="Calibri"/>
          <w:lang w:val="es-ES_tradnl"/>
        </w:rPr>
        <w:t>Programa Nacional contra el Racismo y la Discriminación Racial ya se hizo referencia ut supra y se destacó cómo la CIDH advirtió que en su elaboración no se tuvo en cuenta la participación de organizaciones independientes de la sociedad civil interesadas en el campo, a la vez que se elaboró sobre la base de un diagnóstico incompleto, en especial, en cuanto a las condiciones de vida y de empleabilidad de las personas afrodescendientes</w:t>
      </w:r>
      <w:r w:rsidR="00A6482A" w:rsidRPr="00DF5BBF">
        <w:rPr>
          <w:rStyle w:val="FootnoteReference"/>
          <w:rFonts w:ascii="Calibri" w:hAnsi="Calibri" w:cs="Calibri"/>
          <w:lang w:val="es-ES_tradnl"/>
        </w:rPr>
        <w:footnoteReference w:id="77"/>
      </w:r>
      <w:r w:rsidR="00A6482A" w:rsidRPr="00DF5BBF">
        <w:rPr>
          <w:rFonts w:ascii="Calibri" w:hAnsi="Calibri" w:cs="Calibri"/>
          <w:lang w:val="es-ES_tradnl"/>
        </w:rPr>
        <w:t>.</w:t>
      </w:r>
    </w:p>
    <w:p w14:paraId="5B0AB26B" w14:textId="13F273C2" w:rsidR="00742EB4" w:rsidRPr="00DF5BBF" w:rsidRDefault="009E6583"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rPr>
        <w:t xml:space="preserve">Los párrafos 264 al 268 del informe, abordan </w:t>
      </w:r>
      <w:r w:rsidR="00A0647E" w:rsidRPr="00DF5BBF">
        <w:rPr>
          <w:rFonts w:ascii="Calibri" w:hAnsi="Calibri" w:cs="Calibri"/>
          <w:color w:val="000000"/>
        </w:rPr>
        <w:t>la recomendación 22 del Comité</w:t>
      </w:r>
      <w:r w:rsidR="00742EB4" w:rsidRPr="00DF5BBF">
        <w:rPr>
          <w:rFonts w:ascii="Calibri" w:hAnsi="Calibri" w:cs="Calibri"/>
          <w:color w:val="000000"/>
        </w:rPr>
        <w:t xml:space="preserve"> sobre </w:t>
      </w:r>
      <w:r w:rsidR="00742EB4" w:rsidRPr="00DF5BBF">
        <w:rPr>
          <w:rFonts w:ascii="Calibri" w:hAnsi="Calibri" w:cs="Calibri"/>
          <w:color w:val="000000"/>
          <w:lang w:eastAsia="en-GB"/>
        </w:rPr>
        <w:t xml:space="preserve">la ausencia de procesos judiciales y sentencias </w:t>
      </w:r>
      <w:r w:rsidR="00742EB4" w:rsidRPr="00DF5BBF">
        <w:rPr>
          <w:rFonts w:ascii="Calibri" w:hAnsi="Calibri" w:cs="Calibri"/>
        </w:rPr>
        <w:t>condenatorias</w:t>
      </w:r>
      <w:r w:rsidR="00742EB4" w:rsidRPr="00DF5BBF">
        <w:rPr>
          <w:rFonts w:ascii="Calibri" w:hAnsi="Calibri" w:cs="Calibri"/>
          <w:color w:val="000000"/>
          <w:lang w:eastAsia="en-GB"/>
        </w:rPr>
        <w:t xml:space="preserve"> por actos relativos a discriminación racial</w:t>
      </w:r>
      <w:r w:rsidR="004E0A06" w:rsidRPr="00DF5BBF">
        <w:rPr>
          <w:rFonts w:ascii="Calibri" w:hAnsi="Calibri" w:cs="Calibri"/>
          <w:color w:val="000000"/>
          <w:lang w:eastAsia="en-GB"/>
        </w:rPr>
        <w:t xml:space="preserve"> y </w:t>
      </w:r>
      <w:r w:rsidR="00CC7FEA" w:rsidRPr="00DF5BBF">
        <w:rPr>
          <w:rFonts w:ascii="Calibri" w:hAnsi="Calibri" w:cs="Calibri"/>
          <w:color w:val="000000"/>
          <w:lang w:eastAsia="en-GB"/>
        </w:rPr>
        <w:t>las medidas a tomar al respecto, las cuales no fueron cumplidas por el gobierno</w:t>
      </w:r>
      <w:r w:rsidR="002606B5" w:rsidRPr="00DF5BBF">
        <w:rPr>
          <w:rStyle w:val="FootnoteReference"/>
          <w:rFonts w:ascii="Calibri" w:hAnsi="Calibri" w:cs="Calibri"/>
          <w:color w:val="000000"/>
          <w:lang w:eastAsia="en-GB"/>
        </w:rPr>
        <w:footnoteReference w:id="78"/>
      </w:r>
      <w:r w:rsidR="00A6482A" w:rsidRPr="00DF5BBF">
        <w:rPr>
          <w:rFonts w:ascii="Calibri" w:hAnsi="Calibri" w:cs="Calibri"/>
          <w:color w:val="000000"/>
          <w:lang w:eastAsia="en-GB"/>
        </w:rPr>
        <w:t>.</w:t>
      </w:r>
    </w:p>
    <w:p w14:paraId="446B96FA" w14:textId="33BA8F0F" w:rsidR="003F44A2" w:rsidRPr="00DF5BBF" w:rsidRDefault="00A6482A"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Los p</w:t>
      </w:r>
      <w:r w:rsidR="00430FA9" w:rsidRPr="00DF5BBF">
        <w:rPr>
          <w:rFonts w:ascii="Calibri" w:hAnsi="Calibri" w:cs="Calibri"/>
          <w:color w:val="000000"/>
          <w:lang w:eastAsia="en-GB"/>
        </w:rPr>
        <w:t>árrafos 269 al 281</w:t>
      </w:r>
      <w:r w:rsidR="00CC7FA0" w:rsidRPr="00DF5BBF">
        <w:rPr>
          <w:rFonts w:ascii="Calibri" w:hAnsi="Calibri" w:cs="Calibri"/>
          <w:color w:val="000000"/>
          <w:lang w:eastAsia="en-GB"/>
        </w:rPr>
        <w:t xml:space="preserve"> abordan </w:t>
      </w:r>
      <w:r w:rsidR="00A7184D" w:rsidRPr="00DF5BBF">
        <w:rPr>
          <w:rFonts w:ascii="Calibri" w:hAnsi="Calibri" w:cs="Calibri"/>
          <w:color w:val="000000"/>
          <w:lang w:eastAsia="en-GB"/>
        </w:rPr>
        <w:t>la población penitenciaria.</w:t>
      </w:r>
      <w:r w:rsidR="00873D53" w:rsidRPr="00DF5BBF">
        <w:rPr>
          <w:rFonts w:ascii="Calibri" w:hAnsi="Calibri" w:cs="Calibri"/>
          <w:color w:val="000000"/>
          <w:lang w:eastAsia="en-GB"/>
        </w:rPr>
        <w:t xml:space="preserve"> Como se aprecia por las estadísticas oficiales, está </w:t>
      </w:r>
      <w:r w:rsidR="00301995" w:rsidRPr="00DF5BBF">
        <w:rPr>
          <w:rFonts w:ascii="Calibri" w:hAnsi="Calibri" w:cs="Calibri"/>
          <w:color w:val="000000"/>
          <w:lang w:eastAsia="en-GB"/>
        </w:rPr>
        <w:t>sobrerrepresentada</w:t>
      </w:r>
      <w:r w:rsidR="008E0F8B" w:rsidRPr="00DF5BBF">
        <w:rPr>
          <w:rFonts w:ascii="Calibri" w:hAnsi="Calibri" w:cs="Calibri"/>
          <w:color w:val="000000"/>
          <w:lang w:eastAsia="en-GB"/>
        </w:rPr>
        <w:t xml:space="preserve"> la población afrodescendiente, reflejan</w:t>
      </w:r>
      <w:r w:rsidR="00AC254D" w:rsidRPr="00DF5BBF">
        <w:rPr>
          <w:rFonts w:ascii="Calibri" w:hAnsi="Calibri" w:cs="Calibri"/>
          <w:color w:val="000000"/>
          <w:lang w:eastAsia="en-GB"/>
        </w:rPr>
        <w:t>do la brecha cultural existente</w:t>
      </w:r>
      <w:r w:rsidR="00BC0E4B" w:rsidRPr="00DF5BBF">
        <w:rPr>
          <w:rFonts w:ascii="Calibri" w:hAnsi="Calibri" w:cs="Calibri"/>
          <w:color w:val="000000"/>
          <w:lang w:eastAsia="en-GB"/>
        </w:rPr>
        <w:t>, sin que se explique la metodología empleada para obtener la clasificación.</w:t>
      </w:r>
      <w:r w:rsidR="00ED2C60" w:rsidRPr="00DF5BBF">
        <w:rPr>
          <w:rFonts w:ascii="Calibri" w:hAnsi="Calibri" w:cs="Calibri"/>
          <w:color w:val="000000"/>
          <w:lang w:eastAsia="en-GB"/>
        </w:rPr>
        <w:t xml:space="preserve"> </w:t>
      </w:r>
    </w:p>
    <w:p w14:paraId="1C482274" w14:textId="77777777" w:rsidR="007A356F" w:rsidRPr="00DF5BBF" w:rsidRDefault="002474FD"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L</w:t>
      </w:r>
      <w:r w:rsidR="004210F5" w:rsidRPr="00DF5BBF">
        <w:rPr>
          <w:rFonts w:ascii="Calibri" w:hAnsi="Calibri" w:cs="Calibri"/>
          <w:color w:val="000000"/>
          <w:lang w:eastAsia="en-GB"/>
        </w:rPr>
        <w:t xml:space="preserve">os párrafos 282 al </w:t>
      </w:r>
      <w:r w:rsidR="00142947" w:rsidRPr="00DF5BBF">
        <w:rPr>
          <w:rFonts w:ascii="Calibri" w:hAnsi="Calibri" w:cs="Calibri"/>
          <w:color w:val="000000"/>
          <w:lang w:eastAsia="en-GB"/>
        </w:rPr>
        <w:t xml:space="preserve">284 del reiterado </w:t>
      </w:r>
      <w:r w:rsidR="00683B25" w:rsidRPr="00DF5BBF">
        <w:rPr>
          <w:rFonts w:ascii="Calibri" w:hAnsi="Calibri" w:cs="Calibri"/>
          <w:color w:val="000000"/>
          <w:lang w:eastAsia="en-GB"/>
        </w:rPr>
        <w:t>informe, tratan</w:t>
      </w:r>
      <w:r w:rsidRPr="00DF5BBF">
        <w:rPr>
          <w:rFonts w:ascii="Calibri" w:hAnsi="Calibri" w:cs="Calibri"/>
          <w:color w:val="000000"/>
          <w:lang w:eastAsia="en-GB"/>
        </w:rPr>
        <w:t xml:space="preserve"> sobre</w:t>
      </w:r>
      <w:r w:rsidR="00635E44" w:rsidRPr="00DF5BBF">
        <w:rPr>
          <w:rFonts w:ascii="Calibri" w:hAnsi="Calibri" w:cs="Calibri"/>
          <w:color w:val="000000"/>
          <w:lang w:eastAsia="en-GB"/>
        </w:rPr>
        <w:t xml:space="preserve"> la discriminación a las mujeres afr</w:t>
      </w:r>
      <w:r w:rsidR="00683B25" w:rsidRPr="00DF5BBF">
        <w:rPr>
          <w:rFonts w:ascii="Calibri" w:hAnsi="Calibri" w:cs="Calibri"/>
          <w:color w:val="000000"/>
          <w:lang w:eastAsia="en-GB"/>
        </w:rPr>
        <w:t>o</w:t>
      </w:r>
      <w:r w:rsidR="00635E44" w:rsidRPr="00DF5BBF">
        <w:rPr>
          <w:rFonts w:ascii="Calibri" w:hAnsi="Calibri" w:cs="Calibri"/>
          <w:color w:val="000000"/>
          <w:lang w:eastAsia="en-GB"/>
        </w:rPr>
        <w:t>descendientes.</w:t>
      </w:r>
      <w:r w:rsidR="00DA356A" w:rsidRPr="00DF5BBF">
        <w:rPr>
          <w:rFonts w:ascii="Calibri" w:hAnsi="Calibri" w:cs="Calibri"/>
          <w:color w:val="000000"/>
          <w:lang w:eastAsia="en-GB"/>
        </w:rPr>
        <w:t xml:space="preserve"> Las</w:t>
      </w:r>
      <w:r w:rsidR="00A6482A" w:rsidRPr="00DF5BBF">
        <w:rPr>
          <w:rFonts w:ascii="Calibri" w:hAnsi="Calibri" w:cs="Calibri"/>
          <w:color w:val="000000"/>
          <w:lang w:eastAsia="en-GB"/>
        </w:rPr>
        <w:t xml:space="preserve"> mujeres</w:t>
      </w:r>
      <w:r w:rsidR="00DA356A" w:rsidRPr="00DF5BBF">
        <w:rPr>
          <w:rFonts w:ascii="Calibri" w:hAnsi="Calibri" w:cs="Calibri"/>
          <w:color w:val="000000"/>
          <w:lang w:eastAsia="en-GB"/>
        </w:rPr>
        <w:t xml:space="preserve"> afrodescendientes llevan la peor parte de la discriminación racial, incluso los feminicidios afectan en peor medida a las afrodescendientes por convivir en condiciones de marginalidad.</w:t>
      </w:r>
      <w:r w:rsidR="00043886" w:rsidRPr="00DF5BBF">
        <w:rPr>
          <w:rFonts w:ascii="Calibri" w:hAnsi="Calibri" w:cs="Calibri"/>
          <w:color w:val="000000"/>
          <w:lang w:eastAsia="en-GB"/>
        </w:rPr>
        <w:t xml:space="preserve"> El gobierno no ofrece estadísticas sobre estos feminicidios.</w:t>
      </w:r>
      <w:r w:rsidR="00165BE7" w:rsidRPr="00DF5BBF">
        <w:rPr>
          <w:rFonts w:ascii="Calibri" w:hAnsi="Calibri" w:cs="Calibri"/>
          <w:color w:val="000000"/>
          <w:lang w:eastAsia="en-GB"/>
        </w:rPr>
        <w:t xml:space="preserve"> Según el Observatorio de Género Alas Tensas, en los 48 casos de feminicidios verificados en Cuba durante el 2025, el análisis interseccional arrojó una </w:t>
      </w:r>
      <w:r w:rsidR="009A235D" w:rsidRPr="00DF5BBF">
        <w:rPr>
          <w:rFonts w:ascii="Calibri" w:hAnsi="Calibri" w:cs="Calibri"/>
          <w:color w:val="000000"/>
          <w:lang w:eastAsia="en-GB"/>
        </w:rPr>
        <w:t xml:space="preserve">sobrerrepresentación de mujeres afrodescendientes. En 46 casos fue posible identificar el color de la piel, 22 correspondieron a mujeres afrodescendientes (45,8%) y 24 a mujeres blancas </w:t>
      </w:r>
      <w:r w:rsidR="003101AC" w:rsidRPr="00DF5BBF">
        <w:rPr>
          <w:rFonts w:ascii="Calibri" w:hAnsi="Calibri" w:cs="Calibri"/>
          <w:color w:val="000000"/>
          <w:lang w:eastAsia="en-GB"/>
        </w:rPr>
        <w:t>(50%), mientras que en dos casos (4,2%) esta variable no pudo ser determinada</w:t>
      </w:r>
      <w:r w:rsidR="00121B76" w:rsidRPr="00DF5BBF">
        <w:rPr>
          <w:rStyle w:val="FootnoteReference"/>
          <w:rFonts w:ascii="Calibri" w:hAnsi="Calibri" w:cs="Calibri"/>
          <w:color w:val="000000"/>
          <w:lang w:eastAsia="en-GB"/>
        </w:rPr>
        <w:footnoteReference w:id="79"/>
      </w:r>
      <w:r w:rsidR="007A356F" w:rsidRPr="00DF5BBF">
        <w:rPr>
          <w:rFonts w:ascii="Calibri" w:hAnsi="Calibri" w:cs="Calibri"/>
          <w:color w:val="000000"/>
          <w:lang w:eastAsia="en-GB"/>
        </w:rPr>
        <w:t>.</w:t>
      </w:r>
      <w:r w:rsidR="005119BD" w:rsidRPr="00DF5BBF">
        <w:rPr>
          <w:rFonts w:ascii="Calibri" w:hAnsi="Calibri" w:cs="Calibri"/>
          <w:color w:val="000000"/>
          <w:lang w:eastAsia="en-GB"/>
        </w:rPr>
        <w:t xml:space="preserve"> </w:t>
      </w:r>
    </w:p>
    <w:p w14:paraId="297FA673" w14:textId="3174C7A8" w:rsidR="007A356F" w:rsidRPr="00DF5BBF" w:rsidRDefault="007A356F"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Sobre este tema, la CIDH advirtió sobre la ausencia de políticas públicas y legislación especializada para combatir la violencia contra las mujeres en el país y de datos estadísticos oficiales y actualizados sobre este tipo de violencia</w:t>
      </w:r>
      <w:r w:rsidRPr="00DF5BBF">
        <w:rPr>
          <w:rStyle w:val="FootnoteReference"/>
          <w:rFonts w:ascii="Calibri" w:hAnsi="Calibri" w:cs="Calibri"/>
          <w:color w:val="000000"/>
          <w:lang w:eastAsia="en-GB"/>
        </w:rPr>
        <w:footnoteReference w:id="80"/>
      </w:r>
      <w:r w:rsidRPr="00DF5BBF">
        <w:rPr>
          <w:rFonts w:ascii="Calibri" w:hAnsi="Calibri" w:cs="Calibri"/>
          <w:color w:val="000000"/>
          <w:lang w:eastAsia="en-GB"/>
        </w:rPr>
        <w:t>.</w:t>
      </w:r>
    </w:p>
    <w:p w14:paraId="6E8BD912" w14:textId="3C3F17A2" w:rsidR="002A167C" w:rsidRPr="00DF5BBF" w:rsidRDefault="005119BD"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Un diagnóstico de 2024 de la oficina en Cuba de la Facultad Latinoamericana de Ciencias Sociales, Flacso Cuba, con m</w:t>
      </w:r>
      <w:r w:rsidR="00F84079" w:rsidRPr="00DF5BBF">
        <w:rPr>
          <w:rFonts w:ascii="Calibri" w:hAnsi="Calibri" w:cs="Calibri"/>
          <w:color w:val="000000"/>
          <w:lang w:eastAsia="en-GB"/>
        </w:rPr>
        <w:t>ujeres negras y mulatas de La Habana, reflejó que 82,6% está afectada por problemas ambientales de su municipio como microvertederos, salideros y contaminación acústica</w:t>
      </w:r>
      <w:r w:rsidR="00D3603C" w:rsidRPr="00DF5BBF">
        <w:rPr>
          <w:rStyle w:val="FootnoteReference"/>
          <w:rFonts w:ascii="Calibri" w:hAnsi="Calibri" w:cs="Calibri"/>
          <w:color w:val="000000"/>
          <w:lang w:eastAsia="en-GB"/>
        </w:rPr>
        <w:footnoteReference w:id="81"/>
      </w:r>
      <w:r w:rsidR="007A356F" w:rsidRPr="00DF5BBF">
        <w:rPr>
          <w:rFonts w:ascii="Calibri" w:hAnsi="Calibri" w:cs="Calibri"/>
          <w:color w:val="000000"/>
          <w:lang w:eastAsia="en-GB"/>
        </w:rPr>
        <w:t>. También la CIDH advirtió que existe una precarización de los derechos económicos, sociales, culturales y ambientales, con impactos diferenciados en mujeres y personas mayores afrodescendientes</w:t>
      </w:r>
      <w:r w:rsidR="007A356F" w:rsidRPr="00DF5BBF">
        <w:rPr>
          <w:rStyle w:val="FootnoteReference"/>
          <w:rFonts w:ascii="Calibri" w:hAnsi="Calibri" w:cs="Calibri"/>
          <w:color w:val="000000"/>
          <w:lang w:eastAsia="en-GB"/>
        </w:rPr>
        <w:footnoteReference w:id="82"/>
      </w:r>
      <w:r w:rsidR="007A356F" w:rsidRPr="00DF5BBF">
        <w:rPr>
          <w:rFonts w:ascii="Calibri" w:hAnsi="Calibri" w:cs="Calibri"/>
          <w:color w:val="000000"/>
          <w:lang w:eastAsia="en-GB"/>
        </w:rPr>
        <w:t xml:space="preserve">. En particular, destacó que las mujeres negras y mestizas con VIH/Sida y/o tuberculosis tendrían una esperanza de vida mucho menor que el resto de la población, como consecuencia de la intersección de múltiples factores de </w:t>
      </w:r>
      <w:r w:rsidR="007A356F" w:rsidRPr="00DF5BBF">
        <w:rPr>
          <w:rFonts w:ascii="Calibri" w:hAnsi="Calibri" w:cs="Calibri"/>
          <w:color w:val="000000"/>
          <w:lang w:eastAsia="en-GB"/>
        </w:rPr>
        <w:lastRenderedPageBreak/>
        <w:t>discriminación, al tiempo que seguirían sobrerrepresentadas en trabajos no remunerados y reportando baja escolaridad</w:t>
      </w:r>
      <w:r w:rsidR="007A356F" w:rsidRPr="00DF5BBF">
        <w:rPr>
          <w:rStyle w:val="FootnoteReference"/>
          <w:rFonts w:ascii="Calibri" w:hAnsi="Calibri" w:cs="Calibri"/>
          <w:color w:val="000000"/>
          <w:lang w:eastAsia="en-GB"/>
        </w:rPr>
        <w:footnoteReference w:id="83"/>
      </w:r>
      <w:r w:rsidR="007A356F" w:rsidRPr="00DF5BBF">
        <w:rPr>
          <w:rFonts w:ascii="Calibri" w:hAnsi="Calibri" w:cs="Calibri"/>
          <w:color w:val="000000"/>
          <w:lang w:eastAsia="en-GB"/>
        </w:rPr>
        <w:t>.</w:t>
      </w:r>
    </w:p>
    <w:p w14:paraId="06138918" w14:textId="2B376975" w:rsidR="00A04EAA" w:rsidRPr="00DF5BBF" w:rsidRDefault="00846663"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Los párrafos 285 y 286 tratan el tema de la migración irregular de haitianos a las costas cubanas, en tránsito hacia los Estados Unidos.</w:t>
      </w:r>
      <w:r w:rsidR="00FF1E43" w:rsidRPr="00DF5BBF">
        <w:rPr>
          <w:rFonts w:ascii="Calibri" w:hAnsi="Calibri" w:cs="Calibri"/>
          <w:color w:val="000000"/>
          <w:lang w:eastAsia="en-GB"/>
        </w:rPr>
        <w:t xml:space="preserve"> Persiste el incumplimiento de las recomendaciones del Comité, en cuanto a eliminar el delito de entrada ilegal en el territorio nacional, que continúa inamovible en el artículo </w:t>
      </w:r>
      <w:r w:rsidR="007B2D4D" w:rsidRPr="00DF5BBF">
        <w:rPr>
          <w:rFonts w:ascii="Calibri" w:hAnsi="Calibri" w:cs="Calibri"/>
          <w:color w:val="000000"/>
          <w:lang w:eastAsia="en-GB"/>
        </w:rPr>
        <w:t>282 del Código Penal</w:t>
      </w:r>
      <w:r w:rsidR="00B82B86" w:rsidRPr="00DF5BBF">
        <w:rPr>
          <w:rStyle w:val="FootnoteReference"/>
          <w:rFonts w:ascii="Calibri" w:hAnsi="Calibri" w:cs="Calibri"/>
          <w:color w:val="000000"/>
          <w:lang w:eastAsia="en-GB"/>
        </w:rPr>
        <w:footnoteReference w:id="84"/>
      </w:r>
      <w:r w:rsidR="00C961CA" w:rsidRPr="00DF5BBF">
        <w:rPr>
          <w:rFonts w:ascii="Calibri" w:hAnsi="Calibri" w:cs="Calibri"/>
          <w:color w:val="000000"/>
          <w:lang w:eastAsia="en-GB"/>
        </w:rPr>
        <w:t>.</w:t>
      </w:r>
    </w:p>
    <w:p w14:paraId="560ABFD0" w14:textId="77777777" w:rsidR="00C961CA" w:rsidRPr="00DF5BBF" w:rsidRDefault="00CF1458"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Los párrafos 287 al 292 abordan la trata de personas.</w:t>
      </w:r>
      <w:r w:rsidR="00BB598E" w:rsidRPr="00DF5BBF">
        <w:rPr>
          <w:rFonts w:ascii="Calibri" w:hAnsi="Calibri" w:cs="Calibri"/>
          <w:color w:val="000000"/>
          <w:lang w:eastAsia="en-GB"/>
        </w:rPr>
        <w:t xml:space="preserve"> </w:t>
      </w:r>
      <w:r w:rsidR="00C961CA" w:rsidRPr="00DF5BBF">
        <w:rPr>
          <w:rFonts w:ascii="Calibri" w:hAnsi="Calibri" w:cs="Calibri"/>
          <w:color w:val="000000"/>
          <w:lang w:eastAsia="en-GB"/>
        </w:rPr>
        <w:t>El Estad</w:t>
      </w:r>
      <w:r w:rsidR="00BB598E" w:rsidRPr="00DF5BBF">
        <w:rPr>
          <w:rFonts w:ascii="Calibri" w:hAnsi="Calibri" w:cs="Calibri"/>
          <w:color w:val="000000"/>
          <w:lang w:eastAsia="en-GB"/>
        </w:rPr>
        <w:t>o</w:t>
      </w:r>
      <w:r w:rsidR="00C961CA" w:rsidRPr="00DF5BBF">
        <w:rPr>
          <w:rFonts w:ascii="Calibri" w:hAnsi="Calibri" w:cs="Calibri"/>
          <w:color w:val="000000"/>
          <w:lang w:eastAsia="en-GB"/>
        </w:rPr>
        <w:t xml:space="preserve"> no</w:t>
      </w:r>
      <w:r w:rsidR="00BB598E" w:rsidRPr="00DF5BBF">
        <w:rPr>
          <w:rFonts w:ascii="Calibri" w:hAnsi="Calibri" w:cs="Calibri"/>
          <w:color w:val="000000"/>
          <w:lang w:eastAsia="en-GB"/>
        </w:rPr>
        <w:t xml:space="preserve"> cumpl</w:t>
      </w:r>
      <w:r w:rsidR="00C961CA" w:rsidRPr="00DF5BBF">
        <w:rPr>
          <w:rFonts w:ascii="Calibri" w:hAnsi="Calibri" w:cs="Calibri"/>
          <w:color w:val="000000"/>
          <w:lang w:eastAsia="en-GB"/>
        </w:rPr>
        <w:t>ió</w:t>
      </w:r>
      <w:r w:rsidR="00BB598E" w:rsidRPr="00DF5BBF">
        <w:rPr>
          <w:rFonts w:ascii="Calibri" w:hAnsi="Calibri" w:cs="Calibri"/>
          <w:color w:val="000000"/>
          <w:lang w:eastAsia="en-GB"/>
        </w:rPr>
        <w:t xml:space="preserve"> con la recomendación del Comité en cuanto a incluir “información desglosada por sexo, edad, grupo étnico y nacionalidad de las víctimas, y sobre el número de investigaciones, condenas y penas impuestas en casos de trata de seres humanos con fines de explotación laboral o sexual”</w:t>
      </w:r>
      <w:r w:rsidR="00131CB1" w:rsidRPr="00DF5BBF">
        <w:rPr>
          <w:rStyle w:val="FootnoteReference"/>
          <w:rFonts w:ascii="Calibri" w:hAnsi="Calibri" w:cs="Calibri"/>
          <w:color w:val="000000"/>
          <w:lang w:eastAsia="en-GB"/>
        </w:rPr>
        <w:footnoteReference w:id="85"/>
      </w:r>
      <w:r w:rsidR="00C961CA" w:rsidRPr="00DF5BBF">
        <w:rPr>
          <w:rFonts w:ascii="Calibri" w:hAnsi="Calibri" w:cs="Calibri"/>
          <w:color w:val="000000"/>
          <w:lang w:eastAsia="en-GB"/>
        </w:rPr>
        <w:t xml:space="preserve">. </w:t>
      </w:r>
    </w:p>
    <w:p w14:paraId="6E9B4AAD" w14:textId="77777777" w:rsidR="00C961CA" w:rsidRPr="00DF5BBF" w:rsidRDefault="00D36B71"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L</w:t>
      </w:r>
      <w:r w:rsidR="00CF798D" w:rsidRPr="00DF5BBF">
        <w:rPr>
          <w:rFonts w:ascii="Calibri" w:hAnsi="Calibri" w:cs="Calibri"/>
          <w:color w:val="000000"/>
          <w:lang w:eastAsia="en-GB"/>
        </w:rPr>
        <w:t>os párrafos 2</w:t>
      </w:r>
      <w:r w:rsidR="00A92BA9" w:rsidRPr="00DF5BBF">
        <w:rPr>
          <w:rFonts w:ascii="Calibri" w:hAnsi="Calibri" w:cs="Calibri"/>
          <w:color w:val="000000"/>
          <w:lang w:eastAsia="en-GB"/>
        </w:rPr>
        <w:t>93 al 301 del informe, se refiere</w:t>
      </w:r>
      <w:r w:rsidRPr="00DF5BBF">
        <w:rPr>
          <w:rFonts w:ascii="Calibri" w:hAnsi="Calibri" w:cs="Calibri"/>
          <w:color w:val="000000"/>
          <w:lang w:eastAsia="en-GB"/>
        </w:rPr>
        <w:t>n</w:t>
      </w:r>
      <w:r w:rsidR="00A92BA9" w:rsidRPr="00DF5BBF">
        <w:rPr>
          <w:rFonts w:ascii="Calibri" w:hAnsi="Calibri" w:cs="Calibri"/>
          <w:color w:val="000000"/>
          <w:lang w:eastAsia="en-GB"/>
        </w:rPr>
        <w:t xml:space="preserve"> a la recomendación 32 del Comité</w:t>
      </w:r>
      <w:r w:rsidR="00A92BA9" w:rsidRPr="00DF5BBF">
        <w:rPr>
          <w:rStyle w:val="FootnoteReference"/>
          <w:rFonts w:ascii="Calibri" w:hAnsi="Calibri" w:cs="Calibri"/>
          <w:color w:val="000000"/>
          <w:lang w:eastAsia="en-GB"/>
        </w:rPr>
        <w:footnoteReference w:id="86"/>
      </w:r>
      <w:r w:rsidR="00B537EA" w:rsidRPr="00DF5BBF">
        <w:rPr>
          <w:rFonts w:ascii="Calibri" w:hAnsi="Calibri" w:cs="Calibri"/>
          <w:color w:val="000000"/>
          <w:lang w:eastAsia="en-GB"/>
        </w:rPr>
        <w:t xml:space="preserve"> en cuanto al uso excesivo de la fuerza contra la población afrodescendiente</w:t>
      </w:r>
      <w:r w:rsidR="005D6BFD" w:rsidRPr="00DF5BBF">
        <w:rPr>
          <w:rFonts w:ascii="Calibri" w:hAnsi="Calibri" w:cs="Calibri"/>
          <w:color w:val="000000"/>
          <w:lang w:eastAsia="en-GB"/>
        </w:rPr>
        <w:t>, la investigación exhaustiva de esto</w:t>
      </w:r>
      <w:r w:rsidR="0099472B" w:rsidRPr="00DF5BBF">
        <w:rPr>
          <w:rFonts w:ascii="Calibri" w:hAnsi="Calibri" w:cs="Calibri"/>
          <w:color w:val="000000"/>
          <w:lang w:eastAsia="en-GB"/>
        </w:rPr>
        <w:t xml:space="preserve">s hechos y la indemnización de </w:t>
      </w:r>
      <w:r w:rsidR="005D6BFD" w:rsidRPr="00DF5BBF">
        <w:rPr>
          <w:rFonts w:ascii="Calibri" w:hAnsi="Calibri" w:cs="Calibri"/>
          <w:color w:val="000000"/>
          <w:lang w:eastAsia="en-GB"/>
        </w:rPr>
        <w:t xml:space="preserve">las víctimas. </w:t>
      </w:r>
      <w:r w:rsidR="00C961CA" w:rsidRPr="00DF5BBF">
        <w:rPr>
          <w:rFonts w:ascii="Calibri" w:hAnsi="Calibri" w:cs="Calibri"/>
          <w:color w:val="000000"/>
          <w:lang w:eastAsia="en-GB"/>
        </w:rPr>
        <w:t>Este tema ya fue abordado ut supra.</w:t>
      </w:r>
    </w:p>
    <w:p w14:paraId="4419B8F5" w14:textId="40B742B1" w:rsidR="00394C28" w:rsidRPr="00DF5BBF" w:rsidRDefault="006D4AD9" w:rsidP="00DF5BBF">
      <w:pPr>
        <w:snapToGrid w:val="0"/>
        <w:spacing w:before="120" w:after="0" w:line="240" w:lineRule="auto"/>
        <w:jc w:val="both"/>
        <w:rPr>
          <w:rFonts w:ascii="Calibri" w:hAnsi="Calibri" w:cs="Calibri"/>
          <w:color w:val="000000"/>
          <w:lang w:eastAsia="en-GB"/>
        </w:rPr>
      </w:pPr>
      <w:r w:rsidRPr="00DF5BBF">
        <w:rPr>
          <w:rFonts w:ascii="Calibri" w:hAnsi="Calibri" w:cs="Calibri"/>
          <w:color w:val="000000"/>
          <w:lang w:eastAsia="en-GB"/>
        </w:rPr>
        <w:t xml:space="preserve">Los párrafos </w:t>
      </w:r>
      <w:r w:rsidR="00FC0159" w:rsidRPr="00DF5BBF">
        <w:rPr>
          <w:rFonts w:ascii="Calibri" w:hAnsi="Calibri" w:cs="Calibri"/>
          <w:color w:val="000000"/>
          <w:lang w:eastAsia="en-GB"/>
        </w:rPr>
        <w:t>3</w:t>
      </w:r>
      <w:r w:rsidRPr="00DF5BBF">
        <w:rPr>
          <w:rFonts w:ascii="Calibri" w:hAnsi="Calibri" w:cs="Calibri"/>
          <w:color w:val="000000"/>
          <w:lang w:eastAsia="en-GB"/>
        </w:rPr>
        <w:t xml:space="preserve">02 al 304 </w:t>
      </w:r>
      <w:r w:rsidR="00D7116B" w:rsidRPr="00DF5BBF">
        <w:rPr>
          <w:rFonts w:ascii="Calibri" w:hAnsi="Calibri" w:cs="Calibri"/>
          <w:color w:val="000000"/>
          <w:lang w:eastAsia="en-GB"/>
        </w:rPr>
        <w:t xml:space="preserve">del informe </w:t>
      </w:r>
      <w:r w:rsidRPr="00DF5BBF">
        <w:rPr>
          <w:rFonts w:ascii="Calibri" w:hAnsi="Calibri" w:cs="Calibri"/>
          <w:color w:val="000000"/>
          <w:lang w:eastAsia="en-GB"/>
        </w:rPr>
        <w:t xml:space="preserve">abordan los estereotipos raciales y </w:t>
      </w:r>
      <w:r w:rsidR="00CC0397" w:rsidRPr="00DF5BBF">
        <w:rPr>
          <w:rFonts w:ascii="Calibri" w:hAnsi="Calibri" w:cs="Calibri"/>
          <w:color w:val="000000"/>
          <w:lang w:eastAsia="en-GB"/>
        </w:rPr>
        <w:t>la no ratificación de instrumentos internacionales sobre los derechos humanos. El informe no precisa las campañas de sensibilización realizadas, en un contexto donde el control estatal sobre todos los medios de comunicación masiva</w:t>
      </w:r>
      <w:r w:rsidR="00D76DAC" w:rsidRPr="00DF5BBF">
        <w:rPr>
          <w:rFonts w:ascii="Calibri" w:hAnsi="Calibri" w:cs="Calibri"/>
          <w:color w:val="000000"/>
          <w:lang w:eastAsia="en-GB"/>
        </w:rPr>
        <w:t>,</w:t>
      </w:r>
      <w:r w:rsidR="00CC0397" w:rsidRPr="00DF5BBF">
        <w:rPr>
          <w:rFonts w:ascii="Calibri" w:hAnsi="Calibri" w:cs="Calibri"/>
          <w:color w:val="000000"/>
          <w:lang w:eastAsia="en-GB"/>
        </w:rPr>
        <w:t xml:space="preserve"> permitirían su realización efectiva.</w:t>
      </w:r>
      <w:r w:rsidR="004872FB" w:rsidRPr="00DF5BBF">
        <w:rPr>
          <w:rFonts w:ascii="Calibri" w:hAnsi="Calibri" w:cs="Calibri"/>
          <w:color w:val="000000"/>
          <w:lang w:eastAsia="en-GB"/>
        </w:rPr>
        <w:t xml:space="preserve"> Persiste la negativa del gobierno cubano a ratificar los principales tratados internacionales sobre los derechos humanos alegando “singularización y manipulación política”, no existiendo avances en esta materia.</w:t>
      </w:r>
    </w:p>
    <w:p w14:paraId="46C2D53F" w14:textId="77777777" w:rsidR="001F34E6" w:rsidRPr="00DF5BBF" w:rsidRDefault="00253309" w:rsidP="00DF5BBF">
      <w:pPr>
        <w:snapToGrid w:val="0"/>
        <w:spacing w:before="120" w:after="0" w:line="240" w:lineRule="auto"/>
        <w:jc w:val="both"/>
        <w:rPr>
          <w:rFonts w:ascii="Calibri" w:hAnsi="Calibri" w:cs="Calibri"/>
        </w:rPr>
      </w:pPr>
      <w:r w:rsidRPr="00DF5BBF">
        <w:rPr>
          <w:rFonts w:ascii="Calibri" w:hAnsi="Calibri" w:cs="Calibri"/>
        </w:rPr>
        <w:t xml:space="preserve">El párrafo 319 intenta dar </w:t>
      </w:r>
      <w:r w:rsidR="001F34E6" w:rsidRPr="00DF5BBF">
        <w:rPr>
          <w:rFonts w:ascii="Calibri" w:hAnsi="Calibri" w:cs="Calibri"/>
        </w:rPr>
        <w:t>respuesta</w:t>
      </w:r>
      <w:r w:rsidRPr="00DF5BBF">
        <w:rPr>
          <w:rFonts w:ascii="Calibri" w:hAnsi="Calibri" w:cs="Calibri"/>
        </w:rPr>
        <w:t xml:space="preserve"> a la recomendación 38 del Comité, </w:t>
      </w:r>
      <w:r w:rsidR="001F34E6" w:rsidRPr="00DF5BBF">
        <w:rPr>
          <w:rFonts w:ascii="Calibri" w:hAnsi="Calibri" w:cs="Calibri"/>
        </w:rPr>
        <w:t xml:space="preserve">que se encuentra incumplida puesto que las observaciones de este Honorable Comité </w:t>
      </w:r>
      <w:r w:rsidR="00122F21" w:rsidRPr="00DF5BBF">
        <w:rPr>
          <w:rFonts w:ascii="Calibri" w:hAnsi="Calibri" w:cs="Calibri"/>
        </w:rPr>
        <w:t xml:space="preserve">no fueron publicadas en ninguno de los numerosos medios de comunicación masiva a disposición del gobierno cubano. </w:t>
      </w:r>
    </w:p>
    <w:p w14:paraId="29D95FDA" w14:textId="4DBF9593" w:rsidR="00DF0C28" w:rsidRPr="00DF5BBF" w:rsidRDefault="00DF0C28" w:rsidP="00DF5BBF">
      <w:pPr>
        <w:snapToGrid w:val="0"/>
        <w:spacing w:before="120" w:after="0" w:line="240" w:lineRule="auto"/>
        <w:jc w:val="both"/>
        <w:rPr>
          <w:rFonts w:ascii="Calibri" w:hAnsi="Calibri" w:cs="Calibri"/>
        </w:rPr>
      </w:pPr>
      <w:r w:rsidRPr="00DF5BBF">
        <w:rPr>
          <w:rFonts w:ascii="Calibri" w:hAnsi="Calibri" w:cs="Calibri"/>
        </w:rPr>
        <w:t xml:space="preserve">El </w:t>
      </w:r>
      <w:r w:rsidR="001F34E6" w:rsidRPr="00DF5BBF">
        <w:rPr>
          <w:rFonts w:ascii="Calibri" w:hAnsi="Calibri" w:cs="Calibri"/>
        </w:rPr>
        <w:t>párrafo</w:t>
      </w:r>
      <w:r w:rsidRPr="00DF5BBF">
        <w:rPr>
          <w:rFonts w:ascii="Calibri" w:hAnsi="Calibri" w:cs="Calibri"/>
        </w:rPr>
        <w:t xml:space="preserve"> 320 del informe pretende dar respuesta a la recomendación 39 del Comité sobre la “cooperación constructiva con las organizaciones de la sociedad civil dedicadas a la protección de los derechos humanos”</w:t>
      </w:r>
      <w:r w:rsidRPr="00DF5BBF">
        <w:rPr>
          <w:rStyle w:val="FootnoteReference"/>
          <w:rFonts w:ascii="Calibri" w:hAnsi="Calibri" w:cs="Calibri"/>
        </w:rPr>
        <w:footnoteReference w:id="87"/>
      </w:r>
      <w:r w:rsidR="001F34E6" w:rsidRPr="00DF5BBF">
        <w:rPr>
          <w:rFonts w:ascii="Calibri" w:hAnsi="Calibri" w:cs="Calibri"/>
        </w:rPr>
        <w:t>.</w:t>
      </w:r>
      <w:r w:rsidR="00F43B71" w:rsidRPr="00DF5BBF">
        <w:rPr>
          <w:rFonts w:ascii="Calibri" w:hAnsi="Calibri" w:cs="Calibri"/>
        </w:rPr>
        <w:t xml:space="preserve"> Esta recomendación también es incumplida puesto que el gobierno descalifica a las organizaciones defensoras de los derechos humanos en Cuba, cal</w:t>
      </w:r>
      <w:r w:rsidR="00F8560D" w:rsidRPr="00DF5BBF">
        <w:rPr>
          <w:rFonts w:ascii="Calibri" w:hAnsi="Calibri" w:cs="Calibri"/>
        </w:rPr>
        <w:t>ificando a sus activistas</w:t>
      </w:r>
      <w:r w:rsidR="00F43B71" w:rsidRPr="00DF5BBF">
        <w:rPr>
          <w:rFonts w:ascii="Calibri" w:hAnsi="Calibri" w:cs="Calibri"/>
        </w:rPr>
        <w:t xml:space="preserve"> como “mercenarios del imperio”</w:t>
      </w:r>
      <w:r w:rsidR="001F34E6" w:rsidRPr="00DF5BBF">
        <w:rPr>
          <w:rFonts w:ascii="Calibri" w:hAnsi="Calibri" w:cs="Calibri"/>
        </w:rPr>
        <w:t>.</w:t>
      </w:r>
      <w:r w:rsidR="00AF1992" w:rsidRPr="00DF5BBF">
        <w:rPr>
          <w:rFonts w:ascii="Calibri" w:hAnsi="Calibri" w:cs="Calibri"/>
        </w:rPr>
        <w:t xml:space="preserve"> Las autoridades cubanas sólo reconocen como sociedad civil, a las organizaciones con</w:t>
      </w:r>
      <w:r w:rsidR="009433A1" w:rsidRPr="00DF5BBF">
        <w:rPr>
          <w:rFonts w:ascii="Calibri" w:hAnsi="Calibri" w:cs="Calibri"/>
        </w:rPr>
        <w:t>troladas por el aparato estatal totalitario.</w:t>
      </w:r>
    </w:p>
    <w:p w14:paraId="133F07AA" w14:textId="49DA005E" w:rsidR="00B31517" w:rsidRPr="00DF5BBF" w:rsidRDefault="00B31517" w:rsidP="00DF5BBF">
      <w:pPr>
        <w:snapToGrid w:val="0"/>
        <w:spacing w:before="120" w:after="0" w:line="240" w:lineRule="auto"/>
        <w:jc w:val="both"/>
        <w:rPr>
          <w:rFonts w:ascii="Calibri" w:hAnsi="Calibri" w:cs="Calibri"/>
        </w:rPr>
      </w:pPr>
    </w:p>
    <w:p w14:paraId="7415B396" w14:textId="77777777" w:rsidR="00931E8B" w:rsidRPr="00DF5BBF" w:rsidRDefault="005E4FDD" w:rsidP="00DF5BBF">
      <w:pPr>
        <w:snapToGrid w:val="0"/>
        <w:spacing w:before="120" w:after="0" w:line="240" w:lineRule="auto"/>
        <w:jc w:val="both"/>
        <w:rPr>
          <w:rStyle w:val="fontstyle01"/>
          <w:b/>
          <w:sz w:val="22"/>
          <w:szCs w:val="22"/>
        </w:rPr>
      </w:pPr>
      <w:r w:rsidRPr="00DF5BBF">
        <w:rPr>
          <w:rStyle w:val="fontstyle01"/>
          <w:b/>
          <w:sz w:val="22"/>
          <w:szCs w:val="22"/>
        </w:rPr>
        <w:t>C</w:t>
      </w:r>
      <w:r w:rsidR="006C6534" w:rsidRPr="00DF5BBF">
        <w:rPr>
          <w:rStyle w:val="fontstyle01"/>
          <w:b/>
          <w:sz w:val="22"/>
          <w:szCs w:val="22"/>
        </w:rPr>
        <w:t>onclusiones</w:t>
      </w:r>
    </w:p>
    <w:p w14:paraId="132824D5" w14:textId="77777777" w:rsidR="001F34E6" w:rsidRPr="00DF5BBF"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rPr>
      </w:pPr>
      <w:r w:rsidRPr="00DF5BBF">
        <w:rPr>
          <w:rFonts w:ascii="Calibri" w:hAnsi="Calibri" w:cs="Calibri"/>
          <w:color w:val="000000"/>
        </w:rPr>
        <w:t>El presente informe demuestra que, contrariamente a lo afirmado por el Estado parte,</w:t>
      </w:r>
      <w:r w:rsidRPr="00DF5BBF">
        <w:rPr>
          <w:rStyle w:val="apple-converted-space"/>
          <w:rFonts w:ascii="Calibri" w:hAnsi="Calibri" w:cs="Calibri"/>
          <w:color w:val="000000"/>
        </w:rPr>
        <w:t> </w:t>
      </w:r>
      <w:r w:rsidRPr="00DF5BBF">
        <w:rPr>
          <w:rStyle w:val="Strong"/>
          <w:rFonts w:ascii="Calibri" w:hAnsi="Calibri" w:cs="Calibri"/>
          <w:color w:val="000000"/>
        </w:rPr>
        <w:t xml:space="preserve">la discriminación racial en Cuba no constituye un fenómeno residual ni limitado a prejuicios </w:t>
      </w:r>
      <w:r w:rsidRPr="00DF5BBF">
        <w:rPr>
          <w:rStyle w:val="Strong"/>
          <w:rFonts w:ascii="Calibri" w:hAnsi="Calibri" w:cs="Calibri"/>
          <w:color w:val="000000"/>
        </w:rPr>
        <w:lastRenderedPageBreak/>
        <w:t>individuales</w:t>
      </w:r>
      <w:r w:rsidRPr="00DF5BBF">
        <w:rPr>
          <w:rFonts w:ascii="Calibri" w:hAnsi="Calibri" w:cs="Calibri"/>
          <w:color w:val="000000"/>
        </w:rPr>
        <w:t>, sino que responde a</w:t>
      </w:r>
      <w:r w:rsidRPr="00DF5BBF">
        <w:rPr>
          <w:rStyle w:val="apple-converted-space"/>
          <w:rFonts w:ascii="Calibri" w:hAnsi="Calibri" w:cs="Calibri"/>
          <w:color w:val="000000"/>
        </w:rPr>
        <w:t> </w:t>
      </w:r>
      <w:r w:rsidRPr="00DF5BBF">
        <w:rPr>
          <w:rStyle w:val="Strong"/>
          <w:rFonts w:ascii="Calibri" w:hAnsi="Calibri" w:cs="Calibri"/>
          <w:color w:val="000000"/>
        </w:rPr>
        <w:t>patrones estructurales y sistémicos</w:t>
      </w:r>
      <w:r w:rsidRPr="00DF5BBF">
        <w:rPr>
          <w:rStyle w:val="apple-converted-space"/>
          <w:rFonts w:ascii="Calibri" w:hAnsi="Calibri" w:cs="Calibri"/>
          <w:color w:val="000000"/>
        </w:rPr>
        <w:t> </w:t>
      </w:r>
      <w:r w:rsidRPr="00DF5BBF">
        <w:rPr>
          <w:rFonts w:ascii="Calibri" w:hAnsi="Calibri" w:cs="Calibri"/>
          <w:color w:val="000000"/>
        </w:rPr>
        <w:t>que afectan de manera persistente y desproporcionada a la población afrodescendiente.</w:t>
      </w:r>
    </w:p>
    <w:p w14:paraId="5E33DA2B" w14:textId="77777777" w:rsidR="001F34E6" w:rsidRPr="00DF5BBF"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rPr>
      </w:pPr>
      <w:r w:rsidRPr="00DF5BBF">
        <w:rPr>
          <w:rFonts w:ascii="Calibri" w:hAnsi="Calibri" w:cs="Calibri"/>
          <w:color w:val="000000"/>
          <w:lang w:val="es-ES_tradnl"/>
        </w:rPr>
        <w:t>El análisis del marco normativo, de la práctica estatal y de la información empírica disponible permite concluir que</w:t>
      </w:r>
      <w:r w:rsidRPr="00DF5BBF">
        <w:rPr>
          <w:rStyle w:val="apple-converted-space"/>
          <w:rFonts w:ascii="Calibri" w:hAnsi="Calibri" w:cs="Calibri"/>
          <w:color w:val="000000"/>
          <w:lang w:val="es-ES_tradnl"/>
        </w:rPr>
        <w:t> </w:t>
      </w:r>
      <w:r w:rsidRPr="00DF5BBF">
        <w:rPr>
          <w:rStyle w:val="Strong"/>
          <w:rFonts w:ascii="Calibri" w:hAnsi="Calibri" w:cs="Calibri"/>
          <w:color w:val="000000"/>
          <w:lang w:val="es-ES_tradnl"/>
        </w:rPr>
        <w:t>la negación oficial del racismo estructural</w:t>
      </w:r>
      <w:r w:rsidRPr="00DF5BBF">
        <w:rPr>
          <w:rStyle w:val="apple-converted-space"/>
          <w:rFonts w:ascii="Calibri" w:hAnsi="Calibri" w:cs="Calibri"/>
          <w:color w:val="000000"/>
          <w:lang w:val="es-ES_tradnl"/>
        </w:rPr>
        <w:t> </w:t>
      </w:r>
      <w:r w:rsidRPr="00DF5BBF">
        <w:rPr>
          <w:rFonts w:ascii="Calibri" w:hAnsi="Calibri" w:cs="Calibri"/>
          <w:color w:val="000000"/>
          <w:lang w:val="es-ES_tradnl"/>
        </w:rPr>
        <w:t>constituye uno de los principales obstáculos para su erradicación, en tanto impide el reconocimiento de las desigualdades existentes y la adopción de políticas públicas diferenciadas y eficaces.</w:t>
      </w:r>
    </w:p>
    <w:p w14:paraId="29E0C4AA" w14:textId="77777777" w:rsidR="001F34E6" w:rsidRPr="00DF5BBF"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rPr>
      </w:pPr>
      <w:r w:rsidRPr="00DF5BBF">
        <w:rPr>
          <w:rFonts w:ascii="Calibri" w:hAnsi="Calibri" w:cs="Calibri"/>
          <w:color w:val="000000"/>
          <w:lang w:val="es-ES_tradnl"/>
        </w:rPr>
        <w:t>La</w:t>
      </w:r>
      <w:r w:rsidRPr="00DF5BBF">
        <w:rPr>
          <w:rStyle w:val="apple-converted-space"/>
          <w:rFonts w:ascii="Calibri" w:hAnsi="Calibri" w:cs="Calibri"/>
          <w:color w:val="000000"/>
          <w:lang w:val="es-ES_tradnl"/>
        </w:rPr>
        <w:t> </w:t>
      </w:r>
      <w:r w:rsidRPr="00DF5BBF">
        <w:rPr>
          <w:rStyle w:val="Strong"/>
          <w:rFonts w:ascii="Calibri" w:hAnsi="Calibri" w:cs="Calibri"/>
          <w:color w:val="000000"/>
          <w:lang w:val="es-ES_tradnl"/>
        </w:rPr>
        <w:t>crisis humanitaria multidimensional</w:t>
      </w:r>
      <w:r w:rsidRPr="00DF5BBF">
        <w:rPr>
          <w:rStyle w:val="apple-converted-space"/>
          <w:rFonts w:ascii="Calibri" w:hAnsi="Calibri" w:cs="Calibri"/>
          <w:color w:val="000000"/>
          <w:lang w:val="es-ES_tradnl"/>
        </w:rPr>
        <w:t> </w:t>
      </w:r>
      <w:r w:rsidRPr="00DF5BBF">
        <w:rPr>
          <w:rFonts w:ascii="Calibri" w:hAnsi="Calibri" w:cs="Calibri"/>
          <w:color w:val="000000"/>
          <w:lang w:val="es-ES_tradnl"/>
        </w:rPr>
        <w:t>que atraviesa el país —económica, alimentaria, energética, sanitaria y migratoria— ha tenido un</w:t>
      </w:r>
      <w:r w:rsidRPr="00DF5BBF">
        <w:rPr>
          <w:rStyle w:val="apple-converted-space"/>
          <w:rFonts w:ascii="Calibri" w:hAnsi="Calibri" w:cs="Calibri"/>
          <w:color w:val="000000"/>
          <w:lang w:val="es-ES_tradnl"/>
        </w:rPr>
        <w:t> </w:t>
      </w:r>
      <w:r w:rsidRPr="00DF5BBF">
        <w:rPr>
          <w:rStyle w:val="Strong"/>
          <w:rFonts w:ascii="Calibri" w:hAnsi="Calibri" w:cs="Calibri"/>
          <w:color w:val="000000"/>
          <w:lang w:val="es-ES_tradnl"/>
        </w:rPr>
        <w:t>impacto racialmente diferenciado</w:t>
      </w:r>
      <w:r w:rsidRPr="00DF5BBF">
        <w:rPr>
          <w:rFonts w:ascii="Calibri" w:hAnsi="Calibri" w:cs="Calibri"/>
          <w:color w:val="000000"/>
          <w:lang w:val="es-ES_tradnl"/>
        </w:rPr>
        <w:t>, profundizando brechas históricas en materia de pobreza, acceso a servicios básicos, vivienda, empleo y oportunidades económicas, sin que el Estado haya adoptado medidas especiales orientadas a proteger a la población afrodescendiente.</w:t>
      </w:r>
    </w:p>
    <w:p w14:paraId="55A2181C" w14:textId="24AD5D4B" w:rsidR="001F34E6" w:rsidRPr="00DF5BBF"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rPr>
      </w:pPr>
      <w:r w:rsidRPr="00DF5BBF">
        <w:rPr>
          <w:rFonts w:ascii="Calibri" w:hAnsi="Calibri" w:cs="Calibri"/>
          <w:color w:val="000000"/>
          <w:lang w:val="es-ES_tradnl"/>
        </w:rPr>
        <w:t>El informe documenta</w:t>
      </w:r>
      <w:r w:rsidRPr="00DF5BBF">
        <w:rPr>
          <w:rStyle w:val="apple-converted-space"/>
          <w:rFonts w:ascii="Calibri" w:hAnsi="Calibri" w:cs="Calibri"/>
          <w:color w:val="000000"/>
          <w:lang w:val="es-ES_tradnl"/>
        </w:rPr>
        <w:t> </w:t>
      </w:r>
      <w:r w:rsidRPr="00DF5BBF">
        <w:rPr>
          <w:rStyle w:val="Strong"/>
          <w:rFonts w:ascii="Calibri" w:hAnsi="Calibri" w:cs="Calibri"/>
          <w:color w:val="000000"/>
          <w:lang w:val="es-ES_tradnl"/>
        </w:rPr>
        <w:t>patrones reiterados de violencia institucional, perfilamiento racial y uso excesivo de la fuerza</w:t>
      </w:r>
      <w:r w:rsidRPr="00DF5BBF">
        <w:rPr>
          <w:rStyle w:val="apple-converted-space"/>
          <w:rFonts w:ascii="Calibri" w:hAnsi="Calibri" w:cs="Calibri"/>
          <w:color w:val="000000"/>
          <w:lang w:val="es-ES_tradnl"/>
        </w:rPr>
        <w:t> </w:t>
      </w:r>
      <w:r w:rsidRPr="00DF5BBF">
        <w:rPr>
          <w:rFonts w:ascii="Calibri" w:hAnsi="Calibri" w:cs="Calibri"/>
          <w:color w:val="000000"/>
          <w:lang w:val="es-ES_tradnl"/>
        </w:rPr>
        <w:t>por parte de agentes estatales, así como la imposición de sanciones penales más severas a personas afrodescendientes, particularmente en el contexto de las protestas sociales de julio de 2021, en un escenario marcado por la</w:t>
      </w:r>
      <w:r w:rsidRPr="00DF5BBF">
        <w:rPr>
          <w:rStyle w:val="apple-converted-space"/>
          <w:rFonts w:ascii="Calibri" w:hAnsi="Calibri" w:cs="Calibri"/>
          <w:color w:val="000000"/>
          <w:lang w:val="es-ES_tradnl"/>
        </w:rPr>
        <w:t> </w:t>
      </w:r>
      <w:r w:rsidRPr="00DF5BBF">
        <w:rPr>
          <w:rStyle w:val="Strong"/>
          <w:rFonts w:ascii="Calibri" w:hAnsi="Calibri" w:cs="Calibri"/>
          <w:color w:val="000000"/>
          <w:lang w:val="es-ES_tradnl"/>
        </w:rPr>
        <w:t>impunidad y la ausencia de mecanismos efectivos de rendición de cuentas</w:t>
      </w:r>
      <w:r w:rsidRPr="00DF5BBF">
        <w:rPr>
          <w:rFonts w:ascii="Calibri" w:hAnsi="Calibri" w:cs="Calibri"/>
          <w:color w:val="000000"/>
          <w:lang w:val="es-ES_tradnl"/>
        </w:rPr>
        <w:t>.</w:t>
      </w:r>
    </w:p>
    <w:p w14:paraId="3E5FB841" w14:textId="77777777" w:rsidR="001F34E6" w:rsidRPr="00DF5BBF" w:rsidRDefault="001F34E6" w:rsidP="00DF5BBF">
      <w:pPr>
        <w:pStyle w:val="ListParagraph"/>
        <w:numPr>
          <w:ilvl w:val="0"/>
          <w:numId w:val="7"/>
        </w:numPr>
        <w:snapToGrid w:val="0"/>
        <w:spacing w:before="120" w:after="0" w:line="240" w:lineRule="auto"/>
        <w:contextualSpacing w:val="0"/>
        <w:jc w:val="both"/>
        <w:rPr>
          <w:rFonts w:ascii="Calibri" w:eastAsia="Times New Roman" w:hAnsi="Calibri" w:cs="Calibri"/>
          <w:color w:val="000000"/>
          <w:lang w:val="es-ES_tradnl"/>
        </w:rPr>
      </w:pPr>
      <w:r w:rsidRPr="00DF5BBF">
        <w:rPr>
          <w:rFonts w:ascii="Calibri" w:eastAsia="Times New Roman" w:hAnsi="Calibri" w:cs="Calibri"/>
          <w:color w:val="000000"/>
          <w:lang w:val="es-ES_tradnl"/>
        </w:rPr>
        <w:t>El informe evidencia la </w:t>
      </w:r>
      <w:r w:rsidRPr="00DF5BBF">
        <w:rPr>
          <w:rFonts w:ascii="Calibri" w:eastAsia="Times New Roman" w:hAnsi="Calibri" w:cs="Calibri"/>
          <w:b/>
          <w:bCs/>
          <w:color w:val="000000"/>
          <w:lang w:val="es-ES_tradnl"/>
        </w:rPr>
        <w:t>ausencia sistemática de datos oficiales desagregados por origen étnico-racial</w:t>
      </w:r>
      <w:r w:rsidRPr="00DF5BBF">
        <w:rPr>
          <w:rFonts w:ascii="Calibri" w:eastAsia="Times New Roman" w:hAnsi="Calibri" w:cs="Calibri"/>
          <w:color w:val="000000"/>
          <w:lang w:val="es-ES_tradnl"/>
        </w:rPr>
        <w:t xml:space="preserve">, así como deficiencias persistentes en la metodología censal, lo que contribuye a la </w:t>
      </w:r>
      <w:proofErr w:type="spellStart"/>
      <w:r w:rsidRPr="00DF5BBF">
        <w:rPr>
          <w:rFonts w:ascii="Calibri" w:eastAsia="Times New Roman" w:hAnsi="Calibri" w:cs="Calibri"/>
          <w:color w:val="000000"/>
          <w:lang w:val="es-ES_tradnl"/>
        </w:rPr>
        <w:t>invisibilización</w:t>
      </w:r>
      <w:proofErr w:type="spellEnd"/>
      <w:r w:rsidRPr="00DF5BBF">
        <w:rPr>
          <w:rFonts w:ascii="Calibri" w:eastAsia="Times New Roman" w:hAnsi="Calibri" w:cs="Calibri"/>
          <w:color w:val="000000"/>
          <w:lang w:val="es-ES_tradnl"/>
        </w:rPr>
        <w:t xml:space="preserve"> estadística de la población afrodescendiente y dificulta la evaluación del impacto de las políticas públicas.</w:t>
      </w:r>
    </w:p>
    <w:p w14:paraId="5685EDCB" w14:textId="4000B5F8" w:rsidR="001F34E6" w:rsidRPr="00DF5BBF" w:rsidRDefault="001F34E6" w:rsidP="00DF5BBF">
      <w:pPr>
        <w:pStyle w:val="NormalWeb"/>
        <w:numPr>
          <w:ilvl w:val="0"/>
          <w:numId w:val="7"/>
        </w:numPr>
        <w:snapToGrid w:val="0"/>
        <w:spacing w:before="120" w:beforeAutospacing="0" w:after="0" w:afterAutospacing="0"/>
        <w:jc w:val="both"/>
        <w:rPr>
          <w:rFonts w:ascii="Calibri" w:hAnsi="Calibri" w:cs="Calibri"/>
          <w:color w:val="000000"/>
          <w:sz w:val="22"/>
          <w:szCs w:val="22"/>
          <w:lang w:val="es-ES_tradnl"/>
        </w:rPr>
      </w:pPr>
      <w:r w:rsidRPr="00DF5BBF">
        <w:rPr>
          <w:rFonts w:ascii="Calibri" w:hAnsi="Calibri" w:cs="Calibri"/>
          <w:color w:val="000000"/>
          <w:sz w:val="22"/>
          <w:szCs w:val="22"/>
          <w:lang w:val="es-ES_tradnl"/>
        </w:rPr>
        <w:t>Asimismo, se concluye que las</w:t>
      </w:r>
      <w:r w:rsidRPr="00DF5BBF">
        <w:rPr>
          <w:rStyle w:val="apple-converted-space"/>
          <w:rFonts w:ascii="Calibri" w:hAnsi="Calibri" w:cs="Calibri"/>
          <w:color w:val="000000"/>
          <w:sz w:val="22"/>
          <w:szCs w:val="22"/>
          <w:lang w:val="es-ES_tradnl"/>
        </w:rPr>
        <w:t> </w:t>
      </w:r>
      <w:r w:rsidRPr="00DF5BBF">
        <w:rPr>
          <w:rStyle w:val="Strong"/>
          <w:rFonts w:ascii="Calibri" w:hAnsi="Calibri" w:cs="Calibri"/>
          <w:color w:val="000000"/>
          <w:sz w:val="22"/>
          <w:szCs w:val="22"/>
          <w:lang w:val="es-ES_tradnl"/>
        </w:rPr>
        <w:t>organizaciones independientes de la sociedad civil afrodescendiente y las personas defensoras de derechos humanos</w:t>
      </w:r>
      <w:r w:rsidRPr="00DF5BBF">
        <w:rPr>
          <w:rStyle w:val="apple-converted-space"/>
          <w:rFonts w:ascii="Calibri" w:hAnsi="Calibri" w:cs="Calibri"/>
          <w:color w:val="000000"/>
          <w:sz w:val="22"/>
          <w:szCs w:val="22"/>
          <w:lang w:val="es-ES_tradnl"/>
        </w:rPr>
        <w:t> </w:t>
      </w:r>
      <w:r w:rsidRPr="00DF5BBF">
        <w:rPr>
          <w:rFonts w:ascii="Calibri" w:hAnsi="Calibri" w:cs="Calibri"/>
          <w:color w:val="000000"/>
          <w:sz w:val="22"/>
          <w:szCs w:val="22"/>
          <w:lang w:val="es-ES_tradnl"/>
        </w:rPr>
        <w:t>enfrentan restricciones arbitrarias, negación de reconocimiento legal, hostigamiento y represalias, lo que limita su participación en el diseño, monitoreo y evaluación de políticas antidiscriminatorias.</w:t>
      </w:r>
    </w:p>
    <w:p w14:paraId="25F76C6B" w14:textId="128BA908" w:rsidR="001F34E6" w:rsidRDefault="001F34E6" w:rsidP="00DF5BBF">
      <w:pPr>
        <w:pStyle w:val="NormalWeb"/>
        <w:numPr>
          <w:ilvl w:val="0"/>
          <w:numId w:val="7"/>
        </w:numPr>
        <w:snapToGrid w:val="0"/>
        <w:spacing w:before="120" w:beforeAutospacing="0" w:after="0" w:afterAutospacing="0"/>
        <w:jc w:val="both"/>
        <w:rPr>
          <w:rFonts w:ascii="Calibri" w:hAnsi="Calibri" w:cs="Calibri"/>
          <w:color w:val="000000"/>
          <w:sz w:val="22"/>
          <w:szCs w:val="22"/>
          <w:lang w:val="es-ES_tradnl"/>
        </w:rPr>
      </w:pPr>
      <w:r w:rsidRPr="00DF5BBF">
        <w:rPr>
          <w:rFonts w:ascii="Calibri" w:hAnsi="Calibri" w:cs="Calibri"/>
          <w:color w:val="000000"/>
          <w:sz w:val="22"/>
          <w:szCs w:val="22"/>
          <w:lang w:val="es-ES_tradnl"/>
        </w:rPr>
        <w:t>Finalmente, el informe constata el</w:t>
      </w:r>
      <w:r w:rsidRPr="00DF5BBF">
        <w:rPr>
          <w:rStyle w:val="apple-converted-space"/>
          <w:rFonts w:ascii="Calibri" w:hAnsi="Calibri" w:cs="Calibri"/>
          <w:color w:val="000000"/>
          <w:sz w:val="22"/>
          <w:szCs w:val="22"/>
          <w:lang w:val="es-ES_tradnl"/>
        </w:rPr>
        <w:t> </w:t>
      </w:r>
      <w:r w:rsidRPr="00DF5BBF">
        <w:rPr>
          <w:rStyle w:val="Strong"/>
          <w:rFonts w:ascii="Calibri" w:hAnsi="Calibri" w:cs="Calibri"/>
          <w:color w:val="000000"/>
          <w:sz w:val="22"/>
          <w:szCs w:val="22"/>
          <w:lang w:val="es-ES_tradnl"/>
        </w:rPr>
        <w:t>incumplimiento reiterado de recomendaciones formuladas previamente por este Honorable Comité</w:t>
      </w:r>
      <w:r w:rsidRPr="00DF5BBF">
        <w:rPr>
          <w:rFonts w:ascii="Calibri" w:hAnsi="Calibri" w:cs="Calibri"/>
          <w:color w:val="000000"/>
          <w:sz w:val="22"/>
          <w:szCs w:val="22"/>
          <w:lang w:val="es-ES_tradnl"/>
        </w:rPr>
        <w:t>, así como la falta de avances sustantivos en la ratificación de instrumentos internacionales fundamentales y en la aceptación de mecanismos internacionales de protección.</w:t>
      </w:r>
    </w:p>
    <w:p w14:paraId="169543EC" w14:textId="77777777" w:rsidR="00DF5BBF" w:rsidRPr="00DF5BBF" w:rsidRDefault="00DF5BBF" w:rsidP="00DF5BBF">
      <w:pPr>
        <w:pStyle w:val="NormalWeb"/>
        <w:snapToGrid w:val="0"/>
        <w:spacing w:before="120" w:beforeAutospacing="0" w:after="0" w:afterAutospacing="0"/>
        <w:ind w:left="400"/>
        <w:jc w:val="both"/>
        <w:rPr>
          <w:rStyle w:val="fontstyle01"/>
          <w:sz w:val="22"/>
          <w:szCs w:val="22"/>
          <w:lang w:val="es-ES_tradnl"/>
        </w:rPr>
      </w:pPr>
    </w:p>
    <w:p w14:paraId="369C4B44" w14:textId="77777777" w:rsidR="00341015" w:rsidRPr="00DF5BBF" w:rsidRDefault="00341015" w:rsidP="00DF5BBF">
      <w:pPr>
        <w:snapToGrid w:val="0"/>
        <w:spacing w:before="120" w:after="0" w:line="240" w:lineRule="auto"/>
        <w:jc w:val="both"/>
        <w:rPr>
          <w:rStyle w:val="fontstyle01"/>
          <w:b/>
          <w:sz w:val="22"/>
          <w:szCs w:val="22"/>
        </w:rPr>
      </w:pPr>
      <w:r w:rsidRPr="00DF5BBF">
        <w:rPr>
          <w:rStyle w:val="fontstyle01"/>
          <w:b/>
          <w:sz w:val="22"/>
          <w:szCs w:val="22"/>
        </w:rPr>
        <w:t>Recomendaciones al Comité:</w:t>
      </w:r>
    </w:p>
    <w:p w14:paraId="5D51A399" w14:textId="31EF58E5" w:rsidR="00BF5663" w:rsidRPr="00DF5BBF" w:rsidRDefault="00DF5BBF"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t>Teniendo en cuenta lo anterior, solicitamos respetuosamente a este Honorable Comité que realice las siguientes recomendaciones al Estado cubano:</w:t>
      </w:r>
    </w:p>
    <w:p w14:paraId="56761243" w14:textId="55D3BF77" w:rsidR="00DF5BBF" w:rsidRPr="00DF5BBF"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s-ES_tradnl"/>
        </w:rPr>
      </w:pPr>
      <w:r w:rsidRPr="00DF5BBF">
        <w:rPr>
          <w:rFonts w:ascii="Calibri" w:eastAsia="Times New Roman" w:hAnsi="Calibri" w:cs="Calibri"/>
          <w:b/>
          <w:bCs/>
          <w:color w:val="000000"/>
          <w:lang w:val="es-ES_tradnl"/>
        </w:rPr>
        <w:t>Exhorte al Estado parte a reconocer explícitamente la existencia de la discriminación racial estructural</w:t>
      </w:r>
      <w:r w:rsidRPr="00DF5BBF">
        <w:rPr>
          <w:rFonts w:ascii="Calibri" w:eastAsia="Times New Roman" w:hAnsi="Calibri" w:cs="Calibri"/>
          <w:color w:val="000000"/>
          <w:lang w:val="es-ES_tradnl"/>
        </w:rPr>
        <w:t> en Cuba como paso previo indispensable para la adopción de medidas eficaces de erradicación de la situación estructural.</w:t>
      </w:r>
    </w:p>
    <w:p w14:paraId="561B89F6" w14:textId="77777777" w:rsidR="00DF5BBF" w:rsidRPr="00DF5BBF"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s-ES_tradnl"/>
        </w:rPr>
      </w:pPr>
      <w:r w:rsidRPr="00DF5BBF">
        <w:rPr>
          <w:rFonts w:ascii="Calibri" w:eastAsia="Times New Roman" w:hAnsi="Calibri" w:cs="Calibri"/>
          <w:b/>
          <w:bCs/>
          <w:color w:val="000000"/>
          <w:lang w:val="es-ES_tradnl"/>
        </w:rPr>
        <w:t>Insista en la reforma del marco normativo interno</w:t>
      </w:r>
      <w:r w:rsidRPr="00DF5BBF">
        <w:rPr>
          <w:rFonts w:ascii="Calibri" w:eastAsia="Times New Roman" w:hAnsi="Calibri" w:cs="Calibri"/>
          <w:color w:val="000000"/>
          <w:lang w:val="es-ES_tradnl"/>
        </w:rPr>
        <w:t>, a fin de incorporar una definición de discriminación racial plenamente compatible con el artículo 1 de la Convención, incluyendo las formas de discriminación directa, indirecta e interseccional.</w:t>
      </w:r>
    </w:p>
    <w:p w14:paraId="6BA705B0" w14:textId="77777777" w:rsidR="00DF5BBF" w:rsidRPr="00DF5BBF"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s-ES_tradnl"/>
        </w:rPr>
      </w:pPr>
      <w:r w:rsidRPr="00DF5BBF">
        <w:rPr>
          <w:rFonts w:ascii="Calibri" w:eastAsia="Times New Roman" w:hAnsi="Calibri" w:cs="Calibri"/>
          <w:b/>
          <w:bCs/>
          <w:color w:val="000000"/>
          <w:lang w:val="es-ES_tradnl"/>
        </w:rPr>
        <w:lastRenderedPageBreak/>
        <w:t>Solicite al Estado información detallada y verificable</w:t>
      </w:r>
      <w:r w:rsidRPr="00DF5BBF">
        <w:rPr>
          <w:rFonts w:ascii="Calibri" w:eastAsia="Times New Roman" w:hAnsi="Calibri" w:cs="Calibri"/>
          <w:color w:val="000000"/>
          <w:lang w:val="es-ES_tradnl"/>
        </w:rPr>
        <w:t> sobre denuncias de uso excesivo de la fuerza, perfilamiento racial y muertes de personas afrodescendientes a manos de agentes estatales, así como sobre investigaciones, sanciones y reparaciones adoptadas.</w:t>
      </w:r>
    </w:p>
    <w:p w14:paraId="2260A71F" w14:textId="5102F155" w:rsidR="00DF5BBF" w:rsidRPr="00DF5BBF"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lang w:val="es-ES_tradnl"/>
        </w:rPr>
      </w:pPr>
      <w:r w:rsidRPr="00DF5BBF">
        <w:rPr>
          <w:rStyle w:val="Strong"/>
          <w:rFonts w:ascii="Calibri" w:hAnsi="Calibri" w:cs="Calibri"/>
          <w:color w:val="000000"/>
          <w:sz w:val="22"/>
          <w:szCs w:val="22"/>
          <w:lang w:val="es-ES_tradnl"/>
        </w:rPr>
        <w:t>Reitere su recomendación de revisar la metodología censal</w:t>
      </w:r>
      <w:r w:rsidRPr="00DF5BBF">
        <w:rPr>
          <w:rFonts w:ascii="Calibri" w:hAnsi="Calibri" w:cs="Calibri"/>
          <w:color w:val="000000"/>
          <w:sz w:val="22"/>
          <w:szCs w:val="22"/>
          <w:lang w:val="es-ES_tradnl"/>
        </w:rPr>
        <w:t>, garantizando el principio de autoidentificación étnico-racial, la consulta con comunidades afrodescendientes y la producción de datos públicos desagregados.</w:t>
      </w:r>
    </w:p>
    <w:p w14:paraId="70F80B4D" w14:textId="10D07059" w:rsidR="00DF5BBF" w:rsidRPr="00DF5BBF"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lang w:val="es-ES_tradnl"/>
        </w:rPr>
      </w:pPr>
      <w:r w:rsidRPr="00DF5BBF">
        <w:rPr>
          <w:rStyle w:val="Strong"/>
          <w:rFonts w:ascii="Calibri" w:hAnsi="Calibri" w:cs="Calibri"/>
          <w:color w:val="000000"/>
          <w:sz w:val="22"/>
          <w:szCs w:val="22"/>
          <w:lang w:val="es-ES_tradnl"/>
        </w:rPr>
        <w:t>Exprese su preocupación por las restricciones al derecho de asociación</w:t>
      </w:r>
      <w:r w:rsidRPr="00DF5BBF">
        <w:rPr>
          <w:rFonts w:ascii="Calibri" w:hAnsi="Calibri" w:cs="Calibri"/>
          <w:color w:val="000000"/>
          <w:sz w:val="22"/>
          <w:szCs w:val="22"/>
          <w:lang w:val="es-ES_tradnl"/>
        </w:rPr>
        <w:t>, solicitando al Estado que garantice el funcionamiento libre y seguro de organizaciones independientes de la sociedad civil afrodescendiente y la protección de personas defensoras de derechos humanos.</w:t>
      </w:r>
    </w:p>
    <w:p w14:paraId="76D68E44" w14:textId="6CA75DAA" w:rsidR="00DF5BBF" w:rsidRPr="00DF5BBF"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lang w:val="es-ES_tradnl"/>
        </w:rPr>
      </w:pPr>
      <w:r w:rsidRPr="00DF5BBF">
        <w:rPr>
          <w:rStyle w:val="Strong"/>
          <w:rFonts w:ascii="Calibri" w:hAnsi="Calibri" w:cs="Calibri"/>
          <w:color w:val="000000"/>
          <w:sz w:val="22"/>
          <w:szCs w:val="22"/>
          <w:lang w:val="es-ES_tradnl"/>
        </w:rPr>
        <w:t>Solicite al Estado parte que informe de manera específica sobre la implementación y resultados del Programa Nacional contra el Racismo y la Discriminación Racial</w:t>
      </w:r>
      <w:r w:rsidRPr="00DF5BBF">
        <w:rPr>
          <w:rFonts w:ascii="Calibri" w:hAnsi="Calibri" w:cs="Calibri"/>
          <w:color w:val="000000"/>
          <w:sz w:val="22"/>
          <w:szCs w:val="22"/>
          <w:lang w:val="es-ES_tradnl"/>
        </w:rPr>
        <w:t>, incluyendo recursos asignados, indicadores de impacto y mecanismos de evaluación.</w:t>
      </w:r>
    </w:p>
    <w:p w14:paraId="1B3CE9E3" w14:textId="77777777" w:rsidR="00DF5BBF" w:rsidRPr="00DF5BBF"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lang w:val="es-ES_tradnl"/>
        </w:rPr>
      </w:pPr>
      <w:r w:rsidRPr="00DF5BBF">
        <w:rPr>
          <w:rStyle w:val="Strong"/>
          <w:rFonts w:ascii="Calibri" w:hAnsi="Calibri" w:cs="Calibri"/>
          <w:color w:val="000000"/>
          <w:sz w:val="22"/>
          <w:szCs w:val="22"/>
          <w:lang w:val="es-ES_tradnl"/>
        </w:rPr>
        <w:t>Reitere la recomendación de ratificar los principales tratados internacionales de derechos humanos pendientes</w:t>
      </w:r>
      <w:r w:rsidRPr="00DF5BBF">
        <w:rPr>
          <w:rStyle w:val="apple-converted-space"/>
          <w:rFonts w:ascii="Calibri" w:hAnsi="Calibri" w:cs="Calibri"/>
          <w:color w:val="000000"/>
          <w:sz w:val="22"/>
          <w:szCs w:val="22"/>
          <w:lang w:val="es-ES_tradnl"/>
        </w:rPr>
        <w:t> </w:t>
      </w:r>
      <w:r w:rsidRPr="00DF5BBF">
        <w:rPr>
          <w:rFonts w:ascii="Calibri" w:hAnsi="Calibri" w:cs="Calibri"/>
          <w:color w:val="000000"/>
          <w:sz w:val="22"/>
          <w:szCs w:val="22"/>
          <w:lang w:val="es-ES_tradnl"/>
        </w:rPr>
        <w:t>y de aceptar la competencia del Comité conforme al artículo 14 de la Convención, a fin de fortalecer la protección internacional de las víctimas de discriminación racial.</w:t>
      </w:r>
    </w:p>
    <w:p w14:paraId="2EC24465" w14:textId="3CEFB6E5" w:rsidR="00DF5BBF" w:rsidRPr="00DF5BBF"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lang w:val="es-ES_tradnl"/>
        </w:rPr>
      </w:pPr>
      <w:r w:rsidRPr="00DF5BBF">
        <w:rPr>
          <w:rFonts w:ascii="Calibri" w:hAnsi="Calibri" w:cs="Calibri"/>
          <w:b/>
          <w:bCs/>
          <w:sz w:val="22"/>
          <w:szCs w:val="22"/>
          <w:lang w:val="es-ES_tradnl"/>
        </w:rPr>
        <w:t>Solicite al Estado parte que garantice un entorno seguro para defensores y organizaciones afrodescendientes</w:t>
      </w:r>
      <w:r w:rsidRPr="00DF5BBF">
        <w:rPr>
          <w:rFonts w:ascii="Calibri" w:hAnsi="Calibri" w:cs="Calibri"/>
          <w:sz w:val="22"/>
          <w:szCs w:val="22"/>
          <w:lang w:val="es-ES_tradnl"/>
        </w:rPr>
        <w:t>, permitiendo su funcionamiento independiente sin intimidación, estigmatización, criminalización ni represalias contra las personas u organizaciones que colaboren con este Comité.</w:t>
      </w:r>
    </w:p>
    <w:p w14:paraId="0E2ABD3C" w14:textId="77777777" w:rsidR="00DF5BBF" w:rsidRPr="00DF5BBF" w:rsidRDefault="00DF5BBF" w:rsidP="00DF5BBF">
      <w:pPr>
        <w:snapToGrid w:val="0"/>
        <w:spacing w:before="120" w:after="0" w:line="240" w:lineRule="auto"/>
        <w:jc w:val="both"/>
        <w:rPr>
          <w:rFonts w:ascii="Calibri" w:hAnsi="Calibri" w:cs="Calibri"/>
          <w:lang w:val="es-ES_tradnl"/>
        </w:rPr>
      </w:pPr>
      <w:r w:rsidRPr="00DF5BBF">
        <w:rPr>
          <w:rFonts w:ascii="Calibri" w:hAnsi="Calibri" w:cs="Calibri"/>
          <w:lang w:val="es-ES_tradnl"/>
        </w:rPr>
        <w:br w:type="page"/>
      </w:r>
    </w:p>
    <w:p w14:paraId="712F0693" w14:textId="62E27D69" w:rsidR="00132E53" w:rsidRPr="00DF5BBF" w:rsidRDefault="00DF5BBF" w:rsidP="00DF5BBF">
      <w:pPr>
        <w:snapToGrid w:val="0"/>
        <w:spacing w:before="120" w:after="0" w:line="240" w:lineRule="auto"/>
        <w:jc w:val="both"/>
        <w:rPr>
          <w:rStyle w:val="fontstyle01"/>
          <w:b/>
          <w:sz w:val="22"/>
          <w:szCs w:val="22"/>
        </w:rPr>
      </w:pPr>
      <w:r w:rsidRPr="00DF5BBF">
        <w:rPr>
          <w:rStyle w:val="fontstyle01"/>
          <w:b/>
          <w:sz w:val="22"/>
          <w:szCs w:val="22"/>
        </w:rPr>
        <w:lastRenderedPageBreak/>
        <w:t xml:space="preserve">Anexo I. </w:t>
      </w:r>
      <w:r w:rsidR="00132E53" w:rsidRPr="00DF5BBF">
        <w:rPr>
          <w:rStyle w:val="fontstyle01"/>
          <w:b/>
          <w:sz w:val="22"/>
          <w:szCs w:val="22"/>
        </w:rPr>
        <w:t>Testimonio</w:t>
      </w:r>
    </w:p>
    <w:p w14:paraId="341C39BA" w14:textId="77777777" w:rsidR="00797481" w:rsidRPr="00DF5BBF" w:rsidRDefault="00797481" w:rsidP="00DF5BBF">
      <w:pPr>
        <w:snapToGrid w:val="0"/>
        <w:spacing w:before="120" w:after="0" w:line="240" w:lineRule="auto"/>
        <w:jc w:val="both"/>
        <w:rPr>
          <w:rFonts w:ascii="Calibri" w:hAnsi="Calibri" w:cs="Calibri"/>
          <w:i/>
        </w:rPr>
      </w:pPr>
      <w:r w:rsidRPr="00DF5BBF">
        <w:rPr>
          <w:rFonts w:ascii="Calibri" w:hAnsi="Calibri" w:cs="Calibri"/>
        </w:rPr>
        <w:t xml:space="preserve">Testimonio de Manuel Cuesta Morúa. Activista por la integración racial. 63 años. Presidente del Consejo para la Transición </w:t>
      </w:r>
      <w:r w:rsidR="00EF09DC" w:rsidRPr="00DF5BBF">
        <w:rPr>
          <w:rFonts w:ascii="Calibri" w:hAnsi="Calibri" w:cs="Calibri"/>
        </w:rPr>
        <w:t xml:space="preserve">a la Democracia </w:t>
      </w:r>
      <w:r w:rsidR="00F56723" w:rsidRPr="00DF5BBF">
        <w:rPr>
          <w:rFonts w:ascii="Calibri" w:hAnsi="Calibri" w:cs="Calibri"/>
        </w:rPr>
        <w:t>en Cuba:</w:t>
      </w:r>
      <w:r w:rsidRPr="00DF5BBF">
        <w:rPr>
          <w:rFonts w:ascii="Calibri" w:hAnsi="Calibri" w:cs="Calibri"/>
        </w:rPr>
        <w:t xml:space="preserve"> </w:t>
      </w:r>
      <w:r w:rsidRPr="00DF5BBF">
        <w:rPr>
          <w:rFonts w:ascii="Calibri" w:hAnsi="Calibri" w:cs="Calibri"/>
          <w:i/>
        </w:rPr>
        <w:t>El racismo no ha hecho más que crecer en Cuba.  Afloró con mucha más claridad, a mediados de los años 90 del siglo pasado, cuando comenzaron los nuevos emprendimientos privados, como casas de rentas, restaurantes, etc. Aparecieron carteles de “se ofrece trabajo” para jóvenes, blancos, con preparación académica, con exclusión de los negros. Así también aparecieron carteles en algunos hoteles. Eso marcó un punto de partida. Luego hubo una corrección retórica de los anuncios, porque nadie se vende como racista, aunque lo sea.</w:t>
      </w:r>
    </w:p>
    <w:p w14:paraId="39DF65DE" w14:textId="77777777" w:rsidR="00797481" w:rsidRPr="00DF5BBF" w:rsidRDefault="00797481" w:rsidP="00DF5BBF">
      <w:pPr>
        <w:snapToGrid w:val="0"/>
        <w:spacing w:before="120" w:after="0" w:line="240" w:lineRule="auto"/>
        <w:jc w:val="both"/>
        <w:rPr>
          <w:rFonts w:ascii="Calibri" w:hAnsi="Calibri" w:cs="Calibri"/>
          <w:i/>
        </w:rPr>
      </w:pPr>
      <w:r w:rsidRPr="00DF5BBF">
        <w:rPr>
          <w:rFonts w:ascii="Calibri" w:hAnsi="Calibri" w:cs="Calibri"/>
          <w:i/>
        </w:rPr>
        <w:t>Una de las cosas que contribuyó a que volviera a aflorar el racismo fue el esquema que el gobierno cubano encontró de supervivencia en las remesas como forma de recaudar divisas. Esto generó este racismo estructural que estamos viendo con mucha más fuerza. Obviamente quienes enviaban remesas fueron las familias que se fueron entre los años 50 y 70, básicamente blancas. Comienza así una acumulación originaria de capital en la etapa revolucionaria para las personas blancas. Esto abre el racismo estructural en el país, que se aprecia en la geografía urbana de la ciudad. Las zonas buenas son las zonas poco pobladas de casas donde viven los blancos. Las zonas pobres, las zonas malas, son las de mayor densidad poblacional que están en el cinturón de la ciudad y que viven más bien al sur de la capital. Allí viven la mayor cantidad de afrodescendientes y la mayoría son pobres.</w:t>
      </w:r>
    </w:p>
    <w:p w14:paraId="4A53D28F" w14:textId="77777777" w:rsidR="00797481" w:rsidRPr="00DF5BBF" w:rsidRDefault="00797481" w:rsidP="00DF5BBF">
      <w:pPr>
        <w:snapToGrid w:val="0"/>
        <w:spacing w:before="120" w:after="0" w:line="240" w:lineRule="auto"/>
        <w:jc w:val="both"/>
        <w:rPr>
          <w:rFonts w:ascii="Calibri" w:hAnsi="Calibri" w:cs="Calibri"/>
          <w:i/>
        </w:rPr>
      </w:pPr>
      <w:r w:rsidRPr="00DF5BBF">
        <w:rPr>
          <w:rFonts w:ascii="Calibri" w:hAnsi="Calibri" w:cs="Calibri"/>
          <w:i/>
        </w:rPr>
        <w:t xml:space="preserve">Hay un racismo estructural que se va acumulando y que genera un racismo no institucionalizado por las leyes, sino institucionalizado por la realidad sociológica. En mi época de estudiante, el racismo estaba más bien enmascarado. Había un sentido de igualdad, de progreso y de movilidad racial que aparentaba un modelo de igualdad entre todos, bajo un régimen totalitario que no distinguía básicamente entre blancos y negros, sino entre subordinados al estado y gente que se insubordinaba al estado. Se generó un fenómeno desde la política de que entonces las comunidades afrodescendientes tenían que sentirse agradecidas a la Revolución porque supuestamente había sido emancipados.  Aquí hay otra forma de racismo, un racismo con una base colonial española, que establece que los emancipados tienen que agradecerle al amo. La relación que se establece entonces entre la comunidad afrodescendiente y el sector que controla y domina el poder, es una relación de amo y siervo. El concepto de agradecimiento que viene del </w:t>
      </w:r>
      <w:proofErr w:type="gramStart"/>
      <w:r w:rsidRPr="00DF5BBF">
        <w:rPr>
          <w:rFonts w:ascii="Calibri" w:hAnsi="Calibri" w:cs="Calibri"/>
          <w:i/>
        </w:rPr>
        <w:t>catolicismo,</w:t>
      </w:r>
      <w:proofErr w:type="gramEnd"/>
      <w:r w:rsidRPr="00DF5BBF">
        <w:rPr>
          <w:rFonts w:ascii="Calibri" w:hAnsi="Calibri" w:cs="Calibri"/>
          <w:i/>
        </w:rPr>
        <w:t xml:space="preserve"> se instala como vínculo político entre los afrodescendientes. Entonces los afrodescendientes son los que peores viven y al mismo tiempo son los que tienen que agradecer haber sido emancipados. Esto del racismo se refleja también en las instituciones políticas, los afrodescendientes que están en el poder político son las vitrinas que necesita mostrar el régimen, pero ninguno de ellos toma las decisiones principales en el país. Esto vuele a reproducir el esquema racista en el país.</w:t>
      </w:r>
    </w:p>
    <w:p w14:paraId="0CC19AC8" w14:textId="77777777" w:rsidR="00797481" w:rsidRPr="00DF5BBF" w:rsidRDefault="00797481" w:rsidP="00DF5BBF">
      <w:pPr>
        <w:snapToGrid w:val="0"/>
        <w:spacing w:before="120" w:after="0" w:line="240" w:lineRule="auto"/>
        <w:jc w:val="both"/>
        <w:rPr>
          <w:rFonts w:ascii="Calibri" w:hAnsi="Calibri" w:cs="Calibri"/>
          <w:i/>
        </w:rPr>
      </w:pPr>
      <w:r w:rsidRPr="00DF5BBF">
        <w:rPr>
          <w:rFonts w:ascii="Calibri" w:hAnsi="Calibri" w:cs="Calibri"/>
          <w:i/>
        </w:rPr>
        <w:t xml:space="preserve">Ahora recordemos que vivimos en una sociedad no hipócrita, pero sí eufemística. Hay una especie de racismo cordial a nivel popular, a nivel del lenguaje, que permite decir a todos los blancos racistas, “mi mejor amigo es negro, aunque no se case con mi hermana”.  La cordialidad llega hasta el límite o frontera de entrar a la familia. La única manera de ir superando el racismo en la sociedad viene a partir de la integración cultural, religiosa y eso pasa por la intimidad, por el mestizaje racial que es fundamental para ir superando las bases racistas sobre las que se originaron. Lo que estamos viendo es ese cuadro definitivo en que el racismo funciona a nivel institucional, no a nivel de las leyes, no confundo institución con ley, aunque la ley es una institución. Me refiero por instituciones, a partir de los vínculos mayoritarios que se establecen en relaciones y segmentos amplios de la población y que se reproducen y se repiten, eso es </w:t>
      </w:r>
      <w:r w:rsidRPr="00DF5BBF">
        <w:rPr>
          <w:rFonts w:ascii="Calibri" w:hAnsi="Calibri" w:cs="Calibri"/>
          <w:i/>
        </w:rPr>
        <w:lastRenderedPageBreak/>
        <w:t>institución también. Allí hay también un nivel de racismo inmerso en el lenguaje, en la geografía urbana del país, y desde luego en la reproducción que se establece en las familias de élite. Alrededor de 50 000 familias son las que ostentan la mayor cantidad de riqueza posible en términos relativos en Cuba. De esas 50 000 familias, ni siquiera el 1% son familias afrodescendientes. Allí está explicito el racismo.</w:t>
      </w:r>
    </w:p>
    <w:p w14:paraId="7A5BB488" w14:textId="77777777" w:rsidR="00797481" w:rsidRPr="00DF5BBF" w:rsidRDefault="00797481" w:rsidP="00DF5BBF">
      <w:pPr>
        <w:snapToGrid w:val="0"/>
        <w:spacing w:before="120" w:after="0" w:line="240" w:lineRule="auto"/>
        <w:jc w:val="both"/>
        <w:rPr>
          <w:rFonts w:ascii="Calibri" w:hAnsi="Calibri" w:cs="Calibri"/>
          <w:i/>
        </w:rPr>
      </w:pPr>
      <w:r w:rsidRPr="00DF5BBF">
        <w:rPr>
          <w:rFonts w:ascii="Calibri" w:hAnsi="Calibri" w:cs="Calibri"/>
          <w:i/>
        </w:rPr>
        <w:t>Es un problema serio del cual salir va a costar muchísimo trabajo pero que hay que afrontar con valentía, con honestidad, con seriedad, no escondiendo el racismo debajo de la alfombra sino hablando ampliamente de él, confrontando a la sociedad de un modo maduro, con un lenguaje inclusivo, porque mi visión particular es justamente la de la integración. No la de explotar la identidad para hacer valer la dignidad de los afrodescendientes, sino la de buscar la integración desde el punto de partida que todos somos cubanos y debemos buscar la mejor relación social posible.</w:t>
      </w:r>
    </w:p>
    <w:p w14:paraId="2B29C95B" w14:textId="77777777" w:rsidR="00797481" w:rsidRPr="00DF5BBF" w:rsidRDefault="00A24228" w:rsidP="00DF5BBF">
      <w:pPr>
        <w:snapToGrid w:val="0"/>
        <w:spacing w:before="120" w:after="0" w:line="240" w:lineRule="auto"/>
        <w:jc w:val="both"/>
        <w:rPr>
          <w:rStyle w:val="fontstyle01"/>
          <w:sz w:val="22"/>
          <w:szCs w:val="22"/>
        </w:rPr>
      </w:pPr>
      <w:r w:rsidRPr="00DF5BBF">
        <w:rPr>
          <w:rStyle w:val="fontstyle01"/>
          <w:sz w:val="22"/>
          <w:szCs w:val="22"/>
        </w:rPr>
        <w:t>Fin.</w:t>
      </w:r>
    </w:p>
    <w:sectPr w:rsidR="00797481" w:rsidRPr="00DF5BBF" w:rsidSect="000F40E7">
      <w:headerReference w:type="default" r:id="rId8"/>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B1F6" w14:textId="77777777" w:rsidR="007E64BC" w:rsidRDefault="007E64BC" w:rsidP="00510E27">
      <w:pPr>
        <w:spacing w:after="0" w:line="240" w:lineRule="auto"/>
      </w:pPr>
      <w:r>
        <w:separator/>
      </w:r>
    </w:p>
  </w:endnote>
  <w:endnote w:type="continuationSeparator" w:id="0">
    <w:p w14:paraId="48DECB1A" w14:textId="77777777" w:rsidR="007E64BC" w:rsidRDefault="007E64BC" w:rsidP="00510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Bold">
    <w:altName w:val="Times New Roman"/>
    <w:panose1 w:val="020B0604020202020204"/>
    <w:charset w:val="00"/>
    <w:family w:val="roman"/>
    <w:notTrueType/>
    <w:pitch w:val="default"/>
  </w:font>
  <w:font w:name="BellMT">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E2EC" w14:textId="77777777" w:rsidR="007E64BC" w:rsidRDefault="007E64BC" w:rsidP="00510E27">
      <w:pPr>
        <w:spacing w:after="0" w:line="240" w:lineRule="auto"/>
      </w:pPr>
      <w:r>
        <w:separator/>
      </w:r>
    </w:p>
  </w:footnote>
  <w:footnote w:type="continuationSeparator" w:id="0">
    <w:p w14:paraId="3FAF41F0" w14:textId="77777777" w:rsidR="007E64BC" w:rsidRDefault="007E64BC" w:rsidP="00510E27">
      <w:pPr>
        <w:spacing w:after="0" w:line="240" w:lineRule="auto"/>
      </w:pPr>
      <w:r>
        <w:continuationSeparator/>
      </w:r>
    </w:p>
  </w:footnote>
  <w:footnote w:id="1">
    <w:p w14:paraId="454D8363" w14:textId="39C6F0B5" w:rsidR="00303101" w:rsidRPr="00DF5BBF" w:rsidRDefault="00303101"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r w:rsidRPr="00DF5BBF">
        <w:rPr>
          <w:rFonts w:ascii="Calibri" w:hAnsi="Calibri" w:cs="Calibri"/>
          <w:sz w:val="18"/>
          <w:szCs w:val="18"/>
          <w:lang w:val="es-ES_tradnl"/>
        </w:rPr>
        <w:t xml:space="preserve">Raza e Igualdad, En Cuba, la pobreza extrema afecta principalmente a las personas afrodescendientes de la Isla. 29 de octubre de 2024. Disponible en: </w:t>
      </w:r>
      <w:hyperlink r:id="rId1" w:anchor=":~:text=de%20la%20Isla-,En%20Cuba%2C%20la%20pobreza%20extrema%20afecta%20principalmente%20a,personas%20afrodescendientes%20de%20la%20Isla&amp;text=Cifras%20de%20un%20informe%20del,de%20desigualdad%20en%20este%20país" w:history="1">
        <w:r w:rsidRPr="00DF5BBF">
          <w:rPr>
            <w:rStyle w:val="Hyperlink"/>
            <w:rFonts w:ascii="Calibri" w:hAnsi="Calibri" w:cs="Calibri"/>
            <w:sz w:val="18"/>
            <w:szCs w:val="18"/>
            <w:lang w:val="es-ES_tradnl"/>
          </w:rPr>
          <w:t>https://raceandequality.org/es/resources/en-cuba-la-pobreza-extrema-afecta-principalmente-a-las-personas-afrodescendientes-de-la-isla/#:~:text=de%20la%20Isla-,En%20Cuba%2C%20la%20pobreza%20extrema%20afecta%20principalmente%20a,personas%20afrodescendientes%20de%20la%20Isla&amp;text=Cifras%20de%20un%20informe%20del,de%20desigualdad%20en%20este%20país</w:t>
        </w:r>
      </w:hyperlink>
      <w:r w:rsidRPr="00DF5BBF">
        <w:rPr>
          <w:rFonts w:ascii="Calibri" w:hAnsi="Calibri" w:cs="Calibri"/>
          <w:sz w:val="18"/>
          <w:szCs w:val="18"/>
          <w:lang w:val="es-ES_tradnl"/>
        </w:rPr>
        <w:t xml:space="preserve">. </w:t>
      </w:r>
    </w:p>
  </w:footnote>
  <w:footnote w:id="2">
    <w:p w14:paraId="5A9F22D9" w14:textId="3DEE9F68"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proofErr w:type="spellStart"/>
      <w:r w:rsidRPr="00DF5BBF">
        <w:rPr>
          <w:rFonts w:ascii="Calibri" w:hAnsi="Calibri" w:cs="Calibri"/>
          <w:sz w:val="18"/>
          <w:szCs w:val="18"/>
        </w:rPr>
        <w:t>Connectas</w:t>
      </w:r>
      <w:proofErr w:type="spellEnd"/>
      <w:r w:rsidRPr="00DF5BBF">
        <w:rPr>
          <w:rFonts w:ascii="Calibri" w:hAnsi="Calibri" w:cs="Calibri"/>
          <w:sz w:val="18"/>
          <w:szCs w:val="18"/>
        </w:rPr>
        <w:t xml:space="preserve">. Plataforma periodística para las américas. Artículo: La justicia no alcanza a los negros en La Isla. María Matienzo. </w:t>
      </w:r>
      <w:hyperlink r:id="rId2" w:history="1">
        <w:r w:rsidRPr="00DF5BBF">
          <w:rPr>
            <w:rStyle w:val="Hyperlink"/>
            <w:rFonts w:ascii="Calibri" w:hAnsi="Calibri" w:cs="Calibri"/>
            <w:sz w:val="18"/>
            <w:szCs w:val="18"/>
          </w:rPr>
          <w:t>https://www.connectas.org</w:t>
        </w:r>
      </w:hyperlink>
      <w:r w:rsidRPr="00DF5BBF">
        <w:rPr>
          <w:rFonts w:ascii="Calibri" w:hAnsi="Calibri" w:cs="Calibri"/>
          <w:sz w:val="18"/>
          <w:szCs w:val="18"/>
        </w:rPr>
        <w:t xml:space="preserve"> </w:t>
      </w:r>
    </w:p>
  </w:footnote>
  <w:footnote w:id="3">
    <w:p w14:paraId="6138FCE1" w14:textId="77777777"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Boletín Aponte No 83. PDF.</w:t>
      </w:r>
    </w:p>
  </w:footnote>
  <w:footnote w:id="4">
    <w:p w14:paraId="624A25BE" w14:textId="59D45762"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proofErr w:type="spellStart"/>
      <w:r w:rsidRPr="00DF5BBF">
        <w:rPr>
          <w:rFonts w:ascii="Calibri" w:hAnsi="Calibri" w:cs="Calibri"/>
          <w:sz w:val="18"/>
          <w:szCs w:val="18"/>
        </w:rPr>
        <w:t>Connectas</w:t>
      </w:r>
      <w:proofErr w:type="spellEnd"/>
      <w:r w:rsidRPr="00DF5BBF">
        <w:rPr>
          <w:rFonts w:ascii="Calibri" w:hAnsi="Calibri" w:cs="Calibri"/>
          <w:sz w:val="18"/>
          <w:szCs w:val="18"/>
        </w:rPr>
        <w:t xml:space="preserve">. Plataforma periodística para las américas. Artículo: La justicia no alcanza a los negros en La Isla. María Matienzo. </w:t>
      </w:r>
      <w:hyperlink r:id="rId3" w:history="1">
        <w:r w:rsidRPr="00DF5BBF">
          <w:rPr>
            <w:rStyle w:val="Hyperlink"/>
            <w:rFonts w:ascii="Calibri" w:hAnsi="Calibri" w:cs="Calibri"/>
            <w:sz w:val="18"/>
            <w:szCs w:val="18"/>
          </w:rPr>
          <w:t>https://www.connectas.org</w:t>
        </w:r>
      </w:hyperlink>
    </w:p>
  </w:footnote>
  <w:footnote w:id="5">
    <w:p w14:paraId="5196DA57" w14:textId="55E798E2"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proofErr w:type="spellStart"/>
      <w:r w:rsidRPr="00DF5BBF">
        <w:rPr>
          <w:rFonts w:ascii="Calibri" w:hAnsi="Calibri" w:cs="Calibri"/>
          <w:sz w:val="18"/>
          <w:szCs w:val="18"/>
        </w:rPr>
        <w:t>Connectas</w:t>
      </w:r>
      <w:proofErr w:type="spellEnd"/>
      <w:r w:rsidRPr="00DF5BBF">
        <w:rPr>
          <w:rFonts w:ascii="Calibri" w:hAnsi="Calibri" w:cs="Calibri"/>
          <w:sz w:val="18"/>
          <w:szCs w:val="18"/>
        </w:rPr>
        <w:t xml:space="preserve">. Plataforma periodística para las américas. Artículo: La justicia no alcanza a los negros en La Isla. María Matienzo. </w:t>
      </w:r>
      <w:hyperlink r:id="rId4" w:history="1">
        <w:r w:rsidRPr="00DF5BBF">
          <w:rPr>
            <w:rStyle w:val="Hyperlink"/>
            <w:rFonts w:ascii="Calibri" w:hAnsi="Calibri" w:cs="Calibri"/>
            <w:sz w:val="18"/>
            <w:szCs w:val="18"/>
          </w:rPr>
          <w:t>https://www.connectas.org</w:t>
        </w:r>
      </w:hyperlink>
    </w:p>
  </w:footnote>
  <w:footnote w:id="6">
    <w:p w14:paraId="2937721F" w14:textId="600F8E1F" w:rsidR="003A244E" w:rsidRPr="00DF5BBF" w:rsidRDefault="003A244E"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r w:rsidR="00303101" w:rsidRPr="00DF5BBF">
        <w:rPr>
          <w:rFonts w:ascii="Calibri" w:hAnsi="Calibri" w:cs="Calibri"/>
          <w:sz w:val="18"/>
          <w:szCs w:val="18"/>
        </w:rPr>
        <w:t>Observatorio Cubano de Derechos Humanos, El Estado de los derechos sociales en Cuba</w:t>
      </w:r>
      <w:r w:rsidRPr="00DF5BBF">
        <w:rPr>
          <w:rFonts w:ascii="Calibri" w:hAnsi="Calibri" w:cs="Calibri"/>
          <w:sz w:val="18"/>
          <w:szCs w:val="18"/>
        </w:rPr>
        <w:t>.</w:t>
      </w:r>
      <w:r w:rsidR="00303101" w:rsidRPr="00DF5BBF">
        <w:rPr>
          <w:rFonts w:ascii="Calibri" w:hAnsi="Calibri" w:cs="Calibri"/>
          <w:sz w:val="18"/>
          <w:szCs w:val="18"/>
        </w:rPr>
        <w:t xml:space="preserve"> Disponible en: </w:t>
      </w:r>
      <w:hyperlink r:id="rId5" w:history="1">
        <w:r w:rsidR="00303101" w:rsidRPr="00DF5BBF">
          <w:rPr>
            <w:rStyle w:val="Hyperlink"/>
            <w:rFonts w:ascii="Calibri" w:hAnsi="Calibri" w:cs="Calibri"/>
            <w:sz w:val="18"/>
            <w:szCs w:val="18"/>
          </w:rPr>
          <w:t>https://derechossocialescuba.com/el-estado-de-los-derechos-sociales-en-cuba-informe-6-2023/</w:t>
        </w:r>
      </w:hyperlink>
      <w:r w:rsidR="00303101" w:rsidRPr="00DF5BBF">
        <w:rPr>
          <w:rFonts w:ascii="Calibri" w:hAnsi="Calibri" w:cs="Calibri"/>
          <w:sz w:val="18"/>
          <w:szCs w:val="18"/>
        </w:rPr>
        <w:t xml:space="preserve"> </w:t>
      </w:r>
    </w:p>
  </w:footnote>
  <w:footnote w:id="7">
    <w:p w14:paraId="046B9EFF" w14:textId="77777777" w:rsidR="001E1C16" w:rsidRPr="00DF5BBF" w:rsidRDefault="001E1C16"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2022, Capítulo IV B Cuba, párr. 161.</w:t>
      </w:r>
    </w:p>
  </w:footnote>
  <w:footnote w:id="8">
    <w:p w14:paraId="2FBF5C67" w14:textId="77777777" w:rsidR="001E1C16" w:rsidRPr="00DF5BBF" w:rsidRDefault="001E1C16"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133.</w:t>
      </w:r>
    </w:p>
  </w:footnote>
  <w:footnote w:id="9">
    <w:p w14:paraId="5B48A4FF" w14:textId="77777777" w:rsidR="001E1C16" w:rsidRPr="00DF5BBF" w:rsidRDefault="001E1C16"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2022, Capítulo IV B Cuba, párr. 161.</w:t>
      </w:r>
    </w:p>
  </w:footnote>
  <w:footnote w:id="10">
    <w:p w14:paraId="2642E967" w14:textId="045DBAD3" w:rsidR="001E1C16" w:rsidRPr="00DF5BBF" w:rsidRDefault="001E1C16"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proofErr w:type="spellStart"/>
      <w:r w:rsidRPr="00DF5BBF">
        <w:rPr>
          <w:rFonts w:ascii="Calibri" w:hAnsi="Calibri" w:cs="Calibri"/>
          <w:sz w:val="18"/>
          <w:szCs w:val="18"/>
          <w:lang w:val="es-ES_tradnl"/>
        </w:rPr>
        <w:t>Cubalex</w:t>
      </w:r>
      <w:proofErr w:type="spellEnd"/>
      <w:r w:rsidRPr="00DF5BBF">
        <w:rPr>
          <w:rFonts w:ascii="Calibri" w:hAnsi="Calibri" w:cs="Calibri"/>
          <w:sz w:val="18"/>
          <w:szCs w:val="18"/>
          <w:lang w:val="es-ES_tradnl"/>
        </w:rPr>
        <w:t xml:space="preserve">, 11J: Análisis del sesgo racial en las sentencias por sedición en Cuba. Disponible en: </w:t>
      </w:r>
      <w:hyperlink r:id="rId6" w:history="1">
        <w:r w:rsidRPr="00DF5BBF">
          <w:rPr>
            <w:rStyle w:val="Hyperlink"/>
            <w:rFonts w:ascii="Calibri" w:hAnsi="Calibri" w:cs="Calibri"/>
            <w:sz w:val="18"/>
            <w:szCs w:val="18"/>
            <w:lang w:val="es-ES_tradnl"/>
          </w:rPr>
          <w:t>https://cubalex.org/2024/09/05/11j-analisis-del-sesgo-racial-en-las-sentencias-por-sedicion-en-cuba/</w:t>
        </w:r>
      </w:hyperlink>
      <w:r w:rsidRPr="00DF5BBF">
        <w:rPr>
          <w:rFonts w:ascii="Calibri" w:hAnsi="Calibri" w:cs="Calibri"/>
          <w:sz w:val="18"/>
          <w:szCs w:val="18"/>
          <w:lang w:val="es-ES_tradnl"/>
        </w:rPr>
        <w:t xml:space="preserve"> </w:t>
      </w:r>
    </w:p>
  </w:footnote>
  <w:footnote w:id="11">
    <w:p w14:paraId="00397D6B" w14:textId="67CF992C" w:rsidR="001E1C16" w:rsidRPr="00DF5BBF" w:rsidRDefault="001E1C16"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proofErr w:type="spellStart"/>
      <w:r w:rsidRPr="00DF5BBF">
        <w:rPr>
          <w:rFonts w:ascii="Calibri" w:hAnsi="Calibri" w:cs="Calibri"/>
          <w:sz w:val="18"/>
          <w:szCs w:val="18"/>
          <w:lang w:val="es-ES_tradnl"/>
        </w:rPr>
        <w:t>Cubalex</w:t>
      </w:r>
      <w:proofErr w:type="spellEnd"/>
      <w:r w:rsidRPr="00DF5BBF">
        <w:rPr>
          <w:rFonts w:ascii="Calibri" w:hAnsi="Calibri" w:cs="Calibri"/>
          <w:sz w:val="18"/>
          <w:szCs w:val="18"/>
          <w:lang w:val="es-ES_tradnl"/>
        </w:rPr>
        <w:t xml:space="preserve">, 11J: Análisis del sesgo racial en las sentencias por sedición en Cuba. Disponible en: </w:t>
      </w:r>
      <w:hyperlink r:id="rId7" w:history="1">
        <w:r w:rsidRPr="00DF5BBF">
          <w:rPr>
            <w:rStyle w:val="Hyperlink"/>
            <w:rFonts w:ascii="Calibri" w:hAnsi="Calibri" w:cs="Calibri"/>
            <w:sz w:val="18"/>
            <w:szCs w:val="18"/>
            <w:lang w:val="es-ES_tradnl"/>
          </w:rPr>
          <w:t>https://cubalex.org/2024/09/05/11j-analisis-del-sesgo-racial-en-las-sentencias-por-sedicion-en-cuba/</w:t>
        </w:r>
      </w:hyperlink>
    </w:p>
  </w:footnote>
  <w:footnote w:id="12">
    <w:p w14:paraId="386B9DF0" w14:textId="77777777" w:rsidR="008A4E30" w:rsidRPr="00DF5BBF" w:rsidRDefault="008A4E30"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2022, Capítulo IV B Cuba, párr. 160. Véase también, CIDH, Informe anual 2021, Capítulo IV B Cuba, párr. 116; y CIDH, Derechos laborales y sindicales en Cuba, párr. 181.</w:t>
      </w:r>
    </w:p>
  </w:footnote>
  <w:footnote w:id="13">
    <w:p w14:paraId="1396D84E" w14:textId="77777777" w:rsidR="008A4E30" w:rsidRPr="00DF5BBF" w:rsidRDefault="008A4E30"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2022, Capítulo IV B Cuba, párr. 160. Véase también, CIDH, Situación de los derechos humanos en Cuba, 2020, párr. 293.</w:t>
      </w:r>
    </w:p>
  </w:footnote>
  <w:footnote w:id="14">
    <w:p w14:paraId="1CF4F331" w14:textId="77777777" w:rsidR="008A4E30" w:rsidRPr="00DF5BBF" w:rsidRDefault="008A4E30"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131.</w:t>
      </w:r>
    </w:p>
  </w:footnote>
  <w:footnote w:id="15">
    <w:p w14:paraId="5B18D6F3"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Intervención de Rodolfo Reyes Rodríguez, </w:t>
      </w:r>
      <w:proofErr w:type="gramStart"/>
      <w:r w:rsidRPr="00DF5BBF">
        <w:rPr>
          <w:rFonts w:ascii="Calibri" w:hAnsi="Calibri" w:cs="Calibri"/>
          <w:sz w:val="18"/>
          <w:szCs w:val="18"/>
          <w:lang w:val="es-ES_tradnl"/>
        </w:rPr>
        <w:t>Director General</w:t>
      </w:r>
      <w:proofErr w:type="gramEnd"/>
      <w:r w:rsidRPr="00DF5BBF">
        <w:rPr>
          <w:rFonts w:ascii="Calibri" w:hAnsi="Calibri" w:cs="Calibri"/>
          <w:sz w:val="18"/>
          <w:szCs w:val="18"/>
          <w:lang w:val="es-ES_tradnl"/>
        </w:rPr>
        <w:t xml:space="preserve"> de Asuntos Multilaterales Y Derecho Internacional de la Cancillería de Cuba Y </w:t>
      </w:r>
      <w:proofErr w:type="gramStart"/>
      <w:r w:rsidRPr="00DF5BBF">
        <w:rPr>
          <w:rFonts w:ascii="Calibri" w:hAnsi="Calibri" w:cs="Calibri"/>
          <w:sz w:val="18"/>
          <w:szCs w:val="18"/>
          <w:lang w:val="es-ES_tradnl"/>
        </w:rPr>
        <w:t>Jefe</w:t>
      </w:r>
      <w:proofErr w:type="gramEnd"/>
      <w:r w:rsidRPr="00DF5BBF">
        <w:rPr>
          <w:rFonts w:ascii="Calibri" w:hAnsi="Calibri" w:cs="Calibri"/>
          <w:sz w:val="18"/>
          <w:szCs w:val="18"/>
          <w:lang w:val="es-ES_tradnl"/>
        </w:rPr>
        <w:t xml:space="preserve"> de la Delegación Cubana en la presentación del Informe Periódico de Cuba al Comité para la Eliminación de la Discriminación Racial. Ginebra, Suiza, 15 de agosto De 2018</w:t>
      </w:r>
    </w:p>
  </w:footnote>
  <w:footnote w:id="16">
    <w:p w14:paraId="62FB1B97"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Ver, por ejemplo, intervención de </w:t>
      </w:r>
      <w:proofErr w:type="spellStart"/>
      <w:r w:rsidRPr="00DF5BBF">
        <w:rPr>
          <w:rFonts w:ascii="Calibri" w:hAnsi="Calibri" w:cs="Calibri"/>
          <w:sz w:val="18"/>
          <w:szCs w:val="18"/>
          <w:lang w:val="es-ES_tradnl"/>
        </w:rPr>
        <w:t>Greisy</w:t>
      </w:r>
      <w:proofErr w:type="spellEnd"/>
      <w:r w:rsidRPr="00DF5BBF">
        <w:rPr>
          <w:rFonts w:ascii="Calibri" w:hAnsi="Calibri" w:cs="Calibri"/>
          <w:sz w:val="18"/>
          <w:szCs w:val="18"/>
          <w:lang w:val="es-ES_tradnl"/>
        </w:rPr>
        <w:t xml:space="preserve"> Cordero Suárez, Tercera </w:t>
      </w:r>
      <w:proofErr w:type="gramStart"/>
      <w:r w:rsidRPr="00DF5BBF">
        <w:rPr>
          <w:rFonts w:ascii="Calibri" w:hAnsi="Calibri" w:cs="Calibri"/>
          <w:sz w:val="18"/>
          <w:szCs w:val="18"/>
          <w:lang w:val="es-ES_tradnl"/>
        </w:rPr>
        <w:t>Secretaria</w:t>
      </w:r>
      <w:proofErr w:type="gramEnd"/>
      <w:r w:rsidRPr="00DF5BBF">
        <w:rPr>
          <w:rFonts w:ascii="Calibri" w:hAnsi="Calibri" w:cs="Calibri"/>
          <w:sz w:val="18"/>
          <w:szCs w:val="18"/>
          <w:lang w:val="es-ES_tradnl"/>
        </w:rPr>
        <w:t xml:space="preserve"> del Consejo de Derechos Humanos de la Misión Permanente de Cuba, ante la Oficina de las Naciones Unidas en Ginebra, realizada durante el tercer período de sesiones del III Foro de Afrodescendientes, Ginebra, entre el 16 y el 19 abril 2024. Disponible en: </w:t>
      </w:r>
      <w:hyperlink r:id="rId8" w:history="1">
        <w:r w:rsidRPr="00DF5BBF">
          <w:rPr>
            <w:rStyle w:val="Hyperlink"/>
            <w:rFonts w:ascii="Calibri" w:hAnsi="Calibri" w:cs="Calibri"/>
            <w:sz w:val="18"/>
            <w:szCs w:val="18"/>
            <w:lang w:val="es-ES_tradnl"/>
          </w:rPr>
          <w:t>https://alastensas.com/multimedias/mision-cubana-en-ginebra-la-revolucion-cubana-elimino-para-siempre-la-discriminacion-racial/</w:t>
        </w:r>
      </w:hyperlink>
      <w:r w:rsidRPr="00DF5BBF">
        <w:rPr>
          <w:rFonts w:ascii="Calibri" w:hAnsi="Calibri" w:cs="Calibri"/>
          <w:sz w:val="18"/>
          <w:szCs w:val="18"/>
          <w:lang w:val="es-ES_tradnl"/>
        </w:rPr>
        <w:t xml:space="preserve"> </w:t>
      </w:r>
    </w:p>
  </w:footnote>
  <w:footnote w:id="17">
    <w:p w14:paraId="565E5E99"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Ver, por ejemplo, intervención de </w:t>
      </w:r>
      <w:proofErr w:type="spellStart"/>
      <w:r w:rsidRPr="00DF5BBF">
        <w:rPr>
          <w:rFonts w:ascii="Calibri" w:hAnsi="Calibri" w:cs="Calibri"/>
          <w:sz w:val="18"/>
          <w:szCs w:val="18"/>
          <w:lang w:val="es-ES_tradnl"/>
        </w:rPr>
        <w:t>Greisy</w:t>
      </w:r>
      <w:proofErr w:type="spellEnd"/>
      <w:r w:rsidRPr="00DF5BBF">
        <w:rPr>
          <w:rFonts w:ascii="Calibri" w:hAnsi="Calibri" w:cs="Calibri"/>
          <w:sz w:val="18"/>
          <w:szCs w:val="18"/>
          <w:lang w:val="es-ES_tradnl"/>
        </w:rPr>
        <w:t xml:space="preserve"> Cordero Suárez, Tercera </w:t>
      </w:r>
      <w:proofErr w:type="gramStart"/>
      <w:r w:rsidRPr="00DF5BBF">
        <w:rPr>
          <w:rFonts w:ascii="Calibri" w:hAnsi="Calibri" w:cs="Calibri"/>
          <w:sz w:val="18"/>
          <w:szCs w:val="18"/>
          <w:lang w:val="es-ES_tradnl"/>
        </w:rPr>
        <w:t>Secretaria</w:t>
      </w:r>
      <w:proofErr w:type="gramEnd"/>
      <w:r w:rsidRPr="00DF5BBF">
        <w:rPr>
          <w:rFonts w:ascii="Calibri" w:hAnsi="Calibri" w:cs="Calibri"/>
          <w:sz w:val="18"/>
          <w:szCs w:val="18"/>
          <w:lang w:val="es-ES_tradnl"/>
        </w:rPr>
        <w:t xml:space="preserve"> del Consejo de Derechos Humanos de la Misión Permanente de Cuba, ante la Oficina de las Naciones Unidas en Ginebra, realizada durante el tercer período de sesiones del III Foro de Afrodescendientes, Ginebra, entre el 16 y el 19 abril 2024. Disponible en: </w:t>
      </w:r>
      <w:hyperlink r:id="rId9" w:history="1">
        <w:r w:rsidRPr="00DF5BBF">
          <w:rPr>
            <w:rStyle w:val="Hyperlink"/>
            <w:rFonts w:ascii="Calibri" w:hAnsi="Calibri" w:cs="Calibri"/>
            <w:sz w:val="18"/>
            <w:szCs w:val="18"/>
            <w:lang w:val="es-ES_tradnl"/>
          </w:rPr>
          <w:t>https://alastensas.com/multimedias/mision-cubana-en-ginebra-la-revolucion-cubana-elimino-para-siempre-la-discriminacion-racial/</w:t>
        </w:r>
      </w:hyperlink>
      <w:r w:rsidRPr="00DF5BBF">
        <w:rPr>
          <w:rFonts w:ascii="Calibri" w:hAnsi="Calibri" w:cs="Calibri"/>
          <w:sz w:val="18"/>
          <w:szCs w:val="18"/>
          <w:lang w:val="es-ES_tradnl"/>
        </w:rPr>
        <w:t xml:space="preserve"> </w:t>
      </w:r>
    </w:p>
  </w:footnote>
  <w:footnote w:id="18">
    <w:p w14:paraId="7D5FFF40"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212.a). (negrita por fuera del original)</w:t>
      </w:r>
    </w:p>
  </w:footnote>
  <w:footnote w:id="19">
    <w:p w14:paraId="66D03B20"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316. (negrita por fuera del original)</w:t>
      </w:r>
    </w:p>
  </w:footnote>
  <w:footnote w:id="20">
    <w:p w14:paraId="5D7924A6"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Programa Nacional contra el Racismo y la Discriminación Racial, pág. 2. Disponible en: </w:t>
      </w:r>
      <w:hyperlink r:id="rId10" w:history="1">
        <w:r w:rsidRPr="00DF5BBF">
          <w:rPr>
            <w:rStyle w:val="Hyperlink"/>
            <w:rFonts w:ascii="Calibri" w:hAnsi="Calibri" w:cs="Calibri"/>
            <w:sz w:val="18"/>
            <w:szCs w:val="18"/>
            <w:lang w:val="es-ES_tradnl"/>
          </w:rPr>
          <w:t>https://www.ics.gob.cu/wp-content/uploads/2024/02/programa-nacional-contra-el-racismo-y-la-discriminacion-racial-pdf-final.pdf</w:t>
        </w:r>
      </w:hyperlink>
      <w:r w:rsidRPr="00DF5BBF">
        <w:rPr>
          <w:rFonts w:ascii="Calibri" w:hAnsi="Calibri" w:cs="Calibri"/>
          <w:sz w:val="18"/>
          <w:szCs w:val="18"/>
          <w:lang w:val="es-ES_tradnl"/>
        </w:rPr>
        <w:t xml:space="preserve"> </w:t>
      </w:r>
    </w:p>
  </w:footnote>
  <w:footnote w:id="21">
    <w:p w14:paraId="0B7FCEF9"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Violencia policial contra afrodescendientes en Estados Unidos, párr. 48.</w:t>
      </w:r>
    </w:p>
  </w:footnote>
  <w:footnote w:id="22">
    <w:p w14:paraId="4133D1B1"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Recomendación general </w:t>
      </w:r>
      <w:proofErr w:type="spellStart"/>
      <w:r w:rsidRPr="00DF5BBF">
        <w:rPr>
          <w:rFonts w:ascii="Calibri" w:hAnsi="Calibri" w:cs="Calibri"/>
          <w:sz w:val="18"/>
          <w:szCs w:val="18"/>
          <w:lang w:val="es-ES_tradnl"/>
        </w:rPr>
        <w:t>Nº</w:t>
      </w:r>
      <w:proofErr w:type="spellEnd"/>
      <w:r w:rsidRPr="00DF5BBF">
        <w:rPr>
          <w:rFonts w:ascii="Calibri" w:hAnsi="Calibri" w:cs="Calibri"/>
          <w:sz w:val="18"/>
          <w:szCs w:val="18"/>
          <w:lang w:val="es-ES_tradnl"/>
        </w:rPr>
        <w:t xml:space="preserve"> 34 aprobada por el Comité Discriminación racial contra afrodescendientes. CERD/C/GC/34. 3 de octubre de 2011, párr. 6.</w:t>
      </w:r>
    </w:p>
  </w:footnote>
  <w:footnote w:id="23">
    <w:p w14:paraId="7C0045B8"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Violencia policial contra afrodescendientes en Estados Unidos, párr. 48.</w:t>
      </w:r>
    </w:p>
  </w:footnote>
  <w:footnote w:id="24">
    <w:p w14:paraId="317F9C8E"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212.a). (negrita por fuera del original)</w:t>
      </w:r>
    </w:p>
  </w:footnote>
  <w:footnote w:id="25">
    <w:p w14:paraId="07A5BF0B" w14:textId="77777777" w:rsidR="00903B67" w:rsidRPr="00DF5BBF" w:rsidRDefault="00903B6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Programa Color Cubano, Video: principales resultados del trabajo 2019-2023. Disponible en: </w:t>
      </w:r>
      <w:hyperlink r:id="rId11" w:history="1">
        <w:r w:rsidRPr="00DF5BBF">
          <w:rPr>
            <w:rStyle w:val="Hyperlink"/>
            <w:rFonts w:ascii="Calibri" w:hAnsi="Calibri" w:cs="Calibri"/>
            <w:sz w:val="18"/>
            <w:szCs w:val="18"/>
            <w:lang w:val="es-ES_tradnl"/>
          </w:rPr>
          <w:t>https://www.programacolorcubano.cult.cu/biblioteca/video/5</w:t>
        </w:r>
      </w:hyperlink>
      <w:r w:rsidRPr="00DF5BBF">
        <w:rPr>
          <w:rFonts w:ascii="Calibri" w:hAnsi="Calibri" w:cs="Calibri"/>
          <w:sz w:val="18"/>
          <w:szCs w:val="18"/>
          <w:lang w:val="es-ES_tradnl"/>
        </w:rPr>
        <w:t xml:space="preserve"> </w:t>
      </w:r>
    </w:p>
  </w:footnote>
  <w:footnote w:id="26">
    <w:p w14:paraId="00568449"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Intervención de Rodolfo Reyes Rodríguez, </w:t>
      </w:r>
      <w:proofErr w:type="gramStart"/>
      <w:r w:rsidRPr="00DF5BBF">
        <w:rPr>
          <w:rFonts w:ascii="Calibri" w:hAnsi="Calibri" w:cs="Calibri"/>
          <w:sz w:val="18"/>
          <w:szCs w:val="18"/>
          <w:lang w:val="es-ES_tradnl"/>
        </w:rPr>
        <w:t>Director General</w:t>
      </w:r>
      <w:proofErr w:type="gramEnd"/>
      <w:r w:rsidRPr="00DF5BBF">
        <w:rPr>
          <w:rFonts w:ascii="Calibri" w:hAnsi="Calibri" w:cs="Calibri"/>
          <w:sz w:val="18"/>
          <w:szCs w:val="18"/>
          <w:lang w:val="es-ES_tradnl"/>
        </w:rPr>
        <w:t xml:space="preserve"> de Asuntos Multilaterales Y Derecho Internacional de la Cancillería de Cuba Y </w:t>
      </w:r>
      <w:proofErr w:type="gramStart"/>
      <w:r w:rsidRPr="00DF5BBF">
        <w:rPr>
          <w:rFonts w:ascii="Calibri" w:hAnsi="Calibri" w:cs="Calibri"/>
          <w:sz w:val="18"/>
          <w:szCs w:val="18"/>
          <w:lang w:val="es-ES_tradnl"/>
        </w:rPr>
        <w:t>Jefe</w:t>
      </w:r>
      <w:proofErr w:type="gramEnd"/>
      <w:r w:rsidRPr="00DF5BBF">
        <w:rPr>
          <w:rFonts w:ascii="Calibri" w:hAnsi="Calibri" w:cs="Calibri"/>
          <w:sz w:val="18"/>
          <w:szCs w:val="18"/>
          <w:lang w:val="es-ES_tradnl"/>
        </w:rPr>
        <w:t xml:space="preserve"> de la Delegación Cubana en la presentación del Informe Periódico de Cuba al Comité para la Eliminación de la Discriminación Racial. Ginebra, Suiza, 15 de agosto De 2018</w:t>
      </w:r>
    </w:p>
  </w:footnote>
  <w:footnote w:id="27">
    <w:p w14:paraId="121D9800"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Intervención de Rodolfo Reyes Rodríguez, </w:t>
      </w:r>
      <w:proofErr w:type="gramStart"/>
      <w:r w:rsidRPr="00DF5BBF">
        <w:rPr>
          <w:rFonts w:ascii="Calibri" w:hAnsi="Calibri" w:cs="Calibri"/>
          <w:sz w:val="18"/>
          <w:szCs w:val="18"/>
          <w:lang w:val="es-ES_tradnl"/>
        </w:rPr>
        <w:t>Director General</w:t>
      </w:r>
      <w:proofErr w:type="gramEnd"/>
      <w:r w:rsidRPr="00DF5BBF">
        <w:rPr>
          <w:rFonts w:ascii="Calibri" w:hAnsi="Calibri" w:cs="Calibri"/>
          <w:sz w:val="18"/>
          <w:szCs w:val="18"/>
          <w:lang w:val="es-ES_tradnl"/>
        </w:rPr>
        <w:t xml:space="preserve"> de Asuntos Multilaterales Y Derecho Internacional de la Cancillería de Cuba Y </w:t>
      </w:r>
      <w:proofErr w:type="gramStart"/>
      <w:r w:rsidRPr="00DF5BBF">
        <w:rPr>
          <w:rFonts w:ascii="Calibri" w:hAnsi="Calibri" w:cs="Calibri"/>
          <w:sz w:val="18"/>
          <w:szCs w:val="18"/>
          <w:lang w:val="es-ES_tradnl"/>
        </w:rPr>
        <w:t>Jefe</w:t>
      </w:r>
      <w:proofErr w:type="gramEnd"/>
      <w:r w:rsidRPr="00DF5BBF">
        <w:rPr>
          <w:rFonts w:ascii="Calibri" w:hAnsi="Calibri" w:cs="Calibri"/>
          <w:sz w:val="18"/>
          <w:szCs w:val="18"/>
          <w:lang w:val="es-ES_tradnl"/>
        </w:rPr>
        <w:t xml:space="preserve"> de la Delegación Cubana en la presentación del Informe Periódico de Cuba al Comité para la Eliminación de la Discriminación Racial. Ginebra, Suiza, 15 de agosto De 2018</w:t>
      </w:r>
    </w:p>
  </w:footnote>
  <w:footnote w:id="28">
    <w:p w14:paraId="145CE350"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Programa Color Cubano, Cuba: etnia, genética y colores de piel. Disponible en:  </w:t>
      </w:r>
      <w:hyperlink r:id="rId12" w:history="1">
        <w:r w:rsidRPr="00DF5BBF">
          <w:rPr>
            <w:rStyle w:val="Hyperlink"/>
            <w:rFonts w:ascii="Calibri" w:hAnsi="Calibri" w:cs="Calibri"/>
            <w:sz w:val="18"/>
            <w:szCs w:val="18"/>
            <w:lang w:val="es-ES_tradnl"/>
          </w:rPr>
          <w:t>https://www.programacolorcubano.cult.cu/centro/cuba</w:t>
        </w:r>
      </w:hyperlink>
      <w:r w:rsidRPr="00DF5BBF">
        <w:rPr>
          <w:rFonts w:ascii="Calibri" w:hAnsi="Calibri" w:cs="Calibri"/>
          <w:sz w:val="18"/>
          <w:szCs w:val="18"/>
          <w:lang w:val="es-ES_tradnl"/>
        </w:rPr>
        <w:t xml:space="preserve"> </w:t>
      </w:r>
    </w:p>
  </w:footnote>
  <w:footnote w:id="29">
    <w:p w14:paraId="4A893575"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Programa Color Cubano, Primeras memorias 2019-2023, pág. 20. Disponible en: </w:t>
      </w:r>
      <w:hyperlink r:id="rId13" w:history="1">
        <w:r w:rsidRPr="00DF5BBF">
          <w:rPr>
            <w:rStyle w:val="Hyperlink"/>
            <w:rFonts w:ascii="Calibri" w:hAnsi="Calibri" w:cs="Calibri"/>
            <w:sz w:val="18"/>
            <w:szCs w:val="18"/>
            <w:lang w:val="es-ES_tradnl"/>
          </w:rPr>
          <w:t>https://www.programacolorcubano.cult.cu/biblioteca/pdf/6</w:t>
        </w:r>
      </w:hyperlink>
      <w:r w:rsidRPr="00DF5BBF">
        <w:rPr>
          <w:rFonts w:ascii="Calibri" w:hAnsi="Calibri" w:cs="Calibri"/>
          <w:sz w:val="18"/>
          <w:szCs w:val="18"/>
          <w:lang w:val="es-ES_tradnl"/>
        </w:rPr>
        <w:t xml:space="preserve"> </w:t>
      </w:r>
    </w:p>
  </w:footnote>
  <w:footnote w:id="30">
    <w:p w14:paraId="0CD49AC9"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Conceptualización de la etnicidad cubana, pág. 18. Disponible en: </w:t>
      </w:r>
      <w:hyperlink r:id="rId14" w:history="1">
        <w:r w:rsidRPr="00DF5BBF">
          <w:rPr>
            <w:rStyle w:val="Hyperlink"/>
            <w:rFonts w:ascii="Calibri" w:hAnsi="Calibri" w:cs="Calibri"/>
            <w:sz w:val="18"/>
            <w:szCs w:val="18"/>
            <w:lang w:val="es-ES_tradnl"/>
          </w:rPr>
          <w:t>https://www.programacolorcubano.cult.cu/biblioteca/pdf/7</w:t>
        </w:r>
      </w:hyperlink>
      <w:r w:rsidRPr="00DF5BBF">
        <w:rPr>
          <w:rFonts w:ascii="Calibri" w:hAnsi="Calibri" w:cs="Calibri"/>
          <w:sz w:val="18"/>
          <w:szCs w:val="18"/>
          <w:lang w:val="es-ES_tradnl"/>
        </w:rPr>
        <w:t xml:space="preserve"> </w:t>
      </w:r>
    </w:p>
  </w:footnote>
  <w:footnote w:id="31">
    <w:p w14:paraId="5342CF6F"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Conceptualización de la etnicidad cubana, pág. 33. Disponible en: </w:t>
      </w:r>
      <w:hyperlink r:id="rId15" w:history="1">
        <w:r w:rsidRPr="00DF5BBF">
          <w:rPr>
            <w:rStyle w:val="Hyperlink"/>
            <w:rFonts w:ascii="Calibri" w:hAnsi="Calibri" w:cs="Calibri"/>
            <w:sz w:val="18"/>
            <w:szCs w:val="18"/>
            <w:lang w:val="es-ES_tradnl"/>
          </w:rPr>
          <w:t>https://www.programacolorcubano.cult.cu/biblioteca/pdf/7</w:t>
        </w:r>
      </w:hyperlink>
    </w:p>
  </w:footnote>
  <w:footnote w:id="32">
    <w:p w14:paraId="451CBAED"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211.</w:t>
      </w:r>
    </w:p>
  </w:footnote>
  <w:footnote w:id="33">
    <w:p w14:paraId="7A3BFB9F" w14:textId="77777777" w:rsidR="00F12382" w:rsidRPr="00DF5BBF" w:rsidRDefault="00F1238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La situación de las personas afrodescendientes en las Américas, párr. 25.</w:t>
      </w:r>
    </w:p>
  </w:footnote>
  <w:footnote w:id="34">
    <w:p w14:paraId="68A1EB84"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Observaciones finales sobre los informes periódicos 19º a 21º combinados del Estado cubano. CERD/C/CUB/CO/19-21. 20 de septiembre de 2018, párr. 9.</w:t>
      </w:r>
    </w:p>
  </w:footnote>
  <w:footnote w:id="35">
    <w:p w14:paraId="26D503DE"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Observaciones finales sobre los informes periódicos 19º a 21º combinados del Estado cubano. CERD/C/CUB/CO/19-21. 20 de septiembre de 2018, párr. 10.</w:t>
      </w:r>
    </w:p>
  </w:footnote>
  <w:footnote w:id="36">
    <w:p w14:paraId="5502181D"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2020, Capítulo IV B Cuba, párr. 114.</w:t>
      </w:r>
    </w:p>
  </w:footnote>
  <w:footnote w:id="37">
    <w:p w14:paraId="4A6237C9" w14:textId="77777777" w:rsidR="000A0C53" w:rsidRPr="00DF5BBF" w:rsidRDefault="000A0C5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Revolución cubana vs r</w:t>
      </w:r>
      <w:r w:rsidR="00782C3D" w:rsidRPr="00DF5BBF">
        <w:rPr>
          <w:rFonts w:ascii="Calibri" w:hAnsi="Calibri" w:cs="Calibri"/>
          <w:sz w:val="18"/>
          <w:szCs w:val="18"/>
        </w:rPr>
        <w:t>acismo. Colectivo de autores del Grupo Coordinador Ejecutivo de la Comisión Nacional. Programa Nacional contra el Racismo y la Discriminación Racial. PDF.</w:t>
      </w:r>
      <w:r w:rsidR="00474EEB" w:rsidRPr="00DF5BBF">
        <w:rPr>
          <w:rFonts w:ascii="Calibri" w:hAnsi="Calibri" w:cs="Calibri"/>
          <w:sz w:val="18"/>
          <w:szCs w:val="18"/>
        </w:rPr>
        <w:t xml:space="preserve"> Instituto Cubano del Libro. </w:t>
      </w:r>
      <w:hyperlink r:id="rId16" w:history="1">
        <w:r w:rsidR="0036722C" w:rsidRPr="00DF5BBF">
          <w:rPr>
            <w:rStyle w:val="Hyperlink"/>
            <w:rFonts w:ascii="Calibri" w:hAnsi="Calibri" w:cs="Calibri"/>
            <w:sz w:val="18"/>
            <w:szCs w:val="18"/>
          </w:rPr>
          <w:t>www.nuevomilenio.cult.cu</w:t>
        </w:r>
      </w:hyperlink>
      <w:r w:rsidR="0036722C" w:rsidRPr="00DF5BBF">
        <w:rPr>
          <w:rFonts w:ascii="Calibri" w:hAnsi="Calibri" w:cs="Calibri"/>
          <w:sz w:val="18"/>
          <w:szCs w:val="18"/>
        </w:rPr>
        <w:t xml:space="preserve"> </w:t>
      </w:r>
    </w:p>
  </w:footnote>
  <w:footnote w:id="38">
    <w:p w14:paraId="28C355CA" w14:textId="0D0419E1" w:rsidR="0009063B" w:rsidRPr="00DF5BBF" w:rsidRDefault="0009063B"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r w:rsidR="004D0117" w:rsidRPr="00DF5BBF">
        <w:rPr>
          <w:rFonts w:ascii="Calibri" w:hAnsi="Calibri" w:cs="Calibri"/>
          <w:sz w:val="18"/>
          <w:szCs w:val="18"/>
          <w:lang w:val="es-ES_tradnl"/>
        </w:rPr>
        <w:t>CERD, Informes periódicos 22º a 26º combinados que Cuba debía presentar en 2023 en virtud del artículo 9 de la Convención. CERD/C/CUB/22-26. 17 de febrero de 2025.</w:t>
      </w:r>
    </w:p>
  </w:footnote>
  <w:footnote w:id="39">
    <w:p w14:paraId="4ADB9191"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211.</w:t>
      </w:r>
    </w:p>
  </w:footnote>
  <w:footnote w:id="40">
    <w:p w14:paraId="646C342D"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Relator Especial sobre las formas contemporáneas de racismo, discriminación racial, xenofobia y formas conexas de intolerancia. A/70/335. 20 de agosto de 2015, párr. 58.</w:t>
      </w:r>
    </w:p>
  </w:footnote>
  <w:footnote w:id="41">
    <w:p w14:paraId="261A8DA6" w14:textId="77777777" w:rsidR="004D0117" w:rsidRPr="00DF5BBF" w:rsidRDefault="004D0117"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2021, Capítulo IV B Cuba, párr. 116. Véase también, CIDH, Situación de los derechos humanos en Cuba, 2020, párr. 293.</w:t>
      </w:r>
    </w:p>
  </w:footnote>
  <w:footnote w:id="42">
    <w:p w14:paraId="34A87A13" w14:textId="77777777" w:rsidR="005B7B8B" w:rsidRPr="00DF5BBF" w:rsidRDefault="005B7B8B"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134.</w:t>
      </w:r>
    </w:p>
  </w:footnote>
  <w:footnote w:id="43">
    <w:p w14:paraId="2DFF3EB7" w14:textId="0A93AEA8" w:rsidR="005D3968" w:rsidRPr="00DF5BBF" w:rsidRDefault="005D3968"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r w:rsidR="00955462" w:rsidRPr="00DF5BBF">
        <w:rPr>
          <w:rFonts w:ascii="Calibri" w:hAnsi="Calibri" w:cs="Calibri"/>
          <w:sz w:val="18"/>
          <w:szCs w:val="18"/>
          <w:lang w:val="es-ES_tradnl"/>
        </w:rPr>
        <w:t>CERD, Observaciones finales sobre los informes periódicos 19º a 21º combinados del Estado cubano. CERD/C/CUB/CO/19-21. 20 de septiembre de 2018, párr. 39.</w:t>
      </w:r>
    </w:p>
  </w:footnote>
  <w:footnote w:id="44">
    <w:p w14:paraId="4BDA9E3B" w14:textId="77777777" w:rsidR="00955462" w:rsidRPr="00DF5BBF" w:rsidRDefault="0095546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Derechos laborales y sindicales en Cuba, párr. 182.</w:t>
      </w:r>
    </w:p>
  </w:footnote>
  <w:footnote w:id="45">
    <w:p w14:paraId="1CF515C7" w14:textId="77777777" w:rsidR="00955462" w:rsidRPr="00DF5BBF" w:rsidRDefault="00955462"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2023, Capítulo IV B Cuba, párr. 130.</w:t>
      </w:r>
    </w:p>
  </w:footnote>
  <w:footnote w:id="46">
    <w:p w14:paraId="3415C773" w14:textId="77777777" w:rsidR="009E08C5" w:rsidRPr="00DF5BBF" w:rsidRDefault="009E08C5"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Informe del Grupo de Trabajo sobre el Examen Periódico Universal. Cuba. PDF.</w:t>
      </w:r>
      <w:r w:rsidR="00415B6A" w:rsidRPr="00DF5BBF">
        <w:rPr>
          <w:rFonts w:ascii="Calibri" w:hAnsi="Calibri" w:cs="Calibri"/>
          <w:sz w:val="18"/>
          <w:szCs w:val="18"/>
        </w:rPr>
        <w:t xml:space="preserve"> A/HRC/</w:t>
      </w:r>
      <w:r w:rsidR="00F778B5" w:rsidRPr="00DF5BBF">
        <w:rPr>
          <w:rFonts w:ascii="Calibri" w:hAnsi="Calibri" w:cs="Calibri"/>
          <w:sz w:val="18"/>
          <w:szCs w:val="18"/>
        </w:rPr>
        <w:t>39/16 11 de julio 2018.</w:t>
      </w:r>
    </w:p>
  </w:footnote>
  <w:footnote w:id="47">
    <w:p w14:paraId="42915FDE" w14:textId="7558CCB5" w:rsidR="00CA3808" w:rsidRPr="00DF5BBF" w:rsidRDefault="00CA3808"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393CEB" w:rsidRPr="00DF5BBF">
        <w:rPr>
          <w:rFonts w:ascii="Calibri" w:hAnsi="Calibri" w:cs="Calibri"/>
          <w:sz w:val="18"/>
          <w:szCs w:val="18"/>
        </w:rPr>
        <w:t xml:space="preserve"> </w:t>
      </w:r>
      <w:r w:rsidR="0086269D" w:rsidRPr="00DF5BBF">
        <w:rPr>
          <w:rFonts w:ascii="Calibri" w:hAnsi="Calibri" w:cs="Calibri"/>
          <w:sz w:val="18"/>
          <w:szCs w:val="18"/>
          <w:lang w:val="es-ES_tradnl"/>
        </w:rPr>
        <w:t>CERD, Observaciones finales sobre los informes periódicos 19º a 21º combinados del Estado cubano. CERD/C/CUB/CO/19-21. 20 de septiembre de 2018</w:t>
      </w:r>
      <w:r w:rsidRPr="00DF5BBF">
        <w:rPr>
          <w:rFonts w:ascii="Calibri" w:hAnsi="Calibri" w:cs="Calibri"/>
          <w:sz w:val="18"/>
          <w:szCs w:val="18"/>
        </w:rPr>
        <w:t>.</w:t>
      </w:r>
    </w:p>
  </w:footnote>
  <w:footnote w:id="48">
    <w:p w14:paraId="16F36AAA" w14:textId="77777777" w:rsidR="00B36DF8" w:rsidRPr="00DF5BBF" w:rsidRDefault="00B36DF8"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133. Véase también, CIDH, Situación de los derechos humanos en Cuba, 2020, párr. 300.</w:t>
      </w:r>
    </w:p>
  </w:footnote>
  <w:footnote w:id="49">
    <w:p w14:paraId="404AAD50" w14:textId="6B3027F4" w:rsidR="00985389" w:rsidRPr="00DF5BBF" w:rsidRDefault="00985389"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rPr>
        <w:t xml:space="preserve"> Ver, por ejemplo, Decreto-Ley 331/2021 “De las Zonas con Regulaciones Especiales”.</w:t>
      </w:r>
    </w:p>
  </w:footnote>
  <w:footnote w:id="50">
    <w:p w14:paraId="5B111B22" w14:textId="77777777" w:rsidR="00CA623F" w:rsidRPr="00DF5BBF" w:rsidRDefault="00CA623F"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Ley 171/2024 “De migración.”</w:t>
      </w:r>
      <w:r w:rsidR="009F7B2C" w:rsidRPr="00DF5BBF">
        <w:rPr>
          <w:rFonts w:ascii="Calibri" w:hAnsi="Calibri" w:cs="Calibri"/>
          <w:sz w:val="18"/>
          <w:szCs w:val="18"/>
        </w:rPr>
        <w:t xml:space="preserve"> Asamblea Nacional del Poder Popular.</w:t>
      </w:r>
      <w:r w:rsidR="007C1150" w:rsidRPr="00DF5BBF">
        <w:rPr>
          <w:rFonts w:ascii="Calibri" w:hAnsi="Calibri" w:cs="Calibri"/>
          <w:sz w:val="18"/>
          <w:szCs w:val="18"/>
        </w:rPr>
        <w:t xml:space="preserve"> PDF.</w:t>
      </w:r>
    </w:p>
  </w:footnote>
  <w:footnote w:id="51">
    <w:p w14:paraId="0356A1A2" w14:textId="77777777" w:rsidR="00FA3429" w:rsidRPr="00DF5BBF" w:rsidRDefault="00FA3429"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Resiliencia y Diálogo Interreligioso en La Habana. Idelsi Bárbara Alfonso Sandrino. Contours ArteCalle.</w:t>
      </w:r>
    </w:p>
  </w:footnote>
  <w:footnote w:id="52">
    <w:p w14:paraId="714C4AD0" w14:textId="77777777" w:rsidR="006D2D45" w:rsidRPr="00DF5BBF" w:rsidRDefault="006D2D45"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Situación de los derechos humanos en Cuba, 2020, párr. 305.</w:t>
      </w:r>
    </w:p>
  </w:footnote>
  <w:footnote w:id="53">
    <w:p w14:paraId="16DF12B7" w14:textId="77777777" w:rsidR="006D2D45" w:rsidRPr="00DF5BBF" w:rsidRDefault="006D2D45"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Derechos laborales y sindicales en Cuba, párr. 184.</w:t>
      </w:r>
    </w:p>
  </w:footnote>
  <w:footnote w:id="54">
    <w:p w14:paraId="06DDA16B" w14:textId="77777777" w:rsidR="006D2D45" w:rsidRPr="00DF5BBF" w:rsidRDefault="006D2D45"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Derechos laborales y sindicales en Cuba, párr. 184.</w:t>
      </w:r>
    </w:p>
  </w:footnote>
  <w:footnote w:id="55">
    <w:p w14:paraId="393D29A1" w14:textId="77777777" w:rsidR="00B25F94" w:rsidRPr="00DF5BBF" w:rsidRDefault="00B25F94"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Informe preliminar 2025 sobre feminicidios en Cuba. Observatori</w:t>
      </w:r>
      <w:r w:rsidR="0048734B" w:rsidRPr="00DF5BBF">
        <w:rPr>
          <w:rFonts w:ascii="Calibri" w:hAnsi="Calibri" w:cs="Calibri"/>
          <w:sz w:val="18"/>
          <w:szCs w:val="18"/>
        </w:rPr>
        <w:t xml:space="preserve">o de genero de Alas Tensas. </w:t>
      </w:r>
    </w:p>
  </w:footnote>
  <w:footnote w:id="56">
    <w:p w14:paraId="1AD951CD" w14:textId="77777777" w:rsidR="00A1484A" w:rsidRPr="00DF5BBF" w:rsidRDefault="00A1484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Véase, CIDH, Informe anual 2023, Capítulo IV B Cuba, párr. 131; CIDH, Informe anual 2024, Capítulo IV B Cuba, párr. 135</w:t>
      </w:r>
    </w:p>
  </w:footnote>
  <w:footnote w:id="57">
    <w:p w14:paraId="1E23E829" w14:textId="77777777" w:rsidR="00A1484A" w:rsidRPr="00DF5BBF" w:rsidRDefault="00A1484A"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CIDH, Situación de derechos humanos en Cuba, 2020, párr. 304.</w:t>
      </w:r>
    </w:p>
  </w:footnote>
  <w:footnote w:id="58">
    <w:p w14:paraId="628E39B2" w14:textId="77777777" w:rsidR="00A1484A" w:rsidRPr="00DF5BBF" w:rsidRDefault="00A1484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134.</w:t>
      </w:r>
    </w:p>
  </w:footnote>
  <w:footnote w:id="59">
    <w:p w14:paraId="0548427A" w14:textId="77777777" w:rsidR="00A1484A" w:rsidRPr="00DF5BBF" w:rsidRDefault="00A1484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135.</w:t>
      </w:r>
    </w:p>
  </w:footnote>
  <w:footnote w:id="60">
    <w:p w14:paraId="04DF6705" w14:textId="77777777" w:rsidR="005D203D" w:rsidRPr="00DF5BBF" w:rsidRDefault="005D203D" w:rsidP="005D203D">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Situación de los derechos humanos en Cuba, 2020, párr. 303.</w:t>
      </w:r>
    </w:p>
  </w:footnote>
  <w:footnote w:id="61">
    <w:p w14:paraId="7A72E279" w14:textId="1200583A" w:rsidR="00C61153" w:rsidRPr="00DF5BBF" w:rsidRDefault="00C6115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350300" w:rsidRPr="00DF5BBF">
        <w:rPr>
          <w:rFonts w:ascii="Calibri" w:hAnsi="Calibri" w:cs="Calibri"/>
          <w:sz w:val="18"/>
          <w:szCs w:val="18"/>
        </w:rPr>
        <w:t xml:space="preserve"> </w:t>
      </w:r>
      <w:r w:rsidR="00D97EC3" w:rsidRPr="00DF5BBF">
        <w:rPr>
          <w:rFonts w:ascii="Calibri" w:hAnsi="Calibri" w:cs="Calibri"/>
          <w:sz w:val="18"/>
          <w:szCs w:val="18"/>
          <w:lang w:val="es-ES_tradnl"/>
        </w:rPr>
        <w:t>CERD, Observaciones finales sobre los informes periódicos 19º a 21º combinados del Estado cubano. CERD/C/CUB/CO/19-21. 20 de septiembre de 2018</w:t>
      </w:r>
      <w:r w:rsidR="00A6482A" w:rsidRPr="00DF5BBF">
        <w:rPr>
          <w:rFonts w:ascii="Calibri" w:hAnsi="Calibri" w:cs="Calibri"/>
          <w:sz w:val="18"/>
          <w:szCs w:val="18"/>
        </w:rPr>
        <w:t>, párr. 7.</w:t>
      </w:r>
    </w:p>
  </w:footnote>
  <w:footnote w:id="62">
    <w:p w14:paraId="246725C2" w14:textId="77777777" w:rsidR="00E23396" w:rsidRPr="00DF5BBF" w:rsidRDefault="00E23396"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Constitución de la República de Cuba. PDF.</w:t>
      </w:r>
    </w:p>
  </w:footnote>
  <w:footnote w:id="63">
    <w:p w14:paraId="05A660C3" w14:textId="796CE3C9" w:rsidR="000D065F" w:rsidRPr="00DF5BBF" w:rsidRDefault="000D065F"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B534C8"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A6482A" w:rsidRPr="00DF5BBF">
        <w:rPr>
          <w:rFonts w:ascii="Calibri" w:hAnsi="Calibri" w:cs="Calibri"/>
          <w:sz w:val="18"/>
          <w:szCs w:val="18"/>
        </w:rPr>
        <w:t xml:space="preserve">, </w:t>
      </w:r>
      <w:proofErr w:type="spellStart"/>
      <w:r w:rsidR="00A6482A" w:rsidRPr="00DF5BBF">
        <w:rPr>
          <w:rFonts w:ascii="Calibri" w:hAnsi="Calibri" w:cs="Calibri"/>
          <w:sz w:val="18"/>
          <w:szCs w:val="18"/>
        </w:rPr>
        <w:t>párrs</w:t>
      </w:r>
      <w:proofErr w:type="spellEnd"/>
      <w:r w:rsidR="00A6482A" w:rsidRPr="00DF5BBF">
        <w:rPr>
          <w:rFonts w:ascii="Calibri" w:hAnsi="Calibri" w:cs="Calibri"/>
          <w:sz w:val="18"/>
          <w:szCs w:val="18"/>
        </w:rPr>
        <w:t>. 11 y 12.</w:t>
      </w:r>
    </w:p>
  </w:footnote>
  <w:footnote w:id="64">
    <w:p w14:paraId="5ADAC3C6" w14:textId="2F92744A" w:rsidR="007A6FFE" w:rsidRPr="00DF5BBF" w:rsidRDefault="007A6FFE"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B534C8"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 párr. 13.</w:t>
      </w:r>
    </w:p>
  </w:footnote>
  <w:footnote w:id="65">
    <w:p w14:paraId="29A06EBA"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Información recibida de Cuba relativa al seguimiento de las observaciones finales sobre sus informes periódicos 19º a 21º combinados. CERD/C/CUB/FCO/19-21. 10 de agosto de 2020, párr. 3. </w:t>
      </w:r>
    </w:p>
  </w:footnote>
  <w:footnote w:id="66">
    <w:p w14:paraId="0AC4933D"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Información recibida de Cuba relativa al seguimiento de las observaciones finales sobre sus informes periódicos 19º a 21º combinados. CERD/C/CUB/FCO/19-21. 10 de agosto de 2020, párr. 7.</w:t>
      </w:r>
    </w:p>
  </w:footnote>
  <w:footnote w:id="67">
    <w:p w14:paraId="32515172"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Información recibida de Cuba relativa al seguimiento de las observaciones finales sobre sus informes periódicos 19º a 21º combinados. CERD/C/CUB/FCO/19-21. 10 de agosto de 2020, párr. 8.</w:t>
      </w:r>
    </w:p>
  </w:footnote>
  <w:footnote w:id="68">
    <w:p w14:paraId="74AE446C"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Información recibida de Cuba relativa al seguimiento de las observaciones finales sobre sus informes periódicos 19º a 21º combinados. CERD/C/CUB/FCO/19-21. 10 de agosto de 2020, párr. 4.</w:t>
      </w:r>
    </w:p>
  </w:footnote>
  <w:footnote w:id="69">
    <w:p w14:paraId="233EE773"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214.</w:t>
      </w:r>
    </w:p>
  </w:footnote>
  <w:footnote w:id="70">
    <w:p w14:paraId="3F41FEF8"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CERD, Informes periódicos 22º a 26º combinados que Cuba debía presentar en 2023 en virtud del artículo 9 de la Convención. CERD/C/CUB/22-26. 17 de febrero de 2025, párr. 215.</w:t>
      </w:r>
    </w:p>
  </w:footnote>
  <w:footnote w:id="71">
    <w:p w14:paraId="61DF41EA"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Véase, por ejemplo, CIDH, Informe anual 2020, Capítulo IV B Cuba, </w:t>
      </w:r>
      <w:proofErr w:type="spellStart"/>
      <w:r w:rsidRPr="00DF5BBF">
        <w:rPr>
          <w:rFonts w:ascii="Calibri" w:hAnsi="Calibri" w:cs="Calibri"/>
          <w:sz w:val="18"/>
          <w:szCs w:val="18"/>
          <w:lang w:val="es-ES_tradnl"/>
        </w:rPr>
        <w:t>párrs</w:t>
      </w:r>
      <w:proofErr w:type="spellEnd"/>
      <w:r w:rsidRPr="00DF5BBF">
        <w:rPr>
          <w:rFonts w:ascii="Calibri" w:hAnsi="Calibri" w:cs="Calibri"/>
          <w:sz w:val="18"/>
          <w:szCs w:val="18"/>
          <w:lang w:val="es-ES_tradnl"/>
        </w:rPr>
        <w:t>. 110, 111 y 112; y CIDH, Informe anual 2021, Capítulo IV B Cuba, párr. 118.</w:t>
      </w:r>
    </w:p>
  </w:footnote>
  <w:footnote w:id="72">
    <w:p w14:paraId="4CF09555"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134.</w:t>
      </w:r>
    </w:p>
  </w:footnote>
  <w:footnote w:id="73">
    <w:p w14:paraId="449DCA3A"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2022, Capítulo IV B Cuba, párr. 163.</w:t>
      </w:r>
    </w:p>
  </w:footnote>
  <w:footnote w:id="74">
    <w:p w14:paraId="7463DF92"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Informe anual 2024, Capítulo IV B Cuba, párr. 135.</w:t>
      </w:r>
    </w:p>
  </w:footnote>
  <w:footnote w:id="75">
    <w:p w14:paraId="15955FD8" w14:textId="135C221F" w:rsidR="00291FA3" w:rsidRPr="00DF5BBF" w:rsidRDefault="00291FA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B534C8"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A6482A" w:rsidRPr="00DF5BBF">
        <w:rPr>
          <w:rFonts w:ascii="Calibri" w:hAnsi="Calibri" w:cs="Calibri"/>
          <w:sz w:val="18"/>
          <w:szCs w:val="18"/>
        </w:rPr>
        <w:t>, párr. 16.</w:t>
      </w:r>
    </w:p>
  </w:footnote>
  <w:footnote w:id="76">
    <w:p w14:paraId="46D9CA11" w14:textId="530B259A" w:rsidR="004E234B" w:rsidRPr="00DF5BBF" w:rsidRDefault="004E234B"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9E1F10"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A6482A" w:rsidRPr="00DF5BBF">
        <w:rPr>
          <w:rFonts w:ascii="Calibri" w:hAnsi="Calibri" w:cs="Calibri"/>
          <w:sz w:val="18"/>
          <w:szCs w:val="18"/>
          <w:lang w:val="es-ES_tradnl"/>
        </w:rPr>
        <w:t>, párr. 20</w:t>
      </w:r>
      <w:r w:rsidR="00314899" w:rsidRPr="00DF5BBF">
        <w:rPr>
          <w:rFonts w:ascii="Calibri" w:hAnsi="Calibri" w:cs="Calibri"/>
          <w:sz w:val="18"/>
          <w:szCs w:val="18"/>
        </w:rPr>
        <w:t>.</w:t>
      </w:r>
    </w:p>
  </w:footnote>
  <w:footnote w:id="77">
    <w:p w14:paraId="75E75BF7" w14:textId="77777777" w:rsidR="00A6482A" w:rsidRPr="00DF5BBF" w:rsidRDefault="00A6482A"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lang w:val="es-ES_tradnl"/>
        </w:rPr>
        <w:t xml:space="preserve"> CIDH, Derechos laborales y sindicales en Cuba, párr. 182.</w:t>
      </w:r>
    </w:p>
  </w:footnote>
  <w:footnote w:id="78">
    <w:p w14:paraId="2C29CBC3" w14:textId="69E9005E" w:rsidR="002606B5" w:rsidRPr="00DF5BBF" w:rsidRDefault="002606B5"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9E1F10"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A6482A" w:rsidRPr="00DF5BBF">
        <w:rPr>
          <w:rFonts w:ascii="Calibri" w:hAnsi="Calibri" w:cs="Calibri"/>
          <w:sz w:val="18"/>
          <w:szCs w:val="18"/>
          <w:lang w:val="es-ES_tradnl"/>
        </w:rPr>
        <w:t>, par. 22</w:t>
      </w:r>
      <w:r w:rsidR="00314899" w:rsidRPr="00DF5BBF">
        <w:rPr>
          <w:rFonts w:ascii="Calibri" w:hAnsi="Calibri" w:cs="Calibri"/>
          <w:sz w:val="18"/>
          <w:szCs w:val="18"/>
        </w:rPr>
        <w:t>.</w:t>
      </w:r>
    </w:p>
  </w:footnote>
  <w:footnote w:id="79">
    <w:p w14:paraId="5A7ACCA8" w14:textId="200D1232" w:rsidR="00121B76" w:rsidRPr="00DF5BBF" w:rsidRDefault="00121B76"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C953F4" w:rsidRPr="00DF5BBF">
        <w:rPr>
          <w:rFonts w:ascii="Calibri" w:hAnsi="Calibri" w:cs="Calibri"/>
          <w:sz w:val="18"/>
          <w:szCs w:val="18"/>
        </w:rPr>
        <w:t xml:space="preserve"> </w:t>
      </w:r>
      <w:r w:rsidR="007A356F" w:rsidRPr="00DF5BBF">
        <w:rPr>
          <w:rFonts w:ascii="Calibri" w:hAnsi="Calibri" w:cs="Calibri"/>
          <w:sz w:val="18"/>
          <w:szCs w:val="18"/>
        </w:rPr>
        <w:t>Informe preliminar 2025 sobre feminicidios en Cuba. Observatorio de genero de Alas Tensas.</w:t>
      </w:r>
    </w:p>
  </w:footnote>
  <w:footnote w:id="80">
    <w:p w14:paraId="681C3864" w14:textId="694944BB" w:rsidR="007A356F" w:rsidRPr="00DF5BBF" w:rsidRDefault="007A356F"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CIDH, Informe Anual2024, Capítulo IV B Cuba, párr. 139</w:t>
      </w:r>
    </w:p>
  </w:footnote>
  <w:footnote w:id="81">
    <w:p w14:paraId="340A3A8C" w14:textId="6AB50B04" w:rsidR="00D3603C" w:rsidRPr="00DF5BBF" w:rsidRDefault="00D3603C"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C86114" w:rsidRPr="00DF5BBF">
        <w:rPr>
          <w:rFonts w:ascii="Calibri" w:hAnsi="Calibri" w:cs="Calibri"/>
          <w:sz w:val="18"/>
          <w:szCs w:val="18"/>
        </w:rPr>
        <w:t xml:space="preserve"> </w:t>
      </w:r>
      <w:r w:rsidR="007A356F" w:rsidRPr="00DF5BBF">
        <w:rPr>
          <w:rFonts w:ascii="Calibri" w:hAnsi="Calibri" w:cs="Calibri"/>
          <w:sz w:val="18"/>
          <w:szCs w:val="18"/>
        </w:rPr>
        <w:t>Informe preliminar 2025 sobre feminicidios en Cuba. Observatorio de genero de Alas Tensas.</w:t>
      </w:r>
    </w:p>
  </w:footnote>
  <w:footnote w:id="82">
    <w:p w14:paraId="5B7A6968" w14:textId="301421B5" w:rsidR="007A356F" w:rsidRPr="00DF5BBF" w:rsidRDefault="007A356F"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CIDH, Informe Anual 2021, Capítulo IV B Cuba, párr. 117.</w:t>
      </w:r>
    </w:p>
  </w:footnote>
  <w:footnote w:id="83">
    <w:p w14:paraId="19B337E5" w14:textId="29512150" w:rsidR="007A356F" w:rsidRPr="00DF5BBF" w:rsidRDefault="007A356F" w:rsidP="00DF5BBF">
      <w:pPr>
        <w:pStyle w:val="FootnoteText"/>
        <w:jc w:val="both"/>
        <w:rPr>
          <w:rFonts w:ascii="Calibri" w:hAnsi="Calibri" w:cs="Calibri"/>
          <w:sz w:val="18"/>
          <w:szCs w:val="18"/>
          <w:lang w:val="es-ES_tradnl"/>
        </w:rPr>
      </w:pPr>
      <w:r w:rsidRPr="00DF5BBF">
        <w:rPr>
          <w:rStyle w:val="FootnoteReference"/>
          <w:rFonts w:ascii="Calibri" w:hAnsi="Calibri" w:cs="Calibri"/>
          <w:sz w:val="18"/>
          <w:szCs w:val="18"/>
        </w:rPr>
        <w:footnoteRef/>
      </w:r>
      <w:r w:rsidRPr="00DF5BBF">
        <w:rPr>
          <w:rFonts w:ascii="Calibri" w:hAnsi="Calibri" w:cs="Calibri"/>
          <w:sz w:val="18"/>
          <w:szCs w:val="18"/>
        </w:rPr>
        <w:t xml:space="preserve"> </w:t>
      </w:r>
      <w:r w:rsidRPr="00DF5BBF">
        <w:rPr>
          <w:rFonts w:ascii="Calibri" w:hAnsi="Calibri" w:cs="Calibri"/>
          <w:sz w:val="18"/>
          <w:szCs w:val="18"/>
          <w:lang w:val="es-ES_tradnl"/>
        </w:rPr>
        <w:t>CIDH, Informe Anual 2023, Capítulo IV B Cuba, párr. 133.</w:t>
      </w:r>
    </w:p>
  </w:footnote>
  <w:footnote w:id="84">
    <w:p w14:paraId="0774EDD2" w14:textId="77777777" w:rsidR="00B82B86" w:rsidRPr="00DF5BBF" w:rsidRDefault="00B82B86"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Código Penal. Ley 151/2022. Gaceta 93 Ordinaria. Gaceta Oficial de la República de Cuba. PDF.</w:t>
      </w:r>
    </w:p>
  </w:footnote>
  <w:footnote w:id="85">
    <w:p w14:paraId="2BD4466A" w14:textId="75AAB151" w:rsidR="00131CB1" w:rsidRPr="00DF5BBF" w:rsidRDefault="00131CB1"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C86114"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314899" w:rsidRPr="00DF5BBF">
        <w:rPr>
          <w:rFonts w:ascii="Calibri" w:hAnsi="Calibri" w:cs="Calibri"/>
          <w:sz w:val="18"/>
          <w:szCs w:val="18"/>
        </w:rPr>
        <w:t xml:space="preserve">, párr. </w:t>
      </w:r>
      <w:r w:rsidRPr="00DF5BBF">
        <w:rPr>
          <w:rFonts w:ascii="Calibri" w:hAnsi="Calibri" w:cs="Calibri"/>
          <w:sz w:val="18"/>
          <w:szCs w:val="18"/>
        </w:rPr>
        <w:t>30.</w:t>
      </w:r>
    </w:p>
  </w:footnote>
  <w:footnote w:id="86">
    <w:p w14:paraId="128C585D" w14:textId="55D3A014" w:rsidR="00A92BA9" w:rsidRPr="00DF5BBF" w:rsidRDefault="00A92BA9"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C86114"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314899" w:rsidRPr="00DF5BBF">
        <w:rPr>
          <w:rFonts w:ascii="Calibri" w:hAnsi="Calibri" w:cs="Calibri"/>
          <w:sz w:val="18"/>
          <w:szCs w:val="18"/>
        </w:rPr>
        <w:t xml:space="preserve">, párr. </w:t>
      </w:r>
      <w:r w:rsidR="007D0073" w:rsidRPr="00DF5BBF">
        <w:rPr>
          <w:rFonts w:ascii="Calibri" w:hAnsi="Calibri" w:cs="Calibri"/>
          <w:sz w:val="18"/>
          <w:szCs w:val="18"/>
        </w:rPr>
        <w:t>32.</w:t>
      </w:r>
    </w:p>
  </w:footnote>
  <w:footnote w:id="87">
    <w:p w14:paraId="690982C8" w14:textId="389F8D1D" w:rsidR="00DF0C28" w:rsidRPr="00DF5BBF" w:rsidRDefault="00DF0C28"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FB7D97" w:rsidRPr="00DF5BBF">
        <w:rPr>
          <w:rFonts w:ascii="Calibri" w:hAnsi="Calibri" w:cs="Calibri"/>
          <w:sz w:val="18"/>
          <w:szCs w:val="18"/>
        </w:rPr>
        <w:t xml:space="preserve"> </w:t>
      </w:r>
      <w:r w:rsidR="00314899" w:rsidRPr="00DF5BBF">
        <w:rPr>
          <w:rFonts w:ascii="Calibri" w:hAnsi="Calibri" w:cs="Calibri"/>
          <w:sz w:val="18"/>
          <w:szCs w:val="18"/>
          <w:lang w:val="es-ES_tradnl"/>
        </w:rPr>
        <w:t>CERD, Observaciones finales sobre los informes periódicos 19º a 21º combinados del Estado cubano. CERD/C/CUB/CO/19-21. 20 de septiembre de 2018</w:t>
      </w:r>
      <w:r w:rsidR="00314899" w:rsidRPr="00DF5BBF">
        <w:rPr>
          <w:rFonts w:ascii="Calibri" w:hAnsi="Calibri" w:cs="Calibri"/>
          <w:sz w:val="18"/>
          <w:szCs w:val="18"/>
        </w:rPr>
        <w:t>, párr.</w:t>
      </w:r>
      <w:r w:rsidRPr="00DF5BBF">
        <w:rPr>
          <w:rFonts w:ascii="Calibri" w:hAnsi="Calibri" w:cs="Calibri"/>
          <w:sz w:val="18"/>
          <w:szCs w:val="18"/>
        </w:rPr>
        <w:t xml:space="preserve">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9A2D" w14:textId="2365C0DB" w:rsidR="00CA78B4" w:rsidRDefault="00CA78B4" w:rsidP="00CA78B4">
    <w:pPr>
      <w:pStyle w:val="Header"/>
      <w:jc w:val="center"/>
    </w:pPr>
    <w:r w:rsidRPr="00CA78B4">
      <w:rPr>
        <w:noProof/>
      </w:rPr>
      <w:drawing>
        <wp:inline distT="0" distB="0" distL="0" distR="0" wp14:anchorId="11A44D0E" wp14:editId="50554A6C">
          <wp:extent cx="2159540" cy="1234023"/>
          <wp:effectExtent l="0" t="0" r="0" b="0"/>
          <wp:docPr id="606309749" name="Picture 1" descr="A group of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09749" name="Picture 1" descr="A group of circles with text&#10;&#10;AI-generated content may be incorrect."/>
                  <pic:cNvPicPr/>
                </pic:nvPicPr>
                <pic:blipFill>
                  <a:blip r:embed="rId1"/>
                  <a:stretch>
                    <a:fillRect/>
                  </a:stretch>
                </pic:blipFill>
                <pic:spPr>
                  <a:xfrm>
                    <a:off x="0" y="0"/>
                    <a:ext cx="2212282" cy="12641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03C9"/>
    <w:multiLevelType w:val="hybridMultilevel"/>
    <w:tmpl w:val="FB22E26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991540"/>
    <w:multiLevelType w:val="hybridMultilevel"/>
    <w:tmpl w:val="74A0B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0F6924"/>
    <w:multiLevelType w:val="hybridMultilevel"/>
    <w:tmpl w:val="B5D6788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3E2B92"/>
    <w:multiLevelType w:val="hybridMultilevel"/>
    <w:tmpl w:val="D9AAE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E2DAC"/>
    <w:multiLevelType w:val="hybridMultilevel"/>
    <w:tmpl w:val="E9505470"/>
    <w:lvl w:ilvl="0" w:tplc="65480A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274D9B"/>
    <w:multiLevelType w:val="hybridMultilevel"/>
    <w:tmpl w:val="9E9EA8F4"/>
    <w:lvl w:ilvl="0" w:tplc="6F547E44">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6" w15:restartNumberingAfterBreak="0">
    <w:nsid w:val="6F387790"/>
    <w:multiLevelType w:val="hybridMultilevel"/>
    <w:tmpl w:val="1CB0E20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6B0C37"/>
    <w:multiLevelType w:val="hybridMultilevel"/>
    <w:tmpl w:val="4CBC22B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F1062C4"/>
    <w:multiLevelType w:val="hybridMultilevel"/>
    <w:tmpl w:val="1CB0E206"/>
    <w:lvl w:ilvl="0" w:tplc="B13017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17594153">
    <w:abstractNumId w:val="7"/>
  </w:num>
  <w:num w:numId="2" w16cid:durableId="1744570213">
    <w:abstractNumId w:val="8"/>
  </w:num>
  <w:num w:numId="3" w16cid:durableId="723797156">
    <w:abstractNumId w:val="6"/>
  </w:num>
  <w:num w:numId="4" w16cid:durableId="439029993">
    <w:abstractNumId w:val="2"/>
  </w:num>
  <w:num w:numId="5" w16cid:durableId="55711861">
    <w:abstractNumId w:val="0"/>
  </w:num>
  <w:num w:numId="6" w16cid:durableId="295109102">
    <w:abstractNumId w:val="4"/>
  </w:num>
  <w:num w:numId="7" w16cid:durableId="525024954">
    <w:abstractNumId w:val="5"/>
  </w:num>
  <w:num w:numId="8" w16cid:durableId="1070234730">
    <w:abstractNumId w:val="1"/>
  </w:num>
  <w:num w:numId="9" w16cid:durableId="1116676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54"/>
    <w:rsid w:val="00000535"/>
    <w:rsid w:val="00001191"/>
    <w:rsid w:val="0000156E"/>
    <w:rsid w:val="00003875"/>
    <w:rsid w:val="00003CC1"/>
    <w:rsid w:val="00006811"/>
    <w:rsid w:val="0001125B"/>
    <w:rsid w:val="00021BEB"/>
    <w:rsid w:val="00023DA5"/>
    <w:rsid w:val="000268FC"/>
    <w:rsid w:val="00027994"/>
    <w:rsid w:val="000308EF"/>
    <w:rsid w:val="00031BB2"/>
    <w:rsid w:val="00036E91"/>
    <w:rsid w:val="000414B7"/>
    <w:rsid w:val="00041733"/>
    <w:rsid w:val="00041EBA"/>
    <w:rsid w:val="00043886"/>
    <w:rsid w:val="00046F8A"/>
    <w:rsid w:val="000475A5"/>
    <w:rsid w:val="000543A2"/>
    <w:rsid w:val="00056071"/>
    <w:rsid w:val="00056F34"/>
    <w:rsid w:val="0005732B"/>
    <w:rsid w:val="00057445"/>
    <w:rsid w:val="00061CEF"/>
    <w:rsid w:val="00061EAB"/>
    <w:rsid w:val="00062019"/>
    <w:rsid w:val="0006232A"/>
    <w:rsid w:val="00063F8B"/>
    <w:rsid w:val="00064934"/>
    <w:rsid w:val="0006495C"/>
    <w:rsid w:val="00064E9C"/>
    <w:rsid w:val="00064EF2"/>
    <w:rsid w:val="00066D94"/>
    <w:rsid w:val="0007623F"/>
    <w:rsid w:val="000766F8"/>
    <w:rsid w:val="00076B6A"/>
    <w:rsid w:val="00081F1A"/>
    <w:rsid w:val="00082821"/>
    <w:rsid w:val="000864A0"/>
    <w:rsid w:val="0009063B"/>
    <w:rsid w:val="00090746"/>
    <w:rsid w:val="0009090D"/>
    <w:rsid w:val="0009588B"/>
    <w:rsid w:val="000967BE"/>
    <w:rsid w:val="000977E5"/>
    <w:rsid w:val="000A0C53"/>
    <w:rsid w:val="000A0EB3"/>
    <w:rsid w:val="000A1FC7"/>
    <w:rsid w:val="000A53C3"/>
    <w:rsid w:val="000A71F3"/>
    <w:rsid w:val="000B08DB"/>
    <w:rsid w:val="000B59B1"/>
    <w:rsid w:val="000C15F8"/>
    <w:rsid w:val="000C1741"/>
    <w:rsid w:val="000C5FEE"/>
    <w:rsid w:val="000D065F"/>
    <w:rsid w:val="000D2FDD"/>
    <w:rsid w:val="000D6C73"/>
    <w:rsid w:val="000E3192"/>
    <w:rsid w:val="000E5738"/>
    <w:rsid w:val="000E7BC0"/>
    <w:rsid w:val="000F0236"/>
    <w:rsid w:val="000F1C02"/>
    <w:rsid w:val="000F2100"/>
    <w:rsid w:val="000F301C"/>
    <w:rsid w:val="000F40E7"/>
    <w:rsid w:val="000F5736"/>
    <w:rsid w:val="00101E12"/>
    <w:rsid w:val="00103E60"/>
    <w:rsid w:val="00107125"/>
    <w:rsid w:val="00107468"/>
    <w:rsid w:val="001075F4"/>
    <w:rsid w:val="00113E85"/>
    <w:rsid w:val="00114037"/>
    <w:rsid w:val="00116D93"/>
    <w:rsid w:val="001217A8"/>
    <w:rsid w:val="00121B76"/>
    <w:rsid w:val="001223EE"/>
    <w:rsid w:val="00122998"/>
    <w:rsid w:val="00122F21"/>
    <w:rsid w:val="00122F46"/>
    <w:rsid w:val="00126073"/>
    <w:rsid w:val="00127270"/>
    <w:rsid w:val="00131CB1"/>
    <w:rsid w:val="001328D0"/>
    <w:rsid w:val="00132E53"/>
    <w:rsid w:val="00135780"/>
    <w:rsid w:val="001365BE"/>
    <w:rsid w:val="0013749F"/>
    <w:rsid w:val="0013754A"/>
    <w:rsid w:val="001402E2"/>
    <w:rsid w:val="00141879"/>
    <w:rsid w:val="00142947"/>
    <w:rsid w:val="001431B4"/>
    <w:rsid w:val="001449BD"/>
    <w:rsid w:val="0015270C"/>
    <w:rsid w:val="0015321E"/>
    <w:rsid w:val="001542BC"/>
    <w:rsid w:val="00155717"/>
    <w:rsid w:val="00156229"/>
    <w:rsid w:val="00165BE7"/>
    <w:rsid w:val="00171DC6"/>
    <w:rsid w:val="001732A7"/>
    <w:rsid w:val="001734DD"/>
    <w:rsid w:val="001737B6"/>
    <w:rsid w:val="00181479"/>
    <w:rsid w:val="001837C8"/>
    <w:rsid w:val="001852FD"/>
    <w:rsid w:val="001866BA"/>
    <w:rsid w:val="0019046F"/>
    <w:rsid w:val="001906CD"/>
    <w:rsid w:val="0019515D"/>
    <w:rsid w:val="00197411"/>
    <w:rsid w:val="001A314F"/>
    <w:rsid w:val="001A52AC"/>
    <w:rsid w:val="001D0BAE"/>
    <w:rsid w:val="001D0E70"/>
    <w:rsid w:val="001D34BC"/>
    <w:rsid w:val="001D46E1"/>
    <w:rsid w:val="001D4DA5"/>
    <w:rsid w:val="001D65B1"/>
    <w:rsid w:val="001D6726"/>
    <w:rsid w:val="001D7B75"/>
    <w:rsid w:val="001E1B20"/>
    <w:rsid w:val="001E1C16"/>
    <w:rsid w:val="001E41FE"/>
    <w:rsid w:val="001E5B9B"/>
    <w:rsid w:val="001E64DD"/>
    <w:rsid w:val="001F2145"/>
    <w:rsid w:val="001F3258"/>
    <w:rsid w:val="001F34E6"/>
    <w:rsid w:val="001F6528"/>
    <w:rsid w:val="001F6959"/>
    <w:rsid w:val="00204744"/>
    <w:rsid w:val="00214354"/>
    <w:rsid w:val="00214969"/>
    <w:rsid w:val="00215FE4"/>
    <w:rsid w:val="00220C87"/>
    <w:rsid w:val="00221EB5"/>
    <w:rsid w:val="00224D10"/>
    <w:rsid w:val="002257CD"/>
    <w:rsid w:val="002270BD"/>
    <w:rsid w:val="0023036C"/>
    <w:rsid w:val="00231222"/>
    <w:rsid w:val="00231D28"/>
    <w:rsid w:val="00232105"/>
    <w:rsid w:val="00232D85"/>
    <w:rsid w:val="00234D87"/>
    <w:rsid w:val="00234E94"/>
    <w:rsid w:val="00236CB0"/>
    <w:rsid w:val="002404C3"/>
    <w:rsid w:val="00242C7F"/>
    <w:rsid w:val="00243B77"/>
    <w:rsid w:val="00245500"/>
    <w:rsid w:val="002474FD"/>
    <w:rsid w:val="0025069D"/>
    <w:rsid w:val="002518E5"/>
    <w:rsid w:val="00252A03"/>
    <w:rsid w:val="00253309"/>
    <w:rsid w:val="002606B5"/>
    <w:rsid w:val="00261136"/>
    <w:rsid w:val="002633BA"/>
    <w:rsid w:val="00264847"/>
    <w:rsid w:val="00265160"/>
    <w:rsid w:val="00265A55"/>
    <w:rsid w:val="00265F08"/>
    <w:rsid w:val="00265FE5"/>
    <w:rsid w:val="002667C0"/>
    <w:rsid w:val="00267979"/>
    <w:rsid w:val="00271A71"/>
    <w:rsid w:val="00272BA4"/>
    <w:rsid w:val="0027693D"/>
    <w:rsid w:val="00277225"/>
    <w:rsid w:val="0027790D"/>
    <w:rsid w:val="00277E49"/>
    <w:rsid w:val="00282F7A"/>
    <w:rsid w:val="00285FB5"/>
    <w:rsid w:val="00287D8F"/>
    <w:rsid w:val="0029162C"/>
    <w:rsid w:val="00291FA3"/>
    <w:rsid w:val="0029304A"/>
    <w:rsid w:val="00296108"/>
    <w:rsid w:val="002970CE"/>
    <w:rsid w:val="002A167C"/>
    <w:rsid w:val="002B54E8"/>
    <w:rsid w:val="002B6737"/>
    <w:rsid w:val="002B6B07"/>
    <w:rsid w:val="002B7429"/>
    <w:rsid w:val="002B7A4E"/>
    <w:rsid w:val="002C05F5"/>
    <w:rsid w:val="002C2A16"/>
    <w:rsid w:val="002C2A2D"/>
    <w:rsid w:val="002C6749"/>
    <w:rsid w:val="002D0331"/>
    <w:rsid w:val="002D1C7C"/>
    <w:rsid w:val="002D2943"/>
    <w:rsid w:val="002D2F2B"/>
    <w:rsid w:val="002D4B7B"/>
    <w:rsid w:val="002D5F1E"/>
    <w:rsid w:val="002D7A22"/>
    <w:rsid w:val="002E0D97"/>
    <w:rsid w:val="002E5564"/>
    <w:rsid w:val="002E5F7D"/>
    <w:rsid w:val="002F1B02"/>
    <w:rsid w:val="002F23A3"/>
    <w:rsid w:val="002F6A59"/>
    <w:rsid w:val="00301995"/>
    <w:rsid w:val="003021CA"/>
    <w:rsid w:val="00303101"/>
    <w:rsid w:val="00303267"/>
    <w:rsid w:val="003040B2"/>
    <w:rsid w:val="003042FF"/>
    <w:rsid w:val="003101AC"/>
    <w:rsid w:val="00311F34"/>
    <w:rsid w:val="003139B6"/>
    <w:rsid w:val="00314899"/>
    <w:rsid w:val="00315286"/>
    <w:rsid w:val="00321EE5"/>
    <w:rsid w:val="003233A6"/>
    <w:rsid w:val="003254E9"/>
    <w:rsid w:val="003256A3"/>
    <w:rsid w:val="003309C4"/>
    <w:rsid w:val="003349B2"/>
    <w:rsid w:val="00341015"/>
    <w:rsid w:val="003413B8"/>
    <w:rsid w:val="0034236C"/>
    <w:rsid w:val="0034310C"/>
    <w:rsid w:val="00345161"/>
    <w:rsid w:val="00350300"/>
    <w:rsid w:val="00363093"/>
    <w:rsid w:val="00364923"/>
    <w:rsid w:val="0036717A"/>
    <w:rsid w:val="0036722C"/>
    <w:rsid w:val="00367655"/>
    <w:rsid w:val="003729BD"/>
    <w:rsid w:val="003755FF"/>
    <w:rsid w:val="0037758D"/>
    <w:rsid w:val="00377765"/>
    <w:rsid w:val="00383BF7"/>
    <w:rsid w:val="00385837"/>
    <w:rsid w:val="003910C4"/>
    <w:rsid w:val="00392358"/>
    <w:rsid w:val="00392381"/>
    <w:rsid w:val="00393162"/>
    <w:rsid w:val="00393CEB"/>
    <w:rsid w:val="003942B1"/>
    <w:rsid w:val="00394C28"/>
    <w:rsid w:val="00397B27"/>
    <w:rsid w:val="003A244E"/>
    <w:rsid w:val="003A2C15"/>
    <w:rsid w:val="003A53DA"/>
    <w:rsid w:val="003A6756"/>
    <w:rsid w:val="003A791C"/>
    <w:rsid w:val="003A7A00"/>
    <w:rsid w:val="003B00B5"/>
    <w:rsid w:val="003B3165"/>
    <w:rsid w:val="003B6E56"/>
    <w:rsid w:val="003B7D75"/>
    <w:rsid w:val="003C1E91"/>
    <w:rsid w:val="003C59F1"/>
    <w:rsid w:val="003D2CDB"/>
    <w:rsid w:val="003D67E3"/>
    <w:rsid w:val="003D75E8"/>
    <w:rsid w:val="003E179B"/>
    <w:rsid w:val="003E51BC"/>
    <w:rsid w:val="003E5F7F"/>
    <w:rsid w:val="003F070D"/>
    <w:rsid w:val="003F28E5"/>
    <w:rsid w:val="003F44A2"/>
    <w:rsid w:val="003F69E2"/>
    <w:rsid w:val="003F6DFB"/>
    <w:rsid w:val="003F76D3"/>
    <w:rsid w:val="003F7D01"/>
    <w:rsid w:val="003F7F70"/>
    <w:rsid w:val="00406052"/>
    <w:rsid w:val="00413A45"/>
    <w:rsid w:val="00415B6A"/>
    <w:rsid w:val="00417111"/>
    <w:rsid w:val="00420420"/>
    <w:rsid w:val="00420962"/>
    <w:rsid w:val="004210F5"/>
    <w:rsid w:val="00421912"/>
    <w:rsid w:val="00422243"/>
    <w:rsid w:val="0042292A"/>
    <w:rsid w:val="00424D96"/>
    <w:rsid w:val="004255A9"/>
    <w:rsid w:val="00430FA9"/>
    <w:rsid w:val="00434309"/>
    <w:rsid w:val="00437780"/>
    <w:rsid w:val="00444F1B"/>
    <w:rsid w:val="00445FC7"/>
    <w:rsid w:val="00447E13"/>
    <w:rsid w:val="004533EC"/>
    <w:rsid w:val="004542A6"/>
    <w:rsid w:val="0045621C"/>
    <w:rsid w:val="00456BD3"/>
    <w:rsid w:val="004616C9"/>
    <w:rsid w:val="004616F0"/>
    <w:rsid w:val="004622B1"/>
    <w:rsid w:val="00464344"/>
    <w:rsid w:val="00464968"/>
    <w:rsid w:val="00465EA3"/>
    <w:rsid w:val="0046736A"/>
    <w:rsid w:val="004700A6"/>
    <w:rsid w:val="00471817"/>
    <w:rsid w:val="00474EEB"/>
    <w:rsid w:val="00475B74"/>
    <w:rsid w:val="00475E73"/>
    <w:rsid w:val="00476655"/>
    <w:rsid w:val="00476C5E"/>
    <w:rsid w:val="00477DD9"/>
    <w:rsid w:val="00481F79"/>
    <w:rsid w:val="004872FB"/>
    <w:rsid w:val="0048734B"/>
    <w:rsid w:val="004903B7"/>
    <w:rsid w:val="00490FEC"/>
    <w:rsid w:val="004915F2"/>
    <w:rsid w:val="004919AA"/>
    <w:rsid w:val="00491C5B"/>
    <w:rsid w:val="004936A9"/>
    <w:rsid w:val="004A5AFD"/>
    <w:rsid w:val="004A65AA"/>
    <w:rsid w:val="004B0187"/>
    <w:rsid w:val="004B1091"/>
    <w:rsid w:val="004B164F"/>
    <w:rsid w:val="004B42B0"/>
    <w:rsid w:val="004B6F1E"/>
    <w:rsid w:val="004C2886"/>
    <w:rsid w:val="004C2AAD"/>
    <w:rsid w:val="004C44B0"/>
    <w:rsid w:val="004C58AC"/>
    <w:rsid w:val="004C61CE"/>
    <w:rsid w:val="004D0117"/>
    <w:rsid w:val="004D3A99"/>
    <w:rsid w:val="004E05AE"/>
    <w:rsid w:val="004E0A06"/>
    <w:rsid w:val="004E100E"/>
    <w:rsid w:val="004E234B"/>
    <w:rsid w:val="004E2B04"/>
    <w:rsid w:val="004E483D"/>
    <w:rsid w:val="004E5F26"/>
    <w:rsid w:val="004F2D6B"/>
    <w:rsid w:val="004F3225"/>
    <w:rsid w:val="004F38CE"/>
    <w:rsid w:val="004F3C88"/>
    <w:rsid w:val="004F5634"/>
    <w:rsid w:val="004F76A7"/>
    <w:rsid w:val="0050559A"/>
    <w:rsid w:val="00507453"/>
    <w:rsid w:val="00510E27"/>
    <w:rsid w:val="005119BD"/>
    <w:rsid w:val="005125EE"/>
    <w:rsid w:val="005133A5"/>
    <w:rsid w:val="00514A7D"/>
    <w:rsid w:val="00515B95"/>
    <w:rsid w:val="0051696F"/>
    <w:rsid w:val="00521AA3"/>
    <w:rsid w:val="00522F3B"/>
    <w:rsid w:val="005270DB"/>
    <w:rsid w:val="0053593F"/>
    <w:rsid w:val="00535E0E"/>
    <w:rsid w:val="00536186"/>
    <w:rsid w:val="00545752"/>
    <w:rsid w:val="00547ACA"/>
    <w:rsid w:val="00550AB6"/>
    <w:rsid w:val="005517C3"/>
    <w:rsid w:val="005621CA"/>
    <w:rsid w:val="00562F86"/>
    <w:rsid w:val="00564387"/>
    <w:rsid w:val="0056661B"/>
    <w:rsid w:val="005702CF"/>
    <w:rsid w:val="00576A24"/>
    <w:rsid w:val="005775E4"/>
    <w:rsid w:val="005810B0"/>
    <w:rsid w:val="00581ED5"/>
    <w:rsid w:val="005849DA"/>
    <w:rsid w:val="00585804"/>
    <w:rsid w:val="00585D7E"/>
    <w:rsid w:val="005910A3"/>
    <w:rsid w:val="00591C91"/>
    <w:rsid w:val="005922C1"/>
    <w:rsid w:val="00592997"/>
    <w:rsid w:val="0059609E"/>
    <w:rsid w:val="00596B73"/>
    <w:rsid w:val="005A2476"/>
    <w:rsid w:val="005A53E0"/>
    <w:rsid w:val="005A6E02"/>
    <w:rsid w:val="005A7470"/>
    <w:rsid w:val="005B0479"/>
    <w:rsid w:val="005B0844"/>
    <w:rsid w:val="005B0D50"/>
    <w:rsid w:val="005B2CAC"/>
    <w:rsid w:val="005B493C"/>
    <w:rsid w:val="005B4F8B"/>
    <w:rsid w:val="005B590B"/>
    <w:rsid w:val="005B7B8B"/>
    <w:rsid w:val="005C101D"/>
    <w:rsid w:val="005C1E0C"/>
    <w:rsid w:val="005C2841"/>
    <w:rsid w:val="005C39FC"/>
    <w:rsid w:val="005C638B"/>
    <w:rsid w:val="005C689D"/>
    <w:rsid w:val="005D0C15"/>
    <w:rsid w:val="005D1301"/>
    <w:rsid w:val="005D1FC0"/>
    <w:rsid w:val="005D203D"/>
    <w:rsid w:val="005D20C5"/>
    <w:rsid w:val="005D3968"/>
    <w:rsid w:val="005D46B8"/>
    <w:rsid w:val="005D5119"/>
    <w:rsid w:val="005D5542"/>
    <w:rsid w:val="005D6BFD"/>
    <w:rsid w:val="005D70AF"/>
    <w:rsid w:val="005D7432"/>
    <w:rsid w:val="005D7924"/>
    <w:rsid w:val="005D7A68"/>
    <w:rsid w:val="005E072D"/>
    <w:rsid w:val="005E0C8D"/>
    <w:rsid w:val="005E1783"/>
    <w:rsid w:val="005E1C5A"/>
    <w:rsid w:val="005E4FDD"/>
    <w:rsid w:val="005E560D"/>
    <w:rsid w:val="005F30F3"/>
    <w:rsid w:val="005F62E4"/>
    <w:rsid w:val="005F71EB"/>
    <w:rsid w:val="005F77D1"/>
    <w:rsid w:val="006003B0"/>
    <w:rsid w:val="00601ADC"/>
    <w:rsid w:val="0060426F"/>
    <w:rsid w:val="00605756"/>
    <w:rsid w:val="00606F2F"/>
    <w:rsid w:val="00612E0C"/>
    <w:rsid w:val="006133C3"/>
    <w:rsid w:val="00613423"/>
    <w:rsid w:val="0061543A"/>
    <w:rsid w:val="00615A37"/>
    <w:rsid w:val="00615EF4"/>
    <w:rsid w:val="006161B4"/>
    <w:rsid w:val="006167F8"/>
    <w:rsid w:val="00616EA0"/>
    <w:rsid w:val="00621362"/>
    <w:rsid w:val="0062355D"/>
    <w:rsid w:val="00624E89"/>
    <w:rsid w:val="00627121"/>
    <w:rsid w:val="006326E7"/>
    <w:rsid w:val="00635E44"/>
    <w:rsid w:val="006367B2"/>
    <w:rsid w:val="006375DC"/>
    <w:rsid w:val="00637651"/>
    <w:rsid w:val="00641150"/>
    <w:rsid w:val="00642DE9"/>
    <w:rsid w:val="00645330"/>
    <w:rsid w:val="006526F4"/>
    <w:rsid w:val="00653CEC"/>
    <w:rsid w:val="00654028"/>
    <w:rsid w:val="0065571E"/>
    <w:rsid w:val="006600B6"/>
    <w:rsid w:val="0066061E"/>
    <w:rsid w:val="00660622"/>
    <w:rsid w:val="006659D6"/>
    <w:rsid w:val="00667163"/>
    <w:rsid w:val="00670C0A"/>
    <w:rsid w:val="00671628"/>
    <w:rsid w:val="0067224E"/>
    <w:rsid w:val="00673B18"/>
    <w:rsid w:val="00675128"/>
    <w:rsid w:val="00677080"/>
    <w:rsid w:val="0068001A"/>
    <w:rsid w:val="006807F2"/>
    <w:rsid w:val="00680C6B"/>
    <w:rsid w:val="00680EB2"/>
    <w:rsid w:val="00682B67"/>
    <w:rsid w:val="00683B25"/>
    <w:rsid w:val="006850D5"/>
    <w:rsid w:val="006857E6"/>
    <w:rsid w:val="00690A67"/>
    <w:rsid w:val="00691249"/>
    <w:rsid w:val="00694613"/>
    <w:rsid w:val="0069776D"/>
    <w:rsid w:val="006A70E2"/>
    <w:rsid w:val="006B1887"/>
    <w:rsid w:val="006B214D"/>
    <w:rsid w:val="006B40DA"/>
    <w:rsid w:val="006B7804"/>
    <w:rsid w:val="006B7FE5"/>
    <w:rsid w:val="006C0105"/>
    <w:rsid w:val="006C373B"/>
    <w:rsid w:val="006C6534"/>
    <w:rsid w:val="006D0E68"/>
    <w:rsid w:val="006D19D4"/>
    <w:rsid w:val="006D24E0"/>
    <w:rsid w:val="006D2D45"/>
    <w:rsid w:val="006D30F3"/>
    <w:rsid w:val="006D4AD9"/>
    <w:rsid w:val="006D663D"/>
    <w:rsid w:val="006E03D4"/>
    <w:rsid w:val="006E0754"/>
    <w:rsid w:val="006E36AE"/>
    <w:rsid w:val="006E4F1C"/>
    <w:rsid w:val="006E5DA9"/>
    <w:rsid w:val="006E75C3"/>
    <w:rsid w:val="006F1594"/>
    <w:rsid w:val="006F3257"/>
    <w:rsid w:val="006F5B07"/>
    <w:rsid w:val="0070266F"/>
    <w:rsid w:val="0070296D"/>
    <w:rsid w:val="007060F0"/>
    <w:rsid w:val="00710CB0"/>
    <w:rsid w:val="00711D3A"/>
    <w:rsid w:val="00712575"/>
    <w:rsid w:val="007223A9"/>
    <w:rsid w:val="007243EE"/>
    <w:rsid w:val="00725D6B"/>
    <w:rsid w:val="00742EB4"/>
    <w:rsid w:val="00743E58"/>
    <w:rsid w:val="00753330"/>
    <w:rsid w:val="00753BA7"/>
    <w:rsid w:val="0075591E"/>
    <w:rsid w:val="00755997"/>
    <w:rsid w:val="0075786E"/>
    <w:rsid w:val="00764D6B"/>
    <w:rsid w:val="007655EE"/>
    <w:rsid w:val="0076665C"/>
    <w:rsid w:val="00770BE2"/>
    <w:rsid w:val="00772DBE"/>
    <w:rsid w:val="00773A0E"/>
    <w:rsid w:val="007808CA"/>
    <w:rsid w:val="00781682"/>
    <w:rsid w:val="00782C3D"/>
    <w:rsid w:val="00784D41"/>
    <w:rsid w:val="00785408"/>
    <w:rsid w:val="00786B0A"/>
    <w:rsid w:val="00786FAB"/>
    <w:rsid w:val="00793B31"/>
    <w:rsid w:val="0079548E"/>
    <w:rsid w:val="00795867"/>
    <w:rsid w:val="00795F80"/>
    <w:rsid w:val="007964FD"/>
    <w:rsid w:val="00797481"/>
    <w:rsid w:val="007A14D5"/>
    <w:rsid w:val="007A356F"/>
    <w:rsid w:val="007A4550"/>
    <w:rsid w:val="007A6FFE"/>
    <w:rsid w:val="007B1C5D"/>
    <w:rsid w:val="007B280F"/>
    <w:rsid w:val="007B2D4D"/>
    <w:rsid w:val="007B353C"/>
    <w:rsid w:val="007B5AEC"/>
    <w:rsid w:val="007B6FB7"/>
    <w:rsid w:val="007C1150"/>
    <w:rsid w:val="007C156F"/>
    <w:rsid w:val="007C502D"/>
    <w:rsid w:val="007C650A"/>
    <w:rsid w:val="007C7CF0"/>
    <w:rsid w:val="007D0073"/>
    <w:rsid w:val="007D37C0"/>
    <w:rsid w:val="007D4723"/>
    <w:rsid w:val="007E0D4C"/>
    <w:rsid w:val="007E4052"/>
    <w:rsid w:val="007E55C9"/>
    <w:rsid w:val="007E64BC"/>
    <w:rsid w:val="007E6595"/>
    <w:rsid w:val="007F0BFE"/>
    <w:rsid w:val="007F1A17"/>
    <w:rsid w:val="0080169B"/>
    <w:rsid w:val="00801FFC"/>
    <w:rsid w:val="0080246B"/>
    <w:rsid w:val="00804C77"/>
    <w:rsid w:val="008061DB"/>
    <w:rsid w:val="00807466"/>
    <w:rsid w:val="0082247F"/>
    <w:rsid w:val="008246F8"/>
    <w:rsid w:val="00827298"/>
    <w:rsid w:val="00831875"/>
    <w:rsid w:val="00833477"/>
    <w:rsid w:val="00833879"/>
    <w:rsid w:val="008341AE"/>
    <w:rsid w:val="00841D92"/>
    <w:rsid w:val="0084372F"/>
    <w:rsid w:val="00843900"/>
    <w:rsid w:val="00846663"/>
    <w:rsid w:val="008517CB"/>
    <w:rsid w:val="00854A06"/>
    <w:rsid w:val="00857BBD"/>
    <w:rsid w:val="00861742"/>
    <w:rsid w:val="0086269D"/>
    <w:rsid w:val="00863688"/>
    <w:rsid w:val="00873D53"/>
    <w:rsid w:val="00876800"/>
    <w:rsid w:val="00877405"/>
    <w:rsid w:val="0088400D"/>
    <w:rsid w:val="00884F9D"/>
    <w:rsid w:val="00885382"/>
    <w:rsid w:val="00886B62"/>
    <w:rsid w:val="00890F54"/>
    <w:rsid w:val="00891176"/>
    <w:rsid w:val="00893AD7"/>
    <w:rsid w:val="00893E9D"/>
    <w:rsid w:val="008A214F"/>
    <w:rsid w:val="008A4E30"/>
    <w:rsid w:val="008B1B80"/>
    <w:rsid w:val="008B2DF0"/>
    <w:rsid w:val="008C0898"/>
    <w:rsid w:val="008C23FA"/>
    <w:rsid w:val="008C3407"/>
    <w:rsid w:val="008C59D9"/>
    <w:rsid w:val="008C6249"/>
    <w:rsid w:val="008D1D6B"/>
    <w:rsid w:val="008D2450"/>
    <w:rsid w:val="008D25FC"/>
    <w:rsid w:val="008D2763"/>
    <w:rsid w:val="008D5277"/>
    <w:rsid w:val="008E0F8B"/>
    <w:rsid w:val="008E23FB"/>
    <w:rsid w:val="008E347B"/>
    <w:rsid w:val="008E3636"/>
    <w:rsid w:val="008E3886"/>
    <w:rsid w:val="008E3F3D"/>
    <w:rsid w:val="008F4178"/>
    <w:rsid w:val="008F460F"/>
    <w:rsid w:val="008F4910"/>
    <w:rsid w:val="008F6B62"/>
    <w:rsid w:val="00900171"/>
    <w:rsid w:val="00900965"/>
    <w:rsid w:val="009017DD"/>
    <w:rsid w:val="009036BB"/>
    <w:rsid w:val="00903B67"/>
    <w:rsid w:val="0090407B"/>
    <w:rsid w:val="0090506E"/>
    <w:rsid w:val="00916577"/>
    <w:rsid w:val="009172D4"/>
    <w:rsid w:val="00917986"/>
    <w:rsid w:val="00920492"/>
    <w:rsid w:val="00922FD8"/>
    <w:rsid w:val="00926395"/>
    <w:rsid w:val="00930012"/>
    <w:rsid w:val="00931E8B"/>
    <w:rsid w:val="0093339D"/>
    <w:rsid w:val="00936343"/>
    <w:rsid w:val="00937450"/>
    <w:rsid w:val="009416D3"/>
    <w:rsid w:val="00942F93"/>
    <w:rsid w:val="009433A1"/>
    <w:rsid w:val="00944A0A"/>
    <w:rsid w:val="009451B7"/>
    <w:rsid w:val="00947CD2"/>
    <w:rsid w:val="00950673"/>
    <w:rsid w:val="00950A7A"/>
    <w:rsid w:val="00951E64"/>
    <w:rsid w:val="0095270E"/>
    <w:rsid w:val="00953543"/>
    <w:rsid w:val="00955462"/>
    <w:rsid w:val="00955BF5"/>
    <w:rsid w:val="0095690F"/>
    <w:rsid w:val="00960C18"/>
    <w:rsid w:val="00961B8E"/>
    <w:rsid w:val="00964E9C"/>
    <w:rsid w:val="00966E01"/>
    <w:rsid w:val="009730B1"/>
    <w:rsid w:val="00974202"/>
    <w:rsid w:val="00974B16"/>
    <w:rsid w:val="00975EA7"/>
    <w:rsid w:val="00980381"/>
    <w:rsid w:val="00985389"/>
    <w:rsid w:val="00991268"/>
    <w:rsid w:val="009915C0"/>
    <w:rsid w:val="0099221F"/>
    <w:rsid w:val="0099472B"/>
    <w:rsid w:val="009A1F58"/>
    <w:rsid w:val="009A235D"/>
    <w:rsid w:val="009A2E45"/>
    <w:rsid w:val="009A5907"/>
    <w:rsid w:val="009B11A1"/>
    <w:rsid w:val="009B2835"/>
    <w:rsid w:val="009B54ED"/>
    <w:rsid w:val="009B5728"/>
    <w:rsid w:val="009B649D"/>
    <w:rsid w:val="009B7C86"/>
    <w:rsid w:val="009C061B"/>
    <w:rsid w:val="009C0895"/>
    <w:rsid w:val="009C2018"/>
    <w:rsid w:val="009C3F32"/>
    <w:rsid w:val="009C5C45"/>
    <w:rsid w:val="009C5EA6"/>
    <w:rsid w:val="009C6089"/>
    <w:rsid w:val="009D02B7"/>
    <w:rsid w:val="009D174B"/>
    <w:rsid w:val="009D3411"/>
    <w:rsid w:val="009D6E9F"/>
    <w:rsid w:val="009E0546"/>
    <w:rsid w:val="009E05E8"/>
    <w:rsid w:val="009E0645"/>
    <w:rsid w:val="009E08C5"/>
    <w:rsid w:val="009E143F"/>
    <w:rsid w:val="009E1F10"/>
    <w:rsid w:val="009E43F6"/>
    <w:rsid w:val="009E6583"/>
    <w:rsid w:val="009E7336"/>
    <w:rsid w:val="009E7FF8"/>
    <w:rsid w:val="009F1835"/>
    <w:rsid w:val="009F1B51"/>
    <w:rsid w:val="009F24E5"/>
    <w:rsid w:val="009F3CFC"/>
    <w:rsid w:val="009F4334"/>
    <w:rsid w:val="009F49BC"/>
    <w:rsid w:val="009F72CC"/>
    <w:rsid w:val="009F7B2C"/>
    <w:rsid w:val="009F7BD7"/>
    <w:rsid w:val="00A01960"/>
    <w:rsid w:val="00A03931"/>
    <w:rsid w:val="00A04EAA"/>
    <w:rsid w:val="00A054C8"/>
    <w:rsid w:val="00A0647E"/>
    <w:rsid w:val="00A13E81"/>
    <w:rsid w:val="00A1484A"/>
    <w:rsid w:val="00A14CD0"/>
    <w:rsid w:val="00A16B80"/>
    <w:rsid w:val="00A24228"/>
    <w:rsid w:val="00A25182"/>
    <w:rsid w:val="00A266DF"/>
    <w:rsid w:val="00A31020"/>
    <w:rsid w:val="00A34447"/>
    <w:rsid w:val="00A351AD"/>
    <w:rsid w:val="00A36381"/>
    <w:rsid w:val="00A370F6"/>
    <w:rsid w:val="00A409EC"/>
    <w:rsid w:val="00A42198"/>
    <w:rsid w:val="00A43E6A"/>
    <w:rsid w:val="00A447B0"/>
    <w:rsid w:val="00A460D5"/>
    <w:rsid w:val="00A500FD"/>
    <w:rsid w:val="00A502CF"/>
    <w:rsid w:val="00A51539"/>
    <w:rsid w:val="00A53861"/>
    <w:rsid w:val="00A53E67"/>
    <w:rsid w:val="00A562D1"/>
    <w:rsid w:val="00A56AE0"/>
    <w:rsid w:val="00A56B32"/>
    <w:rsid w:val="00A57BFB"/>
    <w:rsid w:val="00A60403"/>
    <w:rsid w:val="00A605E9"/>
    <w:rsid w:val="00A60901"/>
    <w:rsid w:val="00A60B0A"/>
    <w:rsid w:val="00A61A3D"/>
    <w:rsid w:val="00A621C6"/>
    <w:rsid w:val="00A622E8"/>
    <w:rsid w:val="00A6482A"/>
    <w:rsid w:val="00A7184D"/>
    <w:rsid w:val="00A75C55"/>
    <w:rsid w:val="00A772AB"/>
    <w:rsid w:val="00A829CD"/>
    <w:rsid w:val="00A844A8"/>
    <w:rsid w:val="00A845C7"/>
    <w:rsid w:val="00A92BA9"/>
    <w:rsid w:val="00A93216"/>
    <w:rsid w:val="00A954AF"/>
    <w:rsid w:val="00A96114"/>
    <w:rsid w:val="00AA073E"/>
    <w:rsid w:val="00AA0925"/>
    <w:rsid w:val="00AA2150"/>
    <w:rsid w:val="00AA3DD0"/>
    <w:rsid w:val="00AA6D21"/>
    <w:rsid w:val="00AB11F2"/>
    <w:rsid w:val="00AB1842"/>
    <w:rsid w:val="00AB4CE8"/>
    <w:rsid w:val="00AB65A6"/>
    <w:rsid w:val="00AC1772"/>
    <w:rsid w:val="00AC254D"/>
    <w:rsid w:val="00AC2C50"/>
    <w:rsid w:val="00AC3386"/>
    <w:rsid w:val="00AC7421"/>
    <w:rsid w:val="00AD096E"/>
    <w:rsid w:val="00AD6279"/>
    <w:rsid w:val="00AD7194"/>
    <w:rsid w:val="00AE1343"/>
    <w:rsid w:val="00AE19BB"/>
    <w:rsid w:val="00AE59BE"/>
    <w:rsid w:val="00AE6711"/>
    <w:rsid w:val="00AF084E"/>
    <w:rsid w:val="00AF1378"/>
    <w:rsid w:val="00AF1992"/>
    <w:rsid w:val="00AF1CE2"/>
    <w:rsid w:val="00AF415C"/>
    <w:rsid w:val="00AF5239"/>
    <w:rsid w:val="00AF5990"/>
    <w:rsid w:val="00AF6035"/>
    <w:rsid w:val="00AF7D41"/>
    <w:rsid w:val="00B00F2B"/>
    <w:rsid w:val="00B0305F"/>
    <w:rsid w:val="00B03554"/>
    <w:rsid w:val="00B03ACE"/>
    <w:rsid w:val="00B072DD"/>
    <w:rsid w:val="00B077DD"/>
    <w:rsid w:val="00B07CC3"/>
    <w:rsid w:val="00B117D4"/>
    <w:rsid w:val="00B13BC2"/>
    <w:rsid w:val="00B14396"/>
    <w:rsid w:val="00B157B2"/>
    <w:rsid w:val="00B17F2B"/>
    <w:rsid w:val="00B227C3"/>
    <w:rsid w:val="00B25F94"/>
    <w:rsid w:val="00B264A4"/>
    <w:rsid w:val="00B2657B"/>
    <w:rsid w:val="00B27468"/>
    <w:rsid w:val="00B307EA"/>
    <w:rsid w:val="00B31517"/>
    <w:rsid w:val="00B3205D"/>
    <w:rsid w:val="00B333E8"/>
    <w:rsid w:val="00B34D65"/>
    <w:rsid w:val="00B361BB"/>
    <w:rsid w:val="00B36AA8"/>
    <w:rsid w:val="00B36DF8"/>
    <w:rsid w:val="00B403FD"/>
    <w:rsid w:val="00B44458"/>
    <w:rsid w:val="00B45785"/>
    <w:rsid w:val="00B46B85"/>
    <w:rsid w:val="00B51122"/>
    <w:rsid w:val="00B5341A"/>
    <w:rsid w:val="00B534C8"/>
    <w:rsid w:val="00B537EA"/>
    <w:rsid w:val="00B5722B"/>
    <w:rsid w:val="00B751BB"/>
    <w:rsid w:val="00B76241"/>
    <w:rsid w:val="00B80EE7"/>
    <w:rsid w:val="00B82B86"/>
    <w:rsid w:val="00B864BA"/>
    <w:rsid w:val="00B90465"/>
    <w:rsid w:val="00B9513C"/>
    <w:rsid w:val="00B967C4"/>
    <w:rsid w:val="00BA3747"/>
    <w:rsid w:val="00BA4E25"/>
    <w:rsid w:val="00BA4EDD"/>
    <w:rsid w:val="00BA76E5"/>
    <w:rsid w:val="00BA779D"/>
    <w:rsid w:val="00BB0922"/>
    <w:rsid w:val="00BB4CCC"/>
    <w:rsid w:val="00BB56E5"/>
    <w:rsid w:val="00BB598E"/>
    <w:rsid w:val="00BB6E59"/>
    <w:rsid w:val="00BC0E4B"/>
    <w:rsid w:val="00BC0FB8"/>
    <w:rsid w:val="00BC2E75"/>
    <w:rsid w:val="00BD073F"/>
    <w:rsid w:val="00BD5A5A"/>
    <w:rsid w:val="00BE19E3"/>
    <w:rsid w:val="00BE41A4"/>
    <w:rsid w:val="00BE6F90"/>
    <w:rsid w:val="00BE7F5E"/>
    <w:rsid w:val="00BF1926"/>
    <w:rsid w:val="00BF29E7"/>
    <w:rsid w:val="00BF2FD3"/>
    <w:rsid w:val="00BF3662"/>
    <w:rsid w:val="00BF4631"/>
    <w:rsid w:val="00BF5663"/>
    <w:rsid w:val="00BF7C4F"/>
    <w:rsid w:val="00C03CD6"/>
    <w:rsid w:val="00C03E9D"/>
    <w:rsid w:val="00C04108"/>
    <w:rsid w:val="00C145E3"/>
    <w:rsid w:val="00C16D22"/>
    <w:rsid w:val="00C17643"/>
    <w:rsid w:val="00C259FF"/>
    <w:rsid w:val="00C27132"/>
    <w:rsid w:val="00C300A0"/>
    <w:rsid w:val="00C3387A"/>
    <w:rsid w:val="00C364A7"/>
    <w:rsid w:val="00C36FFB"/>
    <w:rsid w:val="00C400EC"/>
    <w:rsid w:val="00C40B53"/>
    <w:rsid w:val="00C42A1D"/>
    <w:rsid w:val="00C42D1A"/>
    <w:rsid w:val="00C46A46"/>
    <w:rsid w:val="00C47AAC"/>
    <w:rsid w:val="00C52F29"/>
    <w:rsid w:val="00C544E3"/>
    <w:rsid w:val="00C609A9"/>
    <w:rsid w:val="00C61153"/>
    <w:rsid w:val="00C622A6"/>
    <w:rsid w:val="00C6377E"/>
    <w:rsid w:val="00C66320"/>
    <w:rsid w:val="00C706C9"/>
    <w:rsid w:val="00C74762"/>
    <w:rsid w:val="00C80301"/>
    <w:rsid w:val="00C80EA1"/>
    <w:rsid w:val="00C81E94"/>
    <w:rsid w:val="00C82930"/>
    <w:rsid w:val="00C83647"/>
    <w:rsid w:val="00C848D4"/>
    <w:rsid w:val="00C86114"/>
    <w:rsid w:val="00C90F29"/>
    <w:rsid w:val="00C953F4"/>
    <w:rsid w:val="00C961CA"/>
    <w:rsid w:val="00C9639E"/>
    <w:rsid w:val="00CA3808"/>
    <w:rsid w:val="00CA43EB"/>
    <w:rsid w:val="00CA5E26"/>
    <w:rsid w:val="00CA623F"/>
    <w:rsid w:val="00CA6669"/>
    <w:rsid w:val="00CA78B4"/>
    <w:rsid w:val="00CA79B4"/>
    <w:rsid w:val="00CB04A8"/>
    <w:rsid w:val="00CB4480"/>
    <w:rsid w:val="00CB6636"/>
    <w:rsid w:val="00CB688D"/>
    <w:rsid w:val="00CC0397"/>
    <w:rsid w:val="00CC1552"/>
    <w:rsid w:val="00CC34F7"/>
    <w:rsid w:val="00CC4B91"/>
    <w:rsid w:val="00CC546C"/>
    <w:rsid w:val="00CC7722"/>
    <w:rsid w:val="00CC7E7F"/>
    <w:rsid w:val="00CC7FA0"/>
    <w:rsid w:val="00CC7FEA"/>
    <w:rsid w:val="00CD6BFF"/>
    <w:rsid w:val="00CE17BD"/>
    <w:rsid w:val="00CE3282"/>
    <w:rsid w:val="00CE3500"/>
    <w:rsid w:val="00CE4C36"/>
    <w:rsid w:val="00CE6E3C"/>
    <w:rsid w:val="00CE733D"/>
    <w:rsid w:val="00CF1458"/>
    <w:rsid w:val="00CF49DC"/>
    <w:rsid w:val="00CF5E8D"/>
    <w:rsid w:val="00CF798D"/>
    <w:rsid w:val="00D0119F"/>
    <w:rsid w:val="00D01DCB"/>
    <w:rsid w:val="00D04A06"/>
    <w:rsid w:val="00D04F05"/>
    <w:rsid w:val="00D05320"/>
    <w:rsid w:val="00D10426"/>
    <w:rsid w:val="00D10495"/>
    <w:rsid w:val="00D13CCD"/>
    <w:rsid w:val="00D16088"/>
    <w:rsid w:val="00D20077"/>
    <w:rsid w:val="00D20EB9"/>
    <w:rsid w:val="00D21A53"/>
    <w:rsid w:val="00D258E1"/>
    <w:rsid w:val="00D27A4D"/>
    <w:rsid w:val="00D32604"/>
    <w:rsid w:val="00D3603C"/>
    <w:rsid w:val="00D36B71"/>
    <w:rsid w:val="00D373F8"/>
    <w:rsid w:val="00D37A81"/>
    <w:rsid w:val="00D41A6D"/>
    <w:rsid w:val="00D42C49"/>
    <w:rsid w:val="00D5024E"/>
    <w:rsid w:val="00D50549"/>
    <w:rsid w:val="00D544D8"/>
    <w:rsid w:val="00D569FF"/>
    <w:rsid w:val="00D57895"/>
    <w:rsid w:val="00D60419"/>
    <w:rsid w:val="00D605B7"/>
    <w:rsid w:val="00D6258C"/>
    <w:rsid w:val="00D62B98"/>
    <w:rsid w:val="00D65923"/>
    <w:rsid w:val="00D667DC"/>
    <w:rsid w:val="00D67A7E"/>
    <w:rsid w:val="00D7116B"/>
    <w:rsid w:val="00D71A8B"/>
    <w:rsid w:val="00D71F61"/>
    <w:rsid w:val="00D72616"/>
    <w:rsid w:val="00D76DAC"/>
    <w:rsid w:val="00D81C45"/>
    <w:rsid w:val="00D82440"/>
    <w:rsid w:val="00D83212"/>
    <w:rsid w:val="00D83412"/>
    <w:rsid w:val="00D869C6"/>
    <w:rsid w:val="00D86B47"/>
    <w:rsid w:val="00D90F42"/>
    <w:rsid w:val="00D936D2"/>
    <w:rsid w:val="00D97EC3"/>
    <w:rsid w:val="00DA08E0"/>
    <w:rsid w:val="00DA0FA5"/>
    <w:rsid w:val="00DA356A"/>
    <w:rsid w:val="00DA39C1"/>
    <w:rsid w:val="00DA661B"/>
    <w:rsid w:val="00DA6AE4"/>
    <w:rsid w:val="00DB1214"/>
    <w:rsid w:val="00DB176C"/>
    <w:rsid w:val="00DB301D"/>
    <w:rsid w:val="00DC2B5D"/>
    <w:rsid w:val="00DC3AF2"/>
    <w:rsid w:val="00DC3FAA"/>
    <w:rsid w:val="00DD2A21"/>
    <w:rsid w:val="00DD4AFC"/>
    <w:rsid w:val="00DE1D1D"/>
    <w:rsid w:val="00DE2094"/>
    <w:rsid w:val="00DE6922"/>
    <w:rsid w:val="00DE6DC9"/>
    <w:rsid w:val="00DE7F9C"/>
    <w:rsid w:val="00DF0C28"/>
    <w:rsid w:val="00DF145E"/>
    <w:rsid w:val="00DF209E"/>
    <w:rsid w:val="00DF4794"/>
    <w:rsid w:val="00DF5BBF"/>
    <w:rsid w:val="00DF5BE1"/>
    <w:rsid w:val="00E0085C"/>
    <w:rsid w:val="00E00FB4"/>
    <w:rsid w:val="00E030B2"/>
    <w:rsid w:val="00E034EF"/>
    <w:rsid w:val="00E03A80"/>
    <w:rsid w:val="00E04960"/>
    <w:rsid w:val="00E05E34"/>
    <w:rsid w:val="00E060F3"/>
    <w:rsid w:val="00E10645"/>
    <w:rsid w:val="00E11FB1"/>
    <w:rsid w:val="00E12911"/>
    <w:rsid w:val="00E143F6"/>
    <w:rsid w:val="00E14420"/>
    <w:rsid w:val="00E16FEC"/>
    <w:rsid w:val="00E1705B"/>
    <w:rsid w:val="00E21919"/>
    <w:rsid w:val="00E23396"/>
    <w:rsid w:val="00E2366C"/>
    <w:rsid w:val="00E23BC7"/>
    <w:rsid w:val="00E274A4"/>
    <w:rsid w:val="00E33A74"/>
    <w:rsid w:val="00E3466D"/>
    <w:rsid w:val="00E349F0"/>
    <w:rsid w:val="00E34B37"/>
    <w:rsid w:val="00E353EE"/>
    <w:rsid w:val="00E41EDE"/>
    <w:rsid w:val="00E41F72"/>
    <w:rsid w:val="00E43F5C"/>
    <w:rsid w:val="00E4530C"/>
    <w:rsid w:val="00E47BFE"/>
    <w:rsid w:val="00E47E54"/>
    <w:rsid w:val="00E50617"/>
    <w:rsid w:val="00E51177"/>
    <w:rsid w:val="00E52858"/>
    <w:rsid w:val="00E539A0"/>
    <w:rsid w:val="00E553BF"/>
    <w:rsid w:val="00E569D0"/>
    <w:rsid w:val="00E56E0B"/>
    <w:rsid w:val="00E62E0C"/>
    <w:rsid w:val="00E64495"/>
    <w:rsid w:val="00E65E8C"/>
    <w:rsid w:val="00E70035"/>
    <w:rsid w:val="00E76838"/>
    <w:rsid w:val="00E771FE"/>
    <w:rsid w:val="00E80014"/>
    <w:rsid w:val="00E800B1"/>
    <w:rsid w:val="00E80B9B"/>
    <w:rsid w:val="00E818EA"/>
    <w:rsid w:val="00E83552"/>
    <w:rsid w:val="00E845F1"/>
    <w:rsid w:val="00E915A2"/>
    <w:rsid w:val="00E94760"/>
    <w:rsid w:val="00E96172"/>
    <w:rsid w:val="00EA7FEF"/>
    <w:rsid w:val="00EB06E8"/>
    <w:rsid w:val="00EB0C95"/>
    <w:rsid w:val="00EB44B9"/>
    <w:rsid w:val="00EB4E03"/>
    <w:rsid w:val="00EB7188"/>
    <w:rsid w:val="00EC28C7"/>
    <w:rsid w:val="00EC596B"/>
    <w:rsid w:val="00EC6478"/>
    <w:rsid w:val="00ED2740"/>
    <w:rsid w:val="00ED2C60"/>
    <w:rsid w:val="00ED6E64"/>
    <w:rsid w:val="00EE3474"/>
    <w:rsid w:val="00EE57CC"/>
    <w:rsid w:val="00EF09DC"/>
    <w:rsid w:val="00F01F36"/>
    <w:rsid w:val="00F026FE"/>
    <w:rsid w:val="00F03AD3"/>
    <w:rsid w:val="00F04905"/>
    <w:rsid w:val="00F05171"/>
    <w:rsid w:val="00F07BDA"/>
    <w:rsid w:val="00F12382"/>
    <w:rsid w:val="00F176C0"/>
    <w:rsid w:val="00F22B3C"/>
    <w:rsid w:val="00F2483A"/>
    <w:rsid w:val="00F26114"/>
    <w:rsid w:val="00F26F2D"/>
    <w:rsid w:val="00F31431"/>
    <w:rsid w:val="00F32FE3"/>
    <w:rsid w:val="00F35CDC"/>
    <w:rsid w:val="00F365BD"/>
    <w:rsid w:val="00F36EB8"/>
    <w:rsid w:val="00F40D3E"/>
    <w:rsid w:val="00F43913"/>
    <w:rsid w:val="00F43B71"/>
    <w:rsid w:val="00F43E6C"/>
    <w:rsid w:val="00F445DC"/>
    <w:rsid w:val="00F44B86"/>
    <w:rsid w:val="00F44FA4"/>
    <w:rsid w:val="00F50EB7"/>
    <w:rsid w:val="00F52CCF"/>
    <w:rsid w:val="00F539B7"/>
    <w:rsid w:val="00F56723"/>
    <w:rsid w:val="00F57914"/>
    <w:rsid w:val="00F66A45"/>
    <w:rsid w:val="00F675DB"/>
    <w:rsid w:val="00F74CE8"/>
    <w:rsid w:val="00F75DB2"/>
    <w:rsid w:val="00F77497"/>
    <w:rsid w:val="00F778B5"/>
    <w:rsid w:val="00F81274"/>
    <w:rsid w:val="00F8291D"/>
    <w:rsid w:val="00F84079"/>
    <w:rsid w:val="00F8560D"/>
    <w:rsid w:val="00F85B5A"/>
    <w:rsid w:val="00F86810"/>
    <w:rsid w:val="00F871A9"/>
    <w:rsid w:val="00F8743F"/>
    <w:rsid w:val="00F87C4A"/>
    <w:rsid w:val="00F90E21"/>
    <w:rsid w:val="00F916F5"/>
    <w:rsid w:val="00F92C19"/>
    <w:rsid w:val="00F92E40"/>
    <w:rsid w:val="00F93068"/>
    <w:rsid w:val="00F93505"/>
    <w:rsid w:val="00F94C5B"/>
    <w:rsid w:val="00F97088"/>
    <w:rsid w:val="00FA3429"/>
    <w:rsid w:val="00FA369B"/>
    <w:rsid w:val="00FA49E3"/>
    <w:rsid w:val="00FB11D5"/>
    <w:rsid w:val="00FB4C69"/>
    <w:rsid w:val="00FB54CA"/>
    <w:rsid w:val="00FB6DD1"/>
    <w:rsid w:val="00FB7626"/>
    <w:rsid w:val="00FB7D97"/>
    <w:rsid w:val="00FC0159"/>
    <w:rsid w:val="00FC567A"/>
    <w:rsid w:val="00FC6A40"/>
    <w:rsid w:val="00FD0B38"/>
    <w:rsid w:val="00FD26E1"/>
    <w:rsid w:val="00FD283E"/>
    <w:rsid w:val="00FD309E"/>
    <w:rsid w:val="00FD5FE5"/>
    <w:rsid w:val="00FE10D3"/>
    <w:rsid w:val="00FF1E43"/>
    <w:rsid w:val="00FF3DA0"/>
    <w:rsid w:val="00FF70B0"/>
    <w:rsid w:val="00FF7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FAFF"/>
  <w15:chartTrackingRefBased/>
  <w15:docId w15:val="{2914A20D-5A5C-4742-A666-492A5BFF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E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05171"/>
    <w:rPr>
      <w:rFonts w:ascii="Calibri" w:hAnsi="Calibri" w:cs="Calibri" w:hint="default"/>
      <w:b w:val="0"/>
      <w:bCs w:val="0"/>
      <w:i w:val="0"/>
      <w:iCs w:val="0"/>
      <w:color w:val="000000"/>
      <w:sz w:val="24"/>
      <w:szCs w:val="24"/>
    </w:rPr>
  </w:style>
  <w:style w:type="character" w:customStyle="1" w:styleId="fontstyle21">
    <w:name w:val="fontstyle21"/>
    <w:basedOn w:val="DefaultParagraphFont"/>
    <w:rsid w:val="00547ACA"/>
    <w:rPr>
      <w:rFonts w:ascii="Calibri-Bold" w:hAnsi="Calibri-Bold" w:hint="default"/>
      <w:b/>
      <w:bCs/>
      <w:i w:val="0"/>
      <w:iCs w:val="0"/>
      <w:color w:val="000000"/>
      <w:sz w:val="22"/>
      <w:szCs w:val="22"/>
    </w:rPr>
  </w:style>
  <w:style w:type="paragraph" w:customStyle="1" w:styleId="SingleTxtG">
    <w:name w:val="_ Single Txt_G"/>
    <w:basedOn w:val="Normal"/>
    <w:link w:val="SingleTxtGChar"/>
    <w:qFormat/>
    <w:rsid w:val="00126073"/>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126073"/>
    <w:rPr>
      <w:rFonts w:ascii="Times New Roman" w:eastAsia="Times New Roman" w:hAnsi="Times New Roman" w:cs="Times New Roman"/>
      <w:sz w:val="20"/>
      <w:szCs w:val="20"/>
      <w:lang w:eastAsia="es-ES"/>
    </w:rPr>
  </w:style>
  <w:style w:type="paragraph" w:styleId="EndnoteText">
    <w:name w:val="endnote text"/>
    <w:basedOn w:val="Normal"/>
    <w:link w:val="EndnoteTextChar"/>
    <w:uiPriority w:val="99"/>
    <w:semiHidden/>
    <w:unhideWhenUsed/>
    <w:rsid w:val="00510E2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0E27"/>
    <w:rPr>
      <w:sz w:val="20"/>
      <w:szCs w:val="20"/>
    </w:rPr>
  </w:style>
  <w:style w:type="character" w:styleId="EndnoteReference">
    <w:name w:val="endnote reference"/>
    <w:basedOn w:val="DefaultParagraphFont"/>
    <w:uiPriority w:val="99"/>
    <w:semiHidden/>
    <w:unhideWhenUsed/>
    <w:rsid w:val="00510E27"/>
    <w:rPr>
      <w:vertAlign w:val="superscript"/>
    </w:rPr>
  </w:style>
  <w:style w:type="paragraph" w:styleId="FootnoteText">
    <w:name w:val="footnote text"/>
    <w:aliases w:val="Texto nota pie [IA],Footnote Text Char Char Char Char Char,Footnote Text Char Char Char Char,Footnote reference,FA Fu,Footnote Text Char Char Char,fn,single space,Footnote Text Char Char Char Car,FA Fu Car,Footnote Text Cha,FA Fußnotentext"/>
    <w:basedOn w:val="Normal"/>
    <w:link w:val="FootnoteTextChar"/>
    <w:uiPriority w:val="99"/>
    <w:unhideWhenUsed/>
    <w:qFormat/>
    <w:rsid w:val="00B157B2"/>
    <w:pPr>
      <w:spacing w:after="0" w:line="240" w:lineRule="auto"/>
    </w:pPr>
    <w:rPr>
      <w:sz w:val="20"/>
      <w:szCs w:val="20"/>
    </w:rPr>
  </w:style>
  <w:style w:type="character" w:customStyle="1" w:styleId="FootnoteTextChar">
    <w:name w:val="Footnote Text Char"/>
    <w:aliases w:val="Texto nota pie [IA] Char,Footnote Text Char Char Char Char Char Char,Footnote Text Char Char Char Char Char1,Footnote reference Char,FA Fu Char,Footnote Text Char Char Char Char1,fn Char,single space Char,FA Fu Car Char"/>
    <w:basedOn w:val="DefaultParagraphFont"/>
    <w:link w:val="FootnoteText"/>
    <w:uiPriority w:val="99"/>
    <w:qFormat/>
    <w:rsid w:val="00B157B2"/>
    <w:rPr>
      <w:sz w:val="20"/>
      <w:szCs w:val="20"/>
    </w:rPr>
  </w:style>
  <w:style w:type="character" w:styleId="FootnoteReference">
    <w:name w:val="footnote reference"/>
    <w:aliases w:val="Footnotes refss,Texto de nota al pie,Appel note de bas de page,f,Ref,de nota al pie,normal,Footnote number,referencia nota al pie,BVI fnr,4_G,16 Point,Superscript 6 Point,Ref. de nota al pie.,Footnote symbol,Footnote,R,Texto nota al p"/>
    <w:basedOn w:val="DefaultParagraphFont"/>
    <w:link w:val="Char2"/>
    <w:uiPriority w:val="99"/>
    <w:unhideWhenUsed/>
    <w:qFormat/>
    <w:rsid w:val="00B157B2"/>
    <w:rPr>
      <w:vertAlign w:val="superscript"/>
    </w:rPr>
  </w:style>
  <w:style w:type="character" w:customStyle="1" w:styleId="fontstyle31">
    <w:name w:val="fontstyle31"/>
    <w:basedOn w:val="DefaultParagraphFont"/>
    <w:rsid w:val="00F871A9"/>
    <w:rPr>
      <w:rFonts w:ascii="BellMT" w:hAnsi="BellMT" w:hint="default"/>
      <w:b w:val="0"/>
      <w:bCs w:val="0"/>
      <w:i w:val="0"/>
      <w:iCs w:val="0"/>
      <w:color w:val="000000"/>
      <w:sz w:val="22"/>
      <w:szCs w:val="22"/>
    </w:rPr>
  </w:style>
  <w:style w:type="character" w:styleId="Hyperlink">
    <w:name w:val="Hyperlink"/>
    <w:aliases w:val="http://www.fantaproject.org/sites/default/files/resources/Guatemala-municipal-brief-English-June30.pdf"/>
    <w:basedOn w:val="DefaultParagraphFont"/>
    <w:uiPriority w:val="99"/>
    <w:unhideWhenUsed/>
    <w:rsid w:val="00D10495"/>
    <w:rPr>
      <w:color w:val="0563C1" w:themeColor="hyperlink"/>
      <w:u w:val="single"/>
    </w:rPr>
  </w:style>
  <w:style w:type="paragraph" w:styleId="ListParagraph">
    <w:name w:val="List Paragraph"/>
    <w:basedOn w:val="Normal"/>
    <w:uiPriority w:val="34"/>
    <w:qFormat/>
    <w:rsid w:val="00103E60"/>
    <w:pPr>
      <w:ind w:left="720"/>
      <w:contextualSpacing/>
    </w:pPr>
  </w:style>
  <w:style w:type="character" w:customStyle="1" w:styleId="col-xs-12">
    <w:name w:val="col-xs-12"/>
    <w:basedOn w:val="DefaultParagraphFont"/>
    <w:rsid w:val="00CA43EB"/>
  </w:style>
  <w:style w:type="paragraph" w:customStyle="1" w:styleId="H23G">
    <w:name w:val="_ H_2/3_G"/>
    <w:basedOn w:val="Normal"/>
    <w:next w:val="Normal"/>
    <w:qFormat/>
    <w:rsid w:val="00E56E0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s-ES"/>
    </w:rPr>
  </w:style>
  <w:style w:type="character" w:customStyle="1" w:styleId="jlqj4b">
    <w:name w:val="jlqj4b"/>
    <w:basedOn w:val="DefaultParagraphFont"/>
    <w:rsid w:val="00E353EE"/>
  </w:style>
  <w:style w:type="paragraph" w:styleId="Header">
    <w:name w:val="header"/>
    <w:basedOn w:val="Normal"/>
    <w:link w:val="HeaderChar"/>
    <w:uiPriority w:val="99"/>
    <w:unhideWhenUsed/>
    <w:rsid w:val="00CA7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8B4"/>
  </w:style>
  <w:style w:type="paragraph" w:styleId="Footer">
    <w:name w:val="footer"/>
    <w:basedOn w:val="Normal"/>
    <w:link w:val="FooterChar"/>
    <w:uiPriority w:val="99"/>
    <w:unhideWhenUsed/>
    <w:rsid w:val="00CA7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8B4"/>
  </w:style>
  <w:style w:type="paragraph" w:customStyle="1" w:styleId="Char2">
    <w:name w:val="Char2"/>
    <w:basedOn w:val="Normal"/>
    <w:link w:val="FootnoteReference"/>
    <w:uiPriority w:val="99"/>
    <w:rsid w:val="008A4E30"/>
    <w:pPr>
      <w:spacing w:line="240" w:lineRule="exact"/>
    </w:pPr>
    <w:rPr>
      <w:vertAlign w:val="superscript"/>
    </w:rPr>
  </w:style>
  <w:style w:type="character" w:customStyle="1" w:styleId="eop">
    <w:name w:val="eop"/>
    <w:basedOn w:val="DefaultParagraphFont"/>
    <w:rsid w:val="004D0117"/>
  </w:style>
  <w:style w:type="character" w:styleId="UnresolvedMention">
    <w:name w:val="Unresolved Mention"/>
    <w:basedOn w:val="DefaultParagraphFont"/>
    <w:uiPriority w:val="99"/>
    <w:semiHidden/>
    <w:unhideWhenUsed/>
    <w:rsid w:val="00303101"/>
    <w:rPr>
      <w:color w:val="605E5C"/>
      <w:shd w:val="clear" w:color="auto" w:fill="E1DFDD"/>
    </w:rPr>
  </w:style>
  <w:style w:type="paragraph" w:styleId="NormalWeb">
    <w:name w:val="Normal (Web)"/>
    <w:basedOn w:val="Normal"/>
    <w:uiPriority w:val="99"/>
    <w:unhideWhenUsed/>
    <w:rsid w:val="001F34E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34E6"/>
  </w:style>
  <w:style w:type="character" w:styleId="Strong">
    <w:name w:val="Strong"/>
    <w:basedOn w:val="DefaultParagraphFont"/>
    <w:uiPriority w:val="22"/>
    <w:qFormat/>
    <w:rsid w:val="001F34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lastensas.com/multimedias/mision-cubana-en-ginebra-la-revolucion-cubana-elimino-para-siempre-la-discriminacion-racial/" TargetMode="External"/><Relationship Id="rId13" Type="http://schemas.openxmlformats.org/officeDocument/2006/relationships/hyperlink" Target="https://www.programacolorcubano.cult.cu/biblioteca/pdf/6" TargetMode="External"/><Relationship Id="rId3" Type="http://schemas.openxmlformats.org/officeDocument/2006/relationships/hyperlink" Target="https://www.connectas.org" TargetMode="External"/><Relationship Id="rId7" Type="http://schemas.openxmlformats.org/officeDocument/2006/relationships/hyperlink" Target="https://cubalex.org/2024/09/05/11j-analisis-del-sesgo-racial-en-las-sentencias-por-sedicion-en-cuba/" TargetMode="External"/><Relationship Id="rId12" Type="http://schemas.openxmlformats.org/officeDocument/2006/relationships/hyperlink" Target="https://www.programacolorcubano.cult.cu/centro/cuba" TargetMode="External"/><Relationship Id="rId2" Type="http://schemas.openxmlformats.org/officeDocument/2006/relationships/hyperlink" Target="https://www.connectas.org" TargetMode="External"/><Relationship Id="rId16" Type="http://schemas.openxmlformats.org/officeDocument/2006/relationships/hyperlink" Target="http://www.nuevomilenio.cult.cu" TargetMode="External"/><Relationship Id="rId1" Type="http://schemas.openxmlformats.org/officeDocument/2006/relationships/hyperlink" Target="https://raceandequality.org/es/resources/en-cuba-la-pobreza-extrema-afecta-principalmente-a-las-personas-afrodescendientes-de-la-isla/" TargetMode="External"/><Relationship Id="rId6" Type="http://schemas.openxmlformats.org/officeDocument/2006/relationships/hyperlink" Target="https://cubalex.org/2024/09/05/11j-analisis-del-sesgo-racial-en-las-sentencias-por-sedicion-en-cuba/" TargetMode="External"/><Relationship Id="rId11" Type="http://schemas.openxmlformats.org/officeDocument/2006/relationships/hyperlink" Target="https://www.programacolorcubano.cult.cu/biblioteca/video/5" TargetMode="External"/><Relationship Id="rId5" Type="http://schemas.openxmlformats.org/officeDocument/2006/relationships/hyperlink" Target="https://derechossocialescuba.com/el-estado-de-los-derechos-sociales-en-cuba-informe-6-2023/" TargetMode="External"/><Relationship Id="rId15" Type="http://schemas.openxmlformats.org/officeDocument/2006/relationships/hyperlink" Target="https://www.programacolorcubano.cult.cu/biblioteca/pdf/7" TargetMode="External"/><Relationship Id="rId10" Type="http://schemas.openxmlformats.org/officeDocument/2006/relationships/hyperlink" Target="https://www.ics.gob.cu/wp-content/uploads/2024/02/programa-nacional-contra-el-racismo-y-la-discriminacion-racial-pdf-final.pdf" TargetMode="External"/><Relationship Id="rId4" Type="http://schemas.openxmlformats.org/officeDocument/2006/relationships/hyperlink" Target="https://www.connectas.org" TargetMode="External"/><Relationship Id="rId9" Type="http://schemas.openxmlformats.org/officeDocument/2006/relationships/hyperlink" Target="https://alastensas.com/multimedias/mision-cubana-en-ginebra-la-revolucion-cubana-elimino-para-siempre-la-discriminacion-racial/" TargetMode="External"/><Relationship Id="rId14" Type="http://schemas.openxmlformats.org/officeDocument/2006/relationships/hyperlink" Target="https://www.programacolorcubano.cult.cu/biblioteca/pdf/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676F-23AB-4B2D-BBD1-0382BEFC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2468</TotalTime>
  <Pages>20</Pages>
  <Words>8532</Words>
  <Characters>46758</Characters>
  <Application>Microsoft Office Word</Application>
  <DocSecurity>0</DocSecurity>
  <Lines>615</Lines>
  <Paragraphs>142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Fernando Goldar</cp:lastModifiedBy>
  <cp:revision>1190</cp:revision>
  <dcterms:created xsi:type="dcterms:W3CDTF">2026-02-12T16:16:00Z</dcterms:created>
  <dcterms:modified xsi:type="dcterms:W3CDTF">2026-04-09T13:19:00Z</dcterms:modified>
</cp:coreProperties>
</file>