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 xml:space="preserve">Observaciones al informe del Estado - </w:t>
      </w:r>
      <w:proofErr w:type="spellStart"/>
      <w:r>
        <w:rPr>
          <w:rFonts w:ascii="Calibri" w:eastAsia="Calibri" w:hAnsi="Calibri" w:cs="Calibri"/>
          <w:b/>
          <w:sz w:val="22"/>
          <w:szCs w:val="22"/>
        </w:rPr>
        <w:t>Comite</w:t>
      </w:r>
      <w:proofErr w:type="spellEnd"/>
      <w:r>
        <w:rPr>
          <w:rFonts w:ascii="Calibri" w:eastAsia="Calibri" w:hAnsi="Calibri" w:cs="Calibri"/>
          <w:b/>
          <w:sz w:val="22"/>
          <w:szCs w:val="22"/>
        </w:rPr>
        <w:t xml:space="preserve"> de Derechos del Niño - Comisión Provincial por la Memoria</w:t>
      </w:r>
    </w:p>
    <w:p w14:paraId="0000000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b/>
          <w:sz w:val="22"/>
          <w:szCs w:val="22"/>
        </w:rPr>
        <w:t>Introducción</w:t>
      </w:r>
      <w:r>
        <w:rPr>
          <w:rFonts w:ascii="Calibri" w:eastAsia="Calibri" w:hAnsi="Calibri" w:cs="Calibri"/>
          <w:sz w:val="22"/>
          <w:szCs w:val="22"/>
        </w:rPr>
        <w:t>:</w:t>
      </w:r>
    </w:p>
    <w:p w14:paraId="00000003"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La Comisión por la Memoria (CPM) es un organismo público autónomo y autárquico que promueve e implementa políticas públicas de memoria y derechos humanos en la provincia de Buenos Aires, la </w:t>
      </w:r>
      <w:proofErr w:type="spellStart"/>
      <w:r>
        <w:rPr>
          <w:rFonts w:ascii="Calibri" w:eastAsia="Calibri" w:hAnsi="Calibri" w:cs="Calibri"/>
          <w:sz w:val="22"/>
          <w:szCs w:val="22"/>
        </w:rPr>
        <w:t>mas</w:t>
      </w:r>
      <w:proofErr w:type="spellEnd"/>
      <w:r>
        <w:rPr>
          <w:rFonts w:ascii="Calibri" w:eastAsia="Calibri" w:hAnsi="Calibri" w:cs="Calibri"/>
          <w:sz w:val="22"/>
          <w:szCs w:val="22"/>
        </w:rPr>
        <w:t xml:space="preserve"> grande y poblada de Argentina. Desde el año 2002 monitorea los lugares de encierro y el despliegue de las fuerzas de seguridad en los territorios. En 2019 la Comisión por la Memoria fue designada Mecanismo Local de Prevención de la Tortura en la Provincia de Buenos Aires por el Consejo Federal de Mecanismos de Prevención de la tortura, según lo establece la ley nacional 26.827.</w:t>
      </w:r>
    </w:p>
    <w:p w14:paraId="0000000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Dado que el informe del Estado ha sido preeminentemente general, el presente informe busca dar cuenta de las situaciones concretas de </w:t>
      </w:r>
      <w:proofErr w:type="gramStart"/>
      <w:r>
        <w:rPr>
          <w:rFonts w:ascii="Calibri" w:eastAsia="Calibri" w:hAnsi="Calibri" w:cs="Calibri"/>
          <w:sz w:val="22"/>
          <w:szCs w:val="22"/>
        </w:rPr>
        <w:t>NNA  que</w:t>
      </w:r>
      <w:proofErr w:type="gramEnd"/>
      <w:r>
        <w:rPr>
          <w:rFonts w:ascii="Calibri" w:eastAsia="Calibri" w:hAnsi="Calibri" w:cs="Calibri"/>
          <w:sz w:val="22"/>
          <w:szCs w:val="22"/>
        </w:rPr>
        <w:t xml:space="preserve"> la CPM ha documentado durante el año 2023 con respecto a los Niños Niñas y Adolescentes (NNA) que se encuentran en contacto directo con las instituciones estatales de la Provincia de Buenos Aires. De la </w:t>
      </w:r>
      <w:proofErr w:type="spellStart"/>
      <w:r>
        <w:rPr>
          <w:rFonts w:ascii="Calibri" w:eastAsia="Calibri" w:hAnsi="Calibri" w:cs="Calibri"/>
          <w:sz w:val="22"/>
          <w:szCs w:val="22"/>
        </w:rPr>
        <w:t>descripcion</w:t>
      </w:r>
      <w:proofErr w:type="spellEnd"/>
      <w:r>
        <w:rPr>
          <w:rFonts w:ascii="Calibri" w:eastAsia="Calibri" w:hAnsi="Calibri" w:cs="Calibri"/>
          <w:sz w:val="22"/>
          <w:szCs w:val="22"/>
        </w:rPr>
        <w:t xml:space="preserve"> de los resultados obtenidos, se desprende que más allá de la legislación y las </w:t>
      </w:r>
      <w:proofErr w:type="spellStart"/>
      <w:r>
        <w:rPr>
          <w:rFonts w:ascii="Calibri" w:eastAsia="Calibri" w:hAnsi="Calibri" w:cs="Calibri"/>
          <w:sz w:val="22"/>
          <w:szCs w:val="22"/>
        </w:rPr>
        <w:t>politicas</w:t>
      </w:r>
      <w:proofErr w:type="spellEnd"/>
      <w:r>
        <w:rPr>
          <w:rFonts w:ascii="Calibri" w:eastAsia="Calibri" w:hAnsi="Calibri" w:cs="Calibri"/>
          <w:sz w:val="22"/>
          <w:szCs w:val="22"/>
        </w:rPr>
        <w:t xml:space="preserve"> publicas diseñadas en el plano material los derechos de NNA </w:t>
      </w:r>
      <w:proofErr w:type="spellStart"/>
      <w:r>
        <w:rPr>
          <w:rFonts w:ascii="Calibri" w:eastAsia="Calibri" w:hAnsi="Calibri" w:cs="Calibri"/>
          <w:sz w:val="22"/>
          <w:szCs w:val="22"/>
        </w:rPr>
        <w:t>continuan</w:t>
      </w:r>
      <w:proofErr w:type="spellEnd"/>
      <w:r>
        <w:rPr>
          <w:rFonts w:ascii="Calibri" w:eastAsia="Calibri" w:hAnsi="Calibri" w:cs="Calibri"/>
          <w:sz w:val="22"/>
          <w:szCs w:val="22"/>
        </w:rPr>
        <w:t xml:space="preserve"> siendo vulnerados por el propio Estado.</w:t>
      </w:r>
    </w:p>
    <w:p w14:paraId="00000005"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D. Violencia contra los niños (arts. 19, 24 (párr. 3), 28 (párr. 2), 34, 37 a) y 39) Castigos corporales, tortura y violencia institucional, malos tratos y descuido</w:t>
      </w:r>
    </w:p>
    <w:p w14:paraId="00000006"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Si bien el estado menciona determinadas acciones en su respuesta al párrafo 16 de la lista de cuestiones, la situación relevada por parte de esta organización permite afirmar el incumplimiento por parte del Estado provincial de los estándares establecidos en la Convención y el corpus iuris internacional.</w:t>
      </w:r>
    </w:p>
    <w:p w14:paraId="00000007" w14:textId="77777777" w:rsidR="004C1C5F" w:rsidRDefault="00000000" w:rsidP="00ED042F">
      <w:pPr>
        <w:spacing w:line="240" w:lineRule="auto"/>
        <w:jc w:val="both"/>
        <w:rPr>
          <w:rFonts w:ascii="Calibri" w:eastAsia="Calibri" w:hAnsi="Calibri" w:cs="Calibri"/>
          <w:b/>
          <w:i/>
          <w:sz w:val="22"/>
          <w:szCs w:val="22"/>
        </w:rPr>
      </w:pPr>
      <w:r>
        <w:rPr>
          <w:rFonts w:ascii="Calibri" w:eastAsia="Calibri" w:hAnsi="Calibri" w:cs="Calibri"/>
          <w:b/>
          <w:i/>
          <w:sz w:val="22"/>
          <w:szCs w:val="22"/>
        </w:rPr>
        <w:t>Sistema de Responsabilidad Juvenil</w:t>
      </w:r>
    </w:p>
    <w:p w14:paraId="00000008"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El monitoreo desarrollado durante el año 2023 permitió constatar </w:t>
      </w:r>
      <w:r>
        <w:rPr>
          <w:rFonts w:ascii="Calibri" w:eastAsia="Calibri" w:hAnsi="Calibri" w:cs="Calibri"/>
          <w:b/>
          <w:sz w:val="22"/>
          <w:szCs w:val="22"/>
        </w:rPr>
        <w:t>la persistencia de la tortura como práctica sistemática</w:t>
      </w:r>
      <w:r>
        <w:rPr>
          <w:rFonts w:ascii="Calibri" w:eastAsia="Calibri" w:hAnsi="Calibri" w:cs="Calibri"/>
          <w:sz w:val="22"/>
          <w:szCs w:val="22"/>
        </w:rPr>
        <w:t xml:space="preserve"> en los centros de detención de jóvenes. </w:t>
      </w:r>
    </w:p>
    <w:p w14:paraId="0000000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La </w:t>
      </w:r>
      <w:r>
        <w:rPr>
          <w:rFonts w:ascii="Calibri" w:eastAsia="Calibri" w:hAnsi="Calibri" w:cs="Calibri"/>
          <w:b/>
          <w:sz w:val="22"/>
          <w:szCs w:val="22"/>
        </w:rPr>
        <w:t>represión</w:t>
      </w:r>
      <w:r>
        <w:rPr>
          <w:rFonts w:ascii="Calibri" w:eastAsia="Calibri" w:hAnsi="Calibri" w:cs="Calibri"/>
          <w:sz w:val="22"/>
          <w:szCs w:val="22"/>
        </w:rPr>
        <w:t xml:space="preserve"> y la imposición de </w:t>
      </w:r>
      <w:r>
        <w:rPr>
          <w:rFonts w:ascii="Calibri" w:eastAsia="Calibri" w:hAnsi="Calibri" w:cs="Calibri"/>
          <w:b/>
          <w:sz w:val="22"/>
          <w:szCs w:val="22"/>
        </w:rPr>
        <w:t>medidas sancionatorias arbitrarias</w:t>
      </w:r>
      <w:r>
        <w:rPr>
          <w:rFonts w:ascii="Calibri" w:eastAsia="Calibri" w:hAnsi="Calibri" w:cs="Calibri"/>
          <w:sz w:val="22"/>
          <w:szCs w:val="22"/>
        </w:rPr>
        <w:t xml:space="preserve"> es la forma en la que autoridades y asistentes de minoridad gestionan la conflictividad hacia el interior de los dispositivos. </w:t>
      </w:r>
    </w:p>
    <w:p w14:paraId="0000000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Ejemplos de esto son las graves situaciones de represión denunciadas en el Almafuerte, Araoz Alfaro y Mar del Plata</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que implicaron prácticas que configuran tortura, golpizas, exposición a situaciones humillantes y amenazas. </w:t>
      </w:r>
    </w:p>
    <w:p w14:paraId="0000000B"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sz w:val="22"/>
          <w:szCs w:val="22"/>
        </w:rPr>
        <w:t xml:space="preserve">En el Almafuerte un joven relató que </w:t>
      </w:r>
      <w:r>
        <w:rPr>
          <w:rFonts w:ascii="Calibri" w:eastAsia="Calibri" w:hAnsi="Calibri" w:cs="Calibri"/>
          <w:i/>
          <w:sz w:val="22"/>
          <w:szCs w:val="22"/>
        </w:rPr>
        <w:t>“para reducirnos nos cagaron a palos y nos tenían en bolas"</w:t>
      </w:r>
      <w:r>
        <w:rPr>
          <w:rFonts w:ascii="Calibri" w:eastAsia="Calibri" w:hAnsi="Calibri" w:cs="Calibri"/>
          <w:sz w:val="22"/>
          <w:szCs w:val="22"/>
        </w:rPr>
        <w:t xml:space="preserve">. Mientras que en el Araoz Alfaro denunciaron que </w:t>
      </w:r>
      <w:r>
        <w:rPr>
          <w:rFonts w:ascii="Calibri" w:eastAsia="Calibri" w:hAnsi="Calibri" w:cs="Calibri"/>
          <w:i/>
          <w:sz w:val="22"/>
          <w:szCs w:val="22"/>
          <w:highlight w:val="white"/>
        </w:rPr>
        <w:t xml:space="preserve">“el director y todos los asistentes nos pegaron en el poli”. </w:t>
      </w:r>
      <w:r>
        <w:rPr>
          <w:rFonts w:ascii="Calibri" w:eastAsia="Calibri" w:hAnsi="Calibri" w:cs="Calibri"/>
          <w:sz w:val="22"/>
          <w:szCs w:val="22"/>
          <w:highlight w:val="white"/>
        </w:rPr>
        <w:t xml:space="preserve">Respecto de la represión ocurrida en Mar del Plata, el joven relata </w:t>
      </w:r>
      <w:proofErr w:type="gramStart"/>
      <w:r>
        <w:rPr>
          <w:rFonts w:ascii="Calibri" w:eastAsia="Calibri" w:hAnsi="Calibri" w:cs="Calibri"/>
          <w:sz w:val="22"/>
          <w:szCs w:val="22"/>
          <w:highlight w:val="white"/>
        </w:rPr>
        <w:t xml:space="preserve">que </w:t>
      </w:r>
      <w:r>
        <w:rPr>
          <w:rFonts w:ascii="Calibri" w:eastAsia="Calibri" w:hAnsi="Calibri" w:cs="Calibri"/>
          <w:i/>
          <w:sz w:val="22"/>
          <w:szCs w:val="22"/>
          <w:highlight w:val="white"/>
        </w:rPr>
        <w:t xml:space="preserve"> </w:t>
      </w:r>
      <w:r>
        <w:rPr>
          <w:rFonts w:ascii="Calibri" w:eastAsia="Calibri" w:hAnsi="Calibri" w:cs="Calibri"/>
          <w:i/>
          <w:sz w:val="22"/>
          <w:szCs w:val="22"/>
        </w:rPr>
        <w:t>"</w:t>
      </w:r>
      <w:proofErr w:type="gramEnd"/>
      <w:r>
        <w:rPr>
          <w:rFonts w:ascii="Calibri" w:eastAsia="Calibri" w:hAnsi="Calibri" w:cs="Calibri"/>
          <w:i/>
          <w:sz w:val="22"/>
          <w:szCs w:val="22"/>
        </w:rPr>
        <w:t>a mi cuando ingresaron me dieron varias piñas en la panza, y al otro chico le pegaron mucho más, patadas piñas, lo ahorcaron con el buzo que tenía en la cara para que no le haga mal el contenido del matafuego".</w:t>
      </w:r>
    </w:p>
    <w:p w14:paraId="0000000C" w14:textId="77777777" w:rsidR="004C1C5F" w:rsidRDefault="00000000" w:rsidP="00ED042F">
      <w:pPr>
        <w:spacing w:line="240" w:lineRule="auto"/>
        <w:jc w:val="both"/>
        <w:rPr>
          <w:rFonts w:ascii="Calibri" w:eastAsia="Calibri" w:hAnsi="Calibri" w:cs="Calibri"/>
          <w:i/>
          <w:sz w:val="22"/>
          <w:szCs w:val="22"/>
          <w:highlight w:val="white"/>
        </w:rPr>
      </w:pPr>
      <w:r>
        <w:rPr>
          <w:rFonts w:ascii="Calibri" w:eastAsia="Calibri" w:hAnsi="Calibri" w:cs="Calibri"/>
          <w:sz w:val="22"/>
          <w:szCs w:val="22"/>
          <w:highlight w:val="white"/>
        </w:rPr>
        <w:t xml:space="preserve">En otros casos, la gestión de la conflictividad se da a través de la </w:t>
      </w:r>
      <w:r>
        <w:rPr>
          <w:rFonts w:ascii="Calibri" w:eastAsia="Calibri" w:hAnsi="Calibri" w:cs="Calibri"/>
          <w:b/>
          <w:sz w:val="22"/>
          <w:szCs w:val="22"/>
          <w:highlight w:val="white"/>
        </w:rPr>
        <w:t xml:space="preserve">delegación de la gobernabilidad </w:t>
      </w:r>
      <w:r>
        <w:rPr>
          <w:rFonts w:ascii="Calibri" w:eastAsia="Calibri" w:hAnsi="Calibri" w:cs="Calibri"/>
          <w:sz w:val="22"/>
          <w:szCs w:val="22"/>
          <w:highlight w:val="white"/>
        </w:rPr>
        <w:t xml:space="preserve">en otros jóvenes. En el Araoz Alfaro, luego del incendio ocurrido en el mes de junio los jóvenes </w:t>
      </w:r>
      <w:r>
        <w:rPr>
          <w:rFonts w:ascii="Calibri" w:eastAsia="Calibri" w:hAnsi="Calibri" w:cs="Calibri"/>
          <w:sz w:val="22"/>
          <w:szCs w:val="22"/>
          <w:highlight w:val="white"/>
        </w:rPr>
        <w:lastRenderedPageBreak/>
        <w:t xml:space="preserve">dieron cuenta de que, </w:t>
      </w:r>
      <w:r>
        <w:rPr>
          <w:rFonts w:ascii="Calibri" w:eastAsia="Calibri" w:hAnsi="Calibri" w:cs="Calibri"/>
          <w:i/>
          <w:sz w:val="22"/>
          <w:szCs w:val="22"/>
          <w:highlight w:val="white"/>
        </w:rPr>
        <w:t xml:space="preserve">“los maestros nos llevaron al pabellón central y </w:t>
      </w:r>
      <w:proofErr w:type="gramStart"/>
      <w:r>
        <w:rPr>
          <w:rFonts w:ascii="Calibri" w:eastAsia="Calibri" w:hAnsi="Calibri" w:cs="Calibri"/>
          <w:i/>
          <w:sz w:val="22"/>
          <w:szCs w:val="22"/>
          <w:highlight w:val="white"/>
        </w:rPr>
        <w:t>le</w:t>
      </w:r>
      <w:proofErr w:type="gramEnd"/>
      <w:r>
        <w:rPr>
          <w:rFonts w:ascii="Calibri" w:eastAsia="Calibri" w:hAnsi="Calibri" w:cs="Calibri"/>
          <w:i/>
          <w:sz w:val="22"/>
          <w:szCs w:val="22"/>
          <w:highlight w:val="white"/>
        </w:rPr>
        <w:t xml:space="preserve"> dijeron a los otros pibes está todo pago”. </w:t>
      </w:r>
    </w:p>
    <w:p w14:paraId="0000000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highlight w:val="white"/>
        </w:rPr>
        <w:t xml:space="preserve">La tercerización de la violencia en jóvenes constituye uno más de los vasos comunicantes con el sistema penal de adultos, dando cuenta una vez más del proceso de </w:t>
      </w:r>
      <w:proofErr w:type="spellStart"/>
      <w:r>
        <w:rPr>
          <w:rFonts w:ascii="Calibri" w:eastAsia="Calibri" w:hAnsi="Calibri" w:cs="Calibri"/>
          <w:sz w:val="22"/>
          <w:szCs w:val="22"/>
          <w:highlight w:val="white"/>
        </w:rPr>
        <w:t>carcelización</w:t>
      </w:r>
      <w:proofErr w:type="spellEnd"/>
      <w:r>
        <w:rPr>
          <w:rFonts w:ascii="Calibri" w:eastAsia="Calibri" w:hAnsi="Calibri" w:cs="Calibri"/>
          <w:sz w:val="22"/>
          <w:szCs w:val="22"/>
          <w:highlight w:val="white"/>
        </w:rPr>
        <w:t xml:space="preserve"> que viven los dispositivos del sistema de responsabilidad penal juvenil donde se observan prácticas similares a las cárceles del Sistema Penitenciario Bonaerense. </w:t>
      </w:r>
    </w:p>
    <w:p w14:paraId="0000000E"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 su vez se ha constatado en la totalidad de los dispositivos la práctica de </w:t>
      </w:r>
      <w:r>
        <w:rPr>
          <w:rFonts w:ascii="Calibri" w:eastAsia="Calibri" w:hAnsi="Calibri" w:cs="Calibri"/>
          <w:b/>
          <w:sz w:val="22"/>
          <w:szCs w:val="22"/>
        </w:rPr>
        <w:t>requisar</w:t>
      </w:r>
      <w:r>
        <w:rPr>
          <w:rFonts w:ascii="Calibri" w:eastAsia="Calibri" w:hAnsi="Calibri" w:cs="Calibri"/>
          <w:sz w:val="22"/>
          <w:szCs w:val="22"/>
        </w:rPr>
        <w:t xml:space="preserve"> a los jóvenes cada vez que se mueven de un sector de los dispositivos a otro, por </w:t>
      </w:r>
      <w:proofErr w:type="gramStart"/>
      <w:r>
        <w:rPr>
          <w:rFonts w:ascii="Calibri" w:eastAsia="Calibri" w:hAnsi="Calibri" w:cs="Calibri"/>
          <w:sz w:val="22"/>
          <w:szCs w:val="22"/>
        </w:rPr>
        <w:t>ejemplo</w:t>
      </w:r>
      <w:proofErr w:type="gramEnd"/>
      <w:r>
        <w:rPr>
          <w:rFonts w:ascii="Calibri" w:eastAsia="Calibri" w:hAnsi="Calibri" w:cs="Calibri"/>
          <w:sz w:val="22"/>
          <w:szCs w:val="22"/>
        </w:rPr>
        <w:t xml:space="preserve"> cuando vuelven de la escuela o talleres. Se advierte, y se ha denunciado, la falta de justificación e </w:t>
      </w:r>
      <w:proofErr w:type="spellStart"/>
      <w:r>
        <w:rPr>
          <w:rFonts w:ascii="Calibri" w:eastAsia="Calibri" w:hAnsi="Calibri" w:cs="Calibri"/>
          <w:sz w:val="22"/>
          <w:szCs w:val="22"/>
        </w:rPr>
        <w:t>innecesariedad</w:t>
      </w:r>
      <w:proofErr w:type="spellEnd"/>
      <w:r>
        <w:rPr>
          <w:rFonts w:ascii="Calibri" w:eastAsia="Calibri" w:hAnsi="Calibri" w:cs="Calibri"/>
          <w:sz w:val="22"/>
          <w:szCs w:val="22"/>
        </w:rPr>
        <w:t xml:space="preserve"> de la misma.</w:t>
      </w:r>
    </w:p>
    <w:p w14:paraId="0000000F" w14:textId="77777777" w:rsidR="004C1C5F" w:rsidRDefault="00000000" w:rsidP="00ED042F">
      <w:pPr>
        <w:spacing w:line="240" w:lineRule="auto"/>
        <w:jc w:val="both"/>
        <w:rPr>
          <w:rFonts w:ascii="Calibri" w:eastAsia="Calibri" w:hAnsi="Calibri" w:cs="Calibri"/>
          <w:sz w:val="22"/>
          <w:szCs w:val="22"/>
          <w:highlight w:val="white"/>
        </w:rPr>
      </w:pPr>
      <w:r>
        <w:rPr>
          <w:rFonts w:ascii="Calibri" w:eastAsia="Calibri" w:hAnsi="Calibri" w:cs="Calibri"/>
          <w:sz w:val="22"/>
          <w:szCs w:val="22"/>
        </w:rPr>
        <w:t>Estas requisas se constituyen en</w:t>
      </w:r>
      <w:r>
        <w:rPr>
          <w:rFonts w:ascii="Calibri" w:eastAsia="Calibri" w:hAnsi="Calibri" w:cs="Calibri"/>
          <w:sz w:val="22"/>
          <w:szCs w:val="22"/>
          <w:highlight w:val="white"/>
        </w:rPr>
        <w:t xml:space="preserve"> vejatorias en tanto en la generalidad de los dispositivos consisten en desnudo total (incluye sacarse la ropa interior), realizar flexiones y abrir la boca, siendo en algunos casos grupales. </w:t>
      </w:r>
    </w:p>
    <w:p w14:paraId="00000010" w14:textId="77777777" w:rsidR="004C1C5F" w:rsidRDefault="00000000" w:rsidP="00ED042F">
      <w:pPr>
        <w:spacing w:line="240" w:lineRule="auto"/>
        <w:jc w:val="both"/>
        <w:rPr>
          <w:rFonts w:ascii="Calibri" w:eastAsia="Calibri" w:hAnsi="Calibri" w:cs="Calibri"/>
          <w:sz w:val="22"/>
          <w:szCs w:val="22"/>
          <w:highlight w:val="white"/>
        </w:rPr>
      </w:pPr>
      <w:r>
        <w:rPr>
          <w:rFonts w:ascii="Calibri" w:eastAsia="Calibri" w:hAnsi="Calibri" w:cs="Calibri"/>
          <w:sz w:val="22"/>
          <w:szCs w:val="22"/>
          <w:highlight w:val="white"/>
        </w:rPr>
        <w:t xml:space="preserve">Por su parte, es el </w:t>
      </w:r>
      <w:r>
        <w:rPr>
          <w:rFonts w:ascii="Calibri" w:eastAsia="Calibri" w:hAnsi="Calibri" w:cs="Calibri"/>
          <w:b/>
          <w:sz w:val="22"/>
          <w:szCs w:val="22"/>
          <w:highlight w:val="white"/>
        </w:rPr>
        <w:t>aislamiento</w:t>
      </w:r>
      <w:r>
        <w:rPr>
          <w:rFonts w:ascii="Calibri" w:eastAsia="Calibri" w:hAnsi="Calibri" w:cs="Calibri"/>
          <w:sz w:val="22"/>
          <w:szCs w:val="22"/>
          <w:highlight w:val="white"/>
        </w:rPr>
        <w:t xml:space="preserve"> en celda el agravamiento que más se ha registrado durante el 2023. La práctica de aislamiento se presenta en tres modalidades: una de ellas como “medida de adaptación”, frente al ingreso de un joven se lo </w:t>
      </w:r>
      <w:proofErr w:type="spellStart"/>
      <w:r>
        <w:rPr>
          <w:rFonts w:ascii="Calibri" w:eastAsia="Calibri" w:hAnsi="Calibri" w:cs="Calibri"/>
          <w:sz w:val="22"/>
          <w:szCs w:val="22"/>
          <w:highlight w:val="white"/>
        </w:rPr>
        <w:t>aisla</w:t>
      </w:r>
      <w:proofErr w:type="spellEnd"/>
      <w:r>
        <w:rPr>
          <w:rFonts w:ascii="Calibri" w:eastAsia="Calibri" w:hAnsi="Calibri" w:cs="Calibri"/>
          <w:sz w:val="22"/>
          <w:szCs w:val="22"/>
          <w:highlight w:val="white"/>
        </w:rPr>
        <w:t xml:space="preserve"> para adaptarlo. Como medida de sanción, que implica el encierro en celda durante tiempo prolongado sin tener contacto con el resto de la población. </w:t>
      </w:r>
      <w:proofErr w:type="gramStart"/>
      <w:r>
        <w:rPr>
          <w:rFonts w:ascii="Calibri" w:eastAsia="Calibri" w:hAnsi="Calibri" w:cs="Calibri"/>
          <w:sz w:val="22"/>
          <w:szCs w:val="22"/>
          <w:highlight w:val="white"/>
        </w:rPr>
        <w:t>Y</w:t>
      </w:r>
      <w:proofErr w:type="gramEnd"/>
      <w:r>
        <w:rPr>
          <w:rFonts w:ascii="Calibri" w:eastAsia="Calibri" w:hAnsi="Calibri" w:cs="Calibri"/>
          <w:sz w:val="22"/>
          <w:szCs w:val="22"/>
          <w:highlight w:val="white"/>
        </w:rPr>
        <w:t xml:space="preserve"> por último, como “medida de resguardo”, con el objeto de proteger al </w:t>
      </w:r>
      <w:proofErr w:type="spellStart"/>
      <w:r>
        <w:rPr>
          <w:rFonts w:ascii="Calibri" w:eastAsia="Calibri" w:hAnsi="Calibri" w:cs="Calibri"/>
          <w:sz w:val="22"/>
          <w:szCs w:val="22"/>
          <w:highlight w:val="white"/>
        </w:rPr>
        <w:t>jóven</w:t>
      </w:r>
      <w:proofErr w:type="spellEnd"/>
      <w:r>
        <w:rPr>
          <w:rFonts w:ascii="Calibri" w:eastAsia="Calibri" w:hAnsi="Calibri" w:cs="Calibri"/>
          <w:sz w:val="22"/>
          <w:szCs w:val="22"/>
          <w:highlight w:val="white"/>
        </w:rPr>
        <w:t xml:space="preserve"> se adopta una medida que tiende a aislarlo y separarlo del resto de la población. </w:t>
      </w:r>
    </w:p>
    <w:p w14:paraId="32883ED3" w14:textId="15A9451A" w:rsidR="00ED042F" w:rsidRDefault="00ED042F" w:rsidP="00ED042F">
      <w:pPr>
        <w:spacing w:line="240" w:lineRule="auto"/>
        <w:jc w:val="both"/>
        <w:rPr>
          <w:rFonts w:ascii="Calibri" w:eastAsia="Calibri" w:hAnsi="Calibri" w:cs="Calibri"/>
          <w:sz w:val="22"/>
          <w:szCs w:val="22"/>
        </w:rPr>
      </w:pPr>
      <w:r>
        <w:rPr>
          <w:rFonts w:ascii="Calibri" w:eastAsia="Calibri" w:hAnsi="Calibri" w:cs="Calibri"/>
          <w:sz w:val="22"/>
          <w:szCs w:val="22"/>
        </w:rPr>
        <w:t>En otro orden de ideas la CPM ha registrado incidentes que dan cuenta de la violencia policial. En</w:t>
      </w:r>
      <w:r w:rsidRPr="00ED042F">
        <w:rPr>
          <w:rFonts w:ascii="Calibri" w:eastAsia="Calibri" w:hAnsi="Calibri" w:cs="Calibri"/>
          <w:sz w:val="22"/>
          <w:szCs w:val="22"/>
        </w:rPr>
        <w:t xml:space="preserve"> 2023, recibimos información del Centros Especializados de Aprehensión, dependiente del</w:t>
      </w:r>
      <w:r>
        <w:rPr>
          <w:rFonts w:ascii="Calibri" w:eastAsia="Calibri" w:hAnsi="Calibri" w:cs="Calibri"/>
          <w:sz w:val="22"/>
          <w:szCs w:val="22"/>
        </w:rPr>
        <w:t xml:space="preserve"> </w:t>
      </w:r>
      <w:r w:rsidRPr="00ED042F">
        <w:rPr>
          <w:rFonts w:ascii="Calibri" w:eastAsia="Calibri" w:hAnsi="Calibri" w:cs="Calibri"/>
          <w:sz w:val="22"/>
          <w:szCs w:val="22"/>
        </w:rPr>
        <w:t>Órgano Provincial de Niñez, que recibe a NN</w:t>
      </w:r>
      <w:r>
        <w:rPr>
          <w:rFonts w:ascii="Calibri" w:eastAsia="Calibri" w:hAnsi="Calibri" w:cs="Calibri"/>
          <w:sz w:val="22"/>
          <w:szCs w:val="22"/>
        </w:rPr>
        <w:t>A</w:t>
      </w:r>
      <w:r w:rsidRPr="00ED042F">
        <w:rPr>
          <w:rFonts w:ascii="Calibri" w:eastAsia="Calibri" w:hAnsi="Calibri" w:cs="Calibri"/>
          <w:sz w:val="22"/>
          <w:szCs w:val="22"/>
        </w:rPr>
        <w:t xml:space="preserve"> que son aprehendidos/as por una fuerza de</w:t>
      </w:r>
      <w:r>
        <w:rPr>
          <w:rFonts w:ascii="Calibri" w:eastAsia="Calibri" w:hAnsi="Calibri" w:cs="Calibri"/>
          <w:sz w:val="22"/>
          <w:szCs w:val="22"/>
        </w:rPr>
        <w:t xml:space="preserve"> </w:t>
      </w:r>
      <w:r w:rsidRPr="00ED042F">
        <w:rPr>
          <w:rFonts w:ascii="Calibri" w:eastAsia="Calibri" w:hAnsi="Calibri" w:cs="Calibri"/>
          <w:sz w:val="22"/>
          <w:szCs w:val="22"/>
        </w:rPr>
        <w:t>seguridad, con la función de alojarlos provisoriamente hasta la disposición judicial de libertad</w:t>
      </w:r>
      <w:r>
        <w:rPr>
          <w:rFonts w:ascii="Calibri" w:eastAsia="Calibri" w:hAnsi="Calibri" w:cs="Calibri"/>
          <w:sz w:val="22"/>
          <w:szCs w:val="22"/>
        </w:rPr>
        <w:t xml:space="preserve"> </w:t>
      </w:r>
      <w:r w:rsidRPr="00ED042F">
        <w:rPr>
          <w:rFonts w:ascii="Calibri" w:eastAsia="Calibri" w:hAnsi="Calibri" w:cs="Calibri"/>
          <w:sz w:val="22"/>
          <w:szCs w:val="22"/>
        </w:rPr>
        <w:t>o detención. Según este organismo ingresaron en ese período 305 NN</w:t>
      </w:r>
      <w:r>
        <w:rPr>
          <w:rFonts w:ascii="Calibri" w:eastAsia="Calibri" w:hAnsi="Calibri" w:cs="Calibri"/>
          <w:sz w:val="22"/>
          <w:szCs w:val="22"/>
        </w:rPr>
        <w:t>A</w:t>
      </w:r>
      <w:r w:rsidRPr="00ED042F">
        <w:rPr>
          <w:rFonts w:ascii="Calibri" w:eastAsia="Calibri" w:hAnsi="Calibri" w:cs="Calibri"/>
          <w:sz w:val="22"/>
          <w:szCs w:val="22"/>
        </w:rPr>
        <w:t xml:space="preserve"> de entre 12 y 17 años.</w:t>
      </w:r>
      <w:r>
        <w:rPr>
          <w:rFonts w:ascii="Calibri" w:eastAsia="Calibri" w:hAnsi="Calibri" w:cs="Calibri"/>
          <w:sz w:val="22"/>
          <w:szCs w:val="22"/>
        </w:rPr>
        <w:t xml:space="preserve"> </w:t>
      </w:r>
      <w:r w:rsidRPr="00ED042F">
        <w:rPr>
          <w:rFonts w:ascii="Calibri" w:eastAsia="Calibri" w:hAnsi="Calibri" w:cs="Calibri"/>
          <w:sz w:val="22"/>
          <w:szCs w:val="22"/>
        </w:rPr>
        <w:t>De los 305 jóvenes, 46 denunciaron haber sido víctimas directas de violencia física, verbal,</w:t>
      </w:r>
      <w:r>
        <w:rPr>
          <w:rFonts w:ascii="Calibri" w:eastAsia="Calibri" w:hAnsi="Calibri" w:cs="Calibri"/>
          <w:sz w:val="22"/>
          <w:szCs w:val="22"/>
        </w:rPr>
        <w:t xml:space="preserve"> </w:t>
      </w:r>
      <w:r w:rsidRPr="00ED042F">
        <w:rPr>
          <w:rFonts w:ascii="Calibri" w:eastAsia="Calibri" w:hAnsi="Calibri" w:cs="Calibri"/>
          <w:sz w:val="22"/>
          <w:szCs w:val="22"/>
        </w:rPr>
        <w:t>amenazas y hostigamiento por parte de funcionarios públicos policiales. En relación con este</w:t>
      </w:r>
      <w:r>
        <w:rPr>
          <w:rFonts w:ascii="Calibri" w:eastAsia="Calibri" w:hAnsi="Calibri" w:cs="Calibri"/>
          <w:sz w:val="22"/>
          <w:szCs w:val="22"/>
        </w:rPr>
        <w:t xml:space="preserve"> </w:t>
      </w:r>
      <w:r w:rsidRPr="00ED042F">
        <w:rPr>
          <w:rFonts w:ascii="Calibri" w:eastAsia="Calibri" w:hAnsi="Calibri" w:cs="Calibri"/>
          <w:sz w:val="22"/>
          <w:szCs w:val="22"/>
        </w:rPr>
        <w:t>punto es dable presumir que</w:t>
      </w:r>
      <w:r>
        <w:rPr>
          <w:rFonts w:ascii="Calibri" w:eastAsia="Calibri" w:hAnsi="Calibri" w:cs="Calibri"/>
          <w:sz w:val="22"/>
          <w:szCs w:val="22"/>
        </w:rPr>
        <w:t xml:space="preserve"> </w:t>
      </w:r>
      <w:r w:rsidRPr="00ED042F">
        <w:rPr>
          <w:rFonts w:ascii="Calibri" w:eastAsia="Calibri" w:hAnsi="Calibri" w:cs="Calibri"/>
          <w:sz w:val="22"/>
          <w:szCs w:val="22"/>
        </w:rPr>
        <w:t>se trate de un subregistro producto de la falta de</w:t>
      </w:r>
      <w:r>
        <w:rPr>
          <w:rFonts w:ascii="Calibri" w:eastAsia="Calibri" w:hAnsi="Calibri" w:cs="Calibri"/>
          <w:sz w:val="22"/>
          <w:szCs w:val="22"/>
        </w:rPr>
        <w:t xml:space="preserve"> </w:t>
      </w:r>
      <w:r w:rsidRPr="00ED042F">
        <w:rPr>
          <w:rFonts w:ascii="Calibri" w:eastAsia="Calibri" w:hAnsi="Calibri" w:cs="Calibri"/>
          <w:sz w:val="22"/>
          <w:szCs w:val="22"/>
        </w:rPr>
        <w:t>denuncia por parte de los jóvenes. Esto es así ya que en general existe temor por las</w:t>
      </w:r>
      <w:r>
        <w:rPr>
          <w:rFonts w:ascii="Calibri" w:eastAsia="Calibri" w:hAnsi="Calibri" w:cs="Calibri"/>
          <w:sz w:val="22"/>
          <w:szCs w:val="22"/>
        </w:rPr>
        <w:t xml:space="preserve"> </w:t>
      </w:r>
      <w:r w:rsidRPr="00ED042F">
        <w:rPr>
          <w:rFonts w:ascii="Calibri" w:eastAsia="Calibri" w:hAnsi="Calibri" w:cs="Calibri"/>
          <w:sz w:val="22"/>
          <w:szCs w:val="22"/>
        </w:rPr>
        <w:t xml:space="preserve">represalias o desconfianza en el accionar de la justicia u otras instancias burocráticas </w:t>
      </w:r>
      <w:r>
        <w:rPr>
          <w:rFonts w:ascii="Calibri" w:eastAsia="Calibri" w:hAnsi="Calibri" w:cs="Calibri"/>
          <w:sz w:val="22"/>
          <w:szCs w:val="22"/>
        </w:rPr>
        <w:t xml:space="preserve"> </w:t>
      </w:r>
    </w:p>
    <w:p w14:paraId="00000012"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b/>
          <w:i/>
          <w:sz w:val="22"/>
          <w:szCs w:val="22"/>
        </w:rPr>
        <w:t>Sistema de Promoción y protección de derechos.</w:t>
      </w:r>
    </w:p>
    <w:p w14:paraId="00000013"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Según lo relatado por los/as niños/as y jóvenes entrevistados en los Hogares San Patricio, </w:t>
      </w:r>
      <w:proofErr w:type="spellStart"/>
      <w:r>
        <w:rPr>
          <w:rFonts w:ascii="Calibri" w:eastAsia="Calibri" w:hAnsi="Calibri" w:cs="Calibri"/>
          <w:sz w:val="22"/>
          <w:szCs w:val="22"/>
        </w:rPr>
        <w:t>Nomadelfia</w:t>
      </w:r>
      <w:proofErr w:type="spellEnd"/>
      <w:r>
        <w:rPr>
          <w:rFonts w:ascii="Calibri" w:eastAsia="Calibri" w:hAnsi="Calibri" w:cs="Calibri"/>
          <w:sz w:val="22"/>
          <w:szCs w:val="22"/>
        </w:rPr>
        <w:t>, Hogar del Milagro, Hogar Carrillo-</w:t>
      </w:r>
      <w:proofErr w:type="spellStart"/>
      <w:r>
        <w:rPr>
          <w:rFonts w:ascii="Calibri" w:eastAsia="Calibri" w:hAnsi="Calibri" w:cs="Calibri"/>
          <w:sz w:val="22"/>
          <w:szCs w:val="22"/>
        </w:rPr>
        <w:t>Servente</w:t>
      </w:r>
      <w:proofErr w:type="spellEnd"/>
      <w:r>
        <w:rPr>
          <w:rFonts w:ascii="Calibri" w:eastAsia="Calibri" w:hAnsi="Calibri" w:cs="Calibri"/>
          <w:sz w:val="22"/>
          <w:szCs w:val="22"/>
        </w:rPr>
        <w:t xml:space="preserve"> y Esos Locos Bajitos constatamos que han sido víctimas de diferentes tipos de torturas y/o malos tratos. </w:t>
      </w:r>
    </w:p>
    <w:p w14:paraId="0000001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De la mayoría de los relatos se desprende que dichas prácticas </w:t>
      </w:r>
      <w:proofErr w:type="spellStart"/>
      <w:r>
        <w:rPr>
          <w:rFonts w:ascii="Calibri" w:eastAsia="Calibri" w:hAnsi="Calibri" w:cs="Calibri"/>
          <w:sz w:val="22"/>
          <w:szCs w:val="22"/>
        </w:rPr>
        <w:t>vulneratorias</w:t>
      </w:r>
      <w:proofErr w:type="spellEnd"/>
      <w:r>
        <w:rPr>
          <w:rFonts w:ascii="Calibri" w:eastAsia="Calibri" w:hAnsi="Calibri" w:cs="Calibri"/>
          <w:sz w:val="22"/>
          <w:szCs w:val="22"/>
        </w:rPr>
        <w:t xml:space="preserve"> son utilizadas como forma de abordar los conflictos al interior de los dispositivos convivenciales. Un total del 21 % de los jóvenes </w:t>
      </w:r>
      <w:proofErr w:type="gramStart"/>
      <w:r>
        <w:rPr>
          <w:rFonts w:ascii="Calibri" w:eastAsia="Calibri" w:hAnsi="Calibri" w:cs="Calibri"/>
          <w:sz w:val="22"/>
          <w:szCs w:val="22"/>
        </w:rPr>
        <w:t>entrevistados  ser</w:t>
      </w:r>
      <w:proofErr w:type="gramEnd"/>
      <w:r>
        <w:rPr>
          <w:rFonts w:ascii="Calibri" w:eastAsia="Calibri" w:hAnsi="Calibri" w:cs="Calibri"/>
          <w:sz w:val="22"/>
          <w:szCs w:val="22"/>
        </w:rPr>
        <w:t xml:space="preserve"> víctimas diferentes prácticas específicas: agresiones verbales y psicológicas, golpes, amenazas, </w:t>
      </w:r>
      <w:proofErr w:type="spellStart"/>
      <w:r>
        <w:rPr>
          <w:rFonts w:ascii="Calibri" w:eastAsia="Calibri" w:hAnsi="Calibri" w:cs="Calibri"/>
          <w:sz w:val="22"/>
          <w:szCs w:val="22"/>
        </w:rPr>
        <w:t>criqueos</w:t>
      </w:r>
      <w:proofErr w:type="spellEnd"/>
      <w:r>
        <w:rPr>
          <w:rFonts w:ascii="Calibri" w:eastAsia="Calibri" w:hAnsi="Calibri" w:cs="Calibri"/>
          <w:sz w:val="22"/>
          <w:szCs w:val="22"/>
        </w:rPr>
        <w:t xml:space="preserve"> o contenciones físicas y  aislamiento.  NNA denunciaron haber sido víctimas de abuso sexual en dispositivos convivenciales que debían garantizar su cuidado integral. Resulta de extrema gravedad el registro de 5 relatos referidos a situaciones de abuso sexual en hogares convivenciales durante el año 2023</w:t>
      </w:r>
    </w:p>
    <w:p w14:paraId="00000015"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Un joven entrevistado en el Hogar </w:t>
      </w:r>
      <w:proofErr w:type="spellStart"/>
      <w:r>
        <w:rPr>
          <w:rFonts w:ascii="Calibri" w:eastAsia="Calibri" w:hAnsi="Calibri" w:cs="Calibri"/>
          <w:sz w:val="22"/>
          <w:szCs w:val="22"/>
        </w:rPr>
        <w:t>Servente</w:t>
      </w:r>
      <w:proofErr w:type="spellEnd"/>
      <w:r>
        <w:rPr>
          <w:rFonts w:ascii="Calibri" w:eastAsia="Calibri" w:hAnsi="Calibri" w:cs="Calibri"/>
          <w:sz w:val="22"/>
          <w:szCs w:val="22"/>
        </w:rPr>
        <w:t xml:space="preserve">, que venía del Hogar Carrillo, refirió cuatro escenas de maltrato hacia otros niños que vivencio en primera persona en el Hogar Carrillo: </w:t>
      </w:r>
      <w:r>
        <w:rPr>
          <w:rFonts w:ascii="Calibri" w:eastAsia="Calibri" w:hAnsi="Calibri" w:cs="Calibri"/>
          <w:i/>
          <w:sz w:val="22"/>
          <w:szCs w:val="22"/>
        </w:rPr>
        <w:t>"Gabriel le pegaba a uno de los nenes que tiene autismo, él lloraba y corría por el Hogar con miedo"</w:t>
      </w:r>
      <w:r>
        <w:rPr>
          <w:rFonts w:ascii="Calibri" w:eastAsia="Calibri" w:hAnsi="Calibri" w:cs="Calibri"/>
          <w:sz w:val="22"/>
          <w:szCs w:val="22"/>
        </w:rPr>
        <w:t xml:space="preserve">, </w:t>
      </w:r>
      <w:r>
        <w:rPr>
          <w:rFonts w:ascii="Calibri" w:eastAsia="Calibri" w:hAnsi="Calibri" w:cs="Calibri"/>
          <w:i/>
          <w:sz w:val="22"/>
          <w:szCs w:val="22"/>
        </w:rPr>
        <w:t xml:space="preserve">"Marina (directora) </w:t>
      </w:r>
      <w:r>
        <w:rPr>
          <w:rFonts w:ascii="Calibri" w:eastAsia="Calibri" w:hAnsi="Calibri" w:cs="Calibri"/>
          <w:i/>
          <w:sz w:val="22"/>
          <w:szCs w:val="22"/>
        </w:rPr>
        <w:lastRenderedPageBreak/>
        <w:t xml:space="preserve">el agarro de los pelos a Micaela. y la empujo contra la reja. También </w:t>
      </w:r>
      <w:proofErr w:type="gramStart"/>
      <w:r>
        <w:rPr>
          <w:rFonts w:ascii="Calibri" w:eastAsia="Calibri" w:hAnsi="Calibri" w:cs="Calibri"/>
          <w:i/>
          <w:sz w:val="22"/>
          <w:szCs w:val="22"/>
        </w:rPr>
        <w:t>le</w:t>
      </w:r>
      <w:proofErr w:type="gramEnd"/>
      <w:r>
        <w:rPr>
          <w:rFonts w:ascii="Calibri" w:eastAsia="Calibri" w:hAnsi="Calibri" w:cs="Calibri"/>
          <w:i/>
          <w:sz w:val="22"/>
          <w:szCs w:val="22"/>
        </w:rPr>
        <w:t xml:space="preserve"> pegó a mis hermanas, las encerraba en la dirección agarrándolas del brazo, les gritaba y empujaba, yo escuchaba todo de afuera". "También Ezequiel nos trataba mal, </w:t>
      </w:r>
      <w:proofErr w:type="gramStart"/>
      <w:r>
        <w:rPr>
          <w:rFonts w:ascii="Calibri" w:eastAsia="Calibri" w:hAnsi="Calibri" w:cs="Calibri"/>
          <w:i/>
          <w:sz w:val="22"/>
          <w:szCs w:val="22"/>
        </w:rPr>
        <w:t>le</w:t>
      </w:r>
      <w:proofErr w:type="gramEnd"/>
      <w:r>
        <w:rPr>
          <w:rFonts w:ascii="Calibri" w:eastAsia="Calibri" w:hAnsi="Calibri" w:cs="Calibri"/>
          <w:i/>
          <w:sz w:val="22"/>
          <w:szCs w:val="22"/>
        </w:rPr>
        <w:t xml:space="preserve"> pegaba a mis hermanas y a los más chiquitos." "A Facundo lo echaron porque pegaba, tenía mucha violencia con los más chicos, por </w:t>
      </w:r>
      <w:proofErr w:type="gramStart"/>
      <w:r>
        <w:rPr>
          <w:rFonts w:ascii="Calibri" w:eastAsia="Calibri" w:hAnsi="Calibri" w:cs="Calibri"/>
          <w:i/>
          <w:sz w:val="22"/>
          <w:szCs w:val="22"/>
        </w:rPr>
        <w:t>ejemplo</w:t>
      </w:r>
      <w:proofErr w:type="gramEnd"/>
      <w:r>
        <w:rPr>
          <w:rFonts w:ascii="Calibri" w:eastAsia="Calibri" w:hAnsi="Calibri" w:cs="Calibri"/>
          <w:i/>
          <w:sz w:val="22"/>
          <w:szCs w:val="22"/>
        </w:rPr>
        <w:t xml:space="preserve"> a Bautista que no podía defenderse</w:t>
      </w:r>
      <w:r>
        <w:rPr>
          <w:rFonts w:ascii="Calibri" w:eastAsia="Calibri" w:hAnsi="Calibri" w:cs="Calibri"/>
          <w:sz w:val="22"/>
          <w:szCs w:val="22"/>
        </w:rPr>
        <w:t xml:space="preserve">". </w:t>
      </w:r>
    </w:p>
    <w:p w14:paraId="00000016"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A su vez se reveló otra forma de castigo: las “penitencias” Estas consisten en dejarlos parados/as o sentados/as mirando la pared por largas horas sin hablar con nadie, ni participar de actividades, jugar o inclusive moverse. También aparece el encierro como forma de castigo, muchos/as de los/as niños/as aludieron permanecer horas encerrados en sus piezas, en ocasiones con la luz apagada o incluso afuera, no dejándolos/as ingresar</w:t>
      </w:r>
    </w:p>
    <w:p w14:paraId="00000017"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Se relevó a su vez en todos los dispositivos la existencia de restricciones en el acceso a derechos como forma de castigar a los/as NNA. En el Hogar del Milagro, por ejemplo, los/as NNA refirieron que </w:t>
      </w:r>
      <w:r>
        <w:rPr>
          <w:rFonts w:ascii="Calibri" w:eastAsia="Calibri" w:hAnsi="Calibri" w:cs="Calibri"/>
          <w:i/>
          <w:sz w:val="22"/>
          <w:szCs w:val="22"/>
        </w:rPr>
        <w:t>“cuando se portan mal</w:t>
      </w:r>
      <w:r>
        <w:rPr>
          <w:rFonts w:ascii="Calibri" w:eastAsia="Calibri" w:hAnsi="Calibri" w:cs="Calibri"/>
          <w:sz w:val="22"/>
          <w:szCs w:val="22"/>
        </w:rPr>
        <w:t xml:space="preserve">” los/as hacen </w:t>
      </w:r>
      <w:r>
        <w:rPr>
          <w:rFonts w:ascii="Calibri" w:eastAsia="Calibri" w:hAnsi="Calibri" w:cs="Calibri"/>
          <w:i/>
          <w:sz w:val="22"/>
          <w:szCs w:val="22"/>
        </w:rPr>
        <w:t>"comer garbanzo o polenta porque a los chicos no les gusta" o les dicen "que te vayas a la habitación y te patean".</w:t>
      </w:r>
    </w:p>
    <w:p w14:paraId="00000018"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A su vez se relata la intervención de fuerzas de seguridad como parte del abordaje de la disciplina. Entrevistados relataron un episodio en que 6 efectivos policiales ingresan al hogar uniformados, con armas y palos aludiendo que "Los llaman las chicas porque se portan mal".</w:t>
      </w:r>
    </w:p>
    <w:p w14:paraId="0000001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 palabras de Julian: "</w:t>
      </w:r>
      <w:r>
        <w:rPr>
          <w:rFonts w:ascii="Calibri" w:eastAsia="Calibri" w:hAnsi="Calibri" w:cs="Calibri"/>
          <w:i/>
          <w:sz w:val="22"/>
          <w:szCs w:val="22"/>
        </w:rPr>
        <w:t>Nos pegaba mi mamá y por eso nos mandaron a un Hogar. En Esos Locos Bajitos nos seguían pegado: ¿Para qué nos mandan a un hogar si nos van a seguir pegando</w:t>
      </w:r>
      <w:r>
        <w:rPr>
          <w:rFonts w:ascii="Calibri" w:eastAsia="Calibri" w:hAnsi="Calibri" w:cs="Calibri"/>
          <w:sz w:val="22"/>
          <w:szCs w:val="22"/>
        </w:rPr>
        <w:t>?"</w:t>
      </w:r>
    </w:p>
    <w:p w14:paraId="0000001A" w14:textId="77777777" w:rsidR="004C1C5F" w:rsidRDefault="004C1C5F" w:rsidP="00ED042F">
      <w:pPr>
        <w:spacing w:line="240" w:lineRule="auto"/>
        <w:jc w:val="both"/>
        <w:rPr>
          <w:rFonts w:ascii="Calibri" w:eastAsia="Calibri" w:hAnsi="Calibri" w:cs="Calibri"/>
          <w:sz w:val="22"/>
          <w:szCs w:val="22"/>
        </w:rPr>
      </w:pPr>
    </w:p>
    <w:p w14:paraId="0000001B"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E. Entorno familiar y modalidades alternativas de cuidado (arts. 5, 9 a 11, 18 (</w:t>
      </w:r>
      <w:proofErr w:type="spellStart"/>
      <w:r>
        <w:rPr>
          <w:rFonts w:ascii="Calibri" w:eastAsia="Calibri" w:hAnsi="Calibri" w:cs="Calibri"/>
          <w:b/>
          <w:sz w:val="22"/>
          <w:szCs w:val="22"/>
        </w:rPr>
        <w:t>párrs</w:t>
      </w:r>
      <w:proofErr w:type="spellEnd"/>
      <w:r>
        <w:rPr>
          <w:rFonts w:ascii="Calibri" w:eastAsia="Calibri" w:hAnsi="Calibri" w:cs="Calibri"/>
          <w:b/>
          <w:sz w:val="22"/>
          <w:szCs w:val="22"/>
        </w:rPr>
        <w:t>. 1 y 2), 20, 21, 25 y 27 (párr. 4))</w:t>
      </w:r>
    </w:p>
    <w:p w14:paraId="0000001C"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Con la intención de aportar a la necesaria revisión sobre los alcances, las falencias y las deudas pendientes que el Estado Provincial tiene para con los NNA, se comparte un análisis del Sistema de promoción y Protección de NNA (SPPD) desde diferentes fuentes y con un enfoque particular, aquel que nos habilita y convoca nuestras competencias como Mecanismo Local de Prevención de la Tortura. </w:t>
      </w:r>
    </w:p>
    <w:p w14:paraId="0000001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 modo de diagnóstico inicial se comparten los datos y estadísticas que el propio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produce a partir del REUNA (Registro Estadístico Unificado de Niñez y Adolescencia). Para complejizar el escenario, se presenta una sistematización de toda la información relevada de manera directa por la CPM en la tarea de monitoreo de los dispositivos convivenciales. </w:t>
      </w:r>
    </w:p>
    <w:p w14:paraId="0000001E"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El insumo principal de nuestra tarea, y por lo tanto de está caracterización, corresponde a la propia palabra y perspectiva de los/as NNA entrevistados: el sistema es lo que ellos nos cuentan que es, la forma en que lo describen y las demandas que le hacen. Para está caracterización se recuperan también los registros de condiciones materiales y de seguridad observados en cada inspección, lo relevado en la revisión de historias clínicas y legajos institucionales, y el intercambio de presentaciones y respuestas obtenidas por diferentes efectores partes de los procesos iniciados. </w:t>
      </w:r>
    </w:p>
    <w:p w14:paraId="0000001F" w14:textId="77777777" w:rsidR="004C1C5F" w:rsidRDefault="00000000" w:rsidP="00ED042F">
      <w:pPr>
        <w:spacing w:line="240" w:lineRule="auto"/>
        <w:jc w:val="both"/>
        <w:rPr>
          <w:rFonts w:ascii="Calibri" w:eastAsia="Calibri" w:hAnsi="Calibri" w:cs="Calibri"/>
          <w:sz w:val="22"/>
          <w:szCs w:val="22"/>
        </w:rPr>
      </w:pPr>
      <w:proofErr w:type="spellStart"/>
      <w:r>
        <w:rPr>
          <w:rFonts w:ascii="Calibri" w:eastAsia="Calibri" w:hAnsi="Calibri" w:cs="Calibri"/>
          <w:sz w:val="22"/>
          <w:szCs w:val="22"/>
        </w:rPr>
        <w:t>Segun</w:t>
      </w:r>
      <w:proofErr w:type="spellEnd"/>
      <w:r>
        <w:rPr>
          <w:rFonts w:ascii="Calibri" w:eastAsia="Calibri" w:hAnsi="Calibri" w:cs="Calibri"/>
          <w:sz w:val="22"/>
          <w:szCs w:val="22"/>
        </w:rPr>
        <w:t xml:space="preserve"> Informe oficial del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titulado “</w:t>
      </w:r>
      <w:r>
        <w:rPr>
          <w:rFonts w:ascii="Calibri" w:eastAsia="Calibri" w:hAnsi="Calibri" w:cs="Calibri"/>
          <w:i/>
          <w:sz w:val="22"/>
          <w:szCs w:val="22"/>
        </w:rPr>
        <w:t xml:space="preserve">Algunos indicadores del SPPD de </w:t>
      </w:r>
      <w:proofErr w:type="spellStart"/>
      <w:r>
        <w:rPr>
          <w:rFonts w:ascii="Calibri" w:eastAsia="Calibri" w:hAnsi="Calibri" w:cs="Calibri"/>
          <w:i/>
          <w:sz w:val="22"/>
          <w:szCs w:val="22"/>
        </w:rPr>
        <w:t>NNyA</w:t>
      </w:r>
      <w:proofErr w:type="spellEnd"/>
      <w:r>
        <w:rPr>
          <w:rFonts w:ascii="Calibri" w:eastAsia="Calibri" w:hAnsi="Calibri" w:cs="Calibri"/>
          <w:i/>
          <w:sz w:val="22"/>
          <w:szCs w:val="22"/>
        </w:rPr>
        <w:t xml:space="preserve"> en la Provincia de Buenos Aires-</w:t>
      </w:r>
      <w:proofErr w:type="gramStart"/>
      <w:r>
        <w:rPr>
          <w:rFonts w:ascii="Calibri" w:eastAsia="Calibri" w:hAnsi="Calibri" w:cs="Calibri"/>
          <w:i/>
          <w:sz w:val="22"/>
          <w:szCs w:val="22"/>
        </w:rPr>
        <w:t>Diciembre</w:t>
      </w:r>
      <w:proofErr w:type="gramEnd"/>
      <w:r>
        <w:rPr>
          <w:rFonts w:ascii="Calibri" w:eastAsia="Calibri" w:hAnsi="Calibri" w:cs="Calibri"/>
          <w:i/>
          <w:sz w:val="22"/>
          <w:szCs w:val="22"/>
        </w:rPr>
        <w:t xml:space="preserve"> 2023”</w:t>
      </w:r>
      <w:r>
        <w:rPr>
          <w:rFonts w:ascii="Calibri" w:eastAsia="Calibri" w:hAnsi="Calibri" w:cs="Calibri"/>
          <w:sz w:val="22"/>
          <w:szCs w:val="22"/>
        </w:rPr>
        <w:t xml:space="preserve"> la cantidad de NNA abordados es de un total de 73.211 </w:t>
      </w:r>
      <w:proofErr w:type="spellStart"/>
      <w:r>
        <w:rPr>
          <w:rFonts w:ascii="Calibri" w:eastAsia="Calibri" w:hAnsi="Calibri" w:cs="Calibri"/>
          <w:sz w:val="22"/>
          <w:szCs w:val="22"/>
        </w:rPr>
        <w:t>NNyA</w:t>
      </w:r>
      <w:proofErr w:type="spellEnd"/>
      <w:r>
        <w:rPr>
          <w:rFonts w:ascii="Calibri" w:eastAsia="Calibri" w:hAnsi="Calibri" w:cs="Calibri"/>
          <w:sz w:val="22"/>
          <w:szCs w:val="22"/>
        </w:rPr>
        <w:t xml:space="preserve">. </w:t>
      </w:r>
    </w:p>
    <w:p w14:paraId="00000020"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Los abordajes mantienen como motivo de </w:t>
      </w:r>
      <w:proofErr w:type="gramStart"/>
      <w:r>
        <w:rPr>
          <w:rFonts w:ascii="Calibri" w:eastAsia="Calibri" w:hAnsi="Calibri" w:cs="Calibri"/>
          <w:sz w:val="22"/>
          <w:szCs w:val="22"/>
        </w:rPr>
        <w:t>intervención  principal</w:t>
      </w:r>
      <w:proofErr w:type="gramEnd"/>
      <w:r>
        <w:rPr>
          <w:rFonts w:ascii="Calibri" w:eastAsia="Calibri" w:hAnsi="Calibri" w:cs="Calibri"/>
          <w:sz w:val="22"/>
          <w:szCs w:val="22"/>
        </w:rPr>
        <w:t xml:space="preserve"> el maltrato físico o psicológico y la negligencia , representando en promedio el 61% (45.028) de los casos. Le siguen las razones de </w:t>
      </w:r>
      <w:r>
        <w:rPr>
          <w:rFonts w:ascii="Calibri" w:eastAsia="Calibri" w:hAnsi="Calibri" w:cs="Calibri"/>
          <w:sz w:val="22"/>
          <w:szCs w:val="22"/>
        </w:rPr>
        <w:lastRenderedPageBreak/>
        <w:t xml:space="preserve">abuso sexual (13%; 9.698) y ausencia de adulto responsable (10%; 7.423). Los motivos restantes representan porcentajes notoriamente </w:t>
      </w:r>
      <w:proofErr w:type="gramStart"/>
      <w:r>
        <w:rPr>
          <w:rFonts w:ascii="Calibri" w:eastAsia="Calibri" w:hAnsi="Calibri" w:cs="Calibri"/>
          <w:sz w:val="22"/>
          <w:szCs w:val="22"/>
        </w:rPr>
        <w:t>menores .</w:t>
      </w:r>
      <w:proofErr w:type="gramEnd"/>
      <w:r>
        <w:rPr>
          <w:rFonts w:ascii="Calibri" w:eastAsia="Calibri" w:hAnsi="Calibri" w:cs="Calibri"/>
          <w:sz w:val="22"/>
          <w:szCs w:val="22"/>
        </w:rPr>
        <w:t xml:space="preserve"> </w:t>
      </w:r>
    </w:p>
    <w:p w14:paraId="00000021"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ese sentido, la mayor información que aportan los datos oficiales corresponde a los 4.101 NNA institucionalizados durante el año 2023. Este término es definido por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como aquel NNA que se encuentra alojado en cualquier institución de cuidado, más allá del tipo de recurso (conveniada, oficial o sin convenio), y de la situación jurídica bajo la cual se encuentra (medida de abrigo o situación de adoptabilidad). </w:t>
      </w:r>
    </w:p>
    <w:p w14:paraId="0000002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Del total de los NNA institucionalizados resulta alarmante que hay más niños en instituciones sin conveniar (447) que en dispositivos oficiales (336), por lo cual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resuelve su incapacidad de dar respuesta con entidades sin ningún tipo de marco respaldatorio y, por lo tanto, sin supervisión prevista. </w:t>
      </w:r>
    </w:p>
    <w:p w14:paraId="00000023"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cuanto a los dispositivos oficiales, merece una mención la categoría “Hospital” como recurso en incremento año tras </w:t>
      </w:r>
      <w:proofErr w:type="gramStart"/>
      <w:r>
        <w:rPr>
          <w:rFonts w:ascii="Calibri" w:eastAsia="Calibri" w:hAnsi="Calibri" w:cs="Calibri"/>
          <w:sz w:val="22"/>
          <w:szCs w:val="22"/>
        </w:rPr>
        <w:t>año .</w:t>
      </w:r>
      <w:proofErr w:type="gramEnd"/>
      <w:r>
        <w:rPr>
          <w:rFonts w:ascii="Calibri" w:eastAsia="Calibri" w:hAnsi="Calibri" w:cs="Calibri"/>
          <w:sz w:val="22"/>
          <w:szCs w:val="22"/>
        </w:rPr>
        <w:t xml:space="preserve"> Respecto de 2020, en 2023 la cantidad de </w:t>
      </w:r>
      <w:proofErr w:type="spellStart"/>
      <w:r>
        <w:rPr>
          <w:rFonts w:ascii="Calibri" w:eastAsia="Calibri" w:hAnsi="Calibri" w:cs="Calibri"/>
          <w:sz w:val="22"/>
          <w:szCs w:val="22"/>
        </w:rPr>
        <w:t>NNyA</w:t>
      </w:r>
      <w:proofErr w:type="spellEnd"/>
      <w:r>
        <w:rPr>
          <w:rFonts w:ascii="Calibri" w:eastAsia="Calibri" w:hAnsi="Calibri" w:cs="Calibri"/>
          <w:sz w:val="22"/>
          <w:szCs w:val="22"/>
        </w:rPr>
        <w:t xml:space="preserve"> institucionalizados en hospitales se incrementó un 65% (pasando de 94 a 155 NNA). Este incremento está asociado a un deficiente abordaje de la salud mental de les niñes en términos preventivos y en herramientas terapéuticas para contención de crisis. A su vez, cuando el recurso de la internación es utilizado de manera pertinente, la dificultad surge en los procesos de </w:t>
      </w:r>
      <w:proofErr w:type="spellStart"/>
      <w:r>
        <w:rPr>
          <w:rFonts w:ascii="Calibri" w:eastAsia="Calibri" w:hAnsi="Calibri" w:cs="Calibri"/>
          <w:sz w:val="22"/>
          <w:szCs w:val="22"/>
        </w:rPr>
        <w:t>externación</w:t>
      </w:r>
      <w:proofErr w:type="spellEnd"/>
      <w:r>
        <w:rPr>
          <w:rFonts w:ascii="Calibri" w:eastAsia="Calibri" w:hAnsi="Calibri" w:cs="Calibri"/>
          <w:sz w:val="22"/>
          <w:szCs w:val="22"/>
        </w:rPr>
        <w:t xml:space="preserve"> centralmente por falencias de los órganos del SPPD tanto en la gestión de vacantes en dispositivos convivenciales o terapéuticos como así en el trabajo para la restitución de derechos en comunidad.</w:t>
      </w:r>
    </w:p>
    <w:p w14:paraId="0000002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 2023 la mayoría (52%; 2.134) de los NNA se encuentra viviendo en instituciones ubicadas alejadas de su municipio de origen, al igual que años anteriores. En cuanto a la situación legal en la que se encuentran los NNA institucionalizados, las dos figuras principales corresponden a quienes están en situación de adoptabilidad (52%; 2.172) y aquellos que se encuentran en el marco de medidas de abrigo (32%; 1.318).</w:t>
      </w:r>
    </w:p>
    <w:p w14:paraId="00000025"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El monitoreo desplegado en las instituciones convivenciales que alojan NNA se lleva adelante a través de una mirada integral desplegada por diversas estrategias que nos permiten aproximarnos a conocer el dispositivo. El relato de los/as NNA que viven en dichos dispositivos resulta privilegiado a la hora de conocer cómo funcionan estos espacios, las dinámicas y prácticas concretas que hacen a su funcionamiento, así como los impactos en las trayectorias de vida de los NNA. </w:t>
      </w:r>
    </w:p>
    <w:p w14:paraId="00000026"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 continuación, se comparte una síntesis de las vulneraciones a derechos que fueron registradas en la mayor cantidad de entrevistas que provocan una especial preocupación: malos tratos y castigos (ya mencionados anteriormente), falta de acceso a actividades educativas y recreativas en comunidad y la restricción de vinculaciones familiares. Ello sumado a lo abordado en el presente informe sobre la salud mental. </w:t>
      </w:r>
    </w:p>
    <w:p w14:paraId="00000027"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A su vez, se reconstruyen otros dos agravamientos recurrentes: malas condiciones materiales e incumplimientos de funciones de organismos responsables que exacerban vulneraciones de derechos en las trayectorias de los NNA. Estos surgen de entrevistas, pero también de nuestras recorridas exhaustivas por las instalaciones de los establecimientos (en algunos de los casos acompañados por el Técnico en Seguridad e Higiene de la CPM) y del registro y análisis de documentaciones institucional (libros de guardia, historias clínicas, legajos, proyectos institucionales, informes de organismos administrativos y judiciales).</w:t>
      </w:r>
    </w:p>
    <w:p w14:paraId="00000028"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Por último, el quinto agravamiento que se desarrollará corresponde a aquellos incumplimientos de funciones de diferentes efectores del SPPD, responsables de la restitución y protección de derechos </w:t>
      </w:r>
      <w:r>
        <w:rPr>
          <w:rFonts w:ascii="Calibri" w:eastAsia="Calibri" w:hAnsi="Calibri" w:cs="Calibri"/>
          <w:sz w:val="22"/>
          <w:szCs w:val="22"/>
        </w:rPr>
        <w:lastRenderedPageBreak/>
        <w:t xml:space="preserve">de les niñes alojados en dispositivos convivenciales. Se reconstruyen tres trayectorias singulares desde las cuales dar cuenta de cómo esas falencias exponen a les niñes a nuevas vulneraciones. </w:t>
      </w:r>
    </w:p>
    <w:p w14:paraId="00000029"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Participación familiar y actividades</w:t>
      </w:r>
    </w:p>
    <w:p w14:paraId="0000002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Por otro lado, en las entrevistas realizadas durante el periodo analizado, los niños, niñas y jóvenes han denunciado distintas restricciones en el acceso a sus vínculos afectivos significativos tanto en las visitas como en las comunicaciones y la participación de las familias o referentes en los procesos administrativos y judiciales. Esta vulneración se encuentra en un tercer lugar representando el 8,5% de la totalidad de hechos relevados.</w:t>
      </w:r>
    </w:p>
    <w:p w14:paraId="0000002B"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Del total de las entrevistas realizadas en 2023 en dispositivos convivenciales, el segundo hecho relevado con mayor frecuencia corresponde a las restricciones, discontinuidades, y falta total de acceso a actividades en la comunidad, es decir externas a la institución. El 19,4% de los hechos registrados corresponden a esta categoría, que contiene tanto actividades educativas, recreativas, deportivas y/o culturales.</w:t>
      </w:r>
    </w:p>
    <w:p w14:paraId="0000002C"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Condiciones materiales y accesibilidad</w:t>
      </w:r>
    </w:p>
    <w:p w14:paraId="0000002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 los dispositivos convivenciales se relevó un estado general de deterioro edilicio. Registramos que las instalaciones de los hogares convivenciales poseen una importante deuda en términos de accesibilidad. Las condiciones materiales y edilicias obstaculizan la posibilidad de que NNA con discapacidad puedan vivir de forma digna y cuidada. Ninguno de los hogares posee facilitadores para el acceso a los espacios donde transcurre la vida cotidiana de NNA, no se registró la presencia de rampas, baños adaptados, puertas suficientemente grandes, barandas, barrales y pasadores, señalización con pictogramas ni pisos con material antideslizante impactando directamente en la calidad de vida de NNA. Aún en el hogar San Patricio, que se tipifica como hogar especializado para personas con discapacidad, estos facilitadores no fueron observados, por el contrario, se registraron condiciones materiales que operan como barreras de accesibilidad.</w:t>
      </w:r>
    </w:p>
    <w:p w14:paraId="0000002E"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las recorridas realizadas por los dispositivos observamos que los juguetes se guardan en espacios en altura o cerrados con llave, lo que significa que para su uso NNA requieren de la autorización de adultos/as y en muchos casos su uso se habilita en momentos determinados y para todos/as los/as niños/as en dicho momento. No se observa que NNA puedan utilizar con autonomía y en el momento que deseen juguetes, juegos, libros y materiales lúdicos. </w:t>
      </w:r>
    </w:p>
    <w:p w14:paraId="0000002F"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general NNA no tienen pertenencias propias en sus habitaciones, tales como ropa, juguetes, libros, fotos y muchas veces tampoco tienen mobiliario adecuado ni individual donde guardarlas. En aquellos hogares donde se pudo observar lo anterior se registró la presencia de muebles rotos, pequeños y compartidos entre 2 o más niños/as, algunas pocas prendas de ropa y calzado en mal estado que en ocasiones no logra ser repuesto por los Hogares. Se releva en reiteradas entrevistas que no han podido llevarse sus cosas al momento de ingreso a los dispositivos y que luego no fueron alcanzadas por sus servicios locales ni operadores. Desde este MLPT realizamos múltiples presentaciones a dichos organismos acercando la solicitud de NNA de recuperar sus pertenencias tales como ropa, mochilas y carpetas de la escuela, zapatillas, juguetes. </w:t>
      </w:r>
    </w:p>
    <w:p w14:paraId="00000030"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La ausencia de pertenencias propias, de elementos para jugar, transitar el tiempo, desplegar capacidades imaginativas, motoras e incluso que permitan a NNA compartir y relacionarse entre ellos/as obstaculizan la posibilidad de NNA de apropiarse de los lugares donde viven temporalmente, de colocarles su impronta singular, de construir una rutina diaria atravesada por el juego, el deseo y el disfrute; y una cotidianidad amigable, singular y respetuosa que generen </w:t>
      </w:r>
      <w:r>
        <w:rPr>
          <w:rFonts w:ascii="Calibri" w:eastAsia="Calibri" w:hAnsi="Calibri" w:cs="Calibri"/>
          <w:sz w:val="22"/>
          <w:szCs w:val="22"/>
        </w:rPr>
        <w:lastRenderedPageBreak/>
        <w:t xml:space="preserve">condiciones de vida amenas. Esto último constituye una de las mayores demandas de NNA en las entrevistas realizadas en los hogares monitoreados. </w:t>
      </w:r>
    </w:p>
    <w:p w14:paraId="00000031"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Interés superior de NNA</w:t>
      </w:r>
    </w:p>
    <w:p w14:paraId="0000003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Se relevó que en ocasiones NNA son objeto de decisiones, prácticas y situaciones en las que priman lógicas colectivas y generales, determinadas por factores de gestión, tiempos y resolución de los organismos de protección. La primacía de intervenciones repentinas, desarticuladas y desinformadas dejan poco lugar al trabajo con la singularidad, tiempos y necesidades particulares de cada NNA para atravesar los procesos que los/as involucran, la organización de su vida cotidiana, de sus rutinas diarias o de su proyecto de vida, sobre los cuales en general no tienen injerencia. La ausencia de una perspectiva singular y acompañamiento situado de las vidas cotidianas de NNA alojados/as en instituciones convivenciales genera angustia e incertidumbre, reproduce y/o genera nuevos padecimientos y vulneraciones a derechos. </w:t>
      </w:r>
    </w:p>
    <w:p w14:paraId="00000033"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Incumplimientos de funciones en la restitución y protección de derechos.</w:t>
      </w:r>
    </w:p>
    <w:p w14:paraId="0000003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este apartado se pretende esbozar un aspecto relevado en entrevistas realizadas a NNA referido a intervenciones de organismos estatales responsables de la protección y restitución de derechos que profundizaron u originaron nuevas vulneraciones de derechos. Se han documentado gestiones tardías, deficientes o parciales; intervenciones aisladas o desarticuladas; ausencia de escucha y de promoción de la participación de NNA en estrategias de restitución y primacía de la “lógica de recursos” que se tradujeron en nuevos padecimientos o vulneraciones, o que profundizaron los ya existentes. </w:t>
      </w:r>
    </w:p>
    <w:p w14:paraId="00000035" w14:textId="77777777" w:rsidR="004C1C5F" w:rsidRDefault="00000000" w:rsidP="00ED042F">
      <w:pPr>
        <w:spacing w:line="240" w:lineRule="auto"/>
        <w:jc w:val="both"/>
        <w:rPr>
          <w:rFonts w:ascii="Calibri" w:eastAsia="Calibri" w:hAnsi="Calibri" w:cs="Calibri"/>
          <w:i/>
          <w:sz w:val="22"/>
          <w:szCs w:val="22"/>
        </w:rPr>
      </w:pPr>
      <w:proofErr w:type="spellStart"/>
      <w:r>
        <w:rPr>
          <w:rFonts w:ascii="Calibri" w:eastAsia="Calibri" w:hAnsi="Calibri" w:cs="Calibri"/>
          <w:sz w:val="22"/>
          <w:szCs w:val="22"/>
        </w:rPr>
        <w:t>Damian</w:t>
      </w:r>
      <w:proofErr w:type="spellEnd"/>
      <w:r>
        <w:rPr>
          <w:rFonts w:ascii="Calibri" w:eastAsia="Calibri" w:hAnsi="Calibri" w:cs="Calibri"/>
          <w:sz w:val="22"/>
          <w:szCs w:val="22"/>
        </w:rPr>
        <w:t xml:space="preserve"> de 12 años fue entrevistado por este MLPT luego de que junto a sus hermanos/as, demás NNA y trabajadores/as fueron mudados/as desde el hogar Carrillo al hogar </w:t>
      </w:r>
      <w:proofErr w:type="spellStart"/>
      <w:r>
        <w:rPr>
          <w:rFonts w:ascii="Calibri" w:eastAsia="Calibri" w:hAnsi="Calibri" w:cs="Calibri"/>
          <w:sz w:val="22"/>
          <w:szCs w:val="22"/>
        </w:rPr>
        <w:t>Servente</w:t>
      </w:r>
      <w:proofErr w:type="spellEnd"/>
      <w:r>
        <w:rPr>
          <w:rFonts w:ascii="Calibri" w:eastAsia="Calibri" w:hAnsi="Calibri" w:cs="Calibri"/>
          <w:sz w:val="22"/>
          <w:szCs w:val="22"/>
        </w:rPr>
        <w:t xml:space="preserve"> de forma </w:t>
      </w:r>
      <w:proofErr w:type="spellStart"/>
      <w:proofErr w:type="gramStart"/>
      <w:r>
        <w:rPr>
          <w:rFonts w:ascii="Calibri" w:eastAsia="Calibri" w:hAnsi="Calibri" w:cs="Calibri"/>
          <w:sz w:val="22"/>
          <w:szCs w:val="22"/>
        </w:rPr>
        <w:t>repentina</w:t>
      </w:r>
      <w:r>
        <w:rPr>
          <w:rFonts w:ascii="Calibri" w:eastAsia="Calibri" w:hAnsi="Calibri" w:cs="Calibri"/>
          <w:i/>
          <w:sz w:val="22"/>
          <w:szCs w:val="22"/>
        </w:rPr>
        <w:t>.“</w:t>
      </w:r>
      <w:proofErr w:type="gramEnd"/>
      <w:r>
        <w:rPr>
          <w:rFonts w:ascii="Calibri" w:eastAsia="Calibri" w:hAnsi="Calibri" w:cs="Calibri"/>
          <w:i/>
          <w:sz w:val="22"/>
          <w:szCs w:val="22"/>
        </w:rPr>
        <w:t>Dijeron</w:t>
      </w:r>
      <w:proofErr w:type="spellEnd"/>
      <w:r>
        <w:rPr>
          <w:rFonts w:ascii="Calibri" w:eastAsia="Calibri" w:hAnsi="Calibri" w:cs="Calibri"/>
          <w:i/>
          <w:sz w:val="22"/>
          <w:szCs w:val="22"/>
        </w:rPr>
        <w:t xml:space="preserve"> que nos íbamos a mudar, no tuvimos tiempo para organizar todo. Lo primero que pregunté es cuánto tiempo íbamos a irnos”,</w:t>
      </w:r>
      <w:r>
        <w:rPr>
          <w:rFonts w:ascii="Calibri" w:eastAsia="Calibri" w:hAnsi="Calibri" w:cs="Calibri"/>
          <w:sz w:val="22"/>
          <w:szCs w:val="22"/>
        </w:rPr>
        <w:t xml:space="preserve"> </w:t>
      </w:r>
      <w:r>
        <w:rPr>
          <w:rFonts w:ascii="Calibri" w:eastAsia="Calibri" w:hAnsi="Calibri" w:cs="Calibri"/>
          <w:i/>
          <w:sz w:val="22"/>
          <w:szCs w:val="22"/>
        </w:rPr>
        <w:t>"dijeron nos mudamos mañana"</w:t>
      </w:r>
      <w:r>
        <w:rPr>
          <w:rFonts w:ascii="Calibri" w:eastAsia="Calibri" w:hAnsi="Calibri" w:cs="Calibri"/>
          <w:sz w:val="22"/>
          <w:szCs w:val="22"/>
        </w:rPr>
        <w:t xml:space="preserve">. Con la mudanza </w:t>
      </w:r>
      <w:proofErr w:type="spellStart"/>
      <w:r>
        <w:rPr>
          <w:rFonts w:ascii="Calibri" w:eastAsia="Calibri" w:hAnsi="Calibri" w:cs="Calibri"/>
          <w:sz w:val="22"/>
          <w:szCs w:val="22"/>
        </w:rPr>
        <w:t>Damian</w:t>
      </w:r>
      <w:proofErr w:type="spellEnd"/>
      <w:r>
        <w:rPr>
          <w:rFonts w:ascii="Calibri" w:eastAsia="Calibri" w:hAnsi="Calibri" w:cs="Calibri"/>
          <w:sz w:val="22"/>
          <w:szCs w:val="22"/>
        </w:rPr>
        <w:t xml:space="preserve"> se sintió </w:t>
      </w:r>
      <w:r>
        <w:rPr>
          <w:rFonts w:ascii="Calibri" w:eastAsia="Calibri" w:hAnsi="Calibri" w:cs="Calibri"/>
          <w:i/>
          <w:sz w:val="22"/>
          <w:szCs w:val="22"/>
        </w:rPr>
        <w:t>“más o menos</w:t>
      </w:r>
      <w:r>
        <w:rPr>
          <w:rFonts w:ascii="Calibri" w:eastAsia="Calibri" w:hAnsi="Calibri" w:cs="Calibri"/>
          <w:sz w:val="22"/>
          <w:szCs w:val="22"/>
        </w:rPr>
        <w:t xml:space="preserve">” ya que en el hogar Carrillo quedó </w:t>
      </w:r>
      <w:r>
        <w:rPr>
          <w:rFonts w:ascii="Calibri" w:eastAsia="Calibri" w:hAnsi="Calibri" w:cs="Calibri"/>
          <w:i/>
          <w:sz w:val="22"/>
          <w:szCs w:val="22"/>
        </w:rPr>
        <w:t>“Bela”,</w:t>
      </w:r>
      <w:r>
        <w:rPr>
          <w:rFonts w:ascii="Calibri" w:eastAsia="Calibri" w:hAnsi="Calibri" w:cs="Calibri"/>
          <w:sz w:val="22"/>
          <w:szCs w:val="22"/>
        </w:rPr>
        <w:t xml:space="preserve"> su perrita. A pesar de que le fue informado que se mudaría con él, finalmente eso no sucedió. Cree que no fue posible porque hay otro perro en el nuevo hogar, sin </w:t>
      </w:r>
      <w:proofErr w:type="gramStart"/>
      <w:r>
        <w:rPr>
          <w:rFonts w:ascii="Calibri" w:eastAsia="Calibri" w:hAnsi="Calibri" w:cs="Calibri"/>
          <w:sz w:val="22"/>
          <w:szCs w:val="22"/>
        </w:rPr>
        <w:t>embargo</w:t>
      </w:r>
      <w:proofErr w:type="gramEnd"/>
      <w:r>
        <w:rPr>
          <w:rFonts w:ascii="Calibri" w:eastAsia="Calibri" w:hAnsi="Calibri" w:cs="Calibri"/>
          <w:sz w:val="22"/>
          <w:szCs w:val="22"/>
        </w:rPr>
        <w:t xml:space="preserve"> no le explicaron los motivos. </w:t>
      </w:r>
      <w:r>
        <w:rPr>
          <w:rFonts w:ascii="Calibri" w:eastAsia="Calibri" w:hAnsi="Calibri" w:cs="Calibri"/>
          <w:i/>
          <w:sz w:val="22"/>
          <w:szCs w:val="22"/>
        </w:rPr>
        <w:t>“Yo quisiera que esté conmigo porque cuando estoy solo me pongo un poco mal".</w:t>
      </w:r>
    </w:p>
    <w:p w14:paraId="00000036"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Otro escenario recurrente en el que observamos incumplimientos de funciones de efectores de diferentes rangos y niveles que provocan graves vulneraciones en les niñes, corresponde a trayectorias de niñes que, por distintos motivos de salud, cursan internaciones en hospitales y luego de la alta médica permanecen allí sin criterio de internación por tiempos alarmantes. Los motivos oficiales de las internaciones prolongadas se reducen a falta de cupo en dispositivos convivenciales, primando en las prioridades del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la disponibilidad de recursos o incluso la voluntad de admisión en tales instituciones. Estas esperas no son gratuitas ni circunstanciales, tienen un alto costo en les niñes que son quienes ponen el cuerpo y quienes postergan sus proyectos de vida en dilaciones iatrogénicas a sus cuadros de salud y violentas para sus trayectorias: el hospital no es un lugar para vivir ni un depósito donde aguantar las ineficiencias en la gestión política de quienes deben protegerte. Si bien se realizaron distintos seguimientos de situaciones individuales de estas características, en este apartado se reconstruye la trayectoria de una niña que lleva más de 10 meses con alta médica a la espera de una vacante en hogar convivencial. </w:t>
      </w:r>
    </w:p>
    <w:p w14:paraId="00000037" w14:textId="77777777" w:rsidR="004C1C5F" w:rsidRDefault="004C1C5F" w:rsidP="00ED042F">
      <w:pPr>
        <w:spacing w:line="240" w:lineRule="auto"/>
        <w:jc w:val="both"/>
        <w:rPr>
          <w:rFonts w:ascii="Calibri" w:eastAsia="Calibri" w:hAnsi="Calibri" w:cs="Calibri"/>
          <w:sz w:val="22"/>
          <w:szCs w:val="22"/>
        </w:rPr>
      </w:pPr>
    </w:p>
    <w:p w14:paraId="00000038"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lastRenderedPageBreak/>
        <w:t>G. Salud básica y bienestar (arts. 6, 18 (párr. 3), 24, 26, 27 (</w:t>
      </w:r>
      <w:proofErr w:type="spellStart"/>
      <w:r>
        <w:rPr>
          <w:rFonts w:ascii="Calibri" w:eastAsia="Calibri" w:hAnsi="Calibri" w:cs="Calibri"/>
          <w:b/>
          <w:sz w:val="22"/>
          <w:szCs w:val="22"/>
        </w:rPr>
        <w:t>párrs</w:t>
      </w:r>
      <w:proofErr w:type="spellEnd"/>
      <w:r>
        <w:rPr>
          <w:rFonts w:ascii="Calibri" w:eastAsia="Calibri" w:hAnsi="Calibri" w:cs="Calibri"/>
          <w:b/>
          <w:sz w:val="22"/>
          <w:szCs w:val="22"/>
        </w:rPr>
        <w:t>. 1 a 3) y 33) Salud, servicios de salud, salud mental y salud del adolescente</w:t>
      </w:r>
      <w:r>
        <w:rPr>
          <w:rFonts w:ascii="Calibri" w:eastAsia="Calibri" w:hAnsi="Calibri" w:cs="Calibri"/>
          <w:sz w:val="22"/>
          <w:szCs w:val="22"/>
        </w:rPr>
        <w:t xml:space="preserve"> </w:t>
      </w:r>
    </w:p>
    <w:p w14:paraId="0000003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El Estado en su respuesta al </w:t>
      </w:r>
      <w:proofErr w:type="spellStart"/>
      <w:r>
        <w:rPr>
          <w:rFonts w:ascii="Calibri" w:eastAsia="Calibri" w:hAnsi="Calibri" w:cs="Calibri"/>
          <w:sz w:val="22"/>
          <w:szCs w:val="22"/>
        </w:rPr>
        <w:t>parrafo</w:t>
      </w:r>
      <w:proofErr w:type="spellEnd"/>
      <w:r>
        <w:rPr>
          <w:rFonts w:ascii="Calibri" w:eastAsia="Calibri" w:hAnsi="Calibri" w:cs="Calibri"/>
          <w:sz w:val="22"/>
          <w:szCs w:val="22"/>
        </w:rPr>
        <w:t xml:space="preserve"> 20 de la lista de cuestiones ha mencionado brevemente ciertas </w:t>
      </w:r>
      <w:proofErr w:type="spellStart"/>
      <w:r>
        <w:rPr>
          <w:rFonts w:ascii="Calibri" w:eastAsia="Calibri" w:hAnsi="Calibri" w:cs="Calibri"/>
          <w:sz w:val="22"/>
          <w:szCs w:val="22"/>
        </w:rPr>
        <w:t>politicas</w:t>
      </w:r>
      <w:proofErr w:type="spellEnd"/>
      <w:r>
        <w:rPr>
          <w:rFonts w:ascii="Calibri" w:eastAsia="Calibri" w:hAnsi="Calibri" w:cs="Calibri"/>
          <w:sz w:val="22"/>
          <w:szCs w:val="22"/>
        </w:rPr>
        <w:t xml:space="preserve"> en materia de salud mental. En contraposición tanto el monitoreo de la CPM como estudios recientes</w:t>
      </w:r>
      <w:r>
        <w:rPr>
          <w:rFonts w:ascii="Calibri" w:eastAsia="Calibri" w:hAnsi="Calibri" w:cs="Calibri"/>
          <w:sz w:val="22"/>
          <w:szCs w:val="22"/>
          <w:vertAlign w:val="superscript"/>
        </w:rPr>
        <w:footnoteReference w:id="2"/>
      </w:r>
      <w:r>
        <w:rPr>
          <w:rFonts w:ascii="Calibri" w:eastAsia="Calibri" w:hAnsi="Calibri" w:cs="Calibri"/>
          <w:sz w:val="22"/>
          <w:szCs w:val="22"/>
        </w:rPr>
        <w:t xml:space="preserve"> dan cuenta de la falta de acceso de NNA en situación de vulnerabilidad social a los servicios apropiados de salud, y en </w:t>
      </w:r>
      <w:proofErr w:type="spellStart"/>
      <w:r>
        <w:rPr>
          <w:rFonts w:ascii="Calibri" w:eastAsia="Calibri" w:hAnsi="Calibri" w:cs="Calibri"/>
          <w:sz w:val="22"/>
          <w:szCs w:val="22"/>
        </w:rPr>
        <w:t>especifico</w:t>
      </w:r>
      <w:proofErr w:type="spellEnd"/>
      <w:r>
        <w:rPr>
          <w:rFonts w:ascii="Calibri" w:eastAsia="Calibri" w:hAnsi="Calibri" w:cs="Calibri"/>
          <w:sz w:val="22"/>
          <w:szCs w:val="22"/>
        </w:rPr>
        <w:t xml:space="preserve"> de salud mental. En este sentido Barcala (2018)</w:t>
      </w:r>
      <w:r>
        <w:rPr>
          <w:rFonts w:ascii="Calibri" w:eastAsia="Calibri" w:hAnsi="Calibri" w:cs="Calibri"/>
          <w:sz w:val="22"/>
          <w:szCs w:val="22"/>
          <w:vertAlign w:val="superscript"/>
        </w:rPr>
        <w:footnoteReference w:id="3"/>
      </w:r>
      <w:r>
        <w:rPr>
          <w:rFonts w:ascii="Calibri" w:eastAsia="Calibri" w:hAnsi="Calibri" w:cs="Calibri"/>
          <w:sz w:val="22"/>
          <w:szCs w:val="22"/>
        </w:rPr>
        <w:t xml:space="preserve"> plantea que el sistema de salud presenta falta de equipos interdisciplinarios, fragmentación institucional y ausencia de coordinación intersectorial entre distintas instancias, y un déficit en la formación de recursos humanos para abordar problemas complejos. Esto da lugar a la predominancia de discursos y abordajes biomédicos y a la clínica psicoterapéutica individual. Todo ello aporta a que la prescripción farmacológica sea el primer y único recurso frente a los problemas más graves, así como en recurrentes ocasiones la internación psiquiátrica.</w:t>
      </w:r>
    </w:p>
    <w:p w14:paraId="0000003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A este panorama de falta de acceso a la salud mental para NNA se le suma la deuda pendiente en materia de políticas públicas (con su correspondiente asignación presupuestaria) que tengan como objeto la modificación y adecuación de las prácticas de atención y cuidados del paradigma tutelar hacia la conformación de una red de servicios comunitarios con base territorial. Esto es central en el estado de situación del sistema de salud mental</w:t>
      </w:r>
      <w:r>
        <w:rPr>
          <w:rFonts w:ascii="Calibri" w:eastAsia="Calibri" w:hAnsi="Calibri" w:cs="Calibri"/>
          <w:sz w:val="22"/>
          <w:szCs w:val="22"/>
          <w:vertAlign w:val="superscript"/>
        </w:rPr>
        <w:footnoteReference w:id="4"/>
      </w:r>
      <w:r>
        <w:rPr>
          <w:rFonts w:ascii="Calibri" w:eastAsia="Calibri" w:hAnsi="Calibri" w:cs="Calibri"/>
          <w:sz w:val="22"/>
          <w:szCs w:val="22"/>
        </w:rPr>
        <w:t xml:space="preserve">, ya que dicha falta de dispositivos intermedios de base comunitaria no permite agotar todas las intervenciones previas a la internación y aumenta y prolonga la institucionalización. </w:t>
      </w:r>
    </w:p>
    <w:p w14:paraId="0000003B"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La articulación entre el Sistema de Promoción y Protección de Derechos y el Sistema de Salud en la Provincia de Buenos Aires está enfrentando graves dificultades. Como miembro del plenario intersectorial del Órgano de Revisión de Salud Mental, la Comisión Provincial por la Memoria ha impulsado, junto a otros actores, una recomendación al Ministerio de Salud para la creación de un Área/Dirección específica de Salud Mental Infanto-Juvenil</w:t>
      </w:r>
      <w:r>
        <w:rPr>
          <w:rFonts w:ascii="Calibri" w:eastAsia="Calibri" w:hAnsi="Calibri" w:cs="Calibri"/>
          <w:sz w:val="22"/>
          <w:szCs w:val="22"/>
          <w:vertAlign w:val="superscript"/>
        </w:rPr>
        <w:footnoteReference w:id="5"/>
      </w:r>
      <w:r>
        <w:rPr>
          <w:rFonts w:ascii="Calibri" w:eastAsia="Calibri" w:hAnsi="Calibri" w:cs="Calibri"/>
          <w:sz w:val="22"/>
          <w:szCs w:val="22"/>
        </w:rPr>
        <w:t xml:space="preserve">. En dicha recomendación se destaca que el abordaje de la salud mental de niños y jóvenes no es solo responsabilidad de los servicios de salud, sino que requiere la participación de diferentes dispositivos como los servicios de niñez, los de salud mental y adicciones, así como también la comunidad educativa, el Ministerio de Desarrollo Social, las </w:t>
      </w:r>
      <w:proofErr w:type="spellStart"/>
      <w:r>
        <w:rPr>
          <w:rFonts w:ascii="Calibri" w:eastAsia="Calibri" w:hAnsi="Calibri" w:cs="Calibri"/>
          <w:sz w:val="22"/>
          <w:szCs w:val="22"/>
        </w:rPr>
        <w:t>ONGs</w:t>
      </w:r>
      <w:proofErr w:type="spellEnd"/>
      <w:r>
        <w:rPr>
          <w:rFonts w:ascii="Calibri" w:eastAsia="Calibri" w:hAnsi="Calibri" w:cs="Calibri"/>
          <w:sz w:val="22"/>
          <w:szCs w:val="22"/>
        </w:rPr>
        <w:t xml:space="preserve"> y la comunidad en general. Para lograr esto, es necesario especialización, interdisciplinariedad y coordinación entre sectores, favoreciendo la participación comunitaria frente a enfoques segmentados e individualistas. Esta recomendación surge de una preocupación expresada por el Servicio de Salud Mental del Hospital de Niños "Sor María Ludovica" de La Plata, donde se señala la falta de políticas de articulación entre el Ministerio de Salud y el Organismo de Niñez y Adolescencia, lo cual dificulta el abordaje de casos de niños y jóvenes que se encuentran bajo medidas protectorias y sufren trastornos mentales. Esta falta de articulación también genera problemas para la </w:t>
      </w:r>
      <w:proofErr w:type="spellStart"/>
      <w:r>
        <w:rPr>
          <w:rFonts w:ascii="Calibri" w:eastAsia="Calibri" w:hAnsi="Calibri" w:cs="Calibri"/>
          <w:sz w:val="22"/>
          <w:szCs w:val="22"/>
        </w:rPr>
        <w:t>externación</w:t>
      </w:r>
      <w:proofErr w:type="spellEnd"/>
      <w:r>
        <w:rPr>
          <w:rFonts w:ascii="Calibri" w:eastAsia="Calibri" w:hAnsi="Calibri" w:cs="Calibri"/>
          <w:sz w:val="22"/>
          <w:szCs w:val="22"/>
        </w:rPr>
        <w:t xml:space="preserve"> de usuarios del hospital, prolongando las internaciones por razones sociales.</w:t>
      </w:r>
    </w:p>
    <w:p w14:paraId="0000003C"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lastRenderedPageBreak/>
        <w:t>Se ha constatado</w:t>
      </w:r>
      <w:r>
        <w:rPr>
          <w:rFonts w:ascii="Calibri" w:eastAsia="Calibri" w:hAnsi="Calibri" w:cs="Calibri"/>
          <w:sz w:val="22"/>
          <w:szCs w:val="22"/>
          <w:vertAlign w:val="superscript"/>
        </w:rPr>
        <w:footnoteReference w:id="6"/>
      </w:r>
      <w:r>
        <w:rPr>
          <w:rFonts w:ascii="Calibri" w:eastAsia="Calibri" w:hAnsi="Calibri" w:cs="Calibri"/>
          <w:sz w:val="22"/>
          <w:szCs w:val="22"/>
        </w:rPr>
        <w:t xml:space="preserve"> que NNA en condiciones de vulnerabilidad que presentaban padecimiento de salud mental se veían expuestos a situaciones de riesgo por la falta de dispositivos </w:t>
      </w:r>
      <w:proofErr w:type="spellStart"/>
      <w:r>
        <w:rPr>
          <w:rFonts w:ascii="Calibri" w:eastAsia="Calibri" w:hAnsi="Calibri" w:cs="Calibri"/>
          <w:sz w:val="22"/>
          <w:szCs w:val="22"/>
        </w:rPr>
        <w:t>tratamentales</w:t>
      </w:r>
      <w:proofErr w:type="spellEnd"/>
      <w:r>
        <w:rPr>
          <w:rFonts w:ascii="Calibri" w:eastAsia="Calibri" w:hAnsi="Calibri" w:cs="Calibri"/>
          <w:sz w:val="22"/>
          <w:szCs w:val="22"/>
        </w:rPr>
        <w:t xml:space="preserve"> que dieran continuidad de cuidado una vez que eran externados de hospitales, dado que estos solo garantizaban el abordaje en los cuadros agudos.</w:t>
      </w:r>
    </w:p>
    <w:p w14:paraId="0000003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A partir de los monitoreos e intervenciones realizados por el Programa de Niñez se puede dar cuenta de que les NNA con padecimientos de salud mental y/o discapacidad sujetos a medidas excepcionales de cuidado o cursando condenas en el Fuero de responsabilidad penal juvenil, reciben abordajes que distan de los estándares en materia de derechos humanos y de salud, situación sobre la cual se ha expresado la Defensoría de los Derechos de las Niñas, Niños y Adolescentes en su Recomendación N°10</w:t>
      </w:r>
      <w:r>
        <w:rPr>
          <w:rFonts w:ascii="Calibri" w:eastAsia="Calibri" w:hAnsi="Calibri" w:cs="Calibri"/>
          <w:sz w:val="22"/>
          <w:szCs w:val="22"/>
          <w:vertAlign w:val="superscript"/>
        </w:rPr>
        <w:footnoteReference w:id="7"/>
      </w:r>
    </w:p>
    <w:p w14:paraId="0000003E"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resumen, ante el estado de situación descripto, lo relevado por la CPM, es que lo que prima en la articulación entre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y el Sistema de Salud en casos de NNA con padecimientos de salud mental y/o con discapacidad es el </w:t>
      </w:r>
      <w:r>
        <w:rPr>
          <w:rFonts w:ascii="Calibri" w:eastAsia="Calibri" w:hAnsi="Calibri" w:cs="Calibri"/>
          <w:i/>
          <w:sz w:val="22"/>
          <w:szCs w:val="22"/>
        </w:rPr>
        <w:t>“</w:t>
      </w:r>
      <w:proofErr w:type="spellStart"/>
      <w:r>
        <w:rPr>
          <w:rFonts w:ascii="Calibri" w:eastAsia="Calibri" w:hAnsi="Calibri" w:cs="Calibri"/>
          <w:i/>
          <w:sz w:val="22"/>
          <w:szCs w:val="22"/>
        </w:rPr>
        <w:t>derivacionismo</w:t>
      </w:r>
      <w:proofErr w:type="spellEnd"/>
      <w:r>
        <w:rPr>
          <w:rFonts w:ascii="Calibri" w:eastAsia="Calibri" w:hAnsi="Calibri" w:cs="Calibri"/>
          <w:i/>
          <w:sz w:val="22"/>
          <w:szCs w:val="22"/>
        </w:rPr>
        <w:t>”</w:t>
      </w:r>
      <w:r>
        <w:rPr>
          <w:rFonts w:ascii="Calibri" w:eastAsia="Calibri" w:hAnsi="Calibri" w:cs="Calibri"/>
          <w:sz w:val="22"/>
          <w:szCs w:val="22"/>
        </w:rPr>
        <w:t xml:space="preserve">. Así el camino a la institucionalización y </w:t>
      </w:r>
      <w:proofErr w:type="spellStart"/>
      <w:r>
        <w:rPr>
          <w:rFonts w:ascii="Calibri" w:eastAsia="Calibri" w:hAnsi="Calibri" w:cs="Calibri"/>
          <w:sz w:val="22"/>
          <w:szCs w:val="22"/>
        </w:rPr>
        <w:t>manicomialización</w:t>
      </w:r>
      <w:proofErr w:type="spellEnd"/>
      <w:r>
        <w:rPr>
          <w:rFonts w:ascii="Calibri" w:eastAsia="Calibri" w:hAnsi="Calibri" w:cs="Calibri"/>
          <w:sz w:val="22"/>
          <w:szCs w:val="22"/>
        </w:rPr>
        <w:t xml:space="preserve"> de NNA persiste como práctica, dando cuenta de la vigencia de paradigmas que no perciben a NNA como sujetos de derechos y anteriores al modelo social de la discapacidad. A continuación, damos cuenta de ejemplos de lo relevado y constatado en las inspecciones realizadas a Hogares especializados y Comunidades Terapéuticas. </w:t>
      </w:r>
    </w:p>
    <w:p w14:paraId="0000003F"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Desde el mes de abril de 2021 hasta la actualidad, la CPM se encuentra monitoreando el Hogar Especializado San Patricio para niñeces con discapacidad, ubicado en la localidad de City Bell (La Plata). Desde el inicio se ha denunciado la escasez de personal especializado y capacitado para el abordaje de los NNA, la ausencia de apoyos terapéuticos para los NNA, la persistencia de situaciones de malos tratos hacia la población alojada, entre otras. Fundamentalmente se denuncia que el abordaje no es acorde a las necesidades de los NNA ni especializado en lo absoluto, sino tendiente a prácticas </w:t>
      </w:r>
      <w:proofErr w:type="spellStart"/>
      <w:r>
        <w:rPr>
          <w:rFonts w:ascii="Calibri" w:eastAsia="Calibri" w:hAnsi="Calibri" w:cs="Calibri"/>
          <w:sz w:val="22"/>
          <w:szCs w:val="22"/>
        </w:rPr>
        <w:t>homogeneizantes</w:t>
      </w:r>
      <w:proofErr w:type="spellEnd"/>
      <w:r>
        <w:rPr>
          <w:rFonts w:ascii="Calibri" w:eastAsia="Calibri" w:hAnsi="Calibri" w:cs="Calibri"/>
          <w:sz w:val="22"/>
          <w:szCs w:val="22"/>
        </w:rPr>
        <w:t xml:space="preserve"> y carentes de toda singularidad.</w:t>
      </w:r>
      <w:r>
        <w:rPr>
          <w:rFonts w:ascii="Calibri" w:eastAsia="Calibri" w:hAnsi="Calibri" w:cs="Calibri"/>
          <w:sz w:val="22"/>
          <w:szCs w:val="22"/>
          <w:vertAlign w:val="superscript"/>
        </w:rPr>
        <w:footnoteReference w:id="8"/>
      </w:r>
      <w:r>
        <w:rPr>
          <w:rFonts w:ascii="Calibri" w:eastAsia="Calibri" w:hAnsi="Calibri" w:cs="Calibri"/>
          <w:sz w:val="22"/>
          <w:szCs w:val="22"/>
        </w:rPr>
        <w:t xml:space="preserve"> </w:t>
      </w:r>
      <w:r>
        <w:rPr>
          <w:rFonts w:ascii="Calibri" w:eastAsia="Calibri" w:hAnsi="Calibri" w:cs="Calibri"/>
          <w:sz w:val="22"/>
          <w:szCs w:val="22"/>
          <w:highlight w:val="white"/>
        </w:rPr>
        <w:t xml:space="preserve">En las entrevistas mantenidas con los NNA se relevaron la existencia de sometimiento a inyecciones, sujeción mecánica o duchas de agua fría para abordar o contener en casos de crisis. No obstante, y pese a la elaboración de un protocolo para el abordaje de </w:t>
      </w:r>
      <w:proofErr w:type="gramStart"/>
      <w:r>
        <w:rPr>
          <w:rFonts w:ascii="Calibri" w:eastAsia="Calibri" w:hAnsi="Calibri" w:cs="Calibri"/>
          <w:sz w:val="22"/>
          <w:szCs w:val="22"/>
          <w:highlight w:val="white"/>
        </w:rPr>
        <w:t>las mismas</w:t>
      </w:r>
      <w:proofErr w:type="gramEnd"/>
      <w:r>
        <w:rPr>
          <w:rFonts w:ascii="Calibri" w:eastAsia="Calibri" w:hAnsi="Calibri" w:cs="Calibri"/>
          <w:sz w:val="22"/>
          <w:szCs w:val="22"/>
          <w:highlight w:val="white"/>
        </w:rPr>
        <w:t xml:space="preserve">, de los relatos surge que estas prácticas son habituales y se utilizan como métodos de castigo o por motivos disciplinarios. En ese sentido, se </w:t>
      </w:r>
      <w:proofErr w:type="gramStart"/>
      <w:r>
        <w:rPr>
          <w:rFonts w:ascii="Calibri" w:eastAsia="Calibri" w:hAnsi="Calibri" w:cs="Calibri"/>
          <w:sz w:val="22"/>
          <w:szCs w:val="22"/>
          <w:highlight w:val="white"/>
        </w:rPr>
        <w:t>observó  NNA</w:t>
      </w:r>
      <w:proofErr w:type="gramEnd"/>
      <w:r>
        <w:rPr>
          <w:rFonts w:ascii="Calibri" w:eastAsia="Calibri" w:hAnsi="Calibri" w:cs="Calibri"/>
          <w:sz w:val="22"/>
          <w:szCs w:val="22"/>
          <w:highlight w:val="white"/>
        </w:rPr>
        <w:t xml:space="preserve"> con síntomas de </w:t>
      </w:r>
      <w:proofErr w:type="spellStart"/>
      <w:r>
        <w:rPr>
          <w:rFonts w:ascii="Calibri" w:eastAsia="Calibri" w:hAnsi="Calibri" w:cs="Calibri"/>
          <w:sz w:val="22"/>
          <w:szCs w:val="22"/>
          <w:highlight w:val="white"/>
        </w:rPr>
        <w:t>sobremedicación</w:t>
      </w:r>
      <w:proofErr w:type="spellEnd"/>
      <w:r>
        <w:rPr>
          <w:rFonts w:ascii="Calibri" w:eastAsia="Calibri" w:hAnsi="Calibri" w:cs="Calibri"/>
          <w:sz w:val="22"/>
          <w:szCs w:val="22"/>
          <w:highlight w:val="white"/>
        </w:rPr>
        <w:t xml:space="preserve"> como somnolencia, lentitud verbal y motora y excesiva salivación.</w:t>
      </w:r>
    </w:p>
    <w:p w14:paraId="00000040"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Situación similar ocurre con el Hogar Nueva Casa de APAND (Asociación </w:t>
      </w:r>
      <w:proofErr w:type="gramStart"/>
      <w:r>
        <w:rPr>
          <w:rFonts w:ascii="Calibri" w:eastAsia="Calibri" w:hAnsi="Calibri" w:cs="Calibri"/>
          <w:sz w:val="22"/>
          <w:szCs w:val="22"/>
        </w:rPr>
        <w:t>Pro Ayuda</w:t>
      </w:r>
      <w:proofErr w:type="gramEnd"/>
      <w:r>
        <w:rPr>
          <w:rFonts w:ascii="Calibri" w:eastAsia="Calibri" w:hAnsi="Calibri" w:cs="Calibri"/>
          <w:sz w:val="22"/>
          <w:szCs w:val="22"/>
        </w:rPr>
        <w:t xml:space="preserve"> al Niño Discapacitado) sito en la localidad de Baradero que viene siendo </w:t>
      </w:r>
      <w:proofErr w:type="spellStart"/>
      <w:r>
        <w:rPr>
          <w:rFonts w:ascii="Calibri" w:eastAsia="Calibri" w:hAnsi="Calibri" w:cs="Calibri"/>
          <w:sz w:val="22"/>
          <w:szCs w:val="22"/>
        </w:rPr>
        <w:t>montioreado</w:t>
      </w:r>
      <w:proofErr w:type="spellEnd"/>
      <w:r>
        <w:rPr>
          <w:rFonts w:ascii="Calibri" w:eastAsia="Calibri" w:hAnsi="Calibri" w:cs="Calibri"/>
          <w:sz w:val="22"/>
          <w:szCs w:val="22"/>
        </w:rPr>
        <w:t xml:space="preserve"> por la CPM desde 2019. El lugar es un dispositivo privado que alojaba a </w:t>
      </w:r>
      <w:proofErr w:type="gramStart"/>
      <w:r>
        <w:rPr>
          <w:rFonts w:ascii="Calibri" w:eastAsia="Calibri" w:hAnsi="Calibri" w:cs="Calibri"/>
          <w:sz w:val="22"/>
          <w:szCs w:val="22"/>
        </w:rPr>
        <w:t>niños y niñas</w:t>
      </w:r>
      <w:proofErr w:type="gramEnd"/>
      <w:r>
        <w:rPr>
          <w:rFonts w:ascii="Calibri" w:eastAsia="Calibri" w:hAnsi="Calibri" w:cs="Calibri"/>
          <w:sz w:val="22"/>
          <w:szCs w:val="22"/>
        </w:rPr>
        <w:t xml:space="preserve"> con algún grado de discapacidad y/o padecimiento de salud mental provenientes de diferentes lugares de la provincia de Buenos Aires. Los NNA alojados se encontraban en el marco de medidas excepcionales de protección de derechos dispuestas por los efectores administrativos y judiciales correspondientes (servicios locales y/o zonales y juzgados de Familia). </w:t>
      </w:r>
    </w:p>
    <w:p w14:paraId="00000041"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esta misma línea, se detectó que la vida cotidiana de los NNA estaba marcada por prácticas </w:t>
      </w:r>
      <w:proofErr w:type="spellStart"/>
      <w:r>
        <w:rPr>
          <w:rFonts w:ascii="Calibri" w:eastAsia="Calibri" w:hAnsi="Calibri" w:cs="Calibri"/>
          <w:sz w:val="22"/>
          <w:szCs w:val="22"/>
        </w:rPr>
        <w:t>homogeneizantes</w:t>
      </w:r>
      <w:proofErr w:type="spellEnd"/>
      <w:r>
        <w:rPr>
          <w:rFonts w:ascii="Calibri" w:eastAsia="Calibri" w:hAnsi="Calibri" w:cs="Calibri"/>
          <w:sz w:val="22"/>
          <w:szCs w:val="22"/>
        </w:rPr>
        <w:t xml:space="preserve"> y para todos los NNA por igual, sin tener en cuenta las necesidades de apoyo singulares para cada uno. Asimismo, estas prácticas que marcan la dinámica institucional </w:t>
      </w:r>
      <w:proofErr w:type="gramStart"/>
      <w:r>
        <w:rPr>
          <w:rFonts w:ascii="Calibri" w:eastAsia="Calibri" w:hAnsi="Calibri" w:cs="Calibri"/>
          <w:sz w:val="22"/>
          <w:szCs w:val="22"/>
        </w:rPr>
        <w:lastRenderedPageBreak/>
        <w:t>totalizante,</w:t>
      </w:r>
      <w:proofErr w:type="gramEnd"/>
      <w:r>
        <w:rPr>
          <w:rFonts w:ascii="Calibri" w:eastAsia="Calibri" w:hAnsi="Calibri" w:cs="Calibri"/>
          <w:sz w:val="22"/>
          <w:szCs w:val="22"/>
        </w:rPr>
        <w:t xml:space="preserve"> no dan lugar a la constitución subjetiva de los NNA que realizan las mismas actividades, transitan por las mismas instituciones y no cuentan con espacios lúdicos o recreativos acorde a sus habilidades e intereses particulares.</w:t>
      </w:r>
    </w:p>
    <w:p w14:paraId="00000042"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sz w:val="22"/>
          <w:szCs w:val="22"/>
        </w:rPr>
        <w:t>Existe una naturalización discursiva en que las crisis son inherentes al “diagnóstico” y la estructura psíquica de los niños, culpabilizándolos de su patología.</w:t>
      </w:r>
      <w:r>
        <w:rPr>
          <w:rFonts w:ascii="Calibri" w:eastAsia="Calibri" w:hAnsi="Calibri" w:cs="Calibri"/>
          <w:i/>
          <w:sz w:val="22"/>
          <w:szCs w:val="22"/>
        </w:rPr>
        <w:t xml:space="preserve"> </w:t>
      </w:r>
      <w:r>
        <w:rPr>
          <w:rFonts w:ascii="Calibri" w:eastAsia="Calibri" w:hAnsi="Calibri" w:cs="Calibri"/>
          <w:sz w:val="22"/>
          <w:szCs w:val="22"/>
        </w:rPr>
        <w:t xml:space="preserve">Sin embargo, del monitoreo institucional se desprende que las crisis son producto de la falta de abordaje y de atención a los NNA, así como de la falta de formación profesional del personal de cuidado a cargo de los NNA para poder abordar estas crisis sin violentar a los NNA. El transcurrir de la vida cotidiana sin actividades ni estimulación, genera conflictos convivenciales y situaciones de angustia que no son debidamente abordados ni acompañados por el personal a cargo que es escaso frente a los NNA con altas necesidades de apoyo.  Asimismo, se detectó de la lectura de las historias clínicas de los niños, que se privilegia el tratamiento farmacológico por sobre otras disciplinas como la psicoterapia, terapia ocupacional, fonoaudiología, </w:t>
      </w:r>
      <w:proofErr w:type="spellStart"/>
      <w:r>
        <w:rPr>
          <w:rFonts w:ascii="Calibri" w:eastAsia="Calibri" w:hAnsi="Calibri" w:cs="Calibri"/>
          <w:sz w:val="22"/>
          <w:szCs w:val="22"/>
        </w:rPr>
        <w:t>etc</w:t>
      </w:r>
      <w:proofErr w:type="spellEnd"/>
    </w:p>
    <w:p w14:paraId="00000043"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Consumo problemático</w:t>
      </w:r>
    </w:p>
    <w:p w14:paraId="0000004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Respecto del abordaje particular de las niñeces y el consumo problemático cabe destacar </w:t>
      </w:r>
      <w:proofErr w:type="gramStart"/>
      <w:r>
        <w:rPr>
          <w:rFonts w:ascii="Calibri" w:eastAsia="Calibri" w:hAnsi="Calibri" w:cs="Calibri"/>
          <w:sz w:val="22"/>
          <w:szCs w:val="22"/>
        </w:rPr>
        <w:t>que</w:t>
      </w:r>
      <w:proofErr w:type="gramEnd"/>
      <w:r>
        <w:rPr>
          <w:rFonts w:ascii="Calibri" w:eastAsia="Calibri" w:hAnsi="Calibri" w:cs="Calibri"/>
          <w:sz w:val="22"/>
          <w:szCs w:val="22"/>
        </w:rPr>
        <w:t xml:space="preserve"> en la mayoría de las comunidades terapéuticas monitoreadas, se detectó como una de las violaciones de derechos más gravosas, el hecho de que NNA se encuentran alojados junto a las personas mayores de edad sin ningún tipo de separación o diferenciación en cuanto a alojamiento, tratamiento y accesibilidad a derechos. </w:t>
      </w:r>
      <w:r>
        <w:rPr>
          <w:rFonts w:ascii="Calibri" w:eastAsia="Calibri" w:hAnsi="Calibri" w:cs="Calibri"/>
          <w:sz w:val="22"/>
          <w:szCs w:val="22"/>
          <w:highlight w:val="white"/>
        </w:rPr>
        <w:t>Asimismo</w:t>
      </w:r>
      <w:r>
        <w:rPr>
          <w:rFonts w:ascii="Calibri" w:eastAsia="Calibri" w:hAnsi="Calibri" w:cs="Calibri"/>
          <w:sz w:val="22"/>
          <w:szCs w:val="22"/>
        </w:rPr>
        <w:t xml:space="preserve">, en la mayoría de los casos de los jóvenes internados, no había registro de ninguna intervención de un órgano judicial que controle la legalidad de las internaciones pese a tratarse de internaciones involuntarias por ser jóvenes menores de edad. La gravedad de lo expuesto radica nuevamente en que no se garantiza el control de la legalidad en estos casos en los que las personas se encuentran en una situación de vulnerabilidad mayor con respecto a las personas adultas. </w:t>
      </w:r>
    </w:p>
    <w:p w14:paraId="00000045"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el año 2023 se produjo el fallecimiento de dos jóvenes en comunidades terapéuticas: Santiago Hellman Suarez y otro joven que identificaremos como Juan para resguardar su identidad. En el caso del primero ocurrió en la Comunidad Terapéutica Soltar, sita en la localidad de Ituzaingó y en el caso del segundo joven, el fallecimiento ocurrió en la Comunidad Terapéutica Reencontrarse o Centro Victoria de la localidad de Tortuguitas </w:t>
      </w:r>
      <w:r>
        <w:rPr>
          <w:rFonts w:ascii="Calibri" w:eastAsia="Calibri" w:hAnsi="Calibri" w:cs="Calibri"/>
          <w:sz w:val="22"/>
          <w:szCs w:val="22"/>
          <w:vertAlign w:val="superscript"/>
        </w:rPr>
        <w:footnoteReference w:id="9"/>
      </w:r>
      <w:r>
        <w:rPr>
          <w:rFonts w:ascii="Calibri" w:eastAsia="Calibri" w:hAnsi="Calibri" w:cs="Calibri"/>
          <w:sz w:val="22"/>
          <w:szCs w:val="22"/>
        </w:rPr>
        <w:t>.</w:t>
      </w:r>
    </w:p>
    <w:p w14:paraId="00000046"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sz w:val="22"/>
          <w:szCs w:val="22"/>
        </w:rPr>
        <w:t>En el caso de Santiago Hellman, el joven falleció el 25 de enero de 2023</w:t>
      </w:r>
      <w:r>
        <w:rPr>
          <w:rFonts w:ascii="Calibri" w:eastAsia="Calibri" w:hAnsi="Calibri" w:cs="Calibri"/>
          <w:sz w:val="22"/>
          <w:szCs w:val="22"/>
          <w:vertAlign w:val="superscript"/>
        </w:rPr>
        <w:footnoteReference w:id="10"/>
      </w:r>
      <w:r>
        <w:rPr>
          <w:rFonts w:ascii="Calibri" w:eastAsia="Calibri" w:hAnsi="Calibri" w:cs="Calibri"/>
          <w:sz w:val="22"/>
          <w:szCs w:val="22"/>
        </w:rPr>
        <w:t>. Según la autopsia, el deceso se produjo por un “paro cardíaco” originado por “sumersión”. Lo encontraron flotando en la pileta de la institución otros jóvenes que también se encontraban internados. En las entrevistas mantenidas con los jóvenes que habían presenciado el momento se notaba su afectación, asombro y la angustia de lo sucedido</w:t>
      </w:r>
      <w:r>
        <w:rPr>
          <w:rFonts w:ascii="Calibri" w:eastAsia="Calibri" w:hAnsi="Calibri" w:cs="Calibri"/>
          <w:i/>
          <w:sz w:val="22"/>
          <w:szCs w:val="22"/>
        </w:rPr>
        <w:t xml:space="preserve">. </w:t>
      </w:r>
      <w:r>
        <w:rPr>
          <w:rFonts w:ascii="Calibri" w:eastAsia="Calibri" w:hAnsi="Calibri" w:cs="Calibri"/>
          <w:sz w:val="22"/>
          <w:szCs w:val="22"/>
        </w:rPr>
        <w:t xml:space="preserve">Los jóvenes entrevistados manifestaron que les resultaba muy sospechoso lo ocurrido con Santiago ya que el joven sabía nadar muy bien y se presentaba como oriundo de una localidad balnearia argentina. Los jóvenes afirmaron que Santiago sufría calambres en las piernas y adormecimiento producto del exceso de medicación recibida. De hecho, al momento del monitoreo, la mayoría de los jóvenes presentaban signos de </w:t>
      </w:r>
      <w:proofErr w:type="spellStart"/>
      <w:r>
        <w:rPr>
          <w:rFonts w:ascii="Calibri" w:eastAsia="Calibri" w:hAnsi="Calibri" w:cs="Calibri"/>
          <w:sz w:val="22"/>
          <w:szCs w:val="22"/>
        </w:rPr>
        <w:t>sobremedicación</w:t>
      </w:r>
      <w:proofErr w:type="spellEnd"/>
      <w:r>
        <w:rPr>
          <w:rFonts w:ascii="Calibri" w:eastAsia="Calibri" w:hAnsi="Calibri" w:cs="Calibri"/>
          <w:sz w:val="22"/>
          <w:szCs w:val="22"/>
        </w:rPr>
        <w:t xml:space="preserve"> y </w:t>
      </w:r>
      <w:r>
        <w:rPr>
          <w:rFonts w:ascii="Calibri" w:eastAsia="Calibri" w:hAnsi="Calibri" w:cs="Calibri"/>
          <w:sz w:val="22"/>
          <w:szCs w:val="22"/>
        </w:rPr>
        <w:lastRenderedPageBreak/>
        <w:t>desconocían el esquema farmacológico prescrito. En comunicaciones mantenidas con la madre del joven, también manifiesta que lo había observado por videollamada “</w:t>
      </w:r>
      <w:r>
        <w:rPr>
          <w:rFonts w:ascii="Calibri" w:eastAsia="Calibri" w:hAnsi="Calibri" w:cs="Calibri"/>
          <w:i/>
          <w:sz w:val="22"/>
          <w:szCs w:val="22"/>
        </w:rPr>
        <w:t>babeando</w:t>
      </w:r>
      <w:r>
        <w:rPr>
          <w:rFonts w:ascii="Calibri" w:eastAsia="Calibri" w:hAnsi="Calibri" w:cs="Calibri"/>
          <w:sz w:val="22"/>
          <w:szCs w:val="22"/>
        </w:rPr>
        <w:t>” y “</w:t>
      </w:r>
      <w:r>
        <w:rPr>
          <w:rFonts w:ascii="Calibri" w:eastAsia="Calibri" w:hAnsi="Calibri" w:cs="Calibri"/>
          <w:i/>
          <w:sz w:val="22"/>
          <w:szCs w:val="22"/>
        </w:rPr>
        <w:t>muy ido”.</w:t>
      </w:r>
    </w:p>
    <w:p w14:paraId="00000047"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Hasta el momento no se han producido muchos avances en la investigación ni esclarecimiento de lo sucedido con Santiago. Esto resulta preocupante dado que se observaron diversas inconsistencias en la investigación, no se han citado testigos y la única autopsia realizada no coincide con los relatos de los jóvenes que presenciaron el hecho ni con lo asentado en la historia clínica del joven.</w:t>
      </w:r>
    </w:p>
    <w:p w14:paraId="00000048"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Situación similar se reeditó con el fallecimiento de otro de los jóvenes alojado en la comunidad terapéutica Reencontrarse</w:t>
      </w:r>
      <w:r>
        <w:rPr>
          <w:rFonts w:ascii="Calibri" w:eastAsia="Calibri" w:hAnsi="Calibri" w:cs="Calibri"/>
          <w:sz w:val="22"/>
          <w:szCs w:val="22"/>
          <w:vertAlign w:val="superscript"/>
        </w:rPr>
        <w:footnoteReference w:id="11"/>
      </w:r>
      <w:r>
        <w:rPr>
          <w:rFonts w:ascii="Calibri" w:eastAsia="Calibri" w:hAnsi="Calibri" w:cs="Calibri"/>
          <w:sz w:val="22"/>
          <w:szCs w:val="22"/>
        </w:rPr>
        <w:t xml:space="preserve">. El joven se quitó la vida el día 24 de febrero de 2023, estando internado allí bajo una figura poco clara legalmente de “medida de salud”, solicitada por el servicio local de General Villegas en acuerdo con el servicio de salud mental de la misma localidad. En este caso, las articulaciones entre efectores han sido poco </w:t>
      </w:r>
      <w:proofErr w:type="gramStart"/>
      <w:r>
        <w:rPr>
          <w:rFonts w:ascii="Calibri" w:eastAsia="Calibri" w:hAnsi="Calibri" w:cs="Calibri"/>
          <w:sz w:val="22"/>
          <w:szCs w:val="22"/>
        </w:rPr>
        <w:t>claras</w:t>
      </w:r>
      <w:proofErr w:type="gramEnd"/>
      <w:r>
        <w:rPr>
          <w:rFonts w:ascii="Calibri" w:eastAsia="Calibri" w:hAnsi="Calibri" w:cs="Calibri"/>
          <w:sz w:val="22"/>
          <w:szCs w:val="22"/>
        </w:rPr>
        <w:t xml:space="preserve"> así como el criterio para determinar la internación del joven. </w:t>
      </w:r>
    </w:p>
    <w:p w14:paraId="0000004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Según las entrevistas mantenidas con los jóvenes que se encontraban alojados en el mismo momento que aconteció la situación, Juan venía manifestando su malestar desde hacía tiempo. Relatan que expresa extrañar mucho a sus referentes afectivos y que en la comunidad lo culpabilizaban de su padecimiento. La situación, que venía siendo avisada por la víctima y que fue desestimada por la institución, culminó con el suicidio del joven que fue encontrado por sus compañeros en el baño del lugar.</w:t>
      </w:r>
    </w:p>
    <w:p w14:paraId="0000004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De lo mencionado surge que, las condiciones en las que se encuentran internados los jóvenes, es decir la sobre medicación a la que se ven sometidos, la escasez de profesionales tratantes y por ende de acceso a tratamiento interdisciplinario de salud mental, el aislamiento y la falta de contacto con sus referentes afectivos, entre otros, confluyen para generar un estado de situación alarmante, cuyo indicador más relevante son actos en las que los jóvenes ponen en riesgo su propia vida y en su expresión más grave, las muertes acontecidas en los dispositivos  terapéuticos.</w:t>
      </w:r>
    </w:p>
    <w:p w14:paraId="0000004B"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Nuevamente queda de manifiesto que la negligencia, la subestimación de las situaciones, la falta de herramientas para acompañar un proceso que debiera ser terapéutico y la escasez de personal capacitado en la materia, culminan en una tragedia evitable.</w:t>
      </w:r>
    </w:p>
    <w:p w14:paraId="0000004C"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Los jóvenes testigos de las situaciones manifestaron que pese a haber vivenciado esa experiencia traumática y de gran impacto subjetivo, no recibieron ningún tipo de acompañamiento psicológico. Dicha situación da cuenta de la falta de herramientas y de materiales para intervenir con el resto de los jóvenes alojados, como por ejemplo protocolos de prevención del suicidio. En el caso de los dispositivos de encierro penal juvenil, cuentan con este insumo pese a su implementación deficiente</w:t>
      </w:r>
      <w:r>
        <w:rPr>
          <w:rFonts w:ascii="Calibri" w:eastAsia="Calibri" w:hAnsi="Calibri" w:cs="Calibri"/>
          <w:sz w:val="22"/>
          <w:szCs w:val="22"/>
          <w:vertAlign w:val="superscript"/>
        </w:rPr>
        <w:footnoteReference w:id="12"/>
      </w:r>
      <w:r>
        <w:rPr>
          <w:rFonts w:ascii="Calibri" w:eastAsia="Calibri" w:hAnsi="Calibri" w:cs="Calibri"/>
          <w:sz w:val="22"/>
          <w:szCs w:val="22"/>
        </w:rPr>
        <w:t>.</w:t>
      </w:r>
    </w:p>
    <w:p w14:paraId="0000004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La implementación del protocolo y de acciones tendientes a la prevención, resultan fundamentales para acompañar y tramitar una situación tan traumática para los jóvenes como la presenciar el sufrimiento y fallecimiento de pares con los que conviven. Asimismo, la correcta implementación </w:t>
      </w:r>
      <w:r>
        <w:rPr>
          <w:rFonts w:ascii="Calibri" w:eastAsia="Calibri" w:hAnsi="Calibri" w:cs="Calibri"/>
          <w:sz w:val="22"/>
          <w:szCs w:val="22"/>
        </w:rPr>
        <w:lastRenderedPageBreak/>
        <w:t>de protocolos y reglas trabajadas hacia el interior de los dispositivos puede favorecer el control de situaciones de riesgo.</w:t>
      </w:r>
    </w:p>
    <w:p w14:paraId="0000004E"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color w:val="212121"/>
          <w:sz w:val="22"/>
          <w:szCs w:val="22"/>
        </w:rPr>
        <w:t>Otro factor preocupante que produce estos terribles desenlaces son las derivaciones a comunidades terapéuticas no registradas en el RUPES</w:t>
      </w:r>
      <w:r>
        <w:rPr>
          <w:rFonts w:ascii="Calibri" w:eastAsia="Calibri" w:hAnsi="Calibri" w:cs="Calibri"/>
          <w:color w:val="212121"/>
          <w:sz w:val="22"/>
          <w:szCs w:val="22"/>
          <w:vertAlign w:val="superscript"/>
        </w:rPr>
        <w:footnoteReference w:id="13"/>
      </w:r>
      <w:r>
        <w:rPr>
          <w:rFonts w:ascii="Calibri" w:eastAsia="Calibri" w:hAnsi="Calibri" w:cs="Calibri"/>
          <w:color w:val="212121"/>
          <w:sz w:val="22"/>
          <w:szCs w:val="22"/>
        </w:rPr>
        <w:t xml:space="preserve"> y por ende sin un monitoreo del Ministerio de Salud ni tampoco control de los efectores que determinaron la internación de los jóvenes en estos dispositivos, desligándose de toda responsabilidad. </w:t>
      </w:r>
    </w:p>
    <w:p w14:paraId="0000004F"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Medidas especiales de protección (arts. 22, 30, 32, 33, 35, 36, 37 b) a d), y 38 a 40)</w:t>
      </w:r>
    </w:p>
    <w:p w14:paraId="00000050"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 xml:space="preserve">Administración de justicia de menores </w:t>
      </w:r>
    </w:p>
    <w:p w14:paraId="00000051"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Con respecto a lo mencionado por el Estado en el párrafo 27 b), la CPM alerta nuevamente que la población no punible continúa siendo alcanzada por la imposición de medidas de seguridad que determinan el ingreso al régimen carcelario </w:t>
      </w:r>
      <w:proofErr w:type="gramStart"/>
      <w:r>
        <w:rPr>
          <w:rFonts w:ascii="Calibri" w:eastAsia="Calibri" w:hAnsi="Calibri" w:cs="Calibri"/>
          <w:sz w:val="22"/>
          <w:szCs w:val="22"/>
        </w:rPr>
        <w:t>provincial  Por</w:t>
      </w:r>
      <w:proofErr w:type="gramEnd"/>
      <w:r>
        <w:rPr>
          <w:rFonts w:ascii="Calibri" w:eastAsia="Calibri" w:hAnsi="Calibri" w:cs="Calibri"/>
          <w:sz w:val="22"/>
          <w:szCs w:val="22"/>
        </w:rPr>
        <w:t xml:space="preserve"> otro lado cada uno de los apartados que </w:t>
      </w:r>
      <w:proofErr w:type="spellStart"/>
      <w:r>
        <w:rPr>
          <w:rFonts w:ascii="Calibri" w:eastAsia="Calibri" w:hAnsi="Calibri" w:cs="Calibri"/>
          <w:sz w:val="22"/>
          <w:szCs w:val="22"/>
        </w:rPr>
        <w:t>aqui</w:t>
      </w:r>
      <w:proofErr w:type="spellEnd"/>
      <w:r>
        <w:rPr>
          <w:rFonts w:ascii="Calibri" w:eastAsia="Calibri" w:hAnsi="Calibri" w:cs="Calibri"/>
          <w:sz w:val="22"/>
          <w:szCs w:val="22"/>
        </w:rPr>
        <w:t xml:space="preserve"> se desarrollaran dan cuenta de que la normativa mencionada por el Estado no encuentra su correlato en la realidad.</w:t>
      </w:r>
    </w:p>
    <w:p w14:paraId="0000005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Para dar cuenta de la estadística construida por esta agencia contamos con el registro construido por la SCBA</w:t>
      </w:r>
      <w:r>
        <w:rPr>
          <w:rFonts w:ascii="Calibri" w:eastAsia="Calibri" w:hAnsi="Calibri" w:cs="Calibri"/>
          <w:sz w:val="22"/>
          <w:szCs w:val="22"/>
          <w:vertAlign w:val="superscript"/>
        </w:rPr>
        <w:footnoteReference w:id="14"/>
      </w:r>
      <w:r>
        <w:rPr>
          <w:rFonts w:ascii="Calibri" w:eastAsia="Calibri" w:hAnsi="Calibri" w:cs="Calibri"/>
          <w:sz w:val="22"/>
          <w:szCs w:val="22"/>
        </w:rPr>
        <w:t xml:space="preserve"> y con el Registro de Procesos del Niño (en adelante RPN</w:t>
      </w:r>
      <w:r>
        <w:rPr>
          <w:rFonts w:ascii="Calibri" w:eastAsia="Calibri" w:hAnsi="Calibri" w:cs="Calibri"/>
          <w:sz w:val="22"/>
          <w:szCs w:val="22"/>
          <w:vertAlign w:val="superscript"/>
        </w:rPr>
        <w:footnoteReference w:id="15"/>
      </w:r>
      <w:r>
        <w:rPr>
          <w:rFonts w:ascii="Calibri" w:eastAsia="Calibri" w:hAnsi="Calibri" w:cs="Calibri"/>
          <w:sz w:val="22"/>
          <w:szCs w:val="22"/>
        </w:rPr>
        <w:t>), creado por el artículo 51 de la ley 13.634, donde la información refiere únicamente a procesos penales en los que hubo jóvenes punibles</w:t>
      </w:r>
      <w:r>
        <w:rPr>
          <w:rFonts w:ascii="Calibri" w:eastAsia="Calibri" w:hAnsi="Calibri" w:cs="Calibri"/>
          <w:sz w:val="22"/>
          <w:szCs w:val="22"/>
          <w:vertAlign w:val="superscript"/>
        </w:rPr>
        <w:footnoteReference w:id="16"/>
      </w:r>
      <w:r>
        <w:rPr>
          <w:rFonts w:ascii="Calibri" w:eastAsia="Calibri" w:hAnsi="Calibri" w:cs="Calibri"/>
          <w:sz w:val="22"/>
          <w:szCs w:val="22"/>
        </w:rPr>
        <w:t xml:space="preserve"> por edad y delito que tuvieron imputación formal</w:t>
      </w:r>
      <w:r>
        <w:rPr>
          <w:rFonts w:ascii="Calibri" w:eastAsia="Calibri" w:hAnsi="Calibri" w:cs="Calibri"/>
          <w:sz w:val="22"/>
          <w:szCs w:val="22"/>
          <w:vertAlign w:val="superscript"/>
        </w:rPr>
        <w:footnoteReference w:id="17"/>
      </w:r>
      <w:r>
        <w:rPr>
          <w:rFonts w:ascii="Calibri" w:eastAsia="Calibri" w:hAnsi="Calibri" w:cs="Calibri"/>
          <w:sz w:val="22"/>
          <w:szCs w:val="22"/>
        </w:rPr>
        <w:t>.</w:t>
      </w:r>
    </w:p>
    <w:p w14:paraId="00000053"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Durante 2023, ingresaron 828 jóvenes a los distintos centros de detención, del total de ingresos el 82% (679) tenía entre 16 y 17 años. Los ingresos de niños no punibles representaron el 16% (132) del total de ingresos. Dato que continúa advirtiendo la ausencia de políticas del poder ejecutivo, y puntualmente de abordaje desde los organismos creados por Ley 13.298. A su vez para el diagnóstico que se presenta en este informe se seleccionaron algunos de los indicadores que tiene el </w:t>
      </w:r>
      <w:proofErr w:type="spellStart"/>
      <w:r>
        <w:rPr>
          <w:rFonts w:ascii="Calibri" w:eastAsia="Calibri" w:hAnsi="Calibri" w:cs="Calibri"/>
          <w:sz w:val="22"/>
          <w:szCs w:val="22"/>
        </w:rPr>
        <w:t>ReINA</w:t>
      </w:r>
      <w:proofErr w:type="spellEnd"/>
      <w:r>
        <w:rPr>
          <w:rFonts w:ascii="Calibri" w:eastAsia="Calibri" w:hAnsi="Calibri" w:cs="Calibri"/>
          <w:sz w:val="22"/>
          <w:szCs w:val="22"/>
        </w:rPr>
        <w:t>. El mismo da cuenta de los datos del mes junto con el procesamiento de datos anualizados. Los datos oficiales son procesados por el programa de Producción y Análisis de la Información de este Mecanismo Local de Prevención de la Tortura</w:t>
      </w:r>
    </w:p>
    <w:p w14:paraId="0000005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Desde 2006</w:t>
      </w:r>
      <w:r>
        <w:rPr>
          <w:rFonts w:ascii="Calibri" w:eastAsia="Calibri" w:hAnsi="Calibri" w:cs="Calibri"/>
          <w:sz w:val="22"/>
          <w:szCs w:val="22"/>
          <w:vertAlign w:val="superscript"/>
        </w:rPr>
        <w:footnoteReference w:id="18"/>
      </w:r>
      <w:r>
        <w:rPr>
          <w:rFonts w:ascii="Calibri" w:eastAsia="Calibri" w:hAnsi="Calibri" w:cs="Calibri"/>
          <w:sz w:val="22"/>
          <w:szCs w:val="22"/>
        </w:rPr>
        <w:t xml:space="preserve"> la CPM denuncia que el sistema penal juvenil presenta cada vez más vasos comunicantes con el sistema penal de adultos a partir de la reproducción de patrones propios de la penalidad de tipo más duro.</w:t>
      </w:r>
    </w:p>
    <w:p w14:paraId="00000055"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 partir de las entrevistas desarrolladas junto al Programa de monitoreo de la violencia de las fuerzas de seguridad de este MLPT, constatamos que al momento de la aprehensión el procedimiento aplicado es violatorio de derechos y garantías. La aprehensión se lleva adelante de manera violenta, hostigando, agrediendo física y verbalmente, torturando, poniendo en peligro sus vidas. El poder judicial investiga escasamente estos delitos y cuando lo hace es de manera tardía. </w:t>
      </w:r>
    </w:p>
    <w:p w14:paraId="00000056"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lastRenderedPageBreak/>
        <w:t>El encadenamiento punitivo comienza con la captura efectuada por las fuerzas de seguridad cuando se presupone la comisión de un delito. Legalmente, todo niño/a aprehendido/a debe ingresar en un CEA</w:t>
      </w:r>
      <w:r>
        <w:rPr>
          <w:rFonts w:ascii="Calibri" w:eastAsia="Calibri" w:hAnsi="Calibri" w:cs="Calibri"/>
          <w:sz w:val="22"/>
          <w:szCs w:val="22"/>
          <w:vertAlign w:val="superscript"/>
        </w:rPr>
        <w:footnoteReference w:id="19"/>
      </w:r>
      <w:r>
        <w:rPr>
          <w:rFonts w:ascii="Calibri" w:eastAsia="Calibri" w:hAnsi="Calibri" w:cs="Calibri"/>
          <w:sz w:val="22"/>
          <w:szCs w:val="22"/>
        </w:rPr>
        <w:t>, sin embargo, la provincia continúa utilizando comisarías.</w:t>
      </w:r>
    </w:p>
    <w:p w14:paraId="00000057"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Durante 2023, el CEA San Nicolás no funcionó ya que cerró en el año 2022, quedando solo dos en los departamentos judiciales de Mar del Plata y San Martín. Ambos centros, sumaron una totalidad de 878 NNA en los ingresos. Respecto de 2022, en 2023 aumentó un 27% la cantidad de ingresos en CEA. Desagregando, observamos que en Mar del Plata hubo 545 ingresos y en San Martín 333. Del total de NNA aprehendidos, 251 de ellos/as se encuentran por debajo de la edad establecida para someterlos al encierro y sanción penal. </w:t>
      </w:r>
    </w:p>
    <w:p w14:paraId="00000058"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Entre 2014 y 2020 se observó una tendencia descendente en el inicio de procesos penales juveniles y en las imputaciones formales, con una leve desaceleración en 2018. En 2021 esta tendencia se revierte y en ambos casos se presenta un incremento</w:t>
      </w:r>
    </w:p>
    <w:p w14:paraId="0000005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Al 31 de diciembre de 2022, se encontraban privados de libertad 1.371 jóvenes, el 44,1% (568) en centros de </w:t>
      </w:r>
      <w:proofErr w:type="spellStart"/>
      <w:r>
        <w:rPr>
          <w:rFonts w:ascii="Calibri" w:eastAsia="Calibri" w:hAnsi="Calibri" w:cs="Calibri"/>
          <w:sz w:val="22"/>
          <w:szCs w:val="22"/>
        </w:rPr>
        <w:t>OPNyA</w:t>
      </w:r>
      <w:proofErr w:type="spellEnd"/>
      <w:r>
        <w:rPr>
          <w:rFonts w:ascii="Calibri" w:eastAsia="Calibri" w:hAnsi="Calibri" w:cs="Calibri"/>
          <w:sz w:val="22"/>
          <w:szCs w:val="22"/>
        </w:rPr>
        <w:t>, 34,6% (474) en unidades penales a cargo del SPB, el 21,2% (291) prisión domiciliaria y el 2,8% (38) restante en instituciones de salud, comisarías, en servicio penitenciario federal y de otras provincias</w:t>
      </w:r>
      <w:r>
        <w:rPr>
          <w:rFonts w:ascii="Calibri" w:eastAsia="Calibri" w:hAnsi="Calibri" w:cs="Calibri"/>
          <w:sz w:val="22"/>
          <w:szCs w:val="22"/>
          <w:vertAlign w:val="superscript"/>
        </w:rPr>
        <w:footnoteReference w:id="20"/>
      </w:r>
      <w:r>
        <w:rPr>
          <w:rFonts w:ascii="Calibri" w:eastAsia="Calibri" w:hAnsi="Calibri" w:cs="Calibri"/>
          <w:sz w:val="22"/>
          <w:szCs w:val="22"/>
        </w:rPr>
        <w:t>..</w:t>
      </w:r>
    </w:p>
    <w:p w14:paraId="0000005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A diciembre de 2023, se encontraban privados de libertad 448 jóvenes, el 79% (357) en regímenes cerrados y 20% (91) en regímenes de semilibertad. A su vez 39 </w:t>
      </w:r>
      <w:proofErr w:type="spellStart"/>
      <w:r>
        <w:rPr>
          <w:rFonts w:ascii="Calibri" w:eastAsia="Calibri" w:hAnsi="Calibri" w:cs="Calibri"/>
          <w:sz w:val="22"/>
          <w:szCs w:val="22"/>
        </w:rPr>
        <w:t>jovenes</w:t>
      </w:r>
      <w:proofErr w:type="spellEnd"/>
      <w:r>
        <w:rPr>
          <w:rFonts w:ascii="Calibri" w:eastAsia="Calibri" w:hAnsi="Calibri" w:cs="Calibri"/>
          <w:sz w:val="22"/>
          <w:szCs w:val="22"/>
        </w:rPr>
        <w:t xml:space="preserve"> fueron derivados al SPB.</w:t>
      </w:r>
    </w:p>
    <w:p w14:paraId="0000005B"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Si bien durante el 2023 el </w:t>
      </w:r>
      <w:proofErr w:type="spellStart"/>
      <w:r>
        <w:rPr>
          <w:rFonts w:ascii="Calibri" w:eastAsia="Calibri" w:hAnsi="Calibri" w:cs="Calibri"/>
          <w:sz w:val="22"/>
          <w:szCs w:val="22"/>
        </w:rPr>
        <w:t>OPNyA</w:t>
      </w:r>
      <w:proofErr w:type="spellEnd"/>
      <w:r>
        <w:rPr>
          <w:rFonts w:ascii="Calibri" w:eastAsia="Calibri" w:hAnsi="Calibri" w:cs="Calibri"/>
          <w:sz w:val="22"/>
          <w:szCs w:val="22"/>
          <w:vertAlign w:val="superscript"/>
        </w:rPr>
        <w:footnoteReference w:id="21"/>
      </w:r>
      <w:r>
        <w:rPr>
          <w:rFonts w:ascii="Calibri" w:eastAsia="Calibri" w:hAnsi="Calibri" w:cs="Calibri"/>
          <w:sz w:val="22"/>
          <w:szCs w:val="22"/>
        </w:rPr>
        <w:t xml:space="preserve"> adecuo</w:t>
      </w:r>
      <w:r>
        <w:rPr>
          <w:rFonts w:ascii="Calibri" w:eastAsia="Calibri" w:hAnsi="Calibri" w:cs="Calibri"/>
          <w:sz w:val="22"/>
          <w:szCs w:val="22"/>
          <w:vertAlign w:val="superscript"/>
        </w:rPr>
        <w:footnoteReference w:id="22"/>
      </w:r>
      <w:r>
        <w:rPr>
          <w:rFonts w:ascii="Calibri" w:eastAsia="Calibri" w:hAnsi="Calibri" w:cs="Calibri"/>
          <w:sz w:val="22"/>
          <w:szCs w:val="22"/>
        </w:rPr>
        <w:t xml:space="preserve"> las misiones y funciones inherentes a la Subsecretaría de Responsabilidad Penal Juvenil</w:t>
      </w:r>
      <w:r>
        <w:rPr>
          <w:rFonts w:ascii="Calibri" w:eastAsia="Calibri" w:hAnsi="Calibri" w:cs="Calibri"/>
          <w:sz w:val="22"/>
          <w:szCs w:val="22"/>
          <w:vertAlign w:val="superscript"/>
        </w:rPr>
        <w:footnoteReference w:id="23"/>
      </w:r>
      <w:r>
        <w:rPr>
          <w:rFonts w:ascii="Calibri" w:eastAsia="Calibri" w:hAnsi="Calibri" w:cs="Calibri"/>
          <w:sz w:val="22"/>
          <w:szCs w:val="22"/>
        </w:rPr>
        <w:t xml:space="preserve">, las intervenciones estatales no lograron garantizar la atención prioritaria que todo NNA debe contar para el goce y disfrute pleno de sus derechos, </w:t>
      </w:r>
      <w:proofErr w:type="spellStart"/>
      <w:r>
        <w:rPr>
          <w:rFonts w:ascii="Calibri" w:eastAsia="Calibri" w:hAnsi="Calibri" w:cs="Calibri"/>
          <w:sz w:val="22"/>
          <w:szCs w:val="22"/>
        </w:rPr>
        <w:t>aún</w:t>
      </w:r>
      <w:proofErr w:type="spellEnd"/>
      <w:r>
        <w:rPr>
          <w:rFonts w:ascii="Calibri" w:eastAsia="Calibri" w:hAnsi="Calibri" w:cs="Calibri"/>
          <w:sz w:val="22"/>
          <w:szCs w:val="22"/>
        </w:rPr>
        <w:t xml:space="preserve"> cuando se encuentren alcanzados/as por la ley penal. Pese a las modificaciones del poder ejecutivo y las normas protectoras, las intervenciones estatales no lograron garantizar la atención prioritaria acorde a los estándares internacionales.</w:t>
      </w:r>
    </w:p>
    <w:p w14:paraId="0000005C"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lastRenderedPageBreak/>
        <w:t>Para el ingreso</w:t>
      </w:r>
      <w:r>
        <w:rPr>
          <w:rFonts w:ascii="Calibri" w:eastAsia="Calibri" w:hAnsi="Calibri" w:cs="Calibri"/>
          <w:sz w:val="22"/>
          <w:szCs w:val="22"/>
          <w:vertAlign w:val="superscript"/>
        </w:rPr>
        <w:footnoteReference w:id="24"/>
      </w:r>
      <w:r>
        <w:rPr>
          <w:rFonts w:ascii="Calibri" w:eastAsia="Calibri" w:hAnsi="Calibri" w:cs="Calibri"/>
          <w:sz w:val="22"/>
          <w:szCs w:val="22"/>
        </w:rPr>
        <w:t xml:space="preserve"> de jóvenes al sistema de encierro,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cuenta con 34 establecimientos oficiales: dos (2) Centros Especializados de Aprehensión, doce (12) de contención</w:t>
      </w:r>
      <w:r>
        <w:rPr>
          <w:rFonts w:ascii="Calibri" w:eastAsia="Calibri" w:hAnsi="Calibri" w:cs="Calibri"/>
          <w:sz w:val="22"/>
          <w:szCs w:val="22"/>
          <w:vertAlign w:val="superscript"/>
        </w:rPr>
        <w:footnoteReference w:id="25"/>
      </w:r>
      <w:r>
        <w:rPr>
          <w:rFonts w:ascii="Calibri" w:eastAsia="Calibri" w:hAnsi="Calibri" w:cs="Calibri"/>
          <w:sz w:val="22"/>
          <w:szCs w:val="22"/>
        </w:rPr>
        <w:t>, cinco (5) centros de recepción</w:t>
      </w:r>
      <w:r>
        <w:rPr>
          <w:rFonts w:ascii="Calibri" w:eastAsia="Calibri" w:hAnsi="Calibri" w:cs="Calibri"/>
          <w:sz w:val="22"/>
          <w:szCs w:val="22"/>
          <w:vertAlign w:val="superscript"/>
        </w:rPr>
        <w:footnoteReference w:id="26"/>
      </w:r>
      <w:r>
        <w:rPr>
          <w:rFonts w:ascii="Calibri" w:eastAsia="Calibri" w:hAnsi="Calibri" w:cs="Calibri"/>
          <w:sz w:val="22"/>
          <w:szCs w:val="22"/>
        </w:rPr>
        <w:t>, quince (15) centros cerrados</w:t>
      </w:r>
      <w:r>
        <w:rPr>
          <w:rFonts w:ascii="Calibri" w:eastAsia="Calibri" w:hAnsi="Calibri" w:cs="Calibri"/>
          <w:sz w:val="22"/>
          <w:szCs w:val="22"/>
          <w:vertAlign w:val="superscript"/>
        </w:rPr>
        <w:footnoteReference w:id="27"/>
      </w:r>
      <w:r>
        <w:rPr>
          <w:rFonts w:ascii="Calibri" w:eastAsia="Calibri" w:hAnsi="Calibri" w:cs="Calibri"/>
          <w:sz w:val="22"/>
          <w:szCs w:val="22"/>
        </w:rPr>
        <w:t xml:space="preserve">, incorporando recientemente la tipificación de cinco (5) centros socioeducativos de privación de la libertad ambulatoria – Modalidad </w:t>
      </w:r>
      <w:proofErr w:type="spellStart"/>
      <w:r>
        <w:rPr>
          <w:rFonts w:ascii="Calibri" w:eastAsia="Calibri" w:hAnsi="Calibri" w:cs="Calibri"/>
          <w:sz w:val="22"/>
          <w:szCs w:val="22"/>
        </w:rPr>
        <w:t>pre-egreso</w:t>
      </w:r>
      <w:proofErr w:type="spellEnd"/>
      <w:r>
        <w:rPr>
          <w:rFonts w:ascii="Calibri" w:eastAsia="Calibri" w:hAnsi="Calibri" w:cs="Calibri"/>
          <w:sz w:val="22"/>
          <w:szCs w:val="22"/>
          <w:vertAlign w:val="superscript"/>
        </w:rPr>
        <w:footnoteReference w:id="28"/>
      </w:r>
      <w:r>
        <w:rPr>
          <w:rFonts w:ascii="Calibri" w:eastAsia="Calibri" w:hAnsi="Calibri" w:cs="Calibri"/>
          <w:sz w:val="22"/>
          <w:szCs w:val="22"/>
        </w:rPr>
        <w:t>, la mayoría funciona dentro de establecimientos de régimen cerrado.</w:t>
      </w:r>
    </w:p>
    <w:p w14:paraId="0000005D"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Si tenemos en cuenta el incremento porcentual de ingresos a centros cerrados, podemos decir que en promedio el 85% de ingresos del periodo (2020-2023) se produjeron a centros con un régimen de vida de encierro total. Durante 2023 se produjeron 92 ingresos en total por motivos de salud mental y/o consumo problemático a Comunidades Terapéuticas (91) y a Clínicas Psiquiátricas (1)</w:t>
      </w:r>
      <w:r>
        <w:rPr>
          <w:rFonts w:ascii="Calibri" w:eastAsia="Calibri" w:hAnsi="Calibri" w:cs="Calibri"/>
          <w:sz w:val="22"/>
          <w:szCs w:val="22"/>
          <w:vertAlign w:val="superscript"/>
        </w:rPr>
        <w:footnoteReference w:id="29"/>
      </w:r>
    </w:p>
    <w:p w14:paraId="0000005E"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Condiciones de detención</w:t>
      </w:r>
    </w:p>
    <w:p w14:paraId="0000005F"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Durante el 2023, la CPM desplego acciones de monitoreo en quince (15) establecimientos penales</w:t>
      </w:r>
      <w:r>
        <w:rPr>
          <w:rFonts w:ascii="Calibri" w:eastAsia="Calibri" w:hAnsi="Calibri" w:cs="Calibri"/>
          <w:sz w:val="22"/>
          <w:szCs w:val="22"/>
          <w:vertAlign w:val="superscript"/>
        </w:rPr>
        <w:footnoteReference w:id="30"/>
      </w:r>
      <w:r>
        <w:rPr>
          <w:rFonts w:ascii="Calibri" w:eastAsia="Calibri" w:hAnsi="Calibri" w:cs="Calibri"/>
          <w:sz w:val="22"/>
          <w:szCs w:val="22"/>
        </w:rPr>
        <w:t xml:space="preserve"> , en cuatro (4) unidades penitenciarias</w:t>
      </w:r>
      <w:r>
        <w:rPr>
          <w:rFonts w:ascii="Calibri" w:eastAsia="Calibri" w:hAnsi="Calibri" w:cs="Calibri"/>
          <w:sz w:val="22"/>
          <w:szCs w:val="22"/>
          <w:vertAlign w:val="superscript"/>
        </w:rPr>
        <w:footnoteReference w:id="31"/>
      </w:r>
      <w:r>
        <w:rPr>
          <w:rFonts w:ascii="Calibri" w:eastAsia="Calibri" w:hAnsi="Calibri" w:cs="Calibri"/>
          <w:sz w:val="22"/>
          <w:szCs w:val="22"/>
        </w:rPr>
        <w:t xml:space="preserve"> y en dos (2</w:t>
      </w:r>
      <w:proofErr w:type="gramStart"/>
      <w:r>
        <w:rPr>
          <w:rFonts w:ascii="Calibri" w:eastAsia="Calibri" w:hAnsi="Calibri" w:cs="Calibri"/>
          <w:sz w:val="22"/>
          <w:szCs w:val="22"/>
        </w:rPr>
        <w:t>)  hospitales</w:t>
      </w:r>
      <w:proofErr w:type="gramEnd"/>
      <w:r>
        <w:rPr>
          <w:rFonts w:ascii="Calibri" w:eastAsia="Calibri" w:hAnsi="Calibri" w:cs="Calibri"/>
          <w:sz w:val="22"/>
          <w:szCs w:val="22"/>
        </w:rPr>
        <w:t xml:space="preserve"> generales</w:t>
      </w:r>
      <w:r>
        <w:rPr>
          <w:rFonts w:ascii="Calibri" w:eastAsia="Calibri" w:hAnsi="Calibri" w:cs="Calibri"/>
          <w:sz w:val="22"/>
          <w:szCs w:val="22"/>
          <w:vertAlign w:val="superscript"/>
        </w:rPr>
        <w:footnoteReference w:id="32"/>
      </w:r>
      <w:r>
        <w:rPr>
          <w:rFonts w:ascii="Calibri" w:eastAsia="Calibri" w:hAnsi="Calibri" w:cs="Calibri"/>
          <w:sz w:val="22"/>
          <w:szCs w:val="22"/>
        </w:rPr>
        <w:t xml:space="preserve"> en el marco de constatar las condiciones de detención de jóvenes a disposición del fuero penal juvenil. </w:t>
      </w:r>
    </w:p>
    <w:p w14:paraId="00000060"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 dichos lugares se desarrollaron inspecciones generales y entrevistas individuales que requirieron la presencia e intervención de la CPM en más de una ocasión. Se denunciaron 1.416</w:t>
      </w:r>
      <w:r>
        <w:rPr>
          <w:rFonts w:ascii="Calibri" w:eastAsia="Calibri" w:hAnsi="Calibri" w:cs="Calibri"/>
          <w:sz w:val="22"/>
          <w:szCs w:val="22"/>
          <w:vertAlign w:val="superscript"/>
        </w:rPr>
        <w:footnoteReference w:id="33"/>
      </w:r>
      <w:r>
        <w:rPr>
          <w:rFonts w:ascii="Calibri" w:eastAsia="Calibri" w:hAnsi="Calibri" w:cs="Calibri"/>
          <w:sz w:val="22"/>
          <w:szCs w:val="22"/>
        </w:rPr>
        <w:t xml:space="preserve">   hechos de tortura y/o malos tratos, entre los que se encuentran: falta o deficiente asistencia de la salud, falta o deficiente acceso a la justicia, afectación del vínculo familiar y social, falta o deficiente acceso a actividades deportivas, culturales, recreativas y/o, laborales, aislamiento, falta o deficiente acceso a educación, malas condiciones materiales, agresiones físicas, agresión verbal o psicológica, falta o deficiente ejercicio de la participación, falta o deficiente intervención de los servicios locales y/o </w:t>
      </w:r>
      <w:r>
        <w:rPr>
          <w:rFonts w:ascii="Calibri" w:eastAsia="Calibri" w:hAnsi="Calibri" w:cs="Calibri"/>
          <w:sz w:val="22"/>
          <w:szCs w:val="22"/>
        </w:rPr>
        <w:lastRenderedPageBreak/>
        <w:t>zonales, falta o deficiente alimentación, requisa vejatoria y/o violenta, traslados violatorios de derechos, falta o deficiente acceso a pertenencias, amenazas y violencia policial.</w:t>
      </w:r>
    </w:p>
    <w:p w14:paraId="00000061"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En todos los lugares monitoreados surgieron reclamos relacionados con el sistema alimentario, en la mayoría de los centros dichas denuncias fueron expresadas por las autoridades y los jóvenes, haciendo referencia al gramaje necesario en función de desarrollo evolutivo, a la variedad en los alimentos, al punto de cocción, al sabor, a la temperatura del menú diario, a ser acorde a la estación estival, a las consecuencias en la salud por la ingesta de productos vencidos, entre otras.</w:t>
      </w:r>
    </w:p>
    <w:p w14:paraId="0000006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Para sintetizar las denuncias realizadas por este MLPT en todos los lugares monitoreados, compartimos un extracto del informe pericial realizado en el centro de contención </w:t>
      </w:r>
      <w:proofErr w:type="spellStart"/>
      <w:r>
        <w:rPr>
          <w:rFonts w:ascii="Calibri" w:eastAsia="Calibri" w:hAnsi="Calibri" w:cs="Calibri"/>
          <w:sz w:val="22"/>
          <w:szCs w:val="22"/>
        </w:rPr>
        <w:t>Gambier</w:t>
      </w:r>
      <w:proofErr w:type="spellEnd"/>
      <w:r>
        <w:rPr>
          <w:rFonts w:ascii="Calibri" w:eastAsia="Calibri" w:hAnsi="Calibri" w:cs="Calibri"/>
          <w:sz w:val="22"/>
          <w:szCs w:val="22"/>
        </w:rPr>
        <w:t xml:space="preserve">. Resulta conveniente aclarar que en este espacio se provee la alimentación para 6 establecimientos penales. La pericia expresa no solo que el servicio alimentario era deficiente, sino que no era apropiado para consumo humano, demostrando a su vez la falta de </w:t>
      </w:r>
      <w:proofErr w:type="spellStart"/>
      <w:r>
        <w:rPr>
          <w:rFonts w:ascii="Calibri" w:eastAsia="Calibri" w:hAnsi="Calibri" w:cs="Calibri"/>
          <w:sz w:val="22"/>
          <w:szCs w:val="22"/>
        </w:rPr>
        <w:t>fiscalizacion</w:t>
      </w:r>
      <w:proofErr w:type="spellEnd"/>
      <w:r>
        <w:rPr>
          <w:rFonts w:ascii="Calibri" w:eastAsia="Calibri" w:hAnsi="Calibri" w:cs="Calibri"/>
          <w:sz w:val="22"/>
          <w:szCs w:val="22"/>
        </w:rPr>
        <w:t xml:space="preserve"> por parte del Estado:</w:t>
      </w:r>
    </w:p>
    <w:p w14:paraId="00000063" w14:textId="5F6022B5"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i/>
          <w:sz w:val="22"/>
          <w:szCs w:val="22"/>
        </w:rPr>
        <w:t xml:space="preserve">El instituto cuenta con un servicio de alimentación tercerizado a cargo de la empresa </w:t>
      </w:r>
      <w:proofErr w:type="spellStart"/>
      <w:r>
        <w:rPr>
          <w:rFonts w:ascii="Calibri" w:eastAsia="Calibri" w:hAnsi="Calibri" w:cs="Calibri"/>
          <w:i/>
          <w:sz w:val="22"/>
          <w:szCs w:val="22"/>
        </w:rPr>
        <w:t>Biolimp</w:t>
      </w:r>
      <w:proofErr w:type="spellEnd"/>
      <w:r>
        <w:rPr>
          <w:rFonts w:ascii="Calibri" w:eastAsia="Calibri" w:hAnsi="Calibri" w:cs="Calibri"/>
          <w:i/>
          <w:sz w:val="22"/>
          <w:szCs w:val="22"/>
        </w:rPr>
        <w:t xml:space="preserve"> la cual presta servicio de viandas a este instituto y cinco más. Se cocinan 193 raciones diarias. Al momento de la visita no se encontraba un licenciado en nutrición en el lugar o encargado del servicio. Al ser una planta elaboradora de alimentos la empresa debería asegurar la presencia de un responsable en ambos turnos, inclusive días feriados.  En cuanto al registro de libretas sanitarias y </w:t>
      </w:r>
      <w:proofErr w:type="gramStart"/>
      <w:r>
        <w:rPr>
          <w:rFonts w:ascii="Calibri" w:eastAsia="Calibri" w:hAnsi="Calibri" w:cs="Calibri"/>
          <w:i/>
          <w:sz w:val="22"/>
          <w:szCs w:val="22"/>
        </w:rPr>
        <w:t>carnet</w:t>
      </w:r>
      <w:proofErr w:type="gramEnd"/>
      <w:r>
        <w:rPr>
          <w:rFonts w:ascii="Calibri" w:eastAsia="Calibri" w:hAnsi="Calibri" w:cs="Calibri"/>
          <w:i/>
          <w:sz w:val="22"/>
          <w:szCs w:val="22"/>
        </w:rPr>
        <w:t xml:space="preserve"> de manipulación de alimentos del personal de cocina se encuentran en falta. Tampoco se encuentran registros de capacitaciones realizadas a los trabajadores en el lugar. Al momento de la visita las viandas estaban preparadas, selladas y almacenadas en un contenedor plástico sin capacidad de mantener la temperatura. Pasando un tiempo considerable hasta ser repartidas. En cuanto a la cantidad de la vianda es escasa, falta guarnición en la misma y no es adecuada en nutrientes por la carencia de verduras. No se tomaron temperaturas, se observa falta de cocción en fragmentos de la hamburguesa. El lugar no cuenta con la higiene adecuada en su estructura física, instalaciones y equipamientos. Los utensilios no son adecuados. Las condiciones edilicias del lugar no son apropiadas. El lugar se encuentra muy desordenado. No se cumplen normas de bioseguridad. Se observan latas abolladas, carne cruda descongelándose a temperatura ambiente, carne descongelándose al lado de verduras. Alimentos ya cocidos a temperatura ambiente, sin tapa, pasando un tiempo considerable. Alimentos secos almacenados con bolsas y cartones con falta de higiene, encontrándose en uno de ellos agua. Alimentos almacenados en el piso y sobre artículos de limpieza. Alimentos en mal estado. Los alimentos almacenados no se encuentran etiquetados con la fecha de elaboración o apertura, por lo cual no se podría asegurar el tiempo transcurrido desde su apertura o elaboración. Yogures almacenados en la heladera con sangre. Se encuentran verduras tiradas en el piso y en mal estado, alimentos almacenados en el piso, en mal estado y con moscas. No hay registros actualizados de control de plagas. El tacho de basura se encuentra sin tapa en el lugar donde se manipulan alimentos. </w:t>
      </w:r>
      <w:r w:rsidR="00ED042F">
        <w:rPr>
          <w:rFonts w:ascii="Calibri" w:eastAsia="Calibri" w:hAnsi="Calibri" w:cs="Calibri"/>
          <w:i/>
          <w:sz w:val="22"/>
          <w:szCs w:val="22"/>
        </w:rPr>
        <w:t xml:space="preserve">[…] </w:t>
      </w:r>
      <w:r>
        <w:rPr>
          <w:rFonts w:ascii="Calibri" w:eastAsia="Calibri" w:hAnsi="Calibri" w:cs="Calibri"/>
          <w:i/>
          <w:sz w:val="22"/>
          <w:szCs w:val="22"/>
        </w:rPr>
        <w:t xml:space="preserve">Por los puntos mencionados no se podría asegurar la calidad e inocuidad de los alimentos suministrados. Los puntos mencionados sobre la higiene del lugar, el almacenamiento de los alimentos, el estado de </w:t>
      </w:r>
      <w:proofErr w:type="gramStart"/>
      <w:r>
        <w:rPr>
          <w:rFonts w:ascii="Calibri" w:eastAsia="Calibri" w:hAnsi="Calibri" w:cs="Calibri"/>
          <w:i/>
          <w:sz w:val="22"/>
          <w:szCs w:val="22"/>
        </w:rPr>
        <w:t>los mismos</w:t>
      </w:r>
      <w:proofErr w:type="gramEnd"/>
      <w:r>
        <w:rPr>
          <w:rFonts w:ascii="Calibri" w:eastAsia="Calibri" w:hAnsi="Calibri" w:cs="Calibri"/>
          <w:i/>
          <w:sz w:val="22"/>
          <w:szCs w:val="22"/>
        </w:rPr>
        <w:t xml:space="preserve"> y las condiciones edilicias ponen en riesgo la salud de los jóvenes del lugar</w:t>
      </w:r>
    </w:p>
    <w:p w14:paraId="00000064"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En otro orden de ideas se encuentra la ausencia de políticas formativas para la inclusión sociolaboral. Dentro de los centros penales, la ausencia de perspectiva socioeducativa se traduce en propuestas formativas precarias, informales y profundamente arbitrarias </w:t>
      </w:r>
      <w:proofErr w:type="gramStart"/>
      <w:r>
        <w:rPr>
          <w:rFonts w:ascii="Calibri" w:eastAsia="Calibri" w:hAnsi="Calibri" w:cs="Calibri"/>
          <w:sz w:val="22"/>
          <w:szCs w:val="22"/>
        </w:rPr>
        <w:t>de acuerdo a</w:t>
      </w:r>
      <w:proofErr w:type="gramEnd"/>
      <w:r>
        <w:rPr>
          <w:rFonts w:ascii="Calibri" w:eastAsia="Calibri" w:hAnsi="Calibri" w:cs="Calibri"/>
          <w:sz w:val="22"/>
          <w:szCs w:val="22"/>
        </w:rPr>
        <w:t xml:space="preserve"> quienes gestionan los establecimientos. La no existencia de parámetros claros y preestablecidos para la inclusión en los </w:t>
      </w:r>
      <w:proofErr w:type="gramStart"/>
      <w:r>
        <w:rPr>
          <w:rFonts w:ascii="Calibri" w:eastAsia="Calibri" w:hAnsi="Calibri" w:cs="Calibri"/>
          <w:sz w:val="22"/>
          <w:szCs w:val="22"/>
        </w:rPr>
        <w:t>talleres,</w:t>
      </w:r>
      <w:proofErr w:type="gramEnd"/>
      <w:r>
        <w:rPr>
          <w:rFonts w:ascii="Calibri" w:eastAsia="Calibri" w:hAnsi="Calibri" w:cs="Calibri"/>
          <w:sz w:val="22"/>
          <w:szCs w:val="22"/>
        </w:rPr>
        <w:t xml:space="preserve"> posibilita que los asistentes de minoridad sean quienes definen la misma, al manipular las llaves de los candados en el encierro, como consecuencia, la inequidad entre los jóvenes se convierte en pauta fundante también dentro del encierro, solo algunos acceden.</w:t>
      </w:r>
    </w:p>
    <w:p w14:paraId="00000065"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lastRenderedPageBreak/>
        <w:t xml:space="preserve">La precariedad e informalidad se constata frente a la ausencia de articulación entre efectores (Ministerios de Educación, Trabajo y Desarrollo Social) ya que el estado cuenta con Centros de Formación Laboral (CFL) y docentes capacitados pedagógicamente para la enseñanza de oficios y capacitaciones. Sin embargo, lo que se promueve en los centros penales es que el personal que cumple otras funciones </w:t>
      </w:r>
      <w:proofErr w:type="gramStart"/>
      <w:r>
        <w:rPr>
          <w:rFonts w:ascii="Calibri" w:eastAsia="Calibri" w:hAnsi="Calibri" w:cs="Calibri"/>
          <w:sz w:val="22"/>
          <w:szCs w:val="22"/>
        </w:rPr>
        <w:t>le</w:t>
      </w:r>
      <w:proofErr w:type="gramEnd"/>
      <w:r>
        <w:rPr>
          <w:rFonts w:ascii="Calibri" w:eastAsia="Calibri" w:hAnsi="Calibri" w:cs="Calibri"/>
          <w:sz w:val="22"/>
          <w:szCs w:val="22"/>
        </w:rPr>
        <w:t xml:space="preserve"> brinde a jóvenes algo del saber adquirido, sin priorizar la acción pedagógica ni la certificación de lo aprendido.</w:t>
      </w:r>
    </w:p>
    <w:p w14:paraId="00000066" w14:textId="21A3DAD9"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sz w:val="22"/>
          <w:szCs w:val="22"/>
        </w:rPr>
        <w:t xml:space="preserve"> Los jóvenes relatan que no hay insumos suficientes para poder realizar las producciones propuestas en los talleres. Si bien el taller es de ayudante pizzero, realizan bizcochitos porque sólo cuentan con harina para hacerlo. Uno de los jóvenes manifestaba que puso de su bolsillo 12 mil pesos para poder comprar el queso para realizar la pizza con sus compañeros de taller. Relata </w:t>
      </w:r>
      <w:r>
        <w:rPr>
          <w:rFonts w:ascii="Calibri" w:eastAsia="Calibri" w:hAnsi="Calibri" w:cs="Calibri"/>
          <w:i/>
          <w:sz w:val="22"/>
          <w:szCs w:val="22"/>
        </w:rPr>
        <w:t>“prefiero pagar pero que me sirva el taller”</w:t>
      </w:r>
      <w:r>
        <w:rPr>
          <w:rFonts w:ascii="Calibri" w:eastAsia="Calibri" w:hAnsi="Calibri" w:cs="Calibri"/>
          <w:sz w:val="22"/>
          <w:szCs w:val="22"/>
        </w:rPr>
        <w:t xml:space="preserve"> y a la vez plantea </w:t>
      </w:r>
      <w:r>
        <w:rPr>
          <w:rFonts w:ascii="Calibri" w:eastAsia="Calibri" w:hAnsi="Calibri" w:cs="Calibri"/>
          <w:i/>
          <w:sz w:val="22"/>
          <w:szCs w:val="22"/>
        </w:rPr>
        <w:t>“no soy solo yo, somos un montón de chicos”</w:t>
      </w:r>
      <w:r>
        <w:rPr>
          <w:rFonts w:ascii="Calibri" w:eastAsia="Calibri" w:hAnsi="Calibri" w:cs="Calibri"/>
          <w:sz w:val="22"/>
          <w:szCs w:val="22"/>
        </w:rPr>
        <w:t xml:space="preserve"> y que “</w:t>
      </w:r>
      <w:r>
        <w:rPr>
          <w:rFonts w:ascii="Calibri" w:eastAsia="Calibri" w:hAnsi="Calibri" w:cs="Calibri"/>
          <w:i/>
          <w:sz w:val="22"/>
          <w:szCs w:val="22"/>
        </w:rPr>
        <w:t xml:space="preserve">es </w:t>
      </w:r>
      <w:proofErr w:type="spellStart"/>
      <w:r>
        <w:rPr>
          <w:rFonts w:ascii="Calibri" w:eastAsia="Calibri" w:hAnsi="Calibri" w:cs="Calibri"/>
          <w:i/>
          <w:sz w:val="22"/>
          <w:szCs w:val="22"/>
        </w:rPr>
        <w:t>incomodo</w:t>
      </w:r>
      <w:proofErr w:type="spellEnd"/>
      <w:r>
        <w:rPr>
          <w:rFonts w:ascii="Calibri" w:eastAsia="Calibri" w:hAnsi="Calibri" w:cs="Calibri"/>
          <w:i/>
          <w:sz w:val="22"/>
          <w:szCs w:val="22"/>
        </w:rPr>
        <w:t>, no todos tenemos la misma situación en la calle”</w:t>
      </w:r>
      <w:r>
        <w:rPr>
          <w:rFonts w:ascii="Calibri" w:eastAsia="Calibri" w:hAnsi="Calibri" w:cs="Calibri"/>
          <w:sz w:val="22"/>
          <w:szCs w:val="22"/>
        </w:rPr>
        <w:t xml:space="preserve">. En algunos centros, este eje de formación laboral se instituye como trabajo, se efectúan acuerdos irregulares con actores productivos locales que </w:t>
      </w:r>
      <w:r>
        <w:rPr>
          <w:rFonts w:ascii="Calibri" w:eastAsia="Calibri" w:hAnsi="Calibri" w:cs="Calibri"/>
          <w:i/>
          <w:sz w:val="22"/>
          <w:szCs w:val="22"/>
        </w:rPr>
        <w:t>“brindan la oportunidad de aprender a trabajar”.</w:t>
      </w:r>
    </w:p>
    <w:p w14:paraId="00000067" w14:textId="260F88F5"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Por otro lado, al igual que en informes anteriores</w:t>
      </w:r>
      <w:r>
        <w:rPr>
          <w:rFonts w:ascii="Calibri" w:eastAsia="Calibri" w:hAnsi="Calibri" w:cs="Calibri"/>
          <w:sz w:val="22"/>
          <w:szCs w:val="22"/>
          <w:vertAlign w:val="superscript"/>
        </w:rPr>
        <w:footnoteReference w:id="34"/>
      </w:r>
      <w:r>
        <w:rPr>
          <w:rFonts w:ascii="Calibri" w:eastAsia="Calibri" w:hAnsi="Calibri" w:cs="Calibri"/>
          <w:sz w:val="22"/>
          <w:szCs w:val="22"/>
        </w:rPr>
        <w:t xml:space="preserve">, se continúa denunciando las condiciones materiales de detención que padecen NNA en el SRPJ y el deterioro progresivo de estos establecimientos.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a través de su Dirección de Infraestructura ha elaborado planes integrales de reparación para algunos dispositivos, pero la realidad es que se trata de establecimientos muy deteriorados con fallas estructurales, donde las reparaciones terminan siendo superficiales y provisorias.</w:t>
      </w:r>
    </w:p>
    <w:p w14:paraId="00000068" w14:textId="3D05D57A"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Otra de las deudas que el sistema tiene con jóvenes refiere al abordaje integral de la salud cuando se encuentran privados de libertad. En reiteradas oportunidades se ha advertido que para garantizar el acceso es necesaria la articulación con el sistema de salud para que puedan acceder a las acciones preventivas y a la atención oportuna y </w:t>
      </w:r>
      <w:proofErr w:type="gramStart"/>
      <w:r>
        <w:rPr>
          <w:rFonts w:ascii="Calibri" w:eastAsia="Calibri" w:hAnsi="Calibri" w:cs="Calibri"/>
          <w:sz w:val="22"/>
          <w:szCs w:val="22"/>
        </w:rPr>
        <w:t>adecuada</w:t>
      </w:r>
      <w:proofErr w:type="gramEnd"/>
      <w:r>
        <w:rPr>
          <w:rFonts w:ascii="Calibri" w:eastAsia="Calibri" w:hAnsi="Calibri" w:cs="Calibri"/>
          <w:sz w:val="22"/>
          <w:szCs w:val="22"/>
        </w:rPr>
        <w:t xml:space="preserve"> así como a los tratamientos que se requieran respecto de la situación que atraviesan, sean médicos, odontológicos, psicológicos, etc. Dicha articulación es deficiente desde la política provincial y el acceso se obstaculiza por diversos factores: al no contar con servicios disponibles cercanos a los establecimientos penales, frente a la ausencia de móviles para el traslado en cada establecimiento y fundamentalmente porque no se define la atención prioritaria en los servicios públicos para NNA bajo custodia del estado. El acceso depende entonces de los recursos personales que dispone el personal de los establecimientos </w:t>
      </w:r>
      <w:proofErr w:type="gramStart"/>
      <w:r>
        <w:rPr>
          <w:rFonts w:ascii="Calibri" w:eastAsia="Calibri" w:hAnsi="Calibri" w:cs="Calibri"/>
          <w:sz w:val="22"/>
          <w:szCs w:val="22"/>
        </w:rPr>
        <w:t>y ,en</w:t>
      </w:r>
      <w:proofErr w:type="gramEnd"/>
      <w:r>
        <w:rPr>
          <w:rFonts w:ascii="Calibri" w:eastAsia="Calibri" w:hAnsi="Calibri" w:cs="Calibri"/>
          <w:sz w:val="22"/>
          <w:szCs w:val="22"/>
        </w:rPr>
        <w:t xml:space="preserve"> otras oportunidades, de gestiones familiares. </w:t>
      </w:r>
    </w:p>
    <w:p w14:paraId="00000069"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Otro de los obstáculos que impiden el acceso a la salud refiere a la persistente </w:t>
      </w:r>
      <w:proofErr w:type="spellStart"/>
      <w:r>
        <w:rPr>
          <w:rFonts w:ascii="Calibri" w:eastAsia="Calibri" w:hAnsi="Calibri" w:cs="Calibri"/>
          <w:sz w:val="22"/>
          <w:szCs w:val="22"/>
        </w:rPr>
        <w:t>invisibilización</w:t>
      </w:r>
      <w:proofErr w:type="spellEnd"/>
      <w:r>
        <w:rPr>
          <w:rFonts w:ascii="Calibri" w:eastAsia="Calibri" w:hAnsi="Calibri" w:cs="Calibri"/>
          <w:sz w:val="22"/>
          <w:szCs w:val="22"/>
        </w:rPr>
        <w:t xml:space="preserve"> de los impactos subjetivos que produce la institucionalización y las condiciones inhumanas y gravosas que padecen en los centros penales. Observamos en todos los dispositivos de encierro monitoreados falencias significativas en el abordaje integral de la salud mental</w:t>
      </w:r>
      <w:r>
        <w:rPr>
          <w:rFonts w:ascii="Calibri" w:eastAsia="Calibri" w:hAnsi="Calibri" w:cs="Calibri"/>
          <w:sz w:val="22"/>
          <w:szCs w:val="22"/>
          <w:vertAlign w:val="superscript"/>
        </w:rPr>
        <w:footnoteReference w:id="35"/>
      </w:r>
      <w:r>
        <w:rPr>
          <w:rFonts w:ascii="Calibri" w:eastAsia="Calibri" w:hAnsi="Calibri" w:cs="Calibri"/>
          <w:sz w:val="22"/>
          <w:szCs w:val="22"/>
        </w:rPr>
        <w:t xml:space="preserve">,  falta de profesionales, fundamentalmente del campo de la psiquiatría cuando se prioriza el uso de medicación psicofarmacológica como un único recurso y ante cualquier tipo de situación (frente a cuadros de </w:t>
      </w:r>
      <w:r>
        <w:rPr>
          <w:rFonts w:ascii="Calibri" w:eastAsia="Calibri" w:hAnsi="Calibri" w:cs="Calibri"/>
          <w:sz w:val="22"/>
          <w:szCs w:val="22"/>
        </w:rPr>
        <w:lastRenderedPageBreak/>
        <w:t>angustia, dificultades para dormir, consumo problemático de sustancias, intentos autolesivos o autolíticos, y/o diversas manifestaciones del sufrimiento psíquico).</w:t>
      </w:r>
    </w:p>
    <w:p w14:paraId="0000006A"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sz w:val="22"/>
          <w:szCs w:val="22"/>
        </w:rPr>
        <w:t xml:space="preserve">La falta de psiquiatras </w:t>
      </w:r>
      <w:proofErr w:type="spellStart"/>
      <w:r>
        <w:rPr>
          <w:rFonts w:ascii="Calibri" w:eastAsia="Calibri" w:hAnsi="Calibri" w:cs="Calibri"/>
          <w:sz w:val="22"/>
          <w:szCs w:val="22"/>
        </w:rPr>
        <w:t>infanto</w:t>
      </w:r>
      <w:proofErr w:type="spellEnd"/>
      <w:r>
        <w:rPr>
          <w:rFonts w:ascii="Calibri" w:eastAsia="Calibri" w:hAnsi="Calibri" w:cs="Calibri"/>
          <w:sz w:val="22"/>
          <w:szCs w:val="22"/>
        </w:rPr>
        <w:t xml:space="preserve"> juveniles implica escasa regularidad en los controles, y como consecuencia se dilata la evaluación y revisión del esquema farmacológico. El consentimiento de jóvenes se realiza de manera burocrática, sin explicación </w:t>
      </w:r>
      <w:proofErr w:type="gramStart"/>
      <w:r>
        <w:rPr>
          <w:rFonts w:ascii="Calibri" w:eastAsia="Calibri" w:hAnsi="Calibri" w:cs="Calibri"/>
          <w:sz w:val="22"/>
          <w:szCs w:val="22"/>
        </w:rPr>
        <w:t>adecuada  respecto</w:t>
      </w:r>
      <w:proofErr w:type="gramEnd"/>
      <w:r>
        <w:rPr>
          <w:rFonts w:ascii="Calibri" w:eastAsia="Calibri" w:hAnsi="Calibri" w:cs="Calibri"/>
          <w:sz w:val="22"/>
          <w:szCs w:val="22"/>
        </w:rPr>
        <w:t xml:space="preserve"> del tipo de medicación indicada y de los efectos esperados y/o adversos que puede acarrearles. Así como también la no detección de situaciones de riesgo que obliga la activación</w:t>
      </w:r>
      <w:r>
        <w:rPr>
          <w:rFonts w:ascii="Calibri" w:eastAsia="Calibri" w:hAnsi="Calibri" w:cs="Calibri"/>
          <w:sz w:val="22"/>
          <w:szCs w:val="22"/>
          <w:vertAlign w:val="superscript"/>
        </w:rPr>
        <w:footnoteReference w:id="36"/>
      </w:r>
      <w:r>
        <w:rPr>
          <w:rFonts w:ascii="Calibri" w:eastAsia="Calibri" w:hAnsi="Calibri" w:cs="Calibri"/>
          <w:sz w:val="22"/>
          <w:szCs w:val="22"/>
        </w:rPr>
        <w:t xml:space="preserve"> del protocolo de prevención de suicidios, a pesar de que el </w:t>
      </w:r>
      <w:proofErr w:type="spellStart"/>
      <w:r>
        <w:rPr>
          <w:rFonts w:ascii="Calibri" w:eastAsia="Calibri" w:hAnsi="Calibri" w:cs="Calibri"/>
          <w:sz w:val="22"/>
          <w:szCs w:val="22"/>
        </w:rPr>
        <w:t>OPNyA</w:t>
      </w:r>
      <w:proofErr w:type="spellEnd"/>
      <w:r>
        <w:rPr>
          <w:rFonts w:ascii="Calibri" w:eastAsia="Calibri" w:hAnsi="Calibri" w:cs="Calibri"/>
          <w:sz w:val="22"/>
          <w:szCs w:val="22"/>
        </w:rPr>
        <w:t xml:space="preserve"> cuente con un protocolo específico para abordar dichas situaciones y con equipos técnicos para detectar indicadores de riesgo.</w:t>
      </w:r>
    </w:p>
    <w:p w14:paraId="0000006B" w14:textId="77777777" w:rsidR="004C1C5F" w:rsidRDefault="00000000" w:rsidP="00ED042F">
      <w:pPr>
        <w:spacing w:line="240" w:lineRule="auto"/>
        <w:jc w:val="both"/>
        <w:rPr>
          <w:rFonts w:ascii="Calibri" w:eastAsia="Calibri" w:hAnsi="Calibri" w:cs="Calibri"/>
          <w:i/>
          <w:sz w:val="22"/>
          <w:szCs w:val="22"/>
        </w:rPr>
      </w:pPr>
      <w:r>
        <w:rPr>
          <w:rFonts w:ascii="Calibri" w:eastAsia="Calibri" w:hAnsi="Calibri" w:cs="Calibri"/>
          <w:i/>
          <w:sz w:val="22"/>
          <w:szCs w:val="22"/>
        </w:rPr>
        <w:t>Acceso a la Justicia</w:t>
      </w:r>
    </w:p>
    <w:p w14:paraId="0000006C" w14:textId="77777777" w:rsidR="004C1C5F" w:rsidRDefault="00000000" w:rsidP="00ED042F">
      <w:pPr>
        <w:spacing w:line="240" w:lineRule="auto"/>
        <w:jc w:val="both"/>
        <w:rPr>
          <w:rFonts w:ascii="Calibri" w:eastAsia="Calibri" w:hAnsi="Calibri" w:cs="Calibri"/>
          <w:color w:val="222222"/>
          <w:sz w:val="22"/>
          <w:szCs w:val="22"/>
        </w:rPr>
      </w:pPr>
      <w:r>
        <w:rPr>
          <w:rFonts w:ascii="Calibri" w:eastAsia="Calibri" w:hAnsi="Calibri" w:cs="Calibri"/>
          <w:color w:val="222222"/>
          <w:sz w:val="22"/>
          <w:szCs w:val="22"/>
        </w:rPr>
        <w:t>De las 532 entrevistas</w:t>
      </w:r>
      <w:r>
        <w:rPr>
          <w:rFonts w:ascii="Calibri" w:eastAsia="Calibri" w:hAnsi="Calibri" w:cs="Calibri"/>
          <w:color w:val="222222"/>
          <w:sz w:val="22"/>
          <w:szCs w:val="22"/>
          <w:vertAlign w:val="superscript"/>
        </w:rPr>
        <w:footnoteReference w:id="37"/>
      </w:r>
      <w:r>
        <w:rPr>
          <w:rFonts w:ascii="Calibri" w:eastAsia="Calibri" w:hAnsi="Calibri" w:cs="Calibri"/>
          <w:color w:val="222222"/>
          <w:sz w:val="22"/>
          <w:szCs w:val="22"/>
        </w:rPr>
        <w:t xml:space="preserve"> realizadas el 12% (143) de los hechos denunciados fueron falta o deficiente acceso a la justicia, solo superado por la falta o deficiente acceso a la salud que representa el 13% (151). </w:t>
      </w:r>
    </w:p>
    <w:p w14:paraId="0000006D" w14:textId="77777777" w:rsidR="004C1C5F" w:rsidRDefault="00000000" w:rsidP="00ED042F">
      <w:pPr>
        <w:spacing w:line="240" w:lineRule="auto"/>
        <w:jc w:val="both"/>
        <w:rPr>
          <w:rFonts w:ascii="Calibri" w:eastAsia="Calibri" w:hAnsi="Calibri" w:cs="Calibri"/>
          <w:color w:val="222222"/>
          <w:sz w:val="22"/>
          <w:szCs w:val="22"/>
        </w:rPr>
      </w:pPr>
      <w:r>
        <w:rPr>
          <w:rFonts w:ascii="Calibri" w:eastAsia="Calibri" w:hAnsi="Calibri" w:cs="Calibri"/>
          <w:color w:val="222222"/>
          <w:sz w:val="22"/>
          <w:szCs w:val="22"/>
        </w:rPr>
        <w:t xml:space="preserve">La falta de acceso a la justicia incluye la falta de contacto con defensor, asesor y/o abogado del niño/a y/u otros actores judiciales pertinentes, la falta de conocimiento sobre la propia situación procesal, entre otros aspectos. En este ítem no solo se engloba la imposibilidad de acceder concretamente a mecanismos judiciales de exigibilidad sino también aquellos casos en los que el acceso es meramente testimonial, sin que los/as NNA puedan intervenir activamente en los procesos.  </w:t>
      </w:r>
    </w:p>
    <w:p w14:paraId="0000006E" w14:textId="77777777" w:rsidR="004C1C5F" w:rsidRDefault="00000000" w:rsidP="00ED042F">
      <w:pPr>
        <w:spacing w:line="240" w:lineRule="auto"/>
        <w:jc w:val="both"/>
        <w:rPr>
          <w:rFonts w:ascii="Calibri" w:eastAsia="Calibri" w:hAnsi="Calibri" w:cs="Calibri"/>
          <w:color w:val="222222"/>
          <w:sz w:val="22"/>
          <w:szCs w:val="22"/>
        </w:rPr>
      </w:pPr>
      <w:r>
        <w:rPr>
          <w:rFonts w:ascii="Calibri" w:eastAsia="Calibri" w:hAnsi="Calibri" w:cs="Calibri"/>
          <w:color w:val="222222"/>
          <w:sz w:val="22"/>
          <w:szCs w:val="22"/>
        </w:rPr>
        <w:t xml:space="preserve">Uno de los aspectos más complejos son las demoras del Poder Judicial en los casos de NNA en conflicto con la ley penal. Principalmente se destacan dos circunstancias en las que estas demoras implican la violación directa de otros derechos y un impacto subjetivo gravísimo en NNA. Por un lado, la postergación de las llamadas audiencias del artículo 12 de la CDN, donde se recepta el derecho a ser oído en cualquier proceso que lo involucre. En muchas ocasiones, los NNA manifiestan que no conocen o que no han tenido entrevistas con su juzgado, que tienen algún tipo de problema que necesitan manifestarlo de manera personal o que desconocen su situación procesal y tienen dudas y necesitan poder agotarlas hablando con su juzgado. </w:t>
      </w:r>
    </w:p>
    <w:p w14:paraId="00000070" w14:textId="77777777" w:rsidR="004C1C5F" w:rsidRDefault="00000000" w:rsidP="00ED042F">
      <w:pPr>
        <w:spacing w:line="240" w:lineRule="auto"/>
        <w:jc w:val="both"/>
        <w:rPr>
          <w:rFonts w:ascii="Calibri" w:eastAsia="Calibri" w:hAnsi="Calibri" w:cs="Calibri"/>
          <w:color w:val="222222"/>
          <w:sz w:val="22"/>
          <w:szCs w:val="22"/>
        </w:rPr>
      </w:pPr>
      <w:r>
        <w:rPr>
          <w:rFonts w:ascii="Calibri" w:eastAsia="Calibri" w:hAnsi="Calibri" w:cs="Calibri"/>
          <w:color w:val="222222"/>
          <w:sz w:val="22"/>
          <w:szCs w:val="22"/>
        </w:rPr>
        <w:t xml:space="preserve">Por otra parte, resulta necesario destacar las dilaciones en el establecimiento de la pena. Detectamos incumplimientos del plazo razonable en las llamadas “audiencias del artículo 4” o juicios de cesura en el marco del proceso penal juvenil. Estas hacen referencia a lo establecido en el artículo 4 del Decreto ley 22.278, resabio de la última dictadura cívico militar, donde se indica que a los jóvenes condenados por un delito penal se les establecerá su pena luego de haber transitado un año tutelar y haber cumplido los 18 </w:t>
      </w:r>
      <w:proofErr w:type="gramStart"/>
      <w:r>
        <w:rPr>
          <w:rFonts w:ascii="Calibri" w:eastAsia="Calibri" w:hAnsi="Calibri" w:cs="Calibri"/>
          <w:color w:val="222222"/>
          <w:sz w:val="22"/>
          <w:szCs w:val="22"/>
        </w:rPr>
        <w:t>años de edad</w:t>
      </w:r>
      <w:proofErr w:type="gramEnd"/>
      <w:r>
        <w:rPr>
          <w:rFonts w:ascii="Calibri" w:eastAsia="Calibri" w:hAnsi="Calibri" w:cs="Calibri"/>
          <w:color w:val="222222"/>
          <w:sz w:val="22"/>
          <w:szCs w:val="22"/>
        </w:rPr>
        <w:t xml:space="preserve">. Procesalmente se les dicta un auto de responsabilidad penal juvenil donde se los encuentra responsables, pero no se les establecerá cuál es el monto de la pena hasta que no cumplan ambas condiciones de dicho artículo.  A su vez, ese cómputo de pena que a una persona adulta obtiene al momento de ser condenada, indicando cuál será su condena, en qué momento vencerá y cuáles serán los plazos estimados a partir de los cuales podrá solicitar algún derecho liberatorio, a los/as jóvenes no se les da hasta no haber cumplido con este año tutelar y los 18 años. Esto genera incertidumbre para los/as jóvenes que no tienen certezas sobre cuál es efectivamente el tiempo que se encontrarán privados/as de libertad. Muchas veces </w:t>
      </w:r>
      <w:r>
        <w:rPr>
          <w:rFonts w:ascii="Calibri" w:eastAsia="Calibri" w:hAnsi="Calibri" w:cs="Calibri"/>
          <w:color w:val="222222"/>
          <w:sz w:val="22"/>
          <w:szCs w:val="22"/>
        </w:rPr>
        <w:lastRenderedPageBreak/>
        <w:t xml:space="preserve">nos encontramos con que todos los efectores judiciales se niegan a revisar este tipo de medidas hasta que el cómputo no esté establecido, por lo </w:t>
      </w:r>
      <w:proofErr w:type="gramStart"/>
      <w:r>
        <w:rPr>
          <w:rFonts w:ascii="Calibri" w:eastAsia="Calibri" w:hAnsi="Calibri" w:cs="Calibri"/>
          <w:color w:val="222222"/>
          <w:sz w:val="22"/>
          <w:szCs w:val="22"/>
        </w:rPr>
        <w:t>que</w:t>
      </w:r>
      <w:proofErr w:type="gramEnd"/>
      <w:r>
        <w:rPr>
          <w:rFonts w:ascii="Calibri" w:eastAsia="Calibri" w:hAnsi="Calibri" w:cs="Calibri"/>
          <w:color w:val="222222"/>
          <w:sz w:val="22"/>
          <w:szCs w:val="22"/>
        </w:rPr>
        <w:t xml:space="preserve"> si se demora la audiencia de cesura, se demoran todos los demás pedidos que se pueden iniciar en consecuencia</w:t>
      </w:r>
    </w:p>
    <w:p w14:paraId="00000071" w14:textId="77777777" w:rsidR="004C1C5F" w:rsidRDefault="00000000" w:rsidP="00ED042F">
      <w:pPr>
        <w:spacing w:line="240" w:lineRule="auto"/>
        <w:jc w:val="both"/>
        <w:rPr>
          <w:rFonts w:ascii="Calibri" w:eastAsia="Calibri" w:hAnsi="Calibri" w:cs="Calibri"/>
          <w:color w:val="222222"/>
          <w:sz w:val="22"/>
          <w:szCs w:val="22"/>
        </w:rPr>
      </w:pPr>
      <w:r>
        <w:rPr>
          <w:rFonts w:ascii="Calibri" w:eastAsia="Calibri" w:hAnsi="Calibri" w:cs="Calibri"/>
          <w:sz w:val="22"/>
          <w:szCs w:val="22"/>
        </w:rPr>
        <w:t xml:space="preserve">Por otra parte, en los procedimientos relacionados al sistema de promoción y protección se ha tomado conocimiento de instancias de revictimización a los/as NNA cuyos derechos han sido vulnerados. Un hecho habitual es la realización de entrevistas en cámara </w:t>
      </w:r>
      <w:proofErr w:type="spellStart"/>
      <w:r>
        <w:rPr>
          <w:rFonts w:ascii="Calibri" w:eastAsia="Calibri" w:hAnsi="Calibri" w:cs="Calibri"/>
          <w:sz w:val="22"/>
          <w:szCs w:val="22"/>
        </w:rPr>
        <w:t>gesell</w:t>
      </w:r>
      <w:proofErr w:type="spellEnd"/>
      <w:r>
        <w:rPr>
          <w:rFonts w:ascii="Calibri" w:eastAsia="Calibri" w:hAnsi="Calibri" w:cs="Calibri"/>
          <w:sz w:val="22"/>
          <w:szCs w:val="22"/>
        </w:rPr>
        <w:t xml:space="preserve"> que luego se deben reiterar, haciendo que los/as NNA pasen más de una vez por relatar la misma historia. También se observa que el testimonio de </w:t>
      </w:r>
      <w:proofErr w:type="gramStart"/>
      <w:r>
        <w:rPr>
          <w:rFonts w:ascii="Calibri" w:eastAsia="Calibri" w:hAnsi="Calibri" w:cs="Calibri"/>
          <w:sz w:val="22"/>
          <w:szCs w:val="22"/>
        </w:rPr>
        <w:t>los mismos</w:t>
      </w:r>
      <w:proofErr w:type="gramEnd"/>
      <w:r>
        <w:rPr>
          <w:rFonts w:ascii="Calibri" w:eastAsia="Calibri" w:hAnsi="Calibri" w:cs="Calibri"/>
          <w:sz w:val="22"/>
          <w:szCs w:val="22"/>
        </w:rPr>
        <w:t xml:space="preserve"> no es valorado, por más que denuncien con claridad hechos de tortura o malos tratos si no es realizado en cámara </w:t>
      </w:r>
      <w:proofErr w:type="spellStart"/>
      <w:r>
        <w:rPr>
          <w:rFonts w:ascii="Calibri" w:eastAsia="Calibri" w:hAnsi="Calibri" w:cs="Calibri"/>
          <w:sz w:val="22"/>
          <w:szCs w:val="22"/>
        </w:rPr>
        <w:t>gesell</w:t>
      </w:r>
      <w:proofErr w:type="spellEnd"/>
      <w:r>
        <w:rPr>
          <w:rFonts w:ascii="Calibri" w:eastAsia="Calibri" w:hAnsi="Calibri" w:cs="Calibri"/>
          <w:sz w:val="22"/>
          <w:szCs w:val="22"/>
        </w:rPr>
        <w:t xml:space="preserve">. Este fue el caso de los hermanos </w:t>
      </w:r>
      <w:proofErr w:type="spellStart"/>
      <w:r>
        <w:rPr>
          <w:rFonts w:ascii="Calibri" w:eastAsia="Calibri" w:hAnsi="Calibri" w:cs="Calibri"/>
          <w:sz w:val="22"/>
          <w:szCs w:val="22"/>
        </w:rPr>
        <w:t>Dominguez</w:t>
      </w:r>
      <w:proofErr w:type="spellEnd"/>
      <w:r>
        <w:rPr>
          <w:rFonts w:ascii="Calibri" w:eastAsia="Calibri" w:hAnsi="Calibri" w:cs="Calibri"/>
          <w:sz w:val="22"/>
          <w:szCs w:val="22"/>
        </w:rPr>
        <w:t xml:space="preserve">, quienes denunciaron maltrato en el Hogar </w:t>
      </w:r>
      <w:proofErr w:type="spellStart"/>
      <w:r>
        <w:rPr>
          <w:rFonts w:ascii="Calibri" w:eastAsia="Calibri" w:hAnsi="Calibri" w:cs="Calibri"/>
          <w:sz w:val="22"/>
          <w:szCs w:val="22"/>
        </w:rPr>
        <w:t>Nomadelfia</w:t>
      </w:r>
      <w:proofErr w:type="spellEnd"/>
      <w:r>
        <w:rPr>
          <w:rFonts w:ascii="Calibri" w:eastAsia="Calibri" w:hAnsi="Calibri" w:cs="Calibri"/>
          <w:sz w:val="22"/>
          <w:szCs w:val="22"/>
        </w:rPr>
        <w:t xml:space="preserve">. Este error en el abordaje durante las pericias silenciaba los relatos de los/as niños/as, imposibilitando el avance de la denuncia penal. </w:t>
      </w:r>
    </w:p>
    <w:p w14:paraId="00000072" w14:textId="77777777" w:rsidR="004C1C5F" w:rsidRDefault="00000000" w:rsidP="00ED042F">
      <w:pPr>
        <w:spacing w:line="240" w:lineRule="auto"/>
        <w:jc w:val="both"/>
        <w:rPr>
          <w:rFonts w:ascii="Calibri" w:eastAsia="Calibri" w:hAnsi="Calibri" w:cs="Calibri"/>
          <w:sz w:val="22"/>
          <w:szCs w:val="22"/>
        </w:rPr>
      </w:pPr>
      <w:r>
        <w:rPr>
          <w:rFonts w:ascii="Calibri" w:eastAsia="Calibri" w:hAnsi="Calibri" w:cs="Calibri"/>
          <w:color w:val="222222"/>
          <w:sz w:val="22"/>
          <w:szCs w:val="22"/>
        </w:rPr>
        <w:t xml:space="preserve">En cuanto al SPPD es fundamental mencionar </w:t>
      </w:r>
      <w:proofErr w:type="gramStart"/>
      <w:r>
        <w:rPr>
          <w:rFonts w:ascii="Calibri" w:eastAsia="Calibri" w:hAnsi="Calibri" w:cs="Calibri"/>
          <w:color w:val="222222"/>
          <w:sz w:val="22"/>
          <w:szCs w:val="22"/>
        </w:rPr>
        <w:t>que</w:t>
      </w:r>
      <w:proofErr w:type="gramEnd"/>
      <w:r>
        <w:rPr>
          <w:rFonts w:ascii="Calibri" w:eastAsia="Calibri" w:hAnsi="Calibri" w:cs="Calibri"/>
          <w:color w:val="222222"/>
          <w:sz w:val="22"/>
          <w:szCs w:val="22"/>
        </w:rPr>
        <w:t xml:space="preserve"> </w:t>
      </w:r>
      <w:r>
        <w:rPr>
          <w:rFonts w:ascii="Calibri" w:eastAsia="Calibri" w:hAnsi="Calibri" w:cs="Calibri"/>
          <w:sz w:val="22"/>
          <w:szCs w:val="22"/>
        </w:rPr>
        <w:t xml:space="preserve">durante las medidas de abrigo, aun cuando los juzgados de familia deberían realizar un control de legalidad, se han advertido situaciones donde no interfieren significativamente porque entienden que la dirección del proceso corresponde al poder administrativo. Es así como el ejercicio del control de legalidad queda relegado. Un ejemplo es la situación de Patricia, quien estaba internada en el H.I.A.E.P “Sor María Ludovica” de la ciudad de La Plata. Se encontraba bajo una medida de abrigo dispuesta por el Servicio Local de Gral. Rodríguez y cuyo control ejercía el Juzgado de Familia </w:t>
      </w:r>
      <w:proofErr w:type="spellStart"/>
      <w:r>
        <w:rPr>
          <w:rFonts w:ascii="Calibri" w:eastAsia="Calibri" w:hAnsi="Calibri" w:cs="Calibri"/>
          <w:sz w:val="22"/>
          <w:szCs w:val="22"/>
        </w:rPr>
        <w:t>N°</w:t>
      </w:r>
      <w:proofErr w:type="spellEnd"/>
      <w:r>
        <w:rPr>
          <w:rFonts w:ascii="Calibri" w:eastAsia="Calibri" w:hAnsi="Calibri" w:cs="Calibri"/>
          <w:sz w:val="22"/>
          <w:szCs w:val="22"/>
        </w:rPr>
        <w:t xml:space="preserve"> 3 departamental. La niña estaba en condiciones de alta psicopatológica hacía 3 meses y sin embargo la inacción de los actores pertinentes llevaba a que la joven no tenga lugar donde egresar y permaneciera alojada sin sentido en el hospital, afectando su salud integral y su acceso a derechos. Un control judicial de las actuaciones administrativas es fundamental para que esto no suceda</w:t>
      </w:r>
    </w:p>
    <w:p w14:paraId="00000073"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Recomendaciones:</w:t>
      </w:r>
    </w:p>
    <w:p w14:paraId="00000074" w14:textId="77777777" w:rsidR="004C1C5F" w:rsidRDefault="00000000" w:rsidP="00ED042F">
      <w:pPr>
        <w:spacing w:line="240" w:lineRule="auto"/>
        <w:jc w:val="both"/>
        <w:rPr>
          <w:rFonts w:ascii="Calibri" w:eastAsia="Calibri" w:hAnsi="Calibri" w:cs="Calibri"/>
          <w:b/>
          <w:sz w:val="22"/>
          <w:szCs w:val="22"/>
        </w:rPr>
      </w:pPr>
      <w:r>
        <w:rPr>
          <w:rFonts w:ascii="Calibri" w:eastAsia="Calibri" w:hAnsi="Calibri" w:cs="Calibri"/>
          <w:b/>
          <w:sz w:val="22"/>
          <w:szCs w:val="22"/>
        </w:rPr>
        <w:t>Se inste al Estado a</w:t>
      </w:r>
    </w:p>
    <w:p w14:paraId="00000075" w14:textId="77777777" w:rsidR="004C1C5F" w:rsidRDefault="00000000" w:rsidP="00ED042F">
      <w:pPr>
        <w:numPr>
          <w:ilvl w:val="0"/>
          <w:numId w:val="2"/>
        </w:numPr>
        <w:spacing w:after="0" w:line="240" w:lineRule="auto"/>
        <w:jc w:val="both"/>
        <w:rPr>
          <w:rFonts w:ascii="Calibri" w:eastAsia="Calibri" w:hAnsi="Calibri" w:cs="Calibri"/>
          <w:b/>
          <w:sz w:val="22"/>
          <w:szCs w:val="22"/>
        </w:rPr>
      </w:pPr>
      <w:r>
        <w:rPr>
          <w:rFonts w:ascii="Calibri" w:eastAsia="Calibri" w:hAnsi="Calibri" w:cs="Calibri"/>
          <w:b/>
          <w:sz w:val="22"/>
          <w:szCs w:val="22"/>
        </w:rPr>
        <w:t>Cesar la práctica que con rasgos de sistematicidad involucra en torturas y malos tratos a NNA como dispositivo de control social.</w:t>
      </w:r>
    </w:p>
    <w:p w14:paraId="00000076" w14:textId="77777777" w:rsidR="004C1C5F" w:rsidRDefault="00000000" w:rsidP="00ED042F">
      <w:pPr>
        <w:numPr>
          <w:ilvl w:val="0"/>
          <w:numId w:val="2"/>
        </w:numPr>
        <w:spacing w:after="0" w:line="240" w:lineRule="auto"/>
        <w:jc w:val="both"/>
        <w:rPr>
          <w:rFonts w:ascii="Calibri" w:eastAsia="Calibri" w:hAnsi="Calibri" w:cs="Calibri"/>
          <w:b/>
          <w:sz w:val="22"/>
          <w:szCs w:val="22"/>
        </w:rPr>
      </w:pPr>
      <w:r>
        <w:rPr>
          <w:rFonts w:ascii="Calibri" w:eastAsia="Calibri" w:hAnsi="Calibri" w:cs="Calibri"/>
          <w:b/>
          <w:sz w:val="22"/>
          <w:szCs w:val="22"/>
        </w:rPr>
        <w:t>Cesar de manera efectiva el alojamiento de NNA en dependencias policiales.</w:t>
      </w:r>
    </w:p>
    <w:p w14:paraId="00000077" w14:textId="77777777" w:rsidR="004C1C5F" w:rsidRDefault="00000000" w:rsidP="00ED042F">
      <w:pPr>
        <w:numPr>
          <w:ilvl w:val="0"/>
          <w:numId w:val="2"/>
        </w:numPr>
        <w:spacing w:after="0" w:line="240" w:lineRule="auto"/>
        <w:jc w:val="both"/>
        <w:rPr>
          <w:rFonts w:ascii="Calibri" w:eastAsia="Calibri" w:hAnsi="Calibri" w:cs="Calibri"/>
          <w:b/>
          <w:sz w:val="22"/>
          <w:szCs w:val="22"/>
        </w:rPr>
      </w:pPr>
      <w:r>
        <w:rPr>
          <w:rFonts w:ascii="Calibri" w:eastAsia="Calibri" w:hAnsi="Calibri" w:cs="Calibri"/>
          <w:b/>
          <w:sz w:val="22"/>
          <w:szCs w:val="22"/>
        </w:rPr>
        <w:t xml:space="preserve">Retomar la política de creación de Centros de Atención y Derivación bajo la premisa de la Promoción y Protección de Derechos y como mecanismo para evitar la permanencia de </w:t>
      </w:r>
      <w:proofErr w:type="spellStart"/>
      <w:r>
        <w:rPr>
          <w:rFonts w:ascii="Calibri" w:eastAsia="Calibri" w:hAnsi="Calibri" w:cs="Calibri"/>
          <w:b/>
          <w:sz w:val="22"/>
          <w:szCs w:val="22"/>
        </w:rPr>
        <w:t>NNyJ</w:t>
      </w:r>
      <w:proofErr w:type="spellEnd"/>
      <w:r>
        <w:rPr>
          <w:rFonts w:ascii="Calibri" w:eastAsia="Calibri" w:hAnsi="Calibri" w:cs="Calibri"/>
          <w:b/>
          <w:sz w:val="22"/>
          <w:szCs w:val="22"/>
        </w:rPr>
        <w:t xml:space="preserve"> bajo la órbita policial.</w:t>
      </w:r>
    </w:p>
    <w:p w14:paraId="00000078" w14:textId="77777777" w:rsidR="004C1C5F" w:rsidRDefault="00000000" w:rsidP="00ED042F">
      <w:pPr>
        <w:numPr>
          <w:ilvl w:val="0"/>
          <w:numId w:val="2"/>
        </w:numPr>
        <w:spacing w:after="0" w:line="240" w:lineRule="auto"/>
        <w:jc w:val="both"/>
        <w:rPr>
          <w:rFonts w:ascii="Calibri" w:eastAsia="Calibri" w:hAnsi="Calibri" w:cs="Calibri"/>
          <w:b/>
          <w:sz w:val="22"/>
          <w:szCs w:val="22"/>
        </w:rPr>
      </w:pPr>
      <w:r>
        <w:rPr>
          <w:rFonts w:ascii="Calibri" w:eastAsia="Calibri" w:hAnsi="Calibri" w:cs="Calibri"/>
          <w:b/>
          <w:sz w:val="22"/>
          <w:szCs w:val="22"/>
        </w:rPr>
        <w:t>Se inste a la registración adecuada de las aprehensiones de NNA garantizando su informatización y acceso directo por parte de los actores judiciales incluyendo la defensa pública.</w:t>
      </w:r>
    </w:p>
    <w:p w14:paraId="00000079" w14:textId="77777777" w:rsidR="004C1C5F" w:rsidRDefault="00000000" w:rsidP="00ED042F">
      <w:pPr>
        <w:numPr>
          <w:ilvl w:val="0"/>
          <w:numId w:val="1"/>
        </w:numPr>
        <w:pBdr>
          <w:top w:val="nil"/>
          <w:left w:val="nil"/>
          <w:bottom w:val="nil"/>
          <w:right w:val="nil"/>
          <w:between w:val="nil"/>
        </w:pBdr>
        <w:spacing w:after="0"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Implementar las medidas necesarias para que el SPPD y el sistema de salud aborden de forma integral la atención a NNA.</w:t>
      </w:r>
    </w:p>
    <w:p w14:paraId="0000007A" w14:textId="77777777" w:rsidR="004C1C5F" w:rsidRDefault="00000000" w:rsidP="00ED042F">
      <w:pPr>
        <w:numPr>
          <w:ilvl w:val="0"/>
          <w:numId w:val="1"/>
        </w:numPr>
        <w:pBdr>
          <w:top w:val="nil"/>
          <w:left w:val="nil"/>
          <w:bottom w:val="nil"/>
          <w:right w:val="nil"/>
          <w:between w:val="nil"/>
        </w:pBdr>
        <w:spacing w:after="0"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Adecuar las condiciones de detención a los estándares internacionales en materia de derecho a la salud, alimentación</w:t>
      </w:r>
      <w:r>
        <w:rPr>
          <w:rFonts w:ascii="Calibri" w:eastAsia="Calibri" w:hAnsi="Calibri" w:cs="Calibri"/>
          <w:b/>
          <w:sz w:val="22"/>
          <w:szCs w:val="22"/>
        </w:rPr>
        <w:t>,</w:t>
      </w:r>
      <w:r>
        <w:rPr>
          <w:rFonts w:ascii="Calibri" w:eastAsia="Calibri" w:hAnsi="Calibri" w:cs="Calibri"/>
          <w:b/>
          <w:color w:val="000000"/>
          <w:sz w:val="22"/>
          <w:szCs w:val="22"/>
        </w:rPr>
        <w:t xml:space="preserve"> vida digna, y acceso a la justicia</w:t>
      </w:r>
    </w:p>
    <w:p w14:paraId="0000007B" w14:textId="77777777" w:rsidR="004C1C5F" w:rsidRDefault="00000000" w:rsidP="00ED042F">
      <w:pPr>
        <w:numPr>
          <w:ilvl w:val="0"/>
          <w:numId w:val="1"/>
        </w:numPr>
        <w:pBdr>
          <w:top w:val="nil"/>
          <w:left w:val="nil"/>
          <w:bottom w:val="nil"/>
          <w:right w:val="nil"/>
          <w:between w:val="nil"/>
        </w:pBdr>
        <w:spacing w:line="240" w:lineRule="auto"/>
        <w:jc w:val="both"/>
        <w:rPr>
          <w:rFonts w:ascii="Calibri" w:eastAsia="Calibri" w:hAnsi="Calibri" w:cs="Calibri"/>
          <w:b/>
          <w:color w:val="000000"/>
          <w:sz w:val="22"/>
          <w:szCs w:val="22"/>
        </w:rPr>
      </w:pPr>
      <w:r>
        <w:rPr>
          <w:rFonts w:ascii="Calibri" w:eastAsia="Calibri" w:hAnsi="Calibri" w:cs="Calibri"/>
          <w:b/>
          <w:sz w:val="22"/>
          <w:szCs w:val="22"/>
        </w:rPr>
        <w:t xml:space="preserve">Implementar mecanismos de fiscalización acorde a los </w:t>
      </w:r>
      <w:proofErr w:type="spellStart"/>
      <w:r>
        <w:rPr>
          <w:rFonts w:ascii="Calibri" w:eastAsia="Calibri" w:hAnsi="Calibri" w:cs="Calibri"/>
          <w:b/>
          <w:sz w:val="22"/>
          <w:szCs w:val="22"/>
        </w:rPr>
        <w:t>estandares</w:t>
      </w:r>
      <w:proofErr w:type="spellEnd"/>
      <w:r>
        <w:rPr>
          <w:rFonts w:ascii="Calibri" w:eastAsia="Calibri" w:hAnsi="Calibri" w:cs="Calibri"/>
          <w:b/>
          <w:sz w:val="22"/>
          <w:szCs w:val="22"/>
        </w:rPr>
        <w:t xml:space="preserve"> internacionales que garantice que el accionar </w:t>
      </w:r>
      <w:proofErr w:type="gramStart"/>
      <w:r>
        <w:rPr>
          <w:rFonts w:ascii="Calibri" w:eastAsia="Calibri" w:hAnsi="Calibri" w:cs="Calibri"/>
          <w:b/>
          <w:sz w:val="22"/>
          <w:szCs w:val="22"/>
        </w:rPr>
        <w:t>de  entes</w:t>
      </w:r>
      <w:proofErr w:type="gramEnd"/>
      <w:r>
        <w:rPr>
          <w:rFonts w:ascii="Calibri" w:eastAsia="Calibri" w:hAnsi="Calibri" w:cs="Calibri"/>
          <w:b/>
          <w:sz w:val="22"/>
          <w:szCs w:val="22"/>
        </w:rPr>
        <w:t xml:space="preserve"> privados promuevan el cumplimiento efectivo de los derechos de NNA</w:t>
      </w:r>
    </w:p>
    <w:sectPr w:rsidR="004C1C5F">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01603" w14:textId="77777777" w:rsidR="00AD6439" w:rsidRDefault="00AD6439">
      <w:pPr>
        <w:spacing w:after="0" w:line="240" w:lineRule="auto"/>
      </w:pPr>
      <w:r>
        <w:separator/>
      </w:r>
    </w:p>
  </w:endnote>
  <w:endnote w:type="continuationSeparator" w:id="0">
    <w:p w14:paraId="56C93C32" w14:textId="77777777" w:rsidR="00AD6439" w:rsidRDefault="00AD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052C590B-BF97-4464-86D8-7BFA7C67F908}"/>
    <w:embedBold r:id="rId2" w:fontKey="{6C6A123D-6565-41D1-9AD5-8E266EA72481}"/>
    <w:embedItalic r:id="rId3" w:fontKey="{0C8D00E5-1E3C-44F0-A369-DCE200FF987A}"/>
    <w:embedBoldItalic r:id="rId4" w:fontKey="{FF680D9C-3235-427C-82F4-7E7294360E4C}"/>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C0D82CA7-CC74-4626-A93F-09E3657BC2AF}"/>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6" w:fontKey="{98712625-4D3C-4750-8351-F7E4338FE620}"/>
    <w:embedItalic r:id="rId7" w:fontKey="{F97D0C57-E775-421D-A3EA-76AAFDEA2A1B}"/>
  </w:font>
  <w:font w:name="Aptos Display">
    <w:charset w:val="00"/>
    <w:family w:val="swiss"/>
    <w:pitch w:val="variable"/>
    <w:sig w:usb0="20000287" w:usb1="00000003" w:usb2="00000000" w:usb3="00000000" w:csb0="0000019F" w:csb1="00000000"/>
    <w:embedRegular r:id="rId8" w:fontKey="{67FF0D71-30A1-474E-85C4-A69BA5C7343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1F8AF" w14:textId="77777777" w:rsidR="00AD6439" w:rsidRDefault="00AD6439">
      <w:pPr>
        <w:spacing w:after="0" w:line="240" w:lineRule="auto"/>
      </w:pPr>
      <w:r>
        <w:separator/>
      </w:r>
    </w:p>
  </w:footnote>
  <w:footnote w:type="continuationSeparator" w:id="0">
    <w:p w14:paraId="39FC1B24" w14:textId="77777777" w:rsidR="00AD6439" w:rsidRDefault="00AD6439">
      <w:pPr>
        <w:spacing w:after="0" w:line="240" w:lineRule="auto"/>
      </w:pPr>
      <w:r>
        <w:continuationSeparator/>
      </w:r>
    </w:p>
  </w:footnote>
  <w:footnote w:id="1">
    <w:p w14:paraId="0000007C" w14:textId="77777777" w:rsidR="004C1C5F"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Descriptas en el apartado Acciones de exigibilidad: nuevos procesos colectivos y seguimiento de acciones iniciadas previamente</w:t>
      </w:r>
    </w:p>
  </w:footnote>
  <w:footnote w:id="2">
    <w:p w14:paraId="0000007D"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Parra, 2016; Barcala y </w:t>
      </w:r>
      <w:proofErr w:type="spellStart"/>
      <w:r>
        <w:rPr>
          <w:rFonts w:ascii="Arial" w:eastAsia="Arial" w:hAnsi="Arial" w:cs="Arial"/>
          <w:color w:val="000000"/>
          <w:sz w:val="20"/>
          <w:szCs w:val="20"/>
        </w:rPr>
        <w:t>Luciani</w:t>
      </w:r>
      <w:proofErr w:type="spellEnd"/>
      <w:r>
        <w:rPr>
          <w:rFonts w:ascii="Arial" w:eastAsia="Arial" w:hAnsi="Arial" w:cs="Arial"/>
          <w:color w:val="000000"/>
          <w:sz w:val="20"/>
          <w:szCs w:val="20"/>
        </w:rPr>
        <w:t xml:space="preserve"> Conde, 2015; Barcala et al., 2017ª; Faraone et al., 2013; Heredia y Barcala, 2016; </w:t>
      </w:r>
      <w:proofErr w:type="spellStart"/>
      <w:r>
        <w:rPr>
          <w:rFonts w:ascii="Arial" w:eastAsia="Arial" w:hAnsi="Arial" w:cs="Arial"/>
          <w:color w:val="000000"/>
          <w:sz w:val="20"/>
          <w:szCs w:val="20"/>
        </w:rPr>
        <w:t>Poverene</w:t>
      </w:r>
      <w:proofErr w:type="spellEnd"/>
      <w:r>
        <w:rPr>
          <w:rFonts w:ascii="Arial" w:eastAsia="Arial" w:hAnsi="Arial" w:cs="Arial"/>
          <w:color w:val="000000"/>
          <w:sz w:val="20"/>
          <w:szCs w:val="20"/>
        </w:rPr>
        <w:t>, 2015; Torricelli y López, 2014.</w:t>
      </w:r>
    </w:p>
  </w:footnote>
  <w:footnote w:id="3">
    <w:p w14:paraId="0000007E"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Alejandra Barcala. Salud Mental y niñez: Un contexto de tensiones, contradicciones y paradojas, Revista Topia, abril 2018.</w:t>
      </w:r>
    </w:p>
  </w:footnote>
  <w:footnote w:id="4">
    <w:p w14:paraId="0000007F" w14:textId="77777777" w:rsidR="004C1C5F" w:rsidRDefault="00000000">
      <w:pPr>
        <w:pBdr>
          <w:top w:val="nil"/>
          <w:left w:val="nil"/>
          <w:bottom w:val="nil"/>
          <w:right w:val="nil"/>
          <w:between w:val="nil"/>
        </w:pBdr>
        <w:spacing w:after="0" w:line="240" w:lineRule="auto"/>
        <w:rPr>
          <w:rFonts w:ascii="Arial" w:eastAsia="Arial" w:hAnsi="Arial" w:cs="Arial"/>
          <w:color w:val="000000"/>
          <w:sz w:val="18"/>
          <w:szCs w:val="18"/>
        </w:rPr>
      </w:pPr>
      <w:r>
        <w:rPr>
          <w:vertAlign w:val="superscript"/>
        </w:rPr>
        <w:footnoteRef/>
      </w:r>
      <w:r>
        <w:rPr>
          <w:rFonts w:ascii="Arial" w:eastAsia="Arial" w:hAnsi="Arial" w:cs="Arial"/>
          <w:color w:val="000000"/>
          <w:sz w:val="20"/>
          <w:szCs w:val="20"/>
        </w:rPr>
        <w:t xml:space="preserve">En su complejidad, ya que en la Argentina está compuesto por tres subsectores: el público, el privado y el de obras </w:t>
      </w:r>
      <w:proofErr w:type="spellStart"/>
      <w:proofErr w:type="gramStart"/>
      <w:r>
        <w:rPr>
          <w:rFonts w:ascii="Arial" w:eastAsia="Arial" w:hAnsi="Arial" w:cs="Arial"/>
          <w:color w:val="000000"/>
          <w:sz w:val="20"/>
          <w:szCs w:val="20"/>
        </w:rPr>
        <w:t>sociales</w:t>
      </w:r>
      <w:r>
        <w:rPr>
          <w:rFonts w:ascii="Arial" w:eastAsia="Arial" w:hAnsi="Arial" w:cs="Arial"/>
          <w:color w:val="000000"/>
          <w:sz w:val="22"/>
          <w:szCs w:val="22"/>
        </w:rPr>
        <w:t>.</w:t>
      </w:r>
      <w:r>
        <w:rPr>
          <w:rFonts w:ascii="Arial" w:eastAsia="Arial" w:hAnsi="Arial" w:cs="Arial"/>
          <w:color w:val="000000"/>
          <w:sz w:val="20"/>
          <w:szCs w:val="20"/>
        </w:rPr>
        <w:t>Rovere</w:t>
      </w:r>
      <w:proofErr w:type="spellEnd"/>
      <w:proofErr w:type="gramEnd"/>
      <w:r>
        <w:rPr>
          <w:rFonts w:ascii="Arial" w:eastAsia="Arial" w:hAnsi="Arial" w:cs="Arial"/>
          <w:color w:val="000000"/>
          <w:sz w:val="20"/>
          <w:szCs w:val="20"/>
        </w:rPr>
        <w:t xml:space="preserve">, M. (2016). El Sistema de Salud de la Argentina como campo; Tensiones, estratagemas y opacidades. Debate Público, 6(12). </w:t>
      </w:r>
    </w:p>
  </w:footnote>
  <w:footnote w:id="5">
    <w:p w14:paraId="00000080"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Resolución S/E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1/2019. Órgano de revisión local de salud mental. Defensoría del Pueblo.</w:t>
      </w:r>
    </w:p>
  </w:footnote>
  <w:footnote w:id="6">
    <w:p w14:paraId="00000081"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En los autos caratulados "ASOCIACIÓN CIVIL MIGUEL BRU Y OTROS C/ MINISTERIO DE DESARROLLO SOCIAL PROVINCIA DE BUENOS AIRES Y OTRO/A S/AMPARO", Juzgado Contencioso Administrativo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 de La Plata.</w:t>
      </w:r>
    </w:p>
  </w:footnote>
  <w:footnote w:id="7">
    <w:p w14:paraId="00000082" w14:textId="77777777" w:rsidR="004C1C5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Defensoría de los Derechos de las Niñas, Niños y Adolescentes de la República Argentina. Recomendación N°10 sobre el derecho de las niñas, niños y adolescentes con padecimientos en salud mental al disfrute de una vida plena. Abril 2024.</w:t>
      </w:r>
    </w:p>
  </w:footnote>
  <w:footnote w:id="8">
    <w:p w14:paraId="00000083"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Para mayor profundización ver apartado precedente. </w:t>
      </w:r>
    </w:p>
  </w:footnote>
  <w:footnote w:id="9">
    <w:p w14:paraId="00000084"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Ver Nota</w:t>
      </w:r>
      <w:r>
        <w:rPr>
          <w:rFonts w:ascii="Arial" w:eastAsia="Arial" w:hAnsi="Arial" w:cs="Arial"/>
          <w:color w:val="444746"/>
          <w:sz w:val="20"/>
          <w:szCs w:val="20"/>
        </w:rPr>
        <w:t xml:space="preserve"> </w:t>
      </w:r>
      <w:hyperlink r:id="rId1">
        <w:r>
          <w:rPr>
            <w:rFonts w:ascii="Arial" w:eastAsia="Arial" w:hAnsi="Arial" w:cs="Arial"/>
            <w:color w:val="0B57D0"/>
            <w:sz w:val="20"/>
            <w:szCs w:val="20"/>
            <w:u w:val="single"/>
          </w:rPr>
          <w:t>https://www.andaragencia.org/clausuran-comunidad-terapeutica-ilegal-de-tortuguitas/</w:t>
        </w:r>
      </w:hyperlink>
    </w:p>
  </w:footnote>
  <w:footnote w:id="10">
    <w:p w14:paraId="00000085"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La investigación es llevada adelante por la UFI Descentralizada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 de Ituzaingó, a cargo del Fiscal Marcelo </w:t>
      </w:r>
      <w:proofErr w:type="spellStart"/>
      <w:r>
        <w:rPr>
          <w:rFonts w:ascii="Arial" w:eastAsia="Arial" w:hAnsi="Arial" w:cs="Arial"/>
          <w:color w:val="000000"/>
          <w:sz w:val="20"/>
          <w:szCs w:val="20"/>
        </w:rPr>
        <w:t>Tavolaro</w:t>
      </w:r>
      <w:proofErr w:type="spellEnd"/>
      <w:r>
        <w:rPr>
          <w:rFonts w:ascii="Arial" w:eastAsia="Arial" w:hAnsi="Arial" w:cs="Arial"/>
          <w:color w:val="000000"/>
          <w:sz w:val="20"/>
          <w:szCs w:val="20"/>
        </w:rPr>
        <w:t xml:space="preserve"> IPP 10-01-000821-23/00.</w:t>
      </w:r>
    </w:p>
    <w:p w14:paraId="00000086" w14:textId="77777777" w:rsidR="004C1C5F" w:rsidRDefault="004C1C5F">
      <w:pPr>
        <w:pBdr>
          <w:top w:val="nil"/>
          <w:left w:val="nil"/>
          <w:bottom w:val="nil"/>
          <w:right w:val="nil"/>
          <w:between w:val="nil"/>
        </w:pBdr>
        <w:spacing w:after="0" w:line="240" w:lineRule="auto"/>
        <w:rPr>
          <w:rFonts w:ascii="Arial" w:eastAsia="Arial" w:hAnsi="Arial" w:cs="Arial"/>
          <w:color w:val="000000"/>
          <w:sz w:val="20"/>
          <w:szCs w:val="20"/>
        </w:rPr>
      </w:pPr>
    </w:p>
    <w:p w14:paraId="00000087" w14:textId="77777777" w:rsidR="004C1C5F" w:rsidRDefault="004C1C5F">
      <w:pPr>
        <w:pBdr>
          <w:top w:val="nil"/>
          <w:left w:val="nil"/>
          <w:bottom w:val="nil"/>
          <w:right w:val="nil"/>
          <w:between w:val="nil"/>
        </w:pBdr>
        <w:spacing w:after="0" w:line="240" w:lineRule="auto"/>
        <w:rPr>
          <w:rFonts w:ascii="Arial" w:eastAsia="Arial" w:hAnsi="Arial" w:cs="Arial"/>
          <w:color w:val="000000"/>
          <w:sz w:val="20"/>
          <w:szCs w:val="20"/>
        </w:rPr>
      </w:pPr>
    </w:p>
  </w:footnote>
  <w:footnote w:id="11">
    <w:p w14:paraId="00000088" w14:textId="77777777" w:rsidR="004C1C5F"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La investigación judicial es llevada a cabo por la UFI Descentralizada N°20 del Partido de Malvinas Argentinas bajo la carátula averiguación de causales de muerte, con IPP-10-01-000821-23/00.</w:t>
      </w:r>
    </w:p>
    <w:p w14:paraId="00000089" w14:textId="77777777" w:rsidR="004C1C5F" w:rsidRDefault="004C1C5F">
      <w:pPr>
        <w:pBdr>
          <w:top w:val="nil"/>
          <w:left w:val="nil"/>
          <w:bottom w:val="nil"/>
          <w:right w:val="nil"/>
          <w:between w:val="nil"/>
        </w:pBdr>
        <w:spacing w:after="0" w:line="240" w:lineRule="auto"/>
        <w:rPr>
          <w:rFonts w:ascii="Arial" w:eastAsia="Arial" w:hAnsi="Arial" w:cs="Arial"/>
          <w:color w:val="000000"/>
          <w:sz w:val="20"/>
          <w:szCs w:val="20"/>
        </w:rPr>
      </w:pPr>
    </w:p>
  </w:footnote>
  <w:footnote w:id="12">
    <w:p w14:paraId="0000008A"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Ver Protocolo de prevención del Suicidio Adolescente en los establecimientos dependientes de la Subsecretaría de Responsabilidad Penal Juvenil.</w:t>
      </w:r>
    </w:p>
  </w:footnote>
  <w:footnote w:id="13">
    <w:p w14:paraId="0000008B" w14:textId="77777777" w:rsidR="004C1C5F" w:rsidRDefault="00000000">
      <w:pPr>
        <w:pBdr>
          <w:top w:val="nil"/>
          <w:left w:val="nil"/>
          <w:bottom w:val="nil"/>
          <w:right w:val="nil"/>
          <w:between w:val="nil"/>
        </w:pBdr>
        <w:spacing w:after="0" w:line="240" w:lineRule="auto"/>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Registro Único Provincial de Establecimientos de Salud.</w:t>
      </w:r>
    </w:p>
  </w:footnote>
  <w:footnote w:id="14">
    <w:p w14:paraId="0000008C" w14:textId="77777777" w:rsidR="004C1C5F" w:rsidRDefault="00000000">
      <w:pPr>
        <w:spacing w:after="0" w:line="240" w:lineRule="auto"/>
        <w:rPr>
          <w:sz w:val="20"/>
          <w:szCs w:val="20"/>
        </w:rPr>
      </w:pPr>
      <w:r>
        <w:rPr>
          <w:vertAlign w:val="superscript"/>
        </w:rPr>
        <w:footnoteRef/>
      </w:r>
      <w:r>
        <w:rPr>
          <w:sz w:val="20"/>
          <w:szCs w:val="20"/>
        </w:rPr>
        <w:t xml:space="preserve"> Información disponible en: https://www.scba.gov.ar/estadisticas.asp?opcion=7</w:t>
      </w:r>
    </w:p>
  </w:footnote>
  <w:footnote w:id="15">
    <w:p w14:paraId="0000008D"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El RPN se nutre de la información que brindan los jueces, fiscales y defensores del FRPJ, a través del sistema Informático del Ministerio Público (SIMP), sin perjuicio de las demás formas habilitadas de comunicación (correo electrónico, fax, sitio web RPN, entre otras). Informes disponibles en: https://www.mpba.gov.ar/rpn</w:t>
      </w:r>
    </w:p>
  </w:footnote>
  <w:footnote w:id="16">
    <w:p w14:paraId="0000008E" w14:textId="77777777" w:rsidR="004C1C5F" w:rsidRDefault="00000000">
      <w:pPr>
        <w:spacing w:after="0" w:line="240" w:lineRule="auto"/>
        <w:rPr>
          <w:sz w:val="20"/>
          <w:szCs w:val="20"/>
        </w:rPr>
      </w:pPr>
      <w:r>
        <w:rPr>
          <w:vertAlign w:val="superscript"/>
        </w:rPr>
        <w:footnoteRef/>
      </w:r>
      <w:r>
        <w:rPr>
          <w:rFonts w:ascii="Arial" w:eastAsia="Arial" w:hAnsi="Arial" w:cs="Arial"/>
          <w:sz w:val="16"/>
          <w:szCs w:val="16"/>
        </w:rPr>
        <w:t>Conforme a las leyes 22.278 y 13.634.</w:t>
      </w:r>
    </w:p>
  </w:footnote>
  <w:footnote w:id="17">
    <w:p w14:paraId="0000008F" w14:textId="77777777" w:rsidR="004C1C5F" w:rsidRDefault="00000000">
      <w:pPr>
        <w:spacing w:after="0" w:line="240" w:lineRule="auto"/>
        <w:rPr>
          <w:sz w:val="20"/>
          <w:szCs w:val="20"/>
        </w:rPr>
      </w:pPr>
      <w:r>
        <w:rPr>
          <w:vertAlign w:val="superscript"/>
        </w:rPr>
        <w:footnoteRef/>
      </w:r>
      <w:r>
        <w:rPr>
          <w:rFonts w:ascii="Arial" w:eastAsia="Arial" w:hAnsi="Arial" w:cs="Arial"/>
          <w:sz w:val="16"/>
          <w:szCs w:val="16"/>
        </w:rPr>
        <w:t>Mediante audiencia de declaración a tenor del art 308 primer párrafo del Código Procesal Penal de la provincia de Buenos Aires.</w:t>
      </w:r>
    </w:p>
  </w:footnote>
  <w:footnote w:id="18">
    <w:p w14:paraId="00000090" w14:textId="77777777" w:rsidR="004C1C5F" w:rsidRDefault="00000000">
      <w:pPr>
        <w:spacing w:after="0" w:line="240" w:lineRule="auto"/>
        <w:rPr>
          <w:rFonts w:ascii="Arial" w:eastAsia="Arial" w:hAnsi="Arial" w:cs="Arial"/>
          <w:sz w:val="16"/>
          <w:szCs w:val="16"/>
        </w:rPr>
      </w:pPr>
      <w:r>
        <w:rPr>
          <w:vertAlign w:val="superscript"/>
        </w:rPr>
        <w:footnoteRef/>
      </w:r>
      <w:r>
        <w:rPr>
          <w:rFonts w:ascii="Arial" w:eastAsia="Arial" w:hAnsi="Arial" w:cs="Arial"/>
          <w:sz w:val="16"/>
          <w:szCs w:val="16"/>
        </w:rPr>
        <w:t xml:space="preserve"> Informe Anual CPM, El Sistema de la Crueldad III, 2006-2007:96.</w:t>
      </w:r>
    </w:p>
  </w:footnote>
  <w:footnote w:id="19">
    <w:p w14:paraId="00000091" w14:textId="77777777" w:rsidR="004C1C5F" w:rsidRDefault="00000000">
      <w:pPr>
        <w:spacing w:after="0" w:line="240" w:lineRule="auto"/>
        <w:jc w:val="both"/>
        <w:rPr>
          <w:rFonts w:ascii="Calibri" w:eastAsia="Calibri" w:hAnsi="Calibri" w:cs="Calibri"/>
          <w:sz w:val="20"/>
          <w:szCs w:val="20"/>
        </w:rPr>
      </w:pPr>
      <w:r>
        <w:rPr>
          <w:vertAlign w:val="superscript"/>
        </w:rPr>
        <w:footnoteRef/>
      </w:r>
      <w:r>
        <w:rPr>
          <w:rFonts w:ascii="Arial" w:eastAsia="Arial" w:hAnsi="Arial" w:cs="Arial"/>
          <w:sz w:val="16"/>
          <w:szCs w:val="16"/>
        </w:rPr>
        <w:t>Con anterioridad su nominación era CAD (Centro de Atención y Derivación), la provincia sólo dispone de establecimientos en la localidad de Mar del Plata y San Martín ya que durante el 2022 el CAD San Nicolás cerró. Los CEA son los dispositivos a los que son trasladados los niños, niñas y/o adolescentes que resulten aprehendidos por fuerzas de seguridad en el ámbito de la Provincia de Buenos Aires por la presunta comisión de un delito conforme disposición del Fuero Penal Juvenil y/o la Justicia Criminal y Correccional Federal con competencia jurisdiccional en la Provincia. (Anexo III).</w:t>
      </w:r>
    </w:p>
  </w:footnote>
  <w:footnote w:id="20">
    <w:p w14:paraId="00000092" w14:textId="77777777" w:rsidR="004C1C5F" w:rsidRDefault="00000000">
      <w:pPr>
        <w:spacing w:after="0" w:line="240" w:lineRule="auto"/>
        <w:rPr>
          <w:sz w:val="20"/>
          <w:szCs w:val="20"/>
        </w:rPr>
      </w:pPr>
      <w:r>
        <w:rPr>
          <w:vertAlign w:val="superscript"/>
        </w:rPr>
        <w:footnoteRef/>
      </w:r>
      <w:r>
        <w:rPr>
          <w:sz w:val="20"/>
          <w:szCs w:val="20"/>
        </w:rPr>
        <w:t>Ver en https://www.comisionporlamemoria.org/datosabiertos/ninez/sistema-de-responsabilidad-penal-juvenil/procesos-penales/</w:t>
      </w:r>
    </w:p>
  </w:footnote>
  <w:footnote w:id="21">
    <w:p w14:paraId="00000093" w14:textId="77777777" w:rsidR="004C1C5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 xml:space="preserve">El </w:t>
      </w:r>
      <w:proofErr w:type="spellStart"/>
      <w:r>
        <w:rPr>
          <w:rFonts w:ascii="Arial" w:eastAsia="Arial" w:hAnsi="Arial" w:cs="Arial"/>
          <w:color w:val="000000"/>
          <w:sz w:val="16"/>
          <w:szCs w:val="16"/>
        </w:rPr>
        <w:t>OPNyA</w:t>
      </w:r>
      <w:proofErr w:type="spellEnd"/>
      <w:r>
        <w:rPr>
          <w:rFonts w:ascii="Arial" w:eastAsia="Arial" w:hAnsi="Arial" w:cs="Arial"/>
          <w:color w:val="000000"/>
          <w:sz w:val="16"/>
          <w:szCs w:val="16"/>
        </w:rPr>
        <w:t xml:space="preserve"> registra las intervenciones de los efectores del SRPJ a través del registro integral de niñez y adolescencia (en adelante </w:t>
      </w:r>
      <w:proofErr w:type="spellStart"/>
      <w:r>
        <w:rPr>
          <w:rFonts w:ascii="Arial" w:eastAsia="Arial" w:hAnsi="Arial" w:cs="Arial"/>
          <w:color w:val="000000"/>
          <w:sz w:val="16"/>
          <w:szCs w:val="16"/>
        </w:rPr>
        <w:t>ReINA</w:t>
      </w:r>
      <w:proofErr w:type="spellEnd"/>
      <w:r>
        <w:rPr>
          <w:rFonts w:ascii="Arial" w:eastAsia="Arial" w:hAnsi="Arial" w:cs="Arial"/>
          <w:color w:val="000000"/>
          <w:sz w:val="16"/>
          <w:szCs w:val="16"/>
        </w:rPr>
        <w:t xml:space="preserve">) a partir del cual construye la estadística, registrando las intervenciones interdisciplinarias e interinstitucionales de jóvenes alcanzados por la justicia penal a disposición del </w:t>
      </w:r>
      <w:proofErr w:type="spellStart"/>
      <w:r>
        <w:rPr>
          <w:rFonts w:ascii="Arial" w:eastAsia="Arial" w:hAnsi="Arial" w:cs="Arial"/>
          <w:color w:val="000000"/>
          <w:sz w:val="16"/>
          <w:szCs w:val="16"/>
        </w:rPr>
        <w:t>OPNyA</w:t>
      </w:r>
      <w:proofErr w:type="spellEnd"/>
      <w:r>
        <w:rPr>
          <w:rFonts w:ascii="Arial" w:eastAsia="Arial" w:hAnsi="Arial" w:cs="Arial"/>
          <w:color w:val="000000"/>
          <w:sz w:val="16"/>
          <w:szCs w:val="16"/>
        </w:rPr>
        <w:t xml:space="preserve"> en los establecimientos penales o programas de la Subsecretaría de Responsabilidad Penal Juvenil</w:t>
      </w:r>
    </w:p>
  </w:footnote>
  <w:footnote w:id="22">
    <w:p w14:paraId="00000094"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Por RESO-2023-925-GDEBA-DEOPNYAGP conforme DECRE-2022-53-GDEBA-GPBA, </w:t>
      </w:r>
      <w:proofErr w:type="gramStart"/>
      <w:r>
        <w:rPr>
          <w:rFonts w:ascii="Arial" w:eastAsia="Arial" w:hAnsi="Arial" w:cs="Arial"/>
          <w:sz w:val="16"/>
          <w:szCs w:val="16"/>
        </w:rPr>
        <w:t>que  se</w:t>
      </w:r>
      <w:proofErr w:type="gramEnd"/>
      <w:r>
        <w:rPr>
          <w:rFonts w:ascii="Arial" w:eastAsia="Arial" w:hAnsi="Arial" w:cs="Arial"/>
          <w:sz w:val="16"/>
          <w:szCs w:val="16"/>
        </w:rPr>
        <w:t xml:space="preserve"> agrega como Anexo I (IF-2021-29936113GDEBADDDPPMDCGP) al plexo normativo vigente, adaptando los establecimientos, programas y prácticas para el cumplimiento de los objetivos relativos al Sistema de Responsabilidad Penal Juvenil, aprobado por Decreto </w:t>
      </w:r>
      <w:proofErr w:type="spellStart"/>
      <w:r>
        <w:rPr>
          <w:rFonts w:ascii="Arial" w:eastAsia="Arial" w:hAnsi="Arial" w:cs="Arial"/>
          <w:sz w:val="16"/>
          <w:szCs w:val="16"/>
        </w:rPr>
        <w:t>N°</w:t>
      </w:r>
      <w:proofErr w:type="spellEnd"/>
      <w:r>
        <w:rPr>
          <w:rFonts w:ascii="Arial" w:eastAsia="Arial" w:hAnsi="Arial" w:cs="Arial"/>
          <w:sz w:val="16"/>
          <w:szCs w:val="16"/>
        </w:rPr>
        <w:t xml:space="preserve"> 151/2007, y se sustituyó la citada Resolución </w:t>
      </w:r>
      <w:proofErr w:type="spellStart"/>
      <w:r>
        <w:rPr>
          <w:rFonts w:ascii="Arial" w:eastAsia="Arial" w:hAnsi="Arial" w:cs="Arial"/>
          <w:sz w:val="16"/>
          <w:szCs w:val="16"/>
        </w:rPr>
        <w:t>N°</w:t>
      </w:r>
      <w:proofErr w:type="spellEnd"/>
      <w:r>
        <w:rPr>
          <w:rFonts w:ascii="Arial" w:eastAsia="Arial" w:hAnsi="Arial" w:cs="Arial"/>
          <w:sz w:val="16"/>
          <w:szCs w:val="16"/>
        </w:rPr>
        <w:t xml:space="preserve"> 172/2007 del (ex) Ministerio de Desarrollo Humano, por la presente y sus Anexos. </w:t>
      </w:r>
    </w:p>
  </w:footnote>
  <w:footnote w:id="23">
    <w:p w14:paraId="00000095"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A través del DECRE-2022-53-GDEBA-GPBA, se aprobó estructura orgánico-funcional del Organismo Provincial de la Niñez y Adolescencia modificando la dependencia funcional de los dispositivos </w:t>
      </w:r>
      <w:proofErr w:type="gramStart"/>
      <w:r>
        <w:rPr>
          <w:rFonts w:ascii="Arial" w:eastAsia="Arial" w:hAnsi="Arial" w:cs="Arial"/>
          <w:sz w:val="16"/>
          <w:szCs w:val="16"/>
        </w:rPr>
        <w:t>de acuerdo a</w:t>
      </w:r>
      <w:proofErr w:type="gramEnd"/>
      <w:r>
        <w:rPr>
          <w:rFonts w:ascii="Arial" w:eastAsia="Arial" w:hAnsi="Arial" w:cs="Arial"/>
          <w:sz w:val="16"/>
          <w:szCs w:val="16"/>
        </w:rPr>
        <w:t xml:space="preserve"> los anexos que integran el presente acto (Anexo I, </w:t>
      </w:r>
      <w:proofErr w:type="spellStart"/>
      <w:r>
        <w:rPr>
          <w:rFonts w:ascii="Arial" w:eastAsia="Arial" w:hAnsi="Arial" w:cs="Arial"/>
          <w:sz w:val="16"/>
          <w:szCs w:val="16"/>
        </w:rPr>
        <w:t>IIa</w:t>
      </w:r>
      <w:proofErr w:type="spellEnd"/>
      <w:r>
        <w:rPr>
          <w:rFonts w:ascii="Arial" w:eastAsia="Arial" w:hAnsi="Arial" w:cs="Arial"/>
          <w:sz w:val="16"/>
          <w:szCs w:val="16"/>
        </w:rPr>
        <w:t xml:space="preserve">, </w:t>
      </w:r>
      <w:proofErr w:type="spellStart"/>
      <w:r>
        <w:rPr>
          <w:rFonts w:ascii="Arial" w:eastAsia="Arial" w:hAnsi="Arial" w:cs="Arial"/>
          <w:sz w:val="16"/>
          <w:szCs w:val="16"/>
        </w:rPr>
        <w:t>IIb</w:t>
      </w:r>
      <w:proofErr w:type="spellEnd"/>
      <w:r>
        <w:rPr>
          <w:rFonts w:ascii="Arial" w:eastAsia="Arial" w:hAnsi="Arial" w:cs="Arial"/>
          <w:sz w:val="16"/>
          <w:szCs w:val="16"/>
        </w:rPr>
        <w:t xml:space="preserve">, III, </w:t>
      </w:r>
      <w:proofErr w:type="spellStart"/>
      <w:r>
        <w:rPr>
          <w:rFonts w:ascii="Arial" w:eastAsia="Arial" w:hAnsi="Arial" w:cs="Arial"/>
          <w:sz w:val="16"/>
          <w:szCs w:val="16"/>
        </w:rPr>
        <w:t>IVa</w:t>
      </w:r>
      <w:proofErr w:type="spellEnd"/>
      <w:r>
        <w:rPr>
          <w:rFonts w:ascii="Arial" w:eastAsia="Arial" w:hAnsi="Arial" w:cs="Arial"/>
          <w:sz w:val="16"/>
          <w:szCs w:val="16"/>
        </w:rPr>
        <w:t xml:space="preserve">, </w:t>
      </w:r>
      <w:proofErr w:type="spellStart"/>
      <w:r>
        <w:rPr>
          <w:rFonts w:ascii="Arial" w:eastAsia="Arial" w:hAnsi="Arial" w:cs="Arial"/>
          <w:sz w:val="16"/>
          <w:szCs w:val="16"/>
        </w:rPr>
        <w:t>IVb</w:t>
      </w:r>
      <w:proofErr w:type="spellEnd"/>
      <w:r>
        <w:rPr>
          <w:rFonts w:ascii="Arial" w:eastAsia="Arial" w:hAnsi="Arial" w:cs="Arial"/>
          <w:sz w:val="16"/>
          <w:szCs w:val="16"/>
        </w:rPr>
        <w:t xml:space="preserve">, </w:t>
      </w:r>
      <w:proofErr w:type="spellStart"/>
      <w:r>
        <w:rPr>
          <w:rFonts w:ascii="Arial" w:eastAsia="Arial" w:hAnsi="Arial" w:cs="Arial"/>
          <w:sz w:val="16"/>
          <w:szCs w:val="16"/>
        </w:rPr>
        <w:t>IVc</w:t>
      </w:r>
      <w:proofErr w:type="spellEnd"/>
      <w:r>
        <w:rPr>
          <w:rFonts w:ascii="Arial" w:eastAsia="Arial" w:hAnsi="Arial" w:cs="Arial"/>
          <w:sz w:val="16"/>
          <w:szCs w:val="16"/>
        </w:rPr>
        <w:t xml:space="preserve"> y V), dejando sin efecto la RESO-2023-925-GDEBA-DEOPNYAGP y la RESO-2023-939GDEBA-DEOPNYAGP</w:t>
      </w:r>
    </w:p>
  </w:footnote>
  <w:footnote w:id="24">
    <w:p w14:paraId="00000096" w14:textId="77777777" w:rsidR="004C1C5F" w:rsidRDefault="00000000">
      <w:pPr>
        <w:spacing w:after="0" w:line="240" w:lineRule="auto"/>
        <w:jc w:val="both"/>
        <w:rPr>
          <w:sz w:val="20"/>
          <w:szCs w:val="20"/>
        </w:rPr>
      </w:pPr>
      <w:r>
        <w:rPr>
          <w:vertAlign w:val="superscript"/>
        </w:rPr>
        <w:footnoteRef/>
      </w:r>
      <w:r>
        <w:rPr>
          <w:rFonts w:ascii="Arial" w:eastAsia="Arial" w:hAnsi="Arial" w:cs="Arial"/>
          <w:sz w:val="16"/>
          <w:szCs w:val="16"/>
        </w:rPr>
        <w:t>Debido al dictado del mencionado DECRE-2022-53-GDEBA-GPBA, a través del cual se aprobó estructura orgánico-funcional del Organismo Provincial de la Niñez y Adolescencia, resultó adecuado aprobar el Protocolo “Pautas de Ingreso a establecimientos” (Anexo VI).</w:t>
      </w:r>
    </w:p>
  </w:footnote>
  <w:footnote w:id="25">
    <w:p w14:paraId="00000097" w14:textId="77777777" w:rsidR="004C1C5F" w:rsidRDefault="00000000">
      <w:pPr>
        <w:spacing w:after="0" w:line="240" w:lineRule="auto"/>
        <w:rPr>
          <w:sz w:val="20"/>
          <w:szCs w:val="20"/>
        </w:rPr>
      </w:pPr>
      <w:r>
        <w:rPr>
          <w:vertAlign w:val="superscript"/>
        </w:rPr>
        <w:footnoteRef/>
      </w:r>
      <w:r>
        <w:rPr>
          <w:rFonts w:ascii="Arial" w:eastAsia="Arial" w:hAnsi="Arial" w:cs="Arial"/>
          <w:sz w:val="16"/>
          <w:szCs w:val="16"/>
        </w:rPr>
        <w:t>Son establecimientos para el cumplimiento de las medidas de restricción de la libertad ambulatoria, la provincia cuenta con centros de contención en las siguientes localidades: cuatro de ellos en La Plata siendo uno solo para mujeres, en Almirante Brown, Dolores, Junín, Malvinas Argentinas, Mar del Plata, Moreno, Mercedes y en la localidad de Tandil. (Anexo V)</w:t>
      </w:r>
    </w:p>
  </w:footnote>
  <w:footnote w:id="26">
    <w:p w14:paraId="00000098"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Son establecimientos para el cumplimiento de la aprehensión y/o detención y/o medidas cautelares, su función es la admisión de niños, niñas y adolescentes alcanzados por un proceso penal, evaluación y de corresponder profundización diagnóstica. En la provincia de Bs. </w:t>
      </w:r>
      <w:proofErr w:type="gramStart"/>
      <w:r>
        <w:rPr>
          <w:rFonts w:ascii="Arial" w:eastAsia="Arial" w:hAnsi="Arial" w:cs="Arial"/>
          <w:sz w:val="16"/>
          <w:szCs w:val="16"/>
        </w:rPr>
        <w:t>As. ,</w:t>
      </w:r>
      <w:proofErr w:type="gramEnd"/>
      <w:r>
        <w:rPr>
          <w:rFonts w:ascii="Arial" w:eastAsia="Arial" w:hAnsi="Arial" w:cs="Arial"/>
          <w:sz w:val="16"/>
          <w:szCs w:val="16"/>
        </w:rPr>
        <w:t xml:space="preserve"> los centros de recepción se establecieron en las localidades de Malvinas Argentinas, La Plata, Lomas de Zamora, San Nicolás y Bahía Blanca. (Anexo IV B)</w:t>
      </w:r>
    </w:p>
  </w:footnote>
  <w:footnote w:id="27">
    <w:p w14:paraId="00000099"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Son establecimientos para el cumplimiento de medidas privativas de la libertad  ordenadas por la Justicia en el marco de un proceso penal que tienen por objetivo brindar un espacio en el que al/la adolescente y/o joven, con la asistencia técnico-profesional interdisciplinaria y desde una perspectiva socio-educativa, se lo/a dote de herramientas que le posibiliten afrontar las situaciones de transgresión a la norma y reconfigurar su posición individual y social a los fines de alcanzar una "real inserción </w:t>
      </w:r>
      <w:proofErr w:type="spellStart"/>
      <w:r>
        <w:rPr>
          <w:rFonts w:ascii="Arial" w:eastAsia="Arial" w:hAnsi="Arial" w:cs="Arial"/>
          <w:sz w:val="16"/>
          <w:szCs w:val="16"/>
        </w:rPr>
        <w:t>sociocomunitaria</w:t>
      </w:r>
      <w:proofErr w:type="spellEnd"/>
      <w:r>
        <w:rPr>
          <w:rFonts w:ascii="Arial" w:eastAsia="Arial" w:hAnsi="Arial" w:cs="Arial"/>
          <w:sz w:val="16"/>
          <w:szCs w:val="16"/>
        </w:rPr>
        <w:t xml:space="preserve">”. </w:t>
      </w:r>
    </w:p>
  </w:footnote>
  <w:footnote w:id="28">
    <w:p w14:paraId="0000009A" w14:textId="77777777" w:rsidR="004C1C5F" w:rsidRDefault="00000000">
      <w:pPr>
        <w:spacing w:after="0" w:line="240" w:lineRule="auto"/>
        <w:jc w:val="both"/>
        <w:rPr>
          <w:rFonts w:ascii="Arial" w:eastAsia="Arial" w:hAnsi="Arial" w:cs="Arial"/>
          <w:sz w:val="16"/>
          <w:szCs w:val="16"/>
        </w:rPr>
      </w:pPr>
      <w:r>
        <w:rPr>
          <w:vertAlign w:val="superscript"/>
        </w:rPr>
        <w:footnoteRef/>
      </w:r>
      <w:r>
        <w:rPr>
          <w:rFonts w:ascii="Arial" w:eastAsia="Arial" w:hAnsi="Arial" w:cs="Arial"/>
          <w:sz w:val="16"/>
          <w:szCs w:val="16"/>
        </w:rPr>
        <w:t xml:space="preserve"> Dentro de los establecimientos cerrados, se establecen espacios en el que el adolescente y/o joven, con asistencia técnico-profesional interdisciplinaria y desde una perspectiva </w:t>
      </w:r>
      <w:proofErr w:type="gramStart"/>
      <w:r>
        <w:rPr>
          <w:rFonts w:ascii="Arial" w:eastAsia="Arial" w:hAnsi="Arial" w:cs="Arial"/>
          <w:sz w:val="16"/>
          <w:szCs w:val="16"/>
        </w:rPr>
        <w:t>socio-educativa</w:t>
      </w:r>
      <w:proofErr w:type="gramEnd"/>
      <w:r>
        <w:rPr>
          <w:rFonts w:ascii="Arial" w:eastAsia="Arial" w:hAnsi="Arial" w:cs="Arial"/>
          <w:sz w:val="16"/>
          <w:szCs w:val="16"/>
        </w:rPr>
        <w:t xml:space="preserve">, encauce un proceso de desinstitucionalización y adquisición de una mayor autonomía y de asumir obligaciones que le permitan llevar adelante un proyecto de vida ciudadano. Estos espacios se encuentran en el Centro </w:t>
      </w:r>
      <w:proofErr w:type="gramStart"/>
      <w:r>
        <w:rPr>
          <w:rFonts w:ascii="Arial" w:eastAsia="Arial" w:hAnsi="Arial" w:cs="Arial"/>
          <w:sz w:val="16"/>
          <w:szCs w:val="16"/>
        </w:rPr>
        <w:t>Almafuerte,  Centro</w:t>
      </w:r>
      <w:proofErr w:type="gramEnd"/>
      <w:r>
        <w:rPr>
          <w:rFonts w:ascii="Arial" w:eastAsia="Arial" w:hAnsi="Arial" w:cs="Arial"/>
          <w:sz w:val="16"/>
          <w:szCs w:val="16"/>
        </w:rPr>
        <w:t xml:space="preserve"> Araoz Alfaro, Centro Carlos Pellegrini, todos ellos en la  localidad de Abasto, en el Centro para mujeres Raquel Raggio de Gaona Navarro, en La Plata y en el Centro de Dolores. (Anexo IV C)</w:t>
      </w:r>
    </w:p>
  </w:footnote>
  <w:footnote w:id="29">
    <w:p w14:paraId="0000009B" w14:textId="77777777" w:rsidR="004C1C5F" w:rsidRDefault="00000000">
      <w:pPr>
        <w:spacing w:after="0" w:line="240" w:lineRule="auto"/>
        <w:rPr>
          <w:sz w:val="20"/>
          <w:szCs w:val="20"/>
          <w:highlight w:val="yellow"/>
        </w:rPr>
      </w:pPr>
      <w:r>
        <w:rPr>
          <w:vertAlign w:val="superscript"/>
        </w:rPr>
        <w:footnoteRef/>
      </w:r>
      <w:r>
        <w:rPr>
          <w:sz w:val="20"/>
          <w:szCs w:val="20"/>
        </w:rPr>
        <w:t xml:space="preserve"> </w:t>
      </w:r>
      <w:r>
        <w:rPr>
          <w:rFonts w:ascii="Arial" w:eastAsia="Arial" w:hAnsi="Arial" w:cs="Arial"/>
          <w:sz w:val="16"/>
          <w:szCs w:val="16"/>
        </w:rPr>
        <w:t xml:space="preserve">El </w:t>
      </w:r>
      <w:proofErr w:type="spellStart"/>
      <w:r>
        <w:rPr>
          <w:rFonts w:ascii="Arial" w:eastAsia="Arial" w:hAnsi="Arial" w:cs="Arial"/>
          <w:sz w:val="16"/>
          <w:szCs w:val="16"/>
        </w:rPr>
        <w:t>OPNyA</w:t>
      </w:r>
      <w:proofErr w:type="spellEnd"/>
      <w:r>
        <w:rPr>
          <w:rFonts w:ascii="Arial" w:eastAsia="Arial" w:hAnsi="Arial" w:cs="Arial"/>
          <w:sz w:val="16"/>
          <w:szCs w:val="16"/>
        </w:rPr>
        <w:t xml:space="preserve"> no cuenta con establecimientos oficiales para el tratamiento de consumos problemáticos y/o padecimientos de salud mental, por lo cual realiza convenios con ámbitos privados subvencionando el ingreso de NNJ a través de becas económicas</w:t>
      </w:r>
    </w:p>
  </w:footnote>
  <w:footnote w:id="30">
    <w:p w14:paraId="000000A2" w14:textId="77777777" w:rsidR="004C1C5F" w:rsidRDefault="00000000">
      <w:pPr>
        <w:spacing w:after="0" w:line="240" w:lineRule="auto"/>
        <w:rPr>
          <w:sz w:val="20"/>
          <w:szCs w:val="20"/>
        </w:rPr>
      </w:pPr>
      <w:r>
        <w:rPr>
          <w:vertAlign w:val="superscript"/>
        </w:rPr>
        <w:footnoteRef/>
      </w:r>
      <w:r>
        <w:rPr>
          <w:sz w:val="20"/>
          <w:szCs w:val="20"/>
        </w:rPr>
        <w:t xml:space="preserve"> Recepción Nogues, cerrado COPA, cerrado Almafuerte, cerrado Araoz Alfaro, cerrado </w:t>
      </w:r>
      <w:proofErr w:type="spellStart"/>
      <w:r>
        <w:rPr>
          <w:sz w:val="20"/>
          <w:szCs w:val="20"/>
        </w:rPr>
        <w:t>Legarra</w:t>
      </w:r>
      <w:proofErr w:type="spellEnd"/>
      <w:r>
        <w:rPr>
          <w:sz w:val="20"/>
          <w:szCs w:val="20"/>
        </w:rPr>
        <w:t xml:space="preserve">, cerrado Mar del Plata, Contención Mar del Plata, recepción Lomas de Zamora, contención Transito La Plata, cerrado Virrey del Pino, </w:t>
      </w:r>
      <w:proofErr w:type="spellStart"/>
      <w:r>
        <w:rPr>
          <w:sz w:val="20"/>
          <w:szCs w:val="20"/>
        </w:rPr>
        <w:t>Gambier</w:t>
      </w:r>
      <w:proofErr w:type="spellEnd"/>
      <w:r>
        <w:rPr>
          <w:sz w:val="20"/>
          <w:szCs w:val="20"/>
        </w:rPr>
        <w:t xml:space="preserve">, </w:t>
      </w:r>
      <w:proofErr w:type="gramStart"/>
      <w:r>
        <w:rPr>
          <w:sz w:val="20"/>
          <w:szCs w:val="20"/>
        </w:rPr>
        <w:t>Pre Egreso</w:t>
      </w:r>
      <w:proofErr w:type="gramEnd"/>
      <w:r>
        <w:rPr>
          <w:sz w:val="20"/>
          <w:szCs w:val="20"/>
        </w:rPr>
        <w:t xml:space="preserve"> Araoz Alfaro, cerrado Eva </w:t>
      </w:r>
      <w:proofErr w:type="spellStart"/>
      <w:r>
        <w:rPr>
          <w:sz w:val="20"/>
          <w:szCs w:val="20"/>
        </w:rPr>
        <w:t>Peron</w:t>
      </w:r>
      <w:proofErr w:type="spellEnd"/>
      <w:r>
        <w:rPr>
          <w:sz w:val="20"/>
          <w:szCs w:val="20"/>
        </w:rPr>
        <w:t>, cerrado Ibarra y recepción La Plata)</w:t>
      </w:r>
    </w:p>
  </w:footnote>
  <w:footnote w:id="31">
    <w:p w14:paraId="000000A3" w14:textId="77777777" w:rsidR="004C1C5F" w:rsidRDefault="00000000">
      <w:pPr>
        <w:spacing w:after="0" w:line="240" w:lineRule="auto"/>
        <w:rPr>
          <w:sz w:val="20"/>
          <w:szCs w:val="20"/>
        </w:rPr>
      </w:pPr>
      <w:r>
        <w:rPr>
          <w:vertAlign w:val="superscript"/>
        </w:rPr>
        <w:footnoteRef/>
      </w:r>
      <w:r>
        <w:rPr>
          <w:sz w:val="20"/>
          <w:szCs w:val="20"/>
        </w:rPr>
        <w:t xml:space="preserve"> Unidades N°</w:t>
      </w:r>
      <w:r>
        <w:rPr>
          <w:rFonts w:ascii="Calibri" w:eastAsia="Calibri" w:hAnsi="Calibri" w:cs="Calibri"/>
          <w:sz w:val="22"/>
          <w:szCs w:val="22"/>
        </w:rPr>
        <w:t>9, 1, 10, y 45</w:t>
      </w:r>
    </w:p>
  </w:footnote>
  <w:footnote w:id="32">
    <w:p w14:paraId="000000A4" w14:textId="77777777" w:rsidR="004C1C5F" w:rsidRDefault="00000000">
      <w:pPr>
        <w:spacing w:after="0" w:line="240" w:lineRule="auto"/>
        <w:rPr>
          <w:sz w:val="20"/>
          <w:szCs w:val="20"/>
        </w:rPr>
      </w:pPr>
      <w:r>
        <w:rPr>
          <w:vertAlign w:val="superscript"/>
        </w:rPr>
        <w:footnoteRef/>
      </w:r>
      <w:r>
        <w:rPr>
          <w:sz w:val="20"/>
          <w:szCs w:val="20"/>
        </w:rPr>
        <w:t xml:space="preserve"> Melchor Romero y </w:t>
      </w:r>
      <w:proofErr w:type="gramStart"/>
      <w:r>
        <w:rPr>
          <w:sz w:val="20"/>
          <w:szCs w:val="20"/>
        </w:rPr>
        <w:t>Niños ,ambos</w:t>
      </w:r>
      <w:proofErr w:type="gramEnd"/>
      <w:r>
        <w:rPr>
          <w:sz w:val="20"/>
          <w:szCs w:val="20"/>
        </w:rPr>
        <w:t xml:space="preserve"> de la ciudad de La Plata</w:t>
      </w:r>
    </w:p>
  </w:footnote>
  <w:footnote w:id="33">
    <w:p w14:paraId="0000009C" w14:textId="77777777" w:rsidR="004C1C5F" w:rsidRDefault="00000000">
      <w:pPr>
        <w:spacing w:after="0" w:line="240" w:lineRule="auto"/>
        <w:rPr>
          <w:sz w:val="20"/>
          <w:szCs w:val="20"/>
        </w:rPr>
      </w:pPr>
      <w:r>
        <w:rPr>
          <w:vertAlign w:val="superscript"/>
        </w:rPr>
        <w:footnoteRef/>
      </w:r>
      <w:r>
        <w:t xml:space="preserve"> </w:t>
      </w:r>
      <w:r>
        <w:rPr>
          <w:sz w:val="20"/>
          <w:szCs w:val="20"/>
        </w:rPr>
        <w:t>.  El programa de Niñez de la CPM entrevistó durante el año 2023 a 531 víctimas del sistema penal.</w:t>
      </w:r>
    </w:p>
    <w:p w14:paraId="0000009D" w14:textId="77777777" w:rsidR="004C1C5F" w:rsidRDefault="004C1C5F">
      <w:pPr>
        <w:pBdr>
          <w:top w:val="nil"/>
          <w:left w:val="nil"/>
          <w:bottom w:val="nil"/>
          <w:right w:val="nil"/>
          <w:between w:val="nil"/>
        </w:pBdr>
        <w:spacing w:after="0" w:line="240" w:lineRule="auto"/>
        <w:rPr>
          <w:color w:val="000000"/>
          <w:sz w:val="20"/>
          <w:szCs w:val="20"/>
        </w:rPr>
      </w:pPr>
    </w:p>
  </w:footnote>
  <w:footnote w:id="34">
    <w:p w14:paraId="0000009E" w14:textId="77777777" w:rsidR="004C1C5F"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sz w:val="20"/>
          <w:szCs w:val="20"/>
        </w:rPr>
        <w:t>Ver https://www.comisionporlamemoria.org/project/informes-anuales/</w:t>
      </w:r>
    </w:p>
  </w:footnote>
  <w:footnote w:id="35">
    <w:p w14:paraId="0000009F" w14:textId="77777777" w:rsidR="004C1C5F"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Dichos impactos debieran abordarse desde una perspectiva interdisciplinaria acorde a la Ley </w:t>
      </w:r>
      <w:r>
        <w:rPr>
          <w:rFonts w:ascii="Times New Roman" w:eastAsia="Times New Roman" w:hAnsi="Times New Roman" w:cs="Times New Roman"/>
          <w:color w:val="202124"/>
          <w:sz w:val="20"/>
          <w:szCs w:val="20"/>
        </w:rPr>
        <w:t xml:space="preserve">de salud mental 26.657 y la Ley de </w:t>
      </w:r>
      <w:proofErr w:type="gramStart"/>
      <w:r>
        <w:rPr>
          <w:rFonts w:ascii="Times New Roman" w:eastAsia="Times New Roman" w:hAnsi="Times New Roman" w:cs="Times New Roman"/>
          <w:color w:val="202124"/>
          <w:sz w:val="20"/>
          <w:szCs w:val="20"/>
        </w:rPr>
        <w:t>derechos  del</w:t>
      </w:r>
      <w:proofErr w:type="gramEnd"/>
      <w:r>
        <w:rPr>
          <w:rFonts w:ascii="Times New Roman" w:eastAsia="Times New Roman" w:hAnsi="Times New Roman" w:cs="Times New Roman"/>
          <w:color w:val="202124"/>
          <w:sz w:val="20"/>
          <w:szCs w:val="20"/>
        </w:rPr>
        <w:t xml:space="preserve"> paciente, historia clínica y consentimiento informado </w:t>
      </w:r>
      <w:proofErr w:type="spellStart"/>
      <w:r>
        <w:rPr>
          <w:rFonts w:ascii="Times New Roman" w:eastAsia="Times New Roman" w:hAnsi="Times New Roman" w:cs="Times New Roman"/>
          <w:color w:val="202124"/>
          <w:sz w:val="20"/>
          <w:szCs w:val="20"/>
        </w:rPr>
        <w:t>N°</w:t>
      </w:r>
      <w:proofErr w:type="spellEnd"/>
      <w:r>
        <w:rPr>
          <w:rFonts w:ascii="Times New Roman" w:eastAsia="Times New Roman" w:hAnsi="Times New Roman" w:cs="Times New Roman"/>
          <w:color w:val="202124"/>
          <w:sz w:val="20"/>
          <w:szCs w:val="20"/>
        </w:rPr>
        <w:t xml:space="preserve"> 26529 que establecen que se debe brindar l</w:t>
      </w:r>
      <w:r>
        <w:rPr>
          <w:rFonts w:ascii="Times New Roman" w:eastAsia="Times New Roman" w:hAnsi="Times New Roman" w:cs="Times New Roman"/>
          <w:sz w:val="20"/>
          <w:szCs w:val="20"/>
          <w:highlight w:val="white"/>
        </w:rPr>
        <w:t>a información y participación en los procesos a los que son sometidas/os las/los  jóvenes, como así también el conocimiento de la duración del tratamiento que se encuentran llevando a cabo.</w:t>
      </w:r>
    </w:p>
  </w:footnote>
  <w:footnote w:id="36">
    <w:p w14:paraId="000000A0" w14:textId="77777777" w:rsidR="004C1C5F" w:rsidRDefault="00000000">
      <w:pPr>
        <w:spacing w:after="0" w:line="240" w:lineRule="auto"/>
        <w:rPr>
          <w:rFonts w:ascii="Times New Roman" w:eastAsia="Times New Roman" w:hAnsi="Times New Roman" w:cs="Times New Roman"/>
          <w:color w:val="202124"/>
          <w:sz w:val="20"/>
          <w:szCs w:val="20"/>
        </w:rPr>
      </w:pPr>
      <w:r>
        <w:rPr>
          <w:vertAlign w:val="superscript"/>
        </w:rPr>
        <w:footnoteRef/>
      </w:r>
      <w:r>
        <w:rPr>
          <w:rFonts w:ascii="Times New Roman" w:eastAsia="Times New Roman" w:hAnsi="Times New Roman" w:cs="Times New Roman"/>
          <w:color w:val="202124"/>
          <w:sz w:val="20"/>
          <w:szCs w:val="20"/>
        </w:rPr>
        <w:t xml:space="preserve"> El protocolo de prevención del suicidio adolescente fue aprobado por el </w:t>
      </w:r>
      <w:proofErr w:type="spellStart"/>
      <w:r>
        <w:rPr>
          <w:rFonts w:ascii="Times New Roman" w:eastAsia="Times New Roman" w:hAnsi="Times New Roman" w:cs="Times New Roman"/>
          <w:color w:val="202124"/>
          <w:sz w:val="20"/>
          <w:szCs w:val="20"/>
        </w:rPr>
        <w:t>OPNyA</w:t>
      </w:r>
      <w:proofErr w:type="spellEnd"/>
      <w:r>
        <w:rPr>
          <w:rFonts w:ascii="Times New Roman" w:eastAsia="Times New Roman" w:hAnsi="Times New Roman" w:cs="Times New Roman"/>
          <w:color w:val="202124"/>
          <w:sz w:val="20"/>
          <w:szCs w:val="20"/>
        </w:rPr>
        <w:t xml:space="preserve"> en el año 2021 y rige tanto para los establecimientos de Responsabilidad Penal Juvenil como de Promoción y Protección de Derechos.</w:t>
      </w:r>
    </w:p>
  </w:footnote>
  <w:footnote w:id="37">
    <w:p w14:paraId="000000A1" w14:textId="77777777" w:rsidR="004C1C5F" w:rsidRDefault="00000000">
      <w:pPr>
        <w:spacing w:after="0" w:line="240" w:lineRule="auto"/>
        <w:rPr>
          <w:rFonts w:ascii="Calibri" w:eastAsia="Calibri" w:hAnsi="Calibri" w:cs="Calibri"/>
          <w:sz w:val="20"/>
          <w:szCs w:val="20"/>
        </w:rPr>
      </w:pPr>
      <w:r>
        <w:rPr>
          <w:vertAlign w:val="superscript"/>
        </w:rPr>
        <w:footnoteRef/>
      </w:r>
      <w:r>
        <w:rPr>
          <w:sz w:val="20"/>
          <w:szCs w:val="20"/>
        </w:rPr>
        <w:t xml:space="preserve"> A lo largo de estas 532 entrevistas realizadas durante 2023 se relevaron un total de 1.179 hechos de tortura padecidos por NNA.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24CE"/>
    <w:multiLevelType w:val="multilevel"/>
    <w:tmpl w:val="4FCCA372"/>
    <w:lvl w:ilvl="0">
      <w:start w:val="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8626DAB"/>
    <w:multiLevelType w:val="multilevel"/>
    <w:tmpl w:val="2104F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5210182">
    <w:abstractNumId w:val="0"/>
  </w:num>
  <w:num w:numId="2" w16cid:durableId="1743746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C5F"/>
    <w:rsid w:val="00022186"/>
    <w:rsid w:val="004C1C5F"/>
    <w:rsid w:val="006257E4"/>
    <w:rsid w:val="00773078"/>
    <w:rsid w:val="00AD6439"/>
    <w:rsid w:val="00ED04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93F47"/>
  <w15:docId w15:val="{336C6AF5-02DF-403B-B7D8-FA92FAC3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720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20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BBC"/>
    <w:rPr>
      <w:rFonts w:eastAsiaTheme="majorEastAsia" w:cstheme="majorBidi"/>
      <w:color w:val="272727" w:themeColor="text1" w:themeTint="D8"/>
    </w:rPr>
  </w:style>
  <w:style w:type="character" w:customStyle="1" w:styleId="TitleChar">
    <w:name w:val="Title Char"/>
    <w:basedOn w:val="DefaultParagraphFont"/>
    <w:link w:val="Title"/>
    <w:uiPriority w:val="10"/>
    <w:rsid w:val="00720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720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BBC"/>
    <w:pPr>
      <w:spacing w:before="160"/>
      <w:jc w:val="center"/>
    </w:pPr>
    <w:rPr>
      <w:i/>
      <w:iCs/>
      <w:color w:val="404040" w:themeColor="text1" w:themeTint="BF"/>
    </w:rPr>
  </w:style>
  <w:style w:type="character" w:customStyle="1" w:styleId="QuoteChar">
    <w:name w:val="Quote Char"/>
    <w:basedOn w:val="DefaultParagraphFont"/>
    <w:link w:val="Quote"/>
    <w:uiPriority w:val="29"/>
    <w:rsid w:val="00720BBC"/>
    <w:rPr>
      <w:i/>
      <w:iCs/>
      <w:color w:val="404040" w:themeColor="text1" w:themeTint="BF"/>
    </w:rPr>
  </w:style>
  <w:style w:type="paragraph" w:styleId="ListParagraph">
    <w:name w:val="List Paragraph"/>
    <w:basedOn w:val="Normal"/>
    <w:uiPriority w:val="34"/>
    <w:qFormat/>
    <w:rsid w:val="00720BBC"/>
    <w:pPr>
      <w:ind w:left="720"/>
      <w:contextualSpacing/>
    </w:pPr>
  </w:style>
  <w:style w:type="character" w:styleId="IntenseEmphasis">
    <w:name w:val="Intense Emphasis"/>
    <w:basedOn w:val="DefaultParagraphFont"/>
    <w:uiPriority w:val="21"/>
    <w:qFormat/>
    <w:rsid w:val="00720BBC"/>
    <w:rPr>
      <w:i/>
      <w:iCs/>
      <w:color w:val="0F4761" w:themeColor="accent1" w:themeShade="BF"/>
    </w:rPr>
  </w:style>
  <w:style w:type="paragraph" w:styleId="IntenseQuote">
    <w:name w:val="Intense Quote"/>
    <w:basedOn w:val="Normal"/>
    <w:next w:val="Normal"/>
    <w:link w:val="IntenseQuoteChar"/>
    <w:uiPriority w:val="30"/>
    <w:qFormat/>
    <w:rsid w:val="00720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BBC"/>
    <w:rPr>
      <w:i/>
      <w:iCs/>
      <w:color w:val="0F4761" w:themeColor="accent1" w:themeShade="BF"/>
    </w:rPr>
  </w:style>
  <w:style w:type="character" w:styleId="IntenseReference">
    <w:name w:val="Intense Reference"/>
    <w:basedOn w:val="DefaultParagraphFont"/>
    <w:uiPriority w:val="32"/>
    <w:qFormat/>
    <w:rsid w:val="00720BBC"/>
    <w:rPr>
      <w:b/>
      <w:bCs/>
      <w:smallCaps/>
      <w:color w:val="0F4761" w:themeColor="accent1" w:themeShade="BF"/>
      <w:spacing w:val="5"/>
    </w:rPr>
  </w:style>
  <w:style w:type="paragraph" w:customStyle="1" w:styleId="Default">
    <w:name w:val="Default"/>
    <w:rsid w:val="005A7D43"/>
    <w:pPr>
      <w:autoSpaceDE w:val="0"/>
      <w:autoSpaceDN w:val="0"/>
      <w:adjustRightInd w:val="0"/>
      <w:spacing w:after="0" w:line="240" w:lineRule="auto"/>
    </w:pPr>
    <w:rPr>
      <w:rFonts w:ascii="Times New Roman" w:hAnsi="Times New Roman" w:cs="Times New Roman"/>
      <w:color w:val="000000"/>
    </w:rPr>
  </w:style>
  <w:style w:type="character" w:styleId="CommentReference">
    <w:name w:val="annotation reference"/>
    <w:basedOn w:val="DefaultParagraphFont"/>
    <w:uiPriority w:val="99"/>
    <w:semiHidden/>
    <w:unhideWhenUsed/>
    <w:rsid w:val="00692538"/>
    <w:rPr>
      <w:sz w:val="16"/>
      <w:szCs w:val="16"/>
    </w:rPr>
  </w:style>
  <w:style w:type="paragraph" w:styleId="FootnoteText">
    <w:name w:val="footnote text"/>
    <w:basedOn w:val="Normal"/>
    <w:link w:val="FootnoteTextChar"/>
    <w:uiPriority w:val="99"/>
    <w:semiHidden/>
    <w:unhideWhenUsed/>
    <w:rsid w:val="002933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37C"/>
    <w:rPr>
      <w:sz w:val="20"/>
      <w:szCs w:val="20"/>
    </w:rPr>
  </w:style>
  <w:style w:type="character" w:styleId="FootnoteReference">
    <w:name w:val="footnote reference"/>
    <w:basedOn w:val="DefaultParagraphFont"/>
    <w:uiPriority w:val="99"/>
    <w:semiHidden/>
    <w:unhideWhenUsed/>
    <w:rsid w:val="0029337C"/>
    <w:rPr>
      <w:vertAlign w:val="superscript"/>
    </w:rPr>
  </w:style>
  <w:style w:type="paragraph" w:customStyle="1" w:styleId="Normal1">
    <w:name w:val="Normal1"/>
    <w:rsid w:val="00101171"/>
    <w:pPr>
      <w:spacing w:after="0" w:line="276" w:lineRule="auto"/>
    </w:pPr>
    <w:rPr>
      <w:rFonts w:ascii="Arial" w:eastAsia="Arial" w:hAnsi="Arial" w:cs="Arial"/>
      <w:sz w:val="22"/>
      <w:szCs w:val="22"/>
      <w:lang w:eastAsia="es-ES"/>
    </w:rPr>
  </w:style>
  <w:style w:type="character" w:styleId="Hyperlink">
    <w:name w:val="Hyperlink"/>
    <w:basedOn w:val="DefaultParagraphFont"/>
    <w:uiPriority w:val="99"/>
    <w:semiHidden/>
    <w:unhideWhenUsed/>
    <w:rsid w:val="006264C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andaragencia.org/clausuran-comunidad-terapeutica-ilegal-de-tortuguit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8hqztR8Mi+iaZ8JsBzgp6cswrQ==">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8892</Words>
  <Characters>46954</Characters>
  <Application>Microsoft Office Word</Application>
  <DocSecurity>0</DocSecurity>
  <Lines>769</Lines>
  <Paragraphs>393</Paragraphs>
  <ScaleCrop>false</ScaleCrop>
  <Company/>
  <LinksUpToDate>false</LinksUpToDate>
  <CharactersWithSpaces>55453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ILLESCAS ALVAREZ</dc:creator>
  <cp:lastModifiedBy>James Boit</cp:lastModifiedBy>
  <cp:revision>2</cp:revision>
  <dcterms:created xsi:type="dcterms:W3CDTF">2024-06-25T13:32:00Z</dcterms:created>
  <dcterms:modified xsi:type="dcterms:W3CDTF">2024-06-25T13:32:00Z</dcterms:modified>
</cp:coreProperties>
</file>