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304F70" w14:paraId="466ACB1F" w14:textId="77777777">
        <w:trPr>
          <w:cantSplit/>
          <w:trHeight w:hRule="exact" w:val="851"/>
        </w:trPr>
        <w:tc>
          <w:tcPr>
            <w:tcW w:w="1276" w:type="dxa"/>
            <w:tcBorders>
              <w:bottom w:val="single" w:sz="4" w:space="0" w:color="auto"/>
            </w:tcBorders>
            <w:vAlign w:val="bottom"/>
          </w:tcPr>
          <w:p w14:paraId="758EE979" w14:textId="64FA9FC1" w:rsidR="00B56E9C" w:rsidRPr="00304F70" w:rsidRDefault="00660A37" w:rsidP="00B6553F">
            <w:pPr>
              <w:spacing w:after="80"/>
            </w:pPr>
            <w:r>
              <w:t xml:space="preserve"> </w:t>
            </w:r>
          </w:p>
        </w:tc>
        <w:tc>
          <w:tcPr>
            <w:tcW w:w="2268" w:type="dxa"/>
            <w:tcBorders>
              <w:bottom w:val="single" w:sz="4" w:space="0" w:color="auto"/>
            </w:tcBorders>
            <w:vAlign w:val="bottom"/>
          </w:tcPr>
          <w:p w14:paraId="069FC5AA" w14:textId="77777777" w:rsidR="00B56E9C" w:rsidRPr="00304F70" w:rsidRDefault="00B56E9C" w:rsidP="00B6553F">
            <w:pPr>
              <w:spacing w:after="80" w:line="300" w:lineRule="exact"/>
              <w:rPr>
                <w:b/>
                <w:sz w:val="24"/>
                <w:szCs w:val="24"/>
              </w:rPr>
            </w:pPr>
            <w:r w:rsidRPr="00304F70">
              <w:rPr>
                <w:sz w:val="28"/>
                <w:szCs w:val="28"/>
              </w:rPr>
              <w:t>United Nations</w:t>
            </w:r>
          </w:p>
        </w:tc>
        <w:tc>
          <w:tcPr>
            <w:tcW w:w="6095" w:type="dxa"/>
            <w:gridSpan w:val="2"/>
            <w:tcBorders>
              <w:bottom w:val="single" w:sz="4" w:space="0" w:color="auto"/>
            </w:tcBorders>
            <w:vAlign w:val="bottom"/>
          </w:tcPr>
          <w:p w14:paraId="3A6EC43A" w14:textId="417411E6" w:rsidR="00B56E9C" w:rsidRPr="00304F70" w:rsidRDefault="00FA222B" w:rsidP="00567821">
            <w:pPr>
              <w:jc w:val="right"/>
            </w:pPr>
            <w:r w:rsidRPr="00304F70">
              <w:rPr>
                <w:sz w:val="40"/>
              </w:rPr>
              <w:t>CCPR</w:t>
            </w:r>
            <w:r w:rsidRPr="00304F70">
              <w:t>/C</w:t>
            </w:r>
            <w:r w:rsidR="00B4107D">
              <w:t>/</w:t>
            </w:r>
            <w:r w:rsidR="005148E1" w:rsidRPr="00304F70">
              <w:t>1</w:t>
            </w:r>
            <w:r w:rsidR="00703B2D" w:rsidRPr="00304F70">
              <w:t>2</w:t>
            </w:r>
            <w:r w:rsidR="00F20B05">
              <w:t>6</w:t>
            </w:r>
            <w:r w:rsidR="005148E1" w:rsidRPr="00304F70">
              <w:t>/</w:t>
            </w:r>
            <w:r w:rsidRPr="00304F70">
              <w:t>D/2</w:t>
            </w:r>
            <w:r w:rsidR="00F20B05">
              <w:t>454</w:t>
            </w:r>
            <w:r w:rsidRPr="00304F70">
              <w:t>/201</w:t>
            </w:r>
            <w:r w:rsidR="00FC3AD3">
              <w:t>4</w:t>
            </w:r>
          </w:p>
        </w:tc>
      </w:tr>
      <w:tr w:rsidR="00B56E9C" w:rsidRPr="00304F70" w14:paraId="0D20C8E0" w14:textId="77777777">
        <w:trPr>
          <w:cantSplit/>
          <w:trHeight w:hRule="exact" w:val="2835"/>
        </w:trPr>
        <w:tc>
          <w:tcPr>
            <w:tcW w:w="1276" w:type="dxa"/>
            <w:tcBorders>
              <w:top w:val="single" w:sz="4" w:space="0" w:color="auto"/>
              <w:bottom w:val="single" w:sz="12" w:space="0" w:color="auto"/>
            </w:tcBorders>
          </w:tcPr>
          <w:p w14:paraId="09FF4D3D" w14:textId="77777777" w:rsidR="00B56E9C" w:rsidRPr="00304F70" w:rsidRDefault="00665CF3" w:rsidP="00B6553F">
            <w:pPr>
              <w:spacing w:before="120"/>
            </w:pPr>
            <w:r>
              <w:rPr>
                <w:noProof/>
                <w:lang w:eastAsia="en-GB"/>
              </w:rPr>
              <w:drawing>
                <wp:inline distT="0" distB="0" distL="0" distR="0" wp14:anchorId="04BF135C" wp14:editId="31566A6B">
                  <wp:extent cx="716280" cy="586740"/>
                  <wp:effectExtent l="0" t="0" r="7620" b="381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16280" cy="58674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242E2FF" w14:textId="049D5A08" w:rsidR="00834184" w:rsidRDefault="00B56E9C" w:rsidP="00267F5F">
            <w:pPr>
              <w:spacing w:before="120" w:line="380" w:lineRule="exact"/>
              <w:rPr>
                <w:b/>
                <w:sz w:val="34"/>
                <w:szCs w:val="40"/>
              </w:rPr>
            </w:pPr>
            <w:r w:rsidRPr="00304F70">
              <w:rPr>
                <w:b/>
                <w:sz w:val="34"/>
                <w:szCs w:val="40"/>
              </w:rPr>
              <w:t xml:space="preserve">International </w:t>
            </w:r>
            <w:r w:rsidR="00060C3A" w:rsidRPr="00304F70">
              <w:rPr>
                <w:b/>
                <w:sz w:val="34"/>
                <w:szCs w:val="40"/>
              </w:rPr>
              <w:t>Covenant on</w:t>
            </w:r>
            <w:r w:rsidR="00060C3A" w:rsidRPr="00304F70">
              <w:rPr>
                <w:b/>
                <w:sz w:val="34"/>
                <w:szCs w:val="40"/>
              </w:rPr>
              <w:br/>
              <w:t>Civil and Political R</w:t>
            </w:r>
            <w:r w:rsidR="00703577" w:rsidRPr="00304F70">
              <w:rPr>
                <w:b/>
                <w:sz w:val="34"/>
                <w:szCs w:val="40"/>
              </w:rPr>
              <w:t>ights</w:t>
            </w:r>
          </w:p>
          <w:p w14:paraId="7B0B0F33" w14:textId="5B86DE7E" w:rsidR="007758EE" w:rsidRPr="00753B40" w:rsidRDefault="009654AB" w:rsidP="00267F5F">
            <w:pPr>
              <w:spacing w:before="120" w:line="380" w:lineRule="exact"/>
              <w:rPr>
                <w:rFonts w:eastAsia="Times New Roman"/>
                <w:b/>
                <w:sz w:val="34"/>
                <w:szCs w:val="34"/>
              </w:rPr>
            </w:pPr>
            <w:bookmarkStart w:id="0" w:name="_GoBack"/>
            <w:r w:rsidRPr="000921E9">
              <w:rPr>
                <w:sz w:val="34"/>
                <w:szCs w:val="40"/>
              </w:rPr>
              <w:t>Advance unedited version</w:t>
            </w:r>
            <w:bookmarkEnd w:id="0"/>
          </w:p>
        </w:tc>
        <w:tc>
          <w:tcPr>
            <w:tcW w:w="2835" w:type="dxa"/>
            <w:tcBorders>
              <w:top w:val="single" w:sz="4" w:space="0" w:color="auto"/>
              <w:bottom w:val="single" w:sz="12" w:space="0" w:color="auto"/>
            </w:tcBorders>
          </w:tcPr>
          <w:p w14:paraId="72530B10" w14:textId="0087329E" w:rsidR="00891D98" w:rsidRPr="00304F70" w:rsidRDefault="00891D98" w:rsidP="007F5E52">
            <w:pPr>
              <w:spacing w:before="240" w:line="240" w:lineRule="exact"/>
              <w:rPr>
                <w:sz w:val="24"/>
                <w:szCs w:val="24"/>
                <w:lang w:eastAsia="en-GB"/>
              </w:rPr>
            </w:pPr>
            <w:r w:rsidRPr="00304F70">
              <w:t xml:space="preserve">Distr.: </w:t>
            </w:r>
            <w:r w:rsidR="001B4E97" w:rsidRPr="001B4E97">
              <w:t>General</w:t>
            </w:r>
          </w:p>
          <w:p w14:paraId="76DC689C" w14:textId="6567E88A" w:rsidR="00891D98" w:rsidRPr="00304F70" w:rsidRDefault="00A2139E" w:rsidP="005D2A2D">
            <w:pPr>
              <w:spacing w:line="240" w:lineRule="exact"/>
            </w:pPr>
            <w:r>
              <w:t>29</w:t>
            </w:r>
            <w:r w:rsidR="00A62375">
              <w:t xml:space="preserve"> July</w:t>
            </w:r>
            <w:r w:rsidR="00B5613D">
              <w:t xml:space="preserve"> </w:t>
            </w:r>
            <w:r w:rsidR="00FC3AD3">
              <w:t>2019</w:t>
            </w:r>
          </w:p>
          <w:p w14:paraId="00A615FF" w14:textId="77777777" w:rsidR="007F5E52" w:rsidRPr="00304F70" w:rsidRDefault="007F5E52" w:rsidP="000C67BE">
            <w:pPr>
              <w:spacing w:line="240" w:lineRule="exact"/>
            </w:pPr>
          </w:p>
          <w:p w14:paraId="7EA68BB5" w14:textId="77777777" w:rsidR="00891D98" w:rsidRPr="00304F70" w:rsidRDefault="00891D98" w:rsidP="000C67BE">
            <w:pPr>
              <w:spacing w:line="240" w:lineRule="exact"/>
            </w:pPr>
            <w:r w:rsidRPr="00304F70">
              <w:t>Original: English</w:t>
            </w:r>
          </w:p>
          <w:p w14:paraId="09228A50" w14:textId="77777777" w:rsidR="00FA222B" w:rsidRPr="00304F70" w:rsidRDefault="00FA222B" w:rsidP="00BA7A43">
            <w:pPr>
              <w:spacing w:line="240" w:lineRule="exact"/>
            </w:pPr>
          </w:p>
        </w:tc>
      </w:tr>
    </w:tbl>
    <w:p w14:paraId="3DC6FA7D" w14:textId="39201235" w:rsidR="00891D98" w:rsidRDefault="00891D98" w:rsidP="008D4603">
      <w:pPr>
        <w:spacing w:before="120"/>
        <w:rPr>
          <w:b/>
          <w:sz w:val="24"/>
          <w:szCs w:val="24"/>
        </w:rPr>
      </w:pPr>
      <w:r w:rsidRPr="00A36331">
        <w:rPr>
          <w:b/>
          <w:sz w:val="24"/>
          <w:szCs w:val="24"/>
        </w:rPr>
        <w:t>Human Rights Committee</w:t>
      </w:r>
    </w:p>
    <w:p w14:paraId="2FD5E89A" w14:textId="5B0A5FA5" w:rsidR="001852A4" w:rsidRPr="001852A4" w:rsidRDefault="00FA222B" w:rsidP="001E3963">
      <w:pPr>
        <w:pStyle w:val="HChG"/>
        <w:spacing w:before="240"/>
      </w:pPr>
      <w:r w:rsidRPr="00214E11">
        <w:tab/>
      </w:r>
      <w:r w:rsidRPr="00214E11">
        <w:tab/>
      </w:r>
      <w:r w:rsidR="001B4E97">
        <w:t>Decision adopted by the Committee under article 5 (4) of the Optional Protocol, concerning c</w:t>
      </w:r>
      <w:r w:rsidRPr="00214E11">
        <w:t xml:space="preserve">ommunication </w:t>
      </w:r>
      <w:r w:rsidRPr="00703B2D">
        <w:t xml:space="preserve">No. </w:t>
      </w:r>
      <w:r w:rsidRPr="003D5CDA">
        <w:t>2</w:t>
      </w:r>
      <w:r w:rsidR="00F20B05">
        <w:t>454</w:t>
      </w:r>
      <w:r w:rsidRPr="003D5CDA">
        <w:t>/201</w:t>
      </w:r>
      <w:r w:rsidR="00FC3AD3">
        <w:t>4</w:t>
      </w:r>
      <w:r w:rsidR="001B4E97" w:rsidRPr="00D620AF">
        <w:rPr>
          <w:b w:val="0"/>
          <w:sz w:val="20"/>
        </w:rPr>
        <w:footnoteReference w:customMarkFollows="1" w:id="2"/>
        <w:t>*</w:t>
      </w:r>
      <w:proofErr w:type="gramStart"/>
      <w:r w:rsidR="001B4E97" w:rsidRPr="00D620AF">
        <w:rPr>
          <w:b w:val="0"/>
          <w:sz w:val="20"/>
          <w:vertAlign w:val="superscript"/>
        </w:rPr>
        <w:t>,</w:t>
      </w:r>
      <w:r w:rsidR="00606D94" w:rsidRPr="00D620AF">
        <w:rPr>
          <w:b w:val="0"/>
          <w:sz w:val="20"/>
        </w:rPr>
        <w:footnoteReference w:customMarkFollows="1" w:id="3"/>
        <w:t>*</w:t>
      </w:r>
      <w:proofErr w:type="gramEnd"/>
      <w:r w:rsidR="00606D94" w:rsidRPr="00D620AF">
        <w:rPr>
          <w:b w:val="0"/>
          <w:sz w:val="20"/>
        </w:rPr>
        <w:t>*</w:t>
      </w:r>
    </w:p>
    <w:p w14:paraId="3C49338A" w14:textId="5D0575B1" w:rsidR="00FA222B" w:rsidRPr="00214E11" w:rsidRDefault="001852A4" w:rsidP="00FE51CB">
      <w:pPr>
        <w:pStyle w:val="H1G"/>
      </w:pPr>
      <w:r>
        <w:tab/>
      </w:r>
      <w:r>
        <w:tab/>
      </w:r>
    </w:p>
    <w:p w14:paraId="5F4B0C93" w14:textId="2C04F6DB" w:rsidR="00FA222B" w:rsidRPr="00214E11" w:rsidRDefault="00B36BBE" w:rsidP="007F5E52">
      <w:pPr>
        <w:pStyle w:val="SingleTxtG"/>
        <w:ind w:left="4536" w:hanging="3402"/>
        <w:jc w:val="left"/>
        <w:rPr>
          <w:i/>
          <w:lang w:val="x-none"/>
        </w:rPr>
      </w:pPr>
      <w:r>
        <w:rPr>
          <w:i/>
          <w:lang w:val="en-US"/>
        </w:rPr>
        <w:t>Communication s</w:t>
      </w:r>
      <w:proofErr w:type="spellStart"/>
      <w:r w:rsidR="00FA222B" w:rsidRPr="00214E11">
        <w:rPr>
          <w:i/>
          <w:lang w:val="x-none"/>
        </w:rPr>
        <w:t>ubmitted</w:t>
      </w:r>
      <w:proofErr w:type="spellEnd"/>
      <w:r w:rsidR="00FA222B" w:rsidRPr="00214E11">
        <w:rPr>
          <w:i/>
          <w:lang w:val="x-none"/>
        </w:rPr>
        <w:t xml:space="preserve"> by:</w:t>
      </w:r>
      <w:r w:rsidR="00FA222B" w:rsidRPr="00214E11">
        <w:rPr>
          <w:i/>
          <w:lang w:val="x-none"/>
        </w:rPr>
        <w:tab/>
      </w:r>
      <w:r w:rsidR="00334C86">
        <w:rPr>
          <w:lang w:val="en-US"/>
        </w:rPr>
        <w:t xml:space="preserve">S G </w:t>
      </w:r>
      <w:r w:rsidR="00FA222B" w:rsidRPr="00667AF3">
        <w:rPr>
          <w:lang w:val="x-none"/>
        </w:rPr>
        <w:t>(</w:t>
      </w:r>
      <w:r w:rsidR="00334C86">
        <w:rPr>
          <w:lang w:val="en-US"/>
        </w:rPr>
        <w:t xml:space="preserve">initially </w:t>
      </w:r>
      <w:r w:rsidR="00FA222B" w:rsidRPr="00667AF3">
        <w:rPr>
          <w:lang w:val="x-none"/>
        </w:rPr>
        <w:t xml:space="preserve">represented by </w:t>
      </w:r>
      <w:proofErr w:type="spellStart"/>
      <w:r w:rsidR="00334C86">
        <w:rPr>
          <w:lang w:val="en-US"/>
        </w:rPr>
        <w:t>Renu</w:t>
      </w:r>
      <w:proofErr w:type="spellEnd"/>
      <w:r w:rsidR="00334C86">
        <w:rPr>
          <w:lang w:val="en-US"/>
        </w:rPr>
        <w:t xml:space="preserve"> </w:t>
      </w:r>
      <w:proofErr w:type="spellStart"/>
      <w:r w:rsidR="00334C86">
        <w:rPr>
          <w:lang w:val="en-US"/>
        </w:rPr>
        <w:t>Mandhane</w:t>
      </w:r>
      <w:proofErr w:type="spellEnd"/>
      <w:r w:rsidR="00FC3AD3">
        <w:rPr>
          <w:lang w:val="en-US"/>
        </w:rPr>
        <w:t>)</w:t>
      </w:r>
      <w:r w:rsidR="000D1381">
        <w:rPr>
          <w:lang w:val="en-US"/>
        </w:rPr>
        <w:t xml:space="preserve"> </w:t>
      </w:r>
    </w:p>
    <w:p w14:paraId="5D2E3C44" w14:textId="77777777" w:rsidR="00FA222B" w:rsidRPr="00895FA2" w:rsidRDefault="00FA222B" w:rsidP="007F5E52">
      <w:pPr>
        <w:pStyle w:val="SingleTxtG"/>
        <w:ind w:left="4536" w:hanging="3402"/>
        <w:jc w:val="left"/>
        <w:rPr>
          <w:i/>
          <w:lang w:val="en-US"/>
        </w:rPr>
      </w:pPr>
      <w:r w:rsidRPr="00214E11">
        <w:rPr>
          <w:i/>
          <w:lang w:val="x-none"/>
        </w:rPr>
        <w:t>Alleged victim:</w:t>
      </w:r>
      <w:r w:rsidRPr="00214E11">
        <w:rPr>
          <w:i/>
          <w:lang w:val="x-none"/>
        </w:rPr>
        <w:tab/>
      </w:r>
      <w:r w:rsidRPr="00214E11">
        <w:rPr>
          <w:lang w:val="x-none"/>
        </w:rPr>
        <w:t>The author</w:t>
      </w:r>
      <w:r w:rsidR="00364996">
        <w:rPr>
          <w:lang w:val="en-US"/>
        </w:rPr>
        <w:t xml:space="preserve"> </w:t>
      </w:r>
    </w:p>
    <w:p w14:paraId="51CAE6E0" w14:textId="77777777" w:rsidR="00FA222B" w:rsidRPr="00214E11" w:rsidRDefault="00FA222B" w:rsidP="007F5E52">
      <w:pPr>
        <w:pStyle w:val="SingleTxtG"/>
        <w:ind w:left="4536" w:hanging="3402"/>
        <w:jc w:val="left"/>
        <w:rPr>
          <w:i/>
          <w:lang w:val="x-none"/>
        </w:rPr>
      </w:pPr>
      <w:r w:rsidRPr="00214E11">
        <w:rPr>
          <w:i/>
          <w:lang w:val="x-none"/>
        </w:rPr>
        <w:t>State party:</w:t>
      </w:r>
      <w:r w:rsidRPr="00214E11">
        <w:rPr>
          <w:i/>
          <w:lang w:val="x-none"/>
        </w:rPr>
        <w:tab/>
      </w:r>
      <w:r w:rsidR="00334C86">
        <w:rPr>
          <w:lang w:val="en-US"/>
        </w:rPr>
        <w:t xml:space="preserve">Canada </w:t>
      </w:r>
      <w:r w:rsidR="002839ED">
        <w:rPr>
          <w:lang w:val="en-US"/>
        </w:rPr>
        <w:t xml:space="preserve"> </w:t>
      </w:r>
      <w:r w:rsidR="00E6182F">
        <w:rPr>
          <w:lang w:val="en-US"/>
        </w:rPr>
        <w:t xml:space="preserve"> </w:t>
      </w:r>
    </w:p>
    <w:p w14:paraId="700807F9" w14:textId="77777777" w:rsidR="00FA222B" w:rsidRPr="00214E11" w:rsidRDefault="00FA222B" w:rsidP="007F5E52">
      <w:pPr>
        <w:pStyle w:val="SingleTxtG"/>
        <w:ind w:left="4536" w:hanging="3402"/>
        <w:jc w:val="left"/>
        <w:rPr>
          <w:i/>
        </w:rPr>
      </w:pPr>
      <w:r w:rsidRPr="00214E11">
        <w:rPr>
          <w:i/>
          <w:lang w:val="x-none"/>
        </w:rPr>
        <w:t>Date of communication:</w:t>
      </w:r>
      <w:r w:rsidRPr="00214E11">
        <w:rPr>
          <w:i/>
          <w:lang w:val="x-none"/>
        </w:rPr>
        <w:tab/>
      </w:r>
      <w:r w:rsidR="00334C86" w:rsidRPr="00334C86">
        <w:rPr>
          <w:lang w:val="en-US"/>
        </w:rPr>
        <w:t xml:space="preserve">28 April 2014 </w:t>
      </w:r>
      <w:r w:rsidR="005148E1" w:rsidRPr="00214E11">
        <w:rPr>
          <w:lang w:val="x-none"/>
        </w:rPr>
        <w:t>(initial submission)</w:t>
      </w:r>
    </w:p>
    <w:p w14:paraId="7F26CB2C" w14:textId="6D3AF759" w:rsidR="00D06AB5" w:rsidRPr="00D06AB5" w:rsidRDefault="00FA222B" w:rsidP="00D06AB5">
      <w:pPr>
        <w:pStyle w:val="SingleTxtG"/>
        <w:ind w:left="4536" w:hanging="3402"/>
        <w:jc w:val="left"/>
        <w:rPr>
          <w:i/>
          <w:lang w:val="x-none"/>
        </w:rPr>
      </w:pPr>
      <w:r w:rsidRPr="00214E11">
        <w:rPr>
          <w:i/>
          <w:lang w:val="x-none"/>
        </w:rPr>
        <w:t>Document references:</w:t>
      </w:r>
      <w:r w:rsidRPr="00214E11">
        <w:rPr>
          <w:i/>
          <w:lang w:val="x-none"/>
        </w:rPr>
        <w:tab/>
      </w:r>
      <w:r w:rsidR="00D06AB5" w:rsidRPr="00D06AB5">
        <w:rPr>
          <w:lang w:val="en-US"/>
        </w:rPr>
        <w:t xml:space="preserve">Decision </w:t>
      </w:r>
      <w:r w:rsidR="00D06AB5" w:rsidRPr="00D06AB5">
        <w:t>taken</w:t>
      </w:r>
      <w:r w:rsidR="00D06AB5" w:rsidRPr="00D06AB5">
        <w:rPr>
          <w:lang w:val="en-US"/>
        </w:rPr>
        <w:t xml:space="preserve"> pursuant to </w:t>
      </w:r>
      <w:r w:rsidR="00D06AB5" w:rsidRPr="00B5613D">
        <w:rPr>
          <w:lang w:val="en-US"/>
        </w:rPr>
        <w:t>rule</w:t>
      </w:r>
      <w:r w:rsidR="00FC3AD3" w:rsidRPr="00B5613D">
        <w:rPr>
          <w:lang w:val="en-US"/>
        </w:rPr>
        <w:t xml:space="preserve"> </w:t>
      </w:r>
      <w:r w:rsidR="00D06AB5" w:rsidRPr="00B5613D">
        <w:rPr>
          <w:lang w:val="en-US"/>
        </w:rPr>
        <w:t>9</w:t>
      </w:r>
      <w:r w:rsidR="0015715D">
        <w:rPr>
          <w:lang w:val="en-US"/>
        </w:rPr>
        <w:t>2</w:t>
      </w:r>
      <w:r w:rsidR="00D06AB5" w:rsidRPr="00D06AB5">
        <w:rPr>
          <w:lang w:val="en-US"/>
        </w:rPr>
        <w:t xml:space="preserve"> of the Committee’s rules of procedure</w:t>
      </w:r>
      <w:r w:rsidR="00D06AB5" w:rsidRPr="00D06AB5">
        <w:rPr>
          <w:lang w:val="x-none"/>
        </w:rPr>
        <w:t xml:space="preserve">, transmitted to the State party on </w:t>
      </w:r>
      <w:r w:rsidR="00334C86">
        <w:rPr>
          <w:lang w:val="en-US"/>
        </w:rPr>
        <w:t xml:space="preserve">27 August </w:t>
      </w:r>
      <w:r w:rsidR="00D06AB5" w:rsidRPr="00D06AB5">
        <w:rPr>
          <w:lang w:val="x-none"/>
        </w:rPr>
        <w:t>201</w:t>
      </w:r>
      <w:r w:rsidR="00FC3AD3">
        <w:rPr>
          <w:lang w:val="en-US"/>
        </w:rPr>
        <w:t>4</w:t>
      </w:r>
      <w:r w:rsidR="00D06AB5" w:rsidRPr="00D06AB5">
        <w:rPr>
          <w:lang w:val="x-none"/>
        </w:rPr>
        <w:t xml:space="preserve"> (not issued in document form)</w:t>
      </w:r>
    </w:p>
    <w:p w14:paraId="0E4D5099" w14:textId="557EF8C3" w:rsidR="00FA222B" w:rsidRPr="00D06AB5" w:rsidRDefault="00FA222B" w:rsidP="007F5E52">
      <w:pPr>
        <w:pStyle w:val="SingleTxtG"/>
        <w:ind w:left="4536" w:hanging="3402"/>
        <w:jc w:val="left"/>
      </w:pPr>
      <w:r w:rsidRPr="00214E11">
        <w:rPr>
          <w:i/>
          <w:lang w:val="x-none"/>
        </w:rPr>
        <w:t>Date of adoption of Views:</w:t>
      </w:r>
      <w:r w:rsidRPr="00214E11">
        <w:rPr>
          <w:i/>
          <w:lang w:val="x-none"/>
        </w:rPr>
        <w:tab/>
      </w:r>
      <w:r w:rsidR="001B4E97">
        <w:t>26</w:t>
      </w:r>
      <w:r w:rsidR="002F4AF0">
        <w:rPr>
          <w:lang w:val="en-US"/>
        </w:rPr>
        <w:t xml:space="preserve"> </w:t>
      </w:r>
      <w:r w:rsidR="00334C86">
        <w:rPr>
          <w:lang w:val="en-US"/>
        </w:rPr>
        <w:t xml:space="preserve">July </w:t>
      </w:r>
      <w:r w:rsidR="00D06AB5" w:rsidRPr="00D06AB5">
        <w:t>201</w:t>
      </w:r>
      <w:r w:rsidR="00FC3AD3">
        <w:t>9</w:t>
      </w:r>
    </w:p>
    <w:p w14:paraId="4719A991" w14:textId="1B8951D7" w:rsidR="00BF5D8C" w:rsidRPr="00334C86" w:rsidRDefault="00FA222B" w:rsidP="007F5E52">
      <w:pPr>
        <w:pStyle w:val="SingleTxtG"/>
        <w:ind w:left="4536" w:hanging="3402"/>
        <w:jc w:val="left"/>
        <w:rPr>
          <w:lang w:val="en-US"/>
        </w:rPr>
      </w:pPr>
      <w:r w:rsidRPr="00214E11">
        <w:rPr>
          <w:i/>
          <w:lang w:val="x-none"/>
        </w:rPr>
        <w:t>Subject matter:</w:t>
      </w:r>
      <w:r w:rsidRPr="00214E11">
        <w:rPr>
          <w:i/>
          <w:lang w:val="x-none"/>
        </w:rPr>
        <w:tab/>
      </w:r>
      <w:r w:rsidR="00334C86" w:rsidRPr="00334C86">
        <w:rPr>
          <w:lang w:val="en-US"/>
        </w:rPr>
        <w:t xml:space="preserve">Delays in </w:t>
      </w:r>
      <w:r w:rsidR="00334C86" w:rsidRPr="00334C86">
        <w:rPr>
          <w:lang w:val="x-none"/>
        </w:rPr>
        <w:t>grant</w:t>
      </w:r>
      <w:r w:rsidR="00334C86" w:rsidRPr="00334C86">
        <w:rPr>
          <w:lang w:val="en-US"/>
        </w:rPr>
        <w:t xml:space="preserve">ing the author’s </w:t>
      </w:r>
      <w:r w:rsidR="00334C86" w:rsidRPr="00334C86">
        <w:rPr>
          <w:lang w:val="x-none"/>
        </w:rPr>
        <w:t>application for permanent residenc</w:t>
      </w:r>
      <w:r w:rsidR="00265E20">
        <w:rPr>
          <w:lang w:val="x-none"/>
        </w:rPr>
        <w:t>e</w:t>
      </w:r>
      <w:r w:rsidR="00334C86" w:rsidRPr="00334C86">
        <w:rPr>
          <w:lang w:val="x-none"/>
        </w:rPr>
        <w:t xml:space="preserve"> </w:t>
      </w:r>
      <w:r w:rsidR="00265E20">
        <w:rPr>
          <w:lang w:val="en-US"/>
        </w:rPr>
        <w:t>in Canada; lack of access to an effective remedy</w:t>
      </w:r>
      <w:r w:rsidR="00FC3AD3" w:rsidRPr="00334C86">
        <w:rPr>
          <w:lang w:val="en-US"/>
        </w:rPr>
        <w:t xml:space="preserve"> </w:t>
      </w:r>
    </w:p>
    <w:p w14:paraId="3E8AEB0E" w14:textId="4FF08E36" w:rsidR="00FA222B" w:rsidRPr="00A90FB7" w:rsidRDefault="00FA222B" w:rsidP="007F5E52">
      <w:pPr>
        <w:pStyle w:val="SingleTxtG"/>
        <w:ind w:left="4536" w:hanging="3402"/>
        <w:jc w:val="left"/>
        <w:rPr>
          <w:lang w:val="x-none"/>
        </w:rPr>
      </w:pPr>
      <w:r w:rsidRPr="00214E11">
        <w:rPr>
          <w:i/>
          <w:lang w:val="x-none"/>
        </w:rPr>
        <w:t>Procedural issue</w:t>
      </w:r>
      <w:r w:rsidR="00FC1908">
        <w:rPr>
          <w:i/>
          <w:lang w:val="en-US"/>
        </w:rPr>
        <w:t>s</w:t>
      </w:r>
      <w:r w:rsidRPr="00214E11">
        <w:rPr>
          <w:i/>
          <w:lang w:val="x-none"/>
        </w:rPr>
        <w:t xml:space="preserve">: </w:t>
      </w:r>
      <w:r w:rsidRPr="00214E11">
        <w:rPr>
          <w:i/>
          <w:lang w:val="x-none"/>
        </w:rPr>
        <w:tab/>
      </w:r>
      <w:r w:rsidR="003D35F2" w:rsidRPr="003D35F2">
        <w:rPr>
          <w:lang w:val="en-US"/>
        </w:rPr>
        <w:t>Inadmissi</w:t>
      </w:r>
      <w:r w:rsidR="008A25F6">
        <w:rPr>
          <w:lang w:val="en-US"/>
        </w:rPr>
        <w:t xml:space="preserve">bility as manifestly ill-founded; </w:t>
      </w:r>
      <w:r w:rsidR="003D35F2" w:rsidRPr="003D35F2">
        <w:rPr>
          <w:lang w:val="en-US"/>
        </w:rPr>
        <w:t xml:space="preserve"> inadmissibility </w:t>
      </w:r>
      <w:proofErr w:type="spellStart"/>
      <w:r w:rsidR="003D35F2" w:rsidRPr="0051035B">
        <w:rPr>
          <w:i/>
          <w:lang w:val="en-US"/>
        </w:rPr>
        <w:t>ratione</w:t>
      </w:r>
      <w:proofErr w:type="spellEnd"/>
      <w:r w:rsidR="003D35F2" w:rsidRPr="0051035B">
        <w:rPr>
          <w:i/>
          <w:lang w:val="en-US"/>
        </w:rPr>
        <w:t xml:space="preserve"> </w:t>
      </w:r>
      <w:proofErr w:type="spellStart"/>
      <w:r w:rsidR="003D35F2" w:rsidRPr="0051035B">
        <w:rPr>
          <w:i/>
          <w:lang w:val="en-US"/>
        </w:rPr>
        <w:t>materiae</w:t>
      </w:r>
      <w:proofErr w:type="spellEnd"/>
      <w:r w:rsidR="0051035B">
        <w:rPr>
          <w:lang w:val="en-US"/>
        </w:rPr>
        <w:t xml:space="preserve">; </w:t>
      </w:r>
      <w:r w:rsidR="00B5613D">
        <w:rPr>
          <w:lang w:val="en-US"/>
        </w:rPr>
        <w:t>mootness;</w:t>
      </w:r>
      <w:r w:rsidR="00F61725">
        <w:rPr>
          <w:lang w:val="en-US"/>
        </w:rPr>
        <w:t xml:space="preserve"> non-exhaustion of domestic </w:t>
      </w:r>
      <w:r w:rsidR="00F61725">
        <w:rPr>
          <w:lang w:val="en-US"/>
        </w:rPr>
        <w:lastRenderedPageBreak/>
        <w:t xml:space="preserve">remedies; </w:t>
      </w:r>
      <w:r w:rsidR="0051035B">
        <w:rPr>
          <w:lang w:val="en-US"/>
        </w:rPr>
        <w:t>level of substantiation of claims</w:t>
      </w:r>
      <w:r w:rsidR="00F61725">
        <w:rPr>
          <w:lang w:val="en-US"/>
        </w:rPr>
        <w:t>; incompatibility</w:t>
      </w:r>
    </w:p>
    <w:p w14:paraId="72684795" w14:textId="5C954863" w:rsidR="00AD2438" w:rsidRDefault="00790CDD" w:rsidP="00AD2438">
      <w:pPr>
        <w:pStyle w:val="SingleTxtG"/>
        <w:ind w:left="4536" w:hanging="3402"/>
        <w:jc w:val="left"/>
      </w:pPr>
      <w:r>
        <w:rPr>
          <w:i/>
          <w:lang w:val="x-none"/>
        </w:rPr>
        <w:t>Substantive issue</w:t>
      </w:r>
      <w:r w:rsidR="008A25F6">
        <w:rPr>
          <w:i/>
          <w:lang w:val="en-US"/>
        </w:rPr>
        <w:t>s</w:t>
      </w:r>
      <w:r w:rsidR="00FA222B" w:rsidRPr="00C43195">
        <w:rPr>
          <w:i/>
          <w:lang w:val="x-none"/>
        </w:rPr>
        <w:t xml:space="preserve">: </w:t>
      </w:r>
      <w:r w:rsidR="00FA222B" w:rsidRPr="00C43195">
        <w:rPr>
          <w:i/>
          <w:lang w:val="x-none"/>
        </w:rPr>
        <w:tab/>
      </w:r>
      <w:r w:rsidR="0051035B">
        <w:rPr>
          <w:lang w:val="en-US"/>
        </w:rPr>
        <w:t>R</w:t>
      </w:r>
      <w:r w:rsidR="00D06C3E">
        <w:rPr>
          <w:lang w:val="en-US"/>
        </w:rPr>
        <w:t>ight t</w:t>
      </w:r>
      <w:r w:rsidR="0051035B">
        <w:rPr>
          <w:lang w:val="en-US"/>
        </w:rPr>
        <w:t xml:space="preserve">o </w:t>
      </w:r>
      <w:r w:rsidR="00334C86">
        <w:rPr>
          <w:lang w:val="en-US"/>
        </w:rPr>
        <w:t>a remedy</w:t>
      </w:r>
      <w:r w:rsidR="0051035B">
        <w:rPr>
          <w:lang w:val="en-US"/>
        </w:rPr>
        <w:t xml:space="preserve">; </w:t>
      </w:r>
      <w:r w:rsidR="00334C86">
        <w:rPr>
          <w:lang w:val="en-US"/>
        </w:rPr>
        <w:t xml:space="preserve">right to a fair trial; </w:t>
      </w:r>
      <w:r w:rsidR="00B5613D">
        <w:rPr>
          <w:lang w:val="en-US"/>
        </w:rPr>
        <w:t xml:space="preserve">right to privacy; </w:t>
      </w:r>
      <w:r w:rsidR="00334C86">
        <w:rPr>
          <w:lang w:val="en-US"/>
        </w:rPr>
        <w:t xml:space="preserve">freedom of expression; </w:t>
      </w:r>
      <w:r w:rsidR="00B5613D">
        <w:rPr>
          <w:lang w:val="en-US"/>
        </w:rPr>
        <w:t xml:space="preserve">freedom of association; </w:t>
      </w:r>
      <w:r w:rsidR="00334C86">
        <w:rPr>
          <w:lang w:val="en-US"/>
        </w:rPr>
        <w:t xml:space="preserve">non-discrimination </w:t>
      </w:r>
    </w:p>
    <w:p w14:paraId="258F149E" w14:textId="77777777" w:rsidR="00790CDD" w:rsidRDefault="00FA222B" w:rsidP="002F4AF0">
      <w:pPr>
        <w:pStyle w:val="SingleTxtG"/>
        <w:ind w:left="4536" w:hanging="3402"/>
        <w:jc w:val="left"/>
        <w:rPr>
          <w:lang w:val="en-US"/>
        </w:rPr>
      </w:pPr>
      <w:r w:rsidRPr="00214E11">
        <w:rPr>
          <w:i/>
          <w:lang w:val="x-none"/>
        </w:rPr>
        <w:t>Article</w:t>
      </w:r>
      <w:r w:rsidR="008A25F6">
        <w:rPr>
          <w:i/>
          <w:lang w:val="en-US"/>
        </w:rPr>
        <w:t>s</w:t>
      </w:r>
      <w:r w:rsidRPr="00214E11">
        <w:rPr>
          <w:i/>
          <w:lang w:val="x-none"/>
        </w:rPr>
        <w:t xml:space="preserve"> of the Covenant:</w:t>
      </w:r>
      <w:r w:rsidRPr="00214E11">
        <w:rPr>
          <w:i/>
          <w:lang w:val="x-none"/>
        </w:rPr>
        <w:tab/>
      </w:r>
      <w:r w:rsidR="00334C86" w:rsidRPr="00334C86">
        <w:rPr>
          <w:lang w:val="en-US"/>
        </w:rPr>
        <w:t>2(3), 14</w:t>
      </w:r>
      <w:r w:rsidR="00B5613D">
        <w:rPr>
          <w:lang w:val="en-US"/>
        </w:rPr>
        <w:t>(1), 17</w:t>
      </w:r>
      <w:r w:rsidR="00334C86" w:rsidRPr="00334C86">
        <w:rPr>
          <w:lang w:val="en-US"/>
        </w:rPr>
        <w:t>(2), 19</w:t>
      </w:r>
      <w:r w:rsidR="00B5613D">
        <w:rPr>
          <w:lang w:val="en-US"/>
        </w:rPr>
        <w:t>(2)</w:t>
      </w:r>
      <w:r w:rsidR="00334C86" w:rsidRPr="00334C86">
        <w:rPr>
          <w:lang w:val="en-US"/>
        </w:rPr>
        <w:t>, 22 and 26</w:t>
      </w:r>
      <w:r w:rsidR="00FC3AD3">
        <w:rPr>
          <w:lang w:val="en-US"/>
        </w:rPr>
        <w:t xml:space="preserve"> </w:t>
      </w:r>
      <w:r w:rsidR="002F4AF0">
        <w:rPr>
          <w:lang w:val="en-US"/>
        </w:rPr>
        <w:t xml:space="preserve"> </w:t>
      </w:r>
    </w:p>
    <w:p w14:paraId="7D16C40A" w14:textId="28E2DE47" w:rsidR="00D55A86" w:rsidRDefault="00FA222B" w:rsidP="004553C0">
      <w:pPr>
        <w:pStyle w:val="SingleTxtG"/>
        <w:spacing w:after="240"/>
        <w:ind w:left="4536" w:hanging="3402"/>
        <w:jc w:val="left"/>
      </w:pPr>
      <w:r w:rsidRPr="00214E11">
        <w:rPr>
          <w:i/>
          <w:lang w:val="x-none"/>
        </w:rPr>
        <w:t>Article</w:t>
      </w:r>
      <w:r w:rsidR="003E492D">
        <w:rPr>
          <w:i/>
        </w:rPr>
        <w:t>s</w:t>
      </w:r>
      <w:r w:rsidRPr="00214E11">
        <w:rPr>
          <w:i/>
          <w:lang w:val="x-none"/>
        </w:rPr>
        <w:t xml:space="preserve"> of the Optional Protocol:</w:t>
      </w:r>
      <w:r w:rsidR="003D35F2">
        <w:rPr>
          <w:i/>
        </w:rPr>
        <w:tab/>
      </w:r>
      <w:r w:rsidR="00A90FB7" w:rsidRPr="00404AF3">
        <w:t>2</w:t>
      </w:r>
      <w:r w:rsidR="003E492D">
        <w:t xml:space="preserve"> and 5 (2) (b)</w:t>
      </w:r>
    </w:p>
    <w:p w14:paraId="59E1736A" w14:textId="6BE48D94" w:rsidR="00F10F53" w:rsidRPr="00D0330B" w:rsidRDefault="00A43A07" w:rsidP="00A43A07">
      <w:pPr>
        <w:pStyle w:val="SingleTxtG"/>
      </w:pPr>
      <w:r w:rsidRPr="00D0330B">
        <w:t>1.1</w:t>
      </w:r>
      <w:r w:rsidRPr="00D0330B">
        <w:tab/>
      </w:r>
      <w:r w:rsidR="00763EEE" w:rsidRPr="00D0330B">
        <w:t>The author of the communication</w:t>
      </w:r>
      <w:r w:rsidR="008A25F6" w:rsidRPr="00D0330B">
        <w:t>,</w:t>
      </w:r>
      <w:r w:rsidR="00763EEE" w:rsidRPr="00D0330B">
        <w:t xml:space="preserve"> </w:t>
      </w:r>
      <w:r w:rsidR="00F10F53" w:rsidRPr="00D0330B">
        <w:t>received on 28 April 2014, is Mr. S G, an Alevi Kurd born in Turkey on 14 September 1956, currently residin</w:t>
      </w:r>
      <w:r w:rsidR="00B5613D" w:rsidRPr="00D0330B">
        <w:t xml:space="preserve">g in Canada. The author claims </w:t>
      </w:r>
      <w:r w:rsidR="00F10F53" w:rsidRPr="00D0330B">
        <w:t xml:space="preserve">that by falsely associating him with a terrorist organisation (the Kurdish Workers Party - PKK) and unreasonably delaying </w:t>
      </w:r>
      <w:r w:rsidR="00DD4BD1">
        <w:t>the consideration of</w:t>
      </w:r>
      <w:r w:rsidR="00F10F53" w:rsidRPr="00D0330B">
        <w:t xml:space="preserve"> </w:t>
      </w:r>
      <w:r w:rsidR="00F61725">
        <w:t xml:space="preserve">and granting </w:t>
      </w:r>
      <w:r w:rsidR="00F10F53" w:rsidRPr="00D0330B">
        <w:t>his application for permanent residenc</w:t>
      </w:r>
      <w:r w:rsidR="00F61725">
        <w:t>e</w:t>
      </w:r>
      <w:r w:rsidR="00F10F53" w:rsidRPr="00D0330B">
        <w:t>, Canada has violated his rights under articles 2 (3), 14</w:t>
      </w:r>
      <w:r w:rsidR="00F83EA1" w:rsidRPr="00D0330B">
        <w:t>(1)</w:t>
      </w:r>
      <w:r w:rsidR="00F10F53" w:rsidRPr="00D0330B">
        <w:t>, 17(2), 19</w:t>
      </w:r>
      <w:r w:rsidR="00F83EA1" w:rsidRPr="00D0330B">
        <w:t>(2)</w:t>
      </w:r>
      <w:r w:rsidR="00F10F53" w:rsidRPr="00D0330B">
        <w:t xml:space="preserve">, 22 and 26 of the International Covenant on Civil and Political Rights (“the Covenant”). The author is represented by counsel, Mr. </w:t>
      </w:r>
      <w:proofErr w:type="spellStart"/>
      <w:r w:rsidR="00F10F53" w:rsidRPr="00D0330B">
        <w:t>Renu</w:t>
      </w:r>
      <w:proofErr w:type="spellEnd"/>
      <w:r w:rsidR="00F10F53" w:rsidRPr="00D0330B">
        <w:t xml:space="preserve"> </w:t>
      </w:r>
      <w:proofErr w:type="spellStart"/>
      <w:r w:rsidR="00F10F53" w:rsidRPr="00D0330B">
        <w:t>Mandhane</w:t>
      </w:r>
      <w:proofErr w:type="spellEnd"/>
      <w:r w:rsidR="00F10F53" w:rsidRPr="00D0330B">
        <w:t>.</w:t>
      </w:r>
      <w:r w:rsidR="00F10F53" w:rsidRPr="00D0330B">
        <w:rPr>
          <w:rStyle w:val="FootnoteReference"/>
        </w:rPr>
        <w:footnoteReference w:id="4"/>
      </w:r>
      <w:r w:rsidR="00F10F53" w:rsidRPr="00D0330B">
        <w:t xml:space="preserve"> The first Optional Protocol to the Covenant entered into force for Canada on 19 August 1976.</w:t>
      </w:r>
    </w:p>
    <w:p w14:paraId="39158825" w14:textId="58D97745" w:rsidR="00E83610" w:rsidRPr="00D0330B" w:rsidRDefault="000C368A" w:rsidP="000C368A">
      <w:pPr>
        <w:pStyle w:val="H23G"/>
      </w:pPr>
      <w:r>
        <w:tab/>
      </w:r>
      <w:r>
        <w:tab/>
      </w:r>
      <w:r w:rsidR="004014E3" w:rsidRPr="00D0330B">
        <w:t>The f</w:t>
      </w:r>
      <w:r w:rsidR="00BE74EC" w:rsidRPr="00D0330B">
        <w:t xml:space="preserve">acts as presented by the author </w:t>
      </w:r>
    </w:p>
    <w:p w14:paraId="0A14B6BB" w14:textId="3A18580F" w:rsidR="00BB4FE5" w:rsidRPr="00D0330B" w:rsidRDefault="000C368A" w:rsidP="00BB4FE5">
      <w:pPr>
        <w:pStyle w:val="SingleTxtG"/>
        <w:rPr>
          <w:rFonts w:eastAsia="Calibri"/>
        </w:rPr>
      </w:pPr>
      <w:r>
        <w:rPr>
          <w:rFonts w:eastAsia="Calibri"/>
          <w:lang w:val="en-US"/>
        </w:rPr>
        <w:t>2.1</w:t>
      </w:r>
      <w:r>
        <w:rPr>
          <w:rFonts w:eastAsia="Calibri"/>
          <w:lang w:val="en-US"/>
        </w:rPr>
        <w:tab/>
      </w:r>
      <w:r w:rsidR="00E83610" w:rsidRPr="00D0330B">
        <w:rPr>
          <w:rFonts w:eastAsia="Calibri"/>
          <w:lang w:val="en-US"/>
        </w:rPr>
        <w:t xml:space="preserve">The author left Turkey in December 1990, fleeing persecution, arbitrary detention and torture by Turkish authorities due to his membership in a trade union and his Kurdish ethnicity. In 1981, the author was detained for 5 months, during which he was tortured. He was arrested a second time in 1990 and released after a few days. He entered Canada as a visitor on 8 April 1991, claiming protection as a refugee. In March 1993, he was granted refugee status and immediately applied for a permanent resident permit (then called ‘landed immigrant </w:t>
      </w:r>
      <w:proofErr w:type="gramStart"/>
      <w:r w:rsidR="00E83610" w:rsidRPr="00D0330B">
        <w:rPr>
          <w:rFonts w:eastAsia="Calibri"/>
          <w:lang w:val="en-US"/>
        </w:rPr>
        <w:t>status’</w:t>
      </w:r>
      <w:proofErr w:type="gramEnd"/>
      <w:r w:rsidR="00E83610" w:rsidRPr="00D0330B">
        <w:rPr>
          <w:rFonts w:eastAsia="Calibri"/>
          <w:lang w:val="en-US"/>
        </w:rPr>
        <w:t xml:space="preserve">) to Citizenship and Immigration Canada (CIC). Although his application was approved in July 1993 pending security screening, </w:t>
      </w:r>
      <w:r w:rsidR="00E83610" w:rsidRPr="00D0330B">
        <w:rPr>
          <w:rFonts w:eastAsia="Calibri"/>
        </w:rPr>
        <w:t>the author was granted permanent resident status only on 7 September 2006.</w:t>
      </w:r>
    </w:p>
    <w:p w14:paraId="57B2DBC1" w14:textId="1BC223AA" w:rsidR="00BB4FE5" w:rsidRPr="00D0330B" w:rsidRDefault="00E83610" w:rsidP="00BB4FE5">
      <w:pPr>
        <w:pStyle w:val="SingleTxtG"/>
        <w:rPr>
          <w:rFonts w:eastAsia="Calibri"/>
          <w:lang w:val="en-US"/>
        </w:rPr>
      </w:pPr>
      <w:r w:rsidRPr="00D0330B">
        <w:rPr>
          <w:rFonts w:eastAsia="Calibri"/>
        </w:rPr>
        <w:t>2.2</w:t>
      </w:r>
      <w:r w:rsidRPr="00D0330B">
        <w:rPr>
          <w:rFonts w:eastAsia="Calibri"/>
        </w:rPr>
        <w:tab/>
      </w:r>
      <w:r w:rsidRPr="00D0330B">
        <w:rPr>
          <w:rFonts w:eastAsia="Calibri"/>
          <w:lang w:val="en-US"/>
        </w:rPr>
        <w:t>Soon after his arrival in Canada, in August 1992, the author co-founded the Toronto</w:t>
      </w:r>
      <w:r w:rsidRPr="00D0330B">
        <w:rPr>
          <w:rFonts w:eastAsia="Calibri"/>
        </w:rPr>
        <w:t xml:space="preserve"> </w:t>
      </w:r>
      <w:r w:rsidRPr="00D0330B">
        <w:rPr>
          <w:rFonts w:eastAsia="Calibri"/>
          <w:lang w:val="en-US"/>
        </w:rPr>
        <w:t>Kurdish Community and Information Centre (TKCIC), which is a cultural</w:t>
      </w:r>
      <w:r w:rsidRPr="00D0330B">
        <w:rPr>
          <w:rFonts w:eastAsia="Calibri"/>
        </w:rPr>
        <w:t xml:space="preserve"> </w:t>
      </w:r>
      <w:r w:rsidRPr="00D0330B">
        <w:rPr>
          <w:rFonts w:eastAsia="Calibri"/>
          <w:lang w:val="en-US"/>
        </w:rPr>
        <w:t>organization helping Turkish Kurds to settle in Toronto.</w:t>
      </w:r>
      <w:r w:rsidR="00BB4FE5" w:rsidRPr="00D0330B">
        <w:rPr>
          <w:rFonts w:eastAsia="Calibri"/>
        </w:rPr>
        <w:t xml:space="preserve"> </w:t>
      </w:r>
      <w:r w:rsidRPr="00D0330B">
        <w:rPr>
          <w:rFonts w:eastAsia="Calibri"/>
          <w:lang w:val="en-US"/>
        </w:rPr>
        <w:t>The author was active in establishing the TKCIC because he wanted to help foster a</w:t>
      </w:r>
      <w:r w:rsidRPr="00D0330B">
        <w:rPr>
          <w:rFonts w:eastAsia="Calibri"/>
        </w:rPr>
        <w:t xml:space="preserve"> </w:t>
      </w:r>
      <w:r w:rsidRPr="00D0330B">
        <w:rPr>
          <w:rFonts w:eastAsia="Calibri"/>
          <w:lang w:val="en-US"/>
        </w:rPr>
        <w:t>sense of community among Kurds arriving in Toronto and also wished to</w:t>
      </w:r>
      <w:r w:rsidRPr="00D0330B">
        <w:rPr>
          <w:rFonts w:eastAsia="Calibri"/>
        </w:rPr>
        <w:t xml:space="preserve"> </w:t>
      </w:r>
      <w:r w:rsidRPr="00D0330B">
        <w:rPr>
          <w:rFonts w:eastAsia="Calibri"/>
          <w:lang w:val="en-US"/>
        </w:rPr>
        <w:t>expose the human rights violations of the Turkish government against Kurds.</w:t>
      </w:r>
    </w:p>
    <w:p w14:paraId="03A56152" w14:textId="67473964" w:rsidR="008D46CF" w:rsidRPr="00D0330B" w:rsidRDefault="00E83610" w:rsidP="008D46CF">
      <w:pPr>
        <w:pStyle w:val="SingleTxtG"/>
        <w:rPr>
          <w:rFonts w:eastAsia="Calibri"/>
        </w:rPr>
      </w:pPr>
      <w:r w:rsidRPr="00D0330B">
        <w:rPr>
          <w:rFonts w:eastAsia="Calibri"/>
        </w:rPr>
        <w:t>2.3</w:t>
      </w:r>
      <w:r w:rsidRPr="00D0330B">
        <w:rPr>
          <w:rFonts w:eastAsia="Calibri"/>
        </w:rPr>
        <w:tab/>
        <w:t xml:space="preserve">For his application to be granted, the Canadian Security and Intelligence Service (CSIS) conducted a security check and interviewed the author on 13 October 1994 to assess if he posed a risk to the State party’s public safety. He was asked whether he was a member of the Kurdish Workers Party (PKK) </w:t>
      </w:r>
      <w:r w:rsidR="00DD4BD1">
        <w:rPr>
          <w:rFonts w:eastAsia="Calibri"/>
        </w:rPr>
        <w:t xml:space="preserve">and </w:t>
      </w:r>
      <w:r w:rsidR="003E492D">
        <w:rPr>
          <w:rFonts w:eastAsia="Calibri"/>
        </w:rPr>
        <w:t xml:space="preserve">was </w:t>
      </w:r>
      <w:r w:rsidRPr="00D0330B">
        <w:rPr>
          <w:rFonts w:eastAsia="Calibri"/>
        </w:rPr>
        <w:t xml:space="preserve">informed that his phone calls had </w:t>
      </w:r>
      <w:r w:rsidRPr="00D0330B">
        <w:rPr>
          <w:rFonts w:eastAsia="Calibri"/>
        </w:rPr>
        <w:lastRenderedPageBreak/>
        <w:t>been monitored</w:t>
      </w:r>
      <w:r w:rsidR="00DD4BD1">
        <w:rPr>
          <w:rFonts w:eastAsia="Calibri"/>
        </w:rPr>
        <w:t xml:space="preserve">. He was also told </w:t>
      </w:r>
      <w:r w:rsidR="003511D0" w:rsidRPr="00D0330B">
        <w:rPr>
          <w:rFonts w:eastAsia="Calibri"/>
        </w:rPr>
        <w:t xml:space="preserve">that CSIS would recommend </w:t>
      </w:r>
      <w:r w:rsidRPr="00D0330B">
        <w:rPr>
          <w:rFonts w:eastAsia="Calibri"/>
        </w:rPr>
        <w:t>grant</w:t>
      </w:r>
      <w:r w:rsidR="003511D0" w:rsidRPr="00D0330B">
        <w:rPr>
          <w:rFonts w:eastAsia="Calibri"/>
        </w:rPr>
        <w:t xml:space="preserve">ing </w:t>
      </w:r>
      <w:r w:rsidRPr="00D0330B">
        <w:rPr>
          <w:rFonts w:eastAsia="Calibri"/>
        </w:rPr>
        <w:t>his application, if he agreed to provide names of PKK members in the Kurd community in Toronto.</w:t>
      </w:r>
      <w:r w:rsidRPr="00D0330B">
        <w:rPr>
          <w:rFonts w:eastAsia="Calibri"/>
          <w:vertAlign w:val="superscript"/>
        </w:rPr>
        <w:footnoteReference w:id="5"/>
      </w:r>
    </w:p>
    <w:p w14:paraId="1281C9D2" w14:textId="69636727" w:rsidR="003511D0" w:rsidRPr="00D0330B" w:rsidRDefault="00E83610" w:rsidP="008D46CF">
      <w:pPr>
        <w:pStyle w:val="SingleTxtG"/>
        <w:rPr>
          <w:rFonts w:eastAsia="Calibri"/>
          <w:sz w:val="24"/>
          <w:szCs w:val="24"/>
        </w:rPr>
      </w:pPr>
      <w:r w:rsidRPr="00D0330B">
        <w:rPr>
          <w:rFonts w:eastAsia="Calibri"/>
        </w:rPr>
        <w:t>2.4</w:t>
      </w:r>
      <w:r w:rsidRPr="00D0330B">
        <w:rPr>
          <w:rFonts w:eastAsia="Calibri"/>
        </w:rPr>
        <w:tab/>
        <w:t xml:space="preserve">In May 1997, the author decided to leave the </w:t>
      </w:r>
      <w:r w:rsidR="00633673" w:rsidRPr="00D0330B">
        <w:rPr>
          <w:rFonts w:eastAsia="Calibri"/>
        </w:rPr>
        <w:t xml:space="preserve">leadership </w:t>
      </w:r>
      <w:r w:rsidRPr="00D0330B">
        <w:rPr>
          <w:rFonts w:eastAsia="Calibri"/>
        </w:rPr>
        <w:t>of the TKCIC and to cut off ties with the centre, as he believed that the Intelligence Service suspected the TKCIC of being a front for the PKK. The author wished to demonstrate clearly to CSIS that he had no connection to the PKK. During the period 1998 to 2006, the author, together with Ms</w:t>
      </w:r>
      <w:r w:rsidR="003511D0" w:rsidRPr="00D0330B">
        <w:rPr>
          <w:rFonts w:eastAsia="Calibri"/>
        </w:rPr>
        <w:t>.</w:t>
      </w:r>
      <w:r w:rsidRPr="00D0330B">
        <w:rPr>
          <w:rFonts w:eastAsia="Calibri"/>
        </w:rPr>
        <w:t xml:space="preserve"> Mary Jo Leddy, founder of a settlement agency for refugees in Toronto, made significant</w:t>
      </w:r>
      <w:r w:rsidRPr="00D0330B">
        <w:rPr>
          <w:rFonts w:eastAsia="Calibri"/>
          <w:sz w:val="24"/>
          <w:szCs w:val="24"/>
        </w:rPr>
        <w:t xml:space="preserve"> </w:t>
      </w:r>
      <w:r w:rsidRPr="00D0330B">
        <w:rPr>
          <w:rFonts w:eastAsia="Calibri"/>
        </w:rPr>
        <w:t>advocacy efforts to obtain a decision on his application for permanent</w:t>
      </w:r>
      <w:r w:rsidRPr="00D0330B">
        <w:rPr>
          <w:rFonts w:eastAsia="Calibri"/>
          <w:sz w:val="24"/>
          <w:szCs w:val="24"/>
        </w:rPr>
        <w:t xml:space="preserve"> </w:t>
      </w:r>
      <w:r w:rsidRPr="00D0330B">
        <w:rPr>
          <w:rFonts w:eastAsia="Calibri"/>
        </w:rPr>
        <w:t>residence, by sending letters to members of provincial Parliament, senators and provincial immigration ministers.</w:t>
      </w:r>
    </w:p>
    <w:p w14:paraId="7A9330F8" w14:textId="1D139279" w:rsidR="008D46CF" w:rsidRPr="00D0330B" w:rsidRDefault="00E83610" w:rsidP="008D46CF">
      <w:pPr>
        <w:pStyle w:val="SingleTxtG"/>
        <w:rPr>
          <w:rFonts w:eastAsia="Calibri"/>
        </w:rPr>
      </w:pPr>
      <w:r w:rsidRPr="00D0330B">
        <w:rPr>
          <w:rFonts w:eastAsia="Calibri"/>
        </w:rPr>
        <w:t>2.5</w:t>
      </w:r>
      <w:r w:rsidRPr="00D0330B">
        <w:rPr>
          <w:rFonts w:eastAsia="Calibri"/>
        </w:rPr>
        <w:tab/>
        <w:t>In August 1997 and March 1998, the author initiated formal proceedings with the Security Intelligence Review Committee to complain about the excessive delays in processi</w:t>
      </w:r>
      <w:r w:rsidR="003511D0" w:rsidRPr="00D0330B">
        <w:rPr>
          <w:rFonts w:eastAsia="Calibri"/>
        </w:rPr>
        <w:t xml:space="preserve">ng the security check necessary </w:t>
      </w:r>
      <w:r w:rsidRPr="00D0330B">
        <w:rPr>
          <w:rFonts w:eastAsia="Calibri"/>
        </w:rPr>
        <w:t xml:space="preserve">to finalise his </w:t>
      </w:r>
      <w:r w:rsidR="003511D0" w:rsidRPr="00D0330B">
        <w:rPr>
          <w:rFonts w:eastAsia="Calibri"/>
        </w:rPr>
        <w:t xml:space="preserve">application for </w:t>
      </w:r>
      <w:r w:rsidRPr="00D0330B">
        <w:rPr>
          <w:rFonts w:eastAsia="Calibri"/>
        </w:rPr>
        <w:t>permanent residenc</w:t>
      </w:r>
      <w:r w:rsidR="003511D0" w:rsidRPr="00D0330B">
        <w:rPr>
          <w:rFonts w:eastAsia="Calibri"/>
        </w:rPr>
        <w:t>y</w:t>
      </w:r>
      <w:r w:rsidR="00633673" w:rsidRPr="00D0330B">
        <w:rPr>
          <w:rFonts w:eastAsia="Calibri"/>
        </w:rPr>
        <w:t xml:space="preserve">. On 3 April 2000, the Committee issued a report concluding </w:t>
      </w:r>
      <w:r w:rsidRPr="00D0330B">
        <w:rPr>
          <w:rFonts w:eastAsia="Calibri"/>
        </w:rPr>
        <w:t xml:space="preserve">that the facts presented to it did not support the inference that the author was a member of PKK and that the CSIS should </w:t>
      </w:r>
      <w:r w:rsidR="00DD4BD1">
        <w:rPr>
          <w:rFonts w:eastAsia="Calibri"/>
        </w:rPr>
        <w:t>therefore</w:t>
      </w:r>
      <w:r w:rsidR="00DD4BD1" w:rsidRPr="00D0330B">
        <w:rPr>
          <w:rFonts w:eastAsia="Calibri"/>
        </w:rPr>
        <w:t xml:space="preserve"> </w:t>
      </w:r>
      <w:r w:rsidRPr="00D0330B">
        <w:rPr>
          <w:rFonts w:eastAsia="Calibri"/>
        </w:rPr>
        <w:t>advise the Citizenship and Immigration</w:t>
      </w:r>
      <w:r w:rsidR="003511D0" w:rsidRPr="00D0330B">
        <w:rPr>
          <w:rFonts w:eastAsia="Calibri"/>
        </w:rPr>
        <w:t xml:space="preserve"> Department to grant him permane</w:t>
      </w:r>
      <w:r w:rsidRPr="00D0330B">
        <w:rPr>
          <w:rFonts w:eastAsia="Calibri"/>
        </w:rPr>
        <w:t>nt residence status.</w:t>
      </w:r>
    </w:p>
    <w:p w14:paraId="7BCAA468" w14:textId="694E2D59" w:rsidR="008D46CF" w:rsidRPr="00D0330B" w:rsidRDefault="00E83610" w:rsidP="008D46CF">
      <w:pPr>
        <w:pStyle w:val="SingleTxtG"/>
        <w:rPr>
          <w:rFonts w:eastAsia="Calibri"/>
          <w:lang w:val="en-US"/>
        </w:rPr>
      </w:pPr>
      <w:r w:rsidRPr="00D0330B">
        <w:rPr>
          <w:rFonts w:eastAsia="Calibri"/>
        </w:rPr>
        <w:t>2.6</w:t>
      </w:r>
      <w:r w:rsidRPr="00D0330B">
        <w:rPr>
          <w:rFonts w:eastAsia="Calibri"/>
          <w:lang w:val="en-US"/>
        </w:rPr>
        <w:tab/>
        <w:t>On 20 March 2001, the immigration officer of Citizenship and Immigration Canada decided to reject the author’s application for permanent residenc</w:t>
      </w:r>
      <w:r w:rsidR="00063029">
        <w:rPr>
          <w:rFonts w:eastAsia="Calibri"/>
          <w:lang w:val="en-US"/>
        </w:rPr>
        <w:t>e</w:t>
      </w:r>
      <w:r w:rsidRPr="00D0330B">
        <w:rPr>
          <w:rFonts w:eastAsia="Calibri"/>
          <w:lang w:val="en-US"/>
        </w:rPr>
        <w:t xml:space="preserve"> on the basis that there were reasonable grounds to believe that the TKCIC supported the PKK and that due to his involvement in the leadership of the TKCIC, there were also reasonable grounds to believe that he was a member of the PKK, an organization e</w:t>
      </w:r>
      <w:r w:rsidR="00633673" w:rsidRPr="00D0330B">
        <w:rPr>
          <w:rFonts w:eastAsia="Calibri"/>
          <w:lang w:val="en-US"/>
        </w:rPr>
        <w:t xml:space="preserve">ngaged in terrorist activities. </w:t>
      </w:r>
      <w:r w:rsidRPr="00D0330B">
        <w:rPr>
          <w:rFonts w:eastAsia="Calibri"/>
          <w:lang w:val="en-US"/>
        </w:rPr>
        <w:t xml:space="preserve">The author sought judicial review of the afore-mentioned decision. On 12 November </w:t>
      </w:r>
      <w:r w:rsidR="002F7F13" w:rsidRPr="00D0330B">
        <w:rPr>
          <w:rFonts w:eastAsia="Calibri"/>
          <w:lang w:val="en-US"/>
        </w:rPr>
        <w:t>20</w:t>
      </w:r>
      <w:r w:rsidR="002F7F13">
        <w:rPr>
          <w:rFonts w:eastAsia="Calibri"/>
          <w:lang w:val="en-US"/>
        </w:rPr>
        <w:t>0</w:t>
      </w:r>
      <w:r w:rsidR="002F7F13" w:rsidRPr="00D0330B">
        <w:rPr>
          <w:rFonts w:eastAsia="Calibri"/>
          <w:lang w:val="en-US"/>
        </w:rPr>
        <w:t>2</w:t>
      </w:r>
      <w:r w:rsidRPr="00D0330B">
        <w:rPr>
          <w:rFonts w:eastAsia="Calibri"/>
          <w:lang w:val="en-US"/>
        </w:rPr>
        <w:t xml:space="preserve">, the Federal Court allowed the application and ruled that the immigration officer had failed to consider relevant evidence by ignoring the report of the </w:t>
      </w:r>
      <w:r w:rsidRPr="00D0330B">
        <w:rPr>
          <w:rFonts w:eastAsia="Calibri"/>
        </w:rPr>
        <w:t>Security Intelligence Review Committee</w:t>
      </w:r>
      <w:r w:rsidRPr="00D0330B">
        <w:rPr>
          <w:rFonts w:eastAsia="Calibri"/>
          <w:lang w:val="en-US"/>
        </w:rPr>
        <w:t>. It therefore remitted the matter for reconsideration to another immigration officer. However, the second immigration officer did not adopt any decision from 2002 to 2005, despite having sought advice and guidance from several officials within different agencies.</w:t>
      </w:r>
      <w:r w:rsidRPr="00D0330B">
        <w:rPr>
          <w:rFonts w:eastAsia="Calibri"/>
          <w:vertAlign w:val="superscript"/>
          <w:lang w:val="en-US"/>
        </w:rPr>
        <w:footnoteReference w:id="6"/>
      </w:r>
      <w:r w:rsidRPr="00D0330B">
        <w:rPr>
          <w:rFonts w:eastAsia="Calibri"/>
          <w:lang w:val="en-US"/>
        </w:rPr>
        <w:t xml:space="preserve"> </w:t>
      </w:r>
    </w:p>
    <w:p w14:paraId="281235F9" w14:textId="61A53EB4" w:rsidR="004A3E45" w:rsidRPr="00D0330B" w:rsidRDefault="00E83610" w:rsidP="004A3E45">
      <w:pPr>
        <w:pStyle w:val="SingleTxtG"/>
        <w:rPr>
          <w:rFonts w:eastAsia="Calibri"/>
          <w:lang w:val="en-US"/>
        </w:rPr>
      </w:pPr>
      <w:r w:rsidRPr="00D0330B">
        <w:rPr>
          <w:rFonts w:eastAsia="Calibri"/>
          <w:lang w:val="en-US"/>
        </w:rPr>
        <w:t>2.7</w:t>
      </w:r>
      <w:r w:rsidRPr="00D0330B">
        <w:rPr>
          <w:rFonts w:eastAsia="Calibri"/>
          <w:lang w:val="en-US"/>
        </w:rPr>
        <w:tab/>
        <w:t>On 8 November 2005, the author filed a civil suit before the Federal Court for damages against the Attorney General claiming that his application was not processed in a timely fashion and that he continued to be investigated on security ground</w:t>
      </w:r>
      <w:r w:rsidR="00633673" w:rsidRPr="00D0330B">
        <w:rPr>
          <w:rFonts w:eastAsia="Calibri"/>
          <w:lang w:val="en-US"/>
        </w:rPr>
        <w:t>s</w:t>
      </w:r>
      <w:r w:rsidRPr="00D0330B">
        <w:rPr>
          <w:rFonts w:eastAsia="Calibri"/>
          <w:lang w:val="en-US"/>
        </w:rPr>
        <w:t xml:space="preserve"> notwithstanding the lack of evidence to support </w:t>
      </w:r>
      <w:r w:rsidR="00633673" w:rsidRPr="00D0330B">
        <w:rPr>
          <w:rFonts w:eastAsia="Calibri"/>
          <w:lang w:val="en-US"/>
        </w:rPr>
        <w:t xml:space="preserve">further </w:t>
      </w:r>
      <w:r w:rsidRPr="00D0330B">
        <w:rPr>
          <w:rFonts w:eastAsia="Calibri"/>
          <w:lang w:val="en-US"/>
        </w:rPr>
        <w:t>investigation. The author claimed that such delay impacted his constitutional rights and therefore requested Charter</w:t>
      </w:r>
      <w:r w:rsidR="00265E20" w:rsidRPr="00D0330B">
        <w:rPr>
          <w:rStyle w:val="FootnoteReference"/>
          <w:rFonts w:eastAsia="Calibri"/>
          <w:lang w:val="en-US"/>
        </w:rPr>
        <w:footnoteReference w:id="7"/>
      </w:r>
      <w:r w:rsidRPr="00D0330B">
        <w:rPr>
          <w:rFonts w:eastAsia="Calibri"/>
          <w:lang w:val="en-US"/>
        </w:rPr>
        <w:t xml:space="preserve"> damages under section 24(2), which included violations of his rights under s. 7 (security of the person) and s. 15 (equality). He also claimed damages due to extended separation </w:t>
      </w:r>
      <w:r w:rsidR="008D46CF" w:rsidRPr="00D0330B">
        <w:rPr>
          <w:rFonts w:eastAsia="Calibri"/>
          <w:lang w:val="en-US"/>
        </w:rPr>
        <w:t xml:space="preserve">from </w:t>
      </w:r>
      <w:r w:rsidRPr="00D0330B">
        <w:rPr>
          <w:rFonts w:eastAsia="Calibri"/>
          <w:lang w:val="en-US"/>
        </w:rPr>
        <w:t xml:space="preserve">his family, travel restrictions, limitations in </w:t>
      </w:r>
      <w:r w:rsidR="00265E20" w:rsidRPr="00D0330B">
        <w:rPr>
          <w:rFonts w:eastAsia="Calibri"/>
          <w:lang w:val="en-US"/>
        </w:rPr>
        <w:t xml:space="preserve">advancing </w:t>
      </w:r>
      <w:r w:rsidRPr="00D0330B">
        <w:rPr>
          <w:rFonts w:eastAsia="Calibri"/>
          <w:lang w:val="en-US"/>
        </w:rPr>
        <w:t xml:space="preserve">his post-secondary education and in obtaining </w:t>
      </w:r>
      <w:r w:rsidRPr="00D0330B">
        <w:rPr>
          <w:rFonts w:eastAsia="Calibri"/>
          <w:lang w:val="en-US"/>
        </w:rPr>
        <w:lastRenderedPageBreak/>
        <w:t xml:space="preserve">employment, </w:t>
      </w:r>
      <w:r w:rsidR="00265E20" w:rsidRPr="00D0330B">
        <w:rPr>
          <w:rFonts w:eastAsia="Calibri"/>
          <w:lang w:val="en-US"/>
        </w:rPr>
        <w:t xml:space="preserve">and </w:t>
      </w:r>
      <w:r w:rsidRPr="00D0330B">
        <w:rPr>
          <w:rFonts w:eastAsia="Calibri"/>
          <w:lang w:val="en-US"/>
        </w:rPr>
        <w:t xml:space="preserve">restrictions on his freedom of expression. He further claimed damages resulting from psychological distress, alienation from the Kurdish community and humiliation due to his inability to fully integrate </w:t>
      </w:r>
      <w:r w:rsidR="004A3E45" w:rsidRPr="00D0330B">
        <w:rPr>
          <w:rFonts w:eastAsia="Calibri"/>
          <w:lang w:val="en-US"/>
        </w:rPr>
        <w:t xml:space="preserve">into </w:t>
      </w:r>
      <w:r w:rsidRPr="00D0330B">
        <w:rPr>
          <w:rFonts w:eastAsia="Calibri"/>
          <w:lang w:val="en-US"/>
        </w:rPr>
        <w:t>Canadian society. On 28 February 2007, his case was stayed pending a decision in a similar case,</w:t>
      </w:r>
      <w:r w:rsidRPr="00D0330B">
        <w:rPr>
          <w:rFonts w:eastAsia="Calibri"/>
          <w:vertAlign w:val="superscript"/>
          <w:lang w:val="en-US"/>
        </w:rPr>
        <w:footnoteReference w:id="8"/>
      </w:r>
      <w:r w:rsidRPr="00D0330B">
        <w:rPr>
          <w:rFonts w:eastAsia="Calibri"/>
          <w:lang w:val="en-US"/>
        </w:rPr>
        <w:t xml:space="preserve"> </w:t>
      </w:r>
      <w:r w:rsidRPr="00D0330B">
        <w:rPr>
          <w:rFonts w:eastAsia="Calibri"/>
          <w:i/>
          <w:lang w:val="en-US"/>
        </w:rPr>
        <w:t>Haj Khalil v. Canada</w:t>
      </w:r>
      <w:r w:rsidRPr="00D0330B">
        <w:rPr>
          <w:rFonts w:eastAsia="Calibri"/>
          <w:lang w:val="en-US"/>
        </w:rPr>
        <w:t>, which involved another refugee whose application for permanent residence was subject to unreasonable delay due to alleged security concerns. The Federal Court of Appeal dismissed Haj Khalil’s claim on 6 March 2009.</w:t>
      </w:r>
      <w:r w:rsidR="004A3E45" w:rsidRPr="00D0330B">
        <w:rPr>
          <w:rFonts w:eastAsia="Calibri"/>
          <w:lang w:val="en-US"/>
        </w:rPr>
        <w:t xml:space="preserve"> </w:t>
      </w:r>
      <w:r w:rsidRPr="00D0330B">
        <w:rPr>
          <w:rFonts w:eastAsia="Calibri"/>
        </w:rPr>
        <w:t>The Supreme Court of Canada then refused Haj Khalil’s application for leave to appeal on 14 April 2011. Consequently, the author decided to file a notice of discontinuance of his action.</w:t>
      </w:r>
      <w:r w:rsidR="00F61725">
        <w:rPr>
          <w:rStyle w:val="FootnoteReference"/>
          <w:rFonts w:eastAsia="Calibri"/>
        </w:rPr>
        <w:footnoteReference w:id="9"/>
      </w:r>
      <w:r w:rsidRPr="00D0330B">
        <w:rPr>
          <w:rFonts w:eastAsia="Calibri"/>
          <w:lang w:val="en-US"/>
        </w:rPr>
        <w:t xml:space="preserve"> As a result of these decisions, the author considers that he cannot proceed with his lawsuit and that he is effectively barred access to an effective remedy for the violation of his rights.</w:t>
      </w:r>
    </w:p>
    <w:p w14:paraId="5DAD659A" w14:textId="59C61076" w:rsidR="00056F22" w:rsidRPr="00D0330B" w:rsidRDefault="00E83610" w:rsidP="00056F22">
      <w:pPr>
        <w:pStyle w:val="SingleTxtG"/>
        <w:rPr>
          <w:rFonts w:eastAsia="Calibri"/>
          <w:lang w:val="en-US"/>
        </w:rPr>
      </w:pPr>
      <w:r w:rsidRPr="00D0330B">
        <w:rPr>
          <w:rFonts w:eastAsia="Calibri"/>
          <w:lang w:val="en-US"/>
        </w:rPr>
        <w:t>2.8</w:t>
      </w:r>
      <w:r w:rsidRPr="00D0330B">
        <w:rPr>
          <w:rFonts w:eastAsia="Calibri"/>
          <w:lang w:val="en-US"/>
        </w:rPr>
        <w:tab/>
      </w:r>
      <w:r w:rsidR="00367A02" w:rsidRPr="00D0330B">
        <w:rPr>
          <w:rFonts w:eastAsia="Calibri"/>
          <w:lang w:val="en-US"/>
        </w:rPr>
        <w:t xml:space="preserve">Pending the Federal Court proceedings for damages, </w:t>
      </w:r>
      <w:r w:rsidRPr="00D0330B">
        <w:rPr>
          <w:rFonts w:eastAsia="Calibri"/>
          <w:lang w:val="en-US"/>
        </w:rPr>
        <w:t>the author was granted permanent resident status</w:t>
      </w:r>
      <w:r w:rsidR="00367A02" w:rsidRPr="00D0330B">
        <w:rPr>
          <w:rFonts w:eastAsia="Calibri"/>
          <w:lang w:val="en-US"/>
        </w:rPr>
        <w:t xml:space="preserve"> on 7 September 2006, </w:t>
      </w:r>
      <w:r w:rsidRPr="00D0330B">
        <w:rPr>
          <w:rFonts w:eastAsia="Calibri"/>
          <w:lang w:val="en-US"/>
        </w:rPr>
        <w:t>13 years after his initial application. He alleges that it is only after having filed the civil suit that a decision was finally issued by the immigration officer.</w:t>
      </w:r>
    </w:p>
    <w:p w14:paraId="601F9E1C" w14:textId="304E5E8B" w:rsidR="00DC7A25" w:rsidRPr="00D0330B" w:rsidRDefault="00DC7A25" w:rsidP="00056F22">
      <w:pPr>
        <w:pStyle w:val="SingleTxtG"/>
        <w:rPr>
          <w:rFonts w:eastAsia="Calibri"/>
          <w:lang w:val="en-US"/>
        </w:rPr>
      </w:pPr>
      <w:r w:rsidRPr="00D0330B">
        <w:rPr>
          <w:rFonts w:eastAsia="Calibri"/>
          <w:lang w:val="en-US"/>
        </w:rPr>
        <w:t>2.9</w:t>
      </w:r>
      <w:r w:rsidRPr="00D0330B">
        <w:rPr>
          <w:rFonts w:eastAsia="Calibri"/>
          <w:lang w:val="en-US"/>
        </w:rPr>
        <w:tab/>
      </w:r>
      <w:r w:rsidR="00367A02" w:rsidRPr="00D0330B">
        <w:rPr>
          <w:rFonts w:eastAsia="Calibri"/>
          <w:lang w:val="en-US"/>
        </w:rPr>
        <w:t xml:space="preserve">The </w:t>
      </w:r>
      <w:r w:rsidRPr="00D0330B">
        <w:rPr>
          <w:rFonts w:eastAsia="Calibri"/>
          <w:lang w:val="en-US"/>
        </w:rPr>
        <w:t xml:space="preserve">author argues that he has exhausted </w:t>
      </w:r>
      <w:r w:rsidR="00367A02" w:rsidRPr="00D0330B">
        <w:rPr>
          <w:rFonts w:eastAsia="Calibri"/>
          <w:lang w:val="en-US"/>
        </w:rPr>
        <w:t xml:space="preserve">all available </w:t>
      </w:r>
      <w:r w:rsidRPr="00D0330B">
        <w:rPr>
          <w:rFonts w:eastAsia="Calibri"/>
          <w:lang w:val="en-US"/>
        </w:rPr>
        <w:t>domestic remedies in Canada</w:t>
      </w:r>
      <w:r w:rsidRPr="00D0330B">
        <w:rPr>
          <w:rStyle w:val="FootnoteReference"/>
          <w:rFonts w:eastAsia="Calibri"/>
          <w:lang w:val="en-US"/>
        </w:rPr>
        <w:footnoteReference w:id="10"/>
      </w:r>
      <w:r w:rsidRPr="00D0330B">
        <w:rPr>
          <w:rFonts w:eastAsia="Calibri"/>
          <w:lang w:val="en-US"/>
        </w:rPr>
        <w:t xml:space="preserve"> and that he has not submitted a similar complaint before any other mechanism of international investigation or settlement. </w:t>
      </w:r>
    </w:p>
    <w:p w14:paraId="380177DB" w14:textId="2E1B74CB" w:rsidR="00056F22" w:rsidRPr="00D0330B" w:rsidRDefault="000C368A" w:rsidP="000C368A">
      <w:pPr>
        <w:pStyle w:val="H23G"/>
      </w:pPr>
      <w:r>
        <w:tab/>
      </w:r>
      <w:r>
        <w:tab/>
      </w:r>
      <w:r w:rsidR="00FA222B" w:rsidRPr="00D0330B">
        <w:t>The complaint</w:t>
      </w:r>
    </w:p>
    <w:p w14:paraId="2B5FE4AD" w14:textId="4B897CC6" w:rsidR="00056F22" w:rsidRPr="00D0330B" w:rsidRDefault="00056F22" w:rsidP="000C368A">
      <w:pPr>
        <w:pStyle w:val="SingleTxtG"/>
        <w:rPr>
          <w:lang w:val="en-US"/>
        </w:rPr>
      </w:pPr>
      <w:r w:rsidRPr="00D0330B">
        <w:rPr>
          <w:lang w:val="en-US"/>
        </w:rPr>
        <w:t>3.1</w:t>
      </w:r>
      <w:r w:rsidRPr="00D0330B">
        <w:rPr>
          <w:lang w:val="en-US"/>
        </w:rPr>
        <w:tab/>
      </w:r>
      <w:r w:rsidR="000C368A" w:rsidRPr="00D0330B">
        <w:rPr>
          <w:lang w:val="en-US"/>
        </w:rPr>
        <w:t>The author submits that the State party’s authorities have deliberately failed to process his application for permanent residence in a timely fashion. He claims that he was deprived of the enjoyment of many rights in Canada due to a 13-year delay caused by officials in processing his application, filed in March 1993. He maintains that by causing such delay, Canada has violated his rights under articles 2(3), 14(1), 17(2), 19(2), 22 and 26 of</w:t>
      </w:r>
      <w:r w:rsidR="000C368A" w:rsidRPr="00D0330B">
        <w:t xml:space="preserve"> the </w:t>
      </w:r>
      <w:r w:rsidR="000C368A">
        <w:rPr>
          <w:lang w:val="en-US"/>
        </w:rPr>
        <w:t>Covenant.</w:t>
      </w:r>
    </w:p>
    <w:p w14:paraId="18D48BB4" w14:textId="1E0CF092" w:rsidR="00056F22" w:rsidRPr="00D0330B" w:rsidRDefault="00056F22" w:rsidP="00056F22">
      <w:pPr>
        <w:pStyle w:val="SingleTxtG"/>
        <w:rPr>
          <w:rFonts w:eastAsia="Calibri"/>
        </w:rPr>
      </w:pPr>
      <w:r w:rsidRPr="00D0330B">
        <w:rPr>
          <w:rFonts w:eastAsia="Calibri"/>
        </w:rPr>
        <w:t>3.2</w:t>
      </w:r>
      <w:r w:rsidRPr="00D0330B">
        <w:rPr>
          <w:rFonts w:eastAsia="Calibri"/>
        </w:rPr>
        <w:tab/>
        <w:t>The author alleges a breach of article 26, as he was denied equal access to post-secondary education and the ability to reunite with his family, as a result of a discriminatory regime that unjustifiably distinguished between persons with refugee status and permanent residents with respect to education and family reunification.</w:t>
      </w:r>
      <w:r w:rsidRPr="00D0330B">
        <w:rPr>
          <w:rFonts w:eastAsia="Calibri"/>
          <w:vertAlign w:val="superscript"/>
        </w:rPr>
        <w:footnoteReference w:id="11"/>
      </w:r>
      <w:r w:rsidRPr="00D0330B">
        <w:rPr>
          <w:rFonts w:eastAsia="Calibri"/>
        </w:rPr>
        <w:t xml:space="preserve"> The author claims that, despite </w:t>
      </w:r>
      <w:r w:rsidRPr="00D0330B">
        <w:rPr>
          <w:rFonts w:eastAsia="Calibri"/>
        </w:rPr>
        <w:lastRenderedPageBreak/>
        <w:t xml:space="preserve">being admitted to McGill University and the University of Toronto, he was prevented from pursuing post-secondary education in order to qualify for employment in his profession as an engineer, </w:t>
      </w:r>
      <w:r w:rsidR="00901F9C" w:rsidRPr="00D0330B">
        <w:rPr>
          <w:rFonts w:eastAsia="Calibri"/>
        </w:rPr>
        <w:t xml:space="preserve">since </w:t>
      </w:r>
      <w:r w:rsidRPr="00D0330B">
        <w:rPr>
          <w:rFonts w:eastAsia="Calibri"/>
        </w:rPr>
        <w:t>he was not eligi</w:t>
      </w:r>
      <w:r w:rsidR="00813166">
        <w:rPr>
          <w:rFonts w:eastAsia="Calibri"/>
        </w:rPr>
        <w:t xml:space="preserve">ble to apply for student loans, </w:t>
      </w:r>
      <w:r w:rsidRPr="00D0330B">
        <w:rPr>
          <w:rFonts w:eastAsia="Calibri"/>
        </w:rPr>
        <w:t>which were available to persons with permanent resident status.</w:t>
      </w:r>
      <w:r w:rsidRPr="00D0330B">
        <w:rPr>
          <w:rFonts w:eastAsia="Calibri"/>
          <w:vertAlign w:val="superscript"/>
        </w:rPr>
        <w:footnoteReference w:id="12"/>
      </w:r>
      <w:r w:rsidRPr="00D0330B">
        <w:rPr>
          <w:rFonts w:eastAsia="Calibri"/>
        </w:rPr>
        <w:t xml:space="preserve"> Until 2002, he was unable to be issued with travel documents</w:t>
      </w:r>
      <w:r w:rsidR="00813166">
        <w:rPr>
          <w:rFonts w:eastAsia="Calibri"/>
        </w:rPr>
        <w:t xml:space="preserve">, </w:t>
      </w:r>
      <w:r w:rsidRPr="00D0330B">
        <w:rPr>
          <w:rFonts w:eastAsia="Calibri"/>
        </w:rPr>
        <w:t>which would have enabled him to see his family in third countries.</w:t>
      </w:r>
    </w:p>
    <w:p w14:paraId="2D003D7A" w14:textId="41AC2642" w:rsidR="00056F22" w:rsidRPr="00D0330B" w:rsidRDefault="00056F22" w:rsidP="00056F22">
      <w:pPr>
        <w:pStyle w:val="SingleTxtG"/>
        <w:rPr>
          <w:rFonts w:eastAsia="Calibri"/>
        </w:rPr>
      </w:pPr>
      <w:r w:rsidRPr="00D0330B">
        <w:rPr>
          <w:rFonts w:eastAsia="Calibri"/>
        </w:rPr>
        <w:t>3.3</w:t>
      </w:r>
      <w:r w:rsidRPr="00D0330B">
        <w:rPr>
          <w:rFonts w:eastAsia="Calibri"/>
        </w:rPr>
        <w:tab/>
        <w:t xml:space="preserve">The author further asserts that Canada’s </w:t>
      </w:r>
      <w:r w:rsidR="00067206" w:rsidRPr="00D0330B">
        <w:rPr>
          <w:rFonts w:eastAsia="Calibri"/>
        </w:rPr>
        <w:t xml:space="preserve">disproportionate </w:t>
      </w:r>
      <w:r w:rsidRPr="00D0330B">
        <w:rPr>
          <w:rFonts w:eastAsia="Calibri"/>
        </w:rPr>
        <w:t>delay in processing his app</w:t>
      </w:r>
      <w:r w:rsidR="00067206" w:rsidRPr="00D0330B">
        <w:rPr>
          <w:rFonts w:eastAsia="Calibri"/>
        </w:rPr>
        <w:t>lication for permanent residence</w:t>
      </w:r>
      <w:r w:rsidRPr="00D0330B">
        <w:rPr>
          <w:rFonts w:eastAsia="Calibri"/>
        </w:rPr>
        <w:t xml:space="preserve"> and its hostile investigatory practices created an </w:t>
      </w:r>
      <w:r w:rsidR="00067206" w:rsidRPr="00D0330B">
        <w:rPr>
          <w:rFonts w:eastAsia="Calibri"/>
        </w:rPr>
        <w:t xml:space="preserve">intimidating climate, </w:t>
      </w:r>
      <w:r w:rsidRPr="00D0330B">
        <w:rPr>
          <w:rFonts w:eastAsia="Calibri"/>
        </w:rPr>
        <w:t xml:space="preserve">which restricted the author’s ability to engage in political expression and activity, thereby violating his freedom of expression </w:t>
      </w:r>
      <w:r w:rsidR="00067206" w:rsidRPr="00D0330B">
        <w:rPr>
          <w:rFonts w:eastAsia="Calibri"/>
        </w:rPr>
        <w:t xml:space="preserve">guaranteed </w:t>
      </w:r>
      <w:r w:rsidRPr="00D0330B">
        <w:rPr>
          <w:rFonts w:eastAsia="Calibri"/>
        </w:rPr>
        <w:t>under article 19(2)</w:t>
      </w:r>
      <w:r w:rsidR="00067206" w:rsidRPr="00D0330B">
        <w:rPr>
          <w:rFonts w:eastAsia="Calibri"/>
        </w:rPr>
        <w:t xml:space="preserve"> of the Covenant</w:t>
      </w:r>
      <w:r w:rsidRPr="00D0330B">
        <w:rPr>
          <w:rFonts w:eastAsia="Calibri"/>
        </w:rPr>
        <w:t xml:space="preserve">. The author explained that he arrived in Canada fleeing persecution on the basis of ethnicity and saw an opportunity in Canada to raise awareness about the plight of Alevi Kurds, including through the creation of the TKCIC. However, because of his </w:t>
      </w:r>
      <w:r w:rsidR="00067206" w:rsidRPr="00D0330B">
        <w:rPr>
          <w:rFonts w:eastAsia="Calibri"/>
        </w:rPr>
        <w:t xml:space="preserve">perceived </w:t>
      </w:r>
      <w:r w:rsidRPr="00D0330B">
        <w:rPr>
          <w:rFonts w:eastAsia="Calibri"/>
        </w:rPr>
        <w:t xml:space="preserve">affiliation </w:t>
      </w:r>
      <w:r w:rsidR="00067206" w:rsidRPr="00D0330B">
        <w:rPr>
          <w:rFonts w:eastAsia="Calibri"/>
        </w:rPr>
        <w:t xml:space="preserve">with </w:t>
      </w:r>
      <w:r w:rsidRPr="00D0330B">
        <w:rPr>
          <w:rFonts w:eastAsia="Calibri"/>
        </w:rPr>
        <w:t xml:space="preserve">the PKK, he feared that any expression of criticism of the Turkish government or continued association with the TKCIC would jeopardize his application. The author therefore considers that Canada’s actions isolated him from his community, interfered with his personal and political relationships, and caused him to withdraw from his </w:t>
      </w:r>
      <w:r w:rsidR="00067206" w:rsidRPr="00D0330B">
        <w:rPr>
          <w:rFonts w:eastAsia="Calibri"/>
        </w:rPr>
        <w:t xml:space="preserve">leadership </w:t>
      </w:r>
      <w:r w:rsidRPr="00D0330B">
        <w:rPr>
          <w:rFonts w:eastAsia="Calibri"/>
        </w:rPr>
        <w:t xml:space="preserve">position with the TKCIC, which constitutes a violation of his right to freedom of association under article 22. </w:t>
      </w:r>
    </w:p>
    <w:p w14:paraId="7D4336ED" w14:textId="77777777" w:rsidR="00056F22" w:rsidRPr="00D0330B" w:rsidRDefault="00056F22" w:rsidP="00056F22">
      <w:pPr>
        <w:pStyle w:val="SingleTxtG"/>
        <w:rPr>
          <w:rFonts w:eastAsia="Calibri"/>
        </w:rPr>
      </w:pPr>
      <w:r w:rsidRPr="00D0330B">
        <w:rPr>
          <w:rFonts w:eastAsia="Calibri"/>
        </w:rPr>
        <w:t>3.4</w:t>
      </w:r>
      <w:r w:rsidRPr="00D0330B">
        <w:rPr>
          <w:rFonts w:eastAsia="Calibri"/>
        </w:rPr>
        <w:tab/>
        <w:t>The author argues that he was unable to seek redress for the violations and losses that he suffered as a result of the State party’s negligent processing of his application, which was unreasonably delayed for 13 years, in violation of his fair trial rights under articles 2(3) and 14(1) of the Covenant.</w:t>
      </w:r>
    </w:p>
    <w:p w14:paraId="169F187D" w14:textId="289DCB6D" w:rsidR="00056F22" w:rsidRPr="00D0330B" w:rsidRDefault="00056F22" w:rsidP="0086275D">
      <w:pPr>
        <w:pStyle w:val="SingleTxtG"/>
        <w:rPr>
          <w:rFonts w:eastAsia="Calibri"/>
        </w:rPr>
      </w:pPr>
      <w:r w:rsidRPr="00D0330B">
        <w:rPr>
          <w:rFonts w:eastAsia="Calibri"/>
        </w:rPr>
        <w:t>3.5</w:t>
      </w:r>
      <w:r w:rsidRPr="00D0330B">
        <w:rPr>
          <w:rFonts w:eastAsia="Calibri"/>
        </w:rPr>
        <w:tab/>
        <w:t xml:space="preserve">The author </w:t>
      </w:r>
      <w:r w:rsidR="00067206" w:rsidRPr="00D0330B">
        <w:rPr>
          <w:rFonts w:eastAsia="Calibri"/>
        </w:rPr>
        <w:t xml:space="preserve">finally claims </w:t>
      </w:r>
      <w:r w:rsidRPr="00D0330B">
        <w:rPr>
          <w:rFonts w:eastAsia="Calibri"/>
        </w:rPr>
        <w:t xml:space="preserve">that, despite being granted permanent residence, his honour and reputation </w:t>
      </w:r>
      <w:r w:rsidR="00DC42A1">
        <w:rPr>
          <w:rFonts w:eastAsia="Calibri"/>
        </w:rPr>
        <w:t>were</w:t>
      </w:r>
      <w:r w:rsidR="00DC42A1" w:rsidRPr="00D0330B">
        <w:rPr>
          <w:rFonts w:eastAsia="Calibri"/>
        </w:rPr>
        <w:t xml:space="preserve"> </w:t>
      </w:r>
      <w:r w:rsidRPr="00D0330B">
        <w:rPr>
          <w:rFonts w:eastAsia="Calibri"/>
        </w:rPr>
        <w:t>damaged as a result of being wrongly associated with the PKK and t</w:t>
      </w:r>
      <w:r w:rsidR="00067206" w:rsidRPr="00D0330B">
        <w:rPr>
          <w:rFonts w:eastAsia="Calibri"/>
        </w:rPr>
        <w:t xml:space="preserve">he </w:t>
      </w:r>
      <w:r w:rsidRPr="00D0330B">
        <w:rPr>
          <w:rFonts w:eastAsia="Calibri"/>
        </w:rPr>
        <w:t xml:space="preserve">terrorist activities, in contravention </w:t>
      </w:r>
      <w:r w:rsidR="00067206" w:rsidRPr="00D0330B">
        <w:rPr>
          <w:rFonts w:eastAsia="Calibri"/>
        </w:rPr>
        <w:t xml:space="preserve">of </w:t>
      </w:r>
      <w:r w:rsidRPr="00D0330B">
        <w:rPr>
          <w:rFonts w:eastAsia="Calibri"/>
        </w:rPr>
        <w:t>article 17 of the Covenant.</w:t>
      </w:r>
    </w:p>
    <w:p w14:paraId="52AB8716" w14:textId="7F3FB189" w:rsidR="0086275D" w:rsidRPr="00D0330B" w:rsidRDefault="0086275D" w:rsidP="0066127D">
      <w:pPr>
        <w:pStyle w:val="SingleTxtG"/>
        <w:spacing w:after="240"/>
        <w:rPr>
          <w:rFonts w:eastAsia="Calibri"/>
        </w:rPr>
      </w:pPr>
      <w:r w:rsidRPr="00D0330B">
        <w:rPr>
          <w:rFonts w:eastAsia="Calibri"/>
        </w:rPr>
        <w:t>3.6</w:t>
      </w:r>
      <w:r w:rsidRPr="00D0330B">
        <w:rPr>
          <w:rFonts w:eastAsia="Calibri"/>
        </w:rPr>
        <w:tab/>
        <w:t>Finally, the author requests personal compensation related to a loss of earnings for being prevented from accessing post-secondary education and working opportunities, a</w:t>
      </w:r>
      <w:r w:rsidR="0066127D" w:rsidRPr="00D0330B">
        <w:rPr>
          <w:rFonts w:eastAsia="Calibri"/>
        </w:rPr>
        <w:t xml:space="preserve">s well as corresponding changes to the Canadian immigration system. </w:t>
      </w:r>
    </w:p>
    <w:p w14:paraId="707B2695" w14:textId="7B8B179F" w:rsidR="0060678E" w:rsidRPr="00D0330B" w:rsidRDefault="000C368A" w:rsidP="000C368A">
      <w:pPr>
        <w:pStyle w:val="H23G"/>
      </w:pPr>
      <w:r>
        <w:lastRenderedPageBreak/>
        <w:tab/>
      </w:r>
      <w:r>
        <w:tab/>
      </w:r>
      <w:r w:rsidR="00CB4B48" w:rsidRPr="00D0330B">
        <w:t>State party’s observations on admissibility</w:t>
      </w:r>
      <w:r w:rsidR="00F35004" w:rsidRPr="00D0330B">
        <w:t xml:space="preserve"> and the merits</w:t>
      </w:r>
      <w:r w:rsidR="00CB4B48" w:rsidRPr="00D0330B">
        <w:t xml:space="preserve"> </w:t>
      </w:r>
    </w:p>
    <w:p w14:paraId="3F8424A8" w14:textId="28EE9F8B" w:rsidR="00404AF3" w:rsidRPr="00D0330B" w:rsidRDefault="000C368A" w:rsidP="002977E5">
      <w:pPr>
        <w:pStyle w:val="SingleTxtG"/>
      </w:pPr>
      <w:r>
        <w:t>4.1</w:t>
      </w:r>
      <w:r w:rsidR="00684C83" w:rsidRPr="00D0330B">
        <w:tab/>
      </w:r>
      <w:r w:rsidR="00966722" w:rsidRPr="00D0330B">
        <w:t xml:space="preserve">On </w:t>
      </w:r>
      <w:r w:rsidR="00D45761" w:rsidRPr="00D0330B">
        <w:t xml:space="preserve">28 May 2015, </w:t>
      </w:r>
      <w:r w:rsidR="00CB4B48" w:rsidRPr="00D0330B">
        <w:t>the State party submitted its observations on</w:t>
      </w:r>
      <w:r w:rsidR="004F4C0F" w:rsidRPr="00D0330B">
        <w:t xml:space="preserve"> </w:t>
      </w:r>
      <w:r w:rsidR="00CB4B48" w:rsidRPr="00D0330B">
        <w:t xml:space="preserve">admissibility </w:t>
      </w:r>
      <w:r w:rsidR="00404AF3" w:rsidRPr="00D0330B">
        <w:t xml:space="preserve">and </w:t>
      </w:r>
      <w:r w:rsidR="004F4C0F" w:rsidRPr="00D0330B">
        <w:t xml:space="preserve">the </w:t>
      </w:r>
      <w:r w:rsidR="00404AF3" w:rsidRPr="00D0330B">
        <w:t xml:space="preserve">merits </w:t>
      </w:r>
      <w:r w:rsidR="00CB4B48" w:rsidRPr="00D0330B">
        <w:t>of the communication</w:t>
      </w:r>
      <w:r w:rsidR="00A41756" w:rsidRPr="00D0330B">
        <w:t xml:space="preserve">, </w:t>
      </w:r>
      <w:r w:rsidR="00D45761" w:rsidRPr="00D0330B">
        <w:t xml:space="preserve">informing that the author was granted permanent residence in Canada in 2006, has become a Canadian citizen </w:t>
      </w:r>
      <w:r w:rsidR="00271792" w:rsidRPr="00D0330B">
        <w:t xml:space="preserve">thereafter </w:t>
      </w:r>
      <w:r w:rsidR="00D45761" w:rsidRPr="00D0330B">
        <w:t xml:space="preserve">and his complaint primarily </w:t>
      </w:r>
      <w:r w:rsidR="00271792" w:rsidRPr="00D0330B">
        <w:t xml:space="preserve">pertains to the delay in the processing </w:t>
      </w:r>
      <w:r w:rsidR="00D45761" w:rsidRPr="00D0330B">
        <w:t xml:space="preserve">of his application for permanent residence. It argues that the communication is both </w:t>
      </w:r>
      <w:r w:rsidR="00CB4B48" w:rsidRPr="00D0330B">
        <w:t xml:space="preserve">inadmissible due to non-substantiation of the </w:t>
      </w:r>
      <w:r w:rsidR="0015213C" w:rsidRPr="00D0330B">
        <w:t>author’s claims</w:t>
      </w:r>
      <w:r w:rsidR="00404AF3" w:rsidRPr="00D0330B">
        <w:t xml:space="preserve">, </w:t>
      </w:r>
      <w:r w:rsidR="00D45761" w:rsidRPr="00D0330B">
        <w:t xml:space="preserve">and </w:t>
      </w:r>
      <w:r w:rsidR="00404AF3" w:rsidRPr="00D0330B">
        <w:t>without merits</w:t>
      </w:r>
      <w:r w:rsidR="00A41756" w:rsidRPr="00D0330B">
        <w:t>.</w:t>
      </w:r>
    </w:p>
    <w:p w14:paraId="4B7F04B1" w14:textId="11A5138D" w:rsidR="00D45761" w:rsidRPr="00D0330B" w:rsidRDefault="00D45761" w:rsidP="002977E5">
      <w:pPr>
        <w:pStyle w:val="SingleTxtG"/>
      </w:pPr>
      <w:r w:rsidRPr="00D0330B">
        <w:t>4.2</w:t>
      </w:r>
      <w:r w:rsidRPr="00D0330B">
        <w:tab/>
        <w:t>The author’s application for permanent residence raised national security concerns</w:t>
      </w:r>
      <w:r w:rsidR="00744F22">
        <w:t>,</w:t>
      </w:r>
      <w:r w:rsidRPr="00D0330B">
        <w:t xml:space="preserve"> which required careful review by Canadian officials before a decision to grant permanent residence in Canada could appropriately be made. While the State party acknowledges that this process took some time, the author has always been able to work in Canada and had access to education, health care and many other benefits and services. The author also had access to Canada’s judicial system to raise allegations </w:t>
      </w:r>
      <w:r w:rsidR="00271792" w:rsidRPr="00D0330B">
        <w:t xml:space="preserve">related to </w:t>
      </w:r>
      <w:r w:rsidRPr="00D0330B">
        <w:t xml:space="preserve">the processing </w:t>
      </w:r>
      <w:r w:rsidR="00271792" w:rsidRPr="00D0330B">
        <w:t xml:space="preserve">of </w:t>
      </w:r>
      <w:r w:rsidRPr="00D0330B">
        <w:t xml:space="preserve">his application for permanent residence. </w:t>
      </w:r>
    </w:p>
    <w:p w14:paraId="62E3D4F6" w14:textId="7E456774" w:rsidR="00556AE6" w:rsidRPr="00D0330B" w:rsidRDefault="00D45761" w:rsidP="00F737E6">
      <w:pPr>
        <w:pStyle w:val="SingleTxtG"/>
      </w:pPr>
      <w:r w:rsidRPr="00D0330B">
        <w:t>4.3</w:t>
      </w:r>
      <w:r w:rsidRPr="00D0330B">
        <w:tab/>
        <w:t xml:space="preserve">The State party </w:t>
      </w:r>
      <w:r w:rsidR="00271792" w:rsidRPr="00D0330B">
        <w:t xml:space="preserve">claims </w:t>
      </w:r>
      <w:r w:rsidRPr="00D0330B">
        <w:t xml:space="preserve">that the communication is inadmissible </w:t>
      </w:r>
      <w:r w:rsidR="00DC42A1">
        <w:t>on</w:t>
      </w:r>
      <w:r w:rsidRPr="00D0330B">
        <w:t xml:space="preserve"> four grounds. First, the communication is entirely moot. Given that the author was granted permanent residence more than eight years ago and is now a citizen, the conditions for the alleged violations of his rights have ceased to exist. </w:t>
      </w:r>
      <w:r w:rsidR="00F737E6" w:rsidRPr="00D0330B">
        <w:t xml:space="preserve">It cannot be said that a live controversy persists in relation to the author’s entitlement to a remedy for delay in circumstances where the author failed to avail himself of the appropriate domestic remedial avenue to address the delay, namely an application for leave and judicial review for an order of </w:t>
      </w:r>
      <w:r w:rsidR="00F737E6" w:rsidRPr="00D0330B">
        <w:rPr>
          <w:i/>
        </w:rPr>
        <w:t>mandamus</w:t>
      </w:r>
      <w:r w:rsidR="00F737E6" w:rsidRPr="00D0330B">
        <w:t xml:space="preserve">. The author’s allegations in relation to the allegedly discriminatory exclusion of refugees from the Canada Student Loans program are also moot, as the program was amended approximately 12 years ago in a manner that would have remedied the alleged inconsistency with the Covenant. </w:t>
      </w:r>
    </w:p>
    <w:p w14:paraId="596DD953" w14:textId="6AD16210" w:rsidR="00D14762" w:rsidRPr="00D0330B" w:rsidRDefault="00F737E6" w:rsidP="00F737E6">
      <w:pPr>
        <w:pStyle w:val="SingleTxtG"/>
      </w:pPr>
      <w:r w:rsidRPr="00D0330B">
        <w:t>4.4</w:t>
      </w:r>
      <w:r w:rsidRPr="00D0330B">
        <w:tab/>
        <w:t>Second, the communication is wholly or partially inadmissible for non-exhaustion of domestic remedies. The author’s allegations of violations of the Covenant both generall</w:t>
      </w:r>
      <w:r w:rsidR="00C90FBC" w:rsidRPr="00D0330B">
        <w:t>y and in relation to article 14</w:t>
      </w:r>
      <w:r w:rsidRPr="00D0330B">
        <w:t xml:space="preserve">(1) relate to the delay in the processing of his application for permanent residence. However, the author failed to pursue the domestic remedy that would have offered </w:t>
      </w:r>
      <w:r w:rsidR="00DC42A1">
        <w:t xml:space="preserve">him with </w:t>
      </w:r>
      <w:r w:rsidRPr="00D0330B">
        <w:t xml:space="preserve">reasonable prospects of redress in relation to </w:t>
      </w:r>
      <w:r w:rsidR="00DC42A1">
        <w:t xml:space="preserve">the </w:t>
      </w:r>
      <w:r w:rsidRPr="00D0330B">
        <w:t xml:space="preserve">delay. The author also failed to raise the substance of his claims under articles 17 and 26 </w:t>
      </w:r>
      <w:r w:rsidR="00DC42A1">
        <w:t xml:space="preserve">before the </w:t>
      </w:r>
      <w:r w:rsidRPr="00D0330B">
        <w:t xml:space="preserve">domestic </w:t>
      </w:r>
      <w:r w:rsidR="00754918">
        <w:t>authorities</w:t>
      </w:r>
      <w:r w:rsidR="00D14762" w:rsidRPr="00D0330B">
        <w:t xml:space="preserve">. </w:t>
      </w:r>
    </w:p>
    <w:p w14:paraId="66373DEF" w14:textId="55D29B3A" w:rsidR="00AC56D3" w:rsidRPr="00D0330B" w:rsidRDefault="00D14762" w:rsidP="00AC56D3">
      <w:pPr>
        <w:pStyle w:val="SingleTxtG"/>
      </w:pPr>
      <w:r w:rsidRPr="00D0330B">
        <w:t>4.5</w:t>
      </w:r>
      <w:r w:rsidRPr="00D0330B">
        <w:tab/>
        <w:t xml:space="preserve">Third, the communication is entirely inadmissible for incompatibility with the provisions of the Covenant. In essence, the author is claiming a right to residency that is not provided for in the Covenant. Consequently, his communication is incompatible </w:t>
      </w:r>
      <w:proofErr w:type="spellStart"/>
      <w:r w:rsidRPr="00D0330B">
        <w:rPr>
          <w:i/>
        </w:rPr>
        <w:t>ratione</w:t>
      </w:r>
      <w:proofErr w:type="spellEnd"/>
      <w:r w:rsidRPr="00D0330B">
        <w:rPr>
          <w:i/>
        </w:rPr>
        <w:t xml:space="preserve"> </w:t>
      </w:r>
      <w:proofErr w:type="spellStart"/>
      <w:r w:rsidRPr="00D0330B">
        <w:rPr>
          <w:i/>
        </w:rPr>
        <w:t>materiae</w:t>
      </w:r>
      <w:proofErr w:type="spellEnd"/>
      <w:r w:rsidRPr="00D0330B">
        <w:t xml:space="preserve"> and hence inadmissible</w:t>
      </w:r>
      <w:r w:rsidR="00C90FBC" w:rsidRPr="00D0330B">
        <w:t xml:space="preserve">. </w:t>
      </w:r>
      <w:r w:rsidRPr="00D0330B">
        <w:t>Alternatively, the author’s allegations in relation to article 14(1) and 2(3) are outside the sc</w:t>
      </w:r>
      <w:r w:rsidR="00C90FBC" w:rsidRPr="00D0330B">
        <w:t>ope of the Covenant. Article 14</w:t>
      </w:r>
      <w:r w:rsidRPr="00D0330B">
        <w:t xml:space="preserve">(1) does not provide for a substantive right to make a claim. </w:t>
      </w:r>
      <w:r w:rsidR="005B3DF6" w:rsidRPr="00D0330B">
        <w:t xml:space="preserve">The </w:t>
      </w:r>
      <w:r w:rsidRPr="00D0330B">
        <w:t xml:space="preserve">author’s allegations that Canada violated article 14(1) by precluding a cause of action for damages for delay </w:t>
      </w:r>
      <w:r w:rsidR="005B3DF6" w:rsidRPr="00D0330B">
        <w:t>are outside the scope of the Covenant and therefore inadmissible</w:t>
      </w:r>
      <w:r w:rsidR="00C90FBC" w:rsidRPr="00D0330B">
        <w:t>. Article 14</w:t>
      </w:r>
      <w:r w:rsidR="005B3DF6" w:rsidRPr="00D0330B">
        <w:t xml:space="preserve">(1) is also </w:t>
      </w:r>
      <w:r w:rsidR="00C90FBC" w:rsidRPr="00D0330B">
        <w:t xml:space="preserve">not applicable </w:t>
      </w:r>
      <w:r w:rsidR="005B3DF6" w:rsidRPr="00D0330B">
        <w:t>as the processing of the author’s permanent residence application did not constitute the determination of his rights and obligations in a suit at law</w:t>
      </w:r>
      <w:r w:rsidR="00C90FBC" w:rsidRPr="00D0330B">
        <w:t xml:space="preserve">. Canada’s obligations </w:t>
      </w:r>
      <w:r w:rsidR="005B3DF6" w:rsidRPr="00D0330B">
        <w:t xml:space="preserve">under article 2(3) to provide an effective remedy are not engaged, given the absence of any arguable violation of article 14(1) or any other article of the Covenant. </w:t>
      </w:r>
    </w:p>
    <w:p w14:paraId="704FF288" w14:textId="77777777" w:rsidR="00AC56D3" w:rsidRPr="00D0330B" w:rsidRDefault="00AC56D3" w:rsidP="00AC56D3">
      <w:pPr>
        <w:pStyle w:val="SingleTxtG"/>
      </w:pPr>
      <w:r w:rsidRPr="00D0330B">
        <w:lastRenderedPageBreak/>
        <w:t>4.6</w:t>
      </w:r>
      <w:r w:rsidRPr="00D0330B">
        <w:tab/>
        <w:t xml:space="preserve">Fourth, the author has failed to substantiate his allegations on even a prima facie basis. In relation to articles 14(1) and 2(3), even if they were applicable, the </w:t>
      </w:r>
      <w:r w:rsidRPr="00D0330B">
        <w:rPr>
          <w:i/>
        </w:rPr>
        <w:t>Haj Khalil</w:t>
      </w:r>
      <w:r w:rsidRPr="00D0330B">
        <w:t xml:space="preserve"> decision did not serve to bar the author from accessing the court to seek redress associated with the processing of his application for permanent residence. Moreover, given that the author failed to pursue the appropriate domestic procedure to accelerate his application, the delay cannot be considered so unreasonable as to amount to a violation of article 14(1). The author has entirely failed to substantiate how, as a result of the </w:t>
      </w:r>
      <w:r w:rsidRPr="00D0330B">
        <w:rPr>
          <w:i/>
        </w:rPr>
        <w:t>Haj Khalil</w:t>
      </w:r>
      <w:r w:rsidRPr="00D0330B">
        <w:t xml:space="preserve"> decision or otherwise, he was prevented from seeking redress for the alleged violations of his rights. </w:t>
      </w:r>
    </w:p>
    <w:p w14:paraId="46183D26" w14:textId="7F830E31" w:rsidR="00AC56D3" w:rsidRPr="00D0330B" w:rsidRDefault="000C368A" w:rsidP="00AC56D3">
      <w:pPr>
        <w:pStyle w:val="SingleTxtG"/>
      </w:pPr>
      <w:r>
        <w:t>4.7</w:t>
      </w:r>
      <w:r w:rsidR="00AC56D3" w:rsidRPr="00D0330B">
        <w:tab/>
        <w:t xml:space="preserve">In relation to article 17, the author has failed to establish that Canadian officials unlawfully attacked his honour and reputation. Canadian law clearly empowers officials to conduct investigations where the consideration of a person’s application for permanent residence is at issue. </w:t>
      </w:r>
      <w:r w:rsidR="00DA6877" w:rsidRPr="00D0330B">
        <w:t xml:space="preserve">Even if the author had established that Canadian officials questioned his acquaintances about his activities, which is not admitted, there is no suggestion that this was done for any purpose other than for determining his eligibility for permanent residency. </w:t>
      </w:r>
    </w:p>
    <w:p w14:paraId="2AEEAA74" w14:textId="237842D2" w:rsidR="00EA0131" w:rsidRPr="00D0330B" w:rsidRDefault="000C368A" w:rsidP="00AC56D3">
      <w:pPr>
        <w:pStyle w:val="SingleTxtG"/>
      </w:pPr>
      <w:r>
        <w:t>4.8</w:t>
      </w:r>
      <w:r w:rsidR="00AC56D3" w:rsidRPr="00D0330B">
        <w:tab/>
        <w:t xml:space="preserve">In relation to articles 19(2) and 22, Canada never imposed any unlawful restrictions on the author’s rights to freedom of expression or association, and there is no suggestion that Canada acted with the intent to do so. </w:t>
      </w:r>
      <w:r w:rsidR="00DA6877" w:rsidRPr="00D0330B">
        <w:t xml:space="preserve">The author has failed to produce any evidence that Canada delayed processing </w:t>
      </w:r>
      <w:r w:rsidR="00992BAA" w:rsidRPr="00D0330B">
        <w:t xml:space="preserve">of his </w:t>
      </w:r>
      <w:r w:rsidR="00DA6877" w:rsidRPr="00D0330B">
        <w:t xml:space="preserve">application for permanent residence with the intent to muzzle any political views or cause the author to disassociate from the TKCIC. </w:t>
      </w:r>
      <w:r w:rsidR="00AC56D3" w:rsidRPr="00D0330B">
        <w:t>The author may have subjectively felt that his ability to express his political views was limited. However, he was never prohibited by the State from expressing his political opinions</w:t>
      </w:r>
      <w:r w:rsidR="00DA6877" w:rsidRPr="00D0330B">
        <w:t xml:space="preserve">, either personally or through the TKCIC, </w:t>
      </w:r>
      <w:r w:rsidR="00AC56D3" w:rsidRPr="00D0330B">
        <w:t xml:space="preserve">or threatened with any illegitimate consequences </w:t>
      </w:r>
      <w:r w:rsidR="00DA6877" w:rsidRPr="00D0330B">
        <w:t xml:space="preserve">of such expression or association. </w:t>
      </w:r>
      <w:r w:rsidR="00AC56D3" w:rsidRPr="00D0330B">
        <w:t xml:space="preserve"> </w:t>
      </w:r>
    </w:p>
    <w:p w14:paraId="210E0134" w14:textId="3B039D10" w:rsidR="00EA0131" w:rsidRPr="00D0330B" w:rsidRDefault="000C368A" w:rsidP="00AC56D3">
      <w:pPr>
        <w:pStyle w:val="SingleTxtG"/>
      </w:pPr>
      <w:r>
        <w:t>4.9</w:t>
      </w:r>
      <w:r w:rsidR="00EA0131" w:rsidRPr="00D0330B">
        <w:tab/>
        <w:t xml:space="preserve">In relation to article 26, the author has not established that he was discriminated against within the meaning of the Covenant due to the exclusion of refugees from the Canada Student Loans program prior to 2003. </w:t>
      </w:r>
      <w:r w:rsidR="00BB3E6D" w:rsidRPr="00D0330B">
        <w:t xml:space="preserve">He has not established that his ineligibility for such a loan prior to 2003 had the effect of nullifying or impairing his access to post-secondary education or to the workforce. </w:t>
      </w:r>
      <w:r w:rsidR="00EA0131" w:rsidRPr="00D0330B">
        <w:t>In addition, the author has completely failed to substantiate that he was denied equal access to travel documents while he was a refugee, in violation of his rights under article 26</w:t>
      </w:r>
      <w:r w:rsidR="00992BAA" w:rsidRPr="00D0330B">
        <w:t xml:space="preserve">, </w:t>
      </w:r>
      <w:r w:rsidR="00EA0131" w:rsidRPr="00D0330B">
        <w:t xml:space="preserve">together with article 17. Canada has made travel documents available to refugees since 16 March 1970. </w:t>
      </w:r>
    </w:p>
    <w:p w14:paraId="3150F24C" w14:textId="31BB1B0D" w:rsidR="00BB3E6D" w:rsidRPr="00D0330B" w:rsidRDefault="000C368A" w:rsidP="00AC56D3">
      <w:pPr>
        <w:pStyle w:val="SingleTxtG"/>
      </w:pPr>
      <w:r>
        <w:t>4.10</w:t>
      </w:r>
      <w:r w:rsidR="00EA0131" w:rsidRPr="00D0330B">
        <w:tab/>
        <w:t xml:space="preserve">If the Committee considered the communication admissible in whole or in part, Canada submits on the basis of the same considerations and others that the communication is wholly without merit. </w:t>
      </w:r>
      <w:r w:rsidR="00BB3E6D" w:rsidRPr="00D0330B">
        <w:t xml:space="preserve">The author’s claims in relation to </w:t>
      </w:r>
      <w:r w:rsidR="00992BAA" w:rsidRPr="00D0330B">
        <w:t xml:space="preserve">a </w:t>
      </w:r>
      <w:r w:rsidR="00BB3E6D" w:rsidRPr="00D0330B">
        <w:t xml:space="preserve">lack of access to court, undue delay and violations of the right to an effective remedy are without merit. The </w:t>
      </w:r>
      <w:r w:rsidR="00BB3E6D" w:rsidRPr="00D0330B">
        <w:rPr>
          <w:i/>
        </w:rPr>
        <w:t>Haj Khalil</w:t>
      </w:r>
      <w:r w:rsidR="00BB3E6D" w:rsidRPr="00D0330B">
        <w:t xml:space="preserve"> decision did not serve to bar the author from accessing the court and the author was not prevented by the State from seeking redress for the alleged violations of his rights under the Covenant. </w:t>
      </w:r>
    </w:p>
    <w:p w14:paraId="096C0F40" w14:textId="38382271" w:rsidR="000D6D4E" w:rsidRPr="00D0330B" w:rsidRDefault="000C368A" w:rsidP="00AC56D3">
      <w:pPr>
        <w:pStyle w:val="SingleTxtG"/>
      </w:pPr>
      <w:r>
        <w:t>4.11</w:t>
      </w:r>
      <w:r w:rsidR="00CF4948" w:rsidRPr="00D0330B">
        <w:tab/>
      </w:r>
      <w:r w:rsidR="00D43E8A" w:rsidRPr="00D0330B">
        <w:t>In relation to the allegations of undue delay in particular, the State party submits that the delay in this case cannot be considered so unreasonable as to amount to</w:t>
      </w:r>
      <w:r w:rsidR="00DF75C6" w:rsidRPr="00D0330B">
        <w:t xml:space="preserve"> a vio</w:t>
      </w:r>
      <w:r w:rsidR="00992BAA" w:rsidRPr="00D0330B">
        <w:t>lation of article 14</w:t>
      </w:r>
      <w:r w:rsidR="00DF75C6" w:rsidRPr="00D0330B">
        <w:t xml:space="preserve">(1), taking into account the totality of the circumstances, including the complexity of the issues surrounding his application. </w:t>
      </w:r>
      <w:r w:rsidR="00D43E8A" w:rsidRPr="00D0330B">
        <w:t xml:space="preserve">In </w:t>
      </w:r>
      <w:proofErr w:type="spellStart"/>
      <w:r w:rsidR="00D43E8A" w:rsidRPr="00D0330B">
        <w:rPr>
          <w:i/>
        </w:rPr>
        <w:t>Deisl</w:t>
      </w:r>
      <w:proofErr w:type="spellEnd"/>
      <w:r w:rsidR="00D43E8A" w:rsidRPr="00D0330B">
        <w:rPr>
          <w:i/>
        </w:rPr>
        <w:t xml:space="preserve"> v. Austria</w:t>
      </w:r>
      <w:r w:rsidR="00D43E8A" w:rsidRPr="00D0330B">
        <w:t xml:space="preserve">, the Committee considered the following factors in assessing whether a delay was </w:t>
      </w:r>
      <w:r w:rsidR="00D43E8A" w:rsidRPr="00D0330B">
        <w:lastRenderedPageBreak/>
        <w:t>unreasonable: the length of each stage of the proceedings; the fact that the suspensive effect of the proceedings was beneficial to the authors’ legal position; the fact that the authors did not avail themselves of possibilities to accelerate administrative proceedings; the considerable complexity of the matter; and the fact that during the time period in question, negative decisions had been set aside by administrative and judicial authorities.</w:t>
      </w:r>
      <w:r w:rsidR="00D43E8A" w:rsidRPr="00D0330B">
        <w:rPr>
          <w:rStyle w:val="FootnoteReference"/>
        </w:rPr>
        <w:footnoteReference w:id="13"/>
      </w:r>
      <w:r w:rsidR="00CF4948" w:rsidRPr="00D0330B">
        <w:t xml:space="preserve"> In</w:t>
      </w:r>
      <w:r w:rsidR="00EB61C5">
        <w:t xml:space="preserve"> its views, the Committee noted </w:t>
      </w:r>
      <w:r w:rsidR="00CF4948" w:rsidRPr="00D0330B">
        <w:t>that “these factors outweigh[</w:t>
      </w:r>
      <w:proofErr w:type="spellStart"/>
      <w:r w:rsidR="00CF4948" w:rsidRPr="00D0330B">
        <w:t>ed</w:t>
      </w:r>
      <w:proofErr w:type="spellEnd"/>
      <w:r w:rsidR="00CF4948" w:rsidRPr="00D0330B">
        <w:t>] any detrimental effects which the legal uncertainty during the protracted proceedings may have caused to the authors.</w:t>
      </w:r>
      <w:r w:rsidR="00CF4948" w:rsidRPr="00D0330B">
        <w:rPr>
          <w:rStyle w:val="FootnoteReference"/>
        </w:rPr>
        <w:footnoteReference w:id="14"/>
      </w:r>
      <w:r w:rsidR="000D6D4E" w:rsidRPr="00D0330B">
        <w:t xml:space="preserve"> Based on the totality of the circumstances, the Committe</w:t>
      </w:r>
      <w:r w:rsidR="00EB61C5">
        <w:t>e considered that the nearly 12-</w:t>
      </w:r>
      <w:r w:rsidR="000D6D4E" w:rsidRPr="00D0330B">
        <w:t xml:space="preserve">year delay in legal proceedings in that case did not amount to a violation of article 14(1). In the State party’s view, a consideration of these factors leads to the conclusion that there was no violation of article 14(1) in the circumstances of this case. </w:t>
      </w:r>
    </w:p>
    <w:p w14:paraId="1191C239" w14:textId="768B34F6" w:rsidR="00A6113A" w:rsidRPr="00D0330B" w:rsidRDefault="000C368A" w:rsidP="00AC56D3">
      <w:pPr>
        <w:pStyle w:val="SingleTxtG"/>
      </w:pPr>
      <w:r>
        <w:t>4.12</w:t>
      </w:r>
      <w:r w:rsidR="005969DE" w:rsidRPr="00D0330B">
        <w:tab/>
        <w:t xml:space="preserve">The State party points out first that </w:t>
      </w:r>
      <w:r w:rsidR="000D6D4E" w:rsidRPr="00D0330B">
        <w:t>the author failed to avail himself of the appropriate procedure to accelerate the processing of his application for permanent residence: if he was concerned about the delay, he should have filed an application for leave and judicial review for an order of mandamus to compel a decision</w:t>
      </w:r>
      <w:r w:rsidR="005969DE" w:rsidRPr="00D0330B">
        <w:t xml:space="preserve">. </w:t>
      </w:r>
      <w:r w:rsidR="000D6D4E" w:rsidRPr="00D0330B">
        <w:t xml:space="preserve">Second, </w:t>
      </w:r>
      <w:r w:rsidR="005969DE" w:rsidRPr="00D0330B">
        <w:t xml:space="preserve">it </w:t>
      </w:r>
      <w:r w:rsidR="000D6D4E" w:rsidRPr="00D0330B">
        <w:t xml:space="preserve">submits that the author’s file was considered to be complex, particularly at the time he applied for permanent residence approximately 22 years ago, when counter-terrorism was a relatively new </w:t>
      </w:r>
      <w:r w:rsidR="005969DE" w:rsidRPr="00D0330B">
        <w:t xml:space="preserve">issue </w:t>
      </w:r>
      <w:r w:rsidR="000D6D4E" w:rsidRPr="00D0330B">
        <w:t>for CIC;</w:t>
      </w:r>
      <w:r w:rsidR="00611A15" w:rsidRPr="00D0330B">
        <w:rPr>
          <w:rStyle w:val="FootnoteReference"/>
        </w:rPr>
        <w:footnoteReference w:id="15"/>
      </w:r>
      <w:r w:rsidR="000D6D4E" w:rsidRPr="00D0330B">
        <w:t xml:space="preserve"> a shift to an increased focus on counter-terrorism took place in 1990’s. </w:t>
      </w:r>
      <w:r w:rsidR="0004510A" w:rsidRPr="00D0330B">
        <w:t xml:space="preserve">It also notes that in the months and years following 11 September 2001, there was an increased focus on national security, which led to new departmental processes and guidelines. During the period in question, the initial negative decision </w:t>
      </w:r>
      <w:r w:rsidR="005969DE" w:rsidRPr="00D0330B">
        <w:t xml:space="preserve">about </w:t>
      </w:r>
      <w:r w:rsidR="0004510A" w:rsidRPr="00D0330B">
        <w:t xml:space="preserve">the author’s application for permanent residence was set aside by the Federal Court and the matter was sent back to CIC for a fresh determination. </w:t>
      </w:r>
      <w:r w:rsidR="005969DE" w:rsidRPr="00D0330B">
        <w:t xml:space="preserve">The State party </w:t>
      </w:r>
      <w:r w:rsidR="0004510A" w:rsidRPr="00D0330B">
        <w:t>submits that in light of the totality of the ci</w:t>
      </w:r>
      <w:r w:rsidR="005969DE" w:rsidRPr="00D0330B">
        <w:t>rcumstances, even if article 14</w:t>
      </w:r>
      <w:r w:rsidR="0004510A" w:rsidRPr="00D0330B">
        <w:t xml:space="preserve">(1) were applicable in this case, which is denied, the processing of the author’s application for permanent residence was not delayed </w:t>
      </w:r>
      <w:r w:rsidR="000D2649">
        <w:t xml:space="preserve">in </w:t>
      </w:r>
      <w:r w:rsidR="005969DE" w:rsidRPr="00D0330B">
        <w:t xml:space="preserve">such a way </w:t>
      </w:r>
      <w:r w:rsidR="0004510A" w:rsidRPr="00D0330B">
        <w:t xml:space="preserve">that it </w:t>
      </w:r>
      <w:r w:rsidR="005969DE" w:rsidRPr="00D0330B">
        <w:t xml:space="preserve">would </w:t>
      </w:r>
      <w:r w:rsidR="0004510A" w:rsidRPr="00D0330B">
        <w:t xml:space="preserve">amount to a violation of article 14(1) of the Covenant. </w:t>
      </w:r>
    </w:p>
    <w:p w14:paraId="1FD4D27C" w14:textId="312CC33C" w:rsidR="00D43E8A" w:rsidRPr="00D0330B" w:rsidRDefault="000C368A" w:rsidP="00AC56D3">
      <w:pPr>
        <w:pStyle w:val="SingleTxtG"/>
      </w:pPr>
      <w:r>
        <w:t>4.13</w:t>
      </w:r>
      <w:r w:rsidR="00A6113A" w:rsidRPr="00D0330B">
        <w:tab/>
        <w:t xml:space="preserve">The State party also claims that the author has failed to establish a violation of article 17 of the Covenant, as he has not provided any evidence, in the form of affidavits or otherwise, to support his assertion that members of his community had been questioned about his activities. Moreover, the author has not alleged any act on the part of Canadian officials that would have amounted to an unlawful attack on his honour or reputation. Even </w:t>
      </w:r>
      <w:r w:rsidR="000D2649">
        <w:t>if</w:t>
      </w:r>
      <w:r w:rsidR="000D2649" w:rsidRPr="00D0330B">
        <w:t xml:space="preserve"> </w:t>
      </w:r>
      <w:r w:rsidR="00A6113A" w:rsidRPr="00D0330B">
        <w:t xml:space="preserve">CSIS agents </w:t>
      </w:r>
      <w:r w:rsidR="000D2649">
        <w:t xml:space="preserve">would have </w:t>
      </w:r>
      <w:r w:rsidR="00A6113A" w:rsidRPr="00D0330B">
        <w:t>interviewed members of the Kurdish community in Canada about the author’s activities, which Canada does not admit, such actions would have been entirely consistent with domestic law. As set out above, Canadian officials are, in accordance with the law, entitled to pursue investigations, including interviews, to determine a person’s eli</w:t>
      </w:r>
      <w:r w:rsidR="005E5B15" w:rsidRPr="00D0330B">
        <w:t>gibility for permanent residence</w:t>
      </w:r>
      <w:r w:rsidR="00A6113A" w:rsidRPr="00D0330B">
        <w:t xml:space="preserve">. In addition, the law authorizes CSIS to investigate “activities that may </w:t>
      </w:r>
      <w:r w:rsidR="005E5B15" w:rsidRPr="00D0330B">
        <w:t xml:space="preserve">on </w:t>
      </w:r>
      <w:r w:rsidR="00A6113A" w:rsidRPr="00D0330B">
        <w:t xml:space="preserve">reasonable grounds be suspected of constituting threats to the </w:t>
      </w:r>
      <w:r w:rsidR="005E5B15" w:rsidRPr="00D0330B">
        <w:t xml:space="preserve">national </w:t>
      </w:r>
      <w:r w:rsidR="00A6113A" w:rsidRPr="00D0330B">
        <w:t>security</w:t>
      </w:r>
      <w:r w:rsidR="005E5B15" w:rsidRPr="00D0330B">
        <w:t>.</w:t>
      </w:r>
      <w:r w:rsidR="00A6113A" w:rsidRPr="00D0330B">
        <w:t xml:space="preserve">” </w:t>
      </w:r>
      <w:r w:rsidR="0004510A" w:rsidRPr="00D0330B">
        <w:t xml:space="preserve">  </w:t>
      </w:r>
      <w:r w:rsidR="000D6D4E" w:rsidRPr="00D0330B">
        <w:t xml:space="preserve">  </w:t>
      </w:r>
    </w:p>
    <w:p w14:paraId="429BA75A" w14:textId="007858C6" w:rsidR="00DF75C6" w:rsidRPr="00D0330B" w:rsidRDefault="000C368A" w:rsidP="00AC56D3">
      <w:pPr>
        <w:pStyle w:val="SingleTxtG"/>
      </w:pPr>
      <w:r>
        <w:t>4.14</w:t>
      </w:r>
      <w:r w:rsidR="00DF75C6" w:rsidRPr="00D0330B">
        <w:tab/>
        <w:t>As stated above</w:t>
      </w:r>
      <w:r w:rsidR="005E5B15" w:rsidRPr="00D0330B">
        <w:t xml:space="preserve"> in regard to article 19 and 22</w:t>
      </w:r>
      <w:r w:rsidR="00DF75C6" w:rsidRPr="00D0330B">
        <w:t xml:space="preserve">, the State party maintains that the author has failed to substantiate his allegations that the </w:t>
      </w:r>
      <w:r w:rsidR="00DF75C6" w:rsidRPr="00D0330B">
        <w:lastRenderedPageBreak/>
        <w:t>actions of Canadian official restricted his right</w:t>
      </w:r>
      <w:r w:rsidR="000D2649">
        <w:t>s</w:t>
      </w:r>
      <w:r w:rsidR="00DF75C6" w:rsidRPr="00D0330B">
        <w:t xml:space="preserve"> to freedom of expression </w:t>
      </w:r>
      <w:r w:rsidR="000D2649">
        <w:t xml:space="preserve">and </w:t>
      </w:r>
      <w:r w:rsidR="00DF75C6" w:rsidRPr="00D0330B">
        <w:t xml:space="preserve">freedom of association. The author was never prohibited from expressing his political opinions, nor was he threatened with any illegitimate consequences of such expression or association. If, however, the Committee should consider that the Canadian government’s actions constituted a restriction on the author’s freedom of expression or freedom of association, </w:t>
      </w:r>
      <w:r w:rsidR="0037139F" w:rsidRPr="00D0330B">
        <w:t xml:space="preserve">the State party </w:t>
      </w:r>
      <w:r w:rsidR="00DF75C6" w:rsidRPr="00D0330B">
        <w:t xml:space="preserve">submits that any limitation on the author’s fundamental freedoms that may have resulted from the process of determining his eligibility for permanent resident status is in accordance with article 19(3) and article 22(1) of the Covenant. </w:t>
      </w:r>
      <w:r w:rsidR="009D0DDA" w:rsidRPr="00D0330B">
        <w:t>That is, any restriction was prescribed by law and necessary in the interests of national security and/or public safety. As set out, Canadian immigration authorities were obliged by law to determine whether the author was inadmissible to Canada. CSIS was authorized by law to conduct investigations to advise the government on security matters relevant to the exercise of authority under the Immigration Act, as well as to investigate activities that may be suspected of constituting security threats to Canada. In April 2000, the SIRC issued its investigation report finding that there was “certainly enough supportive activity [on the author’s part] to attract the initial attention of the Service.</w:t>
      </w:r>
      <w:r w:rsidR="009D0DDA" w:rsidRPr="00D0330B">
        <w:rPr>
          <w:rStyle w:val="FootnoteReference"/>
        </w:rPr>
        <w:footnoteReference w:id="16"/>
      </w:r>
      <w:r w:rsidR="009D0DDA" w:rsidRPr="00D0330B">
        <w:t xml:space="preserve"> In September 2000, the immigration officer received new information that indicated that in 1997, PKK fundraising for Surface Air Missiles had taken place at the TKCIC. The author was the president of the TKCIC from 1993 to 1994, and a member of the TKCIC executive from 1996 to 1997. It is also worth noting that the PKK was listed as a terrorist organization in Canada in 2002, and has remained a listed organization ever since. </w:t>
      </w:r>
      <w:r w:rsidR="008E725B" w:rsidRPr="00D0330B">
        <w:t xml:space="preserve">Canada maintains that national security and/or public safety requires that it properly screen applicants for security concerns prior to granting them permanent residence. </w:t>
      </w:r>
      <w:r w:rsidR="00DF75C6" w:rsidRPr="00D0330B">
        <w:t xml:space="preserve">  </w:t>
      </w:r>
    </w:p>
    <w:p w14:paraId="68700C66" w14:textId="71E4AD6A" w:rsidR="00E02EA8" w:rsidRPr="00D0330B" w:rsidRDefault="000C368A" w:rsidP="00AC56D3">
      <w:pPr>
        <w:pStyle w:val="SingleTxtG"/>
      </w:pPr>
      <w:r>
        <w:t>4.15</w:t>
      </w:r>
      <w:r w:rsidR="00E02EA8" w:rsidRPr="00D0330B">
        <w:tab/>
        <w:t xml:space="preserve">Finally, the State party relies on its submission as to the non-substantiation of the author’s allegations in respect of article 26 to argue that the author’s claims in relation to unequal access to Canada Student Loans and travel documents are without merit. The author’s ineligibility to receive a Canada Student Loan while he was a refugee and prior to 2003 did not have the effect of nullifying or impairing his access to post-secondary education or the Canadian workforce. The author was issued numerous work permits during the time before he became a permanent resident. </w:t>
      </w:r>
      <w:r w:rsidR="00CE49BE" w:rsidRPr="00D0330B">
        <w:t xml:space="preserve">Canada also reiterates that the allegations in relation to the Canada Student Loans program are moot, given that the program was amended approximately 12 years ago to include refugees. In addition, the author was not denied access to travel documents while he was a refugee. </w:t>
      </w:r>
      <w:r w:rsidR="0001374E" w:rsidRPr="00D0330B">
        <w:t xml:space="preserve">Canada has made travel documents available to refugees since 16 March 1970.  </w:t>
      </w:r>
      <w:r w:rsidR="00CE49BE" w:rsidRPr="00D0330B">
        <w:t xml:space="preserve"> </w:t>
      </w:r>
      <w:r w:rsidR="00E02EA8" w:rsidRPr="00D0330B">
        <w:t xml:space="preserve"> </w:t>
      </w:r>
    </w:p>
    <w:p w14:paraId="2D9883B1" w14:textId="13A11CBE" w:rsidR="00C20737" w:rsidRPr="00D0330B" w:rsidRDefault="00EA0131" w:rsidP="00DB412A">
      <w:pPr>
        <w:pStyle w:val="SingleTxtG"/>
        <w:spacing w:after="240"/>
      </w:pPr>
      <w:r w:rsidRPr="00D0330B">
        <w:t>4.1</w:t>
      </w:r>
      <w:r w:rsidR="000C368A">
        <w:t>6</w:t>
      </w:r>
      <w:r w:rsidRPr="00D0330B">
        <w:tab/>
      </w:r>
      <w:r w:rsidR="00E02EA8" w:rsidRPr="00D0330B">
        <w:t xml:space="preserve">In conclusion, </w:t>
      </w:r>
      <w:r w:rsidRPr="00D0330B">
        <w:t>even if the author had established a violation of his rights under the Covenant, which is denied, the State party submits that the relief sough</w:t>
      </w:r>
      <w:r w:rsidR="00DB412A" w:rsidRPr="00D0330B">
        <w:t>t is largely inappropriate since it amounts to a broad challenge to Canada’s immigration system, which is beyond the competence of the Committee.</w:t>
      </w:r>
    </w:p>
    <w:p w14:paraId="4F00E096" w14:textId="73CCC793" w:rsidR="00C20737" w:rsidRPr="00D0330B" w:rsidRDefault="000C368A" w:rsidP="000C368A">
      <w:pPr>
        <w:pStyle w:val="H23G"/>
      </w:pPr>
      <w:r>
        <w:lastRenderedPageBreak/>
        <w:tab/>
      </w:r>
      <w:r>
        <w:tab/>
      </w:r>
      <w:r w:rsidR="000A168E" w:rsidRPr="00D0330B">
        <w:t xml:space="preserve">Author’s comments on the State party’s </w:t>
      </w:r>
      <w:r w:rsidR="00DD513C" w:rsidRPr="00D0330B">
        <w:t xml:space="preserve">observations on admissibility and the merits </w:t>
      </w:r>
    </w:p>
    <w:p w14:paraId="6FB4B8AD" w14:textId="1ABDB8BF" w:rsidR="00C20737" w:rsidRPr="00D0330B" w:rsidRDefault="00CA2353" w:rsidP="00C20737">
      <w:pPr>
        <w:pStyle w:val="SingleTxtG"/>
      </w:pPr>
      <w:r w:rsidRPr="00D0330B">
        <w:t>5</w:t>
      </w:r>
      <w:r w:rsidR="0083077F" w:rsidRPr="00D0330B">
        <w:t>.1</w:t>
      </w:r>
      <w:r w:rsidR="0083077F" w:rsidRPr="00D0330B">
        <w:tab/>
      </w:r>
      <w:r w:rsidR="00C20737" w:rsidRPr="00D0330B">
        <w:t xml:space="preserve">On 2 October 2015, the author reiterated </w:t>
      </w:r>
      <w:r w:rsidR="000A0E5E" w:rsidRPr="00D0330B">
        <w:t xml:space="preserve">the </w:t>
      </w:r>
      <w:r w:rsidR="00C20737" w:rsidRPr="00D0330B">
        <w:t xml:space="preserve">arguments presented in </w:t>
      </w:r>
      <w:r w:rsidR="000A0E5E" w:rsidRPr="00D0330B">
        <w:t xml:space="preserve">his </w:t>
      </w:r>
      <w:r w:rsidR="00C20737" w:rsidRPr="00D0330B">
        <w:t xml:space="preserve">original communication of 31 March 2014, and his additional submission of 9 June 2014. </w:t>
      </w:r>
    </w:p>
    <w:p w14:paraId="031DAB0E" w14:textId="7AEF32D4" w:rsidR="00C20737" w:rsidRPr="00D0330B" w:rsidRDefault="00CA2353" w:rsidP="00C20737">
      <w:pPr>
        <w:pStyle w:val="SingleTxtG"/>
      </w:pPr>
      <w:r w:rsidRPr="00D0330B">
        <w:t>5</w:t>
      </w:r>
      <w:r w:rsidR="00C20737" w:rsidRPr="00D0330B">
        <w:t>.2</w:t>
      </w:r>
      <w:r w:rsidR="00C20737" w:rsidRPr="00D0330B">
        <w:tab/>
        <w:t>As regards factual issues, the author emphasizes that he has not been found to be a member of a terrorist organization. Both the Security and Intelligence Review Committee (SIRC) in April 2000 and the Citizenship and Immigration Canada (CIC) officer that ultimately granted him permanent residence in September 2006 found that he was not a member of a terrorist organization. The functional definition of</w:t>
      </w:r>
      <w:r w:rsidR="00754918">
        <w:t xml:space="preserve"> </w:t>
      </w:r>
      <w:r w:rsidR="004E0541">
        <w:t>”</w:t>
      </w:r>
      <w:r w:rsidR="00C20737" w:rsidRPr="00D0330B">
        <w:t xml:space="preserve">membership“ employed by the Canadian Security Intelligence Service (CSIS) compared to that of CIC cannot be so different as to justify additional six years of investigation. </w:t>
      </w:r>
    </w:p>
    <w:p w14:paraId="2437E246" w14:textId="59F9CB19" w:rsidR="00C20737" w:rsidRPr="00D0330B" w:rsidRDefault="00CA2353" w:rsidP="00C20737">
      <w:pPr>
        <w:pStyle w:val="SingleTxtG"/>
      </w:pPr>
      <w:r w:rsidRPr="00D0330B">
        <w:t>5</w:t>
      </w:r>
      <w:r w:rsidR="00C20737" w:rsidRPr="00D0330B">
        <w:t>.3</w:t>
      </w:r>
      <w:r w:rsidR="00C20737" w:rsidRPr="00D0330B">
        <w:tab/>
        <w:t xml:space="preserve">The author reiterates that his submission is admissible as it relates to live issues insofar as there has never been a remedy for the violation of his rights due to the negligent processing of his permanent residence application </w:t>
      </w:r>
      <w:r w:rsidR="000A0E5E" w:rsidRPr="00D0330B">
        <w:t xml:space="preserve">for </w:t>
      </w:r>
      <w:r w:rsidR="00C20737" w:rsidRPr="00D0330B">
        <w:t>13 years. The communication is not about a right to permanent residency or citizenship, but about the duties of government officials when making decisions fundamental to citizenship and person</w:t>
      </w:r>
      <w:r w:rsidR="000A0E5E" w:rsidRPr="00D0330B">
        <w:t>al status</w:t>
      </w:r>
      <w:r w:rsidR="00C20737" w:rsidRPr="00D0330B">
        <w:t xml:space="preserve">, and the remedies available to those who allege that the government acted negligently in making these fundamental decisions. The fact that </w:t>
      </w:r>
      <w:r w:rsidR="00B60B2B">
        <w:t>the author</w:t>
      </w:r>
      <w:r w:rsidR="00C20737" w:rsidRPr="00D0330B">
        <w:t xml:space="preserve"> was granted permanent residence in 2006, 13 years after filing his initial application and more than 15 years after first arriving in Canada as a refugee, does not absolve the violations he suffered nor have these grievances ever been remedied. The Committee has found that an author may still be entitled to compensation for violation of his rights, even after the rights violation itself no longer exists.</w:t>
      </w:r>
      <w:r w:rsidR="00C20737" w:rsidRPr="00D0330B">
        <w:rPr>
          <w:vertAlign w:val="superscript"/>
        </w:rPr>
        <w:footnoteReference w:id="17"/>
      </w:r>
      <w:r w:rsidR="00C20737" w:rsidRPr="00D0330B">
        <w:t xml:space="preserve">   </w:t>
      </w:r>
    </w:p>
    <w:p w14:paraId="0EF05507" w14:textId="7EEAA0E3" w:rsidR="00C20737" w:rsidRPr="00D0330B" w:rsidRDefault="00CA2353" w:rsidP="00C20737">
      <w:pPr>
        <w:pStyle w:val="SingleTxtG"/>
      </w:pPr>
      <w:r w:rsidRPr="00D0330B">
        <w:t>5</w:t>
      </w:r>
      <w:r w:rsidR="00C20737" w:rsidRPr="00D0330B">
        <w:t>.4</w:t>
      </w:r>
      <w:r w:rsidR="00C20737" w:rsidRPr="00D0330B">
        <w:tab/>
        <w:t>In addition, he submits that his communication cannot be considered as moot, since in each of the cases referred to by the State party</w:t>
      </w:r>
      <w:r w:rsidR="00C20737" w:rsidRPr="00D0330B">
        <w:rPr>
          <w:vertAlign w:val="superscript"/>
        </w:rPr>
        <w:footnoteReference w:id="18"/>
      </w:r>
      <w:r w:rsidR="00C20737" w:rsidRPr="00D0330B">
        <w:t xml:space="preserve"> the author’s communication was found to be inadmissible, not because the violation had occurred in the past, but because the alleged violation had already been remedied or because the potential for a hypothetical future violation to occur had been eliminated. The author’s situation is distinguishable </w:t>
      </w:r>
      <w:r w:rsidR="00B60B2B">
        <w:t xml:space="preserve">because, </w:t>
      </w:r>
      <w:r w:rsidR="00C20737" w:rsidRPr="00D0330B">
        <w:t xml:space="preserve">despite being granted permanent residence status and ultimately citizenship, the violation of his rights in relation to the processing of his application has never been remedied. Notwithstanding the author’s experience and the harm suffered, the State party has not taken any steps to ensure that others are not subject to the same excessive delays in processing as experienced by the author. He also submits that CSIS remains empowered to conduct independent immigration security checks that are not binding on CIC in terms of their admissibility decisions, and that there is a real possibility of recurrence of similar violations in the future. </w:t>
      </w:r>
      <w:r w:rsidR="00340AEC" w:rsidRPr="00D0330B">
        <w:t xml:space="preserve">His claims related to article </w:t>
      </w:r>
      <w:r w:rsidR="00C20737" w:rsidRPr="00D0330B">
        <w:t xml:space="preserve">26 </w:t>
      </w:r>
      <w:r w:rsidR="00340AEC" w:rsidRPr="00D0330B">
        <w:t xml:space="preserve">of the Covenant </w:t>
      </w:r>
      <w:r w:rsidR="00C20737" w:rsidRPr="00D0330B">
        <w:t>are not moot either</w:t>
      </w:r>
      <w:r w:rsidR="00340AEC" w:rsidRPr="00D0330B">
        <w:t xml:space="preserve">, since despite </w:t>
      </w:r>
      <w:r w:rsidR="00C20737" w:rsidRPr="00D0330B">
        <w:t xml:space="preserve">progressive changes to the law in 2003, </w:t>
      </w:r>
      <w:r w:rsidR="00C20737" w:rsidRPr="00D0330B">
        <w:lastRenderedPageBreak/>
        <w:t>he was unable to access student loans and was not eligible to pay domestic tuition fees between 1996 and 2003.</w:t>
      </w:r>
    </w:p>
    <w:p w14:paraId="34FA9D80" w14:textId="757A3814" w:rsidR="00362E65" w:rsidRPr="00D0330B" w:rsidRDefault="00CA2353" w:rsidP="00C20737">
      <w:pPr>
        <w:pStyle w:val="SingleTxtG"/>
      </w:pPr>
      <w:r w:rsidRPr="00D0330B">
        <w:t>5</w:t>
      </w:r>
      <w:r w:rsidR="00C20737" w:rsidRPr="00D0330B">
        <w:t>.5</w:t>
      </w:r>
      <w:r w:rsidR="00C20737" w:rsidRPr="00D0330B">
        <w:tab/>
        <w:t xml:space="preserve">Furthermore, the author maintains that he exhausted all available and effective remedies in relation to </w:t>
      </w:r>
      <w:r w:rsidR="00B60B2B">
        <w:t>the</w:t>
      </w:r>
      <w:r w:rsidR="00B60B2B" w:rsidRPr="00D0330B">
        <w:t xml:space="preserve"> </w:t>
      </w:r>
      <w:r w:rsidR="00C20737" w:rsidRPr="00D0330B">
        <w:t xml:space="preserve">delay, including those under the administrative law, civil tort law, and under the Canadian constitutional </w:t>
      </w:r>
      <w:r w:rsidR="00C20737" w:rsidRPr="00D0330B">
        <w:rPr>
          <w:i/>
        </w:rPr>
        <w:t>Charter of Rights and Freedoms</w:t>
      </w:r>
      <w:r w:rsidR="00C20737" w:rsidRPr="00D0330B">
        <w:t xml:space="preserve">. The substance of his communication to the Committee has been raised through his claims before Canadian courts for civil damages for negligent delay in processing his application for permanent residence. Although the author did not apply for leave to seek </w:t>
      </w:r>
      <w:r w:rsidR="00C20737" w:rsidRPr="00D0330B">
        <w:rPr>
          <w:i/>
        </w:rPr>
        <w:t>mandamus</w:t>
      </w:r>
      <w:r w:rsidR="00C20737" w:rsidRPr="00D0330B">
        <w:t xml:space="preserve"> between 2002 and 2005 for four different reasons, including that he legitimately expected, following the positive judicial review decision in </w:t>
      </w:r>
      <w:proofErr w:type="gramStart"/>
      <w:r w:rsidR="00C20737" w:rsidRPr="00D0330B">
        <w:t>2002,</w:t>
      </w:r>
      <w:r w:rsidR="00754918">
        <w:t xml:space="preserve"> that</w:t>
      </w:r>
      <w:proofErr w:type="gramEnd"/>
      <w:r w:rsidR="00754918">
        <w:t xml:space="preserve"> </w:t>
      </w:r>
      <w:r w:rsidR="00C20737" w:rsidRPr="00D0330B">
        <w:t xml:space="preserve">CIC would act quickly to resolve his application. Therefore, the author holds that the absence of exhaustion of </w:t>
      </w:r>
      <w:r w:rsidR="00C20737" w:rsidRPr="00D0330B">
        <w:rPr>
          <w:i/>
        </w:rPr>
        <w:t>mandamus</w:t>
      </w:r>
      <w:r w:rsidR="00C20737" w:rsidRPr="00D0330B">
        <w:t xml:space="preserve"> cannot be considered as a reason for mootness or inadmissibility. </w:t>
      </w:r>
    </w:p>
    <w:p w14:paraId="0D78F492" w14:textId="7A0AC7DE" w:rsidR="00814F01" w:rsidRPr="00D0330B" w:rsidRDefault="00CA2353" w:rsidP="00C20737">
      <w:pPr>
        <w:pStyle w:val="SingleTxtG"/>
        <w:rPr>
          <w:lang w:val="cs-CZ"/>
        </w:rPr>
      </w:pPr>
      <w:r w:rsidRPr="00D0330B">
        <w:t>5</w:t>
      </w:r>
      <w:r w:rsidR="00362E65" w:rsidRPr="00D0330B">
        <w:t>.6</w:t>
      </w:r>
      <w:r w:rsidR="00362E65" w:rsidRPr="00D0330B">
        <w:tab/>
      </w:r>
      <w:r w:rsidR="00814F01" w:rsidRPr="00D0330B">
        <w:t xml:space="preserve">In this regard, the author </w:t>
      </w:r>
      <w:r w:rsidR="00362E65" w:rsidRPr="00D0330B">
        <w:t xml:space="preserve">asserts </w:t>
      </w:r>
      <w:r w:rsidR="00C20737" w:rsidRPr="00D0330B">
        <w:t xml:space="preserve">that the exhaustion requirement cannot be interpreted as to prejudice the author’s ability to make strategic and tactical decisions regarding pursuit of an effective domestic remedy for alleged rights violations, especially where the client is indigent and counsels are working on a </w:t>
      </w:r>
      <w:r w:rsidR="00C20737" w:rsidRPr="00D0330B">
        <w:rPr>
          <w:i/>
        </w:rPr>
        <w:t>pro bono</w:t>
      </w:r>
      <w:r w:rsidR="00C20737" w:rsidRPr="00D0330B">
        <w:t xml:space="preserve"> basis. If the Committee found that the author should have applied for </w:t>
      </w:r>
      <w:r w:rsidR="00C20737" w:rsidRPr="00D0330B">
        <w:rPr>
          <w:i/>
        </w:rPr>
        <w:t>mandamus</w:t>
      </w:r>
      <w:r w:rsidR="00C20737" w:rsidRPr="00D0330B">
        <w:t xml:space="preserve"> between 2002 and 2005, his failure to do so is not relevant to a determination of whether or not he has exhausted domestic remedies, as the heart of the author’s claim relates to delay. Even if </w:t>
      </w:r>
      <w:r w:rsidR="00C20737" w:rsidRPr="00D0330B">
        <w:rPr>
          <w:i/>
        </w:rPr>
        <w:t>mandamus</w:t>
      </w:r>
      <w:r w:rsidR="00C20737" w:rsidRPr="00D0330B">
        <w:t xml:space="preserve"> were granted to compel a responsible officer to render a decision between 2002 and 2005, the excessive delay in the processing of his claim to that point would still have entitled him to seek relief from the Committee.</w:t>
      </w:r>
      <w:r w:rsidR="007A196A" w:rsidRPr="00D0330B">
        <w:t xml:space="preserve"> Moreover, the author claims to have raised the substance of his claims under articles 17 and 26 in domestic courts to the extent possible under Canadian law. In line with the Committee’s jurisprudence, the author was merely required to raise the substance of the rights contained in the Covenant in the domestic proceeding and not invoke the specific articles of the Covenant.</w:t>
      </w:r>
      <w:r w:rsidR="007A196A" w:rsidRPr="00D0330B">
        <w:rPr>
          <w:rStyle w:val="FootnoteReference"/>
        </w:rPr>
        <w:footnoteReference w:id="19"/>
      </w:r>
      <w:r w:rsidR="007A196A" w:rsidRPr="00D0330B">
        <w:rPr>
          <w:sz w:val="24"/>
          <w:szCs w:val="24"/>
          <w:lang w:val="cs-CZ"/>
        </w:rPr>
        <w:t xml:space="preserve"> </w:t>
      </w:r>
    </w:p>
    <w:p w14:paraId="744B39F0" w14:textId="772EA617" w:rsidR="005B026E" w:rsidRPr="0072468E" w:rsidRDefault="00CA2353" w:rsidP="002F090C">
      <w:pPr>
        <w:pStyle w:val="SingleTxtG"/>
      </w:pPr>
      <w:r w:rsidRPr="0072468E">
        <w:t>5.</w:t>
      </w:r>
      <w:r w:rsidR="00814F01" w:rsidRPr="0072468E">
        <w:t>7</w:t>
      </w:r>
      <w:r w:rsidR="00814F01" w:rsidRPr="0072468E">
        <w:tab/>
        <w:t>The author claims that the communication falls within the scope of the Covenant, reiterating that he is not claiming a right to residency and does not argue that such a right exists under the Covenant. Had the State party processed the author’s application for permanent residence in a timely manner, even if the decision had been negative, the violations alleged in his communicat</w:t>
      </w:r>
      <w:r w:rsidR="009D3573" w:rsidRPr="0072468E">
        <w:t>ion would not have materialized. It is submitted that article 14 (1) is not merely procedural but rather confers substantive rights, arguing that</w:t>
      </w:r>
      <w:r w:rsidR="0072468E">
        <w:t xml:space="preserve"> </w:t>
      </w:r>
      <w:r w:rsidR="00B60B2B" w:rsidRPr="0072468E">
        <w:t>“</w:t>
      </w:r>
      <w:r w:rsidR="009D3573" w:rsidRPr="0072468E">
        <w:t xml:space="preserve">in certain circumstances the failure of a </w:t>
      </w:r>
      <w:r w:rsidR="002F090C" w:rsidRPr="0072468E">
        <w:t>S</w:t>
      </w:r>
      <w:r w:rsidR="009D3573" w:rsidRPr="0072468E">
        <w:t>tate party to establish a competent court to determine rights and obligations may amou</w:t>
      </w:r>
      <w:r w:rsidR="0072468E">
        <w:t>nt to a violation of article 14</w:t>
      </w:r>
      <w:r w:rsidR="009D3573" w:rsidRPr="0072468E">
        <w:t>(1</w:t>
      </w:r>
      <w:proofErr w:type="gramStart"/>
      <w:r w:rsidR="009D3573" w:rsidRPr="0072468E">
        <w:t>)</w:t>
      </w:r>
      <w:r w:rsidR="00B60B2B" w:rsidRPr="0072468E">
        <w:t>“</w:t>
      </w:r>
      <w:proofErr w:type="gramEnd"/>
      <w:r w:rsidR="00E73230" w:rsidRPr="0072468E">
        <w:t>.</w:t>
      </w:r>
      <w:r w:rsidR="009D3573" w:rsidRPr="0072468E">
        <w:rPr>
          <w:rStyle w:val="FootnoteReference"/>
        </w:rPr>
        <w:footnoteReference w:id="20"/>
      </w:r>
      <w:r w:rsidR="002F090C" w:rsidRPr="0072468E">
        <w:t xml:space="preserve"> Being granted permanent residence status in Canada is essential to the full attainment of rights to education, work, and free movement and, as such, the author submits that the substantive rights conferred in article 14(1) are engaged. </w:t>
      </w:r>
      <w:r w:rsidR="007A1E50" w:rsidRPr="0072468E">
        <w:t xml:space="preserve">Contrary to Canada’s submissions, the author maintains that the decision in </w:t>
      </w:r>
      <w:r w:rsidR="007A1E50" w:rsidRPr="0072468E">
        <w:rPr>
          <w:i/>
        </w:rPr>
        <w:t>Haj Khalil</w:t>
      </w:r>
      <w:r w:rsidR="0072468E">
        <w:t xml:space="preserve"> was an effective bar to </w:t>
      </w:r>
      <w:r w:rsidR="007A1E50" w:rsidRPr="0072468E">
        <w:t xml:space="preserve">both </w:t>
      </w:r>
      <w:r w:rsidR="00342584" w:rsidRPr="0072468E">
        <w:t xml:space="preserve">his claims of </w:t>
      </w:r>
      <w:r w:rsidR="007A1E50" w:rsidRPr="0072468E">
        <w:t xml:space="preserve">negligence and </w:t>
      </w:r>
      <w:r w:rsidR="00342584" w:rsidRPr="0072468E">
        <w:t xml:space="preserve">the </w:t>
      </w:r>
      <w:r w:rsidR="007A1E50" w:rsidRPr="0072468E">
        <w:t>Charter claims, engaging articles 14(1) and 2(3) of the Covenant.</w:t>
      </w:r>
      <w:r w:rsidR="007A1E50" w:rsidRPr="0072468E">
        <w:rPr>
          <w:rStyle w:val="FootnoteReference"/>
        </w:rPr>
        <w:footnoteReference w:id="21"/>
      </w:r>
      <w:r w:rsidR="005C049B" w:rsidRPr="0072468E">
        <w:t xml:space="preserve"> There </w:t>
      </w:r>
      <w:r w:rsidR="005C049B" w:rsidRPr="0072468E">
        <w:lastRenderedPageBreak/>
        <w:t>was a real possibility that a Court hearing a claim for Charter damages would have forced him to pay significant costs if he was unsuccessful in this novel claim.</w:t>
      </w:r>
      <w:r w:rsidR="002F090C" w:rsidRPr="0072468E">
        <w:t xml:space="preserve"> </w:t>
      </w:r>
      <w:r w:rsidR="00EC5D6A" w:rsidRPr="0072468E">
        <w:t xml:space="preserve">This deterred the author from pursuing any of his Charter claims, including under section 2 (freedom of expression and association) and section 15 (equality). The author points out that the Committee has held that the concept of a </w:t>
      </w:r>
      <w:r w:rsidR="00983109" w:rsidRPr="0072468E">
        <w:t>“</w:t>
      </w:r>
      <w:r w:rsidR="00EC5D6A" w:rsidRPr="0072468E">
        <w:t>suit at law“ is based</w:t>
      </w:r>
      <w:r w:rsidR="00EC5D6A" w:rsidRPr="00D0330B">
        <w:rPr>
          <w:lang w:val="cs-CZ"/>
        </w:rPr>
        <w:t xml:space="preserve"> </w:t>
      </w:r>
      <w:r w:rsidR="00EC5D6A" w:rsidRPr="0072468E">
        <w:t>on the nature of the right in question rather than on the status of one of the parties, or else on the particular forum in which individual legal systems may provide that the right in question is to be adjudicated upon. Rather, each communication must be examined in the light of its particular features.</w:t>
      </w:r>
      <w:r w:rsidR="00EC5D6A" w:rsidRPr="0072468E">
        <w:rPr>
          <w:rStyle w:val="FootnoteReference"/>
        </w:rPr>
        <w:footnoteReference w:id="22"/>
      </w:r>
      <w:r w:rsidR="00EC5D6A" w:rsidRPr="0072468E">
        <w:t xml:space="preserve"> </w:t>
      </w:r>
      <w:r w:rsidR="00831849" w:rsidRPr="0072468E">
        <w:t xml:space="preserve">Although the processing of applications for permanent residence is an administrative procedure, it is nonetheless a </w:t>
      </w:r>
      <w:r w:rsidR="00983109" w:rsidRPr="0072468E">
        <w:t>“</w:t>
      </w:r>
      <w:r w:rsidR="00831849" w:rsidRPr="0072468E">
        <w:t>suit at law</w:t>
      </w:r>
      <w:proofErr w:type="gramStart"/>
      <w:r w:rsidR="00831849" w:rsidRPr="0072468E">
        <w:t>“ as</w:t>
      </w:r>
      <w:proofErr w:type="gramEnd"/>
      <w:r w:rsidR="00831849" w:rsidRPr="0072468E">
        <w:t xml:space="preserve"> permanent residency is a precondition to the full attainment of a host of civil and political rights in Canada. Given the fundamental nature of the rights in question and the fact that the author’s application for permanent residency was subject to judicial supervision and control in the form of judicial review, the communication is analogous to </w:t>
      </w:r>
      <w:proofErr w:type="spellStart"/>
      <w:r w:rsidR="00831849" w:rsidRPr="0072468E">
        <w:rPr>
          <w:i/>
        </w:rPr>
        <w:t>Czernin</w:t>
      </w:r>
      <w:proofErr w:type="spellEnd"/>
      <w:r w:rsidR="00831849" w:rsidRPr="0072468E">
        <w:rPr>
          <w:i/>
        </w:rPr>
        <w:t xml:space="preserve"> v. the Czech Republic</w:t>
      </w:r>
      <w:r w:rsidR="00831849" w:rsidRPr="0072468E">
        <w:t>,</w:t>
      </w:r>
      <w:r w:rsidR="00342584" w:rsidRPr="0072468E">
        <w:rPr>
          <w:rStyle w:val="FootnoteReference"/>
        </w:rPr>
        <w:footnoteReference w:id="23"/>
      </w:r>
      <w:r w:rsidR="00831849" w:rsidRPr="0072468E">
        <w:t xml:space="preserve"> and is not incompatible with the provisions of the Covenant.</w:t>
      </w:r>
      <w:r w:rsidR="00342584" w:rsidRPr="0072468E">
        <w:t xml:space="preserve"> </w:t>
      </w:r>
      <w:r w:rsidR="00831849" w:rsidRPr="0072468E">
        <w:t xml:space="preserve">On the other hand, the communications cited by the State party are not directly relevant to the question of whether an application for permanent residence is a </w:t>
      </w:r>
      <w:r w:rsidR="00983109" w:rsidRPr="0072468E">
        <w:t>“</w:t>
      </w:r>
      <w:r w:rsidR="00831849" w:rsidRPr="0072468E">
        <w:t>suit at law“ since th</w:t>
      </w:r>
      <w:r w:rsidR="00342584" w:rsidRPr="0072468E">
        <w:t xml:space="preserve">ose cases deal with article 13 </w:t>
      </w:r>
      <w:r w:rsidR="00831849" w:rsidRPr="0072468E">
        <w:t>namely, proceedings related to an author’s right to receive protection in the State party’s territory.</w:t>
      </w:r>
      <w:r w:rsidR="00284D08" w:rsidRPr="0072468E">
        <w:rPr>
          <w:rStyle w:val="FootnoteReference"/>
        </w:rPr>
        <w:footnoteReference w:id="24"/>
      </w:r>
      <w:r w:rsidR="00831849" w:rsidRPr="0072468E">
        <w:t xml:space="preserve"> </w:t>
      </w:r>
    </w:p>
    <w:p w14:paraId="04FA8F2C" w14:textId="40F94566" w:rsidR="008F5B73" w:rsidRPr="0072468E" w:rsidRDefault="00CA2353" w:rsidP="002F090C">
      <w:pPr>
        <w:pStyle w:val="SingleTxtG"/>
      </w:pPr>
      <w:r w:rsidRPr="0072468E">
        <w:t>5.8</w:t>
      </w:r>
      <w:r w:rsidR="005B026E" w:rsidRPr="0072468E">
        <w:tab/>
        <w:t>Furthermore, without disputing the accessory character of article 2(3), the author strongly opposes the State party’s argument that the right to an effective remedy is not engaged because there has not been any violation of a substantive Covenant right. The author relies upon his original and subsequent submissions</w:t>
      </w:r>
      <w:r w:rsidR="00467D61" w:rsidRPr="0072468E">
        <w:t xml:space="preserve">, alleging </w:t>
      </w:r>
      <w:r w:rsidR="005B026E" w:rsidRPr="0072468E">
        <w:t xml:space="preserve">a violation of articles 14, 17, 19, 22 and 26 </w:t>
      </w:r>
      <w:r w:rsidR="00467D61" w:rsidRPr="0072468E">
        <w:t xml:space="preserve">and seeking remedies. </w:t>
      </w:r>
    </w:p>
    <w:p w14:paraId="1B533C84" w14:textId="73D2E045" w:rsidR="00B82441" w:rsidRPr="0072468E" w:rsidRDefault="00CA2353" w:rsidP="002F090C">
      <w:pPr>
        <w:pStyle w:val="SingleTxtG"/>
      </w:pPr>
      <w:r w:rsidRPr="0072468E">
        <w:t>5.9</w:t>
      </w:r>
      <w:r w:rsidR="008F5B73" w:rsidRPr="0072468E">
        <w:tab/>
        <w:t>As for the merits</w:t>
      </w:r>
      <w:r w:rsidR="0072468E">
        <w:t>, the author claims that the 13-</w:t>
      </w:r>
      <w:r w:rsidR="008F5B73" w:rsidRPr="0072468E">
        <w:t>year delay in processing his application for permanent residence was patently unreasonable</w:t>
      </w:r>
      <w:r w:rsidR="0072468E">
        <w:t xml:space="preserve"> in the circ</w:t>
      </w:r>
      <w:r w:rsidR="008F5B73" w:rsidRPr="0072468E">
        <w:t>u</w:t>
      </w:r>
      <w:r w:rsidR="0072468E">
        <w:t>m</w:t>
      </w:r>
      <w:r w:rsidR="008F5B73" w:rsidRPr="0072468E">
        <w:t>stances and amount</w:t>
      </w:r>
      <w:r w:rsidR="00983109" w:rsidRPr="0072468E">
        <w:t>ed</w:t>
      </w:r>
      <w:r w:rsidR="008F5B73" w:rsidRPr="0072468E">
        <w:t xml:space="preserve"> to a violation of article 14(1). The Committee made it clear in its jurisprudence that </w:t>
      </w:r>
      <w:r w:rsidR="00983109" w:rsidRPr="0072468E">
        <w:t>“</w:t>
      </w:r>
      <w:r w:rsidR="008F5B73" w:rsidRPr="0072468E">
        <w:t xml:space="preserve">an important aspect of the fairness of a hearing is its expeditiousness“ and that </w:t>
      </w:r>
      <w:r w:rsidR="00983109" w:rsidRPr="0072468E">
        <w:t>“</w:t>
      </w:r>
      <w:r w:rsidR="008F5B73" w:rsidRPr="0072468E">
        <w:t>delays in civil proceedings that cannot be justified by the complexity of the case or the behaviour of the parties detract from the principle of a fair hearing enshrined in paragraph 1 of article 14“.</w:t>
      </w:r>
      <w:r w:rsidR="008F5B73" w:rsidRPr="0072468E">
        <w:rPr>
          <w:rStyle w:val="FootnoteReference"/>
        </w:rPr>
        <w:footnoteReference w:id="25"/>
      </w:r>
      <w:r w:rsidR="008F5B73" w:rsidRPr="0072468E">
        <w:t xml:space="preserve"> </w:t>
      </w:r>
      <w:r w:rsidR="00497D1B" w:rsidRPr="0072468E">
        <w:t xml:space="preserve">In </w:t>
      </w:r>
      <w:proofErr w:type="spellStart"/>
      <w:r w:rsidR="00497D1B" w:rsidRPr="0072468E">
        <w:rPr>
          <w:i/>
        </w:rPr>
        <w:t>Lederbauer</w:t>
      </w:r>
      <w:proofErr w:type="spellEnd"/>
      <w:r w:rsidR="00497D1B" w:rsidRPr="0072468E">
        <w:rPr>
          <w:i/>
        </w:rPr>
        <w:t xml:space="preserve"> v. Austria</w:t>
      </w:r>
      <w:r w:rsidR="00497D1B" w:rsidRPr="0072468E">
        <w:t xml:space="preserve"> the Committee stated that </w:t>
      </w:r>
      <w:r w:rsidR="00983109" w:rsidRPr="0072468E">
        <w:t>“</w:t>
      </w:r>
      <w:r w:rsidR="00497D1B" w:rsidRPr="0072468E">
        <w:t>whether a delay i</w:t>
      </w:r>
      <w:r w:rsidR="00983109" w:rsidRPr="0072468E">
        <w:t>s</w:t>
      </w:r>
      <w:r w:rsidR="00497D1B" w:rsidRPr="0072468E">
        <w:t xml:space="preserve"> unreasonable must be assessed in the light of the circumstances of each case, taking into account, inter alia, the complexity of the case, the conduct of the parties, the manner in which the case was dealt with by the administrative and judicial authorities, and any detrimental effects that the delay may have had on the legal position of the complainant</w:t>
      </w:r>
      <w:proofErr w:type="gramStart"/>
      <w:r w:rsidR="00497D1B" w:rsidRPr="0072468E">
        <w:t>.“</w:t>
      </w:r>
      <w:proofErr w:type="gramEnd"/>
      <w:r w:rsidR="00497D1B" w:rsidRPr="0072468E">
        <w:rPr>
          <w:rStyle w:val="FootnoteReference"/>
        </w:rPr>
        <w:footnoteReference w:id="26"/>
      </w:r>
      <w:r w:rsidR="00497D1B" w:rsidRPr="0072468E">
        <w:t xml:space="preserve"> </w:t>
      </w:r>
      <w:r w:rsidR="00B82441" w:rsidRPr="0072468E">
        <w:t xml:space="preserve">In this regard, the author submits that neither the fact that counter-terrorism was a relatively new area for CIC when he applied for permanent residency, nor the increased focus on national security after </w:t>
      </w:r>
      <w:r w:rsidR="00342584" w:rsidRPr="0072468E">
        <w:t>11 September 2001</w:t>
      </w:r>
      <w:r w:rsidR="00B82441" w:rsidRPr="0072468E">
        <w:t xml:space="preserve">, justifies the inordinate delay in the processing of his application. Moreover, any complexities in his case relating to security risk were resolved when SIRC conclusively found that the author was not a member of a terrorist organization. His </w:t>
      </w:r>
      <w:r w:rsidR="00B82441" w:rsidRPr="0072468E">
        <w:lastRenderedPageBreak/>
        <w:t xml:space="preserve">application for permanent residency was however delayed for another six years and the author was forced to seek judicial review after a subsequent negative determination. </w:t>
      </w:r>
    </w:p>
    <w:p w14:paraId="634549E6" w14:textId="6634DC93" w:rsidR="003D17B7" w:rsidRPr="0072468E" w:rsidRDefault="00CA2353" w:rsidP="002F090C">
      <w:pPr>
        <w:pStyle w:val="SingleTxtG"/>
      </w:pPr>
      <w:r w:rsidRPr="0072468E">
        <w:t>5.10</w:t>
      </w:r>
      <w:r w:rsidR="00B82441" w:rsidRPr="0072468E">
        <w:tab/>
        <w:t xml:space="preserve">With regard to the State party’s submission that </w:t>
      </w:r>
      <w:r w:rsidR="00983109" w:rsidRPr="0072468E">
        <w:t>the author</w:t>
      </w:r>
      <w:r w:rsidR="00B82441" w:rsidRPr="0072468E">
        <w:t xml:space="preserve"> did not file </w:t>
      </w:r>
      <w:r w:rsidR="00B82441" w:rsidRPr="0072468E">
        <w:rPr>
          <w:i/>
        </w:rPr>
        <w:t>mandamus</w:t>
      </w:r>
      <w:r w:rsidR="00754918" w:rsidRPr="0072468E">
        <w:t xml:space="preserve"> which </w:t>
      </w:r>
      <w:r w:rsidR="00B82441" w:rsidRPr="0072468E">
        <w:t xml:space="preserve">renders this delay reasonable, the author refers </w:t>
      </w:r>
      <w:r w:rsidR="0027097B" w:rsidRPr="0072468E">
        <w:t xml:space="preserve">to the Committee’s observations in </w:t>
      </w:r>
      <w:proofErr w:type="spellStart"/>
      <w:r w:rsidR="0027097B" w:rsidRPr="0072468E">
        <w:rPr>
          <w:i/>
        </w:rPr>
        <w:t>Perterer</w:t>
      </w:r>
      <w:proofErr w:type="spellEnd"/>
      <w:r w:rsidR="0027097B" w:rsidRPr="0072468E">
        <w:rPr>
          <w:i/>
        </w:rPr>
        <w:t xml:space="preserve"> v. Austria</w:t>
      </w:r>
      <w:r w:rsidR="0027097B" w:rsidRPr="0072468E">
        <w:t xml:space="preserve"> that non-fulfilment of the State party’s obligations under article 14(1) are not excused by the author’s failure to lodge a complaint about undue delay of proceedings as the delay was attributable to procedural errors of the State party.</w:t>
      </w:r>
      <w:r w:rsidR="0027097B" w:rsidRPr="0072468E">
        <w:rPr>
          <w:rStyle w:val="FootnoteReference"/>
        </w:rPr>
        <w:footnoteReference w:id="27"/>
      </w:r>
      <w:r w:rsidR="00F9129A" w:rsidRPr="0072468E">
        <w:t xml:space="preserve"> </w:t>
      </w:r>
      <w:r w:rsidR="00983109" w:rsidRPr="0072468E">
        <w:t>Furthermore,</w:t>
      </w:r>
      <w:r w:rsidR="00F9129A" w:rsidRPr="0072468E">
        <w:t xml:space="preserve"> the delay that resulted from the author’s application for judicial review after the initial negative decision </w:t>
      </w:r>
      <w:r w:rsidR="00983109" w:rsidRPr="0072468E">
        <w:t xml:space="preserve">cannot </w:t>
      </w:r>
      <w:r w:rsidR="00F9129A" w:rsidRPr="0072468E">
        <w:t xml:space="preserve">be attributed to him, particularly </w:t>
      </w:r>
      <w:r w:rsidR="00983109" w:rsidRPr="0072468E">
        <w:t>when it</w:t>
      </w:r>
      <w:r w:rsidR="00F9129A" w:rsidRPr="0072468E">
        <w:t xml:space="preserve"> was unreasonable for the immigration officer to conclude that </w:t>
      </w:r>
      <w:r w:rsidR="00983109" w:rsidRPr="0072468E">
        <w:t>the author</w:t>
      </w:r>
      <w:r w:rsidR="00F9129A" w:rsidRPr="0072468E">
        <w:t xml:space="preserve"> was a member of a terrorist group without considering the SIRC decision.</w:t>
      </w:r>
    </w:p>
    <w:p w14:paraId="7430F45D" w14:textId="32FC34F6" w:rsidR="001F350F" w:rsidRPr="0072468E" w:rsidRDefault="00CA2353" w:rsidP="002F090C">
      <w:pPr>
        <w:pStyle w:val="SingleTxtG"/>
      </w:pPr>
      <w:r w:rsidRPr="0072468E">
        <w:t>5.11</w:t>
      </w:r>
      <w:r w:rsidR="003D17B7" w:rsidRPr="0072468E">
        <w:tab/>
        <w:t>As regards article 17, the author submits that the State party has not adduced any evidence to refute the author’s sworn affidavit stating that CSIS repeatedly asked other members of the Kurdish community about him, that the investigation undertaken by CSIS had the effect of damaging the author’s honour and reputation within the Kurdish Canadian community, and th</w:t>
      </w:r>
      <w:r w:rsidR="00983109" w:rsidRPr="0072468E">
        <w:t>at</w:t>
      </w:r>
      <w:r w:rsidR="003D17B7" w:rsidRPr="0072468E">
        <w:t xml:space="preserve"> the investigation exerted a significant psychological toll on the author. Even if the author’s full contact details were not </w:t>
      </w:r>
      <w:r w:rsidR="00C14BAC" w:rsidRPr="0072468E">
        <w:t>made public,</w:t>
      </w:r>
      <w:r w:rsidR="003D17B7" w:rsidRPr="0072468E">
        <w:t xml:space="preserve"> the investigation undertaken by CSIS had the effect of branding </w:t>
      </w:r>
      <w:r w:rsidR="00983109" w:rsidRPr="0072468E">
        <w:t>the author</w:t>
      </w:r>
      <w:r w:rsidR="003D17B7" w:rsidRPr="0072468E">
        <w:t xml:space="preserve"> as a security risk and caused irreparable damage to </w:t>
      </w:r>
      <w:r w:rsidR="00983109" w:rsidRPr="0072468E">
        <w:t>his</w:t>
      </w:r>
      <w:r w:rsidR="003D17B7" w:rsidRPr="0072468E">
        <w:t xml:space="preserve"> honour and reputation within the Kurdish Canadian community, in violation of article 17 of the Covenant. </w:t>
      </w:r>
    </w:p>
    <w:p w14:paraId="151B7EA3" w14:textId="617CFBAC" w:rsidR="00077C5E" w:rsidRPr="0072468E" w:rsidRDefault="00CA2353" w:rsidP="002F090C">
      <w:pPr>
        <w:pStyle w:val="SingleTxtG"/>
      </w:pPr>
      <w:r w:rsidRPr="0072468E">
        <w:t>5</w:t>
      </w:r>
      <w:r w:rsidR="001F350F" w:rsidRPr="0072468E">
        <w:t>.1</w:t>
      </w:r>
      <w:r w:rsidRPr="0072468E">
        <w:t>2</w:t>
      </w:r>
      <w:r w:rsidR="001F350F" w:rsidRPr="0072468E">
        <w:tab/>
        <w:t>The author also maintains that restrictions on his rights under articles 19 and 22 were not justified. While the investigation of the author may have been a legitimate state objective, the undue delay of 13 years in completing that investigation, including after the SIRC findings, was disproportionate to that aim.</w:t>
      </w:r>
      <w:r w:rsidR="001F350F" w:rsidRPr="0072468E">
        <w:rPr>
          <w:rStyle w:val="FootnoteReference"/>
        </w:rPr>
        <w:footnoteReference w:id="28"/>
      </w:r>
      <w:r w:rsidR="003D17B7" w:rsidRPr="0072468E">
        <w:t xml:space="preserve"> </w:t>
      </w:r>
      <w:r w:rsidR="00636968" w:rsidRPr="0072468E">
        <w:t xml:space="preserve">This created a climate of fear where the author worried that any expression critical of the Turkish government or engagement with the Kurdish community would be construed as support for the Kurdistan </w:t>
      </w:r>
      <w:proofErr w:type="gramStart"/>
      <w:r w:rsidR="00636968" w:rsidRPr="0072468E">
        <w:t>Workers‘ Party</w:t>
      </w:r>
      <w:proofErr w:type="gramEnd"/>
      <w:r w:rsidR="00636968" w:rsidRPr="0072468E">
        <w:t xml:space="preserve"> (PKK). The State party has not provided any specific evidence to establish why restrictions on </w:t>
      </w:r>
      <w:r w:rsidR="00E32117" w:rsidRPr="0072468E">
        <w:t xml:space="preserve">the author’s </w:t>
      </w:r>
      <w:r w:rsidR="00636968" w:rsidRPr="0072468E">
        <w:t>freedom of expression or association were necessary to avert a danger to national security, nor how the actions of immigration authorities are proportionate to that threat.</w:t>
      </w:r>
      <w:r w:rsidR="00E32117" w:rsidRPr="0072468E">
        <w:rPr>
          <w:rStyle w:val="FootnoteReference"/>
        </w:rPr>
        <w:footnoteReference w:id="29"/>
      </w:r>
      <w:r w:rsidR="00636968" w:rsidRPr="0072468E">
        <w:t xml:space="preserve"> </w:t>
      </w:r>
      <w:r w:rsidR="006346D4" w:rsidRPr="0072468E">
        <w:t>In the absence of such information, the State party cannot suggest that these restrictions were in accordance with articles 19(3) or 22(1).</w:t>
      </w:r>
    </w:p>
    <w:p w14:paraId="5AD5E797" w14:textId="557E8552" w:rsidR="00FC6ADC" w:rsidRPr="0072468E" w:rsidRDefault="00CA2353" w:rsidP="002F090C">
      <w:pPr>
        <w:pStyle w:val="SingleTxtG"/>
      </w:pPr>
      <w:r w:rsidRPr="0072468E">
        <w:t>5.13</w:t>
      </w:r>
      <w:r w:rsidR="00077C5E" w:rsidRPr="0072468E">
        <w:tab/>
        <w:t>The author finally upholds that he was discriminated in his access to post-secondary education due to his immigration status. As a Convention refugee without permanent residency status, he could not have obtained travel documents to visit his family. In Canada, issuing travel documents to refugees is a prerogative of the Crow</w:t>
      </w:r>
      <w:r w:rsidR="00E01205" w:rsidRPr="0072468E">
        <w:t xml:space="preserve">n </w:t>
      </w:r>
      <w:r w:rsidR="00077C5E" w:rsidRPr="0072468E">
        <w:t xml:space="preserve">and, as such, is discretionary. It was well understood in the refugee community at this </w:t>
      </w:r>
      <w:r w:rsidR="00077C5E" w:rsidRPr="0072468E">
        <w:lastRenderedPageBreak/>
        <w:t xml:space="preserve">time that refugees without permanent residence status could not obtain travel documents and applying would be futile.  </w:t>
      </w:r>
    </w:p>
    <w:p w14:paraId="5B22646B" w14:textId="32AD287A" w:rsidR="00C20737" w:rsidRPr="0072468E" w:rsidRDefault="00CA2353" w:rsidP="002F090C">
      <w:pPr>
        <w:pStyle w:val="SingleTxtG"/>
      </w:pPr>
      <w:r w:rsidRPr="0072468E">
        <w:t>5.14</w:t>
      </w:r>
      <w:r w:rsidR="00FC6ADC" w:rsidRPr="0072468E">
        <w:tab/>
        <w:t>In conclusion, the author reiterates his request for adequate remedy,</w:t>
      </w:r>
      <w:r w:rsidR="00FC6ADC" w:rsidRPr="0072468E">
        <w:rPr>
          <w:rStyle w:val="FootnoteReference"/>
        </w:rPr>
        <w:footnoteReference w:id="30"/>
      </w:r>
      <w:r w:rsidR="00FC6ADC" w:rsidRPr="0072468E">
        <w:t xml:space="preserve"> pointing out that the purpose of the Covenant would be defeated </w:t>
      </w:r>
      <w:r w:rsidR="00855D4C" w:rsidRPr="0072468E">
        <w:t>“</w:t>
      </w:r>
      <w:r w:rsidR="00FC6ADC" w:rsidRPr="0072468E">
        <w:t>without an obligation integral to article 2 to take measures to prevent a recurrence of a violation of the Covenant</w:t>
      </w:r>
      <w:r w:rsidR="00EF3903" w:rsidRPr="0072468E">
        <w:t>, including by necessary changes of the law and practice</w:t>
      </w:r>
      <w:r w:rsidR="00FC6ADC" w:rsidRPr="0072468E">
        <w:t>“.</w:t>
      </w:r>
      <w:r w:rsidR="00FC6ADC" w:rsidRPr="0072468E">
        <w:rPr>
          <w:rStyle w:val="FootnoteReference"/>
        </w:rPr>
        <w:footnoteReference w:id="31"/>
      </w:r>
    </w:p>
    <w:p w14:paraId="51735189" w14:textId="5599CD5E" w:rsidR="00CA1568" w:rsidRPr="0072468E" w:rsidRDefault="00AF7276" w:rsidP="000C368A">
      <w:pPr>
        <w:pStyle w:val="H23G"/>
      </w:pPr>
      <w:r w:rsidRPr="0072468E">
        <w:rPr>
          <w:sz w:val="24"/>
          <w:szCs w:val="24"/>
        </w:rPr>
        <w:tab/>
      </w:r>
      <w:r w:rsidRPr="0072468E">
        <w:rPr>
          <w:sz w:val="24"/>
          <w:szCs w:val="24"/>
        </w:rPr>
        <w:tab/>
      </w:r>
      <w:r w:rsidR="005D6980" w:rsidRPr="0072468E">
        <w:t xml:space="preserve">State party’s supplementary submission on admissibility and the </w:t>
      </w:r>
      <w:r w:rsidR="00CA1568" w:rsidRPr="0072468E">
        <w:t xml:space="preserve">merits </w:t>
      </w:r>
    </w:p>
    <w:p w14:paraId="500BC77D" w14:textId="0EB81F0F" w:rsidR="00CA1568" w:rsidRPr="0072468E" w:rsidRDefault="00CA2353" w:rsidP="00CA1568">
      <w:pPr>
        <w:pStyle w:val="SingleTxtG"/>
      </w:pPr>
      <w:r w:rsidRPr="0072468E">
        <w:t>6.1</w:t>
      </w:r>
      <w:r w:rsidR="00CA1568" w:rsidRPr="0072468E">
        <w:tab/>
        <w:t xml:space="preserve">On 29 March 2016, the State party responded to the author’s second comments, while clarifying domestic law and certain factual matters, and reiterating its initial submission of </w:t>
      </w:r>
      <w:r w:rsidR="002F7F13" w:rsidRPr="0072468E">
        <w:t>2</w:t>
      </w:r>
      <w:r w:rsidR="002F7F13">
        <w:t>8</w:t>
      </w:r>
      <w:r w:rsidR="002F7F13" w:rsidRPr="0072468E">
        <w:t xml:space="preserve"> </w:t>
      </w:r>
      <w:r w:rsidR="00CA1568" w:rsidRPr="0072468E">
        <w:t xml:space="preserve">May 2015 on the admissibility and merits of the communication. </w:t>
      </w:r>
    </w:p>
    <w:p w14:paraId="6EF0F4A1" w14:textId="62829D87" w:rsidR="00D850D1" w:rsidRPr="0072468E" w:rsidRDefault="00CA2353" w:rsidP="00CA1568">
      <w:pPr>
        <w:pStyle w:val="SingleTxtG"/>
      </w:pPr>
      <w:r w:rsidRPr="0072468E">
        <w:t>6</w:t>
      </w:r>
      <w:r w:rsidR="00CA1568" w:rsidRPr="0072468E">
        <w:t>.2</w:t>
      </w:r>
      <w:r w:rsidR="00CA1568" w:rsidRPr="0072468E">
        <w:tab/>
        <w:t xml:space="preserve">The State party maintains that this communication is inadmissible on the following grounds: First, the communication is moot. In essence, the communication pertains to the processing of the author’s application for permanent residence. The author was granted permanent residence more than eight years ago and is now a citizen. He could have accessed the domestic court for a remedy to address delay in the processing of his application, but chose not to do so. Second, the communication is inadmissible for non-exhaustion of domestic remedies. The author </w:t>
      </w:r>
      <w:r w:rsidR="001210FD" w:rsidRPr="0072468E">
        <w:t xml:space="preserve">decided </w:t>
      </w:r>
      <w:r w:rsidR="00CA1568" w:rsidRPr="0072468E">
        <w:t xml:space="preserve">not to pursue the domestic remedy that could have addressed administrative delay, and he also failed to raise the substance of his claims under articles 17 and 26 in a domestic forum. Third, the communication is inadmissible for incompatibility </w:t>
      </w:r>
      <w:r w:rsidR="00D850D1" w:rsidRPr="0072468E">
        <w:t xml:space="preserve">with the scope of the Covenant, since the author is in essence claiming a right to residence that is not provided for. Moreover, articles 14(1) and 2(3) are not engaged. Finally, the communication is inadmissible for non-substantiation. The author has failed to substantiate any of his allegations on even a prima facie basis. Should the communication be considered admissible, Canada submits that the communication is without merit. The author has failed to establish any violation of the Covenant. </w:t>
      </w:r>
    </w:p>
    <w:p w14:paraId="2CE5A5BF" w14:textId="79D4F9FE" w:rsidR="0077487D" w:rsidRPr="00D0330B" w:rsidRDefault="00CA2353" w:rsidP="00CA1568">
      <w:pPr>
        <w:pStyle w:val="SingleTxtG"/>
      </w:pPr>
      <w:r w:rsidRPr="00D0330B">
        <w:t>6</w:t>
      </w:r>
      <w:r w:rsidR="00D850D1" w:rsidRPr="00D0330B">
        <w:t>.3</w:t>
      </w:r>
      <w:r w:rsidR="00D850D1" w:rsidRPr="00D0330B">
        <w:tab/>
        <w:t xml:space="preserve">Moreover, the author failed to pursue a sole domestic remedy to address administrative delay in the processing of his application for permanent residence. </w:t>
      </w:r>
      <w:r w:rsidR="00841A91" w:rsidRPr="00D0330B">
        <w:t xml:space="preserve">The author asserts that he pursued three domestic remedies: 1) an application for leave and for judicial review of the decision initially denying his application for permanent residence, filed in the Federal Court in April 2001; 2) a complaint to the Security Intelligence Review Committee (SIRC) in October 1997 about the conduct of the Canadian Security Intelligence Service (CSIS); and 3) a civil action for damages commenced in the Federal Court in November 2005. </w:t>
      </w:r>
    </w:p>
    <w:p w14:paraId="0114618A" w14:textId="73A50156" w:rsidR="00952565" w:rsidRPr="00D0330B" w:rsidRDefault="00CA2353" w:rsidP="00CA1568">
      <w:pPr>
        <w:pStyle w:val="SingleTxtG"/>
      </w:pPr>
      <w:r w:rsidRPr="00D0330B">
        <w:t>6</w:t>
      </w:r>
      <w:r w:rsidR="0077487D" w:rsidRPr="00D0330B">
        <w:t>.4</w:t>
      </w:r>
      <w:r w:rsidR="0077487D" w:rsidRPr="00D0330B">
        <w:tab/>
        <w:t xml:space="preserve">The State party further claims that the domestic procedures pursued by the author were not remedial avenues to address delay in the processing of his application for permanent residence, in that none of the processes could have served to require the government to make a decision on that application. The author’s application for leave and for judicial review did not </w:t>
      </w:r>
      <w:r w:rsidR="00855D4C">
        <w:t xml:space="preserve">in any way </w:t>
      </w:r>
      <w:r w:rsidR="0077487D" w:rsidRPr="00D0330B">
        <w:t xml:space="preserve">relate to </w:t>
      </w:r>
      <w:r w:rsidR="00855D4C">
        <w:t xml:space="preserve">the </w:t>
      </w:r>
      <w:r w:rsidR="0077487D" w:rsidRPr="00D0330B">
        <w:t>delay</w:t>
      </w:r>
      <w:r w:rsidR="00855D4C">
        <w:t xml:space="preserve"> but rather</w:t>
      </w:r>
      <w:r w:rsidR="0077487D" w:rsidRPr="00D0330B">
        <w:t xml:space="preserve"> asked the Federal Court </w:t>
      </w:r>
      <w:r w:rsidR="00855D4C">
        <w:t>to</w:t>
      </w:r>
      <w:r w:rsidR="00855D4C" w:rsidRPr="00D0330B">
        <w:t xml:space="preserve"> </w:t>
      </w:r>
      <w:r w:rsidR="0077487D" w:rsidRPr="00D0330B">
        <w:lastRenderedPageBreak/>
        <w:t xml:space="preserve">review the validity of the </w:t>
      </w:r>
      <w:r w:rsidR="00855D4C">
        <w:t xml:space="preserve">March 2001 </w:t>
      </w:r>
      <w:r w:rsidR="0077487D" w:rsidRPr="00D0330B">
        <w:t xml:space="preserve">decision </w:t>
      </w:r>
      <w:r w:rsidR="00855D4C">
        <w:t>which denied</w:t>
      </w:r>
      <w:r w:rsidR="0077487D" w:rsidRPr="00D0330B">
        <w:t xml:space="preserve"> his application for permanent residence. As described in Canada’s original submission, by decision of 12 November 2002, the Federal Court set the administrative decision aside and remitted the matter for reconsideration by a different decision-maker.</w:t>
      </w:r>
      <w:r w:rsidR="0077487D" w:rsidRPr="00D0330B">
        <w:rPr>
          <w:rStyle w:val="FootnoteReference"/>
        </w:rPr>
        <w:footnoteReference w:id="32"/>
      </w:r>
      <w:r w:rsidR="0077487D" w:rsidRPr="00D0330B">
        <w:t xml:space="preserve">   </w:t>
      </w:r>
    </w:p>
    <w:p w14:paraId="05EE93BF" w14:textId="4B5A6DC4" w:rsidR="001A4BB4" w:rsidRPr="00D0330B" w:rsidRDefault="00CA2353" w:rsidP="00CA1568">
      <w:pPr>
        <w:pStyle w:val="SingleTxtG"/>
      </w:pPr>
      <w:r w:rsidRPr="00D0330B">
        <w:t>6</w:t>
      </w:r>
      <w:r w:rsidR="00952565" w:rsidRPr="00D0330B">
        <w:t>.5</w:t>
      </w:r>
      <w:r w:rsidR="00952565" w:rsidRPr="00D0330B">
        <w:tab/>
        <w:t>In addition, while in his complaint to SIRC the author complained about the duration of his CSIS security screening, and in his civil action he sought damages for delay, neither of these procedures could have resulted in an outcome compelling a resolution to delay in the processing of his application for permanent residence. As explained in Canada’s original submission, SIRC is an independent review body that has jurisdiction to investigate complaints made with respect to CSIS. SIRC recommendations are intended to be advisory only; they are not binding on CSIS or other implicated departments.</w:t>
      </w:r>
      <w:r w:rsidR="00952565" w:rsidRPr="00D0330B">
        <w:rPr>
          <w:rStyle w:val="FootnoteReference"/>
        </w:rPr>
        <w:footnoteReference w:id="33"/>
      </w:r>
      <w:r w:rsidR="0077487D" w:rsidRPr="00D0330B">
        <w:t xml:space="preserve"> </w:t>
      </w:r>
      <w:r w:rsidR="001A4BB4" w:rsidRPr="00D0330B">
        <w:t>SIRC did not have the authority to compel the completion of the author’s security screening or to compel a decision on his application for permanent residence. Furthermore, the Federal Court in the context of the author’s civil action could not have required Canadian officials to complete the processing of the author’s application for permanent residence. Under Canadian domestic law, a civil action for damages is substantively different from an application for judicial review, and the available remedies differ.</w:t>
      </w:r>
      <w:r w:rsidR="00DD513C" w:rsidRPr="00D0330B">
        <w:t xml:space="preserve"> The author’s statement that he was “cleared by SIRC” should be disregarded by the Committee. </w:t>
      </w:r>
      <w:r w:rsidR="001A4BB4" w:rsidRPr="00D0330B">
        <w:t xml:space="preserve"> </w:t>
      </w:r>
    </w:p>
    <w:p w14:paraId="2CA6CB19" w14:textId="7E33F794" w:rsidR="00F101A3" w:rsidRPr="00D0330B" w:rsidRDefault="00CA2353" w:rsidP="00CA1568">
      <w:pPr>
        <w:pStyle w:val="SingleTxtG"/>
      </w:pPr>
      <w:r w:rsidRPr="00D0330B">
        <w:t>6</w:t>
      </w:r>
      <w:r w:rsidR="001A4BB4" w:rsidRPr="00D0330B">
        <w:t>.6</w:t>
      </w:r>
      <w:r w:rsidR="001A4BB4" w:rsidRPr="00D0330B">
        <w:tab/>
        <w:t>The State party also submits th</w:t>
      </w:r>
      <w:r w:rsidR="00D76013" w:rsidRPr="00D0330B">
        <w:t>at a civil action for damages is</w:t>
      </w:r>
      <w:r w:rsidR="001A4BB4" w:rsidRPr="00D0330B">
        <w:t xml:space="preserve"> a private remedy, primarily designed to</w:t>
      </w:r>
      <w:r w:rsidR="00D76013" w:rsidRPr="00D0330B">
        <w:t xml:space="preserve"> rectify wrongs </w:t>
      </w:r>
      <w:r w:rsidR="00F101A3" w:rsidRPr="00D0330B">
        <w:t xml:space="preserve">of the private law </w:t>
      </w:r>
      <w:r w:rsidR="00D76013" w:rsidRPr="00D0330B">
        <w:t>with financial compensation or other relief.</w:t>
      </w:r>
      <w:r w:rsidR="00F101A3" w:rsidRPr="00D0330B">
        <w:t xml:space="preserve"> A civil action is generally a more protracted process, which allows claimants to engage in pre-trial discovery to determine the nature and extent of their losses. A court deciding a civil action can order the government to pay damages, but it does not have the jurisdiction to quash administrative decisions or to order the government to render a decision under federal legislation. </w:t>
      </w:r>
    </w:p>
    <w:p w14:paraId="15CA52B6" w14:textId="4A271DF5" w:rsidR="00394E08" w:rsidRPr="00D0330B" w:rsidRDefault="00CA2353" w:rsidP="00CA1568">
      <w:pPr>
        <w:pStyle w:val="SingleTxtG"/>
      </w:pPr>
      <w:r w:rsidRPr="00D0330B">
        <w:t>6</w:t>
      </w:r>
      <w:r w:rsidR="00F101A3" w:rsidRPr="00D0330B">
        <w:t>.7</w:t>
      </w:r>
      <w:r w:rsidR="00F101A3" w:rsidRPr="00D0330B">
        <w:tab/>
        <w:t>In contrast, judicial review serves the public purpose of ensuring good governance. It is “directed at the legality, reasonableness and fairness of the procedures employed and actions taken by government decision makers.” Judicial review is intended to provide for a quick and summary process to quash invalid government decisions, or to require the government to act or prohibit it from acting. The available remedies on judicial review include, among other things, an order for mandamus, which can compel a resolution to administrative delay in that the government may be ordered to make a decision within a specified time frame.</w:t>
      </w:r>
      <w:r w:rsidR="00394E08" w:rsidRPr="00D0330B">
        <w:t xml:space="preserve"> The Supreme Court of Canada has explained that “judicial review suits the litigant who wishes to strike quickly and directly at the action (or inaction) i</w:t>
      </w:r>
      <w:r w:rsidR="00AC65B7" w:rsidRPr="00D0330B">
        <w:t>t</w:t>
      </w:r>
      <w:r w:rsidR="00394E08" w:rsidRPr="00D0330B">
        <w:t xml:space="preserve"> complains about.</w:t>
      </w:r>
      <w:r w:rsidR="00AC65B7" w:rsidRPr="00D0330B">
        <w:t>”</w:t>
      </w:r>
    </w:p>
    <w:p w14:paraId="0DD3D564" w14:textId="26BD7D0F" w:rsidR="00CA1568" w:rsidRPr="00D0330B" w:rsidRDefault="00CA2353" w:rsidP="00CA1568">
      <w:pPr>
        <w:pStyle w:val="SingleTxtG"/>
      </w:pPr>
      <w:r w:rsidRPr="00D0330B">
        <w:t>6</w:t>
      </w:r>
      <w:r w:rsidR="00394E08" w:rsidRPr="00D0330B">
        <w:t>.8</w:t>
      </w:r>
      <w:r w:rsidR="00394E08" w:rsidRPr="00D0330B">
        <w:tab/>
        <w:t xml:space="preserve">The State party concludes that the author failed to pursue the one remedy that could have resulted in an order compelling the government to make a decision on his application for permanent residence, namely an application for leave and for judicial review for an order of mandamus. </w:t>
      </w:r>
      <w:r w:rsidR="00DF746F" w:rsidRPr="00D0330B">
        <w:t xml:space="preserve">He failed to seek the sole remedy that would have directly addressed </w:t>
      </w:r>
      <w:r w:rsidR="00DF746F" w:rsidRPr="00D0330B">
        <w:lastRenderedPageBreak/>
        <w:t>administrative delay, despite being represented by counsel. Since the author’s complaint to the Committee aimed in delay in the processing of his application for permanent residence</w:t>
      </w:r>
      <w:r w:rsidR="00961FBA" w:rsidRPr="00D0330B">
        <w:t>, the failure to pursue the domestic remedy intended to address administrative delay cannot be discounted or excused on the basis that it was a “strategic and tactical decision”.</w:t>
      </w:r>
      <w:r w:rsidR="00961FBA" w:rsidRPr="00D0330B">
        <w:rPr>
          <w:rStyle w:val="FootnoteReference"/>
        </w:rPr>
        <w:footnoteReference w:id="34"/>
      </w:r>
      <w:r w:rsidR="00394E08" w:rsidRPr="00D0330B">
        <w:t xml:space="preserve"> </w:t>
      </w:r>
      <w:r w:rsidR="00AC3476" w:rsidRPr="00D0330B">
        <w:t xml:space="preserve">Finally, the </w:t>
      </w:r>
      <w:r w:rsidR="00961FBA" w:rsidRPr="00D0330B">
        <w:t>State party maintains that the author’s communication is inadmissible due to mootness. It cannot be held that a live controversy persists in relation to the author’s entitlement to a remedy for delay in circumstances where the author could have accessed the domestic court for a remedy to address the delay, but failed to do so.</w:t>
      </w:r>
      <w:r w:rsidR="00961FBA" w:rsidRPr="00D0330B">
        <w:rPr>
          <w:rStyle w:val="FootnoteReference"/>
        </w:rPr>
        <w:footnoteReference w:id="35"/>
      </w:r>
      <w:r w:rsidR="00F101A3" w:rsidRPr="00D0330B">
        <w:t xml:space="preserve"> </w:t>
      </w:r>
      <w:r w:rsidR="00DD513C" w:rsidRPr="00D0330B">
        <w:t>The State party requests that the Committee consider the communication to be inadmissible, or in the alternative without merit.</w:t>
      </w:r>
      <w:r w:rsidR="00CA1568" w:rsidRPr="00D0330B">
        <w:t xml:space="preserve"> </w:t>
      </w:r>
    </w:p>
    <w:p w14:paraId="12AE212E" w14:textId="77777777" w:rsidR="005D262C" w:rsidRPr="00D0330B" w:rsidRDefault="005D6980" w:rsidP="002977E5">
      <w:pPr>
        <w:pStyle w:val="H23G"/>
      </w:pPr>
      <w:r w:rsidRPr="00D0330B">
        <w:tab/>
      </w:r>
      <w:r w:rsidRPr="00D0330B">
        <w:tab/>
      </w:r>
      <w:r w:rsidR="00FA222B" w:rsidRPr="00D0330B">
        <w:t>Issues and proceedings before the Committee</w:t>
      </w:r>
    </w:p>
    <w:p w14:paraId="3D3B9440" w14:textId="77777777" w:rsidR="005901A4" w:rsidRPr="00D0330B" w:rsidRDefault="005D262C" w:rsidP="005901A4">
      <w:pPr>
        <w:pStyle w:val="H4G"/>
      </w:pPr>
      <w:r w:rsidRPr="00D0330B">
        <w:tab/>
      </w:r>
      <w:r w:rsidRPr="00D0330B">
        <w:tab/>
      </w:r>
      <w:r w:rsidR="005901A4" w:rsidRPr="00D0330B">
        <w:t>Consideration of admissibility</w:t>
      </w:r>
    </w:p>
    <w:p w14:paraId="31B335BA" w14:textId="0F9BE3E3" w:rsidR="00B941F2" w:rsidRPr="00D0330B" w:rsidRDefault="001210FD" w:rsidP="002977E5">
      <w:pPr>
        <w:pStyle w:val="SingleTxtG"/>
      </w:pPr>
      <w:r w:rsidRPr="00D0330B">
        <w:t>7</w:t>
      </w:r>
      <w:r w:rsidR="00B941F2" w:rsidRPr="00D0330B">
        <w:t>.1</w:t>
      </w:r>
      <w:r w:rsidR="00B941F2" w:rsidRPr="00D0330B">
        <w:tab/>
        <w:t xml:space="preserve">Before considering any claim contained in a communication, the Committee must decide, in accordance with article </w:t>
      </w:r>
      <w:r w:rsidR="00BA4E0B" w:rsidRPr="00D0330B">
        <w:t>9</w:t>
      </w:r>
      <w:r w:rsidR="00BA4E0B">
        <w:t>7</w:t>
      </w:r>
      <w:r w:rsidR="00BA4E0B" w:rsidRPr="00D0330B">
        <w:t xml:space="preserve"> </w:t>
      </w:r>
      <w:r w:rsidR="00B941F2" w:rsidRPr="00D0330B">
        <w:t>of its rules of procedure, whether the communication is admissible under the Optional Protocol</w:t>
      </w:r>
      <w:r w:rsidR="000B4A76" w:rsidRPr="00D0330B">
        <w:t xml:space="preserve">. </w:t>
      </w:r>
      <w:r w:rsidR="00B941F2" w:rsidRPr="00D0330B">
        <w:t xml:space="preserve"> </w:t>
      </w:r>
    </w:p>
    <w:p w14:paraId="4320F3E4" w14:textId="6FD0D3A1" w:rsidR="00B941F2" w:rsidRPr="00D0330B" w:rsidRDefault="000B4A76" w:rsidP="002977E5">
      <w:pPr>
        <w:pStyle w:val="SingleTxtG"/>
      </w:pPr>
      <w:r w:rsidRPr="00D0330B">
        <w:t>7</w:t>
      </w:r>
      <w:r w:rsidR="00B941F2" w:rsidRPr="00D0330B">
        <w:t>.2</w:t>
      </w:r>
      <w:r w:rsidR="00B941F2" w:rsidRPr="00D0330B">
        <w:tab/>
        <w:t>The Committee has ascertained, as required under article 5 (2) (a) of the Optional Protocol, that the same matter is not being examined under another procedure</w:t>
      </w:r>
      <w:r w:rsidR="007A0F2B" w:rsidRPr="00D0330B">
        <w:t xml:space="preserve"> </w:t>
      </w:r>
      <w:r w:rsidR="00B941F2" w:rsidRPr="00D0330B">
        <w:t>of international investigation or settlement.</w:t>
      </w:r>
    </w:p>
    <w:p w14:paraId="3953A8AC" w14:textId="53A6BCBC" w:rsidR="000B4A76" w:rsidRPr="00D0330B" w:rsidRDefault="000B4A76" w:rsidP="002E44CC">
      <w:pPr>
        <w:pStyle w:val="SingleTxtG"/>
      </w:pPr>
      <w:r w:rsidRPr="00D0330B">
        <w:t>7</w:t>
      </w:r>
      <w:r w:rsidR="00B941F2" w:rsidRPr="00D0330B">
        <w:t>.3</w:t>
      </w:r>
      <w:r w:rsidRPr="00D0330B">
        <w:tab/>
        <w:t xml:space="preserve">The Committee notes the State party’s objections to the admissibility of the communication on the grounds that the author’s claims are moot </w:t>
      </w:r>
      <w:r w:rsidR="005130C0" w:rsidRPr="00D0330B">
        <w:t xml:space="preserve">given that he was granted permanent residence </w:t>
      </w:r>
      <w:r w:rsidR="00E64E7D" w:rsidRPr="00D0330B">
        <w:t xml:space="preserve">in 2006 </w:t>
      </w:r>
      <w:r w:rsidR="005130C0" w:rsidRPr="00D0330B">
        <w:t xml:space="preserve">and is now a citizen, </w:t>
      </w:r>
      <w:r w:rsidR="00E270CE" w:rsidRPr="00D0330B">
        <w:t xml:space="preserve">and </w:t>
      </w:r>
      <w:r w:rsidR="005130C0" w:rsidRPr="00D0330B">
        <w:t xml:space="preserve">that the conditions for the alleged violations of his rights have ceased to exist, including </w:t>
      </w:r>
      <w:r w:rsidR="00E270CE" w:rsidRPr="00D0330B">
        <w:t xml:space="preserve">due to the fact that </w:t>
      </w:r>
      <w:r w:rsidR="000C4ACF" w:rsidRPr="00D0330B">
        <w:t xml:space="preserve">all </w:t>
      </w:r>
      <w:r w:rsidR="005130C0" w:rsidRPr="00D0330B">
        <w:t xml:space="preserve">refugees </w:t>
      </w:r>
      <w:r w:rsidR="00E270CE" w:rsidRPr="00D0330B">
        <w:t xml:space="preserve">have had access </w:t>
      </w:r>
      <w:r w:rsidR="005130C0" w:rsidRPr="00D0330B">
        <w:t>to Student Loans Program since 2003</w:t>
      </w:r>
      <w:r w:rsidR="00E64E7D" w:rsidRPr="00D0330B">
        <w:t xml:space="preserve">. </w:t>
      </w:r>
      <w:r w:rsidR="005130C0" w:rsidRPr="00D0330B">
        <w:t xml:space="preserve">The Committee </w:t>
      </w:r>
      <w:r w:rsidR="00E270CE" w:rsidRPr="00D0330B">
        <w:t xml:space="preserve">also </w:t>
      </w:r>
      <w:r w:rsidR="005130C0" w:rsidRPr="00D0330B">
        <w:t xml:space="preserve">notes the author’s </w:t>
      </w:r>
      <w:r w:rsidR="00E64E7D" w:rsidRPr="00D0330B">
        <w:t xml:space="preserve">claim </w:t>
      </w:r>
      <w:r w:rsidR="005130C0" w:rsidRPr="00D0330B">
        <w:t xml:space="preserve">that </w:t>
      </w:r>
      <w:r w:rsidR="00E64E7D" w:rsidRPr="00D0330B">
        <w:t xml:space="preserve">his allegations relate to live issues insofar as the fact of being granted permanent residence does not absolve the violations he suffered, nor have the </w:t>
      </w:r>
      <w:r w:rsidR="005130C0" w:rsidRPr="00D0330B">
        <w:t>violation</w:t>
      </w:r>
      <w:r w:rsidR="00E64E7D" w:rsidRPr="00D0330B">
        <w:t>s</w:t>
      </w:r>
      <w:r w:rsidR="005130C0" w:rsidRPr="00D0330B">
        <w:t xml:space="preserve"> of his rights</w:t>
      </w:r>
      <w:r w:rsidR="00F32393">
        <w:t xml:space="preserve"> </w:t>
      </w:r>
      <w:r w:rsidR="005130C0" w:rsidRPr="00D0330B">
        <w:t>due to the negligent processing of his permanent residence application for 13 years</w:t>
      </w:r>
      <w:r w:rsidR="00F32393">
        <w:t xml:space="preserve"> </w:t>
      </w:r>
      <w:r w:rsidR="00E64E7D" w:rsidRPr="00D0330B">
        <w:t>ever been remedied</w:t>
      </w:r>
      <w:r w:rsidR="005130C0" w:rsidRPr="00D0330B">
        <w:t>.</w:t>
      </w:r>
      <w:r w:rsidR="00E64E7D" w:rsidRPr="00D0330B">
        <w:t xml:space="preserve"> </w:t>
      </w:r>
      <w:r w:rsidR="002571B2" w:rsidRPr="00D0330B">
        <w:t xml:space="preserve">The Committee further notes, however, that neither the changes made to the refugees’ access to education nor regularization of the author’s status could retroactively remedy the harm he </w:t>
      </w:r>
      <w:r w:rsidR="009D12B7" w:rsidRPr="00D0330B">
        <w:t xml:space="preserve">may have </w:t>
      </w:r>
      <w:r w:rsidR="002571B2" w:rsidRPr="00D0330B">
        <w:t xml:space="preserve">suffered between 1993 and </w:t>
      </w:r>
      <w:r w:rsidR="00182D14">
        <w:t>2003</w:t>
      </w:r>
      <w:r w:rsidR="00182D14">
        <w:rPr>
          <w:rStyle w:val="FootnoteReference"/>
        </w:rPr>
        <w:footnoteReference w:id="36"/>
      </w:r>
      <w:r w:rsidR="00182D14">
        <w:t xml:space="preserve">, and between 1993 and </w:t>
      </w:r>
      <w:r w:rsidR="002571B2" w:rsidRPr="00D0330B">
        <w:t>2006</w:t>
      </w:r>
      <w:r w:rsidR="00B33F04">
        <w:rPr>
          <w:rStyle w:val="FootnoteReference"/>
        </w:rPr>
        <w:footnoteReference w:id="37"/>
      </w:r>
      <w:r w:rsidR="00182D14">
        <w:t xml:space="preserve">, </w:t>
      </w:r>
      <w:r w:rsidR="002571B2" w:rsidRPr="00D0330B">
        <w:t>due to a limited access to a range of rights, benefits and services.</w:t>
      </w:r>
      <w:r w:rsidR="002571B2" w:rsidRPr="00D0330B">
        <w:rPr>
          <w:rStyle w:val="FootnoteReference"/>
        </w:rPr>
        <w:footnoteReference w:id="38"/>
      </w:r>
      <w:r w:rsidR="002571B2" w:rsidRPr="00D0330B">
        <w:t xml:space="preserve"> </w:t>
      </w:r>
      <w:r w:rsidR="00090AA3">
        <w:t xml:space="preserve">The Committee recalls its jurisprudence that </w:t>
      </w:r>
      <w:r w:rsidR="00090AA3" w:rsidRPr="00D0330B">
        <w:t>an author may be entitled to compensation for violation of his rights, even after the rights violation itself no longer exists</w:t>
      </w:r>
      <w:r w:rsidR="00090AA3">
        <w:t>.</w:t>
      </w:r>
      <w:r w:rsidR="00090AA3">
        <w:rPr>
          <w:rStyle w:val="FootnoteReference"/>
        </w:rPr>
        <w:footnoteReference w:id="39"/>
      </w:r>
      <w:r w:rsidR="00090AA3">
        <w:t xml:space="preserve"> </w:t>
      </w:r>
      <w:r w:rsidR="002571B2" w:rsidRPr="00D0330B">
        <w:t>Accordingly, the Committee considers that th</w:t>
      </w:r>
      <w:r w:rsidR="00104A21" w:rsidRPr="00D0330B">
        <w:t xml:space="preserve">e author’s allegations </w:t>
      </w:r>
      <w:r w:rsidR="002E44CC">
        <w:t xml:space="preserve">were </w:t>
      </w:r>
      <w:r w:rsidR="00104A21" w:rsidRPr="00D0330B">
        <w:t xml:space="preserve">not moot, and </w:t>
      </w:r>
      <w:r w:rsidR="002E44CC">
        <w:t xml:space="preserve">do not contravene </w:t>
      </w:r>
      <w:r w:rsidR="002571B2" w:rsidRPr="00D0330B">
        <w:t>article 3 of the Optional Protocol.</w:t>
      </w:r>
    </w:p>
    <w:p w14:paraId="62394B11" w14:textId="3EA36638" w:rsidR="00B941F2" w:rsidRPr="00D0330B" w:rsidRDefault="00E744F5" w:rsidP="00B44F75">
      <w:pPr>
        <w:pStyle w:val="SingleTxtG"/>
      </w:pPr>
      <w:r w:rsidRPr="00D0330B">
        <w:t>7.4</w:t>
      </w:r>
      <w:r w:rsidRPr="00D0330B">
        <w:tab/>
      </w:r>
      <w:r w:rsidR="00104A21" w:rsidRPr="00D0330B">
        <w:t xml:space="preserve">Moreover, the </w:t>
      </w:r>
      <w:r w:rsidR="007A0F2B" w:rsidRPr="00D0330B">
        <w:t xml:space="preserve">Committee observes that the State party has objected to the admissibility of </w:t>
      </w:r>
      <w:r w:rsidR="0074318D" w:rsidRPr="00D0330B">
        <w:t>the communication</w:t>
      </w:r>
      <w:r w:rsidR="004E1AC8" w:rsidRPr="00D0330B">
        <w:t xml:space="preserve"> generally and in relation to </w:t>
      </w:r>
      <w:r w:rsidR="004E1AC8" w:rsidRPr="00D0330B">
        <w:lastRenderedPageBreak/>
        <w:t>articles 14(1) and 2(3)</w:t>
      </w:r>
      <w:r w:rsidR="00F32393">
        <w:t xml:space="preserve"> of the Covenant</w:t>
      </w:r>
      <w:r w:rsidR="004E1AC8" w:rsidRPr="00D0330B">
        <w:t xml:space="preserve">, </w:t>
      </w:r>
      <w:r w:rsidR="0074318D" w:rsidRPr="00D0330B">
        <w:t xml:space="preserve">under article </w:t>
      </w:r>
      <w:r w:rsidR="00F32393">
        <w:t>5</w:t>
      </w:r>
      <w:r w:rsidR="00A13F4F">
        <w:t xml:space="preserve"> </w:t>
      </w:r>
      <w:r w:rsidR="00F32393">
        <w:t>(2)</w:t>
      </w:r>
      <w:r w:rsidR="00A13F4F">
        <w:t xml:space="preserve"> </w:t>
      </w:r>
      <w:r w:rsidR="007A0F2B" w:rsidRPr="00D0330B">
        <w:t>(</w:t>
      </w:r>
      <w:r w:rsidR="00136DA6" w:rsidRPr="00D0330B">
        <w:t xml:space="preserve">b) of the Optional Protocol, as the author </w:t>
      </w:r>
      <w:r w:rsidR="00EC4010" w:rsidRPr="00D0330B">
        <w:t xml:space="preserve">could have accessed domestic court but </w:t>
      </w:r>
      <w:r w:rsidR="00136DA6" w:rsidRPr="00D0330B">
        <w:t xml:space="preserve">failed to avail himself of the appropriate domestic remedy to address the delay in the processing of his application for permanent residence, namely an application for leave and judicial review for an order of </w:t>
      </w:r>
      <w:r w:rsidR="00136DA6" w:rsidRPr="00D0330B">
        <w:rPr>
          <w:i/>
        </w:rPr>
        <w:t>mandamus</w:t>
      </w:r>
      <w:r w:rsidR="00136DA6" w:rsidRPr="00D0330B">
        <w:t xml:space="preserve">. </w:t>
      </w:r>
      <w:r w:rsidR="001D39E1" w:rsidRPr="00D0330B">
        <w:t xml:space="preserve">The </w:t>
      </w:r>
      <w:r w:rsidR="00E41D69" w:rsidRPr="00D0330B">
        <w:t xml:space="preserve">Committee notes </w:t>
      </w:r>
      <w:r w:rsidR="00EC4010" w:rsidRPr="00D0330B">
        <w:t xml:space="preserve">the </w:t>
      </w:r>
      <w:r w:rsidR="00E41D69" w:rsidRPr="00D0330B">
        <w:t>author</w:t>
      </w:r>
      <w:r w:rsidR="00EC4010" w:rsidRPr="00D0330B">
        <w:t xml:space="preserve">’s </w:t>
      </w:r>
      <w:r w:rsidR="00E41D69" w:rsidRPr="00D0330B">
        <w:t>object</w:t>
      </w:r>
      <w:r w:rsidR="00EC4010" w:rsidRPr="00D0330B">
        <w:t xml:space="preserve">ion </w:t>
      </w:r>
      <w:r w:rsidR="00E41D69" w:rsidRPr="00D0330B">
        <w:t xml:space="preserve">to inadmissibility, </w:t>
      </w:r>
      <w:r w:rsidR="00104A21" w:rsidRPr="00D0330B">
        <w:t>while a</w:t>
      </w:r>
      <w:r w:rsidR="00E41D69" w:rsidRPr="00D0330B">
        <w:t>dmitt</w:t>
      </w:r>
      <w:r w:rsidR="00104A21" w:rsidRPr="00D0330B">
        <w:t xml:space="preserve">ing </w:t>
      </w:r>
      <w:r w:rsidR="00E41D69" w:rsidRPr="00D0330B">
        <w:t>that he did not apply for leave to seek mandamus between 2002 and 2005 for four different reasons, including that he legitimately expected, following the positive judicial review decision in 2002</w:t>
      </w:r>
      <w:r w:rsidR="0086275D" w:rsidRPr="00D0330B">
        <w:t xml:space="preserve"> </w:t>
      </w:r>
      <w:r w:rsidR="00E41D69" w:rsidRPr="00D0330B">
        <w:t>that CIC would act quickly to resolve his application (para. 5.5)</w:t>
      </w:r>
      <w:r w:rsidR="00F32393">
        <w:t xml:space="preserve">. The author also </w:t>
      </w:r>
      <w:r w:rsidR="002B22D5">
        <w:t xml:space="preserve">discontinued </w:t>
      </w:r>
      <w:r w:rsidR="00F32393">
        <w:t xml:space="preserve">his </w:t>
      </w:r>
      <w:r w:rsidR="002B22D5">
        <w:t>c</w:t>
      </w:r>
      <w:proofErr w:type="spellStart"/>
      <w:r w:rsidR="002B22D5" w:rsidRPr="00D0330B">
        <w:rPr>
          <w:rFonts w:eastAsia="Calibri"/>
          <w:lang w:val="en-US"/>
        </w:rPr>
        <w:t>ivil</w:t>
      </w:r>
      <w:proofErr w:type="spellEnd"/>
      <w:r w:rsidR="002B22D5">
        <w:rPr>
          <w:rFonts w:eastAsia="Calibri"/>
          <w:lang w:val="en-US"/>
        </w:rPr>
        <w:t xml:space="preserve"> </w:t>
      </w:r>
      <w:r w:rsidR="002B22D5" w:rsidRPr="00D0330B">
        <w:rPr>
          <w:rFonts w:eastAsia="Calibri"/>
          <w:lang w:val="en-US"/>
        </w:rPr>
        <w:t xml:space="preserve">suit before the Federal Court for damages </w:t>
      </w:r>
      <w:r w:rsidR="002B22D5">
        <w:rPr>
          <w:rFonts w:eastAsia="Calibri"/>
          <w:lang w:val="en-US"/>
        </w:rPr>
        <w:t xml:space="preserve">in light of the </w:t>
      </w:r>
      <w:r w:rsidR="002B22D5" w:rsidRPr="002B22D5">
        <w:rPr>
          <w:rFonts w:eastAsia="Calibri"/>
          <w:i/>
          <w:lang w:val="en-US"/>
        </w:rPr>
        <w:t>Haj Khalil</w:t>
      </w:r>
      <w:r w:rsidR="002B22D5">
        <w:rPr>
          <w:rFonts w:eastAsia="Calibri"/>
          <w:lang w:val="en-US"/>
        </w:rPr>
        <w:t xml:space="preserve"> decision. </w:t>
      </w:r>
      <w:r w:rsidR="00E41D69" w:rsidRPr="00D0330B">
        <w:t xml:space="preserve">The Committee recalls its jurisprudence according to which the author must exhaust, for the purpose of article 5 (2) (b) of the Optional Protocol, all judicial or administrative remedies </w:t>
      </w:r>
      <w:r w:rsidR="00B44F75" w:rsidRPr="00D0330B">
        <w:t xml:space="preserve">insofar as such remedies offer a reasonable prospect of redress </w:t>
      </w:r>
      <w:r w:rsidR="00B1200F" w:rsidRPr="00D0330B">
        <w:t xml:space="preserve">and are </w:t>
      </w:r>
      <w:r w:rsidR="00B1200F" w:rsidRPr="00D0330B">
        <w:rPr>
          <w:i/>
        </w:rPr>
        <w:t>de facto</w:t>
      </w:r>
      <w:r w:rsidR="00B1200F" w:rsidRPr="00D0330B">
        <w:t xml:space="preserve"> available</w:t>
      </w:r>
      <w:r w:rsidR="00B44F75" w:rsidRPr="00D0330B">
        <w:t xml:space="preserve"> to the author.</w:t>
      </w:r>
      <w:r w:rsidR="00EC4010" w:rsidRPr="00D0330B">
        <w:rPr>
          <w:rStyle w:val="FootnoteReference"/>
        </w:rPr>
        <w:footnoteReference w:id="40"/>
      </w:r>
      <w:r w:rsidR="00EC4010" w:rsidRPr="00D0330B">
        <w:t xml:space="preserve"> The author does not explain why such remedy to address administrative delay would not have been effective in his case, despite being represented by counsel.</w:t>
      </w:r>
      <w:r w:rsidR="0020790D">
        <w:rPr>
          <w:rStyle w:val="FootnoteReference"/>
        </w:rPr>
        <w:footnoteReference w:id="41"/>
      </w:r>
      <w:r w:rsidR="00EC4010" w:rsidRPr="00D0330B">
        <w:t xml:space="preserve"> </w:t>
      </w:r>
      <w:r w:rsidR="00C86C91" w:rsidRPr="00D0330B">
        <w:t xml:space="preserve">Accordingly, the </w:t>
      </w:r>
      <w:r w:rsidR="00B941F2" w:rsidRPr="00D0330B">
        <w:t xml:space="preserve">Committee considers that the requirements of article 5 (2) (b) of the Optional Protocol have </w:t>
      </w:r>
      <w:r w:rsidR="00EC4010" w:rsidRPr="00D0330B">
        <w:t xml:space="preserve">not </w:t>
      </w:r>
      <w:r w:rsidR="00B941F2" w:rsidRPr="00D0330B">
        <w:t>been met</w:t>
      </w:r>
      <w:r w:rsidR="00104A21" w:rsidRPr="00D0330B">
        <w:t xml:space="preserve"> in regard to alleged violations of articles 14(1) and 2(3)</w:t>
      </w:r>
      <w:r w:rsidR="00B941F2" w:rsidRPr="00D0330B">
        <w:t>.</w:t>
      </w:r>
      <w:r w:rsidR="00933CE4" w:rsidRPr="00D0330B">
        <w:t xml:space="preserve"> In light of the above, the Committee is not going to consider whether the </w:t>
      </w:r>
      <w:r w:rsidR="00E42006" w:rsidRPr="00D0330B">
        <w:t xml:space="preserve">author’s </w:t>
      </w:r>
      <w:r w:rsidR="00933CE4" w:rsidRPr="00D0330B">
        <w:t xml:space="preserve">allegations in this regard </w:t>
      </w:r>
      <w:r w:rsidR="002E44CC">
        <w:t>lack</w:t>
      </w:r>
      <w:r w:rsidR="00E42006" w:rsidRPr="00D0330B">
        <w:t xml:space="preserve"> sufficient substantiation</w:t>
      </w:r>
      <w:r w:rsidR="00A13F4F" w:rsidRPr="00A13F4F">
        <w:t xml:space="preserve"> </w:t>
      </w:r>
      <w:r w:rsidR="00A13F4F">
        <w:t xml:space="preserve">or </w:t>
      </w:r>
      <w:r w:rsidR="002E44CC">
        <w:t>are</w:t>
      </w:r>
      <w:r w:rsidR="00A13F4F" w:rsidRPr="00D0330B">
        <w:t xml:space="preserve"> in</w:t>
      </w:r>
      <w:r w:rsidR="00A13F4F">
        <w:t>compatible with the Covenant</w:t>
      </w:r>
      <w:r w:rsidR="00E42006" w:rsidRPr="00D0330B">
        <w:t xml:space="preserve">. </w:t>
      </w:r>
      <w:r w:rsidR="00933CE4" w:rsidRPr="00D0330B">
        <w:t xml:space="preserve"> </w:t>
      </w:r>
    </w:p>
    <w:p w14:paraId="266E1726" w14:textId="74D6A8F9" w:rsidR="00510994" w:rsidRPr="00D0330B" w:rsidRDefault="00E42006" w:rsidP="002977E5">
      <w:pPr>
        <w:pStyle w:val="SingleTxtG"/>
      </w:pPr>
      <w:r w:rsidRPr="00D0330B">
        <w:t>7.5</w:t>
      </w:r>
      <w:r w:rsidRPr="00D0330B">
        <w:tab/>
        <w:t xml:space="preserve">As </w:t>
      </w:r>
      <w:r w:rsidR="00104A21" w:rsidRPr="00D0330B">
        <w:t xml:space="preserve">concerns </w:t>
      </w:r>
      <w:r w:rsidRPr="00D0330B">
        <w:t>article 17, the C</w:t>
      </w:r>
      <w:r w:rsidR="00AA4CB4" w:rsidRPr="00D0330B">
        <w:t xml:space="preserve">ommittee notes </w:t>
      </w:r>
      <w:r w:rsidRPr="00D0330B">
        <w:t>the State party’s submission that the author has failed to establish that Canadian officials unlawfully attacked his honour and reputation since the authorities lawfully investigated the author’s activities due to his perceived affiliation with the PKK</w:t>
      </w:r>
      <w:r w:rsidR="00370359" w:rsidRPr="00D0330B">
        <w:t xml:space="preserve"> and involvement in TKCI</w:t>
      </w:r>
      <w:r w:rsidR="00A13F4F">
        <w:t xml:space="preserve">C. The State party has argued that his activities </w:t>
      </w:r>
      <w:r w:rsidR="00370359" w:rsidRPr="00D0330B">
        <w:t>raised national security concerns</w:t>
      </w:r>
      <w:r w:rsidR="00A13F4F">
        <w:t xml:space="preserve">, pointing out </w:t>
      </w:r>
      <w:r w:rsidR="00304EAA" w:rsidRPr="00D0330B">
        <w:t xml:space="preserve">that PKK has remained a listed organization </w:t>
      </w:r>
      <w:r w:rsidR="00754918">
        <w:t xml:space="preserve">even after </w:t>
      </w:r>
      <w:r w:rsidR="00304EAA" w:rsidRPr="00D0330B">
        <w:t>2002</w:t>
      </w:r>
      <w:r w:rsidR="00370359" w:rsidRPr="00D0330B">
        <w:t xml:space="preserve">, and that such investigation </w:t>
      </w:r>
      <w:r w:rsidRPr="00D0330B">
        <w:t xml:space="preserve">was done for the sole purpose of determining </w:t>
      </w:r>
      <w:r w:rsidR="00370359" w:rsidRPr="00D0330B">
        <w:t xml:space="preserve">the author’s </w:t>
      </w:r>
      <w:r w:rsidRPr="00D0330B">
        <w:t xml:space="preserve">eligibility for permanent residence. </w:t>
      </w:r>
      <w:r w:rsidR="00370359" w:rsidRPr="00D0330B">
        <w:t>The Committee also notes the author</w:t>
      </w:r>
      <w:r w:rsidR="00D1101F" w:rsidRPr="00D0330B">
        <w:t>’</w:t>
      </w:r>
      <w:r w:rsidR="00370359" w:rsidRPr="00D0330B">
        <w:t xml:space="preserve">s </w:t>
      </w:r>
      <w:r w:rsidR="00D1101F" w:rsidRPr="00D0330B">
        <w:t xml:space="preserve">argument that he has not been found to be a member of a terrorist organization, </w:t>
      </w:r>
      <w:r w:rsidR="00104A21" w:rsidRPr="00D0330B">
        <w:t xml:space="preserve">and </w:t>
      </w:r>
      <w:r w:rsidR="00304EAA" w:rsidRPr="00D0330B">
        <w:t xml:space="preserve">that </w:t>
      </w:r>
      <w:r w:rsidR="00D1101F" w:rsidRPr="00D0330B">
        <w:t xml:space="preserve">such determination </w:t>
      </w:r>
      <w:r w:rsidR="000606C3">
        <w:t xml:space="preserve">included </w:t>
      </w:r>
      <w:r w:rsidR="00D1101F" w:rsidRPr="00D0330B">
        <w:t xml:space="preserve">several stages of contradictory decisions and hence </w:t>
      </w:r>
      <w:r w:rsidR="00C70EAE">
        <w:t xml:space="preserve">took </w:t>
      </w:r>
      <w:r w:rsidR="00304EAA" w:rsidRPr="00D0330B">
        <w:t xml:space="preserve">unreasonable time. </w:t>
      </w:r>
      <w:r w:rsidR="00467602" w:rsidRPr="00D0330B">
        <w:t xml:space="preserve">The Committee considers that the author has not sufficiently substantiated in what way the investigations </w:t>
      </w:r>
      <w:r w:rsidR="002A5ED8" w:rsidRPr="00D0330B">
        <w:t>undertaken should have caused irreparable damage to his honour and reputation within the Kurdish Canadian community. Consequently, this part of the communication is declared inadmissible</w:t>
      </w:r>
      <w:r w:rsidR="00D86FC8">
        <w:t xml:space="preserve"> for lack of substantiation</w:t>
      </w:r>
      <w:r w:rsidR="00261535" w:rsidRPr="00D0330B">
        <w:t xml:space="preserve">, </w:t>
      </w:r>
      <w:r w:rsidR="0088509C">
        <w:t>pursuant to</w:t>
      </w:r>
      <w:r w:rsidR="002A5ED8" w:rsidRPr="00D0330B">
        <w:t xml:space="preserve"> article 2 of the Optional Protocol. </w:t>
      </w:r>
    </w:p>
    <w:p w14:paraId="71760F68" w14:textId="0087BC0E" w:rsidR="00E42006" w:rsidRPr="00D0330B" w:rsidRDefault="00510994" w:rsidP="002977E5">
      <w:pPr>
        <w:pStyle w:val="SingleTxtG"/>
      </w:pPr>
      <w:r w:rsidRPr="00D0330B">
        <w:t>7.6</w:t>
      </w:r>
      <w:r w:rsidRPr="00D0330B">
        <w:tab/>
        <w:t xml:space="preserve">In relation to articles 19(2) and 22, the Committee notes that the author </w:t>
      </w:r>
      <w:r w:rsidR="00D86FC8">
        <w:t>refrained from expressing himself freely on the political situation in his country of origin and withdrew from the TKCIC</w:t>
      </w:r>
      <w:r w:rsidRPr="00D0330B">
        <w:t xml:space="preserve"> </w:t>
      </w:r>
      <w:r w:rsidR="00887CC1" w:rsidRPr="00D0330B">
        <w:t xml:space="preserve">on account of </w:t>
      </w:r>
      <w:r w:rsidR="00F45BC7" w:rsidRPr="00D0330B">
        <w:t xml:space="preserve">his perceived affiliation with the PKK, </w:t>
      </w:r>
      <w:r w:rsidR="00D86FC8">
        <w:t>since</w:t>
      </w:r>
      <w:r w:rsidR="00887CC1" w:rsidRPr="00D0330B">
        <w:t xml:space="preserve"> he </w:t>
      </w:r>
      <w:r w:rsidR="00F45BC7" w:rsidRPr="00D0330B">
        <w:t xml:space="preserve">feared that any criticism of the Turkish government or continued association with the TKCIC would jeopardize his application. The Committee also notes the State party’s argument that the author’s rights to freedom of expression or association have not suffered from any unlawful restrictions and that there was no </w:t>
      </w:r>
      <w:r w:rsidR="00F45BC7" w:rsidRPr="00D0330B">
        <w:lastRenderedPageBreak/>
        <w:t xml:space="preserve">suggestion that the State party </w:t>
      </w:r>
      <w:r w:rsidR="00D86FC8">
        <w:t>had intended</w:t>
      </w:r>
      <w:r w:rsidR="00F45BC7" w:rsidRPr="00D0330B">
        <w:t xml:space="preserve"> to do so. </w:t>
      </w:r>
      <w:r w:rsidR="00887CC1" w:rsidRPr="00D0330B">
        <w:t xml:space="preserve">Given that the author </w:t>
      </w:r>
      <w:r w:rsidR="00D86FC8">
        <w:t xml:space="preserve">decided </w:t>
      </w:r>
      <w:r w:rsidR="00BA7A43">
        <w:t xml:space="preserve">out of his own volition </w:t>
      </w:r>
      <w:r w:rsidR="00D86FC8">
        <w:t xml:space="preserve">to </w:t>
      </w:r>
      <w:r w:rsidR="000606C3">
        <w:t xml:space="preserve">limit </w:t>
      </w:r>
      <w:r w:rsidR="00D86FC8">
        <w:t>his activities and the expression of his opinions</w:t>
      </w:r>
      <w:r w:rsidR="00887CC1" w:rsidRPr="00D0330B">
        <w:t xml:space="preserve">, the Committee considers that the author has failed to sufficiently substantiate that he would </w:t>
      </w:r>
      <w:r w:rsidR="00D86FC8">
        <w:t xml:space="preserve">have been </w:t>
      </w:r>
      <w:r w:rsidR="00887CC1" w:rsidRPr="00D0330B">
        <w:t xml:space="preserve">prohibited by the State party to express his political opinions, or </w:t>
      </w:r>
      <w:r w:rsidR="00285114">
        <w:t xml:space="preserve">would have faced </w:t>
      </w:r>
      <w:r w:rsidR="00887CC1" w:rsidRPr="00D0330B">
        <w:t>any illegitimate consequences of such expression o</w:t>
      </w:r>
      <w:r w:rsidR="000606C3">
        <w:t xml:space="preserve">r </w:t>
      </w:r>
      <w:r w:rsidR="00887CC1" w:rsidRPr="00D0330B">
        <w:t xml:space="preserve">association. Accordingly, this part of the communication is declared inadmissible, </w:t>
      </w:r>
      <w:r w:rsidR="0088509C">
        <w:t>pursuant to</w:t>
      </w:r>
      <w:r w:rsidR="00887CC1" w:rsidRPr="00D0330B">
        <w:t xml:space="preserve"> article 2 of the Optional Protocol.   </w:t>
      </w:r>
      <w:r w:rsidR="00F45BC7" w:rsidRPr="00D0330B">
        <w:t xml:space="preserve"> </w:t>
      </w:r>
      <w:r w:rsidR="00E42006" w:rsidRPr="00D0330B">
        <w:t xml:space="preserve">  </w:t>
      </w:r>
    </w:p>
    <w:p w14:paraId="2A09F4DC" w14:textId="5521AD6E" w:rsidR="00261535" w:rsidRPr="00D0330B" w:rsidRDefault="00261535" w:rsidP="002977E5">
      <w:pPr>
        <w:pStyle w:val="SingleTxtG"/>
      </w:pPr>
      <w:r w:rsidRPr="00D0330B">
        <w:t>7.7</w:t>
      </w:r>
      <w:r w:rsidRPr="00D0330B">
        <w:tab/>
      </w:r>
      <w:r w:rsidR="00834AED" w:rsidRPr="00D0330B">
        <w:t>As regards article 26, the Committee notes the author’s allegations that, despite being admitted to McGill University and the University of Toronto, he was prevented from pursuing post-secondary education in order to qualify for employment in his profession as an engineer, since he was not eligi</w:t>
      </w:r>
      <w:r w:rsidR="000606C3">
        <w:t xml:space="preserve">ble to apply for student loans </w:t>
      </w:r>
      <w:r w:rsidR="00834AED" w:rsidRPr="00D0330B">
        <w:t xml:space="preserve">which were available to persons with permanent resident status, and that he was unable to be issued with travel documents </w:t>
      </w:r>
      <w:r w:rsidR="00A16D36" w:rsidRPr="00D0330B">
        <w:t>until 2002 when he was found not to present security risks. The Committee also notes the State party’s argument that the author’s allegations are unsubstantiated since the author’s ineligibility to receive a Canada Student Loan while he was a refugee</w:t>
      </w:r>
      <w:r w:rsidR="0088509C">
        <w:t>,</w:t>
      </w:r>
      <w:r w:rsidR="00A16D36" w:rsidRPr="00D0330B">
        <w:t xml:space="preserve"> prior to 2003</w:t>
      </w:r>
      <w:r w:rsidR="0044072B">
        <w:t xml:space="preserve"> when law changed, </w:t>
      </w:r>
      <w:r w:rsidR="00A16D36" w:rsidRPr="00D0330B">
        <w:t>did not have the effect of nullifying or impairing his access to post-secondary education or the Canadian workforce as the author was issued numerous work permits during the time before</w:t>
      </w:r>
      <w:r w:rsidR="00E270CE" w:rsidRPr="00D0330B">
        <w:t xml:space="preserve"> he became a permanent resident, and </w:t>
      </w:r>
      <w:r w:rsidR="0044072B">
        <w:t xml:space="preserve">that </w:t>
      </w:r>
      <w:r w:rsidR="00E270CE" w:rsidRPr="00D0330B">
        <w:t xml:space="preserve">he was not denied access to travel documents while he was a refugee. </w:t>
      </w:r>
      <w:r w:rsidR="00CA2063">
        <w:t>Recalling it</w:t>
      </w:r>
      <w:r w:rsidR="000606C3">
        <w:t xml:space="preserve">s general comment No. 18 </w:t>
      </w:r>
      <w:r w:rsidR="00CA2063">
        <w:t>on non-discrimination</w:t>
      </w:r>
      <w:r w:rsidR="00CA2063">
        <w:rPr>
          <w:rStyle w:val="FootnoteReference"/>
        </w:rPr>
        <w:footnoteReference w:id="42"/>
      </w:r>
      <w:r w:rsidR="00CA2063">
        <w:t xml:space="preserve"> and </w:t>
      </w:r>
      <w:r w:rsidR="000606C3">
        <w:t>the j</w:t>
      </w:r>
      <w:r w:rsidR="00CA2063">
        <w:t>urisprudence that not every differentiation based on the grounds listed in article 26 amounts to discrimination,</w:t>
      </w:r>
      <w:r w:rsidR="00F44E14">
        <w:rPr>
          <w:rStyle w:val="FootnoteReference"/>
        </w:rPr>
        <w:footnoteReference w:id="43"/>
      </w:r>
      <w:r w:rsidR="00CA2063">
        <w:t xml:space="preserve"> </w:t>
      </w:r>
      <w:r w:rsidR="00E270CE" w:rsidRPr="00D0330B">
        <w:t xml:space="preserve">the Committee considers that </w:t>
      </w:r>
      <w:r w:rsidR="00CA2063">
        <w:t xml:space="preserve">it has not been </w:t>
      </w:r>
      <w:r w:rsidR="00E270CE" w:rsidRPr="00D0330B">
        <w:t xml:space="preserve">sufficiently substantiated </w:t>
      </w:r>
      <w:r w:rsidR="00CA2063">
        <w:t xml:space="preserve">that the author’s differential treatment based on residence status was not objective, reasonable and in pursuit of a legitimate aim. Consequently, these claims </w:t>
      </w:r>
      <w:r w:rsidR="00E270CE" w:rsidRPr="00D0330B">
        <w:t xml:space="preserve">are inadmissible under article 2 of the Optional Protocol. </w:t>
      </w:r>
      <w:r w:rsidR="00A16D36" w:rsidRPr="00D0330B">
        <w:t xml:space="preserve"> </w:t>
      </w:r>
      <w:r w:rsidR="00834AED" w:rsidRPr="00D0330B">
        <w:t xml:space="preserve"> </w:t>
      </w:r>
    </w:p>
    <w:p w14:paraId="33BA97B3" w14:textId="3E9C5B00" w:rsidR="00E270CE" w:rsidRPr="00D0330B" w:rsidRDefault="001F0434" w:rsidP="00E270CE">
      <w:pPr>
        <w:pStyle w:val="SingleTxtG"/>
      </w:pPr>
      <w:r>
        <w:t>8.</w:t>
      </w:r>
      <w:r w:rsidR="00E270CE" w:rsidRPr="00D0330B">
        <w:tab/>
        <w:t>The Human Rights Committee therefore decides:</w:t>
      </w:r>
    </w:p>
    <w:p w14:paraId="52BA26A2" w14:textId="01185A50" w:rsidR="00E270CE" w:rsidRPr="00D0330B" w:rsidRDefault="001F0434" w:rsidP="001F0434">
      <w:pPr>
        <w:pStyle w:val="SingleTxtG"/>
        <w:ind w:firstLine="567"/>
      </w:pPr>
      <w:r>
        <w:t>(a)</w:t>
      </w:r>
      <w:r w:rsidR="00F61A6C" w:rsidRPr="00D0330B">
        <w:tab/>
      </w:r>
      <w:r w:rsidR="00E270CE" w:rsidRPr="00D0330B">
        <w:t>That the communication is inadmissible under articles 2 and 5 (2) (b) of the Optional Protocol;</w:t>
      </w:r>
    </w:p>
    <w:p w14:paraId="5EBEC88C" w14:textId="31650FDD" w:rsidR="00E270CE" w:rsidRDefault="001F0434" w:rsidP="001F0434">
      <w:pPr>
        <w:pStyle w:val="SingleTxtG"/>
        <w:ind w:firstLine="567"/>
      </w:pPr>
      <w:r>
        <w:t>(b)</w:t>
      </w:r>
      <w:r w:rsidR="00F61A6C" w:rsidRPr="00D0330B">
        <w:tab/>
      </w:r>
      <w:r w:rsidR="00E270CE" w:rsidRPr="00D0330B">
        <w:t>That this decision shall be communicated to the State party and the author of the communication.</w:t>
      </w:r>
    </w:p>
    <w:p w14:paraId="4858764C" w14:textId="771DA5C3" w:rsidR="0025455E" w:rsidRPr="001F0434" w:rsidRDefault="00FB286A" w:rsidP="001F0434">
      <w:pPr>
        <w:spacing w:before="240"/>
        <w:ind w:left="1134" w:right="1134"/>
        <w:jc w:val="center"/>
        <w:rPr>
          <w:i/>
          <w:u w:val="single"/>
        </w:rPr>
      </w:pPr>
      <w:r w:rsidRPr="00FB286A">
        <w:rPr>
          <w:u w:val="single"/>
        </w:rPr>
        <w:tab/>
      </w:r>
      <w:r w:rsidRPr="00FB286A">
        <w:rPr>
          <w:u w:val="single"/>
        </w:rPr>
        <w:tab/>
      </w:r>
      <w:r w:rsidRPr="00FB286A">
        <w:rPr>
          <w:u w:val="single"/>
        </w:rPr>
        <w:tab/>
      </w:r>
      <w:r w:rsidR="001F0434">
        <w:rPr>
          <w:u w:val="single"/>
        </w:rPr>
        <w:tab/>
      </w:r>
    </w:p>
    <w:sectPr w:rsidR="0025455E" w:rsidRPr="001F0434" w:rsidSect="004422D6">
      <w:headerReference w:type="even" r:id="rId12"/>
      <w:headerReference w:type="default" r:id="rId13"/>
      <w:footerReference w:type="even" r:id="rId14"/>
      <w:footerReference w:type="default" r:id="rId15"/>
      <w:footerReference w:type="first" r:id="rId16"/>
      <w:endnotePr>
        <w:numFmt w:val="decimal"/>
      </w:endnotePr>
      <w:pgSz w:w="11907" w:h="16840" w:code="9"/>
      <w:pgMar w:top="1418" w:right="1134" w:bottom="1134" w:left="1134" w:header="851" w:footer="567" w:gutter="0"/>
      <w:cols w:space="720"/>
      <w:titlePg/>
      <w:docGrid w:linePitch="272"/>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54125EC" w16cid:durableId="1DE4EA7D"/>
  <w16cid:commentId w16cid:paraId="24FE37A5" w16cid:durableId="1DDF8D37"/>
  <w16cid:commentId w16cid:paraId="2C4D0313" w16cid:durableId="1DE4ED30"/>
  <w16cid:commentId w16cid:paraId="2B3DC0EC" w16cid:durableId="1DE4EE9F"/>
  <w16cid:commentId w16cid:paraId="470E1020" w16cid:durableId="1DE0DC6F"/>
  <w16cid:commentId w16cid:paraId="12C8A5D2" w16cid:durableId="1DE0E087"/>
  <w16cid:commentId w16cid:paraId="718723A8" w16cid:durableId="1DE0E5D8"/>
  <w16cid:commentId w16cid:paraId="5C9FAE65" w16cid:durableId="1DE0E6B0"/>
  <w16cid:commentId w16cid:paraId="4018B11E" w16cid:durableId="1DE4F229"/>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B2BBFD" w14:textId="77777777" w:rsidR="005C133A" w:rsidRDefault="005C133A"/>
  </w:endnote>
  <w:endnote w:type="continuationSeparator" w:id="0">
    <w:p w14:paraId="11F3214C" w14:textId="77777777" w:rsidR="005C133A" w:rsidRDefault="005C133A"/>
  </w:endnote>
  <w:endnote w:type="continuationNotice" w:id="1">
    <w:p w14:paraId="3BCD098E" w14:textId="77777777" w:rsidR="005C133A" w:rsidRDefault="005C133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BA5C26" w14:textId="4922223B" w:rsidR="00E54968" w:rsidRPr="00FA222B" w:rsidRDefault="00E54968" w:rsidP="00FA222B">
    <w:pPr>
      <w:pStyle w:val="Footer"/>
      <w:tabs>
        <w:tab w:val="right" w:pos="9638"/>
      </w:tabs>
    </w:pPr>
    <w:r w:rsidRPr="00FA222B">
      <w:rPr>
        <w:b/>
        <w:sz w:val="18"/>
      </w:rPr>
      <w:fldChar w:fldCharType="begin"/>
    </w:r>
    <w:r w:rsidRPr="00FA222B">
      <w:rPr>
        <w:b/>
        <w:sz w:val="18"/>
      </w:rPr>
      <w:instrText xml:space="preserve"> PAGE  \* MERGEFORMAT </w:instrText>
    </w:r>
    <w:r w:rsidRPr="00FA222B">
      <w:rPr>
        <w:b/>
        <w:sz w:val="18"/>
      </w:rPr>
      <w:fldChar w:fldCharType="separate"/>
    </w:r>
    <w:r w:rsidR="00753B40">
      <w:rPr>
        <w:b/>
        <w:noProof/>
        <w:sz w:val="18"/>
      </w:rPr>
      <w:t>14</w:t>
    </w:r>
    <w:r w:rsidRPr="00FA222B">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2A447E" w14:textId="77D354CF" w:rsidR="00E54968" w:rsidRPr="00FA222B" w:rsidRDefault="00E54968" w:rsidP="00FA222B">
    <w:pPr>
      <w:pStyle w:val="Footer"/>
      <w:tabs>
        <w:tab w:val="right" w:pos="9638"/>
      </w:tabs>
      <w:rPr>
        <w:b/>
        <w:sz w:val="18"/>
      </w:rPr>
    </w:pPr>
    <w:r>
      <w:tab/>
    </w:r>
    <w:r w:rsidRPr="00FA222B">
      <w:rPr>
        <w:b/>
        <w:sz w:val="18"/>
      </w:rPr>
      <w:fldChar w:fldCharType="begin"/>
    </w:r>
    <w:r w:rsidRPr="00FA222B">
      <w:rPr>
        <w:b/>
        <w:sz w:val="18"/>
      </w:rPr>
      <w:instrText xml:space="preserve"> PAGE  \* MERGEFORMAT </w:instrText>
    </w:r>
    <w:r w:rsidRPr="00FA222B">
      <w:rPr>
        <w:b/>
        <w:sz w:val="18"/>
      </w:rPr>
      <w:fldChar w:fldCharType="separate"/>
    </w:r>
    <w:r w:rsidR="00753B40">
      <w:rPr>
        <w:b/>
        <w:noProof/>
        <w:sz w:val="18"/>
      </w:rPr>
      <w:t>13</w:t>
    </w:r>
    <w:r w:rsidRPr="00FA222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EE9AFC" w14:textId="2DB8E1EB" w:rsidR="00E54968" w:rsidRDefault="002B2745" w:rsidP="002B2745">
    <w:pPr>
      <w:pStyle w:val="Footer"/>
    </w:pPr>
    <w:r>
      <w:rPr>
        <w:noProof/>
        <w:lang w:eastAsia="en-GB"/>
      </w:rPr>
      <w:drawing>
        <wp:anchor distT="0" distB="0" distL="114300" distR="114300" simplePos="0" relativeHeight="251661312" behindDoc="1" locked="1" layoutInCell="1" allowOverlap="1" wp14:anchorId="40F4A90D" wp14:editId="05064173">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00E54968">
      <w:rPr>
        <w:noProof/>
        <w:lang w:eastAsia="en-GB"/>
      </w:rPr>
      <w:drawing>
        <wp:anchor distT="0" distB="0" distL="114300" distR="114300" simplePos="0" relativeHeight="251659264" behindDoc="0" locked="1" layoutInCell="1" allowOverlap="1" wp14:anchorId="41C5E3AE" wp14:editId="6E64AA44">
          <wp:simplePos x="0" y="0"/>
          <wp:positionH relativeFrom="margin">
            <wp:posOffset>8329295</wp:posOffset>
          </wp:positionH>
          <wp:positionV relativeFrom="margin">
            <wp:posOffset>8413115</wp:posOffset>
          </wp:positionV>
          <wp:extent cx="932180" cy="229870"/>
          <wp:effectExtent l="0" t="0" r="1270" b="0"/>
          <wp:wrapNone/>
          <wp:docPr id="10" name="Picture 10"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37AAA3" w14:textId="77777777" w:rsidR="005C133A" w:rsidRPr="000B175B" w:rsidRDefault="005C133A" w:rsidP="000B175B">
      <w:pPr>
        <w:tabs>
          <w:tab w:val="right" w:pos="2155"/>
        </w:tabs>
        <w:spacing w:after="80"/>
        <w:ind w:left="680"/>
        <w:rPr>
          <w:u w:val="single"/>
        </w:rPr>
      </w:pPr>
      <w:r>
        <w:rPr>
          <w:u w:val="single"/>
        </w:rPr>
        <w:tab/>
      </w:r>
    </w:p>
  </w:footnote>
  <w:footnote w:type="continuationSeparator" w:id="0">
    <w:p w14:paraId="5AF568C6" w14:textId="77777777" w:rsidR="005C133A" w:rsidRPr="00FC68B7" w:rsidRDefault="005C133A" w:rsidP="00FC68B7">
      <w:pPr>
        <w:tabs>
          <w:tab w:val="left" w:pos="2155"/>
        </w:tabs>
        <w:spacing w:after="80"/>
        <w:ind w:left="680"/>
        <w:rPr>
          <w:u w:val="single"/>
        </w:rPr>
      </w:pPr>
      <w:r>
        <w:rPr>
          <w:u w:val="single"/>
        </w:rPr>
        <w:tab/>
      </w:r>
    </w:p>
  </w:footnote>
  <w:footnote w:type="continuationNotice" w:id="1">
    <w:p w14:paraId="7AE543D2" w14:textId="77777777" w:rsidR="005C133A" w:rsidRDefault="005C133A"/>
  </w:footnote>
  <w:footnote w:id="2">
    <w:p w14:paraId="600E4D93" w14:textId="77777777" w:rsidR="001B4E97" w:rsidRPr="00394314" w:rsidRDefault="001B4E97" w:rsidP="001B4E97">
      <w:pPr>
        <w:pStyle w:val="FootnoteText"/>
      </w:pPr>
      <w:r w:rsidRPr="00394314">
        <w:rPr>
          <w:rStyle w:val="FootnoteReference"/>
          <w:szCs w:val="18"/>
        </w:rPr>
        <w:tab/>
      </w:r>
      <w:r w:rsidRPr="00394314">
        <w:rPr>
          <w:rStyle w:val="FootnoteReference"/>
          <w:szCs w:val="18"/>
          <w:vertAlign w:val="baseline"/>
        </w:rPr>
        <w:t>*</w:t>
      </w:r>
      <w:r>
        <w:rPr>
          <w:rStyle w:val="FootnoteReference"/>
          <w:sz w:val="20"/>
          <w:vertAlign w:val="baseline"/>
        </w:rPr>
        <w:tab/>
      </w:r>
      <w:r>
        <w:t xml:space="preserve">Adopted by </w:t>
      </w:r>
      <w:r w:rsidRPr="00394314">
        <w:t>the</w:t>
      </w:r>
      <w:r>
        <w:t xml:space="preserve"> Committee at its 126</w:t>
      </w:r>
      <w:r w:rsidRPr="000C0942">
        <w:rPr>
          <w:vertAlign w:val="superscript"/>
        </w:rPr>
        <w:t>th</w:t>
      </w:r>
      <w:r>
        <w:t xml:space="preserve"> session (1 – 26 July 2019).</w:t>
      </w:r>
    </w:p>
  </w:footnote>
  <w:footnote w:id="3">
    <w:p w14:paraId="3DD5411C" w14:textId="77777777" w:rsidR="00606D94" w:rsidRPr="00394314" w:rsidRDefault="00606D94" w:rsidP="00606D94">
      <w:pPr>
        <w:pStyle w:val="FootnoteText"/>
      </w:pPr>
      <w:r w:rsidRPr="00394314">
        <w:rPr>
          <w:rStyle w:val="FootnoteReference"/>
          <w:szCs w:val="18"/>
        </w:rPr>
        <w:tab/>
      </w:r>
      <w:r w:rsidRPr="00394314">
        <w:rPr>
          <w:rStyle w:val="FootnoteReference"/>
          <w:szCs w:val="18"/>
          <w:vertAlign w:val="baseline"/>
        </w:rPr>
        <w:t>**</w:t>
      </w:r>
      <w:r w:rsidRPr="00394314">
        <w:rPr>
          <w:rStyle w:val="FootnoteReference"/>
          <w:szCs w:val="18"/>
          <w:vertAlign w:val="baseline"/>
        </w:rPr>
        <w:tab/>
      </w:r>
      <w:r>
        <w:t xml:space="preserve">The following members of the Committee participated in the examination of the present </w:t>
      </w:r>
      <w:r w:rsidRPr="00DF6B8C">
        <w:t xml:space="preserve">communication: </w:t>
      </w:r>
      <w:r>
        <w:t xml:space="preserve">Tania </w:t>
      </w:r>
      <w:proofErr w:type="spellStart"/>
      <w:r>
        <w:t>María</w:t>
      </w:r>
      <w:proofErr w:type="spellEnd"/>
      <w:r>
        <w:t xml:space="preserve"> </w:t>
      </w:r>
      <w:proofErr w:type="spellStart"/>
      <w:r>
        <w:t>Abdo</w:t>
      </w:r>
      <w:proofErr w:type="spellEnd"/>
      <w:r>
        <w:t xml:space="preserve"> </w:t>
      </w:r>
      <w:proofErr w:type="spellStart"/>
      <w:r>
        <w:t>Rocholl</w:t>
      </w:r>
      <w:proofErr w:type="spellEnd"/>
      <w:r>
        <w:t xml:space="preserve">, </w:t>
      </w:r>
      <w:proofErr w:type="spellStart"/>
      <w:r w:rsidRPr="00DF6B8C">
        <w:t>Yadh</w:t>
      </w:r>
      <w:proofErr w:type="spellEnd"/>
      <w:r w:rsidRPr="00DF6B8C">
        <w:t xml:space="preserve"> Ben </w:t>
      </w:r>
      <w:proofErr w:type="spellStart"/>
      <w:r w:rsidRPr="00DF6B8C">
        <w:t>Achour</w:t>
      </w:r>
      <w:proofErr w:type="spellEnd"/>
      <w:r w:rsidRPr="00DF6B8C">
        <w:t xml:space="preserve">, </w:t>
      </w:r>
      <w:proofErr w:type="spellStart"/>
      <w:r w:rsidRPr="00DF6B8C">
        <w:t>Ilze</w:t>
      </w:r>
      <w:proofErr w:type="spellEnd"/>
      <w:r w:rsidRPr="00DF6B8C">
        <w:t xml:space="preserve"> Brands </w:t>
      </w:r>
      <w:proofErr w:type="spellStart"/>
      <w:r w:rsidRPr="00DF6B8C">
        <w:t>Kehris</w:t>
      </w:r>
      <w:proofErr w:type="spellEnd"/>
      <w:r w:rsidRPr="00DF6B8C">
        <w:t xml:space="preserve">, </w:t>
      </w:r>
      <w:proofErr w:type="spellStart"/>
      <w:r>
        <w:t>Arif</w:t>
      </w:r>
      <w:proofErr w:type="spellEnd"/>
      <w:r>
        <w:t xml:space="preserve"> </w:t>
      </w:r>
      <w:proofErr w:type="spellStart"/>
      <w:r>
        <w:t>Bulkan</w:t>
      </w:r>
      <w:proofErr w:type="spellEnd"/>
      <w:r>
        <w:t xml:space="preserve">, </w:t>
      </w:r>
      <w:r w:rsidRPr="00DF6B8C">
        <w:t xml:space="preserve">Ahmed Amin </w:t>
      </w:r>
      <w:proofErr w:type="spellStart"/>
      <w:r w:rsidRPr="00DF6B8C">
        <w:t>Fathalla</w:t>
      </w:r>
      <w:proofErr w:type="spellEnd"/>
      <w:r w:rsidRPr="00DF6B8C">
        <w:t>,</w:t>
      </w:r>
      <w:r>
        <w:t xml:space="preserve"> Shuichi </w:t>
      </w:r>
      <w:proofErr w:type="spellStart"/>
      <w:r>
        <w:t>Furuya</w:t>
      </w:r>
      <w:proofErr w:type="spellEnd"/>
      <w:r>
        <w:t xml:space="preserve">, </w:t>
      </w:r>
      <w:proofErr w:type="spellStart"/>
      <w:r>
        <w:t>Christof</w:t>
      </w:r>
      <w:proofErr w:type="spellEnd"/>
      <w:r>
        <w:t xml:space="preserve"> </w:t>
      </w:r>
      <w:proofErr w:type="spellStart"/>
      <w:r>
        <w:t>Heyns</w:t>
      </w:r>
      <w:proofErr w:type="spellEnd"/>
      <w:r>
        <w:t xml:space="preserve">, </w:t>
      </w:r>
      <w:proofErr w:type="spellStart"/>
      <w:r w:rsidRPr="0098434E">
        <w:t>Bamariam</w:t>
      </w:r>
      <w:proofErr w:type="spellEnd"/>
      <w:r w:rsidRPr="0098434E">
        <w:t xml:space="preserve"> </w:t>
      </w:r>
      <w:proofErr w:type="spellStart"/>
      <w:r w:rsidRPr="0098434E">
        <w:t>Koita</w:t>
      </w:r>
      <w:proofErr w:type="spellEnd"/>
      <w:r w:rsidRPr="0098434E">
        <w:t>,</w:t>
      </w:r>
      <w:r w:rsidRPr="000C0942">
        <w:t xml:space="preserve"> </w:t>
      </w:r>
      <w:r>
        <w:t xml:space="preserve">Duncan </w:t>
      </w:r>
      <w:proofErr w:type="spellStart"/>
      <w:r>
        <w:t>Laki</w:t>
      </w:r>
      <w:proofErr w:type="spellEnd"/>
      <w:r>
        <w:t xml:space="preserve"> </w:t>
      </w:r>
      <w:proofErr w:type="spellStart"/>
      <w:r>
        <w:t>Muhumuza</w:t>
      </w:r>
      <w:proofErr w:type="spellEnd"/>
      <w:r>
        <w:t xml:space="preserve">, </w:t>
      </w:r>
      <w:proofErr w:type="spellStart"/>
      <w:r>
        <w:t>Photini</w:t>
      </w:r>
      <w:proofErr w:type="spellEnd"/>
      <w:r>
        <w:t xml:space="preserve"> </w:t>
      </w:r>
      <w:proofErr w:type="spellStart"/>
      <w:r>
        <w:t>Pazartzis</w:t>
      </w:r>
      <w:proofErr w:type="spellEnd"/>
      <w:r>
        <w:t xml:space="preserve">, </w:t>
      </w:r>
      <w:proofErr w:type="spellStart"/>
      <w:r>
        <w:t>Hern</w:t>
      </w:r>
      <w:proofErr w:type="spellEnd"/>
      <w:r>
        <w:rPr>
          <w:lang w:val="cs-CZ"/>
        </w:rPr>
        <w:t xml:space="preserve">án Quezada, Vasilka Sancin, </w:t>
      </w:r>
      <w:r w:rsidRPr="0098434E">
        <w:t xml:space="preserve">José Manuel </w:t>
      </w:r>
      <w:r>
        <w:t xml:space="preserve">Santos </w:t>
      </w:r>
      <w:proofErr w:type="spellStart"/>
      <w:r>
        <w:t>Pais</w:t>
      </w:r>
      <w:proofErr w:type="spellEnd"/>
      <w:r>
        <w:t xml:space="preserve">, Yuval </w:t>
      </w:r>
      <w:proofErr w:type="spellStart"/>
      <w:r>
        <w:t>Shany</w:t>
      </w:r>
      <w:proofErr w:type="spellEnd"/>
      <w:r>
        <w:t xml:space="preserve">, Hélène </w:t>
      </w:r>
      <w:proofErr w:type="spellStart"/>
      <w:r>
        <w:t>Tigroudja</w:t>
      </w:r>
      <w:proofErr w:type="spellEnd"/>
      <w:r>
        <w:t xml:space="preserve">, Andreas Zimmermann and Gentian </w:t>
      </w:r>
      <w:proofErr w:type="spellStart"/>
      <w:r>
        <w:t>Zyberi</w:t>
      </w:r>
      <w:proofErr w:type="spellEnd"/>
      <w:r>
        <w:rPr>
          <w:bCs/>
        </w:rPr>
        <w:t>.</w:t>
      </w:r>
    </w:p>
  </w:footnote>
  <w:footnote w:id="4">
    <w:p w14:paraId="3EE903EE" w14:textId="1236C115" w:rsidR="00E54968" w:rsidRPr="00F10F53" w:rsidRDefault="00E54968">
      <w:pPr>
        <w:pStyle w:val="FootnoteText"/>
        <w:rPr>
          <w:lang w:val="en-US"/>
        </w:rPr>
      </w:pPr>
      <w:r>
        <w:tab/>
      </w:r>
      <w:r>
        <w:rPr>
          <w:rStyle w:val="FootnoteReference"/>
        </w:rPr>
        <w:footnoteRef/>
      </w:r>
      <w:r w:rsidR="000C368A">
        <w:tab/>
      </w:r>
      <w:r w:rsidRPr="00F10F53">
        <w:t xml:space="preserve">Power of attorney is annexed to the initial communication. </w:t>
      </w:r>
      <w:r>
        <w:t xml:space="preserve">On </w:t>
      </w:r>
      <w:r w:rsidRPr="00765A15">
        <w:t>31 March 201</w:t>
      </w:r>
      <w:r>
        <w:t xml:space="preserve">6, </w:t>
      </w:r>
      <w:r w:rsidRPr="00F10F53">
        <w:t xml:space="preserve">Mr. </w:t>
      </w:r>
      <w:proofErr w:type="spellStart"/>
      <w:r>
        <w:t>Mandhane</w:t>
      </w:r>
      <w:proofErr w:type="spellEnd"/>
      <w:r>
        <w:t xml:space="preserve"> submitted that he no longer represents the author of the communication and that any correspondence in this matter should be addressed to remaining counsels, Carmen Cheung, Andrew </w:t>
      </w:r>
      <w:proofErr w:type="spellStart"/>
      <w:r>
        <w:t>Brouwer</w:t>
      </w:r>
      <w:proofErr w:type="spellEnd"/>
      <w:r>
        <w:t xml:space="preserve"> and Kara Norrington. </w:t>
      </w:r>
    </w:p>
  </w:footnote>
  <w:footnote w:id="5">
    <w:p w14:paraId="0C48A0C6" w14:textId="5180669D" w:rsidR="00E54968" w:rsidRPr="005C54E1" w:rsidRDefault="000C368A" w:rsidP="000C368A">
      <w:pPr>
        <w:pStyle w:val="FootnoteText"/>
      </w:pPr>
      <w:r>
        <w:tab/>
      </w:r>
      <w:r w:rsidR="00E54968">
        <w:rPr>
          <w:rStyle w:val="FootnoteReference"/>
        </w:rPr>
        <w:footnoteRef/>
      </w:r>
      <w:r>
        <w:tab/>
      </w:r>
      <w:r w:rsidR="00E54968" w:rsidRPr="005C54E1">
        <w:t>The file shows that the Canadian Security</w:t>
      </w:r>
      <w:r w:rsidR="00E54968">
        <w:t xml:space="preserve"> and Intelligence Service reported the results of its investigation to Immigration officials on 9 August 1995.</w:t>
      </w:r>
    </w:p>
  </w:footnote>
  <w:footnote w:id="6">
    <w:p w14:paraId="594C8134" w14:textId="0D4D0841" w:rsidR="00E54968" w:rsidRPr="003F2B7B" w:rsidRDefault="000C368A" w:rsidP="000C368A">
      <w:pPr>
        <w:pStyle w:val="FootnoteText"/>
      </w:pPr>
      <w:r w:rsidRPr="00BA7A43">
        <w:tab/>
      </w:r>
      <w:r w:rsidR="00E54968">
        <w:rPr>
          <w:rStyle w:val="FootnoteReference"/>
        </w:rPr>
        <w:footnoteRef/>
      </w:r>
      <w:r>
        <w:tab/>
      </w:r>
      <w:r w:rsidR="00E54968">
        <w:t>The author attached as annexes extensive correspondence sent by Ms Benson to CIC and Border agencies notably, as well as her own notes to the file, made during that period, which show that she had difficulty to reach a decision, but yet was conscious of the delay in taking a decision.</w:t>
      </w:r>
    </w:p>
  </w:footnote>
  <w:footnote w:id="7">
    <w:p w14:paraId="6F32691F" w14:textId="3673FB4F" w:rsidR="00E54968" w:rsidRPr="00265E20" w:rsidRDefault="000C368A" w:rsidP="000C368A">
      <w:pPr>
        <w:pStyle w:val="FootnoteText"/>
        <w:rPr>
          <w:lang w:val="en-US"/>
        </w:rPr>
      </w:pPr>
      <w:r>
        <w:tab/>
      </w:r>
      <w:r w:rsidR="00E54968">
        <w:rPr>
          <w:rStyle w:val="FootnoteReference"/>
        </w:rPr>
        <w:footnoteRef/>
      </w:r>
      <w:r>
        <w:tab/>
      </w:r>
      <w:r w:rsidR="00E54968" w:rsidRPr="00265E20">
        <w:rPr>
          <w:i/>
          <w:lang w:val="en-US"/>
        </w:rPr>
        <w:t>Canadian Charter of Fundamental Rights</w:t>
      </w:r>
      <w:r w:rsidR="00E54968">
        <w:rPr>
          <w:lang w:val="en-US"/>
        </w:rPr>
        <w:t xml:space="preserve">. </w:t>
      </w:r>
    </w:p>
  </w:footnote>
  <w:footnote w:id="8">
    <w:p w14:paraId="67058759" w14:textId="2E246633" w:rsidR="00E54968" w:rsidRPr="006E5DE3" w:rsidRDefault="000C368A" w:rsidP="000C368A">
      <w:pPr>
        <w:pStyle w:val="FootnoteText"/>
      </w:pPr>
      <w:r>
        <w:t xml:space="preserve"> </w:t>
      </w:r>
      <w:r>
        <w:tab/>
      </w:r>
      <w:r w:rsidR="00E54968">
        <w:rPr>
          <w:rStyle w:val="FootnoteReference"/>
        </w:rPr>
        <w:footnoteRef/>
      </w:r>
      <w:r>
        <w:tab/>
      </w:r>
      <w:r w:rsidR="00E54968" w:rsidRPr="006E5DE3">
        <w:t xml:space="preserve">The author provided a copy of the memo from the Registry Officer of the </w:t>
      </w:r>
      <w:r w:rsidR="00E54968">
        <w:t>Federal</w:t>
      </w:r>
      <w:r w:rsidR="00E54968" w:rsidRPr="006E5DE3">
        <w:t xml:space="preserve"> Court indicating that the case was stayed until a decision was reached in 2 other cases, whichever proce</w:t>
      </w:r>
      <w:r w:rsidR="00E54968">
        <w:t>eding would be determined first, as well as excerpts from the database with the recorded entries regarding his case.</w:t>
      </w:r>
    </w:p>
  </w:footnote>
  <w:footnote w:id="9">
    <w:p w14:paraId="1B6361A0" w14:textId="4CD71DFB" w:rsidR="00E54968" w:rsidRDefault="000C368A" w:rsidP="000C368A">
      <w:pPr>
        <w:pStyle w:val="FootnoteText"/>
      </w:pPr>
      <w:r>
        <w:tab/>
      </w:r>
      <w:r w:rsidR="00E54968">
        <w:rPr>
          <w:rStyle w:val="FootnoteReference"/>
        </w:rPr>
        <w:footnoteRef/>
      </w:r>
      <w:r>
        <w:tab/>
      </w:r>
      <w:r w:rsidR="00E54968">
        <w:t xml:space="preserve">The date has not been indicated. </w:t>
      </w:r>
    </w:p>
  </w:footnote>
  <w:footnote w:id="10">
    <w:p w14:paraId="5A264AE8" w14:textId="435E57A1" w:rsidR="00E54968" w:rsidRPr="00D0330B" w:rsidRDefault="000C368A">
      <w:pPr>
        <w:pStyle w:val="FootnoteText"/>
        <w:rPr>
          <w:lang w:val="en-US"/>
        </w:rPr>
      </w:pPr>
      <w:r>
        <w:tab/>
      </w:r>
      <w:r w:rsidR="00E54968">
        <w:rPr>
          <w:rStyle w:val="FootnoteReference"/>
        </w:rPr>
        <w:footnoteRef/>
      </w:r>
      <w:r>
        <w:tab/>
      </w:r>
      <w:r w:rsidR="00E54968" w:rsidRPr="00D0330B">
        <w:t xml:space="preserve">The author has provided copies of relevant judgements. He adds that in the </w:t>
      </w:r>
      <w:r w:rsidR="00E54968" w:rsidRPr="00D0330B">
        <w:rPr>
          <w:i/>
        </w:rPr>
        <w:t>Haj Khalil v. Canada</w:t>
      </w:r>
      <w:r w:rsidR="00E54968" w:rsidRPr="00D0330B">
        <w:t xml:space="preserve"> case, where both the factual background and claims were very similar to the present case, the Federal Court ruled that Canada owed no duty of care to permanent resident applicants to process their applications in a timely fashion. The author submits that such precedent has foreclosed his ability to advance a claim in negligence as well as his Charter claims based on section 7 and 15, since the Court had rejected the same Charter claims in Haj Khalil’s case. The author further stresses that the substantial costs award of $305,000 against the author in the </w:t>
      </w:r>
      <w:r w:rsidR="00E54968" w:rsidRPr="00063029">
        <w:rPr>
          <w:i/>
        </w:rPr>
        <w:t>Haj Khalil</w:t>
      </w:r>
      <w:r w:rsidR="00E54968" w:rsidRPr="00D0330B">
        <w:t xml:space="preserve"> case would expose him to an unacceptable level of liability, should he de</w:t>
      </w:r>
      <w:r w:rsidR="00E54968">
        <w:t xml:space="preserve">cide to proceed with his claim. </w:t>
      </w:r>
    </w:p>
  </w:footnote>
  <w:footnote w:id="11">
    <w:p w14:paraId="0A147D80" w14:textId="171A345E" w:rsidR="00E54968" w:rsidRPr="00D0330B" w:rsidRDefault="000C368A" w:rsidP="000C368A">
      <w:pPr>
        <w:pStyle w:val="FootnoteText"/>
      </w:pPr>
      <w:r>
        <w:tab/>
      </w:r>
      <w:r w:rsidR="00E54968" w:rsidRPr="00D0330B">
        <w:rPr>
          <w:rStyle w:val="FootnoteReference"/>
        </w:rPr>
        <w:footnoteRef/>
      </w:r>
      <w:r>
        <w:tab/>
      </w:r>
      <w:r w:rsidR="00E54968" w:rsidRPr="00D0330B">
        <w:t>The author refers to CESCR COBs from 1998, in which the Committee on Economic, Social and Cultural Rights criticized this distinction when it considered “the plight of thousands of ‘Convention refugees’ in Canada, who cannot be given permanent resident status for a number of reasons…” In particular, the CESCR was concerned about the barring of Convention refugees from paying domestic tuition rates for post-secondary education. The CESCR urged Canada to “develop and expand adequate programs to address the financial obstacles to post-secondary education for low-income students, without any discrimination on the basis of citizenship status.” (Committee on Economic, Social and Cultural Rights, Concluding Observations of the Committee on Economic, Social and Cultural Rights: Canada, UNESC, 19th Session, UN Doc E/1994/103/Add 14 at paras 37, 39 and 46.</w:t>
      </w:r>
    </w:p>
  </w:footnote>
  <w:footnote w:id="12">
    <w:p w14:paraId="4F1F5B76" w14:textId="0BB42CA7" w:rsidR="00E54968" w:rsidRPr="00DF6F8C" w:rsidRDefault="000C368A" w:rsidP="000C368A">
      <w:pPr>
        <w:pStyle w:val="FootnoteText"/>
      </w:pPr>
      <w:r>
        <w:tab/>
      </w:r>
      <w:r w:rsidR="00E54968" w:rsidRPr="00D0330B">
        <w:rPr>
          <w:rStyle w:val="FootnoteReference"/>
        </w:rPr>
        <w:footnoteRef/>
      </w:r>
      <w:r>
        <w:tab/>
      </w:r>
      <w:r w:rsidR="00E54968" w:rsidRPr="00D0330B">
        <w:t>The author explained that he did not attempt to pursue his education after 2003, i.e. once the law changed and he became eligible to apply to student loans, as it seemed unrealistic to do so given that he had been in Canada for nearly 12 years and had not practised his profession nor undertaken any further formal education.</w:t>
      </w:r>
      <w:r w:rsidR="00E54968">
        <w:t xml:space="preserve"> </w:t>
      </w:r>
    </w:p>
  </w:footnote>
  <w:footnote w:id="13">
    <w:p w14:paraId="01048E0B" w14:textId="1A05F55C" w:rsidR="00E54968" w:rsidRPr="000F7A71" w:rsidRDefault="000C368A" w:rsidP="006E70F4">
      <w:pPr>
        <w:pStyle w:val="FootnoteText"/>
      </w:pPr>
      <w:r w:rsidRPr="000F7A71">
        <w:tab/>
      </w:r>
      <w:r w:rsidR="00E54968">
        <w:rPr>
          <w:rStyle w:val="FootnoteReference"/>
        </w:rPr>
        <w:footnoteRef/>
      </w:r>
      <w:r>
        <w:rPr>
          <w:lang w:val="es-ES"/>
        </w:rPr>
        <w:tab/>
      </w:r>
      <w:proofErr w:type="spellStart"/>
      <w:r w:rsidR="00E54968" w:rsidRPr="000C368A">
        <w:rPr>
          <w:i/>
          <w:lang w:val="es-ES"/>
        </w:rPr>
        <w:t>Deisl</w:t>
      </w:r>
      <w:proofErr w:type="spellEnd"/>
      <w:r w:rsidR="00E54968" w:rsidRPr="000C368A">
        <w:rPr>
          <w:i/>
          <w:lang w:val="es-ES"/>
        </w:rPr>
        <w:t xml:space="preserve"> and </w:t>
      </w:r>
      <w:proofErr w:type="spellStart"/>
      <w:r w:rsidR="00E54968" w:rsidRPr="000C368A">
        <w:rPr>
          <w:i/>
          <w:lang w:val="es-ES"/>
        </w:rPr>
        <w:t>Deisl</w:t>
      </w:r>
      <w:proofErr w:type="spellEnd"/>
      <w:r w:rsidR="00E54968" w:rsidRPr="000C368A">
        <w:rPr>
          <w:i/>
          <w:lang w:val="es-ES"/>
        </w:rPr>
        <w:t xml:space="preserve"> v. Austria</w:t>
      </w:r>
      <w:r w:rsidR="00E54968" w:rsidRPr="000C368A">
        <w:rPr>
          <w:lang w:val="es-ES"/>
        </w:rPr>
        <w:t xml:space="preserve"> (CCPR/C/81/D/1060/2002), para. </w:t>
      </w:r>
      <w:r w:rsidR="00E54968" w:rsidRPr="000F7A71">
        <w:t xml:space="preserve">11.6. See also </w:t>
      </w:r>
      <w:proofErr w:type="spellStart"/>
      <w:r w:rsidR="00E54968" w:rsidRPr="000F7A71">
        <w:rPr>
          <w:i/>
        </w:rPr>
        <w:t>Lederbauer</w:t>
      </w:r>
      <w:proofErr w:type="spellEnd"/>
      <w:r w:rsidR="00E54968" w:rsidRPr="000F7A71">
        <w:rPr>
          <w:i/>
        </w:rPr>
        <w:t xml:space="preserve"> v. Austria</w:t>
      </w:r>
      <w:r w:rsidR="00E54968" w:rsidRPr="000F7A71">
        <w:t xml:space="preserve"> (CCPR/C/90/D/1454/2006), para. 8.1. </w:t>
      </w:r>
    </w:p>
  </w:footnote>
  <w:footnote w:id="14">
    <w:p w14:paraId="26C9FD1C" w14:textId="2A04FB81" w:rsidR="00E54968" w:rsidRPr="000C368A" w:rsidRDefault="000C368A" w:rsidP="000C368A">
      <w:pPr>
        <w:pStyle w:val="FootnoteText"/>
      </w:pPr>
      <w:r w:rsidRPr="000F7A71">
        <w:tab/>
      </w:r>
      <w:r w:rsidR="00E54968">
        <w:rPr>
          <w:rStyle w:val="FootnoteReference"/>
        </w:rPr>
        <w:footnoteRef/>
      </w:r>
      <w:r w:rsidRPr="000F7A71">
        <w:tab/>
      </w:r>
      <w:proofErr w:type="spellStart"/>
      <w:r w:rsidR="00E54968" w:rsidRPr="000C368A">
        <w:t>Deisl</w:t>
      </w:r>
      <w:proofErr w:type="spellEnd"/>
      <w:r w:rsidR="00E54968" w:rsidRPr="000C368A">
        <w:t xml:space="preserve"> v. Austria, ibid. </w:t>
      </w:r>
    </w:p>
  </w:footnote>
  <w:footnote w:id="15">
    <w:p w14:paraId="2DFFEF18" w14:textId="30537464" w:rsidR="00E54968" w:rsidRPr="00611A15" w:rsidRDefault="00E54968">
      <w:pPr>
        <w:pStyle w:val="FootnoteText"/>
        <w:rPr>
          <w:lang w:val="en-US"/>
        </w:rPr>
      </w:pPr>
      <w:r w:rsidRPr="000C368A">
        <w:tab/>
      </w:r>
      <w:r>
        <w:rPr>
          <w:rStyle w:val="FootnoteReference"/>
        </w:rPr>
        <w:footnoteRef/>
      </w:r>
      <w:r w:rsidR="000C368A" w:rsidRPr="000C368A">
        <w:tab/>
      </w:r>
      <w:r w:rsidRPr="000C368A">
        <w:rPr>
          <w:i/>
        </w:rPr>
        <w:t>Haj Khalil v. Canada</w:t>
      </w:r>
      <w:r w:rsidRPr="000C368A">
        <w:t xml:space="preserve">, 2007 FC 923 at para. </w:t>
      </w:r>
      <w:r>
        <w:rPr>
          <w:lang w:val="en-US"/>
        </w:rPr>
        <w:t xml:space="preserve">89. </w:t>
      </w:r>
    </w:p>
  </w:footnote>
  <w:footnote w:id="16">
    <w:p w14:paraId="4E843B7B" w14:textId="049234C7" w:rsidR="00E54968" w:rsidRPr="009D0DDA" w:rsidRDefault="000C368A" w:rsidP="006E70F4">
      <w:pPr>
        <w:pStyle w:val="FootnoteText"/>
      </w:pPr>
      <w:r>
        <w:tab/>
      </w:r>
      <w:r w:rsidR="00E54968">
        <w:rPr>
          <w:rStyle w:val="FootnoteReference"/>
        </w:rPr>
        <w:footnoteRef/>
      </w:r>
      <w:r>
        <w:tab/>
      </w:r>
      <w:r w:rsidR="00E54968" w:rsidRPr="009D0DDA">
        <w:t>Author’s initial communicati</w:t>
      </w:r>
      <w:r w:rsidR="00E54968">
        <w:t xml:space="preserve">on, Exhibit K (SIRC report), p. 27. </w:t>
      </w:r>
    </w:p>
  </w:footnote>
  <w:footnote w:id="17">
    <w:p w14:paraId="41EAB204" w14:textId="3362DEE3" w:rsidR="00E54968" w:rsidRPr="00611A15" w:rsidRDefault="000C368A" w:rsidP="006E70F4">
      <w:pPr>
        <w:pStyle w:val="FootnoteText"/>
      </w:pPr>
      <w:r>
        <w:tab/>
      </w:r>
      <w:r w:rsidR="00E54968">
        <w:rPr>
          <w:rStyle w:val="FootnoteReference"/>
          <w:szCs w:val="18"/>
        </w:rPr>
        <w:footnoteRef/>
      </w:r>
      <w:r>
        <w:tab/>
      </w:r>
      <w:r w:rsidR="00E54968">
        <w:t xml:space="preserve">See e.g. </w:t>
      </w:r>
      <w:r w:rsidR="00E54968" w:rsidRPr="0030585E">
        <w:rPr>
          <w:i/>
        </w:rPr>
        <w:t>A. v. Australia</w:t>
      </w:r>
      <w:r w:rsidR="00E54968" w:rsidRPr="0030585E">
        <w:t xml:space="preserve"> (CCPR/C/59/D/560/1993), para. </w:t>
      </w:r>
      <w:r w:rsidR="00E54968" w:rsidRPr="00611A15">
        <w:t xml:space="preserve">11. </w:t>
      </w:r>
    </w:p>
  </w:footnote>
  <w:footnote w:id="18">
    <w:p w14:paraId="63BC1AD1" w14:textId="71A18756" w:rsidR="00E54968" w:rsidRDefault="000C368A" w:rsidP="006E70F4">
      <w:pPr>
        <w:pStyle w:val="FootnoteText"/>
        <w:rPr>
          <w:rFonts w:ascii="Cambria" w:hAnsi="Cambria"/>
          <w:sz w:val="24"/>
          <w:szCs w:val="24"/>
          <w:lang w:val="en-US"/>
        </w:rPr>
      </w:pPr>
      <w:r>
        <w:tab/>
      </w:r>
      <w:r w:rsidR="00E54968">
        <w:rPr>
          <w:rStyle w:val="FootnoteReference"/>
          <w:szCs w:val="18"/>
        </w:rPr>
        <w:footnoteRef/>
      </w:r>
      <w:r>
        <w:tab/>
      </w:r>
      <w:r w:rsidR="00E54968" w:rsidRPr="0030585E">
        <w:t xml:space="preserve">See e.g. </w:t>
      </w:r>
      <w:r w:rsidR="00E54968" w:rsidRPr="0030585E">
        <w:rPr>
          <w:i/>
        </w:rPr>
        <w:t xml:space="preserve">A.P.L. – </w:t>
      </w:r>
      <w:proofErr w:type="spellStart"/>
      <w:r w:rsidR="00E54968" w:rsidRPr="0030585E">
        <w:rPr>
          <w:i/>
        </w:rPr>
        <w:t>v.d.M</w:t>
      </w:r>
      <w:proofErr w:type="spellEnd"/>
      <w:r w:rsidR="00E54968" w:rsidRPr="0030585E">
        <w:rPr>
          <w:i/>
        </w:rPr>
        <w:t>. v. Netherlands</w:t>
      </w:r>
      <w:r w:rsidR="00E54968">
        <w:t xml:space="preserve"> (</w:t>
      </w:r>
      <w:r w:rsidR="00E54968" w:rsidRPr="004A5F54">
        <w:t>CCPR/C/48/D/478/1991</w:t>
      </w:r>
      <w:r w:rsidR="00E54968">
        <w:t>)</w:t>
      </w:r>
      <w:r w:rsidR="00E54968" w:rsidRPr="0030585E">
        <w:t xml:space="preserve">, paras. </w:t>
      </w:r>
      <w:r w:rsidR="00E54968">
        <w:rPr>
          <w:lang w:val="en-US"/>
        </w:rPr>
        <w:t xml:space="preserve">6.3 </w:t>
      </w:r>
      <w:proofErr w:type="gramStart"/>
      <w:r w:rsidR="00E54968">
        <w:rPr>
          <w:lang w:val="en-US"/>
        </w:rPr>
        <w:t>and</w:t>
      </w:r>
      <w:proofErr w:type="gramEnd"/>
      <w:r w:rsidR="00E54968">
        <w:rPr>
          <w:lang w:val="en-US"/>
        </w:rPr>
        <w:t xml:space="preserve"> 7a); </w:t>
      </w:r>
      <w:r w:rsidR="00E54968">
        <w:rPr>
          <w:i/>
          <w:lang w:val="en-US"/>
        </w:rPr>
        <w:t>J.H.W. v. Netherlands</w:t>
      </w:r>
      <w:r w:rsidR="00E54968">
        <w:rPr>
          <w:lang w:val="en-US"/>
        </w:rPr>
        <w:t xml:space="preserve"> (</w:t>
      </w:r>
      <w:r w:rsidR="00E54968" w:rsidRPr="004A5F54">
        <w:rPr>
          <w:lang w:val="en-US"/>
        </w:rPr>
        <w:t>CCPR/C/48/D/501/1992</w:t>
      </w:r>
      <w:r w:rsidR="00E54968">
        <w:rPr>
          <w:lang w:val="en-US"/>
        </w:rPr>
        <w:t xml:space="preserve">), paras. 5.2 </w:t>
      </w:r>
      <w:proofErr w:type="gramStart"/>
      <w:r w:rsidR="00E54968">
        <w:rPr>
          <w:lang w:val="en-US"/>
        </w:rPr>
        <w:t>and</w:t>
      </w:r>
      <w:proofErr w:type="gramEnd"/>
      <w:r w:rsidR="00E54968">
        <w:rPr>
          <w:lang w:val="en-US"/>
        </w:rPr>
        <w:t xml:space="preserve"> 6a); </w:t>
      </w:r>
      <w:proofErr w:type="spellStart"/>
      <w:r w:rsidR="00E54968">
        <w:rPr>
          <w:i/>
          <w:lang w:val="en-US"/>
        </w:rPr>
        <w:t>Dranichnikov</w:t>
      </w:r>
      <w:proofErr w:type="spellEnd"/>
      <w:r w:rsidR="00E54968">
        <w:rPr>
          <w:i/>
          <w:lang w:val="en-US"/>
        </w:rPr>
        <w:t xml:space="preserve"> v. Australia</w:t>
      </w:r>
      <w:r w:rsidR="00E54968">
        <w:rPr>
          <w:lang w:val="en-US"/>
        </w:rPr>
        <w:t xml:space="preserve"> (</w:t>
      </w:r>
      <w:r w:rsidR="00E54968" w:rsidRPr="004A5F54">
        <w:rPr>
          <w:lang w:val="en-US"/>
        </w:rPr>
        <w:t>CCPR/C/88/D/1291/2004</w:t>
      </w:r>
      <w:r w:rsidR="00E54968">
        <w:rPr>
          <w:lang w:val="en-US"/>
        </w:rPr>
        <w:t xml:space="preserve">), para. </w:t>
      </w:r>
      <w:r w:rsidR="00E54968" w:rsidRPr="000C368A">
        <w:rPr>
          <w:lang w:val="es-ES"/>
        </w:rPr>
        <w:t xml:space="preserve">6.3; </w:t>
      </w:r>
      <w:proofErr w:type="spellStart"/>
      <w:r w:rsidR="00E54968" w:rsidRPr="000C368A">
        <w:rPr>
          <w:i/>
          <w:lang w:val="es-ES"/>
        </w:rPr>
        <w:t>Isaeva</w:t>
      </w:r>
      <w:proofErr w:type="spellEnd"/>
      <w:r w:rsidR="00E54968" w:rsidRPr="000C368A">
        <w:rPr>
          <w:i/>
          <w:lang w:val="es-ES"/>
        </w:rPr>
        <w:t xml:space="preserve"> v. </w:t>
      </w:r>
      <w:proofErr w:type="spellStart"/>
      <w:r w:rsidR="00E54968" w:rsidRPr="000C368A">
        <w:rPr>
          <w:i/>
          <w:lang w:val="es-ES"/>
        </w:rPr>
        <w:t>Uzbekistan</w:t>
      </w:r>
      <w:proofErr w:type="spellEnd"/>
      <w:r w:rsidR="00E54968" w:rsidRPr="000C368A">
        <w:rPr>
          <w:lang w:val="es-ES"/>
        </w:rPr>
        <w:t xml:space="preserve"> (CCPR/C/95/D/1163/2003), para. 9.3; and </w:t>
      </w:r>
      <w:proofErr w:type="spellStart"/>
      <w:r w:rsidR="00E54968" w:rsidRPr="000C368A">
        <w:rPr>
          <w:i/>
          <w:lang w:val="es-ES"/>
        </w:rPr>
        <w:t>Gonzalez</w:t>
      </w:r>
      <w:proofErr w:type="spellEnd"/>
      <w:r w:rsidR="00E54968" w:rsidRPr="000C368A">
        <w:rPr>
          <w:i/>
          <w:lang w:val="es-ES"/>
        </w:rPr>
        <w:t xml:space="preserve"> v. Guyana</w:t>
      </w:r>
      <w:r w:rsidR="00E54968" w:rsidRPr="000C368A">
        <w:rPr>
          <w:lang w:val="es-ES"/>
        </w:rPr>
        <w:t xml:space="preserve"> (CCPR/C/98/D/1246/2004), para. </w:t>
      </w:r>
      <w:r w:rsidR="00E54968">
        <w:rPr>
          <w:lang w:val="en-US"/>
        </w:rPr>
        <w:t xml:space="preserve">13.3.     </w:t>
      </w:r>
    </w:p>
  </w:footnote>
  <w:footnote w:id="19">
    <w:p w14:paraId="425DBC30" w14:textId="65B92336" w:rsidR="00E54968" w:rsidRPr="007A196A" w:rsidRDefault="00E54968" w:rsidP="000C368A">
      <w:pPr>
        <w:pStyle w:val="FootnoteText"/>
        <w:rPr>
          <w:lang w:val="en-US"/>
        </w:rPr>
      </w:pPr>
      <w:r>
        <w:tab/>
      </w:r>
      <w:r>
        <w:rPr>
          <w:rStyle w:val="FootnoteReference"/>
        </w:rPr>
        <w:footnoteRef/>
      </w:r>
      <w:r w:rsidR="000C368A">
        <w:tab/>
      </w:r>
      <w:r>
        <w:t xml:space="preserve">See e.g. </w:t>
      </w:r>
      <w:r w:rsidRPr="007A196A">
        <w:rPr>
          <w:i/>
          <w:lang w:val="en-US"/>
        </w:rPr>
        <w:t>BDB v. the Netherlands</w:t>
      </w:r>
      <w:r>
        <w:rPr>
          <w:lang w:val="en-US"/>
        </w:rPr>
        <w:t xml:space="preserve"> (</w:t>
      </w:r>
      <w:r w:rsidRPr="00302619">
        <w:rPr>
          <w:lang w:val="en-US"/>
        </w:rPr>
        <w:t>CCPR/C/35/D/273/1989</w:t>
      </w:r>
      <w:r>
        <w:rPr>
          <w:lang w:val="en-US"/>
        </w:rPr>
        <w:t xml:space="preserve">), para. 6.3; and </w:t>
      </w:r>
      <w:r w:rsidRPr="007A196A">
        <w:rPr>
          <w:i/>
          <w:lang w:val="en-US"/>
        </w:rPr>
        <w:t>Hugo van Alphen v. the Netherlands</w:t>
      </w:r>
      <w:r>
        <w:rPr>
          <w:lang w:val="en-US"/>
        </w:rPr>
        <w:t xml:space="preserve"> (c</w:t>
      </w:r>
      <w:r w:rsidRPr="00302619">
        <w:rPr>
          <w:lang w:val="en-US"/>
        </w:rPr>
        <w:t>ommunication No. 305/1988</w:t>
      </w:r>
      <w:r>
        <w:rPr>
          <w:lang w:val="en-US"/>
        </w:rPr>
        <w:t xml:space="preserve"> of 23 July 1990), para. 5.5. </w:t>
      </w:r>
    </w:p>
  </w:footnote>
  <w:footnote w:id="20">
    <w:p w14:paraId="2109455F" w14:textId="57150BB6" w:rsidR="00E54968" w:rsidRPr="009D3573" w:rsidRDefault="000C368A" w:rsidP="00675032">
      <w:pPr>
        <w:pStyle w:val="FootnoteText"/>
        <w:rPr>
          <w:lang w:val="en-US"/>
        </w:rPr>
      </w:pPr>
      <w:r>
        <w:rPr>
          <w:lang w:val="en-US"/>
        </w:rPr>
        <w:tab/>
      </w:r>
      <w:r w:rsidR="00E54968">
        <w:rPr>
          <w:rStyle w:val="FootnoteReference"/>
        </w:rPr>
        <w:footnoteRef/>
      </w:r>
      <w:r>
        <w:rPr>
          <w:lang w:val="en-US"/>
        </w:rPr>
        <w:tab/>
      </w:r>
      <w:r w:rsidR="00E54968">
        <w:rPr>
          <w:lang w:val="en-US"/>
        </w:rPr>
        <w:t xml:space="preserve">See e.g. </w:t>
      </w:r>
      <w:proofErr w:type="spellStart"/>
      <w:r w:rsidR="00E54968" w:rsidRPr="009D3573">
        <w:rPr>
          <w:i/>
          <w:lang w:val="en-US"/>
        </w:rPr>
        <w:t>Mahuika</w:t>
      </w:r>
      <w:proofErr w:type="spellEnd"/>
      <w:r w:rsidR="00E54968" w:rsidRPr="009D3573">
        <w:rPr>
          <w:i/>
          <w:lang w:val="en-US"/>
        </w:rPr>
        <w:t xml:space="preserve"> v. New Zealand</w:t>
      </w:r>
      <w:r w:rsidR="00E54968">
        <w:rPr>
          <w:lang w:val="en-US"/>
        </w:rPr>
        <w:t xml:space="preserve"> (</w:t>
      </w:r>
      <w:r w:rsidR="00E54968" w:rsidRPr="00E73230">
        <w:rPr>
          <w:lang w:val="en-US"/>
        </w:rPr>
        <w:t>CCPR/C/55/D/547/1993</w:t>
      </w:r>
      <w:r w:rsidR="00E54968">
        <w:rPr>
          <w:lang w:val="en-US"/>
        </w:rPr>
        <w:t xml:space="preserve">), para. 9.11.  </w:t>
      </w:r>
    </w:p>
  </w:footnote>
  <w:footnote w:id="21">
    <w:p w14:paraId="7BB70F5F" w14:textId="1D9A5FEE" w:rsidR="00E54968" w:rsidRPr="007A1E50" w:rsidRDefault="00E54968" w:rsidP="00675032">
      <w:pPr>
        <w:pStyle w:val="FootnoteText"/>
        <w:rPr>
          <w:lang w:val="en-US"/>
        </w:rPr>
      </w:pPr>
      <w:r>
        <w:tab/>
      </w:r>
      <w:r>
        <w:rPr>
          <w:rStyle w:val="FootnoteReference"/>
        </w:rPr>
        <w:footnoteRef/>
      </w:r>
      <w:r w:rsidR="000C368A">
        <w:tab/>
      </w:r>
      <w:r>
        <w:rPr>
          <w:lang w:val="en-US"/>
        </w:rPr>
        <w:t xml:space="preserve">See </w:t>
      </w:r>
      <w:r w:rsidRPr="007A1E50">
        <w:rPr>
          <w:i/>
          <w:lang w:val="en-US"/>
        </w:rPr>
        <w:t>General Comment No. 32: Article 14</w:t>
      </w:r>
      <w:r>
        <w:rPr>
          <w:lang w:val="en-US"/>
        </w:rPr>
        <w:t xml:space="preserve"> </w:t>
      </w:r>
      <w:r w:rsidRPr="007A1E50">
        <w:rPr>
          <w:i/>
          <w:lang w:val="en-US"/>
        </w:rPr>
        <w:t>– Right to equality before courts and tribunals and to a fair trial</w:t>
      </w:r>
      <w:r>
        <w:rPr>
          <w:lang w:val="en-US"/>
        </w:rPr>
        <w:t xml:space="preserve"> (CCPR/C/GC/32), para. 11. </w:t>
      </w:r>
    </w:p>
  </w:footnote>
  <w:footnote w:id="22">
    <w:p w14:paraId="76D187AC" w14:textId="5771EF93" w:rsidR="00E54968" w:rsidRPr="00EC5D6A" w:rsidRDefault="00E54968" w:rsidP="00E73230">
      <w:pPr>
        <w:pStyle w:val="FootnoteText"/>
        <w:rPr>
          <w:lang w:val="en-US"/>
        </w:rPr>
      </w:pPr>
      <w:r>
        <w:tab/>
      </w:r>
      <w:r>
        <w:rPr>
          <w:rStyle w:val="FootnoteReference"/>
        </w:rPr>
        <w:footnoteRef/>
      </w:r>
      <w:r w:rsidR="000C368A" w:rsidRPr="000C368A">
        <w:rPr>
          <w:lang w:val="es-ES"/>
        </w:rPr>
        <w:tab/>
      </w:r>
      <w:proofErr w:type="spellStart"/>
      <w:r w:rsidRPr="000C368A">
        <w:rPr>
          <w:lang w:val="es-ES"/>
        </w:rPr>
        <w:t>See</w:t>
      </w:r>
      <w:proofErr w:type="spellEnd"/>
      <w:r w:rsidRPr="000C368A">
        <w:rPr>
          <w:lang w:val="es-ES"/>
        </w:rPr>
        <w:t xml:space="preserve"> </w:t>
      </w:r>
      <w:proofErr w:type="spellStart"/>
      <w:r w:rsidRPr="000C368A">
        <w:rPr>
          <w:lang w:val="es-ES"/>
        </w:rPr>
        <w:t>e.g</w:t>
      </w:r>
      <w:proofErr w:type="spellEnd"/>
      <w:r w:rsidRPr="000C368A">
        <w:rPr>
          <w:lang w:val="es-ES"/>
        </w:rPr>
        <w:t xml:space="preserve">. </w:t>
      </w:r>
      <w:r w:rsidRPr="000C368A">
        <w:rPr>
          <w:i/>
          <w:lang w:val="es-ES"/>
        </w:rPr>
        <w:t xml:space="preserve">Y.L. v. </w:t>
      </w:r>
      <w:proofErr w:type="spellStart"/>
      <w:r w:rsidRPr="000C368A">
        <w:rPr>
          <w:i/>
          <w:lang w:val="es-ES"/>
        </w:rPr>
        <w:t>Canada</w:t>
      </w:r>
      <w:proofErr w:type="spellEnd"/>
      <w:r w:rsidRPr="000C368A">
        <w:rPr>
          <w:lang w:val="es-ES"/>
        </w:rPr>
        <w:t xml:space="preserve"> (CCPR/C/27/D/112/1981), para. </w:t>
      </w:r>
      <w:r>
        <w:rPr>
          <w:lang w:val="en-US"/>
        </w:rPr>
        <w:t xml:space="preserve">9.2. </w:t>
      </w:r>
    </w:p>
  </w:footnote>
  <w:footnote w:id="23">
    <w:p w14:paraId="44AC554C" w14:textId="7606CB06" w:rsidR="00E54968" w:rsidRPr="00342584" w:rsidRDefault="000C368A" w:rsidP="00675032">
      <w:pPr>
        <w:pStyle w:val="FootnoteText"/>
        <w:rPr>
          <w:lang w:val="en-US"/>
        </w:rPr>
      </w:pPr>
      <w:r>
        <w:rPr>
          <w:i/>
        </w:rPr>
        <w:tab/>
      </w:r>
      <w:r w:rsidR="00E54968">
        <w:rPr>
          <w:rStyle w:val="FootnoteReference"/>
        </w:rPr>
        <w:footnoteRef/>
      </w:r>
      <w:r>
        <w:rPr>
          <w:i/>
        </w:rPr>
        <w:tab/>
      </w:r>
      <w:proofErr w:type="spellStart"/>
      <w:r w:rsidR="00E54968" w:rsidRPr="00342584">
        <w:rPr>
          <w:i/>
        </w:rPr>
        <w:t>Czernin</w:t>
      </w:r>
      <w:proofErr w:type="spellEnd"/>
      <w:r w:rsidR="00E54968" w:rsidRPr="00342584">
        <w:rPr>
          <w:i/>
        </w:rPr>
        <w:t xml:space="preserve"> v. the Czech Republic</w:t>
      </w:r>
      <w:r w:rsidR="00E54968">
        <w:t xml:space="preserve"> (</w:t>
      </w:r>
      <w:r w:rsidR="00E54968" w:rsidRPr="00342584">
        <w:t>CCPR/C/83/D/823/1998</w:t>
      </w:r>
      <w:r w:rsidR="00E54968">
        <w:t>), para. 7.5</w:t>
      </w:r>
      <w:r>
        <w:t>.</w:t>
      </w:r>
    </w:p>
  </w:footnote>
  <w:footnote w:id="24">
    <w:p w14:paraId="5F4ECF36" w14:textId="3F4BA1EC" w:rsidR="00E54968" w:rsidRPr="00284D08" w:rsidRDefault="00E54968" w:rsidP="003864E7">
      <w:pPr>
        <w:pStyle w:val="FootnoteText"/>
        <w:rPr>
          <w:lang w:val="en-US"/>
        </w:rPr>
      </w:pPr>
      <w:r>
        <w:tab/>
      </w:r>
      <w:r>
        <w:rPr>
          <w:rStyle w:val="FootnoteReference"/>
        </w:rPr>
        <w:footnoteRef/>
      </w:r>
      <w:r w:rsidR="000C368A">
        <w:tab/>
      </w:r>
      <w:r>
        <w:t xml:space="preserve">See e.g. </w:t>
      </w:r>
      <w:r w:rsidRPr="00284D08">
        <w:rPr>
          <w:i/>
          <w:lang w:val="en-US"/>
        </w:rPr>
        <w:t>Kaur v. Canada</w:t>
      </w:r>
      <w:r>
        <w:rPr>
          <w:lang w:val="en-US"/>
        </w:rPr>
        <w:t xml:space="preserve"> (</w:t>
      </w:r>
      <w:r w:rsidRPr="003864E7">
        <w:rPr>
          <w:lang w:val="en-US"/>
        </w:rPr>
        <w:t>CCPR/C/94/D/1455/2006</w:t>
      </w:r>
      <w:r>
        <w:rPr>
          <w:lang w:val="en-US"/>
        </w:rPr>
        <w:t>), para. 7.5.</w:t>
      </w:r>
    </w:p>
  </w:footnote>
  <w:footnote w:id="25">
    <w:p w14:paraId="6D704306" w14:textId="232B4B05" w:rsidR="00E54968" w:rsidRPr="000C368A" w:rsidRDefault="000C368A" w:rsidP="000C368A">
      <w:pPr>
        <w:pStyle w:val="FootnoteText"/>
        <w:rPr>
          <w:lang w:val="es-ES"/>
        </w:rPr>
      </w:pPr>
      <w:r>
        <w:rPr>
          <w:lang w:val="en-US"/>
        </w:rPr>
        <w:tab/>
      </w:r>
      <w:r w:rsidR="00E54968">
        <w:rPr>
          <w:rStyle w:val="FootnoteReference"/>
        </w:rPr>
        <w:footnoteRef/>
      </w:r>
      <w:r>
        <w:tab/>
      </w:r>
      <w:r w:rsidR="00E54968" w:rsidRPr="0072468E">
        <w:t xml:space="preserve">General Comment No. 32: Article 14 – Right to equality before courts and tribunals and to a fair trial (CCPR/C/GC/32), para. </w:t>
      </w:r>
      <w:r w:rsidR="00E54968" w:rsidRPr="000C368A">
        <w:rPr>
          <w:lang w:val="es-ES"/>
        </w:rPr>
        <w:t>27.</w:t>
      </w:r>
    </w:p>
  </w:footnote>
  <w:footnote w:id="26">
    <w:p w14:paraId="06C8396A" w14:textId="018908CC" w:rsidR="00E54968" w:rsidRPr="000C368A" w:rsidRDefault="000C368A" w:rsidP="00675032">
      <w:pPr>
        <w:pStyle w:val="FootnoteText"/>
        <w:rPr>
          <w:lang w:val="es-ES"/>
        </w:rPr>
      </w:pPr>
      <w:r>
        <w:rPr>
          <w:lang w:val="es-ES"/>
        </w:rPr>
        <w:tab/>
      </w:r>
      <w:r w:rsidR="00E54968">
        <w:rPr>
          <w:rStyle w:val="FootnoteReference"/>
        </w:rPr>
        <w:footnoteRef/>
      </w:r>
      <w:r>
        <w:rPr>
          <w:lang w:val="es-ES"/>
        </w:rPr>
        <w:tab/>
      </w:r>
      <w:proofErr w:type="spellStart"/>
      <w:r w:rsidR="00E54968" w:rsidRPr="000C368A">
        <w:rPr>
          <w:lang w:val="es-ES"/>
        </w:rPr>
        <w:t>See</w:t>
      </w:r>
      <w:proofErr w:type="spellEnd"/>
      <w:r w:rsidR="00E54968" w:rsidRPr="000C368A">
        <w:rPr>
          <w:lang w:val="es-ES"/>
        </w:rPr>
        <w:t xml:space="preserve"> </w:t>
      </w:r>
      <w:proofErr w:type="spellStart"/>
      <w:r w:rsidR="00E54968" w:rsidRPr="000C368A">
        <w:rPr>
          <w:i/>
          <w:lang w:val="es-ES"/>
        </w:rPr>
        <w:t>Lederbauer</w:t>
      </w:r>
      <w:proofErr w:type="spellEnd"/>
      <w:r w:rsidR="00E54968" w:rsidRPr="000C368A">
        <w:rPr>
          <w:i/>
          <w:lang w:val="es-ES"/>
        </w:rPr>
        <w:t xml:space="preserve"> v. Austria</w:t>
      </w:r>
      <w:r w:rsidR="00E54968" w:rsidRPr="000C368A">
        <w:rPr>
          <w:lang w:val="es-ES"/>
        </w:rPr>
        <w:t xml:space="preserve"> (CCPR/C/90/D/1454/2006), para. 8.1. </w:t>
      </w:r>
    </w:p>
  </w:footnote>
  <w:footnote w:id="27">
    <w:p w14:paraId="4A4F5147" w14:textId="64B03C31" w:rsidR="00E54968" w:rsidRPr="0027097B" w:rsidRDefault="00E54968" w:rsidP="00F9129A">
      <w:pPr>
        <w:pStyle w:val="FootnoteText"/>
        <w:tabs>
          <w:tab w:val="clear" w:pos="1021"/>
          <w:tab w:val="right" w:pos="993"/>
        </w:tabs>
        <w:rPr>
          <w:lang w:val="en-US"/>
        </w:rPr>
      </w:pPr>
      <w:r w:rsidRPr="000C368A">
        <w:rPr>
          <w:lang w:val="es-ES"/>
        </w:rPr>
        <w:tab/>
      </w:r>
      <w:r>
        <w:rPr>
          <w:rStyle w:val="FootnoteReference"/>
        </w:rPr>
        <w:footnoteRef/>
      </w:r>
      <w:r w:rsidR="000C368A">
        <w:rPr>
          <w:lang w:val="es-ES"/>
        </w:rPr>
        <w:tab/>
      </w:r>
      <w:proofErr w:type="spellStart"/>
      <w:r w:rsidRPr="000C368A">
        <w:rPr>
          <w:lang w:val="es-ES"/>
        </w:rPr>
        <w:t>See</w:t>
      </w:r>
      <w:proofErr w:type="spellEnd"/>
      <w:r w:rsidRPr="000C368A">
        <w:rPr>
          <w:lang w:val="es-ES"/>
        </w:rPr>
        <w:t xml:space="preserve"> </w:t>
      </w:r>
      <w:proofErr w:type="spellStart"/>
      <w:r w:rsidRPr="000C368A">
        <w:rPr>
          <w:i/>
          <w:lang w:val="es-ES"/>
        </w:rPr>
        <w:t>Perterer</w:t>
      </w:r>
      <w:proofErr w:type="spellEnd"/>
      <w:r w:rsidRPr="000C368A">
        <w:rPr>
          <w:i/>
          <w:lang w:val="es-ES"/>
        </w:rPr>
        <w:t xml:space="preserve"> v. Austria</w:t>
      </w:r>
      <w:r w:rsidRPr="000C368A">
        <w:rPr>
          <w:lang w:val="es-ES"/>
        </w:rPr>
        <w:t xml:space="preserve"> (CCPR/C/81/D/1015/2001), para. </w:t>
      </w:r>
      <w:r>
        <w:t xml:space="preserve">10.7. </w:t>
      </w:r>
    </w:p>
  </w:footnote>
  <w:footnote w:id="28">
    <w:p w14:paraId="5FEDEC5B" w14:textId="4F8BB710" w:rsidR="00E54968" w:rsidRPr="0072468E" w:rsidRDefault="000C368A" w:rsidP="000C368A">
      <w:pPr>
        <w:pStyle w:val="FootnoteText"/>
        <w:rPr>
          <w:lang w:val="en-US"/>
        </w:rPr>
      </w:pPr>
      <w:r>
        <w:tab/>
      </w:r>
      <w:r w:rsidR="00E54968">
        <w:rPr>
          <w:rStyle w:val="FootnoteReference"/>
        </w:rPr>
        <w:footnoteRef/>
      </w:r>
      <w:r>
        <w:tab/>
      </w:r>
      <w:r w:rsidR="00E54968" w:rsidRPr="0072468E">
        <w:t xml:space="preserve">General comment No. 34: Article 19: Freedoms of opinion and expression (CCPR/C/GC/34), para. 34. </w:t>
      </w:r>
    </w:p>
  </w:footnote>
  <w:footnote w:id="29">
    <w:p w14:paraId="4591378D" w14:textId="65D25537" w:rsidR="00E54968" w:rsidRPr="00E32117" w:rsidRDefault="001F0434" w:rsidP="001F0434">
      <w:pPr>
        <w:pStyle w:val="FootnoteText"/>
        <w:rPr>
          <w:lang w:val="en-US"/>
        </w:rPr>
      </w:pPr>
      <w:r>
        <w:rPr>
          <w:i/>
          <w:lang w:val="en-US"/>
        </w:rPr>
        <w:tab/>
      </w:r>
      <w:r w:rsidR="00E54968">
        <w:rPr>
          <w:rStyle w:val="FootnoteReference"/>
        </w:rPr>
        <w:footnoteRef/>
      </w:r>
      <w:r>
        <w:rPr>
          <w:i/>
          <w:lang w:val="en-US"/>
        </w:rPr>
        <w:tab/>
      </w:r>
      <w:r w:rsidR="00E54968" w:rsidRPr="00E32117">
        <w:rPr>
          <w:i/>
          <w:lang w:val="en-US"/>
        </w:rPr>
        <w:t>Ibid</w:t>
      </w:r>
      <w:r w:rsidR="00E54968">
        <w:rPr>
          <w:lang w:val="en-US"/>
        </w:rPr>
        <w:t xml:space="preserve">, para. 35. See also </w:t>
      </w:r>
      <w:r w:rsidR="00E54968" w:rsidRPr="00E32117">
        <w:rPr>
          <w:i/>
          <w:lang w:val="en-US"/>
        </w:rPr>
        <w:t xml:space="preserve">Lee v. </w:t>
      </w:r>
      <w:r w:rsidR="00E54968">
        <w:rPr>
          <w:i/>
          <w:lang w:val="en-US"/>
        </w:rPr>
        <w:t xml:space="preserve">the </w:t>
      </w:r>
      <w:r w:rsidR="00E54968" w:rsidRPr="00E32117">
        <w:rPr>
          <w:i/>
          <w:lang w:val="en-US"/>
        </w:rPr>
        <w:t>Republic of Korea</w:t>
      </w:r>
      <w:r w:rsidR="00E54968">
        <w:rPr>
          <w:lang w:val="en-US"/>
        </w:rPr>
        <w:t xml:space="preserve"> (</w:t>
      </w:r>
      <w:r w:rsidR="00E54968" w:rsidRPr="00F6655D">
        <w:rPr>
          <w:lang w:val="en-US"/>
        </w:rPr>
        <w:t>CCPR/C/84/D/1119/2002</w:t>
      </w:r>
      <w:r w:rsidR="00E54968">
        <w:rPr>
          <w:lang w:val="en-US"/>
        </w:rPr>
        <w:t xml:space="preserve">), para. 7.2. </w:t>
      </w:r>
    </w:p>
  </w:footnote>
  <w:footnote w:id="30">
    <w:p w14:paraId="6F0CE38D" w14:textId="758F134C" w:rsidR="00E54968" w:rsidRPr="00FC6ADC" w:rsidRDefault="001F0434" w:rsidP="00675032">
      <w:pPr>
        <w:pStyle w:val="FootnoteText"/>
      </w:pPr>
      <w:r>
        <w:tab/>
      </w:r>
      <w:r w:rsidR="00E54968">
        <w:rPr>
          <w:rStyle w:val="FootnoteReference"/>
        </w:rPr>
        <w:footnoteRef/>
      </w:r>
      <w:r>
        <w:tab/>
      </w:r>
      <w:r w:rsidR="00E54968" w:rsidRPr="00FC6ADC">
        <w:t>General Comment No. 31: The Nature of the General Legal Obligation Imposed on States Parties to the Covenant (CCPR/C/21/Rev.1/Add.13), para. 1</w:t>
      </w:r>
      <w:r w:rsidR="00E54968">
        <w:t xml:space="preserve">6. </w:t>
      </w:r>
    </w:p>
  </w:footnote>
  <w:footnote w:id="31">
    <w:p w14:paraId="5C82956D" w14:textId="37204EE0" w:rsidR="00E54968" w:rsidRPr="00FC6ADC" w:rsidRDefault="001F0434" w:rsidP="00675032">
      <w:pPr>
        <w:pStyle w:val="FootnoteText"/>
        <w:rPr>
          <w:lang w:val="en-US"/>
        </w:rPr>
      </w:pPr>
      <w:r>
        <w:rPr>
          <w:i/>
        </w:rPr>
        <w:tab/>
      </w:r>
      <w:r w:rsidR="00E54968">
        <w:rPr>
          <w:rStyle w:val="FootnoteReference"/>
        </w:rPr>
        <w:footnoteRef/>
      </w:r>
      <w:r>
        <w:rPr>
          <w:i/>
        </w:rPr>
        <w:tab/>
      </w:r>
      <w:r w:rsidR="00E54968" w:rsidRPr="00FC6ADC">
        <w:rPr>
          <w:i/>
        </w:rPr>
        <w:t>Ibid</w:t>
      </w:r>
      <w:r w:rsidR="00E54968">
        <w:t xml:space="preserve">, </w:t>
      </w:r>
      <w:r w:rsidR="00E54968">
        <w:rPr>
          <w:lang w:val="en-US"/>
        </w:rPr>
        <w:t xml:space="preserve">para. 17.  </w:t>
      </w:r>
    </w:p>
  </w:footnote>
  <w:footnote w:id="32">
    <w:p w14:paraId="18AB6485" w14:textId="09BF9F3E" w:rsidR="00E54968" w:rsidRPr="0077487D" w:rsidRDefault="00E54968" w:rsidP="00675032">
      <w:pPr>
        <w:pStyle w:val="FootnoteText"/>
      </w:pPr>
      <w:r>
        <w:tab/>
      </w:r>
      <w:r>
        <w:rPr>
          <w:rStyle w:val="FootnoteReference"/>
        </w:rPr>
        <w:footnoteRef/>
      </w:r>
      <w:r w:rsidR="001F0434">
        <w:tab/>
      </w:r>
      <w:r>
        <w:t xml:space="preserve">Canada’s submission on the admissibility and merits of the author’s communication, dated 28 May 2015, paras. 59-60.  </w:t>
      </w:r>
    </w:p>
  </w:footnote>
  <w:footnote w:id="33">
    <w:p w14:paraId="023C07B4" w14:textId="006D48EB" w:rsidR="00E54968" w:rsidRPr="00952565" w:rsidRDefault="00E54968" w:rsidP="00675032">
      <w:pPr>
        <w:pStyle w:val="FootnoteText"/>
      </w:pPr>
      <w:r>
        <w:tab/>
      </w:r>
      <w:r>
        <w:rPr>
          <w:rStyle w:val="FootnoteReference"/>
        </w:rPr>
        <w:footnoteRef/>
      </w:r>
      <w:r w:rsidR="001F0434">
        <w:tab/>
      </w:r>
      <w:r>
        <w:t xml:space="preserve">Canada’s submission on admissibility and merits, paras. 42 and 50. </w:t>
      </w:r>
    </w:p>
  </w:footnote>
  <w:footnote w:id="34">
    <w:p w14:paraId="54003F82" w14:textId="2625327D" w:rsidR="00E54968" w:rsidRPr="00961FBA" w:rsidRDefault="00E54968" w:rsidP="00675032">
      <w:pPr>
        <w:pStyle w:val="FootnoteText"/>
      </w:pPr>
      <w:r>
        <w:tab/>
      </w:r>
      <w:r>
        <w:rPr>
          <w:rStyle w:val="FootnoteReference"/>
        </w:rPr>
        <w:footnoteRef/>
      </w:r>
      <w:r w:rsidR="001F0434">
        <w:tab/>
      </w:r>
      <w:r>
        <w:t xml:space="preserve">Author’s comments of 2 October 2015, para. 18. </w:t>
      </w:r>
    </w:p>
  </w:footnote>
  <w:footnote w:id="35">
    <w:p w14:paraId="28914422" w14:textId="324F95AA" w:rsidR="00E54968" w:rsidRPr="00961FBA" w:rsidRDefault="001F0434">
      <w:pPr>
        <w:pStyle w:val="FootnoteText"/>
      </w:pPr>
      <w:r>
        <w:tab/>
      </w:r>
      <w:r w:rsidR="00E54968">
        <w:rPr>
          <w:rStyle w:val="FootnoteReference"/>
        </w:rPr>
        <w:footnoteRef/>
      </w:r>
      <w:r>
        <w:tab/>
      </w:r>
      <w:r w:rsidR="00E54968" w:rsidRPr="00961FBA">
        <w:t>Canada’s submission on admissibility and merits</w:t>
      </w:r>
      <w:r w:rsidR="00E54968">
        <w:t xml:space="preserve">, </w:t>
      </w:r>
      <w:r w:rsidR="00E54968" w:rsidRPr="00961FBA">
        <w:t xml:space="preserve">paras. </w:t>
      </w:r>
      <w:r w:rsidR="00E54968">
        <w:t>88-92</w:t>
      </w:r>
      <w:r w:rsidR="00E54968" w:rsidRPr="00961FBA">
        <w:t>.</w:t>
      </w:r>
      <w:r w:rsidR="00E54968">
        <w:t xml:space="preserve"> </w:t>
      </w:r>
      <w:r w:rsidR="00E54968" w:rsidRPr="00961FBA">
        <w:t xml:space="preserve">  </w:t>
      </w:r>
    </w:p>
  </w:footnote>
  <w:footnote w:id="36">
    <w:p w14:paraId="00B6D9FF" w14:textId="2EFCF094" w:rsidR="00182D14" w:rsidRDefault="00182D14" w:rsidP="00182D14">
      <w:pPr>
        <w:pStyle w:val="FootnoteText"/>
        <w:ind w:hanging="283"/>
      </w:pPr>
      <w:r>
        <w:t xml:space="preserve"> </w:t>
      </w:r>
      <w:r>
        <w:rPr>
          <w:rStyle w:val="FootnoteReference"/>
        </w:rPr>
        <w:footnoteRef/>
      </w:r>
      <w:r>
        <w:t xml:space="preserve">   </w:t>
      </w:r>
      <w:r w:rsidR="005B08AE">
        <w:t xml:space="preserve">As </w:t>
      </w:r>
      <w:r>
        <w:t>regard</w:t>
      </w:r>
      <w:r w:rsidR="005B08AE">
        <w:t>s</w:t>
      </w:r>
      <w:r>
        <w:t xml:space="preserve"> </w:t>
      </w:r>
      <w:r w:rsidR="005B08AE">
        <w:t xml:space="preserve">lack of </w:t>
      </w:r>
      <w:r>
        <w:t>access to education</w:t>
      </w:r>
      <w:r w:rsidR="00B33F04">
        <w:t xml:space="preserve"> by the author</w:t>
      </w:r>
      <w:r w:rsidR="005B08AE">
        <w:t>.</w:t>
      </w:r>
      <w:r w:rsidR="00B33F04">
        <w:t xml:space="preserve"> </w:t>
      </w:r>
    </w:p>
  </w:footnote>
  <w:footnote w:id="37">
    <w:p w14:paraId="3E2191BF" w14:textId="53151723" w:rsidR="00B33F04" w:rsidRDefault="00B33F04" w:rsidP="00B33F04">
      <w:pPr>
        <w:pStyle w:val="FootnoteText"/>
        <w:ind w:hanging="283"/>
      </w:pPr>
      <w:r>
        <w:t xml:space="preserve"> </w:t>
      </w:r>
      <w:r>
        <w:rPr>
          <w:rStyle w:val="FootnoteReference"/>
        </w:rPr>
        <w:footnoteRef/>
      </w:r>
      <w:r>
        <w:t xml:space="preserve">   As regards alleged violations of other rights of the author. </w:t>
      </w:r>
    </w:p>
  </w:footnote>
  <w:footnote w:id="38">
    <w:p w14:paraId="729C2293" w14:textId="3CAEDDF3" w:rsidR="00E54968" w:rsidRPr="002571B2" w:rsidRDefault="00E54968">
      <w:pPr>
        <w:pStyle w:val="FootnoteText"/>
      </w:pPr>
      <w:r>
        <w:tab/>
      </w:r>
      <w:r>
        <w:rPr>
          <w:rStyle w:val="FootnoteReference"/>
        </w:rPr>
        <w:footnoteRef/>
      </w:r>
      <w:r w:rsidR="001F0434">
        <w:tab/>
      </w:r>
      <w:r w:rsidRPr="009D12B7">
        <w:t xml:space="preserve">See </w:t>
      </w:r>
      <w:proofErr w:type="spellStart"/>
      <w:r w:rsidRPr="009D12B7">
        <w:rPr>
          <w:i/>
        </w:rPr>
        <w:t>Dranichnikov</w:t>
      </w:r>
      <w:proofErr w:type="spellEnd"/>
      <w:r w:rsidRPr="009D12B7">
        <w:rPr>
          <w:i/>
        </w:rPr>
        <w:t xml:space="preserve"> v. Australia</w:t>
      </w:r>
      <w:r w:rsidRPr="009D12B7">
        <w:t xml:space="preserve">, para. 6.3; </w:t>
      </w:r>
      <w:r w:rsidRPr="009D12B7">
        <w:rPr>
          <w:i/>
        </w:rPr>
        <w:t>A.P.L.-</w:t>
      </w:r>
      <w:proofErr w:type="spellStart"/>
      <w:r w:rsidRPr="009D12B7">
        <w:rPr>
          <w:i/>
        </w:rPr>
        <w:t>v.d.M</w:t>
      </w:r>
      <w:proofErr w:type="spellEnd"/>
      <w:r w:rsidRPr="009D12B7">
        <w:rPr>
          <w:i/>
        </w:rPr>
        <w:t>. v. Netherlands</w:t>
      </w:r>
      <w:r>
        <w:t xml:space="preserve">, para. 6.3; and </w:t>
      </w:r>
      <w:r w:rsidRPr="009D12B7">
        <w:rPr>
          <w:i/>
        </w:rPr>
        <w:t>Toussaint v. Canada</w:t>
      </w:r>
      <w:r>
        <w:t xml:space="preserve"> (CCPR/C/123/D/2348/2014), para. 10.5.</w:t>
      </w:r>
    </w:p>
  </w:footnote>
  <w:footnote w:id="39">
    <w:p w14:paraId="03AAD458" w14:textId="53104A11" w:rsidR="00E54968" w:rsidRPr="000C368A" w:rsidRDefault="001F0434" w:rsidP="00675032">
      <w:pPr>
        <w:pStyle w:val="FootnoteText"/>
        <w:rPr>
          <w:lang w:val="es-ES"/>
        </w:rPr>
      </w:pPr>
      <w:r w:rsidRPr="000F7A71">
        <w:tab/>
      </w:r>
      <w:r w:rsidR="00E54968">
        <w:rPr>
          <w:rStyle w:val="FootnoteReference"/>
        </w:rPr>
        <w:footnoteRef/>
      </w:r>
      <w:r w:rsidRPr="000F7A71">
        <w:tab/>
      </w:r>
      <w:r w:rsidR="00E54968" w:rsidRPr="000F7A71">
        <w:t xml:space="preserve">See e.g. </w:t>
      </w:r>
      <w:r w:rsidR="00E54968" w:rsidRPr="000F7A71">
        <w:rPr>
          <w:i/>
          <w:szCs w:val="18"/>
        </w:rPr>
        <w:t xml:space="preserve">A. v. Australia, </w:t>
      </w:r>
      <w:r w:rsidR="00E54968" w:rsidRPr="000F7A71">
        <w:rPr>
          <w:szCs w:val="18"/>
        </w:rPr>
        <w:t xml:space="preserve">para. </w:t>
      </w:r>
      <w:r w:rsidR="00E54968" w:rsidRPr="00611A15">
        <w:rPr>
          <w:szCs w:val="18"/>
        </w:rPr>
        <w:t>11</w:t>
      </w:r>
      <w:r w:rsidR="00E54968">
        <w:rPr>
          <w:szCs w:val="18"/>
        </w:rPr>
        <w:t xml:space="preserve">; and </w:t>
      </w:r>
      <w:r w:rsidR="00E54968" w:rsidRPr="00694368">
        <w:rPr>
          <w:i/>
          <w:szCs w:val="18"/>
        </w:rPr>
        <w:t>Wilson v. Philippines</w:t>
      </w:r>
      <w:r w:rsidR="00E54968">
        <w:rPr>
          <w:i/>
          <w:szCs w:val="18"/>
        </w:rPr>
        <w:t xml:space="preserve"> </w:t>
      </w:r>
      <w:r w:rsidR="00E54968">
        <w:rPr>
          <w:szCs w:val="18"/>
        </w:rPr>
        <w:t>(</w:t>
      </w:r>
      <w:r w:rsidR="00E54968">
        <w:rPr>
          <w:rStyle w:val="st"/>
          <w:rFonts w:eastAsia="Times New Roman"/>
        </w:rPr>
        <w:t>CCPR/C/79/D/868/1999)</w:t>
      </w:r>
      <w:r w:rsidR="00E54968">
        <w:rPr>
          <w:szCs w:val="18"/>
        </w:rPr>
        <w:t xml:space="preserve">, para. </w:t>
      </w:r>
      <w:r w:rsidR="00E54968" w:rsidRPr="000C368A">
        <w:rPr>
          <w:szCs w:val="18"/>
          <w:lang w:val="es-ES"/>
        </w:rPr>
        <w:t xml:space="preserve">6.3. </w:t>
      </w:r>
    </w:p>
  </w:footnote>
  <w:footnote w:id="40">
    <w:p w14:paraId="58430C63" w14:textId="2F694CEB" w:rsidR="00E54968" w:rsidRPr="00B1200F" w:rsidRDefault="001F0434" w:rsidP="001F0434">
      <w:pPr>
        <w:pStyle w:val="FootnoteText"/>
      </w:pPr>
      <w:r>
        <w:rPr>
          <w:lang w:val="es-ES"/>
        </w:rPr>
        <w:tab/>
      </w:r>
      <w:r w:rsidR="00E54968">
        <w:rPr>
          <w:rStyle w:val="FootnoteReference"/>
        </w:rPr>
        <w:footnoteRef/>
      </w:r>
      <w:r>
        <w:rPr>
          <w:lang w:val="es-ES"/>
        </w:rPr>
        <w:tab/>
      </w:r>
      <w:proofErr w:type="spellStart"/>
      <w:r w:rsidR="00E54968" w:rsidRPr="000C368A">
        <w:rPr>
          <w:lang w:val="es-ES"/>
        </w:rPr>
        <w:t>See</w:t>
      </w:r>
      <w:proofErr w:type="spellEnd"/>
      <w:r w:rsidR="00E54968" w:rsidRPr="000C368A">
        <w:rPr>
          <w:lang w:val="es-ES"/>
        </w:rPr>
        <w:t xml:space="preserve"> </w:t>
      </w:r>
      <w:proofErr w:type="spellStart"/>
      <w:r w:rsidR="00E54968" w:rsidRPr="000C368A">
        <w:rPr>
          <w:lang w:val="es-ES"/>
        </w:rPr>
        <w:t>e.g</w:t>
      </w:r>
      <w:proofErr w:type="spellEnd"/>
      <w:r w:rsidR="00E54968" w:rsidRPr="000C368A">
        <w:rPr>
          <w:lang w:val="es-ES"/>
        </w:rPr>
        <w:t xml:space="preserve">. </w:t>
      </w:r>
      <w:r w:rsidR="00E54968" w:rsidRPr="000C368A">
        <w:rPr>
          <w:i/>
          <w:lang w:val="es-ES"/>
        </w:rPr>
        <w:t xml:space="preserve">Patiño v. </w:t>
      </w:r>
      <w:proofErr w:type="spellStart"/>
      <w:r w:rsidR="00E54968" w:rsidRPr="000C368A">
        <w:rPr>
          <w:i/>
          <w:lang w:val="es-ES"/>
        </w:rPr>
        <w:t>Panama</w:t>
      </w:r>
      <w:proofErr w:type="spellEnd"/>
      <w:r w:rsidR="00E54968" w:rsidRPr="000C368A">
        <w:rPr>
          <w:lang w:val="es-ES"/>
        </w:rPr>
        <w:t xml:space="preserve"> (CCPR/C/52/D/437/1990), para. </w:t>
      </w:r>
      <w:r w:rsidR="00E54968" w:rsidRPr="00B1200F">
        <w:t xml:space="preserve">5.2; </w:t>
      </w:r>
      <w:r w:rsidR="00E54968" w:rsidRPr="00B1200F">
        <w:rPr>
          <w:i/>
        </w:rPr>
        <w:t xml:space="preserve">P.L. v. Germany </w:t>
      </w:r>
      <w:r w:rsidR="00E54968" w:rsidRPr="00B1200F">
        <w:t xml:space="preserve">(CCPR/C/79/D/1003/2001), para. </w:t>
      </w:r>
      <w:r w:rsidR="00E54968" w:rsidRPr="000C368A">
        <w:rPr>
          <w:lang w:val="es-ES"/>
        </w:rPr>
        <w:t xml:space="preserve">6.5; </w:t>
      </w:r>
      <w:proofErr w:type="spellStart"/>
      <w:r w:rsidR="00E54968" w:rsidRPr="000C368A">
        <w:rPr>
          <w:i/>
          <w:lang w:val="es-ES"/>
        </w:rPr>
        <w:t>Warsame</w:t>
      </w:r>
      <w:proofErr w:type="spellEnd"/>
      <w:r w:rsidR="00E54968" w:rsidRPr="000C368A">
        <w:rPr>
          <w:i/>
          <w:lang w:val="es-ES"/>
        </w:rPr>
        <w:t xml:space="preserve"> v. </w:t>
      </w:r>
      <w:proofErr w:type="spellStart"/>
      <w:r w:rsidR="00E54968" w:rsidRPr="000C368A">
        <w:rPr>
          <w:i/>
          <w:lang w:val="es-ES"/>
        </w:rPr>
        <w:t>Canada</w:t>
      </w:r>
      <w:proofErr w:type="spellEnd"/>
      <w:r w:rsidR="00E54968" w:rsidRPr="000C368A">
        <w:rPr>
          <w:lang w:val="es-ES"/>
        </w:rPr>
        <w:t xml:space="preserve"> (CCPR/C/102/D/1959/2010), para. 7.4; and </w:t>
      </w:r>
      <w:r w:rsidR="00E54968" w:rsidRPr="000C368A">
        <w:rPr>
          <w:i/>
          <w:lang w:val="es-ES"/>
        </w:rPr>
        <w:t xml:space="preserve">Singh et al. v. </w:t>
      </w:r>
      <w:proofErr w:type="spellStart"/>
      <w:r w:rsidR="00E54968" w:rsidRPr="000C368A">
        <w:rPr>
          <w:i/>
          <w:lang w:val="es-ES"/>
        </w:rPr>
        <w:t>Canada</w:t>
      </w:r>
      <w:proofErr w:type="spellEnd"/>
      <w:r w:rsidR="00E54968" w:rsidRPr="000C368A">
        <w:rPr>
          <w:lang w:val="es-ES"/>
        </w:rPr>
        <w:t xml:space="preserve"> (CCPR/C/125/DR/2948/2017), para. </w:t>
      </w:r>
      <w:r w:rsidR="00E54968">
        <w:t xml:space="preserve">6.4. </w:t>
      </w:r>
    </w:p>
  </w:footnote>
  <w:footnote w:id="41">
    <w:p w14:paraId="58B30B2E" w14:textId="2B47101B" w:rsidR="00E54968" w:rsidRPr="0020790D" w:rsidRDefault="001F0434" w:rsidP="001F0434">
      <w:pPr>
        <w:pStyle w:val="FootnoteText"/>
        <w:rPr>
          <w:lang w:val="en-US"/>
        </w:rPr>
      </w:pPr>
      <w:r>
        <w:rPr>
          <w:lang w:val="en-US"/>
        </w:rPr>
        <w:tab/>
      </w:r>
      <w:r w:rsidR="00E54968">
        <w:rPr>
          <w:rStyle w:val="FootnoteReference"/>
        </w:rPr>
        <w:footnoteRef/>
      </w:r>
      <w:r>
        <w:rPr>
          <w:lang w:val="en-US"/>
        </w:rPr>
        <w:tab/>
      </w:r>
      <w:r w:rsidR="00E54968">
        <w:rPr>
          <w:lang w:val="en-US"/>
        </w:rPr>
        <w:t xml:space="preserve">See General comment No. 32: Article 14: Right to equality before courts and tribunals and to a fair trial, paras. 9 and 27.   </w:t>
      </w:r>
    </w:p>
  </w:footnote>
  <w:footnote w:id="42">
    <w:p w14:paraId="72B1AAD6" w14:textId="2FDC93C2" w:rsidR="00E54968" w:rsidRPr="00CA2063" w:rsidRDefault="001F0434" w:rsidP="001F0434">
      <w:pPr>
        <w:pStyle w:val="FootnoteText"/>
        <w:rPr>
          <w:lang w:val="en-US"/>
        </w:rPr>
      </w:pPr>
      <w:r>
        <w:tab/>
      </w:r>
      <w:r w:rsidR="00E54968">
        <w:rPr>
          <w:rStyle w:val="FootnoteReference"/>
        </w:rPr>
        <w:footnoteRef/>
      </w:r>
      <w:r w:rsidRPr="0066373C">
        <w:tab/>
      </w:r>
      <w:r w:rsidR="00E54968" w:rsidRPr="0066373C">
        <w:t xml:space="preserve">General comment No. 18 (1989) on non-discrimination, paras. </w:t>
      </w:r>
      <w:r w:rsidR="00E54968">
        <w:rPr>
          <w:lang w:val="en-US"/>
        </w:rPr>
        <w:t xml:space="preserve">7 and 13.   </w:t>
      </w:r>
    </w:p>
  </w:footnote>
  <w:footnote w:id="43">
    <w:p w14:paraId="2883CB58" w14:textId="013174F3" w:rsidR="00E54968" w:rsidRPr="00F44E14" w:rsidRDefault="001F0434">
      <w:pPr>
        <w:pStyle w:val="FootnoteText"/>
        <w:rPr>
          <w:lang w:val="en-US"/>
        </w:rPr>
      </w:pPr>
      <w:r>
        <w:tab/>
      </w:r>
      <w:r w:rsidR="00E54968">
        <w:rPr>
          <w:rStyle w:val="FootnoteReference"/>
        </w:rPr>
        <w:footnoteRef/>
      </w:r>
      <w:r>
        <w:tab/>
      </w:r>
      <w:r w:rsidR="00E54968">
        <w:rPr>
          <w:lang w:val="en-US"/>
        </w:rPr>
        <w:t xml:space="preserve">See e.g. </w:t>
      </w:r>
      <w:proofErr w:type="spellStart"/>
      <w:r w:rsidR="00E54968">
        <w:rPr>
          <w:lang w:val="en-US"/>
        </w:rPr>
        <w:t>Broeks</w:t>
      </w:r>
      <w:proofErr w:type="spellEnd"/>
      <w:r w:rsidR="00E54968">
        <w:rPr>
          <w:lang w:val="en-US"/>
        </w:rPr>
        <w:t xml:space="preserve"> v. </w:t>
      </w:r>
      <w:r w:rsidR="00E54968" w:rsidRPr="00F44E14">
        <w:rPr>
          <w:lang w:val="en-US"/>
        </w:rPr>
        <w:t>Netherlan</w:t>
      </w:r>
      <w:r w:rsidR="00E54968">
        <w:rPr>
          <w:lang w:val="en-US"/>
        </w:rPr>
        <w:t>d</w:t>
      </w:r>
      <w:r w:rsidR="00E54968" w:rsidRPr="00F44E14">
        <w:rPr>
          <w:lang w:val="en-US"/>
        </w:rPr>
        <w:t>s</w:t>
      </w:r>
      <w:r w:rsidR="00E54968">
        <w:rPr>
          <w:lang w:val="en-US"/>
        </w:rPr>
        <w:t xml:space="preserve"> (CCPR/C/29/D/172/1984), para. </w:t>
      </w:r>
      <w:r w:rsidR="00E54968" w:rsidRPr="0066373C">
        <w:rPr>
          <w:lang w:val="fr-FR"/>
        </w:rPr>
        <w:t xml:space="preserve">13; </w:t>
      </w:r>
      <w:proofErr w:type="spellStart"/>
      <w:r w:rsidR="00E54968" w:rsidRPr="0066373C">
        <w:rPr>
          <w:lang w:val="fr-FR"/>
        </w:rPr>
        <w:t>Zwaan</w:t>
      </w:r>
      <w:proofErr w:type="spellEnd"/>
      <w:r w:rsidR="00E54968" w:rsidRPr="0066373C">
        <w:rPr>
          <w:lang w:val="fr-FR"/>
        </w:rPr>
        <w:t xml:space="preserve">-de </w:t>
      </w:r>
      <w:proofErr w:type="spellStart"/>
      <w:r w:rsidR="00E54968" w:rsidRPr="0066373C">
        <w:rPr>
          <w:lang w:val="fr-FR"/>
        </w:rPr>
        <w:t>Vries</w:t>
      </w:r>
      <w:proofErr w:type="spellEnd"/>
      <w:r w:rsidR="00E54968" w:rsidRPr="0066373C">
        <w:rPr>
          <w:lang w:val="fr-FR"/>
        </w:rPr>
        <w:t xml:space="preserve"> v. </w:t>
      </w:r>
      <w:proofErr w:type="spellStart"/>
      <w:r w:rsidR="00E54968" w:rsidRPr="0066373C">
        <w:rPr>
          <w:lang w:val="fr-FR"/>
        </w:rPr>
        <w:t>Netherlands</w:t>
      </w:r>
      <w:proofErr w:type="spellEnd"/>
      <w:r w:rsidR="00E54968" w:rsidRPr="0066373C">
        <w:rPr>
          <w:lang w:val="fr-FR"/>
        </w:rPr>
        <w:t>,</w:t>
      </w:r>
      <w:r w:rsidRPr="0066373C">
        <w:rPr>
          <w:lang w:val="fr-FR"/>
        </w:rPr>
        <w:t xml:space="preserve"> </w:t>
      </w:r>
      <w:r w:rsidR="00E54968" w:rsidRPr="0066373C">
        <w:rPr>
          <w:lang w:val="fr-FR"/>
        </w:rPr>
        <w:t xml:space="preserve">(CCPR/C/29/D/182/1984), para. </w:t>
      </w:r>
      <w:r w:rsidR="00E54968">
        <w:rPr>
          <w:lang w:val="en-US"/>
        </w:rPr>
        <w:t xml:space="preserve">13; </w:t>
      </w:r>
      <w:r w:rsidR="00E54968" w:rsidRPr="00F44E14">
        <w:rPr>
          <w:i/>
          <w:lang w:val="en-US"/>
        </w:rPr>
        <w:t>O’Neill and Quinn v. Ireland</w:t>
      </w:r>
      <w:r w:rsidR="00E54968">
        <w:rPr>
          <w:lang w:val="en-US"/>
        </w:rPr>
        <w:t xml:space="preserve"> (CCPR/C/87/D/1314/2004), para. 8.3 </w:t>
      </w:r>
      <w:proofErr w:type="gramStart"/>
      <w:r w:rsidR="00E54968">
        <w:rPr>
          <w:lang w:val="en-US"/>
        </w:rPr>
        <w:t>and</w:t>
      </w:r>
      <w:proofErr w:type="gramEnd"/>
      <w:r w:rsidR="00E54968">
        <w:rPr>
          <w:lang w:val="en-US"/>
        </w:rPr>
        <w:t xml:space="preserve"> </w:t>
      </w:r>
      <w:r w:rsidR="00E54968" w:rsidRPr="00994039">
        <w:rPr>
          <w:i/>
          <w:lang w:val="en-US"/>
        </w:rPr>
        <w:t>Toussaint v. Canada</w:t>
      </w:r>
      <w:r w:rsidR="00E54968">
        <w:rPr>
          <w:lang w:val="en-US"/>
        </w:rPr>
        <w:t xml:space="preserve"> (CCPR/C/123/D/2348/2014), para. 11.7</w:t>
      </w:r>
      <w:r w:rsidR="00DA1505">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0BA9B7" w14:textId="7246249F" w:rsidR="00E54968" w:rsidRDefault="009654AB" w:rsidP="00506B2C">
    <w:pPr>
      <w:pStyle w:val="Header"/>
    </w:pPr>
    <w:r w:rsidRPr="009654AB">
      <w:t>Advance unedited version</w:t>
    </w:r>
    <w:r>
      <w:t xml:space="preserve"> </w:t>
    </w:r>
    <w:r w:rsidR="00E54968">
      <w:t>CCPR/C/126/D/2454/2014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4180FD" w14:textId="07F7E92B" w:rsidR="00E54968" w:rsidRPr="00FA222B" w:rsidRDefault="009654AB" w:rsidP="00506B2C">
    <w:pPr>
      <w:pStyle w:val="Header"/>
      <w:jc w:val="right"/>
    </w:pPr>
    <w:r w:rsidRPr="009654AB">
      <w:t>Advance unedited version</w:t>
    </w:r>
    <w:r>
      <w:t xml:space="preserve"> </w:t>
    </w:r>
    <w:r w:rsidR="00E54968">
      <w:t>CCPR/C/126/D/2454/2014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B50DAB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6C251FC"/>
    <w:multiLevelType w:val="hybridMultilevel"/>
    <w:tmpl w:val="5F2A47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25B184A"/>
    <w:multiLevelType w:val="multilevel"/>
    <w:tmpl w:val="0F045DDE"/>
    <w:lvl w:ilvl="0">
      <w:start w:val="2"/>
      <w:numFmt w:val="decimal"/>
      <w:lvlText w:val="%1"/>
      <w:lvlJc w:val="left"/>
      <w:pPr>
        <w:ind w:left="360" w:hanging="360"/>
      </w:pPr>
      <w:rPr>
        <w:rFonts w:hint="default"/>
      </w:rPr>
    </w:lvl>
    <w:lvl w:ilvl="1">
      <w:start w:val="5"/>
      <w:numFmt w:val="decimal"/>
      <w:lvlText w:val="%1.%2"/>
      <w:lvlJc w:val="left"/>
      <w:pPr>
        <w:ind w:left="1495"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4" w15:restartNumberingAfterBreak="0">
    <w:nsid w:val="36907AFA"/>
    <w:multiLevelType w:val="hybridMultilevel"/>
    <w:tmpl w:val="990E4A9E"/>
    <w:lvl w:ilvl="0" w:tplc="7CF2E20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16336D7"/>
    <w:multiLevelType w:val="multilevel"/>
    <w:tmpl w:val="05387AD4"/>
    <w:lvl w:ilvl="0">
      <w:start w:val="1"/>
      <w:numFmt w:val="decimal"/>
      <w:lvlText w:val="%1"/>
      <w:lvlJc w:val="left"/>
      <w:pPr>
        <w:ind w:left="555" w:hanging="555"/>
      </w:pPr>
      <w:rPr>
        <w:rFonts w:hint="default"/>
      </w:rPr>
    </w:lvl>
    <w:lvl w:ilvl="1">
      <w:start w:val="1"/>
      <w:numFmt w:val="decimal"/>
      <w:lvlText w:val="%1.%2"/>
      <w:lvlJc w:val="left"/>
      <w:pPr>
        <w:ind w:left="1689" w:hanging="555"/>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6" w15:restartNumberingAfterBreak="0">
    <w:nsid w:val="49AB66F5"/>
    <w:multiLevelType w:val="multilevel"/>
    <w:tmpl w:val="54FA7AD0"/>
    <w:lvl w:ilvl="0">
      <w:start w:val="1"/>
      <w:numFmt w:val="decimal"/>
      <w:lvlText w:val="%1"/>
      <w:lvlJc w:val="left"/>
      <w:pPr>
        <w:ind w:left="555" w:hanging="555"/>
      </w:pPr>
      <w:rPr>
        <w:rFonts w:hint="default"/>
      </w:rPr>
    </w:lvl>
    <w:lvl w:ilvl="1">
      <w:start w:val="1"/>
      <w:numFmt w:val="decimal"/>
      <w:lvlText w:val="%1.%2"/>
      <w:lvlJc w:val="left"/>
      <w:pPr>
        <w:ind w:left="1689" w:hanging="555"/>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7" w15:restartNumberingAfterBreak="0">
    <w:nsid w:val="4BDB4B59"/>
    <w:multiLevelType w:val="multilevel"/>
    <w:tmpl w:val="C768577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55DC0EDC"/>
    <w:multiLevelType w:val="multilevel"/>
    <w:tmpl w:val="701C5460"/>
    <w:lvl w:ilvl="0">
      <w:start w:val="1"/>
      <w:numFmt w:val="decimal"/>
      <w:lvlText w:val="%1"/>
      <w:lvlJc w:val="left"/>
      <w:pPr>
        <w:ind w:left="555" w:hanging="555"/>
      </w:pPr>
      <w:rPr>
        <w:rFonts w:hint="default"/>
      </w:rPr>
    </w:lvl>
    <w:lvl w:ilvl="1">
      <w:start w:val="1"/>
      <w:numFmt w:val="decimal"/>
      <w:lvlText w:val="%1.%2"/>
      <w:lvlJc w:val="left"/>
      <w:pPr>
        <w:ind w:left="1973" w:hanging="555"/>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9" w15:restartNumberingAfterBreak="0">
    <w:nsid w:val="56C913BD"/>
    <w:multiLevelType w:val="multilevel"/>
    <w:tmpl w:val="B8041F34"/>
    <w:lvl w:ilvl="0">
      <w:start w:val="1"/>
      <w:numFmt w:val="decimal"/>
      <w:lvlText w:val="%1"/>
      <w:lvlJc w:val="left"/>
      <w:pPr>
        <w:ind w:left="555" w:hanging="555"/>
      </w:pPr>
      <w:rPr>
        <w:rFonts w:hint="default"/>
      </w:rPr>
    </w:lvl>
    <w:lvl w:ilvl="1">
      <w:start w:val="1"/>
      <w:numFmt w:val="decimal"/>
      <w:lvlText w:val="%1.%2"/>
      <w:lvlJc w:val="left"/>
      <w:pPr>
        <w:ind w:left="1695" w:hanging="555"/>
      </w:pPr>
      <w:rPr>
        <w:rFonts w:hint="default"/>
      </w:rPr>
    </w:lvl>
    <w:lvl w:ilvl="2">
      <w:start w:val="1"/>
      <w:numFmt w:val="decimal"/>
      <w:lvlText w:val="%1.%2.%3"/>
      <w:lvlJc w:val="left"/>
      <w:pPr>
        <w:ind w:left="3000" w:hanging="720"/>
      </w:pPr>
      <w:rPr>
        <w:rFonts w:hint="default"/>
      </w:rPr>
    </w:lvl>
    <w:lvl w:ilvl="3">
      <w:start w:val="1"/>
      <w:numFmt w:val="decimal"/>
      <w:lvlText w:val="%1.%2.%3.%4"/>
      <w:lvlJc w:val="left"/>
      <w:pPr>
        <w:ind w:left="4140" w:hanging="720"/>
      </w:pPr>
      <w:rPr>
        <w:rFonts w:hint="default"/>
      </w:rPr>
    </w:lvl>
    <w:lvl w:ilvl="4">
      <w:start w:val="1"/>
      <w:numFmt w:val="decimal"/>
      <w:lvlText w:val="%1.%2.%3.%4.%5"/>
      <w:lvlJc w:val="left"/>
      <w:pPr>
        <w:ind w:left="5280" w:hanging="720"/>
      </w:pPr>
      <w:rPr>
        <w:rFonts w:hint="default"/>
      </w:rPr>
    </w:lvl>
    <w:lvl w:ilvl="5">
      <w:start w:val="1"/>
      <w:numFmt w:val="decimal"/>
      <w:lvlText w:val="%1.%2.%3.%4.%5.%6"/>
      <w:lvlJc w:val="left"/>
      <w:pPr>
        <w:ind w:left="6780" w:hanging="1080"/>
      </w:pPr>
      <w:rPr>
        <w:rFonts w:hint="default"/>
      </w:rPr>
    </w:lvl>
    <w:lvl w:ilvl="6">
      <w:start w:val="1"/>
      <w:numFmt w:val="decimal"/>
      <w:lvlText w:val="%1.%2.%3.%4.%5.%6.%7"/>
      <w:lvlJc w:val="left"/>
      <w:pPr>
        <w:ind w:left="7920" w:hanging="1080"/>
      </w:pPr>
      <w:rPr>
        <w:rFonts w:hint="default"/>
      </w:rPr>
    </w:lvl>
    <w:lvl w:ilvl="7">
      <w:start w:val="1"/>
      <w:numFmt w:val="decimal"/>
      <w:lvlText w:val="%1.%2.%3.%4.%5.%6.%7.%8"/>
      <w:lvlJc w:val="left"/>
      <w:pPr>
        <w:ind w:left="9420" w:hanging="1440"/>
      </w:pPr>
      <w:rPr>
        <w:rFonts w:hint="default"/>
      </w:rPr>
    </w:lvl>
    <w:lvl w:ilvl="8">
      <w:start w:val="1"/>
      <w:numFmt w:val="decimal"/>
      <w:lvlText w:val="%1.%2.%3.%4.%5.%6.%7.%8.%9"/>
      <w:lvlJc w:val="left"/>
      <w:pPr>
        <w:ind w:left="10560" w:hanging="1440"/>
      </w:pPr>
      <w:rPr>
        <w:rFonts w:hint="default"/>
      </w:rPr>
    </w:lvl>
  </w:abstractNum>
  <w:abstractNum w:abstractNumId="10" w15:restartNumberingAfterBreak="0">
    <w:nsid w:val="58B26BDF"/>
    <w:multiLevelType w:val="multilevel"/>
    <w:tmpl w:val="54FA7AD0"/>
    <w:lvl w:ilvl="0">
      <w:start w:val="1"/>
      <w:numFmt w:val="decimal"/>
      <w:lvlText w:val="%1"/>
      <w:lvlJc w:val="left"/>
      <w:pPr>
        <w:ind w:left="555" w:hanging="555"/>
      </w:pPr>
      <w:rPr>
        <w:rFonts w:hint="default"/>
      </w:rPr>
    </w:lvl>
    <w:lvl w:ilvl="1">
      <w:start w:val="1"/>
      <w:numFmt w:val="decimal"/>
      <w:lvlText w:val="%1.%2"/>
      <w:lvlJc w:val="left"/>
      <w:pPr>
        <w:ind w:left="1689" w:hanging="555"/>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11" w15:restartNumberingAfterBreak="0">
    <w:nsid w:val="62A46B7D"/>
    <w:multiLevelType w:val="multilevel"/>
    <w:tmpl w:val="B6207718"/>
    <w:lvl w:ilvl="0">
      <w:start w:val="1"/>
      <w:numFmt w:val="decimal"/>
      <w:lvlText w:val="%1"/>
      <w:lvlJc w:val="left"/>
      <w:pPr>
        <w:ind w:left="560" w:hanging="560"/>
      </w:pPr>
      <w:rPr>
        <w:rFonts w:hint="default"/>
      </w:rPr>
    </w:lvl>
    <w:lvl w:ilvl="1">
      <w:start w:val="1"/>
      <w:numFmt w:val="decimal"/>
      <w:lvlText w:val="%1.%2"/>
      <w:lvlJc w:val="left"/>
      <w:pPr>
        <w:ind w:left="1694" w:hanging="5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12"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CF757F6"/>
    <w:multiLevelType w:val="multilevel"/>
    <w:tmpl w:val="8B5E2A5C"/>
    <w:lvl w:ilvl="0">
      <w:start w:val="2"/>
      <w:numFmt w:val="decimal"/>
      <w:lvlText w:val="%1"/>
      <w:lvlJc w:val="left"/>
      <w:pPr>
        <w:ind w:left="360" w:hanging="360"/>
      </w:pPr>
      <w:rPr>
        <w:rFonts w:hint="default"/>
      </w:rPr>
    </w:lvl>
    <w:lvl w:ilvl="1">
      <w:start w:val="4"/>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num w:numId="1">
    <w:abstractNumId w:val="1"/>
  </w:num>
  <w:num w:numId="2">
    <w:abstractNumId w:val="12"/>
  </w:num>
  <w:num w:numId="3">
    <w:abstractNumId w:val="0"/>
  </w:num>
  <w:num w:numId="4">
    <w:abstractNumId w:val="2"/>
  </w:num>
  <w:num w:numId="5">
    <w:abstractNumId w:val="10"/>
  </w:num>
  <w:num w:numId="6">
    <w:abstractNumId w:val="6"/>
  </w:num>
  <w:num w:numId="7">
    <w:abstractNumId w:val="11"/>
  </w:num>
  <w:num w:numId="8">
    <w:abstractNumId w:val="7"/>
  </w:num>
  <w:num w:numId="9">
    <w:abstractNumId w:val="13"/>
  </w:num>
  <w:num w:numId="10">
    <w:abstractNumId w:val="3"/>
  </w:num>
  <w:num w:numId="11">
    <w:abstractNumId w:val="4"/>
  </w:num>
  <w:num w:numId="12">
    <w:abstractNumId w:val="8"/>
  </w:num>
  <w:num w:numId="13">
    <w:abstractNumId w:val="9"/>
  </w:num>
  <w:num w:numId="14">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bordersDoNotSurroundHeader/>
  <w:bordersDoNotSurroundFooter/>
  <w:activeWritingStyle w:appName="MSWord" w:lang="en-GB" w:vendorID="64" w:dllVersion="5" w:nlCheck="1" w:checkStyle="1"/>
  <w:activeWritingStyle w:appName="MSWord" w:lang="en-GB" w:vendorID="64" w:dllVersion="6" w:nlCheck="1" w:checkStyle="1"/>
  <w:activeWritingStyle w:appName="MSWord" w:lang="en-US" w:vendorID="64" w:dllVersion="6" w:nlCheck="1" w:checkStyle="1"/>
  <w:activeWritingStyle w:appName="MSWord" w:lang="fr-CH" w:vendorID="64" w:dllVersion="6" w:nlCheck="1" w:checkStyle="0"/>
  <w:activeWritingStyle w:appName="MSWord" w:lang="es-ES" w:vendorID="64" w:dllVersion="6" w:nlCheck="1" w:checkStyle="1"/>
  <w:activeWritingStyle w:appName="MSWord" w:lang="en-GB" w:vendorID="64" w:dllVersion="0" w:nlCheck="1" w:checkStyle="0"/>
  <w:activeWritingStyle w:appName="MSWord" w:lang="en-US" w:vendorID="64" w:dllVersion="0" w:nlCheck="1" w:checkStyle="0"/>
  <w:activeWritingStyle w:appName="MSWord" w:lang="fr-CH" w:vendorID="64" w:dllVersion="4096" w:nlCheck="1" w:checkStyle="0"/>
  <w:activeWritingStyle w:appName="MSWord" w:lang="en-GB" w:vendorID="64" w:dllVersion="4096" w:nlCheck="1" w:checkStyle="0"/>
  <w:activeWritingStyle w:appName="MSWord" w:lang="en-US" w:vendorID="64" w:dllVersion="4096" w:nlCheck="1" w:checkStyle="0"/>
  <w:activeWritingStyle w:appName="MSWord" w:lang="fr-CH" w:vendorID="64" w:dllVersion="131078" w:nlCheck="1" w:checkStyle="0"/>
  <w:activeWritingStyle w:appName="MSWord" w:lang="en-GB" w:vendorID="64" w:dllVersion="131078" w:nlCheck="1" w:checkStyle="1"/>
  <w:activeWritingStyle w:appName="MSWord" w:lang="en-US" w:vendorID="64" w:dllVersion="131078" w:nlCheck="1" w:checkStyle="1"/>
  <w:activeWritingStyle w:appName="MSWord" w:lang="es-EC" w:vendorID="64" w:dllVersion="131078" w:nlCheck="1" w:checkStyle="0"/>
  <w:activeWritingStyle w:appName="MSWord" w:lang="es-ES" w:vendorID="64" w:dllVersion="131078" w:nlCheck="1" w:checkStyle="0"/>
  <w:activeWritingStyle w:appName="MSWord" w:lang="fr-FR" w:vendorID="64" w:dllVersion="131078" w:nlCheck="1" w:checkStyle="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8433">
      <v:textbox inset="5.85pt,.7pt,5.85pt,.7pt"/>
    </o:shapedefaults>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222B"/>
    <w:rsid w:val="00000BDC"/>
    <w:rsid w:val="00000F65"/>
    <w:rsid w:val="00001626"/>
    <w:rsid w:val="0000162B"/>
    <w:rsid w:val="00001E09"/>
    <w:rsid w:val="0000352E"/>
    <w:rsid w:val="000035B3"/>
    <w:rsid w:val="000043B2"/>
    <w:rsid w:val="0000507A"/>
    <w:rsid w:val="00006F44"/>
    <w:rsid w:val="00010774"/>
    <w:rsid w:val="00010DF9"/>
    <w:rsid w:val="00011D19"/>
    <w:rsid w:val="00011EC1"/>
    <w:rsid w:val="0001374E"/>
    <w:rsid w:val="000139FB"/>
    <w:rsid w:val="00013EF9"/>
    <w:rsid w:val="00014107"/>
    <w:rsid w:val="00014BC3"/>
    <w:rsid w:val="000153F7"/>
    <w:rsid w:val="0001542D"/>
    <w:rsid w:val="00015F92"/>
    <w:rsid w:val="00016075"/>
    <w:rsid w:val="00016829"/>
    <w:rsid w:val="00016DC1"/>
    <w:rsid w:val="00017735"/>
    <w:rsid w:val="00017909"/>
    <w:rsid w:val="00017DED"/>
    <w:rsid w:val="0002028A"/>
    <w:rsid w:val="00020C2D"/>
    <w:rsid w:val="00020CC9"/>
    <w:rsid w:val="000214E0"/>
    <w:rsid w:val="00021715"/>
    <w:rsid w:val="00024490"/>
    <w:rsid w:val="00024855"/>
    <w:rsid w:val="000249D8"/>
    <w:rsid w:val="00024C4A"/>
    <w:rsid w:val="0002548C"/>
    <w:rsid w:val="00026CB9"/>
    <w:rsid w:val="000272B3"/>
    <w:rsid w:val="000277F6"/>
    <w:rsid w:val="0003071D"/>
    <w:rsid w:val="00030EE8"/>
    <w:rsid w:val="00031352"/>
    <w:rsid w:val="00031D98"/>
    <w:rsid w:val="00032594"/>
    <w:rsid w:val="000328FD"/>
    <w:rsid w:val="00032D0D"/>
    <w:rsid w:val="0003412D"/>
    <w:rsid w:val="00034228"/>
    <w:rsid w:val="000342EB"/>
    <w:rsid w:val="00034624"/>
    <w:rsid w:val="00034D27"/>
    <w:rsid w:val="0003574B"/>
    <w:rsid w:val="00036205"/>
    <w:rsid w:val="00036BBC"/>
    <w:rsid w:val="000375EE"/>
    <w:rsid w:val="00037640"/>
    <w:rsid w:val="0003768A"/>
    <w:rsid w:val="00037DC6"/>
    <w:rsid w:val="00042141"/>
    <w:rsid w:val="00043073"/>
    <w:rsid w:val="00043D67"/>
    <w:rsid w:val="00044784"/>
    <w:rsid w:val="00044935"/>
    <w:rsid w:val="0004510A"/>
    <w:rsid w:val="0004592C"/>
    <w:rsid w:val="00046296"/>
    <w:rsid w:val="00046398"/>
    <w:rsid w:val="000463E9"/>
    <w:rsid w:val="00047AEE"/>
    <w:rsid w:val="00047E16"/>
    <w:rsid w:val="00047EE5"/>
    <w:rsid w:val="00050F6B"/>
    <w:rsid w:val="000523F6"/>
    <w:rsid w:val="00053073"/>
    <w:rsid w:val="00053730"/>
    <w:rsid w:val="00053BD0"/>
    <w:rsid w:val="00054A53"/>
    <w:rsid w:val="00054BEC"/>
    <w:rsid w:val="00054F8D"/>
    <w:rsid w:val="00055E37"/>
    <w:rsid w:val="0005679F"/>
    <w:rsid w:val="00056F22"/>
    <w:rsid w:val="00057C28"/>
    <w:rsid w:val="00057E97"/>
    <w:rsid w:val="000606C3"/>
    <w:rsid w:val="0006071C"/>
    <w:rsid w:val="00060C3A"/>
    <w:rsid w:val="00061DE4"/>
    <w:rsid w:val="00063029"/>
    <w:rsid w:val="00063681"/>
    <w:rsid w:val="0006373F"/>
    <w:rsid w:val="00063870"/>
    <w:rsid w:val="00066A9E"/>
    <w:rsid w:val="00066D5B"/>
    <w:rsid w:val="00066DC9"/>
    <w:rsid w:val="00066E1F"/>
    <w:rsid w:val="00066FBC"/>
    <w:rsid w:val="00067206"/>
    <w:rsid w:val="00067395"/>
    <w:rsid w:val="000674BD"/>
    <w:rsid w:val="000676B4"/>
    <w:rsid w:val="00067CD0"/>
    <w:rsid w:val="0007095A"/>
    <w:rsid w:val="000725BA"/>
    <w:rsid w:val="0007296C"/>
    <w:rsid w:val="00072C8C"/>
    <w:rsid w:val="00072D48"/>
    <w:rsid w:val="000733B5"/>
    <w:rsid w:val="000734DD"/>
    <w:rsid w:val="00073A4A"/>
    <w:rsid w:val="000741F4"/>
    <w:rsid w:val="000745F3"/>
    <w:rsid w:val="00074883"/>
    <w:rsid w:val="00074E4B"/>
    <w:rsid w:val="0007569B"/>
    <w:rsid w:val="00076B7E"/>
    <w:rsid w:val="0007797F"/>
    <w:rsid w:val="00077C5E"/>
    <w:rsid w:val="000815C8"/>
    <w:rsid w:val="00081815"/>
    <w:rsid w:val="0008420D"/>
    <w:rsid w:val="00084F0C"/>
    <w:rsid w:val="0008728B"/>
    <w:rsid w:val="00087EBF"/>
    <w:rsid w:val="000909E3"/>
    <w:rsid w:val="00090AA3"/>
    <w:rsid w:val="00090E3B"/>
    <w:rsid w:val="000919EF"/>
    <w:rsid w:val="00092D27"/>
    <w:rsid w:val="000931C0"/>
    <w:rsid w:val="00094460"/>
    <w:rsid w:val="00095349"/>
    <w:rsid w:val="00095375"/>
    <w:rsid w:val="000955F2"/>
    <w:rsid w:val="00095A07"/>
    <w:rsid w:val="00096C39"/>
    <w:rsid w:val="00097094"/>
    <w:rsid w:val="000971FC"/>
    <w:rsid w:val="0009760C"/>
    <w:rsid w:val="000A045C"/>
    <w:rsid w:val="000A0BF4"/>
    <w:rsid w:val="000A0E5E"/>
    <w:rsid w:val="000A168E"/>
    <w:rsid w:val="000A1A9B"/>
    <w:rsid w:val="000A2E25"/>
    <w:rsid w:val="000A364D"/>
    <w:rsid w:val="000A3693"/>
    <w:rsid w:val="000A3F47"/>
    <w:rsid w:val="000A4734"/>
    <w:rsid w:val="000A4A64"/>
    <w:rsid w:val="000A5164"/>
    <w:rsid w:val="000A6549"/>
    <w:rsid w:val="000A7368"/>
    <w:rsid w:val="000A7665"/>
    <w:rsid w:val="000A78FD"/>
    <w:rsid w:val="000B1534"/>
    <w:rsid w:val="000B175B"/>
    <w:rsid w:val="000B2113"/>
    <w:rsid w:val="000B3238"/>
    <w:rsid w:val="000B3A0F"/>
    <w:rsid w:val="000B422B"/>
    <w:rsid w:val="000B46C6"/>
    <w:rsid w:val="000B4A76"/>
    <w:rsid w:val="000B4EF7"/>
    <w:rsid w:val="000B5BFF"/>
    <w:rsid w:val="000B6857"/>
    <w:rsid w:val="000B70E0"/>
    <w:rsid w:val="000B7145"/>
    <w:rsid w:val="000B79EB"/>
    <w:rsid w:val="000B7B7D"/>
    <w:rsid w:val="000C01F5"/>
    <w:rsid w:val="000C03A9"/>
    <w:rsid w:val="000C084A"/>
    <w:rsid w:val="000C1681"/>
    <w:rsid w:val="000C1689"/>
    <w:rsid w:val="000C22C8"/>
    <w:rsid w:val="000C2C03"/>
    <w:rsid w:val="000C2D2E"/>
    <w:rsid w:val="000C368A"/>
    <w:rsid w:val="000C3821"/>
    <w:rsid w:val="000C425C"/>
    <w:rsid w:val="000C4299"/>
    <w:rsid w:val="000C4524"/>
    <w:rsid w:val="000C4ACF"/>
    <w:rsid w:val="000C4B5D"/>
    <w:rsid w:val="000C4E05"/>
    <w:rsid w:val="000C4ED1"/>
    <w:rsid w:val="000C67BE"/>
    <w:rsid w:val="000C6CCA"/>
    <w:rsid w:val="000C7903"/>
    <w:rsid w:val="000C7EB8"/>
    <w:rsid w:val="000C7EDC"/>
    <w:rsid w:val="000D1381"/>
    <w:rsid w:val="000D1C68"/>
    <w:rsid w:val="000D24E9"/>
    <w:rsid w:val="000D2649"/>
    <w:rsid w:val="000D3503"/>
    <w:rsid w:val="000D542E"/>
    <w:rsid w:val="000D5A21"/>
    <w:rsid w:val="000D684F"/>
    <w:rsid w:val="000D6CB4"/>
    <w:rsid w:val="000D6D4E"/>
    <w:rsid w:val="000E0415"/>
    <w:rsid w:val="000E0EE6"/>
    <w:rsid w:val="000E16E7"/>
    <w:rsid w:val="000E19CF"/>
    <w:rsid w:val="000E207E"/>
    <w:rsid w:val="000E3379"/>
    <w:rsid w:val="000E4724"/>
    <w:rsid w:val="000E4BF6"/>
    <w:rsid w:val="000E5144"/>
    <w:rsid w:val="000E5CDB"/>
    <w:rsid w:val="000E6A57"/>
    <w:rsid w:val="000E75E9"/>
    <w:rsid w:val="000E79CF"/>
    <w:rsid w:val="000E7FE7"/>
    <w:rsid w:val="000F0087"/>
    <w:rsid w:val="000F0685"/>
    <w:rsid w:val="000F0F45"/>
    <w:rsid w:val="000F2729"/>
    <w:rsid w:val="000F307A"/>
    <w:rsid w:val="000F330F"/>
    <w:rsid w:val="000F3672"/>
    <w:rsid w:val="000F4A19"/>
    <w:rsid w:val="000F5442"/>
    <w:rsid w:val="000F77B5"/>
    <w:rsid w:val="000F7A71"/>
    <w:rsid w:val="001002BF"/>
    <w:rsid w:val="00100DAC"/>
    <w:rsid w:val="001011B5"/>
    <w:rsid w:val="00101867"/>
    <w:rsid w:val="00101D3D"/>
    <w:rsid w:val="00101EF5"/>
    <w:rsid w:val="0010264E"/>
    <w:rsid w:val="00102D06"/>
    <w:rsid w:val="00102E46"/>
    <w:rsid w:val="0010324D"/>
    <w:rsid w:val="00104A21"/>
    <w:rsid w:val="001052CF"/>
    <w:rsid w:val="00105EE0"/>
    <w:rsid w:val="00106A6F"/>
    <w:rsid w:val="00106DE9"/>
    <w:rsid w:val="00107400"/>
    <w:rsid w:val="001103AA"/>
    <w:rsid w:val="00110A64"/>
    <w:rsid w:val="001113A6"/>
    <w:rsid w:val="0011244A"/>
    <w:rsid w:val="00112B50"/>
    <w:rsid w:val="001134D2"/>
    <w:rsid w:val="00113D5A"/>
    <w:rsid w:val="00114DE2"/>
    <w:rsid w:val="0011512D"/>
    <w:rsid w:val="001151FE"/>
    <w:rsid w:val="00115243"/>
    <w:rsid w:val="0011548D"/>
    <w:rsid w:val="00116051"/>
    <w:rsid w:val="0011744C"/>
    <w:rsid w:val="00120408"/>
    <w:rsid w:val="001210FD"/>
    <w:rsid w:val="00121388"/>
    <w:rsid w:val="00122146"/>
    <w:rsid w:val="001230C5"/>
    <w:rsid w:val="0012379A"/>
    <w:rsid w:val="001243C7"/>
    <w:rsid w:val="00124F8C"/>
    <w:rsid w:val="00125168"/>
    <w:rsid w:val="00125FAA"/>
    <w:rsid w:val="0012760F"/>
    <w:rsid w:val="00127743"/>
    <w:rsid w:val="00127836"/>
    <w:rsid w:val="00130AB2"/>
    <w:rsid w:val="00130E3E"/>
    <w:rsid w:val="0013232C"/>
    <w:rsid w:val="00132E0A"/>
    <w:rsid w:val="00133D46"/>
    <w:rsid w:val="0013498C"/>
    <w:rsid w:val="0013510D"/>
    <w:rsid w:val="001351E0"/>
    <w:rsid w:val="00135549"/>
    <w:rsid w:val="00136C59"/>
    <w:rsid w:val="00136DA6"/>
    <w:rsid w:val="00136F68"/>
    <w:rsid w:val="00136FEE"/>
    <w:rsid w:val="00137410"/>
    <w:rsid w:val="00137514"/>
    <w:rsid w:val="001378BC"/>
    <w:rsid w:val="001406C4"/>
    <w:rsid w:val="001410DE"/>
    <w:rsid w:val="001416A8"/>
    <w:rsid w:val="00141836"/>
    <w:rsid w:val="0014225C"/>
    <w:rsid w:val="00142B06"/>
    <w:rsid w:val="00143BC3"/>
    <w:rsid w:val="00143BE5"/>
    <w:rsid w:val="001455F5"/>
    <w:rsid w:val="0014609E"/>
    <w:rsid w:val="00146519"/>
    <w:rsid w:val="001466AC"/>
    <w:rsid w:val="00146BC0"/>
    <w:rsid w:val="0014758E"/>
    <w:rsid w:val="00150AC7"/>
    <w:rsid w:val="001514E4"/>
    <w:rsid w:val="00151525"/>
    <w:rsid w:val="0015213C"/>
    <w:rsid w:val="0015311A"/>
    <w:rsid w:val="00153A9D"/>
    <w:rsid w:val="00154277"/>
    <w:rsid w:val="00154ACB"/>
    <w:rsid w:val="001552D9"/>
    <w:rsid w:val="00155ABF"/>
    <w:rsid w:val="00156941"/>
    <w:rsid w:val="00156D06"/>
    <w:rsid w:val="00156E2F"/>
    <w:rsid w:val="0015715D"/>
    <w:rsid w:val="0015766D"/>
    <w:rsid w:val="00157DB4"/>
    <w:rsid w:val="0016119B"/>
    <w:rsid w:val="0016204F"/>
    <w:rsid w:val="00163091"/>
    <w:rsid w:val="00165F3A"/>
    <w:rsid w:val="00166AA8"/>
    <w:rsid w:val="001718C9"/>
    <w:rsid w:val="001719C8"/>
    <w:rsid w:val="00172881"/>
    <w:rsid w:val="001730F4"/>
    <w:rsid w:val="00175129"/>
    <w:rsid w:val="001764A6"/>
    <w:rsid w:val="00177B45"/>
    <w:rsid w:val="001801B6"/>
    <w:rsid w:val="001807CF"/>
    <w:rsid w:val="001815AC"/>
    <w:rsid w:val="001816D3"/>
    <w:rsid w:val="001829C4"/>
    <w:rsid w:val="00182C07"/>
    <w:rsid w:val="00182D14"/>
    <w:rsid w:val="001837F0"/>
    <w:rsid w:val="00183968"/>
    <w:rsid w:val="001841FD"/>
    <w:rsid w:val="00184FDB"/>
    <w:rsid w:val="001852A4"/>
    <w:rsid w:val="00185420"/>
    <w:rsid w:val="0018592C"/>
    <w:rsid w:val="00186395"/>
    <w:rsid w:val="00186D5C"/>
    <w:rsid w:val="001906D0"/>
    <w:rsid w:val="00190E4A"/>
    <w:rsid w:val="00194538"/>
    <w:rsid w:val="0019475B"/>
    <w:rsid w:val="00194EA2"/>
    <w:rsid w:val="001950A5"/>
    <w:rsid w:val="00195440"/>
    <w:rsid w:val="001954C2"/>
    <w:rsid w:val="00195602"/>
    <w:rsid w:val="001958F3"/>
    <w:rsid w:val="001962CB"/>
    <w:rsid w:val="0019638E"/>
    <w:rsid w:val="00196CCB"/>
    <w:rsid w:val="00196FB7"/>
    <w:rsid w:val="00197893"/>
    <w:rsid w:val="001A07E4"/>
    <w:rsid w:val="001A09B3"/>
    <w:rsid w:val="001A10D1"/>
    <w:rsid w:val="001A1672"/>
    <w:rsid w:val="001A1EE2"/>
    <w:rsid w:val="001A3C9F"/>
    <w:rsid w:val="001A43DA"/>
    <w:rsid w:val="001A4BB4"/>
    <w:rsid w:val="001A4EEC"/>
    <w:rsid w:val="001A50E6"/>
    <w:rsid w:val="001A5402"/>
    <w:rsid w:val="001A55F5"/>
    <w:rsid w:val="001A6686"/>
    <w:rsid w:val="001A7231"/>
    <w:rsid w:val="001A7F36"/>
    <w:rsid w:val="001B05AC"/>
    <w:rsid w:val="001B0A4D"/>
    <w:rsid w:val="001B1268"/>
    <w:rsid w:val="001B196B"/>
    <w:rsid w:val="001B2E68"/>
    <w:rsid w:val="001B3A0C"/>
    <w:rsid w:val="001B4373"/>
    <w:rsid w:val="001B4B04"/>
    <w:rsid w:val="001B4E97"/>
    <w:rsid w:val="001B511C"/>
    <w:rsid w:val="001B52DC"/>
    <w:rsid w:val="001B53FD"/>
    <w:rsid w:val="001B55AE"/>
    <w:rsid w:val="001B607E"/>
    <w:rsid w:val="001B6ABD"/>
    <w:rsid w:val="001B76F3"/>
    <w:rsid w:val="001C0099"/>
    <w:rsid w:val="001C04B6"/>
    <w:rsid w:val="001C1BD5"/>
    <w:rsid w:val="001C306D"/>
    <w:rsid w:val="001C40B8"/>
    <w:rsid w:val="001C4E14"/>
    <w:rsid w:val="001C5088"/>
    <w:rsid w:val="001C5523"/>
    <w:rsid w:val="001C5993"/>
    <w:rsid w:val="001C59BD"/>
    <w:rsid w:val="001C6663"/>
    <w:rsid w:val="001C67B2"/>
    <w:rsid w:val="001C763E"/>
    <w:rsid w:val="001C7895"/>
    <w:rsid w:val="001C7EBF"/>
    <w:rsid w:val="001D08A2"/>
    <w:rsid w:val="001D0901"/>
    <w:rsid w:val="001D0C8C"/>
    <w:rsid w:val="001D1C0D"/>
    <w:rsid w:val="001D24DA"/>
    <w:rsid w:val="001D2505"/>
    <w:rsid w:val="001D26DF"/>
    <w:rsid w:val="001D289E"/>
    <w:rsid w:val="001D2B80"/>
    <w:rsid w:val="001D2BA7"/>
    <w:rsid w:val="001D39E1"/>
    <w:rsid w:val="001D3A03"/>
    <w:rsid w:val="001D419A"/>
    <w:rsid w:val="001D47E1"/>
    <w:rsid w:val="001D4A09"/>
    <w:rsid w:val="001D4A4F"/>
    <w:rsid w:val="001D4D0A"/>
    <w:rsid w:val="001D51A0"/>
    <w:rsid w:val="001D5345"/>
    <w:rsid w:val="001D5BFA"/>
    <w:rsid w:val="001D5FF2"/>
    <w:rsid w:val="001D6116"/>
    <w:rsid w:val="001D65ED"/>
    <w:rsid w:val="001D74C3"/>
    <w:rsid w:val="001D764C"/>
    <w:rsid w:val="001D764D"/>
    <w:rsid w:val="001E00F4"/>
    <w:rsid w:val="001E04E0"/>
    <w:rsid w:val="001E0998"/>
    <w:rsid w:val="001E10A7"/>
    <w:rsid w:val="001E1393"/>
    <w:rsid w:val="001E1D62"/>
    <w:rsid w:val="001E2AFE"/>
    <w:rsid w:val="001E3963"/>
    <w:rsid w:val="001E41D5"/>
    <w:rsid w:val="001E4778"/>
    <w:rsid w:val="001E4BEC"/>
    <w:rsid w:val="001E65B7"/>
    <w:rsid w:val="001E6E45"/>
    <w:rsid w:val="001E72FE"/>
    <w:rsid w:val="001F0434"/>
    <w:rsid w:val="001F07D1"/>
    <w:rsid w:val="001F0C1D"/>
    <w:rsid w:val="001F1B47"/>
    <w:rsid w:val="001F23F2"/>
    <w:rsid w:val="001F350F"/>
    <w:rsid w:val="001F3890"/>
    <w:rsid w:val="001F4300"/>
    <w:rsid w:val="001F5834"/>
    <w:rsid w:val="001F6DEA"/>
    <w:rsid w:val="0020041C"/>
    <w:rsid w:val="002006DD"/>
    <w:rsid w:val="00201417"/>
    <w:rsid w:val="00201E87"/>
    <w:rsid w:val="0020208E"/>
    <w:rsid w:val="00202550"/>
    <w:rsid w:val="00202A91"/>
    <w:rsid w:val="00202DA8"/>
    <w:rsid w:val="00202F5A"/>
    <w:rsid w:val="00203AD8"/>
    <w:rsid w:val="00203EB3"/>
    <w:rsid w:val="00204934"/>
    <w:rsid w:val="00204AEB"/>
    <w:rsid w:val="002068B5"/>
    <w:rsid w:val="00207504"/>
    <w:rsid w:val="0020790D"/>
    <w:rsid w:val="00211E0B"/>
    <w:rsid w:val="002121DC"/>
    <w:rsid w:val="002137D6"/>
    <w:rsid w:val="002143B2"/>
    <w:rsid w:val="002145D7"/>
    <w:rsid w:val="00214651"/>
    <w:rsid w:val="00214E11"/>
    <w:rsid w:val="00215E7A"/>
    <w:rsid w:val="00217314"/>
    <w:rsid w:val="00217740"/>
    <w:rsid w:val="00220C9B"/>
    <w:rsid w:val="00221AEE"/>
    <w:rsid w:val="00221D03"/>
    <w:rsid w:val="00221FB1"/>
    <w:rsid w:val="002220B3"/>
    <w:rsid w:val="002228CF"/>
    <w:rsid w:val="0022425D"/>
    <w:rsid w:val="002245CF"/>
    <w:rsid w:val="0022474A"/>
    <w:rsid w:val="00224FD4"/>
    <w:rsid w:val="00225E0C"/>
    <w:rsid w:val="00226242"/>
    <w:rsid w:val="00226F07"/>
    <w:rsid w:val="00227846"/>
    <w:rsid w:val="00230EBE"/>
    <w:rsid w:val="002312F5"/>
    <w:rsid w:val="0023210C"/>
    <w:rsid w:val="00232DAC"/>
    <w:rsid w:val="00233D1D"/>
    <w:rsid w:val="0023405A"/>
    <w:rsid w:val="00235BBE"/>
    <w:rsid w:val="00237310"/>
    <w:rsid w:val="002374F2"/>
    <w:rsid w:val="00237549"/>
    <w:rsid w:val="00237674"/>
    <w:rsid w:val="00242482"/>
    <w:rsid w:val="002432B0"/>
    <w:rsid w:val="002442D0"/>
    <w:rsid w:val="002447E9"/>
    <w:rsid w:val="002452CA"/>
    <w:rsid w:val="002459AA"/>
    <w:rsid w:val="00245D1A"/>
    <w:rsid w:val="00246066"/>
    <w:rsid w:val="0024730A"/>
    <w:rsid w:val="00247551"/>
    <w:rsid w:val="00250F49"/>
    <w:rsid w:val="002529A3"/>
    <w:rsid w:val="002533E4"/>
    <w:rsid w:val="00253761"/>
    <w:rsid w:val="00254126"/>
    <w:rsid w:val="00254514"/>
    <w:rsid w:val="0025455E"/>
    <w:rsid w:val="00254DE7"/>
    <w:rsid w:val="00255638"/>
    <w:rsid w:val="00256377"/>
    <w:rsid w:val="00256927"/>
    <w:rsid w:val="002571B2"/>
    <w:rsid w:val="0025735F"/>
    <w:rsid w:val="00257486"/>
    <w:rsid w:val="00257502"/>
    <w:rsid w:val="00257DA4"/>
    <w:rsid w:val="00260887"/>
    <w:rsid w:val="002609E8"/>
    <w:rsid w:val="00261535"/>
    <w:rsid w:val="00261A3B"/>
    <w:rsid w:val="00262226"/>
    <w:rsid w:val="002634A2"/>
    <w:rsid w:val="00263CDE"/>
    <w:rsid w:val="0026424D"/>
    <w:rsid w:val="00264461"/>
    <w:rsid w:val="002644E3"/>
    <w:rsid w:val="00265177"/>
    <w:rsid w:val="002657A5"/>
    <w:rsid w:val="00265E20"/>
    <w:rsid w:val="00266492"/>
    <w:rsid w:val="00266DC7"/>
    <w:rsid w:val="00267F5F"/>
    <w:rsid w:val="002706FC"/>
    <w:rsid w:val="0027097B"/>
    <w:rsid w:val="00271792"/>
    <w:rsid w:val="00271E8F"/>
    <w:rsid w:val="00272867"/>
    <w:rsid w:val="00272E2E"/>
    <w:rsid w:val="00273753"/>
    <w:rsid w:val="00273A03"/>
    <w:rsid w:val="002741C2"/>
    <w:rsid w:val="002757D1"/>
    <w:rsid w:val="002757F0"/>
    <w:rsid w:val="00276168"/>
    <w:rsid w:val="00277113"/>
    <w:rsid w:val="0027794E"/>
    <w:rsid w:val="00280AA1"/>
    <w:rsid w:val="00280ADB"/>
    <w:rsid w:val="00280D31"/>
    <w:rsid w:val="00280E52"/>
    <w:rsid w:val="002810CE"/>
    <w:rsid w:val="002839CD"/>
    <w:rsid w:val="002839ED"/>
    <w:rsid w:val="00284D08"/>
    <w:rsid w:val="00285114"/>
    <w:rsid w:val="00285334"/>
    <w:rsid w:val="00286181"/>
    <w:rsid w:val="00286227"/>
    <w:rsid w:val="00286B4D"/>
    <w:rsid w:val="00286D60"/>
    <w:rsid w:val="0028776F"/>
    <w:rsid w:val="00287D47"/>
    <w:rsid w:val="0029044A"/>
    <w:rsid w:val="002918A8"/>
    <w:rsid w:val="002923EA"/>
    <w:rsid w:val="00292F31"/>
    <w:rsid w:val="002930F2"/>
    <w:rsid w:val="0029336A"/>
    <w:rsid w:val="00293CB5"/>
    <w:rsid w:val="00295CE4"/>
    <w:rsid w:val="002974AA"/>
    <w:rsid w:val="002977E5"/>
    <w:rsid w:val="00297F91"/>
    <w:rsid w:val="002A06F8"/>
    <w:rsid w:val="002A07AF"/>
    <w:rsid w:val="002A345B"/>
    <w:rsid w:val="002A3AE6"/>
    <w:rsid w:val="002A3E98"/>
    <w:rsid w:val="002A4673"/>
    <w:rsid w:val="002A4C5A"/>
    <w:rsid w:val="002A4D16"/>
    <w:rsid w:val="002A5ED8"/>
    <w:rsid w:val="002A63A7"/>
    <w:rsid w:val="002A678B"/>
    <w:rsid w:val="002A6B11"/>
    <w:rsid w:val="002A7FFE"/>
    <w:rsid w:val="002B093B"/>
    <w:rsid w:val="002B22D5"/>
    <w:rsid w:val="002B25E7"/>
    <w:rsid w:val="002B2745"/>
    <w:rsid w:val="002B2C41"/>
    <w:rsid w:val="002B413A"/>
    <w:rsid w:val="002B427C"/>
    <w:rsid w:val="002B431A"/>
    <w:rsid w:val="002B60D0"/>
    <w:rsid w:val="002B63FE"/>
    <w:rsid w:val="002B6CD0"/>
    <w:rsid w:val="002B79EA"/>
    <w:rsid w:val="002C1080"/>
    <w:rsid w:val="002C197C"/>
    <w:rsid w:val="002C1B83"/>
    <w:rsid w:val="002C1EDC"/>
    <w:rsid w:val="002C2D06"/>
    <w:rsid w:val="002C3550"/>
    <w:rsid w:val="002C35AA"/>
    <w:rsid w:val="002C3979"/>
    <w:rsid w:val="002C4183"/>
    <w:rsid w:val="002C4214"/>
    <w:rsid w:val="002C4506"/>
    <w:rsid w:val="002C54FB"/>
    <w:rsid w:val="002C5EF9"/>
    <w:rsid w:val="002C5F91"/>
    <w:rsid w:val="002C7285"/>
    <w:rsid w:val="002D0560"/>
    <w:rsid w:val="002D18FC"/>
    <w:rsid w:val="002D1F12"/>
    <w:rsid w:val="002D2827"/>
    <w:rsid w:val="002D2FAF"/>
    <w:rsid w:val="002D307D"/>
    <w:rsid w:val="002D4947"/>
    <w:rsid w:val="002D4DDB"/>
    <w:rsid w:val="002D523B"/>
    <w:rsid w:val="002D52CA"/>
    <w:rsid w:val="002D59B3"/>
    <w:rsid w:val="002E00E1"/>
    <w:rsid w:val="002E06AD"/>
    <w:rsid w:val="002E0B6F"/>
    <w:rsid w:val="002E125F"/>
    <w:rsid w:val="002E1344"/>
    <w:rsid w:val="002E16E2"/>
    <w:rsid w:val="002E1AE2"/>
    <w:rsid w:val="002E44CC"/>
    <w:rsid w:val="002E4D54"/>
    <w:rsid w:val="002E597A"/>
    <w:rsid w:val="002E5C89"/>
    <w:rsid w:val="002E67B8"/>
    <w:rsid w:val="002E73EF"/>
    <w:rsid w:val="002F090C"/>
    <w:rsid w:val="002F175C"/>
    <w:rsid w:val="002F1856"/>
    <w:rsid w:val="002F1F9C"/>
    <w:rsid w:val="002F3AA4"/>
    <w:rsid w:val="002F3ED4"/>
    <w:rsid w:val="002F414C"/>
    <w:rsid w:val="002F41FB"/>
    <w:rsid w:val="002F4AF0"/>
    <w:rsid w:val="002F4D59"/>
    <w:rsid w:val="002F50C7"/>
    <w:rsid w:val="002F5D22"/>
    <w:rsid w:val="002F7009"/>
    <w:rsid w:val="002F7B59"/>
    <w:rsid w:val="002F7B7B"/>
    <w:rsid w:val="002F7DC8"/>
    <w:rsid w:val="002F7F13"/>
    <w:rsid w:val="00300534"/>
    <w:rsid w:val="00301C87"/>
    <w:rsid w:val="00302619"/>
    <w:rsid w:val="00303068"/>
    <w:rsid w:val="00303CA1"/>
    <w:rsid w:val="00304EAA"/>
    <w:rsid w:val="00304F70"/>
    <w:rsid w:val="00305113"/>
    <w:rsid w:val="0030585E"/>
    <w:rsid w:val="003058CF"/>
    <w:rsid w:val="00306F5C"/>
    <w:rsid w:val="003075B4"/>
    <w:rsid w:val="00307880"/>
    <w:rsid w:val="0031198A"/>
    <w:rsid w:val="0031237F"/>
    <w:rsid w:val="00312930"/>
    <w:rsid w:val="003137EC"/>
    <w:rsid w:val="00315AE9"/>
    <w:rsid w:val="0031681A"/>
    <w:rsid w:val="00316B13"/>
    <w:rsid w:val="00317025"/>
    <w:rsid w:val="00320557"/>
    <w:rsid w:val="00320772"/>
    <w:rsid w:val="00321D5A"/>
    <w:rsid w:val="00321DB2"/>
    <w:rsid w:val="0032253F"/>
    <w:rsid w:val="003229D8"/>
    <w:rsid w:val="00322AE3"/>
    <w:rsid w:val="00322D99"/>
    <w:rsid w:val="00323782"/>
    <w:rsid w:val="00324710"/>
    <w:rsid w:val="00324C81"/>
    <w:rsid w:val="00324FCB"/>
    <w:rsid w:val="00325003"/>
    <w:rsid w:val="003251B5"/>
    <w:rsid w:val="003260FA"/>
    <w:rsid w:val="00326A99"/>
    <w:rsid w:val="00326F99"/>
    <w:rsid w:val="00327FB8"/>
    <w:rsid w:val="00330B5B"/>
    <w:rsid w:val="00331BCF"/>
    <w:rsid w:val="0033251B"/>
    <w:rsid w:val="0033267F"/>
    <w:rsid w:val="00332A7C"/>
    <w:rsid w:val="00332B6B"/>
    <w:rsid w:val="00332C6C"/>
    <w:rsid w:val="00333149"/>
    <w:rsid w:val="00333A3D"/>
    <w:rsid w:val="00333FC8"/>
    <w:rsid w:val="00334639"/>
    <w:rsid w:val="00334787"/>
    <w:rsid w:val="00334C86"/>
    <w:rsid w:val="00335670"/>
    <w:rsid w:val="00335E2B"/>
    <w:rsid w:val="00336332"/>
    <w:rsid w:val="00337D48"/>
    <w:rsid w:val="00337DB5"/>
    <w:rsid w:val="00340AEC"/>
    <w:rsid w:val="0034194D"/>
    <w:rsid w:val="003419F1"/>
    <w:rsid w:val="00341A2E"/>
    <w:rsid w:val="00341CC4"/>
    <w:rsid w:val="00342584"/>
    <w:rsid w:val="0034269D"/>
    <w:rsid w:val="0034353D"/>
    <w:rsid w:val="00343B6C"/>
    <w:rsid w:val="00343F7C"/>
    <w:rsid w:val="003449E4"/>
    <w:rsid w:val="00344D06"/>
    <w:rsid w:val="00345FAB"/>
    <w:rsid w:val="00347120"/>
    <w:rsid w:val="00347139"/>
    <w:rsid w:val="0035041D"/>
    <w:rsid w:val="003505EA"/>
    <w:rsid w:val="003511D0"/>
    <w:rsid w:val="00352709"/>
    <w:rsid w:val="00352895"/>
    <w:rsid w:val="00352BAB"/>
    <w:rsid w:val="003534D6"/>
    <w:rsid w:val="00353549"/>
    <w:rsid w:val="00353BBF"/>
    <w:rsid w:val="00353F2B"/>
    <w:rsid w:val="003548CE"/>
    <w:rsid w:val="0035598F"/>
    <w:rsid w:val="003560B6"/>
    <w:rsid w:val="0035728A"/>
    <w:rsid w:val="00357FDF"/>
    <w:rsid w:val="00360D81"/>
    <w:rsid w:val="00361253"/>
    <w:rsid w:val="0036218B"/>
    <w:rsid w:val="00362E65"/>
    <w:rsid w:val="00363AA1"/>
    <w:rsid w:val="00363EDB"/>
    <w:rsid w:val="0036493A"/>
    <w:rsid w:val="00364996"/>
    <w:rsid w:val="003664A9"/>
    <w:rsid w:val="003668AF"/>
    <w:rsid w:val="00367567"/>
    <w:rsid w:val="00367989"/>
    <w:rsid w:val="00367A02"/>
    <w:rsid w:val="00370359"/>
    <w:rsid w:val="003708D3"/>
    <w:rsid w:val="00370B9C"/>
    <w:rsid w:val="00371178"/>
    <w:rsid w:val="0037139F"/>
    <w:rsid w:val="0037149B"/>
    <w:rsid w:val="00371EA2"/>
    <w:rsid w:val="003738F8"/>
    <w:rsid w:val="00373C16"/>
    <w:rsid w:val="00374053"/>
    <w:rsid w:val="003744BF"/>
    <w:rsid w:val="0037453E"/>
    <w:rsid w:val="00374D19"/>
    <w:rsid w:val="00375060"/>
    <w:rsid w:val="003768D9"/>
    <w:rsid w:val="003774D4"/>
    <w:rsid w:val="00381614"/>
    <w:rsid w:val="0038167F"/>
    <w:rsid w:val="00381BC6"/>
    <w:rsid w:val="00381D89"/>
    <w:rsid w:val="00381EC1"/>
    <w:rsid w:val="0038238A"/>
    <w:rsid w:val="0038336C"/>
    <w:rsid w:val="00384252"/>
    <w:rsid w:val="003846B3"/>
    <w:rsid w:val="00384BB2"/>
    <w:rsid w:val="00384F35"/>
    <w:rsid w:val="003857E7"/>
    <w:rsid w:val="003858AD"/>
    <w:rsid w:val="003861A1"/>
    <w:rsid w:val="003864E7"/>
    <w:rsid w:val="00386D23"/>
    <w:rsid w:val="00391BFB"/>
    <w:rsid w:val="00393E1C"/>
    <w:rsid w:val="00393E90"/>
    <w:rsid w:val="003942D9"/>
    <w:rsid w:val="003947FB"/>
    <w:rsid w:val="00394C0B"/>
    <w:rsid w:val="00394E08"/>
    <w:rsid w:val="00396291"/>
    <w:rsid w:val="00396D24"/>
    <w:rsid w:val="00397013"/>
    <w:rsid w:val="00397941"/>
    <w:rsid w:val="00397C8E"/>
    <w:rsid w:val="003A1DA7"/>
    <w:rsid w:val="003A24A0"/>
    <w:rsid w:val="003A293B"/>
    <w:rsid w:val="003A2AF4"/>
    <w:rsid w:val="003A53F2"/>
    <w:rsid w:val="003A6810"/>
    <w:rsid w:val="003A6CA3"/>
    <w:rsid w:val="003A70EA"/>
    <w:rsid w:val="003A7509"/>
    <w:rsid w:val="003B0090"/>
    <w:rsid w:val="003B2B9A"/>
    <w:rsid w:val="003B38A5"/>
    <w:rsid w:val="003B4605"/>
    <w:rsid w:val="003B4767"/>
    <w:rsid w:val="003B4874"/>
    <w:rsid w:val="003B5EB8"/>
    <w:rsid w:val="003B790B"/>
    <w:rsid w:val="003C03B9"/>
    <w:rsid w:val="003C0773"/>
    <w:rsid w:val="003C0BF6"/>
    <w:rsid w:val="003C1482"/>
    <w:rsid w:val="003C1628"/>
    <w:rsid w:val="003C2CC4"/>
    <w:rsid w:val="003C2DB9"/>
    <w:rsid w:val="003C2FFC"/>
    <w:rsid w:val="003C3458"/>
    <w:rsid w:val="003C3542"/>
    <w:rsid w:val="003C3823"/>
    <w:rsid w:val="003C3B59"/>
    <w:rsid w:val="003C3EA9"/>
    <w:rsid w:val="003C3F44"/>
    <w:rsid w:val="003C4385"/>
    <w:rsid w:val="003C529F"/>
    <w:rsid w:val="003C5F8D"/>
    <w:rsid w:val="003C6509"/>
    <w:rsid w:val="003C6761"/>
    <w:rsid w:val="003C7BB2"/>
    <w:rsid w:val="003C7D11"/>
    <w:rsid w:val="003D015C"/>
    <w:rsid w:val="003D148E"/>
    <w:rsid w:val="003D17B7"/>
    <w:rsid w:val="003D1F32"/>
    <w:rsid w:val="003D35F2"/>
    <w:rsid w:val="003D3B42"/>
    <w:rsid w:val="003D3DB4"/>
    <w:rsid w:val="003D451F"/>
    <w:rsid w:val="003D4B23"/>
    <w:rsid w:val="003D4C48"/>
    <w:rsid w:val="003D5C48"/>
    <w:rsid w:val="003D5CDA"/>
    <w:rsid w:val="003D6279"/>
    <w:rsid w:val="003D7169"/>
    <w:rsid w:val="003D790F"/>
    <w:rsid w:val="003E0590"/>
    <w:rsid w:val="003E2E14"/>
    <w:rsid w:val="003E4392"/>
    <w:rsid w:val="003E4480"/>
    <w:rsid w:val="003E4751"/>
    <w:rsid w:val="003E492D"/>
    <w:rsid w:val="003E4E11"/>
    <w:rsid w:val="003E59F4"/>
    <w:rsid w:val="003E5BF3"/>
    <w:rsid w:val="003E6323"/>
    <w:rsid w:val="003E69A6"/>
    <w:rsid w:val="003E6B62"/>
    <w:rsid w:val="003E7327"/>
    <w:rsid w:val="003E7AAB"/>
    <w:rsid w:val="003E7AF7"/>
    <w:rsid w:val="003F0312"/>
    <w:rsid w:val="003F0AB6"/>
    <w:rsid w:val="003F0C75"/>
    <w:rsid w:val="003F1EE0"/>
    <w:rsid w:val="003F29A4"/>
    <w:rsid w:val="003F37AD"/>
    <w:rsid w:val="003F3B71"/>
    <w:rsid w:val="003F44BC"/>
    <w:rsid w:val="003F6E58"/>
    <w:rsid w:val="003F72DA"/>
    <w:rsid w:val="003F78D1"/>
    <w:rsid w:val="0040053E"/>
    <w:rsid w:val="00400591"/>
    <w:rsid w:val="00400780"/>
    <w:rsid w:val="00400C01"/>
    <w:rsid w:val="00400EEA"/>
    <w:rsid w:val="004014E3"/>
    <w:rsid w:val="00401846"/>
    <w:rsid w:val="00401E47"/>
    <w:rsid w:val="004029A1"/>
    <w:rsid w:val="00402D19"/>
    <w:rsid w:val="00403345"/>
    <w:rsid w:val="00403D10"/>
    <w:rsid w:val="00403D26"/>
    <w:rsid w:val="00404AF3"/>
    <w:rsid w:val="00404CB1"/>
    <w:rsid w:val="0040519D"/>
    <w:rsid w:val="004053CA"/>
    <w:rsid w:val="00405AA4"/>
    <w:rsid w:val="00406524"/>
    <w:rsid w:val="004066C8"/>
    <w:rsid w:val="004067C6"/>
    <w:rsid w:val="00407188"/>
    <w:rsid w:val="00407919"/>
    <w:rsid w:val="004109E4"/>
    <w:rsid w:val="00410C89"/>
    <w:rsid w:val="00410E5D"/>
    <w:rsid w:val="004114A9"/>
    <w:rsid w:val="0041165D"/>
    <w:rsid w:val="00411F56"/>
    <w:rsid w:val="0041202D"/>
    <w:rsid w:val="004121AC"/>
    <w:rsid w:val="0041287A"/>
    <w:rsid w:val="00412EB9"/>
    <w:rsid w:val="004144F1"/>
    <w:rsid w:val="00416063"/>
    <w:rsid w:val="004162B7"/>
    <w:rsid w:val="00416525"/>
    <w:rsid w:val="00416546"/>
    <w:rsid w:val="0041657E"/>
    <w:rsid w:val="0041695D"/>
    <w:rsid w:val="00417328"/>
    <w:rsid w:val="0041744A"/>
    <w:rsid w:val="00417E13"/>
    <w:rsid w:val="00420893"/>
    <w:rsid w:val="004208B2"/>
    <w:rsid w:val="00420C55"/>
    <w:rsid w:val="0042163B"/>
    <w:rsid w:val="0042203C"/>
    <w:rsid w:val="00422AEA"/>
    <w:rsid w:val="004239AC"/>
    <w:rsid w:val="00423F79"/>
    <w:rsid w:val="00424005"/>
    <w:rsid w:val="00424189"/>
    <w:rsid w:val="00424465"/>
    <w:rsid w:val="004245AF"/>
    <w:rsid w:val="00425EB3"/>
    <w:rsid w:val="0042600A"/>
    <w:rsid w:val="00426286"/>
    <w:rsid w:val="0042663C"/>
    <w:rsid w:val="00426B9B"/>
    <w:rsid w:val="00426F92"/>
    <w:rsid w:val="00427C8A"/>
    <w:rsid w:val="0043020A"/>
    <w:rsid w:val="00430235"/>
    <w:rsid w:val="0043044A"/>
    <w:rsid w:val="004306BC"/>
    <w:rsid w:val="00432320"/>
    <w:rsid w:val="004325CB"/>
    <w:rsid w:val="0043267A"/>
    <w:rsid w:val="0043268C"/>
    <w:rsid w:val="004328A1"/>
    <w:rsid w:val="004329AB"/>
    <w:rsid w:val="00432FCB"/>
    <w:rsid w:val="004338A4"/>
    <w:rsid w:val="00433DCB"/>
    <w:rsid w:val="0043571F"/>
    <w:rsid w:val="00435DC5"/>
    <w:rsid w:val="00436B33"/>
    <w:rsid w:val="00436DBA"/>
    <w:rsid w:val="004376CB"/>
    <w:rsid w:val="0044072B"/>
    <w:rsid w:val="004412A2"/>
    <w:rsid w:val="00441DE3"/>
    <w:rsid w:val="004422D6"/>
    <w:rsid w:val="00442A83"/>
    <w:rsid w:val="0044385A"/>
    <w:rsid w:val="00443FF2"/>
    <w:rsid w:val="004444C8"/>
    <w:rsid w:val="00445CE1"/>
    <w:rsid w:val="00445F26"/>
    <w:rsid w:val="00446801"/>
    <w:rsid w:val="00446A67"/>
    <w:rsid w:val="00447844"/>
    <w:rsid w:val="00450A6D"/>
    <w:rsid w:val="004510DF"/>
    <w:rsid w:val="00451105"/>
    <w:rsid w:val="00452282"/>
    <w:rsid w:val="004528F0"/>
    <w:rsid w:val="0045495B"/>
    <w:rsid w:val="00454A56"/>
    <w:rsid w:val="00454E9C"/>
    <w:rsid w:val="004553C0"/>
    <w:rsid w:val="0045587F"/>
    <w:rsid w:val="00455892"/>
    <w:rsid w:val="00455C72"/>
    <w:rsid w:val="0045644D"/>
    <w:rsid w:val="00456DA4"/>
    <w:rsid w:val="0045776A"/>
    <w:rsid w:val="00461669"/>
    <w:rsid w:val="004625C6"/>
    <w:rsid w:val="004635E7"/>
    <w:rsid w:val="004649BE"/>
    <w:rsid w:val="00465608"/>
    <w:rsid w:val="0046759B"/>
    <w:rsid w:val="00467602"/>
    <w:rsid w:val="00467D61"/>
    <w:rsid w:val="004710A0"/>
    <w:rsid w:val="0047116F"/>
    <w:rsid w:val="00471241"/>
    <w:rsid w:val="004713D0"/>
    <w:rsid w:val="0047148C"/>
    <w:rsid w:val="004721F5"/>
    <w:rsid w:val="0047296B"/>
    <w:rsid w:val="00472FA3"/>
    <w:rsid w:val="00473871"/>
    <w:rsid w:val="00474A32"/>
    <w:rsid w:val="00474F24"/>
    <w:rsid w:val="00475037"/>
    <w:rsid w:val="00475EE5"/>
    <w:rsid w:val="00475FFE"/>
    <w:rsid w:val="00476E5F"/>
    <w:rsid w:val="0047707C"/>
    <w:rsid w:val="00480624"/>
    <w:rsid w:val="00480695"/>
    <w:rsid w:val="0048088F"/>
    <w:rsid w:val="004826DE"/>
    <w:rsid w:val="00483648"/>
    <w:rsid w:val="00484B27"/>
    <w:rsid w:val="00485D40"/>
    <w:rsid w:val="00487488"/>
    <w:rsid w:val="00487938"/>
    <w:rsid w:val="0048795B"/>
    <w:rsid w:val="00487D88"/>
    <w:rsid w:val="0049024E"/>
    <w:rsid w:val="0049047F"/>
    <w:rsid w:val="00490B36"/>
    <w:rsid w:val="00491F28"/>
    <w:rsid w:val="0049297D"/>
    <w:rsid w:val="00493AA3"/>
    <w:rsid w:val="00494C15"/>
    <w:rsid w:val="00495F2A"/>
    <w:rsid w:val="00496199"/>
    <w:rsid w:val="0049685C"/>
    <w:rsid w:val="0049687F"/>
    <w:rsid w:val="0049759D"/>
    <w:rsid w:val="00497838"/>
    <w:rsid w:val="004979E0"/>
    <w:rsid w:val="00497D1B"/>
    <w:rsid w:val="004A0066"/>
    <w:rsid w:val="004A109D"/>
    <w:rsid w:val="004A1271"/>
    <w:rsid w:val="004A1560"/>
    <w:rsid w:val="004A39CE"/>
    <w:rsid w:val="004A3E45"/>
    <w:rsid w:val="004A4EFE"/>
    <w:rsid w:val="004A5F54"/>
    <w:rsid w:val="004A7D05"/>
    <w:rsid w:val="004B01C6"/>
    <w:rsid w:val="004B1AAB"/>
    <w:rsid w:val="004B278A"/>
    <w:rsid w:val="004B2D3D"/>
    <w:rsid w:val="004B3B86"/>
    <w:rsid w:val="004B4F4B"/>
    <w:rsid w:val="004B6580"/>
    <w:rsid w:val="004B6F46"/>
    <w:rsid w:val="004C0485"/>
    <w:rsid w:val="004C08C9"/>
    <w:rsid w:val="004C1458"/>
    <w:rsid w:val="004C14DF"/>
    <w:rsid w:val="004C1DCC"/>
    <w:rsid w:val="004C2319"/>
    <w:rsid w:val="004C395B"/>
    <w:rsid w:val="004C6119"/>
    <w:rsid w:val="004C6155"/>
    <w:rsid w:val="004D20BA"/>
    <w:rsid w:val="004D3D64"/>
    <w:rsid w:val="004D5ACF"/>
    <w:rsid w:val="004D5E1E"/>
    <w:rsid w:val="004D5EE7"/>
    <w:rsid w:val="004D645D"/>
    <w:rsid w:val="004D68DB"/>
    <w:rsid w:val="004D78CA"/>
    <w:rsid w:val="004D7ACB"/>
    <w:rsid w:val="004E0541"/>
    <w:rsid w:val="004E0AE2"/>
    <w:rsid w:val="004E0C7C"/>
    <w:rsid w:val="004E179F"/>
    <w:rsid w:val="004E1AC8"/>
    <w:rsid w:val="004E1EDC"/>
    <w:rsid w:val="004E2370"/>
    <w:rsid w:val="004E2426"/>
    <w:rsid w:val="004E258F"/>
    <w:rsid w:val="004E3701"/>
    <w:rsid w:val="004E491F"/>
    <w:rsid w:val="004E505E"/>
    <w:rsid w:val="004E5BAF"/>
    <w:rsid w:val="004E6024"/>
    <w:rsid w:val="004E6957"/>
    <w:rsid w:val="004E7107"/>
    <w:rsid w:val="004E76DF"/>
    <w:rsid w:val="004F0305"/>
    <w:rsid w:val="004F040F"/>
    <w:rsid w:val="004F095A"/>
    <w:rsid w:val="004F0C77"/>
    <w:rsid w:val="004F1D8F"/>
    <w:rsid w:val="004F2A3D"/>
    <w:rsid w:val="004F4C0F"/>
    <w:rsid w:val="004F567A"/>
    <w:rsid w:val="004F5D72"/>
    <w:rsid w:val="004F607A"/>
    <w:rsid w:val="004F61CC"/>
    <w:rsid w:val="004F641C"/>
    <w:rsid w:val="004F6F09"/>
    <w:rsid w:val="004F77B0"/>
    <w:rsid w:val="005021B6"/>
    <w:rsid w:val="00502719"/>
    <w:rsid w:val="0050327C"/>
    <w:rsid w:val="00504C2F"/>
    <w:rsid w:val="005051F1"/>
    <w:rsid w:val="00505FAF"/>
    <w:rsid w:val="00506A88"/>
    <w:rsid w:val="00506B2C"/>
    <w:rsid w:val="00510223"/>
    <w:rsid w:val="0051035B"/>
    <w:rsid w:val="00510994"/>
    <w:rsid w:val="005130C0"/>
    <w:rsid w:val="00513706"/>
    <w:rsid w:val="005148E1"/>
    <w:rsid w:val="0051595F"/>
    <w:rsid w:val="00515A52"/>
    <w:rsid w:val="005167BE"/>
    <w:rsid w:val="0051751C"/>
    <w:rsid w:val="005179C2"/>
    <w:rsid w:val="0052136D"/>
    <w:rsid w:val="00522AB2"/>
    <w:rsid w:val="00523116"/>
    <w:rsid w:val="005245DB"/>
    <w:rsid w:val="00524B2F"/>
    <w:rsid w:val="00527666"/>
    <w:rsid w:val="0052775E"/>
    <w:rsid w:val="00530DA6"/>
    <w:rsid w:val="00531A48"/>
    <w:rsid w:val="005324BC"/>
    <w:rsid w:val="0053274F"/>
    <w:rsid w:val="0053337C"/>
    <w:rsid w:val="005334A9"/>
    <w:rsid w:val="00533531"/>
    <w:rsid w:val="00533FF5"/>
    <w:rsid w:val="00534049"/>
    <w:rsid w:val="005341C5"/>
    <w:rsid w:val="0053487C"/>
    <w:rsid w:val="005352E9"/>
    <w:rsid w:val="00535637"/>
    <w:rsid w:val="005356BB"/>
    <w:rsid w:val="0053590F"/>
    <w:rsid w:val="005371B0"/>
    <w:rsid w:val="00537C4C"/>
    <w:rsid w:val="00537E56"/>
    <w:rsid w:val="0054116A"/>
    <w:rsid w:val="005415AD"/>
    <w:rsid w:val="005420F2"/>
    <w:rsid w:val="005421A6"/>
    <w:rsid w:val="00543286"/>
    <w:rsid w:val="0054341E"/>
    <w:rsid w:val="005441D2"/>
    <w:rsid w:val="00545735"/>
    <w:rsid w:val="00546068"/>
    <w:rsid w:val="00546530"/>
    <w:rsid w:val="00547A18"/>
    <w:rsid w:val="00550028"/>
    <w:rsid w:val="00550A8B"/>
    <w:rsid w:val="00551385"/>
    <w:rsid w:val="00551EBC"/>
    <w:rsid w:val="0055226F"/>
    <w:rsid w:val="005522A8"/>
    <w:rsid w:val="00552C15"/>
    <w:rsid w:val="00552F53"/>
    <w:rsid w:val="0055343C"/>
    <w:rsid w:val="00553869"/>
    <w:rsid w:val="0055538F"/>
    <w:rsid w:val="0055575C"/>
    <w:rsid w:val="00555F42"/>
    <w:rsid w:val="00556481"/>
    <w:rsid w:val="00556AE6"/>
    <w:rsid w:val="00556F72"/>
    <w:rsid w:val="00557507"/>
    <w:rsid w:val="005616EE"/>
    <w:rsid w:val="00561C5A"/>
    <w:rsid w:val="005628B6"/>
    <w:rsid w:val="005628F8"/>
    <w:rsid w:val="00563160"/>
    <w:rsid w:val="0056390F"/>
    <w:rsid w:val="00564384"/>
    <w:rsid w:val="00564485"/>
    <w:rsid w:val="00565019"/>
    <w:rsid w:val="0056562E"/>
    <w:rsid w:val="005656CE"/>
    <w:rsid w:val="00566B08"/>
    <w:rsid w:val="00566EA0"/>
    <w:rsid w:val="0056705C"/>
    <w:rsid w:val="0056718F"/>
    <w:rsid w:val="005675F1"/>
    <w:rsid w:val="00567821"/>
    <w:rsid w:val="005679B4"/>
    <w:rsid w:val="00567D69"/>
    <w:rsid w:val="00571E0A"/>
    <w:rsid w:val="00572ABD"/>
    <w:rsid w:val="00572ABF"/>
    <w:rsid w:val="00572CDE"/>
    <w:rsid w:val="005731C3"/>
    <w:rsid w:val="00573D03"/>
    <w:rsid w:val="00574975"/>
    <w:rsid w:val="00575E4E"/>
    <w:rsid w:val="00576142"/>
    <w:rsid w:val="00577A39"/>
    <w:rsid w:val="00577E1E"/>
    <w:rsid w:val="00581274"/>
    <w:rsid w:val="00581AD7"/>
    <w:rsid w:val="00581ADB"/>
    <w:rsid w:val="005825BD"/>
    <w:rsid w:val="005831C3"/>
    <w:rsid w:val="005832AE"/>
    <w:rsid w:val="00583967"/>
    <w:rsid w:val="00583CF5"/>
    <w:rsid w:val="0058458B"/>
    <w:rsid w:val="005848B3"/>
    <w:rsid w:val="005851A6"/>
    <w:rsid w:val="00585619"/>
    <w:rsid w:val="00586045"/>
    <w:rsid w:val="00586C74"/>
    <w:rsid w:val="005901A4"/>
    <w:rsid w:val="005901AD"/>
    <w:rsid w:val="00590701"/>
    <w:rsid w:val="00590992"/>
    <w:rsid w:val="00590CD9"/>
    <w:rsid w:val="00590F87"/>
    <w:rsid w:val="00591776"/>
    <w:rsid w:val="00591972"/>
    <w:rsid w:val="0059296A"/>
    <w:rsid w:val="00592C4A"/>
    <w:rsid w:val="005932B6"/>
    <w:rsid w:val="0059345F"/>
    <w:rsid w:val="0059356C"/>
    <w:rsid w:val="00593799"/>
    <w:rsid w:val="005949A4"/>
    <w:rsid w:val="00594CC8"/>
    <w:rsid w:val="005969DE"/>
    <w:rsid w:val="005A0BD1"/>
    <w:rsid w:val="005A16B2"/>
    <w:rsid w:val="005A1E88"/>
    <w:rsid w:val="005A202C"/>
    <w:rsid w:val="005A2121"/>
    <w:rsid w:val="005A48B9"/>
    <w:rsid w:val="005A7DEA"/>
    <w:rsid w:val="005B026E"/>
    <w:rsid w:val="005B0656"/>
    <w:rsid w:val="005B08AE"/>
    <w:rsid w:val="005B191C"/>
    <w:rsid w:val="005B2392"/>
    <w:rsid w:val="005B2888"/>
    <w:rsid w:val="005B2969"/>
    <w:rsid w:val="005B3098"/>
    <w:rsid w:val="005B3DB3"/>
    <w:rsid w:val="005B3DF6"/>
    <w:rsid w:val="005B5070"/>
    <w:rsid w:val="005B57AA"/>
    <w:rsid w:val="005B62F3"/>
    <w:rsid w:val="005B679A"/>
    <w:rsid w:val="005B6C15"/>
    <w:rsid w:val="005B769B"/>
    <w:rsid w:val="005B7B0A"/>
    <w:rsid w:val="005C0328"/>
    <w:rsid w:val="005C049B"/>
    <w:rsid w:val="005C0626"/>
    <w:rsid w:val="005C072D"/>
    <w:rsid w:val="005C133A"/>
    <w:rsid w:val="005C35FF"/>
    <w:rsid w:val="005C58A6"/>
    <w:rsid w:val="005C6990"/>
    <w:rsid w:val="005C7D2A"/>
    <w:rsid w:val="005D092B"/>
    <w:rsid w:val="005D0E65"/>
    <w:rsid w:val="005D262C"/>
    <w:rsid w:val="005D2A2D"/>
    <w:rsid w:val="005D2B5E"/>
    <w:rsid w:val="005D4026"/>
    <w:rsid w:val="005D4BDC"/>
    <w:rsid w:val="005D522F"/>
    <w:rsid w:val="005D62DF"/>
    <w:rsid w:val="005D64EC"/>
    <w:rsid w:val="005D6755"/>
    <w:rsid w:val="005D6980"/>
    <w:rsid w:val="005D6B20"/>
    <w:rsid w:val="005D6E25"/>
    <w:rsid w:val="005D6EFE"/>
    <w:rsid w:val="005D6FA0"/>
    <w:rsid w:val="005D719C"/>
    <w:rsid w:val="005D7252"/>
    <w:rsid w:val="005E03A3"/>
    <w:rsid w:val="005E07B8"/>
    <w:rsid w:val="005E084C"/>
    <w:rsid w:val="005E1EB0"/>
    <w:rsid w:val="005E4AEB"/>
    <w:rsid w:val="005E54D3"/>
    <w:rsid w:val="005E5B15"/>
    <w:rsid w:val="005E63EA"/>
    <w:rsid w:val="005E681C"/>
    <w:rsid w:val="005E6EAF"/>
    <w:rsid w:val="005F0328"/>
    <w:rsid w:val="005F068C"/>
    <w:rsid w:val="005F12D8"/>
    <w:rsid w:val="005F1EFF"/>
    <w:rsid w:val="005F233F"/>
    <w:rsid w:val="005F27E0"/>
    <w:rsid w:val="005F4871"/>
    <w:rsid w:val="005F490D"/>
    <w:rsid w:val="005F4BE6"/>
    <w:rsid w:val="005F51F3"/>
    <w:rsid w:val="005F53AC"/>
    <w:rsid w:val="005F5B63"/>
    <w:rsid w:val="005F69A4"/>
    <w:rsid w:val="005F6C59"/>
    <w:rsid w:val="005F724F"/>
    <w:rsid w:val="005F7717"/>
    <w:rsid w:val="005F7B75"/>
    <w:rsid w:val="0060012C"/>
    <w:rsid w:val="006001C2"/>
    <w:rsid w:val="006001EE"/>
    <w:rsid w:val="006002D9"/>
    <w:rsid w:val="006009DB"/>
    <w:rsid w:val="00600AAA"/>
    <w:rsid w:val="00600FC5"/>
    <w:rsid w:val="006015FF"/>
    <w:rsid w:val="00602EF1"/>
    <w:rsid w:val="00603AA0"/>
    <w:rsid w:val="00605042"/>
    <w:rsid w:val="006056A0"/>
    <w:rsid w:val="00605710"/>
    <w:rsid w:val="00605AC2"/>
    <w:rsid w:val="0060678E"/>
    <w:rsid w:val="00606D94"/>
    <w:rsid w:val="006073B3"/>
    <w:rsid w:val="00607740"/>
    <w:rsid w:val="006108EB"/>
    <w:rsid w:val="00611606"/>
    <w:rsid w:val="006118F3"/>
    <w:rsid w:val="00611A15"/>
    <w:rsid w:val="00611FC4"/>
    <w:rsid w:val="00612A05"/>
    <w:rsid w:val="00612DC1"/>
    <w:rsid w:val="00613094"/>
    <w:rsid w:val="00615547"/>
    <w:rsid w:val="00615A81"/>
    <w:rsid w:val="00615E29"/>
    <w:rsid w:val="0061640F"/>
    <w:rsid w:val="00616E2C"/>
    <w:rsid w:val="00617568"/>
    <w:rsid w:val="006176FB"/>
    <w:rsid w:val="00621A91"/>
    <w:rsid w:val="0062233D"/>
    <w:rsid w:val="0062240A"/>
    <w:rsid w:val="006243CD"/>
    <w:rsid w:val="006249E2"/>
    <w:rsid w:val="00625B7C"/>
    <w:rsid w:val="0062729F"/>
    <w:rsid w:val="00627E66"/>
    <w:rsid w:val="00630B2C"/>
    <w:rsid w:val="00632CF7"/>
    <w:rsid w:val="00633673"/>
    <w:rsid w:val="006346D4"/>
    <w:rsid w:val="00634942"/>
    <w:rsid w:val="00634F84"/>
    <w:rsid w:val="00636968"/>
    <w:rsid w:val="00636CA8"/>
    <w:rsid w:val="006379B3"/>
    <w:rsid w:val="00640B26"/>
    <w:rsid w:val="00640FAE"/>
    <w:rsid w:val="0064189C"/>
    <w:rsid w:val="006418C3"/>
    <w:rsid w:val="0064269F"/>
    <w:rsid w:val="00642EF3"/>
    <w:rsid w:val="00643442"/>
    <w:rsid w:val="006434AE"/>
    <w:rsid w:val="00645DD1"/>
    <w:rsid w:val="00645F5F"/>
    <w:rsid w:val="006469E5"/>
    <w:rsid w:val="006474A8"/>
    <w:rsid w:val="0065049B"/>
    <w:rsid w:val="006507B8"/>
    <w:rsid w:val="00650AAD"/>
    <w:rsid w:val="00651FFB"/>
    <w:rsid w:val="00652CD6"/>
    <w:rsid w:val="00652D0A"/>
    <w:rsid w:val="0065420D"/>
    <w:rsid w:val="006547B2"/>
    <w:rsid w:val="00654908"/>
    <w:rsid w:val="006552D0"/>
    <w:rsid w:val="00655B39"/>
    <w:rsid w:val="00655B67"/>
    <w:rsid w:val="00655B97"/>
    <w:rsid w:val="00656FB6"/>
    <w:rsid w:val="00657702"/>
    <w:rsid w:val="00657B17"/>
    <w:rsid w:val="00657C58"/>
    <w:rsid w:val="006600FB"/>
    <w:rsid w:val="00660961"/>
    <w:rsid w:val="00660A37"/>
    <w:rsid w:val="00660F76"/>
    <w:rsid w:val="0066127D"/>
    <w:rsid w:val="006614FC"/>
    <w:rsid w:val="006619B8"/>
    <w:rsid w:val="00662ABF"/>
    <w:rsid w:val="00662AF0"/>
    <w:rsid w:val="00662BB6"/>
    <w:rsid w:val="00662E6D"/>
    <w:rsid w:val="0066373C"/>
    <w:rsid w:val="00664355"/>
    <w:rsid w:val="006648E5"/>
    <w:rsid w:val="00664B2D"/>
    <w:rsid w:val="00665CF3"/>
    <w:rsid w:val="00666710"/>
    <w:rsid w:val="00667AF3"/>
    <w:rsid w:val="00667C48"/>
    <w:rsid w:val="006703DA"/>
    <w:rsid w:val="0067159C"/>
    <w:rsid w:val="006715F0"/>
    <w:rsid w:val="0067314F"/>
    <w:rsid w:val="00673B5C"/>
    <w:rsid w:val="00674C67"/>
    <w:rsid w:val="00675032"/>
    <w:rsid w:val="006769FB"/>
    <w:rsid w:val="00676AE8"/>
    <w:rsid w:val="00676DDC"/>
    <w:rsid w:val="00677542"/>
    <w:rsid w:val="00677BB3"/>
    <w:rsid w:val="006819EE"/>
    <w:rsid w:val="00681EF0"/>
    <w:rsid w:val="00683467"/>
    <w:rsid w:val="0068379B"/>
    <w:rsid w:val="00684A82"/>
    <w:rsid w:val="00684C21"/>
    <w:rsid w:val="00684C83"/>
    <w:rsid w:val="0068527D"/>
    <w:rsid w:val="00685887"/>
    <w:rsid w:val="0068612D"/>
    <w:rsid w:val="006864B0"/>
    <w:rsid w:val="006867F9"/>
    <w:rsid w:val="00687BEE"/>
    <w:rsid w:val="00687E4B"/>
    <w:rsid w:val="006914F4"/>
    <w:rsid w:val="00691555"/>
    <w:rsid w:val="006919C9"/>
    <w:rsid w:val="00692760"/>
    <w:rsid w:val="0069285F"/>
    <w:rsid w:val="00694072"/>
    <w:rsid w:val="00694368"/>
    <w:rsid w:val="00694963"/>
    <w:rsid w:val="00695AF6"/>
    <w:rsid w:val="00697660"/>
    <w:rsid w:val="006A09DA"/>
    <w:rsid w:val="006A1212"/>
    <w:rsid w:val="006A141B"/>
    <w:rsid w:val="006A22E3"/>
    <w:rsid w:val="006A24C5"/>
    <w:rsid w:val="006A2E55"/>
    <w:rsid w:val="006A361F"/>
    <w:rsid w:val="006A42F1"/>
    <w:rsid w:val="006A43ED"/>
    <w:rsid w:val="006A4F13"/>
    <w:rsid w:val="006A5607"/>
    <w:rsid w:val="006A6656"/>
    <w:rsid w:val="006A6A75"/>
    <w:rsid w:val="006A6C8D"/>
    <w:rsid w:val="006A7BF4"/>
    <w:rsid w:val="006B05C1"/>
    <w:rsid w:val="006B32A8"/>
    <w:rsid w:val="006B3F2F"/>
    <w:rsid w:val="006B49BF"/>
    <w:rsid w:val="006B5299"/>
    <w:rsid w:val="006B5E57"/>
    <w:rsid w:val="006B5F40"/>
    <w:rsid w:val="006B7376"/>
    <w:rsid w:val="006B7C3E"/>
    <w:rsid w:val="006B7C73"/>
    <w:rsid w:val="006B7C78"/>
    <w:rsid w:val="006C013A"/>
    <w:rsid w:val="006C0B23"/>
    <w:rsid w:val="006C13EB"/>
    <w:rsid w:val="006C19BF"/>
    <w:rsid w:val="006C200E"/>
    <w:rsid w:val="006C2311"/>
    <w:rsid w:val="006C25EA"/>
    <w:rsid w:val="006C262B"/>
    <w:rsid w:val="006C55B3"/>
    <w:rsid w:val="006C5BC4"/>
    <w:rsid w:val="006C6608"/>
    <w:rsid w:val="006C6FB4"/>
    <w:rsid w:val="006C71A7"/>
    <w:rsid w:val="006C7929"/>
    <w:rsid w:val="006D1E71"/>
    <w:rsid w:val="006D2239"/>
    <w:rsid w:val="006D2AB6"/>
    <w:rsid w:val="006D30B1"/>
    <w:rsid w:val="006D30B6"/>
    <w:rsid w:val="006D37AF"/>
    <w:rsid w:val="006D3FDF"/>
    <w:rsid w:val="006D442F"/>
    <w:rsid w:val="006D51D0"/>
    <w:rsid w:val="006D5E71"/>
    <w:rsid w:val="006D7355"/>
    <w:rsid w:val="006D76BF"/>
    <w:rsid w:val="006D7AA9"/>
    <w:rsid w:val="006D7C29"/>
    <w:rsid w:val="006E0086"/>
    <w:rsid w:val="006E110E"/>
    <w:rsid w:val="006E3884"/>
    <w:rsid w:val="006E3B89"/>
    <w:rsid w:val="006E4E8F"/>
    <w:rsid w:val="006E564B"/>
    <w:rsid w:val="006E5C1B"/>
    <w:rsid w:val="006E639E"/>
    <w:rsid w:val="006E6665"/>
    <w:rsid w:val="006E68E0"/>
    <w:rsid w:val="006E6DC9"/>
    <w:rsid w:val="006E70B4"/>
    <w:rsid w:val="006E70F4"/>
    <w:rsid w:val="006E7191"/>
    <w:rsid w:val="006E78FE"/>
    <w:rsid w:val="006F1D9F"/>
    <w:rsid w:val="006F4484"/>
    <w:rsid w:val="006F4587"/>
    <w:rsid w:val="006F52F8"/>
    <w:rsid w:val="006F6098"/>
    <w:rsid w:val="006F6C92"/>
    <w:rsid w:val="006F6DD5"/>
    <w:rsid w:val="006F7CA3"/>
    <w:rsid w:val="006F7FF9"/>
    <w:rsid w:val="0070068B"/>
    <w:rsid w:val="007006D1"/>
    <w:rsid w:val="00700E85"/>
    <w:rsid w:val="00701055"/>
    <w:rsid w:val="007011E9"/>
    <w:rsid w:val="00701559"/>
    <w:rsid w:val="00702A04"/>
    <w:rsid w:val="00703577"/>
    <w:rsid w:val="00703B2D"/>
    <w:rsid w:val="00703BD7"/>
    <w:rsid w:val="00703CBF"/>
    <w:rsid w:val="00704954"/>
    <w:rsid w:val="00704CDF"/>
    <w:rsid w:val="00705307"/>
    <w:rsid w:val="0070668B"/>
    <w:rsid w:val="00707245"/>
    <w:rsid w:val="007077A4"/>
    <w:rsid w:val="00711DEB"/>
    <w:rsid w:val="0071494D"/>
    <w:rsid w:val="00714C1E"/>
    <w:rsid w:val="00714C58"/>
    <w:rsid w:val="0071562B"/>
    <w:rsid w:val="00716630"/>
    <w:rsid w:val="00716C5A"/>
    <w:rsid w:val="0071793C"/>
    <w:rsid w:val="007211F9"/>
    <w:rsid w:val="00721251"/>
    <w:rsid w:val="0072186C"/>
    <w:rsid w:val="007225E7"/>
    <w:rsid w:val="0072305C"/>
    <w:rsid w:val="0072459F"/>
    <w:rsid w:val="0072468E"/>
    <w:rsid w:val="00724E74"/>
    <w:rsid w:val="0072518F"/>
    <w:rsid w:val="00725D87"/>
    <w:rsid w:val="00725F86"/>
    <w:rsid w:val="0072632A"/>
    <w:rsid w:val="00726D61"/>
    <w:rsid w:val="00727AE4"/>
    <w:rsid w:val="0073033A"/>
    <w:rsid w:val="00730DBE"/>
    <w:rsid w:val="007327D5"/>
    <w:rsid w:val="00733E74"/>
    <w:rsid w:val="00736433"/>
    <w:rsid w:val="00736919"/>
    <w:rsid w:val="00736C7A"/>
    <w:rsid w:val="00737C23"/>
    <w:rsid w:val="00737E4A"/>
    <w:rsid w:val="00740A0E"/>
    <w:rsid w:val="00742DCC"/>
    <w:rsid w:val="00742EDE"/>
    <w:rsid w:val="0074318D"/>
    <w:rsid w:val="007433C9"/>
    <w:rsid w:val="0074380B"/>
    <w:rsid w:val="00744B3A"/>
    <w:rsid w:val="00744B6C"/>
    <w:rsid w:val="00744D0E"/>
    <w:rsid w:val="00744F22"/>
    <w:rsid w:val="007451CA"/>
    <w:rsid w:val="007452FC"/>
    <w:rsid w:val="00745356"/>
    <w:rsid w:val="00745447"/>
    <w:rsid w:val="007456C1"/>
    <w:rsid w:val="00746779"/>
    <w:rsid w:val="0074703B"/>
    <w:rsid w:val="00747419"/>
    <w:rsid w:val="00747CAC"/>
    <w:rsid w:val="00750E66"/>
    <w:rsid w:val="007510C0"/>
    <w:rsid w:val="00753562"/>
    <w:rsid w:val="00753B40"/>
    <w:rsid w:val="00754398"/>
    <w:rsid w:val="0075455C"/>
    <w:rsid w:val="00754918"/>
    <w:rsid w:val="00755E24"/>
    <w:rsid w:val="007563E7"/>
    <w:rsid w:val="0075709C"/>
    <w:rsid w:val="00757824"/>
    <w:rsid w:val="00760CFF"/>
    <w:rsid w:val="007616B4"/>
    <w:rsid w:val="00761919"/>
    <w:rsid w:val="00761FE7"/>
    <w:rsid w:val="0076280F"/>
    <w:rsid w:val="007629C8"/>
    <w:rsid w:val="00762D73"/>
    <w:rsid w:val="00763A01"/>
    <w:rsid w:val="00763EEE"/>
    <w:rsid w:val="00765A15"/>
    <w:rsid w:val="00766C75"/>
    <w:rsid w:val="0077082B"/>
    <w:rsid w:val="00770E5F"/>
    <w:rsid w:val="00770F82"/>
    <w:rsid w:val="007722A5"/>
    <w:rsid w:val="00772770"/>
    <w:rsid w:val="00772BDC"/>
    <w:rsid w:val="00772EBF"/>
    <w:rsid w:val="00773825"/>
    <w:rsid w:val="00773A65"/>
    <w:rsid w:val="00773A87"/>
    <w:rsid w:val="00773DDD"/>
    <w:rsid w:val="0077438C"/>
    <w:rsid w:val="00774756"/>
    <w:rsid w:val="0077487D"/>
    <w:rsid w:val="00774BC5"/>
    <w:rsid w:val="007758EE"/>
    <w:rsid w:val="00776306"/>
    <w:rsid w:val="007763E6"/>
    <w:rsid w:val="00781126"/>
    <w:rsid w:val="00781350"/>
    <w:rsid w:val="00781BF8"/>
    <w:rsid w:val="0078275E"/>
    <w:rsid w:val="00782D91"/>
    <w:rsid w:val="00783375"/>
    <w:rsid w:val="00784013"/>
    <w:rsid w:val="00784BEC"/>
    <w:rsid w:val="00785C1F"/>
    <w:rsid w:val="00785DEC"/>
    <w:rsid w:val="007876AE"/>
    <w:rsid w:val="00787B52"/>
    <w:rsid w:val="00790A37"/>
    <w:rsid w:val="00790CDD"/>
    <w:rsid w:val="0079105D"/>
    <w:rsid w:val="00791F0C"/>
    <w:rsid w:val="00792599"/>
    <w:rsid w:val="007931C0"/>
    <w:rsid w:val="007935DC"/>
    <w:rsid w:val="00794588"/>
    <w:rsid w:val="0079591F"/>
    <w:rsid w:val="00795AF6"/>
    <w:rsid w:val="0079683A"/>
    <w:rsid w:val="00796E53"/>
    <w:rsid w:val="007975B8"/>
    <w:rsid w:val="0079787F"/>
    <w:rsid w:val="007A0F2B"/>
    <w:rsid w:val="007A1638"/>
    <w:rsid w:val="007A196A"/>
    <w:rsid w:val="007A1E50"/>
    <w:rsid w:val="007A3E37"/>
    <w:rsid w:val="007A430F"/>
    <w:rsid w:val="007A4769"/>
    <w:rsid w:val="007A5564"/>
    <w:rsid w:val="007A5DAC"/>
    <w:rsid w:val="007B09AF"/>
    <w:rsid w:val="007B159D"/>
    <w:rsid w:val="007B1CAF"/>
    <w:rsid w:val="007B27E8"/>
    <w:rsid w:val="007B3A63"/>
    <w:rsid w:val="007B41EA"/>
    <w:rsid w:val="007B4D20"/>
    <w:rsid w:val="007B60A7"/>
    <w:rsid w:val="007B6BA5"/>
    <w:rsid w:val="007B7B6D"/>
    <w:rsid w:val="007B7F56"/>
    <w:rsid w:val="007C0F27"/>
    <w:rsid w:val="007C10F6"/>
    <w:rsid w:val="007C2A3A"/>
    <w:rsid w:val="007C2B74"/>
    <w:rsid w:val="007C2D82"/>
    <w:rsid w:val="007C3390"/>
    <w:rsid w:val="007C34B8"/>
    <w:rsid w:val="007C3752"/>
    <w:rsid w:val="007C47AC"/>
    <w:rsid w:val="007C4A07"/>
    <w:rsid w:val="007C4A85"/>
    <w:rsid w:val="007C4B3B"/>
    <w:rsid w:val="007C4F4B"/>
    <w:rsid w:val="007C519E"/>
    <w:rsid w:val="007C524A"/>
    <w:rsid w:val="007C67D0"/>
    <w:rsid w:val="007C691B"/>
    <w:rsid w:val="007C784F"/>
    <w:rsid w:val="007C7E4A"/>
    <w:rsid w:val="007D0960"/>
    <w:rsid w:val="007D12E4"/>
    <w:rsid w:val="007D146B"/>
    <w:rsid w:val="007D16AD"/>
    <w:rsid w:val="007D1CE5"/>
    <w:rsid w:val="007D2140"/>
    <w:rsid w:val="007D2578"/>
    <w:rsid w:val="007D359A"/>
    <w:rsid w:val="007D35AF"/>
    <w:rsid w:val="007D38EF"/>
    <w:rsid w:val="007D502C"/>
    <w:rsid w:val="007D6095"/>
    <w:rsid w:val="007D7564"/>
    <w:rsid w:val="007E00F3"/>
    <w:rsid w:val="007E06A0"/>
    <w:rsid w:val="007E0B2D"/>
    <w:rsid w:val="007E0E3C"/>
    <w:rsid w:val="007E1A45"/>
    <w:rsid w:val="007E3E17"/>
    <w:rsid w:val="007E4203"/>
    <w:rsid w:val="007E4A16"/>
    <w:rsid w:val="007E4FC2"/>
    <w:rsid w:val="007E5132"/>
    <w:rsid w:val="007E6246"/>
    <w:rsid w:val="007E6CAB"/>
    <w:rsid w:val="007E6DBD"/>
    <w:rsid w:val="007E7CD2"/>
    <w:rsid w:val="007F00A9"/>
    <w:rsid w:val="007F2428"/>
    <w:rsid w:val="007F252B"/>
    <w:rsid w:val="007F301D"/>
    <w:rsid w:val="007F350F"/>
    <w:rsid w:val="007F3A98"/>
    <w:rsid w:val="007F4D68"/>
    <w:rsid w:val="007F5E52"/>
    <w:rsid w:val="007F64C4"/>
    <w:rsid w:val="007F6611"/>
    <w:rsid w:val="007F687B"/>
    <w:rsid w:val="007F6AC0"/>
    <w:rsid w:val="007F7E74"/>
    <w:rsid w:val="008000A6"/>
    <w:rsid w:val="008005E9"/>
    <w:rsid w:val="00800BC0"/>
    <w:rsid w:val="00800E45"/>
    <w:rsid w:val="008013BC"/>
    <w:rsid w:val="0080145D"/>
    <w:rsid w:val="00801985"/>
    <w:rsid w:val="00801ABE"/>
    <w:rsid w:val="00801EB9"/>
    <w:rsid w:val="00802F7C"/>
    <w:rsid w:val="00803561"/>
    <w:rsid w:val="00805042"/>
    <w:rsid w:val="00805B2C"/>
    <w:rsid w:val="008068E7"/>
    <w:rsid w:val="00806DD8"/>
    <w:rsid w:val="008077B8"/>
    <w:rsid w:val="008105B8"/>
    <w:rsid w:val="00810B47"/>
    <w:rsid w:val="00810BCA"/>
    <w:rsid w:val="008110DA"/>
    <w:rsid w:val="00811A8A"/>
    <w:rsid w:val="008122F1"/>
    <w:rsid w:val="00812469"/>
    <w:rsid w:val="00812CE2"/>
    <w:rsid w:val="00813166"/>
    <w:rsid w:val="00813F58"/>
    <w:rsid w:val="00814F01"/>
    <w:rsid w:val="00815435"/>
    <w:rsid w:val="008154C9"/>
    <w:rsid w:val="0082023D"/>
    <w:rsid w:val="00820AAF"/>
    <w:rsid w:val="00820F39"/>
    <w:rsid w:val="008217F8"/>
    <w:rsid w:val="0082337A"/>
    <w:rsid w:val="0082401B"/>
    <w:rsid w:val="0082419E"/>
    <w:rsid w:val="008242D7"/>
    <w:rsid w:val="0082499E"/>
    <w:rsid w:val="008257B1"/>
    <w:rsid w:val="00826430"/>
    <w:rsid w:val="00826B1E"/>
    <w:rsid w:val="00827BA1"/>
    <w:rsid w:val="0083077F"/>
    <w:rsid w:val="00830C50"/>
    <w:rsid w:val="00830F5D"/>
    <w:rsid w:val="00831259"/>
    <w:rsid w:val="00831849"/>
    <w:rsid w:val="008318D7"/>
    <w:rsid w:val="00831A7A"/>
    <w:rsid w:val="00831F86"/>
    <w:rsid w:val="00832335"/>
    <w:rsid w:val="00834184"/>
    <w:rsid w:val="00834AED"/>
    <w:rsid w:val="00835DAB"/>
    <w:rsid w:val="00837CD7"/>
    <w:rsid w:val="008401AE"/>
    <w:rsid w:val="0084159F"/>
    <w:rsid w:val="00841A91"/>
    <w:rsid w:val="00841C25"/>
    <w:rsid w:val="00841E9C"/>
    <w:rsid w:val="00842222"/>
    <w:rsid w:val="008425A1"/>
    <w:rsid w:val="00842E7B"/>
    <w:rsid w:val="00842ED6"/>
    <w:rsid w:val="00843767"/>
    <w:rsid w:val="0084422F"/>
    <w:rsid w:val="008455FA"/>
    <w:rsid w:val="00845A2E"/>
    <w:rsid w:val="0084644B"/>
    <w:rsid w:val="00850012"/>
    <w:rsid w:val="0085026E"/>
    <w:rsid w:val="008505E3"/>
    <w:rsid w:val="00850E4E"/>
    <w:rsid w:val="00853189"/>
    <w:rsid w:val="00853334"/>
    <w:rsid w:val="00853F90"/>
    <w:rsid w:val="0085516E"/>
    <w:rsid w:val="00855257"/>
    <w:rsid w:val="00855D4C"/>
    <w:rsid w:val="008562C1"/>
    <w:rsid w:val="008564C7"/>
    <w:rsid w:val="00857C43"/>
    <w:rsid w:val="00857DB6"/>
    <w:rsid w:val="00857F3D"/>
    <w:rsid w:val="0086007B"/>
    <w:rsid w:val="008615C9"/>
    <w:rsid w:val="00861B56"/>
    <w:rsid w:val="00862051"/>
    <w:rsid w:val="0086275D"/>
    <w:rsid w:val="00862F4D"/>
    <w:rsid w:val="00864338"/>
    <w:rsid w:val="008647C4"/>
    <w:rsid w:val="0086574F"/>
    <w:rsid w:val="0086588D"/>
    <w:rsid w:val="0086715C"/>
    <w:rsid w:val="008679D9"/>
    <w:rsid w:val="00867F0B"/>
    <w:rsid w:val="008712EE"/>
    <w:rsid w:val="008713BB"/>
    <w:rsid w:val="00871460"/>
    <w:rsid w:val="00872023"/>
    <w:rsid w:val="0087218D"/>
    <w:rsid w:val="00872308"/>
    <w:rsid w:val="008723BE"/>
    <w:rsid w:val="008731DC"/>
    <w:rsid w:val="00873B0F"/>
    <w:rsid w:val="00874303"/>
    <w:rsid w:val="0087589C"/>
    <w:rsid w:val="00876315"/>
    <w:rsid w:val="00876408"/>
    <w:rsid w:val="00876432"/>
    <w:rsid w:val="00876CF8"/>
    <w:rsid w:val="00876DF3"/>
    <w:rsid w:val="0087729E"/>
    <w:rsid w:val="008778AA"/>
    <w:rsid w:val="00877FB9"/>
    <w:rsid w:val="00880069"/>
    <w:rsid w:val="00880A7D"/>
    <w:rsid w:val="00881171"/>
    <w:rsid w:val="0088121E"/>
    <w:rsid w:val="00881B81"/>
    <w:rsid w:val="00882F91"/>
    <w:rsid w:val="00883520"/>
    <w:rsid w:val="0088385F"/>
    <w:rsid w:val="00884109"/>
    <w:rsid w:val="008844BE"/>
    <w:rsid w:val="0088509C"/>
    <w:rsid w:val="008852B8"/>
    <w:rsid w:val="008857A0"/>
    <w:rsid w:val="00885F53"/>
    <w:rsid w:val="008871F1"/>
    <w:rsid w:val="008876D7"/>
    <w:rsid w:val="00887CC1"/>
    <w:rsid w:val="00890125"/>
    <w:rsid w:val="00890985"/>
    <w:rsid w:val="00890A61"/>
    <w:rsid w:val="00890C71"/>
    <w:rsid w:val="00891D98"/>
    <w:rsid w:val="00894A2A"/>
    <w:rsid w:val="00894D6C"/>
    <w:rsid w:val="00895FA2"/>
    <w:rsid w:val="0089617E"/>
    <w:rsid w:val="0089627C"/>
    <w:rsid w:val="00897526"/>
    <w:rsid w:val="00897794"/>
    <w:rsid w:val="008979B1"/>
    <w:rsid w:val="008A0F57"/>
    <w:rsid w:val="008A1C66"/>
    <w:rsid w:val="008A1DB2"/>
    <w:rsid w:val="008A25F6"/>
    <w:rsid w:val="008A3B8D"/>
    <w:rsid w:val="008A58BA"/>
    <w:rsid w:val="008A5CB8"/>
    <w:rsid w:val="008A6B25"/>
    <w:rsid w:val="008A6C4F"/>
    <w:rsid w:val="008A775F"/>
    <w:rsid w:val="008A7EBF"/>
    <w:rsid w:val="008B22CD"/>
    <w:rsid w:val="008B2335"/>
    <w:rsid w:val="008B2B7E"/>
    <w:rsid w:val="008B6B03"/>
    <w:rsid w:val="008B72F9"/>
    <w:rsid w:val="008C0403"/>
    <w:rsid w:val="008C0938"/>
    <w:rsid w:val="008C12BB"/>
    <w:rsid w:val="008C1748"/>
    <w:rsid w:val="008C1903"/>
    <w:rsid w:val="008C2451"/>
    <w:rsid w:val="008C2B6E"/>
    <w:rsid w:val="008C33E8"/>
    <w:rsid w:val="008C3998"/>
    <w:rsid w:val="008C4B9E"/>
    <w:rsid w:val="008C5CE2"/>
    <w:rsid w:val="008C64DF"/>
    <w:rsid w:val="008C66FE"/>
    <w:rsid w:val="008C681E"/>
    <w:rsid w:val="008C6912"/>
    <w:rsid w:val="008C6947"/>
    <w:rsid w:val="008C6CF2"/>
    <w:rsid w:val="008D1129"/>
    <w:rsid w:val="008D144F"/>
    <w:rsid w:val="008D1D7A"/>
    <w:rsid w:val="008D1D93"/>
    <w:rsid w:val="008D2557"/>
    <w:rsid w:val="008D2F88"/>
    <w:rsid w:val="008D33C2"/>
    <w:rsid w:val="008D4160"/>
    <w:rsid w:val="008D44A4"/>
    <w:rsid w:val="008D4603"/>
    <w:rsid w:val="008D46CF"/>
    <w:rsid w:val="008D60EC"/>
    <w:rsid w:val="008D6580"/>
    <w:rsid w:val="008D65B9"/>
    <w:rsid w:val="008D78BA"/>
    <w:rsid w:val="008E0678"/>
    <w:rsid w:val="008E069A"/>
    <w:rsid w:val="008E1C70"/>
    <w:rsid w:val="008E1C81"/>
    <w:rsid w:val="008E35BE"/>
    <w:rsid w:val="008E42FD"/>
    <w:rsid w:val="008E476A"/>
    <w:rsid w:val="008E5E71"/>
    <w:rsid w:val="008E6B2E"/>
    <w:rsid w:val="008E725B"/>
    <w:rsid w:val="008E72D9"/>
    <w:rsid w:val="008F0A61"/>
    <w:rsid w:val="008F10A0"/>
    <w:rsid w:val="008F18B3"/>
    <w:rsid w:val="008F2383"/>
    <w:rsid w:val="008F27F7"/>
    <w:rsid w:val="008F3E4D"/>
    <w:rsid w:val="008F3F30"/>
    <w:rsid w:val="008F4191"/>
    <w:rsid w:val="008F5480"/>
    <w:rsid w:val="008F5B73"/>
    <w:rsid w:val="008F5BA6"/>
    <w:rsid w:val="008F6B09"/>
    <w:rsid w:val="008F6C47"/>
    <w:rsid w:val="008F749E"/>
    <w:rsid w:val="008F7D14"/>
    <w:rsid w:val="00900F3F"/>
    <w:rsid w:val="00901304"/>
    <w:rsid w:val="00901F9C"/>
    <w:rsid w:val="00903000"/>
    <w:rsid w:val="009032F1"/>
    <w:rsid w:val="00904677"/>
    <w:rsid w:val="009048F4"/>
    <w:rsid w:val="009050C4"/>
    <w:rsid w:val="00905E0F"/>
    <w:rsid w:val="0090707D"/>
    <w:rsid w:val="00907147"/>
    <w:rsid w:val="009106DF"/>
    <w:rsid w:val="00910F40"/>
    <w:rsid w:val="009126D8"/>
    <w:rsid w:val="00912C08"/>
    <w:rsid w:val="00914A76"/>
    <w:rsid w:val="00914AE1"/>
    <w:rsid w:val="0091516C"/>
    <w:rsid w:val="00915CB0"/>
    <w:rsid w:val="009161C4"/>
    <w:rsid w:val="00916C6B"/>
    <w:rsid w:val="0092104E"/>
    <w:rsid w:val="00921952"/>
    <w:rsid w:val="00921E60"/>
    <w:rsid w:val="009223CA"/>
    <w:rsid w:val="00922D2D"/>
    <w:rsid w:val="009240FF"/>
    <w:rsid w:val="00924123"/>
    <w:rsid w:val="009241E1"/>
    <w:rsid w:val="0092453C"/>
    <w:rsid w:val="00924A5B"/>
    <w:rsid w:val="0092614F"/>
    <w:rsid w:val="0092669D"/>
    <w:rsid w:val="00927220"/>
    <w:rsid w:val="00927726"/>
    <w:rsid w:val="00927C7D"/>
    <w:rsid w:val="009306A1"/>
    <w:rsid w:val="0093082A"/>
    <w:rsid w:val="00931D25"/>
    <w:rsid w:val="009322EC"/>
    <w:rsid w:val="009329D0"/>
    <w:rsid w:val="009329E1"/>
    <w:rsid w:val="00932A39"/>
    <w:rsid w:val="00932DD9"/>
    <w:rsid w:val="00933CE4"/>
    <w:rsid w:val="00933D17"/>
    <w:rsid w:val="0093555C"/>
    <w:rsid w:val="00935BAB"/>
    <w:rsid w:val="00936BF8"/>
    <w:rsid w:val="00936C82"/>
    <w:rsid w:val="009376B7"/>
    <w:rsid w:val="00937ECD"/>
    <w:rsid w:val="00940550"/>
    <w:rsid w:val="009407CB"/>
    <w:rsid w:val="00940B00"/>
    <w:rsid w:val="00940B5E"/>
    <w:rsid w:val="00940F93"/>
    <w:rsid w:val="009424EE"/>
    <w:rsid w:val="009428CC"/>
    <w:rsid w:val="00942FB2"/>
    <w:rsid w:val="00943028"/>
    <w:rsid w:val="009439A8"/>
    <w:rsid w:val="009444A5"/>
    <w:rsid w:val="00944C8F"/>
    <w:rsid w:val="00945928"/>
    <w:rsid w:val="009468B1"/>
    <w:rsid w:val="00947BBF"/>
    <w:rsid w:val="00947C02"/>
    <w:rsid w:val="00947DA1"/>
    <w:rsid w:val="009503C4"/>
    <w:rsid w:val="00950930"/>
    <w:rsid w:val="00950F6B"/>
    <w:rsid w:val="00951912"/>
    <w:rsid w:val="00952565"/>
    <w:rsid w:val="009526F1"/>
    <w:rsid w:val="009529BC"/>
    <w:rsid w:val="00952C63"/>
    <w:rsid w:val="0095347F"/>
    <w:rsid w:val="00956086"/>
    <w:rsid w:val="0095720F"/>
    <w:rsid w:val="00957283"/>
    <w:rsid w:val="00957F3B"/>
    <w:rsid w:val="00961FBA"/>
    <w:rsid w:val="0096225B"/>
    <w:rsid w:val="00964A39"/>
    <w:rsid w:val="00965346"/>
    <w:rsid w:val="009654AB"/>
    <w:rsid w:val="00966722"/>
    <w:rsid w:val="00967377"/>
    <w:rsid w:val="0096758E"/>
    <w:rsid w:val="0097043C"/>
    <w:rsid w:val="0097046D"/>
    <w:rsid w:val="00970686"/>
    <w:rsid w:val="00970696"/>
    <w:rsid w:val="00971333"/>
    <w:rsid w:val="00971369"/>
    <w:rsid w:val="00971823"/>
    <w:rsid w:val="00972A9C"/>
    <w:rsid w:val="009732F1"/>
    <w:rsid w:val="0097330D"/>
    <w:rsid w:val="00973728"/>
    <w:rsid w:val="00973C35"/>
    <w:rsid w:val="009741CC"/>
    <w:rsid w:val="00974E31"/>
    <w:rsid w:val="00975132"/>
    <w:rsid w:val="00975712"/>
    <w:rsid w:val="009760F3"/>
    <w:rsid w:val="00976436"/>
    <w:rsid w:val="009764E5"/>
    <w:rsid w:val="0097661B"/>
    <w:rsid w:val="00977B17"/>
    <w:rsid w:val="0098149F"/>
    <w:rsid w:val="00981E05"/>
    <w:rsid w:val="00983109"/>
    <w:rsid w:val="009852A3"/>
    <w:rsid w:val="00985FCF"/>
    <w:rsid w:val="00985FD2"/>
    <w:rsid w:val="00986C9D"/>
    <w:rsid w:val="0099032B"/>
    <w:rsid w:val="00990454"/>
    <w:rsid w:val="009909F5"/>
    <w:rsid w:val="00990E9F"/>
    <w:rsid w:val="009913AB"/>
    <w:rsid w:val="00991CED"/>
    <w:rsid w:val="009928CE"/>
    <w:rsid w:val="00992BAA"/>
    <w:rsid w:val="00992BD7"/>
    <w:rsid w:val="00992FCA"/>
    <w:rsid w:val="009934AF"/>
    <w:rsid w:val="00993D3B"/>
    <w:rsid w:val="00994039"/>
    <w:rsid w:val="0099437B"/>
    <w:rsid w:val="00994D9C"/>
    <w:rsid w:val="00994FB9"/>
    <w:rsid w:val="00996485"/>
    <w:rsid w:val="009A0250"/>
    <w:rsid w:val="009A03F7"/>
    <w:rsid w:val="009A0E8D"/>
    <w:rsid w:val="009A13B3"/>
    <w:rsid w:val="009A1F6B"/>
    <w:rsid w:val="009A2899"/>
    <w:rsid w:val="009A313A"/>
    <w:rsid w:val="009A3B92"/>
    <w:rsid w:val="009A4944"/>
    <w:rsid w:val="009A4EA1"/>
    <w:rsid w:val="009A5BE4"/>
    <w:rsid w:val="009B0616"/>
    <w:rsid w:val="009B1653"/>
    <w:rsid w:val="009B2698"/>
    <w:rsid w:val="009B26E7"/>
    <w:rsid w:val="009B30BB"/>
    <w:rsid w:val="009B3629"/>
    <w:rsid w:val="009B386F"/>
    <w:rsid w:val="009B3F07"/>
    <w:rsid w:val="009B5F0A"/>
    <w:rsid w:val="009B5F42"/>
    <w:rsid w:val="009B7BC4"/>
    <w:rsid w:val="009B7FD2"/>
    <w:rsid w:val="009C0696"/>
    <w:rsid w:val="009C0DA8"/>
    <w:rsid w:val="009C1E64"/>
    <w:rsid w:val="009C202A"/>
    <w:rsid w:val="009C261C"/>
    <w:rsid w:val="009C2CB8"/>
    <w:rsid w:val="009C3E52"/>
    <w:rsid w:val="009C41B0"/>
    <w:rsid w:val="009C4ED8"/>
    <w:rsid w:val="009C62F8"/>
    <w:rsid w:val="009C7305"/>
    <w:rsid w:val="009D0DDA"/>
    <w:rsid w:val="009D12B7"/>
    <w:rsid w:val="009D2717"/>
    <w:rsid w:val="009D33A1"/>
    <w:rsid w:val="009D3437"/>
    <w:rsid w:val="009D3573"/>
    <w:rsid w:val="009D3FB6"/>
    <w:rsid w:val="009D4158"/>
    <w:rsid w:val="009D59E3"/>
    <w:rsid w:val="009D5B08"/>
    <w:rsid w:val="009D61B2"/>
    <w:rsid w:val="009D7844"/>
    <w:rsid w:val="009D792A"/>
    <w:rsid w:val="009E104D"/>
    <w:rsid w:val="009E1826"/>
    <w:rsid w:val="009E1B48"/>
    <w:rsid w:val="009E2049"/>
    <w:rsid w:val="009E34A3"/>
    <w:rsid w:val="009E3712"/>
    <w:rsid w:val="009E40C8"/>
    <w:rsid w:val="009E4691"/>
    <w:rsid w:val="009E4C3D"/>
    <w:rsid w:val="009E4F8D"/>
    <w:rsid w:val="009E507B"/>
    <w:rsid w:val="009E58E0"/>
    <w:rsid w:val="009E67E8"/>
    <w:rsid w:val="009F07C9"/>
    <w:rsid w:val="009F0B40"/>
    <w:rsid w:val="009F2171"/>
    <w:rsid w:val="009F350D"/>
    <w:rsid w:val="009F3743"/>
    <w:rsid w:val="009F3CDF"/>
    <w:rsid w:val="009F5A28"/>
    <w:rsid w:val="009F6319"/>
    <w:rsid w:val="009F6B8C"/>
    <w:rsid w:val="009F7E6B"/>
    <w:rsid w:val="009F7E88"/>
    <w:rsid w:val="00A00A3F"/>
    <w:rsid w:val="00A00B07"/>
    <w:rsid w:val="00A01489"/>
    <w:rsid w:val="00A01ADC"/>
    <w:rsid w:val="00A0228E"/>
    <w:rsid w:val="00A0241B"/>
    <w:rsid w:val="00A03A6D"/>
    <w:rsid w:val="00A03B36"/>
    <w:rsid w:val="00A10CAB"/>
    <w:rsid w:val="00A11843"/>
    <w:rsid w:val="00A11ED7"/>
    <w:rsid w:val="00A13F4F"/>
    <w:rsid w:val="00A156BB"/>
    <w:rsid w:val="00A16253"/>
    <w:rsid w:val="00A16D36"/>
    <w:rsid w:val="00A2097A"/>
    <w:rsid w:val="00A20B1A"/>
    <w:rsid w:val="00A20EBB"/>
    <w:rsid w:val="00A21139"/>
    <w:rsid w:val="00A2139E"/>
    <w:rsid w:val="00A224A2"/>
    <w:rsid w:val="00A226BD"/>
    <w:rsid w:val="00A227D4"/>
    <w:rsid w:val="00A24497"/>
    <w:rsid w:val="00A24A09"/>
    <w:rsid w:val="00A256FE"/>
    <w:rsid w:val="00A25CCF"/>
    <w:rsid w:val="00A27627"/>
    <w:rsid w:val="00A279CB"/>
    <w:rsid w:val="00A30C87"/>
    <w:rsid w:val="00A3160C"/>
    <w:rsid w:val="00A3187D"/>
    <w:rsid w:val="00A322CD"/>
    <w:rsid w:val="00A3287C"/>
    <w:rsid w:val="00A333C6"/>
    <w:rsid w:val="00A338F1"/>
    <w:rsid w:val="00A3398B"/>
    <w:rsid w:val="00A3487C"/>
    <w:rsid w:val="00A34937"/>
    <w:rsid w:val="00A36023"/>
    <w:rsid w:val="00A37573"/>
    <w:rsid w:val="00A4082D"/>
    <w:rsid w:val="00A4091F"/>
    <w:rsid w:val="00A41756"/>
    <w:rsid w:val="00A418BE"/>
    <w:rsid w:val="00A422CC"/>
    <w:rsid w:val="00A42778"/>
    <w:rsid w:val="00A42C88"/>
    <w:rsid w:val="00A434B6"/>
    <w:rsid w:val="00A43858"/>
    <w:rsid w:val="00A43A07"/>
    <w:rsid w:val="00A43DAE"/>
    <w:rsid w:val="00A443F6"/>
    <w:rsid w:val="00A4458C"/>
    <w:rsid w:val="00A44615"/>
    <w:rsid w:val="00A44846"/>
    <w:rsid w:val="00A448A1"/>
    <w:rsid w:val="00A44BE1"/>
    <w:rsid w:val="00A46683"/>
    <w:rsid w:val="00A46DEF"/>
    <w:rsid w:val="00A51647"/>
    <w:rsid w:val="00A5336B"/>
    <w:rsid w:val="00A534CA"/>
    <w:rsid w:val="00A5393F"/>
    <w:rsid w:val="00A541B5"/>
    <w:rsid w:val="00A54D8E"/>
    <w:rsid w:val="00A5592E"/>
    <w:rsid w:val="00A55B33"/>
    <w:rsid w:val="00A60ADA"/>
    <w:rsid w:val="00A60BC6"/>
    <w:rsid w:val="00A6113A"/>
    <w:rsid w:val="00A61746"/>
    <w:rsid w:val="00A62375"/>
    <w:rsid w:val="00A6244A"/>
    <w:rsid w:val="00A62ED0"/>
    <w:rsid w:val="00A64C5A"/>
    <w:rsid w:val="00A6540D"/>
    <w:rsid w:val="00A669F9"/>
    <w:rsid w:val="00A66A91"/>
    <w:rsid w:val="00A70D58"/>
    <w:rsid w:val="00A70E44"/>
    <w:rsid w:val="00A71523"/>
    <w:rsid w:val="00A71C88"/>
    <w:rsid w:val="00A72320"/>
    <w:rsid w:val="00A727B0"/>
    <w:rsid w:val="00A72ACD"/>
    <w:rsid w:val="00A72F22"/>
    <w:rsid w:val="00A7360F"/>
    <w:rsid w:val="00A7382C"/>
    <w:rsid w:val="00A73B06"/>
    <w:rsid w:val="00A748A6"/>
    <w:rsid w:val="00A760DE"/>
    <w:rsid w:val="00A76440"/>
    <w:rsid w:val="00A769F4"/>
    <w:rsid w:val="00A76D5F"/>
    <w:rsid w:val="00A776B4"/>
    <w:rsid w:val="00A776DB"/>
    <w:rsid w:val="00A77ED5"/>
    <w:rsid w:val="00A81793"/>
    <w:rsid w:val="00A82F93"/>
    <w:rsid w:val="00A83848"/>
    <w:rsid w:val="00A83CB2"/>
    <w:rsid w:val="00A8401E"/>
    <w:rsid w:val="00A84323"/>
    <w:rsid w:val="00A8728E"/>
    <w:rsid w:val="00A878B9"/>
    <w:rsid w:val="00A87D07"/>
    <w:rsid w:val="00A87F46"/>
    <w:rsid w:val="00A901E4"/>
    <w:rsid w:val="00A903B3"/>
    <w:rsid w:val="00A903FB"/>
    <w:rsid w:val="00A90F66"/>
    <w:rsid w:val="00A90FB7"/>
    <w:rsid w:val="00A9110E"/>
    <w:rsid w:val="00A919ED"/>
    <w:rsid w:val="00A92044"/>
    <w:rsid w:val="00A921CB"/>
    <w:rsid w:val="00A931FD"/>
    <w:rsid w:val="00A9399F"/>
    <w:rsid w:val="00A94048"/>
    <w:rsid w:val="00A94361"/>
    <w:rsid w:val="00A94568"/>
    <w:rsid w:val="00A94579"/>
    <w:rsid w:val="00A94B2F"/>
    <w:rsid w:val="00A95353"/>
    <w:rsid w:val="00A95820"/>
    <w:rsid w:val="00A97C02"/>
    <w:rsid w:val="00AA01B3"/>
    <w:rsid w:val="00AA16EB"/>
    <w:rsid w:val="00AA2089"/>
    <w:rsid w:val="00AA2213"/>
    <w:rsid w:val="00AA256C"/>
    <w:rsid w:val="00AA2670"/>
    <w:rsid w:val="00AA293C"/>
    <w:rsid w:val="00AA3C75"/>
    <w:rsid w:val="00AA4180"/>
    <w:rsid w:val="00AA4655"/>
    <w:rsid w:val="00AA4CB4"/>
    <w:rsid w:val="00AA4DB4"/>
    <w:rsid w:val="00AA6988"/>
    <w:rsid w:val="00AB08CB"/>
    <w:rsid w:val="00AB0B7D"/>
    <w:rsid w:val="00AB0E40"/>
    <w:rsid w:val="00AB0F36"/>
    <w:rsid w:val="00AB141F"/>
    <w:rsid w:val="00AB17F6"/>
    <w:rsid w:val="00AB1DEE"/>
    <w:rsid w:val="00AB20F1"/>
    <w:rsid w:val="00AB2809"/>
    <w:rsid w:val="00AB2B2E"/>
    <w:rsid w:val="00AB2CEB"/>
    <w:rsid w:val="00AB493C"/>
    <w:rsid w:val="00AB634E"/>
    <w:rsid w:val="00AB6E0F"/>
    <w:rsid w:val="00AB70D0"/>
    <w:rsid w:val="00AC0BB9"/>
    <w:rsid w:val="00AC3112"/>
    <w:rsid w:val="00AC31CC"/>
    <w:rsid w:val="00AC3476"/>
    <w:rsid w:val="00AC4100"/>
    <w:rsid w:val="00AC4BEF"/>
    <w:rsid w:val="00AC51C1"/>
    <w:rsid w:val="00AC524C"/>
    <w:rsid w:val="00AC56D3"/>
    <w:rsid w:val="00AC65B7"/>
    <w:rsid w:val="00AC741B"/>
    <w:rsid w:val="00AC77D3"/>
    <w:rsid w:val="00AD0094"/>
    <w:rsid w:val="00AD1719"/>
    <w:rsid w:val="00AD2438"/>
    <w:rsid w:val="00AD29C5"/>
    <w:rsid w:val="00AD4517"/>
    <w:rsid w:val="00AD4F86"/>
    <w:rsid w:val="00AD6BC4"/>
    <w:rsid w:val="00AD6D4A"/>
    <w:rsid w:val="00AD70DD"/>
    <w:rsid w:val="00AD7892"/>
    <w:rsid w:val="00AE009A"/>
    <w:rsid w:val="00AE17C2"/>
    <w:rsid w:val="00AE2130"/>
    <w:rsid w:val="00AE30FA"/>
    <w:rsid w:val="00AE46C5"/>
    <w:rsid w:val="00AE5562"/>
    <w:rsid w:val="00AE5C48"/>
    <w:rsid w:val="00AE724D"/>
    <w:rsid w:val="00AE7960"/>
    <w:rsid w:val="00AE7973"/>
    <w:rsid w:val="00AF0154"/>
    <w:rsid w:val="00AF1734"/>
    <w:rsid w:val="00AF2119"/>
    <w:rsid w:val="00AF29B9"/>
    <w:rsid w:val="00AF36C1"/>
    <w:rsid w:val="00AF40D5"/>
    <w:rsid w:val="00AF49FA"/>
    <w:rsid w:val="00AF4C3A"/>
    <w:rsid w:val="00AF5045"/>
    <w:rsid w:val="00AF593E"/>
    <w:rsid w:val="00AF7276"/>
    <w:rsid w:val="00AF72C1"/>
    <w:rsid w:val="00AF74E4"/>
    <w:rsid w:val="00AF753E"/>
    <w:rsid w:val="00AF79E2"/>
    <w:rsid w:val="00B006C6"/>
    <w:rsid w:val="00B028AA"/>
    <w:rsid w:val="00B02DF0"/>
    <w:rsid w:val="00B032D5"/>
    <w:rsid w:val="00B04197"/>
    <w:rsid w:val="00B041A9"/>
    <w:rsid w:val="00B053D5"/>
    <w:rsid w:val="00B05B0D"/>
    <w:rsid w:val="00B05F68"/>
    <w:rsid w:val="00B062FF"/>
    <w:rsid w:val="00B07009"/>
    <w:rsid w:val="00B114F0"/>
    <w:rsid w:val="00B11D2D"/>
    <w:rsid w:val="00B11FA1"/>
    <w:rsid w:val="00B1200F"/>
    <w:rsid w:val="00B126FB"/>
    <w:rsid w:val="00B13E9B"/>
    <w:rsid w:val="00B14DA6"/>
    <w:rsid w:val="00B15596"/>
    <w:rsid w:val="00B15767"/>
    <w:rsid w:val="00B15A03"/>
    <w:rsid w:val="00B16498"/>
    <w:rsid w:val="00B16D8A"/>
    <w:rsid w:val="00B22552"/>
    <w:rsid w:val="00B236A2"/>
    <w:rsid w:val="00B238B1"/>
    <w:rsid w:val="00B24C6B"/>
    <w:rsid w:val="00B3011F"/>
    <w:rsid w:val="00B30179"/>
    <w:rsid w:val="00B32150"/>
    <w:rsid w:val="00B326FE"/>
    <w:rsid w:val="00B3314A"/>
    <w:rsid w:val="00B339A7"/>
    <w:rsid w:val="00B33D8B"/>
    <w:rsid w:val="00B33F04"/>
    <w:rsid w:val="00B33FC9"/>
    <w:rsid w:val="00B34E15"/>
    <w:rsid w:val="00B34F2F"/>
    <w:rsid w:val="00B35041"/>
    <w:rsid w:val="00B36BBE"/>
    <w:rsid w:val="00B36E88"/>
    <w:rsid w:val="00B373D4"/>
    <w:rsid w:val="00B37A97"/>
    <w:rsid w:val="00B404A6"/>
    <w:rsid w:val="00B4107D"/>
    <w:rsid w:val="00B411C9"/>
    <w:rsid w:val="00B422C9"/>
    <w:rsid w:val="00B4255B"/>
    <w:rsid w:val="00B42915"/>
    <w:rsid w:val="00B43D7F"/>
    <w:rsid w:val="00B44F75"/>
    <w:rsid w:val="00B465B0"/>
    <w:rsid w:val="00B47688"/>
    <w:rsid w:val="00B476EB"/>
    <w:rsid w:val="00B50C9B"/>
    <w:rsid w:val="00B50DD4"/>
    <w:rsid w:val="00B52C79"/>
    <w:rsid w:val="00B56091"/>
    <w:rsid w:val="00B5613D"/>
    <w:rsid w:val="00B56D1E"/>
    <w:rsid w:val="00B56E4A"/>
    <w:rsid w:val="00B56E9C"/>
    <w:rsid w:val="00B6012C"/>
    <w:rsid w:val="00B60B2B"/>
    <w:rsid w:val="00B60EE7"/>
    <w:rsid w:val="00B626CD"/>
    <w:rsid w:val="00B63021"/>
    <w:rsid w:val="00B63EC0"/>
    <w:rsid w:val="00B63EED"/>
    <w:rsid w:val="00B63F68"/>
    <w:rsid w:val="00B63F9E"/>
    <w:rsid w:val="00B640A4"/>
    <w:rsid w:val="00B64A03"/>
    <w:rsid w:val="00B64B1F"/>
    <w:rsid w:val="00B6553F"/>
    <w:rsid w:val="00B66BB7"/>
    <w:rsid w:val="00B66E5E"/>
    <w:rsid w:val="00B67170"/>
    <w:rsid w:val="00B6759C"/>
    <w:rsid w:val="00B678D3"/>
    <w:rsid w:val="00B70691"/>
    <w:rsid w:val="00B707A6"/>
    <w:rsid w:val="00B70A71"/>
    <w:rsid w:val="00B70E49"/>
    <w:rsid w:val="00B70EE8"/>
    <w:rsid w:val="00B71028"/>
    <w:rsid w:val="00B71779"/>
    <w:rsid w:val="00B7180C"/>
    <w:rsid w:val="00B7203A"/>
    <w:rsid w:val="00B72042"/>
    <w:rsid w:val="00B72E60"/>
    <w:rsid w:val="00B72FA4"/>
    <w:rsid w:val="00B7394C"/>
    <w:rsid w:val="00B73977"/>
    <w:rsid w:val="00B73C73"/>
    <w:rsid w:val="00B751DB"/>
    <w:rsid w:val="00B75DE7"/>
    <w:rsid w:val="00B77D05"/>
    <w:rsid w:val="00B77D93"/>
    <w:rsid w:val="00B77E62"/>
    <w:rsid w:val="00B811D6"/>
    <w:rsid w:val="00B81206"/>
    <w:rsid w:val="00B812CE"/>
    <w:rsid w:val="00B81D9B"/>
    <w:rsid w:val="00B81E12"/>
    <w:rsid w:val="00B82441"/>
    <w:rsid w:val="00B8250D"/>
    <w:rsid w:val="00B82C19"/>
    <w:rsid w:val="00B84664"/>
    <w:rsid w:val="00B84CD1"/>
    <w:rsid w:val="00B84CDC"/>
    <w:rsid w:val="00B84F82"/>
    <w:rsid w:val="00B85B11"/>
    <w:rsid w:val="00B85BDF"/>
    <w:rsid w:val="00B87BCB"/>
    <w:rsid w:val="00B87CBA"/>
    <w:rsid w:val="00B90538"/>
    <w:rsid w:val="00B9067B"/>
    <w:rsid w:val="00B90A8D"/>
    <w:rsid w:val="00B9112F"/>
    <w:rsid w:val="00B91246"/>
    <w:rsid w:val="00B9141C"/>
    <w:rsid w:val="00B915AA"/>
    <w:rsid w:val="00B92534"/>
    <w:rsid w:val="00B925DC"/>
    <w:rsid w:val="00B928CF"/>
    <w:rsid w:val="00B941F2"/>
    <w:rsid w:val="00B94F58"/>
    <w:rsid w:val="00B94FB5"/>
    <w:rsid w:val="00B95F70"/>
    <w:rsid w:val="00BA037A"/>
    <w:rsid w:val="00BA0EA4"/>
    <w:rsid w:val="00BA0F20"/>
    <w:rsid w:val="00BA1549"/>
    <w:rsid w:val="00BA1C24"/>
    <w:rsid w:val="00BA1CC1"/>
    <w:rsid w:val="00BA1CC8"/>
    <w:rsid w:val="00BA1E1F"/>
    <w:rsid w:val="00BA224D"/>
    <w:rsid w:val="00BA2AE3"/>
    <w:rsid w:val="00BA2FDB"/>
    <w:rsid w:val="00BA32A2"/>
    <w:rsid w:val="00BA3634"/>
    <w:rsid w:val="00BA4426"/>
    <w:rsid w:val="00BA4E0B"/>
    <w:rsid w:val="00BA5CAE"/>
    <w:rsid w:val="00BA5EE8"/>
    <w:rsid w:val="00BA60D6"/>
    <w:rsid w:val="00BA650A"/>
    <w:rsid w:val="00BA6C71"/>
    <w:rsid w:val="00BA70E2"/>
    <w:rsid w:val="00BA779C"/>
    <w:rsid w:val="00BA7A43"/>
    <w:rsid w:val="00BB08FB"/>
    <w:rsid w:val="00BB1195"/>
    <w:rsid w:val="00BB14DC"/>
    <w:rsid w:val="00BB1ADB"/>
    <w:rsid w:val="00BB25F9"/>
    <w:rsid w:val="00BB303F"/>
    <w:rsid w:val="00BB3047"/>
    <w:rsid w:val="00BB3E6D"/>
    <w:rsid w:val="00BB4059"/>
    <w:rsid w:val="00BB41D2"/>
    <w:rsid w:val="00BB4FE5"/>
    <w:rsid w:val="00BB507F"/>
    <w:rsid w:val="00BB592F"/>
    <w:rsid w:val="00BB79F6"/>
    <w:rsid w:val="00BC1127"/>
    <w:rsid w:val="00BC258B"/>
    <w:rsid w:val="00BC2C23"/>
    <w:rsid w:val="00BC3780"/>
    <w:rsid w:val="00BC4591"/>
    <w:rsid w:val="00BC52FD"/>
    <w:rsid w:val="00BC68BA"/>
    <w:rsid w:val="00BC71E0"/>
    <w:rsid w:val="00BC74E9"/>
    <w:rsid w:val="00BC794C"/>
    <w:rsid w:val="00BC7CD7"/>
    <w:rsid w:val="00BD1267"/>
    <w:rsid w:val="00BD2B82"/>
    <w:rsid w:val="00BD3CCC"/>
    <w:rsid w:val="00BD3EE4"/>
    <w:rsid w:val="00BD4490"/>
    <w:rsid w:val="00BD4C87"/>
    <w:rsid w:val="00BD5A0F"/>
    <w:rsid w:val="00BD7566"/>
    <w:rsid w:val="00BD7CF6"/>
    <w:rsid w:val="00BE0A0F"/>
    <w:rsid w:val="00BE0BAE"/>
    <w:rsid w:val="00BE1811"/>
    <w:rsid w:val="00BE189C"/>
    <w:rsid w:val="00BE297A"/>
    <w:rsid w:val="00BE3109"/>
    <w:rsid w:val="00BE3B03"/>
    <w:rsid w:val="00BE4408"/>
    <w:rsid w:val="00BE5B3E"/>
    <w:rsid w:val="00BE6620"/>
    <w:rsid w:val="00BE6B28"/>
    <w:rsid w:val="00BE74EC"/>
    <w:rsid w:val="00BF15CF"/>
    <w:rsid w:val="00BF27CF"/>
    <w:rsid w:val="00BF2A76"/>
    <w:rsid w:val="00BF2E0E"/>
    <w:rsid w:val="00BF35B6"/>
    <w:rsid w:val="00BF3954"/>
    <w:rsid w:val="00BF43D7"/>
    <w:rsid w:val="00BF44D0"/>
    <w:rsid w:val="00BF4645"/>
    <w:rsid w:val="00BF476D"/>
    <w:rsid w:val="00BF5002"/>
    <w:rsid w:val="00BF5D8C"/>
    <w:rsid w:val="00BF68A8"/>
    <w:rsid w:val="00BF6987"/>
    <w:rsid w:val="00BF7C15"/>
    <w:rsid w:val="00C01578"/>
    <w:rsid w:val="00C01AEE"/>
    <w:rsid w:val="00C02A1B"/>
    <w:rsid w:val="00C02A8D"/>
    <w:rsid w:val="00C02C4B"/>
    <w:rsid w:val="00C04C76"/>
    <w:rsid w:val="00C04F32"/>
    <w:rsid w:val="00C05F42"/>
    <w:rsid w:val="00C069EB"/>
    <w:rsid w:val="00C06FCA"/>
    <w:rsid w:val="00C10D51"/>
    <w:rsid w:val="00C11A03"/>
    <w:rsid w:val="00C11FDF"/>
    <w:rsid w:val="00C143EB"/>
    <w:rsid w:val="00C145C1"/>
    <w:rsid w:val="00C14BAC"/>
    <w:rsid w:val="00C14BD6"/>
    <w:rsid w:val="00C15550"/>
    <w:rsid w:val="00C173AE"/>
    <w:rsid w:val="00C201EC"/>
    <w:rsid w:val="00C20737"/>
    <w:rsid w:val="00C20FCC"/>
    <w:rsid w:val="00C214D9"/>
    <w:rsid w:val="00C23026"/>
    <w:rsid w:val="00C2628A"/>
    <w:rsid w:val="00C266CF"/>
    <w:rsid w:val="00C26F03"/>
    <w:rsid w:val="00C26FC0"/>
    <w:rsid w:val="00C27581"/>
    <w:rsid w:val="00C300F2"/>
    <w:rsid w:val="00C30BF9"/>
    <w:rsid w:val="00C311A3"/>
    <w:rsid w:val="00C31357"/>
    <w:rsid w:val="00C336BC"/>
    <w:rsid w:val="00C3404B"/>
    <w:rsid w:val="00C34376"/>
    <w:rsid w:val="00C366BC"/>
    <w:rsid w:val="00C37954"/>
    <w:rsid w:val="00C40EAE"/>
    <w:rsid w:val="00C416BF"/>
    <w:rsid w:val="00C425B0"/>
    <w:rsid w:val="00C42B0D"/>
    <w:rsid w:val="00C42E5C"/>
    <w:rsid w:val="00C43195"/>
    <w:rsid w:val="00C4366F"/>
    <w:rsid w:val="00C43987"/>
    <w:rsid w:val="00C4547D"/>
    <w:rsid w:val="00C455F8"/>
    <w:rsid w:val="00C45889"/>
    <w:rsid w:val="00C463DD"/>
    <w:rsid w:val="00C47021"/>
    <w:rsid w:val="00C4724C"/>
    <w:rsid w:val="00C47765"/>
    <w:rsid w:val="00C47A90"/>
    <w:rsid w:val="00C505C1"/>
    <w:rsid w:val="00C50808"/>
    <w:rsid w:val="00C5114E"/>
    <w:rsid w:val="00C51AA5"/>
    <w:rsid w:val="00C53C80"/>
    <w:rsid w:val="00C54A1B"/>
    <w:rsid w:val="00C55040"/>
    <w:rsid w:val="00C561FD"/>
    <w:rsid w:val="00C56C38"/>
    <w:rsid w:val="00C57D7E"/>
    <w:rsid w:val="00C6112D"/>
    <w:rsid w:val="00C61A80"/>
    <w:rsid w:val="00C6210B"/>
    <w:rsid w:val="00C625C5"/>
    <w:rsid w:val="00C626F5"/>
    <w:rsid w:val="00C629A0"/>
    <w:rsid w:val="00C62C49"/>
    <w:rsid w:val="00C6421E"/>
    <w:rsid w:val="00C6540D"/>
    <w:rsid w:val="00C65D11"/>
    <w:rsid w:val="00C65D44"/>
    <w:rsid w:val="00C65F24"/>
    <w:rsid w:val="00C667EA"/>
    <w:rsid w:val="00C66E13"/>
    <w:rsid w:val="00C67715"/>
    <w:rsid w:val="00C67C01"/>
    <w:rsid w:val="00C67DB3"/>
    <w:rsid w:val="00C70A59"/>
    <w:rsid w:val="00C70EAE"/>
    <w:rsid w:val="00C730CD"/>
    <w:rsid w:val="00C73104"/>
    <w:rsid w:val="00C745C3"/>
    <w:rsid w:val="00C74721"/>
    <w:rsid w:val="00C750C4"/>
    <w:rsid w:val="00C75778"/>
    <w:rsid w:val="00C767DA"/>
    <w:rsid w:val="00C77965"/>
    <w:rsid w:val="00C8039C"/>
    <w:rsid w:val="00C80594"/>
    <w:rsid w:val="00C80598"/>
    <w:rsid w:val="00C81556"/>
    <w:rsid w:val="00C82A2C"/>
    <w:rsid w:val="00C82CBA"/>
    <w:rsid w:val="00C82D84"/>
    <w:rsid w:val="00C83775"/>
    <w:rsid w:val="00C83FAD"/>
    <w:rsid w:val="00C84326"/>
    <w:rsid w:val="00C8488B"/>
    <w:rsid w:val="00C86583"/>
    <w:rsid w:val="00C869D0"/>
    <w:rsid w:val="00C86C91"/>
    <w:rsid w:val="00C878F9"/>
    <w:rsid w:val="00C9018D"/>
    <w:rsid w:val="00C90259"/>
    <w:rsid w:val="00C90922"/>
    <w:rsid w:val="00C90A6F"/>
    <w:rsid w:val="00C90FBC"/>
    <w:rsid w:val="00C91BF6"/>
    <w:rsid w:val="00C930C0"/>
    <w:rsid w:val="00C931E9"/>
    <w:rsid w:val="00C9391D"/>
    <w:rsid w:val="00C9539C"/>
    <w:rsid w:val="00C95953"/>
    <w:rsid w:val="00C9689A"/>
    <w:rsid w:val="00C96FB9"/>
    <w:rsid w:val="00C97648"/>
    <w:rsid w:val="00CA0B98"/>
    <w:rsid w:val="00CA1568"/>
    <w:rsid w:val="00CA1C55"/>
    <w:rsid w:val="00CA2063"/>
    <w:rsid w:val="00CA2074"/>
    <w:rsid w:val="00CA2353"/>
    <w:rsid w:val="00CA24D2"/>
    <w:rsid w:val="00CA3BCF"/>
    <w:rsid w:val="00CA4130"/>
    <w:rsid w:val="00CA51EA"/>
    <w:rsid w:val="00CA5221"/>
    <w:rsid w:val="00CA6108"/>
    <w:rsid w:val="00CA64F1"/>
    <w:rsid w:val="00CA68A6"/>
    <w:rsid w:val="00CA6AA5"/>
    <w:rsid w:val="00CA6F14"/>
    <w:rsid w:val="00CB02E5"/>
    <w:rsid w:val="00CB183C"/>
    <w:rsid w:val="00CB1A42"/>
    <w:rsid w:val="00CB1E36"/>
    <w:rsid w:val="00CB1F5E"/>
    <w:rsid w:val="00CB2297"/>
    <w:rsid w:val="00CB3DE5"/>
    <w:rsid w:val="00CB4B48"/>
    <w:rsid w:val="00CB69AB"/>
    <w:rsid w:val="00CB6DA1"/>
    <w:rsid w:val="00CB6E28"/>
    <w:rsid w:val="00CB6F90"/>
    <w:rsid w:val="00CB79BD"/>
    <w:rsid w:val="00CC0228"/>
    <w:rsid w:val="00CC09DF"/>
    <w:rsid w:val="00CC1E05"/>
    <w:rsid w:val="00CC2095"/>
    <w:rsid w:val="00CC2514"/>
    <w:rsid w:val="00CC2A1F"/>
    <w:rsid w:val="00CC3A62"/>
    <w:rsid w:val="00CC4681"/>
    <w:rsid w:val="00CC4D22"/>
    <w:rsid w:val="00CC4FBE"/>
    <w:rsid w:val="00CC5D60"/>
    <w:rsid w:val="00CC60B3"/>
    <w:rsid w:val="00CC66C5"/>
    <w:rsid w:val="00CC6C5D"/>
    <w:rsid w:val="00CC7524"/>
    <w:rsid w:val="00CC7704"/>
    <w:rsid w:val="00CC77FD"/>
    <w:rsid w:val="00CC791D"/>
    <w:rsid w:val="00CD18C2"/>
    <w:rsid w:val="00CD1D2D"/>
    <w:rsid w:val="00CD22CA"/>
    <w:rsid w:val="00CD31B2"/>
    <w:rsid w:val="00CD3B75"/>
    <w:rsid w:val="00CD3ED9"/>
    <w:rsid w:val="00CD43A2"/>
    <w:rsid w:val="00CD4FD6"/>
    <w:rsid w:val="00CD5334"/>
    <w:rsid w:val="00CD5B8E"/>
    <w:rsid w:val="00CD606E"/>
    <w:rsid w:val="00CD750E"/>
    <w:rsid w:val="00CD7996"/>
    <w:rsid w:val="00CD7F44"/>
    <w:rsid w:val="00CE0144"/>
    <w:rsid w:val="00CE0D7F"/>
    <w:rsid w:val="00CE14A7"/>
    <w:rsid w:val="00CE3990"/>
    <w:rsid w:val="00CE3D2B"/>
    <w:rsid w:val="00CE4824"/>
    <w:rsid w:val="00CE49BE"/>
    <w:rsid w:val="00CE4A8F"/>
    <w:rsid w:val="00CE4DF1"/>
    <w:rsid w:val="00CE5FB4"/>
    <w:rsid w:val="00CE64F5"/>
    <w:rsid w:val="00CE6E0D"/>
    <w:rsid w:val="00CF041B"/>
    <w:rsid w:val="00CF0628"/>
    <w:rsid w:val="00CF105F"/>
    <w:rsid w:val="00CF166B"/>
    <w:rsid w:val="00CF293B"/>
    <w:rsid w:val="00CF3563"/>
    <w:rsid w:val="00CF3A0C"/>
    <w:rsid w:val="00CF3EB1"/>
    <w:rsid w:val="00CF4948"/>
    <w:rsid w:val="00CF4E53"/>
    <w:rsid w:val="00CF4EB1"/>
    <w:rsid w:val="00CF5338"/>
    <w:rsid w:val="00CF5D11"/>
    <w:rsid w:val="00D01290"/>
    <w:rsid w:val="00D0137C"/>
    <w:rsid w:val="00D01F8E"/>
    <w:rsid w:val="00D03108"/>
    <w:rsid w:val="00D0330B"/>
    <w:rsid w:val="00D04AC9"/>
    <w:rsid w:val="00D04FE7"/>
    <w:rsid w:val="00D04FFF"/>
    <w:rsid w:val="00D0585A"/>
    <w:rsid w:val="00D06902"/>
    <w:rsid w:val="00D06AB5"/>
    <w:rsid w:val="00D06C3E"/>
    <w:rsid w:val="00D06DC0"/>
    <w:rsid w:val="00D07243"/>
    <w:rsid w:val="00D075A8"/>
    <w:rsid w:val="00D077C4"/>
    <w:rsid w:val="00D1022C"/>
    <w:rsid w:val="00D1027C"/>
    <w:rsid w:val="00D105DD"/>
    <w:rsid w:val="00D105FD"/>
    <w:rsid w:val="00D10674"/>
    <w:rsid w:val="00D1101F"/>
    <w:rsid w:val="00D1153D"/>
    <w:rsid w:val="00D12100"/>
    <w:rsid w:val="00D12571"/>
    <w:rsid w:val="00D126DE"/>
    <w:rsid w:val="00D12E86"/>
    <w:rsid w:val="00D130A3"/>
    <w:rsid w:val="00D13D1D"/>
    <w:rsid w:val="00D14300"/>
    <w:rsid w:val="00D14762"/>
    <w:rsid w:val="00D2030A"/>
    <w:rsid w:val="00D2031B"/>
    <w:rsid w:val="00D20E1F"/>
    <w:rsid w:val="00D214FF"/>
    <w:rsid w:val="00D2225D"/>
    <w:rsid w:val="00D227A3"/>
    <w:rsid w:val="00D22F37"/>
    <w:rsid w:val="00D236D8"/>
    <w:rsid w:val="00D240B9"/>
    <w:rsid w:val="00D25FE2"/>
    <w:rsid w:val="00D30865"/>
    <w:rsid w:val="00D30EDF"/>
    <w:rsid w:val="00D312A8"/>
    <w:rsid w:val="00D319B4"/>
    <w:rsid w:val="00D338ED"/>
    <w:rsid w:val="00D34852"/>
    <w:rsid w:val="00D3520D"/>
    <w:rsid w:val="00D3595B"/>
    <w:rsid w:val="00D37C92"/>
    <w:rsid w:val="00D37FC9"/>
    <w:rsid w:val="00D401AC"/>
    <w:rsid w:val="00D40985"/>
    <w:rsid w:val="00D413B9"/>
    <w:rsid w:val="00D41BCD"/>
    <w:rsid w:val="00D41F44"/>
    <w:rsid w:val="00D4267C"/>
    <w:rsid w:val="00D43252"/>
    <w:rsid w:val="00D43E8A"/>
    <w:rsid w:val="00D44B22"/>
    <w:rsid w:val="00D452C1"/>
    <w:rsid w:val="00D45761"/>
    <w:rsid w:val="00D45F44"/>
    <w:rsid w:val="00D47137"/>
    <w:rsid w:val="00D47EEA"/>
    <w:rsid w:val="00D513B9"/>
    <w:rsid w:val="00D53301"/>
    <w:rsid w:val="00D534A8"/>
    <w:rsid w:val="00D54F09"/>
    <w:rsid w:val="00D55A86"/>
    <w:rsid w:val="00D55D45"/>
    <w:rsid w:val="00D55F89"/>
    <w:rsid w:val="00D5680C"/>
    <w:rsid w:val="00D56CFA"/>
    <w:rsid w:val="00D572DB"/>
    <w:rsid w:val="00D57508"/>
    <w:rsid w:val="00D57911"/>
    <w:rsid w:val="00D57E4B"/>
    <w:rsid w:val="00D603AA"/>
    <w:rsid w:val="00D60DB9"/>
    <w:rsid w:val="00D61489"/>
    <w:rsid w:val="00D61988"/>
    <w:rsid w:val="00D619EA"/>
    <w:rsid w:val="00D61B44"/>
    <w:rsid w:val="00D629CE"/>
    <w:rsid w:val="00D6381B"/>
    <w:rsid w:val="00D64082"/>
    <w:rsid w:val="00D64E4A"/>
    <w:rsid w:val="00D65B2F"/>
    <w:rsid w:val="00D660CA"/>
    <w:rsid w:val="00D66397"/>
    <w:rsid w:val="00D67D44"/>
    <w:rsid w:val="00D701CD"/>
    <w:rsid w:val="00D70D43"/>
    <w:rsid w:val="00D71887"/>
    <w:rsid w:val="00D71A1E"/>
    <w:rsid w:val="00D71EAB"/>
    <w:rsid w:val="00D7231A"/>
    <w:rsid w:val="00D73030"/>
    <w:rsid w:val="00D73B87"/>
    <w:rsid w:val="00D74BB6"/>
    <w:rsid w:val="00D76013"/>
    <w:rsid w:val="00D76C24"/>
    <w:rsid w:val="00D77BFB"/>
    <w:rsid w:val="00D77D21"/>
    <w:rsid w:val="00D803F7"/>
    <w:rsid w:val="00D81E5E"/>
    <w:rsid w:val="00D82874"/>
    <w:rsid w:val="00D832C8"/>
    <w:rsid w:val="00D8365B"/>
    <w:rsid w:val="00D843D2"/>
    <w:rsid w:val="00D84748"/>
    <w:rsid w:val="00D84BC3"/>
    <w:rsid w:val="00D85001"/>
    <w:rsid w:val="00D850D1"/>
    <w:rsid w:val="00D85274"/>
    <w:rsid w:val="00D854EF"/>
    <w:rsid w:val="00D86052"/>
    <w:rsid w:val="00D86FC8"/>
    <w:rsid w:val="00D87652"/>
    <w:rsid w:val="00D87F20"/>
    <w:rsid w:val="00D90505"/>
    <w:rsid w:val="00D90916"/>
    <w:rsid w:val="00D90B60"/>
    <w:rsid w:val="00D9194B"/>
    <w:rsid w:val="00D9252F"/>
    <w:rsid w:val="00D92A50"/>
    <w:rsid w:val="00D9454A"/>
    <w:rsid w:val="00D95303"/>
    <w:rsid w:val="00D95D3F"/>
    <w:rsid w:val="00D95DE8"/>
    <w:rsid w:val="00D9629F"/>
    <w:rsid w:val="00D96305"/>
    <w:rsid w:val="00D96D5A"/>
    <w:rsid w:val="00D97604"/>
    <w:rsid w:val="00D978C6"/>
    <w:rsid w:val="00DA0923"/>
    <w:rsid w:val="00DA1505"/>
    <w:rsid w:val="00DA19A9"/>
    <w:rsid w:val="00DA1AC8"/>
    <w:rsid w:val="00DA1D35"/>
    <w:rsid w:val="00DA2BA5"/>
    <w:rsid w:val="00DA3111"/>
    <w:rsid w:val="00DA3C1C"/>
    <w:rsid w:val="00DA3DFF"/>
    <w:rsid w:val="00DA3F5C"/>
    <w:rsid w:val="00DA48B0"/>
    <w:rsid w:val="00DA48DC"/>
    <w:rsid w:val="00DA58A2"/>
    <w:rsid w:val="00DA5A7D"/>
    <w:rsid w:val="00DA684B"/>
    <w:rsid w:val="00DA6877"/>
    <w:rsid w:val="00DA75E6"/>
    <w:rsid w:val="00DB0254"/>
    <w:rsid w:val="00DB0C79"/>
    <w:rsid w:val="00DB145D"/>
    <w:rsid w:val="00DB1DA3"/>
    <w:rsid w:val="00DB2AA6"/>
    <w:rsid w:val="00DB2D29"/>
    <w:rsid w:val="00DB3621"/>
    <w:rsid w:val="00DB37F9"/>
    <w:rsid w:val="00DB3969"/>
    <w:rsid w:val="00DB3A8A"/>
    <w:rsid w:val="00DB4089"/>
    <w:rsid w:val="00DB412A"/>
    <w:rsid w:val="00DB4479"/>
    <w:rsid w:val="00DB5F1E"/>
    <w:rsid w:val="00DB63DA"/>
    <w:rsid w:val="00DB6A35"/>
    <w:rsid w:val="00DB76BB"/>
    <w:rsid w:val="00DB7857"/>
    <w:rsid w:val="00DB7AC2"/>
    <w:rsid w:val="00DC058C"/>
    <w:rsid w:val="00DC05D6"/>
    <w:rsid w:val="00DC0E59"/>
    <w:rsid w:val="00DC151E"/>
    <w:rsid w:val="00DC18B3"/>
    <w:rsid w:val="00DC220C"/>
    <w:rsid w:val="00DC2497"/>
    <w:rsid w:val="00DC35E6"/>
    <w:rsid w:val="00DC385B"/>
    <w:rsid w:val="00DC42A1"/>
    <w:rsid w:val="00DC470A"/>
    <w:rsid w:val="00DC55E9"/>
    <w:rsid w:val="00DC60A5"/>
    <w:rsid w:val="00DC66A5"/>
    <w:rsid w:val="00DC6B52"/>
    <w:rsid w:val="00DC6FDE"/>
    <w:rsid w:val="00DC7A25"/>
    <w:rsid w:val="00DD0899"/>
    <w:rsid w:val="00DD0B75"/>
    <w:rsid w:val="00DD17C9"/>
    <w:rsid w:val="00DD19FB"/>
    <w:rsid w:val="00DD1F68"/>
    <w:rsid w:val="00DD2ABF"/>
    <w:rsid w:val="00DD2FEB"/>
    <w:rsid w:val="00DD40AC"/>
    <w:rsid w:val="00DD4BD1"/>
    <w:rsid w:val="00DD513C"/>
    <w:rsid w:val="00DD592B"/>
    <w:rsid w:val="00DD5BE1"/>
    <w:rsid w:val="00DD62CF"/>
    <w:rsid w:val="00DD66EA"/>
    <w:rsid w:val="00DD6A65"/>
    <w:rsid w:val="00DD6C1A"/>
    <w:rsid w:val="00DD74ED"/>
    <w:rsid w:val="00DD7865"/>
    <w:rsid w:val="00DD7878"/>
    <w:rsid w:val="00DD7EC3"/>
    <w:rsid w:val="00DE1347"/>
    <w:rsid w:val="00DE247D"/>
    <w:rsid w:val="00DE2676"/>
    <w:rsid w:val="00DE3403"/>
    <w:rsid w:val="00DE3EBD"/>
    <w:rsid w:val="00DE40B6"/>
    <w:rsid w:val="00DE6C5A"/>
    <w:rsid w:val="00DE7C15"/>
    <w:rsid w:val="00DE7EAB"/>
    <w:rsid w:val="00DF120A"/>
    <w:rsid w:val="00DF1898"/>
    <w:rsid w:val="00DF48BD"/>
    <w:rsid w:val="00DF491F"/>
    <w:rsid w:val="00DF5AE3"/>
    <w:rsid w:val="00DF68E2"/>
    <w:rsid w:val="00DF6D34"/>
    <w:rsid w:val="00DF746F"/>
    <w:rsid w:val="00DF75C6"/>
    <w:rsid w:val="00E00195"/>
    <w:rsid w:val="00E00452"/>
    <w:rsid w:val="00E01205"/>
    <w:rsid w:val="00E015B6"/>
    <w:rsid w:val="00E0224F"/>
    <w:rsid w:val="00E02EA8"/>
    <w:rsid w:val="00E03A97"/>
    <w:rsid w:val="00E0465B"/>
    <w:rsid w:val="00E04746"/>
    <w:rsid w:val="00E051B4"/>
    <w:rsid w:val="00E05765"/>
    <w:rsid w:val="00E059AA"/>
    <w:rsid w:val="00E1035B"/>
    <w:rsid w:val="00E11310"/>
    <w:rsid w:val="00E12CCE"/>
    <w:rsid w:val="00E14928"/>
    <w:rsid w:val="00E15304"/>
    <w:rsid w:val="00E20C9C"/>
    <w:rsid w:val="00E20F78"/>
    <w:rsid w:val="00E2127B"/>
    <w:rsid w:val="00E215AA"/>
    <w:rsid w:val="00E222F4"/>
    <w:rsid w:val="00E243A4"/>
    <w:rsid w:val="00E25768"/>
    <w:rsid w:val="00E25CDA"/>
    <w:rsid w:val="00E261B6"/>
    <w:rsid w:val="00E26209"/>
    <w:rsid w:val="00E26226"/>
    <w:rsid w:val="00E270CE"/>
    <w:rsid w:val="00E27346"/>
    <w:rsid w:val="00E303A1"/>
    <w:rsid w:val="00E304F1"/>
    <w:rsid w:val="00E3074E"/>
    <w:rsid w:val="00E30B74"/>
    <w:rsid w:val="00E30D3F"/>
    <w:rsid w:val="00E31517"/>
    <w:rsid w:val="00E3193A"/>
    <w:rsid w:val="00E31EEC"/>
    <w:rsid w:val="00E32117"/>
    <w:rsid w:val="00E32F1E"/>
    <w:rsid w:val="00E330FD"/>
    <w:rsid w:val="00E33237"/>
    <w:rsid w:val="00E3382D"/>
    <w:rsid w:val="00E34A10"/>
    <w:rsid w:val="00E34F1A"/>
    <w:rsid w:val="00E3526F"/>
    <w:rsid w:val="00E35D61"/>
    <w:rsid w:val="00E36571"/>
    <w:rsid w:val="00E4061B"/>
    <w:rsid w:val="00E4082B"/>
    <w:rsid w:val="00E41078"/>
    <w:rsid w:val="00E41D69"/>
    <w:rsid w:val="00E42006"/>
    <w:rsid w:val="00E42052"/>
    <w:rsid w:val="00E42224"/>
    <w:rsid w:val="00E426A7"/>
    <w:rsid w:val="00E430E7"/>
    <w:rsid w:val="00E44339"/>
    <w:rsid w:val="00E446A0"/>
    <w:rsid w:val="00E45149"/>
    <w:rsid w:val="00E45683"/>
    <w:rsid w:val="00E465B6"/>
    <w:rsid w:val="00E4665A"/>
    <w:rsid w:val="00E468E1"/>
    <w:rsid w:val="00E50EF3"/>
    <w:rsid w:val="00E50F47"/>
    <w:rsid w:val="00E5122F"/>
    <w:rsid w:val="00E51CA6"/>
    <w:rsid w:val="00E528B6"/>
    <w:rsid w:val="00E52D28"/>
    <w:rsid w:val="00E53649"/>
    <w:rsid w:val="00E536C9"/>
    <w:rsid w:val="00E53AD1"/>
    <w:rsid w:val="00E548B9"/>
    <w:rsid w:val="00E54968"/>
    <w:rsid w:val="00E571AC"/>
    <w:rsid w:val="00E57EBB"/>
    <w:rsid w:val="00E60098"/>
    <w:rsid w:val="00E6182F"/>
    <w:rsid w:val="00E62147"/>
    <w:rsid w:val="00E62929"/>
    <w:rsid w:val="00E6338A"/>
    <w:rsid w:val="00E64318"/>
    <w:rsid w:val="00E64B8F"/>
    <w:rsid w:val="00E64E7D"/>
    <w:rsid w:val="00E6589C"/>
    <w:rsid w:val="00E65B23"/>
    <w:rsid w:val="00E65B56"/>
    <w:rsid w:val="00E65F4E"/>
    <w:rsid w:val="00E663A9"/>
    <w:rsid w:val="00E669A1"/>
    <w:rsid w:val="00E6702C"/>
    <w:rsid w:val="00E70895"/>
    <w:rsid w:val="00E71753"/>
    <w:rsid w:val="00E71A86"/>
    <w:rsid w:val="00E71BC8"/>
    <w:rsid w:val="00E71E70"/>
    <w:rsid w:val="00E7260F"/>
    <w:rsid w:val="00E7274F"/>
    <w:rsid w:val="00E73050"/>
    <w:rsid w:val="00E73230"/>
    <w:rsid w:val="00E7337D"/>
    <w:rsid w:val="00E736E8"/>
    <w:rsid w:val="00E744F5"/>
    <w:rsid w:val="00E74D08"/>
    <w:rsid w:val="00E7510B"/>
    <w:rsid w:val="00E779FC"/>
    <w:rsid w:val="00E80100"/>
    <w:rsid w:val="00E80ACC"/>
    <w:rsid w:val="00E812E2"/>
    <w:rsid w:val="00E81C97"/>
    <w:rsid w:val="00E830EB"/>
    <w:rsid w:val="00E8344E"/>
    <w:rsid w:val="00E83610"/>
    <w:rsid w:val="00E83BAB"/>
    <w:rsid w:val="00E84039"/>
    <w:rsid w:val="00E85095"/>
    <w:rsid w:val="00E853B5"/>
    <w:rsid w:val="00E860D8"/>
    <w:rsid w:val="00E8640B"/>
    <w:rsid w:val="00E866A2"/>
    <w:rsid w:val="00E86FBA"/>
    <w:rsid w:val="00E87548"/>
    <w:rsid w:val="00E9083A"/>
    <w:rsid w:val="00E91264"/>
    <w:rsid w:val="00E939B5"/>
    <w:rsid w:val="00E95AD5"/>
    <w:rsid w:val="00E96179"/>
    <w:rsid w:val="00E96630"/>
    <w:rsid w:val="00E97549"/>
    <w:rsid w:val="00E978CB"/>
    <w:rsid w:val="00E97FBD"/>
    <w:rsid w:val="00EA0131"/>
    <w:rsid w:val="00EA04C3"/>
    <w:rsid w:val="00EA0F64"/>
    <w:rsid w:val="00EA0F9D"/>
    <w:rsid w:val="00EA37E5"/>
    <w:rsid w:val="00EA3C62"/>
    <w:rsid w:val="00EA3F26"/>
    <w:rsid w:val="00EA455A"/>
    <w:rsid w:val="00EA590C"/>
    <w:rsid w:val="00EA6BBC"/>
    <w:rsid w:val="00EA739B"/>
    <w:rsid w:val="00EA76B7"/>
    <w:rsid w:val="00EA7CA8"/>
    <w:rsid w:val="00EB009B"/>
    <w:rsid w:val="00EB09C6"/>
    <w:rsid w:val="00EB0E34"/>
    <w:rsid w:val="00EB2581"/>
    <w:rsid w:val="00EB2945"/>
    <w:rsid w:val="00EB2A83"/>
    <w:rsid w:val="00EB2DB2"/>
    <w:rsid w:val="00EB324F"/>
    <w:rsid w:val="00EB32FB"/>
    <w:rsid w:val="00EB390D"/>
    <w:rsid w:val="00EB3B71"/>
    <w:rsid w:val="00EB4E35"/>
    <w:rsid w:val="00EB61C5"/>
    <w:rsid w:val="00EB7D22"/>
    <w:rsid w:val="00EC06D5"/>
    <w:rsid w:val="00EC2E57"/>
    <w:rsid w:val="00EC307E"/>
    <w:rsid w:val="00EC31C1"/>
    <w:rsid w:val="00EC39B2"/>
    <w:rsid w:val="00EC3BEC"/>
    <w:rsid w:val="00EC4010"/>
    <w:rsid w:val="00EC540E"/>
    <w:rsid w:val="00EC56B8"/>
    <w:rsid w:val="00EC5803"/>
    <w:rsid w:val="00EC5D6A"/>
    <w:rsid w:val="00EC6A3D"/>
    <w:rsid w:val="00EC7901"/>
    <w:rsid w:val="00EC7C4D"/>
    <w:rsid w:val="00ED030A"/>
    <w:rsid w:val="00ED0A98"/>
    <w:rsid w:val="00ED125B"/>
    <w:rsid w:val="00ED1CC6"/>
    <w:rsid w:val="00ED2523"/>
    <w:rsid w:val="00ED295F"/>
    <w:rsid w:val="00ED4481"/>
    <w:rsid w:val="00ED4B76"/>
    <w:rsid w:val="00ED4EB0"/>
    <w:rsid w:val="00ED4ED0"/>
    <w:rsid w:val="00ED55F1"/>
    <w:rsid w:val="00ED697E"/>
    <w:rsid w:val="00ED6DF1"/>
    <w:rsid w:val="00ED6E5D"/>
    <w:rsid w:val="00ED754C"/>
    <w:rsid w:val="00ED7A2A"/>
    <w:rsid w:val="00ED7CD3"/>
    <w:rsid w:val="00EE30A4"/>
    <w:rsid w:val="00EE3B49"/>
    <w:rsid w:val="00EE5491"/>
    <w:rsid w:val="00EE567E"/>
    <w:rsid w:val="00EE5985"/>
    <w:rsid w:val="00EE5BEC"/>
    <w:rsid w:val="00EE6FC6"/>
    <w:rsid w:val="00EF0922"/>
    <w:rsid w:val="00EF1201"/>
    <w:rsid w:val="00EF1D29"/>
    <w:rsid w:val="00EF1D7F"/>
    <w:rsid w:val="00EF286A"/>
    <w:rsid w:val="00EF2CDF"/>
    <w:rsid w:val="00EF31AB"/>
    <w:rsid w:val="00EF33F0"/>
    <w:rsid w:val="00EF354B"/>
    <w:rsid w:val="00EF3903"/>
    <w:rsid w:val="00EF3E6D"/>
    <w:rsid w:val="00EF4052"/>
    <w:rsid w:val="00EF4377"/>
    <w:rsid w:val="00EF4380"/>
    <w:rsid w:val="00EF4592"/>
    <w:rsid w:val="00EF4ADD"/>
    <w:rsid w:val="00EF5C95"/>
    <w:rsid w:val="00EF61DD"/>
    <w:rsid w:val="00EF6E96"/>
    <w:rsid w:val="00EF7698"/>
    <w:rsid w:val="00EF7860"/>
    <w:rsid w:val="00F00093"/>
    <w:rsid w:val="00F01557"/>
    <w:rsid w:val="00F020AB"/>
    <w:rsid w:val="00F02625"/>
    <w:rsid w:val="00F02923"/>
    <w:rsid w:val="00F03F0C"/>
    <w:rsid w:val="00F0409D"/>
    <w:rsid w:val="00F04177"/>
    <w:rsid w:val="00F04B18"/>
    <w:rsid w:val="00F04D54"/>
    <w:rsid w:val="00F04D7A"/>
    <w:rsid w:val="00F07146"/>
    <w:rsid w:val="00F1008E"/>
    <w:rsid w:val="00F101A3"/>
    <w:rsid w:val="00F10F53"/>
    <w:rsid w:val="00F12010"/>
    <w:rsid w:val="00F13179"/>
    <w:rsid w:val="00F14792"/>
    <w:rsid w:val="00F14820"/>
    <w:rsid w:val="00F151BF"/>
    <w:rsid w:val="00F15631"/>
    <w:rsid w:val="00F16340"/>
    <w:rsid w:val="00F16556"/>
    <w:rsid w:val="00F16A30"/>
    <w:rsid w:val="00F16FA5"/>
    <w:rsid w:val="00F20B05"/>
    <w:rsid w:val="00F20C3D"/>
    <w:rsid w:val="00F21D25"/>
    <w:rsid w:val="00F21FF3"/>
    <w:rsid w:val="00F22E02"/>
    <w:rsid w:val="00F234C7"/>
    <w:rsid w:val="00F23A99"/>
    <w:rsid w:val="00F23CD9"/>
    <w:rsid w:val="00F247F9"/>
    <w:rsid w:val="00F2480D"/>
    <w:rsid w:val="00F24FD3"/>
    <w:rsid w:val="00F256D8"/>
    <w:rsid w:val="00F25BB7"/>
    <w:rsid w:val="00F25F94"/>
    <w:rsid w:val="00F261DA"/>
    <w:rsid w:val="00F3015F"/>
    <w:rsid w:val="00F30F0F"/>
    <w:rsid w:val="00F30FC6"/>
    <w:rsid w:val="00F32393"/>
    <w:rsid w:val="00F33250"/>
    <w:rsid w:val="00F337A5"/>
    <w:rsid w:val="00F3441E"/>
    <w:rsid w:val="00F34B24"/>
    <w:rsid w:val="00F35004"/>
    <w:rsid w:val="00F37081"/>
    <w:rsid w:val="00F3769C"/>
    <w:rsid w:val="00F37D94"/>
    <w:rsid w:val="00F37DFC"/>
    <w:rsid w:val="00F400D7"/>
    <w:rsid w:val="00F405A9"/>
    <w:rsid w:val="00F40C35"/>
    <w:rsid w:val="00F40F8F"/>
    <w:rsid w:val="00F41882"/>
    <w:rsid w:val="00F41A3B"/>
    <w:rsid w:val="00F42D4E"/>
    <w:rsid w:val="00F43AD1"/>
    <w:rsid w:val="00F43E9E"/>
    <w:rsid w:val="00F44E14"/>
    <w:rsid w:val="00F45BC7"/>
    <w:rsid w:val="00F47862"/>
    <w:rsid w:val="00F50464"/>
    <w:rsid w:val="00F5047A"/>
    <w:rsid w:val="00F514A5"/>
    <w:rsid w:val="00F51582"/>
    <w:rsid w:val="00F5208D"/>
    <w:rsid w:val="00F52782"/>
    <w:rsid w:val="00F5297E"/>
    <w:rsid w:val="00F52F5D"/>
    <w:rsid w:val="00F54E03"/>
    <w:rsid w:val="00F554CD"/>
    <w:rsid w:val="00F555B6"/>
    <w:rsid w:val="00F56FC6"/>
    <w:rsid w:val="00F60150"/>
    <w:rsid w:val="00F6060F"/>
    <w:rsid w:val="00F61725"/>
    <w:rsid w:val="00F61876"/>
    <w:rsid w:val="00F61A6C"/>
    <w:rsid w:val="00F636CE"/>
    <w:rsid w:val="00F63764"/>
    <w:rsid w:val="00F653B0"/>
    <w:rsid w:val="00F65EB7"/>
    <w:rsid w:val="00F6655D"/>
    <w:rsid w:val="00F67DC6"/>
    <w:rsid w:val="00F7159C"/>
    <w:rsid w:val="00F71FCF"/>
    <w:rsid w:val="00F72216"/>
    <w:rsid w:val="00F7264E"/>
    <w:rsid w:val="00F728C6"/>
    <w:rsid w:val="00F736FF"/>
    <w:rsid w:val="00F737E6"/>
    <w:rsid w:val="00F744BD"/>
    <w:rsid w:val="00F7582E"/>
    <w:rsid w:val="00F776FF"/>
    <w:rsid w:val="00F8091C"/>
    <w:rsid w:val="00F81773"/>
    <w:rsid w:val="00F82DC7"/>
    <w:rsid w:val="00F8314E"/>
    <w:rsid w:val="00F837FF"/>
    <w:rsid w:val="00F83EA1"/>
    <w:rsid w:val="00F8545D"/>
    <w:rsid w:val="00F85EC9"/>
    <w:rsid w:val="00F86A3C"/>
    <w:rsid w:val="00F86C7B"/>
    <w:rsid w:val="00F86CA8"/>
    <w:rsid w:val="00F873B8"/>
    <w:rsid w:val="00F9057C"/>
    <w:rsid w:val="00F906D7"/>
    <w:rsid w:val="00F9110A"/>
    <w:rsid w:val="00F9129A"/>
    <w:rsid w:val="00F9141D"/>
    <w:rsid w:val="00F92A46"/>
    <w:rsid w:val="00F93781"/>
    <w:rsid w:val="00F94C30"/>
    <w:rsid w:val="00F94CF8"/>
    <w:rsid w:val="00F95878"/>
    <w:rsid w:val="00F95DB5"/>
    <w:rsid w:val="00F95FAD"/>
    <w:rsid w:val="00F961AC"/>
    <w:rsid w:val="00F96AA9"/>
    <w:rsid w:val="00FA11E1"/>
    <w:rsid w:val="00FA14DE"/>
    <w:rsid w:val="00FA222B"/>
    <w:rsid w:val="00FA280B"/>
    <w:rsid w:val="00FA3050"/>
    <w:rsid w:val="00FA479E"/>
    <w:rsid w:val="00FA48D2"/>
    <w:rsid w:val="00FA52E4"/>
    <w:rsid w:val="00FA5BB9"/>
    <w:rsid w:val="00FA6041"/>
    <w:rsid w:val="00FA67D9"/>
    <w:rsid w:val="00FA6B16"/>
    <w:rsid w:val="00FA6E37"/>
    <w:rsid w:val="00FB2382"/>
    <w:rsid w:val="00FB286A"/>
    <w:rsid w:val="00FB2C9C"/>
    <w:rsid w:val="00FB344B"/>
    <w:rsid w:val="00FB3BA2"/>
    <w:rsid w:val="00FB613B"/>
    <w:rsid w:val="00FB61EE"/>
    <w:rsid w:val="00FB6394"/>
    <w:rsid w:val="00FB6EB4"/>
    <w:rsid w:val="00FB7FAC"/>
    <w:rsid w:val="00FC0B91"/>
    <w:rsid w:val="00FC0C8C"/>
    <w:rsid w:val="00FC10AD"/>
    <w:rsid w:val="00FC1908"/>
    <w:rsid w:val="00FC1BAF"/>
    <w:rsid w:val="00FC28A8"/>
    <w:rsid w:val="00FC2A10"/>
    <w:rsid w:val="00FC3AD3"/>
    <w:rsid w:val="00FC6443"/>
    <w:rsid w:val="00FC68B7"/>
    <w:rsid w:val="00FC6ADC"/>
    <w:rsid w:val="00FD10BA"/>
    <w:rsid w:val="00FD11F2"/>
    <w:rsid w:val="00FD1C0B"/>
    <w:rsid w:val="00FD1C6E"/>
    <w:rsid w:val="00FD1F65"/>
    <w:rsid w:val="00FD21B6"/>
    <w:rsid w:val="00FD2B32"/>
    <w:rsid w:val="00FD2E7A"/>
    <w:rsid w:val="00FD3B6D"/>
    <w:rsid w:val="00FD3F74"/>
    <w:rsid w:val="00FD46DF"/>
    <w:rsid w:val="00FD4D17"/>
    <w:rsid w:val="00FD504C"/>
    <w:rsid w:val="00FD5458"/>
    <w:rsid w:val="00FD5CD3"/>
    <w:rsid w:val="00FD732A"/>
    <w:rsid w:val="00FE0243"/>
    <w:rsid w:val="00FE106A"/>
    <w:rsid w:val="00FE16F0"/>
    <w:rsid w:val="00FE1830"/>
    <w:rsid w:val="00FE241C"/>
    <w:rsid w:val="00FE293F"/>
    <w:rsid w:val="00FE3D6A"/>
    <w:rsid w:val="00FE51CB"/>
    <w:rsid w:val="00FF01B8"/>
    <w:rsid w:val="00FF10E8"/>
    <w:rsid w:val="00FF1B5B"/>
    <w:rsid w:val="00FF244B"/>
    <w:rsid w:val="00FF3061"/>
    <w:rsid w:val="00FF30BF"/>
    <w:rsid w:val="00FF4D7A"/>
    <w:rsid w:val="00FF53E2"/>
    <w:rsid w:val="00FF5B7D"/>
    <w:rsid w:val="00FF74B3"/>
    <w:rsid w:val="00FF7A8F"/>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8433">
      <v:textbox inset="5.85pt,.7pt,5.85pt,.7pt"/>
    </o:shapedefaults>
    <o:shapelayout v:ext="edit">
      <o:idmap v:ext="edit" data="1"/>
    </o:shapelayout>
  </w:shapeDefaults>
  <w:decimalSymbol w:val="."/>
  <w:listSeparator w:val=","/>
  <w14:docId w14:val="534B9EF4"/>
  <w15:docId w15:val="{38DD8730-08DB-401B-A094-F63978CEA0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uiPriority="67"/>
    <w:lsdException w:name="Medium Grid 2" w:uiPriority="1" w:qFormat="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4059"/>
    <w:pPr>
      <w:suppressAutoHyphens/>
      <w:spacing w:line="240" w:lineRule="atLeast"/>
    </w:pPr>
    <w:rPr>
      <w:lang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Footnote Text Char Char Char Char Char,Footnote Text Char Char Char Char,Footnote reference,FA Fu,Footnote Text Char Char Char,Footnote Reference1, Char,Char,ft,Style 27,Char Char Char Char Char,Style 11, Char Char Char,Char Char Char"/>
    <w:basedOn w:val="Normal"/>
    <w:link w:val="FootnoteTextChar"/>
    <w:qFormat/>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Footnote number,ftref,Footnotes refss,Style 10,Appel note de bas de p.,referencia nota al pie,BVI fnr,Footnote text,4_Footnote text,callout,Fago Fußnotenzeichen,16 Point,Superscript 6 Point,Footnote,Footnote symbol,f"/>
    <w:uiPriority w:val="99"/>
    <w:qFormat/>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FootnoteTextChar">
    <w:name w:val="Footnote Text Char"/>
    <w:aliases w:val="5_G Char,Footnote Text Char Char Char Char Char Char,Footnote Text Char Char Char Char Char1,Footnote reference Char,FA Fu Char,Footnote Text Char Char Char Char1,Footnote Reference1 Char, Char Char,Char Char,ft Char,Style 27 Char"/>
    <w:link w:val="FootnoteText"/>
    <w:rsid w:val="00FA222B"/>
    <w:rPr>
      <w:sz w:val="18"/>
      <w:lang w:eastAsia="en-US"/>
    </w:rPr>
  </w:style>
  <w:style w:type="character" w:customStyle="1" w:styleId="SingleTxtGChar">
    <w:name w:val="_ Single Txt_G Char"/>
    <w:link w:val="SingleTxtG"/>
    <w:rsid w:val="00FA222B"/>
    <w:rPr>
      <w:lang w:eastAsia="en-US"/>
    </w:rPr>
  </w:style>
  <w:style w:type="paragraph" w:styleId="BalloonText">
    <w:name w:val="Balloon Text"/>
    <w:basedOn w:val="Normal"/>
    <w:link w:val="BalloonTextChar"/>
    <w:rsid w:val="002D523B"/>
    <w:pPr>
      <w:spacing w:line="240" w:lineRule="auto"/>
    </w:pPr>
    <w:rPr>
      <w:rFonts w:ascii="Tahoma" w:hAnsi="Tahoma" w:cs="Tahoma"/>
      <w:sz w:val="16"/>
      <w:szCs w:val="16"/>
    </w:rPr>
  </w:style>
  <w:style w:type="character" w:customStyle="1" w:styleId="BalloonTextChar">
    <w:name w:val="Balloon Text Char"/>
    <w:link w:val="BalloonText"/>
    <w:rsid w:val="002D523B"/>
    <w:rPr>
      <w:rFonts w:ascii="Tahoma" w:hAnsi="Tahoma" w:cs="Tahoma"/>
      <w:sz w:val="16"/>
      <w:szCs w:val="16"/>
      <w:lang w:eastAsia="en-US"/>
    </w:rPr>
  </w:style>
  <w:style w:type="character" w:styleId="CommentReference">
    <w:name w:val="annotation reference"/>
    <w:rsid w:val="009E3712"/>
    <w:rPr>
      <w:sz w:val="16"/>
      <w:szCs w:val="16"/>
    </w:rPr>
  </w:style>
  <w:style w:type="paragraph" w:styleId="CommentText">
    <w:name w:val="annotation text"/>
    <w:basedOn w:val="Normal"/>
    <w:link w:val="CommentTextChar"/>
    <w:rsid w:val="009E3712"/>
  </w:style>
  <w:style w:type="character" w:customStyle="1" w:styleId="CommentTextChar">
    <w:name w:val="Comment Text Char"/>
    <w:link w:val="CommentText"/>
    <w:rsid w:val="009E3712"/>
    <w:rPr>
      <w:lang w:val="en-GB"/>
    </w:rPr>
  </w:style>
  <w:style w:type="paragraph" w:styleId="CommentSubject">
    <w:name w:val="annotation subject"/>
    <w:basedOn w:val="CommentText"/>
    <w:next w:val="CommentText"/>
    <w:link w:val="CommentSubjectChar"/>
    <w:rsid w:val="009E3712"/>
    <w:rPr>
      <w:b/>
      <w:bCs/>
    </w:rPr>
  </w:style>
  <w:style w:type="character" w:customStyle="1" w:styleId="CommentSubjectChar">
    <w:name w:val="Comment Subject Char"/>
    <w:link w:val="CommentSubject"/>
    <w:rsid w:val="009E3712"/>
    <w:rPr>
      <w:b/>
      <w:bCs/>
      <w:lang w:val="en-GB"/>
    </w:rPr>
  </w:style>
  <w:style w:type="paragraph" w:customStyle="1" w:styleId="ColorfulShading-Accent11">
    <w:name w:val="Colorful Shading - Accent 11"/>
    <w:hidden/>
    <w:uiPriority w:val="71"/>
    <w:semiHidden/>
    <w:rsid w:val="00494C15"/>
    <w:rPr>
      <w:lang w:eastAsia="en-US"/>
    </w:rPr>
  </w:style>
  <w:style w:type="paragraph" w:customStyle="1" w:styleId="ColorfulList-Accent11">
    <w:name w:val="Colorful List - Accent 11"/>
    <w:basedOn w:val="Normal"/>
    <w:uiPriority w:val="34"/>
    <w:qFormat/>
    <w:rsid w:val="00A760DE"/>
    <w:pPr>
      <w:ind w:left="720"/>
      <w:contextualSpacing/>
    </w:pPr>
  </w:style>
  <w:style w:type="paragraph" w:customStyle="1" w:styleId="MediumGrid21">
    <w:name w:val="Medium Grid 21"/>
    <w:uiPriority w:val="1"/>
    <w:qFormat/>
    <w:rsid w:val="002F4AF0"/>
    <w:rPr>
      <w:rFonts w:ascii="Calibri" w:eastAsia="Calibri" w:hAnsi="Calibri"/>
      <w:sz w:val="22"/>
      <w:szCs w:val="22"/>
      <w:lang w:eastAsia="en-US"/>
    </w:rPr>
  </w:style>
  <w:style w:type="paragraph" w:styleId="Revision">
    <w:name w:val="Revision"/>
    <w:hidden/>
    <w:uiPriority w:val="99"/>
    <w:unhideWhenUsed/>
    <w:rsid w:val="00AC51C1"/>
    <w:rPr>
      <w:lang w:eastAsia="en-US"/>
    </w:rPr>
  </w:style>
  <w:style w:type="character" w:styleId="LineNumber">
    <w:name w:val="line number"/>
    <w:semiHidden/>
    <w:unhideWhenUsed/>
    <w:rsid w:val="004E7107"/>
  </w:style>
  <w:style w:type="paragraph" w:styleId="ListParagraph">
    <w:name w:val="List Paragraph"/>
    <w:basedOn w:val="Normal"/>
    <w:uiPriority w:val="34"/>
    <w:qFormat/>
    <w:rsid w:val="00CA3BCF"/>
    <w:pPr>
      <w:ind w:left="720"/>
      <w:contextualSpacing/>
    </w:pPr>
  </w:style>
  <w:style w:type="paragraph" w:styleId="NoSpacing">
    <w:name w:val="No Spacing"/>
    <w:qFormat/>
    <w:rsid w:val="00E83610"/>
    <w:pPr>
      <w:suppressAutoHyphens/>
    </w:pPr>
    <w:rPr>
      <w:lang w:eastAsia="en-US"/>
    </w:rPr>
  </w:style>
  <w:style w:type="paragraph" w:styleId="NormalWeb">
    <w:name w:val="Normal (Web)"/>
    <w:basedOn w:val="Normal"/>
    <w:semiHidden/>
    <w:unhideWhenUsed/>
    <w:rsid w:val="00E270CE"/>
    <w:rPr>
      <w:sz w:val="24"/>
      <w:szCs w:val="24"/>
    </w:rPr>
  </w:style>
  <w:style w:type="character" w:customStyle="1" w:styleId="st">
    <w:name w:val="st"/>
    <w:basedOn w:val="DefaultParagraphFont"/>
    <w:rsid w:val="00E549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966238">
      <w:bodyDiv w:val="1"/>
      <w:marLeft w:val="0"/>
      <w:marRight w:val="0"/>
      <w:marTop w:val="0"/>
      <w:marBottom w:val="0"/>
      <w:divBdr>
        <w:top w:val="none" w:sz="0" w:space="0" w:color="auto"/>
        <w:left w:val="none" w:sz="0" w:space="0" w:color="auto"/>
        <w:bottom w:val="none" w:sz="0" w:space="0" w:color="auto"/>
        <w:right w:val="none" w:sz="0" w:space="0" w:color="auto"/>
      </w:divBdr>
    </w:div>
    <w:div w:id="283973979">
      <w:bodyDiv w:val="1"/>
      <w:marLeft w:val="0"/>
      <w:marRight w:val="0"/>
      <w:marTop w:val="0"/>
      <w:marBottom w:val="0"/>
      <w:divBdr>
        <w:top w:val="none" w:sz="0" w:space="0" w:color="auto"/>
        <w:left w:val="none" w:sz="0" w:space="0" w:color="auto"/>
        <w:bottom w:val="none" w:sz="0" w:space="0" w:color="auto"/>
        <w:right w:val="none" w:sz="0" w:space="0" w:color="auto"/>
      </w:divBdr>
    </w:div>
    <w:div w:id="372849922">
      <w:bodyDiv w:val="1"/>
      <w:marLeft w:val="0"/>
      <w:marRight w:val="0"/>
      <w:marTop w:val="0"/>
      <w:marBottom w:val="0"/>
      <w:divBdr>
        <w:top w:val="none" w:sz="0" w:space="0" w:color="auto"/>
        <w:left w:val="none" w:sz="0" w:space="0" w:color="auto"/>
        <w:bottom w:val="none" w:sz="0" w:space="0" w:color="auto"/>
        <w:right w:val="none" w:sz="0" w:space="0" w:color="auto"/>
      </w:divBdr>
    </w:div>
    <w:div w:id="601377882">
      <w:bodyDiv w:val="1"/>
      <w:marLeft w:val="0"/>
      <w:marRight w:val="0"/>
      <w:marTop w:val="0"/>
      <w:marBottom w:val="0"/>
      <w:divBdr>
        <w:top w:val="none" w:sz="0" w:space="0" w:color="auto"/>
        <w:left w:val="none" w:sz="0" w:space="0" w:color="auto"/>
        <w:bottom w:val="none" w:sz="0" w:space="0" w:color="auto"/>
        <w:right w:val="none" w:sz="0" w:space="0" w:color="auto"/>
      </w:divBdr>
    </w:div>
    <w:div w:id="969869738">
      <w:bodyDiv w:val="1"/>
      <w:marLeft w:val="0"/>
      <w:marRight w:val="0"/>
      <w:marTop w:val="0"/>
      <w:marBottom w:val="0"/>
      <w:divBdr>
        <w:top w:val="none" w:sz="0" w:space="0" w:color="auto"/>
        <w:left w:val="none" w:sz="0" w:space="0" w:color="auto"/>
        <w:bottom w:val="none" w:sz="0" w:space="0" w:color="auto"/>
        <w:right w:val="none" w:sz="0" w:space="0" w:color="auto"/>
      </w:divBdr>
    </w:div>
    <w:div w:id="1050495344">
      <w:bodyDiv w:val="1"/>
      <w:marLeft w:val="0"/>
      <w:marRight w:val="0"/>
      <w:marTop w:val="0"/>
      <w:marBottom w:val="0"/>
      <w:divBdr>
        <w:top w:val="none" w:sz="0" w:space="0" w:color="auto"/>
        <w:left w:val="none" w:sz="0" w:space="0" w:color="auto"/>
        <w:bottom w:val="none" w:sz="0" w:space="0" w:color="auto"/>
        <w:right w:val="none" w:sz="0" w:space="0" w:color="auto"/>
      </w:divBdr>
    </w:div>
    <w:div w:id="1164785125">
      <w:bodyDiv w:val="1"/>
      <w:marLeft w:val="0"/>
      <w:marRight w:val="0"/>
      <w:marTop w:val="0"/>
      <w:marBottom w:val="0"/>
      <w:divBdr>
        <w:top w:val="none" w:sz="0" w:space="0" w:color="auto"/>
        <w:left w:val="none" w:sz="0" w:space="0" w:color="auto"/>
        <w:bottom w:val="none" w:sz="0" w:space="0" w:color="auto"/>
        <w:right w:val="none" w:sz="0" w:space="0" w:color="auto"/>
      </w:divBdr>
    </w:div>
    <w:div w:id="1167793715">
      <w:bodyDiv w:val="1"/>
      <w:marLeft w:val="0"/>
      <w:marRight w:val="0"/>
      <w:marTop w:val="0"/>
      <w:marBottom w:val="0"/>
      <w:divBdr>
        <w:top w:val="none" w:sz="0" w:space="0" w:color="auto"/>
        <w:left w:val="none" w:sz="0" w:space="0" w:color="auto"/>
        <w:bottom w:val="none" w:sz="0" w:space="0" w:color="auto"/>
        <w:right w:val="none" w:sz="0" w:space="0" w:color="auto"/>
      </w:divBdr>
    </w:div>
    <w:div w:id="1821849019">
      <w:bodyDiv w:val="1"/>
      <w:marLeft w:val="0"/>
      <w:marRight w:val="0"/>
      <w:marTop w:val="0"/>
      <w:marBottom w:val="0"/>
      <w:divBdr>
        <w:top w:val="none" w:sz="0" w:space="0" w:color="auto"/>
        <w:left w:val="none" w:sz="0" w:space="0" w:color="auto"/>
        <w:bottom w:val="none" w:sz="0" w:space="0" w:color="auto"/>
        <w:right w:val="none" w:sz="0" w:space="0" w:color="auto"/>
      </w:divBdr>
    </w:div>
    <w:div w:id="1937714419">
      <w:bodyDiv w:val="1"/>
      <w:marLeft w:val="0"/>
      <w:marRight w:val="0"/>
      <w:marTop w:val="0"/>
      <w:marBottom w:val="0"/>
      <w:divBdr>
        <w:top w:val="none" w:sz="0" w:space="0" w:color="auto"/>
        <w:left w:val="none" w:sz="0" w:space="0" w:color="auto"/>
        <w:bottom w:val="none" w:sz="0" w:space="0" w:color="auto"/>
        <w:right w:val="none" w:sz="0" w:space="0" w:color="auto"/>
      </w:divBdr>
    </w:div>
    <w:div w:id="1944066881">
      <w:bodyDiv w:val="1"/>
      <w:marLeft w:val="0"/>
      <w:marRight w:val="0"/>
      <w:marTop w:val="0"/>
      <w:marBottom w:val="0"/>
      <w:divBdr>
        <w:top w:val="none" w:sz="0" w:space="0" w:color="auto"/>
        <w:left w:val="none" w:sz="0" w:space="0" w:color="auto"/>
        <w:bottom w:val="none" w:sz="0" w:space="0" w:color="auto"/>
        <w:right w:val="none" w:sz="0" w:space="0" w:color="auto"/>
      </w:divBdr>
    </w:div>
    <w:div w:id="1944145985">
      <w:bodyDiv w:val="1"/>
      <w:marLeft w:val="0"/>
      <w:marRight w:val="0"/>
      <w:marTop w:val="0"/>
      <w:marBottom w:val="0"/>
      <w:divBdr>
        <w:top w:val="none" w:sz="0" w:space="0" w:color="auto"/>
        <w:left w:val="none" w:sz="0" w:space="0" w:color="auto"/>
        <w:bottom w:val="none" w:sz="0" w:space="0" w:color="auto"/>
        <w:right w:val="none" w:sz="0" w:space="0" w:color="auto"/>
      </w:divBdr>
    </w:div>
    <w:div w:id="1974096612">
      <w:bodyDiv w:val="1"/>
      <w:marLeft w:val="0"/>
      <w:marRight w:val="0"/>
      <w:marTop w:val="0"/>
      <w:marBottom w:val="0"/>
      <w:divBdr>
        <w:top w:val="none" w:sz="0" w:space="0" w:color="auto"/>
        <w:left w:val="none" w:sz="0" w:space="0" w:color="auto"/>
        <w:bottom w:val="none" w:sz="0" w:space="0" w:color="auto"/>
        <w:right w:val="none" w:sz="0" w:space="0" w:color="auto"/>
      </w:divBdr>
    </w:div>
    <w:div w:id="19911318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23" Type="http://schemas.microsoft.com/office/2016/09/relationships/commentsIds" Target="commentsIds.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DE63B3-BC04-489B-87C2-2E142E556CB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7928D8FB-1191-4946-851E-369AC60C8985}"/>
</file>

<file path=customXml/itemProps3.xml><?xml version="1.0" encoding="utf-8"?>
<ds:datastoreItem xmlns:ds="http://schemas.openxmlformats.org/officeDocument/2006/customXml" ds:itemID="{852F9682-E1B1-4D99-968C-71CD85C5EC0E}">
  <ds:schemaRefs>
    <ds:schemaRef ds:uri="http://schemas.microsoft.com/sharepoint/v3/contenttype/forms"/>
  </ds:schemaRefs>
</ds:datastoreItem>
</file>

<file path=customXml/itemProps4.xml><?xml version="1.0" encoding="utf-8"?>
<ds:datastoreItem xmlns:ds="http://schemas.openxmlformats.org/officeDocument/2006/customXml" ds:itemID="{B78F71C8-EE8F-4D3F-A8A6-5A3F2FD7EE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7934</Words>
  <Characters>45225</Characters>
  <Application>Microsoft Office Word</Application>
  <DocSecurity>4</DocSecurity>
  <Lines>376</Lines>
  <Paragraphs>106</Paragraphs>
  <ScaleCrop>false</ScaleCrop>
  <HeadingPairs>
    <vt:vector size="2" baseType="variant">
      <vt:variant>
        <vt:lpstr>Title</vt:lpstr>
      </vt:variant>
      <vt:variant>
        <vt:i4>1</vt:i4>
      </vt:variant>
    </vt:vector>
  </HeadingPairs>
  <TitlesOfParts>
    <vt:vector size="1" baseType="lpstr">
      <vt:lpstr>CCPR/C/126/DR/2454/2014</vt:lpstr>
    </vt:vector>
  </TitlesOfParts>
  <Company>CSD</Company>
  <LinksUpToDate>false</LinksUpToDate>
  <CharactersWithSpaces>53053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CCPR/C/126/DR/2454/2014</dc:title>
  <dc:subject>1911107</dc:subject>
  <dc:creator>Scaner eng</dc:creator>
  <cp:keywords/>
  <dc:description/>
  <cp:lastModifiedBy>Devos Augusta Marie Annick</cp:lastModifiedBy>
  <cp:revision>2</cp:revision>
  <cp:lastPrinted>2019-05-29T13:06:00Z</cp:lastPrinted>
  <dcterms:created xsi:type="dcterms:W3CDTF">2019-07-29T12:00:00Z</dcterms:created>
  <dcterms:modified xsi:type="dcterms:W3CDTF">2019-07-29T12:00:00Z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