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6FDD" w:rsidRDefault="00F4761E">
      <w:pPr>
        <w:ind w:left="10" w:right="6" w:hanging="10"/>
        <w:jc w:val="center"/>
      </w:pPr>
      <w:r>
        <w:rPr>
          <w:b/>
        </w:rPr>
        <w:t xml:space="preserve">RESPUESTA A LAS OBSERVACIONES FINALES SOBRE LA INFORMACIÓN </w:t>
      </w:r>
    </w:p>
    <w:p w:rsidR="00B96FDD" w:rsidRDefault="00F4761E">
      <w:pPr>
        <w:ind w:left="10" w:right="12" w:hanging="10"/>
        <w:jc w:val="center"/>
      </w:pPr>
      <w:r>
        <w:rPr>
          <w:b/>
        </w:rPr>
        <w:t xml:space="preserve">COMPLEMENTARIA PRESENTADA POR ESPAÑA CON ARREGLO AL ARTÍCULO 29, </w:t>
      </w:r>
    </w:p>
    <w:p w:rsidR="00B96FDD" w:rsidRDefault="00F4761E">
      <w:pPr>
        <w:ind w:left="10" w:right="0" w:hanging="10"/>
        <w:jc w:val="center"/>
      </w:pPr>
      <w:r>
        <w:rPr>
          <w:b/>
        </w:rPr>
        <w:t xml:space="preserve">PÁRRAFO 4, DE LA CONVENCIÓN INTERNACIONAL PARA LA PROTECCIÓN DE TODAS LAS PERSONAS CONTRA LAS DESAPARICIONES FORZADAS (CED) </w:t>
      </w:r>
    </w:p>
    <w:p w:rsidR="00B96FDD" w:rsidRDefault="00F4761E">
      <w:pPr>
        <w:spacing w:after="0" w:line="259" w:lineRule="auto"/>
        <w:ind w:right="0" w:firstLine="0"/>
        <w:jc w:val="left"/>
      </w:pPr>
      <w:r>
        <w:t xml:space="preserve"> </w:t>
      </w:r>
    </w:p>
    <w:p w:rsidR="00B96FDD" w:rsidRDefault="00F4761E">
      <w:pPr>
        <w:ind w:left="-15" w:right="0"/>
      </w:pPr>
      <w:r>
        <w:t xml:space="preserve">Atendiendo a la solicitud de remisión de información adicional requerida por el CED en cuanto a la aplicación de las recomendaciones formuladas en los párrafos 14 (Proyecto de Ley de Memoria Democrática), 27 (a) (apropiación de niños), 31 (no devolución) y 33 (salvaguardias legales fundamentales) de las observaciones finales, España traslada las siguientes respuestas:   </w:t>
      </w:r>
    </w:p>
    <w:p w:rsidR="00B96FDD" w:rsidRDefault="00F4761E">
      <w:pPr>
        <w:spacing w:after="0" w:line="259" w:lineRule="auto"/>
        <w:ind w:right="0" w:firstLine="0"/>
        <w:jc w:val="left"/>
      </w:pPr>
      <w:r>
        <w:t xml:space="preserve"> </w:t>
      </w:r>
    </w:p>
    <w:p w:rsidR="00B96FDD" w:rsidRDefault="00F4761E">
      <w:pPr>
        <w:spacing w:after="1" w:line="259" w:lineRule="auto"/>
        <w:ind w:left="10" w:right="0" w:hanging="10"/>
        <w:jc w:val="left"/>
      </w:pPr>
      <w:r>
        <w:rPr>
          <w:b/>
          <w:i/>
        </w:rPr>
        <w:t xml:space="preserve">Proyecto de Ley de Memoria Democrática. </w:t>
      </w:r>
    </w:p>
    <w:p w:rsidR="00B96FDD" w:rsidRDefault="00F4761E">
      <w:pPr>
        <w:spacing w:after="1" w:line="259" w:lineRule="auto"/>
        <w:ind w:left="422" w:right="0" w:hanging="10"/>
        <w:jc w:val="left"/>
      </w:pPr>
      <w:r>
        <w:rPr>
          <w:b/>
          <w:i/>
        </w:rPr>
        <w:t xml:space="preserve">14.  </w:t>
      </w:r>
    </w:p>
    <w:p w:rsidR="00B96FDD" w:rsidRDefault="00F4761E">
      <w:pPr>
        <w:spacing w:after="0" w:line="259" w:lineRule="auto"/>
        <w:ind w:left="427" w:right="0" w:firstLine="0"/>
        <w:jc w:val="left"/>
      </w:pPr>
      <w:r>
        <w:t xml:space="preserve"> </w:t>
      </w:r>
    </w:p>
    <w:p w:rsidR="00B96FDD" w:rsidRDefault="00F4761E">
      <w:pPr>
        <w:ind w:left="-15" w:right="0"/>
      </w:pPr>
      <w:r>
        <w:t xml:space="preserve">La promulgación de la Ley 20/2022, de 19 de octubre, de Memoria Democrática (LMD), y su entrada en vigor el 21/10/22, ha dado una nueva perspectiva para la garantía en el cumplimiento de las obligaciones que se derivan de la Convención Internacional para la Protección de Todas las Personas contra las Desapariciones Forzadas, ya que la ley contempla garantías indudables para alcanzar la verdad, justicia y reparación en el caso de las víctimas de desapariciones forzadas de la Guerra y la Dictadura. </w:t>
      </w:r>
    </w:p>
    <w:p w:rsidR="00B96FDD" w:rsidRDefault="00F4761E">
      <w:pPr>
        <w:spacing w:after="0" w:line="259" w:lineRule="auto"/>
        <w:ind w:right="0" w:firstLine="0"/>
        <w:jc w:val="left"/>
      </w:pPr>
      <w:r>
        <w:t xml:space="preserve"> </w:t>
      </w:r>
    </w:p>
    <w:p w:rsidR="00B96FDD" w:rsidRDefault="00F4761E">
      <w:pPr>
        <w:ind w:left="-15" w:right="0"/>
      </w:pPr>
      <w:r>
        <w:t xml:space="preserve">La consideración de víctimas en el artículo 3.1 a) de </w:t>
      </w:r>
      <w:r>
        <w:rPr>
          <w:i/>
        </w:rPr>
        <w:t>“Las personas fallecidas o desaparecidas como consecuencia de la Guerra y la Dictadura</w:t>
      </w:r>
      <w:r>
        <w:t xml:space="preserve">” aplicándose a éstas y a sus familiares y descendientes la Ley 4/2015, de 27 de abril, del Estatuto de la Víctima, que es, en la legislación española, el marco que regula la condición de víctima. Esta misma condición se establece en el apartado h) del articulo 3.1 para </w:t>
      </w:r>
      <w:r>
        <w:rPr>
          <w:i/>
        </w:rPr>
        <w:t xml:space="preserve">“Las niñas y niños sustraídos y adoptados sin legítimo y libre consentimiento de sus progenitores como consecuencia de la Guerra y la Dictadura, así como sus progenitores, progenitoras, hermanos y hermanas”. </w:t>
      </w:r>
    </w:p>
    <w:p w:rsidR="00B96FDD" w:rsidRDefault="00F4761E">
      <w:pPr>
        <w:spacing w:after="0" w:line="259" w:lineRule="auto"/>
        <w:ind w:right="0" w:firstLine="0"/>
        <w:jc w:val="left"/>
      </w:pPr>
      <w:r>
        <w:t xml:space="preserve"> </w:t>
      </w:r>
    </w:p>
    <w:p w:rsidR="00B96FDD" w:rsidRDefault="00F4761E">
      <w:pPr>
        <w:ind w:left="-15" w:right="0"/>
      </w:pPr>
      <w:r>
        <w:t xml:space="preserve">Los familiares de estas víctimas de desaparición, en aplicación directa de la ley, tienen la posibilidad de obtener una </w:t>
      </w:r>
      <w:r>
        <w:rPr>
          <w:i/>
        </w:rPr>
        <w:t>Declaración de reparación y reconocimiento personal</w:t>
      </w:r>
      <w:r>
        <w:t xml:space="preserve"> a quienes durante la Guerra y la Dictadura hubieran sufrido desaparición forzosa, que si bien no tiene un efecto directo indemnizatorio significa un reconocimiento oficial de reparación moral.  </w:t>
      </w:r>
    </w:p>
    <w:p w:rsidR="00B96FDD" w:rsidRDefault="00F4761E">
      <w:pPr>
        <w:spacing w:after="0" w:line="259" w:lineRule="auto"/>
        <w:ind w:right="0" w:firstLine="0"/>
        <w:jc w:val="left"/>
      </w:pPr>
      <w:r>
        <w:t xml:space="preserve"> </w:t>
      </w:r>
    </w:p>
    <w:p w:rsidR="00B96FDD" w:rsidRDefault="00F4761E">
      <w:pPr>
        <w:ind w:left="360" w:right="0" w:firstLine="0"/>
      </w:pPr>
      <w:r>
        <w:t xml:space="preserve">Entre las medidas más destacadas que contempla la ley se encuentran: </w:t>
      </w:r>
    </w:p>
    <w:p w:rsidR="00B96FDD" w:rsidRDefault="00F4761E">
      <w:pPr>
        <w:spacing w:after="13" w:line="259" w:lineRule="auto"/>
        <w:ind w:left="360" w:right="0" w:firstLine="0"/>
        <w:jc w:val="left"/>
      </w:pPr>
      <w:r>
        <w:t xml:space="preserve"> </w:t>
      </w:r>
    </w:p>
    <w:p w:rsidR="00B96FDD" w:rsidRDefault="00F4761E">
      <w:pPr>
        <w:numPr>
          <w:ilvl w:val="0"/>
          <w:numId w:val="1"/>
        </w:numPr>
        <w:ind w:right="0" w:hanging="360"/>
      </w:pPr>
      <w:r>
        <w:t xml:space="preserve">Creación de un mapa integrado de localización de personas desparecidas. </w:t>
      </w:r>
    </w:p>
    <w:p w:rsidR="00B96FDD" w:rsidRDefault="00F4761E">
      <w:pPr>
        <w:spacing w:after="0" w:line="259" w:lineRule="auto"/>
        <w:ind w:right="0" w:firstLine="0"/>
        <w:jc w:val="left"/>
      </w:pPr>
      <w:r>
        <w:t xml:space="preserve"> </w:t>
      </w:r>
    </w:p>
    <w:p w:rsidR="00B96FDD" w:rsidRDefault="00F4761E">
      <w:pPr>
        <w:ind w:left="720" w:right="0" w:firstLine="0"/>
      </w:pPr>
      <w:r>
        <w:t xml:space="preserve">Actualización del mapa de fosas de las víctimas de la Guerra Civil y la Dictadura. La elaboración, gestión y actualización de un mapa integrado de fosas es una tarea permanente, que va incorporando nuevas localizaciones o actualizando los </w:t>
      </w:r>
      <w:r>
        <w:lastRenderedPageBreak/>
        <w:t xml:space="preserve">existentes con los resultados que se van obteniendo de las intervenciones puestas en marcha, así como cooperando con otras administraciones públicas. </w:t>
      </w:r>
    </w:p>
    <w:p w:rsidR="00B96FDD" w:rsidRDefault="00F4761E">
      <w:pPr>
        <w:spacing w:after="0" w:line="259" w:lineRule="auto"/>
        <w:ind w:left="720" w:right="0" w:firstLine="0"/>
        <w:jc w:val="left"/>
      </w:pPr>
      <w:r>
        <w:t xml:space="preserve"> </w:t>
      </w:r>
    </w:p>
    <w:p w:rsidR="00B96FDD" w:rsidRDefault="00F4761E">
      <w:pPr>
        <w:spacing w:after="0" w:line="259" w:lineRule="auto"/>
        <w:ind w:left="720" w:right="0" w:firstLine="0"/>
        <w:jc w:val="left"/>
      </w:pPr>
      <w:r>
        <w:t xml:space="preserve"> </w:t>
      </w:r>
    </w:p>
    <w:p w:rsidR="00B96FDD" w:rsidRDefault="00F4761E">
      <w:pPr>
        <w:numPr>
          <w:ilvl w:val="0"/>
          <w:numId w:val="1"/>
        </w:numPr>
        <w:ind w:right="0" w:hanging="360"/>
      </w:pPr>
      <w:r>
        <w:t xml:space="preserve">Regulación de las autorizaciones para actividades de localización, exhumación e identificación de personas desaparecidas. </w:t>
      </w:r>
    </w:p>
    <w:p w:rsidR="00B96FDD" w:rsidRDefault="00F4761E">
      <w:pPr>
        <w:spacing w:after="0" w:line="259" w:lineRule="auto"/>
        <w:ind w:left="720" w:right="0" w:firstLine="0"/>
        <w:jc w:val="left"/>
      </w:pPr>
      <w:r>
        <w:t xml:space="preserve"> </w:t>
      </w:r>
    </w:p>
    <w:p w:rsidR="00B96FDD" w:rsidRDefault="00F4761E">
      <w:pPr>
        <w:ind w:left="720" w:right="0" w:firstLine="0"/>
      </w:pPr>
      <w:r>
        <w:t xml:space="preserve">Aprobación y ejecución de un plan cuatrienal para la búsqueda e identificación de personas desaparecidas durante la Guerra o la represión política posterior. La ejecución del I Plan Cuatrienal de Exhumaciones 2020-2024 está concluyéndose, habiéndose movilizado más de 20 millones de euros (principalmente mediante transferencias a CC.AA y entidades locales) y llevado a cabo 701 actuaciones.  Actualmente, está en proceso de elaboración el II Plan Cuatrienal de Exhumaciones 2024-2028. </w:t>
      </w:r>
    </w:p>
    <w:p w:rsidR="00B96FDD" w:rsidRDefault="00F4761E">
      <w:pPr>
        <w:spacing w:after="13" w:line="259" w:lineRule="auto"/>
        <w:ind w:right="0" w:firstLine="0"/>
        <w:jc w:val="left"/>
      </w:pPr>
      <w:r>
        <w:t xml:space="preserve"> </w:t>
      </w:r>
    </w:p>
    <w:p w:rsidR="00B96FDD" w:rsidRDefault="00F4761E">
      <w:pPr>
        <w:numPr>
          <w:ilvl w:val="0"/>
          <w:numId w:val="1"/>
        </w:numPr>
        <w:spacing w:after="0" w:line="259" w:lineRule="auto"/>
        <w:ind w:right="0" w:hanging="360"/>
      </w:pPr>
      <w:r>
        <w:t xml:space="preserve">Creación de un banco de ADN con muestras de víctimas y de sus familiares vivos.  </w:t>
      </w:r>
    </w:p>
    <w:p w:rsidR="00B96FDD" w:rsidRDefault="00F4761E">
      <w:pPr>
        <w:spacing w:after="0" w:line="259" w:lineRule="auto"/>
        <w:ind w:left="720" w:right="0" w:firstLine="0"/>
        <w:jc w:val="left"/>
      </w:pPr>
      <w:r>
        <w:t xml:space="preserve"> </w:t>
      </w:r>
    </w:p>
    <w:p w:rsidR="00B96FDD" w:rsidRDefault="00F4761E">
      <w:pPr>
        <w:ind w:left="720" w:right="0" w:firstLine="0"/>
      </w:pPr>
      <w:r>
        <w:t xml:space="preserve">El Banco Estatal de ADN de Víctimas de la Guerra y la Dictadura ya dispone del software de gestión “Bonaparte” que permite integrar perfiles de ADN de múltiples laboratorios y realizar búsquedas sistemáticas con restos procedentes de la exhumación de fosas comunes de personas desaparecidas, y ayudar así en la identificación genética de los restos.  </w:t>
      </w:r>
    </w:p>
    <w:p w:rsidR="00B96FDD" w:rsidRDefault="00F4761E">
      <w:pPr>
        <w:spacing w:after="13" w:line="259" w:lineRule="auto"/>
        <w:ind w:left="720" w:right="0" w:firstLine="0"/>
        <w:jc w:val="left"/>
      </w:pPr>
      <w:r>
        <w:t xml:space="preserve"> </w:t>
      </w:r>
    </w:p>
    <w:p w:rsidR="00B96FDD" w:rsidRDefault="00F4761E">
      <w:pPr>
        <w:numPr>
          <w:ilvl w:val="0"/>
          <w:numId w:val="1"/>
        </w:numPr>
        <w:ind w:right="0" w:hanging="360"/>
      </w:pPr>
      <w:r>
        <w:t xml:space="preserve">Garantía de acceso a archivos para localización de desparecidos. </w:t>
      </w:r>
    </w:p>
    <w:p w:rsidR="00B96FDD" w:rsidRDefault="00F4761E">
      <w:pPr>
        <w:spacing w:after="0" w:line="259" w:lineRule="auto"/>
        <w:ind w:left="720" w:right="0" w:firstLine="0"/>
        <w:jc w:val="left"/>
      </w:pPr>
      <w:r>
        <w:t xml:space="preserve"> </w:t>
      </w:r>
    </w:p>
    <w:p w:rsidR="00B96FDD" w:rsidRDefault="00F4761E">
      <w:pPr>
        <w:ind w:left="720" w:right="0" w:firstLine="0"/>
      </w:pPr>
      <w:r>
        <w:t xml:space="preserve">Creación de un censo estatal de víctimas de la Guerra Civil y la Dictadura. Se lleva a cabo el proceso de migración de archivos para el Registro y Censo Estatal de Víctimas. </w:t>
      </w:r>
    </w:p>
    <w:p w:rsidR="00B96FDD" w:rsidRDefault="00F4761E">
      <w:pPr>
        <w:spacing w:after="0" w:line="259" w:lineRule="auto"/>
        <w:ind w:right="0" w:firstLine="0"/>
        <w:jc w:val="left"/>
      </w:pPr>
      <w:r>
        <w:t xml:space="preserve"> </w:t>
      </w:r>
    </w:p>
    <w:p w:rsidR="00B96FDD" w:rsidRDefault="00F4761E">
      <w:pPr>
        <w:ind w:left="-15" w:right="0" w:firstLine="360"/>
      </w:pPr>
      <w:r>
        <w:t xml:space="preserve">Además de estas medidas para garantizar y colaborar con la localización de desparecidos se crea la figura del Fiscal de Sala de Derechos Humanos y Memoria Democrática para la investigación de los hechos que constituyan violaciones de los Derechos humanos y del Derecho Internacional Humanitario. </w:t>
      </w:r>
    </w:p>
    <w:p w:rsidR="00B96FDD" w:rsidRDefault="00F4761E">
      <w:pPr>
        <w:spacing w:after="0" w:line="259" w:lineRule="auto"/>
        <w:ind w:left="360" w:right="0" w:firstLine="0"/>
        <w:jc w:val="left"/>
      </w:pPr>
      <w:r>
        <w:t xml:space="preserve"> </w:t>
      </w:r>
    </w:p>
    <w:p w:rsidR="00B96FDD" w:rsidRDefault="00F4761E">
      <w:pPr>
        <w:ind w:left="-15" w:right="0" w:firstLine="360"/>
      </w:pPr>
      <w:r>
        <w:t xml:space="preserve">En cuanto a las reparaciones económicas, una Comisión Técnica elevará recomendaciones al Gobierno sobre reparaciones económicas a las víctimas de la guerra y la dictadura. </w:t>
      </w:r>
    </w:p>
    <w:p w:rsidR="00B96FDD" w:rsidRDefault="00F4761E">
      <w:pPr>
        <w:spacing w:after="0" w:line="259" w:lineRule="auto"/>
        <w:ind w:right="0" w:firstLine="0"/>
        <w:jc w:val="left"/>
      </w:pPr>
      <w:r>
        <w:rPr>
          <w:color w:val="FF0000"/>
        </w:rPr>
        <w:t xml:space="preserve"> </w:t>
      </w:r>
    </w:p>
    <w:p w:rsidR="00B96FDD" w:rsidRDefault="00F4761E">
      <w:pPr>
        <w:spacing w:after="1" w:line="259" w:lineRule="auto"/>
        <w:ind w:left="422" w:right="0" w:hanging="10"/>
        <w:jc w:val="left"/>
      </w:pPr>
      <w:r>
        <w:rPr>
          <w:b/>
          <w:i/>
        </w:rPr>
        <w:t xml:space="preserve">Apropiación de niños. </w:t>
      </w:r>
    </w:p>
    <w:p w:rsidR="00B96FDD" w:rsidRDefault="00F4761E">
      <w:pPr>
        <w:spacing w:after="1" w:line="259" w:lineRule="auto"/>
        <w:ind w:left="422" w:right="0" w:hanging="10"/>
        <w:jc w:val="left"/>
      </w:pPr>
      <w:r>
        <w:rPr>
          <w:b/>
          <w:i/>
        </w:rPr>
        <w:t xml:space="preserve">27. a)  </w:t>
      </w:r>
    </w:p>
    <w:p w:rsidR="00B96FDD" w:rsidRDefault="00F4761E">
      <w:pPr>
        <w:spacing w:after="0" w:line="259" w:lineRule="auto"/>
        <w:ind w:left="427" w:right="0" w:firstLine="0"/>
        <w:jc w:val="left"/>
      </w:pPr>
      <w:r>
        <w:rPr>
          <w:color w:val="FF0000"/>
        </w:rPr>
        <w:t xml:space="preserve"> </w:t>
      </w:r>
    </w:p>
    <w:p w:rsidR="00B96FDD" w:rsidRDefault="00F4761E">
      <w:pPr>
        <w:ind w:left="-15" w:right="0"/>
      </w:pPr>
      <w:r>
        <w:t xml:space="preserve">Varios grupos parlamentarios han presentado, conjuntamente, en sucesivas legislaturas, proposiciones de ley integral sobre la apropiación ilegal de menores. Sin </w:t>
      </w:r>
      <w:r>
        <w:lastRenderedPageBreak/>
        <w:t xml:space="preserve">embargo, la última proposición aún no ha sido tramitada ni se ha fijado fecha de inicio del trámite parlamentario.   </w:t>
      </w:r>
    </w:p>
    <w:p w:rsidR="00B96FDD" w:rsidRDefault="00F4761E">
      <w:pPr>
        <w:spacing w:after="0" w:line="259" w:lineRule="auto"/>
        <w:ind w:left="427" w:right="0" w:firstLine="0"/>
        <w:jc w:val="left"/>
      </w:pPr>
      <w:r>
        <w:t xml:space="preserve"> </w:t>
      </w:r>
    </w:p>
    <w:p w:rsidR="00B96FDD" w:rsidRDefault="00F4761E">
      <w:pPr>
        <w:spacing w:after="0" w:line="240" w:lineRule="auto"/>
        <w:ind w:right="3" w:firstLine="427"/>
      </w:pPr>
      <w:r>
        <w:t>En cuanto a la prescripción de los delitos asociados a estas prácticas, la Fiscalía General del Estado en una instrucción al respecto  de 2013 establece “</w:t>
      </w:r>
      <w:r>
        <w:rPr>
          <w:i/>
        </w:rPr>
        <w:t>En todo caso, la Fiscalía General, a la espera de que los tribunales fijen una línea jurisprudencial consolidada al respecto, considera que el delito de detención ilegal es un delito permanente, por lo que el plazo de prescripción no empieza a correr mientras la víctima sea mantenida en la ignorancia de su origen y verdadera identidad, aun cuando ya sea mayor de edad. Este es el criterio que más favorece el interés de los denunciantes por conocer la verdad de los hechos y que permite a los fiscales realizar una completa investigación efectiva. En todo caso, las personas cuyas actuaciones hayan sido archivadas por prescripción tienen derecho a conocer sus orígenes y son deudoras de una reparación, mediante las correspondientes acciones civiles de reclamación de filiación y de compensación económica. En estos casos, los fiscales deberán cuidar que los denunciantes sean debidamente notificados y de que se les proporcione copia del historial clínico”</w:t>
      </w:r>
      <w:r>
        <w:t xml:space="preserve">. </w:t>
      </w:r>
    </w:p>
    <w:p w:rsidR="00B96FDD" w:rsidRDefault="00F4761E">
      <w:pPr>
        <w:spacing w:after="0" w:line="259" w:lineRule="auto"/>
        <w:ind w:right="0" w:firstLine="0"/>
        <w:jc w:val="left"/>
      </w:pPr>
      <w:r>
        <w:t xml:space="preserve"> </w:t>
      </w:r>
    </w:p>
    <w:p w:rsidR="00B96FDD" w:rsidRDefault="00F4761E">
      <w:pPr>
        <w:ind w:left="-15" w:right="0"/>
      </w:pPr>
      <w:r>
        <w:t xml:space="preserve">Asimismo, el Ministerio de la Presidencia, Justicia y Relaciones con las Cortes mantiene un Servicio de Información a los Afectados por la posible sustracción de recién nacidos, a través del cual se facilita a las personas afectadas acceso a la información en poder de la Administración. Según la Orden JUS/2146/2012, de 1 de octubre, por la que se crean determinados ficheros de datos de carácter personal relacionados con los supuestos de posible sustracción de recién nacidos y se aprueban los modelos oficiales de solicitud de información (modificada por Orden JUS/968/2016), se crean los ficheros  “solicitudes de suministro de información administrativa por parte de personas afectadas por la sustracción de recién nacidos” y “perfiles de ADN de personas afectadas por la sustracción de recién nacidos”.  </w:t>
      </w:r>
    </w:p>
    <w:p w:rsidR="00B96FDD" w:rsidRDefault="00F4761E">
      <w:pPr>
        <w:spacing w:after="0" w:line="259" w:lineRule="auto"/>
        <w:ind w:left="427" w:right="0" w:firstLine="0"/>
        <w:jc w:val="left"/>
      </w:pPr>
      <w:r>
        <w:t xml:space="preserve"> </w:t>
      </w:r>
    </w:p>
    <w:p w:rsidR="00B96FDD" w:rsidRDefault="00F4761E">
      <w:pPr>
        <w:ind w:left="-15" w:right="0"/>
      </w:pPr>
      <w:r>
        <w:t xml:space="preserve">El Cuerpo Nacional de Policía y la Guardia Civil han creado, a su vez, un Punto de Contacto a través del cual se coordinan las solicitudes dirigidas al Servicio de Información. Y se ha redactado una guía de recomendaciones para la práctica de la exhumación en los casos de posible sustracción de recién nacidos. Se ha creado un fichero de perfiles genéticos obtenidos a partir de los informes genéticos aportados por las personas afectadas o de laboratorios que centraliza el Instituto Nacional de Toxicología y Ciencias Forenses. Se cuenta con una base de datos única que permite que todas las personas afectadas puedan ser cotejadas para verificar la existencia de compatibilidades genéticas. Este procedimiento carece de coste alguno para la persona afectada. Desde su creación en 2013 se han incorporado a la base de datos más de 454 perfiles, previamente validados por el Instituto Nacional de Toxicología y Ciencias Forenses (INTCF). </w:t>
      </w:r>
    </w:p>
    <w:p w:rsidR="00B96FDD" w:rsidRDefault="00F4761E">
      <w:pPr>
        <w:spacing w:after="0" w:line="259" w:lineRule="auto"/>
        <w:ind w:right="0" w:firstLine="0"/>
        <w:jc w:val="left"/>
      </w:pPr>
      <w:r>
        <w:rPr>
          <w:b/>
          <w:i/>
        </w:rPr>
        <w:t xml:space="preserve"> </w:t>
      </w:r>
    </w:p>
    <w:p w:rsidR="00B96FDD" w:rsidRDefault="00F4761E">
      <w:pPr>
        <w:spacing w:after="1" w:line="259" w:lineRule="auto"/>
        <w:ind w:left="422" w:right="0" w:hanging="10"/>
        <w:jc w:val="left"/>
      </w:pPr>
      <w:r>
        <w:rPr>
          <w:b/>
          <w:i/>
        </w:rPr>
        <w:t xml:space="preserve">No devolución </w:t>
      </w:r>
    </w:p>
    <w:p w:rsidR="00B96FDD" w:rsidRDefault="00F4761E">
      <w:pPr>
        <w:spacing w:after="1" w:line="259" w:lineRule="auto"/>
        <w:ind w:left="422" w:right="0" w:hanging="10"/>
        <w:jc w:val="left"/>
      </w:pPr>
      <w:r>
        <w:rPr>
          <w:b/>
          <w:i/>
        </w:rPr>
        <w:t xml:space="preserve">31.  </w:t>
      </w:r>
    </w:p>
    <w:p w:rsidR="00B96FDD" w:rsidRDefault="00F4761E">
      <w:pPr>
        <w:spacing w:after="0" w:line="259" w:lineRule="auto"/>
        <w:ind w:right="0" w:firstLine="0"/>
        <w:jc w:val="left"/>
      </w:pPr>
      <w:r>
        <w:t xml:space="preserve"> </w:t>
      </w:r>
    </w:p>
    <w:p w:rsidR="00B96FDD" w:rsidRDefault="00F4761E">
      <w:pPr>
        <w:ind w:left="-15" w:right="0"/>
      </w:pPr>
      <w:r>
        <w:lastRenderedPageBreak/>
        <w:t xml:space="preserve">El ordenamiento jurídico español y la práctica judicial tienen establecidas numerosas cautelas orientadas a evitar que las devoluciones o entregas de personas reclamadas a un Estado puedan suponer una vulneración de sus derechos humanos, entre ellas, el peligro de ser víctimas de desaparición forzada como consecuencia de la acción directa o indirecta de un Estado. </w:t>
      </w:r>
    </w:p>
    <w:p w:rsidR="00B96FDD" w:rsidRDefault="00F4761E">
      <w:pPr>
        <w:spacing w:after="0" w:line="259" w:lineRule="auto"/>
        <w:ind w:right="0" w:firstLine="0"/>
        <w:jc w:val="left"/>
      </w:pPr>
      <w:r>
        <w:t xml:space="preserve"> </w:t>
      </w:r>
    </w:p>
    <w:p w:rsidR="00B96FDD" w:rsidRDefault="00F4761E">
      <w:pPr>
        <w:ind w:left="-15" w:right="0"/>
      </w:pPr>
      <w:r>
        <w:t xml:space="preserve">Con tal finalidad, la Ley 4/1985, de 21 de marzo, de Extradición Pasiva, establece las condiciones, los procedimientos y los efectos que regirán la extradición pasiva en España; recoge expresamente en su artículo cuarto entre las causas la denegación, la existencia de un peligro para la integridad de la persona reclamada. Al efecto, se recogen, entre otras, las siguientes causas de denegación:  </w:t>
      </w:r>
    </w:p>
    <w:p w:rsidR="00B96FDD" w:rsidRDefault="00F4761E">
      <w:pPr>
        <w:spacing w:after="0" w:line="259" w:lineRule="auto"/>
        <w:ind w:right="0" w:firstLine="0"/>
        <w:jc w:val="left"/>
      </w:pPr>
      <w:r>
        <w:t xml:space="preserve"> </w:t>
      </w:r>
    </w:p>
    <w:p w:rsidR="00B96FDD" w:rsidRDefault="00F4761E">
      <w:pPr>
        <w:spacing w:after="0" w:line="240" w:lineRule="auto"/>
        <w:ind w:right="6" w:firstLine="427"/>
      </w:pPr>
      <w:r>
        <w:t xml:space="preserve">Art. 4.- “No se concederá la extradición en los casos siguientes: (…) 6.º Cuando el Estado requirente no diera la garantía de que la persona reclamada de extradición no será ejecutada o que no será sometida a penas que atenten a su integridad corporal o a tratos inhumanos o degradantes… 8.º Cuando a la persona reclamada le hubiere sido reconocida la condición de asilado…” </w:t>
      </w:r>
    </w:p>
    <w:p w:rsidR="00B96FDD" w:rsidRDefault="00F4761E">
      <w:pPr>
        <w:spacing w:after="0" w:line="259" w:lineRule="auto"/>
        <w:ind w:left="283" w:right="0" w:firstLine="0"/>
        <w:jc w:val="left"/>
      </w:pPr>
      <w:r>
        <w:t xml:space="preserve"> </w:t>
      </w:r>
    </w:p>
    <w:p w:rsidR="00B96FDD" w:rsidRDefault="00F4761E">
      <w:pPr>
        <w:ind w:left="-15" w:right="0"/>
      </w:pPr>
      <w:r>
        <w:t>Respecto a las garantías de los derechos de las personas afectadas por el procedimiento de extradición, la mencionada Ley dispone que la persona reclamada comparecerá asistida de abogado, en su caso de intérprete, ante la Autoridad Judicial a cuya disposición se encuentre; y con la presencia del Ministerio Fiscal, en su misión de promover la acción de la justicia en defensa de la legalidad, de los derechos de los ciudadanos y del interés público</w:t>
      </w:r>
      <w:r>
        <w:rPr>
          <w:b/>
          <w:vertAlign w:val="superscript"/>
        </w:rPr>
        <w:footnoteReference w:id="1"/>
      </w:r>
      <w:r>
        <w:t xml:space="preserve">. De esta manera se garantizan los derechos de audiencia y defensa de la persona reclamada, que puede oponerse a la extradición y realizar las alegaciones que considere oportunas, que serán analizadas de manera individualizada por dicha Autoridad Judicial. </w:t>
      </w:r>
    </w:p>
    <w:p w:rsidR="00B96FDD" w:rsidRDefault="00F4761E">
      <w:pPr>
        <w:spacing w:after="0" w:line="259" w:lineRule="auto"/>
        <w:ind w:right="0" w:firstLine="0"/>
        <w:jc w:val="left"/>
      </w:pPr>
      <w:r>
        <w:t xml:space="preserve"> </w:t>
      </w:r>
    </w:p>
    <w:p w:rsidR="00B96FDD" w:rsidRDefault="00F4761E">
      <w:pPr>
        <w:ind w:left="-15" w:right="0"/>
      </w:pPr>
      <w:r>
        <w:t xml:space="preserve">Del mismo modo, la regulación actual en materia de extranjería cuenta con herramientas y procedimientos que se activan en previsión de dichos riesgos, en el sentido que se expone a continuación: </w:t>
      </w:r>
    </w:p>
    <w:p w:rsidR="00B96FDD" w:rsidRDefault="00F4761E">
      <w:pPr>
        <w:spacing w:after="0" w:line="259" w:lineRule="auto"/>
        <w:ind w:right="0" w:firstLine="0"/>
        <w:jc w:val="left"/>
      </w:pPr>
      <w:r>
        <w:t xml:space="preserve"> </w:t>
      </w:r>
    </w:p>
    <w:p w:rsidR="00B96FDD" w:rsidRDefault="00F4761E">
      <w:pPr>
        <w:ind w:left="-15" w:right="0"/>
      </w:pPr>
      <w:r>
        <w:t xml:space="preserve">El artículo 23.6 b) del Reglamento de desarrollo de la Ley Orgánica 4/2000, de 11 de enero, sobre derechos y libertades de los extranjeros en España y su integración social, aprobado por Real Decreto 557/2011, de 20 de abril, prevé que “aun cuando se haya adoptado una resolución de devolución, ésta no podrá llevarse a cabo y quedará en suspenso cuando (…) se formalice una solicitud de protección internacional, hasta que se resuelva sobre la solicitud o ésta no sea admitida (…)”. El derecho a la no devolución resulta también de aplicación a cualquier otro procedimiento de retorno, es decir, a las devoluciones, expulsiones y denegaciones de entrada, en aplicación de la normativa en vigor y en particular de la Ley 12/2009, de 30 de octubre, reguladora del derecho de asilo y la protección subsidiaria. </w:t>
      </w:r>
    </w:p>
    <w:p w:rsidR="00B96FDD" w:rsidRDefault="00F4761E">
      <w:pPr>
        <w:spacing w:after="0" w:line="259" w:lineRule="auto"/>
        <w:ind w:right="0" w:firstLine="0"/>
        <w:jc w:val="left"/>
      </w:pPr>
      <w:r>
        <w:t xml:space="preserve"> </w:t>
      </w:r>
    </w:p>
    <w:p w:rsidR="00B96FDD" w:rsidRDefault="00F4761E">
      <w:pPr>
        <w:ind w:left="-15" w:right="0"/>
      </w:pPr>
      <w:r>
        <w:lastRenderedPageBreak/>
        <w:t>En base a ello, toda persona extranjera, independientemente de que esté incursa en un procedimiento de expulsión o devolución que tenga fundados temores de ser perseguida por motivos de raza, religión, nacionalidad, opiniones políticas, pertenencia a determinado grupo social, de género u orientación sexual, o tenga motivos fundados para creer que si regresase a su país de origen en el caso de los nacionales, o al de su anterior residencia habitual en el caso de los apátridas, se enfrentaría a un riesgo real de sufrir alguno de los daños graves previstos en el art. 10 de la Ley 12/2009, podrá acogerse a un procedimiento de solicitud de protección internacional que le concederá el derecho a no ser devuelto</w:t>
      </w:r>
      <w:r w:rsidR="00ED5C62">
        <w:t xml:space="preserve">, </w:t>
      </w:r>
      <w:r w:rsidR="00ED5C62" w:rsidRPr="00ED5C62">
        <w:t>hasta la resolución definitiva de su expediente</w:t>
      </w:r>
      <w:r>
        <w:t xml:space="preserve">. </w:t>
      </w:r>
    </w:p>
    <w:p w:rsidR="00B96FDD" w:rsidRDefault="00F4761E">
      <w:pPr>
        <w:spacing w:after="0" w:line="259" w:lineRule="auto"/>
        <w:ind w:right="0" w:firstLine="0"/>
        <w:jc w:val="left"/>
      </w:pPr>
      <w:r>
        <w:t xml:space="preserve"> </w:t>
      </w:r>
    </w:p>
    <w:p w:rsidR="00B96FDD" w:rsidRDefault="00F4761E">
      <w:pPr>
        <w:ind w:left="-15" w:right="0"/>
      </w:pPr>
      <w:r>
        <w:t xml:space="preserve">En conclusión, si a través del procedimiento de reconocimiento de protección internacional se concluye que el ciudadano extranjero está siendo perseguido en su país de origen o se enfrentas a riesgos de sufrir daños graves, </w:t>
      </w:r>
      <w:r w:rsidR="00ED5C62">
        <w:t>se reconocerá</w:t>
      </w:r>
      <w:r>
        <w:t xml:space="preserve"> la condición de beneficiario de asilo o protección subsidiaria</w:t>
      </w:r>
      <w:r w:rsidR="00ED5C62">
        <w:t xml:space="preserve">, </w:t>
      </w:r>
      <w:r w:rsidR="00ED5C62" w:rsidRPr="00ED5C62">
        <w:t>desprendiéndose de este reconocimiento los efectos definidos en el artículo 36 de la citada Ley 12/2009, de 30 de octubre, siendo entre otros la protección contra la devolución en los términos establecidos en los tratados internacionales firmados por España, así como la autorización de residencia y trabajo permanente</w:t>
      </w:r>
      <w:r>
        <w:t xml:space="preserve">. </w:t>
      </w:r>
    </w:p>
    <w:p w:rsidR="00B96FDD" w:rsidRDefault="00F4761E">
      <w:pPr>
        <w:spacing w:after="0" w:line="259" w:lineRule="auto"/>
        <w:ind w:right="0" w:firstLine="0"/>
        <w:jc w:val="left"/>
      </w:pPr>
      <w:r>
        <w:t xml:space="preserve"> </w:t>
      </w:r>
    </w:p>
    <w:p w:rsidR="00B96FDD" w:rsidRDefault="00F4761E">
      <w:pPr>
        <w:ind w:left="-15" w:right="0"/>
      </w:pPr>
      <w:r>
        <w:t xml:space="preserve">Finalmente, en relación con la expulsión y devolución de inmigrantes como consecuencia de la realización de un expediente de expulsión por la comisión de una infracción grave o muy grave o, en su caso, como medida sustitutiva de determinadas penas privativas de libertad, todo ello en consonancia con la Ley Orgánica 4/2000 y su desarrollo reglamentario (arts. 242 y ss. del Real Decreto 557/2011), donde se establece la posibilidad de su limitación en aquellos supuestos en que se invoque la concurrencia de circunstancias que puedan conllevar la adquisición de la condición de asilado o protección subsidiaria, entre otros, por los motivos expuestos de existir un riesgo fundado de ser sometido a tratos inhumanos o degradantes.  </w:t>
      </w:r>
    </w:p>
    <w:p w:rsidR="00B96FDD" w:rsidRDefault="00F4761E">
      <w:pPr>
        <w:spacing w:after="0" w:line="259" w:lineRule="auto"/>
        <w:ind w:right="0" w:firstLine="0"/>
        <w:jc w:val="left"/>
      </w:pPr>
      <w:r>
        <w:t xml:space="preserve"> </w:t>
      </w:r>
    </w:p>
    <w:p w:rsidR="00B96FDD" w:rsidRDefault="00F4761E">
      <w:pPr>
        <w:ind w:left="-15" w:right="0"/>
      </w:pPr>
      <w:r>
        <w:t xml:space="preserve">Aunque la Ley Orgánica 4/2000 contempla procedimientos generales de expulsión o devolución para los inmigrantes que han conseguido entrar en territorio nacional español, lo que se ha hecho en 2015 es contemplar una figura especial (el rechazo </w:t>
      </w:r>
      <w:r w:rsidR="00ED5C62">
        <w:t xml:space="preserve">en frontera </w:t>
      </w:r>
      <w:bookmarkStart w:id="0" w:name="_GoBack"/>
      <w:bookmarkEnd w:id="0"/>
      <w:r>
        <w:t xml:space="preserve">de los que no han conseguido entrar en territorio nacional español por haber sido interceptados mientras lo intentaban) para atender de manera eficiente y legal el fenómeno de la inmigración irregular específicamente en las Ciudades Autónomas de Ceuta y Melilla. </w:t>
      </w:r>
    </w:p>
    <w:p w:rsidR="00B96FDD" w:rsidRDefault="00F4761E">
      <w:pPr>
        <w:spacing w:after="0" w:line="259" w:lineRule="auto"/>
        <w:ind w:left="427" w:right="0" w:firstLine="0"/>
        <w:jc w:val="left"/>
      </w:pPr>
      <w:r>
        <w:t xml:space="preserve"> </w:t>
      </w:r>
    </w:p>
    <w:p w:rsidR="00B96FDD" w:rsidRDefault="00F4761E">
      <w:pPr>
        <w:ind w:left="-15" w:right="0"/>
      </w:pPr>
      <w:r>
        <w:t xml:space="preserve">En suma, por lo que se refiere a las personas que han entrado irregularmente en territorio nacional y pueden ser objeto de expulsión, en el caso de llevarse a cabo la misma por las autoridades competentes, ello se hace siempre a través de un expediente administrativo individual (nunca de forma colectiva) y contemplando el ofrecimiento de los recursos pertinentes, en consonancia con lo ratificado. </w:t>
      </w:r>
    </w:p>
    <w:p w:rsidR="00B96FDD" w:rsidRDefault="00F4761E">
      <w:pPr>
        <w:spacing w:after="0" w:line="259" w:lineRule="auto"/>
        <w:ind w:right="0" w:firstLine="0"/>
        <w:jc w:val="left"/>
      </w:pPr>
      <w:r>
        <w:t xml:space="preserve"> </w:t>
      </w:r>
    </w:p>
    <w:p w:rsidR="00B96FDD" w:rsidRDefault="00F4761E">
      <w:pPr>
        <w:ind w:left="-15" w:right="0" w:firstLine="708"/>
      </w:pPr>
      <w:r>
        <w:t xml:space="preserve">En cuanto al régimen especial para Ceuta y Melilla, este ha sido avalado tanto por el Tribunal Europeo de Derechos Humanos como, posteriormente, por el Tribunal Constitucional. La Sentencia de Gran Sala del Tribunal Europeo de Derechos Humanos (TEDH) sobre rechazo en frontera en la valla de Melilla, de 13.02.20, ante las demandas ND y NT c. España nº 8675/15 y 8697/15 reconoce que España ofrece una disponibilidad y accesibilidad real de vías jurídicas para solicitar la admisión en su territorio nacional. </w:t>
      </w:r>
      <w:r>
        <w:lastRenderedPageBreak/>
        <w:t xml:space="preserve">Entre esas vías se encuentra la posibilidad de realizar una solicitud de visado o de protección internacional en todo paso fronterizo. </w:t>
      </w:r>
    </w:p>
    <w:p w:rsidR="00B96FDD" w:rsidRDefault="00F4761E">
      <w:pPr>
        <w:spacing w:after="0" w:line="259" w:lineRule="auto"/>
        <w:ind w:right="0" w:firstLine="0"/>
        <w:jc w:val="left"/>
      </w:pPr>
      <w:r>
        <w:t xml:space="preserve"> </w:t>
      </w:r>
    </w:p>
    <w:p w:rsidR="00B96FDD" w:rsidRDefault="00F4761E">
      <w:pPr>
        <w:ind w:left="-15" w:right="0" w:firstLine="708"/>
      </w:pPr>
      <w:r>
        <w:t xml:space="preserve">Cabe señalar que la propia sentencia declara por unanimidad que no ha habido vulneración ni del artículo 4 (“Quedan prohibidas las expulsiones colectivas de extranjeros”) del Protocolo Nº 4 del Convenio para la Protección de los Derechos Humanos y de las Libertades Fundamentales, ni del artículo 13 del Convenio, considerado conjuntamente con el citado artículo 4 del Protocolo Nº 4. </w:t>
      </w:r>
    </w:p>
    <w:p w:rsidR="00B96FDD" w:rsidRDefault="00F4761E">
      <w:pPr>
        <w:spacing w:after="0" w:line="259" w:lineRule="auto"/>
        <w:ind w:right="0" w:firstLine="0"/>
        <w:jc w:val="left"/>
      </w:pPr>
      <w:r>
        <w:t xml:space="preserve"> </w:t>
      </w:r>
    </w:p>
    <w:p w:rsidR="00B96FDD" w:rsidRDefault="00F4761E">
      <w:pPr>
        <w:ind w:left="-15" w:right="0"/>
      </w:pPr>
      <w:r>
        <w:t xml:space="preserve">En el mismo sentido se ha pronunciado el mismo tribunal en sentencia 05.07.22 ante las demandas MB y RA (Demanda Nº 20351/17). </w:t>
      </w:r>
    </w:p>
    <w:p w:rsidR="00B96FDD" w:rsidRDefault="00F4761E">
      <w:pPr>
        <w:spacing w:after="0" w:line="259" w:lineRule="auto"/>
        <w:ind w:right="0" w:firstLine="0"/>
        <w:jc w:val="left"/>
      </w:pPr>
      <w:r>
        <w:t xml:space="preserve"> </w:t>
      </w:r>
    </w:p>
    <w:p w:rsidR="00B96FDD" w:rsidRDefault="00F4761E">
      <w:pPr>
        <w:spacing w:after="1" w:line="259" w:lineRule="auto"/>
        <w:ind w:left="422" w:right="0" w:hanging="10"/>
        <w:jc w:val="left"/>
      </w:pPr>
      <w:r>
        <w:rPr>
          <w:b/>
          <w:i/>
        </w:rPr>
        <w:t xml:space="preserve">Salvaguardias legales fundamentales. </w:t>
      </w:r>
    </w:p>
    <w:p w:rsidR="00B96FDD" w:rsidRDefault="00F4761E">
      <w:pPr>
        <w:spacing w:after="1" w:line="259" w:lineRule="auto"/>
        <w:ind w:left="422" w:right="0" w:hanging="10"/>
        <w:jc w:val="left"/>
      </w:pPr>
      <w:r>
        <w:rPr>
          <w:b/>
          <w:i/>
        </w:rPr>
        <w:t xml:space="preserve">33.  </w:t>
      </w:r>
    </w:p>
    <w:p w:rsidR="00B96FDD" w:rsidRDefault="00F4761E">
      <w:pPr>
        <w:spacing w:after="0" w:line="259" w:lineRule="auto"/>
        <w:ind w:right="0" w:firstLine="0"/>
        <w:jc w:val="left"/>
      </w:pPr>
      <w:r>
        <w:rPr>
          <w:i/>
        </w:rPr>
        <w:t xml:space="preserve"> </w:t>
      </w:r>
    </w:p>
    <w:p w:rsidR="00B96FDD" w:rsidRDefault="00F4761E">
      <w:pPr>
        <w:ind w:left="-15" w:right="0" w:firstLine="283"/>
      </w:pPr>
      <w:r>
        <w:t xml:space="preserve">El artículo 17 de la Constitución Española establece que la privación de libertad únicamente puede llevarse a cabo de acuerdo con lo dispuesto en la propia Constitución y en la Ley. </w:t>
      </w:r>
    </w:p>
    <w:p w:rsidR="00B96FDD" w:rsidRDefault="00F4761E">
      <w:pPr>
        <w:spacing w:after="0" w:line="259" w:lineRule="auto"/>
        <w:ind w:right="0" w:firstLine="0"/>
        <w:jc w:val="left"/>
      </w:pPr>
      <w:r>
        <w:t xml:space="preserve"> </w:t>
      </w:r>
    </w:p>
    <w:p w:rsidR="00B96FDD" w:rsidRDefault="00F4761E">
      <w:pPr>
        <w:ind w:left="-15" w:right="0" w:firstLine="283"/>
      </w:pPr>
      <w:r>
        <w:t xml:space="preserve">Desde el punto de vista procesal, la Ley de Enjuiciamiento Criminal (LECRIM), según la redacción de la Ley Orgánica 13/2015, de 5 de octubre, de modificación de la Ley de Enjuiciamiento Criminal para el fortalecimiento de las garantías procesales y la regulación de las medidas de investigación tecnológica, profundiza en las garantías que el sistema penal español proporciona a cualquier persona a quien se atribuya un hecho punible o que haya sido privada de libertad.  </w:t>
      </w:r>
    </w:p>
    <w:p w:rsidR="00B96FDD" w:rsidRDefault="00F4761E">
      <w:pPr>
        <w:spacing w:after="0" w:line="259" w:lineRule="auto"/>
        <w:ind w:left="283" w:right="0" w:firstLine="0"/>
        <w:jc w:val="left"/>
      </w:pPr>
      <w:r>
        <w:t xml:space="preserve"> </w:t>
      </w:r>
    </w:p>
    <w:p w:rsidR="00B96FDD" w:rsidRDefault="00F4761E">
      <w:pPr>
        <w:ind w:left="-15" w:right="0" w:firstLine="283"/>
      </w:pPr>
      <w:r>
        <w:t xml:space="preserve">Esta ley incorpora al derecho español la Directiva 2013/48/UE del Parlamento Europeo y del Consejo, de 22 de octubre de 2013, sobre el derecho a la asistencia de letrado en los procesos penales y en los procedimientos relativos a la orden de detención europea, y sobre el derecho a que se informe a un tercero en el momento de la privación de libertad y a comunicarse con terceros y con autoridades consulares durante la privación de libertad. </w:t>
      </w:r>
    </w:p>
    <w:p w:rsidR="00B96FDD" w:rsidRDefault="00F4761E">
      <w:pPr>
        <w:spacing w:after="0" w:line="259" w:lineRule="auto"/>
        <w:ind w:right="0" w:firstLine="0"/>
        <w:jc w:val="left"/>
      </w:pPr>
      <w:r>
        <w:t xml:space="preserve"> </w:t>
      </w:r>
    </w:p>
    <w:p w:rsidR="00B96FDD" w:rsidRDefault="00F4761E">
      <w:pPr>
        <w:ind w:left="-15" w:right="0" w:firstLine="283"/>
      </w:pPr>
      <w:r>
        <w:t xml:space="preserve">Dicha directiva regula tanto el derecho a la asistencia de letrado en los procesos penales (art. 3), como el derecho a que se informe de la privación de libertad a un tercero (art. 5). Tanto el art. 3 (solo en la fase de instrucción) como el art. 5 contemplan la posibilidad de que, en circunstancias excepcionales, los Estados miembros puedan dejar de aplicar temporalmente los derechos antes citados en la medida en que esté justificado, en vista de las circunstancias específicas del caso, sobre la base de alguna o varias de las razones imperiosas siguientes: </w:t>
      </w:r>
    </w:p>
    <w:p w:rsidR="00B96FDD" w:rsidRDefault="00F4761E">
      <w:pPr>
        <w:spacing w:after="16" w:line="259" w:lineRule="auto"/>
        <w:ind w:right="0" w:firstLine="0"/>
        <w:jc w:val="left"/>
      </w:pPr>
      <w:r>
        <w:t xml:space="preserve"> </w:t>
      </w:r>
    </w:p>
    <w:p w:rsidR="00B96FDD" w:rsidRDefault="00F4761E">
      <w:pPr>
        <w:numPr>
          <w:ilvl w:val="0"/>
          <w:numId w:val="2"/>
        </w:numPr>
        <w:spacing w:after="27"/>
        <w:ind w:right="0" w:hanging="360"/>
      </w:pPr>
      <w:r>
        <w:t xml:space="preserve">una necesidad urgente de evitar graves consecuencias adversas para la vida, la libertad o la integridad física de una persona;   </w:t>
      </w:r>
    </w:p>
    <w:p w:rsidR="00B96FDD" w:rsidRDefault="00F4761E">
      <w:pPr>
        <w:numPr>
          <w:ilvl w:val="0"/>
          <w:numId w:val="2"/>
        </w:numPr>
        <w:ind w:right="0" w:hanging="360"/>
      </w:pPr>
      <w:r>
        <w:t xml:space="preserve">una necesidad urgente de una actuación inmediata de las autoridades de instrucción para evitar comprometer de modo grave el proceso penal. </w:t>
      </w:r>
    </w:p>
    <w:p w:rsidR="00B96FDD" w:rsidRDefault="00F4761E">
      <w:pPr>
        <w:spacing w:after="0" w:line="259" w:lineRule="auto"/>
        <w:ind w:right="0" w:firstLine="0"/>
        <w:jc w:val="left"/>
      </w:pPr>
      <w:r>
        <w:t xml:space="preserve"> </w:t>
      </w:r>
    </w:p>
    <w:p w:rsidR="00B96FDD" w:rsidRDefault="00F4761E">
      <w:pPr>
        <w:ind w:left="-15" w:right="0" w:firstLine="360"/>
      </w:pPr>
      <w:r>
        <w:t xml:space="preserve">En el art. 118 LECRIM se regula el derecho de defensa, cuyo contenido esencial es la asistencia de un abogado de libre designación o, en su defecto, de un abogado de oficio, con el que toda persona a quien se le atribuya un hecho punible podrá comunicarse y entrevistarse reservadamente y que estará presente en todas sus declaraciones, así como en las diligencias de reconocimiento, careos y reconstrucción de hechos.  </w:t>
      </w:r>
    </w:p>
    <w:p w:rsidR="00B96FDD" w:rsidRDefault="00F4761E">
      <w:pPr>
        <w:spacing w:after="0" w:line="259" w:lineRule="auto"/>
        <w:ind w:right="0" w:firstLine="0"/>
        <w:jc w:val="left"/>
      </w:pPr>
      <w:r>
        <w:t xml:space="preserve"> </w:t>
      </w:r>
    </w:p>
    <w:p w:rsidR="00B96FDD" w:rsidRDefault="00F4761E">
      <w:pPr>
        <w:ind w:left="-15" w:right="0" w:firstLine="360"/>
      </w:pPr>
      <w:r>
        <w:t xml:space="preserve">El art. 520 LECRIM, por su parte, recoge los derechos que asisten a toda persona detenida o presa. Se concreta que en el momento de la detención y en todos los traslados posteriores, sus responsables deberán velar por el respeto a los derechos constitucionales al honor, la intimidad y la imagen de los detenidos y presos.  </w:t>
      </w:r>
    </w:p>
    <w:p w:rsidR="00B96FDD" w:rsidRDefault="00F4761E">
      <w:pPr>
        <w:spacing w:after="0" w:line="259" w:lineRule="auto"/>
        <w:ind w:right="0" w:firstLine="0"/>
        <w:jc w:val="left"/>
      </w:pPr>
      <w:r>
        <w:t xml:space="preserve"> </w:t>
      </w:r>
    </w:p>
    <w:p w:rsidR="00B96FDD" w:rsidRDefault="00F4761E">
      <w:pPr>
        <w:ind w:left="-15" w:right="0" w:firstLine="360"/>
      </w:pPr>
      <w:r>
        <w:t xml:space="preserve">Entre los derechos que asisten a toda persona detenida o presa, está el de designar libremente abogado, sin perjuicio de lo dispuesto en el art. 527.1.a) LECRIM. Igualmente, se establece el derecho a que se ponga en conocimiento del familiar o persona que desee, sin demora injustificada, la privación de libertad y el lugar de custodia en que se halle en cada momento. Los extranjeros tendrán derecho a que las circunstancias anteriores se comuniquen a la oficina consular de su país, así como a ser visitados por las autoridades consulares de su país, a comunicarse y a mantener correspondencia con ellas. </w:t>
      </w:r>
    </w:p>
    <w:p w:rsidR="00B96FDD" w:rsidRDefault="00F4761E">
      <w:pPr>
        <w:spacing w:after="0" w:line="259" w:lineRule="auto"/>
        <w:ind w:left="720" w:right="0" w:firstLine="0"/>
        <w:jc w:val="left"/>
      </w:pPr>
      <w:r>
        <w:t xml:space="preserve"> </w:t>
      </w:r>
    </w:p>
    <w:p w:rsidR="00B96FDD" w:rsidRDefault="00F4761E">
      <w:pPr>
        <w:spacing w:after="0" w:line="240" w:lineRule="auto"/>
        <w:ind w:right="0" w:firstLine="360"/>
        <w:jc w:val="left"/>
      </w:pPr>
      <w:r>
        <w:t xml:space="preserve">En cuanto a la denominada “detención o prisión incomunicada” debe destacarse su carácter absolutamente excepcional. Por tanto, solo se permite su aplicación, que ha de ser acordada por el juez de instrucción o por el tribunal mediante resolución motivada, cuando concurra alguna de las circunstancias previstas en el art. 509.1 LECRIM: </w:t>
      </w:r>
    </w:p>
    <w:p w:rsidR="00B96FDD" w:rsidRDefault="00F4761E">
      <w:pPr>
        <w:spacing w:after="13" w:line="259" w:lineRule="auto"/>
        <w:ind w:left="360" w:right="0" w:firstLine="0"/>
        <w:jc w:val="left"/>
      </w:pPr>
      <w:r>
        <w:t xml:space="preserve"> </w:t>
      </w:r>
    </w:p>
    <w:p w:rsidR="00B96FDD" w:rsidRDefault="00F4761E">
      <w:pPr>
        <w:numPr>
          <w:ilvl w:val="0"/>
          <w:numId w:val="3"/>
        </w:numPr>
        <w:spacing w:after="30"/>
        <w:ind w:right="0" w:hanging="360"/>
      </w:pPr>
      <w:r>
        <w:t xml:space="preserve">necesidad urgente de evitar graves consecuencias adversas para la vida, la libertad o la integridad física de una persona, o  </w:t>
      </w:r>
    </w:p>
    <w:p w:rsidR="00B96FDD" w:rsidRDefault="00F4761E">
      <w:pPr>
        <w:numPr>
          <w:ilvl w:val="0"/>
          <w:numId w:val="3"/>
        </w:numPr>
        <w:ind w:right="0" w:hanging="360"/>
      </w:pPr>
      <w:r>
        <w:t xml:space="preserve">necesidad urgente de una actuación inmediata de las autoridades de instrucción para evitar comprometer de modo grave el proceso penal. </w:t>
      </w:r>
    </w:p>
    <w:p w:rsidR="00B96FDD" w:rsidRDefault="00F4761E">
      <w:pPr>
        <w:spacing w:after="0" w:line="259" w:lineRule="auto"/>
        <w:ind w:right="0" w:firstLine="0"/>
        <w:jc w:val="left"/>
      </w:pPr>
      <w:r>
        <w:t xml:space="preserve"> </w:t>
      </w:r>
    </w:p>
    <w:p w:rsidR="00B96FDD" w:rsidRDefault="00F4761E">
      <w:pPr>
        <w:ind w:left="-15" w:right="0" w:firstLine="360"/>
      </w:pPr>
      <w:r>
        <w:t xml:space="preserve">La regulación de la detención o prisión incomunicada, lejos de otorgarle un estatus de práctica ordinaria, implica el establecimiento de su carácter reglado y cercenado a la discrecionalidad. Se impide que la prisión incomunicada pueda ser acordada de facto y con carácter de excepción en razón a la gravedad de los hechos objeto de investigación.  </w:t>
      </w:r>
    </w:p>
    <w:p w:rsidR="00B96FDD" w:rsidRDefault="00F4761E">
      <w:pPr>
        <w:spacing w:after="0" w:line="259" w:lineRule="auto"/>
        <w:ind w:right="0" w:firstLine="0"/>
        <w:jc w:val="left"/>
      </w:pPr>
      <w:r>
        <w:rPr>
          <w:b/>
        </w:rPr>
        <w:t xml:space="preserve"> </w:t>
      </w:r>
    </w:p>
    <w:p w:rsidR="00B96FDD" w:rsidRDefault="00F4761E">
      <w:pPr>
        <w:ind w:left="-15" w:right="0" w:firstLine="360"/>
      </w:pPr>
      <w:r>
        <w:t xml:space="preserve">El ordenamiento jurídico español no recurre a la legislación de excepción (aquella que supone la suspensión en bloque de derechos fundamentales para todos los ciudadanos durante un periodo de tiempo) sino que, por el contrario, aplica  un régimen especial para casos concretos previsto en la normativa ordinaria, con una finalidad tasada -prevenir nuevos delitos o el agravamiento de sus consecuencias- bajo estricto control judicial y del fiscal, mediante la restricción mínima posible de sus derechos procesales y materiales y con salvaguardias adicionales específicas. </w:t>
      </w:r>
    </w:p>
    <w:p w:rsidR="00B96FDD" w:rsidRDefault="00F4761E">
      <w:pPr>
        <w:spacing w:after="0" w:line="259" w:lineRule="auto"/>
        <w:ind w:right="0" w:firstLine="0"/>
        <w:jc w:val="left"/>
      </w:pPr>
      <w:r>
        <w:t xml:space="preserve"> </w:t>
      </w:r>
    </w:p>
    <w:p w:rsidR="00B96FDD" w:rsidRDefault="00F4761E">
      <w:pPr>
        <w:ind w:left="-15" w:right="0"/>
      </w:pPr>
      <w:r>
        <w:t xml:space="preserve">En suma, la detención incomunicada tiene en España una aplicación absolutamente restrictiva y excepcional fiel al compromiso del Reino de España con los derechos humanos y libertades públicas en la lucha contra delitos muy graves como puede ser el terrorismo.  </w:t>
      </w:r>
    </w:p>
    <w:p w:rsidR="00B96FDD" w:rsidRDefault="00F4761E">
      <w:pPr>
        <w:spacing w:after="0" w:line="259" w:lineRule="auto"/>
        <w:ind w:right="0" w:firstLine="0"/>
        <w:jc w:val="left"/>
      </w:pPr>
      <w:r>
        <w:t xml:space="preserve"> </w:t>
      </w:r>
    </w:p>
    <w:p w:rsidR="00B96FDD" w:rsidRDefault="00F4761E">
      <w:pPr>
        <w:ind w:left="-15" w:right="0"/>
      </w:pPr>
      <w:r>
        <w:t xml:space="preserve">Posteriormente a esta reforma de la LECRIM, la Comisión Nacional de Coordinación de la Policía Judicial, con representación de la Fiscalía General del Estado (FGE), la Secretaría de Estado de Justicia (SEJ), la Secretaría de Estado de Seguridad (SES) y las Fuerzas y Cuerpos de Seguridad (FCS), en su sesión de trabajo de 03.04.17, acordó aprobar el Manual “Criterios para la Práctica de Diligencias por la Policía Judicial” con referencias y explicaciones de las garantías del detenido, entre ellas el régimen de incomunicación. </w:t>
      </w:r>
    </w:p>
    <w:p w:rsidR="00B96FDD" w:rsidRDefault="00F4761E">
      <w:pPr>
        <w:spacing w:after="0" w:line="259" w:lineRule="auto"/>
        <w:ind w:right="0" w:firstLine="0"/>
        <w:jc w:val="left"/>
      </w:pPr>
      <w:r>
        <w:t xml:space="preserve"> </w:t>
      </w:r>
    </w:p>
    <w:p w:rsidR="00B96FDD" w:rsidRDefault="00F4761E">
      <w:pPr>
        <w:ind w:left="-15" w:right="0"/>
      </w:pPr>
      <w:r>
        <w:t xml:space="preserve">Tanto los tribunales ordinarios como el Tribunal Constitucional, máximo órgano encargado de velar por el respeto y cumplimiento de los Derechos Humanos en España, se han pronunciado sobre la adecuación de nuestro sistema legal de detención incomunicada a las exigencias de los Convenios Internacionales suscritos por España, por las rigurosas garantías que establece nuestra normativa al respecto. </w:t>
      </w:r>
    </w:p>
    <w:p w:rsidR="00B96FDD" w:rsidRDefault="00F4761E">
      <w:pPr>
        <w:spacing w:after="0" w:line="259" w:lineRule="auto"/>
        <w:ind w:left="427" w:right="0" w:firstLine="0"/>
        <w:jc w:val="left"/>
      </w:pPr>
      <w:r>
        <w:t xml:space="preserve"> </w:t>
      </w:r>
    </w:p>
    <w:p w:rsidR="00B96FDD" w:rsidRDefault="00F4761E">
      <w:pPr>
        <w:spacing w:after="0" w:line="259" w:lineRule="auto"/>
        <w:ind w:right="0" w:firstLine="0"/>
        <w:jc w:val="left"/>
      </w:pPr>
      <w:r>
        <w:t xml:space="preserve"> </w:t>
      </w:r>
    </w:p>
    <w:p w:rsidR="00B96FDD" w:rsidRDefault="00F4761E">
      <w:pPr>
        <w:ind w:left="-15" w:right="0" w:firstLine="566"/>
      </w:pPr>
      <w:r>
        <w:t xml:space="preserve">Además, la situación personal del detenido incomunicado queda sometida siempre a un control permanente y directo por parte del juez que ha acordado la incomunicación o ratificado la misma. En ningún caso podrán ser objeto de detención incomunicada los menores de dieciséis años. Además, sólo en esos casos excepcionales puede el juez autorizar alguna o varias de las medidas restrictivas de derechos para el detenido incomunicado. Es decir, la nueva regulación se aleja de cualquier automatismo, de tal forma que ahora el juez puede tomar alguna, varias o ninguna de las medidas de restricción de derechos previstas por la ley, pero siempre de forma excepcional y ante una necesidad urgente. </w:t>
      </w:r>
    </w:p>
    <w:sectPr w:rsidR="00B96FDD">
      <w:footerReference w:type="even" r:id="rId7"/>
      <w:footerReference w:type="default" r:id="rId8"/>
      <w:footerReference w:type="first" r:id="rId9"/>
      <w:footnotePr>
        <w:numRestart w:val="eachPage"/>
      </w:footnotePr>
      <w:pgSz w:w="11906" w:h="16838"/>
      <w:pgMar w:top="1324" w:right="1695" w:bottom="1520" w:left="1702" w:header="720" w:footer="70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761E" w:rsidRDefault="00F4761E">
      <w:pPr>
        <w:spacing w:after="0" w:line="240" w:lineRule="auto"/>
      </w:pPr>
      <w:r>
        <w:separator/>
      </w:r>
    </w:p>
  </w:endnote>
  <w:endnote w:type="continuationSeparator" w:id="0">
    <w:p w:rsidR="00F4761E" w:rsidRDefault="00F476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6FDD" w:rsidRDefault="00F4761E">
    <w:pPr>
      <w:spacing w:after="0" w:line="259" w:lineRule="auto"/>
      <w:ind w:left="42" w:right="0" w:firstLine="0"/>
      <w:jc w:val="center"/>
    </w:pPr>
    <w:r>
      <w:rPr>
        <w:sz w:val="22"/>
      </w:rPr>
      <w:t xml:space="preserve"> </w:t>
    </w:r>
  </w:p>
  <w:p w:rsidR="00B96FDD" w:rsidRDefault="00F4761E">
    <w:pPr>
      <w:spacing w:after="0" w:line="259" w:lineRule="auto"/>
      <w:ind w:right="6" w:firstLine="0"/>
      <w:jc w:val="center"/>
    </w:pPr>
    <w:r>
      <w:fldChar w:fldCharType="begin"/>
    </w:r>
    <w:r>
      <w:instrText xml:space="preserve"> PAGE   \* MERGEFORMAT </w:instrText>
    </w:r>
    <w:r>
      <w:fldChar w:fldCharType="separate"/>
    </w:r>
    <w:r>
      <w:rPr>
        <w:sz w:val="22"/>
      </w:rPr>
      <w:t>1</w:t>
    </w:r>
    <w:r>
      <w:rPr>
        <w:sz w:val="22"/>
      </w:rPr>
      <w:fldChar w:fldCharType="end"/>
    </w:r>
    <w:r>
      <w:rPr>
        <w:sz w:val="22"/>
      </w:rPr>
      <w:t xml:space="preserve"> </w:t>
    </w:r>
  </w:p>
  <w:p w:rsidR="00B96FDD" w:rsidRDefault="00F4761E">
    <w:pPr>
      <w:spacing w:after="0" w:line="259" w:lineRule="auto"/>
      <w:ind w:right="0" w:firstLine="0"/>
      <w:jc w:val="left"/>
    </w:pPr>
    <w:r>
      <w:rPr>
        <w:rFonts w:ascii="Times New Roman" w:eastAsia="Times New Roman" w:hAnsi="Times New Roman" w:cs="Times New Roman"/>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6FDD" w:rsidRDefault="00F4761E">
    <w:pPr>
      <w:spacing w:after="0" w:line="259" w:lineRule="auto"/>
      <w:ind w:left="42" w:right="0" w:firstLine="0"/>
      <w:jc w:val="center"/>
    </w:pPr>
    <w:r>
      <w:rPr>
        <w:sz w:val="22"/>
      </w:rPr>
      <w:t xml:space="preserve"> </w:t>
    </w:r>
  </w:p>
  <w:p w:rsidR="00B96FDD" w:rsidRDefault="00F4761E">
    <w:pPr>
      <w:spacing w:after="0" w:line="259" w:lineRule="auto"/>
      <w:ind w:right="6" w:firstLine="0"/>
      <w:jc w:val="center"/>
    </w:pPr>
    <w:r>
      <w:fldChar w:fldCharType="begin"/>
    </w:r>
    <w:r>
      <w:instrText xml:space="preserve"> PAGE   \* MERGEFORMAT </w:instrText>
    </w:r>
    <w:r>
      <w:fldChar w:fldCharType="separate"/>
    </w:r>
    <w:r w:rsidR="00ED5C62" w:rsidRPr="00ED5C62">
      <w:rPr>
        <w:noProof/>
        <w:sz w:val="22"/>
      </w:rPr>
      <w:t>8</w:t>
    </w:r>
    <w:r>
      <w:rPr>
        <w:sz w:val="22"/>
      </w:rPr>
      <w:fldChar w:fldCharType="end"/>
    </w:r>
    <w:r>
      <w:rPr>
        <w:sz w:val="22"/>
      </w:rPr>
      <w:t xml:space="preserve"> </w:t>
    </w:r>
  </w:p>
  <w:p w:rsidR="00B96FDD" w:rsidRDefault="00F4761E">
    <w:pPr>
      <w:spacing w:after="0" w:line="259" w:lineRule="auto"/>
      <w:ind w:right="0" w:firstLine="0"/>
      <w:jc w:val="left"/>
    </w:pPr>
    <w:r>
      <w:rPr>
        <w:rFonts w:ascii="Times New Roman" w:eastAsia="Times New Roman" w:hAnsi="Times New Roman" w:cs="Times New Roman"/>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6FDD" w:rsidRDefault="00F4761E">
    <w:pPr>
      <w:spacing w:after="0" w:line="259" w:lineRule="auto"/>
      <w:ind w:left="42" w:right="0" w:firstLine="0"/>
      <w:jc w:val="center"/>
    </w:pPr>
    <w:r>
      <w:rPr>
        <w:sz w:val="22"/>
      </w:rPr>
      <w:t xml:space="preserve"> </w:t>
    </w:r>
  </w:p>
  <w:p w:rsidR="00B96FDD" w:rsidRDefault="00F4761E">
    <w:pPr>
      <w:spacing w:after="0" w:line="259" w:lineRule="auto"/>
      <w:ind w:right="6" w:firstLine="0"/>
      <w:jc w:val="center"/>
    </w:pPr>
    <w:r>
      <w:fldChar w:fldCharType="begin"/>
    </w:r>
    <w:r>
      <w:instrText xml:space="preserve"> PAGE   \* MERGEFORMAT </w:instrText>
    </w:r>
    <w:r>
      <w:fldChar w:fldCharType="separate"/>
    </w:r>
    <w:r>
      <w:rPr>
        <w:sz w:val="22"/>
      </w:rPr>
      <w:t>1</w:t>
    </w:r>
    <w:r>
      <w:rPr>
        <w:sz w:val="22"/>
      </w:rPr>
      <w:fldChar w:fldCharType="end"/>
    </w:r>
    <w:r>
      <w:rPr>
        <w:sz w:val="22"/>
      </w:rPr>
      <w:t xml:space="preserve"> </w:t>
    </w:r>
  </w:p>
  <w:p w:rsidR="00B96FDD" w:rsidRDefault="00F4761E">
    <w:pPr>
      <w:spacing w:after="0" w:line="259" w:lineRule="auto"/>
      <w:ind w:right="0" w:firstLine="0"/>
      <w:jc w:val="left"/>
    </w:pPr>
    <w:r>
      <w:rPr>
        <w:rFonts w:ascii="Times New Roman" w:eastAsia="Times New Roman" w:hAnsi="Times New Roman" w:cs="Times New Roman"/>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761E" w:rsidRDefault="00F4761E">
      <w:pPr>
        <w:spacing w:after="0" w:line="259" w:lineRule="auto"/>
        <w:ind w:right="0" w:firstLine="0"/>
        <w:jc w:val="left"/>
      </w:pPr>
      <w:r>
        <w:separator/>
      </w:r>
    </w:p>
  </w:footnote>
  <w:footnote w:type="continuationSeparator" w:id="0">
    <w:p w:rsidR="00F4761E" w:rsidRDefault="00F4761E">
      <w:pPr>
        <w:spacing w:after="0" w:line="259" w:lineRule="auto"/>
        <w:ind w:right="0" w:firstLine="0"/>
        <w:jc w:val="left"/>
      </w:pPr>
      <w:r>
        <w:continuationSeparator/>
      </w:r>
    </w:p>
  </w:footnote>
  <w:footnote w:id="1">
    <w:p w:rsidR="00B96FDD" w:rsidRDefault="00F4761E">
      <w:pPr>
        <w:pStyle w:val="footnotedescription"/>
      </w:pPr>
      <w:r>
        <w:rPr>
          <w:rStyle w:val="footnotemark"/>
        </w:rPr>
        <w:footnoteRef/>
      </w:r>
      <w:r>
        <w:t xml:space="preserve"> Establecido en el art. 1 de la Ley 50/1981, reguladora del Estatuto Orgánico del Ministerio Fiscal.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A31FDC"/>
    <w:multiLevelType w:val="hybridMultilevel"/>
    <w:tmpl w:val="0392609A"/>
    <w:lvl w:ilvl="0" w:tplc="4DA8A78A">
      <w:start w:val="1"/>
      <w:numFmt w:val="bullet"/>
      <w:lvlText w:val="-"/>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C24A264">
      <w:start w:val="1"/>
      <w:numFmt w:val="bullet"/>
      <w:lvlText w:val="o"/>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CFA94CA">
      <w:start w:val="1"/>
      <w:numFmt w:val="bullet"/>
      <w:lvlText w:val="▪"/>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7B4AA5C">
      <w:start w:val="1"/>
      <w:numFmt w:val="bullet"/>
      <w:lvlText w:val="•"/>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1282666">
      <w:start w:val="1"/>
      <w:numFmt w:val="bullet"/>
      <w:lvlText w:val="o"/>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CC283F8">
      <w:start w:val="1"/>
      <w:numFmt w:val="bullet"/>
      <w:lvlText w:val="▪"/>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B7AF48C">
      <w:start w:val="1"/>
      <w:numFmt w:val="bullet"/>
      <w:lvlText w:val="•"/>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1ACCBC4">
      <w:start w:val="1"/>
      <w:numFmt w:val="bullet"/>
      <w:lvlText w:val="o"/>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1BE7CE6">
      <w:start w:val="1"/>
      <w:numFmt w:val="bullet"/>
      <w:lvlText w:val="▪"/>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478F702C"/>
    <w:multiLevelType w:val="hybridMultilevel"/>
    <w:tmpl w:val="3BA0DFAC"/>
    <w:lvl w:ilvl="0" w:tplc="71A07B86">
      <w:start w:val="1"/>
      <w:numFmt w:val="lowerLetter"/>
      <w:lvlText w:val="%1)"/>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4538EB0C">
      <w:start w:val="1"/>
      <w:numFmt w:val="lowerLetter"/>
      <w:lvlText w:val="%2"/>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DBEA3854">
      <w:start w:val="1"/>
      <w:numFmt w:val="lowerRoman"/>
      <w:lvlText w:val="%3"/>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4D1A6070">
      <w:start w:val="1"/>
      <w:numFmt w:val="decimal"/>
      <w:lvlText w:val="%4"/>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1C008BB4">
      <w:start w:val="1"/>
      <w:numFmt w:val="lowerLetter"/>
      <w:lvlText w:val="%5"/>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0EAA0ADA">
      <w:start w:val="1"/>
      <w:numFmt w:val="lowerRoman"/>
      <w:lvlText w:val="%6"/>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AE22F840">
      <w:start w:val="1"/>
      <w:numFmt w:val="decimal"/>
      <w:lvlText w:val="%7"/>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620E345E">
      <w:start w:val="1"/>
      <w:numFmt w:val="lowerLetter"/>
      <w:lvlText w:val="%8"/>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5D1A25D4">
      <w:start w:val="1"/>
      <w:numFmt w:val="lowerRoman"/>
      <w:lvlText w:val="%9"/>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740A7854"/>
    <w:multiLevelType w:val="hybridMultilevel"/>
    <w:tmpl w:val="1BB2ED76"/>
    <w:lvl w:ilvl="0" w:tplc="540CDA8E">
      <w:start w:val="1"/>
      <w:numFmt w:val="lowerLetter"/>
      <w:lvlText w:val="%1)"/>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0284E8D6">
      <w:start w:val="1"/>
      <w:numFmt w:val="lowerLetter"/>
      <w:lvlText w:val="%2"/>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0D8E6A18">
      <w:start w:val="1"/>
      <w:numFmt w:val="lowerRoman"/>
      <w:lvlText w:val="%3"/>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A7F4C666">
      <w:start w:val="1"/>
      <w:numFmt w:val="decimal"/>
      <w:lvlText w:val="%4"/>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AB1C00C8">
      <w:start w:val="1"/>
      <w:numFmt w:val="lowerLetter"/>
      <w:lvlText w:val="%5"/>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5DAC1DFC">
      <w:start w:val="1"/>
      <w:numFmt w:val="lowerRoman"/>
      <w:lvlText w:val="%6"/>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B44ECA28">
      <w:start w:val="1"/>
      <w:numFmt w:val="decimal"/>
      <w:lvlText w:val="%7"/>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182A6980">
      <w:start w:val="1"/>
      <w:numFmt w:val="lowerLetter"/>
      <w:lvlText w:val="%8"/>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BBA8AAA2">
      <w:start w:val="1"/>
      <w:numFmt w:val="lowerRoman"/>
      <w:lvlText w:val="%9"/>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6FDD"/>
    <w:rsid w:val="005904B8"/>
    <w:rsid w:val="006C36F3"/>
    <w:rsid w:val="00B96FDD"/>
    <w:rsid w:val="00ED5C62"/>
    <w:rsid w:val="00F4761E"/>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61B627"/>
  <w15:docId w15:val="{2ECD64EE-BB1F-48CD-A615-5FD9759EFE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_tradnl" w:eastAsia="es-ES_tradn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50" w:lineRule="auto"/>
      <w:ind w:right="1" w:firstLine="417"/>
      <w:jc w:val="both"/>
    </w:pPr>
    <w:rPr>
      <w:rFonts w:ascii="Calibri" w:eastAsia="Calibri" w:hAnsi="Calibri" w:cs="Calibri"/>
      <w:color w:val="000000"/>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footnotedescription">
    <w:name w:val="footnote description"/>
    <w:next w:val="Normal"/>
    <w:link w:val="footnotedescriptionChar"/>
    <w:hidden/>
    <w:pPr>
      <w:spacing w:after="0"/>
    </w:pPr>
    <w:rPr>
      <w:rFonts w:ascii="Calibri" w:eastAsia="Calibri" w:hAnsi="Calibri" w:cs="Calibri"/>
      <w:color w:val="000000"/>
      <w:sz w:val="20"/>
    </w:rPr>
  </w:style>
  <w:style w:type="character" w:customStyle="1" w:styleId="footnotedescriptionChar">
    <w:name w:val="footnote description Char"/>
    <w:link w:val="footnotedescription"/>
    <w:rPr>
      <w:rFonts w:ascii="Calibri" w:eastAsia="Calibri" w:hAnsi="Calibri" w:cs="Calibri"/>
      <w:color w:val="000000"/>
      <w:sz w:val="20"/>
    </w:rPr>
  </w:style>
  <w:style w:type="character" w:customStyle="1" w:styleId="footnotemark">
    <w:name w:val="footnote mark"/>
    <w:hidden/>
    <w:rPr>
      <w:rFonts w:ascii="Calibri" w:eastAsia="Calibri" w:hAnsi="Calibri" w:cs="Calibri"/>
      <w:color w:val="000000"/>
      <w:sz w:val="20"/>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customXml" Target="../customXml/item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7" ma:contentTypeDescription="Create a new document." ma:contentTypeScope="" ma:versionID="a627a59a40450c1b63fe2b17c6432c3f">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4e001e1e6b41f87d345fae84299fbf68"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2026-06-29T07:46:54+00:00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lcf76f155ced4ddcb4097134ff3c332f xmlns="8328ca42-2125-412e-803c-da962a6c2716">
      <Terms xmlns="http://schemas.microsoft.com/office/infopath/2007/PartnerControls"/>
    </lcf76f155ced4ddcb4097134ff3c332f>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1D0D798F-D4F9-477F-850B-BB9CCF378832}"/>
</file>

<file path=customXml/itemProps2.xml><?xml version="1.0" encoding="utf-8"?>
<ds:datastoreItem xmlns:ds="http://schemas.openxmlformats.org/officeDocument/2006/customXml" ds:itemID="{C2434DE0-8236-40AB-878A-34EDF3BA561E}"/>
</file>

<file path=customXml/itemProps3.xml><?xml version="1.0" encoding="utf-8"?>
<ds:datastoreItem xmlns:ds="http://schemas.openxmlformats.org/officeDocument/2006/customXml" ds:itemID="{1414B2A8-8C6B-4DE6-A71A-7FE8EAB3FF6F}"/>
</file>

<file path=docProps/app.xml><?xml version="1.0" encoding="utf-8"?>
<Properties xmlns="http://schemas.openxmlformats.org/officeDocument/2006/extended-properties" xmlns:vt="http://schemas.openxmlformats.org/officeDocument/2006/docPropsVTypes">
  <Template>Normal</Template>
  <TotalTime>1</TotalTime>
  <Pages>8</Pages>
  <Words>3411</Words>
  <Characters>18152</Characters>
  <Application>Microsoft Office Word</Application>
  <DocSecurity>0</DocSecurity>
  <Lines>349</Lines>
  <Paragraphs>75</Paragraphs>
  <ScaleCrop>false</ScaleCrop>
  <HeadingPairs>
    <vt:vector size="2" baseType="variant">
      <vt:variant>
        <vt:lpstr>Título</vt:lpstr>
      </vt:variant>
      <vt:variant>
        <vt:i4>1</vt:i4>
      </vt:variant>
    </vt:vector>
  </HeadingPairs>
  <TitlesOfParts>
    <vt:vector size="1" baseType="lpstr">
      <vt:lpstr/>
    </vt:vector>
  </TitlesOfParts>
  <Company>MAEC</Company>
  <LinksUpToDate>false</LinksUpToDate>
  <CharactersWithSpaces>21488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Franco Alonso, Sonia</dc:creator>
  <cp:keywords/>
  <cp:lastModifiedBy>Merino de Mena, Eduardo Ramón</cp:lastModifiedBy>
  <cp:revision>2</cp:revision>
  <dcterms:created xsi:type="dcterms:W3CDTF">2026-05-26T10:54:00Z</dcterms:created>
  <dcterms:modified xsi:type="dcterms:W3CDTF">2026-05-26T10:54:00Z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0x010100F3F3498CE0ABCF44AFA9CE6E5EEF9E2B</vt:lpwstr>
  </property>
</Properties>
</file>