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18053745"/>
    <w:bookmarkStart w:id="1" w:name="_GoBack"/>
    <w:bookmarkEnd w:id="1"/>
    <w:p w14:paraId="397D4AEA" w14:textId="6422786E" w:rsidR="00686F53" w:rsidRDefault="00686F53" w:rsidP="00686F53">
      <w:pPr>
        <w:rPr>
          <w:b/>
          <w:bCs/>
          <w:sz w:val="32"/>
          <w:szCs w:val="32"/>
        </w:rPr>
      </w:pPr>
      <w:r w:rsidRPr="00686F53">
        <w:rPr>
          <w:b/>
          <w:bCs/>
          <w:noProof/>
          <w:sz w:val="32"/>
          <w:szCs w:val="32"/>
          <w:lang w:eastAsia="en-GB"/>
        </w:rPr>
        <mc:AlternateContent>
          <mc:Choice Requires="wps">
            <w:drawing>
              <wp:anchor distT="45720" distB="45720" distL="114300" distR="114300" simplePos="0" relativeHeight="251661312" behindDoc="0" locked="0" layoutInCell="1" allowOverlap="1" wp14:anchorId="0BEBEF15" wp14:editId="7FA459C4">
                <wp:simplePos x="0" y="0"/>
                <wp:positionH relativeFrom="margin">
                  <wp:align>right</wp:align>
                </wp:positionH>
                <wp:positionV relativeFrom="paragraph">
                  <wp:posOffset>0</wp:posOffset>
                </wp:positionV>
                <wp:extent cx="2667000" cy="13716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371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730AF8" w14:textId="012F41AA" w:rsidR="00686F53" w:rsidRDefault="00686F53">
                            <w:r>
                              <w:rPr>
                                <w:noProof/>
                                <w:lang w:eastAsia="en-GB"/>
                              </w:rPr>
                              <w:drawing>
                                <wp:inline distT="0" distB="0" distL="0" distR="0" wp14:anchorId="2F91E538" wp14:editId="677807B4">
                                  <wp:extent cx="2475230" cy="74422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5230" cy="7442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EBEF15" id="_x0000_t202" coordsize="21600,21600" o:spt="202" path="m,l,21600r21600,l21600,xe">
                <v:stroke joinstyle="miter"/>
                <v:path gradientshapeok="t" o:connecttype="rect"/>
              </v:shapetype>
              <v:shape id="Text Box 2" o:spid="_x0000_s1026" type="#_x0000_t202" style="position:absolute;margin-left:158.8pt;margin-top:0;width:210pt;height:10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" fillcolor="white [3201]" strokecolor="black [3200]" strokeweight="1pt">
                <v:textbox>
                  <w:txbxContent>
                    <w:p w14:paraId="0F730AF8" w14:textId="012F41AA" w:rsidR="00686F53" w:rsidRDefault="00686F53">
                      <w:r>
                        <w:rPr>
                          <w:noProof/>
                        </w:rPr>
                        <w:drawing>
                          <wp:inline distT="0" distB="0" distL="0" distR="0" wp14:anchorId="2F91E538" wp14:editId="677807B4">
                            <wp:extent cx="2475230" cy="74422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5230" cy="744220"/>
                                    </a:xfrm>
                                    <a:prstGeom prst="rect">
                                      <a:avLst/>
                                    </a:prstGeom>
                                    <a:noFill/>
                                    <a:ln>
                                      <a:noFill/>
                                    </a:ln>
                                  </pic:spPr>
                                </pic:pic>
                              </a:graphicData>
                            </a:graphic>
                          </wp:inline>
                        </w:drawing>
                      </w:r>
                    </w:p>
                  </w:txbxContent>
                </v:textbox>
                <w10:wrap type="square" anchorx="margin"/>
              </v:shape>
            </w:pict>
          </mc:Fallback>
        </mc:AlternateContent>
      </w:r>
      <w:r w:rsidRPr="00686F53">
        <w:rPr>
          <w:b/>
          <w:bCs/>
          <w:noProof/>
          <w:sz w:val="32"/>
          <w:szCs w:val="32"/>
          <w:lang w:eastAsia="en-GB"/>
        </w:rPr>
        <mc:AlternateContent>
          <mc:Choice Requires="wps">
            <w:drawing>
              <wp:anchor distT="45720" distB="45720" distL="114300" distR="114300" simplePos="0" relativeHeight="251659264" behindDoc="0" locked="0" layoutInCell="1" allowOverlap="1" wp14:anchorId="795290D4" wp14:editId="47586637">
                <wp:simplePos x="0" y="0"/>
                <wp:positionH relativeFrom="column">
                  <wp:posOffset>-312420</wp:posOffset>
                </wp:positionH>
                <wp:positionV relativeFrom="paragraph">
                  <wp:posOffset>0</wp:posOffset>
                </wp:positionV>
                <wp:extent cx="3261360" cy="13716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1371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40946C7" w14:textId="3ECD1C3E" w:rsidR="00686F53" w:rsidRDefault="00686F53">
                            <w:r>
                              <w:rPr>
                                <w:noProof/>
                                <w:lang w:eastAsia="en-GB"/>
                              </w:rPr>
                              <w:drawing>
                                <wp:inline distT="0" distB="0" distL="0" distR="0" wp14:anchorId="5DC15D53" wp14:editId="3830398B">
                                  <wp:extent cx="3073961" cy="1607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346" cy="163051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5290D4" id="_x0000_s1027" type="#_x0000_t202" style="position:absolute;margin-left:-24.6pt;margin-top:0;width:256.8pt;height:10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" fillcolor="white [3201]" strokecolor="black [3200]" strokeweight="1pt">
                <v:textbox>
                  <w:txbxContent>
                    <w:p w14:paraId="540946C7" w14:textId="3ECD1C3E" w:rsidR="00686F53" w:rsidRDefault="00686F53">
                      <w:r>
                        <w:rPr>
                          <w:noProof/>
                        </w:rPr>
                        <w:drawing>
                          <wp:inline distT="0" distB="0" distL="0" distR="0" wp14:anchorId="5DC15D53" wp14:editId="3830398B">
                            <wp:extent cx="3073961" cy="1607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7346" cy="1630512"/>
                                    </a:xfrm>
                                    <a:prstGeom prst="rect">
                                      <a:avLst/>
                                    </a:prstGeom>
                                    <a:noFill/>
                                    <a:ln>
                                      <a:noFill/>
                                    </a:ln>
                                  </pic:spPr>
                                </pic:pic>
                              </a:graphicData>
                            </a:graphic>
                          </wp:inline>
                        </w:drawing>
                      </w:r>
                    </w:p>
                  </w:txbxContent>
                </v:textbox>
                <w10:wrap type="square"/>
              </v:shape>
            </w:pict>
          </mc:Fallback>
        </mc:AlternateContent>
      </w:r>
    </w:p>
    <w:p w14:paraId="39B3820B" w14:textId="7C0F4765" w:rsidR="00686F53" w:rsidRPr="00686F53" w:rsidRDefault="00686F53" w:rsidP="00333EDE">
      <w:pPr>
        <w:jc w:val="center"/>
        <w:rPr>
          <w:b/>
          <w:bCs/>
          <w:sz w:val="32"/>
          <w:szCs w:val="32"/>
        </w:rPr>
      </w:pPr>
      <w:r w:rsidRPr="00686F53">
        <w:rPr>
          <w:b/>
          <w:bCs/>
          <w:sz w:val="32"/>
          <w:szCs w:val="32"/>
        </w:rPr>
        <w:t xml:space="preserve">Briefing to the Committee on Economic, Social and Cultural Rights on the implementation by Denmark of article </w:t>
      </w:r>
      <w:r>
        <w:rPr>
          <w:b/>
          <w:bCs/>
          <w:sz w:val="32"/>
          <w:szCs w:val="32"/>
        </w:rPr>
        <w:t>2</w:t>
      </w:r>
      <w:r w:rsidRPr="00686F53">
        <w:rPr>
          <w:b/>
          <w:bCs/>
          <w:sz w:val="32"/>
          <w:szCs w:val="32"/>
        </w:rPr>
        <w:t xml:space="preserve">, </w:t>
      </w:r>
      <w:r>
        <w:rPr>
          <w:b/>
          <w:bCs/>
          <w:sz w:val="32"/>
          <w:szCs w:val="32"/>
        </w:rPr>
        <w:t>10</w:t>
      </w:r>
      <w:r w:rsidRPr="00686F53">
        <w:rPr>
          <w:b/>
          <w:bCs/>
          <w:sz w:val="32"/>
          <w:szCs w:val="32"/>
        </w:rPr>
        <w:t xml:space="preserve">, </w:t>
      </w:r>
      <w:r>
        <w:rPr>
          <w:b/>
          <w:bCs/>
          <w:sz w:val="32"/>
          <w:szCs w:val="32"/>
        </w:rPr>
        <w:t>11</w:t>
      </w:r>
      <w:r w:rsidRPr="00686F53">
        <w:rPr>
          <w:b/>
          <w:bCs/>
          <w:sz w:val="32"/>
          <w:szCs w:val="32"/>
        </w:rPr>
        <w:t xml:space="preserve"> and 12 of the International Covenant on Economic, Social and Cultural Rights in relation to </w:t>
      </w:r>
      <w:r w:rsidR="00333EDE">
        <w:rPr>
          <w:b/>
          <w:bCs/>
          <w:sz w:val="32"/>
          <w:szCs w:val="32"/>
        </w:rPr>
        <w:t>people on integration benefit and homeless migrants.</w:t>
      </w:r>
    </w:p>
    <w:p w14:paraId="3690ADC6" w14:textId="7132DB3C" w:rsidR="00686F53" w:rsidRPr="00686F53" w:rsidRDefault="00686F53" w:rsidP="00333EDE">
      <w:pPr>
        <w:jc w:val="center"/>
        <w:rPr>
          <w:b/>
          <w:bCs/>
          <w:sz w:val="32"/>
          <w:szCs w:val="32"/>
        </w:rPr>
      </w:pPr>
    </w:p>
    <w:p w14:paraId="18939C23" w14:textId="4D1B7A3C" w:rsidR="00686F53" w:rsidRPr="00686F53" w:rsidRDefault="00686F53" w:rsidP="00333EDE">
      <w:pPr>
        <w:jc w:val="center"/>
        <w:rPr>
          <w:b/>
          <w:bCs/>
          <w:sz w:val="32"/>
          <w:szCs w:val="32"/>
        </w:rPr>
      </w:pPr>
      <w:r w:rsidRPr="00686F53">
        <w:rPr>
          <w:b/>
          <w:bCs/>
          <w:sz w:val="32"/>
          <w:szCs w:val="32"/>
        </w:rPr>
        <w:t xml:space="preserve">NGO report with additional information on the </w:t>
      </w:r>
      <w:r w:rsidR="00333EDE">
        <w:rPr>
          <w:b/>
          <w:bCs/>
          <w:sz w:val="32"/>
          <w:szCs w:val="32"/>
        </w:rPr>
        <w:t>Sixth</w:t>
      </w:r>
      <w:r w:rsidRPr="00686F53">
        <w:rPr>
          <w:b/>
          <w:bCs/>
          <w:sz w:val="32"/>
          <w:szCs w:val="32"/>
        </w:rPr>
        <w:t xml:space="preserve"> Periodic Report by Denmark</w:t>
      </w:r>
    </w:p>
    <w:p w14:paraId="71D9AE00" w14:textId="322D3913" w:rsidR="00686F53" w:rsidRPr="00682AF8" w:rsidRDefault="00686F53" w:rsidP="00333EDE">
      <w:pPr>
        <w:jc w:val="center"/>
        <w:rPr>
          <w:b/>
          <w:bCs/>
          <w:sz w:val="32"/>
          <w:szCs w:val="32"/>
        </w:rPr>
      </w:pPr>
    </w:p>
    <w:p w14:paraId="024EFE45" w14:textId="30D37CAF" w:rsidR="00682AF8" w:rsidRPr="00994BF9" w:rsidRDefault="00682AF8" w:rsidP="00682AF8">
      <w:pPr>
        <w:jc w:val="center"/>
      </w:pPr>
      <w:r w:rsidRPr="00994BF9">
        <w:t>This parallel report is submitted by ActionAid Denmark and</w:t>
      </w:r>
      <w:r w:rsidR="00CF49EF" w:rsidRPr="00994BF9">
        <w:t xml:space="preserve"> Dan Church Social,</w:t>
      </w:r>
      <w:r w:rsidRPr="00994BF9">
        <w:t xml:space="preserve"> Kompasset in relation to the 6</w:t>
      </w:r>
      <w:r w:rsidRPr="00994BF9">
        <w:rPr>
          <w:vertAlign w:val="superscript"/>
        </w:rPr>
        <w:t>th</w:t>
      </w:r>
      <w:r w:rsidRPr="00994BF9">
        <w:t xml:space="preserve"> examination of Denmark by the Committee on Economic, Social and Cultural Rights. It is divided between two independent chapters; the first by ActionAid Denmark and second by </w:t>
      </w:r>
      <w:r w:rsidR="00A01ED3" w:rsidRPr="00994BF9">
        <w:t>Dan Church Social, Kompasset</w:t>
      </w:r>
    </w:p>
    <w:p w14:paraId="7EC56997" w14:textId="0F4DCA56" w:rsidR="00686F53" w:rsidRDefault="00686F53" w:rsidP="00443B65">
      <w:pPr>
        <w:rPr>
          <w:b/>
          <w:bCs/>
          <w:sz w:val="32"/>
          <w:szCs w:val="32"/>
        </w:rPr>
      </w:pPr>
    </w:p>
    <w:p w14:paraId="3657ED8E" w14:textId="065A8B15" w:rsidR="00333EDE" w:rsidRDefault="00333EDE" w:rsidP="00FA6F40">
      <w:pPr>
        <w:jc w:val="center"/>
        <w:rPr>
          <w:b/>
          <w:bCs/>
          <w:sz w:val="32"/>
          <w:szCs w:val="32"/>
        </w:rPr>
      </w:pPr>
      <w:r>
        <w:rPr>
          <w:b/>
          <w:bCs/>
          <w:sz w:val="32"/>
          <w:szCs w:val="32"/>
        </w:rPr>
        <w:t>Contact Information:</w:t>
      </w:r>
    </w:p>
    <w:p w14:paraId="707B841A" w14:textId="3E704602" w:rsidR="00333EDE" w:rsidRPr="00FA6F40" w:rsidRDefault="00333EDE" w:rsidP="00FA6F40">
      <w:pPr>
        <w:jc w:val="center"/>
        <w:rPr>
          <w:sz w:val="32"/>
          <w:szCs w:val="32"/>
        </w:rPr>
      </w:pPr>
      <w:r w:rsidRPr="00FA6F40">
        <w:rPr>
          <w:sz w:val="32"/>
          <w:szCs w:val="32"/>
        </w:rPr>
        <w:t>ActionAid Denmark, Ditte Ingemann, Policy Advisor +45 41 10 01 39</w:t>
      </w:r>
    </w:p>
    <w:p w14:paraId="6C6145DF" w14:textId="27AD9A05" w:rsidR="00333EDE" w:rsidRPr="00A01ED3" w:rsidRDefault="00A01ED3" w:rsidP="00FA6F40">
      <w:pPr>
        <w:jc w:val="center"/>
        <w:rPr>
          <w:sz w:val="32"/>
          <w:szCs w:val="32"/>
        </w:rPr>
      </w:pPr>
      <w:r w:rsidRPr="00A01ED3">
        <w:rPr>
          <w:sz w:val="32"/>
          <w:szCs w:val="32"/>
        </w:rPr>
        <w:t xml:space="preserve">Dan Church </w:t>
      </w:r>
      <w:r>
        <w:rPr>
          <w:sz w:val="32"/>
          <w:szCs w:val="32"/>
        </w:rPr>
        <w:t xml:space="preserve">Social </w:t>
      </w:r>
      <w:r w:rsidR="00333EDE" w:rsidRPr="00A01ED3">
        <w:rPr>
          <w:sz w:val="32"/>
          <w:szCs w:val="32"/>
        </w:rPr>
        <w:t>Kompasset, Christian Cramon +45 23 99 83 83</w:t>
      </w:r>
    </w:p>
    <w:p w14:paraId="46BC0F87" w14:textId="77777777" w:rsidR="00333EDE" w:rsidRPr="00A01ED3" w:rsidRDefault="00333EDE" w:rsidP="00443B65">
      <w:pPr>
        <w:rPr>
          <w:b/>
          <w:bCs/>
          <w:sz w:val="32"/>
          <w:szCs w:val="32"/>
        </w:rPr>
      </w:pPr>
    </w:p>
    <w:p w14:paraId="5E59EB68" w14:textId="16B939C2" w:rsidR="00686F53" w:rsidRPr="00A01ED3" w:rsidRDefault="00BE02F8" w:rsidP="00ED3B21">
      <w:pPr>
        <w:jc w:val="center"/>
        <w:rPr>
          <w:b/>
          <w:bCs/>
          <w:sz w:val="32"/>
          <w:szCs w:val="32"/>
        </w:rPr>
      </w:pPr>
      <w:r>
        <w:rPr>
          <w:b/>
          <w:bCs/>
          <w:sz w:val="32"/>
          <w:szCs w:val="32"/>
        </w:rPr>
        <w:t>September</w:t>
      </w:r>
      <w:r w:rsidR="00ED3B21" w:rsidRPr="00A01ED3">
        <w:rPr>
          <w:b/>
          <w:bCs/>
          <w:sz w:val="32"/>
          <w:szCs w:val="32"/>
        </w:rPr>
        <w:t xml:space="preserve"> 2019</w:t>
      </w:r>
    </w:p>
    <w:p w14:paraId="7A2AEE7F" w14:textId="5585E0B6" w:rsidR="00686F53" w:rsidRPr="00A01ED3" w:rsidRDefault="00686F53" w:rsidP="00443B65">
      <w:pPr>
        <w:rPr>
          <w:b/>
          <w:bCs/>
          <w:sz w:val="32"/>
          <w:szCs w:val="32"/>
        </w:rPr>
      </w:pPr>
    </w:p>
    <w:p w14:paraId="67C1D10E" w14:textId="35421389" w:rsidR="00686F53" w:rsidRPr="00A01ED3" w:rsidRDefault="00686F53" w:rsidP="00443B65">
      <w:pPr>
        <w:rPr>
          <w:b/>
          <w:bCs/>
          <w:sz w:val="32"/>
          <w:szCs w:val="32"/>
        </w:rPr>
      </w:pPr>
    </w:p>
    <w:p w14:paraId="60CC9520" w14:textId="77777777" w:rsidR="00686F53" w:rsidRPr="00A01ED3" w:rsidRDefault="00686F53" w:rsidP="00443B65">
      <w:pPr>
        <w:rPr>
          <w:b/>
          <w:bCs/>
          <w:sz w:val="32"/>
          <w:szCs w:val="32"/>
        </w:rPr>
      </w:pPr>
    </w:p>
    <w:p w14:paraId="76FF23E2" w14:textId="77777777" w:rsidR="00AF7142" w:rsidRDefault="00AF7142" w:rsidP="005617C6">
      <w:pPr>
        <w:rPr>
          <w:b/>
          <w:bCs/>
        </w:rPr>
      </w:pPr>
    </w:p>
    <w:p w14:paraId="07F5D48B" w14:textId="6ADA0C19" w:rsidR="00682AF8" w:rsidRPr="0075334A" w:rsidRDefault="00682AF8" w:rsidP="005617C6">
      <w:pPr>
        <w:rPr>
          <w:b/>
          <w:bCs/>
          <w:sz w:val="28"/>
          <w:szCs w:val="28"/>
        </w:rPr>
      </w:pPr>
      <w:r w:rsidRPr="0075334A">
        <w:rPr>
          <w:b/>
          <w:bCs/>
          <w:sz w:val="28"/>
          <w:szCs w:val="28"/>
        </w:rPr>
        <w:lastRenderedPageBreak/>
        <w:t>CHAPTER 1: INTEGRATION BENEFIT</w:t>
      </w:r>
    </w:p>
    <w:p w14:paraId="197C6BFD" w14:textId="2C82799E" w:rsidR="00443B65" w:rsidRDefault="0013718D" w:rsidP="0013718D">
      <w:r>
        <w:t xml:space="preserve">In this </w:t>
      </w:r>
      <w:r w:rsidR="00682AF8">
        <w:t>chapter</w:t>
      </w:r>
      <w:r>
        <w:t xml:space="preserve">, we will highlight some of the negative consequences with the integration benefit and argue that it has discriminative impact on certain citizens, who are </w:t>
      </w:r>
      <w:r w:rsidR="00D455A7">
        <w:t>at</w:t>
      </w:r>
      <w:r w:rsidR="005121B8">
        <w:t xml:space="preserve"> risk of being </w:t>
      </w:r>
      <w:r>
        <w:t>excluded from our community in a way where their full access to the rights stated in the International Covenant on Economic, Social and Cultural rights is limited.</w:t>
      </w:r>
      <w:r w:rsidR="007B1EC2">
        <w:t xml:space="preserve"> </w:t>
      </w:r>
      <w:r>
        <w:t xml:space="preserve">The </w:t>
      </w:r>
      <w:r w:rsidR="00A6190B">
        <w:t>chapter</w:t>
      </w:r>
      <w:r>
        <w:t xml:space="preserve"> contains recommendations to the Government of Denmark to </w:t>
      </w:r>
      <w:r w:rsidR="00D455A7">
        <w:t>commit to</w:t>
      </w:r>
      <w:r>
        <w:t xml:space="preserve"> the human </w:t>
      </w:r>
      <w:r w:rsidR="00D455A7">
        <w:t>rights</w:t>
      </w:r>
      <w:r>
        <w:t xml:space="preserve"> of the persons affected</w:t>
      </w:r>
      <w:r w:rsidR="006F7F1D">
        <w:t xml:space="preserve"> by the integration benefit</w:t>
      </w:r>
      <w:r>
        <w:t>.</w:t>
      </w:r>
    </w:p>
    <w:p w14:paraId="5C8C9F30" w14:textId="3DA08D49" w:rsidR="000C1CA6" w:rsidRDefault="000C1CA6" w:rsidP="0013718D">
      <w:bookmarkStart w:id="2" w:name="_Hlk18565873"/>
      <w:r>
        <w:t xml:space="preserve">As a member of the international non-governmental federation ActionAid, ActionAid Denmark (AADK) shares the primary aim of working against poverty and injustice worldwide. Since 1944, AADK has always worked </w:t>
      </w:r>
      <w:r w:rsidR="00D455A7">
        <w:t>to</w:t>
      </w:r>
      <w:r>
        <w:t xml:space="preserve"> promot</w:t>
      </w:r>
      <w:r w:rsidR="00D455A7">
        <w:t>e</w:t>
      </w:r>
      <w:r>
        <w:t xml:space="preserve"> the rights</w:t>
      </w:r>
      <w:r w:rsidR="00D455A7">
        <w:t xml:space="preserve"> of people who are in marginalised positions</w:t>
      </w:r>
      <w:r>
        <w:t>. Besides our work in more than ten countries, we have national programs focusing on ethnic minorities and refugees in Denmark.</w:t>
      </w:r>
      <w:r w:rsidR="00002ABA">
        <w:t xml:space="preserve"> With a participatory rights-based approach we aim to empower th</w:t>
      </w:r>
      <w:r w:rsidR="00D455A7">
        <w:t>ese groups</w:t>
      </w:r>
      <w:r w:rsidR="00002ABA">
        <w:t xml:space="preserve"> through partnerships, workshops and trainings. </w:t>
      </w:r>
      <w:r w:rsidR="006C3758">
        <w:t>Since s</w:t>
      </w:r>
      <w:r>
        <w:t xml:space="preserve">everal of the people we work with are affected by </w:t>
      </w:r>
      <w:r w:rsidR="00002ABA">
        <w:t>the</w:t>
      </w:r>
      <w:r w:rsidR="006C3758">
        <w:t xml:space="preserve"> consequences of the low</w:t>
      </w:r>
      <w:r w:rsidR="00002ABA">
        <w:t xml:space="preserve"> integration benefit</w:t>
      </w:r>
      <w:r w:rsidR="006C3758">
        <w:t>, we chose to focus on this issue in relation to the 6</w:t>
      </w:r>
      <w:r w:rsidR="006C3758" w:rsidRPr="00CB7AAF">
        <w:rPr>
          <w:vertAlign w:val="superscript"/>
        </w:rPr>
        <w:t>th</w:t>
      </w:r>
      <w:r w:rsidR="006C3758">
        <w:t xml:space="preserve"> examination of Denmark by the Committee on Economic, Social and Cultural Rights.</w:t>
      </w:r>
    </w:p>
    <w:bookmarkEnd w:id="2"/>
    <w:p w14:paraId="7564ED94" w14:textId="159D713D" w:rsidR="007F4F7D" w:rsidRDefault="007F4F7D" w:rsidP="00443B65">
      <w:r>
        <w:t>In the List of Issues, the Danish state both refers to the increased inequality, especially in relation to income that is partly because of the lower cash-benefits for unemployed immigrants</w:t>
      </w:r>
      <w:r>
        <w:rPr>
          <w:rStyle w:val="FootnoteReference"/>
        </w:rPr>
        <w:footnoteReference w:id="1"/>
      </w:r>
      <w:r>
        <w:t xml:space="preserve">, and it also refers to </w:t>
      </w:r>
      <w:r w:rsidR="007F644B">
        <w:t>the increase of the percentage of immigrants and descendants of non-Western origin that have experienced discrimination due to their ethnicity</w:t>
      </w:r>
      <w:r w:rsidR="007F644B">
        <w:rPr>
          <w:rStyle w:val="FootnoteReference"/>
        </w:rPr>
        <w:footnoteReference w:id="2"/>
      </w:r>
      <w:r w:rsidR="007F644B">
        <w:t xml:space="preserve">. </w:t>
      </w:r>
      <w:r w:rsidR="003A3F7A">
        <w:t>In addition</w:t>
      </w:r>
      <w:r w:rsidR="007F644B">
        <w:t xml:space="preserve">, the </w:t>
      </w:r>
      <w:r>
        <w:t xml:space="preserve">Danish state only briefly mentions </w:t>
      </w:r>
      <w:r w:rsidR="00A33217">
        <w:t xml:space="preserve">the </w:t>
      </w:r>
      <w:r w:rsidR="00D44172">
        <w:t>i</w:t>
      </w:r>
      <w:r w:rsidR="00A33217">
        <w:t xml:space="preserve">ntegration </w:t>
      </w:r>
      <w:r w:rsidR="00D44172">
        <w:t>b</w:t>
      </w:r>
      <w:r w:rsidR="00A33217">
        <w:t>enefit that was implemented in 2015</w:t>
      </w:r>
      <w:r>
        <w:t>,</w:t>
      </w:r>
      <w:r w:rsidR="00EA0DC8">
        <w:rPr>
          <w:rStyle w:val="FootnoteReference"/>
        </w:rPr>
        <w:footnoteReference w:id="3"/>
      </w:r>
      <w:r w:rsidR="002431F7">
        <w:t xml:space="preserve"> </w:t>
      </w:r>
      <w:r>
        <w:t xml:space="preserve">as a service that </w:t>
      </w:r>
      <w:r w:rsidR="00AE1FBF">
        <w:t>people</w:t>
      </w:r>
      <w:r>
        <w:t xml:space="preserve"> who are not entitled to unemployment benefits can be entitled</w:t>
      </w:r>
      <w:r>
        <w:rPr>
          <w:rStyle w:val="FootnoteReference"/>
        </w:rPr>
        <w:footnoteReference w:id="4"/>
      </w:r>
      <w:r>
        <w:t>.</w:t>
      </w:r>
      <w:r w:rsidR="003A3F7A">
        <w:t xml:space="preserve"> T</w:t>
      </w:r>
      <w:r w:rsidR="007F644B">
        <w:t xml:space="preserve">he </w:t>
      </w:r>
      <w:r w:rsidR="00D44172">
        <w:t>i</w:t>
      </w:r>
      <w:r w:rsidR="007F644B">
        <w:t xml:space="preserve">ntegration </w:t>
      </w:r>
      <w:r w:rsidR="00D44172">
        <w:t>b</w:t>
      </w:r>
      <w:r w:rsidR="007F644B">
        <w:t xml:space="preserve">enefit </w:t>
      </w:r>
      <w:r w:rsidR="00F61A29">
        <w:t>shows</w:t>
      </w:r>
      <w:r w:rsidR="005121B8">
        <w:t xml:space="preserve"> a tendency towards being </w:t>
      </w:r>
      <w:r w:rsidR="007F644B">
        <w:t>discriminative since its receivers are ethnic minorities</w:t>
      </w:r>
      <w:r w:rsidR="003A3F7A">
        <w:t>, predominantly refugees and their reunified families,</w:t>
      </w:r>
      <w:r w:rsidR="007F644B">
        <w:t xml:space="preserve"> and this group is limited in their rights stated in the Committee on Economic, Social and Cultural Rights.</w:t>
      </w:r>
    </w:p>
    <w:p w14:paraId="7CDE12A0" w14:textId="1A37A588" w:rsidR="00AE1FBF" w:rsidRDefault="002431F7" w:rsidP="00443B65">
      <w:r w:rsidRPr="00333EDE">
        <w:t xml:space="preserve">The </w:t>
      </w:r>
      <w:r w:rsidR="00D44172">
        <w:t>i</w:t>
      </w:r>
      <w:r w:rsidRPr="00333EDE">
        <w:t xml:space="preserve">ntegration </w:t>
      </w:r>
      <w:r w:rsidR="00D44172">
        <w:t>b</w:t>
      </w:r>
      <w:r w:rsidRPr="00333EDE">
        <w:t>enefit</w:t>
      </w:r>
      <w:r w:rsidR="00AE1FBF" w:rsidRPr="00333EDE">
        <w:t xml:space="preserve"> was implemente</w:t>
      </w:r>
      <w:r w:rsidR="00AE1FBF" w:rsidRPr="00FA6F40">
        <w:t xml:space="preserve">d in 2015 with the declared aim </w:t>
      </w:r>
      <w:r w:rsidR="00AE1FBF">
        <w:t>of making it less attractive to come to Denmark and more attractive to work and contribute to the Danish society.</w:t>
      </w:r>
      <w:r w:rsidR="00AE1FBF">
        <w:rPr>
          <w:rStyle w:val="FootnoteReference"/>
        </w:rPr>
        <w:footnoteReference w:id="5"/>
      </w:r>
      <w:r w:rsidR="00AE1FBF">
        <w:t xml:space="preserve"> It</w:t>
      </w:r>
      <w:r w:rsidRPr="00333EDE">
        <w:t xml:space="preserve"> </w:t>
      </w:r>
      <w:r>
        <w:t>is offered to people wh</w:t>
      </w:r>
      <w:r w:rsidR="003A3F7A">
        <w:t>o</w:t>
      </w:r>
      <w:r w:rsidR="003F1840">
        <w:t xml:space="preserve"> receive welfare support when not being able to support themselves and their families </w:t>
      </w:r>
      <w:r>
        <w:t xml:space="preserve">financially </w:t>
      </w:r>
      <w:r w:rsidR="003F1840">
        <w:t xml:space="preserve">, but </w:t>
      </w:r>
      <w:r>
        <w:t>who h</w:t>
      </w:r>
      <w:r w:rsidR="00A33217">
        <w:t xml:space="preserve">ave not lived in Denmark for at least </w:t>
      </w:r>
      <w:r w:rsidR="00B11769">
        <w:t>nine</w:t>
      </w:r>
      <w:r w:rsidR="00A33217">
        <w:t xml:space="preserve"> out of the past </w:t>
      </w:r>
      <w:r w:rsidR="00B11769">
        <w:t>ten</w:t>
      </w:r>
      <w:r w:rsidR="00A33217">
        <w:t xml:space="preserve"> years. In this way, </w:t>
      </w:r>
      <w:r w:rsidR="0038553B">
        <w:t>most of</w:t>
      </w:r>
      <w:r w:rsidR="008D6534">
        <w:t xml:space="preserve"> the receivers </w:t>
      </w:r>
      <w:r w:rsidR="00A33217">
        <w:t>are</w:t>
      </w:r>
      <w:r w:rsidR="00AE1FBF">
        <w:t xml:space="preserve"> people with non-Western ethnic background and</w:t>
      </w:r>
      <w:r w:rsidR="00A33217">
        <w:t xml:space="preserve"> refugees that recently came to Denmark.</w:t>
      </w:r>
      <w:r w:rsidR="00AE1FBF">
        <w:t xml:space="preserve"> </w:t>
      </w:r>
      <w:r w:rsidR="00AE1FBF" w:rsidRPr="00333EDE">
        <w:t xml:space="preserve">The integration benefit has been </w:t>
      </w:r>
      <w:r w:rsidR="00AE1FBF" w:rsidRPr="00ED3B21">
        <w:t>criticised for creating pov</w:t>
      </w:r>
      <w:r w:rsidR="00AE1FBF" w:rsidRPr="00CB7AAF">
        <w:t>erty a</w:t>
      </w:r>
      <w:r w:rsidR="00AE1FBF">
        <w:t>nd having negative social consequences.</w:t>
      </w:r>
    </w:p>
    <w:p w14:paraId="4ACD27CC" w14:textId="745FDDDF" w:rsidR="0041638B" w:rsidRDefault="00AE1FBF" w:rsidP="004C4E1E">
      <w:r w:rsidRPr="00CB7AAF">
        <w:t>In 2018,</w:t>
      </w:r>
      <w:r>
        <w:t xml:space="preserve"> a new law</w:t>
      </w:r>
      <w:r w:rsidR="004C4E1E">
        <w:rPr>
          <w:rStyle w:val="FootnoteReference"/>
        </w:rPr>
        <w:footnoteReference w:id="6"/>
      </w:r>
      <w:r>
        <w:t xml:space="preserve"> was implemented </w:t>
      </w:r>
      <w:r w:rsidR="0041638B">
        <w:t xml:space="preserve">which decreased </w:t>
      </w:r>
      <w:r w:rsidR="00D44172">
        <w:t>i</w:t>
      </w:r>
      <w:r w:rsidR="0041638B">
        <w:t xml:space="preserve">ntegration </w:t>
      </w:r>
      <w:r w:rsidR="00D44172">
        <w:t>b</w:t>
      </w:r>
      <w:r w:rsidR="0041638B">
        <w:t xml:space="preserve">enefit </w:t>
      </w:r>
      <w:r w:rsidR="004C4E1E">
        <w:t xml:space="preserve">with 3 %. </w:t>
      </w:r>
      <w:bookmarkStart w:id="3" w:name="_Hlk18486336"/>
      <w:r w:rsidR="003A3F7A">
        <w:t>Consequently</w:t>
      </w:r>
      <w:r w:rsidR="004C4E1E">
        <w:t>, a single p</w:t>
      </w:r>
      <w:r w:rsidR="0041638B">
        <w:t>arent</w:t>
      </w:r>
      <w:r w:rsidR="004C4E1E">
        <w:t xml:space="preserve"> on </w:t>
      </w:r>
      <w:r w:rsidR="00D44172">
        <w:t>i</w:t>
      </w:r>
      <w:r w:rsidR="004C4E1E">
        <w:t xml:space="preserve">ntegration </w:t>
      </w:r>
      <w:r w:rsidR="00D44172">
        <w:t>b</w:t>
      </w:r>
      <w:r w:rsidR="004C4E1E">
        <w:t>enefit</w:t>
      </w:r>
      <w:r w:rsidR="0041638B">
        <w:t xml:space="preserve"> </w:t>
      </w:r>
      <w:r w:rsidR="004C4E1E">
        <w:t xml:space="preserve">and the right to child support </w:t>
      </w:r>
      <w:r w:rsidR="0041638B">
        <w:t xml:space="preserve">receives </w:t>
      </w:r>
      <w:r w:rsidR="004C4E1E">
        <w:t>12.143 DKR per month</w:t>
      </w:r>
      <w:r w:rsidR="0041638B">
        <w:t xml:space="preserve"> before tax</w:t>
      </w:r>
      <w:r w:rsidR="004C4E1E">
        <w:t xml:space="preserve">. </w:t>
      </w:r>
      <w:r w:rsidR="0041638B">
        <w:t xml:space="preserve">The regulation distinguishes between parents who have or have not the right for child support according to residency and a few other factors. </w:t>
      </w:r>
    </w:p>
    <w:p w14:paraId="7A232685" w14:textId="2EABC27E" w:rsidR="004C4E1E" w:rsidRDefault="004C4E1E" w:rsidP="004C4E1E">
      <w:r>
        <w:lastRenderedPageBreak/>
        <w:t>A</w:t>
      </w:r>
      <w:r w:rsidR="0041638B">
        <w:t>nother single parent who</w:t>
      </w:r>
      <w:r>
        <w:t xml:space="preserve"> do</w:t>
      </w:r>
      <w:r w:rsidR="005121B8">
        <w:t>es not</w:t>
      </w:r>
      <w:r>
        <w:t xml:space="preserve"> have </w:t>
      </w:r>
      <w:r w:rsidR="0041638B">
        <w:t xml:space="preserve">the </w:t>
      </w:r>
      <w:r>
        <w:t>right to child</w:t>
      </w:r>
      <w:r w:rsidR="0041638B">
        <w:t xml:space="preserve"> </w:t>
      </w:r>
      <w:r>
        <w:t xml:space="preserve">support will receive 8.498 DKR per month </w:t>
      </w:r>
      <w:r w:rsidR="0041638B">
        <w:t xml:space="preserve">before </w:t>
      </w:r>
      <w:r>
        <w:t>tax. A</w:t>
      </w:r>
      <w:r w:rsidR="0041638B">
        <w:t xml:space="preserve">ccording to the law, a </w:t>
      </w:r>
      <w:r>
        <w:t>person over 30 years old with no kids receive</w:t>
      </w:r>
      <w:r w:rsidR="0041638B">
        <w:t>s</w:t>
      </w:r>
      <w:r>
        <w:t xml:space="preserve"> 6.072 DKR </w:t>
      </w:r>
      <w:r w:rsidR="0041638B">
        <w:t xml:space="preserve">before </w:t>
      </w:r>
      <w:r>
        <w:t>tax.</w:t>
      </w:r>
      <w:r>
        <w:rPr>
          <w:rStyle w:val="FootnoteReference"/>
        </w:rPr>
        <w:footnoteReference w:id="7"/>
      </w:r>
      <w:r w:rsidR="0038553B">
        <w:t xml:space="preserve"> This is lower than the normal welfare support, </w:t>
      </w:r>
      <w:r w:rsidR="00F70A1A">
        <w:t xml:space="preserve">that they could access before, </w:t>
      </w:r>
      <w:r w:rsidR="0038553B">
        <w:t xml:space="preserve">where a provider over 30 years old can receive 11.423 DKR </w:t>
      </w:r>
      <w:r w:rsidR="0041638B">
        <w:t>before</w:t>
      </w:r>
      <w:r w:rsidR="0038553B">
        <w:t xml:space="preserve"> tax and a </w:t>
      </w:r>
      <w:r w:rsidR="0041638B">
        <w:t>single parent is entitles to</w:t>
      </w:r>
      <w:r w:rsidR="0038553B">
        <w:t xml:space="preserve"> 15.180 DKR </w:t>
      </w:r>
      <w:r w:rsidR="0041638B">
        <w:t xml:space="preserve">before </w:t>
      </w:r>
      <w:r w:rsidR="0038553B">
        <w:t>tax.</w:t>
      </w:r>
      <w:r w:rsidR="0038553B">
        <w:rPr>
          <w:rStyle w:val="FootnoteReference"/>
        </w:rPr>
        <w:footnoteReference w:id="8"/>
      </w:r>
    </w:p>
    <w:p w14:paraId="596AE618" w14:textId="55B43D51" w:rsidR="00F61A29" w:rsidRDefault="00F61A29" w:rsidP="004C4E1E">
      <w:r>
        <w:t>Several studies of low services to refugees can have several negative psychosocial and socioeconomic impact on the receivers.</w:t>
      </w:r>
      <w:r>
        <w:rPr>
          <w:rStyle w:val="FootnoteReference"/>
        </w:rPr>
        <w:footnoteReference w:id="9"/>
      </w:r>
      <w:r>
        <w:t xml:space="preserve"> In the following, we will highlight some of the rights stated in several articles in the Covenant that we believe receivers of integration benefit is limited in achieving.</w:t>
      </w:r>
    </w:p>
    <w:bookmarkEnd w:id="3"/>
    <w:p w14:paraId="048C2C44" w14:textId="5E4FA70B" w:rsidR="006F7F1D" w:rsidRPr="0075334A" w:rsidRDefault="00B06FE0" w:rsidP="006F7F1D">
      <w:pPr>
        <w:rPr>
          <w:b/>
          <w:bCs/>
          <w:u w:val="single"/>
        </w:rPr>
      </w:pPr>
      <w:r w:rsidRPr="0075334A">
        <w:rPr>
          <w:b/>
          <w:bCs/>
          <w:u w:val="single"/>
        </w:rPr>
        <w:t>R</w:t>
      </w:r>
      <w:r w:rsidR="0075334A">
        <w:rPr>
          <w:b/>
          <w:bCs/>
          <w:u w:val="single"/>
        </w:rPr>
        <w:t xml:space="preserve">isk of discrimination </w:t>
      </w:r>
      <w:r w:rsidRPr="0075334A">
        <w:rPr>
          <w:b/>
          <w:bCs/>
          <w:u w:val="single"/>
        </w:rPr>
        <w:t>(A</w:t>
      </w:r>
      <w:r w:rsidR="0075334A">
        <w:rPr>
          <w:b/>
          <w:bCs/>
          <w:u w:val="single"/>
        </w:rPr>
        <w:t xml:space="preserve">rticle </w:t>
      </w:r>
      <w:r w:rsidRPr="0075334A">
        <w:rPr>
          <w:b/>
          <w:bCs/>
          <w:u w:val="single"/>
        </w:rPr>
        <w:t>2)</w:t>
      </w:r>
    </w:p>
    <w:p w14:paraId="7EF17006" w14:textId="4093247D" w:rsidR="00452255" w:rsidRDefault="00452255" w:rsidP="006F7F1D">
      <w:r>
        <w:t>We see</w:t>
      </w:r>
      <w:r w:rsidR="00757222">
        <w:t xml:space="preserve"> a tendency towards</w:t>
      </w:r>
      <w:r>
        <w:t xml:space="preserve"> that the </w:t>
      </w:r>
      <w:r w:rsidR="00886576">
        <w:t>i</w:t>
      </w:r>
      <w:r>
        <w:t xml:space="preserve">ntegration </w:t>
      </w:r>
      <w:r w:rsidR="00886576">
        <w:t>b</w:t>
      </w:r>
      <w:r>
        <w:t>enefit is challenging the right in Article 2,</w:t>
      </w:r>
      <w:r w:rsidR="00757222">
        <w:t xml:space="preserve"> stating</w:t>
      </w:r>
      <w:r>
        <w:t xml:space="preserve"> that the Covenant will be exercised without any discrimination of any kind as to race, colour, sex, language, religion, political or other opinion</w:t>
      </w:r>
      <w:r w:rsidR="0041638B">
        <w:t>s</w:t>
      </w:r>
      <w:r>
        <w:t xml:space="preserve">, national or social origin, property, birth or other status. </w:t>
      </w:r>
    </w:p>
    <w:p w14:paraId="0A7D5B80" w14:textId="1FCC97E8" w:rsidR="00BA2395" w:rsidRDefault="003F1840" w:rsidP="006F7F1D">
      <w:r w:rsidRPr="00333EDE">
        <w:t>Numbers</w:t>
      </w:r>
      <w:r w:rsidRPr="00CB7AAF">
        <w:t xml:space="preserve"> from 2018 show that 96% o</w:t>
      </w:r>
      <w:r>
        <w:t xml:space="preserve">f the receivers of </w:t>
      </w:r>
      <w:r w:rsidR="00886576">
        <w:t>i</w:t>
      </w:r>
      <w:r>
        <w:t xml:space="preserve">ntegration </w:t>
      </w:r>
      <w:r w:rsidR="00886576">
        <w:t>b</w:t>
      </w:r>
      <w:r>
        <w:t>enefit are people with non-Western origin.</w:t>
      </w:r>
      <w:r>
        <w:rPr>
          <w:rStyle w:val="FootnoteReference"/>
        </w:rPr>
        <w:footnoteReference w:id="10"/>
      </w:r>
      <w:r>
        <w:t xml:space="preserve"> According to </w:t>
      </w:r>
      <w:r w:rsidR="004815E0">
        <w:t>the Danish</w:t>
      </w:r>
      <w:r>
        <w:t xml:space="preserve"> Institute for Human Rights, it is debatable if the </w:t>
      </w:r>
      <w:r w:rsidR="00886576">
        <w:t>i</w:t>
      </w:r>
      <w:r>
        <w:t xml:space="preserve">ntegration </w:t>
      </w:r>
      <w:r w:rsidR="00886576">
        <w:t>b</w:t>
      </w:r>
      <w:r>
        <w:t xml:space="preserve">enefit is in compliance with the Danish constitution, referred to Section 75(2) that secures citizens in </w:t>
      </w:r>
      <w:r w:rsidR="002373EA">
        <w:t>Denmark</w:t>
      </w:r>
      <w:r>
        <w:t xml:space="preserve"> a subsistence minimum</w:t>
      </w:r>
      <w:r w:rsidR="002373EA">
        <w:t>, and in compliance with human rights law protection against discrimination</w:t>
      </w:r>
      <w:r w:rsidR="002373EA">
        <w:rPr>
          <w:rStyle w:val="FootnoteReference"/>
        </w:rPr>
        <w:footnoteReference w:id="11"/>
      </w:r>
      <w:r w:rsidR="004815E0">
        <w:t>.</w:t>
      </w:r>
      <w:r w:rsidR="00BA2395">
        <w:t xml:space="preserve"> According to a study made by VIVE, there is a connection between poverty and social exclusion, and that there can be identified a bigger amount of social exclusion amongst citizens with other ethnic background compared to the rest of the population.</w:t>
      </w:r>
      <w:r w:rsidR="00BA2395">
        <w:rPr>
          <w:rStyle w:val="FootnoteReference"/>
        </w:rPr>
        <w:footnoteReference w:id="12"/>
      </w:r>
    </w:p>
    <w:p w14:paraId="31F30596" w14:textId="66D01862" w:rsidR="00C374B8" w:rsidRPr="0075334A" w:rsidRDefault="006F5F30" w:rsidP="005617C6">
      <w:pPr>
        <w:rPr>
          <w:b/>
          <w:bCs/>
          <w:u w:val="single"/>
        </w:rPr>
      </w:pPr>
      <w:r w:rsidRPr="0075334A">
        <w:rPr>
          <w:b/>
          <w:bCs/>
          <w:u w:val="single"/>
        </w:rPr>
        <w:t>P</w:t>
      </w:r>
      <w:r w:rsidR="0075334A">
        <w:rPr>
          <w:b/>
          <w:bCs/>
          <w:u w:val="single"/>
        </w:rPr>
        <w:t>rotection of families (Article 10)</w:t>
      </w:r>
    </w:p>
    <w:p w14:paraId="52784013" w14:textId="0C91EB39" w:rsidR="00B13567" w:rsidRDefault="00C374B8" w:rsidP="005617C6">
      <w:bookmarkStart w:id="4" w:name="_Hlk17981094"/>
      <w:r>
        <w:t xml:space="preserve">As receivers of </w:t>
      </w:r>
      <w:r w:rsidR="00D44172">
        <w:t>i</w:t>
      </w:r>
      <w:r>
        <w:t xml:space="preserve">ntegration </w:t>
      </w:r>
      <w:r w:rsidR="00D44172">
        <w:t>b</w:t>
      </w:r>
      <w:r>
        <w:t xml:space="preserve">enefit, </w:t>
      </w:r>
      <w:r w:rsidR="00B13567">
        <w:t xml:space="preserve">the right stated in Article 10 about gaining the best possible protection and assistance to </w:t>
      </w:r>
      <w:r w:rsidR="00B13567" w:rsidRPr="00B06FE0">
        <w:t>the family including children</w:t>
      </w:r>
      <w:r w:rsidR="00B13567">
        <w:t xml:space="preserve"> in school-age, without any discrimination for reasons of parentage or other conditions, is being challenged.</w:t>
      </w:r>
    </w:p>
    <w:p w14:paraId="04275171" w14:textId="006E7D50" w:rsidR="00D15257" w:rsidRDefault="00D15257" w:rsidP="005617C6">
      <w:r>
        <w:t>According to the statistics from 2017, almost every second household on integration benefit have minors living at home meaning that the receivers included 8000 families with young children estimated to 20.000 children in total.</w:t>
      </w:r>
      <w:r w:rsidR="0010289D">
        <w:t xml:space="preserve"> Amongst these families, 70 % are cohabiting and 30 % are single meaning that around 6000 receivers are cohabiting with children and almost 2300 are single with children. Amongst the last group, nine out of ten are women. </w:t>
      </w:r>
      <w:r w:rsidR="00E34877">
        <w:t xml:space="preserve">The majority of the </w:t>
      </w:r>
      <w:r w:rsidR="00DB69C7">
        <w:t xml:space="preserve">receivers have </w:t>
      </w:r>
      <w:r w:rsidR="00326036">
        <w:lastRenderedPageBreak/>
        <w:t>another</w:t>
      </w:r>
      <w:r w:rsidR="00DB69C7">
        <w:t xml:space="preserve"> ethnicity than Danish, most of them coming from Syria</w:t>
      </w:r>
      <w:r w:rsidR="001D397E">
        <w:t xml:space="preserve"> and have been in Denmark for less than three years</w:t>
      </w:r>
      <w:r w:rsidR="000F229E">
        <w:t>.</w:t>
      </w:r>
      <w:r w:rsidR="000F229E">
        <w:rPr>
          <w:rStyle w:val="FootnoteReference"/>
        </w:rPr>
        <w:footnoteReference w:id="13"/>
      </w:r>
    </w:p>
    <w:bookmarkEnd w:id="4"/>
    <w:p w14:paraId="3A8EBEE2" w14:textId="43D1C4D9" w:rsidR="00B1507B" w:rsidRPr="0075334A" w:rsidRDefault="00D16448" w:rsidP="005617C6">
      <w:pPr>
        <w:rPr>
          <w:b/>
          <w:bCs/>
          <w:u w:val="single"/>
        </w:rPr>
      </w:pPr>
      <w:r w:rsidRPr="0075334A">
        <w:rPr>
          <w:b/>
          <w:bCs/>
          <w:u w:val="single"/>
        </w:rPr>
        <w:t>A</w:t>
      </w:r>
      <w:r w:rsidR="0075334A" w:rsidRPr="0075334A">
        <w:rPr>
          <w:b/>
          <w:bCs/>
          <w:u w:val="single"/>
        </w:rPr>
        <w:t>dequate standard of living (Article 11)</w:t>
      </w:r>
    </w:p>
    <w:p w14:paraId="4A3024BE" w14:textId="187577E0" w:rsidR="009354C8" w:rsidRDefault="00FD5B77" w:rsidP="00B06FE0">
      <w:r>
        <w:t xml:space="preserve">As receivers of integration benefit, it is challenging to ensure an adequate standard of living </w:t>
      </w:r>
      <w:r w:rsidRPr="00D963B1">
        <w:t>including food, clothing and housing,</w:t>
      </w:r>
      <w:r>
        <w:t xml:space="preserve"> as otherwise stated in Article 11 as a right.</w:t>
      </w:r>
      <w:r w:rsidR="005D7E51" w:rsidRPr="005D7E51">
        <w:t xml:space="preserve"> </w:t>
      </w:r>
      <w:r w:rsidR="00B864AB">
        <w:t xml:space="preserve">There are several challenges in an adequate standard of living for </w:t>
      </w:r>
      <w:r w:rsidR="005D7E51">
        <w:t>receivers of integration benefit, often being families including children</w:t>
      </w:r>
      <w:r w:rsidR="00B864AB">
        <w:t>.</w:t>
      </w:r>
    </w:p>
    <w:p w14:paraId="258EA8B6" w14:textId="1C4F4379" w:rsidR="00D939BB" w:rsidRDefault="009354C8" w:rsidP="00FD5B77">
      <w:r>
        <w:t>I</w:t>
      </w:r>
      <w:r w:rsidR="00FD5B77">
        <w:t xml:space="preserve">n relation to </w:t>
      </w:r>
      <w:r w:rsidR="00FD5B77" w:rsidRPr="005D7E51">
        <w:t>food</w:t>
      </w:r>
      <w:r w:rsidR="00FD5B77">
        <w:t xml:space="preserve">, </w:t>
      </w:r>
      <w:r w:rsidR="00D939BB">
        <w:t xml:space="preserve">most </w:t>
      </w:r>
      <w:r w:rsidR="00FD5B77">
        <w:t>receivers</w:t>
      </w:r>
      <w:r w:rsidR="00D939BB">
        <w:t xml:space="preserve"> can afford the most </w:t>
      </w:r>
      <w:r w:rsidR="00C1133D">
        <w:t>basic</w:t>
      </w:r>
      <w:r w:rsidR="00D939BB">
        <w:t xml:space="preserve"> food, but some </w:t>
      </w:r>
      <w:r w:rsidR="00C1133D">
        <w:t xml:space="preserve">families are </w:t>
      </w:r>
      <w:r w:rsidR="00E34877">
        <w:t>on a low budget</w:t>
      </w:r>
      <w:r w:rsidR="00D939BB">
        <w:t xml:space="preserve"> by the end of the month</w:t>
      </w:r>
      <w:r w:rsidR="00E34877">
        <w:t xml:space="preserve">. It has been documented in Danish media and in reports that some </w:t>
      </w:r>
      <w:r w:rsidR="00C1133D">
        <w:t>parents</w:t>
      </w:r>
      <w:r w:rsidR="00D939BB">
        <w:t xml:space="preserve"> </w:t>
      </w:r>
      <w:r w:rsidR="00197A0C">
        <w:t>must</w:t>
      </w:r>
      <w:r w:rsidR="00D939BB">
        <w:t xml:space="preserve"> skip certain meals</w:t>
      </w:r>
      <w:r w:rsidR="00C1133D">
        <w:t xml:space="preserve">. </w:t>
      </w:r>
      <w:r w:rsidR="00E34877">
        <w:t>At worst</w:t>
      </w:r>
      <w:r w:rsidR="00C1133D">
        <w:t>, the authorities can remove children from parents that cannot feed their children</w:t>
      </w:r>
      <w:r w:rsidR="00D963B1">
        <w:rPr>
          <w:rStyle w:val="FootnoteReference"/>
        </w:rPr>
        <w:footnoteReference w:id="14"/>
      </w:r>
      <w:r w:rsidR="00C1133D">
        <w:t xml:space="preserve">. </w:t>
      </w:r>
    </w:p>
    <w:p w14:paraId="1F480293" w14:textId="30A03042" w:rsidR="00FD5B77" w:rsidRDefault="00D939BB" w:rsidP="00FD5B77">
      <w:r>
        <w:t>In relation to</w:t>
      </w:r>
      <w:r w:rsidRPr="005D7E51">
        <w:t xml:space="preserve"> clothing</w:t>
      </w:r>
      <w:r>
        <w:t xml:space="preserve">, most receivers can afford </w:t>
      </w:r>
      <w:r w:rsidR="00197A0C">
        <w:t>this for their children, but not for themselves, and only if i</w:t>
      </w:r>
      <w:r w:rsidR="00E34877">
        <w:t xml:space="preserve">t is </w:t>
      </w:r>
      <w:r w:rsidR="00197A0C">
        <w:t>from second-hand</w:t>
      </w:r>
      <w:r>
        <w:t xml:space="preserve"> shops. Especially winter clothes can be challenging</w:t>
      </w:r>
      <w:r w:rsidR="00D963B1">
        <w:rPr>
          <w:rStyle w:val="FootnoteReference"/>
        </w:rPr>
        <w:footnoteReference w:id="15"/>
      </w:r>
      <w:r>
        <w:t xml:space="preserve">. </w:t>
      </w:r>
      <w:r w:rsidR="00E34877">
        <w:t xml:space="preserve">Some can not afford second hand clothes either. </w:t>
      </w:r>
    </w:p>
    <w:p w14:paraId="16EB5FCD" w14:textId="1A00AFBF" w:rsidR="00FD5B77" w:rsidRDefault="00FD5B77" w:rsidP="00FD5B77">
      <w:r>
        <w:t xml:space="preserve">In relation to </w:t>
      </w:r>
      <w:r w:rsidRPr="005D7E51">
        <w:t>housing</w:t>
      </w:r>
      <w:r>
        <w:t>, several receivers live in temporary housing with low standard including challenges as rot and mould.</w:t>
      </w:r>
      <w:r w:rsidR="009354C8">
        <w:t xml:space="preserve"> The homes are often small and with limited space for the families, e.g. parents with several children living in apartments with two rooms.</w:t>
      </w:r>
      <w:r>
        <w:t xml:space="preserve"> There is no clear definition of how long they should stay in the temporary houses before the municipality assists in finding a permanent one</w:t>
      </w:r>
      <w:r w:rsidR="00E14129">
        <w:t>. Consequently, the families live under t</w:t>
      </w:r>
      <w:r>
        <w:t xml:space="preserve">hese conditions </w:t>
      </w:r>
      <w:r w:rsidR="009354C8">
        <w:t>for</w:t>
      </w:r>
      <w:r>
        <w:t xml:space="preserve"> several years.</w:t>
      </w:r>
      <w:r w:rsidR="009354C8">
        <w:t xml:space="preserve"> When living on a low budget as integration benefit, it can be hard to move to bigger places that include higher rent</w:t>
      </w:r>
      <w:r w:rsidR="00D963B1">
        <w:rPr>
          <w:rStyle w:val="FootnoteReference"/>
        </w:rPr>
        <w:footnoteReference w:id="16"/>
      </w:r>
      <w:r w:rsidR="009354C8">
        <w:t xml:space="preserve">. </w:t>
      </w:r>
    </w:p>
    <w:p w14:paraId="24911EFD" w14:textId="2B948F11" w:rsidR="00F61A29" w:rsidRDefault="00F61A29" w:rsidP="00F61A29">
      <w:r>
        <w:t xml:space="preserve">Studies show growing up in poverty as a child will have several consequences for </w:t>
      </w:r>
      <w:r w:rsidR="00E14129">
        <w:t>adulthood</w:t>
      </w:r>
      <w:r>
        <w:t>. This includes shorter education meaning fewer labour opportunities with high salary. Moreover, when having lived in poverty as a child, there is a bigger risk of unemployment and ending up on early retirement benefit.</w:t>
      </w:r>
      <w:r>
        <w:rPr>
          <w:rStyle w:val="FootnoteReference"/>
        </w:rPr>
        <w:footnoteReference w:id="17"/>
      </w:r>
    </w:p>
    <w:p w14:paraId="71E86CC9" w14:textId="00A3D827" w:rsidR="00C1133D" w:rsidRPr="0075334A" w:rsidRDefault="00372ABE" w:rsidP="005617C6">
      <w:pPr>
        <w:rPr>
          <w:b/>
          <w:bCs/>
          <w:u w:val="single"/>
        </w:rPr>
      </w:pPr>
      <w:r w:rsidRPr="0075334A">
        <w:rPr>
          <w:b/>
          <w:bCs/>
          <w:u w:val="single"/>
        </w:rPr>
        <w:t>P</w:t>
      </w:r>
      <w:r w:rsidR="0075334A" w:rsidRPr="0075334A">
        <w:rPr>
          <w:b/>
          <w:bCs/>
          <w:u w:val="single"/>
        </w:rPr>
        <w:t>hysical and mental health (Article 12)</w:t>
      </w:r>
    </w:p>
    <w:p w14:paraId="56B4A6E3" w14:textId="6F02CA27" w:rsidR="00C1133D" w:rsidRDefault="00C1133D" w:rsidP="00C1133D">
      <w:r>
        <w:t xml:space="preserve">As receivers of </w:t>
      </w:r>
      <w:r w:rsidR="000C3CCD">
        <w:t>i</w:t>
      </w:r>
      <w:r>
        <w:t xml:space="preserve">ntegration </w:t>
      </w:r>
      <w:r w:rsidR="000C3CCD">
        <w:t>b</w:t>
      </w:r>
      <w:r>
        <w:t xml:space="preserve">enefit, it is challenging to ensure the enjoyment of the highest attainable standard of </w:t>
      </w:r>
      <w:r w:rsidR="00573F61" w:rsidRPr="00372ABE">
        <w:t>physical</w:t>
      </w:r>
      <w:r w:rsidRPr="00372ABE">
        <w:t xml:space="preserve"> and mental health</w:t>
      </w:r>
      <w:r>
        <w:t>, as otherwise stated in Article 12 as a right.</w:t>
      </w:r>
    </w:p>
    <w:p w14:paraId="0ABD6D58" w14:textId="3FB57D22" w:rsidR="00573F61" w:rsidRDefault="00573F61" w:rsidP="00C1133D">
      <w:r>
        <w:lastRenderedPageBreak/>
        <w:t>In relation to physical and mental health, the expenditures for medicine can be hard on the budget for several receivers of integration benefit. Not only for the specific products, but also for the transportation to the hospitals for treatment</w:t>
      </w:r>
      <w:r w:rsidR="00207668">
        <w:rPr>
          <w:rStyle w:val="FootnoteReference"/>
        </w:rPr>
        <w:footnoteReference w:id="18"/>
      </w:r>
      <w:r>
        <w:t xml:space="preserve">. </w:t>
      </w:r>
    </w:p>
    <w:p w14:paraId="1A779E23" w14:textId="569DEE3B" w:rsidR="00573F61" w:rsidRDefault="00573F61" w:rsidP="00C1133D">
      <w:r>
        <w:t xml:space="preserve">In relation to social relations and activities outside the home, the </w:t>
      </w:r>
      <w:r w:rsidR="006E109F">
        <w:t>receivers</w:t>
      </w:r>
      <w:r>
        <w:t xml:space="preserve"> of integration benefit </w:t>
      </w:r>
      <w:r w:rsidR="006E109F">
        <w:t>are</w:t>
      </w:r>
      <w:r>
        <w:t xml:space="preserve"> also challenged. </w:t>
      </w:r>
      <w:r w:rsidR="006E109F">
        <w:t xml:space="preserve">Due to a low budget they are more limited in participating in social activities outside the home, especially the ones demanding cost for transportation. </w:t>
      </w:r>
      <w:r>
        <w:t xml:space="preserve">It can be hard to keep up social </w:t>
      </w:r>
      <w:r w:rsidR="006E109F">
        <w:t>relations</w:t>
      </w:r>
      <w:r>
        <w:t xml:space="preserve"> and get integrated in the society. This also includes activities for the kids in relation to school and outside school.</w:t>
      </w:r>
      <w:r w:rsidR="00755D71">
        <w:t xml:space="preserve"> For </w:t>
      </w:r>
      <w:r w:rsidR="000A316C">
        <w:t>example,</w:t>
      </w:r>
      <w:r w:rsidR="00755D71">
        <w:t xml:space="preserve"> football, </w:t>
      </w:r>
      <w:r w:rsidR="00411345">
        <w:t>as</w:t>
      </w:r>
      <w:r w:rsidR="00755D71">
        <w:t xml:space="preserve"> parents cannot afford to buy the right equipment such as boots and clothes.</w:t>
      </w:r>
      <w:r w:rsidR="006E109F">
        <w:t xml:space="preserve"> The consequence of this is that the </w:t>
      </w:r>
      <w:r w:rsidR="00411345">
        <w:t>children</w:t>
      </w:r>
      <w:r w:rsidR="006E109F">
        <w:t xml:space="preserve"> compare themselves to other children that can access picnics, amusement parks or even dessert after dinner. </w:t>
      </w:r>
      <w:r>
        <w:t xml:space="preserve">This contributes to more social exclusion especially for this group with refugee background that will face </w:t>
      </w:r>
      <w:r w:rsidR="00411345">
        <w:t>difficulties</w:t>
      </w:r>
      <w:r>
        <w:t xml:space="preserve"> integrating</w:t>
      </w:r>
      <w:r w:rsidR="00207668">
        <w:rPr>
          <w:rStyle w:val="FootnoteReference"/>
        </w:rPr>
        <w:footnoteReference w:id="19"/>
      </w:r>
      <w:r>
        <w:t xml:space="preserve">. </w:t>
      </w:r>
    </w:p>
    <w:bookmarkEnd w:id="0"/>
    <w:p w14:paraId="0B1E29B7" w14:textId="4A041733" w:rsidR="00360721" w:rsidRPr="00F23135" w:rsidRDefault="004E6AE2" w:rsidP="00F23135">
      <w:r>
        <w:rPr>
          <w:b/>
          <w:bCs/>
          <w:u w:val="single"/>
        </w:rPr>
        <w:t>Recommendation</w:t>
      </w:r>
      <w:r w:rsidR="008F3C11">
        <w:rPr>
          <w:b/>
          <w:bCs/>
          <w:u w:val="single"/>
        </w:rPr>
        <w:t>s</w:t>
      </w:r>
    </w:p>
    <w:p w14:paraId="0B081054" w14:textId="79172D4B" w:rsidR="000A316C" w:rsidRDefault="004E6AE2" w:rsidP="000A316C">
      <w:r>
        <w:t xml:space="preserve">Our main recommendation is that the </w:t>
      </w:r>
      <w:r w:rsidR="00D44172">
        <w:t>i</w:t>
      </w:r>
      <w:r>
        <w:t xml:space="preserve">ntegration </w:t>
      </w:r>
      <w:r w:rsidR="00D44172">
        <w:t>b</w:t>
      </w:r>
      <w:r>
        <w:t xml:space="preserve">enefit should be abolished and that the receivers should have access to the normal welfare benefits as anyone else living in Denmark. </w:t>
      </w:r>
      <w:r w:rsidR="0043419A">
        <w:t xml:space="preserve">Based on the sections above, we argue that the </w:t>
      </w:r>
      <w:r w:rsidR="00D44172">
        <w:t>i</w:t>
      </w:r>
      <w:r w:rsidR="0043419A">
        <w:t xml:space="preserve">ntegration </w:t>
      </w:r>
      <w:r w:rsidR="00D44172">
        <w:t>b</w:t>
      </w:r>
      <w:r w:rsidR="0043419A">
        <w:t xml:space="preserve">enefit has a tendency towards being discriminative </w:t>
      </w:r>
      <w:r w:rsidR="00B11769">
        <w:t>against</w:t>
      </w:r>
      <w:r w:rsidR="0043419A">
        <w:t xml:space="preserve"> a certain group in our society that </w:t>
      </w:r>
      <w:r w:rsidR="00B11769">
        <w:t>are not ensured the full rights stated in the Committee of Economic, Social and Cultural Rights. The consequences include living in poverty and being socially excluded.</w:t>
      </w:r>
    </w:p>
    <w:p w14:paraId="5283E0CB" w14:textId="178CC097" w:rsidR="00E412C2" w:rsidRPr="00E7594D" w:rsidRDefault="00411345" w:rsidP="000A316C">
      <w:r>
        <w:t xml:space="preserve">According to the </w:t>
      </w:r>
      <w:r w:rsidR="00E412C2">
        <w:t>Danish constitution</w:t>
      </w:r>
      <w:r>
        <w:t>,</w:t>
      </w:r>
      <w:r w:rsidR="00E412C2">
        <w:t xml:space="preserve"> </w:t>
      </w:r>
      <w:r w:rsidR="00E412C2" w:rsidRPr="00E412C2">
        <w:rPr>
          <w:i/>
          <w:iCs/>
        </w:rPr>
        <w:t>“Any person unable to support himself or his family shall, when no other person is responsible for his or their maintenance, be entitled to receive public assistance, provided that he shall comply with the obligations imposed by statute in such respect.”</w:t>
      </w:r>
      <w:r w:rsidR="00E412C2">
        <w:rPr>
          <w:rStyle w:val="FootnoteReference"/>
          <w:i/>
          <w:iCs/>
        </w:rPr>
        <w:footnoteReference w:id="20"/>
      </w:r>
      <w:r w:rsidR="00E82802" w:rsidRPr="00E82802">
        <w:rPr>
          <w:i/>
          <w:iCs/>
        </w:rPr>
        <w:t xml:space="preserve"> </w:t>
      </w:r>
      <w:r w:rsidR="004E6AE2">
        <w:t xml:space="preserve"> We believe that n</w:t>
      </w:r>
      <w:r w:rsidR="00E7594D">
        <w:t xml:space="preserve">o one </w:t>
      </w:r>
      <w:r>
        <w:t xml:space="preserve">in </w:t>
      </w:r>
      <w:r w:rsidR="00263768">
        <w:t>Denmark</w:t>
      </w:r>
      <w:r w:rsidR="004E6AE2">
        <w:t>,</w:t>
      </w:r>
      <w:r w:rsidR="00263768">
        <w:t xml:space="preserve"> should </w:t>
      </w:r>
      <w:r w:rsidR="004E6AE2">
        <w:t xml:space="preserve">be </w:t>
      </w:r>
      <w:r w:rsidR="00263768">
        <w:t>liv</w:t>
      </w:r>
      <w:r w:rsidR="004E6AE2">
        <w:t>ing</w:t>
      </w:r>
      <w:r w:rsidR="00263768">
        <w:t xml:space="preserve"> in poverty. </w:t>
      </w:r>
      <w:r>
        <w:t xml:space="preserve">Denmark is a strong welfare state. </w:t>
      </w:r>
      <w:r w:rsidR="00263768">
        <w:t>The</w:t>
      </w:r>
      <w:r w:rsidR="008E4C99">
        <w:t xml:space="preserve"> Danish</w:t>
      </w:r>
      <w:r w:rsidR="00263768">
        <w:t xml:space="preserve"> government </w:t>
      </w:r>
      <w:r>
        <w:t>must take a</w:t>
      </w:r>
      <w:r w:rsidR="00263768">
        <w:t xml:space="preserve"> responsibility to </w:t>
      </w:r>
      <w:r w:rsidR="008E4C99">
        <w:t>en</w:t>
      </w:r>
      <w:r w:rsidR="00263768">
        <w:t xml:space="preserve">sure that these families are not facing issues for an adequate standard of living such as </w:t>
      </w:r>
      <w:r w:rsidR="00DC6AB5">
        <w:t xml:space="preserve">being able to pay </w:t>
      </w:r>
      <w:r w:rsidR="00263768">
        <w:t xml:space="preserve">rent, have three meals a day, and give children access to social activities outside the home. </w:t>
      </w:r>
      <w:r w:rsidR="00DC6AB5">
        <w:t>R</w:t>
      </w:r>
      <w:r w:rsidR="00263768">
        <w:t>efugees</w:t>
      </w:r>
      <w:r w:rsidR="00DC6AB5">
        <w:t>,</w:t>
      </w:r>
      <w:r w:rsidR="00263768">
        <w:t xml:space="preserve"> </w:t>
      </w:r>
      <w:r w:rsidR="00DC6AB5">
        <w:t>who have obtained t</w:t>
      </w:r>
      <w:r w:rsidR="00263768">
        <w:t xml:space="preserve">emporary residence, </w:t>
      </w:r>
      <w:r w:rsidR="00DC6AB5">
        <w:t>must get the support they need to</w:t>
      </w:r>
      <w:r w:rsidR="00263768">
        <w:t xml:space="preserve"> recover from traumatic experiences</w:t>
      </w:r>
      <w:r w:rsidR="00DC6AB5">
        <w:t xml:space="preserve"> so can have a dignified life in Denmark and have the social and capital resources upon returning to their countries</w:t>
      </w:r>
      <w:r w:rsidR="00263768">
        <w:t>.</w:t>
      </w:r>
    </w:p>
    <w:p w14:paraId="41091DC3" w14:textId="05B3CB8A" w:rsidR="00E82802" w:rsidRPr="00E82802" w:rsidRDefault="00E82802" w:rsidP="000A316C">
      <w:r w:rsidRPr="00E82802">
        <w:t xml:space="preserve">We </w:t>
      </w:r>
      <w:r w:rsidR="00DC6AB5">
        <w:t>value</w:t>
      </w:r>
      <w:r w:rsidRPr="00E82802">
        <w:t xml:space="preserve"> </w:t>
      </w:r>
      <w:r>
        <w:t xml:space="preserve">the recent initiative by the </w:t>
      </w:r>
      <w:r w:rsidRPr="00E82802">
        <w:t>D</w:t>
      </w:r>
      <w:r>
        <w:t>anish government to give extra benefit to families in need</w:t>
      </w:r>
      <w:r>
        <w:rPr>
          <w:rStyle w:val="FootnoteReference"/>
        </w:rPr>
        <w:footnoteReference w:id="21"/>
      </w:r>
      <w:r>
        <w:t xml:space="preserve"> and the decision of appointing a commission to account for the low benefits. </w:t>
      </w:r>
      <w:r w:rsidR="00E7594D">
        <w:t>W</w:t>
      </w:r>
      <w:r>
        <w:t>e hope that it will result in a</w:t>
      </w:r>
      <w:r w:rsidR="008669D8">
        <w:t>n</w:t>
      </w:r>
      <w:r>
        <w:t xml:space="preserve"> abolishment of the </w:t>
      </w:r>
      <w:r w:rsidR="00AE5661">
        <w:t>i</w:t>
      </w:r>
      <w:r>
        <w:t xml:space="preserve">ntegration </w:t>
      </w:r>
      <w:r w:rsidR="00AE5661">
        <w:t>b</w:t>
      </w:r>
      <w:r>
        <w:t>enefit.</w:t>
      </w:r>
    </w:p>
    <w:p w14:paraId="24FBE620" w14:textId="6DCAADBB" w:rsidR="006D5545" w:rsidRPr="00D455A7" w:rsidRDefault="006D5545" w:rsidP="000A316C">
      <w:pPr>
        <w:rPr>
          <w:b/>
          <w:bCs/>
        </w:rPr>
      </w:pPr>
    </w:p>
    <w:p w14:paraId="1377CBA8" w14:textId="77777777" w:rsidR="00263768" w:rsidRPr="00D455A7" w:rsidRDefault="00263768" w:rsidP="000A316C">
      <w:pPr>
        <w:rPr>
          <w:b/>
          <w:bCs/>
        </w:rPr>
      </w:pPr>
    </w:p>
    <w:p w14:paraId="269367D8" w14:textId="00038172" w:rsidR="006D5545" w:rsidRPr="00D455A7" w:rsidRDefault="006D5545" w:rsidP="000A316C">
      <w:pPr>
        <w:rPr>
          <w:b/>
          <w:bCs/>
        </w:rPr>
      </w:pPr>
    </w:p>
    <w:p w14:paraId="069E674B" w14:textId="347DC7F8" w:rsidR="006D5545" w:rsidRPr="00BD43E1" w:rsidRDefault="006D5545" w:rsidP="000A316C">
      <w:pPr>
        <w:rPr>
          <w:b/>
          <w:bCs/>
          <w:sz w:val="28"/>
          <w:szCs w:val="28"/>
        </w:rPr>
      </w:pPr>
      <w:r w:rsidRPr="00BD43E1">
        <w:rPr>
          <w:b/>
          <w:bCs/>
          <w:sz w:val="28"/>
          <w:szCs w:val="28"/>
        </w:rPr>
        <w:lastRenderedPageBreak/>
        <w:t>CHAPTER 2: HOMELESS MIGRANTS</w:t>
      </w:r>
      <w:r w:rsidR="00BE0ED5">
        <w:rPr>
          <w:b/>
          <w:bCs/>
          <w:sz w:val="28"/>
          <w:szCs w:val="28"/>
        </w:rPr>
        <w:t xml:space="preserve"> IN PUBLIC SPHERES</w:t>
      </w:r>
    </w:p>
    <w:p w14:paraId="40B3289B" w14:textId="77777777" w:rsidR="006D5545" w:rsidRPr="0075334A" w:rsidRDefault="006D5545" w:rsidP="006D5545">
      <w:pPr>
        <w:pStyle w:val="H23G"/>
        <w:rPr>
          <w:u w:val="single"/>
        </w:rPr>
      </w:pPr>
      <w:r w:rsidRPr="00E61B17">
        <w:tab/>
      </w:r>
      <w:r w:rsidRPr="0075334A">
        <w:rPr>
          <w:u w:val="single"/>
        </w:rPr>
        <w:t>Right to an adequate standard of living (art. 11)</w:t>
      </w:r>
    </w:p>
    <w:p w14:paraId="383ED32C" w14:textId="77777777" w:rsidR="006D5545" w:rsidRDefault="006D5545" w:rsidP="006D5545">
      <w:pPr>
        <w:rPr>
          <w:lang w:val="en-US" w:eastAsia="zh-CN"/>
        </w:rPr>
      </w:pPr>
      <w:r w:rsidRPr="00CF0D3C">
        <w:rPr>
          <w:i/>
          <w:iCs/>
          <w:lang w:val="en-US" w:eastAsia="zh-CN"/>
        </w:rPr>
        <w:t>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14:paraId="515BB81C" w14:textId="3EA7B604" w:rsidR="00A01ED3" w:rsidRDefault="00A01ED3" w:rsidP="00A01ED3">
      <w:r>
        <w:t>In Dan Church Social</w:t>
      </w:r>
      <w:r w:rsidR="00B836BA">
        <w:t xml:space="preserve"> Kompasset,</w:t>
      </w:r>
      <w:r>
        <w:t xml:space="preserve"> we work for creating a better life for unregistered homeless migrants living in the streets of Copenhagen. We focus on migrants’ rights to sheltering, health services and social services. Through our multicultural and multilingual counselling, we aim to support migrants in their search for a better life, showing them possibilities and impossibilities. The counselling service is mainly based on EU citizens’ rights, but also embraces third country national’s needs. Through counselling, sheltering, outreaching, mentoring and advocating we work for a marginalised group of people which the public system does not take responsibility for.   </w:t>
      </w:r>
    </w:p>
    <w:p w14:paraId="5D380AE3" w14:textId="77777777" w:rsidR="006D5545" w:rsidRDefault="006D5545" w:rsidP="006D5545">
      <w:pPr>
        <w:rPr>
          <w:lang w:val="en-US" w:eastAsia="zh-CN"/>
        </w:rPr>
      </w:pPr>
      <w:r>
        <w:rPr>
          <w:lang w:val="en-US" w:eastAsia="zh-CN"/>
        </w:rPr>
        <w:t>The roll-out of harsher penalties for camping in public space and for begging in 2017 has led to a gradual criminalization of homelessness and has had a profound effect on the right to an adequate standard of living for both Danish and foreign citizens, particularly those of Roma ethnicity.</w:t>
      </w:r>
    </w:p>
    <w:p w14:paraId="4A068061" w14:textId="77777777" w:rsidR="006D5545" w:rsidRPr="00CF0D3C" w:rsidRDefault="006D5545" w:rsidP="006D5545">
      <w:pPr>
        <w:rPr>
          <w:lang w:val="en-US" w:eastAsia="zh-CN"/>
        </w:rPr>
      </w:pPr>
      <w:r>
        <w:rPr>
          <w:lang w:val="en-US" w:eastAsia="zh-CN"/>
        </w:rPr>
        <w:t>These two laws have essentially closed public space to homeless and limited these citizens’ ability to support themselves economically and maintain their personal safety whilst on the street. It has led to greater personal interference by police and a feeling amongst many that they are targeted because of their appearance. This has not been helped by an ugly public debate often naming the root cause for the changes in the law based on ethnic grounds and that cities such as Copenhagen should be freed from a ‘Roma plague’.</w:t>
      </w:r>
    </w:p>
    <w:p w14:paraId="7677E1E0" w14:textId="0DAEAE8D" w:rsidR="006D5545" w:rsidRDefault="006D5545" w:rsidP="006D5545">
      <w:pPr>
        <w:rPr>
          <w:lang w:eastAsia="zh-CN"/>
        </w:rPr>
      </w:pPr>
      <w:r>
        <w:rPr>
          <w:lang w:eastAsia="zh-CN"/>
        </w:rPr>
        <w:t xml:space="preserve">Access to night shelters has been an ongoing issue that has contributed greatly to the insecurity felt by homeless, particularly non-registered homeless migrants (both EU nationals and non-EU nationals). Although there are </w:t>
      </w:r>
      <w:r w:rsidR="00B7416E">
        <w:rPr>
          <w:lang w:eastAsia="zh-CN"/>
        </w:rPr>
        <w:t>several</w:t>
      </w:r>
      <w:r>
        <w:rPr>
          <w:lang w:eastAsia="zh-CN"/>
        </w:rPr>
        <w:t xml:space="preserve"> shelters available to people sleeping rough, they are often full and/or require either an addiction or health issue </w:t>
      </w:r>
      <w:r w:rsidR="001C5D28">
        <w:rPr>
          <w:lang w:eastAsia="zh-CN"/>
        </w:rPr>
        <w:t>for</w:t>
      </w:r>
      <w:r>
        <w:rPr>
          <w:lang w:eastAsia="zh-CN"/>
        </w:rPr>
        <w:t xml:space="preserve"> admittance. In many cases staff demand a CPR number as proof of a person’s legal stay in Denmark, though this has been established as not an essential requirement, particularly in the case of EU nationals who may travel freely between EU countries for up to 6 months. The result of this is an insecure life lived on the street for many migrants who cannot gain access to a shelter nor sleep on the street.</w:t>
      </w:r>
    </w:p>
    <w:p w14:paraId="70214A01" w14:textId="77777777" w:rsidR="006D5545" w:rsidRDefault="006D5545" w:rsidP="006D5545">
      <w:pPr>
        <w:rPr>
          <w:lang w:eastAsia="zh-CN"/>
        </w:rPr>
      </w:pPr>
      <w:r>
        <w:rPr>
          <w:lang w:eastAsia="zh-CN"/>
        </w:rPr>
        <w:t>The application of the changes in the camping law has been uneven. Though it is aimed at tackling large-scale camps that disturb the public order, it has in reality been used to remove individuals who are considered undesirable in Copenhagen’s most tourist heavy areas. It has been used in more than one case on individual rough sleepers who have slept in one place for two or three nights and who have removed their sleeping material during the day. In one case it was used to classify 11 different rough sleepers as a camp, despite all 11 sleeping in separate spots in a park. Such application of the law has led to homeless sleeping individually further out of the city in unlit, unsafe areas away from public scrutiny and a higher frequency of people paying for sleeping in houses on the edge of cities, with perhaps 4-6 people per room. This insecurity places these vulnerable people at risk of exploitation and requires them to spend money they earn on the street that would otherwise be sent home to family. As such, the camping law has generated further insecurity for homeless by criminalising their use of public space and forcing them into unsafe situations.</w:t>
      </w:r>
    </w:p>
    <w:p w14:paraId="4820FD7A" w14:textId="77777777" w:rsidR="006D5545" w:rsidRDefault="006D5545" w:rsidP="006D5545">
      <w:pPr>
        <w:rPr>
          <w:lang w:eastAsia="zh-CN"/>
        </w:rPr>
      </w:pPr>
      <w:r>
        <w:rPr>
          <w:lang w:eastAsia="zh-CN"/>
        </w:rPr>
        <w:lastRenderedPageBreak/>
        <w:t>The restriction of the use of public spaces was further reduced through the expanded criminalisation of ‘aggressive’ begging. This change extended and specified the areas where fines could be given without a prior warning to supermarkets, train stations, bus stops and ‘walking streets’. It also increased the penalty from the possibility of conditional jail time of two weeks to and unconditional jail time of two weeks or more. Thus, the crime of begging is now equivalent in penalty to a violent act. It has greatly affected the economic activities of homeless who sell magazines on the street and have had their material removed because of a use of a cup to collect coins of members of the public who buy the magazines. In many of these cases the police have used plain-clothed officers to watch individuals before issuing a court summons. Often these summonses are not accompanied by translation in any form and are also sent to the individual’s place of residence in their home country. It has led to a feeling of harassment amongst those selling magazines and a feeling that they are being specifically targeted because of their activities. They are therefore unable to exercise their right to an adequate standard of living via the sale of these magazines as they fear harassment and the resulting jail time.</w:t>
      </w:r>
    </w:p>
    <w:p w14:paraId="34A90790" w14:textId="77777777" w:rsidR="006D5545" w:rsidRDefault="006D5545" w:rsidP="006D5545">
      <w:pPr>
        <w:rPr>
          <w:lang w:eastAsia="zh-CN"/>
        </w:rPr>
      </w:pPr>
      <w:r>
        <w:rPr>
          <w:lang w:eastAsia="zh-CN"/>
        </w:rPr>
        <w:t>Ultimately these laws have been underpinned by a prevailing rhetoric of discrimination against Roma. They were named exclusively in relation to both laws and have made up a large proportion of those affected by the laws’ application. They are disproportionately represented on the streets across Europe and it is no difference in Denmark, where they are unable to access employment due to a lack of education and language and lack housing due to the prohibitive cost of rent. The Danish system of registration requires that individuals start by receiving a work contract, followed by EU registration, tax registration the opening of a bank account and finally renting of a room or apartment that allows them to be registered in the central person register (CPR). This system is prohibitive for those who lack basic English or Danish skills and requires individuals to be able to support themselves while they look for work and a place to live. Roma who arrive in Denmark with little education have a limited chance to access this system and therefore end living on the streets selling magazines or collecting bottles. They are additionally unable to access shelters because they do not (yet) have an active addiction or health problem, so without money to rent an apartment they are forced to sleep on the street. As such, they are most at risk of falling foul of the laws for camping and begging.</w:t>
      </w:r>
    </w:p>
    <w:p w14:paraId="5393FBC6" w14:textId="77777777" w:rsidR="006D5545" w:rsidRDefault="006D5545" w:rsidP="006D5545">
      <w:pPr>
        <w:rPr>
          <w:lang w:eastAsia="zh-CN"/>
        </w:rPr>
      </w:pPr>
      <w:r>
        <w:rPr>
          <w:lang w:eastAsia="zh-CN"/>
        </w:rPr>
        <w:t xml:space="preserve">Overall the introduction of the changes in the law have affected the ability of homeless, particularly homeless migrants of Roma ethnicity to find ways to climb out of poverty and achieve an adequate standard of living. Homeless are therefore at higher risk of incarceration and have been forced into further risky behaviour in finding places to sleep out of the public eye, thus increasing the potential for exploitation and violence. It denies them the chance to change their situation and instead results in a negative cycle whereby people cannot access social help in the form of shelters and therefore fall foul of an unevenly applied law of camping outside. Heavier punishment for begging has led to targeting of people selling items on the street and has led to the exclusion of homeless from public space, especially in areas populated by tourists. Ultimately it also places a question mark as to the fulfilment of Denmark’s international obligations, especially with regards to the principle of freedom of movement for EU nationals. </w:t>
      </w:r>
    </w:p>
    <w:p w14:paraId="6F2EBA50" w14:textId="77777777" w:rsidR="006D5545" w:rsidRPr="00A41C7C" w:rsidRDefault="006D5545" w:rsidP="006D5545">
      <w:pPr>
        <w:rPr>
          <w:color w:val="000000" w:themeColor="text1"/>
          <w:lang w:eastAsia="zh-CN"/>
        </w:rPr>
      </w:pPr>
      <w:r w:rsidRPr="00A41C7C">
        <w:rPr>
          <w:color w:val="000000" w:themeColor="text1"/>
          <w:lang w:eastAsia="zh-CN"/>
        </w:rPr>
        <w:t xml:space="preserve">The law about begging and camping has been enforced by the Copenhagen Police immigration control section, a unit that is specifically tasked with enforcing immigration control in Copenhagen. As such, this further categorises these laws as a form of inner border control, also emphasised in the number of tickets for camping and begging that have disproportionally been issued to foreign nationals. If the laws should be equal for everybody, it should not be the immigration police that enforces them. </w:t>
      </w:r>
    </w:p>
    <w:p w14:paraId="6EAE71AA" w14:textId="77777777" w:rsidR="006D5545" w:rsidRPr="00A41C7C" w:rsidRDefault="006D5545" w:rsidP="006D5545">
      <w:pPr>
        <w:rPr>
          <w:b/>
          <w:bCs/>
          <w:color w:val="000000" w:themeColor="text1"/>
          <w:lang w:eastAsia="zh-CN"/>
        </w:rPr>
      </w:pPr>
      <w:r w:rsidRPr="00A41C7C">
        <w:rPr>
          <w:b/>
          <w:bCs/>
          <w:color w:val="000000" w:themeColor="text1"/>
          <w:lang w:eastAsia="zh-CN"/>
        </w:rPr>
        <w:lastRenderedPageBreak/>
        <w:t>Recommendations</w:t>
      </w:r>
    </w:p>
    <w:p w14:paraId="354B8876" w14:textId="77777777" w:rsidR="006D5545" w:rsidRPr="00A41C7C" w:rsidRDefault="006D5545" w:rsidP="006D5545">
      <w:pPr>
        <w:pStyle w:val="ListParagraph"/>
        <w:numPr>
          <w:ilvl w:val="0"/>
          <w:numId w:val="10"/>
        </w:numPr>
        <w:rPr>
          <w:color w:val="000000" w:themeColor="text1"/>
          <w:lang w:eastAsia="zh-CN"/>
        </w:rPr>
      </w:pPr>
      <w:r w:rsidRPr="00A41C7C">
        <w:rPr>
          <w:color w:val="000000" w:themeColor="text1"/>
          <w:lang w:eastAsia="zh-CN"/>
        </w:rPr>
        <w:t>Remove the enforcement of the homeless laws in Copenhagen from the foreign police to the local public police in order not to discriminate foreigners.</w:t>
      </w:r>
    </w:p>
    <w:p w14:paraId="2DBEDA87" w14:textId="77777777" w:rsidR="006D5545" w:rsidRPr="00A41C7C" w:rsidRDefault="006D5545" w:rsidP="006D5545">
      <w:pPr>
        <w:pStyle w:val="ListParagraph"/>
        <w:numPr>
          <w:ilvl w:val="0"/>
          <w:numId w:val="10"/>
        </w:numPr>
        <w:rPr>
          <w:color w:val="000000" w:themeColor="text1"/>
          <w:lang w:eastAsia="zh-CN"/>
        </w:rPr>
      </w:pPr>
      <w:r w:rsidRPr="00A41C7C">
        <w:rPr>
          <w:color w:val="000000" w:themeColor="text1"/>
          <w:lang w:eastAsia="zh-CN"/>
        </w:rPr>
        <w:t>Remove the check of CPR numbers for entering a municipality shelter for EU citizens.</w:t>
      </w:r>
    </w:p>
    <w:p w14:paraId="0DD247B6" w14:textId="77777777" w:rsidR="006D5545" w:rsidRDefault="006D5545" w:rsidP="006D5545">
      <w:pPr>
        <w:pStyle w:val="ListParagraph"/>
        <w:numPr>
          <w:ilvl w:val="0"/>
          <w:numId w:val="10"/>
        </w:numPr>
        <w:rPr>
          <w:color w:val="000000" w:themeColor="text1"/>
          <w:lang w:eastAsia="zh-CN"/>
        </w:rPr>
      </w:pPr>
      <w:r w:rsidRPr="00A41C7C">
        <w:rPr>
          <w:color w:val="000000" w:themeColor="text1"/>
          <w:lang w:eastAsia="zh-CN"/>
        </w:rPr>
        <w:t>Create more shelters and access to public toilet facilities for getting people away from rough sleeping and access to an adequate standard of living.</w:t>
      </w:r>
    </w:p>
    <w:p w14:paraId="5715BC5A" w14:textId="77777777" w:rsidR="006D5545" w:rsidRPr="00D73628" w:rsidRDefault="006D5545" w:rsidP="006D5545">
      <w:pPr>
        <w:rPr>
          <w:b/>
          <w:bCs/>
          <w:color w:val="000000" w:themeColor="text1"/>
          <w:lang w:eastAsia="zh-CN"/>
        </w:rPr>
      </w:pPr>
      <w:r w:rsidRPr="00D73628">
        <w:rPr>
          <w:b/>
          <w:bCs/>
          <w:color w:val="000000" w:themeColor="text1"/>
          <w:lang w:eastAsia="zh-CN"/>
        </w:rPr>
        <w:t>Notes</w:t>
      </w:r>
    </w:p>
    <w:p w14:paraId="77E79B1D" w14:textId="77777777" w:rsidR="006D5545" w:rsidRDefault="00635B60" w:rsidP="006D5545">
      <w:pPr>
        <w:pStyle w:val="ListParagraph"/>
        <w:numPr>
          <w:ilvl w:val="0"/>
          <w:numId w:val="10"/>
        </w:numPr>
      </w:pPr>
      <w:hyperlink r:id="rId12" w:history="1">
        <w:r w:rsidR="006D5545" w:rsidRPr="006D5545">
          <w:rPr>
            <w:rStyle w:val="Hyperlink"/>
          </w:rPr>
          <w:t>https://www.dr.dk/nyheder/indland/foerste-sag-om-utryghedsskabende-lejr-hjemloes-doemt-sove-paa-gaden</w:t>
        </w:r>
      </w:hyperlink>
    </w:p>
    <w:p w14:paraId="0B36A040" w14:textId="77777777" w:rsidR="006D5545" w:rsidRDefault="00635B60" w:rsidP="006D5545">
      <w:pPr>
        <w:pStyle w:val="ListParagraph"/>
        <w:numPr>
          <w:ilvl w:val="0"/>
          <w:numId w:val="10"/>
        </w:numPr>
      </w:pPr>
      <w:hyperlink r:id="rId13" w:history="1">
        <w:r w:rsidR="006D5545" w:rsidRPr="00DE32A7">
          <w:rPr>
            <w:rStyle w:val="Hyperlink"/>
          </w:rPr>
          <w:t>https://www.avisen.dk/advokat-kraever-gamle-sager-om-hjemloese-lejre-genop_551035.aspx</w:t>
        </w:r>
      </w:hyperlink>
    </w:p>
    <w:p w14:paraId="49AE5C57" w14:textId="77777777" w:rsidR="006D5545" w:rsidRDefault="00635B60" w:rsidP="006D5545">
      <w:pPr>
        <w:pStyle w:val="ListParagraph"/>
        <w:numPr>
          <w:ilvl w:val="0"/>
          <w:numId w:val="10"/>
        </w:numPr>
      </w:pPr>
      <w:hyperlink r:id="rId14" w:history="1">
        <w:r w:rsidR="006D5545" w:rsidRPr="00DE32A7">
          <w:rPr>
            <w:rStyle w:val="Hyperlink"/>
          </w:rPr>
          <w:t>https://politiken.dk/indland/art7154233/Hjeml%C3%B8s-lavede-ikke-lejr-p%C3%A5-gaden</w:t>
        </w:r>
      </w:hyperlink>
    </w:p>
    <w:p w14:paraId="41194C13" w14:textId="77777777" w:rsidR="006D5545" w:rsidRDefault="00635B60" w:rsidP="006D5545">
      <w:pPr>
        <w:pStyle w:val="ListParagraph"/>
        <w:numPr>
          <w:ilvl w:val="0"/>
          <w:numId w:val="10"/>
        </w:numPr>
      </w:pPr>
      <w:hyperlink r:id="rId15" w:history="1">
        <w:r w:rsidR="006D5545" w:rsidRPr="00DE32A7">
          <w:rPr>
            <w:rStyle w:val="Hyperlink"/>
          </w:rPr>
          <w:t>https://www.dr.dk/nyheder/indland/byret-frifinder-hjemlos-far-og-son-sla-lejr-pa-stroget</w:t>
        </w:r>
      </w:hyperlink>
    </w:p>
    <w:p w14:paraId="701069AE" w14:textId="7459C3AD" w:rsidR="006D5545" w:rsidRPr="006D5545" w:rsidRDefault="00635B60" w:rsidP="000A316C">
      <w:pPr>
        <w:pStyle w:val="ListParagraph"/>
        <w:numPr>
          <w:ilvl w:val="0"/>
          <w:numId w:val="10"/>
        </w:numPr>
      </w:pPr>
      <w:hyperlink r:id="rId16" w:history="1">
        <w:r w:rsidR="006D5545">
          <w:rPr>
            <w:rStyle w:val="Hyperlink"/>
            <w:lang w:val="da-DK"/>
          </w:rPr>
          <w:t>Vi bliver kaldt tiggere</w:t>
        </w:r>
      </w:hyperlink>
    </w:p>
    <w:sectPr w:rsidR="006D5545" w:rsidRPr="006D554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55BC60" w14:textId="77777777" w:rsidR="009F207E" w:rsidRDefault="009F207E" w:rsidP="00907D3C">
      <w:pPr>
        <w:spacing w:after="0" w:line="240" w:lineRule="auto"/>
      </w:pPr>
      <w:r>
        <w:separator/>
      </w:r>
    </w:p>
  </w:endnote>
  <w:endnote w:type="continuationSeparator" w:id="0">
    <w:p w14:paraId="11DE13FE" w14:textId="77777777" w:rsidR="009F207E" w:rsidRDefault="009F207E" w:rsidP="00907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814744"/>
      <w:docPartObj>
        <w:docPartGallery w:val="Page Numbers (Bottom of Page)"/>
        <w:docPartUnique/>
      </w:docPartObj>
    </w:sdtPr>
    <w:sdtEndPr>
      <w:rPr>
        <w:noProof/>
      </w:rPr>
    </w:sdtEndPr>
    <w:sdtContent>
      <w:p w14:paraId="6D97E01F" w14:textId="5A3D3F25" w:rsidR="00674ABE" w:rsidRDefault="00674ABE">
        <w:pPr>
          <w:pStyle w:val="Footer"/>
          <w:jc w:val="center"/>
        </w:pPr>
        <w:r>
          <w:fldChar w:fldCharType="begin"/>
        </w:r>
        <w:r>
          <w:instrText xml:space="preserve"> PAGE   \* MERGEFORMAT </w:instrText>
        </w:r>
        <w:r>
          <w:fldChar w:fldCharType="separate"/>
        </w:r>
        <w:r w:rsidR="00635B60">
          <w:rPr>
            <w:noProof/>
          </w:rPr>
          <w:t>1</w:t>
        </w:r>
        <w:r>
          <w:rPr>
            <w:noProof/>
          </w:rPr>
          <w:fldChar w:fldCharType="end"/>
        </w:r>
      </w:p>
    </w:sdtContent>
  </w:sdt>
  <w:p w14:paraId="04B1F6DA" w14:textId="77777777" w:rsidR="00674ABE" w:rsidRDefault="00674A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83C7B" w14:textId="77777777" w:rsidR="009F207E" w:rsidRDefault="009F207E" w:rsidP="00907D3C">
      <w:pPr>
        <w:spacing w:after="0" w:line="240" w:lineRule="auto"/>
      </w:pPr>
      <w:r>
        <w:separator/>
      </w:r>
    </w:p>
  </w:footnote>
  <w:footnote w:type="continuationSeparator" w:id="0">
    <w:p w14:paraId="0583F9AC" w14:textId="77777777" w:rsidR="009F207E" w:rsidRDefault="009F207E" w:rsidP="00907D3C">
      <w:pPr>
        <w:spacing w:after="0" w:line="240" w:lineRule="auto"/>
      </w:pPr>
      <w:r>
        <w:continuationSeparator/>
      </w:r>
    </w:p>
  </w:footnote>
  <w:footnote w:id="1">
    <w:p w14:paraId="54FC7C2D" w14:textId="53097C36" w:rsidR="007F4F7D" w:rsidRPr="00CB7AAF" w:rsidRDefault="007F4F7D">
      <w:pPr>
        <w:pStyle w:val="FootnoteText"/>
        <w:rPr>
          <w:lang w:val="da-DK"/>
        </w:rPr>
      </w:pPr>
      <w:r>
        <w:rPr>
          <w:rStyle w:val="FootnoteReference"/>
        </w:rPr>
        <w:footnoteRef/>
      </w:r>
      <w:r>
        <w:t xml:space="preserve"> </w:t>
      </w:r>
      <w:r w:rsidR="00CF49EF">
        <w:rPr>
          <w:lang w:val="da-DK"/>
        </w:rPr>
        <w:t>Page</w:t>
      </w:r>
      <w:r>
        <w:rPr>
          <w:lang w:val="da-DK"/>
        </w:rPr>
        <w:t xml:space="preserve"> 2, stk. 6-7</w:t>
      </w:r>
    </w:p>
  </w:footnote>
  <w:footnote w:id="2">
    <w:p w14:paraId="3BC9F499" w14:textId="344C2D91" w:rsidR="007F644B" w:rsidRPr="00CB7AAF" w:rsidRDefault="007F644B">
      <w:pPr>
        <w:pStyle w:val="FootnoteText"/>
        <w:rPr>
          <w:lang w:val="da-DK"/>
        </w:rPr>
      </w:pPr>
      <w:r>
        <w:rPr>
          <w:rStyle w:val="FootnoteReference"/>
        </w:rPr>
        <w:footnoteRef/>
      </w:r>
      <w:r>
        <w:t xml:space="preserve"> </w:t>
      </w:r>
      <w:r w:rsidR="00CF49EF">
        <w:rPr>
          <w:lang w:val="da-DK"/>
        </w:rPr>
        <w:t>Page</w:t>
      </w:r>
      <w:r>
        <w:rPr>
          <w:lang w:val="da-DK"/>
        </w:rPr>
        <w:t>. 5, stk. 31</w:t>
      </w:r>
    </w:p>
  </w:footnote>
  <w:footnote w:id="3">
    <w:p w14:paraId="71EE905F" w14:textId="48BFE18D" w:rsidR="00EA0DC8" w:rsidRDefault="00EA0DC8">
      <w:pPr>
        <w:pStyle w:val="FootnoteText"/>
        <w:rPr>
          <w:lang w:val="da-DK"/>
        </w:rPr>
      </w:pPr>
      <w:r>
        <w:rPr>
          <w:rStyle w:val="FootnoteReference"/>
        </w:rPr>
        <w:footnoteRef/>
      </w:r>
      <w:r>
        <w:t xml:space="preserve"> </w:t>
      </w:r>
      <w:hyperlink r:id="rId1" w:history="1">
        <w:r>
          <w:rPr>
            <w:rStyle w:val="Hyperlink"/>
          </w:rPr>
          <w:t>https://uim.dk/nyheder/2015/indforelse-af-integrationsydelse-pr-1-september-2015</w:t>
        </w:r>
      </w:hyperlink>
      <w:r w:rsidRPr="00333EDE">
        <w:rPr>
          <w:lang w:val="da-DK"/>
        </w:rPr>
        <w:t xml:space="preserve"> FIND</w:t>
      </w:r>
      <w:r w:rsidRPr="00CB7AAF">
        <w:rPr>
          <w:lang w:val="da-DK"/>
        </w:rPr>
        <w:t xml:space="preserve"> ENGELSK</w:t>
      </w:r>
    </w:p>
    <w:p w14:paraId="043CCC25" w14:textId="1C26FDDB" w:rsidR="005A5BB7" w:rsidRPr="00CB7AAF" w:rsidRDefault="00635B60">
      <w:pPr>
        <w:pStyle w:val="FootnoteText"/>
        <w:rPr>
          <w:lang w:val="da-DK"/>
        </w:rPr>
      </w:pPr>
      <w:hyperlink r:id="rId2" w:history="1">
        <w:r w:rsidR="005A5BB7">
          <w:rPr>
            <w:rStyle w:val="Hyperlink"/>
          </w:rPr>
          <w:t>https://www.retsinformation.dk/Forms/R0710.aspx?id=174123</w:t>
        </w:r>
      </w:hyperlink>
    </w:p>
  </w:footnote>
  <w:footnote w:id="4">
    <w:p w14:paraId="14A4763D" w14:textId="1A00D3BA" w:rsidR="007F4F7D" w:rsidRPr="00CB7AAF" w:rsidRDefault="007F4F7D">
      <w:pPr>
        <w:pStyle w:val="FootnoteText"/>
        <w:rPr>
          <w:lang w:val="da-DK"/>
        </w:rPr>
      </w:pPr>
      <w:r>
        <w:rPr>
          <w:rStyle w:val="FootnoteReference"/>
        </w:rPr>
        <w:footnoteRef/>
      </w:r>
      <w:r>
        <w:t xml:space="preserve"> </w:t>
      </w:r>
      <w:r w:rsidR="00CF49EF">
        <w:rPr>
          <w:lang w:val="da-DK"/>
        </w:rPr>
        <w:t>Page</w:t>
      </w:r>
      <w:r>
        <w:rPr>
          <w:lang w:val="da-DK"/>
        </w:rPr>
        <w:t>. 12, st</w:t>
      </w:r>
      <w:r w:rsidR="00CF49EF">
        <w:rPr>
          <w:lang w:val="da-DK"/>
        </w:rPr>
        <w:t>k.</w:t>
      </w:r>
      <w:r>
        <w:rPr>
          <w:lang w:val="da-DK"/>
        </w:rPr>
        <w:t xml:space="preserve"> 85</w:t>
      </w:r>
    </w:p>
  </w:footnote>
  <w:footnote w:id="5">
    <w:p w14:paraId="1342987D" w14:textId="1E8D7D26" w:rsidR="00AE1FBF" w:rsidRPr="00CB7AAF" w:rsidRDefault="00AE1FBF">
      <w:pPr>
        <w:pStyle w:val="FootnoteText"/>
        <w:rPr>
          <w:lang w:val="da-DK"/>
        </w:rPr>
      </w:pPr>
      <w:r>
        <w:rPr>
          <w:rStyle w:val="FootnoteReference"/>
        </w:rPr>
        <w:footnoteRef/>
      </w:r>
      <w:r>
        <w:t xml:space="preserve"> </w:t>
      </w:r>
      <w:hyperlink r:id="rId3" w:history="1">
        <w:r>
          <w:rPr>
            <w:rStyle w:val="Hyperlink"/>
          </w:rPr>
          <w:t>https://uim.dk/nyheder/2015/straksindgreb-pa-asylomradet-2013-ny-integrationsydelse-til-nytilkomne-udlaendinge</w:t>
        </w:r>
      </w:hyperlink>
    </w:p>
  </w:footnote>
  <w:footnote w:id="6">
    <w:p w14:paraId="45D7BA15" w14:textId="5711D3DB" w:rsidR="004C4E1E" w:rsidRPr="00CB7AAF" w:rsidRDefault="004C4E1E">
      <w:pPr>
        <w:pStyle w:val="FootnoteText"/>
        <w:rPr>
          <w:lang w:val="da-DK"/>
        </w:rPr>
      </w:pPr>
      <w:r>
        <w:rPr>
          <w:rStyle w:val="FootnoteReference"/>
        </w:rPr>
        <w:footnoteRef/>
      </w:r>
      <w:r>
        <w:t xml:space="preserve"> </w:t>
      </w:r>
      <w:hyperlink r:id="rId4" w:history="1">
        <w:r>
          <w:rPr>
            <w:rStyle w:val="Hyperlink"/>
          </w:rPr>
          <w:t>https://www.retsinformation.dk/Forms/R0710.aspx?id=207366</w:t>
        </w:r>
      </w:hyperlink>
    </w:p>
  </w:footnote>
  <w:footnote w:id="7">
    <w:p w14:paraId="07377A6C" w14:textId="52AB1549" w:rsidR="004C4E1E" w:rsidRPr="00CB7AAF" w:rsidRDefault="004C4E1E">
      <w:pPr>
        <w:pStyle w:val="FootnoteText"/>
        <w:rPr>
          <w:lang w:val="da-DK"/>
        </w:rPr>
      </w:pPr>
      <w:r>
        <w:rPr>
          <w:rStyle w:val="FootnoteReference"/>
        </w:rPr>
        <w:footnoteRef/>
      </w:r>
      <w:r>
        <w:t xml:space="preserve"> </w:t>
      </w:r>
      <w:hyperlink r:id="rId5" w:history="1">
        <w:r>
          <w:rPr>
            <w:rStyle w:val="Hyperlink"/>
          </w:rPr>
          <w:t>https://www.borger.dk/arbejde-dagpenge-ferie/Dagpenge-kontanthjaelp-og-sygedagpenge/Kontanthjaelp/Integrationsydelse</w:t>
        </w:r>
      </w:hyperlink>
    </w:p>
  </w:footnote>
  <w:footnote w:id="8">
    <w:p w14:paraId="58355F22" w14:textId="783FF481" w:rsidR="0038553B" w:rsidRPr="00CB7AAF" w:rsidRDefault="0038553B">
      <w:pPr>
        <w:pStyle w:val="FootnoteText"/>
        <w:rPr>
          <w:lang w:val="da-DK"/>
        </w:rPr>
      </w:pPr>
      <w:r>
        <w:rPr>
          <w:rStyle w:val="FootnoteReference"/>
        </w:rPr>
        <w:footnoteRef/>
      </w:r>
      <w:r>
        <w:t xml:space="preserve"> </w:t>
      </w:r>
      <w:hyperlink r:id="rId6" w:history="1">
        <w:r>
          <w:rPr>
            <w:rStyle w:val="Hyperlink"/>
          </w:rPr>
          <w:t>https://www.borger.dk/arbejde-dagpenge-ferie/Dagpenge-kontanthjaelp-og-sygedagpenge/Kontanthjaelp/Kontanthjaelp-30-eller-derover</w:t>
        </w:r>
      </w:hyperlink>
    </w:p>
  </w:footnote>
  <w:footnote w:id="9">
    <w:p w14:paraId="1CA8112D" w14:textId="6DE54FEF" w:rsidR="00F61A29" w:rsidRPr="00F61A29" w:rsidRDefault="00F61A29">
      <w:pPr>
        <w:pStyle w:val="FootnoteText"/>
      </w:pPr>
      <w:r>
        <w:rPr>
          <w:rStyle w:val="FootnoteReference"/>
        </w:rPr>
        <w:footnoteRef/>
      </w:r>
      <w:r>
        <w:t xml:space="preserve"> </w:t>
      </w:r>
      <w:hyperlink r:id="rId7" w:history="1">
        <w:r>
          <w:rPr>
            <w:rStyle w:val="Hyperlink"/>
          </w:rPr>
          <w:t>https://www.altomintegration.dk/media/1232/notat-om-effekter-af-lave-ydelser-til-flygtninge-maj-2019.pdf</w:t>
        </w:r>
      </w:hyperlink>
    </w:p>
  </w:footnote>
  <w:footnote w:id="10">
    <w:p w14:paraId="003A9FEA" w14:textId="5FD915C0" w:rsidR="003F1840" w:rsidRPr="00333EDE" w:rsidRDefault="003F1840">
      <w:pPr>
        <w:pStyle w:val="FootnoteText"/>
      </w:pPr>
      <w:r>
        <w:rPr>
          <w:rStyle w:val="FootnoteReference"/>
        </w:rPr>
        <w:footnoteRef/>
      </w:r>
      <w:r>
        <w:t xml:space="preserve"> </w:t>
      </w:r>
      <w:hyperlink r:id="rId8" w:history="1">
        <w:r>
          <w:rPr>
            <w:rStyle w:val="Hyperlink"/>
          </w:rPr>
          <w:t>https://uim.dk/filer/nyheder-2018/faktaark-om-modtagere-af-integrationsydelse_uim.pdf</w:t>
        </w:r>
      </w:hyperlink>
    </w:p>
  </w:footnote>
  <w:footnote w:id="11">
    <w:p w14:paraId="0F3DF1BF" w14:textId="7F6E3971" w:rsidR="002373EA" w:rsidRPr="00333EDE" w:rsidRDefault="002373EA">
      <w:pPr>
        <w:pStyle w:val="FootnoteText"/>
      </w:pPr>
      <w:r>
        <w:rPr>
          <w:rStyle w:val="FootnoteReference"/>
        </w:rPr>
        <w:footnoteRef/>
      </w:r>
      <w:r>
        <w:t xml:space="preserve"> </w:t>
      </w:r>
      <w:hyperlink r:id="rId9" w:history="1">
        <w:r>
          <w:rPr>
            <w:rStyle w:val="Hyperlink"/>
          </w:rPr>
          <w:t>https://menneskeret.dk/sites/menneskeret.dk/files/media/dokumenter/udgivelser/ligebehandling_2018/integrationsydelse_web-ny_19.12.pdf</w:t>
        </w:r>
      </w:hyperlink>
    </w:p>
  </w:footnote>
  <w:footnote w:id="12">
    <w:p w14:paraId="427C022E" w14:textId="728023E7" w:rsidR="00BA2395" w:rsidRPr="00333EDE" w:rsidRDefault="00BA2395">
      <w:pPr>
        <w:pStyle w:val="FootnoteText"/>
      </w:pPr>
      <w:r>
        <w:rPr>
          <w:rStyle w:val="FootnoteReference"/>
        </w:rPr>
        <w:footnoteRef/>
      </w:r>
      <w:r>
        <w:t xml:space="preserve"> </w:t>
      </w:r>
      <w:hyperlink r:id="rId10" w:history="1">
        <w:r w:rsidRPr="00333EDE">
          <w:rPr>
            <w:rStyle w:val="Hyperlink"/>
          </w:rPr>
          <w:t>https://menneskeret.dk/sites/menneskeret.dk/files/media/dokumenter/udgivelser/ligebehandling_2018/integrationsydelse_web-ny_19.12.pdf</w:t>
        </w:r>
      </w:hyperlink>
    </w:p>
  </w:footnote>
  <w:footnote w:id="13">
    <w:p w14:paraId="751A406B" w14:textId="3D86F060" w:rsidR="000F229E" w:rsidRPr="000F229E" w:rsidRDefault="000F229E">
      <w:pPr>
        <w:pStyle w:val="FootnoteText"/>
      </w:pPr>
      <w:r>
        <w:rPr>
          <w:rStyle w:val="FootnoteReference"/>
        </w:rPr>
        <w:footnoteRef/>
      </w:r>
      <w:r>
        <w:t xml:space="preserve"> </w:t>
      </w:r>
      <w:hyperlink r:id="rId11" w:history="1">
        <w:r>
          <w:rPr>
            <w:rStyle w:val="Hyperlink"/>
          </w:rPr>
          <w:t>https://menneskeret.dk/sites/menneskeret.dk/files/media/dokumenter/udgivelser/ligebehandling_2018/integrationsydelse_web-ny_19.12.pdf</w:t>
        </w:r>
      </w:hyperlink>
    </w:p>
  </w:footnote>
  <w:footnote w:id="14">
    <w:p w14:paraId="59320CFA" w14:textId="4B5371FC" w:rsidR="00D963B1" w:rsidRPr="00D963B1" w:rsidRDefault="00D963B1">
      <w:pPr>
        <w:pStyle w:val="FootnoteText"/>
      </w:pPr>
      <w:r>
        <w:rPr>
          <w:rStyle w:val="FootnoteReference"/>
        </w:rPr>
        <w:footnoteRef/>
      </w:r>
      <w:r>
        <w:t xml:space="preserve"> </w:t>
      </w:r>
      <w:hyperlink r:id="rId12" w:history="1">
        <w:r>
          <w:rPr>
            <w:rStyle w:val="Hyperlink"/>
          </w:rPr>
          <w:t>https://menneskeret.dk/sites/menneskeret.dk/files/media/dokumenter/udgivelser/ligebehandling_2018/integrationsydelse_web-ny_19.12.pdf</w:t>
        </w:r>
      </w:hyperlink>
    </w:p>
  </w:footnote>
  <w:footnote w:id="15">
    <w:p w14:paraId="7740B34D" w14:textId="11345FFC" w:rsidR="00D963B1" w:rsidRPr="00D963B1" w:rsidRDefault="00D963B1">
      <w:pPr>
        <w:pStyle w:val="FootnoteText"/>
      </w:pPr>
      <w:r>
        <w:rPr>
          <w:rStyle w:val="FootnoteReference"/>
        </w:rPr>
        <w:footnoteRef/>
      </w:r>
      <w:r>
        <w:t xml:space="preserve"> </w:t>
      </w:r>
      <w:hyperlink r:id="rId13" w:history="1">
        <w:r>
          <w:rPr>
            <w:rStyle w:val="Hyperlink"/>
          </w:rPr>
          <w:t>https://menneskeret.dk/sites/menneskeret.dk/files/media/dokumenter/udgivelser/ligebehandling_2018/integrationsydelse_web-ny_19.12.pdf</w:t>
        </w:r>
      </w:hyperlink>
    </w:p>
  </w:footnote>
  <w:footnote w:id="16">
    <w:p w14:paraId="52D3AEEE" w14:textId="51DBA188" w:rsidR="00D963B1" w:rsidRPr="00D963B1" w:rsidRDefault="00D963B1">
      <w:pPr>
        <w:pStyle w:val="FootnoteText"/>
      </w:pPr>
      <w:r>
        <w:rPr>
          <w:rStyle w:val="FootnoteReference"/>
        </w:rPr>
        <w:footnoteRef/>
      </w:r>
      <w:r>
        <w:t xml:space="preserve"> </w:t>
      </w:r>
      <w:hyperlink r:id="rId14" w:history="1">
        <w:r>
          <w:rPr>
            <w:rStyle w:val="Hyperlink"/>
          </w:rPr>
          <w:t>https://menneskeret.dk/sites/menneskeret.dk/files/media/dokumenter/udgivelser/ligebehandling_2018/integrationsydelse_web-ny_19.12.pdf</w:t>
        </w:r>
      </w:hyperlink>
    </w:p>
  </w:footnote>
  <w:footnote w:id="17">
    <w:p w14:paraId="6E5E8CAD" w14:textId="77777777" w:rsidR="00F61A29" w:rsidRPr="00333EDE" w:rsidRDefault="00F61A29" w:rsidP="00F61A29">
      <w:pPr>
        <w:pStyle w:val="FootnoteText"/>
      </w:pPr>
      <w:r>
        <w:rPr>
          <w:rStyle w:val="FootnoteReference"/>
        </w:rPr>
        <w:footnoteRef/>
      </w:r>
      <w:r>
        <w:t xml:space="preserve"> </w:t>
      </w:r>
      <w:hyperlink r:id="rId15" w:history="1">
        <w:r>
          <w:rPr>
            <w:rStyle w:val="Hyperlink"/>
          </w:rPr>
          <w:t>https://www.ae.dk/artikler/opvaekst-i-fattigdom-saetter-markante-spor-i-voksenlivet</w:t>
        </w:r>
      </w:hyperlink>
    </w:p>
  </w:footnote>
  <w:footnote w:id="18">
    <w:p w14:paraId="308E58F2" w14:textId="5CA9884E" w:rsidR="00207668" w:rsidRPr="00207668" w:rsidRDefault="00207668">
      <w:pPr>
        <w:pStyle w:val="FootnoteText"/>
      </w:pPr>
      <w:r>
        <w:rPr>
          <w:rStyle w:val="FootnoteReference"/>
        </w:rPr>
        <w:footnoteRef/>
      </w:r>
      <w:r>
        <w:t xml:space="preserve"> </w:t>
      </w:r>
      <w:hyperlink r:id="rId16" w:history="1">
        <w:r>
          <w:rPr>
            <w:rStyle w:val="Hyperlink"/>
          </w:rPr>
          <w:t>https://menneskeret.dk/sites/menneskeret.dk/files/media/dokumenter/udgivelser/ligebehandling_2018/integrationsydelse_web-ny_19.12.pdf</w:t>
        </w:r>
      </w:hyperlink>
    </w:p>
  </w:footnote>
  <w:footnote w:id="19">
    <w:p w14:paraId="13AB8132" w14:textId="0A331FD8" w:rsidR="00207668" w:rsidRPr="00207668" w:rsidRDefault="00207668">
      <w:pPr>
        <w:pStyle w:val="FootnoteText"/>
      </w:pPr>
      <w:r>
        <w:rPr>
          <w:rStyle w:val="FootnoteReference"/>
        </w:rPr>
        <w:footnoteRef/>
      </w:r>
      <w:r>
        <w:t xml:space="preserve"> </w:t>
      </w:r>
      <w:hyperlink r:id="rId17" w:history="1">
        <w:r>
          <w:rPr>
            <w:rStyle w:val="Hyperlink"/>
          </w:rPr>
          <w:t>https://menneskeret.dk/sites/menneskeret.dk/files/media/dokumenter/udgivelser/ligebehandling_2018/integrationsydelse_web-ny_19.12.pdf</w:t>
        </w:r>
      </w:hyperlink>
    </w:p>
  </w:footnote>
  <w:footnote w:id="20">
    <w:p w14:paraId="0FA40F82" w14:textId="6DEEB146" w:rsidR="00E412C2" w:rsidRPr="00E412C2" w:rsidRDefault="00E412C2">
      <w:pPr>
        <w:pStyle w:val="FootnoteText"/>
      </w:pPr>
      <w:r>
        <w:rPr>
          <w:rStyle w:val="FootnoteReference"/>
        </w:rPr>
        <w:footnoteRef/>
      </w:r>
      <w:r>
        <w:t xml:space="preserve"> </w:t>
      </w:r>
      <w:hyperlink r:id="rId18" w:history="1">
        <w:r>
          <w:rPr>
            <w:rStyle w:val="Hyperlink"/>
          </w:rPr>
          <w:t>https://www.ft.dk/~/media/pdf/publikationer/english/my_constitutional_act_with_explanations.ashx</w:t>
        </w:r>
      </w:hyperlink>
    </w:p>
  </w:footnote>
  <w:footnote w:id="21">
    <w:p w14:paraId="54E48BF8" w14:textId="097731EA" w:rsidR="00E82802" w:rsidRPr="00E82802" w:rsidRDefault="00E82802">
      <w:pPr>
        <w:pStyle w:val="FootnoteText"/>
      </w:pPr>
      <w:r>
        <w:rPr>
          <w:rStyle w:val="FootnoteReference"/>
        </w:rPr>
        <w:footnoteRef/>
      </w:r>
      <w:r>
        <w:t xml:space="preserve"> </w:t>
      </w:r>
      <w:hyperlink r:id="rId19" w:history="1">
        <w:r>
          <w:rPr>
            <w:rStyle w:val="Hyperlink"/>
          </w:rPr>
          <w:t>https://bm.dk/nyheder-presse/pressemeddelelser/2019/09/politisk-aftale-fattige-familier-faar-midlertidigt-tilskud/</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B1EF3"/>
    <w:multiLevelType w:val="hybridMultilevel"/>
    <w:tmpl w:val="AED6B4E6"/>
    <w:lvl w:ilvl="0" w:tplc="ED8EF612">
      <w:start w:val="1"/>
      <w:numFmt w:val="bullet"/>
      <w:lvlText w:val="-"/>
      <w:lvlJc w:val="left"/>
      <w:pPr>
        <w:ind w:left="720" w:hanging="360"/>
      </w:pPr>
      <w:rPr>
        <w:rFonts w:ascii="Calibri" w:eastAsiaTheme="minorHAns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1B5B23F0"/>
    <w:multiLevelType w:val="hybridMultilevel"/>
    <w:tmpl w:val="FEA6AD4A"/>
    <w:lvl w:ilvl="0" w:tplc="CD2E1438">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25753573"/>
    <w:multiLevelType w:val="multilevel"/>
    <w:tmpl w:val="5722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123E09"/>
    <w:multiLevelType w:val="hybridMultilevel"/>
    <w:tmpl w:val="598CD49A"/>
    <w:lvl w:ilvl="0" w:tplc="FE4E90BE">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3D6C1021"/>
    <w:multiLevelType w:val="hybridMultilevel"/>
    <w:tmpl w:val="88B4C86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nsid w:val="4339170E"/>
    <w:multiLevelType w:val="hybridMultilevel"/>
    <w:tmpl w:val="534AD990"/>
    <w:lvl w:ilvl="0" w:tplc="B6BCB77A">
      <w:start w:val="3"/>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nsid w:val="43B003BE"/>
    <w:multiLevelType w:val="hybridMultilevel"/>
    <w:tmpl w:val="26167AF6"/>
    <w:lvl w:ilvl="0" w:tplc="B956A59E">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970ADA"/>
    <w:multiLevelType w:val="hybridMultilevel"/>
    <w:tmpl w:val="DB6E9D3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47FF4F76"/>
    <w:multiLevelType w:val="hybridMultilevel"/>
    <w:tmpl w:val="71FC3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8965FD"/>
    <w:multiLevelType w:val="hybridMultilevel"/>
    <w:tmpl w:val="B9AEFA72"/>
    <w:lvl w:ilvl="0" w:tplc="773A80FC">
      <w:start w:val="15"/>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nsid w:val="6CDA3FF2"/>
    <w:multiLevelType w:val="hybridMultilevel"/>
    <w:tmpl w:val="6FC42AB8"/>
    <w:lvl w:ilvl="0" w:tplc="B766734A">
      <w:start w:val="1"/>
      <w:numFmt w:val="bullet"/>
      <w:lvlText w:val="-"/>
      <w:lvlJc w:val="left"/>
      <w:pPr>
        <w:ind w:left="720" w:hanging="360"/>
      </w:pPr>
      <w:rPr>
        <w:rFonts w:ascii="Calibri" w:eastAsiaTheme="minorHAns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10"/>
  </w:num>
  <w:num w:numId="6">
    <w:abstractNumId w:val="9"/>
  </w:num>
  <w:num w:numId="7">
    <w:abstractNumId w:val="2"/>
  </w:num>
  <w:num w:numId="8">
    <w:abstractNumId w:val="8"/>
  </w:num>
  <w:num w:numId="9">
    <w:abstractNumId w:val="6"/>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1F"/>
    <w:rsid w:val="00002ABA"/>
    <w:rsid w:val="000138EA"/>
    <w:rsid w:val="00051898"/>
    <w:rsid w:val="000A316C"/>
    <w:rsid w:val="000C1CA6"/>
    <w:rsid w:val="000C3CCD"/>
    <w:rsid w:val="000F229E"/>
    <w:rsid w:val="0010289D"/>
    <w:rsid w:val="0013718D"/>
    <w:rsid w:val="00144249"/>
    <w:rsid w:val="0017022B"/>
    <w:rsid w:val="001926DB"/>
    <w:rsid w:val="001952BC"/>
    <w:rsid w:val="00197A0C"/>
    <w:rsid w:val="001C5D28"/>
    <w:rsid w:val="001D397E"/>
    <w:rsid w:val="001F4444"/>
    <w:rsid w:val="00207668"/>
    <w:rsid w:val="002373EA"/>
    <w:rsid w:val="002431F7"/>
    <w:rsid w:val="00263768"/>
    <w:rsid w:val="00284AD3"/>
    <w:rsid w:val="00297917"/>
    <w:rsid w:val="002979A7"/>
    <w:rsid w:val="002E1EB8"/>
    <w:rsid w:val="002E786E"/>
    <w:rsid w:val="002F536C"/>
    <w:rsid w:val="003128E8"/>
    <w:rsid w:val="00326036"/>
    <w:rsid w:val="00333EDE"/>
    <w:rsid w:val="00350C17"/>
    <w:rsid w:val="00360721"/>
    <w:rsid w:val="00362F82"/>
    <w:rsid w:val="00372ABE"/>
    <w:rsid w:val="0038553B"/>
    <w:rsid w:val="003A3F7A"/>
    <w:rsid w:val="003B048F"/>
    <w:rsid w:val="003B1462"/>
    <w:rsid w:val="003F1840"/>
    <w:rsid w:val="00407789"/>
    <w:rsid w:val="0041057A"/>
    <w:rsid w:val="00411345"/>
    <w:rsid w:val="0041638B"/>
    <w:rsid w:val="00416EB9"/>
    <w:rsid w:val="0043419A"/>
    <w:rsid w:val="00443B65"/>
    <w:rsid w:val="00452255"/>
    <w:rsid w:val="004727EC"/>
    <w:rsid w:val="004815E0"/>
    <w:rsid w:val="004A654D"/>
    <w:rsid w:val="004C2EAE"/>
    <w:rsid w:val="004C4E1E"/>
    <w:rsid w:val="004E081F"/>
    <w:rsid w:val="004E6AE2"/>
    <w:rsid w:val="005121B8"/>
    <w:rsid w:val="005271C2"/>
    <w:rsid w:val="00537530"/>
    <w:rsid w:val="00542448"/>
    <w:rsid w:val="005441B1"/>
    <w:rsid w:val="005519BC"/>
    <w:rsid w:val="00552835"/>
    <w:rsid w:val="005617C6"/>
    <w:rsid w:val="0056636E"/>
    <w:rsid w:val="00573F61"/>
    <w:rsid w:val="005A5BB7"/>
    <w:rsid w:val="005D7E51"/>
    <w:rsid w:val="005E4880"/>
    <w:rsid w:val="005F7C8F"/>
    <w:rsid w:val="00623965"/>
    <w:rsid w:val="00635B60"/>
    <w:rsid w:val="00652C6A"/>
    <w:rsid w:val="00660885"/>
    <w:rsid w:val="00674ABE"/>
    <w:rsid w:val="00675FC1"/>
    <w:rsid w:val="00682AF8"/>
    <w:rsid w:val="00686F53"/>
    <w:rsid w:val="006C3758"/>
    <w:rsid w:val="006D4B04"/>
    <w:rsid w:val="006D5545"/>
    <w:rsid w:val="006E109F"/>
    <w:rsid w:val="006F4706"/>
    <w:rsid w:val="006F5F30"/>
    <w:rsid w:val="006F7F1D"/>
    <w:rsid w:val="00706CB6"/>
    <w:rsid w:val="0075334A"/>
    <w:rsid w:val="00755D71"/>
    <w:rsid w:val="00757222"/>
    <w:rsid w:val="00793D14"/>
    <w:rsid w:val="007B1EC2"/>
    <w:rsid w:val="007B5A69"/>
    <w:rsid w:val="007C0C36"/>
    <w:rsid w:val="007F4F7D"/>
    <w:rsid w:val="007F644B"/>
    <w:rsid w:val="00823345"/>
    <w:rsid w:val="00834166"/>
    <w:rsid w:val="008520D4"/>
    <w:rsid w:val="008669D8"/>
    <w:rsid w:val="00886576"/>
    <w:rsid w:val="00887C5C"/>
    <w:rsid w:val="00893363"/>
    <w:rsid w:val="008A3A23"/>
    <w:rsid w:val="008B1104"/>
    <w:rsid w:val="008D6534"/>
    <w:rsid w:val="008E4C99"/>
    <w:rsid w:val="008F3C11"/>
    <w:rsid w:val="00903B5F"/>
    <w:rsid w:val="00907D3C"/>
    <w:rsid w:val="009327BB"/>
    <w:rsid w:val="009354C8"/>
    <w:rsid w:val="00946382"/>
    <w:rsid w:val="00982697"/>
    <w:rsid w:val="00992B34"/>
    <w:rsid w:val="00994BF9"/>
    <w:rsid w:val="009C0726"/>
    <w:rsid w:val="009C2183"/>
    <w:rsid w:val="009D4C8E"/>
    <w:rsid w:val="009E0E41"/>
    <w:rsid w:val="009F207E"/>
    <w:rsid w:val="00A01ED3"/>
    <w:rsid w:val="00A02007"/>
    <w:rsid w:val="00A064CE"/>
    <w:rsid w:val="00A33217"/>
    <w:rsid w:val="00A4786E"/>
    <w:rsid w:val="00A6190B"/>
    <w:rsid w:val="00A734AB"/>
    <w:rsid w:val="00A970CE"/>
    <w:rsid w:val="00AB4CA9"/>
    <w:rsid w:val="00AE1FBF"/>
    <w:rsid w:val="00AE5661"/>
    <w:rsid w:val="00AF7142"/>
    <w:rsid w:val="00B06FE0"/>
    <w:rsid w:val="00B11769"/>
    <w:rsid w:val="00B13567"/>
    <w:rsid w:val="00B1507B"/>
    <w:rsid w:val="00B16151"/>
    <w:rsid w:val="00B338FF"/>
    <w:rsid w:val="00B7416E"/>
    <w:rsid w:val="00B8017F"/>
    <w:rsid w:val="00B836BA"/>
    <w:rsid w:val="00B864AB"/>
    <w:rsid w:val="00B90D31"/>
    <w:rsid w:val="00BA2395"/>
    <w:rsid w:val="00BB2619"/>
    <w:rsid w:val="00BD43E1"/>
    <w:rsid w:val="00BE02F8"/>
    <w:rsid w:val="00BE0ED5"/>
    <w:rsid w:val="00BF1802"/>
    <w:rsid w:val="00C1133D"/>
    <w:rsid w:val="00C374B8"/>
    <w:rsid w:val="00C5159C"/>
    <w:rsid w:val="00C913A5"/>
    <w:rsid w:val="00CA3F0B"/>
    <w:rsid w:val="00CB7AAF"/>
    <w:rsid w:val="00CF49EF"/>
    <w:rsid w:val="00D15257"/>
    <w:rsid w:val="00D16448"/>
    <w:rsid w:val="00D44172"/>
    <w:rsid w:val="00D455A7"/>
    <w:rsid w:val="00D45716"/>
    <w:rsid w:val="00D80F87"/>
    <w:rsid w:val="00D939BB"/>
    <w:rsid w:val="00D963B1"/>
    <w:rsid w:val="00DA4D96"/>
    <w:rsid w:val="00DB0F49"/>
    <w:rsid w:val="00DB69C7"/>
    <w:rsid w:val="00DC6AB5"/>
    <w:rsid w:val="00E14129"/>
    <w:rsid w:val="00E27DC2"/>
    <w:rsid w:val="00E34877"/>
    <w:rsid w:val="00E412C2"/>
    <w:rsid w:val="00E462CD"/>
    <w:rsid w:val="00E65F01"/>
    <w:rsid w:val="00E7594D"/>
    <w:rsid w:val="00E82802"/>
    <w:rsid w:val="00E90668"/>
    <w:rsid w:val="00EA0DC8"/>
    <w:rsid w:val="00EC5B9D"/>
    <w:rsid w:val="00ED3B21"/>
    <w:rsid w:val="00ED6224"/>
    <w:rsid w:val="00F23135"/>
    <w:rsid w:val="00F531B7"/>
    <w:rsid w:val="00F61A29"/>
    <w:rsid w:val="00F70A1A"/>
    <w:rsid w:val="00F75E61"/>
    <w:rsid w:val="00FA6F40"/>
    <w:rsid w:val="00FD5B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029C1"/>
  <w15:chartTrackingRefBased/>
  <w15:docId w15:val="{016277A3-683D-4053-B4DB-D8155AE34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2431F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17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17C6"/>
    <w:rPr>
      <w:b/>
      <w:bCs/>
    </w:rPr>
  </w:style>
  <w:style w:type="paragraph" w:styleId="ListParagraph">
    <w:name w:val="List Paragraph"/>
    <w:basedOn w:val="Normal"/>
    <w:uiPriority w:val="34"/>
    <w:qFormat/>
    <w:rsid w:val="00A970CE"/>
    <w:pPr>
      <w:ind w:left="720"/>
      <w:contextualSpacing/>
    </w:pPr>
  </w:style>
  <w:style w:type="paragraph" w:styleId="Header">
    <w:name w:val="header"/>
    <w:basedOn w:val="Normal"/>
    <w:link w:val="HeaderChar"/>
    <w:uiPriority w:val="99"/>
    <w:unhideWhenUsed/>
    <w:rsid w:val="00907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D3C"/>
  </w:style>
  <w:style w:type="paragraph" w:styleId="Footer">
    <w:name w:val="footer"/>
    <w:basedOn w:val="Normal"/>
    <w:link w:val="FooterChar"/>
    <w:uiPriority w:val="99"/>
    <w:unhideWhenUsed/>
    <w:rsid w:val="00907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D3C"/>
  </w:style>
  <w:style w:type="character" w:customStyle="1" w:styleId="Heading4Char">
    <w:name w:val="Heading 4 Char"/>
    <w:basedOn w:val="DefaultParagraphFont"/>
    <w:link w:val="Heading4"/>
    <w:uiPriority w:val="9"/>
    <w:rsid w:val="002431F7"/>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2431F7"/>
    <w:rPr>
      <w:color w:val="0000FF"/>
      <w:u w:val="single"/>
    </w:rPr>
  </w:style>
  <w:style w:type="character" w:styleId="CommentReference">
    <w:name w:val="annotation reference"/>
    <w:basedOn w:val="DefaultParagraphFont"/>
    <w:uiPriority w:val="99"/>
    <w:semiHidden/>
    <w:unhideWhenUsed/>
    <w:rsid w:val="00326036"/>
    <w:rPr>
      <w:sz w:val="16"/>
      <w:szCs w:val="16"/>
    </w:rPr>
  </w:style>
  <w:style w:type="paragraph" w:styleId="CommentText">
    <w:name w:val="annotation text"/>
    <w:basedOn w:val="Normal"/>
    <w:link w:val="CommentTextChar"/>
    <w:uiPriority w:val="99"/>
    <w:unhideWhenUsed/>
    <w:rsid w:val="00326036"/>
    <w:pPr>
      <w:spacing w:line="240" w:lineRule="auto"/>
    </w:pPr>
    <w:rPr>
      <w:sz w:val="20"/>
      <w:szCs w:val="20"/>
    </w:rPr>
  </w:style>
  <w:style w:type="character" w:customStyle="1" w:styleId="CommentTextChar">
    <w:name w:val="Comment Text Char"/>
    <w:basedOn w:val="DefaultParagraphFont"/>
    <w:link w:val="CommentText"/>
    <w:uiPriority w:val="99"/>
    <w:rsid w:val="00326036"/>
    <w:rPr>
      <w:sz w:val="20"/>
      <w:szCs w:val="20"/>
    </w:rPr>
  </w:style>
  <w:style w:type="paragraph" w:styleId="CommentSubject">
    <w:name w:val="annotation subject"/>
    <w:basedOn w:val="CommentText"/>
    <w:next w:val="CommentText"/>
    <w:link w:val="CommentSubjectChar"/>
    <w:uiPriority w:val="99"/>
    <w:semiHidden/>
    <w:unhideWhenUsed/>
    <w:rsid w:val="00326036"/>
    <w:rPr>
      <w:b/>
      <w:bCs/>
    </w:rPr>
  </w:style>
  <w:style w:type="character" w:customStyle="1" w:styleId="CommentSubjectChar">
    <w:name w:val="Comment Subject Char"/>
    <w:basedOn w:val="CommentTextChar"/>
    <w:link w:val="CommentSubject"/>
    <w:uiPriority w:val="99"/>
    <w:semiHidden/>
    <w:rsid w:val="00326036"/>
    <w:rPr>
      <w:b/>
      <w:bCs/>
      <w:sz w:val="20"/>
      <w:szCs w:val="20"/>
    </w:rPr>
  </w:style>
  <w:style w:type="paragraph" w:styleId="BalloonText">
    <w:name w:val="Balloon Text"/>
    <w:basedOn w:val="Normal"/>
    <w:link w:val="BalloonTextChar"/>
    <w:uiPriority w:val="99"/>
    <w:semiHidden/>
    <w:unhideWhenUsed/>
    <w:rsid w:val="00326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6036"/>
    <w:rPr>
      <w:rFonts w:ascii="Segoe UI" w:hAnsi="Segoe UI" w:cs="Segoe UI"/>
      <w:sz w:val="18"/>
      <w:szCs w:val="18"/>
    </w:rPr>
  </w:style>
  <w:style w:type="character" w:customStyle="1" w:styleId="UnresolvedMention">
    <w:name w:val="Unresolved Mention"/>
    <w:basedOn w:val="DefaultParagraphFont"/>
    <w:uiPriority w:val="99"/>
    <w:semiHidden/>
    <w:unhideWhenUsed/>
    <w:rsid w:val="005F7C8F"/>
    <w:rPr>
      <w:color w:val="808080"/>
      <w:shd w:val="clear" w:color="auto" w:fill="E6E6E6"/>
    </w:rPr>
  </w:style>
  <w:style w:type="paragraph" w:styleId="FootnoteText">
    <w:name w:val="footnote text"/>
    <w:basedOn w:val="Normal"/>
    <w:link w:val="FootnoteTextChar"/>
    <w:uiPriority w:val="99"/>
    <w:semiHidden/>
    <w:unhideWhenUsed/>
    <w:rsid w:val="00EA0D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0DC8"/>
    <w:rPr>
      <w:sz w:val="20"/>
      <w:szCs w:val="20"/>
    </w:rPr>
  </w:style>
  <w:style w:type="character" w:styleId="FootnoteReference">
    <w:name w:val="footnote reference"/>
    <w:basedOn w:val="DefaultParagraphFont"/>
    <w:uiPriority w:val="99"/>
    <w:semiHidden/>
    <w:unhideWhenUsed/>
    <w:rsid w:val="00EA0DC8"/>
    <w:rPr>
      <w:vertAlign w:val="superscript"/>
    </w:rPr>
  </w:style>
  <w:style w:type="table" w:styleId="TableGrid">
    <w:name w:val="Table Grid"/>
    <w:basedOn w:val="TableNormal"/>
    <w:uiPriority w:val="39"/>
    <w:rsid w:val="003855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ED3B21"/>
    <w:pPr>
      <w:spacing w:after="0" w:line="240" w:lineRule="auto"/>
    </w:pPr>
  </w:style>
  <w:style w:type="paragraph" w:customStyle="1" w:styleId="H23G">
    <w:name w:val="_ H_2/3_G"/>
    <w:basedOn w:val="Normal"/>
    <w:next w:val="Normal"/>
    <w:qFormat/>
    <w:rsid w:val="006D5545"/>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4333">
      <w:bodyDiv w:val="1"/>
      <w:marLeft w:val="0"/>
      <w:marRight w:val="0"/>
      <w:marTop w:val="0"/>
      <w:marBottom w:val="0"/>
      <w:divBdr>
        <w:top w:val="none" w:sz="0" w:space="0" w:color="auto"/>
        <w:left w:val="none" w:sz="0" w:space="0" w:color="auto"/>
        <w:bottom w:val="none" w:sz="0" w:space="0" w:color="auto"/>
        <w:right w:val="none" w:sz="0" w:space="0" w:color="auto"/>
      </w:divBdr>
    </w:div>
    <w:div w:id="113409489">
      <w:bodyDiv w:val="1"/>
      <w:marLeft w:val="0"/>
      <w:marRight w:val="0"/>
      <w:marTop w:val="0"/>
      <w:marBottom w:val="0"/>
      <w:divBdr>
        <w:top w:val="none" w:sz="0" w:space="0" w:color="auto"/>
        <w:left w:val="none" w:sz="0" w:space="0" w:color="auto"/>
        <w:bottom w:val="none" w:sz="0" w:space="0" w:color="auto"/>
        <w:right w:val="none" w:sz="0" w:space="0" w:color="auto"/>
      </w:divBdr>
    </w:div>
    <w:div w:id="416093327">
      <w:bodyDiv w:val="1"/>
      <w:marLeft w:val="0"/>
      <w:marRight w:val="0"/>
      <w:marTop w:val="0"/>
      <w:marBottom w:val="0"/>
      <w:divBdr>
        <w:top w:val="none" w:sz="0" w:space="0" w:color="auto"/>
        <w:left w:val="none" w:sz="0" w:space="0" w:color="auto"/>
        <w:bottom w:val="none" w:sz="0" w:space="0" w:color="auto"/>
        <w:right w:val="none" w:sz="0" w:space="0" w:color="auto"/>
      </w:divBdr>
    </w:div>
    <w:div w:id="728725736">
      <w:bodyDiv w:val="1"/>
      <w:marLeft w:val="0"/>
      <w:marRight w:val="0"/>
      <w:marTop w:val="0"/>
      <w:marBottom w:val="0"/>
      <w:divBdr>
        <w:top w:val="none" w:sz="0" w:space="0" w:color="auto"/>
        <w:left w:val="none" w:sz="0" w:space="0" w:color="auto"/>
        <w:bottom w:val="none" w:sz="0" w:space="0" w:color="auto"/>
        <w:right w:val="none" w:sz="0" w:space="0" w:color="auto"/>
      </w:divBdr>
    </w:div>
    <w:div w:id="905337440">
      <w:bodyDiv w:val="1"/>
      <w:marLeft w:val="0"/>
      <w:marRight w:val="0"/>
      <w:marTop w:val="0"/>
      <w:marBottom w:val="0"/>
      <w:divBdr>
        <w:top w:val="none" w:sz="0" w:space="0" w:color="auto"/>
        <w:left w:val="none" w:sz="0" w:space="0" w:color="auto"/>
        <w:bottom w:val="none" w:sz="0" w:space="0" w:color="auto"/>
        <w:right w:val="none" w:sz="0" w:space="0" w:color="auto"/>
      </w:divBdr>
    </w:div>
    <w:div w:id="1306353811">
      <w:bodyDiv w:val="1"/>
      <w:marLeft w:val="0"/>
      <w:marRight w:val="0"/>
      <w:marTop w:val="0"/>
      <w:marBottom w:val="0"/>
      <w:divBdr>
        <w:top w:val="none" w:sz="0" w:space="0" w:color="auto"/>
        <w:left w:val="none" w:sz="0" w:space="0" w:color="auto"/>
        <w:bottom w:val="none" w:sz="0" w:space="0" w:color="auto"/>
        <w:right w:val="none" w:sz="0" w:space="0" w:color="auto"/>
      </w:divBdr>
    </w:div>
    <w:div w:id="1514148271">
      <w:bodyDiv w:val="1"/>
      <w:marLeft w:val="0"/>
      <w:marRight w:val="0"/>
      <w:marTop w:val="0"/>
      <w:marBottom w:val="0"/>
      <w:divBdr>
        <w:top w:val="none" w:sz="0" w:space="0" w:color="auto"/>
        <w:left w:val="none" w:sz="0" w:space="0" w:color="auto"/>
        <w:bottom w:val="none" w:sz="0" w:space="0" w:color="auto"/>
        <w:right w:val="none" w:sz="0" w:space="0" w:color="auto"/>
      </w:divBdr>
    </w:div>
    <w:div w:id="1574587492">
      <w:bodyDiv w:val="1"/>
      <w:marLeft w:val="0"/>
      <w:marRight w:val="0"/>
      <w:marTop w:val="0"/>
      <w:marBottom w:val="0"/>
      <w:divBdr>
        <w:top w:val="none" w:sz="0" w:space="0" w:color="auto"/>
        <w:left w:val="none" w:sz="0" w:space="0" w:color="auto"/>
        <w:bottom w:val="none" w:sz="0" w:space="0" w:color="auto"/>
        <w:right w:val="none" w:sz="0" w:space="0" w:color="auto"/>
      </w:divBdr>
    </w:div>
    <w:div w:id="1746343596">
      <w:bodyDiv w:val="1"/>
      <w:marLeft w:val="0"/>
      <w:marRight w:val="0"/>
      <w:marTop w:val="0"/>
      <w:marBottom w:val="0"/>
      <w:divBdr>
        <w:top w:val="none" w:sz="0" w:space="0" w:color="auto"/>
        <w:left w:val="none" w:sz="0" w:space="0" w:color="auto"/>
        <w:bottom w:val="none" w:sz="0" w:space="0" w:color="auto"/>
        <w:right w:val="none" w:sz="0" w:space="0" w:color="auto"/>
      </w:divBdr>
      <w:divsChild>
        <w:div w:id="153422745">
          <w:marLeft w:val="547"/>
          <w:marRight w:val="0"/>
          <w:marTop w:val="86"/>
          <w:marBottom w:val="0"/>
          <w:divBdr>
            <w:top w:val="none" w:sz="0" w:space="0" w:color="auto"/>
            <w:left w:val="none" w:sz="0" w:space="0" w:color="auto"/>
            <w:bottom w:val="none" w:sz="0" w:space="0" w:color="auto"/>
            <w:right w:val="none" w:sz="0" w:space="0" w:color="auto"/>
          </w:divBdr>
        </w:div>
      </w:divsChild>
    </w:div>
    <w:div w:id="1900165189">
      <w:bodyDiv w:val="1"/>
      <w:marLeft w:val="0"/>
      <w:marRight w:val="0"/>
      <w:marTop w:val="0"/>
      <w:marBottom w:val="0"/>
      <w:divBdr>
        <w:top w:val="none" w:sz="0" w:space="0" w:color="auto"/>
        <w:left w:val="none" w:sz="0" w:space="0" w:color="auto"/>
        <w:bottom w:val="none" w:sz="0" w:space="0" w:color="auto"/>
        <w:right w:val="none" w:sz="0" w:space="0" w:color="auto"/>
      </w:divBdr>
    </w:div>
    <w:div w:id="213845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visen.dk/advokat-kraever-gamle-sager-om-hjemloese-lejre-genop_551035.aspx"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dr.dk/nyheder/indland/foerste-sag-om-utryghedsskabende-lejr-hjemloes-doemt-sove-paa-gad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r.dk/tv/se/vi-bliver-kaldt-tiggere"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hyperlink" Target="https://www.dr.dk/nyheder/indland/byret-frifinder-hjemlos-far-og-son-sla-lejr-pa-stroget"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s://politiken.dk/indland/art7154233/Hjeml%C3%B8s-lavede-ikke-lejr-p%C3%A5-gaden"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uim.dk/filer/nyheder-2018/faktaark-om-modtagere-af-integrationsydelse_uim.pdf" TargetMode="External"/><Relationship Id="rId13" Type="http://schemas.openxmlformats.org/officeDocument/2006/relationships/hyperlink" Target="https://menneskeret.dk/sites/menneskeret.dk/files/media/dokumenter/udgivelser/ligebehandling_2018/integrationsydelse_web-ny_19.12.pdf" TargetMode="External"/><Relationship Id="rId18" Type="http://schemas.openxmlformats.org/officeDocument/2006/relationships/hyperlink" Target="https://www.ft.dk/~/media/pdf/publikationer/english/my_constitutional_act_with_explanations.ashx" TargetMode="External"/><Relationship Id="rId3" Type="http://schemas.openxmlformats.org/officeDocument/2006/relationships/hyperlink" Target="https://uim.dk/nyheder/2015/straksindgreb-pa-asylomradet-2013-ny-integrationsydelse-til-nytilkomne-udlaendinge" TargetMode="External"/><Relationship Id="rId7" Type="http://schemas.openxmlformats.org/officeDocument/2006/relationships/hyperlink" Target="https://www.altomintegration.dk/media/1232/notat-om-effekter-af-lave-ydelser-til-flygtninge-maj-2019.pdf" TargetMode="External"/><Relationship Id="rId12" Type="http://schemas.openxmlformats.org/officeDocument/2006/relationships/hyperlink" Target="https://menneskeret.dk/sites/menneskeret.dk/files/media/dokumenter/udgivelser/ligebehandling_2018/integrationsydelse_web-ny_19.12.pdf" TargetMode="External"/><Relationship Id="rId17" Type="http://schemas.openxmlformats.org/officeDocument/2006/relationships/hyperlink" Target="https://menneskeret.dk/sites/menneskeret.dk/files/media/dokumenter/udgivelser/ligebehandling_2018/integrationsydelse_web-ny_19.12.pdf" TargetMode="External"/><Relationship Id="rId2" Type="http://schemas.openxmlformats.org/officeDocument/2006/relationships/hyperlink" Target="https://www.retsinformation.dk/Forms/R0710.aspx?id=174123" TargetMode="External"/><Relationship Id="rId16" Type="http://schemas.openxmlformats.org/officeDocument/2006/relationships/hyperlink" Target="https://menneskeret.dk/sites/menneskeret.dk/files/media/dokumenter/udgivelser/ligebehandling_2018/integrationsydelse_web-ny_19.12.pdf" TargetMode="External"/><Relationship Id="rId1" Type="http://schemas.openxmlformats.org/officeDocument/2006/relationships/hyperlink" Target="https://uim.dk/nyheder/2015/indforelse-af-integrationsydelse-pr-1-september-2015" TargetMode="External"/><Relationship Id="rId6" Type="http://schemas.openxmlformats.org/officeDocument/2006/relationships/hyperlink" Target="https://www.borger.dk/arbejde-dagpenge-ferie/Dagpenge-kontanthjaelp-og-sygedagpenge/Kontanthjaelp/Kontanthjaelp-30-eller-derover" TargetMode="External"/><Relationship Id="rId11" Type="http://schemas.openxmlformats.org/officeDocument/2006/relationships/hyperlink" Target="https://menneskeret.dk/sites/menneskeret.dk/files/media/dokumenter/udgivelser/ligebehandling_2018/integrationsydelse_web-ny_19.12.pdf" TargetMode="External"/><Relationship Id="rId5" Type="http://schemas.openxmlformats.org/officeDocument/2006/relationships/hyperlink" Target="https://www.borger.dk/arbejde-dagpenge-ferie/Dagpenge-kontanthjaelp-og-sygedagpenge/Kontanthjaelp/Integrationsydelse" TargetMode="External"/><Relationship Id="rId15" Type="http://schemas.openxmlformats.org/officeDocument/2006/relationships/hyperlink" Target="https://www.ae.dk/artikler/opvaekst-i-fattigdom-saetter-markante-spor-i-voksenlivet" TargetMode="External"/><Relationship Id="rId10" Type="http://schemas.openxmlformats.org/officeDocument/2006/relationships/hyperlink" Target="https://menneskeret.dk/sites/menneskeret.dk/files/media/dokumenter/udgivelser/ligebehandling_2018/integrationsydelse_web-ny_19.12.pdf" TargetMode="External"/><Relationship Id="rId19" Type="http://schemas.openxmlformats.org/officeDocument/2006/relationships/hyperlink" Target="https://bm.dk/nyheder-presse/pressemeddelelser/2019/09/politisk-aftale-fattige-familier-faar-midlertidigt-tilskud/" TargetMode="External"/><Relationship Id="rId4" Type="http://schemas.openxmlformats.org/officeDocument/2006/relationships/hyperlink" Target="https://www.retsinformation.dk/Forms/R0710.aspx?id=207366" TargetMode="External"/><Relationship Id="rId9" Type="http://schemas.openxmlformats.org/officeDocument/2006/relationships/hyperlink" Target="https://menneskeret.dk/sites/menneskeret.dk/files/media/dokumenter/udgivelser/ligebehandling_2018/integrationsydelse_web-ny_19.12.pdf" TargetMode="External"/><Relationship Id="rId14" Type="http://schemas.openxmlformats.org/officeDocument/2006/relationships/hyperlink" Target="https://menneskeret.dk/sites/menneskeret.dk/files/media/dokumenter/udgivelser/ligebehandling_2018/integrationsydelse_web-ny_19.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B9E13E-709D-4F3B-9BD5-2685DC38B57E}">
  <ds:schemaRefs>
    <ds:schemaRef ds:uri="http://schemas.openxmlformats.org/officeDocument/2006/bibliography"/>
  </ds:schemaRefs>
</ds:datastoreItem>
</file>

<file path=customXml/itemProps2.xml><?xml version="1.0" encoding="utf-8"?>
<ds:datastoreItem xmlns:ds="http://schemas.openxmlformats.org/officeDocument/2006/customXml" ds:itemID="{7766FC98-589F-42F1-BF72-0094201D7459}"/>
</file>

<file path=customXml/itemProps3.xml><?xml version="1.0" encoding="utf-8"?>
<ds:datastoreItem xmlns:ds="http://schemas.openxmlformats.org/officeDocument/2006/customXml" ds:itemID="{7D94C0CE-A622-4A2D-A8A8-7E0BD41A910E}"/>
</file>

<file path=customXml/itemProps4.xml><?xml version="1.0" encoding="utf-8"?>
<ds:datastoreItem xmlns:ds="http://schemas.openxmlformats.org/officeDocument/2006/customXml" ds:itemID="{AE66115C-09B8-4B25-B217-A2B07F13C7C5}"/>
</file>

<file path=docProps/app.xml><?xml version="1.0" encoding="utf-8"?>
<Properties xmlns="http://schemas.openxmlformats.org/officeDocument/2006/extended-properties" xmlns:vt="http://schemas.openxmlformats.org/officeDocument/2006/docPropsVTypes">
  <Template>Normal.dotm</Template>
  <TotalTime>0</TotalTime>
  <Pages>8</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Ditte Ingemann Hansen</dc:creator>
  <cp:keywords/>
  <dc:description/>
  <cp:lastModifiedBy>SONJAK SARF Zala</cp:lastModifiedBy>
  <cp:revision>2</cp:revision>
  <dcterms:created xsi:type="dcterms:W3CDTF">2019-09-11T06:45:00Z</dcterms:created>
  <dcterms:modified xsi:type="dcterms:W3CDTF">2019-09-11T06:45:00Z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