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D2357" w14:textId="46D93ADF" w:rsidR="00D334E2" w:rsidRDefault="00D334E2" w:rsidP="007D06E1">
      <w:pPr>
        <w:shd w:val="clear" w:color="auto" w:fill="FFFFFF"/>
        <w:spacing w:line="330" w:lineRule="atLeast"/>
        <w:jc w:val="both"/>
        <w:rPr>
          <w:rFonts w:ascii="Times New Roman" w:eastAsia="Times New Roman" w:hAnsi="Times New Roman" w:cs="Times New Roman"/>
          <w:b/>
          <w:bCs/>
          <w:sz w:val="20"/>
          <w:szCs w:val="20"/>
          <w:lang w:val="es-ES"/>
        </w:rPr>
      </w:pPr>
      <w:r>
        <w:rPr>
          <w:rFonts w:ascii="Times New Roman" w:eastAsia="Times New Roman" w:hAnsi="Times New Roman" w:cs="Times New Roman"/>
          <w:b/>
          <w:bCs/>
          <w:sz w:val="20"/>
          <w:szCs w:val="20"/>
          <w:lang w:val="es-ES"/>
        </w:rPr>
        <w:t xml:space="preserve">Remisión de respuestas pendientes de las audiencias de examen </w:t>
      </w:r>
      <w:proofErr w:type="spellStart"/>
      <w:r>
        <w:rPr>
          <w:rFonts w:ascii="Times New Roman" w:eastAsia="Times New Roman" w:hAnsi="Times New Roman" w:cs="Times New Roman"/>
          <w:b/>
          <w:bCs/>
          <w:sz w:val="20"/>
          <w:szCs w:val="20"/>
          <w:lang w:val="es-ES"/>
        </w:rPr>
        <w:t>de</w:t>
      </w:r>
      <w:r w:rsidR="0052046E">
        <w:rPr>
          <w:rFonts w:ascii="Times New Roman" w:eastAsia="Times New Roman" w:hAnsi="Times New Roman" w:cs="Times New Roman"/>
          <w:b/>
          <w:bCs/>
          <w:sz w:val="20"/>
          <w:szCs w:val="20"/>
          <w:lang w:val="es-ES"/>
        </w:rPr>
        <w:t>l</w:t>
      </w:r>
      <w:proofErr w:type="spellEnd"/>
      <w:r w:rsidR="0052046E">
        <w:rPr>
          <w:rFonts w:ascii="Times New Roman" w:eastAsia="Times New Roman" w:hAnsi="Times New Roman" w:cs="Times New Roman"/>
          <w:b/>
          <w:bCs/>
          <w:sz w:val="20"/>
          <w:szCs w:val="20"/>
          <w:lang w:val="es-ES"/>
        </w:rPr>
        <w:t xml:space="preserve"> Comité de Seguimiento a la CRPD a</w:t>
      </w:r>
      <w:r>
        <w:rPr>
          <w:rFonts w:ascii="Times New Roman" w:eastAsia="Times New Roman" w:hAnsi="Times New Roman" w:cs="Times New Roman"/>
          <w:b/>
          <w:bCs/>
          <w:sz w:val="20"/>
          <w:szCs w:val="20"/>
          <w:lang w:val="es-ES"/>
        </w:rPr>
        <w:t xml:space="preserve"> la República Argentina de los días 15 y 16 de marzo de 2023</w:t>
      </w:r>
    </w:p>
    <w:p w14:paraId="359393A9" w14:textId="00460792" w:rsidR="007D06E1" w:rsidRPr="007D06E1" w:rsidRDefault="007D06E1" w:rsidP="007D06E1">
      <w:pPr>
        <w:shd w:val="clear" w:color="auto" w:fill="FFFFFF"/>
        <w:spacing w:line="330" w:lineRule="atLeast"/>
        <w:jc w:val="both"/>
        <w:rPr>
          <w:rFonts w:ascii="Times New Roman" w:eastAsia="Times New Roman" w:hAnsi="Times New Roman" w:cs="Times New Roman"/>
          <w:sz w:val="20"/>
          <w:szCs w:val="20"/>
        </w:rPr>
      </w:pPr>
      <w:r w:rsidRPr="008F5AA6">
        <w:rPr>
          <w:rFonts w:ascii="Times New Roman" w:eastAsia="Times New Roman" w:hAnsi="Times New Roman" w:cs="Times New Roman"/>
          <w:b/>
          <w:bCs/>
          <w:sz w:val="20"/>
          <w:szCs w:val="20"/>
          <w:lang w:val="es-ES"/>
        </w:rPr>
        <w:t xml:space="preserve">Artículo 4.3 con relación al Artículo 29 - </w:t>
      </w:r>
      <w:r w:rsidRPr="007D06E1">
        <w:rPr>
          <w:rFonts w:ascii="Times New Roman" w:eastAsia="Times New Roman" w:hAnsi="Times New Roman" w:cs="Times New Roman"/>
          <w:b/>
          <w:bCs/>
          <w:sz w:val="20"/>
          <w:szCs w:val="20"/>
          <w:lang w:val="es-ES"/>
        </w:rPr>
        <w:t>Participación de la Sociedad Civil</w:t>
      </w:r>
    </w:p>
    <w:p w14:paraId="79948E03" w14:textId="77777777" w:rsidR="007D06E1" w:rsidRPr="007D06E1" w:rsidRDefault="007D06E1" w:rsidP="007D06E1">
      <w:pPr>
        <w:shd w:val="clear" w:color="auto" w:fill="FFFFFF"/>
        <w:spacing w:line="330" w:lineRule="atLeast"/>
        <w:jc w:val="both"/>
        <w:rPr>
          <w:rFonts w:ascii="Times New Roman" w:eastAsia="Times New Roman" w:hAnsi="Times New Roman" w:cs="Times New Roman"/>
          <w:sz w:val="20"/>
          <w:szCs w:val="20"/>
        </w:rPr>
      </w:pPr>
      <w:r w:rsidRPr="007D06E1">
        <w:rPr>
          <w:rFonts w:ascii="Times New Roman" w:eastAsia="Times New Roman" w:hAnsi="Times New Roman" w:cs="Times New Roman"/>
          <w:sz w:val="20"/>
          <w:szCs w:val="20"/>
          <w:lang w:val="es-ES"/>
        </w:rPr>
        <w:t>En cuanto a la adopción de medidas para apoyar el trabajo y la participación de la sociedad civil, se destacan:</w:t>
      </w:r>
    </w:p>
    <w:p w14:paraId="00DCE723" w14:textId="7210A1DB" w:rsidR="007D06E1" w:rsidRPr="008F5AA6" w:rsidRDefault="007D06E1" w:rsidP="00C96A72">
      <w:pPr>
        <w:pStyle w:val="Prrafodelista"/>
        <w:numPr>
          <w:ilvl w:val="0"/>
          <w:numId w:val="3"/>
        </w:numPr>
        <w:shd w:val="clear" w:color="auto" w:fill="FFFFFF"/>
        <w:spacing w:line="330" w:lineRule="atLeast"/>
        <w:jc w:val="both"/>
        <w:rPr>
          <w:rFonts w:ascii="Times New Roman" w:eastAsia="Times New Roman" w:hAnsi="Times New Roman" w:cs="Times New Roman"/>
          <w:sz w:val="20"/>
          <w:szCs w:val="20"/>
        </w:rPr>
      </w:pPr>
      <w:r w:rsidRPr="008F5AA6">
        <w:rPr>
          <w:rFonts w:ascii="Times New Roman" w:eastAsia="Times New Roman" w:hAnsi="Times New Roman" w:cs="Times New Roman"/>
          <w:sz w:val="20"/>
          <w:szCs w:val="20"/>
          <w:lang w:val="es-ES"/>
        </w:rPr>
        <w:t>Creación de la Mesa Federal de Diálogo y Participación de la Sociedad Civil, compuesto por representantes de organizaciones no gubernamentales de o para PCD de cada provincia del país, y por representantes de federaciones y/u organizaciones con representatividad nacional. Esta Mesa Federal se instituyó como un espacio de consulta, participación activa, cooperación y diálogo entre el Estado y la sociedad civil, para nutrir la planificación de las políticas públicas en discapacidad (Resolución ANDIS 1443/2021).</w:t>
      </w:r>
      <w:r w:rsidR="00C96A72" w:rsidRPr="008F5AA6">
        <w:rPr>
          <w:rFonts w:ascii="Times New Roman" w:eastAsia="Times New Roman" w:hAnsi="Times New Roman" w:cs="Times New Roman"/>
          <w:sz w:val="20"/>
          <w:szCs w:val="20"/>
          <w:lang w:val="es-ES"/>
        </w:rPr>
        <w:t xml:space="preserve"> </w:t>
      </w:r>
      <w:r w:rsidRPr="008F5AA6">
        <w:rPr>
          <w:rFonts w:ascii="Times New Roman" w:eastAsia="Times New Roman" w:hAnsi="Times New Roman" w:cs="Times New Roman"/>
          <w:sz w:val="20"/>
          <w:szCs w:val="20"/>
          <w:lang w:val="es-ES"/>
        </w:rPr>
        <w:t>Su creación viene a jerarquizar el espacio de participación con el que cuenta la Sociedad Civil, y se ubica como complemento y robustecimiento a las instancias ya existentes como lo es el Comité Asesor, el cual está integrado por organizaciones no gubernamentales de y para PCD.</w:t>
      </w:r>
    </w:p>
    <w:p w14:paraId="359BDFD0" w14:textId="1BFCCC1E" w:rsidR="007D06E1" w:rsidRPr="008F5AA6" w:rsidRDefault="007D06E1" w:rsidP="007D06E1">
      <w:pPr>
        <w:pStyle w:val="Prrafodelista"/>
        <w:numPr>
          <w:ilvl w:val="0"/>
          <w:numId w:val="3"/>
        </w:numPr>
        <w:shd w:val="clear" w:color="auto" w:fill="FFFFFF"/>
        <w:spacing w:line="330" w:lineRule="atLeast"/>
        <w:jc w:val="both"/>
        <w:rPr>
          <w:rFonts w:ascii="Times New Roman" w:eastAsia="Times New Roman" w:hAnsi="Times New Roman" w:cs="Times New Roman"/>
          <w:sz w:val="20"/>
          <w:szCs w:val="20"/>
        </w:rPr>
      </w:pPr>
      <w:r w:rsidRPr="008F5AA6">
        <w:rPr>
          <w:rFonts w:ascii="Times New Roman" w:eastAsia="Times New Roman" w:hAnsi="Times New Roman" w:cs="Times New Roman"/>
          <w:sz w:val="20"/>
          <w:szCs w:val="20"/>
          <w:lang w:val="es-ES"/>
        </w:rPr>
        <w:t xml:space="preserve">Con el propósito de generar un espacio de vinculación y fortalecer la participación de la sociedad en la construcción de políticas públicas en los términos planteados por la Observación General </w:t>
      </w:r>
      <w:proofErr w:type="spellStart"/>
      <w:r w:rsidRPr="008F5AA6">
        <w:rPr>
          <w:rFonts w:ascii="Times New Roman" w:eastAsia="Times New Roman" w:hAnsi="Times New Roman" w:cs="Times New Roman"/>
          <w:sz w:val="20"/>
          <w:szCs w:val="20"/>
          <w:lang w:val="es-ES"/>
        </w:rPr>
        <w:t>N°</w:t>
      </w:r>
      <w:proofErr w:type="spellEnd"/>
      <w:r w:rsidRPr="008F5AA6">
        <w:rPr>
          <w:rFonts w:ascii="Times New Roman" w:eastAsia="Times New Roman" w:hAnsi="Times New Roman" w:cs="Times New Roman"/>
          <w:sz w:val="20"/>
          <w:szCs w:val="20"/>
          <w:lang w:val="es-ES"/>
        </w:rPr>
        <w:t xml:space="preserve"> 7 del Comité, ANDIS creó el Registro de Organizaciones de la Sociedad Civil que permite sistematizar los datos registrales y optimizar la difusión de los programas y acciones que se llevan adelante en la materia. Se han inscripto 473 organizaciones desde la apertura del formulario de inscripción.</w:t>
      </w:r>
    </w:p>
    <w:p w14:paraId="37E60DF3" w14:textId="4C2F6EE5" w:rsidR="007D06E1" w:rsidRPr="008F5AA6" w:rsidRDefault="007D06E1" w:rsidP="007D06E1">
      <w:pPr>
        <w:pStyle w:val="Prrafodelista"/>
        <w:numPr>
          <w:ilvl w:val="0"/>
          <w:numId w:val="3"/>
        </w:numPr>
        <w:shd w:val="clear" w:color="auto" w:fill="FFFFFF"/>
        <w:spacing w:line="330" w:lineRule="atLeast"/>
        <w:jc w:val="both"/>
        <w:rPr>
          <w:rFonts w:ascii="Times New Roman" w:eastAsia="Times New Roman" w:hAnsi="Times New Roman" w:cs="Times New Roman"/>
          <w:sz w:val="20"/>
          <w:szCs w:val="20"/>
        </w:rPr>
      </w:pPr>
      <w:r w:rsidRPr="008F5AA6">
        <w:rPr>
          <w:rFonts w:ascii="Times New Roman" w:eastAsia="Times New Roman" w:hAnsi="Times New Roman" w:cs="Times New Roman"/>
          <w:sz w:val="20"/>
          <w:szCs w:val="20"/>
          <w:lang w:val="es-ES"/>
        </w:rPr>
        <w:t>En 2022, ANDIS en conjunto con la Dirección de Derechos Humanos del Ministerio de Relaciones Exteriores, Comercio Internacional y Culto, realizó una convocatoria abierta a la sociedad civil para la presentación de candidaturas para cubrir la vacante de primer representante suplente de Argentina ante el Comité para la Eliminación de Todas las Formas de Discriminación contra las Personas con Discapacidad de la OEA (CEDDIS). Ello, mediante un mecanismo de selección abierto que constó con diversas instancias de participación, que implicaron un proceso de selección que involucró activamente a las organizaciones de la sociedad civil.</w:t>
      </w:r>
    </w:p>
    <w:p w14:paraId="0FB1EAFD" w14:textId="52BE126B" w:rsidR="007D06E1" w:rsidRPr="008F5AA6" w:rsidRDefault="007D06E1" w:rsidP="007D06E1">
      <w:pPr>
        <w:pStyle w:val="Prrafodelista"/>
        <w:numPr>
          <w:ilvl w:val="0"/>
          <w:numId w:val="3"/>
        </w:numPr>
        <w:shd w:val="clear" w:color="auto" w:fill="FFFFFF"/>
        <w:spacing w:line="330" w:lineRule="atLeast"/>
        <w:jc w:val="both"/>
        <w:rPr>
          <w:rFonts w:ascii="Times New Roman" w:eastAsia="Times New Roman" w:hAnsi="Times New Roman" w:cs="Times New Roman"/>
          <w:sz w:val="20"/>
          <w:szCs w:val="20"/>
        </w:rPr>
      </w:pPr>
      <w:r w:rsidRPr="008F5AA6">
        <w:rPr>
          <w:rFonts w:ascii="Times New Roman" w:eastAsia="Times New Roman" w:hAnsi="Times New Roman" w:cs="Times New Roman"/>
          <w:sz w:val="20"/>
          <w:szCs w:val="20"/>
          <w:lang w:val="es-ES"/>
        </w:rPr>
        <w:t xml:space="preserve">El Órgano Nacional de Revisión de Salud Mental (ONR), creado mediante la Ley Nacional de Salud Mental </w:t>
      </w:r>
      <w:proofErr w:type="spellStart"/>
      <w:r w:rsidRPr="008F5AA6">
        <w:rPr>
          <w:rFonts w:ascii="Times New Roman" w:eastAsia="Times New Roman" w:hAnsi="Times New Roman" w:cs="Times New Roman"/>
          <w:sz w:val="20"/>
          <w:szCs w:val="20"/>
          <w:lang w:val="es-ES"/>
        </w:rPr>
        <w:t>N°</w:t>
      </w:r>
      <w:proofErr w:type="spellEnd"/>
      <w:r w:rsidRPr="008F5AA6">
        <w:rPr>
          <w:rFonts w:ascii="Times New Roman" w:eastAsia="Times New Roman" w:hAnsi="Times New Roman" w:cs="Times New Roman"/>
          <w:sz w:val="20"/>
          <w:szCs w:val="20"/>
          <w:lang w:val="es-ES"/>
        </w:rPr>
        <w:t xml:space="preserve"> 26.657, actualmente en la órbita del Ministerio Público de la Defensa de la República Argentina, es la entidad específica de protección de los derechos humanos de los usuarios de servicios de salud mental, que en su estructura compositiva ampara la participación de la Sociedad Civil. Ello, al igual que el Consejo Consultivo Honorario de Salud Mental.</w:t>
      </w:r>
    </w:p>
    <w:p w14:paraId="2B2E9840" w14:textId="5B7DE014" w:rsidR="007D06E1" w:rsidRPr="008F5AA6" w:rsidRDefault="007D06E1" w:rsidP="008F5AA6">
      <w:pPr>
        <w:shd w:val="clear" w:color="auto" w:fill="FFFFFF"/>
        <w:spacing w:line="330" w:lineRule="atLeast"/>
        <w:jc w:val="both"/>
        <w:rPr>
          <w:rFonts w:ascii="Times New Roman" w:eastAsia="Times New Roman" w:hAnsi="Times New Roman" w:cs="Times New Roman"/>
          <w:sz w:val="20"/>
          <w:szCs w:val="20"/>
        </w:rPr>
      </w:pPr>
      <w:r w:rsidRPr="007D06E1">
        <w:rPr>
          <w:rFonts w:ascii="Times New Roman" w:eastAsia="Times New Roman" w:hAnsi="Times New Roman" w:cs="Times New Roman"/>
          <w:sz w:val="20"/>
          <w:szCs w:val="20"/>
          <w:lang w:val="es-ES"/>
        </w:rPr>
        <w:t xml:space="preserve">Para mayor información sobre lo expuesto, referirse a los párrafos </w:t>
      </w:r>
      <w:r w:rsidR="00C96A72" w:rsidRPr="008F5AA6">
        <w:rPr>
          <w:rFonts w:ascii="Times New Roman" w:eastAsia="Times New Roman" w:hAnsi="Times New Roman" w:cs="Times New Roman"/>
          <w:sz w:val="20"/>
          <w:szCs w:val="20"/>
          <w:lang w:val="es-ES"/>
        </w:rPr>
        <w:t>105 a</w:t>
      </w:r>
      <w:r w:rsidR="009329B0" w:rsidRPr="008F5AA6">
        <w:rPr>
          <w:rFonts w:ascii="Times New Roman" w:eastAsia="Times New Roman" w:hAnsi="Times New Roman" w:cs="Times New Roman"/>
          <w:sz w:val="20"/>
          <w:szCs w:val="20"/>
          <w:lang w:val="es-ES"/>
        </w:rPr>
        <w:t xml:space="preserve"> 123,</w:t>
      </w:r>
      <w:r w:rsidR="00C96A72" w:rsidRPr="008F5AA6">
        <w:rPr>
          <w:rFonts w:ascii="Times New Roman" w:eastAsia="Times New Roman" w:hAnsi="Times New Roman" w:cs="Times New Roman"/>
          <w:sz w:val="20"/>
          <w:szCs w:val="20"/>
          <w:lang w:val="es-ES"/>
        </w:rPr>
        <w:t xml:space="preserve"> </w:t>
      </w:r>
      <w:r w:rsidRPr="007D06E1">
        <w:rPr>
          <w:rFonts w:ascii="Times New Roman" w:eastAsia="Times New Roman" w:hAnsi="Times New Roman" w:cs="Times New Roman"/>
          <w:sz w:val="20"/>
          <w:szCs w:val="20"/>
          <w:lang w:val="es-ES"/>
        </w:rPr>
        <w:t>182</w:t>
      </w:r>
      <w:r w:rsidR="00C96A72" w:rsidRPr="008F5AA6">
        <w:rPr>
          <w:rFonts w:ascii="Times New Roman" w:eastAsia="Times New Roman" w:hAnsi="Times New Roman" w:cs="Times New Roman"/>
          <w:sz w:val="20"/>
          <w:szCs w:val="20"/>
          <w:lang w:val="es-ES"/>
        </w:rPr>
        <w:t xml:space="preserve"> a </w:t>
      </w:r>
      <w:r w:rsidRPr="007D06E1">
        <w:rPr>
          <w:rFonts w:ascii="Times New Roman" w:eastAsia="Times New Roman" w:hAnsi="Times New Roman" w:cs="Times New Roman"/>
          <w:sz w:val="20"/>
          <w:szCs w:val="20"/>
          <w:lang w:val="es-ES"/>
        </w:rPr>
        <w:t>187 del Informe de Actualización Argentino 2023.</w:t>
      </w:r>
    </w:p>
    <w:p w14:paraId="0000000C" w14:textId="179A3421" w:rsidR="00A00F16" w:rsidRPr="008F5AA6" w:rsidRDefault="00184394" w:rsidP="00886593">
      <w:pPr>
        <w:spacing w:line="276" w:lineRule="auto"/>
        <w:jc w:val="both"/>
        <w:rPr>
          <w:rFonts w:ascii="Times New Roman" w:hAnsi="Times New Roman" w:cs="Times New Roman"/>
          <w:b/>
          <w:bCs/>
          <w:sz w:val="20"/>
          <w:szCs w:val="20"/>
        </w:rPr>
      </w:pPr>
      <w:r w:rsidRPr="008F5AA6">
        <w:rPr>
          <w:rFonts w:ascii="Times New Roman" w:hAnsi="Times New Roman" w:cs="Times New Roman"/>
          <w:b/>
          <w:bCs/>
          <w:sz w:val="20"/>
          <w:szCs w:val="20"/>
        </w:rPr>
        <w:t xml:space="preserve">Artículo 6 - </w:t>
      </w:r>
      <w:r w:rsidR="00000000" w:rsidRPr="008F5AA6">
        <w:rPr>
          <w:rFonts w:ascii="Times New Roman" w:hAnsi="Times New Roman" w:cs="Times New Roman"/>
          <w:b/>
          <w:bCs/>
          <w:sz w:val="20"/>
          <w:szCs w:val="20"/>
        </w:rPr>
        <w:t>L</w:t>
      </w:r>
      <w:r w:rsidR="008F5AA6" w:rsidRPr="008F5AA6">
        <w:rPr>
          <w:rFonts w:ascii="Times New Roman" w:hAnsi="Times New Roman" w:cs="Times New Roman"/>
          <w:b/>
          <w:bCs/>
          <w:sz w:val="20"/>
          <w:szCs w:val="20"/>
        </w:rPr>
        <w:t>í</w:t>
      </w:r>
      <w:r w:rsidR="00000000" w:rsidRPr="008F5AA6">
        <w:rPr>
          <w:rFonts w:ascii="Times New Roman" w:hAnsi="Times New Roman" w:cs="Times New Roman"/>
          <w:b/>
          <w:bCs/>
          <w:sz w:val="20"/>
          <w:szCs w:val="20"/>
        </w:rPr>
        <w:t>nea 144: estado de situación de las más de denuncias de mujeres y LGBTIQ+ con discapacidad</w:t>
      </w:r>
    </w:p>
    <w:p w14:paraId="5F929BEC" w14:textId="7B90038C" w:rsidR="00577918" w:rsidRPr="008F5AA6" w:rsidRDefault="00577918"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Si bien la línea 144 no toma denuncias por tratarse de una línea de contención y asesoramiento a mujeres y LGBTI+ en situación de violencia de género, del total de </w:t>
      </w:r>
      <w:r w:rsidR="000034B7" w:rsidRPr="008F5AA6">
        <w:rPr>
          <w:rFonts w:ascii="Times New Roman" w:hAnsi="Times New Roman" w:cs="Times New Roman"/>
          <w:sz w:val="20"/>
          <w:szCs w:val="20"/>
        </w:rPr>
        <w:t xml:space="preserve">situaciones abordadas </w:t>
      </w:r>
      <w:r w:rsidR="00940CD3" w:rsidRPr="008F5AA6">
        <w:rPr>
          <w:rFonts w:ascii="Times New Roman" w:hAnsi="Times New Roman" w:cs="Times New Roman"/>
          <w:sz w:val="20"/>
          <w:szCs w:val="20"/>
        </w:rPr>
        <w:t>entre 2020 y 2022 (346.978 casos), 79.565 f</w:t>
      </w:r>
      <w:r w:rsidR="00940CD3" w:rsidRPr="008F5AA6">
        <w:rPr>
          <w:rFonts w:ascii="Times New Roman" w:hAnsi="Times New Roman" w:cs="Times New Roman"/>
          <w:sz w:val="20"/>
          <w:szCs w:val="20"/>
        </w:rPr>
        <w:t>ueron derivadas a distintos canales de asistencia para su seguimiento (intervenciones)</w:t>
      </w:r>
      <w:r w:rsidR="00940CD3" w:rsidRPr="008F5AA6">
        <w:rPr>
          <w:rFonts w:ascii="Times New Roman" w:hAnsi="Times New Roman" w:cs="Times New Roman"/>
          <w:sz w:val="20"/>
          <w:szCs w:val="20"/>
        </w:rPr>
        <w:t xml:space="preserve">. </w:t>
      </w:r>
    </w:p>
    <w:p w14:paraId="4931F168" w14:textId="6F99373B" w:rsidR="00577918" w:rsidRPr="008F5AA6" w:rsidRDefault="00940CD3"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lastRenderedPageBreak/>
        <w:t>Del total de casos derivados, el 2,4% corresponde a mujeres y LGBTI+ con discapacidad (1.912 personas).</w:t>
      </w:r>
      <w:r w:rsidR="00903F8C" w:rsidRPr="008F5AA6">
        <w:rPr>
          <w:rFonts w:ascii="Times New Roman" w:hAnsi="Times New Roman" w:cs="Times New Roman"/>
          <w:sz w:val="20"/>
          <w:szCs w:val="20"/>
        </w:rPr>
        <w:t xml:space="preserve"> Para mayor detalle estadístico, pueden consultarse los anuarios públicos de la línea en </w:t>
      </w:r>
      <w:hyperlink r:id="rId5" w:history="1">
        <w:r w:rsidR="00903F8C" w:rsidRPr="008F5AA6">
          <w:rPr>
            <w:rStyle w:val="Hipervnculo"/>
            <w:rFonts w:ascii="Times New Roman" w:hAnsi="Times New Roman" w:cs="Times New Roman"/>
            <w:color w:val="auto"/>
            <w:sz w:val="20"/>
            <w:szCs w:val="20"/>
          </w:rPr>
          <w:t>https://www.argentina.gob.ar/generos/linea-144/informacion-estadistica</w:t>
        </w:r>
      </w:hyperlink>
      <w:r w:rsidR="00903F8C" w:rsidRPr="008F5AA6">
        <w:rPr>
          <w:rFonts w:ascii="Times New Roman" w:hAnsi="Times New Roman" w:cs="Times New Roman"/>
          <w:sz w:val="20"/>
          <w:szCs w:val="20"/>
        </w:rPr>
        <w:t>.</w:t>
      </w:r>
    </w:p>
    <w:p w14:paraId="63E8C453" w14:textId="203AEEB5" w:rsidR="0058284B" w:rsidRDefault="0058284B"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Entre los próximos desafíos del Estado Argentino se encuentra el de sistematizar un mecanismo de seguimiento consolidado de estas situaciones </w:t>
      </w:r>
      <w:r w:rsidR="00A54EBF" w:rsidRPr="008F5AA6">
        <w:rPr>
          <w:rFonts w:ascii="Times New Roman" w:hAnsi="Times New Roman" w:cs="Times New Roman"/>
          <w:sz w:val="20"/>
          <w:szCs w:val="20"/>
        </w:rPr>
        <w:t>de intervención,</w:t>
      </w:r>
      <w:r w:rsidRPr="008F5AA6">
        <w:rPr>
          <w:rFonts w:ascii="Times New Roman" w:hAnsi="Times New Roman" w:cs="Times New Roman"/>
          <w:sz w:val="20"/>
          <w:szCs w:val="20"/>
        </w:rPr>
        <w:t xml:space="preserve"> mediante los diferentes dispositivos de abordaje territorial. </w:t>
      </w:r>
    </w:p>
    <w:p w14:paraId="4475671F" w14:textId="77777777" w:rsidR="0038126F" w:rsidRPr="008F5AA6" w:rsidRDefault="0038126F" w:rsidP="0038126F">
      <w:pPr>
        <w:shd w:val="clear" w:color="auto" w:fill="FFFFFF"/>
        <w:spacing w:line="253" w:lineRule="atLeast"/>
        <w:jc w:val="both"/>
        <w:rPr>
          <w:rFonts w:ascii="Times New Roman" w:eastAsia="Times New Roman" w:hAnsi="Times New Roman" w:cs="Times New Roman"/>
          <w:b/>
          <w:bCs/>
          <w:sz w:val="20"/>
          <w:szCs w:val="20"/>
        </w:rPr>
      </w:pPr>
      <w:r w:rsidRPr="008F5AA6">
        <w:rPr>
          <w:rFonts w:ascii="Times New Roman" w:eastAsia="Times New Roman" w:hAnsi="Times New Roman" w:cs="Times New Roman"/>
          <w:b/>
          <w:bCs/>
          <w:sz w:val="20"/>
          <w:szCs w:val="20"/>
        </w:rPr>
        <w:t xml:space="preserve">Artículo 7 - </w:t>
      </w:r>
      <w:r w:rsidRPr="00184394">
        <w:rPr>
          <w:rFonts w:ascii="Times New Roman" w:eastAsia="Times New Roman" w:hAnsi="Times New Roman" w:cs="Times New Roman"/>
          <w:b/>
          <w:bCs/>
          <w:sz w:val="20"/>
          <w:szCs w:val="20"/>
        </w:rPr>
        <w:t xml:space="preserve">Plan </w:t>
      </w:r>
      <w:r w:rsidRPr="008F5AA6">
        <w:rPr>
          <w:rFonts w:ascii="Times New Roman" w:eastAsia="Times New Roman" w:hAnsi="Times New Roman" w:cs="Times New Roman"/>
          <w:b/>
          <w:bCs/>
          <w:sz w:val="20"/>
          <w:szCs w:val="20"/>
        </w:rPr>
        <w:t xml:space="preserve">de los </w:t>
      </w:r>
      <w:r w:rsidRPr="00184394">
        <w:rPr>
          <w:rFonts w:ascii="Times New Roman" w:eastAsia="Times New Roman" w:hAnsi="Times New Roman" w:cs="Times New Roman"/>
          <w:b/>
          <w:bCs/>
          <w:sz w:val="20"/>
          <w:szCs w:val="20"/>
        </w:rPr>
        <w:t>1000 días</w:t>
      </w:r>
    </w:p>
    <w:p w14:paraId="6701F14B" w14:textId="77777777" w:rsidR="0038126F" w:rsidRPr="00184394" w:rsidRDefault="0038126F" w:rsidP="0038126F">
      <w:pPr>
        <w:shd w:val="clear" w:color="auto" w:fill="FFFFFF"/>
        <w:spacing w:line="253" w:lineRule="atLeast"/>
        <w:jc w:val="both"/>
        <w:rPr>
          <w:rFonts w:ascii="Times New Roman" w:eastAsia="Times New Roman" w:hAnsi="Times New Roman" w:cs="Times New Roman"/>
          <w:sz w:val="20"/>
          <w:szCs w:val="20"/>
        </w:rPr>
      </w:pPr>
      <w:r w:rsidRPr="00184394">
        <w:rPr>
          <w:rFonts w:ascii="Times New Roman" w:eastAsia="Times New Roman" w:hAnsi="Times New Roman" w:cs="Times New Roman"/>
          <w:sz w:val="20"/>
          <w:szCs w:val="20"/>
        </w:rPr>
        <w:t xml:space="preserve">Es una política estratégica del Estado Nacional que tiene como objetivo la atención y cuidado integral de la salud durante el embarazo y la primera infancia, atendiendo principalmente las áreas de desarrollo infantil, nutrición y lactancia, parto respetado, </w:t>
      </w:r>
      <w:proofErr w:type="spellStart"/>
      <w:r w:rsidRPr="00184394">
        <w:rPr>
          <w:rFonts w:ascii="Times New Roman" w:eastAsia="Times New Roman" w:hAnsi="Times New Roman" w:cs="Times New Roman"/>
          <w:sz w:val="20"/>
          <w:szCs w:val="20"/>
        </w:rPr>
        <w:t>prematurez</w:t>
      </w:r>
      <w:proofErr w:type="spellEnd"/>
      <w:r w:rsidRPr="00184394">
        <w:rPr>
          <w:rFonts w:ascii="Times New Roman" w:eastAsia="Times New Roman" w:hAnsi="Times New Roman" w:cs="Times New Roman"/>
          <w:sz w:val="20"/>
          <w:szCs w:val="20"/>
        </w:rPr>
        <w:t>, acompañamiento territorial en desarrollo comunitario.</w:t>
      </w:r>
    </w:p>
    <w:p w14:paraId="5092ACB4" w14:textId="77777777" w:rsidR="0038126F" w:rsidRPr="00184394" w:rsidRDefault="0038126F" w:rsidP="0038126F">
      <w:pPr>
        <w:shd w:val="clear" w:color="auto" w:fill="FFFFFF"/>
        <w:spacing w:line="253" w:lineRule="atLeast"/>
        <w:jc w:val="both"/>
        <w:rPr>
          <w:rFonts w:ascii="Times New Roman" w:eastAsia="Times New Roman" w:hAnsi="Times New Roman" w:cs="Times New Roman"/>
          <w:sz w:val="20"/>
          <w:szCs w:val="20"/>
        </w:rPr>
      </w:pPr>
      <w:r w:rsidRPr="00184394">
        <w:rPr>
          <w:rFonts w:ascii="Times New Roman" w:eastAsia="Times New Roman" w:hAnsi="Times New Roman" w:cs="Times New Roman"/>
          <w:sz w:val="20"/>
          <w:szCs w:val="20"/>
        </w:rPr>
        <w:t>En la implementación del Plan se desarrollan estrategias multisectoriales de desarrollo comunitario, incorporación de la perspectiva a nivel interministerial, capacitaciones para intervenciones en cuidados de la gestación y los primeros 3 años de vida de niños y niñas.</w:t>
      </w:r>
    </w:p>
    <w:p w14:paraId="25F842CB" w14:textId="77777777" w:rsidR="0038126F" w:rsidRPr="00184394" w:rsidRDefault="0038126F" w:rsidP="0038126F">
      <w:pPr>
        <w:shd w:val="clear" w:color="auto" w:fill="FFFFFF"/>
        <w:spacing w:line="253" w:lineRule="atLeast"/>
        <w:jc w:val="both"/>
        <w:rPr>
          <w:rFonts w:ascii="Times New Roman" w:eastAsia="Times New Roman" w:hAnsi="Times New Roman" w:cs="Times New Roman"/>
          <w:sz w:val="20"/>
          <w:szCs w:val="20"/>
        </w:rPr>
      </w:pPr>
      <w:r w:rsidRPr="00184394">
        <w:rPr>
          <w:rFonts w:ascii="Times New Roman" w:eastAsia="Times New Roman" w:hAnsi="Times New Roman" w:cs="Times New Roman"/>
          <w:sz w:val="20"/>
          <w:szCs w:val="20"/>
        </w:rPr>
        <w:t>Se ha registrado una población alcanzada de 742 personas a través de talleres en territorio y seguimiento de casos individuales.</w:t>
      </w:r>
    </w:p>
    <w:p w14:paraId="0FE44D47" w14:textId="0011DE19" w:rsidR="0038126F" w:rsidRPr="0038126F" w:rsidRDefault="0038126F" w:rsidP="0038126F">
      <w:pPr>
        <w:shd w:val="clear" w:color="auto" w:fill="FFFFFF"/>
        <w:spacing w:line="253" w:lineRule="atLeast"/>
        <w:jc w:val="both"/>
        <w:rPr>
          <w:rFonts w:ascii="Times New Roman" w:eastAsia="Times New Roman" w:hAnsi="Times New Roman" w:cs="Times New Roman"/>
          <w:sz w:val="20"/>
          <w:szCs w:val="20"/>
        </w:rPr>
      </w:pPr>
      <w:r w:rsidRPr="00184394">
        <w:rPr>
          <w:rFonts w:ascii="Times New Roman" w:eastAsia="Times New Roman" w:hAnsi="Times New Roman" w:cs="Times New Roman"/>
          <w:sz w:val="20"/>
          <w:szCs w:val="20"/>
        </w:rPr>
        <w:t>El Plan 1000 días no prevé el otorgamiento de asignaciones económicas directas para las personas beneficiarias y no presenta incompatibilidades con las pensiones no contributivas</w:t>
      </w:r>
      <w:r>
        <w:rPr>
          <w:rFonts w:ascii="Times New Roman" w:eastAsia="Times New Roman" w:hAnsi="Times New Roman" w:cs="Times New Roman"/>
          <w:sz w:val="20"/>
          <w:szCs w:val="20"/>
        </w:rPr>
        <w:t>.</w:t>
      </w:r>
    </w:p>
    <w:p w14:paraId="5221F279" w14:textId="77777777" w:rsidR="00184394" w:rsidRPr="008F5AA6" w:rsidRDefault="00184394" w:rsidP="00886593">
      <w:pPr>
        <w:spacing w:line="276" w:lineRule="auto"/>
        <w:jc w:val="both"/>
        <w:rPr>
          <w:rFonts w:ascii="Times New Roman" w:hAnsi="Times New Roman" w:cs="Times New Roman"/>
          <w:b/>
          <w:bCs/>
          <w:sz w:val="20"/>
          <w:szCs w:val="20"/>
        </w:rPr>
      </w:pPr>
      <w:r w:rsidRPr="008F5AA6">
        <w:rPr>
          <w:rFonts w:ascii="Times New Roman" w:hAnsi="Times New Roman" w:cs="Times New Roman"/>
          <w:b/>
          <w:bCs/>
          <w:sz w:val="20"/>
          <w:szCs w:val="20"/>
        </w:rPr>
        <w:t xml:space="preserve">Artículo 19 - </w:t>
      </w:r>
      <w:r w:rsidR="00000000" w:rsidRPr="008F5AA6">
        <w:rPr>
          <w:rFonts w:ascii="Times New Roman" w:hAnsi="Times New Roman" w:cs="Times New Roman"/>
          <w:b/>
          <w:bCs/>
          <w:sz w:val="20"/>
          <w:szCs w:val="20"/>
        </w:rPr>
        <w:t xml:space="preserve">Reglamentación </w:t>
      </w:r>
      <w:r w:rsidR="004320E6" w:rsidRPr="008F5AA6">
        <w:rPr>
          <w:rFonts w:ascii="Times New Roman" w:hAnsi="Times New Roman" w:cs="Times New Roman"/>
          <w:b/>
          <w:bCs/>
          <w:sz w:val="20"/>
          <w:szCs w:val="20"/>
        </w:rPr>
        <w:t xml:space="preserve">de la figura de “asistente domiciliario” a propósito de la </w:t>
      </w:r>
      <w:r w:rsidR="00000000" w:rsidRPr="008F5AA6">
        <w:rPr>
          <w:rFonts w:ascii="Times New Roman" w:hAnsi="Times New Roman" w:cs="Times New Roman"/>
          <w:b/>
          <w:bCs/>
          <w:sz w:val="20"/>
          <w:szCs w:val="20"/>
        </w:rPr>
        <w:t>Ley 26.480</w:t>
      </w:r>
    </w:p>
    <w:p w14:paraId="00000015" w14:textId="684C4C8F" w:rsidR="00A00F16" w:rsidRPr="008F5AA6" w:rsidRDefault="004320E6"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Si bien la ley no</w:t>
      </w:r>
      <w:r w:rsidR="00000000" w:rsidRPr="008F5AA6">
        <w:rPr>
          <w:rFonts w:ascii="Times New Roman" w:hAnsi="Times New Roman" w:cs="Times New Roman"/>
          <w:sz w:val="20"/>
          <w:szCs w:val="20"/>
        </w:rPr>
        <w:t xml:space="preserve"> se encuentra reglamentada, el anteproyecto de </w:t>
      </w:r>
      <w:r w:rsidR="00783DAB" w:rsidRPr="008F5AA6">
        <w:rPr>
          <w:rFonts w:ascii="Times New Roman" w:hAnsi="Times New Roman" w:cs="Times New Roman"/>
          <w:sz w:val="20"/>
          <w:szCs w:val="20"/>
        </w:rPr>
        <w:t>N</w:t>
      </w:r>
      <w:r w:rsidR="00000000" w:rsidRPr="008F5AA6">
        <w:rPr>
          <w:rFonts w:ascii="Times New Roman" w:hAnsi="Times New Roman" w:cs="Times New Roman"/>
          <w:sz w:val="20"/>
          <w:szCs w:val="20"/>
        </w:rPr>
        <w:t xml:space="preserve">ueva </w:t>
      </w:r>
      <w:r w:rsidR="00783DAB" w:rsidRPr="008F5AA6">
        <w:rPr>
          <w:rFonts w:ascii="Times New Roman" w:hAnsi="Times New Roman" w:cs="Times New Roman"/>
          <w:sz w:val="20"/>
          <w:szCs w:val="20"/>
        </w:rPr>
        <w:t>L</w:t>
      </w:r>
      <w:r w:rsidR="00000000" w:rsidRPr="008F5AA6">
        <w:rPr>
          <w:rFonts w:ascii="Times New Roman" w:hAnsi="Times New Roman" w:cs="Times New Roman"/>
          <w:sz w:val="20"/>
          <w:szCs w:val="20"/>
        </w:rPr>
        <w:t xml:space="preserve">ey de </w:t>
      </w:r>
      <w:r w:rsidR="00783DAB" w:rsidRPr="008F5AA6">
        <w:rPr>
          <w:rFonts w:ascii="Times New Roman" w:hAnsi="Times New Roman" w:cs="Times New Roman"/>
          <w:sz w:val="20"/>
          <w:szCs w:val="20"/>
        </w:rPr>
        <w:t>D</w:t>
      </w:r>
      <w:r w:rsidR="00000000" w:rsidRPr="008F5AA6">
        <w:rPr>
          <w:rFonts w:ascii="Times New Roman" w:hAnsi="Times New Roman" w:cs="Times New Roman"/>
          <w:sz w:val="20"/>
          <w:szCs w:val="20"/>
        </w:rPr>
        <w:t>iscapacidad promueve la figura del asistente personal</w:t>
      </w:r>
      <w:r w:rsidR="00783DAB" w:rsidRPr="008F5AA6">
        <w:rPr>
          <w:rFonts w:ascii="Times New Roman" w:hAnsi="Times New Roman" w:cs="Times New Roman"/>
          <w:sz w:val="20"/>
          <w:szCs w:val="20"/>
        </w:rPr>
        <w:t>, en el entendimiento de que resulta ampliatorio del alcance del rol de apoyo para la vida independiente</w:t>
      </w:r>
      <w:r w:rsidR="000D0F7D" w:rsidRPr="008F5AA6">
        <w:rPr>
          <w:rFonts w:ascii="Times New Roman" w:hAnsi="Times New Roman" w:cs="Times New Roman"/>
          <w:sz w:val="20"/>
          <w:szCs w:val="20"/>
        </w:rPr>
        <w:t xml:space="preserve"> y garante del respeto de voluntad y preferencia de la persona con discapacidad</w:t>
      </w:r>
      <w:r w:rsidR="00783DAB" w:rsidRPr="008F5AA6">
        <w:rPr>
          <w:rFonts w:ascii="Times New Roman" w:hAnsi="Times New Roman" w:cs="Times New Roman"/>
          <w:sz w:val="20"/>
          <w:szCs w:val="20"/>
        </w:rPr>
        <w:t>. A título referencial, se consigna la propuesta de redacción del articulado específico vinculado con la temática:</w:t>
      </w:r>
    </w:p>
    <w:p w14:paraId="5FB06EC7" w14:textId="3C518156" w:rsidR="00783DAB" w:rsidRPr="008F5AA6" w:rsidRDefault="00783DAB" w:rsidP="00886593">
      <w:pPr>
        <w:spacing w:line="276" w:lineRule="auto"/>
        <w:jc w:val="both"/>
        <w:rPr>
          <w:rFonts w:ascii="Times New Roman" w:hAnsi="Times New Roman" w:cs="Times New Roman"/>
          <w:i/>
          <w:iCs/>
          <w:sz w:val="20"/>
          <w:szCs w:val="20"/>
        </w:rPr>
      </w:pPr>
      <w:r w:rsidRPr="008F5AA6">
        <w:rPr>
          <w:rFonts w:ascii="Times New Roman" w:hAnsi="Times New Roman" w:cs="Times New Roman"/>
          <w:sz w:val="20"/>
          <w:szCs w:val="20"/>
        </w:rPr>
        <w:t>“</w:t>
      </w:r>
      <w:r w:rsidRPr="008F5AA6">
        <w:rPr>
          <w:rFonts w:ascii="Times New Roman" w:hAnsi="Times New Roman" w:cs="Times New Roman"/>
          <w:i/>
          <w:iCs/>
          <w:sz w:val="20"/>
          <w:szCs w:val="20"/>
        </w:rPr>
        <w:t>Asistencia personal. Modificación de la ley 24.901. Modifíquese el inciso d) del artículo 39 de la ley 24.901 por el siguiente:</w:t>
      </w:r>
      <w:r w:rsidRPr="008F5AA6">
        <w:rPr>
          <w:rFonts w:ascii="Times New Roman" w:hAnsi="Times New Roman" w:cs="Times New Roman"/>
          <w:i/>
          <w:iCs/>
          <w:sz w:val="20"/>
          <w:szCs w:val="20"/>
        </w:rPr>
        <w:t xml:space="preserve"> </w:t>
      </w:r>
      <w:r w:rsidRPr="008F5AA6">
        <w:rPr>
          <w:rFonts w:ascii="Times New Roman" w:hAnsi="Times New Roman" w:cs="Times New Roman"/>
          <w:i/>
          <w:iCs/>
          <w:sz w:val="20"/>
          <w:szCs w:val="20"/>
        </w:rPr>
        <w:t>d) Asistencia personal: Por requerimiento de la persona con discapacidad, con previa evaluación por parte de un equipo interdisciplinario perteneciente o contratado por las entidades obligadas, las personas con discapacidad podrán recibir los apoyos brindados por un/a asistente personal a fin de favorecer su vida autónoma y promover el plan de vida independiente.</w:t>
      </w:r>
    </w:p>
    <w:p w14:paraId="43EDC2FD" w14:textId="77777777" w:rsidR="00783DAB" w:rsidRPr="008F5AA6" w:rsidRDefault="00783DAB" w:rsidP="00886593">
      <w:pPr>
        <w:spacing w:line="276" w:lineRule="auto"/>
        <w:jc w:val="both"/>
        <w:rPr>
          <w:rFonts w:ascii="Times New Roman" w:hAnsi="Times New Roman" w:cs="Times New Roman"/>
          <w:i/>
          <w:iCs/>
          <w:sz w:val="20"/>
          <w:szCs w:val="20"/>
        </w:rPr>
      </w:pPr>
      <w:r w:rsidRPr="008F5AA6">
        <w:rPr>
          <w:rFonts w:ascii="Times New Roman" w:hAnsi="Times New Roman" w:cs="Times New Roman"/>
          <w:i/>
          <w:iCs/>
          <w:sz w:val="20"/>
          <w:szCs w:val="20"/>
        </w:rPr>
        <w:t>El mencionado equipo interdisciplinario evaluará los apoyos necesarios, incluyendo intensidad y duración de los mismos, acompañando su supervisión, evaluación periódica, su reformulación, continuidad y/o finalización de la asistencia. En su tarea priorizará las decisiones de la persona con discapacidad.</w:t>
      </w:r>
    </w:p>
    <w:p w14:paraId="00000016" w14:textId="6C68DAAF" w:rsidR="00A00F16" w:rsidRPr="008F5AA6" w:rsidRDefault="00783DAB" w:rsidP="00886593">
      <w:pPr>
        <w:spacing w:line="276" w:lineRule="auto"/>
        <w:jc w:val="both"/>
        <w:rPr>
          <w:rFonts w:ascii="Times New Roman" w:hAnsi="Times New Roman" w:cs="Times New Roman"/>
          <w:sz w:val="20"/>
          <w:szCs w:val="20"/>
        </w:rPr>
      </w:pPr>
      <w:r w:rsidRPr="008F5AA6">
        <w:rPr>
          <w:rFonts w:ascii="Times New Roman" w:hAnsi="Times New Roman" w:cs="Times New Roman"/>
          <w:i/>
          <w:iCs/>
          <w:sz w:val="20"/>
          <w:szCs w:val="20"/>
        </w:rPr>
        <w:t>El/la asistente personal deberá contar con la capacitación específica que deberá acreditarse mediante certificación de la autoridad competente</w:t>
      </w:r>
      <w:r w:rsidRPr="008F5AA6">
        <w:rPr>
          <w:rFonts w:ascii="Times New Roman" w:hAnsi="Times New Roman" w:cs="Times New Roman"/>
          <w:sz w:val="20"/>
          <w:szCs w:val="20"/>
        </w:rPr>
        <w:t>”</w:t>
      </w:r>
      <w:r w:rsidR="00DF0D1F" w:rsidRPr="008F5AA6">
        <w:rPr>
          <w:rFonts w:ascii="Times New Roman" w:hAnsi="Times New Roman" w:cs="Times New Roman"/>
          <w:sz w:val="20"/>
          <w:szCs w:val="20"/>
        </w:rPr>
        <w:t>.</w:t>
      </w:r>
    </w:p>
    <w:p w14:paraId="79A9BDD7" w14:textId="77777777" w:rsidR="00184394" w:rsidRPr="008F5AA6" w:rsidRDefault="006237F4" w:rsidP="00886593">
      <w:pPr>
        <w:spacing w:line="276" w:lineRule="auto"/>
        <w:jc w:val="both"/>
        <w:rPr>
          <w:rFonts w:ascii="Times New Roman" w:hAnsi="Times New Roman" w:cs="Times New Roman"/>
          <w:b/>
          <w:bCs/>
          <w:sz w:val="20"/>
          <w:szCs w:val="20"/>
        </w:rPr>
      </w:pPr>
      <w:r w:rsidRPr="008F5AA6">
        <w:rPr>
          <w:rFonts w:ascii="Times New Roman" w:hAnsi="Times New Roman" w:cs="Times New Roman"/>
          <w:b/>
          <w:bCs/>
          <w:sz w:val="20"/>
          <w:szCs w:val="20"/>
        </w:rPr>
        <w:t xml:space="preserve">Artículo 9 - </w:t>
      </w:r>
      <w:r w:rsidRPr="008F5AA6">
        <w:rPr>
          <w:rFonts w:ascii="Times New Roman" w:hAnsi="Times New Roman" w:cs="Times New Roman"/>
          <w:b/>
          <w:bCs/>
          <w:sz w:val="20"/>
          <w:szCs w:val="20"/>
        </w:rPr>
        <w:t xml:space="preserve">Accesibilidad </w:t>
      </w:r>
    </w:p>
    <w:p w14:paraId="1529CC5F" w14:textId="474835F1" w:rsidR="006237F4" w:rsidRPr="008F5AA6" w:rsidRDefault="00184394" w:rsidP="00886593">
      <w:pPr>
        <w:spacing w:line="276" w:lineRule="auto"/>
        <w:jc w:val="both"/>
        <w:rPr>
          <w:rFonts w:ascii="Times New Roman" w:hAnsi="Times New Roman" w:cs="Times New Roman"/>
          <w:i/>
          <w:iCs/>
          <w:sz w:val="20"/>
          <w:szCs w:val="20"/>
        </w:rPr>
      </w:pPr>
      <w:r w:rsidRPr="008F5AA6">
        <w:rPr>
          <w:rFonts w:ascii="Times New Roman" w:hAnsi="Times New Roman" w:cs="Times New Roman"/>
          <w:i/>
          <w:iCs/>
          <w:sz w:val="20"/>
          <w:szCs w:val="20"/>
        </w:rPr>
        <w:t>A</w:t>
      </w:r>
      <w:r w:rsidR="006237F4" w:rsidRPr="008F5AA6">
        <w:rPr>
          <w:rFonts w:ascii="Times New Roman" w:hAnsi="Times New Roman" w:cs="Times New Roman"/>
          <w:i/>
          <w:iCs/>
          <w:sz w:val="20"/>
          <w:szCs w:val="20"/>
        </w:rPr>
        <w:t>plicación “Mi Argentina”</w:t>
      </w:r>
    </w:p>
    <w:p w14:paraId="20C5FBE1" w14:textId="77777777" w:rsidR="006237F4" w:rsidRPr="008F5AA6" w:rsidRDefault="006237F4"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En cuanto a la aplicación “Mi Argentina”, que es el perfil digital de la ciudadanía administrado por la Secretaría de Innovación Pública de Jefatura de Gabinete de </w:t>
      </w:r>
      <w:proofErr w:type="gramStart"/>
      <w:r w:rsidRPr="008F5AA6">
        <w:rPr>
          <w:rFonts w:ascii="Times New Roman" w:hAnsi="Times New Roman" w:cs="Times New Roman"/>
          <w:sz w:val="20"/>
          <w:szCs w:val="20"/>
        </w:rPr>
        <w:t>Ministros</w:t>
      </w:r>
      <w:proofErr w:type="gramEnd"/>
      <w:r w:rsidRPr="008F5AA6">
        <w:rPr>
          <w:rFonts w:ascii="Times New Roman" w:hAnsi="Times New Roman" w:cs="Times New Roman"/>
          <w:sz w:val="20"/>
          <w:szCs w:val="20"/>
        </w:rPr>
        <w:t xml:space="preserve"> de la Nación, actualmente se está trabajando -en conjunto con la Agencia Nacional de Discapacidad- en un diagnóstico integral sobre la accesibilidad de la aplicación que permita abordar los desarrollos y mejoras tecnológicas que se requieran. Dicho trabajo conjunto también alcanza a la plataforma tecnológica “Trámites a Distancia” (TAD), que permite a la ciudadanía realizar trámites digitales ante organismos públicos nacionales, y el “Sistema de Gestión Documental Electrónica” (GDE), que es la plataforma utilizada para la gestión administrativa del Sector Público Nacional.</w:t>
      </w:r>
    </w:p>
    <w:p w14:paraId="7D3A798E" w14:textId="3D55CC8F" w:rsidR="006237F4" w:rsidRPr="008F5AA6" w:rsidRDefault="006237F4"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lastRenderedPageBreak/>
        <w:t>En este sentido, se ha realizado, también, el taller denominado “Discapacidad y acceso a la información: buenas prácticas de accesibilidad web”, orientado a los equipos técnicos de la Secretaría para ampliar las herramientas de trabajo relativas a programación accesible, con el objeto de mejorar los niveles de accesibilidad de plataformas de la Administración Pública Nacional.</w:t>
      </w:r>
    </w:p>
    <w:p w14:paraId="47563D2A" w14:textId="77777777" w:rsidR="006237F4" w:rsidRPr="008F5AA6" w:rsidRDefault="006237F4"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Ahora bien, entre la Agencia y la referida Secretaría se creó una agenda de inclusión digital para las personas con discapacidad, que permitió el desarrollo de diversos trámites digitales en la mentada aplicación, destacándose: Símbolo Internacional de Acceso; integración del Certificado Único de Discapacidad (CUD digital); y el pase libre y gratuito en peajes de todo el país, desarrollado también en articulación con la Dirección Nacional de Vialidad Nacional.</w:t>
      </w:r>
    </w:p>
    <w:p w14:paraId="0000002F" w14:textId="7CB51BAE" w:rsidR="00A00F16" w:rsidRPr="008F5AA6" w:rsidRDefault="006237F4"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Para mayor información sobre lo expuesto, referirse a los párrafos 433</w:t>
      </w:r>
      <w:r w:rsidRPr="008F5AA6">
        <w:rPr>
          <w:rFonts w:ascii="Times New Roman" w:hAnsi="Times New Roman" w:cs="Times New Roman"/>
          <w:sz w:val="20"/>
          <w:szCs w:val="20"/>
        </w:rPr>
        <w:t xml:space="preserve"> y </w:t>
      </w:r>
      <w:r w:rsidRPr="008F5AA6">
        <w:rPr>
          <w:rFonts w:ascii="Times New Roman" w:hAnsi="Times New Roman" w:cs="Times New Roman"/>
          <w:sz w:val="20"/>
          <w:szCs w:val="20"/>
        </w:rPr>
        <w:t>444 del Informe de Actualización Argentino 2023.</w:t>
      </w:r>
    </w:p>
    <w:p w14:paraId="317FD086" w14:textId="5DC518E5" w:rsidR="00886593" w:rsidRPr="008F5AA6" w:rsidRDefault="00886593" w:rsidP="00BD5737">
      <w:pPr>
        <w:spacing w:line="276" w:lineRule="auto"/>
        <w:jc w:val="both"/>
        <w:rPr>
          <w:rFonts w:ascii="Times New Roman" w:eastAsia="Times New Roman" w:hAnsi="Times New Roman" w:cs="Times New Roman"/>
          <w:i/>
          <w:iCs/>
          <w:sz w:val="20"/>
          <w:szCs w:val="20"/>
        </w:rPr>
      </w:pPr>
      <w:r w:rsidRPr="00886593">
        <w:rPr>
          <w:rFonts w:ascii="Times New Roman" w:eastAsia="Times New Roman" w:hAnsi="Times New Roman" w:cs="Times New Roman"/>
          <w:i/>
          <w:iCs/>
          <w:sz w:val="20"/>
          <w:szCs w:val="20"/>
        </w:rPr>
        <w:t>Modificación del código de la edificación de la Ciudad Autónoma de Buenos Aires</w:t>
      </w:r>
      <w:r w:rsidR="00BD5737" w:rsidRPr="008F5AA6">
        <w:rPr>
          <w:rFonts w:ascii="Times New Roman" w:eastAsia="Times New Roman" w:hAnsi="Times New Roman" w:cs="Times New Roman"/>
          <w:i/>
          <w:iCs/>
          <w:sz w:val="20"/>
          <w:szCs w:val="20"/>
        </w:rPr>
        <w:t xml:space="preserve"> (CABA)</w:t>
      </w:r>
    </w:p>
    <w:p w14:paraId="654D5111" w14:textId="17E118C4" w:rsidR="00886593" w:rsidRPr="00886593" w:rsidRDefault="00886593" w:rsidP="00BD5737">
      <w:pPr>
        <w:spacing w:line="276" w:lineRule="auto"/>
        <w:jc w:val="both"/>
        <w:rPr>
          <w:rFonts w:ascii="Times New Roman" w:eastAsia="Times New Roman" w:hAnsi="Times New Roman" w:cs="Times New Roman"/>
          <w:sz w:val="20"/>
          <w:szCs w:val="20"/>
        </w:rPr>
      </w:pPr>
      <w:r w:rsidRPr="00886593">
        <w:rPr>
          <w:rFonts w:ascii="Times New Roman" w:eastAsia="Times New Roman" w:hAnsi="Times New Roman" w:cs="Times New Roman"/>
          <w:sz w:val="20"/>
          <w:szCs w:val="20"/>
        </w:rPr>
        <w:t>Luego de la última modificación del mencionado código, la justicia de la CABA declaró la inconstitucionalidad de la falta de respuesta del gobierno local a las preguntas formuladas por parte de la sociedad civil, en el proceso de Audiencias Públicas que convocó la CABA durante el proceso de modificación del mencionado código, referidas a la normativa y reglamentación en accesibilidad, con perspectiva de derechos humanos.</w:t>
      </w:r>
    </w:p>
    <w:p w14:paraId="485D6A3A" w14:textId="77777777" w:rsidR="00886593" w:rsidRPr="00886593" w:rsidRDefault="00886593" w:rsidP="00886593">
      <w:pPr>
        <w:shd w:val="clear" w:color="auto" w:fill="FFFFFF"/>
        <w:spacing w:line="253" w:lineRule="atLeast"/>
        <w:jc w:val="both"/>
        <w:rPr>
          <w:rFonts w:ascii="Times New Roman" w:eastAsia="Times New Roman" w:hAnsi="Times New Roman" w:cs="Times New Roman"/>
          <w:sz w:val="20"/>
          <w:szCs w:val="20"/>
        </w:rPr>
      </w:pPr>
      <w:r w:rsidRPr="00886593">
        <w:rPr>
          <w:rFonts w:ascii="Times New Roman" w:eastAsia="Times New Roman" w:hAnsi="Times New Roman" w:cs="Times New Roman"/>
          <w:sz w:val="20"/>
          <w:szCs w:val="20"/>
        </w:rPr>
        <w:t>Por su parte, en el marco del Proceso de Audiencias Públicas por la Nueva Ley de Discapacidad, surgió también la propuesta de conformar una “Comisión Asesora Permanente en Accesibilidad” (CAPA). Actualmente la iniciativa fue extendida a Consejos Consultivos de las Comunas de CABA para llevar adelante, conjuntamente con vecinos, vecinas y organizaciones de la sociedad civil, el seguimiento territorial del diseño, construcción y mantenimiento de veredas y vados.</w:t>
      </w:r>
    </w:p>
    <w:p w14:paraId="4AF3D094" w14:textId="0587DCCB" w:rsidR="00886593" w:rsidRPr="008F5AA6" w:rsidRDefault="00BD5737" w:rsidP="00886593">
      <w:pPr>
        <w:shd w:val="clear" w:color="auto" w:fill="FFFFFF"/>
        <w:spacing w:before="240" w:after="360" w:line="253" w:lineRule="atLeast"/>
        <w:jc w:val="both"/>
        <w:rPr>
          <w:rFonts w:ascii="Times New Roman" w:eastAsia="Times New Roman" w:hAnsi="Times New Roman" w:cs="Times New Roman"/>
          <w:sz w:val="20"/>
          <w:szCs w:val="20"/>
        </w:rPr>
      </w:pPr>
      <w:r w:rsidRPr="008F5AA6">
        <w:rPr>
          <w:rFonts w:ascii="Times New Roman" w:eastAsia="Times New Roman" w:hAnsi="Times New Roman" w:cs="Times New Roman"/>
          <w:sz w:val="20"/>
          <w:szCs w:val="20"/>
        </w:rPr>
        <w:t xml:space="preserve">La iniciativa logró adhesión en varios en </w:t>
      </w:r>
      <w:r w:rsidR="00886593" w:rsidRPr="00886593">
        <w:rPr>
          <w:rFonts w:ascii="Times New Roman" w:eastAsia="Times New Roman" w:hAnsi="Times New Roman" w:cs="Times New Roman"/>
          <w:sz w:val="20"/>
          <w:szCs w:val="20"/>
        </w:rPr>
        <w:t>otros territorios de la Nación. En este sentido, algunas comunas provinciales están trabajando de manera activa en la producción de ordenanzas que fomenten y acompañen el desarrollo de un espacio urbano accesible.</w:t>
      </w:r>
    </w:p>
    <w:p w14:paraId="3E78DD5C" w14:textId="77777777" w:rsidR="00184394" w:rsidRPr="008F5AA6" w:rsidRDefault="00184394" w:rsidP="00886593">
      <w:pPr>
        <w:spacing w:line="276" w:lineRule="auto"/>
        <w:jc w:val="both"/>
        <w:rPr>
          <w:rFonts w:ascii="Times New Roman" w:hAnsi="Times New Roman" w:cs="Times New Roman"/>
          <w:b/>
          <w:bCs/>
          <w:sz w:val="20"/>
          <w:szCs w:val="20"/>
        </w:rPr>
      </w:pPr>
      <w:r w:rsidRPr="008F5AA6">
        <w:rPr>
          <w:rFonts w:ascii="Times New Roman" w:hAnsi="Times New Roman" w:cs="Times New Roman"/>
          <w:b/>
          <w:bCs/>
          <w:sz w:val="20"/>
          <w:szCs w:val="20"/>
        </w:rPr>
        <w:t xml:space="preserve">Artículo 12 - </w:t>
      </w:r>
      <w:r w:rsidRPr="008F5AA6">
        <w:rPr>
          <w:rFonts w:ascii="Times New Roman" w:hAnsi="Times New Roman" w:cs="Times New Roman"/>
          <w:b/>
          <w:bCs/>
          <w:sz w:val="20"/>
          <w:szCs w:val="20"/>
        </w:rPr>
        <w:t>Proceso de Armonización del Código de Procedimiento Civil de la Provincia de Buenos Aires</w:t>
      </w:r>
    </w:p>
    <w:p w14:paraId="3DD0DEC6" w14:textId="77777777" w:rsidR="00184394" w:rsidRPr="008F5AA6" w:rsidRDefault="00184394"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El anteproyecto de Código Procesal Civil y Comercial para la Provincia de Buenos Aires aborda en forma específica el tratamiento de los procesos de determinación de la capacidad jurídica y los controles de legalidad de internaciones por motivos de salud mental para hacer sus disposiciones compatibles con la CRPD.</w:t>
      </w:r>
    </w:p>
    <w:p w14:paraId="707FBBCD" w14:textId="3C98D3A8" w:rsidR="00184394" w:rsidRPr="008F5AA6" w:rsidRDefault="00184394"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Cabe mencionar que la elaboración del anteproyecto contó con la participación de especialistas en la materia, universidades, sectores estatales, del poder judicial y organizaciones de la sociedad civil que fueron convocados desde la Subsecretaría de Salud Mental, Consumos Problemáticos y Violencias en el ámbito de la Salud pública del Ministerio de Salud de la provincia de Buenos Aires.</w:t>
      </w:r>
    </w:p>
    <w:p w14:paraId="0DF2FD02" w14:textId="5ADB94A2" w:rsidR="00C91BCB" w:rsidRPr="008F5AA6" w:rsidRDefault="00C91BCB" w:rsidP="00C91BCB">
      <w:pPr>
        <w:spacing w:line="276" w:lineRule="auto"/>
        <w:jc w:val="both"/>
        <w:rPr>
          <w:rFonts w:ascii="Times New Roman" w:hAnsi="Times New Roman" w:cs="Times New Roman"/>
          <w:b/>
          <w:bCs/>
          <w:sz w:val="20"/>
          <w:szCs w:val="20"/>
        </w:rPr>
      </w:pPr>
      <w:r w:rsidRPr="008F5AA6">
        <w:rPr>
          <w:rFonts w:ascii="Times New Roman" w:hAnsi="Times New Roman" w:cs="Times New Roman"/>
          <w:b/>
          <w:bCs/>
          <w:sz w:val="20"/>
          <w:szCs w:val="20"/>
        </w:rPr>
        <w:t>Artículo 23 – Impedimentos matrimoniales</w:t>
      </w:r>
    </w:p>
    <w:p w14:paraId="00000066" w14:textId="6FC0B1FF" w:rsidR="00A00F16" w:rsidRDefault="00D334E2" w:rsidP="00C91BCB">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Desde </w:t>
      </w:r>
      <w:r w:rsidR="00C91BCB" w:rsidRPr="008F5AA6">
        <w:rPr>
          <w:rFonts w:ascii="Times New Roman" w:hAnsi="Times New Roman" w:cs="Times New Roman"/>
          <w:sz w:val="20"/>
          <w:szCs w:val="20"/>
        </w:rPr>
        <w:t>el Estado entendemos que la mencionada normativa requiere ser parte del proceso de armonización legislativa que se está llevando a cabo con la Convención</w:t>
      </w:r>
      <w:r w:rsidR="00C91BCB" w:rsidRPr="008F5AA6">
        <w:rPr>
          <w:rFonts w:ascii="Times New Roman" w:hAnsi="Times New Roman" w:cs="Times New Roman"/>
          <w:sz w:val="20"/>
          <w:szCs w:val="20"/>
        </w:rPr>
        <w:t>.</w:t>
      </w:r>
    </w:p>
    <w:p w14:paraId="2522D3AE" w14:textId="77777777" w:rsidR="0038126F" w:rsidRPr="0038126F" w:rsidRDefault="0038126F" w:rsidP="0038126F">
      <w:pPr>
        <w:spacing w:line="276" w:lineRule="auto"/>
        <w:jc w:val="both"/>
        <w:rPr>
          <w:rFonts w:ascii="Times New Roman" w:hAnsi="Times New Roman" w:cs="Times New Roman"/>
          <w:b/>
          <w:bCs/>
          <w:sz w:val="20"/>
          <w:szCs w:val="20"/>
        </w:rPr>
      </w:pPr>
      <w:r w:rsidRPr="0038126F">
        <w:rPr>
          <w:rFonts w:ascii="Times New Roman" w:hAnsi="Times New Roman" w:cs="Times New Roman"/>
          <w:b/>
          <w:bCs/>
          <w:sz w:val="20"/>
          <w:szCs w:val="20"/>
        </w:rPr>
        <w:t>Artículo 25 - Programa Nacional de Salud para Pueblos Indígenas de la Dirección Nacional de Atención Primaria y Salud Comunitaria</w:t>
      </w:r>
    </w:p>
    <w:p w14:paraId="441F9147" w14:textId="77777777" w:rsidR="0038126F" w:rsidRPr="008F5AA6" w:rsidRDefault="0038126F" w:rsidP="0038126F">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A través del programa, se financian, desde el nivel central, Agentes Sanitarios en la Comunidades Indígenas para mejorar la adherencia a los tratamientos y el acompañamiento de los sistemas de salud oficiales provinciales.</w:t>
      </w:r>
    </w:p>
    <w:p w14:paraId="0A152D2F" w14:textId="77777777" w:rsidR="0038126F" w:rsidRPr="008F5AA6" w:rsidRDefault="0038126F" w:rsidP="0038126F">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lastRenderedPageBreak/>
        <w:t>Se firmaron más de 700 convenios con agentes sanitarios indígenas de las provincias del Chaco, Jujuy, Tucumán, La Rioja, Entre Ríos, Córdoba, Santiago del Estero, Salta, Mendoza, San Juan y Formosa. El proceso de incorporación de los agentes incluye la elección de los mismos por parte de cada comunidad para luego ser consensuado con la Dirección de Atención Primaria de la Salud de su provincia.</w:t>
      </w:r>
    </w:p>
    <w:p w14:paraId="4E7978F9" w14:textId="7F24B059" w:rsidR="0038126F" w:rsidRPr="008F5AA6" w:rsidRDefault="0038126F" w:rsidP="00C91BCB">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Este programa permite la financiación y capacitación con formación intercultural de dichos becarios quienes actúan como nexo entre sus comunidades y los sistemas sanitarios públicos, cubriendo a las poblaciones más dispersas.</w:t>
      </w:r>
    </w:p>
    <w:p w14:paraId="67828328" w14:textId="77777777" w:rsidR="00AF230E" w:rsidRPr="008F5AA6" w:rsidRDefault="00AF230E" w:rsidP="00886593">
      <w:pPr>
        <w:spacing w:before="240" w:after="240" w:line="276" w:lineRule="auto"/>
        <w:jc w:val="both"/>
        <w:rPr>
          <w:rFonts w:ascii="Times New Roman" w:hAnsi="Times New Roman" w:cs="Times New Roman"/>
          <w:b/>
          <w:bCs/>
          <w:sz w:val="20"/>
          <w:szCs w:val="20"/>
        </w:rPr>
      </w:pPr>
      <w:r w:rsidRPr="008F5AA6">
        <w:rPr>
          <w:rFonts w:ascii="Times New Roman" w:hAnsi="Times New Roman" w:cs="Times New Roman"/>
          <w:b/>
          <w:bCs/>
          <w:sz w:val="20"/>
          <w:szCs w:val="20"/>
        </w:rPr>
        <w:t>Artículo 28 – Impacto del acuerdo de refinanciamiento de la deuda con el FMI en el presupuesto asignado a políticas en discapacidad e información respecto de Pensiones No Contributivas</w:t>
      </w:r>
    </w:p>
    <w:p w14:paraId="473726B0" w14:textId="0B195FF2" w:rsidR="00AF230E" w:rsidRPr="008F5AA6" w:rsidRDefault="00AF230E"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En marzo del 2022, mediante la Ley 27.668 -promulgada a través del Decreto 130/2022-, se aprobó el acuerdo para el refinanciamiento de la deuda entre la República Argentina y el Fondo Monetario Internacional (FMI), cuyo programa prioriza continuar con la generación de las condiciones de estabilidad necesarias para abordar los desafíos estructurales existentes y fortalecer las bases para un crecimiento sostenible e inclusivo.</w:t>
      </w:r>
    </w:p>
    <w:p w14:paraId="5CC852EA" w14:textId="339F50F2" w:rsidR="00AF230E" w:rsidRPr="008F5AA6" w:rsidRDefault="00AF230E"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En ese sentido, la política presupuestaria de las Pensiones No Contributivas por Invalidez, al igual que el presupuesto de la Agencia Nacional de Discapacidad destinado al diseño, desarrollo, y ejecución de políticas públicas en la materia estuvo signada, en los últimos 4 años, por la progresividad -y no regresividad-, cuestión que se ve reflejada en la evolución presupuestaria nominal de esta herramienta que alcanzó un 318,11% entre el año 2020 y el año 2023. Particularmente, entre el año 2022 (año de aprobación del acuerdo en cuestión) y el presente año la asignación presupuestaria en materia de Pensiones No Contributivas se incrementó en un 54,96%.</w:t>
      </w:r>
    </w:p>
    <w:p w14:paraId="00000067" w14:textId="647514D6" w:rsidR="00A00F16" w:rsidRPr="008F5AA6" w:rsidRDefault="00AF230E" w:rsidP="00886593">
      <w:pPr>
        <w:spacing w:line="276" w:lineRule="auto"/>
        <w:jc w:val="both"/>
        <w:rPr>
          <w:rFonts w:ascii="Times New Roman" w:hAnsi="Times New Roman" w:cs="Times New Roman"/>
          <w:i/>
          <w:iCs/>
          <w:sz w:val="20"/>
          <w:szCs w:val="20"/>
        </w:rPr>
      </w:pPr>
      <w:r w:rsidRPr="008F5AA6">
        <w:rPr>
          <w:rFonts w:ascii="Times New Roman" w:hAnsi="Times New Roman" w:cs="Times New Roman"/>
          <w:i/>
          <w:iCs/>
          <w:sz w:val="20"/>
          <w:szCs w:val="20"/>
        </w:rPr>
        <w:t>Pensiones No Contributivas</w:t>
      </w:r>
    </w:p>
    <w:p w14:paraId="00000068" w14:textId="19269C36"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El régimen de prestaciones y servicios nacionales de la Seguridad Social en la República Argentina se encuentra principalmente a cargo de la Administración Nacional de la Seguridad Social (ANSES), con excepción de la Pensión No Contributiva por Invalidez, que es administrada por ANDIS desde la creación del organismo.</w:t>
      </w:r>
    </w:p>
    <w:p w14:paraId="00000069" w14:textId="7943821B"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Pensiones No Contributivas por Invalidez (PNC): El artículo 9° de la Ley 13.478 facultó al Poder Ejecutivo Nacional a otorgar, en las condiciones que fije la reglamentación, una pensión inembargable a toda persona sin suficientes recursos propios, no amparada por un régimen de previsión e imposibilitada de trabajar.</w:t>
      </w:r>
    </w:p>
    <w:p w14:paraId="0000006A" w14:textId="2DE33262"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En el año 1997, se reglamentó dicha pensión a través del decreto 432. En el mismo se fijaron los requisitos para su acceso, destacándose: acreditación de un 76% o más de incapacidad </w:t>
      </w:r>
      <w:proofErr w:type="spellStart"/>
      <w:r w:rsidRPr="008F5AA6">
        <w:rPr>
          <w:rFonts w:ascii="Times New Roman" w:hAnsi="Times New Roman" w:cs="Times New Roman"/>
          <w:sz w:val="20"/>
          <w:szCs w:val="20"/>
        </w:rPr>
        <w:t>laborativa</w:t>
      </w:r>
      <w:proofErr w:type="spellEnd"/>
      <w:r w:rsidRPr="008F5AA6">
        <w:rPr>
          <w:rFonts w:ascii="Times New Roman" w:hAnsi="Times New Roman" w:cs="Times New Roman"/>
          <w:sz w:val="20"/>
          <w:szCs w:val="20"/>
        </w:rPr>
        <w:t>, no poseer bienes, ingresos ni recursos para subsistir (incluidos el/la cónyuge, parientes obligados y/o grupo familiar), no encontrarse en un régimen de previsión o prestación no contributiva (incluido el cónyuge). En caso de extranjeros, debían acreditar residencia mínima continuada de 20 años en el país.</w:t>
      </w:r>
    </w:p>
    <w:p w14:paraId="0000006B" w14:textId="77777777"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Desde el año 1997 y hasta el año 2003 la gestión de las PNC se llevó adelante bajo un criterio de alta por baja. Es decir, en la práctica, sólo se admitía un nuevo ingreso al sistema cuando alguna persona cubierta fallecía.</w:t>
      </w:r>
    </w:p>
    <w:p w14:paraId="0000006C" w14:textId="001094B9"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La dinámica de gestión de la PNC se modificó en el período 2003-2015 en tanto este derecho obtuvo acompañamiento presupuestario por parte del Estado, y un abordaje de ampliación de la cobertura. Esto se tradujo, también, en una asignación de mayor peso de los criterios socioeconómicos y ambientales en relación con las variables médicas, permitiéndose la cobertura para menores de 18 años.</w:t>
      </w:r>
    </w:p>
    <w:p w14:paraId="0000006D" w14:textId="17263CC0"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lastRenderedPageBreak/>
        <w:t>Reflejo de lo antedicho es que al inicio de este período había 80.593 titulares de PNC, cantidad que se elevó a 1.058.835 en el 2015. El incremento absoluto en 12 años fue de 978.242 titulares, lo que supuso un incremento porcentual de 1.214% entre el 2003 y el 2015.</w:t>
      </w:r>
    </w:p>
    <w:p w14:paraId="0000006E" w14:textId="30F5466D"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Ahora bien, durante el período 2016 al 2019 -en el cual recayó la presentación del Informe argentino 2018, que motivó lo expresado en el párrafo 36 de la Lista de Cuestiones- se adoptaron diversas normativas tendientes a limitar el acceso a la PNC, cuyo resultado fue una caída fuerte del derecho a la protección social de la población en situación de vulnerabilidad socioeconómica.</w:t>
      </w:r>
    </w:p>
    <w:p w14:paraId="0000006F" w14:textId="4C9B9F54"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En términos cuantitativos, mientras que en el período 2012-2015 el promedio anual de altas de titulares de PNC fue de 142.290, en el período 2016-2019 dicho promedio alcanzó las 40.799 personas, es decir, reflejó un decrecimiento del 70%.</w:t>
      </w:r>
    </w:p>
    <w:p w14:paraId="00000070" w14:textId="093C3814"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Como consecuencia del proceso descripto, quedaron pendientes de tramitación 145.000 solicitudes de PNC sin tratamiento que, en el año 2020, se identificaron como prioritarias para la adopción de medidas concretas de restitución de derechos. Así, se llevó adelante un proceso de digitalización y análisis de todas las tramitaciones pendientes., resultando clave -también- la adecuación y ampliación de los criterios y circuitos de tramitación, plasmados en las Resoluciones ANDIS 8/2020, 93/2020 y 134/2020.</w:t>
      </w:r>
    </w:p>
    <w:p w14:paraId="00000071" w14:textId="66401395"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En la misma línea, se impulsó la elaboración de normativa complementaria con la premisa de ampliar el acceso a este derecho.</w:t>
      </w:r>
    </w:p>
    <w:p w14:paraId="00000072" w14:textId="433C1D6F"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La Resolución ANDIS 36/2021 se emitió con afán aclarativo del planteo original efectuado a través de la Resolución 34/2020, determinando que en caso de que un titular de PNC iniciara un vínculo laboral en régimen simplificado o general -y comunicara dicha cuestión a la ANDIS-, su PNC sólo se ve suspendida, independientemente de lo que cobre o produzca, restituyéndose de forma inmediata una vez que termine el vínculo, cualquiera sea la causa.</w:t>
      </w:r>
    </w:p>
    <w:p w14:paraId="00000073" w14:textId="74421126"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Mediante la Resolución ANDIS 891/2021 se impulsó, también, la creación del Certificado Médico Oficial (CMO) - Quick Response (QR), con el objeto de facilitar y ampliar el acceso al CMO, requisito para la tramitación de una PNC. La innovación que supone este instrumento, que reemplaza al CMO en papel y convive con el CMO digital, es que está disponible para su impresión en todas las terminales de atención de PNC, posibilitando la obtención inmediata del mismo para su tramitación por parte de las y los solicitantes.</w:t>
      </w:r>
    </w:p>
    <w:p w14:paraId="00000074" w14:textId="2598D93D"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Esta propuesta, además de promover una integración más efectiva de los instrumentos estatales de acceso a derechos, también contribuye a optimizar los recursos del Estado en lo inherente a la adquisición del papel moneda y en relación con los gastos derivados de logística y distribución federal que implicaba la emisión del CMO en papel.</w:t>
      </w:r>
    </w:p>
    <w:p w14:paraId="00000075" w14:textId="73D2CB81"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Posteriormente, con el objetivo de ampliar los criterios de otorgamiento de las PNC para lograr un mayor alcance en la contención de la población en condiciones de vulnerabilidad socioeconómica, mediante la Resolución ANDIS 1377/2021, se establecieron nuevos lineamientos para el inicio, cruces y validaciones, y se actualizaron los criterios de determinación del estado socioeconómico y de vulnerabilidad. Esta medida compatibilizó la tramitación de la PNC con programas sociales -incluyendo el monotributo social-, programas de capacitación y empleo -incluido el régimen federal de empleo protegido-, y subsidios por desempleo que otorgue el Estado nacional, las provincias y los municipios.</w:t>
      </w:r>
    </w:p>
    <w:p w14:paraId="00000076" w14:textId="78D6059A"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Durante el presente período se han otorgado, hasta la actualidad, 278.690 nuevas PNC, que se traduce en una inversión de $999.853 millones.</w:t>
      </w:r>
    </w:p>
    <w:p w14:paraId="2751563F" w14:textId="77777777" w:rsidR="007D06E1"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En la misma línea de garantía de Derechos Humanos, corresponde indicar que recientemente se sancionó el Decreto 7/2023 que promueve una ampliación y simplificación para el acceso al derecho de la PNC.</w:t>
      </w:r>
    </w:p>
    <w:p w14:paraId="00000078" w14:textId="2E845F86"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lastRenderedPageBreak/>
        <w:t>La normativa actualiza los criterios del CMO, suprimiendo la variable del 76% como "límite" o "barrera" para acreditar la imposibilidad laboral, y extiende la posibilidad de confección de los CMO a través de profesionales médicos pertenecientes a la ANDIS para diversificar los puntos de otorgamiento. Asimismo, resguarda que la situación laboral-social del cónyuge no sea un impedimento para el acceso a la PNC, y contempla mejoras sustanciales respecto de los requisitos en relación con la nacionalidad y residencia, determinando la posibilidad de que las personas extranjeras puedan acceder a la PNC acreditando una residencia continuada de 10 años y, en el caso de menores de edad, 3 años (antes se requerían 20 años en todos los casos).</w:t>
      </w:r>
    </w:p>
    <w:p w14:paraId="00000079" w14:textId="438822BA" w:rsidR="00A00F16" w:rsidRPr="008F5AA6" w:rsidRDefault="00000000"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Cabe aclarar que las medidas descriptas permitieron dar cabal cumplimiento a la sentencia resultante de la acción judicial de amparo por la cual, en 2017, se ordenó al Estado la restitución de 39.792 PNC (Expediente </w:t>
      </w:r>
      <w:proofErr w:type="spellStart"/>
      <w:r w:rsidRPr="008F5AA6">
        <w:rPr>
          <w:rFonts w:ascii="Times New Roman" w:hAnsi="Times New Roman" w:cs="Times New Roman"/>
          <w:sz w:val="20"/>
          <w:szCs w:val="20"/>
        </w:rPr>
        <w:t>N°</w:t>
      </w:r>
      <w:proofErr w:type="spellEnd"/>
      <w:r w:rsidRPr="008F5AA6">
        <w:rPr>
          <w:rFonts w:ascii="Times New Roman" w:hAnsi="Times New Roman" w:cs="Times New Roman"/>
          <w:sz w:val="20"/>
          <w:szCs w:val="20"/>
        </w:rPr>
        <w:t xml:space="preserve"> 39031/2017) sin quedar pendiente de resolución ninguno de los casos planteados.</w:t>
      </w:r>
    </w:p>
    <w:p w14:paraId="00000080" w14:textId="752F5376" w:rsidR="00A00F16" w:rsidRPr="008F5AA6" w:rsidRDefault="003F5D4B" w:rsidP="00886593">
      <w:pPr>
        <w:spacing w:before="240" w:after="240" w:line="276" w:lineRule="auto"/>
        <w:jc w:val="both"/>
        <w:rPr>
          <w:rFonts w:ascii="Times New Roman" w:hAnsi="Times New Roman" w:cs="Times New Roman"/>
          <w:sz w:val="20"/>
          <w:szCs w:val="20"/>
        </w:rPr>
      </w:pPr>
      <w:r w:rsidRPr="008F5AA6">
        <w:rPr>
          <w:rFonts w:ascii="Times New Roman" w:hAnsi="Times New Roman" w:cs="Times New Roman"/>
          <w:sz w:val="20"/>
          <w:szCs w:val="20"/>
        </w:rPr>
        <w:t>(Información consignada en los párrafos 549 a 565 del Informe de Actualización Argentino 2023).</w:t>
      </w:r>
    </w:p>
    <w:p w14:paraId="6305BDA1" w14:textId="081C96FA" w:rsidR="00D0700A" w:rsidRPr="0038126F" w:rsidRDefault="00D0700A" w:rsidP="00886593">
      <w:pPr>
        <w:spacing w:line="276" w:lineRule="auto"/>
        <w:jc w:val="both"/>
        <w:rPr>
          <w:rFonts w:ascii="Times New Roman" w:hAnsi="Times New Roman" w:cs="Times New Roman"/>
          <w:b/>
          <w:bCs/>
          <w:sz w:val="20"/>
          <w:szCs w:val="20"/>
        </w:rPr>
      </w:pPr>
      <w:r w:rsidRPr="0038126F">
        <w:rPr>
          <w:rFonts w:ascii="Times New Roman" w:hAnsi="Times New Roman" w:cs="Times New Roman"/>
          <w:b/>
          <w:bCs/>
          <w:sz w:val="20"/>
          <w:szCs w:val="20"/>
        </w:rPr>
        <w:t>Artículo 31 – Información relativa a Encuesta Nacional de Discapacidad</w:t>
      </w:r>
    </w:p>
    <w:p w14:paraId="00000082" w14:textId="33A1D8C5" w:rsidR="00A00F16" w:rsidRPr="008F5AA6" w:rsidRDefault="00000000"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La Encuesta Nacional sobre las Personas con Discapacidad (ENDI) será puesta en marcha durante el año 2024 con la participación de la Agencia Nacional de Discapacidad (ANDIS) como referente técnico, conceptual y político en lo que respecta a la temática.</w:t>
      </w:r>
    </w:p>
    <w:p w14:paraId="00000083" w14:textId="1A984DC8" w:rsidR="00A00F16" w:rsidRPr="008F5AA6" w:rsidRDefault="00000000"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Para ello, una vez concluido el Censo 2022</w:t>
      </w:r>
      <w:r w:rsidR="00D0700A" w:rsidRPr="008F5AA6">
        <w:rPr>
          <w:rFonts w:ascii="Times New Roman" w:hAnsi="Times New Roman" w:cs="Times New Roman"/>
          <w:sz w:val="20"/>
          <w:szCs w:val="20"/>
        </w:rPr>
        <w:t xml:space="preserve"> (ver información asociada en párrafos 653 a 660 del Informe de Actualización Argentino 2023)</w:t>
      </w:r>
      <w:r w:rsidRPr="008F5AA6">
        <w:rPr>
          <w:rFonts w:ascii="Times New Roman" w:hAnsi="Times New Roman" w:cs="Times New Roman"/>
          <w:sz w:val="20"/>
          <w:szCs w:val="20"/>
        </w:rPr>
        <w:t xml:space="preserve">, la ANDIS </w:t>
      </w:r>
      <w:r w:rsidR="00D0700A" w:rsidRPr="008F5AA6">
        <w:rPr>
          <w:rFonts w:ascii="Times New Roman" w:hAnsi="Times New Roman" w:cs="Times New Roman"/>
          <w:sz w:val="20"/>
          <w:szCs w:val="20"/>
        </w:rPr>
        <w:t>acordó</w:t>
      </w:r>
      <w:r w:rsidRPr="008F5AA6">
        <w:rPr>
          <w:rFonts w:ascii="Times New Roman" w:hAnsi="Times New Roman" w:cs="Times New Roman"/>
          <w:sz w:val="20"/>
          <w:szCs w:val="20"/>
        </w:rPr>
        <w:t xml:space="preserve"> con el Instituto Nacional de Estadísticas y Censos (INDEC) una mesa de trabajo permanente hasta entonces, a través de la cual comenzó a delinearse</w:t>
      </w:r>
      <w:r w:rsidR="00D0700A" w:rsidRPr="008F5AA6">
        <w:rPr>
          <w:rFonts w:ascii="Times New Roman" w:hAnsi="Times New Roman" w:cs="Times New Roman"/>
          <w:sz w:val="20"/>
          <w:szCs w:val="20"/>
        </w:rPr>
        <w:t>,</w:t>
      </w:r>
      <w:r w:rsidRPr="008F5AA6">
        <w:rPr>
          <w:rFonts w:ascii="Times New Roman" w:hAnsi="Times New Roman" w:cs="Times New Roman"/>
          <w:sz w:val="20"/>
          <w:szCs w:val="20"/>
        </w:rPr>
        <w:t xml:space="preserve"> en el 2022, el plan de acción para el diseño, elaboración e implementación de la ENDI. En este sentido, se avanzó en la revisión del potencial estadístico del Registro Nacional de Personas con Discapacidad con el objeto de obtener una matriz de datos testigo confiables que contribuyan a ajustar y mejorar la calidad de las dimensiones, indicadores y variables del instrumento de recolección para la futura encuesta.</w:t>
      </w:r>
    </w:p>
    <w:p w14:paraId="00000086" w14:textId="3F25A117" w:rsidR="00A00F16" w:rsidRPr="008F5AA6" w:rsidRDefault="00000000"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La participación activa de la ANDIS en este proceso garantiza que, además de la presencia de las recomendaciones internacionales en torno a la medición de la discapacidad</w:t>
      </w:r>
      <w:r w:rsidR="00FB5EFF" w:rsidRPr="008F5AA6">
        <w:rPr>
          <w:rFonts w:ascii="Times New Roman" w:hAnsi="Times New Roman" w:cs="Times New Roman"/>
          <w:sz w:val="20"/>
          <w:szCs w:val="20"/>
        </w:rPr>
        <w:t xml:space="preserve"> y en el marco de los lineamientos de la CRPD</w:t>
      </w:r>
      <w:r w:rsidRPr="008F5AA6">
        <w:rPr>
          <w:rFonts w:ascii="Times New Roman" w:hAnsi="Times New Roman" w:cs="Times New Roman"/>
          <w:sz w:val="20"/>
          <w:szCs w:val="20"/>
        </w:rPr>
        <w:t xml:space="preserve">, se incluyan </w:t>
      </w:r>
      <w:r w:rsidR="00FB5EFF" w:rsidRPr="008F5AA6">
        <w:rPr>
          <w:rFonts w:ascii="Times New Roman" w:hAnsi="Times New Roman" w:cs="Times New Roman"/>
          <w:sz w:val="20"/>
          <w:szCs w:val="20"/>
        </w:rPr>
        <w:t xml:space="preserve">aquellos aportes </w:t>
      </w:r>
      <w:r w:rsidRPr="008F5AA6">
        <w:rPr>
          <w:rFonts w:ascii="Times New Roman" w:hAnsi="Times New Roman" w:cs="Times New Roman"/>
          <w:sz w:val="20"/>
          <w:szCs w:val="20"/>
        </w:rPr>
        <w:t>académic</w:t>
      </w:r>
      <w:r w:rsidR="00FB5EFF" w:rsidRPr="008F5AA6">
        <w:rPr>
          <w:rFonts w:ascii="Times New Roman" w:hAnsi="Times New Roman" w:cs="Times New Roman"/>
          <w:sz w:val="20"/>
          <w:szCs w:val="20"/>
        </w:rPr>
        <w:t>o</w:t>
      </w:r>
      <w:r w:rsidRPr="008F5AA6">
        <w:rPr>
          <w:rFonts w:ascii="Times New Roman" w:hAnsi="Times New Roman" w:cs="Times New Roman"/>
          <w:sz w:val="20"/>
          <w:szCs w:val="20"/>
        </w:rPr>
        <w:t>s y científic</w:t>
      </w:r>
      <w:r w:rsidR="00FB5EFF" w:rsidRPr="008F5AA6">
        <w:rPr>
          <w:rFonts w:ascii="Times New Roman" w:hAnsi="Times New Roman" w:cs="Times New Roman"/>
          <w:sz w:val="20"/>
          <w:szCs w:val="20"/>
        </w:rPr>
        <w:t>o</w:t>
      </w:r>
      <w:r w:rsidRPr="008F5AA6">
        <w:rPr>
          <w:rFonts w:ascii="Times New Roman" w:hAnsi="Times New Roman" w:cs="Times New Roman"/>
          <w:sz w:val="20"/>
          <w:szCs w:val="20"/>
        </w:rPr>
        <w:t>s de las redes de investigadores e investigadoras en discapacidad, de la sociedad civil y de todos aquellos actores vinculados directa o indirectamente a la temática. Esto se realizará a través de la convocatoria a mesas de diálogo</w:t>
      </w:r>
      <w:r w:rsidR="00FB5EFF" w:rsidRPr="008F5AA6">
        <w:rPr>
          <w:rFonts w:ascii="Times New Roman" w:hAnsi="Times New Roman" w:cs="Times New Roman"/>
          <w:sz w:val="20"/>
          <w:szCs w:val="20"/>
        </w:rPr>
        <w:t xml:space="preserve"> durante 2023</w:t>
      </w:r>
      <w:r w:rsidR="00507C23" w:rsidRPr="008F5AA6">
        <w:rPr>
          <w:rFonts w:ascii="Times New Roman" w:hAnsi="Times New Roman" w:cs="Times New Roman"/>
          <w:sz w:val="20"/>
          <w:szCs w:val="20"/>
        </w:rPr>
        <w:t>, que impulsarán en conjunto ANDIS e INDEC.</w:t>
      </w:r>
    </w:p>
    <w:p w14:paraId="0C086098" w14:textId="21A1CB5F" w:rsidR="00964BFD" w:rsidRPr="008F5AA6" w:rsidRDefault="00964BFD" w:rsidP="00886593">
      <w:pPr>
        <w:spacing w:line="276" w:lineRule="auto"/>
        <w:jc w:val="both"/>
        <w:rPr>
          <w:rFonts w:ascii="Times New Roman" w:hAnsi="Times New Roman" w:cs="Times New Roman"/>
          <w:b/>
          <w:bCs/>
          <w:sz w:val="20"/>
          <w:szCs w:val="20"/>
        </w:rPr>
      </w:pPr>
      <w:r w:rsidRPr="008F5AA6">
        <w:rPr>
          <w:rFonts w:ascii="Times New Roman" w:hAnsi="Times New Roman" w:cs="Times New Roman"/>
          <w:b/>
          <w:bCs/>
          <w:sz w:val="20"/>
          <w:szCs w:val="20"/>
        </w:rPr>
        <w:t>Artículo 32 – Financiamiento y cooperación internacional</w:t>
      </w:r>
    </w:p>
    <w:p w14:paraId="14CBB9B5"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Financiamiento internacional con perspectiva en Discapacidad. Desde el año 2021, se estableció como criterio de priorización para la elección de proyectos presentados por jurisdicciones locales que soliciten ser financiados con recursos externos, la incorporación de la perspectiva de discapacidad en el diseño de los programas y acciones requirentes.</w:t>
      </w:r>
    </w:p>
    <w:p w14:paraId="22ED222E"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A partir de esta iniciativa impulsada por la Agencia Nacional de Discapacidad en articulación con la Secretaría de Asuntos Estratégicos de Presidencia de la Nación, se torna requisito formal que las jurisdicciones locales que presenten solicitudes de financiamiento externo identifiquen cómo el programa o proyecto incorpora acciones </w:t>
      </w:r>
      <w:proofErr w:type="spellStart"/>
      <w:r w:rsidRPr="008F5AA6">
        <w:rPr>
          <w:rFonts w:ascii="Times New Roman" w:hAnsi="Times New Roman" w:cs="Times New Roman"/>
          <w:sz w:val="20"/>
          <w:szCs w:val="20"/>
        </w:rPr>
        <w:t>ó</w:t>
      </w:r>
      <w:proofErr w:type="spellEnd"/>
      <w:r w:rsidRPr="008F5AA6">
        <w:rPr>
          <w:rFonts w:ascii="Times New Roman" w:hAnsi="Times New Roman" w:cs="Times New Roman"/>
          <w:sz w:val="20"/>
          <w:szCs w:val="20"/>
        </w:rPr>
        <w:t xml:space="preserve"> actividades con perspectiva de discapacidad desde un enfoque de derechos humanos.</w:t>
      </w:r>
    </w:p>
    <w:p w14:paraId="370321FD"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En adición a lo anterior, bajo la órbita de ANDIS se creó la Unidad de Financiamiento Externo que tiene como objetivo general la coordinación integral de los diferentes programas y proyectos financiados con fondos de origen internacional (Resolución 942/2022, ANDIS).</w:t>
      </w:r>
    </w:p>
    <w:p w14:paraId="23EE67FA"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Entre sus funciones, se brinda asesoramiento a otros organismos estatales a fin de cooperar en la incorporación del enfoque de discapacidad en el diseño de proyectos a ser presentados para solicitudes de financiamiento externo.</w:t>
      </w:r>
    </w:p>
    <w:p w14:paraId="0405E566"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lastRenderedPageBreak/>
        <w:t>Asimismo, dentro de esta Unidad se ejecutan diversos programas de transversalización de los principios de la Convención. Asimismo, se brinda asesoramiento a otros organismos estatales a fin de cooperar en la incorporación del enfoque de discapacidad en el diseño de proyectos con financiamiento externo que se encuentran priorizados por el Ministerio de Economía de la Nación.</w:t>
      </w:r>
    </w:p>
    <w:p w14:paraId="7B98F2BA"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A partir de estas acciones se ha podido incorporar la perspectiva de discapacidad en más de 17 perfiles de proyectos sobre temáticas tales como agua y saneamiento, transporte, tecnologías de la información, residuos urbanos, infraestructura, agricultura, obras públicas, innovación, turismo. En dichos perfiles, se trabajó sobre ejes tales como inclusión laboral, toma de conciencia/capacitación, participación de las personas con discapacidad y su entorno y organizaciones de la sociedad civil, accesibilidad, y datos y estadísticas.</w:t>
      </w:r>
    </w:p>
    <w:p w14:paraId="0D8186D1"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Programa de Apoyo a la Inclusión Social de las Personas con Discapacidad. A través de la cooperación del Banco Interamericano de Desarrollo (BID), ANDIS lleva adelante un programa que tiene por objetivo reducir los niveles de exclusión social de las personas con discapacidad, promoviendo el acceso efectivo a derechos, servicios y prestaciones básicas y a su vez, fortalecer la capacidad de ANDIS como órgano rector en materia de discapacidad a partir de la transversalización de la perspectiva de la misma en el ámbito público y privado. El monto total del Programa asciende a la suma de dólares estadounidenses doscientos sesenta y cinco millones (US$ 265.000.000).</w:t>
      </w:r>
    </w:p>
    <w:p w14:paraId="3AF63FDF"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Programa para la Promoción del Modelo Social de la Discapacidad y el Acceso a Derechos de las Personas con Discapacidad. Ejecutado con financiamiento del Banco de Desarrollo de América Latina. El Programa tiene como objetivos específicos facilitar la construcción y equipamiento </w:t>
      </w:r>
      <w:proofErr w:type="gramStart"/>
      <w:r w:rsidRPr="008F5AA6">
        <w:rPr>
          <w:rFonts w:ascii="Times New Roman" w:hAnsi="Times New Roman" w:cs="Times New Roman"/>
          <w:sz w:val="20"/>
          <w:szCs w:val="20"/>
        </w:rPr>
        <w:t>de  infraestructura</w:t>
      </w:r>
      <w:proofErr w:type="gramEnd"/>
      <w:r w:rsidRPr="008F5AA6">
        <w:rPr>
          <w:rFonts w:ascii="Times New Roman" w:hAnsi="Times New Roman" w:cs="Times New Roman"/>
          <w:sz w:val="20"/>
          <w:szCs w:val="20"/>
        </w:rPr>
        <w:t xml:space="preserve"> local para la promoción de la vida independiente, fortalecer la gestión local y el despliegue territorial de políticas públicas basadas en el modelo social de la discapacidad y promover el acceso efectivo a derechos de los titulares de las Pensiones No Contributivas (PNC). El monto total del Programa es de dólares estadounidenses trescientos millones (US$ 300.000.000).</w:t>
      </w:r>
    </w:p>
    <w:p w14:paraId="6F84A3AB"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Proyecto del Consorcio de Naciones Unidas por los Derechos de las Personas con Discapacidad denominado “Promoviendo la realización del ejercicio de la capacidad jurídica de las Personas con Discapacidad en Argentina”. El mismo fue diseñado y es ejecutado de forma mancomunada entre organismos del Estado, de la Sociedad Civil y de las Agencias de Naciones Unidas en Argentina.</w:t>
      </w:r>
    </w:p>
    <w:p w14:paraId="4CD7F76A" w14:textId="77777777"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El proyecto, que tiene como entres coordinadores a la Agencia Nacional de Discapacidad y la  Secretaria de Derechos Humanos, centra sus objetivos en la remoción de barreras para el ejercicio de la capacidad jurídica de las personas con discapacidad en Argentina, con un especial énfasis en la situación de las mujeres y niñas con discapacidad y personas con discapacidad pertenecientes a pueblos indígenas, y en particular en lo relativo al derecho a la salud, y a los derechos sexuales y reproductivos.</w:t>
      </w:r>
    </w:p>
    <w:p w14:paraId="5DBF4DB0" w14:textId="46D494B9" w:rsidR="00964BFD" w:rsidRPr="008F5AA6" w:rsidRDefault="00964BFD"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Para ampliar información sobre el proyecto puede remitirse a los párrafos 256 a 260, del Informe de Actualización Argentino 2023.</w:t>
      </w:r>
    </w:p>
    <w:p w14:paraId="557C89A2" w14:textId="7DD286BF" w:rsidR="00E82519" w:rsidRPr="0038126F" w:rsidRDefault="00E82519" w:rsidP="00886593">
      <w:pPr>
        <w:spacing w:line="276" w:lineRule="auto"/>
        <w:jc w:val="both"/>
        <w:rPr>
          <w:rFonts w:ascii="Times New Roman" w:hAnsi="Times New Roman" w:cs="Times New Roman"/>
          <w:b/>
          <w:bCs/>
          <w:sz w:val="20"/>
          <w:szCs w:val="20"/>
        </w:rPr>
      </w:pPr>
      <w:r w:rsidRPr="0038126F">
        <w:rPr>
          <w:rFonts w:ascii="Times New Roman" w:hAnsi="Times New Roman" w:cs="Times New Roman"/>
          <w:b/>
          <w:bCs/>
          <w:sz w:val="20"/>
          <w:szCs w:val="20"/>
        </w:rPr>
        <w:t>Artículo 33 – Información relativa al Observatorio de la Discapacidad y la Defensoría del Pueblo de la Nación</w:t>
      </w:r>
    </w:p>
    <w:p w14:paraId="72405D15" w14:textId="10159AF8" w:rsidR="00E82519" w:rsidRPr="008F5AA6" w:rsidRDefault="00E82519"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En el marco del anteproyecto de Nueva Ley de Discapacidad, </w:t>
      </w:r>
      <w:r w:rsidRPr="008F5AA6">
        <w:rPr>
          <w:rFonts w:ascii="Times New Roman" w:hAnsi="Times New Roman" w:cs="Times New Roman"/>
          <w:sz w:val="20"/>
          <w:szCs w:val="20"/>
        </w:rPr>
        <w:t xml:space="preserve">se </w:t>
      </w:r>
      <w:r w:rsidRPr="008F5AA6">
        <w:rPr>
          <w:rFonts w:ascii="Times New Roman" w:hAnsi="Times New Roman" w:cs="Times New Roman"/>
          <w:sz w:val="20"/>
          <w:szCs w:val="20"/>
        </w:rPr>
        <w:t>establece</w:t>
      </w:r>
      <w:r w:rsidRPr="008F5AA6">
        <w:rPr>
          <w:rFonts w:ascii="Times New Roman" w:hAnsi="Times New Roman" w:cs="Times New Roman"/>
          <w:sz w:val="20"/>
          <w:szCs w:val="20"/>
        </w:rPr>
        <w:t xml:space="preserve"> la creación, fortalecimiento y jerarquización de diversos ámbitos y espacios institucionales para la promoción de derechos de las personas con discapacidad</w:t>
      </w:r>
      <w:r w:rsidRPr="008F5AA6">
        <w:rPr>
          <w:rFonts w:ascii="Times New Roman" w:hAnsi="Times New Roman" w:cs="Times New Roman"/>
          <w:sz w:val="20"/>
          <w:szCs w:val="20"/>
        </w:rPr>
        <w:t xml:space="preserve">. Entre ellos, la </w:t>
      </w:r>
      <w:r w:rsidR="005A377C" w:rsidRPr="008F5AA6">
        <w:rPr>
          <w:rFonts w:ascii="Times New Roman" w:hAnsi="Times New Roman" w:cs="Times New Roman"/>
          <w:sz w:val="20"/>
          <w:szCs w:val="20"/>
        </w:rPr>
        <w:t>creación</w:t>
      </w:r>
      <w:r w:rsidRPr="008F5AA6">
        <w:rPr>
          <w:rFonts w:ascii="Times New Roman" w:hAnsi="Times New Roman" w:cs="Times New Roman"/>
          <w:sz w:val="20"/>
          <w:szCs w:val="20"/>
        </w:rPr>
        <w:t xml:space="preserve"> de</w:t>
      </w:r>
      <w:r w:rsidRPr="008F5AA6">
        <w:rPr>
          <w:rFonts w:ascii="Times New Roman" w:hAnsi="Times New Roman" w:cs="Times New Roman"/>
          <w:sz w:val="20"/>
          <w:szCs w:val="20"/>
        </w:rPr>
        <w:t xml:space="preserve"> un mecanismo integral e independiente</w:t>
      </w:r>
      <w:r w:rsidR="005A377C" w:rsidRPr="008F5AA6">
        <w:rPr>
          <w:rFonts w:ascii="Times New Roman" w:hAnsi="Times New Roman" w:cs="Times New Roman"/>
          <w:sz w:val="20"/>
          <w:szCs w:val="20"/>
        </w:rPr>
        <w:t xml:space="preserve"> de seguimiento a la aplicación de la CRPD a nivel nacional</w:t>
      </w:r>
      <w:r w:rsidRPr="008F5AA6">
        <w:rPr>
          <w:rFonts w:ascii="Times New Roman" w:hAnsi="Times New Roman" w:cs="Times New Roman"/>
          <w:sz w:val="20"/>
          <w:szCs w:val="20"/>
        </w:rPr>
        <w:t>, instituyendo al Observatorio de los Derechos de las Personas con Discapacidad fuera del ámbito del Poder Ejecutivo</w:t>
      </w:r>
      <w:r w:rsidR="005A377C" w:rsidRPr="008F5AA6">
        <w:rPr>
          <w:rFonts w:ascii="Times New Roman" w:hAnsi="Times New Roman" w:cs="Times New Roman"/>
          <w:sz w:val="20"/>
          <w:szCs w:val="20"/>
        </w:rPr>
        <w:t>,</w:t>
      </w:r>
      <w:r w:rsidRPr="008F5AA6">
        <w:rPr>
          <w:rFonts w:ascii="Times New Roman" w:hAnsi="Times New Roman" w:cs="Times New Roman"/>
          <w:sz w:val="20"/>
          <w:szCs w:val="20"/>
        </w:rPr>
        <w:t xml:space="preserve"> e incorpora la figura del Defensor del Pueblo Adjunto de las Personas con Discapacidad a la Defensoría del Pueblo de la Nación. </w:t>
      </w:r>
    </w:p>
    <w:p w14:paraId="751DFA37" w14:textId="1319393B" w:rsidR="00E82519" w:rsidRPr="008F5AA6" w:rsidRDefault="005A377C"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 xml:space="preserve">Mientras dicho proceso se encuentra en curso de formalización, se está impulsando la designación del titular del Observatorio </w:t>
      </w:r>
      <w:r w:rsidRPr="008F5AA6">
        <w:rPr>
          <w:rFonts w:ascii="Times New Roman" w:hAnsi="Times New Roman" w:cs="Times New Roman"/>
          <w:sz w:val="20"/>
          <w:szCs w:val="20"/>
        </w:rPr>
        <w:t>(EX-2023-22444021-APN-DRRHH#AND)</w:t>
      </w:r>
      <w:r w:rsidRPr="008F5AA6">
        <w:rPr>
          <w:rFonts w:ascii="Times New Roman" w:hAnsi="Times New Roman" w:cs="Times New Roman"/>
          <w:sz w:val="20"/>
          <w:szCs w:val="20"/>
        </w:rPr>
        <w:t>.</w:t>
      </w:r>
    </w:p>
    <w:p w14:paraId="00000095" w14:textId="26DC62A2" w:rsidR="00A00F16" w:rsidRPr="008F5AA6" w:rsidRDefault="00B44472" w:rsidP="00886593">
      <w:pPr>
        <w:spacing w:line="276" w:lineRule="auto"/>
        <w:jc w:val="both"/>
        <w:rPr>
          <w:rFonts w:ascii="Times New Roman" w:hAnsi="Times New Roman" w:cs="Times New Roman"/>
          <w:sz w:val="20"/>
          <w:szCs w:val="20"/>
        </w:rPr>
      </w:pPr>
      <w:r w:rsidRPr="008F5AA6">
        <w:rPr>
          <w:rFonts w:ascii="Times New Roman" w:hAnsi="Times New Roman" w:cs="Times New Roman"/>
          <w:sz w:val="20"/>
          <w:szCs w:val="20"/>
        </w:rPr>
        <w:t>Para mayor información, remitirse a los párrafos 679 a 683 del Informe de Actualización Argentino 2023.</w:t>
      </w:r>
    </w:p>
    <w:sectPr w:rsidR="00A00F16" w:rsidRPr="008F5AA6">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A069D"/>
    <w:multiLevelType w:val="hybridMultilevel"/>
    <w:tmpl w:val="C16C030E"/>
    <w:lvl w:ilvl="0" w:tplc="E8303836">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4E776B25"/>
    <w:multiLevelType w:val="hybridMultilevel"/>
    <w:tmpl w:val="193A4FE8"/>
    <w:lvl w:ilvl="0" w:tplc="36C6A63E">
      <w:start w:val="679"/>
      <w:numFmt w:val="bullet"/>
      <w:lvlText w:val="-"/>
      <w:lvlJc w:val="left"/>
      <w:pPr>
        <w:ind w:left="720" w:hanging="360"/>
      </w:pPr>
      <w:rPr>
        <w:rFonts w:ascii="Calibri" w:eastAsia="Calibr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72154F24"/>
    <w:multiLevelType w:val="hybridMultilevel"/>
    <w:tmpl w:val="B056568C"/>
    <w:lvl w:ilvl="0" w:tplc="36C6A63E">
      <w:start w:val="679"/>
      <w:numFmt w:val="bullet"/>
      <w:lvlText w:val="-"/>
      <w:lvlJc w:val="left"/>
      <w:pPr>
        <w:ind w:left="720" w:hanging="360"/>
      </w:pPr>
      <w:rPr>
        <w:rFonts w:ascii="Calibri" w:eastAsia="Calibr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540777697">
    <w:abstractNumId w:val="1"/>
  </w:num>
  <w:num w:numId="2" w16cid:durableId="1165904109">
    <w:abstractNumId w:val="0"/>
  </w:num>
  <w:num w:numId="3" w16cid:durableId="1831825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F16"/>
    <w:rsid w:val="000034B7"/>
    <w:rsid w:val="000D0F7D"/>
    <w:rsid w:val="001104DB"/>
    <w:rsid w:val="00184394"/>
    <w:rsid w:val="001D046F"/>
    <w:rsid w:val="00212843"/>
    <w:rsid w:val="0021302F"/>
    <w:rsid w:val="00351005"/>
    <w:rsid w:val="0038126F"/>
    <w:rsid w:val="003F5D4B"/>
    <w:rsid w:val="00417162"/>
    <w:rsid w:val="004320E6"/>
    <w:rsid w:val="004F04A3"/>
    <w:rsid w:val="00507C23"/>
    <w:rsid w:val="0052046E"/>
    <w:rsid w:val="00537719"/>
    <w:rsid w:val="00577918"/>
    <w:rsid w:val="0058284B"/>
    <w:rsid w:val="005A377C"/>
    <w:rsid w:val="006237F4"/>
    <w:rsid w:val="006F5E36"/>
    <w:rsid w:val="00783DAB"/>
    <w:rsid w:val="007D0435"/>
    <w:rsid w:val="007D06E1"/>
    <w:rsid w:val="007E0C8F"/>
    <w:rsid w:val="00832857"/>
    <w:rsid w:val="00886593"/>
    <w:rsid w:val="008F5AA6"/>
    <w:rsid w:val="00903F8C"/>
    <w:rsid w:val="0091391D"/>
    <w:rsid w:val="00926996"/>
    <w:rsid w:val="009329B0"/>
    <w:rsid w:val="00940CD3"/>
    <w:rsid w:val="00964BFD"/>
    <w:rsid w:val="00A00F16"/>
    <w:rsid w:val="00A54EBF"/>
    <w:rsid w:val="00A8340E"/>
    <w:rsid w:val="00AF230E"/>
    <w:rsid w:val="00B40582"/>
    <w:rsid w:val="00B44472"/>
    <w:rsid w:val="00BD5737"/>
    <w:rsid w:val="00BF4F8D"/>
    <w:rsid w:val="00C91BCB"/>
    <w:rsid w:val="00C96A72"/>
    <w:rsid w:val="00CE752C"/>
    <w:rsid w:val="00D01210"/>
    <w:rsid w:val="00D0700A"/>
    <w:rsid w:val="00D334E2"/>
    <w:rsid w:val="00DA391B"/>
    <w:rsid w:val="00DF0D1F"/>
    <w:rsid w:val="00E82519"/>
    <w:rsid w:val="00FA500A"/>
    <w:rsid w:val="00FB5EF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C7830"/>
  <w15:docId w15:val="{718977BC-9F64-429E-9B3D-E70D49F9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n">
    <w:name w:val="Revision"/>
    <w:hidden/>
    <w:uiPriority w:val="99"/>
    <w:semiHidden/>
    <w:rsid w:val="001D046F"/>
    <w:pPr>
      <w:spacing w:after="0" w:line="240" w:lineRule="auto"/>
    </w:pPr>
  </w:style>
  <w:style w:type="character" w:styleId="Hipervnculo">
    <w:name w:val="Hyperlink"/>
    <w:basedOn w:val="Fuentedeprrafopredeter"/>
    <w:uiPriority w:val="99"/>
    <w:unhideWhenUsed/>
    <w:rsid w:val="00903F8C"/>
    <w:rPr>
      <w:color w:val="0000FF" w:themeColor="hyperlink"/>
      <w:u w:val="single"/>
    </w:rPr>
  </w:style>
  <w:style w:type="character" w:styleId="Mencinsinresolver">
    <w:name w:val="Unresolved Mention"/>
    <w:basedOn w:val="Fuentedeprrafopredeter"/>
    <w:uiPriority w:val="99"/>
    <w:semiHidden/>
    <w:unhideWhenUsed/>
    <w:rsid w:val="00903F8C"/>
    <w:rPr>
      <w:color w:val="605E5C"/>
      <w:shd w:val="clear" w:color="auto" w:fill="E1DFDD"/>
    </w:rPr>
  </w:style>
  <w:style w:type="paragraph" w:styleId="Prrafodelista">
    <w:name w:val="List Paragraph"/>
    <w:basedOn w:val="Normal"/>
    <w:uiPriority w:val="34"/>
    <w:qFormat/>
    <w:rsid w:val="00AF23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356290">
      <w:bodyDiv w:val="1"/>
      <w:marLeft w:val="0"/>
      <w:marRight w:val="0"/>
      <w:marTop w:val="0"/>
      <w:marBottom w:val="0"/>
      <w:divBdr>
        <w:top w:val="none" w:sz="0" w:space="0" w:color="auto"/>
        <w:left w:val="none" w:sz="0" w:space="0" w:color="auto"/>
        <w:bottom w:val="none" w:sz="0" w:space="0" w:color="auto"/>
        <w:right w:val="none" w:sz="0" w:space="0" w:color="auto"/>
      </w:divBdr>
      <w:divsChild>
        <w:div w:id="1216626061">
          <w:marLeft w:val="0"/>
          <w:marRight w:val="0"/>
          <w:marTop w:val="0"/>
          <w:marBottom w:val="0"/>
          <w:divBdr>
            <w:top w:val="none" w:sz="0" w:space="0" w:color="auto"/>
            <w:left w:val="none" w:sz="0" w:space="0" w:color="auto"/>
            <w:bottom w:val="none" w:sz="0" w:space="0" w:color="auto"/>
            <w:right w:val="none" w:sz="0" w:space="0" w:color="auto"/>
          </w:divBdr>
        </w:div>
        <w:div w:id="1627658696">
          <w:marLeft w:val="0"/>
          <w:marRight w:val="0"/>
          <w:marTop w:val="0"/>
          <w:marBottom w:val="0"/>
          <w:divBdr>
            <w:top w:val="none" w:sz="0" w:space="0" w:color="auto"/>
            <w:left w:val="none" w:sz="0" w:space="0" w:color="auto"/>
            <w:bottom w:val="none" w:sz="0" w:space="0" w:color="auto"/>
            <w:right w:val="none" w:sz="0" w:space="0" w:color="auto"/>
          </w:divBdr>
        </w:div>
      </w:divsChild>
    </w:div>
    <w:div w:id="904531305">
      <w:bodyDiv w:val="1"/>
      <w:marLeft w:val="0"/>
      <w:marRight w:val="0"/>
      <w:marTop w:val="0"/>
      <w:marBottom w:val="0"/>
      <w:divBdr>
        <w:top w:val="none" w:sz="0" w:space="0" w:color="auto"/>
        <w:left w:val="none" w:sz="0" w:space="0" w:color="auto"/>
        <w:bottom w:val="none" w:sz="0" w:space="0" w:color="auto"/>
        <w:right w:val="none" w:sz="0" w:space="0" w:color="auto"/>
      </w:divBdr>
    </w:div>
    <w:div w:id="2096004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gentina.gob.ar/generos/linea-144/informacion-estadisti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4000</Words>
  <Characters>22484</Characters>
  <Application>Microsoft Office Word</Application>
  <DocSecurity>0</DocSecurity>
  <Lines>281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cp:revision>
  <dcterms:created xsi:type="dcterms:W3CDTF">2023-03-17T11:51:00Z</dcterms:created>
  <dcterms:modified xsi:type="dcterms:W3CDTF">2023-03-17T11:51:00Z</dcterms:modified>
</cp:coreProperties>
</file>