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2F4AE" w14:textId="64F2D726" w:rsidR="00F73E0B" w:rsidRPr="00F037B5" w:rsidRDefault="00477490">
      <w:r w:rsidRPr="00F037B5">
        <w:t xml:space="preserve"> </w:t>
      </w:r>
    </w:p>
    <w:p w14:paraId="025C2AF1" w14:textId="77777777" w:rsidR="00873699" w:rsidRPr="00F037B5" w:rsidRDefault="00873699"/>
    <w:p w14:paraId="6AC4D049" w14:textId="1B775F4E" w:rsidR="00F73E0B" w:rsidRPr="00F037B5" w:rsidRDefault="00F73E0B"/>
    <w:p w14:paraId="4D9004A2" w14:textId="290E97C4" w:rsidR="00F73E0B" w:rsidRPr="00F037B5" w:rsidRDefault="00F73E0B"/>
    <w:p w14:paraId="2FE0F6AC" w14:textId="6463EE5D" w:rsidR="00F73E0B" w:rsidRPr="00F037B5" w:rsidRDefault="00F73E0B"/>
    <w:p w14:paraId="68BC435E" w14:textId="19716855" w:rsidR="00F73E0B" w:rsidRPr="00F037B5" w:rsidRDefault="00F73E0B"/>
    <w:p w14:paraId="2EBC5009" w14:textId="77777777" w:rsidR="00F73E0B" w:rsidRPr="00F037B5" w:rsidRDefault="00F73E0B"/>
    <w:sdt>
      <w:sdtPr>
        <w:id w:val="-1606483254"/>
        <w:docPartObj>
          <w:docPartGallery w:val="Cover Pages"/>
          <w:docPartUnique/>
        </w:docPartObj>
      </w:sdtPr>
      <w:sdtEndPr>
        <w:rPr>
          <w:b/>
          <w:sz w:val="44"/>
          <w:szCs w:val="28"/>
          <w:lang w:val="en-US"/>
        </w:rPr>
      </w:sdtEndPr>
      <w:sdtContent>
        <w:p w14:paraId="5E4B1848" w14:textId="62E2AA17" w:rsidR="00F73E0B" w:rsidRPr="00F037B5" w:rsidRDefault="00F73E0B" w:rsidP="00F73E0B">
          <w:pPr>
            <w:jc w:val="center"/>
            <w:rPr>
              <w:rFonts w:cs="Arial"/>
              <w:b/>
              <w:sz w:val="48"/>
              <w:szCs w:val="48"/>
              <w:lang w:val="en-US"/>
            </w:rPr>
          </w:pPr>
          <w:r w:rsidRPr="00F037B5">
            <w:rPr>
              <w:rFonts w:cs="Arial"/>
              <w:b/>
              <w:sz w:val="48"/>
              <w:szCs w:val="48"/>
              <w:lang w:val="en-US"/>
            </w:rPr>
            <w:t>Canadian Human Rights Commission</w:t>
          </w:r>
        </w:p>
        <w:p w14:paraId="01EF62D1" w14:textId="77777777" w:rsidR="00F73E0B" w:rsidRPr="00F037B5" w:rsidRDefault="00F73E0B" w:rsidP="00F73E0B">
          <w:pPr>
            <w:jc w:val="center"/>
            <w:rPr>
              <w:rFonts w:cs="Arial"/>
              <w:b/>
              <w:sz w:val="48"/>
              <w:szCs w:val="48"/>
              <w:lang w:val="en-US"/>
            </w:rPr>
          </w:pPr>
        </w:p>
        <w:p w14:paraId="57AEAB8A" w14:textId="56F54E8F" w:rsidR="00F73E0B" w:rsidRPr="00F037B5" w:rsidRDefault="00F73E0B" w:rsidP="00F73E0B">
          <w:pPr>
            <w:jc w:val="center"/>
            <w:rPr>
              <w:rFonts w:cs="Arial"/>
              <w:b/>
              <w:sz w:val="40"/>
              <w:szCs w:val="40"/>
              <w:lang w:val="en-US"/>
            </w:rPr>
          </w:pPr>
          <w:r w:rsidRPr="00F037B5">
            <w:rPr>
              <w:rFonts w:cs="Arial"/>
              <w:b/>
              <w:sz w:val="40"/>
              <w:szCs w:val="40"/>
              <w:lang w:val="en-US"/>
            </w:rPr>
            <w:t xml:space="preserve">Submission to the </w:t>
          </w:r>
          <w:r w:rsidR="00454779" w:rsidRPr="00F037B5">
            <w:rPr>
              <w:rFonts w:cs="Arial"/>
              <w:b/>
              <w:sz w:val="40"/>
              <w:szCs w:val="40"/>
              <w:lang w:val="en-US"/>
            </w:rPr>
            <w:t xml:space="preserve">Human Rights Committee </w:t>
          </w:r>
          <w:proofErr w:type="gramStart"/>
          <w:r w:rsidR="00454779" w:rsidRPr="00F037B5">
            <w:rPr>
              <w:rFonts w:cs="Arial"/>
              <w:b/>
              <w:sz w:val="40"/>
              <w:szCs w:val="40"/>
              <w:lang w:val="en-US"/>
            </w:rPr>
            <w:t>on the occasion of</w:t>
          </w:r>
          <w:proofErr w:type="gramEnd"/>
          <w:r w:rsidR="00454779" w:rsidRPr="00F037B5">
            <w:rPr>
              <w:rFonts w:cs="Arial"/>
              <w:b/>
              <w:sz w:val="40"/>
              <w:szCs w:val="40"/>
              <w:lang w:val="en-US"/>
            </w:rPr>
            <w:t xml:space="preserve"> Canada’s 7</w:t>
          </w:r>
          <w:r w:rsidR="00454779" w:rsidRPr="00F037B5">
            <w:rPr>
              <w:rFonts w:cs="Arial"/>
              <w:b/>
              <w:sz w:val="40"/>
              <w:szCs w:val="40"/>
              <w:vertAlign w:val="superscript"/>
              <w:lang w:val="en-US"/>
            </w:rPr>
            <w:t>th</w:t>
          </w:r>
          <w:r w:rsidR="00454779" w:rsidRPr="00F037B5">
            <w:rPr>
              <w:rFonts w:cs="Arial"/>
              <w:b/>
              <w:sz w:val="40"/>
              <w:szCs w:val="40"/>
              <w:lang w:val="en-US"/>
            </w:rPr>
            <w:t xml:space="preserve"> Periodic Review </w:t>
          </w:r>
        </w:p>
        <w:p w14:paraId="2DD2798D" w14:textId="77777777" w:rsidR="00F73E0B" w:rsidRPr="00F037B5" w:rsidRDefault="00F73E0B">
          <w:pPr>
            <w:rPr>
              <w:b/>
              <w:sz w:val="44"/>
              <w:szCs w:val="28"/>
              <w:lang w:val="en-US"/>
            </w:rPr>
          </w:pPr>
        </w:p>
        <w:p w14:paraId="250055D7" w14:textId="71D75873" w:rsidR="00F73E0B" w:rsidRPr="00F037B5" w:rsidRDefault="00F73E0B">
          <w:pPr>
            <w:rPr>
              <w:b/>
              <w:sz w:val="44"/>
              <w:szCs w:val="28"/>
              <w:lang w:val="en-US"/>
            </w:rPr>
          </w:pPr>
        </w:p>
        <w:p w14:paraId="6D693600" w14:textId="78499283" w:rsidR="00F73E0B" w:rsidRPr="00F037B5" w:rsidRDefault="00F73E0B">
          <w:pPr>
            <w:rPr>
              <w:b/>
              <w:sz w:val="44"/>
              <w:szCs w:val="28"/>
              <w:lang w:val="en-US"/>
            </w:rPr>
          </w:pPr>
        </w:p>
        <w:p w14:paraId="398696D0" w14:textId="77777777" w:rsidR="00F73E0B" w:rsidRPr="00F037B5" w:rsidRDefault="00F73E0B">
          <w:pPr>
            <w:rPr>
              <w:b/>
              <w:sz w:val="44"/>
              <w:szCs w:val="28"/>
              <w:lang w:val="en-US"/>
            </w:rPr>
          </w:pPr>
        </w:p>
        <w:p w14:paraId="19E8553E" w14:textId="58345E69" w:rsidR="00A16476" w:rsidRPr="00F037B5" w:rsidRDefault="00706805" w:rsidP="00A16476">
          <w:pPr>
            <w:rPr>
              <w:rFonts w:cs="Arial"/>
              <w:b/>
              <w:sz w:val="32"/>
              <w:lang w:val="en-US"/>
            </w:rPr>
          </w:pPr>
          <w:r w:rsidRPr="00D14DC5">
            <w:rPr>
              <w:rFonts w:cs="Arial"/>
              <w:b/>
              <w:sz w:val="32"/>
              <w:lang w:val="en-US"/>
            </w:rPr>
            <w:t>February</w:t>
          </w:r>
          <w:r w:rsidR="002F361E" w:rsidRPr="00D14DC5">
            <w:rPr>
              <w:rFonts w:cs="Arial"/>
              <w:b/>
              <w:sz w:val="32"/>
              <w:lang w:val="en-US"/>
            </w:rPr>
            <w:t xml:space="preserve"> 202</w:t>
          </w:r>
          <w:r w:rsidRPr="00D14DC5">
            <w:rPr>
              <w:rFonts w:cs="Arial"/>
              <w:b/>
              <w:sz w:val="32"/>
              <w:lang w:val="en-US"/>
            </w:rPr>
            <w:t>6</w:t>
          </w:r>
        </w:p>
      </w:sdtContent>
    </w:sdt>
    <w:bookmarkStart w:id="0" w:name="_Toc189129105" w:displacedByCustomXml="prev"/>
    <w:bookmarkStart w:id="1" w:name="_Toc160006416" w:displacedByCustomXml="prev"/>
    <w:bookmarkStart w:id="2" w:name="_Toc174373007" w:displacedByCustomXml="prev"/>
    <w:p w14:paraId="12475399" w14:textId="77777777" w:rsidR="00454779" w:rsidRPr="00F037B5" w:rsidRDefault="00454779">
      <w:pPr>
        <w:rPr>
          <w:rFonts w:cs="Arial"/>
          <w:b/>
          <w:bCs/>
          <w:sz w:val="32"/>
          <w:szCs w:val="32"/>
        </w:rPr>
      </w:pPr>
      <w:r w:rsidRPr="00F037B5">
        <w:br w:type="page"/>
      </w:r>
    </w:p>
    <w:p w14:paraId="78B82393" w14:textId="77777777" w:rsidR="00CF250B" w:rsidRDefault="00503749" w:rsidP="00454779">
      <w:pPr>
        <w:pStyle w:val="Heading1"/>
        <w:numPr>
          <w:ilvl w:val="0"/>
          <w:numId w:val="0"/>
        </w:numPr>
        <w:tabs>
          <w:tab w:val="right" w:leader="dot" w:pos="9350"/>
        </w:tabs>
        <w:ind w:left="720" w:hanging="720"/>
        <w:rPr>
          <w:noProof/>
        </w:rPr>
      </w:pPr>
      <w:bookmarkStart w:id="3" w:name="_Toc220669661"/>
      <w:r w:rsidRPr="00F037B5">
        <w:lastRenderedPageBreak/>
        <w:t>T</w:t>
      </w:r>
      <w:r w:rsidR="0086544E" w:rsidRPr="00F037B5">
        <w:t>able</w:t>
      </w:r>
      <w:r w:rsidRPr="00F037B5">
        <w:t xml:space="preserve"> </w:t>
      </w:r>
      <w:r w:rsidR="0086544E" w:rsidRPr="00F037B5">
        <w:t>of</w:t>
      </w:r>
      <w:r w:rsidRPr="00F037B5">
        <w:t xml:space="preserve"> C</w:t>
      </w:r>
      <w:r w:rsidR="0086544E" w:rsidRPr="00F037B5">
        <w:t>ontents</w:t>
      </w:r>
      <w:bookmarkEnd w:id="0"/>
      <w:bookmarkEnd w:id="3"/>
      <w:r w:rsidRPr="00F037B5">
        <w:rPr>
          <w:noProof/>
        </w:rPr>
        <w:fldChar w:fldCharType="begin"/>
      </w:r>
      <w:r w:rsidRPr="00F037B5">
        <w:instrText xml:space="preserve"> TOC \o "1-2" \h \z \u </w:instrText>
      </w:r>
      <w:r w:rsidRPr="00F037B5">
        <w:rPr>
          <w:noProof/>
        </w:rPr>
        <w:fldChar w:fldCharType="separate"/>
      </w:r>
    </w:p>
    <w:p w14:paraId="4B39C07B" w14:textId="46C0A68C" w:rsidR="00CF250B" w:rsidRDefault="00CF250B">
      <w:pPr>
        <w:pStyle w:val="TOC1"/>
        <w:rPr>
          <w:rFonts w:asciiTheme="minorHAnsi" w:eastAsiaTheme="minorEastAsia" w:hAnsiTheme="minorHAnsi"/>
          <w:b w:val="0"/>
          <w:bCs w:val="0"/>
          <w:kern w:val="2"/>
          <w:szCs w:val="24"/>
          <w:lang w:eastAsia="en-CA"/>
          <w14:ligatures w14:val="standardContextual"/>
        </w:rPr>
      </w:pPr>
      <w:hyperlink w:anchor="_Toc220669661" w:history="1">
        <w:r w:rsidRPr="00D33C8A">
          <w:rPr>
            <w:rStyle w:val="Hyperlink"/>
          </w:rPr>
          <w:t>Table of Contents</w:t>
        </w:r>
        <w:r>
          <w:rPr>
            <w:webHidden/>
          </w:rPr>
          <w:tab/>
        </w:r>
        <w:r>
          <w:rPr>
            <w:webHidden/>
          </w:rPr>
          <w:fldChar w:fldCharType="begin"/>
        </w:r>
        <w:r>
          <w:rPr>
            <w:webHidden/>
          </w:rPr>
          <w:instrText xml:space="preserve"> PAGEREF _Toc220669661 \h </w:instrText>
        </w:r>
        <w:r>
          <w:rPr>
            <w:webHidden/>
          </w:rPr>
        </w:r>
        <w:r>
          <w:rPr>
            <w:webHidden/>
          </w:rPr>
          <w:fldChar w:fldCharType="separate"/>
        </w:r>
        <w:r>
          <w:rPr>
            <w:webHidden/>
          </w:rPr>
          <w:t>1</w:t>
        </w:r>
        <w:r>
          <w:rPr>
            <w:webHidden/>
          </w:rPr>
          <w:fldChar w:fldCharType="end"/>
        </w:r>
      </w:hyperlink>
    </w:p>
    <w:p w14:paraId="0199FA4A" w14:textId="1F802A45" w:rsidR="00CF250B" w:rsidRDefault="00CF250B">
      <w:pPr>
        <w:pStyle w:val="TOC1"/>
        <w:rPr>
          <w:rFonts w:asciiTheme="minorHAnsi" w:eastAsiaTheme="minorEastAsia" w:hAnsiTheme="minorHAnsi"/>
          <w:b w:val="0"/>
          <w:bCs w:val="0"/>
          <w:kern w:val="2"/>
          <w:szCs w:val="24"/>
          <w:lang w:eastAsia="en-CA"/>
          <w14:ligatures w14:val="standardContextual"/>
        </w:rPr>
      </w:pPr>
      <w:hyperlink w:anchor="_Toc220669662" w:history="1">
        <w:r w:rsidRPr="00D33C8A">
          <w:rPr>
            <w:rStyle w:val="Hyperlink"/>
          </w:rPr>
          <w:t>1. The Canadian Human Rights Commission</w:t>
        </w:r>
        <w:r>
          <w:rPr>
            <w:webHidden/>
          </w:rPr>
          <w:tab/>
        </w:r>
        <w:r>
          <w:rPr>
            <w:webHidden/>
          </w:rPr>
          <w:fldChar w:fldCharType="begin"/>
        </w:r>
        <w:r>
          <w:rPr>
            <w:webHidden/>
          </w:rPr>
          <w:instrText xml:space="preserve"> PAGEREF _Toc220669662 \h </w:instrText>
        </w:r>
        <w:r>
          <w:rPr>
            <w:webHidden/>
          </w:rPr>
        </w:r>
        <w:r>
          <w:rPr>
            <w:webHidden/>
          </w:rPr>
          <w:fldChar w:fldCharType="separate"/>
        </w:r>
        <w:r>
          <w:rPr>
            <w:webHidden/>
          </w:rPr>
          <w:t>1</w:t>
        </w:r>
        <w:r>
          <w:rPr>
            <w:webHidden/>
          </w:rPr>
          <w:fldChar w:fldCharType="end"/>
        </w:r>
      </w:hyperlink>
    </w:p>
    <w:p w14:paraId="0B23A6ED" w14:textId="0EB64123" w:rsidR="00CF250B" w:rsidRDefault="00CF250B">
      <w:pPr>
        <w:pStyle w:val="TOC1"/>
        <w:rPr>
          <w:rFonts w:asciiTheme="minorHAnsi" w:eastAsiaTheme="minorEastAsia" w:hAnsiTheme="minorHAnsi"/>
          <w:b w:val="0"/>
          <w:bCs w:val="0"/>
          <w:kern w:val="2"/>
          <w:szCs w:val="24"/>
          <w:lang w:eastAsia="en-CA"/>
          <w14:ligatures w14:val="standardContextual"/>
        </w:rPr>
      </w:pPr>
      <w:hyperlink w:anchor="_Toc220669663" w:history="1">
        <w:r w:rsidRPr="00D33C8A">
          <w:rPr>
            <w:rStyle w:val="Hyperlink"/>
          </w:rPr>
          <w:t>2. Context</w:t>
        </w:r>
        <w:r>
          <w:rPr>
            <w:webHidden/>
          </w:rPr>
          <w:tab/>
        </w:r>
        <w:r>
          <w:rPr>
            <w:webHidden/>
          </w:rPr>
          <w:fldChar w:fldCharType="begin"/>
        </w:r>
        <w:r>
          <w:rPr>
            <w:webHidden/>
          </w:rPr>
          <w:instrText xml:space="preserve"> PAGEREF _Toc220669663 \h </w:instrText>
        </w:r>
        <w:r>
          <w:rPr>
            <w:webHidden/>
          </w:rPr>
        </w:r>
        <w:r>
          <w:rPr>
            <w:webHidden/>
          </w:rPr>
          <w:fldChar w:fldCharType="separate"/>
        </w:r>
        <w:r>
          <w:rPr>
            <w:webHidden/>
          </w:rPr>
          <w:t>2</w:t>
        </w:r>
        <w:r>
          <w:rPr>
            <w:webHidden/>
          </w:rPr>
          <w:fldChar w:fldCharType="end"/>
        </w:r>
      </w:hyperlink>
    </w:p>
    <w:p w14:paraId="71C794DB" w14:textId="3558D3F0" w:rsidR="00CF250B" w:rsidRDefault="00CF250B">
      <w:pPr>
        <w:pStyle w:val="TOC1"/>
        <w:rPr>
          <w:rFonts w:asciiTheme="minorHAnsi" w:eastAsiaTheme="minorEastAsia" w:hAnsiTheme="minorHAnsi"/>
          <w:b w:val="0"/>
          <w:bCs w:val="0"/>
          <w:kern w:val="2"/>
          <w:szCs w:val="24"/>
          <w:lang w:eastAsia="en-CA"/>
          <w14:ligatures w14:val="standardContextual"/>
        </w:rPr>
      </w:pPr>
      <w:hyperlink w:anchor="_Toc220669664" w:history="1">
        <w:r w:rsidRPr="00D33C8A">
          <w:rPr>
            <w:rStyle w:val="Hyperlink"/>
          </w:rPr>
          <w:t>3. The Right to Life (Articles 1, 6)</w:t>
        </w:r>
        <w:r>
          <w:rPr>
            <w:webHidden/>
          </w:rPr>
          <w:tab/>
        </w:r>
        <w:r>
          <w:rPr>
            <w:webHidden/>
          </w:rPr>
          <w:fldChar w:fldCharType="begin"/>
        </w:r>
        <w:r>
          <w:rPr>
            <w:webHidden/>
          </w:rPr>
          <w:instrText xml:space="preserve"> PAGEREF _Toc220669664 \h </w:instrText>
        </w:r>
        <w:r>
          <w:rPr>
            <w:webHidden/>
          </w:rPr>
        </w:r>
        <w:r>
          <w:rPr>
            <w:webHidden/>
          </w:rPr>
          <w:fldChar w:fldCharType="separate"/>
        </w:r>
        <w:r>
          <w:rPr>
            <w:webHidden/>
          </w:rPr>
          <w:t>2</w:t>
        </w:r>
        <w:r>
          <w:rPr>
            <w:webHidden/>
          </w:rPr>
          <w:fldChar w:fldCharType="end"/>
        </w:r>
      </w:hyperlink>
    </w:p>
    <w:p w14:paraId="10A69B32" w14:textId="1DBF0872" w:rsidR="00CF250B" w:rsidRDefault="00CF250B">
      <w:pPr>
        <w:pStyle w:val="TOC2"/>
        <w:tabs>
          <w:tab w:val="left" w:pos="960"/>
          <w:tab w:val="right" w:leader="dot" w:pos="9350"/>
        </w:tabs>
        <w:rPr>
          <w:rFonts w:asciiTheme="minorHAnsi" w:eastAsiaTheme="minorEastAsia" w:hAnsiTheme="minorHAnsi"/>
          <w:noProof/>
          <w:kern w:val="2"/>
          <w:szCs w:val="24"/>
          <w:lang w:eastAsia="en-CA"/>
          <w14:ligatures w14:val="standardContextual"/>
        </w:rPr>
      </w:pPr>
      <w:hyperlink w:anchor="_Toc220669665" w:history="1">
        <w:r w:rsidRPr="00D33C8A">
          <w:rPr>
            <w:rStyle w:val="Hyperlink"/>
            <w:noProof/>
          </w:rPr>
          <w:t>3.1</w:t>
        </w:r>
        <w:r>
          <w:rPr>
            <w:rFonts w:asciiTheme="minorHAnsi" w:eastAsiaTheme="minorEastAsia" w:hAnsiTheme="minorHAnsi"/>
            <w:noProof/>
            <w:kern w:val="2"/>
            <w:szCs w:val="24"/>
            <w:lang w:eastAsia="en-CA"/>
            <w14:ligatures w14:val="standardContextual"/>
          </w:rPr>
          <w:tab/>
        </w:r>
        <w:r w:rsidRPr="00D33C8A">
          <w:rPr>
            <w:rStyle w:val="Hyperlink"/>
            <w:noProof/>
          </w:rPr>
          <w:t>Medical Assistance in Dying</w:t>
        </w:r>
        <w:r>
          <w:rPr>
            <w:noProof/>
            <w:webHidden/>
          </w:rPr>
          <w:tab/>
        </w:r>
        <w:r>
          <w:rPr>
            <w:noProof/>
            <w:webHidden/>
          </w:rPr>
          <w:fldChar w:fldCharType="begin"/>
        </w:r>
        <w:r>
          <w:rPr>
            <w:noProof/>
            <w:webHidden/>
          </w:rPr>
          <w:instrText xml:space="preserve"> PAGEREF _Toc220669665 \h </w:instrText>
        </w:r>
        <w:r>
          <w:rPr>
            <w:noProof/>
            <w:webHidden/>
          </w:rPr>
        </w:r>
        <w:r>
          <w:rPr>
            <w:noProof/>
            <w:webHidden/>
          </w:rPr>
          <w:fldChar w:fldCharType="separate"/>
        </w:r>
        <w:r>
          <w:rPr>
            <w:noProof/>
            <w:webHidden/>
          </w:rPr>
          <w:t>2</w:t>
        </w:r>
        <w:r>
          <w:rPr>
            <w:noProof/>
            <w:webHidden/>
          </w:rPr>
          <w:fldChar w:fldCharType="end"/>
        </w:r>
      </w:hyperlink>
    </w:p>
    <w:p w14:paraId="629C922C" w14:textId="3C553F69" w:rsidR="00CF250B" w:rsidRDefault="00CF250B">
      <w:pPr>
        <w:pStyle w:val="TOC2"/>
        <w:tabs>
          <w:tab w:val="left" w:pos="960"/>
          <w:tab w:val="right" w:leader="dot" w:pos="9350"/>
        </w:tabs>
        <w:rPr>
          <w:rFonts w:asciiTheme="minorHAnsi" w:eastAsiaTheme="minorEastAsia" w:hAnsiTheme="minorHAnsi"/>
          <w:noProof/>
          <w:kern w:val="2"/>
          <w:szCs w:val="24"/>
          <w:lang w:eastAsia="en-CA"/>
          <w14:ligatures w14:val="standardContextual"/>
        </w:rPr>
      </w:pPr>
      <w:hyperlink w:anchor="_Toc220669666" w:history="1">
        <w:r w:rsidRPr="00D33C8A">
          <w:rPr>
            <w:rStyle w:val="Hyperlink"/>
            <w:noProof/>
          </w:rPr>
          <w:t>3.2</w:t>
        </w:r>
        <w:r>
          <w:rPr>
            <w:rFonts w:asciiTheme="minorHAnsi" w:eastAsiaTheme="minorEastAsia" w:hAnsiTheme="minorHAnsi"/>
            <w:noProof/>
            <w:kern w:val="2"/>
            <w:szCs w:val="24"/>
            <w:lang w:eastAsia="en-CA"/>
            <w14:ligatures w14:val="standardContextual"/>
          </w:rPr>
          <w:tab/>
        </w:r>
        <w:r w:rsidRPr="00D33C8A">
          <w:rPr>
            <w:rStyle w:val="Hyperlink"/>
            <w:noProof/>
          </w:rPr>
          <w:t>Homelessness and Encampments</w:t>
        </w:r>
        <w:r>
          <w:rPr>
            <w:noProof/>
            <w:webHidden/>
          </w:rPr>
          <w:tab/>
        </w:r>
        <w:r>
          <w:rPr>
            <w:noProof/>
            <w:webHidden/>
          </w:rPr>
          <w:fldChar w:fldCharType="begin"/>
        </w:r>
        <w:r>
          <w:rPr>
            <w:noProof/>
            <w:webHidden/>
          </w:rPr>
          <w:instrText xml:space="preserve"> PAGEREF _Toc220669666 \h </w:instrText>
        </w:r>
        <w:r>
          <w:rPr>
            <w:noProof/>
            <w:webHidden/>
          </w:rPr>
        </w:r>
        <w:r>
          <w:rPr>
            <w:noProof/>
            <w:webHidden/>
          </w:rPr>
          <w:fldChar w:fldCharType="separate"/>
        </w:r>
        <w:r>
          <w:rPr>
            <w:noProof/>
            <w:webHidden/>
          </w:rPr>
          <w:t>4</w:t>
        </w:r>
        <w:r>
          <w:rPr>
            <w:noProof/>
            <w:webHidden/>
          </w:rPr>
          <w:fldChar w:fldCharType="end"/>
        </w:r>
      </w:hyperlink>
    </w:p>
    <w:p w14:paraId="2BA086FD" w14:textId="0197538F" w:rsidR="00CF250B" w:rsidRDefault="00CF250B">
      <w:pPr>
        <w:pStyle w:val="TOC2"/>
        <w:tabs>
          <w:tab w:val="left" w:pos="960"/>
          <w:tab w:val="right" w:leader="dot" w:pos="9350"/>
        </w:tabs>
        <w:rPr>
          <w:rFonts w:asciiTheme="minorHAnsi" w:eastAsiaTheme="minorEastAsia" w:hAnsiTheme="minorHAnsi"/>
          <w:noProof/>
          <w:kern w:val="2"/>
          <w:szCs w:val="24"/>
          <w:lang w:eastAsia="en-CA"/>
          <w14:ligatures w14:val="standardContextual"/>
        </w:rPr>
      </w:pPr>
      <w:hyperlink w:anchor="_Toc220669667" w:history="1">
        <w:r w:rsidRPr="00D33C8A">
          <w:rPr>
            <w:rStyle w:val="Hyperlink"/>
            <w:noProof/>
          </w:rPr>
          <w:t>3.3</w:t>
        </w:r>
        <w:r>
          <w:rPr>
            <w:rFonts w:asciiTheme="minorHAnsi" w:eastAsiaTheme="minorEastAsia" w:hAnsiTheme="minorHAnsi"/>
            <w:noProof/>
            <w:kern w:val="2"/>
            <w:szCs w:val="24"/>
            <w:lang w:eastAsia="en-CA"/>
            <w14:ligatures w14:val="standardContextual"/>
          </w:rPr>
          <w:tab/>
        </w:r>
        <w:r w:rsidRPr="00D33C8A">
          <w:rPr>
            <w:rStyle w:val="Hyperlink"/>
            <w:noProof/>
          </w:rPr>
          <w:t>Climate Justice</w:t>
        </w:r>
        <w:r>
          <w:rPr>
            <w:noProof/>
            <w:webHidden/>
          </w:rPr>
          <w:tab/>
        </w:r>
        <w:r>
          <w:rPr>
            <w:noProof/>
            <w:webHidden/>
          </w:rPr>
          <w:fldChar w:fldCharType="begin"/>
        </w:r>
        <w:r>
          <w:rPr>
            <w:noProof/>
            <w:webHidden/>
          </w:rPr>
          <w:instrText xml:space="preserve"> PAGEREF _Toc220669667 \h </w:instrText>
        </w:r>
        <w:r>
          <w:rPr>
            <w:noProof/>
            <w:webHidden/>
          </w:rPr>
        </w:r>
        <w:r>
          <w:rPr>
            <w:noProof/>
            <w:webHidden/>
          </w:rPr>
          <w:fldChar w:fldCharType="separate"/>
        </w:r>
        <w:r>
          <w:rPr>
            <w:noProof/>
            <w:webHidden/>
          </w:rPr>
          <w:t>7</w:t>
        </w:r>
        <w:r>
          <w:rPr>
            <w:noProof/>
            <w:webHidden/>
          </w:rPr>
          <w:fldChar w:fldCharType="end"/>
        </w:r>
      </w:hyperlink>
    </w:p>
    <w:p w14:paraId="48676C0E" w14:textId="6DF31E96" w:rsidR="00CF250B" w:rsidRDefault="00CF250B">
      <w:pPr>
        <w:pStyle w:val="TOC1"/>
        <w:rPr>
          <w:rFonts w:asciiTheme="minorHAnsi" w:eastAsiaTheme="minorEastAsia" w:hAnsiTheme="minorHAnsi"/>
          <w:b w:val="0"/>
          <w:bCs w:val="0"/>
          <w:kern w:val="2"/>
          <w:szCs w:val="24"/>
          <w:lang w:eastAsia="en-CA"/>
          <w14:ligatures w14:val="standardContextual"/>
        </w:rPr>
      </w:pPr>
      <w:hyperlink w:anchor="_Toc220669668" w:history="1">
        <w:r w:rsidRPr="00D33C8A">
          <w:rPr>
            <w:rStyle w:val="Hyperlink"/>
            <w:lang w:val="en-US"/>
          </w:rPr>
          <w:t>4. The Rights of Indigenous Peoples (Articles 1, 2, 24, 26)</w:t>
        </w:r>
        <w:r>
          <w:rPr>
            <w:webHidden/>
          </w:rPr>
          <w:tab/>
        </w:r>
        <w:r>
          <w:rPr>
            <w:webHidden/>
          </w:rPr>
          <w:fldChar w:fldCharType="begin"/>
        </w:r>
        <w:r>
          <w:rPr>
            <w:webHidden/>
          </w:rPr>
          <w:instrText xml:space="preserve"> PAGEREF _Toc220669668 \h </w:instrText>
        </w:r>
        <w:r>
          <w:rPr>
            <w:webHidden/>
          </w:rPr>
        </w:r>
        <w:r>
          <w:rPr>
            <w:webHidden/>
          </w:rPr>
          <w:fldChar w:fldCharType="separate"/>
        </w:r>
        <w:r>
          <w:rPr>
            <w:webHidden/>
          </w:rPr>
          <w:t>8</w:t>
        </w:r>
        <w:r>
          <w:rPr>
            <w:webHidden/>
          </w:rPr>
          <w:fldChar w:fldCharType="end"/>
        </w:r>
      </w:hyperlink>
    </w:p>
    <w:p w14:paraId="42A92E40" w14:textId="6AE97412" w:rsidR="00CF250B" w:rsidRDefault="00CF250B">
      <w:pPr>
        <w:pStyle w:val="TOC2"/>
        <w:tabs>
          <w:tab w:val="left" w:pos="960"/>
          <w:tab w:val="right" w:leader="dot" w:pos="9350"/>
        </w:tabs>
        <w:rPr>
          <w:rFonts w:asciiTheme="minorHAnsi" w:eastAsiaTheme="minorEastAsia" w:hAnsiTheme="minorHAnsi"/>
          <w:noProof/>
          <w:kern w:val="2"/>
          <w:szCs w:val="24"/>
          <w:lang w:eastAsia="en-CA"/>
          <w14:ligatures w14:val="standardContextual"/>
        </w:rPr>
      </w:pPr>
      <w:hyperlink w:anchor="_Toc220669669" w:history="1">
        <w:r w:rsidRPr="00D33C8A">
          <w:rPr>
            <w:rStyle w:val="Hyperlink"/>
            <w:noProof/>
          </w:rPr>
          <w:t>4.1</w:t>
        </w:r>
        <w:r>
          <w:rPr>
            <w:rFonts w:asciiTheme="minorHAnsi" w:eastAsiaTheme="minorEastAsia" w:hAnsiTheme="minorHAnsi"/>
            <w:noProof/>
            <w:kern w:val="2"/>
            <w:szCs w:val="24"/>
            <w:lang w:eastAsia="en-CA"/>
            <w14:ligatures w14:val="standardContextual"/>
          </w:rPr>
          <w:tab/>
        </w:r>
        <w:r w:rsidRPr="00D33C8A">
          <w:rPr>
            <w:rStyle w:val="Hyperlink"/>
            <w:noProof/>
          </w:rPr>
          <w:t>Equitable and Adequate Services</w:t>
        </w:r>
        <w:r>
          <w:rPr>
            <w:noProof/>
            <w:webHidden/>
          </w:rPr>
          <w:tab/>
        </w:r>
        <w:r>
          <w:rPr>
            <w:noProof/>
            <w:webHidden/>
          </w:rPr>
          <w:fldChar w:fldCharType="begin"/>
        </w:r>
        <w:r>
          <w:rPr>
            <w:noProof/>
            <w:webHidden/>
          </w:rPr>
          <w:instrText xml:space="preserve"> PAGEREF _Toc220669669 \h </w:instrText>
        </w:r>
        <w:r>
          <w:rPr>
            <w:noProof/>
            <w:webHidden/>
          </w:rPr>
        </w:r>
        <w:r>
          <w:rPr>
            <w:noProof/>
            <w:webHidden/>
          </w:rPr>
          <w:fldChar w:fldCharType="separate"/>
        </w:r>
        <w:r>
          <w:rPr>
            <w:noProof/>
            <w:webHidden/>
          </w:rPr>
          <w:t>11</w:t>
        </w:r>
        <w:r>
          <w:rPr>
            <w:noProof/>
            <w:webHidden/>
          </w:rPr>
          <w:fldChar w:fldCharType="end"/>
        </w:r>
      </w:hyperlink>
    </w:p>
    <w:p w14:paraId="6F602CEE" w14:textId="18BB10EB" w:rsidR="00CF250B" w:rsidRDefault="00CF250B">
      <w:pPr>
        <w:pStyle w:val="TOC2"/>
        <w:tabs>
          <w:tab w:val="left" w:pos="960"/>
          <w:tab w:val="right" w:leader="dot" w:pos="9350"/>
        </w:tabs>
        <w:rPr>
          <w:rFonts w:asciiTheme="minorHAnsi" w:eastAsiaTheme="minorEastAsia" w:hAnsiTheme="minorHAnsi"/>
          <w:noProof/>
          <w:kern w:val="2"/>
          <w:szCs w:val="24"/>
          <w:lang w:eastAsia="en-CA"/>
          <w14:ligatures w14:val="standardContextual"/>
        </w:rPr>
      </w:pPr>
      <w:hyperlink w:anchor="_Toc220669670" w:history="1">
        <w:r w:rsidRPr="00D33C8A">
          <w:rPr>
            <w:rStyle w:val="Hyperlink"/>
            <w:noProof/>
          </w:rPr>
          <w:t>4.2</w:t>
        </w:r>
        <w:r>
          <w:rPr>
            <w:rFonts w:asciiTheme="minorHAnsi" w:eastAsiaTheme="minorEastAsia" w:hAnsiTheme="minorHAnsi"/>
            <w:noProof/>
            <w:kern w:val="2"/>
            <w:szCs w:val="24"/>
            <w:lang w:eastAsia="en-CA"/>
            <w14:ligatures w14:val="standardContextual"/>
          </w:rPr>
          <w:tab/>
        </w:r>
        <w:r w:rsidRPr="00D33C8A">
          <w:rPr>
            <w:rStyle w:val="Hyperlink"/>
            <w:noProof/>
          </w:rPr>
          <w:t>Forced or Coerced Sterilization</w:t>
        </w:r>
        <w:r>
          <w:rPr>
            <w:noProof/>
            <w:webHidden/>
          </w:rPr>
          <w:tab/>
        </w:r>
        <w:r>
          <w:rPr>
            <w:noProof/>
            <w:webHidden/>
          </w:rPr>
          <w:fldChar w:fldCharType="begin"/>
        </w:r>
        <w:r>
          <w:rPr>
            <w:noProof/>
            <w:webHidden/>
          </w:rPr>
          <w:instrText xml:space="preserve"> PAGEREF _Toc220669670 \h </w:instrText>
        </w:r>
        <w:r>
          <w:rPr>
            <w:noProof/>
            <w:webHidden/>
          </w:rPr>
        </w:r>
        <w:r>
          <w:rPr>
            <w:noProof/>
            <w:webHidden/>
          </w:rPr>
          <w:fldChar w:fldCharType="separate"/>
        </w:r>
        <w:r>
          <w:rPr>
            <w:noProof/>
            <w:webHidden/>
          </w:rPr>
          <w:t>12</w:t>
        </w:r>
        <w:r>
          <w:rPr>
            <w:noProof/>
            <w:webHidden/>
          </w:rPr>
          <w:fldChar w:fldCharType="end"/>
        </w:r>
      </w:hyperlink>
    </w:p>
    <w:p w14:paraId="57A8A4F0" w14:textId="10486E41" w:rsidR="00CF250B" w:rsidRDefault="00CF250B">
      <w:pPr>
        <w:pStyle w:val="TOC1"/>
        <w:rPr>
          <w:rFonts w:asciiTheme="minorHAnsi" w:eastAsiaTheme="minorEastAsia" w:hAnsiTheme="minorHAnsi"/>
          <w:b w:val="0"/>
          <w:bCs w:val="0"/>
          <w:kern w:val="2"/>
          <w:szCs w:val="24"/>
          <w:lang w:eastAsia="en-CA"/>
          <w14:ligatures w14:val="standardContextual"/>
        </w:rPr>
      </w:pPr>
      <w:hyperlink w:anchor="_Toc220669671" w:history="1">
        <w:r w:rsidRPr="00D33C8A">
          <w:rPr>
            <w:rStyle w:val="Hyperlink"/>
            <w:lang w:val="en-US"/>
          </w:rPr>
          <w:t>5. People Deprived of Their Liberty (Articles 2, 7, 9, 10, 14, 26)</w:t>
        </w:r>
        <w:r>
          <w:rPr>
            <w:webHidden/>
          </w:rPr>
          <w:tab/>
        </w:r>
        <w:r>
          <w:rPr>
            <w:webHidden/>
          </w:rPr>
          <w:fldChar w:fldCharType="begin"/>
        </w:r>
        <w:r>
          <w:rPr>
            <w:webHidden/>
          </w:rPr>
          <w:instrText xml:space="preserve"> PAGEREF _Toc220669671 \h </w:instrText>
        </w:r>
        <w:r>
          <w:rPr>
            <w:webHidden/>
          </w:rPr>
        </w:r>
        <w:r>
          <w:rPr>
            <w:webHidden/>
          </w:rPr>
          <w:fldChar w:fldCharType="separate"/>
        </w:r>
        <w:r>
          <w:rPr>
            <w:webHidden/>
          </w:rPr>
          <w:t>13</w:t>
        </w:r>
        <w:r>
          <w:rPr>
            <w:webHidden/>
          </w:rPr>
          <w:fldChar w:fldCharType="end"/>
        </w:r>
      </w:hyperlink>
    </w:p>
    <w:p w14:paraId="7BCC7C67" w14:textId="1C1D0301" w:rsidR="00CF250B" w:rsidRDefault="00CF250B">
      <w:pPr>
        <w:pStyle w:val="TOC2"/>
        <w:tabs>
          <w:tab w:val="left" w:pos="960"/>
          <w:tab w:val="right" w:leader="dot" w:pos="9350"/>
        </w:tabs>
        <w:rPr>
          <w:rFonts w:asciiTheme="minorHAnsi" w:eastAsiaTheme="minorEastAsia" w:hAnsiTheme="minorHAnsi"/>
          <w:noProof/>
          <w:kern w:val="2"/>
          <w:szCs w:val="24"/>
          <w:lang w:eastAsia="en-CA"/>
          <w14:ligatures w14:val="standardContextual"/>
        </w:rPr>
      </w:pPr>
      <w:hyperlink w:anchor="_Toc220669672" w:history="1">
        <w:r w:rsidRPr="00D33C8A">
          <w:rPr>
            <w:rStyle w:val="Hyperlink"/>
            <w:noProof/>
          </w:rPr>
          <w:t>5.1</w:t>
        </w:r>
        <w:r>
          <w:rPr>
            <w:rFonts w:asciiTheme="minorHAnsi" w:eastAsiaTheme="minorEastAsia" w:hAnsiTheme="minorHAnsi"/>
            <w:noProof/>
            <w:kern w:val="2"/>
            <w:szCs w:val="24"/>
            <w:lang w:eastAsia="en-CA"/>
            <w14:ligatures w14:val="standardContextual"/>
          </w:rPr>
          <w:tab/>
        </w:r>
        <w:r w:rsidRPr="00D33C8A">
          <w:rPr>
            <w:rStyle w:val="Hyperlink"/>
            <w:noProof/>
          </w:rPr>
          <w:t>Federal Justice System</w:t>
        </w:r>
        <w:r>
          <w:rPr>
            <w:noProof/>
            <w:webHidden/>
          </w:rPr>
          <w:tab/>
        </w:r>
        <w:r>
          <w:rPr>
            <w:noProof/>
            <w:webHidden/>
          </w:rPr>
          <w:fldChar w:fldCharType="begin"/>
        </w:r>
        <w:r>
          <w:rPr>
            <w:noProof/>
            <w:webHidden/>
          </w:rPr>
          <w:instrText xml:space="preserve"> PAGEREF _Toc220669672 \h </w:instrText>
        </w:r>
        <w:r>
          <w:rPr>
            <w:noProof/>
            <w:webHidden/>
          </w:rPr>
        </w:r>
        <w:r>
          <w:rPr>
            <w:noProof/>
            <w:webHidden/>
          </w:rPr>
          <w:fldChar w:fldCharType="separate"/>
        </w:r>
        <w:r>
          <w:rPr>
            <w:noProof/>
            <w:webHidden/>
          </w:rPr>
          <w:t>13</w:t>
        </w:r>
        <w:r>
          <w:rPr>
            <w:noProof/>
            <w:webHidden/>
          </w:rPr>
          <w:fldChar w:fldCharType="end"/>
        </w:r>
      </w:hyperlink>
    </w:p>
    <w:p w14:paraId="6ECD66DD" w14:textId="120959E9" w:rsidR="00CF250B" w:rsidRDefault="00CF250B">
      <w:pPr>
        <w:pStyle w:val="TOC2"/>
        <w:tabs>
          <w:tab w:val="left" w:pos="960"/>
          <w:tab w:val="right" w:leader="dot" w:pos="9350"/>
        </w:tabs>
        <w:rPr>
          <w:rFonts w:asciiTheme="minorHAnsi" w:eastAsiaTheme="minorEastAsia" w:hAnsiTheme="minorHAnsi"/>
          <w:noProof/>
          <w:kern w:val="2"/>
          <w:szCs w:val="24"/>
          <w:lang w:eastAsia="en-CA"/>
          <w14:ligatures w14:val="standardContextual"/>
        </w:rPr>
      </w:pPr>
      <w:hyperlink w:anchor="_Toc220669673" w:history="1">
        <w:r w:rsidRPr="00D33C8A">
          <w:rPr>
            <w:rStyle w:val="Hyperlink"/>
            <w:noProof/>
          </w:rPr>
          <w:t>5.2</w:t>
        </w:r>
        <w:r>
          <w:rPr>
            <w:rFonts w:asciiTheme="minorHAnsi" w:eastAsiaTheme="minorEastAsia" w:hAnsiTheme="minorHAnsi"/>
            <w:noProof/>
            <w:kern w:val="2"/>
            <w:szCs w:val="24"/>
            <w:lang w:eastAsia="en-CA"/>
            <w14:ligatures w14:val="standardContextual"/>
          </w:rPr>
          <w:tab/>
        </w:r>
        <w:r w:rsidRPr="00D33C8A">
          <w:rPr>
            <w:rStyle w:val="Hyperlink"/>
            <w:noProof/>
          </w:rPr>
          <w:t>Institutionalization</w:t>
        </w:r>
        <w:r>
          <w:rPr>
            <w:noProof/>
            <w:webHidden/>
          </w:rPr>
          <w:tab/>
        </w:r>
        <w:r>
          <w:rPr>
            <w:noProof/>
            <w:webHidden/>
          </w:rPr>
          <w:fldChar w:fldCharType="begin"/>
        </w:r>
        <w:r>
          <w:rPr>
            <w:noProof/>
            <w:webHidden/>
          </w:rPr>
          <w:instrText xml:space="preserve"> PAGEREF _Toc220669673 \h </w:instrText>
        </w:r>
        <w:r>
          <w:rPr>
            <w:noProof/>
            <w:webHidden/>
          </w:rPr>
        </w:r>
        <w:r>
          <w:rPr>
            <w:noProof/>
            <w:webHidden/>
          </w:rPr>
          <w:fldChar w:fldCharType="separate"/>
        </w:r>
        <w:r>
          <w:rPr>
            <w:noProof/>
            <w:webHidden/>
          </w:rPr>
          <w:t>19</w:t>
        </w:r>
        <w:r>
          <w:rPr>
            <w:noProof/>
            <w:webHidden/>
          </w:rPr>
          <w:fldChar w:fldCharType="end"/>
        </w:r>
      </w:hyperlink>
    </w:p>
    <w:p w14:paraId="58F01868" w14:textId="046A979A" w:rsidR="00CF250B" w:rsidRDefault="00CF250B">
      <w:pPr>
        <w:pStyle w:val="TOC2"/>
        <w:tabs>
          <w:tab w:val="left" w:pos="960"/>
          <w:tab w:val="right" w:leader="dot" w:pos="9350"/>
        </w:tabs>
        <w:rPr>
          <w:rFonts w:asciiTheme="minorHAnsi" w:eastAsiaTheme="minorEastAsia" w:hAnsiTheme="minorHAnsi"/>
          <w:noProof/>
          <w:kern w:val="2"/>
          <w:szCs w:val="24"/>
          <w:lang w:eastAsia="en-CA"/>
          <w14:ligatures w14:val="standardContextual"/>
        </w:rPr>
      </w:pPr>
      <w:hyperlink w:anchor="_Toc220669674" w:history="1">
        <w:r w:rsidRPr="00D33C8A">
          <w:rPr>
            <w:rStyle w:val="Hyperlink"/>
            <w:noProof/>
          </w:rPr>
          <w:t>5.3</w:t>
        </w:r>
        <w:r>
          <w:rPr>
            <w:rFonts w:asciiTheme="minorHAnsi" w:eastAsiaTheme="minorEastAsia" w:hAnsiTheme="minorHAnsi"/>
            <w:noProof/>
            <w:kern w:val="2"/>
            <w:szCs w:val="24"/>
            <w:lang w:eastAsia="en-CA"/>
            <w14:ligatures w14:val="standardContextual"/>
          </w:rPr>
          <w:tab/>
        </w:r>
        <w:r w:rsidRPr="00D33C8A">
          <w:rPr>
            <w:rStyle w:val="Hyperlink"/>
            <w:noProof/>
          </w:rPr>
          <w:t>Ratifying the Optional Protocol to the Convention against Torture</w:t>
        </w:r>
        <w:r>
          <w:rPr>
            <w:noProof/>
            <w:webHidden/>
          </w:rPr>
          <w:tab/>
        </w:r>
        <w:r>
          <w:rPr>
            <w:noProof/>
            <w:webHidden/>
          </w:rPr>
          <w:fldChar w:fldCharType="begin"/>
        </w:r>
        <w:r>
          <w:rPr>
            <w:noProof/>
            <w:webHidden/>
          </w:rPr>
          <w:instrText xml:space="preserve"> PAGEREF _Toc220669674 \h </w:instrText>
        </w:r>
        <w:r>
          <w:rPr>
            <w:noProof/>
            <w:webHidden/>
          </w:rPr>
        </w:r>
        <w:r>
          <w:rPr>
            <w:noProof/>
            <w:webHidden/>
          </w:rPr>
          <w:fldChar w:fldCharType="separate"/>
        </w:r>
        <w:r>
          <w:rPr>
            <w:noProof/>
            <w:webHidden/>
          </w:rPr>
          <w:t>21</w:t>
        </w:r>
        <w:r>
          <w:rPr>
            <w:noProof/>
            <w:webHidden/>
          </w:rPr>
          <w:fldChar w:fldCharType="end"/>
        </w:r>
      </w:hyperlink>
    </w:p>
    <w:p w14:paraId="0DE52BD2" w14:textId="173C8D25" w:rsidR="00CF250B" w:rsidRDefault="00CF250B">
      <w:pPr>
        <w:pStyle w:val="TOC1"/>
        <w:rPr>
          <w:rFonts w:asciiTheme="minorHAnsi" w:eastAsiaTheme="minorEastAsia" w:hAnsiTheme="minorHAnsi"/>
          <w:b w:val="0"/>
          <w:bCs w:val="0"/>
          <w:kern w:val="2"/>
          <w:szCs w:val="24"/>
          <w:lang w:eastAsia="en-CA"/>
          <w14:ligatures w14:val="standardContextual"/>
        </w:rPr>
      </w:pPr>
      <w:hyperlink w:anchor="_Toc220669675" w:history="1">
        <w:r w:rsidRPr="00D33C8A">
          <w:rPr>
            <w:rStyle w:val="Hyperlink"/>
            <w:lang w:val="en-US"/>
          </w:rPr>
          <w:t>6. Access to Election Processes (Articles 2, 25, 26)</w:t>
        </w:r>
        <w:r>
          <w:rPr>
            <w:webHidden/>
          </w:rPr>
          <w:tab/>
        </w:r>
        <w:r>
          <w:rPr>
            <w:webHidden/>
          </w:rPr>
          <w:fldChar w:fldCharType="begin"/>
        </w:r>
        <w:r>
          <w:rPr>
            <w:webHidden/>
          </w:rPr>
          <w:instrText xml:space="preserve"> PAGEREF _Toc220669675 \h </w:instrText>
        </w:r>
        <w:r>
          <w:rPr>
            <w:webHidden/>
          </w:rPr>
        </w:r>
        <w:r>
          <w:rPr>
            <w:webHidden/>
          </w:rPr>
          <w:fldChar w:fldCharType="separate"/>
        </w:r>
        <w:r>
          <w:rPr>
            <w:webHidden/>
          </w:rPr>
          <w:t>21</w:t>
        </w:r>
        <w:r>
          <w:rPr>
            <w:webHidden/>
          </w:rPr>
          <w:fldChar w:fldCharType="end"/>
        </w:r>
      </w:hyperlink>
    </w:p>
    <w:p w14:paraId="2BCEC931" w14:textId="4C6E9B1E" w:rsidR="00CF250B" w:rsidRDefault="00CF250B">
      <w:pPr>
        <w:pStyle w:val="TOC1"/>
        <w:rPr>
          <w:rFonts w:asciiTheme="minorHAnsi" w:eastAsiaTheme="minorEastAsia" w:hAnsiTheme="minorHAnsi"/>
          <w:b w:val="0"/>
          <w:bCs w:val="0"/>
          <w:kern w:val="2"/>
          <w:szCs w:val="24"/>
          <w:lang w:eastAsia="en-CA"/>
          <w14:ligatures w14:val="standardContextual"/>
        </w:rPr>
      </w:pPr>
      <w:hyperlink w:anchor="_Toc220669676" w:history="1">
        <w:r w:rsidRPr="00D33C8A">
          <w:rPr>
            <w:rStyle w:val="Hyperlink"/>
          </w:rPr>
          <w:t>7. Pay Equity (Articles 3, 26)</w:t>
        </w:r>
        <w:r>
          <w:rPr>
            <w:webHidden/>
          </w:rPr>
          <w:tab/>
        </w:r>
        <w:r>
          <w:rPr>
            <w:webHidden/>
          </w:rPr>
          <w:fldChar w:fldCharType="begin"/>
        </w:r>
        <w:r>
          <w:rPr>
            <w:webHidden/>
          </w:rPr>
          <w:instrText xml:space="preserve"> PAGEREF _Toc220669676 \h </w:instrText>
        </w:r>
        <w:r>
          <w:rPr>
            <w:webHidden/>
          </w:rPr>
        </w:r>
        <w:r>
          <w:rPr>
            <w:webHidden/>
          </w:rPr>
          <w:fldChar w:fldCharType="separate"/>
        </w:r>
        <w:r>
          <w:rPr>
            <w:webHidden/>
          </w:rPr>
          <w:t>22</w:t>
        </w:r>
        <w:r>
          <w:rPr>
            <w:webHidden/>
          </w:rPr>
          <w:fldChar w:fldCharType="end"/>
        </w:r>
      </w:hyperlink>
    </w:p>
    <w:p w14:paraId="37093597" w14:textId="571CC92E" w:rsidR="00CF250B" w:rsidRDefault="00CF250B">
      <w:pPr>
        <w:pStyle w:val="TOC1"/>
        <w:rPr>
          <w:rFonts w:asciiTheme="minorHAnsi" w:eastAsiaTheme="minorEastAsia" w:hAnsiTheme="minorHAnsi"/>
          <w:b w:val="0"/>
          <w:bCs w:val="0"/>
          <w:kern w:val="2"/>
          <w:szCs w:val="24"/>
          <w:lang w:eastAsia="en-CA"/>
          <w14:ligatures w14:val="standardContextual"/>
        </w:rPr>
      </w:pPr>
      <w:hyperlink w:anchor="_Toc220669677" w:history="1">
        <w:r w:rsidRPr="00D33C8A">
          <w:rPr>
            <w:rStyle w:val="Hyperlink"/>
            <w:lang w:val="en-US"/>
          </w:rPr>
          <w:t>8. Online Hate (Articles 19, 20)</w:t>
        </w:r>
        <w:r>
          <w:rPr>
            <w:webHidden/>
          </w:rPr>
          <w:tab/>
        </w:r>
        <w:r>
          <w:rPr>
            <w:webHidden/>
          </w:rPr>
          <w:fldChar w:fldCharType="begin"/>
        </w:r>
        <w:r>
          <w:rPr>
            <w:webHidden/>
          </w:rPr>
          <w:instrText xml:space="preserve"> PAGEREF _Toc220669677 \h </w:instrText>
        </w:r>
        <w:r>
          <w:rPr>
            <w:webHidden/>
          </w:rPr>
        </w:r>
        <w:r>
          <w:rPr>
            <w:webHidden/>
          </w:rPr>
          <w:fldChar w:fldCharType="separate"/>
        </w:r>
        <w:r>
          <w:rPr>
            <w:webHidden/>
          </w:rPr>
          <w:t>24</w:t>
        </w:r>
        <w:r>
          <w:rPr>
            <w:webHidden/>
          </w:rPr>
          <w:fldChar w:fldCharType="end"/>
        </w:r>
      </w:hyperlink>
    </w:p>
    <w:p w14:paraId="7759C50F" w14:textId="7E38961B" w:rsidR="00CF250B" w:rsidRDefault="00CF250B">
      <w:pPr>
        <w:pStyle w:val="TOC1"/>
        <w:rPr>
          <w:rFonts w:asciiTheme="minorHAnsi" w:eastAsiaTheme="minorEastAsia" w:hAnsiTheme="minorHAnsi"/>
          <w:b w:val="0"/>
          <w:bCs w:val="0"/>
          <w:kern w:val="2"/>
          <w:szCs w:val="24"/>
          <w:lang w:eastAsia="en-CA"/>
          <w14:ligatures w14:val="standardContextual"/>
        </w:rPr>
      </w:pPr>
      <w:hyperlink w:anchor="_Toc220669678" w:history="1">
        <w:r w:rsidRPr="00D33C8A">
          <w:rPr>
            <w:rStyle w:val="Hyperlink"/>
          </w:rPr>
          <w:t>9. Discrimination Based on Gender Identity and Expression (Articles 2, 7, 26)</w:t>
        </w:r>
        <w:r>
          <w:rPr>
            <w:webHidden/>
          </w:rPr>
          <w:tab/>
        </w:r>
        <w:r>
          <w:rPr>
            <w:webHidden/>
          </w:rPr>
          <w:fldChar w:fldCharType="begin"/>
        </w:r>
        <w:r>
          <w:rPr>
            <w:webHidden/>
          </w:rPr>
          <w:instrText xml:space="preserve"> PAGEREF _Toc220669678 \h </w:instrText>
        </w:r>
        <w:r>
          <w:rPr>
            <w:webHidden/>
          </w:rPr>
        </w:r>
        <w:r>
          <w:rPr>
            <w:webHidden/>
          </w:rPr>
          <w:fldChar w:fldCharType="separate"/>
        </w:r>
        <w:r>
          <w:rPr>
            <w:webHidden/>
          </w:rPr>
          <w:t>24</w:t>
        </w:r>
        <w:r>
          <w:rPr>
            <w:webHidden/>
          </w:rPr>
          <w:fldChar w:fldCharType="end"/>
        </w:r>
      </w:hyperlink>
    </w:p>
    <w:p w14:paraId="49E9BD2B" w14:textId="40A02487" w:rsidR="00CF250B" w:rsidRDefault="00CF250B">
      <w:pPr>
        <w:pStyle w:val="TOC1"/>
        <w:rPr>
          <w:rFonts w:asciiTheme="minorHAnsi" w:eastAsiaTheme="minorEastAsia" w:hAnsiTheme="minorHAnsi"/>
          <w:b w:val="0"/>
          <w:bCs w:val="0"/>
          <w:kern w:val="2"/>
          <w:szCs w:val="24"/>
          <w:lang w:eastAsia="en-CA"/>
          <w14:ligatures w14:val="standardContextual"/>
        </w:rPr>
      </w:pPr>
      <w:hyperlink w:anchor="_Toc220669679" w:history="1">
        <w:r w:rsidRPr="00D33C8A">
          <w:rPr>
            <w:rStyle w:val="Hyperlink"/>
            <w:lang w:val="en-US"/>
          </w:rPr>
          <w:t>10. Religious Intolerance (Articles 2, 18, 25, 26)</w:t>
        </w:r>
        <w:r>
          <w:rPr>
            <w:webHidden/>
          </w:rPr>
          <w:tab/>
        </w:r>
        <w:r>
          <w:rPr>
            <w:webHidden/>
          </w:rPr>
          <w:fldChar w:fldCharType="begin"/>
        </w:r>
        <w:r>
          <w:rPr>
            <w:webHidden/>
          </w:rPr>
          <w:instrText xml:space="preserve"> PAGEREF _Toc220669679 \h </w:instrText>
        </w:r>
        <w:r>
          <w:rPr>
            <w:webHidden/>
          </w:rPr>
        </w:r>
        <w:r>
          <w:rPr>
            <w:webHidden/>
          </w:rPr>
          <w:fldChar w:fldCharType="separate"/>
        </w:r>
        <w:r>
          <w:rPr>
            <w:webHidden/>
          </w:rPr>
          <w:t>26</w:t>
        </w:r>
        <w:r>
          <w:rPr>
            <w:webHidden/>
          </w:rPr>
          <w:fldChar w:fldCharType="end"/>
        </w:r>
      </w:hyperlink>
    </w:p>
    <w:p w14:paraId="270B0A0B" w14:textId="33335B02" w:rsidR="00CF250B" w:rsidRDefault="00CF250B">
      <w:pPr>
        <w:pStyle w:val="TOC1"/>
        <w:rPr>
          <w:rFonts w:asciiTheme="minorHAnsi" w:eastAsiaTheme="minorEastAsia" w:hAnsiTheme="minorHAnsi"/>
          <w:b w:val="0"/>
          <w:bCs w:val="0"/>
          <w:kern w:val="2"/>
          <w:szCs w:val="24"/>
          <w:lang w:eastAsia="en-CA"/>
          <w14:ligatures w14:val="standardContextual"/>
        </w:rPr>
      </w:pPr>
      <w:hyperlink w:anchor="_Toc220669680" w:history="1">
        <w:r w:rsidRPr="00D33C8A">
          <w:rPr>
            <w:rStyle w:val="Hyperlink"/>
            <w:lang w:val="en-US"/>
          </w:rPr>
          <w:t>11. Immigration Detention (Articles 2, 9, 12, 26)</w:t>
        </w:r>
        <w:r>
          <w:rPr>
            <w:webHidden/>
          </w:rPr>
          <w:tab/>
        </w:r>
        <w:r>
          <w:rPr>
            <w:webHidden/>
          </w:rPr>
          <w:fldChar w:fldCharType="begin"/>
        </w:r>
        <w:r>
          <w:rPr>
            <w:webHidden/>
          </w:rPr>
          <w:instrText xml:space="preserve"> PAGEREF _Toc220669680 \h </w:instrText>
        </w:r>
        <w:r>
          <w:rPr>
            <w:webHidden/>
          </w:rPr>
        </w:r>
        <w:r>
          <w:rPr>
            <w:webHidden/>
          </w:rPr>
          <w:fldChar w:fldCharType="separate"/>
        </w:r>
        <w:r>
          <w:rPr>
            <w:webHidden/>
          </w:rPr>
          <w:t>27</w:t>
        </w:r>
        <w:r>
          <w:rPr>
            <w:webHidden/>
          </w:rPr>
          <w:fldChar w:fldCharType="end"/>
        </w:r>
      </w:hyperlink>
    </w:p>
    <w:p w14:paraId="6D8CFF4A" w14:textId="632EC2F1" w:rsidR="00CF250B" w:rsidRDefault="00CF250B">
      <w:pPr>
        <w:pStyle w:val="TOC1"/>
        <w:rPr>
          <w:rFonts w:asciiTheme="minorHAnsi" w:eastAsiaTheme="minorEastAsia" w:hAnsiTheme="minorHAnsi"/>
          <w:b w:val="0"/>
          <w:bCs w:val="0"/>
          <w:kern w:val="2"/>
          <w:szCs w:val="24"/>
          <w:lang w:eastAsia="en-CA"/>
          <w14:ligatures w14:val="standardContextual"/>
        </w:rPr>
      </w:pPr>
      <w:hyperlink w:anchor="_Toc220669681" w:history="1">
        <w:r w:rsidRPr="00D33C8A">
          <w:rPr>
            <w:rStyle w:val="Hyperlink"/>
            <w:lang w:val="en-US"/>
          </w:rPr>
          <w:t>12. Technology and Privacy (Article 14, 15, 17, 19 and 20)</w:t>
        </w:r>
        <w:r>
          <w:rPr>
            <w:webHidden/>
          </w:rPr>
          <w:tab/>
        </w:r>
        <w:r>
          <w:rPr>
            <w:webHidden/>
          </w:rPr>
          <w:fldChar w:fldCharType="begin"/>
        </w:r>
        <w:r>
          <w:rPr>
            <w:webHidden/>
          </w:rPr>
          <w:instrText xml:space="preserve"> PAGEREF _Toc220669681 \h </w:instrText>
        </w:r>
        <w:r>
          <w:rPr>
            <w:webHidden/>
          </w:rPr>
        </w:r>
        <w:r>
          <w:rPr>
            <w:webHidden/>
          </w:rPr>
          <w:fldChar w:fldCharType="separate"/>
        </w:r>
        <w:r>
          <w:rPr>
            <w:webHidden/>
          </w:rPr>
          <w:t>29</w:t>
        </w:r>
        <w:r>
          <w:rPr>
            <w:webHidden/>
          </w:rPr>
          <w:fldChar w:fldCharType="end"/>
        </w:r>
      </w:hyperlink>
    </w:p>
    <w:p w14:paraId="552ABC08" w14:textId="68D53D91" w:rsidR="00CF250B" w:rsidRDefault="00CF250B">
      <w:pPr>
        <w:pStyle w:val="TOC1"/>
        <w:rPr>
          <w:rFonts w:asciiTheme="minorHAnsi" w:eastAsiaTheme="minorEastAsia" w:hAnsiTheme="minorHAnsi"/>
          <w:b w:val="0"/>
          <w:bCs w:val="0"/>
          <w:kern w:val="2"/>
          <w:szCs w:val="24"/>
          <w:lang w:eastAsia="en-CA"/>
          <w14:ligatures w14:val="standardContextual"/>
        </w:rPr>
      </w:pPr>
      <w:hyperlink w:anchor="_Toc220669682" w:history="1">
        <w:r w:rsidRPr="00D33C8A">
          <w:rPr>
            <w:rStyle w:val="Hyperlink"/>
          </w:rPr>
          <w:t>13. Canada’s Implementation of International Human Rights Obligations</w:t>
        </w:r>
        <w:r>
          <w:rPr>
            <w:webHidden/>
          </w:rPr>
          <w:tab/>
        </w:r>
        <w:r>
          <w:rPr>
            <w:webHidden/>
          </w:rPr>
          <w:fldChar w:fldCharType="begin"/>
        </w:r>
        <w:r>
          <w:rPr>
            <w:webHidden/>
          </w:rPr>
          <w:instrText xml:space="preserve"> PAGEREF _Toc220669682 \h </w:instrText>
        </w:r>
        <w:r>
          <w:rPr>
            <w:webHidden/>
          </w:rPr>
        </w:r>
        <w:r>
          <w:rPr>
            <w:webHidden/>
          </w:rPr>
          <w:fldChar w:fldCharType="separate"/>
        </w:r>
        <w:r>
          <w:rPr>
            <w:webHidden/>
          </w:rPr>
          <w:t>31</w:t>
        </w:r>
        <w:r>
          <w:rPr>
            <w:webHidden/>
          </w:rPr>
          <w:fldChar w:fldCharType="end"/>
        </w:r>
      </w:hyperlink>
    </w:p>
    <w:p w14:paraId="377AD792" w14:textId="77777777" w:rsidR="00F00A13" w:rsidRPr="00F037B5" w:rsidRDefault="00503749">
      <w:pPr>
        <w:sectPr w:rsidR="00F00A13" w:rsidRPr="00F037B5" w:rsidSect="006C32A5">
          <w:headerReference w:type="even" r:id="rId8"/>
          <w:headerReference w:type="default" r:id="rId9"/>
          <w:footerReference w:type="default" r:id="rId10"/>
          <w:headerReference w:type="first" r:id="rId11"/>
          <w:pgSz w:w="12240" w:h="15840"/>
          <w:pgMar w:top="1440" w:right="1440" w:bottom="1440" w:left="1440" w:header="708" w:footer="708" w:gutter="0"/>
          <w:pgNumType w:start="0"/>
          <w:cols w:space="708"/>
          <w:titlePg/>
          <w:docGrid w:linePitch="360"/>
        </w:sectPr>
      </w:pPr>
      <w:r w:rsidRPr="00F037B5">
        <w:fldChar w:fldCharType="end"/>
      </w:r>
    </w:p>
    <w:p w14:paraId="3EF69322" w14:textId="78A9A56E" w:rsidR="008F2070" w:rsidRPr="00F037B5" w:rsidRDefault="008F2070" w:rsidP="001D28D2">
      <w:pPr>
        <w:pStyle w:val="Heading1"/>
      </w:pPr>
      <w:bookmarkStart w:id="4" w:name="_Toc183602893"/>
      <w:bookmarkStart w:id="5" w:name="_Toc183602984"/>
      <w:bookmarkStart w:id="6" w:name="_Toc220669662"/>
      <w:r w:rsidRPr="00F037B5">
        <w:lastRenderedPageBreak/>
        <w:t>T</w:t>
      </w:r>
      <w:r w:rsidR="0086544E" w:rsidRPr="00F037B5">
        <w:t>he</w:t>
      </w:r>
      <w:r w:rsidRPr="00F037B5">
        <w:t xml:space="preserve"> C</w:t>
      </w:r>
      <w:r w:rsidR="0086544E" w:rsidRPr="00F037B5">
        <w:t>anadian</w:t>
      </w:r>
      <w:r w:rsidRPr="00F037B5">
        <w:t xml:space="preserve"> H</w:t>
      </w:r>
      <w:r w:rsidR="0086544E" w:rsidRPr="00F037B5">
        <w:t>uman</w:t>
      </w:r>
      <w:r w:rsidRPr="00F037B5">
        <w:t xml:space="preserve"> R</w:t>
      </w:r>
      <w:r w:rsidR="0086544E" w:rsidRPr="00F037B5">
        <w:t>ights</w:t>
      </w:r>
      <w:r w:rsidRPr="00F037B5">
        <w:t xml:space="preserve"> </w:t>
      </w:r>
      <w:bookmarkEnd w:id="4"/>
      <w:bookmarkEnd w:id="5"/>
      <w:bookmarkEnd w:id="2"/>
      <w:bookmarkEnd w:id="1"/>
      <w:r w:rsidR="00497AE1" w:rsidRPr="00F037B5">
        <w:t>Commission</w:t>
      </w:r>
      <w:bookmarkEnd w:id="6"/>
    </w:p>
    <w:p w14:paraId="073C0765" w14:textId="790EFCA7" w:rsidR="0067794C" w:rsidRPr="00F037B5" w:rsidRDefault="0067794C" w:rsidP="0067794C">
      <w:pPr>
        <w:spacing w:line="240" w:lineRule="auto"/>
        <w:contextualSpacing/>
        <w:rPr>
          <w:rFonts w:cs="Arial"/>
          <w:szCs w:val="24"/>
        </w:rPr>
      </w:pPr>
      <w:r w:rsidRPr="00F037B5">
        <w:rPr>
          <w:rFonts w:cs="Arial"/>
          <w:szCs w:val="24"/>
        </w:rPr>
        <w:t xml:space="preserve">The Canadian Human Rights Commission (CHRC) is Canada’s national human rights institution. It has been accredited “A-status” by the Global Alliance of National Human Rights Institutions since 1999 and, most recently, in 2023. </w:t>
      </w:r>
    </w:p>
    <w:p w14:paraId="24F45E9F" w14:textId="77777777" w:rsidR="0067794C" w:rsidRPr="00F037B5" w:rsidRDefault="0067794C" w:rsidP="0067794C">
      <w:pPr>
        <w:spacing w:line="240" w:lineRule="auto"/>
        <w:contextualSpacing/>
        <w:rPr>
          <w:rFonts w:cs="Arial"/>
          <w:szCs w:val="24"/>
        </w:rPr>
      </w:pPr>
    </w:p>
    <w:p w14:paraId="4DDEC4B1" w14:textId="0C4A3A48" w:rsidR="0067794C" w:rsidRPr="00F037B5" w:rsidRDefault="0067794C" w:rsidP="0067794C">
      <w:pPr>
        <w:spacing w:line="240" w:lineRule="auto"/>
        <w:contextualSpacing/>
        <w:rPr>
          <w:rFonts w:cs="Arial"/>
          <w:szCs w:val="24"/>
        </w:rPr>
      </w:pPr>
      <w:r w:rsidRPr="00F037B5">
        <w:rPr>
          <w:rFonts w:cs="Arial"/>
          <w:szCs w:val="24"/>
        </w:rPr>
        <w:t>Established by Parliament through the Canadian Human Rights Act (CHRA) in 1977</w:t>
      </w:r>
      <w:r w:rsidRPr="00F037B5">
        <w:rPr>
          <w:rStyle w:val="FootnoteReference"/>
          <w:rFonts w:cs="Arial"/>
          <w:szCs w:val="24"/>
        </w:rPr>
        <w:footnoteReference w:id="1"/>
      </w:r>
      <w:r w:rsidRPr="00F037B5">
        <w:rPr>
          <w:rFonts w:cs="Arial"/>
          <w:szCs w:val="24"/>
        </w:rPr>
        <w:t xml:space="preserve"> the Commission has a broad mandate to promote and protect human rights and freedoms in Canada. Operating at arm’s length from the federal government, our mission is to promote an inclusive Canada where every person is free to claim their human rights and create the life that they wish for themselves. Together, we work towards a Canada where everyone can be included, and live a life of dignity, justice and respect </w:t>
      </w:r>
      <w:r w:rsidR="0043155E">
        <w:rPr>
          <w:rFonts w:cs="Arial"/>
          <w:szCs w:val="24"/>
        </w:rPr>
        <w:t xml:space="preserve">– </w:t>
      </w:r>
      <w:r w:rsidRPr="00F037B5">
        <w:rPr>
          <w:rFonts w:cs="Arial"/>
          <w:szCs w:val="24"/>
        </w:rPr>
        <w:t>free from discrimination.</w:t>
      </w:r>
      <w:r w:rsidR="00497AE1" w:rsidRPr="00F037B5">
        <w:rPr>
          <w:rFonts w:cs="Arial"/>
          <w:szCs w:val="24"/>
        </w:rPr>
        <w:t xml:space="preserve"> </w:t>
      </w:r>
    </w:p>
    <w:p w14:paraId="762C865A" w14:textId="77777777" w:rsidR="0067794C" w:rsidRPr="00F037B5" w:rsidRDefault="0067794C" w:rsidP="0067794C">
      <w:pPr>
        <w:spacing w:line="240" w:lineRule="auto"/>
        <w:contextualSpacing/>
        <w:rPr>
          <w:rFonts w:cs="Arial"/>
          <w:szCs w:val="24"/>
        </w:rPr>
      </w:pPr>
    </w:p>
    <w:p w14:paraId="252B128C" w14:textId="6E3B3668" w:rsidR="0067794C" w:rsidRPr="00F037B5" w:rsidRDefault="0067794C" w:rsidP="0067794C">
      <w:pPr>
        <w:spacing w:line="240" w:lineRule="auto"/>
        <w:contextualSpacing/>
        <w:rPr>
          <w:rFonts w:cs="Arial"/>
          <w:szCs w:val="24"/>
        </w:rPr>
      </w:pPr>
      <w:r w:rsidRPr="00F037B5">
        <w:rPr>
          <w:rFonts w:cs="Arial"/>
          <w:szCs w:val="24"/>
        </w:rPr>
        <w:t xml:space="preserve">We do this in </w:t>
      </w:r>
      <w:r w:rsidR="00A43A34">
        <w:rPr>
          <w:rFonts w:cs="Arial"/>
          <w:szCs w:val="24"/>
        </w:rPr>
        <w:t>many</w:t>
      </w:r>
      <w:r w:rsidRPr="00F037B5">
        <w:rPr>
          <w:rFonts w:cs="Arial"/>
          <w:szCs w:val="24"/>
        </w:rPr>
        <w:t xml:space="preserve"> ways: We advocate for human rights in Canada; </w:t>
      </w:r>
      <w:r w:rsidR="00817E51">
        <w:rPr>
          <w:rFonts w:cs="Arial"/>
          <w:szCs w:val="24"/>
        </w:rPr>
        <w:t xml:space="preserve">we </w:t>
      </w:r>
      <w:r w:rsidR="00817E51" w:rsidRPr="00817E51">
        <w:rPr>
          <w:rFonts w:cs="Arial"/>
          <w:szCs w:val="24"/>
        </w:rPr>
        <w:t>support the Pay Equity Commissioner, the Accessibility Commissioner, and the Federal Housing Advocate in carrying out their responsibilities under the P</w:t>
      </w:r>
      <w:r w:rsidR="00F16557">
        <w:rPr>
          <w:rFonts w:cs="Arial"/>
          <w:szCs w:val="24"/>
        </w:rPr>
        <w:t>ay Equity Act</w:t>
      </w:r>
      <w:r w:rsidR="00817E51" w:rsidRPr="00817E51">
        <w:rPr>
          <w:rFonts w:cs="Arial"/>
          <w:szCs w:val="24"/>
        </w:rPr>
        <w:t>, the A</w:t>
      </w:r>
      <w:r w:rsidR="00F16557">
        <w:rPr>
          <w:rFonts w:cs="Arial"/>
          <w:szCs w:val="24"/>
        </w:rPr>
        <w:t>ccessible Canada Act</w:t>
      </w:r>
      <w:r w:rsidR="00817E51" w:rsidRPr="00817E51">
        <w:rPr>
          <w:rFonts w:cs="Arial"/>
          <w:szCs w:val="24"/>
        </w:rPr>
        <w:t>, and the N</w:t>
      </w:r>
      <w:r w:rsidR="00F16557">
        <w:rPr>
          <w:rFonts w:cs="Arial"/>
          <w:szCs w:val="24"/>
        </w:rPr>
        <w:t xml:space="preserve">ational </w:t>
      </w:r>
      <w:r w:rsidR="00817E51" w:rsidRPr="00817E51">
        <w:rPr>
          <w:rFonts w:cs="Arial"/>
          <w:szCs w:val="24"/>
        </w:rPr>
        <w:t>H</w:t>
      </w:r>
      <w:r w:rsidR="00F16557">
        <w:rPr>
          <w:rFonts w:cs="Arial"/>
          <w:szCs w:val="24"/>
        </w:rPr>
        <w:t xml:space="preserve">ousing </w:t>
      </w:r>
      <w:r w:rsidR="00817E51" w:rsidRPr="00817E51">
        <w:rPr>
          <w:rFonts w:cs="Arial"/>
          <w:szCs w:val="24"/>
        </w:rPr>
        <w:t>S</w:t>
      </w:r>
      <w:r w:rsidR="00F16557">
        <w:rPr>
          <w:rFonts w:cs="Arial"/>
          <w:szCs w:val="24"/>
        </w:rPr>
        <w:t xml:space="preserve">trategy </w:t>
      </w:r>
      <w:r w:rsidR="00817E51" w:rsidRPr="00817E51">
        <w:rPr>
          <w:rFonts w:cs="Arial"/>
          <w:szCs w:val="24"/>
        </w:rPr>
        <w:t>A</w:t>
      </w:r>
      <w:r w:rsidR="00F16557">
        <w:rPr>
          <w:rFonts w:cs="Arial"/>
          <w:szCs w:val="24"/>
        </w:rPr>
        <w:t>ct</w:t>
      </w:r>
      <w:r w:rsidR="00817E51" w:rsidRPr="00817E51">
        <w:rPr>
          <w:rFonts w:cs="Arial"/>
          <w:szCs w:val="24"/>
        </w:rPr>
        <w:t>, respectively</w:t>
      </w:r>
      <w:r w:rsidR="00284A7F">
        <w:rPr>
          <w:rFonts w:cs="Arial"/>
          <w:szCs w:val="24"/>
        </w:rPr>
        <w:t xml:space="preserve">; </w:t>
      </w:r>
      <w:r w:rsidR="00B3244F" w:rsidRPr="00F037B5">
        <w:rPr>
          <w:rFonts w:cs="Arial"/>
          <w:szCs w:val="24"/>
        </w:rPr>
        <w:t>we monitor and enforce regulated entities’ compliance with the requirements under the Employment Equity Act</w:t>
      </w:r>
      <w:r w:rsidRPr="00F037B5">
        <w:rPr>
          <w:rFonts w:cs="Arial"/>
          <w:szCs w:val="24"/>
        </w:rPr>
        <w:t xml:space="preserve">; and we </w:t>
      </w:r>
      <w:r w:rsidR="00312DB1" w:rsidRPr="00F037B5">
        <w:rPr>
          <w:rFonts w:cs="Arial"/>
          <w:szCs w:val="24"/>
        </w:rPr>
        <w:t xml:space="preserve">screen and, where possible, </w:t>
      </w:r>
      <w:r w:rsidR="00C9254D" w:rsidRPr="00F037B5">
        <w:rPr>
          <w:rFonts w:cs="Arial"/>
          <w:szCs w:val="24"/>
        </w:rPr>
        <w:t xml:space="preserve">help </w:t>
      </w:r>
      <w:r w:rsidR="00312DB1" w:rsidRPr="00F037B5">
        <w:rPr>
          <w:rFonts w:cs="Arial"/>
          <w:szCs w:val="24"/>
        </w:rPr>
        <w:t xml:space="preserve">resolve </w:t>
      </w:r>
      <w:r w:rsidRPr="00F037B5">
        <w:rPr>
          <w:rFonts w:cs="Arial"/>
          <w:szCs w:val="24"/>
        </w:rPr>
        <w:t>human rights complaints from people in Canada who believe they have experienced discrimination.</w:t>
      </w:r>
    </w:p>
    <w:p w14:paraId="455578B9" w14:textId="77777777" w:rsidR="002F361E" w:rsidRPr="00F037B5" w:rsidRDefault="002F361E" w:rsidP="002F361E">
      <w:pPr>
        <w:spacing w:after="0" w:line="240" w:lineRule="auto"/>
        <w:contextualSpacing/>
        <w:rPr>
          <w:rFonts w:cs="Arial"/>
          <w:szCs w:val="24"/>
        </w:rPr>
      </w:pPr>
    </w:p>
    <w:p w14:paraId="2621BC16" w14:textId="72CCB6BD" w:rsidR="005264F6" w:rsidRDefault="002F361E" w:rsidP="002F361E">
      <w:pPr>
        <w:spacing w:after="0" w:line="240" w:lineRule="auto"/>
        <w:contextualSpacing/>
        <w:rPr>
          <w:rFonts w:cs="Arial"/>
          <w:szCs w:val="24"/>
        </w:rPr>
      </w:pPr>
      <w:r w:rsidRPr="00F037B5">
        <w:rPr>
          <w:rFonts w:cs="Arial"/>
          <w:szCs w:val="24"/>
        </w:rPr>
        <w:t xml:space="preserve">In 2019, the CHRC </w:t>
      </w:r>
      <w:r w:rsidR="0067794C" w:rsidRPr="00F037B5">
        <w:rPr>
          <w:rFonts w:cs="Arial"/>
          <w:szCs w:val="24"/>
        </w:rPr>
        <w:t>was designated as a body responsible for monitoring the Government of Canada’s implementation of the United Nations Convention on the Rights of Persons with Disabilities (CRPD), in accordance with article 33.2 of the Convention.</w:t>
      </w:r>
      <w:r w:rsidR="00C364E7" w:rsidRPr="00F037B5">
        <w:rPr>
          <w:rFonts w:cs="Arial"/>
          <w:szCs w:val="24"/>
        </w:rPr>
        <w:t xml:space="preserve"> </w:t>
      </w:r>
      <w:r w:rsidR="00043B89" w:rsidRPr="00F037B5">
        <w:rPr>
          <w:rFonts w:cs="Arial"/>
          <w:szCs w:val="24"/>
        </w:rPr>
        <w:t>As this Committee will note, the rights of people with disabilities are woven throughout this submission</w:t>
      </w:r>
      <w:r w:rsidR="00317646">
        <w:rPr>
          <w:rFonts w:cs="Arial"/>
          <w:szCs w:val="24"/>
        </w:rPr>
        <w:t>, recognizing the ways in which people with disabilities may be disproportionately or uniquely impacted by the issues under discussion</w:t>
      </w:r>
      <w:r w:rsidR="00043B89" w:rsidRPr="00F037B5">
        <w:rPr>
          <w:rFonts w:cs="Arial"/>
          <w:szCs w:val="24"/>
        </w:rPr>
        <w:t xml:space="preserve">. </w:t>
      </w:r>
      <w:r w:rsidR="008502DA">
        <w:rPr>
          <w:rFonts w:cs="Arial"/>
          <w:szCs w:val="24"/>
        </w:rPr>
        <w:t xml:space="preserve">We encourage the Committee to </w:t>
      </w:r>
      <w:r w:rsidR="00E7142C">
        <w:rPr>
          <w:rFonts w:cs="Arial"/>
          <w:szCs w:val="24"/>
        </w:rPr>
        <w:t xml:space="preserve">carefully consider these </w:t>
      </w:r>
      <w:proofErr w:type="gramStart"/>
      <w:r w:rsidR="00E7142C">
        <w:rPr>
          <w:rFonts w:cs="Arial"/>
          <w:szCs w:val="24"/>
        </w:rPr>
        <w:t>experiences, and</w:t>
      </w:r>
      <w:proofErr w:type="gramEnd"/>
      <w:r w:rsidR="00E7142C">
        <w:rPr>
          <w:rFonts w:cs="Arial"/>
          <w:szCs w:val="24"/>
        </w:rPr>
        <w:t xml:space="preserve"> ensure that the perspectives of </w:t>
      </w:r>
      <w:r w:rsidR="008502DA">
        <w:rPr>
          <w:rFonts w:cs="Arial"/>
          <w:szCs w:val="24"/>
        </w:rPr>
        <w:t xml:space="preserve">people with disabilities </w:t>
      </w:r>
      <w:r w:rsidR="00E7142C">
        <w:rPr>
          <w:rFonts w:cs="Arial"/>
          <w:szCs w:val="24"/>
        </w:rPr>
        <w:t>are included throughout the</w:t>
      </w:r>
      <w:r w:rsidR="008502DA">
        <w:rPr>
          <w:rFonts w:cs="Arial"/>
          <w:szCs w:val="24"/>
        </w:rPr>
        <w:t xml:space="preserve"> Concluding Observations.</w:t>
      </w:r>
      <w:r w:rsidR="00043B89" w:rsidRPr="00F037B5">
        <w:rPr>
          <w:rFonts w:cs="Arial"/>
          <w:szCs w:val="24"/>
        </w:rPr>
        <w:t xml:space="preserve"> </w:t>
      </w:r>
    </w:p>
    <w:p w14:paraId="722E912A" w14:textId="77777777" w:rsidR="005264F6" w:rsidRDefault="005264F6" w:rsidP="002F361E">
      <w:pPr>
        <w:spacing w:after="0" w:line="240" w:lineRule="auto"/>
        <w:contextualSpacing/>
        <w:rPr>
          <w:rFonts w:cs="Arial"/>
          <w:szCs w:val="24"/>
        </w:rPr>
      </w:pPr>
    </w:p>
    <w:p w14:paraId="70C9EEB0" w14:textId="46D23BC1" w:rsidR="00610683" w:rsidRDefault="00610683" w:rsidP="002F361E">
      <w:pPr>
        <w:spacing w:after="0" w:line="240" w:lineRule="auto"/>
        <w:contextualSpacing/>
        <w:rPr>
          <w:rFonts w:cs="Arial"/>
          <w:szCs w:val="24"/>
        </w:rPr>
      </w:pPr>
      <w:r w:rsidRPr="00714465">
        <w:rPr>
          <w:rFonts w:cs="Arial"/>
          <w:szCs w:val="24"/>
        </w:rPr>
        <w:t>As we advance through the Second United Nations Decade for People of African Descent, this submission also highlights ongoing challenges that continue to disproportionately affect people of African descent.</w:t>
      </w:r>
      <w:r>
        <w:rPr>
          <w:rFonts w:cs="Arial"/>
          <w:szCs w:val="24"/>
        </w:rPr>
        <w:t xml:space="preserve"> </w:t>
      </w:r>
    </w:p>
    <w:p w14:paraId="39121E86" w14:textId="77777777" w:rsidR="00610683" w:rsidRPr="00F037B5" w:rsidRDefault="00610683" w:rsidP="002F361E">
      <w:pPr>
        <w:spacing w:after="0" w:line="240" w:lineRule="auto"/>
        <w:contextualSpacing/>
        <w:rPr>
          <w:rFonts w:cs="Arial"/>
          <w:szCs w:val="24"/>
        </w:rPr>
      </w:pPr>
    </w:p>
    <w:p w14:paraId="00B6851B" w14:textId="72384346" w:rsidR="00181398" w:rsidRDefault="002F361E" w:rsidP="001C67C9">
      <w:pPr>
        <w:spacing w:after="0" w:line="240" w:lineRule="auto"/>
        <w:contextualSpacing/>
      </w:pPr>
      <w:r w:rsidRPr="00F037B5">
        <w:rPr>
          <w:rFonts w:cs="Arial"/>
          <w:szCs w:val="24"/>
        </w:rPr>
        <w:t>The CHRC is committed to working with the Government of Canada as well as domestic and international partners</w:t>
      </w:r>
      <w:r w:rsidR="00833C16" w:rsidRPr="00F037B5">
        <w:rPr>
          <w:rFonts w:cs="Arial"/>
          <w:szCs w:val="24"/>
        </w:rPr>
        <w:t xml:space="preserve"> and stakeholders</w:t>
      </w:r>
      <w:r w:rsidRPr="00F037B5">
        <w:rPr>
          <w:rFonts w:cs="Arial"/>
          <w:szCs w:val="24"/>
        </w:rPr>
        <w:t xml:space="preserve"> to ensure continued progress in the protection of human rights, including Canada’s implementation of the rights and obligations enshrined in the </w:t>
      </w:r>
      <w:r w:rsidR="00454779" w:rsidRPr="00F037B5">
        <w:rPr>
          <w:rFonts w:cs="Arial"/>
          <w:szCs w:val="24"/>
        </w:rPr>
        <w:t>International Covenant on Civil and Political Rights</w:t>
      </w:r>
      <w:r w:rsidR="001D3EDD">
        <w:rPr>
          <w:rFonts w:cs="Arial"/>
          <w:szCs w:val="24"/>
        </w:rPr>
        <w:t xml:space="preserve"> </w:t>
      </w:r>
      <w:r w:rsidR="001D3EDD">
        <w:rPr>
          <w:rFonts w:cs="Arial"/>
          <w:szCs w:val="24"/>
        </w:rPr>
        <w:lastRenderedPageBreak/>
        <w:t>(ICCPR)</w:t>
      </w:r>
      <w:r w:rsidRPr="00F037B5">
        <w:rPr>
          <w:rFonts w:cs="Arial"/>
          <w:szCs w:val="24"/>
        </w:rPr>
        <w:t xml:space="preserve">. </w:t>
      </w:r>
      <w:r w:rsidRPr="00F037B5">
        <w:t xml:space="preserve">In the spirit of constructive engagement, the CHRC </w:t>
      </w:r>
      <w:r w:rsidR="00833C16" w:rsidRPr="00F037B5">
        <w:t xml:space="preserve">submits this report </w:t>
      </w:r>
      <w:r w:rsidRPr="00F037B5">
        <w:t xml:space="preserve">to the </w:t>
      </w:r>
      <w:r w:rsidR="00454779" w:rsidRPr="00F037B5">
        <w:t xml:space="preserve">Human Rights </w:t>
      </w:r>
      <w:r w:rsidR="007B566E" w:rsidRPr="00F037B5">
        <w:t xml:space="preserve">Committee </w:t>
      </w:r>
      <w:proofErr w:type="gramStart"/>
      <w:r w:rsidR="00833C16" w:rsidRPr="00F037B5">
        <w:t>on the occasion</w:t>
      </w:r>
      <w:r w:rsidR="007B566E" w:rsidRPr="00F037B5">
        <w:t xml:space="preserve"> of</w:t>
      </w:r>
      <w:proofErr w:type="gramEnd"/>
      <w:r w:rsidR="007B566E" w:rsidRPr="00F037B5">
        <w:t xml:space="preserve"> Canada’s </w:t>
      </w:r>
      <w:r w:rsidR="00454779" w:rsidRPr="00F037B5">
        <w:t>7</w:t>
      </w:r>
      <w:r w:rsidR="00454779" w:rsidRPr="00F037B5">
        <w:rPr>
          <w:vertAlign w:val="superscript"/>
        </w:rPr>
        <w:t>th</w:t>
      </w:r>
      <w:r w:rsidR="007B566E" w:rsidRPr="00F037B5">
        <w:t xml:space="preserve"> periodic review.</w:t>
      </w:r>
    </w:p>
    <w:p w14:paraId="23918004" w14:textId="77777777" w:rsidR="001C67C9" w:rsidRPr="00F037B5" w:rsidRDefault="001C67C9" w:rsidP="001C67C9">
      <w:pPr>
        <w:spacing w:after="0" w:line="240" w:lineRule="auto"/>
        <w:contextualSpacing/>
      </w:pPr>
    </w:p>
    <w:p w14:paraId="4CDE8EFC" w14:textId="6B4A12B0" w:rsidR="00316F96" w:rsidRPr="00F037B5" w:rsidRDefault="00316F96" w:rsidP="00A85C41">
      <w:pPr>
        <w:pStyle w:val="Heading1"/>
      </w:pPr>
      <w:bookmarkStart w:id="7" w:name="_Toc183602894"/>
      <w:bookmarkStart w:id="8" w:name="_Toc183602985"/>
      <w:bookmarkStart w:id="9" w:name="_Toc220669663"/>
      <w:r w:rsidRPr="00F037B5">
        <w:t>C</w:t>
      </w:r>
      <w:r w:rsidR="0086544E" w:rsidRPr="00F037B5">
        <w:t>ontext</w:t>
      </w:r>
      <w:bookmarkEnd w:id="9"/>
    </w:p>
    <w:p w14:paraId="16D7CA08" w14:textId="47208CF8" w:rsidR="00EB440B" w:rsidRDefault="00E7142C" w:rsidP="00C30A3D">
      <w:pPr>
        <w:spacing w:line="240" w:lineRule="auto"/>
        <w:rPr>
          <w:rFonts w:cs="Arial"/>
        </w:rPr>
      </w:pPr>
      <w:r>
        <w:rPr>
          <w:rFonts w:cs="Arial"/>
        </w:rPr>
        <w:t>This review takes place as Canada faces some of the most significant challenges in generations, including a substantial cost-of-living crisis</w:t>
      </w:r>
      <w:r w:rsidR="00237BD7">
        <w:rPr>
          <w:rFonts w:cs="Arial"/>
        </w:rPr>
        <w:t>, which</w:t>
      </w:r>
      <w:r w:rsidR="008419EC">
        <w:rPr>
          <w:rFonts w:cs="Arial"/>
        </w:rPr>
        <w:t>,</w:t>
      </w:r>
      <w:r w:rsidR="00237BD7">
        <w:rPr>
          <w:rFonts w:cs="Arial"/>
        </w:rPr>
        <w:t xml:space="preserve"> at its core</w:t>
      </w:r>
      <w:r w:rsidR="00497AE1">
        <w:rPr>
          <w:rFonts w:cs="Arial"/>
        </w:rPr>
        <w:t>,</w:t>
      </w:r>
      <w:r w:rsidR="00237BD7">
        <w:rPr>
          <w:rFonts w:cs="Arial"/>
        </w:rPr>
        <w:t xml:space="preserve"> is a human rights crisis</w:t>
      </w:r>
      <w:r w:rsidR="00EB440B">
        <w:rPr>
          <w:rFonts w:cs="Arial"/>
        </w:rPr>
        <w:t xml:space="preserve">. As an alarming number of people in Canada face food insecurity, as well as increasing levels of poverty and homelessness, the fundamental human right to an adequate standard of living is at risk. </w:t>
      </w:r>
      <w:r w:rsidR="00317646" w:rsidRPr="00DA28B8">
        <w:rPr>
          <w:rFonts w:cs="Arial"/>
        </w:rPr>
        <w:t>For people in Canada who were already facing long-standing and intersecting barriers to</w:t>
      </w:r>
      <w:r w:rsidR="004747D4">
        <w:rPr>
          <w:rFonts w:cs="Arial"/>
        </w:rPr>
        <w:t xml:space="preserve"> e</w:t>
      </w:r>
      <w:r w:rsidR="00317646" w:rsidRPr="00DA28B8">
        <w:rPr>
          <w:rFonts w:cs="Arial"/>
        </w:rPr>
        <w:t>q</w:t>
      </w:r>
      <w:r w:rsidR="004747D4">
        <w:rPr>
          <w:rFonts w:cs="Arial"/>
        </w:rPr>
        <w:t>uity</w:t>
      </w:r>
      <w:r w:rsidR="00317646" w:rsidRPr="00DA28B8">
        <w:rPr>
          <w:rFonts w:cs="Arial"/>
        </w:rPr>
        <w:t>, the cost-of-living crisis has compounded those barriers</w:t>
      </w:r>
      <w:r w:rsidR="00317646">
        <w:t>.</w:t>
      </w:r>
      <w:r w:rsidR="00317646">
        <w:rPr>
          <w:rFonts w:cs="Arial"/>
        </w:rPr>
        <w:t xml:space="preserve"> </w:t>
      </w:r>
    </w:p>
    <w:p w14:paraId="0BEE9AE3" w14:textId="0DA0811C" w:rsidR="005E6809" w:rsidRPr="00F037B5" w:rsidRDefault="00670F5A" w:rsidP="00900FBF">
      <w:pPr>
        <w:spacing w:line="240" w:lineRule="auto"/>
      </w:pPr>
      <w:r>
        <w:rPr>
          <w:rFonts w:cs="Arial"/>
        </w:rPr>
        <w:t>T</w:t>
      </w:r>
      <w:r w:rsidR="00F7480B" w:rsidRPr="00F037B5">
        <w:rPr>
          <w:rFonts w:cs="Arial"/>
        </w:rPr>
        <w:t>h</w:t>
      </w:r>
      <w:r w:rsidR="00A3565C" w:rsidRPr="00F037B5">
        <w:rPr>
          <w:rFonts w:cs="Arial"/>
        </w:rPr>
        <w:t>e</w:t>
      </w:r>
      <w:r w:rsidR="00F7480B" w:rsidRPr="00F037B5">
        <w:rPr>
          <w:rFonts w:cs="Arial"/>
        </w:rPr>
        <w:t xml:space="preserve"> </w:t>
      </w:r>
      <w:r w:rsidR="00900FBF" w:rsidRPr="00F037B5">
        <w:rPr>
          <w:rFonts w:cs="Arial"/>
        </w:rPr>
        <w:t xml:space="preserve">CHRC </w:t>
      </w:r>
      <w:r w:rsidR="00967D2D">
        <w:rPr>
          <w:rFonts w:cs="Arial"/>
        </w:rPr>
        <w:t>notes</w:t>
      </w:r>
      <w:r w:rsidR="00900FBF" w:rsidRPr="00F037B5">
        <w:rPr>
          <w:rFonts w:cs="Arial"/>
        </w:rPr>
        <w:t xml:space="preserve"> that </w:t>
      </w:r>
      <w:r w:rsidR="00900FBF" w:rsidRPr="00F037B5">
        <w:t xml:space="preserve">some </w:t>
      </w:r>
      <w:r w:rsidR="00967D2D">
        <w:t xml:space="preserve">legislative </w:t>
      </w:r>
      <w:r w:rsidR="00900FBF" w:rsidRPr="00F037B5">
        <w:t xml:space="preserve">progress has been made towards </w:t>
      </w:r>
      <w:r w:rsidR="00967D2D" w:rsidRPr="00F037B5">
        <w:t>recogni</w:t>
      </w:r>
      <w:r w:rsidR="00967D2D">
        <w:t>zing</w:t>
      </w:r>
      <w:r w:rsidR="00967D2D" w:rsidRPr="00F037B5">
        <w:t xml:space="preserve"> </w:t>
      </w:r>
      <w:r w:rsidR="00900FBF" w:rsidRPr="00F037B5">
        <w:t>economic and social rights as human rights</w:t>
      </w:r>
      <w:r w:rsidR="009C1E05">
        <w:t xml:space="preserve">. For </w:t>
      </w:r>
      <w:r w:rsidR="00FB47B7">
        <w:t xml:space="preserve">example, the human right to adequate housing was enshrined in the 2019 </w:t>
      </w:r>
      <w:r w:rsidR="00FB47B7" w:rsidRPr="00EE5B19">
        <w:t>National Housing Strategy Act</w:t>
      </w:r>
      <w:r w:rsidR="009C1E05" w:rsidRPr="00497AE1">
        <w:t xml:space="preserve">. </w:t>
      </w:r>
      <w:proofErr w:type="gramStart"/>
      <w:r w:rsidR="009C1E05">
        <w:t>Yet,</w:t>
      </w:r>
      <w:proofErr w:type="gramEnd"/>
      <w:r w:rsidR="009C1E05">
        <w:t xml:space="preserve"> there is limited </w:t>
      </w:r>
      <w:r w:rsidR="00900FBF" w:rsidRPr="00F037B5">
        <w:t>ability to pursue judicial or other recourse for violations of these rights</w:t>
      </w:r>
      <w:r w:rsidR="00497AE1">
        <w:t>.</w:t>
      </w:r>
      <w:r w:rsidR="00900FBF" w:rsidRPr="00F037B5">
        <w:t xml:space="preserve"> </w:t>
      </w:r>
      <w:r w:rsidR="00FB47B7">
        <w:t>No</w:t>
      </w:r>
      <w:r w:rsidR="00900FBF" w:rsidRPr="00F037B5">
        <w:t xml:space="preserve"> </w:t>
      </w:r>
      <w:r w:rsidR="00900FBF" w:rsidRPr="00F037B5">
        <w:rPr>
          <w:rFonts w:cs="Arial"/>
          <w:szCs w:val="24"/>
        </w:rPr>
        <w:t xml:space="preserve">ground of discrimination relating to economic </w:t>
      </w:r>
      <w:r w:rsidR="00900FBF" w:rsidRPr="00F037B5">
        <w:t xml:space="preserve">or social disadvantage exists in federal human rights legislation. </w:t>
      </w:r>
    </w:p>
    <w:p w14:paraId="06DF02DC" w14:textId="29927FD9" w:rsidR="00900FBF" w:rsidRDefault="00FB47B7" w:rsidP="00975D41">
      <w:pPr>
        <w:spacing w:line="240" w:lineRule="auto"/>
      </w:pPr>
      <w:r>
        <w:t>T</w:t>
      </w:r>
      <w:r w:rsidR="007D45B2" w:rsidRPr="00F037B5">
        <w:t xml:space="preserve">he CHRC is </w:t>
      </w:r>
      <w:r>
        <w:t xml:space="preserve">also acutely </w:t>
      </w:r>
      <w:r w:rsidR="007D45B2" w:rsidRPr="00F037B5">
        <w:t xml:space="preserve">aware that those who experience socioeconomic inequality </w:t>
      </w:r>
      <w:r>
        <w:t xml:space="preserve">encounter additional barriers in accessing justice for violations of their rights, including those under the ICCPR. </w:t>
      </w:r>
      <w:r w:rsidR="00F16DF5" w:rsidRPr="00F037B5">
        <w:t>The</w:t>
      </w:r>
      <w:r w:rsidR="007D6A18" w:rsidRPr="00F037B5">
        <w:t>se</w:t>
      </w:r>
      <w:r w:rsidR="00F16DF5" w:rsidRPr="00F037B5">
        <w:t xml:space="preserve"> barriers may include a lack of awareness or knowledge about </w:t>
      </w:r>
      <w:r>
        <w:t>avenues of</w:t>
      </w:r>
      <w:r w:rsidRPr="00F037B5">
        <w:t xml:space="preserve"> </w:t>
      </w:r>
      <w:r w:rsidR="00F16DF5" w:rsidRPr="00F037B5">
        <w:t>recourse and support</w:t>
      </w:r>
      <w:r w:rsidR="0003649D" w:rsidRPr="00F037B5">
        <w:t>s</w:t>
      </w:r>
      <w:r w:rsidR="00F16DF5" w:rsidRPr="00F037B5">
        <w:t>, lengthy wait times to have issues resolved, financial barriers, communication barriers</w:t>
      </w:r>
      <w:r w:rsidR="00F16DF5" w:rsidRPr="00F037B5">
        <w:rPr>
          <w:rStyle w:val="FootnoteReference"/>
        </w:rPr>
        <w:footnoteReference w:id="2"/>
      </w:r>
      <w:r w:rsidR="00F16DF5" w:rsidRPr="00F037B5">
        <w:t xml:space="preserve"> and other limitations.</w:t>
      </w:r>
      <w:r w:rsidR="006B6C09" w:rsidRPr="00F037B5">
        <w:t xml:space="preserve"> </w:t>
      </w:r>
    </w:p>
    <w:p w14:paraId="5120DEFB" w14:textId="3E2E70E8" w:rsidR="00FB47B7" w:rsidRDefault="00FB47B7" w:rsidP="00975D41">
      <w:pPr>
        <w:spacing w:line="240" w:lineRule="auto"/>
        <w:rPr>
          <w:rFonts w:cs="Arial"/>
        </w:rPr>
      </w:pPr>
      <w:r>
        <w:rPr>
          <w:rFonts w:cs="Arial"/>
        </w:rPr>
        <w:t xml:space="preserve">Throughout this review, we urge the Committee to emphasize the </w:t>
      </w:r>
      <w:r w:rsidRPr="00F037B5">
        <w:rPr>
          <w:rFonts w:cs="Arial"/>
        </w:rPr>
        <w:t xml:space="preserve">interdependence and indivisibility of civil and political rights </w:t>
      </w:r>
      <w:r>
        <w:rPr>
          <w:rFonts w:cs="Arial"/>
        </w:rPr>
        <w:t>and</w:t>
      </w:r>
      <w:r w:rsidRPr="00F037B5">
        <w:rPr>
          <w:rFonts w:cs="Arial"/>
        </w:rPr>
        <w:t xml:space="preserve"> economic, social and cultural rights</w:t>
      </w:r>
      <w:r>
        <w:rPr>
          <w:rFonts w:cs="Arial"/>
        </w:rPr>
        <w:t>. As will be highlighted throughout this submission, the inability to access the right to an adequate standard of living is at the root of the violations of civil and political rights that follow.</w:t>
      </w:r>
    </w:p>
    <w:p w14:paraId="7BED6854" w14:textId="7BA6ED20" w:rsidR="004747D4" w:rsidRPr="00F037B5" w:rsidRDefault="009E2A75" w:rsidP="00975D41">
      <w:pPr>
        <w:spacing w:line="240" w:lineRule="auto"/>
      </w:pPr>
      <w:r>
        <w:rPr>
          <w:rFonts w:cs="Arial"/>
        </w:rPr>
        <w:t>In addition,</w:t>
      </w:r>
      <w:r w:rsidR="004747D4">
        <w:rPr>
          <w:rFonts w:cs="Arial"/>
        </w:rPr>
        <w:t xml:space="preserve"> throughout this submission</w:t>
      </w:r>
      <w:r w:rsidR="00486621">
        <w:rPr>
          <w:rFonts w:cs="Arial"/>
        </w:rPr>
        <w:t>,</w:t>
      </w:r>
      <w:r w:rsidR="004747D4">
        <w:rPr>
          <w:rFonts w:cs="Arial"/>
        </w:rPr>
        <w:t xml:space="preserve"> the </w:t>
      </w:r>
      <w:r>
        <w:rPr>
          <w:rFonts w:cs="Arial"/>
        </w:rPr>
        <w:t>CHRC</w:t>
      </w:r>
      <w:r w:rsidR="004747D4">
        <w:rPr>
          <w:rFonts w:cs="Arial"/>
        </w:rPr>
        <w:t xml:space="preserve"> has taken an intersectional approach</w:t>
      </w:r>
      <w:r>
        <w:rPr>
          <w:rFonts w:cs="Arial"/>
        </w:rPr>
        <w:t>, which is</w:t>
      </w:r>
      <w:r w:rsidR="004747D4">
        <w:rPr>
          <w:rFonts w:cs="Arial"/>
        </w:rPr>
        <w:t xml:space="preserve"> cognizant of the reality that for each issue </w:t>
      </w:r>
      <w:r>
        <w:rPr>
          <w:rFonts w:cs="Arial"/>
        </w:rPr>
        <w:t>raised</w:t>
      </w:r>
      <w:r w:rsidR="004747D4">
        <w:rPr>
          <w:rFonts w:cs="Arial"/>
        </w:rPr>
        <w:t xml:space="preserve">, the impacts on people may be disproportionate or unique depending upon their lived reality </w:t>
      </w:r>
      <w:r>
        <w:rPr>
          <w:rFonts w:cs="Arial"/>
        </w:rPr>
        <w:t xml:space="preserve">and </w:t>
      </w:r>
      <w:r w:rsidR="004747D4">
        <w:rPr>
          <w:rFonts w:cs="Arial"/>
        </w:rPr>
        <w:t xml:space="preserve">experiences. </w:t>
      </w:r>
    </w:p>
    <w:p w14:paraId="7EF51E56" w14:textId="5F6E4ED2" w:rsidR="00A85C41" w:rsidRPr="00F037B5" w:rsidRDefault="00454779" w:rsidP="00A85C41">
      <w:pPr>
        <w:pStyle w:val="Heading1"/>
      </w:pPr>
      <w:bookmarkStart w:id="10" w:name="_Toc220669664"/>
      <w:r w:rsidRPr="00F037B5">
        <w:t>The Right to Life (Articles 1, 6)</w:t>
      </w:r>
      <w:bookmarkEnd w:id="10"/>
      <w:r w:rsidRPr="00F037B5">
        <w:t xml:space="preserve"> </w:t>
      </w:r>
      <w:bookmarkEnd w:id="7"/>
      <w:bookmarkEnd w:id="8"/>
    </w:p>
    <w:p w14:paraId="1DBDF93C" w14:textId="7A620057" w:rsidR="00454779" w:rsidRPr="00F037B5" w:rsidRDefault="00454779" w:rsidP="00A85C41">
      <w:pPr>
        <w:pStyle w:val="Heading2"/>
        <w:ind w:left="567" w:hanging="567"/>
      </w:pPr>
      <w:bookmarkStart w:id="11" w:name="_Toc220669665"/>
      <w:r w:rsidRPr="00F037B5">
        <w:t>Medical Assistance in Dying</w:t>
      </w:r>
      <w:bookmarkEnd w:id="11"/>
      <w:r w:rsidRPr="00F037B5">
        <w:t xml:space="preserve"> </w:t>
      </w:r>
    </w:p>
    <w:p w14:paraId="6870245A" w14:textId="05B15233" w:rsidR="00B17E5F" w:rsidRPr="008B7AA6" w:rsidRDefault="00065096" w:rsidP="00B17E5F">
      <w:pPr>
        <w:spacing w:line="240" w:lineRule="auto"/>
      </w:pPr>
      <w:r w:rsidRPr="00F037B5">
        <w:t>Canada</w:t>
      </w:r>
      <w:r w:rsidR="0035113D" w:rsidRPr="00F037B5">
        <w:t xml:space="preserve"> amended its</w:t>
      </w:r>
      <w:r w:rsidRPr="00F037B5">
        <w:t xml:space="preserve"> Criminal Code </w:t>
      </w:r>
      <w:r w:rsidR="0035113D" w:rsidRPr="00F037B5">
        <w:t xml:space="preserve">in 2021 to expand access to </w:t>
      </w:r>
      <w:r w:rsidRPr="00F037B5">
        <w:t>Medical Assistance in Dying (</w:t>
      </w:r>
      <w:proofErr w:type="spellStart"/>
      <w:r w:rsidRPr="00F037B5">
        <w:t>MA</w:t>
      </w:r>
      <w:r w:rsidR="004317ED" w:rsidRPr="00F037B5">
        <w:t>i</w:t>
      </w:r>
      <w:r w:rsidRPr="00F037B5">
        <w:t>D</w:t>
      </w:r>
      <w:proofErr w:type="spellEnd"/>
      <w:r w:rsidRPr="00F037B5">
        <w:t>)</w:t>
      </w:r>
      <w:r w:rsidR="00535FAE">
        <w:t xml:space="preserve"> to those with grievous and irremediable medical conditions who</w:t>
      </w:r>
      <w:r w:rsidR="00E02862">
        <w:t>se</w:t>
      </w:r>
      <w:r w:rsidR="00535FAE">
        <w:t xml:space="preserve"> death is </w:t>
      </w:r>
      <w:r w:rsidR="00535FAE">
        <w:rPr>
          <w:u w:val="single"/>
        </w:rPr>
        <w:t>not</w:t>
      </w:r>
      <w:r w:rsidR="00535FAE">
        <w:rPr>
          <w:i/>
          <w:iCs/>
          <w:u w:val="single"/>
        </w:rPr>
        <w:t xml:space="preserve"> </w:t>
      </w:r>
      <w:r w:rsidR="00535FAE">
        <w:rPr>
          <w:u w:val="single"/>
        </w:rPr>
        <w:t>reasonably foreseeable</w:t>
      </w:r>
      <w:r w:rsidRPr="00F037B5">
        <w:t>.</w:t>
      </w:r>
      <w:r w:rsidRPr="00F037B5">
        <w:rPr>
          <w:rStyle w:val="FootnoteReference"/>
        </w:rPr>
        <w:footnoteReference w:id="3"/>
      </w:r>
      <w:r w:rsidRPr="00F037B5">
        <w:t xml:space="preserve"> </w:t>
      </w:r>
      <w:r w:rsidR="00535FAE">
        <w:t xml:space="preserve">Previously, access was limited to those whose natural death was reasonably foreseeable. </w:t>
      </w:r>
      <w:r w:rsidR="00B17E5F">
        <w:t xml:space="preserve"> While plans had been underway to further expand </w:t>
      </w:r>
      <w:proofErr w:type="spellStart"/>
      <w:r w:rsidR="00B17E5F">
        <w:lastRenderedPageBreak/>
        <w:t>MAiD</w:t>
      </w:r>
      <w:proofErr w:type="spellEnd"/>
      <w:r w:rsidR="00B17E5F">
        <w:t xml:space="preserve"> to include those whose sole underlying condition is a mental illness, this has been paused until March 2027.  </w:t>
      </w:r>
    </w:p>
    <w:p w14:paraId="4782E549" w14:textId="5E8D6CA1" w:rsidR="00065096" w:rsidRPr="00F037B5" w:rsidRDefault="008954F9" w:rsidP="00A85C41">
      <w:pPr>
        <w:spacing w:line="240" w:lineRule="auto"/>
      </w:pPr>
      <w:r>
        <w:t>Many a</w:t>
      </w:r>
      <w:r w:rsidRPr="00F037B5">
        <w:t xml:space="preserve">dvocates </w:t>
      </w:r>
      <w:r w:rsidR="0035113D" w:rsidRPr="00F037B5">
        <w:t>and ex</w:t>
      </w:r>
      <w:r w:rsidR="00E9224D" w:rsidRPr="00F037B5">
        <w:t>p</w:t>
      </w:r>
      <w:r w:rsidR="0035113D" w:rsidRPr="00F037B5">
        <w:t>erts</w:t>
      </w:r>
      <w:r w:rsidR="004751AF" w:rsidRPr="00F037B5">
        <w:t xml:space="preserve"> in Canada and internationally continue to </w:t>
      </w:r>
      <w:r w:rsidR="00535FAE">
        <w:t>assert that th</w:t>
      </w:r>
      <w:r w:rsidR="00B17E5F">
        <w:t>e</w:t>
      </w:r>
      <w:r w:rsidR="00535FAE">
        <w:t xml:space="preserve"> expansion </w:t>
      </w:r>
      <w:r w:rsidR="00B17E5F">
        <w:t xml:space="preserve">of </w:t>
      </w:r>
      <w:proofErr w:type="spellStart"/>
      <w:r w:rsidR="00B17E5F">
        <w:t>MAiD</w:t>
      </w:r>
      <w:proofErr w:type="spellEnd"/>
      <w:r w:rsidR="00B17E5F">
        <w:t xml:space="preserve"> to those whose death is not reasonably foreseeable </w:t>
      </w:r>
      <w:r w:rsidR="00535FAE">
        <w:t>constitutes discrimination against people with disabilities</w:t>
      </w:r>
      <w:r w:rsidR="00B17E5F">
        <w:t xml:space="preserve">, and that the risk of significant human rights harms will increase with any further expansion.  A </w:t>
      </w:r>
      <w:r w:rsidR="00B17E5F" w:rsidRPr="001A0F29">
        <w:t>coalition of disability rights organizations ha</w:t>
      </w:r>
      <w:r w:rsidR="00B17E5F">
        <w:t>s</w:t>
      </w:r>
      <w:r w:rsidR="00B17E5F" w:rsidRPr="001A0F29">
        <w:t xml:space="preserve"> filed a </w:t>
      </w:r>
      <w:r w:rsidR="00B17E5F">
        <w:t xml:space="preserve">legal </w:t>
      </w:r>
      <w:r w:rsidR="00B17E5F" w:rsidRPr="001A0F29">
        <w:t xml:space="preserve">challenge urging the court to strike down </w:t>
      </w:r>
      <w:r w:rsidR="00B17E5F">
        <w:t>“</w:t>
      </w:r>
      <w:r w:rsidR="00B17E5F" w:rsidRPr="001A0F29">
        <w:t>Track 2</w:t>
      </w:r>
      <w:r w:rsidR="00B17E5F">
        <w:t>”</w:t>
      </w:r>
      <w:r w:rsidR="00B17E5F" w:rsidRPr="001A0F29">
        <w:t xml:space="preserve"> </w:t>
      </w:r>
      <w:proofErr w:type="spellStart"/>
      <w:r w:rsidR="00B17E5F" w:rsidRPr="001A0F29">
        <w:t>MAiD</w:t>
      </w:r>
      <w:proofErr w:type="spellEnd"/>
      <w:r w:rsidR="00B17E5F">
        <w:t xml:space="preserve"> as unconstitutional</w:t>
      </w:r>
      <w:r w:rsidR="00B17E5F" w:rsidRPr="001A0F29">
        <w:t xml:space="preserve">, </w:t>
      </w:r>
      <w:r w:rsidR="00B17E5F">
        <w:t>asserting that</w:t>
      </w:r>
      <w:r w:rsidR="00B17E5F" w:rsidRPr="001A0F29">
        <w:t xml:space="preserve"> </w:t>
      </w:r>
      <w:proofErr w:type="spellStart"/>
      <w:r w:rsidR="00B17E5F" w:rsidRPr="001A0F29">
        <w:t>MAiD</w:t>
      </w:r>
      <w:proofErr w:type="spellEnd"/>
      <w:r w:rsidR="00B17E5F" w:rsidRPr="001A0F29">
        <w:t xml:space="preserve"> should only be available to people whose natural death is reasonably foreseeable.</w:t>
      </w:r>
      <w:r w:rsidR="00B17E5F">
        <w:rPr>
          <w:rStyle w:val="FootnoteReference"/>
        </w:rPr>
        <w:footnoteReference w:id="4"/>
      </w:r>
      <w:r w:rsidR="00B17E5F">
        <w:t xml:space="preserve"> </w:t>
      </w:r>
    </w:p>
    <w:p w14:paraId="7CC327C8" w14:textId="0C01A6C1" w:rsidR="0031329C" w:rsidRPr="00F037B5" w:rsidRDefault="004751AF" w:rsidP="00A85C41">
      <w:pPr>
        <w:spacing w:line="240" w:lineRule="auto"/>
      </w:pPr>
      <w:r w:rsidRPr="00F037B5">
        <w:t>The</w:t>
      </w:r>
      <w:r w:rsidR="00065096" w:rsidRPr="00F037B5">
        <w:t xml:space="preserve"> CHRC remains </w:t>
      </w:r>
      <w:r w:rsidRPr="00F037B5">
        <w:t xml:space="preserve">deeply </w:t>
      </w:r>
      <w:r w:rsidR="00065096" w:rsidRPr="00F037B5">
        <w:t>concerned</w:t>
      </w:r>
      <w:r w:rsidR="0041525F" w:rsidRPr="00F037B5">
        <w:t xml:space="preserve"> by </w:t>
      </w:r>
      <w:r w:rsidR="000F24B4" w:rsidRPr="00F037B5">
        <w:t xml:space="preserve">ongoing </w:t>
      </w:r>
      <w:r w:rsidR="0041525F" w:rsidRPr="00F037B5">
        <w:t xml:space="preserve">reports that people with disabilities are </w:t>
      </w:r>
      <w:r w:rsidR="00E9224D" w:rsidRPr="00F037B5">
        <w:t xml:space="preserve">turning to </w:t>
      </w:r>
      <w:proofErr w:type="spellStart"/>
      <w:r w:rsidR="0041525F" w:rsidRPr="00F037B5">
        <w:t>MAiD</w:t>
      </w:r>
      <w:proofErr w:type="spellEnd"/>
      <w:r w:rsidR="0041525F" w:rsidRPr="00F037B5">
        <w:t xml:space="preserve"> because they cannot access the basic supports and services </w:t>
      </w:r>
      <w:r w:rsidR="008954F9">
        <w:t>essential</w:t>
      </w:r>
      <w:r w:rsidR="0041525F" w:rsidRPr="00F037B5">
        <w:t xml:space="preserve"> to liv</w:t>
      </w:r>
      <w:r w:rsidR="008954F9">
        <w:t>ing</w:t>
      </w:r>
      <w:r w:rsidR="0041525F" w:rsidRPr="00F037B5">
        <w:t xml:space="preserve"> with dignity.</w:t>
      </w:r>
      <w:r w:rsidR="005D468A">
        <w:rPr>
          <w:rStyle w:val="FootnoteReference"/>
        </w:rPr>
        <w:footnoteReference w:id="5"/>
      </w:r>
      <w:r w:rsidR="00065096" w:rsidRPr="00F037B5">
        <w:t xml:space="preserve"> </w:t>
      </w:r>
      <w:r w:rsidR="00E9224D" w:rsidRPr="00F037B5">
        <w:t>M</w:t>
      </w:r>
      <w:r w:rsidR="0041525F" w:rsidRPr="00F037B5">
        <w:t xml:space="preserve">any people with disabilities </w:t>
      </w:r>
      <w:r w:rsidR="006B4463" w:rsidRPr="00F037B5">
        <w:t xml:space="preserve">continue to be </w:t>
      </w:r>
      <w:r w:rsidR="00E9224D" w:rsidRPr="00F037B5">
        <w:t xml:space="preserve">forced to live in institutions due to </w:t>
      </w:r>
      <w:r w:rsidR="006B4463" w:rsidRPr="00F037B5">
        <w:t>a</w:t>
      </w:r>
      <w:r w:rsidR="00E9224D" w:rsidRPr="00F037B5">
        <w:t xml:space="preserve"> lack of community-based supports and accessible housing.</w:t>
      </w:r>
      <w:r w:rsidR="00C936CD">
        <w:rPr>
          <w:rStyle w:val="FootnoteReference"/>
        </w:rPr>
        <w:footnoteReference w:id="6"/>
      </w:r>
      <w:r w:rsidR="00E9224D" w:rsidRPr="00F037B5">
        <w:t xml:space="preserve"> Many </w:t>
      </w:r>
      <w:r w:rsidR="0041525F" w:rsidRPr="00F037B5">
        <w:t xml:space="preserve">cannot </w:t>
      </w:r>
      <w:r w:rsidR="00E9224D" w:rsidRPr="00F037B5">
        <w:t xml:space="preserve">access </w:t>
      </w:r>
      <w:r w:rsidR="0041525F" w:rsidRPr="00F037B5">
        <w:t>healthcare</w:t>
      </w:r>
      <w:r w:rsidR="00E9224D" w:rsidRPr="00F037B5">
        <w:t>, medication, equipment</w:t>
      </w:r>
      <w:r w:rsidR="0041525F" w:rsidRPr="00F037B5">
        <w:t xml:space="preserve"> </w:t>
      </w:r>
      <w:r w:rsidR="00E9224D" w:rsidRPr="00F037B5">
        <w:t xml:space="preserve">and supports </w:t>
      </w:r>
      <w:r w:rsidR="0041525F" w:rsidRPr="00F037B5">
        <w:t xml:space="preserve">they need </w:t>
      </w:r>
      <w:r w:rsidR="00E9224D" w:rsidRPr="00F037B5">
        <w:t>due to financial</w:t>
      </w:r>
      <w:r w:rsidR="006B4463" w:rsidRPr="00F037B5">
        <w:t xml:space="preserve"> </w:t>
      </w:r>
      <w:r w:rsidR="00E9224D" w:rsidRPr="00F037B5">
        <w:t>and other barriers</w:t>
      </w:r>
      <w:r w:rsidR="0041525F" w:rsidRPr="00F037B5">
        <w:t xml:space="preserve">. </w:t>
      </w:r>
      <w:r w:rsidR="006B4463" w:rsidRPr="00F037B5">
        <w:t>T</w:t>
      </w:r>
      <w:r w:rsidR="0041525F" w:rsidRPr="00F037B5">
        <w:t>h</w:t>
      </w:r>
      <w:r w:rsidR="006B4463" w:rsidRPr="00F037B5">
        <w:t>is situation has worsened with th</w:t>
      </w:r>
      <w:r w:rsidR="0041525F" w:rsidRPr="00F037B5">
        <w:t xml:space="preserve">e lingering effects of the </w:t>
      </w:r>
      <w:r w:rsidR="00E9224D" w:rsidRPr="00F037B5">
        <w:t xml:space="preserve">COVID-19 </w:t>
      </w:r>
      <w:r w:rsidR="0041525F" w:rsidRPr="00F037B5">
        <w:t>pandemic</w:t>
      </w:r>
      <w:r w:rsidR="006B4463" w:rsidRPr="00F037B5">
        <w:t xml:space="preserve"> and</w:t>
      </w:r>
      <w:r w:rsidR="0041525F" w:rsidRPr="00F037B5">
        <w:t xml:space="preserve"> </w:t>
      </w:r>
      <w:r w:rsidR="00284F6C" w:rsidRPr="00F037B5">
        <w:t>an</w:t>
      </w:r>
      <w:r w:rsidR="0041525F" w:rsidRPr="00F037B5">
        <w:t xml:space="preserve"> ongoing</w:t>
      </w:r>
      <w:r w:rsidR="0033189C" w:rsidRPr="00F037B5">
        <w:t xml:space="preserve"> cost of living</w:t>
      </w:r>
      <w:r w:rsidR="0041525F" w:rsidRPr="00F037B5">
        <w:t xml:space="preserve"> crisis</w:t>
      </w:r>
      <w:r w:rsidR="006B4463" w:rsidRPr="00F037B5">
        <w:t>.</w:t>
      </w:r>
      <w:r w:rsidR="00CC7BAD" w:rsidRPr="00F037B5">
        <w:t xml:space="preserve"> </w:t>
      </w:r>
      <w:r w:rsidR="006B4463" w:rsidRPr="00F037B5">
        <w:t>Fac</w:t>
      </w:r>
      <w:r w:rsidR="00727D76" w:rsidRPr="00F037B5">
        <w:t>ed with</w:t>
      </w:r>
      <w:r w:rsidR="006B4463" w:rsidRPr="00F037B5">
        <w:t xml:space="preserve"> </w:t>
      </w:r>
      <w:r w:rsidR="00727D76" w:rsidRPr="00F037B5">
        <w:t>systemic inequalities</w:t>
      </w:r>
      <w:r w:rsidR="006B4463" w:rsidRPr="00F037B5">
        <w:t xml:space="preserve">, some people with disabilities are accessing </w:t>
      </w:r>
      <w:proofErr w:type="spellStart"/>
      <w:r w:rsidR="006B4463" w:rsidRPr="00F037B5">
        <w:t>MA</w:t>
      </w:r>
      <w:r w:rsidR="0043155E">
        <w:t>i</w:t>
      </w:r>
      <w:r w:rsidR="006B4463" w:rsidRPr="00F037B5">
        <w:t>D</w:t>
      </w:r>
      <w:proofErr w:type="spellEnd"/>
      <w:r w:rsidR="006B4463" w:rsidRPr="00F037B5">
        <w:t xml:space="preserve"> because they feel they </w:t>
      </w:r>
      <w:r w:rsidR="0078722A" w:rsidRPr="00F037B5">
        <w:t xml:space="preserve">do not have </w:t>
      </w:r>
      <w:r w:rsidR="006B4463" w:rsidRPr="00F037B5">
        <w:t>any other options</w:t>
      </w:r>
      <w:r w:rsidR="00065096" w:rsidRPr="00F037B5">
        <w:t xml:space="preserve">. </w:t>
      </w:r>
    </w:p>
    <w:p w14:paraId="0382328D" w14:textId="7EAB1124" w:rsidR="0097209B" w:rsidRPr="00F037B5" w:rsidRDefault="0097209B" w:rsidP="0097209B">
      <w:pPr>
        <w:spacing w:line="240" w:lineRule="auto"/>
        <w:rPr>
          <w:lang w:val="en-US"/>
        </w:rPr>
      </w:pPr>
      <w:r w:rsidRPr="00F037B5">
        <w:rPr>
          <w:lang w:val="en-US"/>
        </w:rPr>
        <w:t xml:space="preserve">The CHRC has heard from advocates that engagement </w:t>
      </w:r>
      <w:r w:rsidR="00B17E5F">
        <w:rPr>
          <w:lang w:val="en-US"/>
        </w:rPr>
        <w:t xml:space="preserve">on the issue of </w:t>
      </w:r>
      <w:proofErr w:type="spellStart"/>
      <w:r w:rsidR="00B17E5F">
        <w:rPr>
          <w:lang w:val="en-US"/>
        </w:rPr>
        <w:t>MAiD</w:t>
      </w:r>
      <w:proofErr w:type="spellEnd"/>
      <w:r w:rsidR="00B17E5F" w:rsidRPr="00F037B5">
        <w:rPr>
          <w:lang w:val="en-US"/>
        </w:rPr>
        <w:t xml:space="preserve"> </w:t>
      </w:r>
      <w:r w:rsidRPr="00F037B5">
        <w:rPr>
          <w:lang w:val="en-US"/>
        </w:rPr>
        <w:t>with Indigenous</w:t>
      </w:r>
      <w:r>
        <w:rPr>
          <w:rStyle w:val="FootnoteReference"/>
          <w:lang w:val="en-US"/>
        </w:rPr>
        <w:footnoteReference w:id="7"/>
      </w:r>
      <w:r w:rsidRPr="00F037B5">
        <w:rPr>
          <w:lang w:val="en-US"/>
        </w:rPr>
        <w:t xml:space="preserve"> peoples</w:t>
      </w:r>
      <w:r>
        <w:rPr>
          <w:lang w:val="en-US"/>
        </w:rPr>
        <w:t xml:space="preserve"> </w:t>
      </w:r>
      <w:r w:rsidR="00B17E5F" w:rsidRPr="00F037B5">
        <w:rPr>
          <w:lang w:val="en-US"/>
        </w:rPr>
        <w:t xml:space="preserve">– First Nations, Inuit and </w:t>
      </w:r>
      <w:r w:rsidR="00B17E5F" w:rsidRPr="00F037B5">
        <w:t>Métis –</w:t>
      </w:r>
      <w:r w:rsidR="00E02862">
        <w:t xml:space="preserve"> </w:t>
      </w:r>
      <w:r w:rsidRPr="00F037B5">
        <w:rPr>
          <w:lang w:val="en-US"/>
        </w:rPr>
        <w:t xml:space="preserve">has been insufficient to date. The CHRC has also heard that the views of some experts and those with lived experience who have expressed concern with the expansion of </w:t>
      </w:r>
      <w:proofErr w:type="spellStart"/>
      <w:r w:rsidRPr="00F037B5">
        <w:rPr>
          <w:lang w:val="en-US"/>
        </w:rPr>
        <w:t>MAiD</w:t>
      </w:r>
      <w:proofErr w:type="spellEnd"/>
      <w:r w:rsidRPr="00F037B5">
        <w:rPr>
          <w:lang w:val="en-US"/>
        </w:rPr>
        <w:t xml:space="preserve"> have been marginalized. Canada must ensure that Indigenous peoples, and those </w:t>
      </w:r>
      <w:r>
        <w:rPr>
          <w:lang w:val="en-US"/>
        </w:rPr>
        <w:t>who</w:t>
      </w:r>
      <w:r w:rsidRPr="00F037B5">
        <w:rPr>
          <w:lang w:val="en-US"/>
        </w:rPr>
        <w:t xml:space="preserve"> are most vulnerable are listened to and their experiences are valued.</w:t>
      </w:r>
    </w:p>
    <w:p w14:paraId="5776803E" w14:textId="451C4834" w:rsidR="00B17E5F" w:rsidRPr="00C558AB" w:rsidRDefault="00B17E5F" w:rsidP="00A85C41">
      <w:pPr>
        <w:spacing w:line="240" w:lineRule="auto"/>
      </w:pPr>
      <w:r w:rsidRPr="00F037B5">
        <w:t xml:space="preserve">Accessing </w:t>
      </w:r>
      <w:proofErr w:type="spellStart"/>
      <w:r w:rsidRPr="00F037B5">
        <w:t>MAiD</w:t>
      </w:r>
      <w:proofErr w:type="spellEnd"/>
      <w:r w:rsidRPr="00F037B5">
        <w:t xml:space="preserve"> should not be the result of inequality, nor should it be the result of the State’s failure to fulfill its human rights obligations under the CRPD, the International Covenant on Economic, Social and Cultural Rights, the Canadian Charter of Rights and Freedoms, or human rights legislation.</w:t>
      </w:r>
    </w:p>
    <w:p w14:paraId="52B19200" w14:textId="0BF24470" w:rsidR="00BF31E1" w:rsidRDefault="004751AF" w:rsidP="004751AF">
      <w:pPr>
        <w:spacing w:line="240" w:lineRule="auto"/>
      </w:pPr>
      <w:r w:rsidRPr="00F037B5">
        <w:rPr>
          <w:lang w:val="en-US"/>
        </w:rPr>
        <w:t xml:space="preserve">As the Government takes a critical look at the expansion of </w:t>
      </w:r>
      <w:proofErr w:type="spellStart"/>
      <w:r w:rsidRPr="00F037B5">
        <w:rPr>
          <w:lang w:val="en-US"/>
        </w:rPr>
        <w:t>MAiD</w:t>
      </w:r>
      <w:proofErr w:type="spellEnd"/>
      <w:r w:rsidRPr="00F037B5">
        <w:rPr>
          <w:lang w:val="en-US"/>
        </w:rPr>
        <w:t xml:space="preserve">, </w:t>
      </w:r>
      <w:r w:rsidR="004317ED" w:rsidRPr="00F037B5">
        <w:rPr>
          <w:lang w:val="en-US"/>
        </w:rPr>
        <w:t>the</w:t>
      </w:r>
      <w:r w:rsidRPr="00F037B5">
        <w:rPr>
          <w:lang w:val="en-US"/>
        </w:rPr>
        <w:t xml:space="preserve"> C</w:t>
      </w:r>
      <w:r w:rsidR="008D14C5" w:rsidRPr="00F037B5">
        <w:rPr>
          <w:lang w:val="en-US"/>
        </w:rPr>
        <w:t>HRC</w:t>
      </w:r>
      <w:r w:rsidRPr="00F037B5">
        <w:rPr>
          <w:lang w:val="en-US"/>
        </w:rPr>
        <w:t xml:space="preserve"> </w:t>
      </w:r>
      <w:r w:rsidR="0031329C" w:rsidRPr="00F037B5">
        <w:rPr>
          <w:lang w:val="en-US"/>
        </w:rPr>
        <w:t xml:space="preserve">urges </w:t>
      </w:r>
      <w:r w:rsidR="00727D76" w:rsidRPr="00F037B5">
        <w:rPr>
          <w:lang w:val="en-US"/>
        </w:rPr>
        <w:t>it</w:t>
      </w:r>
      <w:r w:rsidR="004317ED" w:rsidRPr="00F037B5">
        <w:rPr>
          <w:lang w:val="en-US"/>
        </w:rPr>
        <w:t xml:space="preserve"> </w:t>
      </w:r>
      <w:r w:rsidRPr="00F037B5">
        <w:rPr>
          <w:lang w:val="en-US"/>
        </w:rPr>
        <w:t>to conduct a thorough examination of what has happened since the coming into force of the existing legislation.</w:t>
      </w:r>
      <w:r w:rsidR="00B72F21" w:rsidRPr="00F037B5">
        <w:rPr>
          <w:rStyle w:val="FootnoteReference"/>
          <w:lang w:val="en-US"/>
        </w:rPr>
        <w:footnoteReference w:id="8"/>
      </w:r>
      <w:r w:rsidRPr="00F037B5">
        <w:rPr>
          <w:lang w:val="en-US"/>
        </w:rPr>
        <w:t xml:space="preserve"> This </w:t>
      </w:r>
      <w:r w:rsidR="008954F9">
        <w:rPr>
          <w:lang w:val="en-US"/>
        </w:rPr>
        <w:t>must</w:t>
      </w:r>
      <w:r w:rsidR="00727D76" w:rsidRPr="00F037B5">
        <w:rPr>
          <w:lang w:val="en-US"/>
        </w:rPr>
        <w:t xml:space="preserve"> </w:t>
      </w:r>
      <w:r w:rsidRPr="00F037B5">
        <w:rPr>
          <w:lang w:val="en-US"/>
        </w:rPr>
        <w:t xml:space="preserve">include collecting the evidence and testimony </w:t>
      </w:r>
      <w:r w:rsidRPr="00F037B5">
        <w:rPr>
          <w:lang w:val="en-US"/>
        </w:rPr>
        <w:lastRenderedPageBreak/>
        <w:t xml:space="preserve">necessary </w:t>
      </w:r>
      <w:r w:rsidR="00727D76" w:rsidRPr="00F037B5">
        <w:rPr>
          <w:lang w:val="en-US"/>
        </w:rPr>
        <w:t>to fully understand</w:t>
      </w:r>
      <w:r w:rsidRPr="00F037B5">
        <w:rPr>
          <w:lang w:val="en-US"/>
        </w:rPr>
        <w:t xml:space="preserve"> who is accessing </w:t>
      </w:r>
      <w:proofErr w:type="spellStart"/>
      <w:r w:rsidRPr="00F037B5">
        <w:rPr>
          <w:lang w:val="en-US"/>
        </w:rPr>
        <w:t>MA</w:t>
      </w:r>
      <w:r w:rsidR="004317ED" w:rsidRPr="00F037B5">
        <w:rPr>
          <w:lang w:val="en-US"/>
        </w:rPr>
        <w:t>i</w:t>
      </w:r>
      <w:r w:rsidRPr="00F037B5">
        <w:rPr>
          <w:lang w:val="en-US"/>
        </w:rPr>
        <w:t>D</w:t>
      </w:r>
      <w:proofErr w:type="spellEnd"/>
      <w:r w:rsidRPr="00F037B5">
        <w:rPr>
          <w:lang w:val="en-US"/>
        </w:rPr>
        <w:t xml:space="preserve"> and why</w:t>
      </w:r>
      <w:r w:rsidR="00727D76" w:rsidRPr="00F037B5">
        <w:rPr>
          <w:lang w:val="en-US"/>
        </w:rPr>
        <w:t xml:space="preserve">. This is a crucial step </w:t>
      </w:r>
      <w:r w:rsidRPr="00F037B5">
        <w:rPr>
          <w:lang w:val="en-US"/>
        </w:rPr>
        <w:t>in identify</w:t>
      </w:r>
      <w:r w:rsidR="00727D76" w:rsidRPr="00F037B5">
        <w:rPr>
          <w:lang w:val="en-US"/>
        </w:rPr>
        <w:t>ing</w:t>
      </w:r>
      <w:r w:rsidRPr="00F037B5">
        <w:rPr>
          <w:lang w:val="en-US"/>
        </w:rPr>
        <w:t xml:space="preserve"> and </w:t>
      </w:r>
      <w:r w:rsidR="008954F9">
        <w:rPr>
          <w:lang w:val="en-US"/>
        </w:rPr>
        <w:t>implementing</w:t>
      </w:r>
      <w:r w:rsidRPr="00F037B5">
        <w:rPr>
          <w:lang w:val="en-US"/>
        </w:rPr>
        <w:t xml:space="preserve"> the </w:t>
      </w:r>
      <w:r w:rsidR="00727D76" w:rsidRPr="00F037B5">
        <w:rPr>
          <w:lang w:val="en-US"/>
        </w:rPr>
        <w:t xml:space="preserve">required </w:t>
      </w:r>
      <w:r w:rsidRPr="00F037B5">
        <w:rPr>
          <w:lang w:val="en-US"/>
        </w:rPr>
        <w:t>safeguards</w:t>
      </w:r>
      <w:r w:rsidR="00727D76" w:rsidRPr="00F037B5">
        <w:rPr>
          <w:lang w:val="en-US"/>
        </w:rPr>
        <w:t xml:space="preserve"> to</w:t>
      </w:r>
      <w:r w:rsidRPr="00F037B5">
        <w:rPr>
          <w:lang w:val="en-US"/>
        </w:rPr>
        <w:t xml:space="preserve"> </w:t>
      </w:r>
      <w:r w:rsidR="00727D76" w:rsidRPr="00F037B5">
        <w:rPr>
          <w:lang w:val="en-US"/>
        </w:rPr>
        <w:t xml:space="preserve">ensure that people are not making this decision </w:t>
      </w:r>
      <w:r w:rsidR="008954F9">
        <w:rPr>
          <w:lang w:val="en-US"/>
        </w:rPr>
        <w:t>because</w:t>
      </w:r>
      <w:r w:rsidR="00727D76" w:rsidRPr="00F037B5">
        <w:rPr>
          <w:lang w:val="en-US"/>
        </w:rPr>
        <w:t xml:space="preserve"> of </w:t>
      </w:r>
      <w:r w:rsidR="008954F9">
        <w:rPr>
          <w:lang w:val="en-US"/>
        </w:rPr>
        <w:t xml:space="preserve">unaddressed </w:t>
      </w:r>
      <w:r w:rsidR="00727D76" w:rsidRPr="00F037B5">
        <w:rPr>
          <w:lang w:val="en-US"/>
        </w:rPr>
        <w:t xml:space="preserve">human rights </w:t>
      </w:r>
      <w:proofErr w:type="gramStart"/>
      <w:r w:rsidR="00727D76" w:rsidRPr="00F037B5">
        <w:rPr>
          <w:lang w:val="en-US"/>
        </w:rPr>
        <w:t>harms</w:t>
      </w:r>
      <w:proofErr w:type="gramEnd"/>
      <w:r w:rsidRPr="00F037B5">
        <w:rPr>
          <w:lang w:val="en-US"/>
        </w:rPr>
        <w:t>.</w:t>
      </w:r>
      <w:r w:rsidR="00A16079" w:rsidRPr="00A16079">
        <w:t xml:space="preserve"> </w:t>
      </w:r>
    </w:p>
    <w:p w14:paraId="7E278771" w14:textId="690AC276" w:rsidR="00BF31E1" w:rsidRDefault="00201998" w:rsidP="004751AF">
      <w:pPr>
        <w:spacing w:line="240" w:lineRule="auto"/>
      </w:pPr>
      <w:r w:rsidRPr="00F037B5">
        <w:rPr>
          <w:lang w:val="en-US"/>
        </w:rPr>
        <w:t>In addition</w:t>
      </w:r>
      <w:r>
        <w:rPr>
          <w:lang w:val="en-US"/>
        </w:rPr>
        <w:t xml:space="preserve">, </w:t>
      </w:r>
      <w:r w:rsidRPr="00F037B5">
        <w:rPr>
          <w:lang w:val="en-US"/>
        </w:rPr>
        <w:t xml:space="preserve">following Canada’s </w:t>
      </w:r>
      <w:r>
        <w:rPr>
          <w:lang w:val="en-US"/>
        </w:rPr>
        <w:t xml:space="preserve">most recent </w:t>
      </w:r>
      <w:r w:rsidRPr="00F037B5">
        <w:rPr>
          <w:lang w:val="en-US"/>
        </w:rPr>
        <w:t xml:space="preserve">review before the Committee on the Rights of Persons with Disabilities, the Committee </w:t>
      </w:r>
      <w:r w:rsidR="00BF31E1">
        <w:rPr>
          <w:lang w:val="en-US"/>
        </w:rPr>
        <w:t>recommended that Canada establish a</w:t>
      </w:r>
      <w:r w:rsidRPr="00F037B5">
        <w:t xml:space="preserve"> federal independent oversight mechanism to monitor, regulate and handle complaints in relation to </w:t>
      </w:r>
      <w:proofErr w:type="spellStart"/>
      <w:r w:rsidRPr="00F037B5">
        <w:t>MAiD</w:t>
      </w:r>
      <w:proofErr w:type="spellEnd"/>
      <w:r w:rsidRPr="00F037B5">
        <w:t>.</w:t>
      </w:r>
      <w:r w:rsidRPr="00F037B5">
        <w:rPr>
          <w:rStyle w:val="FootnoteReference"/>
        </w:rPr>
        <w:footnoteReference w:id="9"/>
      </w:r>
      <w:r>
        <w:t xml:space="preserve">  The CHRC agrees</w:t>
      </w:r>
      <w:r w:rsidR="00BF31E1">
        <w:t xml:space="preserve"> </w:t>
      </w:r>
      <w:r w:rsidR="00BF31E1" w:rsidRPr="00F037B5">
        <w:t xml:space="preserve">that independent oversight would provide </w:t>
      </w:r>
      <w:r w:rsidR="00BF31E1">
        <w:t>help ensure</w:t>
      </w:r>
      <w:r w:rsidR="00BF31E1" w:rsidRPr="00F037B5">
        <w:t xml:space="preserve"> greater transparency</w:t>
      </w:r>
      <w:r w:rsidR="00BF31E1">
        <w:t xml:space="preserve"> and</w:t>
      </w:r>
      <w:r w:rsidR="00BF31E1" w:rsidRPr="00F037B5">
        <w:t xml:space="preserve"> accountability</w:t>
      </w:r>
      <w:r w:rsidR="00BF31E1">
        <w:t xml:space="preserve"> in the administration of </w:t>
      </w:r>
      <w:proofErr w:type="spellStart"/>
      <w:r w:rsidR="00BF31E1">
        <w:t>MAiD</w:t>
      </w:r>
      <w:proofErr w:type="spellEnd"/>
      <w:r w:rsidR="00BF31E1" w:rsidRPr="00F037B5">
        <w:t>.</w:t>
      </w:r>
    </w:p>
    <w:p w14:paraId="716002EC" w14:textId="48EFE72E" w:rsidR="004751AF" w:rsidRPr="00F037B5" w:rsidRDefault="00A16079" w:rsidP="00A85C41">
      <w:pPr>
        <w:spacing w:line="240" w:lineRule="auto"/>
        <w:rPr>
          <w:rFonts w:cs="Arial"/>
          <w:lang w:val="en-US"/>
        </w:rPr>
      </w:pPr>
      <w:r>
        <w:t>T</w:t>
      </w:r>
      <w:r w:rsidRPr="00404B38">
        <w:t xml:space="preserve">he CHRC </w:t>
      </w:r>
      <w:r w:rsidR="008D14C5" w:rsidRPr="00F037B5">
        <w:rPr>
          <w:rFonts w:cs="Arial"/>
          <w:lang w:val="en-US"/>
        </w:rPr>
        <w:t>maintains that i</w:t>
      </w:r>
      <w:r w:rsidR="004751AF" w:rsidRPr="00F037B5">
        <w:rPr>
          <w:rFonts w:cs="Arial"/>
          <w:lang w:val="en-US"/>
        </w:rPr>
        <w:t>n an era whe</w:t>
      </w:r>
      <w:r w:rsidR="00AD04CD" w:rsidRPr="00F037B5">
        <w:rPr>
          <w:rFonts w:cs="Arial"/>
          <w:lang w:val="en-US"/>
        </w:rPr>
        <w:t>re</w:t>
      </w:r>
      <w:r w:rsidR="004751AF" w:rsidRPr="00F037B5">
        <w:rPr>
          <w:rFonts w:cs="Arial"/>
          <w:lang w:val="en-US"/>
        </w:rPr>
        <w:t xml:space="preserve"> </w:t>
      </w:r>
      <w:r w:rsidR="006549D4">
        <w:rPr>
          <w:rFonts w:cs="Arial"/>
          <w:lang w:val="en-US"/>
        </w:rPr>
        <w:t>Canada</w:t>
      </w:r>
      <w:r w:rsidR="004751AF" w:rsidRPr="00F037B5">
        <w:rPr>
          <w:rFonts w:cs="Arial"/>
          <w:lang w:val="en-US"/>
        </w:rPr>
        <w:t xml:space="preserve"> recognize</w:t>
      </w:r>
      <w:r w:rsidR="006549D4">
        <w:rPr>
          <w:rFonts w:cs="Arial"/>
          <w:lang w:val="en-US"/>
        </w:rPr>
        <w:t>s</w:t>
      </w:r>
      <w:r w:rsidR="004751AF" w:rsidRPr="00F037B5">
        <w:rPr>
          <w:rFonts w:cs="Arial"/>
          <w:lang w:val="en-US"/>
        </w:rPr>
        <w:t xml:space="preserve"> the right to die with dignity, we must do more to realize the right to live with dignity.</w:t>
      </w:r>
      <w:r w:rsidR="00BF31E1">
        <w:rPr>
          <w:rFonts w:cs="Arial"/>
          <w:lang w:val="en-US"/>
        </w:rPr>
        <w:t xml:space="preserve"> No further expansion of </w:t>
      </w:r>
      <w:proofErr w:type="spellStart"/>
      <w:r w:rsidR="00BF31E1">
        <w:rPr>
          <w:rFonts w:cs="Arial"/>
          <w:lang w:val="en-US"/>
        </w:rPr>
        <w:t>MAiD</w:t>
      </w:r>
      <w:proofErr w:type="spellEnd"/>
      <w:r w:rsidR="00BF31E1">
        <w:rPr>
          <w:rFonts w:cs="Arial"/>
          <w:lang w:val="en-US"/>
        </w:rPr>
        <w:t xml:space="preserve"> should be pursued until such times as a critical and thorough examination of what has happened since the coming into force of Track 2 </w:t>
      </w:r>
      <w:proofErr w:type="spellStart"/>
      <w:r w:rsidR="00BF31E1">
        <w:rPr>
          <w:rFonts w:cs="Arial"/>
          <w:lang w:val="en-US"/>
        </w:rPr>
        <w:t>MAiD</w:t>
      </w:r>
      <w:proofErr w:type="spellEnd"/>
      <w:r w:rsidR="00BF31E1">
        <w:rPr>
          <w:rFonts w:cs="Arial"/>
          <w:lang w:val="en-US"/>
        </w:rPr>
        <w:t xml:space="preserve"> has been conducted, and effective oversight has been </w:t>
      </w:r>
      <w:r w:rsidR="00BF31E1" w:rsidRPr="00714465">
        <w:rPr>
          <w:rFonts w:cs="Arial"/>
          <w:lang w:val="en-US"/>
        </w:rPr>
        <w:t>established</w:t>
      </w:r>
      <w:r w:rsidR="002974EF" w:rsidRPr="00714465">
        <w:rPr>
          <w:rFonts w:cs="Arial"/>
          <w:lang w:val="en-US"/>
        </w:rPr>
        <w:t xml:space="preserve">, noting that civil society advocates have proposed a delay in expansion </w:t>
      </w:r>
      <w:r w:rsidR="00BF31E1" w:rsidRPr="00714465">
        <w:rPr>
          <w:rFonts w:cs="Arial"/>
          <w:lang w:val="en-US"/>
        </w:rPr>
        <w:t>of the regime pending the outcome of ongoing litigation.</w:t>
      </w:r>
    </w:p>
    <w:p w14:paraId="43112EB3" w14:textId="08A6599C" w:rsidR="00454779" w:rsidRPr="00F037B5" w:rsidRDefault="00A85C41" w:rsidP="00454779">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b/>
          <w:bCs/>
          <w:szCs w:val="24"/>
        </w:rPr>
        <w:t xml:space="preserve">Recommendation </w:t>
      </w:r>
      <w:r w:rsidR="00CB7542" w:rsidRPr="00F037B5">
        <w:rPr>
          <w:rFonts w:cs="Arial"/>
          <w:b/>
          <w:bCs/>
          <w:szCs w:val="24"/>
        </w:rPr>
        <w:t>#</w:t>
      </w:r>
      <w:r w:rsidR="00965797">
        <w:rPr>
          <w:rFonts w:cs="Arial"/>
          <w:b/>
          <w:bCs/>
          <w:szCs w:val="24"/>
        </w:rPr>
        <w:t>1</w:t>
      </w:r>
      <w:r w:rsidRPr="00F037B5">
        <w:rPr>
          <w:rFonts w:cs="Arial"/>
          <w:b/>
          <w:bCs/>
          <w:szCs w:val="24"/>
        </w:rPr>
        <w:t>:</w:t>
      </w:r>
      <w:r w:rsidRPr="00F037B5">
        <w:rPr>
          <w:rFonts w:cs="Arial"/>
          <w:szCs w:val="24"/>
        </w:rPr>
        <w:t xml:space="preserve"> </w:t>
      </w:r>
      <w:r w:rsidR="004751AF" w:rsidRPr="00F037B5">
        <w:rPr>
          <w:rFonts w:cs="Arial"/>
          <w:szCs w:val="24"/>
        </w:rPr>
        <w:t xml:space="preserve">That </w:t>
      </w:r>
      <w:r w:rsidR="005624DA" w:rsidRPr="00F037B5">
        <w:rPr>
          <w:rFonts w:cs="Arial"/>
          <w:szCs w:val="24"/>
        </w:rPr>
        <w:t xml:space="preserve">before taking further action on its expansion, </w:t>
      </w:r>
      <w:r w:rsidR="004751AF" w:rsidRPr="00F037B5">
        <w:rPr>
          <w:rFonts w:cs="Arial"/>
          <w:szCs w:val="24"/>
        </w:rPr>
        <w:t xml:space="preserve">Canada </w:t>
      </w:r>
      <w:r w:rsidR="002C20E7" w:rsidRPr="00F037B5">
        <w:rPr>
          <w:rFonts w:cs="Arial"/>
          <w:szCs w:val="24"/>
        </w:rPr>
        <w:t xml:space="preserve">conduct a critical and thorough </w:t>
      </w:r>
      <w:r w:rsidR="00FE6E7C" w:rsidRPr="00F037B5">
        <w:rPr>
          <w:rFonts w:cs="Arial"/>
          <w:szCs w:val="24"/>
        </w:rPr>
        <w:t>examination</w:t>
      </w:r>
      <w:r w:rsidR="002C20E7" w:rsidRPr="00F037B5">
        <w:rPr>
          <w:rFonts w:cs="Arial"/>
          <w:szCs w:val="24"/>
        </w:rPr>
        <w:t xml:space="preserve"> of what has happened since</w:t>
      </w:r>
      <w:r w:rsidR="0031329C" w:rsidRPr="00F037B5">
        <w:rPr>
          <w:rFonts w:cs="Arial"/>
          <w:szCs w:val="24"/>
        </w:rPr>
        <w:t xml:space="preserve"> the coming into force of</w:t>
      </w:r>
      <w:r w:rsidR="002C20E7" w:rsidRPr="00F037B5">
        <w:rPr>
          <w:rFonts w:cs="Arial"/>
          <w:szCs w:val="24"/>
        </w:rPr>
        <w:t xml:space="preserve"> </w:t>
      </w:r>
      <w:proofErr w:type="spellStart"/>
      <w:r w:rsidR="002C20E7" w:rsidRPr="00F037B5">
        <w:rPr>
          <w:rFonts w:cs="Arial"/>
          <w:szCs w:val="24"/>
        </w:rPr>
        <w:t>MA</w:t>
      </w:r>
      <w:r w:rsidR="0031329C" w:rsidRPr="00F037B5">
        <w:rPr>
          <w:rFonts w:cs="Arial"/>
          <w:szCs w:val="24"/>
        </w:rPr>
        <w:t>i</w:t>
      </w:r>
      <w:r w:rsidR="002C20E7" w:rsidRPr="00F037B5">
        <w:rPr>
          <w:rFonts w:cs="Arial"/>
          <w:szCs w:val="24"/>
        </w:rPr>
        <w:t>D</w:t>
      </w:r>
      <w:proofErr w:type="spellEnd"/>
      <w:r w:rsidR="002C20E7" w:rsidRPr="00F037B5">
        <w:rPr>
          <w:rFonts w:cs="Arial"/>
          <w:szCs w:val="24"/>
        </w:rPr>
        <w:t xml:space="preserve"> </w:t>
      </w:r>
      <w:r w:rsidR="00B72F21" w:rsidRPr="00F037B5">
        <w:rPr>
          <w:rFonts w:cs="Arial"/>
          <w:szCs w:val="24"/>
        </w:rPr>
        <w:t>legislation</w:t>
      </w:r>
      <w:r w:rsidR="005624DA" w:rsidRPr="00F037B5">
        <w:rPr>
          <w:rFonts w:cs="Arial"/>
          <w:szCs w:val="24"/>
        </w:rPr>
        <w:t xml:space="preserve">, </w:t>
      </w:r>
      <w:r w:rsidR="000335F7" w:rsidRPr="00F037B5">
        <w:rPr>
          <w:rFonts w:cs="Arial"/>
          <w:szCs w:val="24"/>
        </w:rPr>
        <w:t>including</w:t>
      </w:r>
      <w:r w:rsidR="008D14C5" w:rsidRPr="00F037B5">
        <w:rPr>
          <w:rFonts w:cs="Arial"/>
          <w:szCs w:val="24"/>
        </w:rPr>
        <w:t xml:space="preserve"> by </w:t>
      </w:r>
      <w:r w:rsidR="00220E83" w:rsidRPr="00F037B5">
        <w:rPr>
          <w:rFonts w:cs="Arial"/>
          <w:szCs w:val="24"/>
        </w:rPr>
        <w:t xml:space="preserve">collecting the evidence and testimony necessary so that there is a clear understanding of who is accessing </w:t>
      </w:r>
      <w:proofErr w:type="spellStart"/>
      <w:r w:rsidR="00220E83" w:rsidRPr="00F037B5">
        <w:rPr>
          <w:rFonts w:cs="Arial"/>
          <w:szCs w:val="24"/>
        </w:rPr>
        <w:t>MAiD</w:t>
      </w:r>
      <w:proofErr w:type="spellEnd"/>
      <w:r w:rsidR="00220E83" w:rsidRPr="00F037B5">
        <w:rPr>
          <w:rFonts w:cs="Arial"/>
          <w:szCs w:val="24"/>
        </w:rPr>
        <w:t xml:space="preserve"> and why, and by </w:t>
      </w:r>
      <w:r w:rsidR="008D14C5" w:rsidRPr="00F037B5">
        <w:rPr>
          <w:rFonts w:cs="Arial"/>
          <w:szCs w:val="24"/>
        </w:rPr>
        <w:t xml:space="preserve">ensuring that the experiences </w:t>
      </w:r>
      <w:r w:rsidR="00D77008" w:rsidRPr="00F037B5">
        <w:rPr>
          <w:rFonts w:cs="Arial"/>
          <w:szCs w:val="24"/>
        </w:rPr>
        <w:t xml:space="preserve">and concerns </w:t>
      </w:r>
      <w:r w:rsidR="008D14C5" w:rsidRPr="00F037B5">
        <w:rPr>
          <w:rFonts w:cs="Arial"/>
          <w:szCs w:val="24"/>
        </w:rPr>
        <w:t>of those who are most marginalized are listened to</w:t>
      </w:r>
      <w:r w:rsidR="001F53DB" w:rsidRPr="00F037B5">
        <w:rPr>
          <w:rFonts w:cs="Arial"/>
          <w:szCs w:val="24"/>
        </w:rPr>
        <w:t>,</w:t>
      </w:r>
      <w:r w:rsidR="00896BE6" w:rsidRPr="00F037B5">
        <w:rPr>
          <w:rFonts w:cs="Arial"/>
          <w:szCs w:val="24"/>
        </w:rPr>
        <w:t xml:space="preserve"> </w:t>
      </w:r>
      <w:r w:rsidR="008D14C5" w:rsidRPr="00F037B5">
        <w:rPr>
          <w:rFonts w:cs="Arial"/>
          <w:szCs w:val="24"/>
        </w:rPr>
        <w:t>valued</w:t>
      </w:r>
      <w:r w:rsidR="00896BE6" w:rsidRPr="00F037B5">
        <w:rPr>
          <w:rFonts w:cs="Arial"/>
          <w:szCs w:val="24"/>
        </w:rPr>
        <w:t xml:space="preserve"> and </w:t>
      </w:r>
      <w:bookmarkStart w:id="12" w:name="_Toc183602913"/>
      <w:bookmarkStart w:id="13" w:name="_Toc183603004"/>
      <w:bookmarkStart w:id="14" w:name="_Toc183602908"/>
      <w:bookmarkStart w:id="15" w:name="_Toc183602999"/>
      <w:bookmarkStart w:id="16" w:name="_Toc183602896"/>
      <w:bookmarkStart w:id="17" w:name="_Toc183602987"/>
      <w:r w:rsidR="00EE5B19" w:rsidRPr="00F037B5">
        <w:rPr>
          <w:rFonts w:cs="Arial"/>
          <w:szCs w:val="24"/>
        </w:rPr>
        <w:t>addressed.</w:t>
      </w:r>
    </w:p>
    <w:p w14:paraId="323A4380" w14:textId="41C59123" w:rsidR="00454779" w:rsidRPr="00F037B5" w:rsidRDefault="00454779" w:rsidP="00454779">
      <w:pPr>
        <w:pStyle w:val="Heading2"/>
        <w:ind w:left="567" w:hanging="567"/>
      </w:pPr>
      <w:bookmarkStart w:id="18" w:name="_Toc220669666"/>
      <w:r w:rsidRPr="00F037B5">
        <w:t>Ho</w:t>
      </w:r>
      <w:r w:rsidR="00115724" w:rsidRPr="00F037B5">
        <w:t>melessness</w:t>
      </w:r>
      <w:r w:rsidR="003936AE">
        <w:t xml:space="preserve"> and Encampments</w:t>
      </w:r>
      <w:bookmarkEnd w:id="18"/>
      <w:r w:rsidR="00115724" w:rsidRPr="00F037B5">
        <w:t xml:space="preserve"> </w:t>
      </w:r>
      <w:r w:rsidRPr="00F037B5">
        <w:t xml:space="preserve"> </w:t>
      </w:r>
    </w:p>
    <w:p w14:paraId="775950E0" w14:textId="1DE6D27D" w:rsidR="00E57136" w:rsidRPr="00F037B5" w:rsidRDefault="00E57136" w:rsidP="007D715B">
      <w:pPr>
        <w:spacing w:line="240" w:lineRule="auto"/>
      </w:pPr>
      <w:r w:rsidRPr="00F037B5">
        <w:t xml:space="preserve">The CHRC recognizes that disadvantaged communities and people living in vulnerable circumstances across Canada experience greater barriers in relation to housing. This includes Indigenous people, Black and racialized communities, </w:t>
      </w:r>
      <w:r w:rsidR="00EE5B19">
        <w:t xml:space="preserve">women, </w:t>
      </w:r>
      <w:r w:rsidRPr="00F037B5">
        <w:t>people with disabilities, including those dealing with mental health and addiction issues, women and children experiencing domestic violence, those facing economic hardship, individuals identifying as 2SLGBTQI+,</w:t>
      </w:r>
      <w:r w:rsidR="000A3931">
        <w:rPr>
          <w:rStyle w:val="FootnoteReference"/>
        </w:rPr>
        <w:footnoteReference w:id="10"/>
      </w:r>
      <w:r w:rsidRPr="00F037B5">
        <w:t xml:space="preserve"> and youth.</w:t>
      </w:r>
      <w:r w:rsidR="004E2544" w:rsidRPr="00F037B5">
        <w:rPr>
          <w:rStyle w:val="FootnoteReference"/>
        </w:rPr>
        <w:footnoteReference w:id="11"/>
      </w:r>
      <w:r w:rsidR="00A711B7" w:rsidRPr="00F037B5">
        <w:t xml:space="preserve"> </w:t>
      </w:r>
      <w:r w:rsidR="00A11B1D" w:rsidRPr="00F037B5">
        <w:rPr>
          <w:rStyle w:val="FootnoteReference"/>
        </w:rPr>
        <w:footnoteReference w:id="12"/>
      </w:r>
    </w:p>
    <w:p w14:paraId="69541C87" w14:textId="41C1A5AB" w:rsidR="000912FF" w:rsidRDefault="00E57136" w:rsidP="007D715B">
      <w:pPr>
        <w:spacing w:line="240" w:lineRule="auto"/>
      </w:pPr>
      <w:r w:rsidRPr="00F037B5">
        <w:lastRenderedPageBreak/>
        <w:t>Adequate housing is a fundamental human right for every person in Canada, and is crucial to upholding the right to life, health and dignity</w:t>
      </w:r>
      <w:r w:rsidR="000912FF">
        <w:t>. This right is enshrined in multiple international human rights instruments and is</w:t>
      </w:r>
      <w:r w:rsidRPr="00F037B5">
        <w:t xml:space="preserve"> reaffirmed in the National Housing Strategy Act. </w:t>
      </w:r>
    </w:p>
    <w:p w14:paraId="1BB61D5D" w14:textId="02031987" w:rsidR="00AA2505" w:rsidRDefault="00E57136" w:rsidP="007D715B">
      <w:pPr>
        <w:spacing w:line="240" w:lineRule="auto"/>
      </w:pPr>
      <w:r w:rsidRPr="00F037B5">
        <w:t>The CHRC and the Federal Housing Advocate (FHA)</w:t>
      </w:r>
      <w:r w:rsidR="00F32503" w:rsidRPr="00F037B5">
        <w:rPr>
          <w:rStyle w:val="FootnoteReference"/>
        </w:rPr>
        <w:footnoteReference w:id="13"/>
      </w:r>
      <w:r w:rsidRPr="00F037B5">
        <w:t xml:space="preserve"> are deeply concerned that governments are not putting in place the urgent measures required to prevent the deaths of people experiencing homelessness. According to the BC Coroner’s Service, the annual death toll of people experiencing homelessness has nearly tripled in just a four-year period.</w:t>
      </w:r>
      <w:r w:rsidR="007D715B" w:rsidRPr="00F037B5">
        <w:rPr>
          <w:rStyle w:val="FootnoteReference"/>
        </w:rPr>
        <w:footnoteReference w:id="14"/>
      </w:r>
      <w:r w:rsidRPr="00F037B5">
        <w:t xml:space="preserve"> </w:t>
      </w:r>
      <w:r w:rsidR="000912FF">
        <w:t>Further, some r</w:t>
      </w:r>
      <w:r w:rsidRPr="00F037B5">
        <w:t xml:space="preserve">eports </w:t>
      </w:r>
      <w:r w:rsidR="000912FF">
        <w:t xml:space="preserve">indicate </w:t>
      </w:r>
      <w:r w:rsidRPr="00F037B5">
        <w:t>that there is a disproportionate impact on women. For instance, in Toronto, the median age of death for women experiencing homelessness was 36 for the first 6 months of 2024.</w:t>
      </w:r>
      <w:r w:rsidR="007D715B" w:rsidRPr="00F037B5">
        <w:rPr>
          <w:rStyle w:val="FootnoteReference"/>
        </w:rPr>
        <w:footnoteReference w:id="15"/>
      </w:r>
      <w:r w:rsidRPr="00F037B5">
        <w:t xml:space="preserve"> </w:t>
      </w:r>
    </w:p>
    <w:p w14:paraId="1CA1A1D7" w14:textId="30AB4C1F" w:rsidR="000912FF" w:rsidRDefault="000912FF" w:rsidP="007D715B">
      <w:pPr>
        <w:spacing w:line="240" w:lineRule="auto"/>
      </w:pPr>
      <w:r>
        <w:t>T</w:t>
      </w:r>
      <w:r w:rsidR="00E57136" w:rsidRPr="00F037B5">
        <w:t xml:space="preserve">he homelessness crisis in Canada is also </w:t>
      </w:r>
      <w:r w:rsidR="00F53B2C">
        <w:t>occur</w:t>
      </w:r>
      <w:r w:rsidR="007B2ED7">
        <w:t>r</w:t>
      </w:r>
      <w:r w:rsidR="00F53B2C">
        <w:t>ing</w:t>
      </w:r>
      <w:r w:rsidR="00E57136" w:rsidRPr="00F037B5">
        <w:t xml:space="preserve"> in the context of a national opioid crisis and the heightened risks created by an unsafe drug supply. These risks </w:t>
      </w:r>
      <w:r>
        <w:t>coupled with</w:t>
      </w:r>
      <w:r w:rsidRPr="00F037B5">
        <w:t xml:space="preserve"> </w:t>
      </w:r>
      <w:r w:rsidR="00E57136" w:rsidRPr="00F037B5">
        <w:t xml:space="preserve">unaddressed mental health and addictions needs compound the dangers faced by people experiencing homelessness. </w:t>
      </w:r>
    </w:p>
    <w:p w14:paraId="7C2C188B" w14:textId="2CC8AC7A" w:rsidR="001B0B81" w:rsidRPr="00F037B5" w:rsidRDefault="003936AE" w:rsidP="007D715B">
      <w:pPr>
        <w:spacing w:line="240" w:lineRule="auto"/>
      </w:pPr>
      <w:r w:rsidRPr="00F037B5">
        <w:t>The CHRC and the FHA are of the view that these tragedies can be prevented</w:t>
      </w:r>
      <w:r w:rsidR="007F7EAF">
        <w:t xml:space="preserve"> and </w:t>
      </w:r>
      <w:r>
        <w:t xml:space="preserve">are </w:t>
      </w:r>
      <w:r w:rsidR="00E57136" w:rsidRPr="00F037B5">
        <w:t xml:space="preserve">concerned that many governments and jurisdictions across the country are continuing to take an enforcement approach to homeless encampments and are reducing harm-reduction services, </w:t>
      </w:r>
      <w:r w:rsidR="00F53B2C">
        <w:t>putting</w:t>
      </w:r>
      <w:r w:rsidR="00E57136" w:rsidRPr="00F037B5">
        <w:t xml:space="preserve"> people at greater risk.</w:t>
      </w:r>
      <w:r w:rsidR="002777F1">
        <w:t xml:space="preserve"> T</w:t>
      </w:r>
      <w:r w:rsidR="001B0B81">
        <w:t xml:space="preserve">here is </w:t>
      </w:r>
      <w:r w:rsidR="002777F1">
        <w:t xml:space="preserve">also </w:t>
      </w:r>
      <w:r w:rsidR="001B0B81">
        <w:t>concern that the practice of street sweeps</w:t>
      </w:r>
      <w:r w:rsidR="002777F1">
        <w:t xml:space="preserve"> – </w:t>
      </w:r>
      <w:r w:rsidR="001B0B81">
        <w:t>including the removal of personal items</w:t>
      </w:r>
      <w:r w:rsidR="002777F1">
        <w:t xml:space="preserve"> – </w:t>
      </w:r>
      <w:r w:rsidR="001B0B81">
        <w:t>may compound risks for unhoused people. According to a 2025 study conducted in Vancouver, the confiscation of belongings worsens homelessness and the drug crisis by removing survival items, breaking up communities, and pushing people into riskier situations.</w:t>
      </w:r>
      <w:r w:rsidR="001B0B81">
        <w:rPr>
          <w:rStyle w:val="FootnoteReference"/>
        </w:rPr>
        <w:footnoteReference w:id="16"/>
      </w:r>
    </w:p>
    <w:p w14:paraId="6E36B637" w14:textId="1A358E67" w:rsidR="00E57136" w:rsidRPr="00F037B5" w:rsidRDefault="00E57136" w:rsidP="007D715B">
      <w:pPr>
        <w:spacing w:line="240" w:lineRule="auto"/>
      </w:pPr>
      <w:r w:rsidRPr="00F037B5">
        <w:t xml:space="preserve">As noted in this Committee’s General Comment 36, “The duty to protect life also implies that States parties should take appropriate measures to address the general conditions in society that may give rise to direct threats to life or prevent individuals from enjoying their right to life with dignity.” The Committee identified homelessness as one of the conditions that can threaten a person’s life and prevent them from living in dignity. In her </w:t>
      </w:r>
      <w:r w:rsidRPr="00F037B5">
        <w:lastRenderedPageBreak/>
        <w:t>recent report</w:t>
      </w:r>
      <w:r w:rsidR="007D3F6B">
        <w:t>,</w:t>
      </w:r>
      <w:r w:rsidR="007D715B" w:rsidRPr="00F037B5">
        <w:rPr>
          <w:rStyle w:val="FootnoteReference"/>
        </w:rPr>
        <w:footnoteReference w:id="17"/>
      </w:r>
      <w:r w:rsidRPr="00F037B5">
        <w:t xml:space="preserve"> the FHA called on the federal government to lead a National Encampments Response Plan that would act urgently to save lives while working to progressively realize the right to adequate housing.</w:t>
      </w:r>
    </w:p>
    <w:p w14:paraId="43F956F0" w14:textId="64CCA768" w:rsidR="00E57136" w:rsidRPr="00F037B5" w:rsidRDefault="00E57136" w:rsidP="007D715B">
      <w:pPr>
        <w:spacing w:line="240" w:lineRule="auto"/>
      </w:pPr>
      <w:r w:rsidRPr="00F037B5">
        <w:t>While the CHRC and the FHA welcome the government’s announcement of funding</w:t>
      </w:r>
      <w:r w:rsidR="003077EF" w:rsidRPr="00F037B5">
        <w:rPr>
          <w:rStyle w:val="FootnoteReference"/>
        </w:rPr>
        <w:footnoteReference w:id="18"/>
      </w:r>
      <w:r w:rsidRPr="00F037B5">
        <w:t xml:space="preserve"> in response to homeless encampments, it is unclear how it will be used to meet the immediate need to protect the lives of people who are unsheltered.  </w:t>
      </w:r>
    </w:p>
    <w:p w14:paraId="343056A6" w14:textId="7832CA70" w:rsidR="00E57136" w:rsidRPr="00F037B5" w:rsidRDefault="00E57136" w:rsidP="007D715B">
      <w:pPr>
        <w:spacing w:line="240" w:lineRule="auto"/>
      </w:pPr>
      <w:r w:rsidRPr="00F037B5">
        <w:t>The CHRC and FHA continue to urge governments at all levels for a coordinated and swift response to ensure the right to safe, dignified and secure housing for people facing homelessness across Canada. This includes ensuring fulfillment of the obligations as outlined in the National Protocol for Homeless Encampments in Canada</w:t>
      </w:r>
      <w:r w:rsidR="007D3F6B">
        <w:t>,</w:t>
      </w:r>
      <w:r w:rsidR="003077EF" w:rsidRPr="00F037B5">
        <w:rPr>
          <w:rStyle w:val="FootnoteReference"/>
        </w:rPr>
        <w:footnoteReference w:id="19"/>
      </w:r>
      <w:r w:rsidRPr="00F037B5">
        <w:t xml:space="preserve"> issued by the former UN Special Rapporteur on the Right to Adequate Housing.</w:t>
      </w:r>
    </w:p>
    <w:p w14:paraId="6E8D097E" w14:textId="55ACEF00" w:rsidR="007D715B" w:rsidRPr="00F037B5" w:rsidRDefault="00E57136" w:rsidP="00E57136">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b/>
          <w:bCs/>
          <w:szCs w:val="24"/>
        </w:rPr>
        <w:t>Recommendation #</w:t>
      </w:r>
      <w:r w:rsidR="00965797">
        <w:rPr>
          <w:rFonts w:cs="Arial"/>
          <w:b/>
          <w:bCs/>
          <w:szCs w:val="24"/>
        </w:rPr>
        <w:t>2</w:t>
      </w:r>
      <w:r w:rsidRPr="00F037B5">
        <w:rPr>
          <w:rFonts w:cs="Arial"/>
          <w:b/>
          <w:bCs/>
          <w:szCs w:val="24"/>
        </w:rPr>
        <w:t>:</w:t>
      </w:r>
      <w:r w:rsidRPr="00F037B5">
        <w:rPr>
          <w:rFonts w:cs="Arial"/>
          <w:szCs w:val="24"/>
        </w:rPr>
        <w:t xml:space="preserve"> </w:t>
      </w:r>
      <w:bookmarkStart w:id="19" w:name="_Hlk201072267"/>
      <w:r w:rsidRPr="00F037B5">
        <w:rPr>
          <w:rFonts w:cs="Arial"/>
          <w:szCs w:val="24"/>
        </w:rPr>
        <w:t>That Canada implement the FHA’s recommendations to address homeless encampments. All levels of government must take immediate action to protect the right to life and dignity of all people living in encampments, reduce the risks that they face, and help them to stabilize their situation, including:</w:t>
      </w:r>
    </w:p>
    <w:p w14:paraId="0A7535DB" w14:textId="3D344578" w:rsidR="00E57136" w:rsidRPr="00F037B5" w:rsidRDefault="007D715B" w:rsidP="003077EF">
      <w:pPr>
        <w:pStyle w:val="ListParagraph"/>
        <w:numPr>
          <w:ilvl w:val="0"/>
          <w:numId w:val="5"/>
        </w:num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szCs w:val="24"/>
        </w:rPr>
        <w:t>Immediately end forced evictions of encampments, particularly on public lands, as a violation of human rights protected by section 7 of the Canadian Charter of Rights and Freedoms as well as the right to life and the right to adequate housing under international law.</w:t>
      </w:r>
    </w:p>
    <w:p w14:paraId="3AFD912E" w14:textId="3D41502F" w:rsidR="007D715B" w:rsidRPr="00F037B5" w:rsidRDefault="00E31E1A" w:rsidP="003077EF">
      <w:pPr>
        <w:pStyle w:val="ListParagraph"/>
        <w:numPr>
          <w:ilvl w:val="0"/>
          <w:numId w:val="5"/>
        </w:num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Pr>
          <w:rFonts w:cs="Arial"/>
          <w:szCs w:val="24"/>
        </w:rPr>
        <w:t>E</w:t>
      </w:r>
      <w:r w:rsidR="00EE5B19" w:rsidRPr="00F037B5">
        <w:rPr>
          <w:rFonts w:cs="Arial"/>
          <w:szCs w:val="24"/>
        </w:rPr>
        <w:t>nsure</w:t>
      </w:r>
      <w:r w:rsidR="007D715B" w:rsidRPr="00F037B5">
        <w:rPr>
          <w:rFonts w:cs="Arial"/>
          <w:szCs w:val="24"/>
        </w:rPr>
        <w:t xml:space="preserve"> that laws, regulations and bylaws do not further destabilize encampments and expose residents to greater risk of harm and violence. </w:t>
      </w:r>
    </w:p>
    <w:p w14:paraId="46C40AF2" w14:textId="7D93BEB7" w:rsidR="007D715B" w:rsidRPr="00F037B5" w:rsidRDefault="007D715B" w:rsidP="003077EF">
      <w:pPr>
        <w:pStyle w:val="ListParagraph"/>
        <w:numPr>
          <w:ilvl w:val="0"/>
          <w:numId w:val="5"/>
        </w:num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szCs w:val="24"/>
        </w:rPr>
        <w:t xml:space="preserve">Fulfill their human rights responsibilities to ensure that everyone living in encampments has access without discrimination to the necessities of life and the services needed to protect their physical and mental health, including access to water, food, sanitation, and heating and cooling, accessibility supports, healthcare and harm reduction services. </w:t>
      </w:r>
    </w:p>
    <w:p w14:paraId="4FAB309A" w14:textId="294F0547" w:rsidR="007D715B" w:rsidRPr="00F037B5" w:rsidRDefault="007D715B" w:rsidP="003077EF">
      <w:pPr>
        <w:pStyle w:val="ListParagraph"/>
        <w:numPr>
          <w:ilvl w:val="0"/>
          <w:numId w:val="5"/>
        </w:num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szCs w:val="24"/>
        </w:rPr>
        <w:t xml:space="preserve">Recognize the acute overrepresentation of Indigenous individuals amongst the population experiencing homelessness and take steps to uphold their rights, particularly the right to life. </w:t>
      </w:r>
    </w:p>
    <w:p w14:paraId="1FAD625F" w14:textId="66C37BAF" w:rsidR="00E57136" w:rsidRPr="00F037B5" w:rsidRDefault="007D715B" w:rsidP="003077EF">
      <w:pPr>
        <w:pStyle w:val="ListParagraph"/>
        <w:numPr>
          <w:ilvl w:val="0"/>
          <w:numId w:val="5"/>
        </w:num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szCs w:val="24"/>
        </w:rPr>
        <w:t xml:space="preserve">Ensure drop-in shelters are accessible 24/7 throughout the year to provide people with a dignified place to rest, take refuge from the elements and access services. </w:t>
      </w:r>
      <w:bookmarkEnd w:id="19"/>
    </w:p>
    <w:p w14:paraId="201D44BD" w14:textId="77777777" w:rsidR="00864AEB" w:rsidRDefault="00864AEB">
      <w:pPr>
        <w:rPr>
          <w:rFonts w:cs="Arial"/>
          <w:b/>
          <w:bCs/>
          <w:szCs w:val="24"/>
          <w:lang w:val="en-US"/>
        </w:rPr>
      </w:pPr>
      <w:r>
        <w:br w:type="page"/>
      </w:r>
    </w:p>
    <w:p w14:paraId="1300F2D4" w14:textId="128F5785" w:rsidR="00454779" w:rsidRPr="00F037B5" w:rsidRDefault="00454779" w:rsidP="00454779">
      <w:pPr>
        <w:pStyle w:val="Heading2"/>
        <w:ind w:left="567" w:hanging="567"/>
      </w:pPr>
      <w:bookmarkStart w:id="20" w:name="_Toc220669667"/>
      <w:r w:rsidRPr="00F037B5">
        <w:lastRenderedPageBreak/>
        <w:t>Climate Justice</w:t>
      </w:r>
      <w:bookmarkEnd w:id="20"/>
      <w:r w:rsidRPr="00F037B5">
        <w:t xml:space="preserve">  </w:t>
      </w:r>
    </w:p>
    <w:p w14:paraId="51FB2C39" w14:textId="5868EFC0" w:rsidR="003B7711" w:rsidRPr="00F037B5" w:rsidRDefault="003B7711" w:rsidP="003B7711">
      <w:pPr>
        <w:spacing w:after="240" w:line="240" w:lineRule="auto"/>
        <w:rPr>
          <w:rFonts w:cs="Arial"/>
          <w:szCs w:val="24"/>
        </w:rPr>
      </w:pPr>
      <w:r w:rsidRPr="00F037B5">
        <w:rPr>
          <w:rFonts w:cs="Arial"/>
          <w:szCs w:val="24"/>
        </w:rPr>
        <w:t>The CHRC remains concerned that across Canada, people are becoming increasingly vulnerable to the health, economic and social effects of the climate crisis. Many young people cite climate change as the defining issue of their generation, with a large majority of children and youth in Canada both environmentally aware and concerned.</w:t>
      </w:r>
    </w:p>
    <w:p w14:paraId="0CD5ABEF" w14:textId="2BDCC5F8" w:rsidR="001376BC" w:rsidRPr="000B2EA8" w:rsidRDefault="00993BE1" w:rsidP="003B7711">
      <w:pPr>
        <w:spacing w:after="240" w:line="240" w:lineRule="auto"/>
        <w:rPr>
          <w:rFonts w:cs="Arial"/>
          <w:szCs w:val="24"/>
          <w:lang w:val="en-US"/>
        </w:rPr>
      </w:pPr>
      <w:r>
        <w:rPr>
          <w:rFonts w:cs="Arial"/>
          <w:szCs w:val="24"/>
        </w:rPr>
        <w:t>Following the</w:t>
      </w:r>
      <w:r w:rsidR="003B7711" w:rsidRPr="00F037B5">
        <w:rPr>
          <w:rFonts w:cs="Arial"/>
          <w:szCs w:val="24"/>
        </w:rPr>
        <w:t xml:space="preserve"> 2021 United Nations resolution </w:t>
      </w:r>
      <w:r>
        <w:rPr>
          <w:rFonts w:cs="Arial"/>
          <w:szCs w:val="24"/>
        </w:rPr>
        <w:t xml:space="preserve">that </w:t>
      </w:r>
      <w:r w:rsidR="003B7711" w:rsidRPr="00F037B5">
        <w:rPr>
          <w:rFonts w:cs="Arial"/>
          <w:szCs w:val="24"/>
        </w:rPr>
        <w:t>formally recogniz</w:t>
      </w:r>
      <w:r>
        <w:rPr>
          <w:rFonts w:cs="Arial"/>
          <w:szCs w:val="24"/>
        </w:rPr>
        <w:t>ed</w:t>
      </w:r>
      <w:r w:rsidR="003B7711" w:rsidRPr="00F037B5">
        <w:rPr>
          <w:rFonts w:cs="Arial"/>
          <w:szCs w:val="24"/>
        </w:rPr>
        <w:t xml:space="preserve"> the </w:t>
      </w:r>
      <w:r w:rsidR="000F1906" w:rsidRPr="00F037B5">
        <w:rPr>
          <w:rFonts w:cs="Arial"/>
          <w:szCs w:val="24"/>
        </w:rPr>
        <w:t xml:space="preserve">human </w:t>
      </w:r>
      <w:r w:rsidR="003B7711" w:rsidRPr="00F037B5">
        <w:rPr>
          <w:rFonts w:cs="Arial"/>
          <w:szCs w:val="24"/>
        </w:rPr>
        <w:t>right to a safe, clean, healthy and sustainable environment</w:t>
      </w:r>
      <w:r>
        <w:rPr>
          <w:rFonts w:cs="Arial"/>
          <w:szCs w:val="24"/>
        </w:rPr>
        <w:t xml:space="preserve"> </w:t>
      </w:r>
      <w:r w:rsidRPr="00F037B5">
        <w:rPr>
          <w:rFonts w:cs="Arial"/>
          <w:szCs w:val="24"/>
        </w:rPr>
        <w:t>for the first time</w:t>
      </w:r>
      <w:r>
        <w:rPr>
          <w:rFonts w:cs="Arial"/>
          <w:szCs w:val="24"/>
        </w:rPr>
        <w:t>,</w:t>
      </w:r>
      <w:r w:rsidR="009F5411">
        <w:rPr>
          <w:rFonts w:cs="Arial"/>
          <w:szCs w:val="24"/>
        </w:rPr>
        <w:t xml:space="preserve"> </w:t>
      </w:r>
      <w:r w:rsidR="00B331D7" w:rsidRPr="00F037B5">
        <w:rPr>
          <w:rFonts w:cs="Arial"/>
          <w:szCs w:val="24"/>
        </w:rPr>
        <w:t>the Government of Canada enshrined the right to a healthy environment into law</w:t>
      </w:r>
      <w:r>
        <w:rPr>
          <w:rFonts w:cs="Arial"/>
          <w:szCs w:val="24"/>
        </w:rPr>
        <w:t xml:space="preserve"> through the Strengthening Environmental Protection for a Healthier Canada Act</w:t>
      </w:r>
      <w:r w:rsidR="00B331D7" w:rsidRPr="00F037B5">
        <w:rPr>
          <w:rFonts w:cs="Arial"/>
          <w:szCs w:val="24"/>
        </w:rPr>
        <w:t xml:space="preserve">. However, this right </w:t>
      </w:r>
      <w:r w:rsidR="00983210">
        <w:rPr>
          <w:rFonts w:cs="Arial"/>
          <w:szCs w:val="24"/>
        </w:rPr>
        <w:t>only applies</w:t>
      </w:r>
      <w:r w:rsidR="00B331D7" w:rsidRPr="00F037B5">
        <w:rPr>
          <w:rFonts w:cs="Arial"/>
          <w:szCs w:val="24"/>
        </w:rPr>
        <w:t xml:space="preserve"> </w:t>
      </w:r>
      <w:r w:rsidR="007B2ED7">
        <w:rPr>
          <w:rFonts w:cs="Arial"/>
          <w:szCs w:val="24"/>
        </w:rPr>
        <w:t xml:space="preserve">to </w:t>
      </w:r>
      <w:r w:rsidR="00B331D7" w:rsidRPr="00F037B5">
        <w:rPr>
          <w:rFonts w:cs="Arial"/>
          <w:szCs w:val="24"/>
        </w:rPr>
        <w:t>the Canadian Environmental Protection Act</w:t>
      </w:r>
      <w:r w:rsidR="00B80E8E" w:rsidRPr="00F037B5">
        <w:rPr>
          <w:rStyle w:val="FootnoteReference"/>
          <w:rFonts w:cs="Arial"/>
          <w:szCs w:val="24"/>
        </w:rPr>
        <w:footnoteReference w:id="20"/>
      </w:r>
      <w:r w:rsidR="00B331D7" w:rsidRPr="00F037B5">
        <w:rPr>
          <w:rFonts w:cs="Arial"/>
          <w:szCs w:val="24"/>
        </w:rPr>
        <w:t xml:space="preserve"> and does not create a substantive right to a healthy environment nor does it prescribe a standard of environmental protection. </w:t>
      </w:r>
      <w:r w:rsidR="00EF2A40">
        <w:rPr>
          <w:rFonts w:cs="Arial"/>
          <w:szCs w:val="24"/>
        </w:rPr>
        <w:t xml:space="preserve">While </w:t>
      </w:r>
      <w:r w:rsidR="00894875">
        <w:rPr>
          <w:rFonts w:cs="Arial"/>
          <w:szCs w:val="24"/>
        </w:rPr>
        <w:t xml:space="preserve">acknowledging that this legislative gap remains, </w:t>
      </w:r>
      <w:r w:rsidR="00EF2A40">
        <w:rPr>
          <w:rFonts w:cs="Arial"/>
          <w:szCs w:val="24"/>
        </w:rPr>
        <w:t>the CHRC is encouraged by efforts underway to advance environmental justice as part of the National Strategy Respecting Environmental Racism and Environmental Justice Act.</w:t>
      </w:r>
      <w:r w:rsidR="00EF2A40">
        <w:rPr>
          <w:rStyle w:val="FootnoteReference"/>
          <w:rFonts w:cs="Arial"/>
          <w:szCs w:val="24"/>
        </w:rPr>
        <w:footnoteReference w:id="21"/>
      </w:r>
    </w:p>
    <w:p w14:paraId="38CBC5AF" w14:textId="506425C1" w:rsidR="00492B29" w:rsidRPr="00F037B5" w:rsidRDefault="003B7711" w:rsidP="00602D30">
      <w:pPr>
        <w:spacing w:after="240" w:line="240" w:lineRule="auto"/>
      </w:pPr>
      <w:r w:rsidRPr="00F037B5">
        <w:rPr>
          <w:rFonts w:cs="Arial"/>
          <w:szCs w:val="24"/>
        </w:rPr>
        <w:t xml:space="preserve">The CHRC </w:t>
      </w:r>
      <w:r w:rsidR="007F7EAF">
        <w:rPr>
          <w:rFonts w:cs="Arial"/>
          <w:szCs w:val="24"/>
        </w:rPr>
        <w:t>emphasizes</w:t>
      </w:r>
      <w:r w:rsidRPr="00F037B5">
        <w:rPr>
          <w:rFonts w:cs="Arial"/>
          <w:szCs w:val="24"/>
        </w:rPr>
        <w:t xml:space="preserve"> that environmental concerns can have additional and</w:t>
      </w:r>
      <w:r w:rsidR="00B331D7" w:rsidRPr="00F037B5">
        <w:rPr>
          <w:rFonts w:cs="Arial"/>
          <w:szCs w:val="24"/>
        </w:rPr>
        <w:t xml:space="preserve"> </w:t>
      </w:r>
      <w:r w:rsidRPr="00F037B5">
        <w:rPr>
          <w:rFonts w:cs="Arial"/>
          <w:szCs w:val="24"/>
        </w:rPr>
        <w:t>compounding negative effects on marginalized communities due to socioeconomic disadvantage and environmental racism.</w:t>
      </w:r>
      <w:r w:rsidR="001376BC" w:rsidRPr="00F037B5">
        <w:t xml:space="preserve"> </w:t>
      </w:r>
      <w:r w:rsidR="007F7EAF">
        <w:t>A</w:t>
      </w:r>
      <w:r w:rsidR="00492B29" w:rsidRPr="00F037B5">
        <w:t xml:space="preserve">s people with disabilities face barriers to human rights including financial security, transportation, healthcare, and humanitarian assistance, their vulnerability to the effects of climate change is </w:t>
      </w:r>
      <w:r w:rsidR="007F7EAF">
        <w:t>compounded</w:t>
      </w:r>
      <w:r w:rsidR="00492B29" w:rsidRPr="00F037B5">
        <w:t>.</w:t>
      </w:r>
      <w:r w:rsidR="00492B29" w:rsidRPr="00F037B5">
        <w:rPr>
          <w:rStyle w:val="FootnoteReference"/>
        </w:rPr>
        <w:footnoteReference w:id="22"/>
      </w:r>
      <w:r w:rsidR="00492B29" w:rsidRPr="00F037B5">
        <w:t xml:space="preserve"> For example, during an extreme heat wave in British Columbia in summer 2021, older people and people with disabilities were overwhelmingly overrepresented among heat-related deaths.</w:t>
      </w:r>
      <w:r w:rsidR="00492B29" w:rsidRPr="00F037B5">
        <w:rPr>
          <w:rStyle w:val="FootnoteReference"/>
        </w:rPr>
        <w:footnoteReference w:id="23"/>
      </w:r>
      <w:r w:rsidR="00492B29" w:rsidRPr="00F037B5">
        <w:t xml:space="preserve"> </w:t>
      </w:r>
      <w:r w:rsidR="001376BC" w:rsidRPr="00F037B5">
        <w:t xml:space="preserve">Other populations are </w:t>
      </w:r>
      <w:r w:rsidR="000F1906" w:rsidRPr="00F037B5">
        <w:t xml:space="preserve">also </w:t>
      </w:r>
      <w:r w:rsidR="001376BC" w:rsidRPr="00F037B5">
        <w:t xml:space="preserve">adversely impacted by extreme weather events, including people with insecure </w:t>
      </w:r>
      <w:r w:rsidR="00A27695" w:rsidRPr="00F037B5">
        <w:t xml:space="preserve">or no </w:t>
      </w:r>
      <w:r w:rsidR="001376BC" w:rsidRPr="00F037B5">
        <w:t xml:space="preserve">housing, </w:t>
      </w:r>
      <w:r w:rsidR="00A27695" w:rsidRPr="00F037B5">
        <w:t>women experiencing gender-based violence</w:t>
      </w:r>
      <w:r w:rsidR="00EE5B19">
        <w:t xml:space="preserve"> and socioeconomic disadvantage</w:t>
      </w:r>
      <w:r w:rsidR="00A27695" w:rsidRPr="00F037B5">
        <w:t xml:space="preserve">, and </w:t>
      </w:r>
      <w:r w:rsidR="001376BC" w:rsidRPr="00F037B5">
        <w:t>migrant workers</w:t>
      </w:r>
      <w:r w:rsidR="00EE5B19" w:rsidRPr="00F037B5">
        <w:t>.</w:t>
      </w:r>
      <w:r w:rsidR="00EE5B19" w:rsidRPr="00F037B5">
        <w:rPr>
          <w:rStyle w:val="FootnoteReference"/>
        </w:rPr>
        <w:footnoteReference w:id="24"/>
      </w:r>
      <w:r w:rsidR="00EE5B19" w:rsidRPr="00F037B5">
        <w:t xml:space="preserve"> </w:t>
      </w:r>
      <w:r w:rsidR="001376BC" w:rsidRPr="00F037B5">
        <w:t xml:space="preserve"> </w:t>
      </w:r>
    </w:p>
    <w:p w14:paraId="5BC9AFFB" w14:textId="7AC52B2B" w:rsidR="003B7711" w:rsidRPr="00F037B5" w:rsidRDefault="003B7711" w:rsidP="000B2EA8">
      <w:pPr>
        <w:rPr>
          <w:rFonts w:cs="Arial"/>
          <w:szCs w:val="24"/>
        </w:rPr>
      </w:pPr>
      <w:r w:rsidRPr="00F037B5">
        <w:t>Indigenous, Black and other racialized communities often experience environmental racism</w:t>
      </w:r>
      <w:r w:rsidR="007F7EAF">
        <w:t>,</w:t>
      </w:r>
      <w:r w:rsidR="00FB27AA">
        <w:t xml:space="preserve"> whereby </w:t>
      </w:r>
      <w:r w:rsidR="007F7EAF" w:rsidRPr="001A350C">
        <w:t>polluting industries and environmentally hazardous activities</w:t>
      </w:r>
      <w:r w:rsidR="007F7EAF">
        <w:t xml:space="preserve">, </w:t>
      </w:r>
      <w:r w:rsidR="007F7EAF" w:rsidRPr="00F037B5">
        <w:t xml:space="preserve">such as landfills, trash incinerators, coal plants and toxic waste dumps are disproportionately </w:t>
      </w:r>
      <w:r w:rsidR="007F7EAF" w:rsidRPr="00F037B5">
        <w:lastRenderedPageBreak/>
        <w:t>located near their communities.</w:t>
      </w:r>
      <w:r w:rsidR="007F7EAF" w:rsidRPr="00F037B5">
        <w:rPr>
          <w:rStyle w:val="FootnoteReference"/>
        </w:rPr>
        <w:footnoteReference w:id="25"/>
      </w:r>
      <w:r w:rsidR="007F7EAF" w:rsidRPr="00F037B5">
        <w:t xml:space="preserve"> Continuous exposure to industry-generated pollutants can lead to negative health impacts and, in some instances, life-threatening illnesses.</w:t>
      </w:r>
      <w:r w:rsidR="007F7EAF" w:rsidRPr="00F037B5">
        <w:rPr>
          <w:rStyle w:val="FootnoteReference"/>
        </w:rPr>
        <w:footnoteReference w:id="26"/>
      </w:r>
      <w:r w:rsidR="007F7EAF" w:rsidRPr="001A350C">
        <w:t xml:space="preserve"> </w:t>
      </w:r>
      <w:r w:rsidRPr="00F037B5">
        <w:t xml:space="preserve">  </w:t>
      </w:r>
    </w:p>
    <w:p w14:paraId="2A7B54BA" w14:textId="72445516" w:rsidR="00454779" w:rsidRPr="00F037B5" w:rsidRDefault="00F709E0" w:rsidP="00BC52BE">
      <w:pPr>
        <w:spacing w:line="240" w:lineRule="auto"/>
      </w:pPr>
      <w:r w:rsidRPr="00F037B5">
        <w:t>For example, several polluting industries located in or proximal to Mi’kmaq and African Nova Scotian communities, have exposed residents to numerous health risks including an increased risk of consuming unsafe drinking water contaminated from industrial discharge and runoff of toxic wastes. This contributes to poorer health outcomes, as communities experiencing environmental racism are disproportionately impacted by higher rates of cancer, among other chronic illnesses and deaths.</w:t>
      </w:r>
      <w:r w:rsidR="00BC52BE" w:rsidRPr="00F037B5">
        <w:rPr>
          <w:rStyle w:val="FootnoteReference"/>
        </w:rPr>
        <w:footnoteReference w:id="27"/>
      </w:r>
      <w:r w:rsidRPr="00F037B5">
        <w:t xml:space="preserve"> </w:t>
      </w:r>
      <w:r w:rsidR="007F7EAF">
        <w:t>E</w:t>
      </w:r>
      <w:r w:rsidRPr="00F037B5">
        <w:t>ven decades after contamination, mercury poisoning is still affecting the Grassy Narrows First Nation.</w:t>
      </w:r>
      <w:r w:rsidR="00BC52BE" w:rsidRPr="00F037B5">
        <w:rPr>
          <w:rStyle w:val="FootnoteReference"/>
        </w:rPr>
        <w:footnoteReference w:id="28"/>
      </w:r>
      <w:r w:rsidRPr="00F037B5">
        <w:t xml:space="preserve"> </w:t>
      </w:r>
    </w:p>
    <w:p w14:paraId="59AA3249" w14:textId="42812C98" w:rsidR="00492B29" w:rsidRPr="00F037B5" w:rsidRDefault="00492B29" w:rsidP="00BC52BE">
      <w:pPr>
        <w:spacing w:line="240" w:lineRule="auto"/>
      </w:pPr>
      <w:r w:rsidRPr="00F037B5">
        <w:t xml:space="preserve">The CHRC shares </w:t>
      </w:r>
      <w:r w:rsidR="007F7EAF">
        <w:t xml:space="preserve">the </w:t>
      </w:r>
      <w:r w:rsidRPr="00F037B5">
        <w:t xml:space="preserve">concerns </w:t>
      </w:r>
      <w:r w:rsidR="007F7EAF">
        <w:t xml:space="preserve">expressed by advocates </w:t>
      </w:r>
      <w:r w:rsidRPr="00F037B5">
        <w:t xml:space="preserve">that existing mitigation, preparedness and response policies and practices with respect to the ongoing climate crisis are not inclusive of the needs of marginalized communities. This is why the CHRC continues to recommend that climate and environmental action and emergency initiatives, policies and programs meaningfully include disproportionately impacted populations at all stages of planning, implementation, and evaluation. </w:t>
      </w:r>
    </w:p>
    <w:p w14:paraId="34366DD5" w14:textId="184B9129" w:rsidR="00F709E0" w:rsidRPr="00F037B5" w:rsidRDefault="00F709E0" w:rsidP="00F709E0">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b/>
          <w:bCs/>
          <w:szCs w:val="24"/>
        </w:rPr>
        <w:t>Recommendation #</w:t>
      </w:r>
      <w:r w:rsidR="00965797">
        <w:rPr>
          <w:rFonts w:cs="Arial"/>
          <w:b/>
          <w:bCs/>
          <w:szCs w:val="24"/>
        </w:rPr>
        <w:t>3</w:t>
      </w:r>
      <w:r w:rsidRPr="00F037B5">
        <w:rPr>
          <w:rFonts w:cs="Arial"/>
          <w:b/>
          <w:bCs/>
          <w:szCs w:val="24"/>
        </w:rPr>
        <w:t>:</w:t>
      </w:r>
      <w:r w:rsidRPr="00F037B5">
        <w:rPr>
          <w:rFonts w:cs="Arial"/>
          <w:szCs w:val="24"/>
        </w:rPr>
        <w:t xml:space="preserve"> That Canada ensure that climate and environmental action and emergency initiatives, policies and programs meaningfully include </w:t>
      </w:r>
      <w:r w:rsidR="00492B29" w:rsidRPr="00F037B5">
        <w:rPr>
          <w:rFonts w:cs="Arial"/>
          <w:szCs w:val="24"/>
        </w:rPr>
        <w:t xml:space="preserve">disproportionately impacted populations </w:t>
      </w:r>
      <w:r w:rsidRPr="00F037B5">
        <w:rPr>
          <w:rFonts w:cs="Arial"/>
          <w:szCs w:val="24"/>
        </w:rPr>
        <w:t>at all stages of planning, implementation, and evaluation.</w:t>
      </w:r>
    </w:p>
    <w:p w14:paraId="10948A04" w14:textId="0B1EECA5" w:rsidR="006F4455" w:rsidRPr="00F037B5" w:rsidRDefault="00454779" w:rsidP="006F4455">
      <w:pPr>
        <w:pStyle w:val="Heading1"/>
        <w:rPr>
          <w:lang w:val="en-US"/>
        </w:rPr>
      </w:pPr>
      <w:bookmarkStart w:id="21" w:name="_Toc220669668"/>
      <w:bookmarkEnd w:id="12"/>
      <w:bookmarkEnd w:id="13"/>
      <w:r w:rsidRPr="00F037B5">
        <w:rPr>
          <w:lang w:val="en-US"/>
        </w:rPr>
        <w:t>The Rights of Indigenous Peoples (Articles 1, 2, 24, 26)</w:t>
      </w:r>
      <w:bookmarkEnd w:id="21"/>
    </w:p>
    <w:p w14:paraId="37946F88" w14:textId="5E112A0E" w:rsidR="00F00A13" w:rsidRDefault="009D032D" w:rsidP="009D032D">
      <w:pPr>
        <w:spacing w:line="240" w:lineRule="auto"/>
        <w:rPr>
          <w:rFonts w:cs="Arial"/>
          <w:szCs w:val="24"/>
        </w:rPr>
      </w:pPr>
      <w:bookmarkStart w:id="22" w:name="_Toc183602915"/>
      <w:bookmarkStart w:id="23" w:name="_Toc183603006"/>
      <w:bookmarkStart w:id="24" w:name="_Hlk181894542"/>
      <w:r w:rsidRPr="00F037B5">
        <w:rPr>
          <w:rFonts w:cs="Arial"/>
          <w:szCs w:val="24"/>
        </w:rPr>
        <w:t>The CHRC views the situation of Indigenous peoples as one of the most pressing human rights issues facing Canada today. Indigenous peoples in Canada continue to be significantly disadvantaged in terms of education, employment and access to basic needs such as water, food security and housing.</w:t>
      </w:r>
      <w:r w:rsidR="00B54516" w:rsidRPr="00F037B5">
        <w:rPr>
          <w:rFonts w:cs="Arial"/>
          <w:szCs w:val="24"/>
        </w:rPr>
        <w:t xml:space="preserve"> </w:t>
      </w:r>
      <w:r w:rsidR="008502DA" w:rsidRPr="008502DA">
        <w:rPr>
          <w:rFonts w:cs="Arial"/>
          <w:szCs w:val="24"/>
        </w:rPr>
        <w:t xml:space="preserve">These disadvantages are compounded for Indigenous peoples with disabilities. </w:t>
      </w:r>
      <w:r w:rsidR="00B54516" w:rsidRPr="00F037B5">
        <w:rPr>
          <w:rFonts w:cs="Arial"/>
          <w:szCs w:val="24"/>
        </w:rPr>
        <w:t>In addition, Indigenous peoples continue to face systemic anti-Indigenous racism</w:t>
      </w:r>
      <w:r w:rsidR="007E04BB" w:rsidRPr="00F037B5">
        <w:rPr>
          <w:rFonts w:cs="Arial"/>
          <w:szCs w:val="24"/>
        </w:rPr>
        <w:t xml:space="preserve"> and the ongoing effects of colonialization</w:t>
      </w:r>
      <w:r w:rsidR="00B54516" w:rsidRPr="00F037B5">
        <w:rPr>
          <w:rFonts w:cs="Arial"/>
          <w:szCs w:val="24"/>
        </w:rPr>
        <w:t xml:space="preserve">. Indigenous women and girls continue to experience systemic discrimination, bear a </w:t>
      </w:r>
      <w:r w:rsidR="00B54516" w:rsidRPr="00F037B5">
        <w:rPr>
          <w:rFonts w:cs="Arial"/>
          <w:szCs w:val="24"/>
        </w:rPr>
        <w:lastRenderedPageBreak/>
        <w:t xml:space="preserve">disproportionate burden of violence and are murdered or go missing at a disproportionately high rate. </w:t>
      </w:r>
      <w:r w:rsidR="008704C9" w:rsidRPr="00F037B5">
        <w:rPr>
          <w:rFonts w:cs="Arial"/>
          <w:szCs w:val="24"/>
        </w:rPr>
        <w:t>Survivors of violence and exploitation may also face unique compounded barriers to justice depending upon their lived experience and the combination of factors of oppression that they may face.</w:t>
      </w:r>
      <w:r w:rsidR="008704C9">
        <w:rPr>
          <w:rFonts w:cs="Arial"/>
          <w:szCs w:val="24"/>
        </w:rPr>
        <w:t xml:space="preserve"> </w:t>
      </w:r>
      <w:r w:rsidR="00B54516" w:rsidRPr="00F037B5">
        <w:rPr>
          <w:rFonts w:cs="Arial"/>
          <w:szCs w:val="24"/>
        </w:rPr>
        <w:t>The root causes of this racism, discrimination and violence are varied, complex, and intersectional.</w:t>
      </w:r>
    </w:p>
    <w:p w14:paraId="07B57B20" w14:textId="194C7982" w:rsidR="00B54516" w:rsidRDefault="00B54516" w:rsidP="00B54516">
      <w:pPr>
        <w:spacing w:line="240" w:lineRule="auto"/>
        <w:rPr>
          <w:rFonts w:cs="Arial"/>
          <w:szCs w:val="24"/>
        </w:rPr>
      </w:pPr>
      <w:r w:rsidRPr="00F037B5">
        <w:rPr>
          <w:rFonts w:cs="Arial"/>
          <w:szCs w:val="24"/>
        </w:rPr>
        <w:t>Canada also has a long and dark history of institutionalized child neglect, abuse and discrimination, including systematically separating Indigenous children from their families, culture and identity. The legacy of the residential school system</w:t>
      </w:r>
      <w:r w:rsidR="00D36267" w:rsidRPr="00F037B5">
        <w:rPr>
          <w:rStyle w:val="FootnoteReference"/>
          <w:rFonts w:cs="Arial"/>
          <w:szCs w:val="24"/>
        </w:rPr>
        <w:footnoteReference w:id="29"/>
      </w:r>
      <w:r w:rsidR="00A17D2F" w:rsidRPr="00F037B5">
        <w:rPr>
          <w:rFonts w:cs="Arial"/>
          <w:szCs w:val="24"/>
        </w:rPr>
        <w:t xml:space="preserve"> and the ongoing and traumatic discovery of unmarked graves</w:t>
      </w:r>
      <w:r w:rsidRPr="00F037B5">
        <w:rPr>
          <w:rFonts w:cs="Arial"/>
          <w:szCs w:val="24"/>
        </w:rPr>
        <w:t xml:space="preserve"> looms large over many aspects of Indigenous lives and continues to have a detrimental effect on the well-being of Indigenous communities in Canada.</w:t>
      </w:r>
      <w:r w:rsidR="00A17D2F" w:rsidRPr="00F037B5">
        <w:rPr>
          <w:rFonts w:cs="Arial"/>
          <w:szCs w:val="24"/>
        </w:rPr>
        <w:t xml:space="preserve"> </w:t>
      </w:r>
    </w:p>
    <w:p w14:paraId="157BDB33" w14:textId="77777777" w:rsidR="008704C9" w:rsidRPr="00F037B5" w:rsidRDefault="008704C9" w:rsidP="008704C9">
      <w:pPr>
        <w:spacing w:line="240" w:lineRule="auto"/>
      </w:pPr>
      <w:r w:rsidRPr="00F037B5">
        <w:t xml:space="preserve">For generations, Indigenous peoples in Canada have pushed for the recognition of their inherent right to self-determination and the full realization of their human rights. The CHRC acknowledges that the collective and individual rights of Indigenous peoples of all ages, genders and abilities will only be adequately protected or properly fulfilled when they are able to make their own decisions – through their own institutions and according to their own values and traditions. It is imperative that all laws, policies and decisions </w:t>
      </w:r>
      <w:r>
        <w:t xml:space="preserve">that impact </w:t>
      </w:r>
      <w:r w:rsidRPr="00F037B5">
        <w:t xml:space="preserve">the lives of Indigenous peoples are </w:t>
      </w:r>
      <w:r>
        <w:t>grounded</w:t>
      </w:r>
      <w:r w:rsidRPr="00F037B5">
        <w:t xml:space="preserve"> in Indigenous </w:t>
      </w:r>
      <w:proofErr w:type="gramStart"/>
      <w:r>
        <w:t xml:space="preserve">rights, </w:t>
      </w:r>
      <w:r w:rsidRPr="00F037B5">
        <w:t>and</w:t>
      </w:r>
      <w:proofErr w:type="gramEnd"/>
      <w:r w:rsidRPr="00F037B5">
        <w:t xml:space="preserve"> </w:t>
      </w:r>
      <w:r>
        <w:t xml:space="preserve">developed </w:t>
      </w:r>
      <w:r w:rsidRPr="00F037B5">
        <w:t xml:space="preserve">with meaningful participation and engagement with Indigenous communities. </w:t>
      </w:r>
    </w:p>
    <w:p w14:paraId="0126892C" w14:textId="77777777" w:rsidR="0031101C" w:rsidRDefault="008704C9" w:rsidP="008704C9">
      <w:pPr>
        <w:spacing w:line="240" w:lineRule="auto"/>
      </w:pPr>
      <w:r w:rsidRPr="00F037B5">
        <w:t>The United Nations Declaration on the Rights of Indigenous Peoples Act Action Plan (the Action Plan)</w:t>
      </w:r>
      <w:r>
        <w:rPr>
          <w:rStyle w:val="FootnoteReference"/>
        </w:rPr>
        <w:footnoteReference w:id="30"/>
      </w:r>
      <w:r w:rsidRPr="00F037B5">
        <w:t xml:space="preserve"> sets out 181 specific measures that Canada will take with Indigenous peoples to implement the rights and principles affirmed in the United Nations Declaration on the Rights of Indigenous Peoples (the UN Declaration) and advance reconciliation in a meaningful, tangible way. Th</w:t>
      </w:r>
      <w:r>
        <w:t>is</w:t>
      </w:r>
      <w:r w:rsidRPr="00F037B5">
        <w:t xml:space="preserve"> includes measures intended to uphold and advance the human rights of Indigenous peoples, address injustices, prejudice, violence, systemic racism and discrimination, </w:t>
      </w:r>
      <w:r>
        <w:t>and advance self-determination and self-government</w:t>
      </w:r>
      <w:r w:rsidRPr="00F037B5">
        <w:t>.</w:t>
      </w:r>
      <w:r>
        <w:rPr>
          <w:rStyle w:val="FootnoteReference"/>
        </w:rPr>
        <w:footnoteReference w:id="31"/>
      </w:r>
      <w:r w:rsidRPr="00F037B5">
        <w:t xml:space="preserve"> </w:t>
      </w:r>
    </w:p>
    <w:p w14:paraId="2D673E7C" w14:textId="354CA983" w:rsidR="008704C9" w:rsidRPr="00F037B5" w:rsidRDefault="008704C9" w:rsidP="008704C9">
      <w:pPr>
        <w:spacing w:line="240" w:lineRule="auto"/>
      </w:pPr>
      <w:proofErr w:type="gramStart"/>
      <w:r w:rsidRPr="00F037B5">
        <w:t>All of</w:t>
      </w:r>
      <w:proofErr w:type="gramEnd"/>
      <w:r w:rsidRPr="00F037B5">
        <w:t xml:space="preserve"> the issues raised above are the subject of measures included in the Action Plan and are among the Calls to Action of the Truth and Reconciliation Commission and the Calls for Justice of the Final Report of the National Inquiry into Missing and Murdered Indigenous Women and Girls. </w:t>
      </w:r>
    </w:p>
    <w:p w14:paraId="6CD4F230" w14:textId="1309ABF3" w:rsidR="008704C9" w:rsidRDefault="008704C9" w:rsidP="008704C9">
      <w:pPr>
        <w:spacing w:line="240" w:lineRule="auto"/>
      </w:pPr>
      <w:r w:rsidRPr="00F037B5">
        <w:lastRenderedPageBreak/>
        <w:t xml:space="preserve">However, </w:t>
      </w:r>
      <w:r w:rsidRPr="00F037B5">
        <w:rPr>
          <w:lang w:val="en-US"/>
        </w:rPr>
        <w:t xml:space="preserve">Indigenous people have expressed concern that progress on these measures and Calls have been slow, and that federal officials have an inconsistent approach to consulting and cooperating with Indigenous peoples, which is a key principle in support of the UN Declaration and is a requirement of section 5 of the United Nations Declaration on the Rights of Indigenous Peoples Act. The CHRC notes that this will become even more important to monitor as Canada enters its new era of a commitment to Nation-building projects, many or all of which will have impacts on the rights of Indigenous peoples. For </w:t>
      </w:r>
      <w:r w:rsidR="00BB66F1">
        <w:rPr>
          <w:lang w:val="en-US"/>
        </w:rPr>
        <w:t>example</w:t>
      </w:r>
      <w:r w:rsidRPr="00F037B5">
        <w:rPr>
          <w:lang w:val="en-US"/>
        </w:rPr>
        <w:t xml:space="preserve">, the </w:t>
      </w:r>
      <w:r>
        <w:rPr>
          <w:lang w:val="en-US"/>
        </w:rPr>
        <w:t xml:space="preserve">enactment of </w:t>
      </w:r>
      <w:r w:rsidRPr="00F037B5">
        <w:rPr>
          <w:lang w:val="en-US"/>
        </w:rPr>
        <w:t>the One Canadian Economy Act</w:t>
      </w:r>
      <w:r>
        <w:rPr>
          <w:lang w:val="en-US"/>
        </w:rPr>
        <w:t>,</w:t>
      </w:r>
      <w:r>
        <w:rPr>
          <w:rStyle w:val="FootnoteReference"/>
          <w:lang w:val="en-US"/>
        </w:rPr>
        <w:footnoteReference w:id="32"/>
      </w:r>
      <w:r>
        <w:rPr>
          <w:lang w:val="en-US"/>
        </w:rPr>
        <w:t xml:space="preserve"> </w:t>
      </w:r>
      <w:r w:rsidRPr="00F037B5">
        <w:t>which seeks to fast-track projects deemed in the national interest</w:t>
      </w:r>
      <w:r>
        <w:t>,</w:t>
      </w:r>
      <w:r w:rsidRPr="00F037B5">
        <w:t xml:space="preserve"> has raised many concerns among Indigenous organizations, particularly around inadequate consultation and inconsistencies with obligations under the </w:t>
      </w:r>
      <w:r w:rsidRPr="00F037B5">
        <w:rPr>
          <w:lang w:val="en-US"/>
        </w:rPr>
        <w:t>United Nations Declaration on the Rights of Indigenous Peoples Act</w:t>
      </w:r>
      <w:r w:rsidRPr="00F037B5">
        <w:t>.</w:t>
      </w:r>
      <w:r w:rsidRPr="00F037B5">
        <w:rPr>
          <w:rStyle w:val="FootnoteReference"/>
        </w:rPr>
        <w:footnoteReference w:id="33"/>
      </w:r>
      <w:r w:rsidRPr="00F037B5">
        <w:t xml:space="preserve"> </w:t>
      </w:r>
    </w:p>
    <w:p w14:paraId="112CE9BA" w14:textId="05A0A7E4" w:rsidR="00837112" w:rsidRDefault="00837112" w:rsidP="008704C9">
      <w:pPr>
        <w:spacing w:line="240" w:lineRule="auto"/>
      </w:pPr>
      <w:r>
        <w:t xml:space="preserve">The CHRC notes that the Indian Act – a colonial piece of legislation that governs many aspects of the lives of First Nations peoples in Canada – continues to be a source of criticism from advocates who describe it as inconsistent with the goals of reconciliation.   </w:t>
      </w:r>
      <w:r w:rsidRPr="00930A30">
        <w:t xml:space="preserve">While the </w:t>
      </w:r>
      <w:r>
        <w:t xml:space="preserve">Indian </w:t>
      </w:r>
      <w:r w:rsidRPr="00930A30">
        <w:t xml:space="preserve">Act has been amended over time, these changes have been </w:t>
      </w:r>
      <w:r>
        <w:t xml:space="preserve">largely </w:t>
      </w:r>
      <w:r w:rsidRPr="00930A30">
        <w:t xml:space="preserve">piecemeal and reactive, addressing isolated harms without dismantling the underlying colonial framework. As a result, </w:t>
      </w:r>
      <w:r>
        <w:t>concerns regarding</w:t>
      </w:r>
      <w:r w:rsidRPr="00930A30">
        <w:t xml:space="preserve"> Indigenous self-determination and systemic inequities </w:t>
      </w:r>
      <w:r>
        <w:t>remain un</w:t>
      </w:r>
      <w:r w:rsidRPr="00930A30">
        <w:t xml:space="preserve">resolved. </w:t>
      </w:r>
      <w:r>
        <w:t>The CHRC believes that more substantial reform is necessary to eliminate discrimination in the Indian Act.</w:t>
      </w:r>
    </w:p>
    <w:p w14:paraId="34CE4A3A" w14:textId="35C46648" w:rsidR="00B9345F" w:rsidRPr="008704C9" w:rsidRDefault="008704C9" w:rsidP="008704C9">
      <w:pPr>
        <w:spacing w:line="240" w:lineRule="auto"/>
      </w:pPr>
      <w:r w:rsidRPr="00F037B5">
        <w:t>Indigenous peoples have called for the establishment of Indigenous-specific human rights mechanisms to</w:t>
      </w:r>
      <w:r>
        <w:t xml:space="preserve"> </w:t>
      </w:r>
      <w:r w:rsidRPr="00F037B5">
        <w:t>address the unique and compounded barriers they face in accessing justice. In 2023, Canada appointed a Ministerial Special Representative who provided comprehensive recommendations on the creation of an Indigenous and Human Rights Ombudsperson to the Government in a May 2024 report.</w:t>
      </w:r>
      <w:r w:rsidRPr="00F037B5">
        <w:rPr>
          <w:rStyle w:val="FootnoteReference"/>
        </w:rPr>
        <w:footnoteReference w:id="34"/>
      </w:r>
      <w:r w:rsidRPr="00F037B5">
        <w:t xml:space="preserve"> </w:t>
      </w:r>
      <w:r w:rsidR="00837112">
        <w:t>In a similar vein</w:t>
      </w:r>
      <w:r w:rsidR="0031101C">
        <w:t xml:space="preserve">, a December 2024 report from the </w:t>
      </w:r>
      <w:r w:rsidR="0031101C" w:rsidRPr="0031101C">
        <w:t>Standing Senate Committee on Indigenous Peoples </w:t>
      </w:r>
      <w:r w:rsidR="00D50205">
        <w:t xml:space="preserve">highlighted the many barriers experienced by Indigenous peoples within the current human rights system, and recommended the establishment of </w:t>
      </w:r>
      <w:r w:rsidR="00957A32">
        <w:t>a</w:t>
      </w:r>
      <w:r w:rsidR="00D50205">
        <w:t xml:space="preserve"> new</w:t>
      </w:r>
      <w:r w:rsidR="00957A32">
        <w:t xml:space="preserve"> Indigenous </w:t>
      </w:r>
      <w:r w:rsidR="00D50205">
        <w:t>h</w:t>
      </w:r>
      <w:r w:rsidR="00957A32">
        <w:t xml:space="preserve">uman </w:t>
      </w:r>
      <w:r w:rsidR="00D50205">
        <w:t>r</w:t>
      </w:r>
      <w:r w:rsidR="00957A32">
        <w:t xml:space="preserve">ights </w:t>
      </w:r>
      <w:r w:rsidR="00D50205">
        <w:t>o</w:t>
      </w:r>
      <w:r w:rsidR="00957A32">
        <w:t xml:space="preserve">mbudsperson and </w:t>
      </w:r>
      <w:r w:rsidR="00D50205">
        <w:t>t</w:t>
      </w:r>
      <w:r w:rsidR="00957A32">
        <w:t xml:space="preserve">ribunal </w:t>
      </w:r>
      <w:r w:rsidR="00691F4C" w:rsidRPr="00691F4C">
        <w:t xml:space="preserve">to improve and increase access to justice for </w:t>
      </w:r>
      <w:r w:rsidR="00691F4C" w:rsidRPr="00691F4C">
        <w:lastRenderedPageBreak/>
        <w:t>Indigenous peoples</w:t>
      </w:r>
      <w:r w:rsidR="00957A32" w:rsidRPr="00957A32">
        <w:t>.</w:t>
      </w:r>
      <w:r w:rsidR="00116F99">
        <w:rPr>
          <w:rStyle w:val="FootnoteReference"/>
        </w:rPr>
        <w:footnoteReference w:id="35"/>
      </w:r>
      <w:r w:rsidR="0031101C">
        <w:t xml:space="preserve"> </w:t>
      </w:r>
      <w:r w:rsidRPr="00F037B5">
        <w:t>The CHRC fully supports the creation of specific human rights mechanisms for Indigenous peoples in Canada.</w:t>
      </w:r>
      <w:r w:rsidRPr="00F037B5">
        <w:rPr>
          <w:rStyle w:val="FootnoteReference"/>
        </w:rPr>
        <w:footnoteReference w:id="36"/>
      </w:r>
    </w:p>
    <w:p w14:paraId="233A5A34" w14:textId="4BEF01F5" w:rsidR="00837112" w:rsidRDefault="008704C9" w:rsidP="008704C9">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b/>
          <w:bCs/>
          <w:szCs w:val="24"/>
        </w:rPr>
        <w:t>Recommendation #</w:t>
      </w:r>
      <w:r w:rsidR="00965797">
        <w:rPr>
          <w:rFonts w:cs="Arial"/>
          <w:b/>
          <w:bCs/>
          <w:szCs w:val="24"/>
        </w:rPr>
        <w:t>4</w:t>
      </w:r>
      <w:r w:rsidRPr="00F037B5">
        <w:rPr>
          <w:rFonts w:cs="Arial"/>
          <w:b/>
          <w:bCs/>
          <w:szCs w:val="24"/>
        </w:rPr>
        <w:t>:</w:t>
      </w:r>
      <w:r w:rsidRPr="00F037B5">
        <w:rPr>
          <w:rFonts w:cs="Arial"/>
          <w:szCs w:val="24"/>
        </w:rPr>
        <w:t xml:space="preserve"> That Canada fully implement the measures of the United Nations Declaration on the Rights of Indigenous Peoples Act Action Plan, the Calls to Action of the Truth and Reconciliation Commission, and the Calls for Justice of the Final Report of the National Inquiry into Missing and Murdered Indigenous Women and Girls. </w:t>
      </w:r>
      <w:r w:rsidRPr="00847EAD">
        <w:rPr>
          <w:rFonts w:cs="Arial"/>
          <w:szCs w:val="24"/>
        </w:rPr>
        <w:t>This includes taking a consistent approach to meaningful participation and engagement with Indigenous peoples.</w:t>
      </w:r>
      <w:r w:rsidRPr="00F037B5">
        <w:rPr>
          <w:rFonts w:cs="Arial"/>
          <w:szCs w:val="24"/>
        </w:rPr>
        <w:t xml:space="preserve"> </w:t>
      </w:r>
    </w:p>
    <w:p w14:paraId="13BF1F91" w14:textId="2749DC48" w:rsidR="00837112" w:rsidRPr="00E9369A" w:rsidRDefault="00837112" w:rsidP="00837112">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lang w:val="en-US"/>
        </w:rPr>
      </w:pPr>
      <w:r w:rsidRPr="00F037B5">
        <w:rPr>
          <w:b/>
          <w:bCs/>
          <w:lang w:val="en-US"/>
        </w:rPr>
        <w:t>Recommendation #</w:t>
      </w:r>
      <w:r w:rsidR="00965797">
        <w:rPr>
          <w:b/>
          <w:bCs/>
          <w:lang w:val="en-US"/>
        </w:rPr>
        <w:t>5</w:t>
      </w:r>
      <w:r w:rsidRPr="00F037B5">
        <w:rPr>
          <w:b/>
          <w:bCs/>
          <w:lang w:val="en-US"/>
        </w:rPr>
        <w:t xml:space="preserve">: </w:t>
      </w:r>
      <w:r w:rsidRPr="00F037B5">
        <w:rPr>
          <w:lang w:val="en-US"/>
        </w:rPr>
        <w:t>That Canada enact the legislative reforms necessary to eliminate discrimination in the Indian Act without delay.</w:t>
      </w:r>
    </w:p>
    <w:p w14:paraId="3336C805" w14:textId="78BE42CE" w:rsidR="008704C9" w:rsidRDefault="008704C9" w:rsidP="008704C9">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szCs w:val="24"/>
        </w:rPr>
        <w:t xml:space="preserve"> </w:t>
      </w:r>
      <w:r w:rsidRPr="00F037B5">
        <w:rPr>
          <w:rFonts w:cs="Arial"/>
          <w:b/>
          <w:bCs/>
          <w:szCs w:val="24"/>
        </w:rPr>
        <w:t>Recommendation #</w:t>
      </w:r>
      <w:r w:rsidR="00965797">
        <w:rPr>
          <w:rFonts w:cs="Arial"/>
          <w:b/>
          <w:bCs/>
          <w:szCs w:val="24"/>
        </w:rPr>
        <w:t>6</w:t>
      </w:r>
      <w:r w:rsidRPr="00F037B5">
        <w:rPr>
          <w:rFonts w:cs="Arial"/>
          <w:b/>
          <w:bCs/>
          <w:szCs w:val="24"/>
        </w:rPr>
        <w:t>:</w:t>
      </w:r>
      <w:r w:rsidRPr="00F037B5">
        <w:rPr>
          <w:rFonts w:cs="Arial"/>
          <w:szCs w:val="24"/>
        </w:rPr>
        <w:t xml:space="preserve"> That Canada support the creation of human rights mechanisms for Indigenous peoples to advance decolonization and </w:t>
      </w:r>
      <w:proofErr w:type="gramStart"/>
      <w:r w:rsidRPr="00F037B5">
        <w:rPr>
          <w:rFonts w:cs="Arial"/>
          <w:szCs w:val="24"/>
        </w:rPr>
        <w:t>self-determination, and</w:t>
      </w:r>
      <w:proofErr w:type="gramEnd"/>
      <w:r w:rsidRPr="00F037B5">
        <w:rPr>
          <w:rFonts w:cs="Arial"/>
          <w:szCs w:val="24"/>
        </w:rPr>
        <w:t xml:space="preserve"> help address barriers to access to justice faced by Indigenous peoples within the current human rights system. </w:t>
      </w:r>
    </w:p>
    <w:p w14:paraId="2AC9B530" w14:textId="11935FB7" w:rsidR="009D032D" w:rsidRPr="00F037B5" w:rsidRDefault="009D032D" w:rsidP="009D032D">
      <w:pPr>
        <w:pStyle w:val="Heading2"/>
        <w:ind w:left="567" w:hanging="567"/>
      </w:pPr>
      <w:bookmarkStart w:id="25" w:name="_Toc220669669"/>
      <w:r w:rsidRPr="00F037B5">
        <w:t>Equitable and Adequate Services</w:t>
      </w:r>
      <w:bookmarkEnd w:id="25"/>
      <w:r w:rsidRPr="00F037B5">
        <w:t xml:space="preserve"> </w:t>
      </w:r>
    </w:p>
    <w:p w14:paraId="3B191FDD" w14:textId="1D1095AE" w:rsidR="00285F5E" w:rsidRPr="00F037B5" w:rsidRDefault="00901E46" w:rsidP="00285F5E">
      <w:pPr>
        <w:spacing w:line="240" w:lineRule="auto"/>
      </w:pPr>
      <w:r>
        <w:t xml:space="preserve">Although some progress has been </w:t>
      </w:r>
      <w:r w:rsidR="00D615BE">
        <w:t xml:space="preserve">and continues to be </w:t>
      </w:r>
      <w:r>
        <w:t xml:space="preserve">made, </w:t>
      </w:r>
      <w:r w:rsidR="00285F5E" w:rsidRPr="00F037B5">
        <w:t xml:space="preserve">many First Nations communities </w:t>
      </w:r>
      <w:r w:rsidR="00D615BE">
        <w:t xml:space="preserve">across the country </w:t>
      </w:r>
      <w:r w:rsidR="00285F5E" w:rsidRPr="00F037B5">
        <w:t xml:space="preserve">continue to live without equitable and adequate housing, safe drinking water, and other essential services. </w:t>
      </w:r>
    </w:p>
    <w:p w14:paraId="3709FE32" w14:textId="1644A675" w:rsidR="00285F5E" w:rsidRPr="00F037B5" w:rsidRDefault="00285F5E" w:rsidP="00285F5E">
      <w:pPr>
        <w:spacing w:line="240" w:lineRule="auto"/>
        <w:rPr>
          <w:rFonts w:cs="Arial"/>
          <w:szCs w:val="24"/>
        </w:rPr>
      </w:pPr>
      <w:r w:rsidRPr="00F037B5">
        <w:rPr>
          <w:rFonts w:cs="Arial"/>
          <w:szCs w:val="24"/>
        </w:rPr>
        <w:t xml:space="preserve">The CHRC has received </w:t>
      </w:r>
      <w:proofErr w:type="gramStart"/>
      <w:r w:rsidRPr="00F037B5">
        <w:rPr>
          <w:rFonts w:cs="Arial"/>
          <w:szCs w:val="24"/>
        </w:rPr>
        <w:t>a number of</w:t>
      </w:r>
      <w:proofErr w:type="gramEnd"/>
      <w:r w:rsidRPr="00F037B5">
        <w:rPr>
          <w:rFonts w:cs="Arial"/>
          <w:szCs w:val="24"/>
        </w:rPr>
        <w:t xml:space="preserve"> complaints relating to the availability of federal funding and supports for a broad range of public services delivered to First Nations peoples ordinarily resident on reserve. For </w:t>
      </w:r>
      <w:r w:rsidR="00E25B38">
        <w:rPr>
          <w:rFonts w:cs="Arial"/>
          <w:szCs w:val="24"/>
        </w:rPr>
        <w:t>example</w:t>
      </w:r>
      <w:r w:rsidRPr="00F037B5">
        <w:rPr>
          <w:rFonts w:cs="Arial"/>
          <w:szCs w:val="24"/>
        </w:rPr>
        <w:t>, complaints have been filed regarding the adequacy of federal funding and supports for police services, education, health, and home and community care, among others.</w:t>
      </w:r>
      <w:r w:rsidR="00AE199E" w:rsidRPr="00F037B5">
        <w:rPr>
          <w:rStyle w:val="FootnoteReference"/>
          <w:rFonts w:cs="Arial"/>
          <w:szCs w:val="24"/>
        </w:rPr>
        <w:footnoteReference w:id="37"/>
      </w:r>
    </w:p>
    <w:p w14:paraId="1569825C" w14:textId="3FA6A804" w:rsidR="00285F5E" w:rsidRPr="00F037B5" w:rsidRDefault="00285F5E" w:rsidP="00285F5E">
      <w:pPr>
        <w:spacing w:line="240" w:lineRule="auto"/>
        <w:rPr>
          <w:rFonts w:cs="Arial"/>
          <w:szCs w:val="24"/>
        </w:rPr>
      </w:pPr>
      <w:r w:rsidRPr="00F037B5">
        <w:rPr>
          <w:rFonts w:cs="Arial"/>
          <w:szCs w:val="24"/>
        </w:rPr>
        <w:t xml:space="preserve">One such case has generated a series of groundbreaking decisions from January 2016 to the present. In its initial rulings, the Canadian Human Rights Tribunal (the Tribunal) found the federal program and funding for child and family services on reserve and in the Yukon to be discriminatory. It also found the government liable for failing to properly implement Jordan’s Principle – a child-first principle that promotes substantive equality by ensuring First Nations children get the services they need, </w:t>
      </w:r>
      <w:r w:rsidR="003D4F8F">
        <w:rPr>
          <w:rFonts w:cs="Arial"/>
          <w:szCs w:val="24"/>
        </w:rPr>
        <w:t>considering</w:t>
      </w:r>
      <w:r w:rsidRPr="00F037B5">
        <w:rPr>
          <w:rFonts w:cs="Arial"/>
          <w:szCs w:val="24"/>
        </w:rPr>
        <w:t xml:space="preserve"> their </w:t>
      </w:r>
      <w:r w:rsidRPr="00F037B5">
        <w:rPr>
          <w:rFonts w:cs="Arial"/>
          <w:szCs w:val="24"/>
        </w:rPr>
        <w:lastRenderedPageBreak/>
        <w:t>geographic, historical and cultural circumstances.</w:t>
      </w:r>
      <w:r w:rsidRPr="00F037B5">
        <w:rPr>
          <w:rStyle w:val="FootnoteReference"/>
        </w:rPr>
        <w:footnoteReference w:id="38"/>
      </w:r>
      <w:r w:rsidRPr="00F037B5">
        <w:rPr>
          <w:rFonts w:cs="Arial"/>
          <w:szCs w:val="24"/>
        </w:rPr>
        <w:t xml:space="preserve"> The initial ruling finding discrimination led to a final ruling on remedies relating to individual financial compensation.</w:t>
      </w:r>
      <w:r w:rsidRPr="00F037B5">
        <w:rPr>
          <w:rStyle w:val="FootnoteReference"/>
        </w:rPr>
        <w:footnoteReference w:id="39"/>
      </w:r>
      <w:r w:rsidRPr="00F037B5">
        <w:rPr>
          <w:rStyle w:val="FootnoteReference"/>
        </w:rPr>
        <w:t xml:space="preserve"> </w:t>
      </w:r>
      <w:r w:rsidRPr="00F037B5">
        <w:rPr>
          <w:rFonts w:cs="Arial"/>
          <w:szCs w:val="24"/>
        </w:rPr>
        <w:t>A final ruling on systemic reform of the First Nations Child and Family Services Program is outstanding</w:t>
      </w:r>
      <w:r w:rsidR="00EE5B19" w:rsidRPr="00F037B5">
        <w:rPr>
          <w:rFonts w:cs="Arial"/>
          <w:szCs w:val="24"/>
        </w:rPr>
        <w:t>.</w:t>
      </w:r>
      <w:r w:rsidR="00EE5B19" w:rsidRPr="00F037B5">
        <w:rPr>
          <w:rStyle w:val="FootnoteReference"/>
          <w:rFonts w:cs="Arial"/>
          <w:szCs w:val="24"/>
        </w:rPr>
        <w:footnoteReference w:id="40"/>
      </w:r>
      <w:r w:rsidRPr="00F037B5">
        <w:rPr>
          <w:rFonts w:cs="Arial"/>
          <w:szCs w:val="24"/>
        </w:rPr>
        <w:t xml:space="preserve">  </w:t>
      </w:r>
    </w:p>
    <w:p w14:paraId="2CBF47A8" w14:textId="007617E6" w:rsidR="003537EF" w:rsidRPr="00F037B5" w:rsidRDefault="00A17D2F" w:rsidP="000E7913">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b/>
          <w:bCs/>
          <w:szCs w:val="24"/>
        </w:rPr>
        <w:t>Recommendation #</w:t>
      </w:r>
      <w:r w:rsidR="00965797">
        <w:rPr>
          <w:rFonts w:cs="Arial"/>
          <w:b/>
          <w:bCs/>
          <w:szCs w:val="24"/>
        </w:rPr>
        <w:t>7</w:t>
      </w:r>
      <w:r w:rsidRPr="00F037B5">
        <w:rPr>
          <w:rFonts w:cs="Arial"/>
          <w:b/>
          <w:bCs/>
          <w:szCs w:val="24"/>
        </w:rPr>
        <w:t>:</w:t>
      </w:r>
      <w:r w:rsidRPr="00F037B5">
        <w:rPr>
          <w:rFonts w:cs="Arial"/>
          <w:szCs w:val="24"/>
        </w:rPr>
        <w:t xml:space="preserve"> That Canada ensure that services for Indigenous people are equitable, adequate and culturally appropriate. Canada should ensure that First Nations, Inuit and Métis people have access to services that are relevant to and appropriate for them, based on their distinct culture and identity, and are empowered to stay in their communities while receiving care.</w:t>
      </w:r>
    </w:p>
    <w:p w14:paraId="509E110D" w14:textId="5297B6C6" w:rsidR="00BB68B2" w:rsidRPr="00F037B5" w:rsidRDefault="00BB68B2" w:rsidP="00BB68B2">
      <w:pPr>
        <w:pStyle w:val="Heading2"/>
        <w:ind w:left="567" w:hanging="567"/>
      </w:pPr>
      <w:bookmarkStart w:id="26" w:name="_Toc220669670"/>
      <w:r w:rsidRPr="00F037B5">
        <w:t>Forced or Coerced Sterilization</w:t>
      </w:r>
      <w:bookmarkEnd w:id="26"/>
    </w:p>
    <w:p w14:paraId="775BF974" w14:textId="10B7B5DA" w:rsidR="00C10131" w:rsidRDefault="00C10131" w:rsidP="00BB68B2">
      <w:pPr>
        <w:spacing w:line="240" w:lineRule="auto"/>
      </w:pPr>
      <w:r>
        <w:t>The October 2024 Concluding Observations of the Committee on the Elimination of Discrimination against Women noted with concern the persistence of the practice of forced sterilizations of Indigenous women.</w:t>
      </w:r>
      <w:r w:rsidR="003F245F">
        <w:t xml:space="preserve"> </w:t>
      </w:r>
      <w:r>
        <w:t>This is an issue that the CHRC has raised</w:t>
      </w:r>
      <w:r w:rsidRPr="00052D42">
        <w:t xml:space="preserve"> with several other human rights Committees</w:t>
      </w:r>
      <w:r w:rsidR="00741191" w:rsidRPr="00052D42">
        <w:t xml:space="preserve"> </w:t>
      </w:r>
      <w:r w:rsidR="003F245F">
        <w:t xml:space="preserve">and </w:t>
      </w:r>
      <w:r w:rsidR="00741191" w:rsidRPr="00052D42">
        <w:t>wishes to bring to the attention of the present Committee</w:t>
      </w:r>
      <w:r w:rsidR="00052D42" w:rsidRPr="00052D42">
        <w:t xml:space="preserve"> as well</w:t>
      </w:r>
      <w:r w:rsidR="00741191" w:rsidRPr="00052D42">
        <w:t>.</w:t>
      </w:r>
      <w:r w:rsidR="00741191">
        <w:t xml:space="preserve"> </w:t>
      </w:r>
    </w:p>
    <w:p w14:paraId="033E151F" w14:textId="59B45CE1" w:rsidR="00BB68B2" w:rsidRPr="00F037B5" w:rsidRDefault="00BB68B2" w:rsidP="00BB68B2">
      <w:pPr>
        <w:spacing w:line="240" w:lineRule="auto"/>
      </w:pPr>
      <w:r w:rsidRPr="00F037B5">
        <w:t xml:space="preserve">Historically, sterilization </w:t>
      </w:r>
      <w:r w:rsidR="00FB6DE9">
        <w:t xml:space="preserve">policies </w:t>
      </w:r>
      <w:r w:rsidRPr="00F037B5">
        <w:t>in Canada existed under the guise of public health, where sterilization was a condition of release from mental health institutions. These policies disproportionately affected Indigenous women.</w:t>
      </w:r>
      <w:r w:rsidR="006E0FE8" w:rsidRPr="00F037B5">
        <w:rPr>
          <w:rStyle w:val="FootnoteReference"/>
        </w:rPr>
        <w:footnoteReference w:id="41"/>
      </w:r>
      <w:r w:rsidRPr="00F037B5">
        <w:t xml:space="preserve"> Other groups disproportionately affected include Black and racialized women, people with disabilities, intersex children and institutionalized people.</w:t>
      </w:r>
      <w:r w:rsidRPr="00F037B5">
        <w:rPr>
          <w:rStyle w:val="FootnoteReference"/>
        </w:rPr>
        <w:footnoteReference w:id="42"/>
      </w:r>
      <w:r w:rsidRPr="00F037B5">
        <w:t xml:space="preserve"> </w:t>
      </w:r>
    </w:p>
    <w:p w14:paraId="491E0178" w14:textId="1B988004" w:rsidR="00BB68B2" w:rsidRPr="00F037B5" w:rsidRDefault="00BB68B2" w:rsidP="00BB68B2">
      <w:pPr>
        <w:spacing w:line="240" w:lineRule="auto"/>
      </w:pPr>
      <w:r w:rsidRPr="00F037B5">
        <w:t>The CHRC remains concerned by reports that the practice of forced or coerced sterilization continues to this day. Survivors of coerced sterilization suffer from associated ailments and may avoid preventive healthcare services due to profound mistrust of the healthcare system and its authorities</w:t>
      </w:r>
      <w:r w:rsidR="00FE6E7C" w:rsidRPr="00F037B5">
        <w:t>.</w:t>
      </w:r>
      <w:r w:rsidR="00FE6E7C" w:rsidRPr="00F037B5">
        <w:rPr>
          <w:rStyle w:val="FootnoteReference"/>
        </w:rPr>
        <w:footnoteReference w:id="43"/>
      </w:r>
    </w:p>
    <w:p w14:paraId="7754FD60" w14:textId="2EEB0AAB" w:rsidR="00BB68B2" w:rsidRPr="00F037B5" w:rsidRDefault="00BB68B2" w:rsidP="00BB68B2">
      <w:pPr>
        <w:spacing w:line="240" w:lineRule="auto"/>
      </w:pPr>
      <w:r w:rsidRPr="007E4508">
        <w:lastRenderedPageBreak/>
        <w:t xml:space="preserve">A 2022 report from the Standing Senate Committee on Human Rights recommended that Canada </w:t>
      </w:r>
      <w:r w:rsidR="00FB6DE9">
        <w:t>adopt laws and policies</w:t>
      </w:r>
      <w:r w:rsidRPr="007E4508">
        <w:t xml:space="preserve"> to prevent forced or coerced sterilization, including by taking steps to address racism, ableism and other forms of discrimination in healthcare settings, and </w:t>
      </w:r>
      <w:r w:rsidR="00955D95">
        <w:t xml:space="preserve">by </w:t>
      </w:r>
      <w:r w:rsidRPr="007E4508">
        <w:t>providing support to people seeking recourse and care.</w:t>
      </w:r>
      <w:r w:rsidR="006E0FE8" w:rsidRPr="007E4508">
        <w:rPr>
          <w:rStyle w:val="FootnoteReference"/>
        </w:rPr>
        <w:footnoteReference w:id="44"/>
      </w:r>
    </w:p>
    <w:p w14:paraId="05B010AC" w14:textId="3111C966" w:rsidR="006E0FE8" w:rsidRPr="00F037B5" w:rsidRDefault="006E0FE8" w:rsidP="006E0FE8">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b/>
          <w:bCs/>
          <w:szCs w:val="24"/>
        </w:rPr>
        <w:t>Recommendation #</w:t>
      </w:r>
      <w:r w:rsidR="00965797">
        <w:rPr>
          <w:rFonts w:cs="Arial"/>
          <w:b/>
          <w:bCs/>
          <w:szCs w:val="24"/>
        </w:rPr>
        <w:t>8</w:t>
      </w:r>
      <w:r w:rsidRPr="00F037B5">
        <w:rPr>
          <w:rFonts w:cs="Arial"/>
          <w:b/>
          <w:bCs/>
          <w:szCs w:val="24"/>
        </w:rPr>
        <w:t>:</w:t>
      </w:r>
      <w:r w:rsidRPr="00F037B5">
        <w:rPr>
          <w:rFonts w:cs="Arial"/>
          <w:szCs w:val="24"/>
        </w:rPr>
        <w:t xml:space="preserve"> That Canada implement</w:t>
      </w:r>
      <w:r w:rsidR="002974EF">
        <w:rPr>
          <w:rFonts w:cs="Arial"/>
          <w:szCs w:val="24"/>
        </w:rPr>
        <w:t xml:space="preserve"> </w:t>
      </w:r>
      <w:r w:rsidRPr="00F037B5">
        <w:rPr>
          <w:rFonts w:cs="Arial"/>
          <w:szCs w:val="24"/>
        </w:rPr>
        <w:t xml:space="preserve">the </w:t>
      </w:r>
      <w:r w:rsidRPr="00714465">
        <w:rPr>
          <w:rFonts w:cs="Arial"/>
          <w:szCs w:val="24"/>
        </w:rPr>
        <w:t xml:space="preserve">recommendations </w:t>
      </w:r>
      <w:r w:rsidR="002974EF" w:rsidRPr="00714465">
        <w:rPr>
          <w:rFonts w:cs="Arial"/>
          <w:szCs w:val="24"/>
        </w:rPr>
        <w:t>that are within its authority</w:t>
      </w:r>
      <w:r w:rsidR="002974EF">
        <w:rPr>
          <w:rFonts w:cs="Arial"/>
          <w:szCs w:val="24"/>
        </w:rPr>
        <w:t xml:space="preserve"> </w:t>
      </w:r>
      <w:r w:rsidRPr="00F037B5">
        <w:rPr>
          <w:rFonts w:cs="Arial"/>
          <w:szCs w:val="24"/>
        </w:rPr>
        <w:t>of the Standing Senate Committee</w:t>
      </w:r>
      <w:r w:rsidR="00CF1318">
        <w:rPr>
          <w:rFonts w:cs="Arial"/>
          <w:szCs w:val="24"/>
        </w:rPr>
        <w:t xml:space="preserve"> </w:t>
      </w:r>
      <w:r w:rsidRPr="00F037B5">
        <w:rPr>
          <w:rFonts w:cs="Arial"/>
          <w:szCs w:val="24"/>
        </w:rPr>
        <w:t>on Human Rights</w:t>
      </w:r>
      <w:r w:rsidR="00F4518C">
        <w:rPr>
          <w:rFonts w:cs="Arial"/>
          <w:szCs w:val="24"/>
        </w:rPr>
        <w:t xml:space="preserve"> </w:t>
      </w:r>
      <w:r w:rsidRPr="00F037B5">
        <w:rPr>
          <w:rFonts w:cs="Arial"/>
          <w:szCs w:val="24"/>
        </w:rPr>
        <w:t>to end forced or coerced sterilization and ensure redress, support and justice for survivors.</w:t>
      </w:r>
    </w:p>
    <w:p w14:paraId="4B17BCB2" w14:textId="3DAFCF8C" w:rsidR="006F4455" w:rsidRPr="00F037B5" w:rsidRDefault="00454779" w:rsidP="006F4455">
      <w:pPr>
        <w:pStyle w:val="Heading1"/>
        <w:rPr>
          <w:lang w:val="en-US"/>
        </w:rPr>
      </w:pPr>
      <w:bookmarkStart w:id="27" w:name="_Toc220669671"/>
      <w:bookmarkEnd w:id="22"/>
      <w:bookmarkEnd w:id="23"/>
      <w:r w:rsidRPr="00F037B5">
        <w:rPr>
          <w:lang w:val="en-US"/>
        </w:rPr>
        <w:t>People Deprived of Their Liberty (Articles 2, 7, 9, 10, 14, 26)</w:t>
      </w:r>
      <w:bookmarkEnd w:id="27"/>
    </w:p>
    <w:p w14:paraId="7F854862" w14:textId="5D17167F" w:rsidR="00FA48CD" w:rsidRPr="00F037B5" w:rsidRDefault="00FA48CD" w:rsidP="00FA48CD">
      <w:pPr>
        <w:pStyle w:val="Heading2"/>
        <w:ind w:left="567" w:hanging="567"/>
      </w:pPr>
      <w:bookmarkStart w:id="28" w:name="_Toc183602900"/>
      <w:bookmarkStart w:id="29" w:name="_Toc183602991"/>
      <w:bookmarkStart w:id="30" w:name="_Toc220669672"/>
      <w:bookmarkEnd w:id="24"/>
      <w:r w:rsidRPr="00F037B5">
        <w:t xml:space="preserve">Federal </w:t>
      </w:r>
      <w:r w:rsidR="00404777" w:rsidRPr="00F037B5">
        <w:t>J</w:t>
      </w:r>
      <w:r w:rsidRPr="00F037B5">
        <w:t xml:space="preserve">ustice </w:t>
      </w:r>
      <w:r w:rsidR="00404777" w:rsidRPr="00F037B5">
        <w:t>S</w:t>
      </w:r>
      <w:r w:rsidRPr="00F037B5">
        <w:t>ystem</w:t>
      </w:r>
      <w:bookmarkEnd w:id="28"/>
      <w:bookmarkEnd w:id="29"/>
      <w:bookmarkEnd w:id="30"/>
    </w:p>
    <w:p w14:paraId="589BE04A" w14:textId="40E0EDC4" w:rsidR="005B1A88" w:rsidRPr="00F037B5" w:rsidRDefault="005B1A88" w:rsidP="001F5DC9">
      <w:pPr>
        <w:spacing w:line="240" w:lineRule="auto"/>
        <w:rPr>
          <w:lang w:val="en-US"/>
        </w:rPr>
      </w:pPr>
      <w:r w:rsidRPr="00F037B5">
        <w:rPr>
          <w:lang w:val="en-US"/>
        </w:rPr>
        <w:t xml:space="preserve">In Canada’s federal justice system, substantive progress towards addressing </w:t>
      </w:r>
      <w:r w:rsidRPr="00F037B5">
        <w:t>the realities of systemic and institutionalized racism and discrimination</w:t>
      </w:r>
      <w:r w:rsidR="00B12740" w:rsidRPr="00F037B5">
        <w:t xml:space="preserve"> </w:t>
      </w:r>
      <w:r w:rsidRPr="00F037B5">
        <w:t xml:space="preserve">remains largely elusive. </w:t>
      </w:r>
      <w:proofErr w:type="gramStart"/>
      <w:r w:rsidR="0082178F">
        <w:t>A number of</w:t>
      </w:r>
      <w:proofErr w:type="gramEnd"/>
      <w:r w:rsidR="0082178F">
        <w:t xml:space="preserve"> issues require immediate attention, including over-incarceration, conditions of confinement, and the continued use of </w:t>
      </w:r>
      <w:r w:rsidR="00014F68">
        <w:t>segregation practices that are tantamount to solitary confinement</w:t>
      </w:r>
      <w:r w:rsidR="00B12740" w:rsidRPr="00F037B5">
        <w:t xml:space="preserve"> </w:t>
      </w:r>
    </w:p>
    <w:p w14:paraId="79FD1B2F" w14:textId="60BC1E0C" w:rsidR="00404777" w:rsidRPr="00F037B5" w:rsidRDefault="00404777" w:rsidP="001F5DC9">
      <w:pPr>
        <w:pStyle w:val="Heading3"/>
        <w:spacing w:line="240" w:lineRule="auto"/>
      </w:pPr>
      <w:r w:rsidRPr="00F037B5">
        <w:t xml:space="preserve">Racial profiling, over-policing, and other antecedents to incarceration and overrepresentation </w:t>
      </w:r>
    </w:p>
    <w:p w14:paraId="1DA9558B" w14:textId="66D0FDAC" w:rsidR="005B1A88" w:rsidRPr="00F037B5" w:rsidRDefault="005B1A88" w:rsidP="001F5DC9">
      <w:pPr>
        <w:spacing w:line="240" w:lineRule="auto"/>
      </w:pPr>
      <w:r w:rsidRPr="00F037B5">
        <w:t xml:space="preserve">A web of complex and intersecting factors </w:t>
      </w:r>
      <w:r w:rsidR="00925FE2" w:rsidRPr="00F037B5">
        <w:t>lies</w:t>
      </w:r>
      <w:r w:rsidRPr="00F037B5">
        <w:t xml:space="preserve"> at the root of the “pipeline to prison” and the over-incarceration of certain</w:t>
      </w:r>
      <w:r w:rsidR="00CD5ABF">
        <w:t xml:space="preserve"> groups</w:t>
      </w:r>
      <w:r w:rsidRPr="00F037B5">
        <w:t>. These factors include historical disadvantage; systemic and institutional racism; colonization and the</w:t>
      </w:r>
      <w:r w:rsidR="00014F68">
        <w:t xml:space="preserve"> legacy of the</w:t>
      </w:r>
      <w:r w:rsidRPr="00F037B5">
        <w:t xml:space="preserve"> residential school system; discrimination and violence; racial bias and stereotyping that perpetuate everyday racial injustices; socioeconomic disparity, including rising levels of homelessness and encampments, inadequate housing, and a lack of educational and employment opportunities; a lack of appropriate and culturally</w:t>
      </w:r>
      <w:r w:rsidR="00014F68">
        <w:t>-</w:t>
      </w:r>
      <w:r w:rsidRPr="00F037B5">
        <w:t>relevant health and community services and supports; and over-policing of certain groups including Indigenous, Black and other racialized individuals, people with mental health disabilities, and those experiencing homelessness.</w:t>
      </w:r>
    </w:p>
    <w:p w14:paraId="2D719519" w14:textId="7AB313B6" w:rsidR="006D3967" w:rsidRDefault="00C85524" w:rsidP="001F5DC9">
      <w:pPr>
        <w:spacing w:line="240" w:lineRule="auto"/>
      </w:pPr>
      <w:r w:rsidRPr="00F037B5">
        <w:t>Across Canada, concerns continue to be raised that racial profiling and oversurveillance by</w:t>
      </w:r>
      <w:r w:rsidR="00EE5B19">
        <w:t xml:space="preserve"> law enforcement</w:t>
      </w:r>
      <w:r w:rsidRPr="00F037B5">
        <w:t>, security agencies, and other authority figures is a daily reality, reducing public trust, and having harmful impacts on Indigenous, Black and other racialized communities.</w:t>
      </w:r>
      <w:r w:rsidR="00EB3C24" w:rsidRPr="00F037B5">
        <w:rPr>
          <w:rStyle w:val="FootnoteReference"/>
        </w:rPr>
        <w:footnoteReference w:id="45"/>
      </w:r>
      <w:r w:rsidRPr="00F037B5">
        <w:t xml:space="preserve"> This includes reports that these communities are over-policed through traditional means and through the use of new technologies such as facial recognition technology.</w:t>
      </w:r>
      <w:r w:rsidRPr="00F037B5">
        <w:rPr>
          <w:rStyle w:val="FootnoteReference"/>
        </w:rPr>
        <w:footnoteReference w:id="46"/>
      </w:r>
      <w:r w:rsidRPr="00F037B5">
        <w:t xml:space="preserve"> </w:t>
      </w:r>
    </w:p>
    <w:p w14:paraId="4DA5CFB8" w14:textId="0941E4C3" w:rsidR="00FA48CD" w:rsidRPr="00F037B5" w:rsidRDefault="00FA48CD" w:rsidP="001F5DC9">
      <w:pPr>
        <w:spacing w:line="240" w:lineRule="auto"/>
      </w:pPr>
      <w:r w:rsidRPr="00F037B5">
        <w:lastRenderedPageBreak/>
        <w:t xml:space="preserve">The CHRC remains deeply concerned over an increasing number of reports of injurious and deadly interactions between police and Indigenous, Black and other racialized individuals, </w:t>
      </w:r>
      <w:r w:rsidR="00BA09E4">
        <w:t>many of whom have</w:t>
      </w:r>
      <w:r w:rsidRPr="00F037B5">
        <w:t xml:space="preserve"> mental health disabilities. Police are often first responders in situations involving people with mental health disabilities and have considerable discretion around how to respond, which can lead to the criminalization of people with mental health disabilities and those in vulnerable circumstances. </w:t>
      </w:r>
    </w:p>
    <w:p w14:paraId="4AAABA00" w14:textId="7B41AD19" w:rsidR="00FF5877" w:rsidRPr="00F037B5" w:rsidRDefault="002C40E1" w:rsidP="001F5DC9">
      <w:pPr>
        <w:spacing w:line="240" w:lineRule="auto"/>
        <w:rPr>
          <w:szCs w:val="24"/>
        </w:rPr>
      </w:pPr>
      <w:r>
        <w:rPr>
          <w:szCs w:val="24"/>
        </w:rPr>
        <w:t xml:space="preserve">Other </w:t>
      </w:r>
      <w:r w:rsidR="00FE6E7C" w:rsidRPr="00F037B5">
        <w:rPr>
          <w:szCs w:val="24"/>
        </w:rPr>
        <w:t>human</w:t>
      </w:r>
      <w:r w:rsidR="00C66B07" w:rsidRPr="00F037B5">
        <w:rPr>
          <w:szCs w:val="24"/>
        </w:rPr>
        <w:t xml:space="preserve"> rights commissions in Canada have also raised these concerns through various inquiries, reports and recommendations related to racial profiling and harmful policing practices.</w:t>
      </w:r>
      <w:r w:rsidR="00C66B07" w:rsidRPr="00F037B5">
        <w:rPr>
          <w:rStyle w:val="FootnoteReference"/>
          <w:szCs w:val="24"/>
        </w:rPr>
        <w:footnoteReference w:id="47"/>
      </w:r>
      <w:r w:rsidR="00C66B07" w:rsidRPr="00F037B5">
        <w:rPr>
          <w:szCs w:val="24"/>
        </w:rPr>
        <w:t xml:space="preserve"> For example, a December 2023 report from the Ontario Human Rights Commission (OHRC) on racial profiling and racial discrimination of Black persons by the Toronto Police Service</w:t>
      </w:r>
      <w:r w:rsidR="00C66B07" w:rsidRPr="00F037B5">
        <w:rPr>
          <w:rStyle w:val="FootnoteReference"/>
          <w:szCs w:val="24"/>
        </w:rPr>
        <w:footnoteReference w:id="48"/>
      </w:r>
      <w:r w:rsidR="00C66B07" w:rsidRPr="00F037B5">
        <w:rPr>
          <w:szCs w:val="24"/>
        </w:rPr>
        <w:t xml:space="preserve"> found that Black people are more likely to be proactively arrested, charged and subjected to uses of force in a wide range of police interactions. </w:t>
      </w:r>
      <w:r w:rsidR="00837112">
        <w:rPr>
          <w:szCs w:val="24"/>
        </w:rPr>
        <w:t>T</w:t>
      </w:r>
      <w:r w:rsidR="00C66B07" w:rsidRPr="00F037B5">
        <w:rPr>
          <w:szCs w:val="24"/>
        </w:rPr>
        <w:t xml:space="preserve">he data obtained by the OHRC further confirmed that Black communities are subjected to a disproportionate burden of law enforcement in a way that is consistent with systemic racism and anti-Black racial </w:t>
      </w:r>
      <w:r w:rsidR="00FE6E7C" w:rsidRPr="00F037B5">
        <w:rPr>
          <w:szCs w:val="24"/>
        </w:rPr>
        <w:t>bias</w:t>
      </w:r>
      <w:r w:rsidR="00C66B07" w:rsidRPr="00F037B5">
        <w:rPr>
          <w:szCs w:val="24"/>
        </w:rPr>
        <w:t>.</w:t>
      </w:r>
      <w:r w:rsidR="0031619F">
        <w:rPr>
          <w:rStyle w:val="FootnoteReference"/>
          <w:szCs w:val="24"/>
        </w:rPr>
        <w:footnoteReference w:id="49"/>
      </w:r>
      <w:r w:rsidR="00C66B07" w:rsidRPr="00F037B5">
        <w:rPr>
          <w:szCs w:val="24"/>
        </w:rPr>
        <w:t xml:space="preserve"> </w:t>
      </w:r>
    </w:p>
    <w:p w14:paraId="253F16B5" w14:textId="7F6D2992" w:rsidR="001F7A53" w:rsidRPr="00F037B5" w:rsidRDefault="00C66B07" w:rsidP="001F5DC9">
      <w:pPr>
        <w:spacing w:line="240" w:lineRule="auto"/>
        <w:rPr>
          <w:highlight w:val="white"/>
        </w:rPr>
      </w:pPr>
      <w:r w:rsidRPr="00F037B5">
        <w:rPr>
          <w:highlight w:val="white"/>
        </w:rPr>
        <w:t>A</w:t>
      </w:r>
      <w:r w:rsidR="001F7A53" w:rsidRPr="00F037B5">
        <w:rPr>
          <w:highlight w:val="white"/>
        </w:rPr>
        <w:t xml:space="preserve"> recent spike in the number of deaths of First Nations people during interactions with </w:t>
      </w:r>
      <w:r w:rsidR="00EC1B72" w:rsidRPr="00F037B5">
        <w:rPr>
          <w:highlight w:val="white"/>
        </w:rPr>
        <w:t xml:space="preserve">non-Indigenous </w:t>
      </w:r>
      <w:r w:rsidR="001F7A53" w:rsidRPr="00F037B5">
        <w:rPr>
          <w:highlight w:val="white"/>
        </w:rPr>
        <w:t>police</w:t>
      </w:r>
      <w:r w:rsidR="00EC1B72" w:rsidRPr="00F037B5">
        <w:rPr>
          <w:highlight w:val="white"/>
        </w:rPr>
        <w:t xml:space="preserve"> services</w:t>
      </w:r>
      <w:r w:rsidR="001F7A53" w:rsidRPr="00F037B5">
        <w:rPr>
          <w:rStyle w:val="FootnoteReference"/>
          <w:highlight w:val="white"/>
        </w:rPr>
        <w:footnoteReference w:id="50"/>
      </w:r>
      <w:r w:rsidR="001F7A53" w:rsidRPr="00F037B5">
        <w:rPr>
          <w:highlight w:val="white"/>
        </w:rPr>
        <w:t xml:space="preserve"> has prompted the Assembly of First Nations to call for a National Inquiry into systemic racism in policing.</w:t>
      </w:r>
      <w:r w:rsidR="001F7A53" w:rsidRPr="00F037B5">
        <w:rPr>
          <w:rStyle w:val="FootnoteReference"/>
          <w:highlight w:val="white"/>
        </w:rPr>
        <w:footnoteReference w:id="51"/>
      </w:r>
      <w:r w:rsidR="001F7A53" w:rsidRPr="00F037B5">
        <w:rPr>
          <w:highlight w:val="white"/>
        </w:rPr>
        <w:t xml:space="preserve"> These deaths </w:t>
      </w:r>
      <w:r w:rsidR="001C4590" w:rsidRPr="00F037B5">
        <w:rPr>
          <w:highlight w:val="white"/>
        </w:rPr>
        <w:t>resulted from</w:t>
      </w:r>
      <w:r w:rsidR="001F7A53" w:rsidRPr="00F037B5">
        <w:rPr>
          <w:highlight w:val="white"/>
        </w:rPr>
        <w:t xml:space="preserve"> violent interactions between Indigenous individuals and police, and are </w:t>
      </w:r>
      <w:r w:rsidR="00B3231E">
        <w:rPr>
          <w:highlight w:val="white"/>
        </w:rPr>
        <w:t>indicative of</w:t>
      </w:r>
      <w:r w:rsidR="001F7A53" w:rsidRPr="00F037B5">
        <w:rPr>
          <w:highlight w:val="white"/>
        </w:rPr>
        <w:t xml:space="preserve"> the negative outcomes that may result from distrust of police, inadequate police training and a culture of systemic anti-Indigenous racism in front-line policing.</w:t>
      </w:r>
    </w:p>
    <w:p w14:paraId="47DCEE7A" w14:textId="4F1D53A1" w:rsidR="00272015" w:rsidRPr="00F037B5" w:rsidRDefault="001F5DC9" w:rsidP="001F5DC9">
      <w:pPr>
        <w:spacing w:line="240" w:lineRule="auto"/>
        <w:rPr>
          <w:highlight w:val="white"/>
        </w:rPr>
      </w:pPr>
      <w:r w:rsidRPr="00F037B5">
        <w:rPr>
          <w:highlight w:val="white"/>
        </w:rPr>
        <w:t>A community-based project tracking police use of force, police-involved deaths and deaths in custody in Canada revealed that the rate of police</w:t>
      </w:r>
      <w:r w:rsidR="00242CC5" w:rsidRPr="00F037B5">
        <w:rPr>
          <w:highlight w:val="white"/>
        </w:rPr>
        <w:t>-</w:t>
      </w:r>
      <w:r w:rsidRPr="00F037B5">
        <w:rPr>
          <w:highlight w:val="white"/>
        </w:rPr>
        <w:t>involved deaths where force was used is increasing disproportionately in relation to population growth, with Black and Indigenous individuals over-represented in the total numbers.</w:t>
      </w:r>
      <w:r w:rsidR="00272015" w:rsidRPr="00F037B5">
        <w:rPr>
          <w:rStyle w:val="FootnoteReference"/>
          <w:szCs w:val="24"/>
        </w:rPr>
        <w:footnoteReference w:id="52"/>
      </w:r>
    </w:p>
    <w:p w14:paraId="30049532" w14:textId="515A8E67" w:rsidR="001F5DC9" w:rsidRPr="00F037B5" w:rsidRDefault="00E71D11" w:rsidP="001F5DC9">
      <w:pPr>
        <w:spacing w:line="240" w:lineRule="auto"/>
        <w:rPr>
          <w:szCs w:val="24"/>
        </w:rPr>
      </w:pPr>
      <w:r>
        <w:rPr>
          <w:szCs w:val="24"/>
        </w:rPr>
        <w:lastRenderedPageBreak/>
        <w:t>T</w:t>
      </w:r>
      <w:r w:rsidR="00B3231E" w:rsidRPr="00F037B5">
        <w:rPr>
          <w:szCs w:val="24"/>
        </w:rPr>
        <w:t xml:space="preserve">he </w:t>
      </w:r>
      <w:r w:rsidR="007405C7">
        <w:rPr>
          <w:szCs w:val="24"/>
        </w:rPr>
        <w:t>demographics</w:t>
      </w:r>
      <w:r w:rsidR="007405C7" w:rsidRPr="00F037B5">
        <w:rPr>
          <w:szCs w:val="24"/>
        </w:rPr>
        <w:t xml:space="preserve"> </w:t>
      </w:r>
      <w:r w:rsidR="00BF0033" w:rsidRPr="00F037B5">
        <w:rPr>
          <w:szCs w:val="24"/>
        </w:rPr>
        <w:t xml:space="preserve">of </w:t>
      </w:r>
      <w:r w:rsidR="00B3231E">
        <w:rPr>
          <w:szCs w:val="24"/>
        </w:rPr>
        <w:t xml:space="preserve">most </w:t>
      </w:r>
      <w:r w:rsidR="00BF0033" w:rsidRPr="00F037B5">
        <w:rPr>
          <w:szCs w:val="24"/>
        </w:rPr>
        <w:t xml:space="preserve">police forces across Canada </w:t>
      </w:r>
      <w:r w:rsidR="005238E6">
        <w:rPr>
          <w:szCs w:val="24"/>
        </w:rPr>
        <w:t>are</w:t>
      </w:r>
      <w:r w:rsidR="00BF0033" w:rsidRPr="00F037B5">
        <w:rPr>
          <w:szCs w:val="24"/>
        </w:rPr>
        <w:t xml:space="preserve"> </w:t>
      </w:r>
      <w:r w:rsidR="00404777" w:rsidRPr="00F037B5">
        <w:rPr>
          <w:szCs w:val="24"/>
        </w:rPr>
        <w:t xml:space="preserve">also </w:t>
      </w:r>
      <w:r w:rsidR="00BF0033" w:rsidRPr="00F037B5">
        <w:rPr>
          <w:szCs w:val="24"/>
        </w:rPr>
        <w:t xml:space="preserve">not </w:t>
      </w:r>
      <w:r w:rsidR="007405C7">
        <w:rPr>
          <w:szCs w:val="24"/>
        </w:rPr>
        <w:t>reflective of</w:t>
      </w:r>
      <w:r w:rsidR="00BF0033" w:rsidRPr="00F037B5">
        <w:rPr>
          <w:szCs w:val="24"/>
        </w:rPr>
        <w:t xml:space="preserve"> the communities they serve.</w:t>
      </w:r>
      <w:r>
        <w:rPr>
          <w:rStyle w:val="FootnoteReference"/>
          <w:szCs w:val="24"/>
        </w:rPr>
        <w:footnoteReference w:id="53"/>
      </w:r>
      <w:r w:rsidR="00BF0033" w:rsidRPr="00F037B5">
        <w:rPr>
          <w:szCs w:val="24"/>
        </w:rPr>
        <w:t xml:space="preserve"> </w:t>
      </w:r>
      <w:r w:rsidR="007405C7">
        <w:rPr>
          <w:szCs w:val="24"/>
        </w:rPr>
        <w:t xml:space="preserve">This </w:t>
      </w:r>
      <w:r w:rsidR="00BF0033" w:rsidRPr="00F037B5">
        <w:rPr>
          <w:szCs w:val="24"/>
        </w:rPr>
        <w:t>lack of diversity</w:t>
      </w:r>
      <w:r w:rsidR="00BA09E4">
        <w:rPr>
          <w:szCs w:val="24"/>
        </w:rPr>
        <w:t xml:space="preserve"> – </w:t>
      </w:r>
      <w:r w:rsidR="007405C7">
        <w:rPr>
          <w:szCs w:val="24"/>
        </w:rPr>
        <w:t>including the</w:t>
      </w:r>
      <w:r w:rsidR="00BF0033" w:rsidRPr="00F037B5">
        <w:rPr>
          <w:szCs w:val="24"/>
        </w:rPr>
        <w:t xml:space="preserve"> representation of Indigenous, Black and other racialized people</w:t>
      </w:r>
      <w:r w:rsidR="00BA09E4">
        <w:rPr>
          <w:szCs w:val="24"/>
        </w:rPr>
        <w:t xml:space="preserve"> – </w:t>
      </w:r>
      <w:r w:rsidR="007405C7">
        <w:rPr>
          <w:szCs w:val="24"/>
        </w:rPr>
        <w:t xml:space="preserve">is mirrored elsewhere </w:t>
      </w:r>
      <w:r w:rsidR="00BF0033" w:rsidRPr="00F037B5">
        <w:rPr>
          <w:szCs w:val="24"/>
        </w:rPr>
        <w:t>in the legal process including among judges</w:t>
      </w:r>
      <w:r w:rsidR="007D3F6B">
        <w:rPr>
          <w:szCs w:val="24"/>
        </w:rPr>
        <w:t>,</w:t>
      </w:r>
      <w:r w:rsidR="00BF0033" w:rsidRPr="00F037B5">
        <w:rPr>
          <w:rStyle w:val="FootnoteReference"/>
          <w:szCs w:val="24"/>
        </w:rPr>
        <w:footnoteReference w:id="54"/>
      </w:r>
      <w:r w:rsidR="00BF0033" w:rsidRPr="00F037B5">
        <w:rPr>
          <w:szCs w:val="24"/>
        </w:rPr>
        <w:t xml:space="preserve"> lawyers</w:t>
      </w:r>
      <w:r w:rsidR="00BF0033" w:rsidRPr="00F037B5">
        <w:rPr>
          <w:rStyle w:val="FootnoteReference"/>
          <w:szCs w:val="24"/>
        </w:rPr>
        <w:footnoteReference w:id="55"/>
      </w:r>
      <w:r w:rsidR="00BF0033" w:rsidRPr="00F037B5">
        <w:rPr>
          <w:szCs w:val="24"/>
        </w:rPr>
        <w:t xml:space="preserve"> and juries</w:t>
      </w:r>
      <w:r w:rsidR="007405C7">
        <w:rPr>
          <w:szCs w:val="24"/>
        </w:rPr>
        <w:t>.</w:t>
      </w:r>
      <w:r w:rsidR="00BF0033" w:rsidRPr="00F037B5">
        <w:rPr>
          <w:rStyle w:val="FootnoteReference"/>
          <w:szCs w:val="24"/>
        </w:rPr>
        <w:footnoteReference w:id="56"/>
      </w:r>
      <w:r w:rsidR="00E95E33">
        <w:rPr>
          <w:szCs w:val="24"/>
        </w:rPr>
        <w:t xml:space="preserve"> </w:t>
      </w:r>
      <w:r w:rsidR="007405C7">
        <w:rPr>
          <w:szCs w:val="24"/>
        </w:rPr>
        <w:t>A</w:t>
      </w:r>
      <w:r w:rsidR="00BF0033" w:rsidRPr="00F037B5">
        <w:rPr>
          <w:szCs w:val="24"/>
        </w:rPr>
        <w:t xml:space="preserve"> lack of familiarity </w:t>
      </w:r>
      <w:r w:rsidR="00404777" w:rsidRPr="00F037B5">
        <w:rPr>
          <w:szCs w:val="24"/>
        </w:rPr>
        <w:t xml:space="preserve">and consideration of the unique circumstances and social histories of these groups by individuals within the legal profession can reinforce racial bias in the criminal justice system. </w:t>
      </w:r>
    </w:p>
    <w:p w14:paraId="6DC920BC" w14:textId="51615471" w:rsidR="003A5D22" w:rsidRPr="00F037B5" w:rsidRDefault="001F5DC9" w:rsidP="004764E7">
      <w:pPr>
        <w:spacing w:line="240" w:lineRule="auto"/>
      </w:pPr>
      <w:r w:rsidRPr="00F037B5">
        <w:t xml:space="preserve">The CHRC </w:t>
      </w:r>
      <w:r w:rsidR="004764E7">
        <w:t>is also concerned about accessibility barriers in the criminal justice system that impact people with disabilities and can contribute to the overincarceration of some groups. Many</w:t>
      </w:r>
      <w:r w:rsidRPr="00F037B5">
        <w:t xml:space="preserve"> individuals with mental health disabilities proceed through regular and complex court processes without necessary supports, often exacerbating the challenges they face and further enmeshing them in a criminal justice system that is not designed to meet their needs.</w:t>
      </w:r>
      <w:r w:rsidRPr="00F037B5">
        <w:rPr>
          <w:rStyle w:val="FootnoteReference"/>
        </w:rPr>
        <w:footnoteReference w:id="57"/>
      </w:r>
      <w:r w:rsidR="004764E7">
        <w:t xml:space="preserve"> As a further example, the </w:t>
      </w:r>
      <w:r w:rsidR="006D5F63" w:rsidRPr="006D5F63">
        <w:t>recent suspension of the Captioning and Court Reporting Program</w:t>
      </w:r>
      <w:r w:rsidR="001F0442">
        <w:t>, the only</w:t>
      </w:r>
      <w:r w:rsidR="005756E4">
        <w:t xml:space="preserve"> training</w:t>
      </w:r>
      <w:r w:rsidR="001F0442">
        <w:t xml:space="preserve"> program of its kind in Canada, has raised concerns. This </w:t>
      </w:r>
      <w:r w:rsidR="004042DC">
        <w:t xml:space="preserve">suspension </w:t>
      </w:r>
      <w:r w:rsidR="001F0442">
        <w:t>has the potential to create a shortage in the legal system for captioning services, which</w:t>
      </w:r>
      <w:r w:rsidR="00DD56A6">
        <w:t xml:space="preserve"> </w:t>
      </w:r>
      <w:r w:rsidR="009504A0">
        <w:t xml:space="preserve">would </w:t>
      </w:r>
      <w:r w:rsidR="002A1446" w:rsidRPr="00F037B5">
        <w:t xml:space="preserve">have </w:t>
      </w:r>
      <w:r w:rsidR="00F8203F" w:rsidRPr="00F037B5">
        <w:t xml:space="preserve">a </w:t>
      </w:r>
      <w:r w:rsidR="002A1446" w:rsidRPr="00F037B5">
        <w:t xml:space="preserve">direct </w:t>
      </w:r>
      <w:r w:rsidR="00BD6B16">
        <w:t xml:space="preserve">and detrimental </w:t>
      </w:r>
      <w:r w:rsidR="002A1446" w:rsidRPr="00F037B5">
        <w:t xml:space="preserve">impact </w:t>
      </w:r>
      <w:r w:rsidR="00F8203F" w:rsidRPr="00F037B5">
        <w:t xml:space="preserve">on </w:t>
      </w:r>
      <w:r w:rsidR="002A1446" w:rsidRPr="00F037B5">
        <w:t>those who are hard of hearing and all those who rely on this service to communicate in a judicial proceeding.</w:t>
      </w:r>
      <w:r w:rsidR="00882CBF" w:rsidRPr="00F037B5">
        <w:rPr>
          <w:rStyle w:val="FootnoteReference"/>
        </w:rPr>
        <w:footnoteReference w:id="58"/>
      </w:r>
      <w:r w:rsidR="001F0442">
        <w:t xml:space="preserve"> The future of this program is uncertain, and if it were to be terminated outright, the effects would be even more dire on impacted communities.</w:t>
      </w:r>
    </w:p>
    <w:p w14:paraId="2ACF2A5A" w14:textId="4FDCF8F2" w:rsidR="001E3CDE" w:rsidRPr="00F037B5" w:rsidRDefault="001E3CDE" w:rsidP="00C6232E">
      <w:pPr>
        <w:spacing w:line="240" w:lineRule="auto"/>
      </w:pPr>
      <w:r w:rsidRPr="00F037B5">
        <w:t>The CHRC welcomes the Government of Canada’s recently announced justice strategies</w:t>
      </w:r>
      <w:r w:rsidR="00505E71" w:rsidRPr="00F037B5">
        <w:rPr>
          <w:rStyle w:val="FootnoteReference"/>
        </w:rPr>
        <w:footnoteReference w:id="59"/>
      </w:r>
      <w:r w:rsidRPr="00F037B5">
        <w:t xml:space="preserve"> to address the overrepresentation of Black and Indigenous people in the criminal justice system</w:t>
      </w:r>
      <w:r w:rsidR="00C66DA9" w:rsidRPr="00F037B5">
        <w:t xml:space="preserve">. </w:t>
      </w:r>
      <w:r w:rsidR="00837112">
        <w:t xml:space="preserve">However, it </w:t>
      </w:r>
      <w:r w:rsidR="00B36570" w:rsidRPr="00F037B5">
        <w:t xml:space="preserve">notes </w:t>
      </w:r>
      <w:r w:rsidR="00FB1BBF">
        <w:t xml:space="preserve">the concerns expressed by experts and </w:t>
      </w:r>
      <w:r w:rsidR="00FB1BBF">
        <w:lastRenderedPageBreak/>
        <w:t xml:space="preserve">advocates in this space. For example, </w:t>
      </w:r>
      <w:r w:rsidR="00B36570" w:rsidRPr="00F037B5">
        <w:t xml:space="preserve">some Indigenous justice experts have expressed disappointment that the Indigenous Justice Strategy lacks concrete </w:t>
      </w:r>
      <w:r w:rsidR="00C66DA9" w:rsidRPr="00F037B5">
        <w:t xml:space="preserve">next </w:t>
      </w:r>
      <w:r w:rsidR="00B36570" w:rsidRPr="00F037B5">
        <w:t>steps</w:t>
      </w:r>
      <w:r w:rsidR="00FB1BBF">
        <w:t xml:space="preserve">. Further, </w:t>
      </w:r>
      <w:r w:rsidR="00B36570" w:rsidRPr="00F037B5">
        <w:t>advocates have expressed concerns over the decade</w:t>
      </w:r>
      <w:r w:rsidR="00242CC5" w:rsidRPr="00F037B5">
        <w:t>-</w:t>
      </w:r>
      <w:r w:rsidR="00B36570" w:rsidRPr="00F037B5">
        <w:t>long timelines for implementation and the inadequacy of funding for the Black Justice Strategy’s Implementation Plan</w:t>
      </w:r>
      <w:r w:rsidR="00C66DA9" w:rsidRPr="00F037B5">
        <w:t xml:space="preserve">. </w:t>
      </w:r>
      <w:r w:rsidR="00421D6E" w:rsidRPr="00F037B5">
        <w:t xml:space="preserve">The CHRC wishes to emphasize </w:t>
      </w:r>
      <w:r w:rsidR="00F278DF">
        <w:t>the importance of</w:t>
      </w:r>
      <w:r w:rsidR="00421D6E" w:rsidRPr="00F037B5">
        <w:t xml:space="preserve"> Canada </w:t>
      </w:r>
      <w:r w:rsidR="00F278DF">
        <w:t>taking</w:t>
      </w:r>
      <w:r w:rsidR="00421D6E" w:rsidRPr="00F037B5">
        <w:t xml:space="preserve"> immediate steps to support the implementation of these strategies, in collaboration with affected communities, and </w:t>
      </w:r>
      <w:r w:rsidR="00F278DF">
        <w:t>in</w:t>
      </w:r>
      <w:r w:rsidR="00F278DF" w:rsidRPr="00F037B5">
        <w:t xml:space="preserve"> </w:t>
      </w:r>
      <w:r w:rsidR="00421D6E" w:rsidRPr="00F037B5">
        <w:t>ensur</w:t>
      </w:r>
      <w:r w:rsidR="00F278DF">
        <w:t>ing</w:t>
      </w:r>
      <w:r w:rsidR="00421D6E" w:rsidRPr="00F037B5">
        <w:t xml:space="preserve"> robust mechanisms are in place to measure progress. </w:t>
      </w:r>
    </w:p>
    <w:p w14:paraId="4E5EC606" w14:textId="3EDB245E" w:rsidR="00FA48CD" w:rsidRPr="00F037B5" w:rsidRDefault="00FA48CD" w:rsidP="00FA48CD">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F037B5">
        <w:rPr>
          <w:rFonts w:cs="Arial"/>
          <w:b/>
          <w:bCs/>
          <w:szCs w:val="24"/>
          <w:lang w:val="en-US"/>
        </w:rPr>
        <w:t>Recommendation #</w:t>
      </w:r>
      <w:r w:rsidR="00965797">
        <w:rPr>
          <w:rFonts w:cs="Arial"/>
          <w:b/>
          <w:bCs/>
          <w:szCs w:val="24"/>
          <w:lang w:val="en-US"/>
        </w:rPr>
        <w:t>9</w:t>
      </w:r>
      <w:r w:rsidRPr="00F037B5">
        <w:rPr>
          <w:rFonts w:cs="Arial"/>
          <w:b/>
          <w:bCs/>
          <w:szCs w:val="24"/>
          <w:lang w:val="en-US"/>
        </w:rPr>
        <w:t xml:space="preserve">: </w:t>
      </w:r>
      <w:r w:rsidRPr="00F037B5">
        <w:rPr>
          <w:rFonts w:cs="Arial"/>
          <w:szCs w:val="24"/>
          <w:lang w:val="en-US"/>
        </w:rPr>
        <w:t>That Canada</w:t>
      </w:r>
      <w:r w:rsidRPr="00F037B5">
        <w:rPr>
          <w:rFonts w:cs="Arial"/>
          <w:b/>
          <w:bCs/>
          <w:szCs w:val="24"/>
          <w:lang w:val="en-US"/>
        </w:rPr>
        <w:t xml:space="preserve"> </w:t>
      </w:r>
      <w:r w:rsidRPr="00F037B5">
        <w:rPr>
          <w:rFonts w:cs="Arial"/>
          <w:szCs w:val="24"/>
          <w:lang w:val="en-US"/>
        </w:rPr>
        <w:t xml:space="preserve">take </w:t>
      </w:r>
      <w:r w:rsidR="00AB7E86" w:rsidRPr="00F037B5">
        <w:rPr>
          <w:rFonts w:cs="Arial"/>
          <w:szCs w:val="24"/>
          <w:lang w:val="en-US"/>
        </w:rPr>
        <w:t>necessary steps</w:t>
      </w:r>
      <w:r w:rsidRPr="00F037B5">
        <w:rPr>
          <w:rFonts w:cs="Arial"/>
          <w:szCs w:val="24"/>
          <w:lang w:val="en-US"/>
        </w:rPr>
        <w:t xml:space="preserve"> to reform the criminal justice system – including in policing practices and court proceedings – to address the disproportionate and negative impacts on </w:t>
      </w:r>
      <w:r w:rsidR="00AB7E86" w:rsidRPr="00F037B5">
        <w:rPr>
          <w:rFonts w:cs="Arial"/>
          <w:szCs w:val="24"/>
          <w:lang w:val="en-US"/>
        </w:rPr>
        <w:t xml:space="preserve">certain </w:t>
      </w:r>
      <w:r w:rsidRPr="00F037B5">
        <w:rPr>
          <w:rFonts w:cs="Arial"/>
          <w:szCs w:val="24"/>
          <w:lang w:val="en-US"/>
        </w:rPr>
        <w:t>groups in</w:t>
      </w:r>
      <w:r w:rsidR="00AB7E86" w:rsidRPr="00F037B5">
        <w:rPr>
          <w:rFonts w:cs="Arial"/>
          <w:szCs w:val="24"/>
          <w:lang w:val="en-US"/>
        </w:rPr>
        <w:t>cluding Indigenous, Black and other racialized individuals, and people</w:t>
      </w:r>
      <w:r w:rsidRPr="00F037B5">
        <w:rPr>
          <w:rFonts w:cs="Arial"/>
          <w:szCs w:val="24"/>
          <w:lang w:val="en-US"/>
        </w:rPr>
        <w:t xml:space="preserve"> with mental health disabilities. </w:t>
      </w:r>
    </w:p>
    <w:p w14:paraId="11F205D4" w14:textId="76ABF899" w:rsidR="007520A9" w:rsidRPr="00F037B5" w:rsidRDefault="007520A9" w:rsidP="00FA48CD">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b/>
          <w:bCs/>
          <w:szCs w:val="24"/>
          <w:lang w:val="en-US"/>
        </w:rPr>
      </w:pPr>
      <w:r w:rsidRPr="00F037B5">
        <w:rPr>
          <w:rFonts w:cs="Arial"/>
          <w:b/>
          <w:bCs/>
          <w:szCs w:val="24"/>
          <w:lang w:val="en-US"/>
        </w:rPr>
        <w:t>Recommendation #</w:t>
      </w:r>
      <w:r w:rsidR="00965797">
        <w:rPr>
          <w:rFonts w:cs="Arial"/>
          <w:b/>
          <w:bCs/>
          <w:szCs w:val="24"/>
          <w:lang w:val="en-US"/>
        </w:rPr>
        <w:t>10</w:t>
      </w:r>
      <w:r w:rsidRPr="00F037B5">
        <w:rPr>
          <w:rFonts w:cs="Arial"/>
          <w:b/>
          <w:bCs/>
          <w:szCs w:val="24"/>
          <w:lang w:val="en-US"/>
        </w:rPr>
        <w:t xml:space="preserve">: </w:t>
      </w:r>
      <w:r w:rsidRPr="00F037B5">
        <w:rPr>
          <w:rFonts w:cs="Arial"/>
        </w:rPr>
        <w:t xml:space="preserve">That Canada take immediate steps to support </w:t>
      </w:r>
      <w:r w:rsidR="00F278DF">
        <w:rPr>
          <w:rFonts w:cs="Arial"/>
        </w:rPr>
        <w:t>effective</w:t>
      </w:r>
      <w:r w:rsidR="006549D4">
        <w:rPr>
          <w:rFonts w:cs="Arial"/>
        </w:rPr>
        <w:t xml:space="preserve"> </w:t>
      </w:r>
      <w:r w:rsidRPr="00F037B5">
        <w:rPr>
          <w:rFonts w:cs="Arial"/>
        </w:rPr>
        <w:t xml:space="preserve">implementation of </w:t>
      </w:r>
      <w:r w:rsidRPr="00714465">
        <w:rPr>
          <w:rFonts w:cs="Arial"/>
        </w:rPr>
        <w:t xml:space="preserve">the Indigenous </w:t>
      </w:r>
      <w:r w:rsidR="005264F6" w:rsidRPr="00714465">
        <w:rPr>
          <w:rFonts w:cs="Arial"/>
        </w:rPr>
        <w:t xml:space="preserve">Justice Strategy </w:t>
      </w:r>
      <w:r w:rsidRPr="00714465">
        <w:rPr>
          <w:rFonts w:cs="Arial"/>
        </w:rPr>
        <w:t xml:space="preserve">and Black </w:t>
      </w:r>
      <w:r w:rsidR="005264F6" w:rsidRPr="00714465">
        <w:rPr>
          <w:rFonts w:cs="Arial"/>
        </w:rPr>
        <w:t>Justice Strategy</w:t>
      </w:r>
      <w:r w:rsidR="00225D72" w:rsidRPr="00714465">
        <w:rPr>
          <w:rFonts w:cs="Arial"/>
        </w:rPr>
        <w:t>’s</w:t>
      </w:r>
      <w:r w:rsidR="005264F6" w:rsidRPr="00714465">
        <w:rPr>
          <w:rFonts w:cs="Arial"/>
        </w:rPr>
        <w:t xml:space="preserve"> Implementation Plan</w:t>
      </w:r>
      <w:r w:rsidRPr="00714465">
        <w:rPr>
          <w:rFonts w:cs="Arial"/>
        </w:rPr>
        <w:t>,</w:t>
      </w:r>
      <w:r w:rsidRPr="00F037B5">
        <w:rPr>
          <w:rFonts w:cs="Arial"/>
        </w:rPr>
        <w:t xml:space="preserve"> </w:t>
      </w:r>
      <w:r w:rsidR="00505E71" w:rsidRPr="00F037B5">
        <w:rPr>
          <w:rFonts w:cs="Arial"/>
        </w:rPr>
        <w:t xml:space="preserve">including </w:t>
      </w:r>
      <w:r w:rsidRPr="00F037B5">
        <w:rPr>
          <w:rFonts w:cs="Arial"/>
        </w:rPr>
        <w:t>by introducing a</w:t>
      </w:r>
      <w:r w:rsidR="006549D4">
        <w:rPr>
          <w:rFonts w:cs="Arial"/>
        </w:rPr>
        <w:t xml:space="preserve"> </w:t>
      </w:r>
      <w:r w:rsidRPr="00F037B5">
        <w:rPr>
          <w:rFonts w:cs="Arial"/>
        </w:rPr>
        <w:t>framework that formally embeds the goals, mechanisms and accountability structures</w:t>
      </w:r>
      <w:r w:rsidR="00F278DF">
        <w:rPr>
          <w:rFonts w:cs="Arial"/>
        </w:rPr>
        <w:t xml:space="preserve"> envisioned by these strategies</w:t>
      </w:r>
      <w:r w:rsidRPr="00F037B5">
        <w:rPr>
          <w:rFonts w:cs="Arial"/>
        </w:rPr>
        <w:t xml:space="preserve"> into law. </w:t>
      </w:r>
    </w:p>
    <w:p w14:paraId="24DFC459" w14:textId="4888DA00" w:rsidR="00FA48CD" w:rsidRPr="00F037B5" w:rsidRDefault="00F278DF" w:rsidP="00FA48CD">
      <w:pPr>
        <w:pStyle w:val="Heading3"/>
      </w:pPr>
      <w:r>
        <w:t>Overrepresentation, c</w:t>
      </w:r>
      <w:r w:rsidR="00143830" w:rsidRPr="00F037B5">
        <w:t xml:space="preserve">onditions of </w:t>
      </w:r>
      <w:r w:rsidR="00404777" w:rsidRPr="00F037B5">
        <w:t>c</w:t>
      </w:r>
      <w:r w:rsidR="00143830" w:rsidRPr="00F037B5">
        <w:t xml:space="preserve">onfinement and </w:t>
      </w:r>
      <w:r w:rsidR="00404777" w:rsidRPr="00F037B5">
        <w:t>s</w:t>
      </w:r>
      <w:r w:rsidR="00FA48CD" w:rsidRPr="00F037B5">
        <w:t xml:space="preserve">ituations of </w:t>
      </w:r>
      <w:r w:rsidR="00404777" w:rsidRPr="00F037B5">
        <w:t>d</w:t>
      </w:r>
      <w:r w:rsidR="00FA48CD" w:rsidRPr="00F037B5">
        <w:t xml:space="preserve">isproportionate or </w:t>
      </w:r>
      <w:r w:rsidR="00404777" w:rsidRPr="00F037B5">
        <w:t>u</w:t>
      </w:r>
      <w:r w:rsidR="00FA48CD" w:rsidRPr="00F037B5">
        <w:t xml:space="preserve">nique </w:t>
      </w:r>
      <w:r w:rsidR="00404777" w:rsidRPr="00F037B5">
        <w:t>i</w:t>
      </w:r>
      <w:r w:rsidR="00FA48CD" w:rsidRPr="00F037B5">
        <w:t xml:space="preserve">mpact </w:t>
      </w:r>
    </w:p>
    <w:p w14:paraId="0CCE1162" w14:textId="6E66D6E6" w:rsidR="00013912" w:rsidRPr="00F037B5" w:rsidRDefault="00F278DF" w:rsidP="00013912">
      <w:pPr>
        <w:spacing w:after="0" w:line="240" w:lineRule="auto"/>
        <w:rPr>
          <w:szCs w:val="24"/>
        </w:rPr>
      </w:pPr>
      <w:bookmarkStart w:id="31" w:name="_Toc183602902"/>
      <w:bookmarkStart w:id="32" w:name="_Toc183602993"/>
      <w:r>
        <w:rPr>
          <w:szCs w:val="24"/>
        </w:rPr>
        <w:t>T</w:t>
      </w:r>
      <w:r w:rsidR="00E53512" w:rsidRPr="00F037B5">
        <w:rPr>
          <w:szCs w:val="24"/>
        </w:rPr>
        <w:t xml:space="preserve">he CHRC remains deeply concerned by reports that recent prison population growth has been driven </w:t>
      </w:r>
      <w:r w:rsidR="00F921E1" w:rsidRPr="00F037B5">
        <w:rPr>
          <w:szCs w:val="24"/>
        </w:rPr>
        <w:t xml:space="preserve">exclusively </w:t>
      </w:r>
      <w:r w:rsidR="00E53512" w:rsidRPr="00F037B5">
        <w:rPr>
          <w:szCs w:val="24"/>
        </w:rPr>
        <w:t>by</w:t>
      </w:r>
      <w:r w:rsidR="00F921E1">
        <w:rPr>
          <w:szCs w:val="24"/>
        </w:rPr>
        <w:t xml:space="preserve"> a rise in the number of prisoners from marginalized groups</w:t>
      </w:r>
      <w:r w:rsidR="00E53512" w:rsidRPr="00F037B5">
        <w:rPr>
          <w:szCs w:val="24"/>
        </w:rPr>
        <w:t xml:space="preserve">, and that </w:t>
      </w:r>
      <w:r>
        <w:rPr>
          <w:szCs w:val="24"/>
        </w:rPr>
        <w:t>conditions of confinement</w:t>
      </w:r>
      <w:r w:rsidR="00E53512" w:rsidRPr="00F037B5">
        <w:rPr>
          <w:szCs w:val="24"/>
        </w:rPr>
        <w:t xml:space="preserve"> for certain groups, such as Indigenous prisoners, has deteriorated. </w:t>
      </w:r>
      <w:r w:rsidR="009E0348" w:rsidRPr="00F037B5">
        <w:t>Of notable concern is the proportion of incarcerated Indigenous women, which has continued to increase, and is nearing half of all federally</w:t>
      </w:r>
      <w:r w:rsidR="00C472C0">
        <w:t xml:space="preserve"> </w:t>
      </w:r>
      <w:r w:rsidR="009E0348" w:rsidRPr="00F037B5">
        <w:t>sentenced women.</w:t>
      </w:r>
    </w:p>
    <w:p w14:paraId="1E341C4F" w14:textId="77777777" w:rsidR="00013912" w:rsidRPr="00F037B5" w:rsidRDefault="00013912" w:rsidP="00013912">
      <w:pPr>
        <w:spacing w:after="0" w:line="240" w:lineRule="auto"/>
        <w:rPr>
          <w:szCs w:val="24"/>
        </w:rPr>
      </w:pPr>
    </w:p>
    <w:p w14:paraId="545F4FBB" w14:textId="484C3381" w:rsidR="00F278DF" w:rsidRDefault="005B1A88" w:rsidP="00FE27FC">
      <w:pPr>
        <w:spacing w:line="240" w:lineRule="auto"/>
        <w:rPr>
          <w:szCs w:val="24"/>
        </w:rPr>
      </w:pPr>
      <w:r w:rsidRPr="00F037B5">
        <w:rPr>
          <w:szCs w:val="24"/>
        </w:rPr>
        <w:t xml:space="preserve">The Office of the Correctional Investigator (OCI) has repeatedly highlighted that Indigenous overrepresentation in federal custody continues to worsen. </w:t>
      </w:r>
      <w:r w:rsidR="00E95E33">
        <w:rPr>
          <w:szCs w:val="24"/>
        </w:rPr>
        <w:t>T</w:t>
      </w:r>
      <w:r w:rsidRPr="00F037B5">
        <w:rPr>
          <w:szCs w:val="24"/>
        </w:rPr>
        <w:t xml:space="preserve">he OCI </w:t>
      </w:r>
      <w:r w:rsidR="001C6E6E">
        <w:rPr>
          <w:szCs w:val="24"/>
        </w:rPr>
        <w:t xml:space="preserve">has </w:t>
      </w:r>
      <w:r w:rsidRPr="00F037B5">
        <w:rPr>
          <w:szCs w:val="24"/>
        </w:rPr>
        <w:t>note</w:t>
      </w:r>
      <w:r w:rsidR="00DD1039" w:rsidRPr="00F037B5">
        <w:rPr>
          <w:szCs w:val="24"/>
        </w:rPr>
        <w:t>d</w:t>
      </w:r>
      <w:r w:rsidRPr="00F037B5">
        <w:rPr>
          <w:szCs w:val="24"/>
        </w:rPr>
        <w:t xml:space="preserve"> that “[o]</w:t>
      </w:r>
      <w:proofErr w:type="spellStart"/>
      <w:r w:rsidRPr="00F037B5">
        <w:rPr>
          <w:szCs w:val="24"/>
        </w:rPr>
        <w:t>ver</w:t>
      </w:r>
      <w:proofErr w:type="spellEnd"/>
      <w:r w:rsidRPr="00F037B5">
        <w:rPr>
          <w:szCs w:val="24"/>
        </w:rPr>
        <w:t xml:space="preserve"> the last decade alone, the total Indigenous offender population (incarcerated and community) has increased by 40.8%”</w:t>
      </w:r>
      <w:r w:rsidRPr="00F037B5">
        <w:rPr>
          <w:rStyle w:val="FootnoteReference"/>
          <w:szCs w:val="24"/>
        </w:rPr>
        <w:footnoteReference w:id="60"/>
      </w:r>
      <w:r w:rsidRPr="00F037B5">
        <w:rPr>
          <w:szCs w:val="24"/>
        </w:rPr>
        <w:t xml:space="preserve"> despite the overall federal prison population decreasing by 16.5% </w:t>
      </w:r>
      <w:r w:rsidR="00697A10" w:rsidRPr="00F037B5">
        <w:rPr>
          <w:szCs w:val="24"/>
        </w:rPr>
        <w:t xml:space="preserve">over the same period. </w:t>
      </w:r>
      <w:r w:rsidRPr="00F037B5">
        <w:rPr>
          <w:szCs w:val="24"/>
        </w:rPr>
        <w:t>Across federal prisons designated for men and women, Indigenous people make up 32% of the total population despite making up just 5% of the country’s overall population.</w:t>
      </w:r>
      <w:r w:rsidR="004315B9" w:rsidRPr="00F037B5">
        <w:rPr>
          <w:rStyle w:val="FootnoteReference"/>
          <w:szCs w:val="24"/>
        </w:rPr>
        <w:footnoteReference w:id="61"/>
      </w:r>
      <w:r w:rsidRPr="00F037B5">
        <w:rPr>
          <w:szCs w:val="24"/>
        </w:rPr>
        <w:t xml:space="preserve"> </w:t>
      </w:r>
    </w:p>
    <w:p w14:paraId="0C060D59" w14:textId="72FFA4B9" w:rsidR="00FE27FC" w:rsidRPr="00F037B5" w:rsidRDefault="00FE27FC" w:rsidP="00FE27FC">
      <w:pPr>
        <w:spacing w:line="240" w:lineRule="auto"/>
        <w:rPr>
          <w:szCs w:val="24"/>
        </w:rPr>
      </w:pPr>
      <w:r w:rsidRPr="00F037B5">
        <w:rPr>
          <w:szCs w:val="24"/>
        </w:rPr>
        <w:t>Black individuals are also overrepresented in federal prisons, accounting for 8.1% of the federally</w:t>
      </w:r>
      <w:r w:rsidR="00242CC5" w:rsidRPr="00F037B5">
        <w:rPr>
          <w:szCs w:val="24"/>
        </w:rPr>
        <w:t xml:space="preserve"> </w:t>
      </w:r>
      <w:r w:rsidRPr="00F037B5">
        <w:rPr>
          <w:szCs w:val="24"/>
        </w:rPr>
        <w:t>incarcerated population,</w:t>
      </w:r>
      <w:r w:rsidR="00B0572C" w:rsidRPr="00F037B5">
        <w:rPr>
          <w:rStyle w:val="FootnoteReference"/>
          <w:szCs w:val="24"/>
        </w:rPr>
        <w:footnoteReference w:id="62"/>
      </w:r>
      <w:r w:rsidRPr="00F037B5">
        <w:rPr>
          <w:szCs w:val="24"/>
        </w:rPr>
        <w:t xml:space="preserve"> while making up only </w:t>
      </w:r>
      <w:r w:rsidR="005349B3" w:rsidRPr="00F037B5">
        <w:rPr>
          <w:szCs w:val="24"/>
        </w:rPr>
        <w:t>4.3</w:t>
      </w:r>
      <w:r w:rsidRPr="00F037B5">
        <w:rPr>
          <w:szCs w:val="24"/>
        </w:rPr>
        <w:t xml:space="preserve">% of the general </w:t>
      </w:r>
      <w:r w:rsidRPr="00F037B5">
        <w:rPr>
          <w:szCs w:val="24"/>
        </w:rPr>
        <w:lastRenderedPageBreak/>
        <w:t>population.</w:t>
      </w:r>
      <w:r w:rsidR="00B0572C" w:rsidRPr="00F037B5">
        <w:rPr>
          <w:rStyle w:val="FootnoteReference"/>
          <w:szCs w:val="24"/>
        </w:rPr>
        <w:footnoteReference w:id="63"/>
      </w:r>
      <w:r w:rsidRPr="00F037B5">
        <w:rPr>
          <w:szCs w:val="24"/>
        </w:rPr>
        <w:t xml:space="preserve"> </w:t>
      </w:r>
      <w:r w:rsidR="0031402E" w:rsidRPr="00F037B5">
        <w:rPr>
          <w:szCs w:val="24"/>
        </w:rPr>
        <w:t>In contrast, the proportion of white prisoners continues to steadily decrease.</w:t>
      </w:r>
      <w:r w:rsidR="00B0572C" w:rsidRPr="00F037B5">
        <w:rPr>
          <w:rStyle w:val="FootnoteReference"/>
          <w:szCs w:val="24"/>
        </w:rPr>
        <w:footnoteReference w:id="64"/>
      </w:r>
      <w:r w:rsidR="0031402E" w:rsidRPr="00F037B5">
        <w:rPr>
          <w:rStyle w:val="CommentReference"/>
        </w:rPr>
        <w:t xml:space="preserve"> </w:t>
      </w:r>
      <w:r w:rsidRPr="00F037B5">
        <w:rPr>
          <w:szCs w:val="24"/>
        </w:rPr>
        <w:t xml:space="preserve"> </w:t>
      </w:r>
    </w:p>
    <w:p w14:paraId="43F3F357" w14:textId="1AF80C77" w:rsidR="00E53512" w:rsidRPr="00F037B5" w:rsidRDefault="005B1A88" w:rsidP="005B1A88">
      <w:pPr>
        <w:spacing w:line="240" w:lineRule="auto"/>
        <w:rPr>
          <w:szCs w:val="24"/>
        </w:rPr>
      </w:pPr>
      <w:r w:rsidRPr="00F037B5">
        <w:rPr>
          <w:szCs w:val="24"/>
        </w:rPr>
        <w:t>Beyond overrepresentation, these populations also experience discrimination in relation to their conditions of confinement, including with respect to security classification and treatment. For instance, Indigenous and Black prisoners are more likely to be over-classified as maximum security and to be involved in incidents of use of force.</w:t>
      </w:r>
      <w:r w:rsidRPr="00F037B5">
        <w:rPr>
          <w:rStyle w:val="FootnoteReference"/>
          <w:szCs w:val="24"/>
        </w:rPr>
        <w:footnoteReference w:id="65"/>
      </w:r>
      <w:r w:rsidR="00013912" w:rsidRPr="00F037B5">
        <w:t xml:space="preserve"> </w:t>
      </w:r>
      <w:r w:rsidR="009E0348" w:rsidRPr="00F037B5">
        <w:t>Culturally</w:t>
      </w:r>
      <w:r w:rsidR="00E40803">
        <w:t xml:space="preserve"> </w:t>
      </w:r>
      <w:r w:rsidR="009E0348" w:rsidRPr="00F037B5">
        <w:t>relevant programming and services are both limited for Indigenous and Black prisoners, and not reflective of their lived experiences and rehabilitative needs. Without access to these programs and services, Indigenous and Black prisoners are less likely to be granted conditional release, and in some cases, are ill-prepared to reintegrate in their communities, placing them at a higher risk of reoffending and further contributing to their overrepresentation in prisons.</w:t>
      </w:r>
      <w:r w:rsidR="009E0348" w:rsidRPr="00F037B5">
        <w:rPr>
          <w:rStyle w:val="FootnoteReference"/>
        </w:rPr>
        <w:footnoteReference w:id="66"/>
      </w:r>
      <w:r w:rsidR="00302220">
        <w:t xml:space="preserve"> </w:t>
      </w:r>
      <w:r w:rsidR="00584D71" w:rsidRPr="00F037B5">
        <w:rPr>
          <w:rStyle w:val="FootnoteReference"/>
        </w:rPr>
        <w:footnoteReference w:id="67"/>
      </w:r>
      <w:r w:rsidR="007245CE" w:rsidRPr="00F037B5">
        <w:t xml:space="preserve"> </w:t>
      </w:r>
    </w:p>
    <w:p w14:paraId="0A6E4617" w14:textId="50A804F3" w:rsidR="00266A10" w:rsidRPr="00F037B5" w:rsidRDefault="00266A10" w:rsidP="00C85524">
      <w:pPr>
        <w:spacing w:line="240" w:lineRule="auto"/>
      </w:pPr>
      <w:r w:rsidRPr="00F037B5">
        <w:t>Mental health disabilities are more prevalent in Canadian prisons than in the general population, and those with mental health disabilities are among the most vulnerable populations within prisons. It has been repeatedly noted that prisons lack the appropriate capacity, resources and infrastructure to manage serious mental health conditions.</w:t>
      </w:r>
      <w:r w:rsidR="00CA2979">
        <w:rPr>
          <w:rStyle w:val="FootnoteReference"/>
        </w:rPr>
        <w:footnoteReference w:id="68"/>
      </w:r>
      <w:r w:rsidRPr="00F037B5">
        <w:t xml:space="preserve"> As a result, many prisoners are incarcerated in settings that are ill-equipped to respond appropriately to their symptoms and behaviours, which can often exacerbate their mental health disabilities. Prisoners with other disabilities, as well as aging and older prisoners, are also vulnerable to victimization, and often reside in facilities that are inaccessible and ill-equipped to manage their healthcare needs. This </w:t>
      </w:r>
      <w:r w:rsidRPr="00F037B5">
        <w:lastRenderedPageBreak/>
        <w:t>has serious impacts on their health, safety, dignity and human rights.</w:t>
      </w:r>
      <w:r w:rsidRPr="00F037B5">
        <w:rPr>
          <w:rStyle w:val="FootnoteReference"/>
        </w:rPr>
        <w:footnoteReference w:id="69"/>
      </w:r>
      <w:r w:rsidR="00F54383">
        <w:t xml:space="preserve"> </w:t>
      </w:r>
      <w:r w:rsidR="00584D71" w:rsidRPr="00F037B5">
        <w:rPr>
          <w:rStyle w:val="FootnoteReference"/>
        </w:rPr>
        <w:footnoteReference w:id="70"/>
      </w:r>
      <w:r w:rsidRPr="00F037B5">
        <w:t xml:space="preserve"> </w:t>
      </w:r>
      <w:r w:rsidR="00DF0F78">
        <w:t>In their most recent report, t</w:t>
      </w:r>
      <w:r w:rsidR="005E3460">
        <w:t xml:space="preserve">he Office of the Correctional investigator issued </w:t>
      </w:r>
      <w:proofErr w:type="gramStart"/>
      <w:r w:rsidR="005E3460">
        <w:t>a number of</w:t>
      </w:r>
      <w:proofErr w:type="gramEnd"/>
      <w:r w:rsidR="005E3460">
        <w:t xml:space="preserve"> recommendations calling for the reform </w:t>
      </w:r>
      <w:r w:rsidR="00DF0F78">
        <w:t xml:space="preserve">of </w:t>
      </w:r>
      <w:r w:rsidR="005E3460">
        <w:t xml:space="preserve">mental health services in the correctional </w:t>
      </w:r>
      <w:r w:rsidR="00DF0F78">
        <w:t>system</w:t>
      </w:r>
      <w:r w:rsidR="00881E45">
        <w:t xml:space="preserve">. One such call was to </w:t>
      </w:r>
      <w:r w:rsidR="00BD51F9">
        <w:t>redefi</w:t>
      </w:r>
      <w:r w:rsidR="00881E45">
        <w:t>ne</w:t>
      </w:r>
      <w:r w:rsidR="00BD51F9">
        <w:t xml:space="preserve"> </w:t>
      </w:r>
      <w:r w:rsidR="00881E45">
        <w:t xml:space="preserve">the mandate of the </w:t>
      </w:r>
      <w:r w:rsidR="00BD51F9">
        <w:t xml:space="preserve">Regional Treatment Centres (RTCs) operated by Correctional Service Canada so that those </w:t>
      </w:r>
      <w:r w:rsidR="00DD6475">
        <w:t xml:space="preserve">with serious mental health disabilities be transferred to community-based hospitals to receive the specialized care that they </w:t>
      </w:r>
      <w:proofErr w:type="gramStart"/>
      <w:r w:rsidR="00DD6475">
        <w:t>need</w:t>
      </w:r>
      <w:r w:rsidR="00881E45">
        <w:t>,</w:t>
      </w:r>
      <w:r w:rsidR="00BD51F9">
        <w:t xml:space="preserve"> and</w:t>
      </w:r>
      <w:proofErr w:type="gramEnd"/>
      <w:r w:rsidR="00BD51F9">
        <w:t xml:space="preserve"> </w:t>
      </w:r>
      <w:r w:rsidR="00881E45">
        <w:t>redirect</w:t>
      </w:r>
      <w:r w:rsidR="00BD51F9">
        <w:t xml:space="preserve"> significant investments in RTCs to provincial psychiatric hospitals</w:t>
      </w:r>
      <w:r w:rsidR="00DF0F78">
        <w:t>.</w:t>
      </w:r>
      <w:r w:rsidR="00DF0F78">
        <w:rPr>
          <w:rStyle w:val="FootnoteReference"/>
        </w:rPr>
        <w:footnoteReference w:id="71"/>
      </w:r>
      <w:r w:rsidR="00DF0F78">
        <w:t xml:space="preserve"> </w:t>
      </w:r>
    </w:p>
    <w:p w14:paraId="1B36137F" w14:textId="2ECB5BD9" w:rsidR="00266A10" w:rsidRPr="00F037B5" w:rsidRDefault="00266A10" w:rsidP="00AB7E86">
      <w:pPr>
        <w:spacing w:line="240" w:lineRule="auto"/>
      </w:pPr>
      <w:r w:rsidRPr="00F037B5">
        <w:t>The issue of sexual coercion and violence in Canada’s prisons is a</w:t>
      </w:r>
      <w:r w:rsidR="00F50B86" w:rsidRPr="00F037B5">
        <w:t>lso a</w:t>
      </w:r>
      <w:r w:rsidRPr="00F037B5">
        <w:t xml:space="preserve"> </w:t>
      </w:r>
      <w:r w:rsidR="00F278DF">
        <w:t>serious</w:t>
      </w:r>
      <w:r w:rsidR="00F278DF" w:rsidRPr="00F037B5">
        <w:t xml:space="preserve"> </w:t>
      </w:r>
      <w:r w:rsidRPr="00F037B5">
        <w:t>concern</w:t>
      </w:r>
      <w:r w:rsidR="00F278DF">
        <w:t xml:space="preserve">, particularly as it relates to </w:t>
      </w:r>
      <w:r w:rsidR="00F278DF" w:rsidRPr="00F037B5">
        <w:t>women</w:t>
      </w:r>
      <w:r w:rsidR="00F278DF">
        <w:t xml:space="preserve"> and to</w:t>
      </w:r>
      <w:r w:rsidR="00F278DF" w:rsidRPr="00F037B5">
        <w:t xml:space="preserve"> trans, nonbinary and gender</w:t>
      </w:r>
      <w:r w:rsidR="00F278DF">
        <w:t xml:space="preserve"> </w:t>
      </w:r>
      <w:r w:rsidR="00F278DF" w:rsidRPr="00F037B5">
        <w:t>diverse prisoners</w:t>
      </w:r>
      <w:r w:rsidRPr="00F037B5">
        <w:t>. This includes allegations of coercion, violence, bullying and harassment by other prisoners and by staff. Prisoners may not report incidents of sexual coercion and violence due to a fear of reprisal</w:t>
      </w:r>
      <w:r w:rsidR="00F278DF">
        <w:t>.  More effective</w:t>
      </w:r>
      <w:r w:rsidRPr="00F037B5">
        <w:t xml:space="preserve"> systems for reporting and </w:t>
      </w:r>
      <w:r w:rsidR="00F278DF">
        <w:t xml:space="preserve">enhanced </w:t>
      </w:r>
      <w:r w:rsidRPr="00F037B5">
        <w:t xml:space="preserve">accountability measures </w:t>
      </w:r>
      <w:r w:rsidR="00F278DF">
        <w:t>are needed to ensure</w:t>
      </w:r>
      <w:r w:rsidRPr="00F037B5">
        <w:t xml:space="preserve"> that prisons are not environments for perpetuating the violence and abuse that were a part of many prisoners’ lives prior to incarceration.</w:t>
      </w:r>
    </w:p>
    <w:p w14:paraId="56218432" w14:textId="10857FD1" w:rsidR="00C22B03" w:rsidRDefault="00FE4BCD" w:rsidP="00FE4BCD">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b/>
          <w:bCs/>
          <w:szCs w:val="24"/>
        </w:rPr>
        <w:t>Recommendation #</w:t>
      </w:r>
      <w:r w:rsidR="00965797">
        <w:rPr>
          <w:rFonts w:cs="Arial"/>
          <w:b/>
          <w:bCs/>
          <w:szCs w:val="24"/>
        </w:rPr>
        <w:t>11</w:t>
      </w:r>
      <w:r w:rsidRPr="00F037B5">
        <w:rPr>
          <w:rFonts w:cs="Arial"/>
          <w:b/>
          <w:bCs/>
          <w:szCs w:val="24"/>
        </w:rPr>
        <w:t xml:space="preserve">: </w:t>
      </w:r>
      <w:r w:rsidR="00296E87" w:rsidRPr="00F037B5">
        <w:rPr>
          <w:rFonts w:cs="Arial"/>
          <w:szCs w:val="24"/>
        </w:rPr>
        <w:t>That Canada ensure that its policies and practices fully respect the rights and meet the unique needs of prisoners in vulnerable circumstances in relation to their conditions of confinement</w:t>
      </w:r>
      <w:r w:rsidR="00C22B03">
        <w:rPr>
          <w:rFonts w:cs="Arial"/>
          <w:szCs w:val="24"/>
        </w:rPr>
        <w:t xml:space="preserve"> and their reintegration</w:t>
      </w:r>
      <w:r w:rsidR="006407B2">
        <w:rPr>
          <w:rFonts w:cs="Arial"/>
          <w:szCs w:val="24"/>
        </w:rPr>
        <w:t>,</w:t>
      </w:r>
      <w:r w:rsidR="00874795">
        <w:rPr>
          <w:rFonts w:cs="Arial"/>
          <w:szCs w:val="24"/>
        </w:rPr>
        <w:t xml:space="preserve"> including access to </w:t>
      </w:r>
      <w:r w:rsidR="00DF0F78">
        <w:rPr>
          <w:rFonts w:cs="Arial"/>
          <w:szCs w:val="24"/>
        </w:rPr>
        <w:t xml:space="preserve">timely, adequate and </w:t>
      </w:r>
      <w:r w:rsidR="006407B2">
        <w:rPr>
          <w:rFonts w:cs="Arial"/>
          <w:szCs w:val="24"/>
        </w:rPr>
        <w:t xml:space="preserve">culturally </w:t>
      </w:r>
      <w:r w:rsidR="00874795">
        <w:rPr>
          <w:rFonts w:cs="Arial"/>
          <w:szCs w:val="24"/>
        </w:rPr>
        <w:t>appropriate supports and services which can be, when appropriate, in community settings</w:t>
      </w:r>
      <w:r w:rsidR="00C22B03">
        <w:rPr>
          <w:rFonts w:cs="Arial"/>
          <w:szCs w:val="24"/>
        </w:rPr>
        <w:t>.</w:t>
      </w:r>
    </w:p>
    <w:p w14:paraId="564E05B7" w14:textId="77777777" w:rsidR="00FA48CD" w:rsidRPr="00F037B5" w:rsidRDefault="00FA48CD" w:rsidP="00FA48CD">
      <w:pPr>
        <w:pStyle w:val="Heading3"/>
        <w:spacing w:line="240" w:lineRule="auto"/>
      </w:pPr>
      <w:r w:rsidRPr="00F037B5">
        <w:t>Structured Intervention Units (SIU)</w:t>
      </w:r>
      <w:bookmarkEnd w:id="31"/>
      <w:bookmarkEnd w:id="32"/>
    </w:p>
    <w:p w14:paraId="2E6DBC84" w14:textId="05BB245B" w:rsidR="00044096" w:rsidRDefault="00FA48CD" w:rsidP="00FA48CD">
      <w:pPr>
        <w:spacing w:line="240" w:lineRule="auto"/>
      </w:pPr>
      <w:r w:rsidRPr="00F037B5">
        <w:t xml:space="preserve">The CHRC remains deeply concerned by reports that prisoners being held in “Structured Intervention Units” (SIUs) continue to experience conditions of </w:t>
      </w:r>
      <w:r w:rsidR="00044096">
        <w:t xml:space="preserve">de facto </w:t>
      </w:r>
      <w:r w:rsidRPr="00F037B5">
        <w:t>solitary confinement</w:t>
      </w:r>
      <w:r w:rsidR="009F1538">
        <w:t xml:space="preserve"> as defined by international law</w:t>
      </w:r>
      <w:r w:rsidRPr="00F037B5">
        <w:t xml:space="preserve">. </w:t>
      </w:r>
      <w:r w:rsidR="00BF7C52" w:rsidRPr="00F037B5">
        <w:t>The SIU regime gives wide discretion to the CSC to decide whether, when and for how long a prisoner should be confined in isolated and restrictive conditions.</w:t>
      </w:r>
      <w:r w:rsidR="00BF7C52">
        <w:t xml:space="preserve"> This regime, however, has been the subject of sustained criticism. </w:t>
      </w:r>
      <w:r w:rsidRPr="00F037B5">
        <w:t>Of particular concern is the high prevalence of mental health disabilities among those admitted to and held in SIUs and the length of their stays compared to those of others.</w:t>
      </w:r>
      <w:r w:rsidRPr="00F037B5">
        <w:rPr>
          <w:rStyle w:val="FootnoteReference"/>
        </w:rPr>
        <w:footnoteReference w:id="72"/>
      </w:r>
      <w:r w:rsidRPr="00F037B5">
        <w:t xml:space="preserve"> </w:t>
      </w:r>
    </w:p>
    <w:p w14:paraId="43149D2B" w14:textId="49A45FE8" w:rsidR="009B711C" w:rsidRPr="00F037B5" w:rsidRDefault="00FA48CD" w:rsidP="009B711C">
      <w:pPr>
        <w:spacing w:line="240" w:lineRule="auto"/>
      </w:pPr>
      <w:r w:rsidRPr="00F037B5">
        <w:lastRenderedPageBreak/>
        <w:t>The CHRC maintains that</w:t>
      </w:r>
      <w:r w:rsidR="00BB1B0C">
        <w:t xml:space="preserve"> as long as the SIU system exists in its current form</w:t>
      </w:r>
      <w:r w:rsidR="004A161D">
        <w:t>,</w:t>
      </w:r>
      <w:r w:rsidR="00BB1B0C">
        <w:rPr>
          <w:rStyle w:val="FootnoteReference"/>
        </w:rPr>
        <w:footnoteReference w:id="73"/>
      </w:r>
      <w:r w:rsidRPr="00F037B5">
        <w:t xml:space="preserve"> </w:t>
      </w:r>
      <w:r w:rsidR="00BB1B0C">
        <w:t xml:space="preserve">a </w:t>
      </w:r>
      <w:r w:rsidRPr="00F037B5">
        <w:t>sustained</w:t>
      </w:r>
      <w:r w:rsidR="00D07BD9">
        <w:t xml:space="preserve"> and dedicated system of </w:t>
      </w:r>
      <w:r w:rsidRPr="00F037B5">
        <w:t>independent external oversight is critical</w:t>
      </w:r>
      <w:r w:rsidR="00D07BD9">
        <w:t xml:space="preserve"> </w:t>
      </w:r>
      <w:r w:rsidRPr="00F037B5">
        <w:t>to ensuring that the human rights of people held in SIUs are protected.</w:t>
      </w:r>
      <w:r w:rsidRPr="00F037B5">
        <w:rPr>
          <w:rStyle w:val="FootnoteReference"/>
        </w:rPr>
        <w:footnoteReference w:id="74"/>
      </w:r>
      <w:r w:rsidRPr="00F037B5">
        <w:t xml:space="preserve"> While a separate SIU Implementation Advisory Panel was put in place to review and evaluate the system in its first years of operation</w:t>
      </w:r>
      <w:r w:rsidR="00D07BD9">
        <w:t xml:space="preserve"> and arrived at concerning conclusions</w:t>
      </w:r>
      <w:r w:rsidRPr="00F037B5">
        <w:t>, the Panel</w:t>
      </w:r>
      <w:r w:rsidR="00F03279" w:rsidRPr="00F037B5">
        <w:t>’s mandate expired in December 2024 and will not be renewed</w:t>
      </w:r>
      <w:r w:rsidRPr="00F037B5">
        <w:t>.</w:t>
      </w:r>
      <w:r w:rsidRPr="00F037B5">
        <w:rPr>
          <w:rStyle w:val="FootnoteReference"/>
        </w:rPr>
        <w:footnoteReference w:id="75"/>
      </w:r>
      <w:r w:rsidRPr="00F037B5">
        <w:t xml:space="preserve"> </w:t>
      </w:r>
      <w:r w:rsidR="00640CBA">
        <w:t>The CHRC notes that there is currently a bill before the Senate that proposes changes to Canada’s SIU regime</w:t>
      </w:r>
      <w:r w:rsidR="006407B2">
        <w:t>,</w:t>
      </w:r>
      <w:r w:rsidR="00640CBA">
        <w:t xml:space="preserve"> including with respect to oversight, remedies and alternatives to isolation.</w:t>
      </w:r>
      <w:r w:rsidR="00640CBA">
        <w:rPr>
          <w:rStyle w:val="FootnoteReference"/>
        </w:rPr>
        <w:footnoteReference w:id="76"/>
      </w:r>
      <w:r w:rsidR="00640CBA">
        <w:t xml:space="preserve"> </w:t>
      </w:r>
    </w:p>
    <w:p w14:paraId="6A8595E1" w14:textId="513AEAC7" w:rsidR="00FA48CD" w:rsidRPr="00F037B5" w:rsidRDefault="00FA48CD" w:rsidP="00FA48CD">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b/>
          <w:bCs/>
          <w:szCs w:val="24"/>
        </w:rPr>
        <w:t>Recommendation #</w:t>
      </w:r>
      <w:r w:rsidR="00965797">
        <w:rPr>
          <w:rFonts w:cs="Arial"/>
          <w:b/>
          <w:bCs/>
          <w:szCs w:val="24"/>
        </w:rPr>
        <w:t>12</w:t>
      </w:r>
      <w:r w:rsidRPr="00F037B5">
        <w:rPr>
          <w:rFonts w:cs="Arial"/>
          <w:b/>
          <w:bCs/>
          <w:szCs w:val="24"/>
        </w:rPr>
        <w:t xml:space="preserve">: </w:t>
      </w:r>
      <w:r w:rsidRPr="00F037B5">
        <w:rPr>
          <w:rFonts w:cs="Arial"/>
          <w:szCs w:val="24"/>
        </w:rPr>
        <w:t xml:space="preserve">That Canada take steps to ensure that the current SIU regime does not continue to create conditions of de facto solitary confinement for prisoners. </w:t>
      </w:r>
    </w:p>
    <w:p w14:paraId="4C299CF9" w14:textId="35C677FE" w:rsidR="00FA48CD" w:rsidRPr="00F037B5" w:rsidRDefault="00FA48CD" w:rsidP="003A5D22">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b/>
          <w:bCs/>
          <w:szCs w:val="24"/>
        </w:rPr>
        <w:t>Recommendation #</w:t>
      </w:r>
      <w:r w:rsidR="00965797">
        <w:rPr>
          <w:rFonts w:cs="Arial"/>
          <w:b/>
          <w:bCs/>
          <w:szCs w:val="24"/>
        </w:rPr>
        <w:t>13</w:t>
      </w:r>
      <w:r w:rsidRPr="00F037B5">
        <w:rPr>
          <w:rFonts w:cs="Arial"/>
          <w:b/>
          <w:bCs/>
          <w:szCs w:val="24"/>
        </w:rPr>
        <w:t xml:space="preserve">: </w:t>
      </w:r>
      <w:r w:rsidRPr="00F037B5">
        <w:rPr>
          <w:rFonts w:cs="Arial"/>
          <w:szCs w:val="24"/>
        </w:rPr>
        <w:t xml:space="preserve">That Canada establish an effective independent oversight body to monitor the operation of the SIU regime. </w:t>
      </w:r>
    </w:p>
    <w:p w14:paraId="522EA129" w14:textId="77777777" w:rsidR="00FA48CD" w:rsidRPr="00F037B5" w:rsidRDefault="00FA48CD" w:rsidP="00FA48CD">
      <w:pPr>
        <w:pStyle w:val="Heading2"/>
        <w:ind w:left="567" w:hanging="567"/>
      </w:pPr>
      <w:bookmarkStart w:id="33" w:name="_Toc183602903"/>
      <w:bookmarkStart w:id="34" w:name="_Toc183602994"/>
      <w:bookmarkStart w:id="35" w:name="_Toc220669673"/>
      <w:r w:rsidRPr="00F037B5">
        <w:t>Institutionalization</w:t>
      </w:r>
      <w:bookmarkEnd w:id="33"/>
      <w:bookmarkEnd w:id="34"/>
      <w:bookmarkEnd w:id="35"/>
    </w:p>
    <w:p w14:paraId="61E98014" w14:textId="009BADEB" w:rsidR="00FA48CD" w:rsidRPr="00F037B5" w:rsidRDefault="00FA48CD" w:rsidP="00FA48CD">
      <w:pPr>
        <w:keepLines/>
        <w:spacing w:before="120" w:after="120" w:line="240" w:lineRule="auto"/>
      </w:pPr>
      <w:r w:rsidRPr="00F037B5">
        <w:t xml:space="preserve">Many people with disabilities are forced to live in institutions due to </w:t>
      </w:r>
      <w:r w:rsidR="00EE5B19">
        <w:t xml:space="preserve">ongoing accessibility failures, </w:t>
      </w:r>
      <w:r w:rsidR="006549D4">
        <w:t xml:space="preserve">including </w:t>
      </w:r>
      <w:r w:rsidRPr="00F037B5">
        <w:t>a lack of community-based supports and accessible housing options.</w:t>
      </w:r>
      <w:r w:rsidR="00026400">
        <w:t xml:space="preserve"> For </w:t>
      </w:r>
      <w:r w:rsidR="00A73EED">
        <w:t>example</w:t>
      </w:r>
      <w:r w:rsidR="00026400">
        <w:t xml:space="preserve">, young people with disabilities in Canada continue to live in long-term care facilities intended for seniors due to a lack of adequate supports to live in the community. </w:t>
      </w:r>
      <w:r w:rsidRPr="00F037B5">
        <w:t>In addition to being deprived of their autonomy and their right to live independently in their communities, people who are institutionalized are at greater risk of experiencing violence and being exposed to health risks, such as COVID-19.</w:t>
      </w:r>
      <w:r w:rsidRPr="00F037B5">
        <w:rPr>
          <w:rStyle w:val="FootnoteReference"/>
        </w:rPr>
        <w:footnoteReference w:id="77"/>
      </w:r>
      <w:r w:rsidRPr="00F037B5">
        <w:t xml:space="preserve"> </w:t>
      </w:r>
    </w:p>
    <w:p w14:paraId="55E36578" w14:textId="77777777" w:rsidR="00FA48CD" w:rsidRPr="00F037B5" w:rsidRDefault="00FA48CD" w:rsidP="00FA48CD">
      <w:pPr>
        <w:keepLines/>
        <w:spacing w:before="120" w:after="120" w:line="240" w:lineRule="auto"/>
      </w:pPr>
      <w:r w:rsidRPr="00F037B5">
        <w:lastRenderedPageBreak/>
        <w:t xml:space="preserve">Canada’s deinstitutionalization efforts have been slow and uneven across the country. </w:t>
      </w:r>
      <w:r w:rsidRPr="00F037B5">
        <w:rPr>
          <w:lang w:val="en-US"/>
        </w:rPr>
        <w:t>For example, in response to a human rights complaint filed in 2014, a court found in 2021 that the province of Nova Scotia had systemically discriminated against people with disabilities by unnecessarily institutionalizing them, subjecting them to indefinite wait times to receive services, and forcibly removing them to remote areas.</w:t>
      </w:r>
      <w:r w:rsidRPr="00F037B5">
        <w:rPr>
          <w:rStyle w:val="FootnoteReference"/>
        </w:rPr>
        <w:footnoteReference w:id="78"/>
      </w:r>
      <w:r w:rsidRPr="00F037B5">
        <w:rPr>
          <w:lang w:val="en-US"/>
        </w:rPr>
        <w:t xml:space="preserve"> The systemic remedy in this case included a </w:t>
      </w:r>
      <w:r w:rsidRPr="00F037B5">
        <w:t>5-year plan for the government to deinstitutionalize people with disabilities. However, a</w:t>
      </w:r>
      <w:r w:rsidRPr="00F037B5">
        <w:rPr>
          <w:lang w:val="en-US"/>
        </w:rPr>
        <w:t>n independent monitoring report published in 2024 found that the province’s progress in implementing this plan has been slow and uneven to date.</w:t>
      </w:r>
      <w:r w:rsidRPr="00F037B5">
        <w:rPr>
          <w:rStyle w:val="FootnoteReference"/>
          <w:lang w:val="en-US"/>
        </w:rPr>
        <w:footnoteReference w:id="79"/>
      </w:r>
    </w:p>
    <w:p w14:paraId="0FB87D25" w14:textId="42C8E5B7" w:rsidR="00FA48CD" w:rsidRPr="00F037B5" w:rsidRDefault="00FA48CD" w:rsidP="00FA48CD">
      <w:pPr>
        <w:keepLines/>
        <w:spacing w:before="120" w:after="120" w:line="240" w:lineRule="auto"/>
      </w:pPr>
      <w:r w:rsidRPr="00F037B5">
        <w:t xml:space="preserve">Canada </w:t>
      </w:r>
      <w:r w:rsidRPr="00F037B5">
        <w:rPr>
          <w:rFonts w:cs="Arial"/>
          <w:szCs w:val="24"/>
        </w:rPr>
        <w:t xml:space="preserve">lacks comprehensive and reliable data </w:t>
      </w:r>
      <w:r w:rsidR="00044096">
        <w:rPr>
          <w:rFonts w:cs="Arial"/>
          <w:szCs w:val="24"/>
        </w:rPr>
        <w:t>on institutionalization</w:t>
      </w:r>
      <w:r w:rsidRPr="00F037B5">
        <w:rPr>
          <w:rFonts w:cs="Arial"/>
          <w:szCs w:val="24"/>
        </w:rPr>
        <w:t>.</w:t>
      </w:r>
      <w:r w:rsidRPr="00F037B5">
        <w:t xml:space="preserve"> </w:t>
      </w:r>
      <w:r w:rsidR="00044096">
        <w:t>P</w:t>
      </w:r>
      <w:r w:rsidRPr="00F037B5">
        <w:t>eople living in institutions are excluded from most national surveys</w:t>
      </w:r>
      <w:r w:rsidR="00044096">
        <w:t xml:space="preserve"> and, as a result</w:t>
      </w:r>
      <w:r w:rsidRPr="00F037B5">
        <w:t>, it is currently difficult to ascertain how many people with disabilities are living in: large institutions; hospitals; prisons and correctional facilities; immigration detention centres and shelters for refugees; child welfare systems; and homeless and emergency shelters.</w:t>
      </w:r>
      <w:r w:rsidRPr="00F037B5">
        <w:rPr>
          <w:rStyle w:val="FootnoteReference"/>
        </w:rPr>
        <w:footnoteReference w:id="80"/>
      </w:r>
      <w:r w:rsidRPr="00F037B5">
        <w:t xml:space="preserve"> According to the 2021 Census, 61 710 people lived in group homes for people with disabilities and addictions, and 7590 people under age 55 lived in long-term care facilities.</w:t>
      </w:r>
      <w:r w:rsidRPr="00F037B5">
        <w:rPr>
          <w:rStyle w:val="FootnoteReference"/>
        </w:rPr>
        <w:footnoteReference w:id="81"/>
      </w:r>
      <w:r w:rsidRPr="00F037B5">
        <w:t xml:space="preserve"> </w:t>
      </w:r>
      <w:r w:rsidR="00044096" w:rsidRPr="00F037B5">
        <w:t xml:space="preserve">The CHRC </w:t>
      </w:r>
      <w:r w:rsidR="00044096">
        <w:t>continues to advocate for improved</w:t>
      </w:r>
      <w:r w:rsidR="00044096" w:rsidRPr="00F037B5">
        <w:t xml:space="preserve"> data collection</w:t>
      </w:r>
      <w:r w:rsidR="006A62F9">
        <w:t>, including disaggregated data,</w:t>
      </w:r>
      <w:r w:rsidR="00044096" w:rsidRPr="00F037B5">
        <w:t xml:space="preserve"> and transparency on people who are institutionalized</w:t>
      </w:r>
      <w:r w:rsidRPr="00F037B5">
        <w:t xml:space="preserve">. </w:t>
      </w:r>
    </w:p>
    <w:p w14:paraId="33A5B209" w14:textId="37B2DCF2" w:rsidR="00FA48CD" w:rsidRDefault="00FA48CD" w:rsidP="00FA48CD">
      <w:pPr>
        <w:keepLines/>
        <w:spacing w:before="120" w:after="120" w:line="240" w:lineRule="auto"/>
        <w:rPr>
          <w:rFonts w:cs="Arial"/>
          <w:szCs w:val="24"/>
        </w:rPr>
      </w:pPr>
      <w:r w:rsidRPr="00F037B5">
        <w:rPr>
          <w:rFonts w:cs="Arial"/>
          <w:szCs w:val="24"/>
        </w:rPr>
        <w:t>M</w:t>
      </w:r>
      <w:r w:rsidRPr="00F037B5">
        <w:t xml:space="preserve">any people with disabilities are also involuntarily detained in mental health facilities under mental health and guardianship laws. </w:t>
      </w:r>
      <w:r w:rsidR="002C587C" w:rsidRPr="00F037B5">
        <w:t>The CHRC is concerned about reports that some provinces are planning to expand involuntary detention and treatment of people with mental health and substance use issues</w:t>
      </w:r>
      <w:r w:rsidR="002C587C">
        <w:t>.</w:t>
      </w:r>
      <w:r w:rsidR="002C587C" w:rsidRPr="00F037B5">
        <w:rPr>
          <w:rStyle w:val="FootnoteReference"/>
        </w:rPr>
        <w:footnoteReference w:id="82"/>
      </w:r>
      <w:r w:rsidR="002C587C" w:rsidRPr="00F037B5">
        <w:t xml:space="preserve"> </w:t>
      </w:r>
      <w:r w:rsidR="002C587C">
        <w:t>The CHRC also</w:t>
      </w:r>
      <w:r w:rsidR="002C587C" w:rsidRPr="00F037B5">
        <w:t xml:space="preserve"> remains concerned over the</w:t>
      </w:r>
      <w:r w:rsidR="002C587C" w:rsidRPr="00F037B5">
        <w:rPr>
          <w:rFonts w:cs="Arial"/>
          <w:szCs w:val="24"/>
        </w:rPr>
        <w:t xml:space="preserve"> lack of independent monitoring and oversight of mental health facilities in Canada. </w:t>
      </w:r>
      <w:r w:rsidR="00EB38D9" w:rsidRPr="00F037B5">
        <w:rPr>
          <w:rFonts w:cs="Arial"/>
          <w:szCs w:val="24"/>
        </w:rPr>
        <w:t xml:space="preserve">For instance, a recent report following the BC Human Rights Commissioner’s Inquiry into detentions under the Adult Guardianship Act, found a lack of transparency and oversight, and a disproportionate impact of detention practices on seniors, people who are unhoused and people with disabilities, including people with mental health and substance use issues, </w:t>
      </w:r>
      <w:r w:rsidR="00507DD4" w:rsidRPr="00F037B5">
        <w:rPr>
          <w:rFonts w:cs="Arial"/>
          <w:szCs w:val="24"/>
        </w:rPr>
        <w:t xml:space="preserve">with effects that </w:t>
      </w:r>
      <w:r w:rsidR="00EB38D9" w:rsidRPr="00F037B5">
        <w:rPr>
          <w:rFonts w:cs="Arial"/>
          <w:szCs w:val="24"/>
        </w:rPr>
        <w:t>amount to systemic discrimination.</w:t>
      </w:r>
      <w:r w:rsidR="00EB38D9" w:rsidRPr="00F037B5">
        <w:rPr>
          <w:rStyle w:val="FootnoteReference"/>
          <w:rFonts w:cs="Arial"/>
          <w:szCs w:val="24"/>
        </w:rPr>
        <w:footnoteReference w:id="83"/>
      </w:r>
      <w:r w:rsidR="00EB38D9" w:rsidRPr="00F037B5">
        <w:rPr>
          <w:rFonts w:cs="Arial"/>
          <w:szCs w:val="24"/>
        </w:rPr>
        <w:t xml:space="preserve"> </w:t>
      </w:r>
      <w:r w:rsidR="002C587C">
        <w:rPr>
          <w:rFonts w:cs="Arial"/>
          <w:szCs w:val="24"/>
        </w:rPr>
        <w:t xml:space="preserve"> </w:t>
      </w:r>
    </w:p>
    <w:p w14:paraId="04717EFD" w14:textId="1D7D2205" w:rsidR="007C3EDA" w:rsidRPr="00F037B5" w:rsidRDefault="001514B5" w:rsidP="00FA48CD">
      <w:pPr>
        <w:keepLines/>
        <w:spacing w:before="120" w:after="120" w:line="240" w:lineRule="auto"/>
        <w:rPr>
          <w:rFonts w:cs="Arial"/>
          <w:szCs w:val="24"/>
        </w:rPr>
      </w:pPr>
      <w:r>
        <w:t>T</w:t>
      </w:r>
      <w:r w:rsidRPr="00F037B5">
        <w:t xml:space="preserve">he CHRC maintains that </w:t>
      </w:r>
      <w:r>
        <w:t>institutionalization cannot be a substitute for the State’s failure to provide adequate services to allow people to live independently in their communities.</w:t>
      </w:r>
    </w:p>
    <w:p w14:paraId="76ABC295" w14:textId="46A276B6" w:rsidR="00FA48CD" w:rsidRPr="00F037B5" w:rsidRDefault="00FA48CD" w:rsidP="00EB38D9">
      <w:pPr>
        <w:pStyle w:val="NoSpacing"/>
        <w:pBdr>
          <w:top w:val="single" w:sz="12" w:space="1" w:color="auto"/>
          <w:left w:val="single" w:sz="12" w:space="4" w:color="auto"/>
          <w:bottom w:val="single" w:sz="12" w:space="1" w:color="auto"/>
          <w:right w:val="single" w:sz="12" w:space="4" w:color="auto"/>
        </w:pBdr>
        <w:shd w:val="clear" w:color="auto" w:fill="DEEAF6" w:themeFill="accent1" w:themeFillTint="33"/>
        <w:spacing w:before="240"/>
        <w:rPr>
          <w:rFonts w:ascii="Arial" w:hAnsi="Arial" w:cs="Arial"/>
          <w:sz w:val="24"/>
          <w:szCs w:val="24"/>
          <w:lang w:val="en-CA"/>
        </w:rPr>
      </w:pPr>
      <w:r w:rsidRPr="00F037B5">
        <w:rPr>
          <w:rFonts w:ascii="Arial" w:hAnsi="Arial" w:cs="Arial"/>
          <w:b/>
          <w:bCs/>
          <w:sz w:val="24"/>
          <w:szCs w:val="24"/>
        </w:rPr>
        <w:lastRenderedPageBreak/>
        <w:t>Recommendation #</w:t>
      </w:r>
      <w:r w:rsidR="00965797">
        <w:rPr>
          <w:rFonts w:ascii="Arial" w:hAnsi="Arial" w:cs="Arial"/>
          <w:b/>
          <w:bCs/>
          <w:sz w:val="24"/>
          <w:szCs w:val="24"/>
        </w:rPr>
        <w:t>14</w:t>
      </w:r>
      <w:r w:rsidRPr="00F037B5">
        <w:rPr>
          <w:rFonts w:ascii="Arial" w:hAnsi="Arial" w:cs="Arial"/>
          <w:b/>
          <w:bCs/>
          <w:sz w:val="24"/>
          <w:szCs w:val="24"/>
        </w:rPr>
        <w:t xml:space="preserve">: </w:t>
      </w:r>
      <w:r w:rsidRPr="00F037B5">
        <w:rPr>
          <w:rFonts w:ascii="Arial" w:hAnsi="Arial" w:cs="Arial"/>
          <w:sz w:val="24"/>
          <w:szCs w:val="24"/>
        </w:rPr>
        <w:t>That Canada provide adequate community-based supports to ensure that appropriate alternatives to</w:t>
      </w:r>
      <w:r w:rsidRPr="00F037B5">
        <w:rPr>
          <w:rFonts w:ascii="Arial" w:hAnsi="Arial" w:cs="Arial"/>
          <w:b/>
          <w:bCs/>
          <w:sz w:val="24"/>
          <w:szCs w:val="24"/>
        </w:rPr>
        <w:t xml:space="preserve"> </w:t>
      </w:r>
      <w:r w:rsidRPr="00F037B5">
        <w:rPr>
          <w:rFonts w:ascii="Arial" w:hAnsi="Arial" w:cs="Arial"/>
          <w:sz w:val="24"/>
          <w:szCs w:val="24"/>
        </w:rPr>
        <w:t xml:space="preserve">institutionalization are available for people with disabilities so that they can live with dignity and independence in their communities. </w:t>
      </w:r>
    </w:p>
    <w:p w14:paraId="3654BAA0" w14:textId="77777777" w:rsidR="00FA48CD" w:rsidRPr="00F037B5" w:rsidRDefault="00FA48CD" w:rsidP="00FA48CD">
      <w:pPr>
        <w:pStyle w:val="Heading2"/>
        <w:ind w:left="567" w:hanging="567"/>
      </w:pPr>
      <w:bookmarkStart w:id="36" w:name="_Toc183602904"/>
      <w:bookmarkStart w:id="37" w:name="_Toc183602995"/>
      <w:bookmarkStart w:id="38" w:name="_Toc220669674"/>
      <w:r w:rsidRPr="00F037B5">
        <w:t>Ratifying the Optional Protocol to the Convention against Torture</w:t>
      </w:r>
      <w:bookmarkEnd w:id="38"/>
      <w:r w:rsidRPr="00F037B5">
        <w:t xml:space="preserve"> </w:t>
      </w:r>
      <w:bookmarkEnd w:id="36"/>
      <w:bookmarkEnd w:id="37"/>
    </w:p>
    <w:p w14:paraId="6B886690" w14:textId="50DEBFB0" w:rsidR="00FA48CD" w:rsidRPr="00F037B5" w:rsidRDefault="00FA48CD" w:rsidP="00FA48CD">
      <w:pPr>
        <w:pStyle w:val="NoSpacing"/>
        <w:rPr>
          <w:rFonts w:ascii="Arial" w:hAnsi="Arial" w:cs="Arial"/>
          <w:sz w:val="24"/>
          <w:szCs w:val="24"/>
        </w:rPr>
      </w:pPr>
      <w:r w:rsidRPr="00F037B5">
        <w:rPr>
          <w:rFonts w:ascii="Arial" w:hAnsi="Arial" w:cs="Arial"/>
          <w:sz w:val="24"/>
          <w:szCs w:val="24"/>
        </w:rPr>
        <w:t>To align Canada with international standards on independent oversight of places of deprivation of liberty, the CHRC continues to call on Canada to ratify the Optional Protocol to the Convention against Torture (OPCAT). The OPCAT could offer a framework for more consistent and proactive human rights protections for people who are detained across all jurisdictions.</w:t>
      </w:r>
      <w:r w:rsidRPr="00F037B5">
        <w:rPr>
          <w:rStyle w:val="FootnoteReference"/>
          <w:rFonts w:ascii="Arial" w:hAnsi="Arial" w:cs="Arial"/>
          <w:sz w:val="24"/>
          <w:szCs w:val="24"/>
        </w:rPr>
        <w:footnoteReference w:id="84"/>
      </w:r>
      <w:r w:rsidRPr="00F037B5">
        <w:rPr>
          <w:rFonts w:ascii="Arial" w:hAnsi="Arial" w:cs="Arial"/>
          <w:sz w:val="24"/>
          <w:szCs w:val="24"/>
        </w:rPr>
        <w:t xml:space="preserve"> Despite Canada’s commitment to prioritize the ratification of OPCAT during its most recent Universal Periodic Review, </w:t>
      </w:r>
      <w:r w:rsidR="009F1538">
        <w:rPr>
          <w:rFonts w:ascii="Arial" w:hAnsi="Arial" w:cs="Arial"/>
          <w:sz w:val="24"/>
          <w:szCs w:val="24"/>
        </w:rPr>
        <w:t>the status of this commitment remains unclear.</w:t>
      </w:r>
    </w:p>
    <w:p w14:paraId="6AD3855E" w14:textId="77777777" w:rsidR="00FA48CD" w:rsidRPr="00F037B5" w:rsidRDefault="00FA48CD" w:rsidP="00FA48CD">
      <w:pPr>
        <w:pStyle w:val="NoSpacing"/>
        <w:rPr>
          <w:rFonts w:ascii="Arial" w:hAnsi="Arial" w:cs="Arial"/>
          <w:b/>
          <w:bCs/>
          <w:sz w:val="24"/>
          <w:szCs w:val="24"/>
        </w:rPr>
      </w:pPr>
    </w:p>
    <w:p w14:paraId="1322180D" w14:textId="0825BF80" w:rsidR="00A16476" w:rsidRPr="00F037B5" w:rsidRDefault="00FA48CD" w:rsidP="00FA48CD">
      <w:pPr>
        <w:pStyle w:val="NoSpacing"/>
        <w:pBdr>
          <w:top w:val="single" w:sz="12" w:space="1" w:color="auto"/>
          <w:left w:val="single" w:sz="12" w:space="4" w:color="auto"/>
          <w:bottom w:val="single" w:sz="12" w:space="1" w:color="auto"/>
          <w:right w:val="single" w:sz="12" w:space="4" w:color="auto"/>
        </w:pBdr>
        <w:shd w:val="clear" w:color="auto" w:fill="DEEAF6" w:themeFill="accent1" w:themeFillTint="33"/>
        <w:spacing w:after="240"/>
        <w:rPr>
          <w:rFonts w:ascii="Arial" w:hAnsi="Arial" w:cs="Arial"/>
          <w:sz w:val="24"/>
          <w:szCs w:val="24"/>
        </w:rPr>
      </w:pPr>
      <w:r w:rsidRPr="00F037B5">
        <w:rPr>
          <w:rFonts w:ascii="Arial" w:hAnsi="Arial" w:cs="Arial"/>
          <w:b/>
          <w:bCs/>
          <w:sz w:val="24"/>
          <w:szCs w:val="24"/>
        </w:rPr>
        <w:t>Recommendation #</w:t>
      </w:r>
      <w:r w:rsidR="00965797">
        <w:rPr>
          <w:rFonts w:ascii="Arial" w:hAnsi="Arial" w:cs="Arial"/>
          <w:b/>
          <w:bCs/>
          <w:sz w:val="24"/>
          <w:szCs w:val="24"/>
        </w:rPr>
        <w:t>15</w:t>
      </w:r>
      <w:r w:rsidRPr="00F037B5">
        <w:rPr>
          <w:rFonts w:ascii="Arial" w:hAnsi="Arial" w:cs="Arial"/>
          <w:b/>
          <w:bCs/>
          <w:sz w:val="24"/>
          <w:szCs w:val="24"/>
        </w:rPr>
        <w:t xml:space="preserve">: </w:t>
      </w:r>
      <w:r w:rsidRPr="00F037B5">
        <w:rPr>
          <w:rFonts w:ascii="Arial" w:hAnsi="Arial" w:cs="Arial"/>
          <w:sz w:val="24"/>
          <w:szCs w:val="24"/>
        </w:rPr>
        <w:t>That Canada sign</w:t>
      </w:r>
      <w:r w:rsidRPr="00F037B5">
        <w:rPr>
          <w:rFonts w:ascii="Arial-BoldMT" w:eastAsiaTheme="minorHAnsi" w:hAnsi="Arial-BoldMT"/>
          <w:color w:val="000000"/>
          <w:sz w:val="24"/>
          <w:szCs w:val="24"/>
          <w:lang w:val="en-CA"/>
        </w:rPr>
        <w:t>, ratify and implement the OPCAT without delay, including by designating an appropriate National Preventive Mechanism to ensure ongoing and enhanced independent oversight, monitoring and reporting in all places of detention.</w:t>
      </w:r>
    </w:p>
    <w:p w14:paraId="6D3073C6" w14:textId="70746A96" w:rsidR="006F4455" w:rsidRPr="00F037B5" w:rsidRDefault="009D032D" w:rsidP="009D032D">
      <w:pPr>
        <w:pStyle w:val="Heading1"/>
        <w:rPr>
          <w:lang w:val="en-US"/>
        </w:rPr>
      </w:pPr>
      <w:bookmarkStart w:id="39" w:name="_Toc220669675"/>
      <w:bookmarkEnd w:id="14"/>
      <w:bookmarkEnd w:id="15"/>
      <w:r w:rsidRPr="00F037B5">
        <w:rPr>
          <w:lang w:val="en-US"/>
        </w:rPr>
        <w:t>Access to Election Process</w:t>
      </w:r>
      <w:r w:rsidR="00B92467">
        <w:rPr>
          <w:lang w:val="en-US"/>
        </w:rPr>
        <w:t>es</w:t>
      </w:r>
      <w:r w:rsidRPr="00F037B5">
        <w:rPr>
          <w:lang w:val="en-US"/>
        </w:rPr>
        <w:t xml:space="preserve"> (Articles 2, 25, 26)</w:t>
      </w:r>
      <w:bookmarkEnd w:id="39"/>
      <w:r w:rsidRPr="00F037B5">
        <w:rPr>
          <w:lang w:val="en-US"/>
        </w:rPr>
        <w:t xml:space="preserve"> </w:t>
      </w:r>
    </w:p>
    <w:p w14:paraId="1AE6C5D7" w14:textId="3BF42F79" w:rsidR="00D90C52" w:rsidRPr="00F037B5" w:rsidRDefault="00D90C52" w:rsidP="00D90C52">
      <w:pPr>
        <w:spacing w:line="240" w:lineRule="auto"/>
        <w:rPr>
          <w:rFonts w:cs="Arial"/>
          <w:szCs w:val="24"/>
        </w:rPr>
      </w:pPr>
      <w:bookmarkStart w:id="40" w:name="_Toc183602897"/>
      <w:bookmarkStart w:id="41" w:name="_Toc183602988"/>
      <w:r w:rsidRPr="00F037B5">
        <w:rPr>
          <w:rFonts w:cs="Arial"/>
          <w:szCs w:val="24"/>
        </w:rPr>
        <w:t>The CHRC remains concerned about persistent barriers that exist in the electoral process. Aspects of the election process in Canada – from the distribution of pre-election materials to participation in debates, to the accessibility of voting cent</w:t>
      </w:r>
      <w:r w:rsidR="00242CC5" w:rsidRPr="00F037B5">
        <w:rPr>
          <w:rFonts w:cs="Arial"/>
          <w:szCs w:val="24"/>
        </w:rPr>
        <w:t>res</w:t>
      </w:r>
      <w:r w:rsidRPr="00F037B5">
        <w:rPr>
          <w:rFonts w:cs="Arial"/>
          <w:szCs w:val="24"/>
        </w:rPr>
        <w:t xml:space="preserve"> and the ways in which ballots are cast – have been criticized by people with disabilities and their representative organizations as being inaccessible and exclusionary.</w:t>
      </w:r>
      <w:r w:rsidR="00BA3850" w:rsidRPr="00F037B5">
        <w:rPr>
          <w:rStyle w:val="FootnoteReference"/>
          <w:rFonts w:cs="Arial"/>
          <w:szCs w:val="24"/>
        </w:rPr>
        <w:footnoteReference w:id="85"/>
      </w:r>
      <w:r w:rsidRPr="00F037B5">
        <w:rPr>
          <w:rFonts w:cs="Arial"/>
          <w:szCs w:val="24"/>
        </w:rPr>
        <w:t xml:space="preserve"> Despite modifications</w:t>
      </w:r>
      <w:r w:rsidR="007F0949">
        <w:rPr>
          <w:rFonts w:cs="Arial"/>
          <w:szCs w:val="24"/>
        </w:rPr>
        <w:t xml:space="preserve"> </w:t>
      </w:r>
      <w:r w:rsidRPr="00F037B5">
        <w:rPr>
          <w:rFonts w:cs="Arial"/>
          <w:szCs w:val="24"/>
        </w:rPr>
        <w:t xml:space="preserve">to some buildings and polling stations, staff training </w:t>
      </w:r>
      <w:r w:rsidR="003C0746" w:rsidRPr="00F037B5">
        <w:rPr>
          <w:rFonts w:cs="Arial"/>
          <w:szCs w:val="24"/>
        </w:rPr>
        <w:t>around</w:t>
      </w:r>
      <w:r w:rsidRPr="00F037B5">
        <w:rPr>
          <w:rFonts w:cs="Arial"/>
          <w:szCs w:val="24"/>
        </w:rPr>
        <w:t xml:space="preserve"> accessibility, and a range of information, education and accessibility services being made available to assist pe</w:t>
      </w:r>
      <w:r w:rsidR="004971DE">
        <w:rPr>
          <w:rFonts w:cs="Arial"/>
          <w:szCs w:val="24"/>
        </w:rPr>
        <w:t>ople</w:t>
      </w:r>
      <w:r w:rsidRPr="00F037B5">
        <w:rPr>
          <w:rFonts w:cs="Arial"/>
          <w:szCs w:val="24"/>
        </w:rPr>
        <w:t xml:space="preserve"> with disabilities in the election process, </w:t>
      </w:r>
      <w:r w:rsidR="00EE5B19">
        <w:rPr>
          <w:rFonts w:cs="Arial"/>
          <w:szCs w:val="24"/>
        </w:rPr>
        <w:t xml:space="preserve">systemic </w:t>
      </w:r>
      <w:r w:rsidRPr="00F037B5">
        <w:rPr>
          <w:rFonts w:cs="Arial"/>
          <w:szCs w:val="24"/>
        </w:rPr>
        <w:t>barriers to full and equal participation in the democratic process remain.</w:t>
      </w:r>
      <w:r w:rsidR="00DA6BE7" w:rsidRPr="00F037B5">
        <w:t xml:space="preserve"> For example,</w:t>
      </w:r>
      <w:r w:rsidR="00DA6BE7" w:rsidRPr="00F037B5">
        <w:rPr>
          <w:rFonts w:cs="Arial"/>
          <w:szCs w:val="24"/>
        </w:rPr>
        <w:t xml:space="preserve"> alternative methods of casting one’s vote – such as by telephone, online or by using technology – which would help facilitate private and independent voting for electors with disabilities, have not yet been largely implemented at the federal level. </w:t>
      </w:r>
      <w:r w:rsidRPr="00F037B5">
        <w:rPr>
          <w:rFonts w:cs="Arial"/>
          <w:szCs w:val="24"/>
        </w:rPr>
        <w:t xml:space="preserve">The CHRC recognizes that </w:t>
      </w:r>
      <w:r w:rsidR="007F0949">
        <w:rPr>
          <w:rFonts w:cs="Arial"/>
          <w:szCs w:val="24"/>
        </w:rPr>
        <w:t>more</w:t>
      </w:r>
      <w:r w:rsidRPr="00F037B5">
        <w:rPr>
          <w:rFonts w:cs="Arial"/>
          <w:szCs w:val="24"/>
        </w:rPr>
        <w:t xml:space="preserve"> progress </w:t>
      </w:r>
      <w:r w:rsidR="007F0949">
        <w:rPr>
          <w:rFonts w:cs="Arial"/>
          <w:szCs w:val="24"/>
        </w:rPr>
        <w:t>is needed</w:t>
      </w:r>
      <w:r w:rsidRPr="00F037B5">
        <w:rPr>
          <w:rFonts w:cs="Arial"/>
          <w:szCs w:val="24"/>
        </w:rPr>
        <w:t xml:space="preserve"> to </w:t>
      </w:r>
      <w:r w:rsidR="00E31E1A">
        <w:rPr>
          <w:rFonts w:cs="Arial"/>
          <w:szCs w:val="24"/>
        </w:rPr>
        <w:t>provide barrier-free services</w:t>
      </w:r>
      <w:r w:rsidR="00796EFC">
        <w:rPr>
          <w:rFonts w:cs="Arial"/>
          <w:szCs w:val="24"/>
        </w:rPr>
        <w:t>, as required under the Accessible Canada Act and the CRPD,</w:t>
      </w:r>
      <w:r w:rsidR="00E31E1A">
        <w:rPr>
          <w:rFonts w:cs="Arial"/>
          <w:szCs w:val="24"/>
        </w:rPr>
        <w:t xml:space="preserve"> and </w:t>
      </w:r>
      <w:r w:rsidRPr="00F037B5">
        <w:rPr>
          <w:rFonts w:cs="Arial"/>
          <w:szCs w:val="24"/>
        </w:rPr>
        <w:t xml:space="preserve">ensure that all people with disabilities have an equal opportunity to participate in the electoral process. </w:t>
      </w:r>
    </w:p>
    <w:p w14:paraId="2F38751F" w14:textId="41685829" w:rsidR="00D90C52" w:rsidRPr="00F037B5" w:rsidRDefault="00B44B5B" w:rsidP="00695B9E">
      <w:pPr>
        <w:spacing w:line="240" w:lineRule="auto"/>
        <w:rPr>
          <w:rFonts w:cs="Arial"/>
          <w:szCs w:val="24"/>
        </w:rPr>
      </w:pPr>
      <w:r>
        <w:rPr>
          <w:rFonts w:cs="Arial"/>
          <w:szCs w:val="24"/>
        </w:rPr>
        <w:t>T</w:t>
      </w:r>
      <w:r w:rsidR="00D90C52" w:rsidRPr="00F037B5">
        <w:rPr>
          <w:rFonts w:cs="Arial"/>
          <w:szCs w:val="24"/>
        </w:rPr>
        <w:t>he CHRC</w:t>
      </w:r>
      <w:r w:rsidR="00E568AA" w:rsidRPr="00F037B5">
        <w:rPr>
          <w:rFonts w:cs="Arial"/>
          <w:szCs w:val="24"/>
        </w:rPr>
        <w:t xml:space="preserve"> has heard concerns</w:t>
      </w:r>
      <w:r w:rsidR="00D90C52" w:rsidRPr="00F037B5">
        <w:rPr>
          <w:rFonts w:cs="Arial"/>
          <w:szCs w:val="24"/>
        </w:rPr>
        <w:t xml:space="preserve"> </w:t>
      </w:r>
      <w:r w:rsidR="00327DA0" w:rsidRPr="00F037B5">
        <w:rPr>
          <w:rFonts w:cs="Arial"/>
          <w:szCs w:val="24"/>
        </w:rPr>
        <w:t>about barriers experienced by voters</w:t>
      </w:r>
      <w:r w:rsidR="00D90C52" w:rsidRPr="00F037B5">
        <w:rPr>
          <w:rFonts w:cs="Arial"/>
          <w:szCs w:val="24"/>
        </w:rPr>
        <w:t xml:space="preserve"> </w:t>
      </w:r>
      <w:r w:rsidR="00D209F6" w:rsidRPr="00F037B5">
        <w:rPr>
          <w:rFonts w:cs="Arial"/>
          <w:szCs w:val="24"/>
        </w:rPr>
        <w:t xml:space="preserve">with various disabilities, including those </w:t>
      </w:r>
      <w:r w:rsidR="00E568AA" w:rsidRPr="00F037B5">
        <w:rPr>
          <w:rFonts w:cs="Arial"/>
          <w:szCs w:val="24"/>
        </w:rPr>
        <w:t>who are blind or have low vision</w:t>
      </w:r>
      <w:r w:rsidR="00D209F6" w:rsidRPr="00F037B5">
        <w:rPr>
          <w:rFonts w:cs="Arial"/>
          <w:szCs w:val="24"/>
        </w:rPr>
        <w:t xml:space="preserve"> and those with Multiple Chemical Sensitivity (MCS).</w:t>
      </w:r>
      <w:r w:rsidR="00D90C52" w:rsidRPr="00F037B5">
        <w:rPr>
          <w:rFonts w:cs="Arial"/>
          <w:szCs w:val="24"/>
        </w:rPr>
        <w:t xml:space="preserve"> </w:t>
      </w:r>
      <w:r w:rsidR="008D1450" w:rsidRPr="00F037B5">
        <w:rPr>
          <w:rFonts w:cs="Arial"/>
          <w:szCs w:val="24"/>
        </w:rPr>
        <w:t>For instance,</w:t>
      </w:r>
      <w:r w:rsidR="00D90C52" w:rsidRPr="00F037B5">
        <w:rPr>
          <w:rFonts w:cs="Arial"/>
          <w:szCs w:val="24"/>
        </w:rPr>
        <w:t xml:space="preserve"> </w:t>
      </w:r>
      <w:r w:rsidR="00074CFC" w:rsidRPr="00F037B5">
        <w:rPr>
          <w:rFonts w:cs="Arial"/>
          <w:szCs w:val="24"/>
        </w:rPr>
        <w:t xml:space="preserve">at </w:t>
      </w:r>
      <w:r w:rsidR="00B92467">
        <w:rPr>
          <w:rFonts w:cs="Arial"/>
          <w:szCs w:val="24"/>
        </w:rPr>
        <w:t>a</w:t>
      </w:r>
      <w:r w:rsidR="00074CFC" w:rsidRPr="00F037B5">
        <w:rPr>
          <w:rFonts w:cs="Arial"/>
          <w:szCs w:val="24"/>
        </w:rPr>
        <w:t xml:space="preserve"> polling station, </w:t>
      </w:r>
      <w:r w:rsidR="002C497A">
        <w:rPr>
          <w:rFonts w:cs="Arial"/>
          <w:szCs w:val="24"/>
        </w:rPr>
        <w:t>voters</w:t>
      </w:r>
      <w:r w:rsidR="002C497A" w:rsidRPr="00F037B5">
        <w:rPr>
          <w:rFonts w:cs="Arial"/>
          <w:szCs w:val="24"/>
        </w:rPr>
        <w:t xml:space="preserve"> </w:t>
      </w:r>
      <w:r w:rsidR="005E440C">
        <w:rPr>
          <w:rFonts w:cs="Arial"/>
          <w:szCs w:val="24"/>
        </w:rPr>
        <w:t>who are blind or have low vision</w:t>
      </w:r>
      <w:r w:rsidR="00D90C52" w:rsidRPr="00F037B5">
        <w:rPr>
          <w:rFonts w:cs="Arial"/>
          <w:szCs w:val="24"/>
        </w:rPr>
        <w:t xml:space="preserve"> must show their ballots</w:t>
      </w:r>
      <w:r w:rsidR="008D1450" w:rsidRPr="00F037B5">
        <w:rPr>
          <w:rFonts w:cs="Arial"/>
          <w:szCs w:val="24"/>
        </w:rPr>
        <w:t xml:space="preserve"> </w:t>
      </w:r>
      <w:r w:rsidR="00D90C52" w:rsidRPr="00F037B5">
        <w:rPr>
          <w:rFonts w:cs="Arial"/>
          <w:szCs w:val="24"/>
        </w:rPr>
        <w:t xml:space="preserve">to a sighted person to ensure that it is marked </w:t>
      </w:r>
      <w:r w:rsidR="007F0949">
        <w:rPr>
          <w:rFonts w:cs="Arial"/>
          <w:szCs w:val="24"/>
        </w:rPr>
        <w:lastRenderedPageBreak/>
        <w:t>as intended</w:t>
      </w:r>
      <w:r w:rsidR="00D90C52" w:rsidRPr="00F037B5">
        <w:rPr>
          <w:rFonts w:cs="Arial"/>
          <w:szCs w:val="24"/>
        </w:rPr>
        <w:t xml:space="preserve">. For mail-in ballots, there are no accessible tools that would help a blind </w:t>
      </w:r>
      <w:r w:rsidR="002C497A">
        <w:rPr>
          <w:rFonts w:cs="Arial"/>
          <w:szCs w:val="24"/>
        </w:rPr>
        <w:t>voter</w:t>
      </w:r>
      <w:r w:rsidR="002C497A" w:rsidRPr="00F037B5">
        <w:rPr>
          <w:rFonts w:cs="Arial"/>
          <w:szCs w:val="24"/>
        </w:rPr>
        <w:t xml:space="preserve"> </w:t>
      </w:r>
      <w:r w:rsidR="00D90C52" w:rsidRPr="00F037B5">
        <w:rPr>
          <w:rFonts w:cs="Arial"/>
          <w:szCs w:val="24"/>
        </w:rPr>
        <w:t>to mark their ballot.</w:t>
      </w:r>
      <w:r w:rsidR="00D90C52" w:rsidRPr="00F037B5">
        <w:rPr>
          <w:rStyle w:val="FootnoteReference"/>
          <w:rFonts w:cs="Arial"/>
          <w:szCs w:val="24"/>
        </w:rPr>
        <w:footnoteReference w:id="86"/>
      </w:r>
      <w:r w:rsidR="00D90C52" w:rsidRPr="00F037B5">
        <w:rPr>
          <w:rFonts w:cs="Arial"/>
          <w:szCs w:val="24"/>
        </w:rPr>
        <w:t xml:space="preserve"> </w:t>
      </w:r>
      <w:r w:rsidR="00D209F6" w:rsidRPr="00F037B5">
        <w:rPr>
          <w:rFonts w:cs="Arial"/>
          <w:szCs w:val="24"/>
        </w:rPr>
        <w:t xml:space="preserve">For </w:t>
      </w:r>
      <w:r w:rsidR="007256CC" w:rsidRPr="00F037B5">
        <w:rPr>
          <w:rFonts w:cs="Arial"/>
          <w:szCs w:val="24"/>
        </w:rPr>
        <w:t xml:space="preserve">some </w:t>
      </w:r>
      <w:r w:rsidR="00D209F6" w:rsidRPr="00F037B5">
        <w:rPr>
          <w:rFonts w:cs="Arial"/>
          <w:szCs w:val="24"/>
        </w:rPr>
        <w:t xml:space="preserve">voters with </w:t>
      </w:r>
      <w:r w:rsidR="00D90C52" w:rsidRPr="00F037B5">
        <w:rPr>
          <w:rFonts w:cs="Arial"/>
          <w:szCs w:val="24"/>
        </w:rPr>
        <w:t>MCS</w:t>
      </w:r>
      <w:r w:rsidR="00D209F6" w:rsidRPr="00F037B5">
        <w:rPr>
          <w:rFonts w:cs="Arial"/>
          <w:szCs w:val="24"/>
        </w:rPr>
        <w:t xml:space="preserve">, </w:t>
      </w:r>
      <w:r w:rsidR="00D90C52" w:rsidRPr="00F037B5">
        <w:rPr>
          <w:rFonts w:cs="Arial"/>
          <w:szCs w:val="24"/>
        </w:rPr>
        <w:t>the presence of certain environmental factors</w:t>
      </w:r>
      <w:r w:rsidR="00D209F6" w:rsidRPr="00F037B5">
        <w:rPr>
          <w:rFonts w:cs="Arial"/>
          <w:szCs w:val="24"/>
        </w:rPr>
        <w:t xml:space="preserve"> </w:t>
      </w:r>
      <w:r w:rsidR="005E440C">
        <w:rPr>
          <w:rFonts w:cs="Arial"/>
          <w:szCs w:val="24"/>
        </w:rPr>
        <w:t xml:space="preserve">such as fragrances </w:t>
      </w:r>
      <w:r w:rsidR="00D209F6" w:rsidRPr="00F037B5">
        <w:rPr>
          <w:rFonts w:cs="Arial"/>
          <w:szCs w:val="24"/>
        </w:rPr>
        <w:t>ha</w:t>
      </w:r>
      <w:r w:rsidR="00074CFC" w:rsidRPr="00F037B5">
        <w:rPr>
          <w:rFonts w:cs="Arial"/>
          <w:szCs w:val="24"/>
        </w:rPr>
        <w:t>s</w:t>
      </w:r>
      <w:r w:rsidR="00D209F6" w:rsidRPr="00F037B5">
        <w:rPr>
          <w:rFonts w:cs="Arial"/>
          <w:szCs w:val="24"/>
        </w:rPr>
        <w:t xml:space="preserve"> forced them to leave the polling station without voting</w:t>
      </w:r>
      <w:r w:rsidR="00D90C52" w:rsidRPr="00F037B5">
        <w:rPr>
          <w:rFonts w:cs="Arial"/>
          <w:szCs w:val="24"/>
        </w:rPr>
        <w:t>.</w:t>
      </w:r>
      <w:r w:rsidR="00D90C52" w:rsidRPr="00F037B5">
        <w:rPr>
          <w:rStyle w:val="FootnoteReference"/>
          <w:rFonts w:cs="Arial"/>
          <w:szCs w:val="24"/>
        </w:rPr>
        <w:footnoteReference w:id="87"/>
      </w:r>
      <w:r w:rsidR="005E440C">
        <w:rPr>
          <w:rFonts w:cs="Arial"/>
          <w:szCs w:val="24"/>
        </w:rPr>
        <w:t xml:space="preserve"> Progress remains to ensure that voters with disabilities can exercise their right to vote independently and </w:t>
      </w:r>
      <w:r w:rsidR="00830EF2">
        <w:rPr>
          <w:rFonts w:cs="Arial"/>
          <w:szCs w:val="24"/>
        </w:rPr>
        <w:t>barrier-free.</w:t>
      </w:r>
    </w:p>
    <w:p w14:paraId="5C36D4B1" w14:textId="5F875772" w:rsidR="00A16476" w:rsidRPr="00F037B5" w:rsidRDefault="00695B9E" w:rsidP="00256305">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037B5">
        <w:rPr>
          <w:rFonts w:cs="Arial"/>
          <w:b/>
          <w:bCs/>
          <w:szCs w:val="24"/>
          <w:lang w:val="en-US"/>
        </w:rPr>
        <w:t>Recommendation #</w:t>
      </w:r>
      <w:r w:rsidR="00965797">
        <w:rPr>
          <w:rFonts w:cs="Arial"/>
          <w:b/>
          <w:bCs/>
          <w:szCs w:val="24"/>
          <w:lang w:val="en-US"/>
        </w:rPr>
        <w:t>16</w:t>
      </w:r>
      <w:r w:rsidRPr="00F037B5">
        <w:rPr>
          <w:rFonts w:cs="Arial"/>
          <w:b/>
          <w:bCs/>
          <w:szCs w:val="24"/>
          <w:lang w:val="en-US"/>
        </w:rPr>
        <w:t xml:space="preserve">: </w:t>
      </w:r>
      <w:r w:rsidR="00256305" w:rsidRPr="00194CCC">
        <w:rPr>
          <w:rFonts w:cs="Arial"/>
          <w:szCs w:val="24"/>
          <w:lang w:val="en-US"/>
        </w:rPr>
        <w:t xml:space="preserve">That Canada ensure that people with disabilities </w:t>
      </w:r>
      <w:r w:rsidR="00725D13" w:rsidRPr="00194CCC">
        <w:rPr>
          <w:rFonts w:cs="Arial"/>
          <w:szCs w:val="24"/>
          <w:lang w:val="en-US"/>
        </w:rPr>
        <w:t>can</w:t>
      </w:r>
      <w:r w:rsidR="00256305" w:rsidRPr="00194CCC">
        <w:rPr>
          <w:rFonts w:cs="Arial"/>
          <w:szCs w:val="24"/>
          <w:lang w:val="en-US"/>
        </w:rPr>
        <w:t xml:space="preserve"> </w:t>
      </w:r>
      <w:r w:rsidR="00327DA0" w:rsidRPr="00194CCC">
        <w:rPr>
          <w:rFonts w:cs="Arial"/>
          <w:szCs w:val="24"/>
          <w:lang w:val="en-US"/>
        </w:rPr>
        <w:t xml:space="preserve">fully </w:t>
      </w:r>
      <w:r w:rsidR="00256305" w:rsidRPr="00194CCC">
        <w:rPr>
          <w:rFonts w:cs="Arial"/>
          <w:szCs w:val="24"/>
          <w:lang w:val="en-US"/>
        </w:rPr>
        <w:t xml:space="preserve">participate in </w:t>
      </w:r>
      <w:r w:rsidR="00327DA0" w:rsidRPr="00194CCC">
        <w:rPr>
          <w:rFonts w:cs="Arial"/>
          <w:szCs w:val="24"/>
          <w:lang w:val="en-US"/>
        </w:rPr>
        <w:t>the democratic process</w:t>
      </w:r>
      <w:r w:rsidR="00256305" w:rsidRPr="00194CCC">
        <w:rPr>
          <w:rFonts w:cs="Arial"/>
          <w:szCs w:val="24"/>
          <w:lang w:val="en-US"/>
        </w:rPr>
        <w:t xml:space="preserve"> by removing barriers to participation</w:t>
      </w:r>
      <w:r w:rsidR="00327DA0" w:rsidRPr="00194CCC">
        <w:rPr>
          <w:rFonts w:cs="Arial"/>
          <w:szCs w:val="24"/>
          <w:lang w:val="en-US"/>
        </w:rPr>
        <w:t xml:space="preserve"> experienced by people with various disabilities</w:t>
      </w:r>
      <w:r w:rsidR="00256305" w:rsidRPr="00194CCC">
        <w:rPr>
          <w:rFonts w:cs="Arial"/>
          <w:szCs w:val="24"/>
          <w:lang w:val="en-US"/>
        </w:rPr>
        <w:t xml:space="preserve">. </w:t>
      </w:r>
      <w:r w:rsidR="00256305" w:rsidRPr="00194CCC">
        <w:rPr>
          <w:rFonts w:cs="Arial"/>
          <w:szCs w:val="24"/>
        </w:rPr>
        <w:t>These efforts should ensure coordination between the various jurisdictions in Canada in relation to this issue.</w:t>
      </w:r>
      <w:r w:rsidR="00256305" w:rsidRPr="00F037B5">
        <w:rPr>
          <w:rFonts w:cs="Arial"/>
          <w:b/>
          <w:bCs/>
          <w:szCs w:val="24"/>
        </w:rPr>
        <w:t xml:space="preserve"> </w:t>
      </w:r>
      <w:r w:rsidR="00256305" w:rsidRPr="00F037B5">
        <w:rPr>
          <w:rFonts w:cs="Arial"/>
        </w:rPr>
        <w:t xml:space="preserve"> </w:t>
      </w:r>
    </w:p>
    <w:p w14:paraId="08EB673C" w14:textId="707EF5D6" w:rsidR="00AA5246" w:rsidRPr="00F037B5" w:rsidRDefault="009D032D" w:rsidP="00AA5246">
      <w:pPr>
        <w:pStyle w:val="Heading1"/>
      </w:pPr>
      <w:bookmarkStart w:id="42" w:name="_Toc220669676"/>
      <w:bookmarkEnd w:id="40"/>
      <w:bookmarkEnd w:id="41"/>
      <w:r w:rsidRPr="00F037B5">
        <w:t>Pay Equity (Article</w:t>
      </w:r>
      <w:r w:rsidR="00155697" w:rsidRPr="00F037B5">
        <w:t>s</w:t>
      </w:r>
      <w:r w:rsidRPr="00F037B5">
        <w:t xml:space="preserve"> </w:t>
      </w:r>
      <w:r w:rsidR="00155697" w:rsidRPr="00F037B5">
        <w:t>3, 26</w:t>
      </w:r>
      <w:r w:rsidRPr="00F037B5">
        <w:t>)</w:t>
      </w:r>
      <w:bookmarkEnd w:id="42"/>
      <w:r w:rsidRPr="00F037B5">
        <w:t xml:space="preserve"> </w:t>
      </w:r>
    </w:p>
    <w:p w14:paraId="00CF9D5C" w14:textId="24BA4219" w:rsidR="005E04E8" w:rsidRPr="00F037B5" w:rsidRDefault="005E04E8" w:rsidP="005E04E8">
      <w:pPr>
        <w:spacing w:before="240" w:line="240" w:lineRule="auto"/>
        <w:rPr>
          <w:rFonts w:eastAsia="Calibri" w:cs="Arial"/>
          <w:szCs w:val="24"/>
          <w:lang w:val="en-US"/>
        </w:rPr>
      </w:pPr>
      <w:bookmarkStart w:id="43" w:name="_Toc183602905"/>
      <w:bookmarkStart w:id="44" w:name="_Toc183602996"/>
      <w:r w:rsidRPr="00F037B5">
        <w:rPr>
          <w:rFonts w:eastAsia="Calibri" w:cs="Arial"/>
          <w:szCs w:val="24"/>
        </w:rPr>
        <w:t xml:space="preserve">The gender wage gap remains a persistent problem in Canada. </w:t>
      </w:r>
      <w:r w:rsidRPr="00F037B5">
        <w:rPr>
          <w:rFonts w:eastAsia="Calibri" w:cs="Arial"/>
          <w:szCs w:val="24"/>
          <w:lang w:val="en-US"/>
        </w:rPr>
        <w:t xml:space="preserve">In 2024, </w:t>
      </w:r>
      <w:r w:rsidRPr="00F037B5">
        <w:rPr>
          <w:rFonts w:eastAsia="Calibri" w:cs="Arial"/>
          <w:szCs w:val="24"/>
        </w:rPr>
        <w:t>for every $1.00 a man earned, a wom</w:t>
      </w:r>
      <w:r w:rsidR="00BE7D3B" w:rsidRPr="00F037B5">
        <w:rPr>
          <w:rFonts w:eastAsia="Calibri" w:cs="Arial"/>
          <w:szCs w:val="24"/>
        </w:rPr>
        <w:t>a</w:t>
      </w:r>
      <w:r w:rsidRPr="00F037B5">
        <w:rPr>
          <w:rFonts w:eastAsia="Calibri" w:cs="Arial"/>
          <w:szCs w:val="24"/>
        </w:rPr>
        <w:t>n earned 87 cents</w:t>
      </w:r>
      <w:r w:rsidRPr="00F037B5">
        <w:rPr>
          <w:rFonts w:eastAsia="Calibri" w:cs="Arial"/>
          <w:szCs w:val="24"/>
          <w:lang w:val="en-US"/>
        </w:rPr>
        <w:t>.</w:t>
      </w:r>
      <w:r w:rsidRPr="00F037B5">
        <w:rPr>
          <w:rFonts w:eastAsia="Calibri" w:cs="Arial"/>
          <w:szCs w:val="24"/>
          <w:vertAlign w:val="superscript"/>
          <w:lang w:val="en-US"/>
        </w:rPr>
        <w:footnoteReference w:id="88"/>
      </w:r>
      <w:r w:rsidRPr="00F037B5">
        <w:rPr>
          <w:rFonts w:eastAsia="Calibri" w:cs="Arial"/>
          <w:szCs w:val="24"/>
          <w:lang w:val="en-US"/>
        </w:rPr>
        <w:t xml:space="preserve"> The gender pay gap is even more pronounced for Indigenous</w:t>
      </w:r>
      <w:r w:rsidRPr="00F037B5">
        <w:rPr>
          <w:rStyle w:val="FootnoteReference"/>
          <w:rFonts w:eastAsia="Calibri" w:cs="Arial"/>
          <w:szCs w:val="24"/>
          <w:lang w:val="en-US"/>
        </w:rPr>
        <w:footnoteReference w:id="89"/>
      </w:r>
      <w:r w:rsidRPr="00F037B5">
        <w:rPr>
          <w:rFonts w:eastAsia="Calibri" w:cs="Arial"/>
          <w:szCs w:val="24"/>
          <w:lang w:val="en-US"/>
        </w:rPr>
        <w:t xml:space="preserve"> and racialized women in Canada,</w:t>
      </w:r>
      <w:r w:rsidRPr="00F037B5">
        <w:rPr>
          <w:rFonts w:eastAsia="Calibri" w:cs="Arial"/>
          <w:szCs w:val="24"/>
          <w:vertAlign w:val="superscript"/>
          <w:lang w:val="en-US"/>
        </w:rPr>
        <w:footnoteReference w:id="90"/>
      </w:r>
      <w:r w:rsidRPr="00F037B5">
        <w:rPr>
          <w:rFonts w:eastAsia="Calibri" w:cs="Arial"/>
          <w:szCs w:val="24"/>
          <w:lang w:val="en-US"/>
        </w:rPr>
        <w:t xml:space="preserve"> for women with disabilities</w:t>
      </w:r>
      <w:r w:rsidRPr="00F037B5">
        <w:rPr>
          <w:rFonts w:eastAsia="Calibri" w:cs="Arial"/>
          <w:szCs w:val="24"/>
          <w:vertAlign w:val="superscript"/>
          <w:lang w:val="en-US"/>
        </w:rPr>
        <w:footnoteReference w:id="91"/>
      </w:r>
      <w:r w:rsidRPr="00F037B5">
        <w:rPr>
          <w:rFonts w:eastAsia="Calibri" w:cs="Arial"/>
          <w:szCs w:val="24"/>
          <w:lang w:val="en-US"/>
        </w:rPr>
        <w:t xml:space="preserve"> and 2SLGBTQI+ people,</w:t>
      </w:r>
      <w:r w:rsidRPr="00F037B5">
        <w:rPr>
          <w:rFonts w:eastAsia="Calibri" w:cs="Arial"/>
          <w:szCs w:val="24"/>
          <w:vertAlign w:val="superscript"/>
          <w:lang w:val="en-US"/>
        </w:rPr>
        <w:footnoteReference w:id="92"/>
      </w:r>
      <w:r w:rsidRPr="00F037B5">
        <w:rPr>
          <w:rFonts w:eastAsia="Calibri" w:cs="Arial"/>
          <w:szCs w:val="24"/>
          <w:lang w:val="en-US"/>
        </w:rPr>
        <w:t xml:space="preserve"> and </w:t>
      </w:r>
      <w:r w:rsidR="000A71E9">
        <w:rPr>
          <w:rFonts w:eastAsia="Calibri" w:cs="Arial"/>
          <w:szCs w:val="24"/>
          <w:lang w:val="en-US"/>
        </w:rPr>
        <w:t>was</w:t>
      </w:r>
      <w:r w:rsidRPr="00F037B5">
        <w:rPr>
          <w:rFonts w:eastAsia="Calibri" w:cs="Arial"/>
          <w:szCs w:val="24"/>
          <w:lang w:val="en-US"/>
        </w:rPr>
        <w:t xml:space="preserve"> exacerbated due to the COVID-19</w:t>
      </w:r>
      <w:r w:rsidRPr="00F037B5">
        <w:rPr>
          <w:rFonts w:eastAsia="Calibri" w:cs="Arial"/>
          <w:szCs w:val="24"/>
          <w:vertAlign w:val="superscript"/>
          <w:lang w:val="en-US"/>
        </w:rPr>
        <w:footnoteReference w:id="93"/>
      </w:r>
      <w:r w:rsidRPr="00F037B5">
        <w:rPr>
          <w:rFonts w:eastAsia="Calibri" w:cs="Arial"/>
          <w:szCs w:val="24"/>
          <w:lang w:val="en-US"/>
        </w:rPr>
        <w:t xml:space="preserve"> </w:t>
      </w:r>
      <w:r w:rsidR="000A71E9" w:rsidRPr="00F037B5">
        <w:rPr>
          <w:rFonts w:eastAsia="Calibri" w:cs="Arial"/>
          <w:szCs w:val="24"/>
          <w:lang w:val="en-US"/>
        </w:rPr>
        <w:t>crisis</w:t>
      </w:r>
      <w:r w:rsidRPr="00F037B5">
        <w:rPr>
          <w:rFonts w:eastAsia="Calibri" w:cs="Arial"/>
          <w:szCs w:val="24"/>
          <w:lang w:val="en-US"/>
        </w:rPr>
        <w:t>.</w:t>
      </w:r>
    </w:p>
    <w:p w14:paraId="37D48034" w14:textId="130A6BAB" w:rsidR="005E04E8" w:rsidRPr="00F037B5" w:rsidRDefault="005E04E8" w:rsidP="005E04E8">
      <w:pPr>
        <w:spacing w:before="240" w:line="240" w:lineRule="auto"/>
        <w:rPr>
          <w:rFonts w:eastAsia="Calibri" w:cs="Arial"/>
          <w:szCs w:val="24"/>
        </w:rPr>
      </w:pPr>
      <w:r w:rsidRPr="00F037B5">
        <w:rPr>
          <w:rFonts w:eastAsia="Calibri" w:cs="Arial"/>
          <w:szCs w:val="24"/>
          <w:lang w:val="en-US"/>
        </w:rPr>
        <w:t xml:space="preserve">On August 31, 2021, </w:t>
      </w:r>
      <w:r w:rsidR="000A71E9">
        <w:rPr>
          <w:rFonts w:eastAsia="Calibri" w:cs="Arial"/>
          <w:szCs w:val="24"/>
          <w:lang w:val="en-US"/>
        </w:rPr>
        <w:t xml:space="preserve">Canada brought into force </w:t>
      </w:r>
      <w:r w:rsidRPr="00F037B5">
        <w:rPr>
          <w:rFonts w:eastAsia="Calibri" w:cs="Arial"/>
          <w:szCs w:val="24"/>
          <w:lang w:val="en-US"/>
        </w:rPr>
        <w:t>the Pay Equity Act (PEA). The PEA is proactive and requires federally</w:t>
      </w:r>
      <w:r w:rsidR="00BE7D3B" w:rsidRPr="00F037B5">
        <w:rPr>
          <w:rFonts w:eastAsia="Calibri" w:cs="Arial"/>
          <w:szCs w:val="24"/>
          <w:lang w:val="en-US"/>
        </w:rPr>
        <w:t xml:space="preserve"> </w:t>
      </w:r>
      <w:r w:rsidRPr="00F037B5">
        <w:rPr>
          <w:rFonts w:eastAsia="Calibri" w:cs="Arial"/>
          <w:szCs w:val="24"/>
          <w:lang w:val="en-US"/>
        </w:rPr>
        <w:t xml:space="preserve">regulated employers with an average of 10 or more employees to conduct a structured pay equity analysis to ensure equal pay for work of </w:t>
      </w:r>
      <w:r w:rsidRPr="00F037B5">
        <w:rPr>
          <w:rFonts w:eastAsia="Calibri" w:cs="Arial"/>
          <w:szCs w:val="24"/>
          <w:lang w:val="en-US"/>
        </w:rPr>
        <w:lastRenderedPageBreak/>
        <w:t xml:space="preserve">equal value. </w:t>
      </w:r>
      <w:r w:rsidRPr="00F037B5">
        <w:rPr>
          <w:rFonts w:eastAsia="Calibri" w:cs="Arial"/>
          <w:szCs w:val="24"/>
        </w:rPr>
        <w:t>As it now exists, the analysis accounts for a comparison of job classes that are identified as either male or female predominant. This approach is not wholly inclusive of people who identify outside of the male/female binary and fails to adequately capture their experiences.</w:t>
      </w:r>
    </w:p>
    <w:p w14:paraId="6E47240E" w14:textId="77777777" w:rsidR="005E04E8" w:rsidRPr="00F037B5" w:rsidRDefault="005E04E8" w:rsidP="005E04E8">
      <w:pPr>
        <w:spacing w:before="240" w:line="240" w:lineRule="auto"/>
        <w:rPr>
          <w:rFonts w:eastAsia="Calibri" w:cs="Arial"/>
          <w:szCs w:val="24"/>
        </w:rPr>
      </w:pPr>
      <w:r w:rsidRPr="00F037B5">
        <w:rPr>
          <w:rFonts w:eastAsia="Calibri" w:cs="Arial"/>
          <w:szCs w:val="24"/>
        </w:rPr>
        <w:t>While Canada has made some progress through the enactment of the PEA, the current approach to pay equity is not able to:</w:t>
      </w:r>
    </w:p>
    <w:p w14:paraId="3A3F183C" w14:textId="4146FF8C" w:rsidR="005E04E8" w:rsidRPr="00F037B5" w:rsidRDefault="005E04E8" w:rsidP="005E04E8">
      <w:pPr>
        <w:pStyle w:val="ListParagraph"/>
        <w:numPr>
          <w:ilvl w:val="0"/>
          <w:numId w:val="6"/>
        </w:numPr>
        <w:spacing w:before="240" w:line="240" w:lineRule="auto"/>
        <w:rPr>
          <w:rFonts w:eastAsia="Calibri" w:cs="Arial"/>
          <w:szCs w:val="24"/>
        </w:rPr>
      </w:pPr>
      <w:r w:rsidRPr="00F037B5">
        <w:rPr>
          <w:rFonts w:eastAsia="Calibri" w:cs="Arial"/>
          <w:szCs w:val="24"/>
        </w:rPr>
        <w:t xml:space="preserve">Provide comprehensive data on the impact of pay equity legislation on diverse groups, such as </w:t>
      </w:r>
      <w:r w:rsidRPr="00F037B5">
        <w:rPr>
          <w:rFonts w:eastAsia="Calibri" w:cs="Arial"/>
          <w:szCs w:val="24"/>
          <w:lang w:val="en-US"/>
        </w:rPr>
        <w:t>Indigenous and racialized women in Canada, women with disabilities</w:t>
      </w:r>
      <w:r w:rsidR="007D3F6B">
        <w:rPr>
          <w:rFonts w:eastAsia="Calibri" w:cs="Arial"/>
          <w:szCs w:val="24"/>
          <w:lang w:val="en-US"/>
        </w:rPr>
        <w:t>,</w:t>
      </w:r>
      <w:r w:rsidRPr="00F037B5">
        <w:rPr>
          <w:rFonts w:eastAsia="Calibri" w:cs="Arial"/>
          <w:szCs w:val="24"/>
          <w:vertAlign w:val="superscript"/>
          <w:lang w:val="en-US"/>
        </w:rPr>
        <w:footnoteReference w:id="94"/>
      </w:r>
      <w:r w:rsidRPr="00F037B5">
        <w:rPr>
          <w:rFonts w:eastAsia="Calibri" w:cs="Arial"/>
          <w:szCs w:val="24"/>
          <w:lang w:val="en-US"/>
        </w:rPr>
        <w:t xml:space="preserve"> and 2SLGBTQI+ people, nor </w:t>
      </w:r>
      <w:r w:rsidRPr="00F037B5">
        <w:rPr>
          <w:rFonts w:eastAsia="Calibri" w:cs="Arial"/>
          <w:szCs w:val="24"/>
        </w:rPr>
        <w:t>insights into the intersectional complexities</w:t>
      </w:r>
      <w:r w:rsidRPr="00F037B5">
        <w:rPr>
          <w:rStyle w:val="FootnoteReference"/>
          <w:rFonts w:eastAsia="Calibri" w:cs="Arial"/>
          <w:szCs w:val="24"/>
        </w:rPr>
        <w:footnoteReference w:id="95"/>
      </w:r>
      <w:r w:rsidRPr="00F037B5">
        <w:rPr>
          <w:rFonts w:eastAsia="Calibri" w:cs="Arial"/>
          <w:szCs w:val="24"/>
        </w:rPr>
        <w:t xml:space="preserve"> of the wage gap.</w:t>
      </w:r>
    </w:p>
    <w:p w14:paraId="2191860C" w14:textId="77777777" w:rsidR="005E04E8" w:rsidRPr="00F037B5" w:rsidRDefault="005E04E8" w:rsidP="005E04E8">
      <w:pPr>
        <w:pStyle w:val="ListParagraph"/>
        <w:numPr>
          <w:ilvl w:val="0"/>
          <w:numId w:val="6"/>
        </w:numPr>
        <w:spacing w:before="240" w:line="240" w:lineRule="auto"/>
        <w:rPr>
          <w:rFonts w:eastAsia="Calibri" w:cs="Arial"/>
          <w:szCs w:val="24"/>
        </w:rPr>
      </w:pPr>
      <w:r w:rsidRPr="00F037B5">
        <w:rPr>
          <w:rFonts w:eastAsia="Calibri" w:cs="Arial"/>
          <w:szCs w:val="24"/>
        </w:rPr>
        <w:t>Reflect variations in policies and legislation</w:t>
      </w:r>
      <w:r w:rsidRPr="00F037B5">
        <w:rPr>
          <w:rStyle w:val="FootnoteReference"/>
          <w:rFonts w:eastAsia="Calibri" w:cs="Arial"/>
          <w:szCs w:val="24"/>
        </w:rPr>
        <w:footnoteReference w:id="96"/>
      </w:r>
      <w:r w:rsidRPr="00F037B5">
        <w:rPr>
          <w:rFonts w:eastAsia="Calibri" w:cs="Arial"/>
          <w:szCs w:val="24"/>
        </w:rPr>
        <w:t xml:space="preserve"> across jurisdictions, where pay equity applies to the private and public sectors at the federal level and in the provinces of Ontario and Quebec.</w:t>
      </w:r>
    </w:p>
    <w:p w14:paraId="66D04270" w14:textId="337AB529" w:rsidR="005E04E8" w:rsidRPr="00F037B5" w:rsidRDefault="005E04E8" w:rsidP="005E04E8">
      <w:pPr>
        <w:pBdr>
          <w:top w:val="single" w:sz="12" w:space="1" w:color="auto"/>
          <w:left w:val="single" w:sz="12" w:space="4" w:color="auto"/>
          <w:bottom w:val="single" w:sz="12" w:space="1" w:color="auto"/>
          <w:right w:val="single" w:sz="12" w:space="4" w:color="auto"/>
        </w:pBdr>
        <w:shd w:val="clear" w:color="auto" w:fill="DEEAF6"/>
        <w:spacing w:line="240" w:lineRule="auto"/>
        <w:rPr>
          <w:rFonts w:eastAsia="Calibri" w:cs="Arial"/>
          <w:szCs w:val="24"/>
        </w:rPr>
      </w:pPr>
      <w:r w:rsidRPr="00F037B5">
        <w:rPr>
          <w:rFonts w:eastAsia="Calibri" w:cs="Arial"/>
          <w:b/>
          <w:bCs/>
          <w:szCs w:val="24"/>
        </w:rPr>
        <w:t>Recommendation #</w:t>
      </w:r>
      <w:r w:rsidR="00965797">
        <w:rPr>
          <w:rFonts w:eastAsia="Calibri" w:cs="Arial"/>
          <w:b/>
          <w:bCs/>
          <w:szCs w:val="24"/>
        </w:rPr>
        <w:t>17</w:t>
      </w:r>
      <w:r w:rsidRPr="00F037B5">
        <w:rPr>
          <w:rFonts w:eastAsia="Calibri" w:cs="Arial"/>
          <w:b/>
          <w:bCs/>
          <w:szCs w:val="24"/>
        </w:rPr>
        <w:t>:</w:t>
      </w:r>
      <w:r w:rsidRPr="00F037B5">
        <w:rPr>
          <w:rFonts w:eastAsia="Calibri" w:cs="Arial"/>
          <w:szCs w:val="24"/>
        </w:rPr>
        <w:t xml:space="preserve"> That Canada continue its ongoing efforts with Statistics Canada in collecting and publishing more data on pay disparities disaggregated by sex/gender, disability, race and other intersecting factors. For example, that the federal government carry out the additional research necessary to broaden the understanding of the reasons for systemic patterns of wage discrimination against racialized people, Indigenous people and people with disabilities, with a view to expanding the federal Pay Equity Act beyond sex and gender.</w:t>
      </w:r>
    </w:p>
    <w:p w14:paraId="688627AA" w14:textId="173FDDB0" w:rsidR="00A16476" w:rsidRPr="00F037B5" w:rsidRDefault="005E04E8" w:rsidP="005E04E8">
      <w:pPr>
        <w:pBdr>
          <w:top w:val="single" w:sz="12" w:space="1" w:color="auto"/>
          <w:left w:val="single" w:sz="12" w:space="4" w:color="auto"/>
          <w:bottom w:val="single" w:sz="12" w:space="1" w:color="auto"/>
          <w:right w:val="single" w:sz="12" w:space="4" w:color="auto"/>
        </w:pBdr>
        <w:shd w:val="clear" w:color="auto" w:fill="DEEAF6"/>
        <w:spacing w:line="240" w:lineRule="auto"/>
        <w:rPr>
          <w:rFonts w:eastAsia="Calibri" w:cs="Arial"/>
          <w:szCs w:val="24"/>
        </w:rPr>
      </w:pPr>
      <w:r w:rsidRPr="00F037B5">
        <w:rPr>
          <w:rFonts w:eastAsia="Calibri" w:cs="Arial"/>
          <w:b/>
          <w:bCs/>
          <w:szCs w:val="24"/>
        </w:rPr>
        <w:t>Recommendation #</w:t>
      </w:r>
      <w:r w:rsidR="00965797">
        <w:rPr>
          <w:rFonts w:eastAsia="Calibri" w:cs="Arial"/>
          <w:b/>
          <w:bCs/>
          <w:szCs w:val="24"/>
        </w:rPr>
        <w:t>18</w:t>
      </w:r>
      <w:r w:rsidRPr="00F037B5">
        <w:rPr>
          <w:rFonts w:eastAsia="Calibri" w:cs="Arial"/>
          <w:b/>
          <w:bCs/>
          <w:szCs w:val="24"/>
        </w:rPr>
        <w:t xml:space="preserve">: </w:t>
      </w:r>
      <w:r w:rsidRPr="00F037B5">
        <w:rPr>
          <w:rFonts w:eastAsia="Calibri" w:cs="Arial"/>
          <w:szCs w:val="24"/>
        </w:rPr>
        <w:t>That Canada improve national data collection on the gender wage gap to permit the analysis of the differences between federally, provincially and territorially regulated workplaces.</w:t>
      </w:r>
    </w:p>
    <w:p w14:paraId="0DC8A748" w14:textId="77777777" w:rsidR="009042AB" w:rsidRDefault="009042AB">
      <w:pPr>
        <w:rPr>
          <w:rFonts w:cs="Arial"/>
          <w:b/>
          <w:bCs/>
          <w:sz w:val="32"/>
          <w:szCs w:val="32"/>
          <w:lang w:val="en-US"/>
        </w:rPr>
      </w:pPr>
      <w:r>
        <w:rPr>
          <w:lang w:val="en-US"/>
        </w:rPr>
        <w:br w:type="page"/>
      </w:r>
    </w:p>
    <w:p w14:paraId="6B169659" w14:textId="24C0A6B8" w:rsidR="00AA5246" w:rsidRPr="00F037B5" w:rsidRDefault="009D032D" w:rsidP="00AA5246">
      <w:pPr>
        <w:pStyle w:val="Heading1"/>
        <w:rPr>
          <w:lang w:val="en-US"/>
        </w:rPr>
      </w:pPr>
      <w:bookmarkStart w:id="45" w:name="_Toc220669677"/>
      <w:r w:rsidRPr="00F037B5">
        <w:rPr>
          <w:lang w:val="en-US"/>
        </w:rPr>
        <w:lastRenderedPageBreak/>
        <w:t>Online Hate</w:t>
      </w:r>
      <w:r w:rsidR="00AA5246" w:rsidRPr="00F037B5">
        <w:rPr>
          <w:lang w:val="en-US"/>
        </w:rPr>
        <w:t xml:space="preserve"> (A</w:t>
      </w:r>
      <w:r w:rsidR="0086544E" w:rsidRPr="00F037B5">
        <w:rPr>
          <w:lang w:val="en-US"/>
        </w:rPr>
        <w:t>rticles</w:t>
      </w:r>
      <w:r w:rsidR="00AA5246" w:rsidRPr="00F037B5">
        <w:rPr>
          <w:lang w:val="en-US"/>
        </w:rPr>
        <w:t xml:space="preserve"> </w:t>
      </w:r>
      <w:bookmarkEnd w:id="43"/>
      <w:bookmarkEnd w:id="44"/>
      <w:r w:rsidRPr="00F037B5">
        <w:rPr>
          <w:lang w:val="en-US"/>
        </w:rPr>
        <w:t>19, 20)</w:t>
      </w:r>
      <w:bookmarkEnd w:id="45"/>
    </w:p>
    <w:p w14:paraId="487D144F" w14:textId="77777777" w:rsidR="00C06C2D" w:rsidRPr="00F037B5" w:rsidRDefault="00C06C2D" w:rsidP="00B00146">
      <w:pPr>
        <w:spacing w:line="240" w:lineRule="auto"/>
        <w:rPr>
          <w:rFonts w:cs="Arial"/>
        </w:rPr>
      </w:pPr>
      <w:r w:rsidRPr="00F037B5">
        <w:rPr>
          <w:rFonts w:cs="Arial"/>
        </w:rPr>
        <w:t>The CHRC remains deeply concerned about the rise in hate, particularly the rapid proliferation of online hate, driven in part by the spread of racist discourse, the speed of digital communication, and the circulation of misinformation and disinformation.</w:t>
      </w:r>
    </w:p>
    <w:p w14:paraId="0180EBED" w14:textId="77777777" w:rsidR="00C06C2D" w:rsidRPr="00F037B5" w:rsidRDefault="00C06C2D" w:rsidP="00B00146">
      <w:pPr>
        <w:spacing w:line="240" w:lineRule="auto"/>
        <w:rPr>
          <w:rFonts w:cs="Arial"/>
        </w:rPr>
      </w:pPr>
      <w:r w:rsidRPr="00F037B5">
        <w:rPr>
          <w:rFonts w:cs="Arial"/>
        </w:rPr>
        <w:t>In Canada, there has been a rise in hate incidents both online and within communities, with significant increases in reported hate crimes targeting religious groups—particularly Jewish and Muslim populations—as well as Black, Indigenous, Arab, and Asian communities. Police-reported hate crimes based on sexual orientation and gender identity have also increased.</w:t>
      </w:r>
      <w:r w:rsidRPr="00F037B5">
        <w:rPr>
          <w:rStyle w:val="FootnoteReference"/>
          <w:rFonts w:cs="Arial"/>
        </w:rPr>
        <w:footnoteReference w:id="97"/>
      </w:r>
      <w:r w:rsidRPr="00F037B5">
        <w:rPr>
          <w:rFonts w:cs="Arial"/>
        </w:rPr>
        <w:t xml:space="preserve"> </w:t>
      </w:r>
    </w:p>
    <w:p w14:paraId="53F2DDCD" w14:textId="0DA6FEE3" w:rsidR="00C06C2D" w:rsidRPr="00F037B5" w:rsidRDefault="00D165AF" w:rsidP="00C417B8">
      <w:pPr>
        <w:shd w:val="clear" w:color="auto" w:fill="FFFFFF"/>
        <w:spacing w:before="100" w:beforeAutospacing="1" w:after="100" w:afterAutospacing="1" w:line="240" w:lineRule="auto"/>
        <w:rPr>
          <w:rFonts w:cs="Arial"/>
        </w:rPr>
      </w:pPr>
      <w:r w:rsidRPr="00F037B5">
        <w:rPr>
          <w:rFonts w:cs="Arial"/>
        </w:rPr>
        <w:t>The CHRC was encouraged by the federal government’s 2024 Action Plan on Combatting Hate, which aligns existing and new initiatives across departments to address various forms of hate.</w:t>
      </w:r>
      <w:r>
        <w:rPr>
          <w:rFonts w:cs="Arial"/>
        </w:rPr>
        <w:t xml:space="preserve"> </w:t>
      </w:r>
      <w:r w:rsidR="00CB3EB6" w:rsidRPr="00792E6D">
        <w:rPr>
          <w:rFonts w:cs="Arial"/>
          <w:szCs w:val="24"/>
        </w:rPr>
        <w:t xml:space="preserve">The CHRC </w:t>
      </w:r>
      <w:r>
        <w:rPr>
          <w:rFonts w:cs="Arial"/>
          <w:szCs w:val="24"/>
        </w:rPr>
        <w:t xml:space="preserve">also </w:t>
      </w:r>
      <w:r w:rsidR="00CB3EB6" w:rsidRPr="00792E6D">
        <w:rPr>
          <w:rFonts w:cs="Arial"/>
          <w:szCs w:val="24"/>
        </w:rPr>
        <w:t xml:space="preserve">notes the introduction of Bill C-9, </w:t>
      </w:r>
      <w:r w:rsidR="00911DFC" w:rsidRPr="00792E6D">
        <w:rPr>
          <w:rFonts w:cs="Arial"/>
          <w:szCs w:val="24"/>
        </w:rPr>
        <w:t xml:space="preserve">the Combatting Hate Act, </w:t>
      </w:r>
      <w:r w:rsidR="00040517" w:rsidRPr="00792E6D">
        <w:rPr>
          <w:rFonts w:cs="Arial"/>
          <w:szCs w:val="24"/>
        </w:rPr>
        <w:t>in September 2025</w:t>
      </w:r>
      <w:r w:rsidR="00040517">
        <w:rPr>
          <w:rFonts w:cs="Arial"/>
          <w:szCs w:val="24"/>
        </w:rPr>
        <w:t xml:space="preserve">, </w:t>
      </w:r>
      <w:r w:rsidR="00732EFA">
        <w:rPr>
          <w:rFonts w:cs="Arial"/>
          <w:szCs w:val="24"/>
        </w:rPr>
        <w:t>which aims to combat hate crimes through targeted amendments to the Criminal Code</w:t>
      </w:r>
      <w:r w:rsidR="00792E6D" w:rsidRPr="00040517">
        <w:rPr>
          <w:rFonts w:cs="Arial"/>
          <w:color w:val="333333"/>
          <w:szCs w:val="24"/>
          <w:shd w:val="clear" w:color="auto" w:fill="FFFFFF"/>
        </w:rPr>
        <w:t>.</w:t>
      </w:r>
      <w:r w:rsidR="00792E6D" w:rsidRPr="00792E6D">
        <w:rPr>
          <w:rStyle w:val="FootnoteReference"/>
          <w:rFonts w:cs="Arial"/>
          <w:color w:val="333333"/>
          <w:szCs w:val="24"/>
          <w:shd w:val="clear" w:color="auto" w:fill="FFFFFF"/>
        </w:rPr>
        <w:footnoteReference w:id="98"/>
      </w:r>
      <w:r w:rsidR="00C417B8">
        <w:rPr>
          <w:rFonts w:eastAsia="Times New Roman" w:cs="Arial"/>
          <w:color w:val="333333"/>
          <w:szCs w:val="24"/>
          <w:lang w:eastAsia="en-CA"/>
        </w:rPr>
        <w:t xml:space="preserve"> </w:t>
      </w:r>
      <w:r w:rsidR="008665A0" w:rsidRPr="00714465">
        <w:rPr>
          <w:rFonts w:cs="Arial"/>
        </w:rPr>
        <w:t xml:space="preserve">The CHRC remains of the view that </w:t>
      </w:r>
      <w:r w:rsidR="008B05FC" w:rsidRPr="00714465">
        <w:rPr>
          <w:rFonts w:cs="Arial"/>
        </w:rPr>
        <w:t>a</w:t>
      </w:r>
      <w:r w:rsidR="008B05FC">
        <w:rPr>
          <w:rFonts w:cs="Arial"/>
        </w:rPr>
        <w:t xml:space="preserve"> comprehensive approach is needed to deal with this issue</w:t>
      </w:r>
      <w:r w:rsidR="009F1538">
        <w:rPr>
          <w:rFonts w:cs="Arial"/>
        </w:rPr>
        <w:t>,</w:t>
      </w:r>
      <w:r w:rsidR="008B05FC">
        <w:rPr>
          <w:rFonts w:cs="Arial"/>
        </w:rPr>
        <w:t xml:space="preserve"> which could</w:t>
      </w:r>
      <w:r w:rsidR="008B05FC" w:rsidRPr="00F037B5">
        <w:rPr>
          <w:rFonts w:cs="Arial"/>
        </w:rPr>
        <w:t xml:space="preserve"> include measures to regulate social media operators, requirements for companies to remove harmful content, civil remedies that victims can access, and coordinated public awareness and education</w:t>
      </w:r>
      <w:r w:rsidR="008B05FC">
        <w:rPr>
          <w:rFonts w:cs="Arial"/>
        </w:rPr>
        <w:t>.</w:t>
      </w:r>
    </w:p>
    <w:p w14:paraId="2733D671" w14:textId="5656C5E6" w:rsidR="00C06C2D" w:rsidRPr="00F037B5" w:rsidRDefault="00C06C2D" w:rsidP="00B00146">
      <w:pPr>
        <w:spacing w:line="240" w:lineRule="auto"/>
        <w:rPr>
          <w:rFonts w:cs="Arial"/>
        </w:rPr>
      </w:pPr>
      <w:r w:rsidRPr="00F037B5">
        <w:rPr>
          <w:rFonts w:cs="Arial"/>
        </w:rPr>
        <w:t xml:space="preserve">The CHRC is of the view that this is a fundamental human rights issue and that Canada must act in accordance with its obligation to address the proliferation of online hate. </w:t>
      </w:r>
    </w:p>
    <w:p w14:paraId="7312123D" w14:textId="41674298" w:rsidR="004773E1" w:rsidRPr="00846338" w:rsidRDefault="00B00146" w:rsidP="00846338">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rPr>
      </w:pPr>
      <w:r w:rsidRPr="00F037B5">
        <w:rPr>
          <w:rFonts w:cs="Arial"/>
          <w:b/>
          <w:bCs/>
          <w:szCs w:val="24"/>
          <w:lang w:val="en-US"/>
        </w:rPr>
        <w:t>Recommendation #</w:t>
      </w:r>
      <w:r w:rsidR="00965797">
        <w:rPr>
          <w:rFonts w:cs="Arial"/>
          <w:b/>
          <w:bCs/>
          <w:szCs w:val="24"/>
          <w:lang w:val="en-US"/>
        </w:rPr>
        <w:t>19</w:t>
      </w:r>
      <w:r w:rsidRPr="00F037B5">
        <w:rPr>
          <w:rFonts w:cs="Arial"/>
          <w:b/>
          <w:bCs/>
          <w:szCs w:val="24"/>
          <w:lang w:val="en-US"/>
        </w:rPr>
        <w:t xml:space="preserve">: </w:t>
      </w:r>
      <w:r w:rsidR="00695B9E" w:rsidRPr="00F037B5">
        <w:rPr>
          <w:rFonts w:cs="Arial"/>
        </w:rPr>
        <w:t>That Canada</w:t>
      </w:r>
      <w:r w:rsidR="00E31E1A" w:rsidRPr="00F037B5">
        <w:rPr>
          <w:rFonts w:cs="Arial"/>
        </w:rPr>
        <w:t xml:space="preserve"> </w:t>
      </w:r>
      <w:r w:rsidR="00E31E1A">
        <w:rPr>
          <w:rFonts w:cs="Arial"/>
        </w:rPr>
        <w:t xml:space="preserve">take further action to combat </w:t>
      </w:r>
      <w:r w:rsidRPr="00F037B5">
        <w:rPr>
          <w:rFonts w:cs="Arial"/>
        </w:rPr>
        <w:t xml:space="preserve">hate online, </w:t>
      </w:r>
      <w:r w:rsidR="008B05FC">
        <w:rPr>
          <w:rFonts w:cs="Arial"/>
        </w:rPr>
        <w:t xml:space="preserve">by </w:t>
      </w:r>
      <w:r w:rsidR="00C417B8">
        <w:rPr>
          <w:rFonts w:cs="Arial"/>
        </w:rPr>
        <w:t>implement</w:t>
      </w:r>
      <w:r w:rsidR="008B05FC">
        <w:rPr>
          <w:rFonts w:cs="Arial"/>
        </w:rPr>
        <w:t>ing</w:t>
      </w:r>
      <w:r w:rsidRPr="00F037B5">
        <w:rPr>
          <w:rFonts w:cs="Arial"/>
        </w:rPr>
        <w:t xml:space="preserve"> a comprehensive and proactive approach</w:t>
      </w:r>
      <w:r w:rsidR="008B05FC">
        <w:rPr>
          <w:rFonts w:cs="Arial"/>
        </w:rPr>
        <w:t xml:space="preserve"> to dealing with the issue</w:t>
      </w:r>
      <w:r w:rsidR="009F1538">
        <w:rPr>
          <w:rFonts w:cs="Arial"/>
        </w:rPr>
        <w:t xml:space="preserve">. </w:t>
      </w:r>
      <w:r w:rsidRPr="00F037B5">
        <w:rPr>
          <w:rFonts w:cs="Arial"/>
        </w:rPr>
        <w:t xml:space="preserve"> </w:t>
      </w:r>
    </w:p>
    <w:p w14:paraId="3AB11FC8" w14:textId="4068CA27" w:rsidR="00AA5246" w:rsidRPr="00F037B5" w:rsidRDefault="009D032D" w:rsidP="00AA5246">
      <w:pPr>
        <w:pStyle w:val="Heading1"/>
      </w:pPr>
      <w:bookmarkStart w:id="46" w:name="_Toc220669678"/>
      <w:r w:rsidRPr="00F037B5">
        <w:t>Discrimination Based on Gender Identity and Expression (Articles 2, 7, 26)</w:t>
      </w:r>
      <w:bookmarkEnd w:id="46"/>
      <w:r w:rsidRPr="00F037B5">
        <w:t xml:space="preserve"> </w:t>
      </w:r>
    </w:p>
    <w:p w14:paraId="754B2FB4" w14:textId="50EA63F5" w:rsidR="007F7B9A" w:rsidRPr="00F037B5" w:rsidRDefault="007F7B9A" w:rsidP="00413749">
      <w:pPr>
        <w:spacing w:line="240" w:lineRule="auto"/>
        <w:rPr>
          <w:lang w:val="en-US"/>
        </w:rPr>
      </w:pPr>
      <w:bookmarkStart w:id="47" w:name="_Toc183602925"/>
      <w:bookmarkStart w:id="48" w:name="_Toc183603014"/>
      <w:bookmarkStart w:id="49" w:name="_Toc183602899"/>
      <w:bookmarkStart w:id="50" w:name="_Toc183602990"/>
      <w:bookmarkEnd w:id="16"/>
      <w:bookmarkEnd w:id="17"/>
      <w:r w:rsidRPr="00F037B5">
        <w:rPr>
          <w:lang w:val="en-US"/>
        </w:rPr>
        <w:t xml:space="preserve">The CHRC remains deeply concerned about discrimination, harassment and violence faced by trans, non-binary and gender diverse persons, especially those who face intersectional barriers to their full equality in Canada. </w:t>
      </w:r>
      <w:r w:rsidR="009B43A7">
        <w:rPr>
          <w:lang w:val="en-US"/>
        </w:rPr>
        <w:t>Recent legal and policy changes in Canada have forgotten or ignored the</w:t>
      </w:r>
      <w:r w:rsidR="000B5317">
        <w:rPr>
          <w:lang w:val="en-US"/>
        </w:rPr>
        <w:t xml:space="preserve"> rights</w:t>
      </w:r>
      <w:r w:rsidR="00004A90">
        <w:rPr>
          <w:lang w:val="en-US"/>
        </w:rPr>
        <w:t xml:space="preserve">, </w:t>
      </w:r>
      <w:r w:rsidR="00BE4177">
        <w:rPr>
          <w:lang w:val="en-US"/>
        </w:rPr>
        <w:t>health and safety</w:t>
      </w:r>
      <w:r w:rsidR="000B5317">
        <w:rPr>
          <w:lang w:val="en-US"/>
        </w:rPr>
        <w:t xml:space="preserve"> of trans and gender</w:t>
      </w:r>
      <w:r w:rsidR="00C727FF">
        <w:rPr>
          <w:lang w:val="en-US"/>
        </w:rPr>
        <w:t xml:space="preserve"> </w:t>
      </w:r>
      <w:r w:rsidR="000B5317">
        <w:rPr>
          <w:lang w:val="en-US"/>
        </w:rPr>
        <w:t>diverse people</w:t>
      </w:r>
      <w:r w:rsidR="009B43A7">
        <w:rPr>
          <w:lang w:val="en-US"/>
        </w:rPr>
        <w:t xml:space="preserve">, and in particular youth. The </w:t>
      </w:r>
      <w:r w:rsidR="009B43A7">
        <w:t xml:space="preserve">increasing </w:t>
      </w:r>
      <w:r w:rsidR="00152019" w:rsidRPr="00152019">
        <w:t>normalization of views in public discourse can sow the seeds of intolerance</w:t>
      </w:r>
      <w:r w:rsidR="00BE4177">
        <w:t xml:space="preserve"> and put fundamental human rights at risk</w:t>
      </w:r>
      <w:r w:rsidR="00152019">
        <w:t>.</w:t>
      </w:r>
    </w:p>
    <w:p w14:paraId="60720E3D" w14:textId="0B079674" w:rsidR="007F7B9A" w:rsidRPr="00F037B5" w:rsidRDefault="007F7B9A" w:rsidP="00413749">
      <w:pPr>
        <w:spacing w:line="240" w:lineRule="auto"/>
        <w:rPr>
          <w:lang w:val="en-US"/>
        </w:rPr>
      </w:pPr>
      <w:r w:rsidRPr="00F037B5">
        <w:rPr>
          <w:lang w:val="en-US"/>
        </w:rPr>
        <w:lastRenderedPageBreak/>
        <w:t xml:space="preserve">Gender affirming healthcare is recognized as medically necessary by leading medical organizations in Canada and </w:t>
      </w:r>
      <w:r w:rsidR="003F1F01">
        <w:rPr>
          <w:lang w:val="en-US"/>
        </w:rPr>
        <w:t>worldwide</w:t>
      </w:r>
      <w:r w:rsidRPr="00F037B5">
        <w:rPr>
          <w:lang w:val="en-US"/>
        </w:rPr>
        <w:t xml:space="preserve">. The CHRC </w:t>
      </w:r>
      <w:r w:rsidR="009B43A7">
        <w:rPr>
          <w:lang w:val="en-US"/>
        </w:rPr>
        <w:t>notes with concern that there is</w:t>
      </w:r>
      <w:r w:rsidRPr="00F037B5">
        <w:rPr>
          <w:lang w:val="en-US"/>
        </w:rPr>
        <w:t xml:space="preserve"> unequal access to care and treatments</w:t>
      </w:r>
      <w:r w:rsidR="009B43A7">
        <w:rPr>
          <w:lang w:val="en-US"/>
        </w:rPr>
        <w:t xml:space="preserve"> across Canada</w:t>
      </w:r>
      <w:r w:rsidR="005C43BA">
        <w:rPr>
          <w:lang w:val="en-US"/>
        </w:rPr>
        <w:t>.</w:t>
      </w:r>
      <w:r w:rsidR="00B8315F">
        <w:rPr>
          <w:rStyle w:val="FootnoteReference"/>
          <w:lang w:val="en-US"/>
        </w:rPr>
        <w:footnoteReference w:id="99"/>
      </w:r>
      <w:r w:rsidR="009B43A7">
        <w:rPr>
          <w:lang w:val="en-US"/>
        </w:rPr>
        <w:t xml:space="preserve"> Where these necessary services cannot be obtained, this </w:t>
      </w:r>
      <w:r w:rsidRPr="00F037B5">
        <w:rPr>
          <w:lang w:val="en-US"/>
        </w:rPr>
        <w:t>negatively impact</w:t>
      </w:r>
      <w:r w:rsidR="009B43A7">
        <w:rPr>
          <w:lang w:val="en-US"/>
        </w:rPr>
        <w:t>s the</w:t>
      </w:r>
      <w:r w:rsidRPr="00F037B5">
        <w:rPr>
          <w:lang w:val="en-US"/>
        </w:rPr>
        <w:t xml:space="preserve"> physical and mental health for </w:t>
      </w:r>
      <w:r w:rsidR="009B43A7">
        <w:rPr>
          <w:lang w:val="en-US"/>
        </w:rPr>
        <w:t>many individuals</w:t>
      </w:r>
      <w:r w:rsidRPr="00F037B5">
        <w:rPr>
          <w:lang w:val="en-US"/>
        </w:rPr>
        <w:t xml:space="preserve"> including trans women and non-binary persons. </w:t>
      </w:r>
    </w:p>
    <w:p w14:paraId="769DC0CD" w14:textId="67BB7E46" w:rsidR="00B05528" w:rsidRPr="00F037B5" w:rsidRDefault="007F7B9A" w:rsidP="00FB0AB1">
      <w:pPr>
        <w:spacing w:line="240" w:lineRule="auto"/>
      </w:pPr>
      <w:r w:rsidRPr="00F037B5">
        <w:rPr>
          <w:lang w:val="en-US"/>
        </w:rPr>
        <w:t xml:space="preserve">The CHRC remains alarmed about </w:t>
      </w:r>
      <w:r w:rsidR="009B43A7">
        <w:rPr>
          <w:lang w:val="en-US"/>
        </w:rPr>
        <w:t xml:space="preserve">reports that </w:t>
      </w:r>
      <w:r w:rsidRPr="00F037B5">
        <w:rPr>
          <w:lang w:val="en-US"/>
        </w:rPr>
        <w:t>intersex, trans, and gender</w:t>
      </w:r>
      <w:r w:rsidR="00C727FF">
        <w:rPr>
          <w:lang w:val="en-US"/>
        </w:rPr>
        <w:t xml:space="preserve"> </w:t>
      </w:r>
      <w:r w:rsidRPr="00F037B5">
        <w:rPr>
          <w:lang w:val="en-US"/>
        </w:rPr>
        <w:t xml:space="preserve">diverse persons subjected to cruel and harmful non-consensual medical interventions, such as coerced examinations, unnecessary surgeries or conversion therapies. </w:t>
      </w:r>
      <w:r w:rsidR="009B43A7">
        <w:rPr>
          <w:rFonts w:cs="Arial"/>
          <w:szCs w:val="24"/>
        </w:rPr>
        <w:t>It</w:t>
      </w:r>
      <w:r w:rsidR="00B05528" w:rsidRPr="00F037B5">
        <w:rPr>
          <w:rFonts w:cs="Arial"/>
          <w:szCs w:val="24"/>
        </w:rPr>
        <w:t xml:space="preserve"> notes that unnecessary and non-consensual intersex surgeries on children have been rightly characterized as a form of cruel, inhuman or degrading treatment or punishment by Canadian and international rights advocates, as well as by UN experts.</w:t>
      </w:r>
      <w:r w:rsidR="00B05528" w:rsidRPr="00F037B5">
        <w:rPr>
          <w:rStyle w:val="FootnoteReference"/>
          <w:rFonts w:cs="Arial"/>
          <w:szCs w:val="24"/>
        </w:rPr>
        <w:footnoteReference w:id="100"/>
      </w:r>
      <w:r w:rsidR="00B05528" w:rsidRPr="00F037B5">
        <w:rPr>
          <w:rFonts w:cs="Arial"/>
          <w:szCs w:val="24"/>
        </w:rPr>
        <w:t xml:space="preserve"> </w:t>
      </w:r>
      <w:r w:rsidR="009B43A7">
        <w:rPr>
          <w:rFonts w:cs="Arial"/>
          <w:szCs w:val="24"/>
        </w:rPr>
        <w:t>A</w:t>
      </w:r>
      <w:r w:rsidR="00B05528" w:rsidRPr="00F037B5">
        <w:rPr>
          <w:rFonts w:cs="Arial"/>
          <w:szCs w:val="24"/>
        </w:rPr>
        <w:t xml:space="preserve"> legal challenge to the Canadian Charter of Rights and Freedoms has been filed to remove an exemption in the Criminal Code of Canada</w:t>
      </w:r>
      <w:r w:rsidR="00B05528" w:rsidRPr="00F037B5">
        <w:rPr>
          <w:rStyle w:val="FootnoteReference"/>
          <w:rFonts w:cs="Arial"/>
          <w:szCs w:val="24"/>
        </w:rPr>
        <w:footnoteReference w:id="101"/>
      </w:r>
      <w:r w:rsidR="00B05528" w:rsidRPr="00F037B5">
        <w:rPr>
          <w:rFonts w:cs="Arial"/>
          <w:szCs w:val="24"/>
        </w:rPr>
        <w:t xml:space="preserve"> that currently allows unnecessary and non-consensual cosmetic surgeries on intersex children.</w:t>
      </w:r>
      <w:r w:rsidR="00B05528" w:rsidRPr="00F037B5">
        <w:rPr>
          <w:rStyle w:val="FootnoteReference"/>
          <w:rFonts w:cs="Arial"/>
          <w:szCs w:val="24"/>
        </w:rPr>
        <w:footnoteReference w:id="102"/>
      </w:r>
      <w:r w:rsidR="00B05528" w:rsidRPr="00F037B5">
        <w:rPr>
          <w:rFonts w:cs="Arial"/>
          <w:szCs w:val="24"/>
        </w:rPr>
        <w:t xml:space="preserve"> </w:t>
      </w:r>
    </w:p>
    <w:p w14:paraId="5110E9DE" w14:textId="585CA870" w:rsidR="00B05528" w:rsidRPr="00F037B5" w:rsidRDefault="00B05528" w:rsidP="00413749">
      <w:pPr>
        <w:spacing w:line="240" w:lineRule="auto"/>
        <w:rPr>
          <w:rFonts w:cs="Arial"/>
          <w:szCs w:val="24"/>
        </w:rPr>
      </w:pPr>
      <w:r w:rsidRPr="00F037B5">
        <w:t xml:space="preserve">The CHRC notes that several rights holders and advocacy groups such as Egale </w:t>
      </w:r>
      <w:r w:rsidRPr="00F037B5">
        <w:rPr>
          <w:rStyle w:val="FootnoteReference"/>
        </w:rPr>
        <w:footnoteReference w:id="103"/>
      </w:r>
      <w:r w:rsidRPr="00F037B5">
        <w:t xml:space="preserve"> and the Canadian Bar Association</w:t>
      </w:r>
      <w:r w:rsidRPr="00F037B5">
        <w:rPr>
          <w:rStyle w:val="FootnoteReference"/>
        </w:rPr>
        <w:footnoteReference w:id="104"/>
      </w:r>
      <w:r w:rsidRPr="00F037B5">
        <w:t xml:space="preserve"> have called for the Government of Canada to initiate consultations and act swiftly to enact reforms to the Criminal Code to ban non-consensual, deferrable and medically unnecessary surgeries on intersex children. </w:t>
      </w:r>
      <w:r w:rsidRPr="00F037B5">
        <w:rPr>
          <w:rFonts w:cs="Arial"/>
          <w:szCs w:val="24"/>
        </w:rPr>
        <w:t>In its inaugural 2SLG</w:t>
      </w:r>
      <w:r w:rsidR="00CA461C">
        <w:rPr>
          <w:rFonts w:cs="Arial"/>
          <w:szCs w:val="24"/>
        </w:rPr>
        <w:t>BT</w:t>
      </w:r>
      <w:r w:rsidRPr="00F037B5">
        <w:rPr>
          <w:rFonts w:cs="Arial"/>
          <w:szCs w:val="24"/>
        </w:rPr>
        <w:t xml:space="preserve">QI+ Action Plan, the Government of Canada </w:t>
      </w:r>
      <w:r w:rsidR="00345A20">
        <w:rPr>
          <w:rFonts w:cs="Arial"/>
          <w:szCs w:val="24"/>
        </w:rPr>
        <w:t>indicated that it would</w:t>
      </w:r>
      <w:r w:rsidRPr="00F037B5">
        <w:rPr>
          <w:rFonts w:cs="Arial"/>
          <w:szCs w:val="24"/>
        </w:rPr>
        <w:t xml:space="preserve"> launch public consultations on several criminal law reform issues including the criminalization of purely cosmetic surgeries on intersex children.</w:t>
      </w:r>
      <w:r w:rsidRPr="00F037B5">
        <w:rPr>
          <w:rStyle w:val="FootnoteReference"/>
          <w:rFonts w:cs="Arial"/>
          <w:szCs w:val="24"/>
        </w:rPr>
        <w:footnoteReference w:id="105"/>
      </w:r>
      <w:r w:rsidRPr="00F037B5">
        <w:rPr>
          <w:rFonts w:cs="Arial"/>
          <w:szCs w:val="24"/>
        </w:rPr>
        <w:t xml:space="preserve"> </w:t>
      </w:r>
      <w:r w:rsidR="0010415E" w:rsidRPr="00F037B5">
        <w:rPr>
          <w:rFonts w:cs="Arial"/>
          <w:szCs w:val="24"/>
        </w:rPr>
        <w:t xml:space="preserve">As of the drafting of this submission, </w:t>
      </w:r>
      <w:r w:rsidRPr="00F037B5">
        <w:rPr>
          <w:rFonts w:cs="Arial"/>
          <w:szCs w:val="24"/>
        </w:rPr>
        <w:t xml:space="preserve">consultations have </w:t>
      </w:r>
      <w:r w:rsidR="0010415E" w:rsidRPr="00F037B5">
        <w:rPr>
          <w:rFonts w:cs="Arial"/>
          <w:szCs w:val="24"/>
        </w:rPr>
        <w:t xml:space="preserve">not yet </w:t>
      </w:r>
      <w:r w:rsidRPr="00F037B5">
        <w:rPr>
          <w:rFonts w:cs="Arial"/>
          <w:szCs w:val="24"/>
        </w:rPr>
        <w:t xml:space="preserve">been launched.  </w:t>
      </w:r>
    </w:p>
    <w:p w14:paraId="5F3B078E" w14:textId="4FF0B960" w:rsidR="00B05528" w:rsidRPr="00F037B5" w:rsidRDefault="00413749" w:rsidP="00413749">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F037B5">
        <w:rPr>
          <w:rFonts w:cs="Arial"/>
          <w:b/>
          <w:bCs/>
          <w:szCs w:val="24"/>
          <w:lang w:val="en-US"/>
        </w:rPr>
        <w:lastRenderedPageBreak/>
        <w:t>Recommendation #</w:t>
      </w:r>
      <w:r w:rsidR="00965797">
        <w:rPr>
          <w:rFonts w:cs="Arial"/>
          <w:b/>
          <w:bCs/>
          <w:szCs w:val="24"/>
          <w:lang w:val="en-US"/>
        </w:rPr>
        <w:t>20</w:t>
      </w:r>
      <w:r w:rsidRPr="00F037B5">
        <w:rPr>
          <w:rFonts w:cs="Arial"/>
          <w:b/>
          <w:bCs/>
          <w:szCs w:val="24"/>
          <w:lang w:val="en-US"/>
        </w:rPr>
        <w:t xml:space="preserve">: </w:t>
      </w:r>
      <w:r w:rsidRPr="00F037B5">
        <w:rPr>
          <w:lang w:val="en-US"/>
        </w:rPr>
        <w:t>That Canada recognize variations of sex characteristics and gender diversity, and ensure that intersex, non-binary, trans and gender diverse people have access to appropriate care and supports</w:t>
      </w:r>
      <w:r w:rsidR="004A161D">
        <w:rPr>
          <w:lang w:val="en-US"/>
        </w:rPr>
        <w:t xml:space="preserve"> that uphold their </w:t>
      </w:r>
      <w:r w:rsidR="00EA67E1">
        <w:rPr>
          <w:lang w:val="en-US"/>
        </w:rPr>
        <w:t xml:space="preserve">health, safety, dignity and human rights. </w:t>
      </w:r>
    </w:p>
    <w:p w14:paraId="64F9F665" w14:textId="65761831" w:rsidR="00DD4980" w:rsidRPr="00F037B5" w:rsidRDefault="00DD4980" w:rsidP="00DD4980">
      <w:pPr>
        <w:pStyle w:val="Heading1"/>
        <w:rPr>
          <w:lang w:val="en-US"/>
        </w:rPr>
      </w:pPr>
      <w:bookmarkStart w:id="51" w:name="_Toc220669679"/>
      <w:r w:rsidRPr="00F037B5">
        <w:rPr>
          <w:lang w:val="en-US"/>
        </w:rPr>
        <w:t>Religious Intolerance (Articles 2, 18, 25, 26)</w:t>
      </w:r>
      <w:bookmarkEnd w:id="51"/>
      <w:r w:rsidRPr="00F037B5">
        <w:rPr>
          <w:lang w:val="en-US"/>
        </w:rPr>
        <w:t xml:space="preserve"> </w:t>
      </w:r>
    </w:p>
    <w:p w14:paraId="72A839B5" w14:textId="3D239FC1" w:rsidR="00030827" w:rsidRPr="00F037B5" w:rsidRDefault="00030827" w:rsidP="00312B50">
      <w:pPr>
        <w:spacing w:line="240" w:lineRule="auto"/>
      </w:pPr>
      <w:r w:rsidRPr="00F037B5">
        <w:t>The ability of an individual to freely practice their religion is a fundamental human right.</w:t>
      </w:r>
      <w:r w:rsidR="00312B50" w:rsidRPr="00F037B5">
        <w:t xml:space="preserve"> However, in Canada, religious intolerance continues to materialize in many ways, from microaggressions</w:t>
      </w:r>
      <w:r w:rsidR="00B01295">
        <w:t xml:space="preserve"> and a</w:t>
      </w:r>
      <w:r w:rsidR="00312B50" w:rsidRPr="00F037B5">
        <w:t xml:space="preserve"> lack of accommodation of religious practices</w:t>
      </w:r>
      <w:r w:rsidR="009F1538">
        <w:t>,</w:t>
      </w:r>
      <w:r w:rsidR="00312B50" w:rsidRPr="00F037B5">
        <w:t xml:space="preserve"> to vandalism of religious buildings </w:t>
      </w:r>
      <w:r w:rsidR="00B01295">
        <w:t>and</w:t>
      </w:r>
      <w:r w:rsidR="00131620" w:rsidRPr="00F037B5">
        <w:t xml:space="preserve"> police-reported hate crimes, which continue to increase. </w:t>
      </w:r>
      <w:r w:rsidR="00312B50" w:rsidRPr="00F037B5">
        <w:t>The psychological, economic, and societal impacts that these intolerant behaviours and attitudes have on people can be very detrimental and long</w:t>
      </w:r>
      <w:r w:rsidR="00BE7D3B" w:rsidRPr="00F037B5">
        <w:t>-</w:t>
      </w:r>
      <w:r w:rsidR="00312B50" w:rsidRPr="00F037B5">
        <w:t>lasting.</w:t>
      </w:r>
      <w:r w:rsidR="0075782C" w:rsidRPr="00F037B5">
        <w:rPr>
          <w:rStyle w:val="FootnoteReference"/>
        </w:rPr>
        <w:footnoteReference w:id="106"/>
      </w:r>
      <w:r w:rsidR="0075782C" w:rsidRPr="00F037B5">
        <w:t xml:space="preserve"> </w:t>
      </w:r>
    </w:p>
    <w:p w14:paraId="44DF5465" w14:textId="0DC063BC" w:rsidR="00E2604E" w:rsidRDefault="00E12199" w:rsidP="00E12199">
      <w:pPr>
        <w:spacing w:line="240" w:lineRule="auto"/>
        <w:rPr>
          <w:lang w:val="en-US"/>
        </w:rPr>
      </w:pPr>
      <w:r w:rsidRPr="00F037B5">
        <w:rPr>
          <w:lang w:val="en-US"/>
        </w:rPr>
        <w:t>In Quebec, the Act respecting the laicity of the State (Bill 21), was adopted by the Quebec National Assembly in 2019 and was upheld by the Quebec Court of Appeal in 2024.</w:t>
      </w:r>
      <w:r w:rsidRPr="00F037B5">
        <w:rPr>
          <w:rStyle w:val="FootnoteReference"/>
          <w:lang w:val="en-US"/>
        </w:rPr>
        <w:footnoteReference w:id="107"/>
      </w:r>
      <w:r w:rsidRPr="00F037B5">
        <w:rPr>
          <w:lang w:val="en-US"/>
        </w:rPr>
        <w:t xml:space="preserve"> The law bans provincial public sector workers in positions of authority – such as teachers, police officers, and judges – from wearing religious symbols while at work, such as a hijab, turban or </w:t>
      </w:r>
      <w:r w:rsidR="00762BE9" w:rsidRPr="00F037B5">
        <w:rPr>
          <w:lang w:val="en-US"/>
        </w:rPr>
        <w:t>kippah</w:t>
      </w:r>
      <w:r w:rsidRPr="00F037B5">
        <w:rPr>
          <w:lang w:val="en-US"/>
        </w:rPr>
        <w:t xml:space="preserve">. </w:t>
      </w:r>
    </w:p>
    <w:p w14:paraId="7C3A936E" w14:textId="0B4D85CC" w:rsidR="00E2604E" w:rsidRDefault="00E12199" w:rsidP="00E12199">
      <w:pPr>
        <w:spacing w:line="240" w:lineRule="auto"/>
        <w:rPr>
          <w:rFonts w:cs="Arial"/>
          <w:szCs w:val="24"/>
        </w:rPr>
      </w:pPr>
      <w:r w:rsidRPr="00F037B5">
        <w:rPr>
          <w:rFonts w:cs="Arial"/>
          <w:szCs w:val="24"/>
        </w:rPr>
        <w:t>The CHRC shares widespread concerns</w:t>
      </w:r>
      <w:r w:rsidRPr="00F037B5">
        <w:rPr>
          <w:rStyle w:val="FootnoteReference"/>
          <w:rFonts w:cs="Arial"/>
          <w:szCs w:val="24"/>
        </w:rPr>
        <w:footnoteReference w:id="108"/>
      </w:r>
      <w:r w:rsidRPr="00F037B5">
        <w:rPr>
          <w:rFonts w:cs="Arial"/>
          <w:szCs w:val="24"/>
        </w:rPr>
        <w:t xml:space="preserve"> regarding the disproportionate adverse impacts on racialized Muslim women</w:t>
      </w:r>
      <w:r w:rsidRPr="00F037B5">
        <w:rPr>
          <w:rStyle w:val="FootnoteReference"/>
          <w:rFonts w:cs="Arial"/>
          <w:szCs w:val="24"/>
        </w:rPr>
        <w:footnoteReference w:id="109"/>
      </w:r>
      <w:r w:rsidRPr="00F037B5">
        <w:rPr>
          <w:rFonts w:cs="Arial"/>
          <w:szCs w:val="24"/>
        </w:rPr>
        <w:t xml:space="preserve"> who wear the </w:t>
      </w:r>
      <w:r w:rsidRPr="00120FDE">
        <w:rPr>
          <w:rFonts w:cs="Arial"/>
          <w:szCs w:val="24"/>
        </w:rPr>
        <w:t>hijab,</w:t>
      </w:r>
      <w:r w:rsidR="00F75577">
        <w:rPr>
          <w:rStyle w:val="FootnoteReference"/>
          <w:rFonts w:cs="Arial"/>
          <w:szCs w:val="24"/>
        </w:rPr>
        <w:footnoteReference w:id="110"/>
      </w:r>
      <w:r w:rsidR="00F75577" w:rsidRPr="00120FDE">
        <w:rPr>
          <w:rFonts w:cs="Arial"/>
          <w:szCs w:val="24"/>
        </w:rPr>
        <w:t xml:space="preserve"> </w:t>
      </w:r>
      <w:r w:rsidRPr="00120FDE">
        <w:rPr>
          <w:rFonts w:cs="Arial"/>
          <w:szCs w:val="24"/>
        </w:rPr>
        <w:t>and effectively amounts to government-imposed workplace discrimination during a period of rising religious intolerance across Canada.</w:t>
      </w:r>
      <w:r w:rsidR="00F75577">
        <w:rPr>
          <w:rStyle w:val="FootnoteReference"/>
          <w:rFonts w:cs="Arial"/>
          <w:szCs w:val="24"/>
        </w:rPr>
        <w:footnoteReference w:id="111"/>
      </w:r>
      <w:r w:rsidR="00F75577" w:rsidRPr="00120FDE">
        <w:rPr>
          <w:rFonts w:cs="Arial"/>
          <w:szCs w:val="24"/>
        </w:rPr>
        <w:t xml:space="preserve"> </w:t>
      </w:r>
    </w:p>
    <w:p w14:paraId="625779FB" w14:textId="42D4E3F9" w:rsidR="00E12199" w:rsidRPr="00F037B5" w:rsidRDefault="00BF4967" w:rsidP="00E12199">
      <w:pPr>
        <w:spacing w:line="240" w:lineRule="auto"/>
        <w:rPr>
          <w:rFonts w:cs="Arial"/>
          <w:szCs w:val="24"/>
        </w:rPr>
      </w:pPr>
      <w:r w:rsidRPr="00120FDE">
        <w:rPr>
          <w:rFonts w:cs="Arial"/>
          <w:szCs w:val="24"/>
        </w:rPr>
        <w:t xml:space="preserve">This decision has been appealed to the Supreme Court of Canada, where the CHRC will intervene to argue that Bill 21 infringes on Muslim women’s equality rights, conflicts </w:t>
      </w:r>
      <w:r w:rsidRPr="00120FDE">
        <w:rPr>
          <w:rFonts w:cs="Arial"/>
          <w:szCs w:val="24"/>
        </w:rPr>
        <w:lastRenderedPageBreak/>
        <w:t>with Canada’s international human rights obligations, and perpetuates systemic discrimination.</w:t>
      </w:r>
    </w:p>
    <w:p w14:paraId="268C071F" w14:textId="30A3D11C" w:rsidR="00DD4980" w:rsidRPr="00F037B5" w:rsidRDefault="00F709E0" w:rsidP="00F709E0">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F037B5">
        <w:rPr>
          <w:rFonts w:cs="Arial"/>
          <w:b/>
          <w:bCs/>
          <w:szCs w:val="24"/>
          <w:lang w:val="en-US"/>
        </w:rPr>
        <w:t>Recommendation #</w:t>
      </w:r>
      <w:r w:rsidR="00965797">
        <w:rPr>
          <w:rFonts w:cs="Arial"/>
          <w:b/>
          <w:bCs/>
          <w:szCs w:val="24"/>
          <w:lang w:val="en-US"/>
        </w:rPr>
        <w:t>21</w:t>
      </w:r>
      <w:r w:rsidRPr="00F037B5">
        <w:rPr>
          <w:rFonts w:cs="Arial"/>
          <w:b/>
          <w:bCs/>
          <w:szCs w:val="24"/>
          <w:lang w:val="en-US"/>
        </w:rPr>
        <w:t xml:space="preserve">: </w:t>
      </w:r>
      <w:r w:rsidR="00CC3BCB" w:rsidRPr="00F037B5">
        <w:rPr>
          <w:rFonts w:cs="Arial"/>
          <w:szCs w:val="24"/>
          <w:lang w:val="en-US"/>
        </w:rPr>
        <w:t>That Canada take steps to combat religious intolerance and the various ways it continues to materialize</w:t>
      </w:r>
      <w:r w:rsidR="001E49DF" w:rsidRPr="00F037B5">
        <w:rPr>
          <w:rFonts w:cs="Arial"/>
          <w:szCs w:val="24"/>
          <w:lang w:val="en-US"/>
        </w:rPr>
        <w:t>, including by</w:t>
      </w:r>
      <w:r w:rsidR="00BF4967" w:rsidRPr="00F037B5">
        <w:rPr>
          <w:rFonts w:cs="Arial"/>
          <w:szCs w:val="24"/>
          <w:lang w:val="en-US"/>
        </w:rPr>
        <w:t xml:space="preserve"> engaging with communities who are directly impacted to ensure that legislative enactments do</w:t>
      </w:r>
      <w:r w:rsidR="00E2604E">
        <w:rPr>
          <w:rFonts w:cs="Arial"/>
          <w:szCs w:val="24"/>
          <w:lang w:val="en-US"/>
        </w:rPr>
        <w:t xml:space="preserve"> no</w:t>
      </w:r>
      <w:r w:rsidR="00BF4967" w:rsidRPr="00F037B5">
        <w:rPr>
          <w:rFonts w:cs="Arial"/>
          <w:szCs w:val="24"/>
          <w:lang w:val="en-US"/>
        </w:rPr>
        <w:t xml:space="preserve">t promote intolerance or have adverse impacts. </w:t>
      </w:r>
    </w:p>
    <w:p w14:paraId="68C2B0F7" w14:textId="1AE4DF08" w:rsidR="00DD4980" w:rsidRPr="00F037B5" w:rsidRDefault="00DD4980" w:rsidP="00DD4980">
      <w:pPr>
        <w:pStyle w:val="Heading1"/>
        <w:rPr>
          <w:lang w:val="en-US"/>
        </w:rPr>
      </w:pPr>
      <w:bookmarkStart w:id="52" w:name="_Toc220669680"/>
      <w:r w:rsidRPr="00F037B5">
        <w:rPr>
          <w:lang w:val="en-US"/>
        </w:rPr>
        <w:t xml:space="preserve">Immigration Detention (Articles 2, 9, </w:t>
      </w:r>
      <w:r w:rsidRPr="00803851">
        <w:rPr>
          <w:lang w:val="en-US"/>
        </w:rPr>
        <w:t>12,</w:t>
      </w:r>
      <w:r w:rsidRPr="00F037B5">
        <w:rPr>
          <w:lang w:val="en-US"/>
        </w:rPr>
        <w:t xml:space="preserve"> 26)</w:t>
      </w:r>
      <w:bookmarkEnd w:id="52"/>
      <w:r w:rsidRPr="00F037B5">
        <w:rPr>
          <w:lang w:val="en-US"/>
        </w:rPr>
        <w:t xml:space="preserve"> </w:t>
      </w:r>
    </w:p>
    <w:p w14:paraId="64EE40EF" w14:textId="401C56F2" w:rsidR="00E2604E" w:rsidRDefault="00DD4980" w:rsidP="00DD4980">
      <w:pPr>
        <w:spacing w:line="240" w:lineRule="auto"/>
      </w:pPr>
      <w:r w:rsidRPr="00F037B5">
        <w:t xml:space="preserve">The CHRC remains deeply concerned by Canada’s immigration detention regime, including the </w:t>
      </w:r>
      <w:r w:rsidR="00E2604E">
        <w:t>conditions of confinement for</w:t>
      </w:r>
      <w:r w:rsidRPr="00F037B5">
        <w:t xml:space="preserve"> </w:t>
      </w:r>
      <w:r w:rsidR="00905EB8">
        <w:t xml:space="preserve">migrant </w:t>
      </w:r>
      <w:r w:rsidR="008B7E6A">
        <w:t>detainees</w:t>
      </w:r>
      <w:r w:rsidRPr="00F037B5">
        <w:t xml:space="preserve">. </w:t>
      </w:r>
    </w:p>
    <w:p w14:paraId="3BEED030" w14:textId="31E2DCE9" w:rsidR="00DD4980" w:rsidRPr="00F037B5" w:rsidRDefault="00DD4980" w:rsidP="00DD4980">
      <w:pPr>
        <w:spacing w:line="240" w:lineRule="auto"/>
      </w:pPr>
      <w:r w:rsidRPr="00F037B5">
        <w:t>Every year, thousands of migrants who are not serving a criminal sentence are detained at the direction of the Canada Border Services Agency (CBSA).</w:t>
      </w:r>
      <w:r w:rsidR="008E2603" w:rsidRPr="00F037B5">
        <w:rPr>
          <w:rStyle w:val="FootnoteReference"/>
          <w:szCs w:val="24"/>
        </w:rPr>
        <w:footnoteReference w:id="112"/>
      </w:r>
      <w:r w:rsidR="008E2603" w:rsidRPr="00F037B5">
        <w:rPr>
          <w:szCs w:val="24"/>
        </w:rPr>
        <w:t xml:space="preserve"> </w:t>
      </w:r>
      <w:r w:rsidRPr="00F037B5">
        <w:t xml:space="preserve">This detention </w:t>
      </w:r>
      <w:r w:rsidR="002A3B01">
        <w:t xml:space="preserve">may occur </w:t>
      </w:r>
      <w:r w:rsidR="00BF440D" w:rsidRPr="00F037B5">
        <w:t>because of</w:t>
      </w:r>
      <w:r w:rsidRPr="00F037B5">
        <w:t xml:space="preserve"> past criminality, </w:t>
      </w:r>
      <w:r w:rsidR="002A3B01">
        <w:t xml:space="preserve">perceived </w:t>
      </w:r>
      <w:r w:rsidRPr="00F037B5">
        <w:t xml:space="preserve">flight risk, </w:t>
      </w:r>
      <w:r w:rsidR="002A3B01">
        <w:t xml:space="preserve">unconfirmed </w:t>
      </w:r>
      <w:r w:rsidRPr="00F037B5">
        <w:t xml:space="preserve">identity, or </w:t>
      </w:r>
      <w:r w:rsidR="002A3B01">
        <w:t xml:space="preserve">a determination of </w:t>
      </w:r>
      <w:r w:rsidRPr="00F037B5">
        <w:t>pos</w:t>
      </w:r>
      <w:r w:rsidR="002A3B01">
        <w:t>ing</w:t>
      </w:r>
      <w:r w:rsidRPr="00F037B5">
        <w:t xml:space="preserve"> a danger to the public. </w:t>
      </w:r>
      <w:r w:rsidR="00762BE9" w:rsidRPr="00F037B5">
        <w:t xml:space="preserve">A significant portion of migrants </w:t>
      </w:r>
      <w:r w:rsidR="00F17420">
        <w:t xml:space="preserve">have traditionally been </w:t>
      </w:r>
      <w:r w:rsidR="00762BE9" w:rsidRPr="00F037B5">
        <w:t>held in institutions intended for criminal populations rather than immigration holding centres, sometimes for significant periods of time</w:t>
      </w:r>
      <w:r w:rsidR="00762BE9">
        <w:t xml:space="preserve"> and with l</w:t>
      </w:r>
      <w:r w:rsidR="00762BE9" w:rsidRPr="00F037B5">
        <w:t xml:space="preserve">imited services available. </w:t>
      </w:r>
      <w:r w:rsidR="002670B3">
        <w:t>The CHRC notes that w</w:t>
      </w:r>
      <w:r w:rsidR="00F17420">
        <w:t xml:space="preserve">hile </w:t>
      </w:r>
      <w:r w:rsidR="002670B3">
        <w:t xml:space="preserve">the use of </w:t>
      </w:r>
      <w:r w:rsidR="00F17420">
        <w:t xml:space="preserve">provincial jails </w:t>
      </w:r>
      <w:r w:rsidR="002670B3">
        <w:t xml:space="preserve">for immigration detention </w:t>
      </w:r>
      <w:r w:rsidR="00F17420">
        <w:t>ended in September 2025,</w:t>
      </w:r>
      <w:r w:rsidR="002670B3">
        <w:t xml:space="preserve"> </w:t>
      </w:r>
      <w:r w:rsidR="00A5726E">
        <w:t xml:space="preserve">significant concerns remain including the </w:t>
      </w:r>
      <w:r w:rsidR="002670B3">
        <w:t xml:space="preserve">practice of migrant detention </w:t>
      </w:r>
      <w:r w:rsidR="00A5726E">
        <w:t xml:space="preserve">in federal correctional facilities. </w:t>
      </w:r>
    </w:p>
    <w:p w14:paraId="7D6E1AEF" w14:textId="6A3D7EDE" w:rsidR="0049048E" w:rsidRPr="00F037B5" w:rsidRDefault="008E2603" w:rsidP="00DD4980">
      <w:pPr>
        <w:spacing w:line="240" w:lineRule="auto"/>
        <w:rPr>
          <w:szCs w:val="24"/>
        </w:rPr>
      </w:pPr>
      <w:r w:rsidRPr="00F037B5">
        <w:rPr>
          <w:szCs w:val="24"/>
        </w:rPr>
        <w:t xml:space="preserve">A 2021 Human Rights Watch </w:t>
      </w:r>
      <w:r w:rsidR="002A3B01">
        <w:rPr>
          <w:szCs w:val="24"/>
        </w:rPr>
        <w:t xml:space="preserve">report </w:t>
      </w:r>
      <w:r w:rsidRPr="00F037B5">
        <w:rPr>
          <w:szCs w:val="24"/>
        </w:rPr>
        <w:t>documented that “racialized people, and in particular Black men, are confined in more restrictive conditions and for longer periods […] than other detainees.”</w:t>
      </w:r>
      <w:r w:rsidRPr="00F037B5">
        <w:rPr>
          <w:rStyle w:val="FootnoteReference"/>
          <w:szCs w:val="24"/>
        </w:rPr>
        <w:footnoteReference w:id="113"/>
      </w:r>
      <w:r w:rsidRPr="00F037B5">
        <w:rPr>
          <w:szCs w:val="24"/>
        </w:rPr>
        <w:t xml:space="preserve"> The</w:t>
      </w:r>
      <w:r w:rsidR="00A057E8">
        <w:rPr>
          <w:szCs w:val="24"/>
        </w:rPr>
        <w:t xml:space="preserve">y also lack </w:t>
      </w:r>
      <w:r w:rsidRPr="00F037B5">
        <w:rPr>
          <w:szCs w:val="24"/>
        </w:rPr>
        <w:t xml:space="preserve">access to </w:t>
      </w:r>
      <w:r w:rsidR="00A057E8">
        <w:rPr>
          <w:szCs w:val="24"/>
        </w:rPr>
        <w:t xml:space="preserve">effective </w:t>
      </w:r>
      <w:r w:rsidRPr="00F037B5">
        <w:rPr>
          <w:szCs w:val="24"/>
        </w:rPr>
        <w:t>recourse mechanisms to address mistreatment by law enforcement officials in the</w:t>
      </w:r>
      <w:r w:rsidR="00A057E8">
        <w:rPr>
          <w:szCs w:val="24"/>
        </w:rPr>
        <w:t>ir detention</w:t>
      </w:r>
      <w:r w:rsidRPr="00F037B5">
        <w:rPr>
          <w:szCs w:val="24"/>
        </w:rPr>
        <w:t xml:space="preserve"> facilities.</w:t>
      </w:r>
    </w:p>
    <w:p w14:paraId="15B3E9F3" w14:textId="18B3CFAC" w:rsidR="008E2603" w:rsidRPr="00F037B5" w:rsidRDefault="0049048E" w:rsidP="00DD4980">
      <w:pPr>
        <w:spacing w:line="240" w:lineRule="auto"/>
        <w:rPr>
          <w:szCs w:val="24"/>
        </w:rPr>
      </w:pPr>
      <w:r w:rsidRPr="00F037B5">
        <w:rPr>
          <w:szCs w:val="24"/>
        </w:rPr>
        <w:t xml:space="preserve">There are also </w:t>
      </w:r>
      <w:r w:rsidR="000819BD" w:rsidRPr="00F037B5">
        <w:rPr>
          <w:szCs w:val="24"/>
        </w:rPr>
        <w:t xml:space="preserve">serious </w:t>
      </w:r>
      <w:r w:rsidRPr="00F037B5">
        <w:rPr>
          <w:szCs w:val="24"/>
        </w:rPr>
        <w:t xml:space="preserve">concerns about </w:t>
      </w:r>
      <w:r w:rsidR="00A057E8">
        <w:rPr>
          <w:szCs w:val="24"/>
        </w:rPr>
        <w:t xml:space="preserve">the rights of </w:t>
      </w:r>
      <w:r w:rsidRPr="00F037B5">
        <w:rPr>
          <w:szCs w:val="24"/>
        </w:rPr>
        <w:t>pe</w:t>
      </w:r>
      <w:r w:rsidR="00327BB4" w:rsidRPr="00F037B5">
        <w:rPr>
          <w:szCs w:val="24"/>
        </w:rPr>
        <w:t>ople</w:t>
      </w:r>
      <w:r w:rsidRPr="00F037B5">
        <w:rPr>
          <w:szCs w:val="24"/>
        </w:rPr>
        <w:t xml:space="preserve"> with disabilities in migrant detention. </w:t>
      </w:r>
      <w:r w:rsidR="00A057E8">
        <w:rPr>
          <w:szCs w:val="24"/>
        </w:rPr>
        <w:t xml:space="preserve">A 2024 </w:t>
      </w:r>
      <w:r w:rsidRPr="00F037B5">
        <w:rPr>
          <w:szCs w:val="24"/>
        </w:rPr>
        <w:t>Human Rights Watch</w:t>
      </w:r>
      <w:r w:rsidR="0056438D">
        <w:rPr>
          <w:szCs w:val="24"/>
        </w:rPr>
        <w:t xml:space="preserve"> </w:t>
      </w:r>
      <w:r w:rsidR="00592217" w:rsidRPr="00F037B5">
        <w:rPr>
          <w:szCs w:val="24"/>
        </w:rPr>
        <w:t>report</w:t>
      </w:r>
      <w:r w:rsidR="0056438D">
        <w:rPr>
          <w:szCs w:val="24"/>
        </w:rPr>
        <w:t xml:space="preserve"> </w:t>
      </w:r>
      <w:r w:rsidR="00A057E8">
        <w:rPr>
          <w:szCs w:val="24"/>
        </w:rPr>
        <w:t>highlighted</w:t>
      </w:r>
      <w:r w:rsidR="00592217" w:rsidRPr="00F037B5">
        <w:rPr>
          <w:szCs w:val="24"/>
        </w:rPr>
        <w:t xml:space="preserve"> concerns </w:t>
      </w:r>
      <w:r w:rsidR="00A057E8">
        <w:rPr>
          <w:szCs w:val="24"/>
        </w:rPr>
        <w:t xml:space="preserve">regarding </w:t>
      </w:r>
      <w:r w:rsidR="00592217" w:rsidRPr="00F037B5">
        <w:rPr>
          <w:szCs w:val="24"/>
        </w:rPr>
        <w:t>designated representatives</w:t>
      </w:r>
      <w:r w:rsidR="000A48B2" w:rsidRPr="00F037B5">
        <w:rPr>
          <w:szCs w:val="24"/>
        </w:rPr>
        <w:t xml:space="preserve"> appointed by the Immigration and Refugee Board</w:t>
      </w:r>
      <w:r w:rsidR="0056438D">
        <w:rPr>
          <w:szCs w:val="24"/>
        </w:rPr>
        <w:t>,</w:t>
      </w:r>
      <w:r w:rsidR="00C23A73">
        <w:rPr>
          <w:szCs w:val="24"/>
        </w:rPr>
        <w:t xml:space="preserve"> who not only </w:t>
      </w:r>
      <w:r w:rsidR="000A48B2" w:rsidRPr="00F037B5">
        <w:rPr>
          <w:szCs w:val="24"/>
        </w:rPr>
        <w:t>provid</w:t>
      </w:r>
      <w:r w:rsidR="00C23A73">
        <w:rPr>
          <w:szCs w:val="24"/>
        </w:rPr>
        <w:t>e</w:t>
      </w:r>
      <w:r w:rsidR="000A48B2" w:rsidRPr="00F037B5">
        <w:rPr>
          <w:szCs w:val="24"/>
        </w:rPr>
        <w:t xml:space="preserve"> support to people in detention who have a diagnosed or suspected mental health condition, </w:t>
      </w:r>
      <w:r w:rsidR="00C23A73">
        <w:rPr>
          <w:szCs w:val="24"/>
        </w:rPr>
        <w:t xml:space="preserve">but are also </w:t>
      </w:r>
      <w:r w:rsidR="000A48B2" w:rsidRPr="00F037B5">
        <w:rPr>
          <w:szCs w:val="24"/>
        </w:rPr>
        <w:t>legally empowered to make decisions on their behalf.</w:t>
      </w:r>
      <w:r w:rsidRPr="00F037B5">
        <w:rPr>
          <w:szCs w:val="24"/>
        </w:rPr>
        <w:t xml:space="preserve"> </w:t>
      </w:r>
      <w:r w:rsidR="003F6364" w:rsidRPr="00F037B5">
        <w:rPr>
          <w:szCs w:val="24"/>
        </w:rPr>
        <w:t>Due to a lack of proper assessment in appointing designated representatives</w:t>
      </w:r>
      <w:r w:rsidR="00C42F2A">
        <w:rPr>
          <w:szCs w:val="24"/>
        </w:rPr>
        <w:t>,</w:t>
      </w:r>
      <w:r w:rsidR="00C42F2A" w:rsidRPr="00C42F2A">
        <w:t xml:space="preserve"> </w:t>
      </w:r>
      <w:r w:rsidR="00C42F2A">
        <w:rPr>
          <w:szCs w:val="24"/>
        </w:rPr>
        <w:t>s</w:t>
      </w:r>
      <w:r w:rsidR="00C42F2A" w:rsidRPr="00C42F2A">
        <w:rPr>
          <w:szCs w:val="24"/>
        </w:rPr>
        <w:t xml:space="preserve">ubstitute decision-makers </w:t>
      </w:r>
      <w:r w:rsidR="00C42F2A">
        <w:rPr>
          <w:szCs w:val="24"/>
        </w:rPr>
        <w:t xml:space="preserve">may </w:t>
      </w:r>
      <w:r w:rsidR="00C42F2A" w:rsidRPr="00C42F2A">
        <w:rPr>
          <w:szCs w:val="24"/>
        </w:rPr>
        <w:t xml:space="preserve">replace, rather than support, the voices of detained people with disabilities, depriving them of </w:t>
      </w:r>
      <w:r w:rsidR="00C42F2A">
        <w:rPr>
          <w:szCs w:val="24"/>
        </w:rPr>
        <w:t xml:space="preserve">meaningful participation and decision-making </w:t>
      </w:r>
      <w:r w:rsidR="00941A7C">
        <w:rPr>
          <w:szCs w:val="24"/>
        </w:rPr>
        <w:t xml:space="preserve">in </w:t>
      </w:r>
      <w:r w:rsidR="00C42F2A" w:rsidRPr="00C42F2A">
        <w:rPr>
          <w:szCs w:val="24"/>
        </w:rPr>
        <w:t>legal proceedings</w:t>
      </w:r>
      <w:r w:rsidR="00FD7801">
        <w:rPr>
          <w:szCs w:val="24"/>
        </w:rPr>
        <w:t xml:space="preserve"> that concern them</w:t>
      </w:r>
      <w:r w:rsidR="003F6364" w:rsidRPr="00F037B5">
        <w:rPr>
          <w:szCs w:val="24"/>
        </w:rPr>
        <w:t xml:space="preserve">. </w:t>
      </w:r>
      <w:r w:rsidR="00907558" w:rsidRPr="00F037B5">
        <w:rPr>
          <w:szCs w:val="24"/>
        </w:rPr>
        <w:t xml:space="preserve">Human Rights Watch </w:t>
      </w:r>
      <w:r w:rsidR="00C23A73">
        <w:rPr>
          <w:szCs w:val="24"/>
        </w:rPr>
        <w:t xml:space="preserve">recommended </w:t>
      </w:r>
      <w:r w:rsidR="00907558" w:rsidRPr="00F037B5">
        <w:rPr>
          <w:szCs w:val="24"/>
        </w:rPr>
        <w:t xml:space="preserve">that </w:t>
      </w:r>
      <w:r w:rsidR="00A057E8">
        <w:rPr>
          <w:szCs w:val="24"/>
        </w:rPr>
        <w:t>the role of designated representatives be transformed into a mechanism exclusively for supported decision-making.</w:t>
      </w:r>
      <w:r w:rsidR="00907558" w:rsidRPr="00F037B5">
        <w:rPr>
          <w:rStyle w:val="FootnoteReference"/>
          <w:szCs w:val="24"/>
        </w:rPr>
        <w:footnoteReference w:id="114"/>
      </w:r>
    </w:p>
    <w:p w14:paraId="7638BB30" w14:textId="103E07C8" w:rsidR="00DD4980" w:rsidRPr="00F037B5" w:rsidRDefault="00DD4980" w:rsidP="00DD4980">
      <w:pPr>
        <w:spacing w:line="240" w:lineRule="auto"/>
      </w:pPr>
      <w:r w:rsidRPr="00F037B5">
        <w:lastRenderedPageBreak/>
        <w:t xml:space="preserve">The CHRC continues to share the concerns </w:t>
      </w:r>
      <w:r w:rsidR="004D6B5A">
        <w:t xml:space="preserve">of </w:t>
      </w:r>
      <w:r w:rsidRPr="00F037B5">
        <w:t xml:space="preserve">civil society and echoes the recommendations that have been made to Canada – including </w:t>
      </w:r>
      <w:r w:rsidR="008E2603" w:rsidRPr="00F037B5">
        <w:t>during</w:t>
      </w:r>
      <w:r w:rsidRPr="00F037B5">
        <w:t xml:space="preserve"> its Universal Periodic Review – to dramatically revise its migration detention regime to better align with its international human rights obligations, including by:</w:t>
      </w:r>
    </w:p>
    <w:p w14:paraId="29DDD565" w14:textId="77777777" w:rsidR="00DD4980" w:rsidRPr="00F037B5" w:rsidRDefault="00DD4980" w:rsidP="003077EF">
      <w:pPr>
        <w:pStyle w:val="ListParagraph"/>
        <w:numPr>
          <w:ilvl w:val="0"/>
          <w:numId w:val="3"/>
        </w:numPr>
        <w:spacing w:line="240" w:lineRule="auto"/>
        <w:rPr>
          <w:lang w:val="en-US"/>
        </w:rPr>
      </w:pPr>
      <w:r w:rsidRPr="00F037B5">
        <w:t xml:space="preserve">ensuring that detention is used only as a last resort, and that alternatives to detention are explored in all </w:t>
      </w:r>
      <w:proofErr w:type="gramStart"/>
      <w:r w:rsidRPr="00F037B5">
        <w:t>cases;</w:t>
      </w:r>
      <w:proofErr w:type="gramEnd"/>
    </w:p>
    <w:p w14:paraId="5D267074" w14:textId="77777777" w:rsidR="00DD4980" w:rsidRPr="00F037B5" w:rsidRDefault="00DD4980" w:rsidP="003077EF">
      <w:pPr>
        <w:pStyle w:val="ListParagraph"/>
        <w:numPr>
          <w:ilvl w:val="0"/>
          <w:numId w:val="3"/>
        </w:numPr>
        <w:spacing w:line="240" w:lineRule="auto"/>
        <w:rPr>
          <w:lang w:val="en-US"/>
        </w:rPr>
      </w:pPr>
      <w:r w:rsidRPr="00F037B5">
        <w:t xml:space="preserve">ending the practice of indefinite migration detention and ensuring that individuals detained for immigration purposes have access to habeas corpus procedures to avoid the risk of arbitrary </w:t>
      </w:r>
      <w:proofErr w:type="gramStart"/>
      <w:r w:rsidRPr="00F037B5">
        <w:t>detention;</w:t>
      </w:r>
      <w:proofErr w:type="gramEnd"/>
      <w:r w:rsidRPr="00F037B5">
        <w:t xml:space="preserve"> </w:t>
      </w:r>
    </w:p>
    <w:p w14:paraId="67EC822C" w14:textId="463CB2C5" w:rsidR="00DD4980" w:rsidRPr="00F037B5" w:rsidRDefault="00DD4980" w:rsidP="003077EF">
      <w:pPr>
        <w:pStyle w:val="ListParagraph"/>
        <w:numPr>
          <w:ilvl w:val="0"/>
          <w:numId w:val="3"/>
        </w:numPr>
        <w:spacing w:line="240" w:lineRule="auto"/>
        <w:rPr>
          <w:lang w:val="en-US"/>
        </w:rPr>
      </w:pPr>
      <w:r w:rsidRPr="00F037B5">
        <w:t xml:space="preserve">ensuring that detainees are not held in maximum security correctional facilities, and that they are not subject to solitary </w:t>
      </w:r>
      <w:proofErr w:type="gramStart"/>
      <w:r w:rsidRPr="00F037B5">
        <w:t>confinement;</w:t>
      </w:r>
      <w:proofErr w:type="gramEnd"/>
      <w:r w:rsidRPr="00F037B5">
        <w:t xml:space="preserve"> </w:t>
      </w:r>
    </w:p>
    <w:p w14:paraId="0C125140" w14:textId="40381C1A" w:rsidR="00DD4980" w:rsidRPr="00F037B5" w:rsidRDefault="00DD4980" w:rsidP="003077EF">
      <w:pPr>
        <w:pStyle w:val="ListParagraph"/>
        <w:numPr>
          <w:ilvl w:val="0"/>
          <w:numId w:val="3"/>
        </w:numPr>
        <w:spacing w:line="240" w:lineRule="auto"/>
        <w:rPr>
          <w:lang w:val="en-US"/>
        </w:rPr>
      </w:pPr>
      <w:r w:rsidRPr="00F037B5">
        <w:t>establishing a regime to ensure independent oversight and monitoring of immigration detention</w:t>
      </w:r>
      <w:r w:rsidR="00E2604E">
        <w:t>; and</w:t>
      </w:r>
    </w:p>
    <w:p w14:paraId="19380372" w14:textId="4B38B82D" w:rsidR="00346DE8" w:rsidRPr="00F037B5" w:rsidRDefault="00E2604E" w:rsidP="003077EF">
      <w:pPr>
        <w:pStyle w:val="ListParagraph"/>
        <w:numPr>
          <w:ilvl w:val="0"/>
          <w:numId w:val="3"/>
        </w:numPr>
        <w:spacing w:line="240" w:lineRule="auto"/>
        <w:rPr>
          <w:lang w:val="en-US"/>
        </w:rPr>
      </w:pPr>
      <w:r>
        <w:rPr>
          <w:lang w:val="en-US"/>
        </w:rPr>
        <w:t>respecting</w:t>
      </w:r>
      <w:r w:rsidRPr="00F037B5">
        <w:rPr>
          <w:lang w:val="en-US"/>
        </w:rPr>
        <w:t xml:space="preserve"> </w:t>
      </w:r>
      <w:r w:rsidR="00346DE8" w:rsidRPr="00F037B5">
        <w:rPr>
          <w:lang w:val="en-US"/>
        </w:rPr>
        <w:t xml:space="preserve">the legal capacity of people in </w:t>
      </w:r>
      <w:r>
        <w:rPr>
          <w:lang w:val="en-US"/>
        </w:rPr>
        <w:t>detention</w:t>
      </w:r>
      <w:r w:rsidRPr="00F037B5">
        <w:rPr>
          <w:lang w:val="en-US"/>
        </w:rPr>
        <w:t xml:space="preserve"> </w:t>
      </w:r>
      <w:r w:rsidR="00346DE8" w:rsidRPr="00F037B5">
        <w:rPr>
          <w:lang w:val="en-US"/>
        </w:rPr>
        <w:t xml:space="preserve">by </w:t>
      </w:r>
      <w:r w:rsidR="002C6494" w:rsidRPr="00F037B5">
        <w:rPr>
          <w:lang w:val="en-US"/>
        </w:rPr>
        <w:t xml:space="preserve">facilitating supported decision-making </w:t>
      </w:r>
      <w:r w:rsidR="00346DE8" w:rsidRPr="00F037B5">
        <w:rPr>
          <w:lang w:val="en-US"/>
        </w:rPr>
        <w:t xml:space="preserve">and prioritizing </w:t>
      </w:r>
      <w:r w:rsidR="002C6494" w:rsidRPr="00F037B5">
        <w:rPr>
          <w:lang w:val="en-US"/>
        </w:rPr>
        <w:t xml:space="preserve">access to </w:t>
      </w:r>
      <w:proofErr w:type="gramStart"/>
      <w:r w:rsidR="00346DE8" w:rsidRPr="00F037B5">
        <w:rPr>
          <w:lang w:val="en-US"/>
        </w:rPr>
        <w:t>support</w:t>
      </w:r>
      <w:r w:rsidR="002C6494" w:rsidRPr="00F037B5">
        <w:rPr>
          <w:lang w:val="en-US"/>
        </w:rPr>
        <w:t>s</w:t>
      </w:r>
      <w:proofErr w:type="gramEnd"/>
      <w:r w:rsidR="00346DE8" w:rsidRPr="00F037B5">
        <w:rPr>
          <w:lang w:val="en-US"/>
        </w:rPr>
        <w:t xml:space="preserve"> and accommodation</w:t>
      </w:r>
      <w:r w:rsidR="00B331D7" w:rsidRPr="00F037B5">
        <w:rPr>
          <w:lang w:val="en-US"/>
        </w:rPr>
        <w:t>.</w:t>
      </w:r>
    </w:p>
    <w:p w14:paraId="6E78984C" w14:textId="1322F643" w:rsidR="008E2603" w:rsidRPr="00F037B5" w:rsidRDefault="00DD4980" w:rsidP="00DD4980">
      <w:pPr>
        <w:spacing w:line="240" w:lineRule="auto"/>
        <w:rPr>
          <w:szCs w:val="24"/>
        </w:rPr>
      </w:pPr>
      <w:r w:rsidRPr="00F037B5">
        <w:t xml:space="preserve">The CHRC notes that while the federal government has undertaken extensive consultations on CBSA’s National Immigration Detention Framework, concerns with respect to Canada’s migration detention regime remain. </w:t>
      </w:r>
      <w:r w:rsidR="008E2603" w:rsidRPr="00F037B5">
        <w:rPr>
          <w:szCs w:val="24"/>
        </w:rPr>
        <w:t>Although the government has passed legislation that will introduce an oversight body for the CBSA</w:t>
      </w:r>
      <w:r w:rsidR="00E2604E">
        <w:rPr>
          <w:szCs w:val="24"/>
        </w:rPr>
        <w:t xml:space="preserve">, </w:t>
      </w:r>
      <w:r w:rsidR="00FE27FC" w:rsidRPr="00F037B5">
        <w:rPr>
          <w:szCs w:val="24"/>
        </w:rPr>
        <w:t>the Public Complaints and Review Commission (PCRC)</w:t>
      </w:r>
      <w:r w:rsidR="001746D3">
        <w:rPr>
          <w:szCs w:val="24"/>
        </w:rPr>
        <w:t>,</w:t>
      </w:r>
      <w:r w:rsidR="009B739E" w:rsidRPr="00F037B5">
        <w:rPr>
          <w:rStyle w:val="FootnoteReference"/>
          <w:szCs w:val="24"/>
        </w:rPr>
        <w:footnoteReference w:id="115"/>
      </w:r>
      <w:r w:rsidR="008E2603" w:rsidRPr="00F037B5">
        <w:rPr>
          <w:szCs w:val="24"/>
        </w:rPr>
        <w:t xml:space="preserve"> </w:t>
      </w:r>
      <w:r w:rsidR="001C56AB" w:rsidRPr="00F037B5">
        <w:rPr>
          <w:szCs w:val="24"/>
        </w:rPr>
        <w:t xml:space="preserve">there is currently no set date for </w:t>
      </w:r>
      <w:r w:rsidR="00E2604E">
        <w:rPr>
          <w:szCs w:val="24"/>
        </w:rPr>
        <w:t>the</w:t>
      </w:r>
      <w:r w:rsidR="001C56AB" w:rsidRPr="00F037B5">
        <w:rPr>
          <w:szCs w:val="24"/>
        </w:rPr>
        <w:t xml:space="preserve"> establishment</w:t>
      </w:r>
      <w:r w:rsidR="00E2604E">
        <w:rPr>
          <w:szCs w:val="24"/>
        </w:rPr>
        <w:t xml:space="preserve"> of this body</w:t>
      </w:r>
      <w:r w:rsidR="008E2603" w:rsidRPr="00F037B5">
        <w:rPr>
          <w:szCs w:val="24"/>
        </w:rPr>
        <w:t xml:space="preserve">. </w:t>
      </w:r>
    </w:p>
    <w:p w14:paraId="354D2510" w14:textId="7C7FC4E9" w:rsidR="00DD4980" w:rsidRPr="00F037B5" w:rsidRDefault="00DD4980" w:rsidP="00DD4980">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F037B5">
        <w:rPr>
          <w:rFonts w:cs="Arial"/>
          <w:b/>
          <w:bCs/>
          <w:szCs w:val="24"/>
          <w:lang w:val="en-US"/>
        </w:rPr>
        <w:t>Recommendation #</w:t>
      </w:r>
      <w:r w:rsidR="00965797">
        <w:rPr>
          <w:rFonts w:cs="Arial"/>
          <w:b/>
          <w:bCs/>
          <w:szCs w:val="24"/>
          <w:lang w:val="en-US"/>
        </w:rPr>
        <w:t>22</w:t>
      </w:r>
      <w:r w:rsidRPr="00F037B5">
        <w:rPr>
          <w:rFonts w:cs="Arial"/>
          <w:b/>
          <w:bCs/>
          <w:szCs w:val="24"/>
          <w:lang w:val="en-US"/>
        </w:rPr>
        <w:t xml:space="preserve">: </w:t>
      </w:r>
      <w:r w:rsidR="00567CBA" w:rsidRPr="00F037B5">
        <w:t>That Canada take</w:t>
      </w:r>
      <w:r w:rsidRPr="00F037B5">
        <w:t xml:space="preserve"> steps to revise </w:t>
      </w:r>
      <w:r w:rsidR="00567CBA" w:rsidRPr="00F037B5">
        <w:t xml:space="preserve">the </w:t>
      </w:r>
      <w:r w:rsidRPr="00F037B5">
        <w:t>immigration detention regime, including by: ensuring that detention is used only as a last resort and that alternatives to detention are explored in all cases; ending the practice of indefinite immigration detention; ensuring that detainees are not held in maximum security correctional facilities or subject to de facto solitary confinement</w:t>
      </w:r>
      <w:r w:rsidR="0019365D">
        <w:t xml:space="preserve">; and </w:t>
      </w:r>
      <w:r w:rsidR="00E2604E">
        <w:t>facilitating</w:t>
      </w:r>
      <w:r w:rsidR="0019365D">
        <w:t xml:space="preserve"> supported decision</w:t>
      </w:r>
      <w:r w:rsidR="00E2604E">
        <w:t>-</w:t>
      </w:r>
      <w:r w:rsidR="0019365D">
        <w:t>making for people with disabilities</w:t>
      </w:r>
      <w:r w:rsidR="00E2604E">
        <w:t xml:space="preserve"> in detention</w:t>
      </w:r>
      <w:r w:rsidRPr="00F037B5">
        <w:t>.</w:t>
      </w:r>
    </w:p>
    <w:p w14:paraId="5DB5A6DB" w14:textId="180A19A6" w:rsidR="00DD4980" w:rsidRPr="00F037B5" w:rsidRDefault="00DD4980" w:rsidP="00DD4980">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F037B5">
        <w:rPr>
          <w:rFonts w:cs="Arial"/>
          <w:b/>
          <w:bCs/>
          <w:szCs w:val="24"/>
          <w:lang w:val="en-US"/>
        </w:rPr>
        <w:t>Recommendation #</w:t>
      </w:r>
      <w:r w:rsidR="00965797">
        <w:rPr>
          <w:rFonts w:cs="Arial"/>
          <w:b/>
          <w:bCs/>
          <w:szCs w:val="24"/>
          <w:lang w:val="en-US"/>
        </w:rPr>
        <w:t>23</w:t>
      </w:r>
      <w:r w:rsidRPr="00F037B5">
        <w:rPr>
          <w:rFonts w:cs="Arial"/>
          <w:b/>
          <w:bCs/>
          <w:szCs w:val="24"/>
          <w:lang w:val="en-US"/>
        </w:rPr>
        <w:t xml:space="preserve">: </w:t>
      </w:r>
      <w:r w:rsidR="00762BE9" w:rsidRPr="00F037B5">
        <w:t>Th</w:t>
      </w:r>
      <w:r w:rsidR="001746D3">
        <w:t>at</w:t>
      </w:r>
      <w:r w:rsidR="00762BE9" w:rsidRPr="00F037B5">
        <w:t xml:space="preserve"> Canada </w:t>
      </w:r>
      <w:r w:rsidR="001746D3">
        <w:t xml:space="preserve">ensure that its immigration detention </w:t>
      </w:r>
      <w:r w:rsidR="007433C0">
        <w:t>regime</w:t>
      </w:r>
      <w:r w:rsidR="001746D3">
        <w:t xml:space="preserve"> is subject to appropriate independent oversight.</w:t>
      </w:r>
    </w:p>
    <w:p w14:paraId="1AD32042" w14:textId="708E8F9B" w:rsidR="00DD4980" w:rsidRPr="00F037B5" w:rsidRDefault="00DD4980" w:rsidP="00DD4980">
      <w:pPr>
        <w:spacing w:line="240" w:lineRule="auto"/>
      </w:pPr>
      <w:r w:rsidRPr="00F037B5">
        <w:t xml:space="preserve">Beyond oversight and monitoring, a significant gap exists in the human rights protections afforded to migrants detained in Canada. </w:t>
      </w:r>
    </w:p>
    <w:p w14:paraId="1DBEF0AF" w14:textId="3EE927CE" w:rsidR="00DD4980" w:rsidRPr="00F037B5" w:rsidRDefault="00DD4980" w:rsidP="00DD4980">
      <w:pPr>
        <w:spacing w:line="240" w:lineRule="auto"/>
      </w:pPr>
      <w:r w:rsidRPr="00F037B5">
        <w:t xml:space="preserve">While all individuals present in Canada </w:t>
      </w:r>
      <w:proofErr w:type="gramStart"/>
      <w:r w:rsidRPr="00F037B5">
        <w:t>are able to</w:t>
      </w:r>
      <w:proofErr w:type="gramEnd"/>
      <w:r w:rsidRPr="00F037B5">
        <w:t xml:space="preserve"> access the protections of the Charter, many migrant detainees are </w:t>
      </w:r>
      <w:r w:rsidR="0019365D">
        <w:t>un</w:t>
      </w:r>
      <w:r w:rsidRPr="00F037B5">
        <w:t>able to assert and claim their rights</w:t>
      </w:r>
      <w:r w:rsidR="0045158C">
        <w:t xml:space="preserve"> </w:t>
      </w:r>
      <w:r w:rsidR="0019365D">
        <w:t>due to</w:t>
      </w:r>
      <w:r w:rsidRPr="00F037B5">
        <w:t xml:space="preserve"> </w:t>
      </w:r>
      <w:r w:rsidR="00BC7C52">
        <w:t>a</w:t>
      </w:r>
      <w:r w:rsidR="00BC7C52" w:rsidRPr="00F037B5">
        <w:t xml:space="preserve"> </w:t>
      </w:r>
      <w:r w:rsidRPr="00F037B5">
        <w:t xml:space="preserve">lack of awareness of </w:t>
      </w:r>
      <w:r w:rsidR="0019365D">
        <w:t xml:space="preserve">their </w:t>
      </w:r>
      <w:r w:rsidRPr="00F037B5">
        <w:t>rights</w:t>
      </w:r>
      <w:r w:rsidR="00BC7C52">
        <w:t>,</w:t>
      </w:r>
      <w:r w:rsidR="0019365D">
        <w:t xml:space="preserve"> </w:t>
      </w:r>
      <w:r w:rsidRPr="00F037B5">
        <w:t xml:space="preserve">and </w:t>
      </w:r>
      <w:r w:rsidR="00BC7C52">
        <w:t>a</w:t>
      </w:r>
      <w:r w:rsidR="00BC7C52" w:rsidRPr="00F037B5">
        <w:t xml:space="preserve"> </w:t>
      </w:r>
      <w:r w:rsidRPr="00F037B5">
        <w:t xml:space="preserve">lack of necessary resources, including legal assistance, to advocate for those rights through the courts. </w:t>
      </w:r>
    </w:p>
    <w:p w14:paraId="3900D876" w14:textId="0661747E" w:rsidR="005A30DB" w:rsidRPr="00F037B5" w:rsidRDefault="00E00EB8" w:rsidP="00DD4980">
      <w:pPr>
        <w:spacing w:line="240" w:lineRule="auto"/>
        <w:rPr>
          <w:szCs w:val="24"/>
        </w:rPr>
      </w:pPr>
      <w:r>
        <w:rPr>
          <w:szCs w:val="24"/>
        </w:rPr>
        <w:t xml:space="preserve">Human rights legislation can provide a more accessible avenue for individuals to challenge discriminatory conduct outside of the courts.  However, </w:t>
      </w:r>
      <w:r w:rsidR="005A30DB" w:rsidRPr="00F037B5">
        <w:rPr>
          <w:szCs w:val="24"/>
        </w:rPr>
        <w:t xml:space="preserve">to file a complaint under the CHRA about a situation or practice occurring in Canada, an individual must </w:t>
      </w:r>
      <w:r w:rsidR="005A30DB" w:rsidRPr="00F037B5">
        <w:rPr>
          <w:szCs w:val="24"/>
        </w:rPr>
        <w:lastRenderedPageBreak/>
        <w:t>be either “lawfully present” in Canada or, if temporarily absent, entitled to return to Canada.</w:t>
      </w:r>
      <w:r w:rsidR="005A30DB" w:rsidRPr="00F037B5">
        <w:rPr>
          <w:szCs w:val="24"/>
          <w:vertAlign w:val="superscript"/>
        </w:rPr>
        <w:footnoteReference w:id="116"/>
      </w:r>
      <w:r w:rsidR="005A30DB" w:rsidRPr="00F037B5">
        <w:rPr>
          <w:szCs w:val="24"/>
        </w:rPr>
        <w:t xml:space="preserve"> By virtue of their immigration status, detainees do not have access to human rights protections under the CHRA. The CHRC believes that human rights protections should be available to all individuals present in Canada – lawfully or not – and has highlighted the need for Parliament to repeal these provisions of the CHRA.</w:t>
      </w:r>
    </w:p>
    <w:p w14:paraId="6791886C" w14:textId="2C2739D3" w:rsidR="00DD4980" w:rsidRPr="00F037B5" w:rsidRDefault="00DD4980" w:rsidP="00DD4980">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pPr>
      <w:r w:rsidRPr="00F037B5">
        <w:rPr>
          <w:rFonts w:cs="Arial"/>
          <w:b/>
          <w:bCs/>
          <w:szCs w:val="24"/>
          <w:lang w:val="en-US"/>
        </w:rPr>
        <w:t>Recommendation #</w:t>
      </w:r>
      <w:r w:rsidR="00965797">
        <w:rPr>
          <w:rFonts w:cs="Arial"/>
          <w:b/>
          <w:bCs/>
          <w:szCs w:val="24"/>
          <w:lang w:val="en-US"/>
        </w:rPr>
        <w:t>24</w:t>
      </w:r>
      <w:r w:rsidRPr="00F037B5">
        <w:rPr>
          <w:rFonts w:cs="Arial"/>
          <w:b/>
          <w:bCs/>
          <w:szCs w:val="24"/>
          <w:lang w:val="en-US"/>
        </w:rPr>
        <w:t xml:space="preserve">: </w:t>
      </w:r>
      <w:r w:rsidRPr="00F037B5">
        <w:t xml:space="preserve">That Canada ensure that migrant detainees </w:t>
      </w:r>
      <w:proofErr w:type="gramStart"/>
      <w:r w:rsidRPr="00F037B5">
        <w:t>are able to</w:t>
      </w:r>
      <w:proofErr w:type="gramEnd"/>
      <w:r w:rsidRPr="00F037B5">
        <w:t xml:space="preserve"> access human rights protections on an equal basis with all others present in Canada, including access to the CHRA.</w:t>
      </w:r>
    </w:p>
    <w:bookmarkEnd w:id="47"/>
    <w:bookmarkEnd w:id="48"/>
    <w:bookmarkEnd w:id="49"/>
    <w:bookmarkEnd w:id="50"/>
    <w:p w14:paraId="64A28D7D" w14:textId="1EC6AAF7" w:rsidR="005238E6" w:rsidRDefault="005238E6" w:rsidP="005238E6">
      <w:pPr>
        <w:spacing w:line="240" w:lineRule="auto"/>
        <w:rPr>
          <w:szCs w:val="24"/>
        </w:rPr>
      </w:pPr>
      <w:r w:rsidRPr="00F037B5">
        <w:rPr>
          <w:szCs w:val="24"/>
        </w:rPr>
        <w:t xml:space="preserve">There are also serious concerns about the </w:t>
      </w:r>
      <w:r>
        <w:rPr>
          <w:szCs w:val="24"/>
        </w:rPr>
        <w:t>introduction of</w:t>
      </w:r>
      <w:r w:rsidRPr="00F037B5">
        <w:rPr>
          <w:szCs w:val="24"/>
        </w:rPr>
        <w:t xml:space="preserve"> Bill C-2, the Strong Borders Act,</w:t>
      </w:r>
      <w:r w:rsidRPr="00F037B5">
        <w:rPr>
          <w:rStyle w:val="FootnoteReference"/>
          <w:szCs w:val="24"/>
        </w:rPr>
        <w:footnoteReference w:id="117"/>
      </w:r>
      <w:r w:rsidRPr="00F037B5">
        <w:rPr>
          <w:szCs w:val="24"/>
        </w:rPr>
        <w:t xml:space="preserve"> </w:t>
      </w:r>
      <w:r>
        <w:rPr>
          <w:szCs w:val="24"/>
        </w:rPr>
        <w:t>and its impact on</w:t>
      </w:r>
      <w:r w:rsidRPr="00F037B5">
        <w:rPr>
          <w:szCs w:val="24"/>
        </w:rPr>
        <w:t xml:space="preserve"> the human rights of migrants, immigrants and asylum seekers and refugees. </w:t>
      </w:r>
      <w:r>
        <w:rPr>
          <w:szCs w:val="24"/>
        </w:rPr>
        <w:t xml:space="preserve">Over 300 civil society organizations </w:t>
      </w:r>
      <w:r w:rsidRPr="00F037B5">
        <w:rPr>
          <w:szCs w:val="24"/>
        </w:rPr>
        <w:t xml:space="preserve">have expressed their concerns </w:t>
      </w:r>
      <w:r>
        <w:rPr>
          <w:szCs w:val="24"/>
        </w:rPr>
        <w:t>about the Bill’s erosion of due process and access to justice, particularly for the most vulnerable. Advocates argue that B</w:t>
      </w:r>
      <w:r w:rsidRPr="00663AE9">
        <w:rPr>
          <w:szCs w:val="24"/>
        </w:rPr>
        <w:t>ill C-2 disproportionately harms vulnerable groups such as</w:t>
      </w:r>
      <w:r w:rsidR="000A71E9">
        <w:rPr>
          <w:szCs w:val="24"/>
        </w:rPr>
        <w:t xml:space="preserve"> victims of gender-based violence</w:t>
      </w:r>
      <w:r w:rsidRPr="00663AE9">
        <w:rPr>
          <w:szCs w:val="24"/>
        </w:rPr>
        <w:t xml:space="preserve">, </w:t>
      </w:r>
      <w:r>
        <w:rPr>
          <w:szCs w:val="24"/>
        </w:rPr>
        <w:t>2S</w:t>
      </w:r>
      <w:r w:rsidRPr="00663AE9">
        <w:rPr>
          <w:szCs w:val="24"/>
        </w:rPr>
        <w:t>LGBTQ</w:t>
      </w:r>
      <w:r>
        <w:rPr>
          <w:szCs w:val="24"/>
        </w:rPr>
        <w:t>I</w:t>
      </w:r>
      <w:r w:rsidRPr="00663AE9">
        <w:rPr>
          <w:szCs w:val="24"/>
        </w:rPr>
        <w:t xml:space="preserve">+ individuals and racialized communities, and violates Canada’s international human rights </w:t>
      </w:r>
      <w:r>
        <w:rPr>
          <w:szCs w:val="24"/>
        </w:rPr>
        <w:t xml:space="preserve">and privacy </w:t>
      </w:r>
      <w:r w:rsidRPr="00663AE9">
        <w:rPr>
          <w:szCs w:val="24"/>
        </w:rPr>
        <w:t>obligations</w:t>
      </w:r>
      <w:r>
        <w:rPr>
          <w:szCs w:val="24"/>
        </w:rPr>
        <w:t xml:space="preserve">. </w:t>
      </w:r>
    </w:p>
    <w:p w14:paraId="310A8DD2" w14:textId="30E2199B" w:rsidR="005238E6" w:rsidRDefault="005238E6" w:rsidP="00923A2E">
      <w:pPr>
        <w:spacing w:line="240" w:lineRule="auto"/>
        <w:rPr>
          <w:szCs w:val="24"/>
        </w:rPr>
      </w:pPr>
      <w:r w:rsidRPr="00663AE9">
        <w:rPr>
          <w:szCs w:val="24"/>
        </w:rPr>
        <w:t xml:space="preserve">In response to this opposition, the Government </w:t>
      </w:r>
      <w:r>
        <w:rPr>
          <w:szCs w:val="24"/>
        </w:rPr>
        <w:t xml:space="preserve">has </w:t>
      </w:r>
      <w:r w:rsidRPr="00663AE9">
        <w:rPr>
          <w:szCs w:val="24"/>
        </w:rPr>
        <w:t xml:space="preserve">introduced Bill C-12, the </w:t>
      </w:r>
      <w:r w:rsidRPr="009508BF">
        <w:rPr>
          <w:szCs w:val="24"/>
        </w:rPr>
        <w:t>Strengthening Canada’s Immigration System and Borders Act</w:t>
      </w:r>
      <w:r>
        <w:rPr>
          <w:szCs w:val="24"/>
        </w:rPr>
        <w:t>,</w:t>
      </w:r>
      <w:r>
        <w:rPr>
          <w:rStyle w:val="FootnoteReference"/>
          <w:szCs w:val="24"/>
        </w:rPr>
        <w:footnoteReference w:id="118"/>
      </w:r>
      <w:r w:rsidRPr="00663AE9">
        <w:rPr>
          <w:szCs w:val="24"/>
        </w:rPr>
        <w:t xml:space="preserve"> transferring key provisions affecting migrants, </w:t>
      </w:r>
      <w:r>
        <w:rPr>
          <w:szCs w:val="24"/>
        </w:rPr>
        <w:t xml:space="preserve">immigrants, </w:t>
      </w:r>
      <w:r w:rsidRPr="00663AE9">
        <w:rPr>
          <w:szCs w:val="24"/>
        </w:rPr>
        <w:t>refugees and asylum seekers to this new legislation</w:t>
      </w:r>
      <w:r>
        <w:rPr>
          <w:szCs w:val="24"/>
        </w:rPr>
        <w:t xml:space="preserve">. Civil society maintains that both bills </w:t>
      </w:r>
      <w:r w:rsidRPr="00663AE9">
        <w:rPr>
          <w:szCs w:val="24"/>
        </w:rPr>
        <w:t>fast-track restrictive measures that undermine migrant and refugee rights</w:t>
      </w:r>
      <w:r>
        <w:rPr>
          <w:szCs w:val="24"/>
        </w:rPr>
        <w:t xml:space="preserve"> while </w:t>
      </w:r>
      <w:r w:rsidRPr="00663AE9">
        <w:rPr>
          <w:szCs w:val="24"/>
        </w:rPr>
        <w:t xml:space="preserve">preserving discriminatory </w:t>
      </w:r>
      <w:proofErr w:type="gramStart"/>
      <w:r w:rsidRPr="00663AE9">
        <w:rPr>
          <w:szCs w:val="24"/>
        </w:rPr>
        <w:t>provisions</w:t>
      </w:r>
      <w:r>
        <w:rPr>
          <w:szCs w:val="24"/>
        </w:rPr>
        <w:t>, and</w:t>
      </w:r>
      <w:proofErr w:type="gramEnd"/>
      <w:r>
        <w:rPr>
          <w:szCs w:val="24"/>
        </w:rPr>
        <w:t xml:space="preserve"> </w:t>
      </w:r>
      <w:r w:rsidRPr="00663AE9">
        <w:rPr>
          <w:szCs w:val="24"/>
        </w:rPr>
        <w:t>continue to call for the full withdrawal of both bills</w:t>
      </w:r>
      <w:r>
        <w:rPr>
          <w:szCs w:val="24"/>
        </w:rPr>
        <w:t>.</w:t>
      </w:r>
    </w:p>
    <w:p w14:paraId="447CE6DE" w14:textId="2FBB555D" w:rsidR="005238E6" w:rsidRPr="005238E6" w:rsidRDefault="005238E6" w:rsidP="005238E6">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F037B5">
        <w:rPr>
          <w:b/>
          <w:bCs/>
        </w:rPr>
        <w:t>Recommendation #</w:t>
      </w:r>
      <w:r w:rsidR="00965797">
        <w:rPr>
          <w:b/>
          <w:bCs/>
        </w:rPr>
        <w:t>25</w:t>
      </w:r>
      <w:r w:rsidRPr="00F037B5">
        <w:t xml:space="preserve">: That Canada </w:t>
      </w:r>
      <w:r>
        <w:t xml:space="preserve">engage with experts to ensure that all legislation dealing with border security </w:t>
      </w:r>
      <w:r w:rsidRPr="00F037B5">
        <w:t xml:space="preserve">safeguard </w:t>
      </w:r>
      <w:r>
        <w:t>the fundamental human</w:t>
      </w:r>
      <w:r w:rsidRPr="00F037B5">
        <w:t xml:space="preserve"> rights</w:t>
      </w:r>
      <w:r>
        <w:t xml:space="preserve"> of migrants and refugees</w:t>
      </w:r>
      <w:r w:rsidRPr="00F037B5">
        <w:t xml:space="preserve">. </w:t>
      </w:r>
    </w:p>
    <w:p w14:paraId="28A2F032" w14:textId="28409E77" w:rsidR="005238E6" w:rsidRPr="005238E6" w:rsidRDefault="005238E6" w:rsidP="00923A2E">
      <w:pPr>
        <w:pStyle w:val="Heading1"/>
        <w:rPr>
          <w:lang w:val="en-US"/>
        </w:rPr>
      </w:pPr>
      <w:bookmarkStart w:id="53" w:name="_Toc220669681"/>
      <w:r w:rsidRPr="00F037B5">
        <w:rPr>
          <w:lang w:val="en-US"/>
        </w:rPr>
        <w:t>Technology and Privacy (Article 14, 15, 17, 19 and 20)</w:t>
      </w:r>
      <w:bookmarkEnd w:id="53"/>
      <w:r w:rsidRPr="00F037B5">
        <w:rPr>
          <w:lang w:val="en-US"/>
        </w:rPr>
        <w:t xml:space="preserve"> </w:t>
      </w:r>
    </w:p>
    <w:p w14:paraId="39B3E02B" w14:textId="2AFF8BCD" w:rsidR="00E00EB8" w:rsidRPr="00E00EB8" w:rsidRDefault="00E00EB8" w:rsidP="00923A2E">
      <w:pPr>
        <w:spacing w:line="240" w:lineRule="auto"/>
      </w:pPr>
      <w:r w:rsidRPr="00865F4D">
        <w:t>The expanding use of A</w:t>
      </w:r>
      <w:r>
        <w:t xml:space="preserve">rtificial </w:t>
      </w:r>
      <w:r w:rsidRPr="00865F4D">
        <w:t>I</w:t>
      </w:r>
      <w:r>
        <w:t>ntelligence (AI)</w:t>
      </w:r>
      <w:r w:rsidRPr="00865F4D">
        <w:t xml:space="preserve"> and digital systems by both public and private sector continues to shape people’s lives – including their ability to fully enjoy their human rights</w:t>
      </w:r>
      <w:r>
        <w:t xml:space="preserve">. </w:t>
      </w:r>
      <w:r w:rsidRPr="00865F4D">
        <w:t>These technologies are transformational</w:t>
      </w:r>
      <w:r w:rsidR="00FB4690">
        <w:t>,</w:t>
      </w:r>
      <w:r w:rsidRPr="00865F4D">
        <w:t xml:space="preserve"> and</w:t>
      </w:r>
      <w:r w:rsidR="00FB4690">
        <w:t xml:space="preserve"> they</w:t>
      </w:r>
      <w:r w:rsidRPr="00865F4D">
        <w:t xml:space="preserve"> can create opportunities for greater inclusio</w:t>
      </w:r>
      <w:r w:rsidR="00FB4690">
        <w:t>n.</w:t>
      </w:r>
    </w:p>
    <w:p w14:paraId="091CCA02" w14:textId="13D61872" w:rsidR="00FB4690" w:rsidRDefault="00FB4690" w:rsidP="00FB4690">
      <w:pPr>
        <w:spacing w:line="240" w:lineRule="auto"/>
      </w:pPr>
      <w:r w:rsidRPr="00FB4690">
        <w:t>Leading AI experts, rights holders, and human rights defenders have spoken out about the risks and harms to people posed by </w:t>
      </w:r>
      <w:proofErr w:type="gramStart"/>
      <w:r w:rsidRPr="00FB4690">
        <w:t>rapidly-evolving</w:t>
      </w:r>
      <w:proofErr w:type="gramEnd"/>
      <w:r w:rsidRPr="00FB4690">
        <w:t> developments in AI and other digital technologies</w:t>
      </w:r>
      <w:r w:rsidR="00E31E1A">
        <w:t>, including the amplification and creation of new barriers when AI systems are not accessible by design</w:t>
      </w:r>
      <w:r w:rsidRPr="00FB4690">
        <w:t xml:space="preserve">. The CHRC shares these concerns: without a </w:t>
      </w:r>
      <w:r w:rsidRPr="00FB4690">
        <w:lastRenderedPageBreak/>
        <w:t>robust governance framework in place, these technologies have the potential to erode privacy and negatively affect human rights.  </w:t>
      </w:r>
    </w:p>
    <w:p w14:paraId="0EE79E3D" w14:textId="3C9BF68F" w:rsidR="004164CA" w:rsidRDefault="00FB4690" w:rsidP="00923A2E">
      <w:pPr>
        <w:spacing w:line="240" w:lineRule="auto"/>
      </w:pPr>
      <w:r w:rsidRPr="00FB4690">
        <w:t>Biases are embedded in AI systems in ways that reflect the biases in society. When AI tools are deployed in institutions in which bias and inequity already exist, discriminatory outcomes can be amplified – in both pace and scale. </w:t>
      </w:r>
      <w:r w:rsidRPr="00F037B5">
        <w:t>Reports on the use of AI systems in areas such as immigration</w:t>
      </w:r>
      <w:r>
        <w:t>,</w:t>
      </w:r>
      <w:r w:rsidRPr="00F037B5">
        <w:rPr>
          <w:rStyle w:val="FootnoteReference"/>
        </w:rPr>
        <w:footnoteReference w:id="119"/>
      </w:r>
      <w:r w:rsidRPr="00F037B5">
        <w:t xml:space="preserve"> housing</w:t>
      </w:r>
      <w:r>
        <w:t>,</w:t>
      </w:r>
      <w:r w:rsidRPr="00F037B5">
        <w:rPr>
          <w:rStyle w:val="FootnoteReference"/>
        </w:rPr>
        <w:footnoteReference w:id="120"/>
      </w:r>
      <w:r w:rsidRPr="00F037B5">
        <w:t xml:space="preserve"> policing</w:t>
      </w:r>
      <w:r>
        <w:t>,</w:t>
      </w:r>
      <w:r w:rsidRPr="00F037B5">
        <w:rPr>
          <w:rStyle w:val="FootnoteReference"/>
        </w:rPr>
        <w:footnoteReference w:id="121"/>
      </w:r>
      <w:r w:rsidRPr="00F037B5">
        <w:t xml:space="preserve"> criminal justice</w:t>
      </w:r>
      <w:r>
        <w:t>,</w:t>
      </w:r>
      <w:r w:rsidRPr="00F037B5">
        <w:rPr>
          <w:rStyle w:val="FootnoteReference"/>
        </w:rPr>
        <w:footnoteReference w:id="122"/>
      </w:r>
      <w:r w:rsidRPr="00F037B5">
        <w:t xml:space="preserve"> child welfare and social assistance</w:t>
      </w:r>
      <w:r>
        <w:t>,</w:t>
      </w:r>
      <w:r w:rsidRPr="00F037B5">
        <w:rPr>
          <w:rStyle w:val="FootnoteReference"/>
        </w:rPr>
        <w:footnoteReference w:id="123"/>
      </w:r>
      <w:r w:rsidRPr="00F037B5">
        <w:t xml:space="preserve"> have already shown the potential of AI systems to embed, automate, amplify, or accelerate discriminatory impacts.</w:t>
      </w:r>
    </w:p>
    <w:p w14:paraId="5962FB29" w14:textId="7D363F3D" w:rsidR="002C06DB" w:rsidRPr="00F037B5" w:rsidRDefault="0082209B" w:rsidP="00923A2E">
      <w:pPr>
        <w:spacing w:line="240" w:lineRule="auto"/>
      </w:pPr>
      <w:r>
        <w:t>While t</w:t>
      </w:r>
      <w:r w:rsidR="002C06DB" w:rsidRPr="00F037B5">
        <w:t>he CHRC is encouraged by Canada's recent signing</w:t>
      </w:r>
      <w:r w:rsidR="002C06DB" w:rsidRPr="00F037B5">
        <w:rPr>
          <w:rStyle w:val="FootnoteReference"/>
        </w:rPr>
        <w:footnoteReference w:id="124"/>
      </w:r>
      <w:r w:rsidR="002C06DB" w:rsidRPr="00F037B5">
        <w:t xml:space="preserve"> of the first international treaty on </w:t>
      </w:r>
      <w:r w:rsidR="006A33C6">
        <w:t>AI</w:t>
      </w:r>
      <w:r w:rsidR="002C06DB" w:rsidRPr="00F037B5">
        <w:t xml:space="preserve"> and Human Rights</w:t>
      </w:r>
      <w:r>
        <w:t>,</w:t>
      </w:r>
      <w:r w:rsidR="002C06DB" w:rsidRPr="00F037B5">
        <w:rPr>
          <w:rStyle w:val="FootnoteReference"/>
        </w:rPr>
        <w:footnoteReference w:id="125"/>
      </w:r>
      <w:r w:rsidR="002C06DB" w:rsidRPr="00F037B5">
        <w:t xml:space="preserve"> </w:t>
      </w:r>
      <w:r>
        <w:t>t</w:t>
      </w:r>
      <w:r w:rsidR="002C06DB" w:rsidRPr="00F037B5">
        <w:t xml:space="preserve">he CHRC remains concerned about the absence of a specific legal and policy framework in Canada for AI oversight, accountability, access to justice and remedy. </w:t>
      </w:r>
    </w:p>
    <w:p w14:paraId="577141FC" w14:textId="5355D428" w:rsidR="002C06DB" w:rsidRDefault="002C06DB" w:rsidP="00923A2E">
      <w:pPr>
        <w:spacing w:line="240" w:lineRule="auto"/>
      </w:pPr>
      <w:r w:rsidRPr="00F037B5">
        <w:t>The CHRC notes that a number of tools currently guide the public sector and Government</w:t>
      </w:r>
      <w:r w:rsidR="00A4712E">
        <w:t>,</w:t>
      </w:r>
      <w:r w:rsidR="00B61738" w:rsidRPr="00F037B5">
        <w:rPr>
          <w:rStyle w:val="FootnoteReference"/>
        </w:rPr>
        <w:footnoteReference w:id="126"/>
      </w:r>
      <w:r w:rsidR="00B61738" w:rsidRPr="00F037B5">
        <w:t xml:space="preserve"> </w:t>
      </w:r>
      <w:r w:rsidR="00012F2A">
        <w:t>and that AI usage is proceeding rapidly in the federal sphere</w:t>
      </w:r>
      <w:r w:rsidR="0045158C">
        <w:t>.</w:t>
      </w:r>
      <w:r w:rsidR="00012F2A">
        <w:rPr>
          <w:rStyle w:val="FootnoteReference"/>
        </w:rPr>
        <w:footnoteReference w:id="127"/>
      </w:r>
      <w:r w:rsidR="00012F2A">
        <w:t xml:space="preserve"> </w:t>
      </w:r>
      <w:r w:rsidR="004164CA">
        <w:t>I</w:t>
      </w:r>
      <w:r w:rsidRPr="00F037B5">
        <w:t>n the absence of specific legislation</w:t>
      </w:r>
      <w:r w:rsidR="00A4712E">
        <w:t>,</w:t>
      </w:r>
      <w:r w:rsidRPr="00F037B5">
        <w:rPr>
          <w:rStyle w:val="FootnoteReference"/>
        </w:rPr>
        <w:footnoteReference w:id="128"/>
      </w:r>
      <w:r w:rsidRPr="00F037B5">
        <w:t xml:space="preserve"> and with the current patchwork of policies,</w:t>
      </w:r>
      <w:r w:rsidR="00245875" w:rsidRPr="00F037B5">
        <w:t xml:space="preserve"> </w:t>
      </w:r>
      <w:r w:rsidRPr="00F037B5">
        <w:t xml:space="preserve">it is even more critical </w:t>
      </w:r>
      <w:r w:rsidR="00A55531" w:rsidRPr="00F037B5">
        <w:t xml:space="preserve">for </w:t>
      </w:r>
      <w:r w:rsidRPr="00F037B5">
        <w:t xml:space="preserve">those who develop and administer AI systems </w:t>
      </w:r>
      <w:r w:rsidR="00245875" w:rsidRPr="00F037B5">
        <w:t xml:space="preserve">to </w:t>
      </w:r>
      <w:r w:rsidRPr="00F037B5">
        <w:t>integrate human rights impact assessments into their work.</w:t>
      </w:r>
      <w:r w:rsidRPr="00F037B5">
        <w:rPr>
          <w:rStyle w:val="FootnoteReference"/>
        </w:rPr>
        <w:footnoteReference w:id="129"/>
      </w:r>
      <w:r w:rsidRPr="00F037B5">
        <w:t xml:space="preserve"> </w:t>
      </w:r>
    </w:p>
    <w:p w14:paraId="74880804" w14:textId="47B833B1" w:rsidR="00DD4980" w:rsidRPr="00F037B5" w:rsidRDefault="002C06DB" w:rsidP="00923A2E">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pPr>
      <w:r w:rsidRPr="00F037B5">
        <w:rPr>
          <w:rFonts w:cs="Arial"/>
          <w:b/>
          <w:bCs/>
          <w:lang w:val="en-US"/>
        </w:rPr>
        <w:t>Recommendation #</w:t>
      </w:r>
      <w:r w:rsidR="00965797">
        <w:rPr>
          <w:rFonts w:cs="Arial"/>
          <w:b/>
          <w:bCs/>
          <w:lang w:val="en-US"/>
        </w:rPr>
        <w:t>26</w:t>
      </w:r>
      <w:r w:rsidRPr="00F037B5">
        <w:rPr>
          <w:rFonts w:cs="Arial"/>
          <w:b/>
          <w:bCs/>
          <w:lang w:val="en-US"/>
        </w:rPr>
        <w:t xml:space="preserve">: </w:t>
      </w:r>
      <w:r w:rsidRPr="00F037B5">
        <w:t xml:space="preserve">That Canada </w:t>
      </w:r>
      <w:r w:rsidR="00FB4690">
        <w:t>develop a comprehensive governance framework to guide the development and deployment of AI and other digital technologies</w:t>
      </w:r>
      <w:r w:rsidR="008E700D">
        <w:t>, using a human right</w:t>
      </w:r>
      <w:r w:rsidR="006A62F9">
        <w:t>s</w:t>
      </w:r>
      <w:r w:rsidR="008E700D">
        <w:t xml:space="preserve">-based approach.  </w:t>
      </w:r>
    </w:p>
    <w:p w14:paraId="40892D21" w14:textId="17671802" w:rsidR="00F24D4F" w:rsidRPr="00F037B5" w:rsidRDefault="00F24D4F" w:rsidP="00F24D4F">
      <w:pPr>
        <w:pStyle w:val="Heading1"/>
      </w:pPr>
      <w:bookmarkStart w:id="54" w:name="_Toc183602932"/>
      <w:bookmarkStart w:id="55" w:name="_Toc183603021"/>
      <w:bookmarkStart w:id="56" w:name="_Toc220669682"/>
      <w:r w:rsidRPr="00F037B5">
        <w:lastRenderedPageBreak/>
        <w:t>C</w:t>
      </w:r>
      <w:r w:rsidR="00A97929" w:rsidRPr="00F037B5">
        <w:t xml:space="preserve">anada’s </w:t>
      </w:r>
      <w:r w:rsidRPr="00F037B5">
        <w:t>I</w:t>
      </w:r>
      <w:r w:rsidR="00A97929" w:rsidRPr="00F037B5">
        <w:t>mplementation</w:t>
      </w:r>
      <w:r w:rsidRPr="00F037B5">
        <w:t xml:space="preserve"> </w:t>
      </w:r>
      <w:r w:rsidR="00A97929" w:rsidRPr="00F037B5">
        <w:t>of</w:t>
      </w:r>
      <w:r w:rsidRPr="00F037B5">
        <w:t xml:space="preserve"> I</w:t>
      </w:r>
      <w:r w:rsidR="00A97929" w:rsidRPr="00F037B5">
        <w:t>nternational</w:t>
      </w:r>
      <w:r w:rsidRPr="00F037B5">
        <w:t xml:space="preserve"> H</w:t>
      </w:r>
      <w:r w:rsidR="00A97929" w:rsidRPr="00F037B5">
        <w:t>uman</w:t>
      </w:r>
      <w:r w:rsidRPr="00F037B5">
        <w:t xml:space="preserve"> R</w:t>
      </w:r>
      <w:r w:rsidR="00A97929" w:rsidRPr="00F037B5">
        <w:t xml:space="preserve">ights </w:t>
      </w:r>
      <w:r w:rsidRPr="00F037B5">
        <w:t>O</w:t>
      </w:r>
      <w:r w:rsidR="00A97929" w:rsidRPr="00F037B5">
        <w:t>bligations</w:t>
      </w:r>
      <w:bookmarkEnd w:id="56"/>
      <w:r w:rsidRPr="00F037B5">
        <w:t xml:space="preserve"> </w:t>
      </w:r>
      <w:bookmarkEnd w:id="54"/>
      <w:bookmarkEnd w:id="55"/>
    </w:p>
    <w:p w14:paraId="5C89EA87" w14:textId="6F736898" w:rsidR="00F24D4F" w:rsidRPr="00F037B5" w:rsidRDefault="00F24D4F" w:rsidP="00F24D4F">
      <w:pPr>
        <w:spacing w:before="240" w:line="240" w:lineRule="auto"/>
      </w:pPr>
      <w:r w:rsidRPr="00F037B5">
        <w:t xml:space="preserve">The CHRC </w:t>
      </w:r>
      <w:r w:rsidR="006C4532" w:rsidRPr="00F037B5">
        <w:t xml:space="preserve">remains concerned about Canada’s lack of progress in implementing the recommendations that have come from the international human rights system, including those made by this Committee. The CHRC </w:t>
      </w:r>
      <w:r w:rsidR="00120FDE">
        <w:t>believes</w:t>
      </w:r>
      <w:r w:rsidR="006C4532" w:rsidRPr="00F037B5">
        <w:t xml:space="preserve"> that tackling the structural inadequacies and practical ineffectiveness of the current system for implementation of Canada’s international human rights obligations would play a significant role in addressing this issue. </w:t>
      </w:r>
    </w:p>
    <w:p w14:paraId="10C791E6" w14:textId="43949D2E" w:rsidR="00F24D4F" w:rsidRPr="00F037B5" w:rsidRDefault="00F24D4F" w:rsidP="00F24D4F">
      <w:pPr>
        <w:spacing w:before="240" w:line="240" w:lineRule="auto"/>
      </w:pPr>
      <w:r w:rsidRPr="00F037B5">
        <w:t xml:space="preserve">While the CHRC welcomes its designation as the body responsible for monitoring the Government of Canada’s implementation of the </w:t>
      </w:r>
      <w:r w:rsidR="009D032D" w:rsidRPr="00F037B5">
        <w:t>Convention on the Rights of Persons with Disabilities</w:t>
      </w:r>
      <w:r w:rsidRPr="00F037B5">
        <w:t xml:space="preserve">, the CHRC remains concerned that the current system continues to perpetuate a patchwork approach to progress without a foundational structure of monitoring and implementation of interdependent, interrelated, and indivisible human rights. </w:t>
      </w:r>
      <w:r w:rsidR="00C90879" w:rsidRPr="00F037B5">
        <w:t>The</w:t>
      </w:r>
      <w:r w:rsidRPr="00F037B5">
        <w:t xml:space="preserve"> CHRC believes strongly that, </w:t>
      </w:r>
      <w:r w:rsidR="00D27F2D" w:rsidRPr="00F037B5">
        <w:t>to</w:t>
      </w:r>
      <w:r w:rsidRPr="00F037B5">
        <w:t xml:space="preserve"> effectively implement the recommendations made to Canada during this and other reviews, it is imperative that substantial, meaningful and coordinated progress be made in ensuring a robust implementation and monitoring framework.</w:t>
      </w:r>
      <w:r w:rsidR="00C922A7" w:rsidRPr="00F037B5">
        <w:t xml:space="preserve"> </w:t>
      </w:r>
      <w:r w:rsidR="007B7A75" w:rsidRPr="00F037B5">
        <w:t xml:space="preserve"> </w:t>
      </w:r>
    </w:p>
    <w:p w14:paraId="67F82616" w14:textId="5960E58D" w:rsidR="00C62F6E" w:rsidRPr="00F037B5" w:rsidRDefault="00C62F6E" w:rsidP="00EA0404">
      <w:pPr>
        <w:spacing w:before="240" w:line="240" w:lineRule="auto"/>
      </w:pPr>
      <w:r w:rsidRPr="00F037B5">
        <w:t>In November 2024, the CHRC appeared before the Subcommittee on International Human Rights as a part of their study on the implementation of Canada’s Universal Periodic Review. During this appearance</w:t>
      </w:r>
      <w:r w:rsidR="001F3D33" w:rsidRPr="00F037B5">
        <w:t xml:space="preserve">, </w:t>
      </w:r>
      <w:r w:rsidRPr="00F037B5">
        <w:t xml:space="preserve">the CHRC </w:t>
      </w:r>
      <w:r w:rsidR="000331B3" w:rsidRPr="00F037B5">
        <w:t xml:space="preserve">expressed its support for a joint recommendation – made by civil society and human rights advocates – for Canada to take the lead in working with provincial and territorial governments to develop and adopt a </w:t>
      </w:r>
      <w:r w:rsidR="006C4532" w:rsidRPr="00F037B5">
        <w:t xml:space="preserve">new </w:t>
      </w:r>
      <w:r w:rsidR="000331B3" w:rsidRPr="00F037B5">
        <w:t xml:space="preserve">national framework for international human rights implementation. </w:t>
      </w:r>
      <w:r w:rsidR="006A3076" w:rsidRPr="00F037B5">
        <w:t xml:space="preserve">The CHRC supports </w:t>
      </w:r>
      <w:r w:rsidR="00C90879" w:rsidRPr="00F037B5">
        <w:t>the position taken by</w:t>
      </w:r>
      <w:r w:rsidR="006A3076" w:rsidRPr="00F037B5">
        <w:t xml:space="preserve"> civil society partners that such a framework should include: </w:t>
      </w:r>
    </w:p>
    <w:p w14:paraId="3E76A32D" w14:textId="01BF99E3" w:rsidR="006A3076" w:rsidRPr="00F037B5" w:rsidRDefault="006A3076" w:rsidP="003077EF">
      <w:pPr>
        <w:numPr>
          <w:ilvl w:val="0"/>
          <w:numId w:val="2"/>
        </w:numPr>
        <w:spacing w:after="0" w:line="240" w:lineRule="auto"/>
        <w:contextualSpacing/>
        <w:rPr>
          <w:rFonts w:cs="Arial"/>
        </w:rPr>
      </w:pPr>
      <w:r w:rsidRPr="00F037B5">
        <w:rPr>
          <w:rFonts w:cs="Arial"/>
        </w:rPr>
        <w:t xml:space="preserve">clear public commitments to international human rights implementation from all federal, provincial and territorial </w:t>
      </w:r>
      <w:proofErr w:type="gramStart"/>
      <w:r w:rsidRPr="00F037B5">
        <w:rPr>
          <w:rFonts w:cs="Arial"/>
        </w:rPr>
        <w:t>governments;</w:t>
      </w:r>
      <w:proofErr w:type="gramEnd"/>
      <w:r w:rsidRPr="00F037B5">
        <w:rPr>
          <w:rFonts w:cs="Arial"/>
        </w:rPr>
        <w:t> </w:t>
      </w:r>
    </w:p>
    <w:p w14:paraId="685ED94D" w14:textId="286458EB" w:rsidR="006A3076" w:rsidRPr="00F037B5" w:rsidRDefault="006A3076" w:rsidP="003077EF">
      <w:pPr>
        <w:numPr>
          <w:ilvl w:val="0"/>
          <w:numId w:val="2"/>
        </w:numPr>
        <w:spacing w:after="0" w:line="240" w:lineRule="auto"/>
        <w:contextualSpacing/>
        <w:rPr>
          <w:rFonts w:cs="Arial"/>
        </w:rPr>
      </w:pPr>
      <w:r w:rsidRPr="00F037B5">
        <w:rPr>
          <w:rFonts w:cs="Arial"/>
        </w:rPr>
        <w:t xml:space="preserve">adoption of federal, provincial and territorial laws enshrining the obligations, mechanisms, and public reporting requirements related to </w:t>
      </w:r>
      <w:proofErr w:type="gramStart"/>
      <w:r w:rsidRPr="00F037B5">
        <w:rPr>
          <w:rFonts w:cs="Arial"/>
        </w:rPr>
        <w:t>implementation;</w:t>
      </w:r>
      <w:proofErr w:type="gramEnd"/>
    </w:p>
    <w:p w14:paraId="19C344A7" w14:textId="10BB5AD6" w:rsidR="006A3076" w:rsidRPr="00F037B5" w:rsidRDefault="006A3076" w:rsidP="003077EF">
      <w:pPr>
        <w:numPr>
          <w:ilvl w:val="0"/>
          <w:numId w:val="2"/>
        </w:numPr>
        <w:spacing w:after="0" w:line="240" w:lineRule="auto"/>
        <w:contextualSpacing/>
        <w:rPr>
          <w:rFonts w:cs="Arial"/>
        </w:rPr>
      </w:pPr>
      <w:r w:rsidRPr="00F037B5">
        <w:rPr>
          <w:rFonts w:cs="Arial"/>
        </w:rPr>
        <w:t xml:space="preserve">improved consultation and engagement processes with Indigenous Peoples’ organizations, civil society, and human rights </w:t>
      </w:r>
      <w:proofErr w:type="gramStart"/>
      <w:r w:rsidRPr="00F037B5">
        <w:rPr>
          <w:rFonts w:cs="Arial"/>
        </w:rPr>
        <w:t>commissions;</w:t>
      </w:r>
      <w:proofErr w:type="gramEnd"/>
      <w:r w:rsidRPr="00F037B5">
        <w:rPr>
          <w:rFonts w:cs="Arial"/>
        </w:rPr>
        <w:t> </w:t>
      </w:r>
    </w:p>
    <w:p w14:paraId="732D80CC" w14:textId="3C7B35FD" w:rsidR="006A3076" w:rsidRPr="00F037B5" w:rsidRDefault="006A3076" w:rsidP="003077EF">
      <w:pPr>
        <w:numPr>
          <w:ilvl w:val="0"/>
          <w:numId w:val="2"/>
        </w:numPr>
        <w:spacing w:after="0" w:line="240" w:lineRule="auto"/>
        <w:contextualSpacing/>
        <w:rPr>
          <w:rFonts w:cs="Arial"/>
        </w:rPr>
      </w:pPr>
      <w:r w:rsidRPr="00F037B5">
        <w:rPr>
          <w:rFonts w:cs="Arial"/>
        </w:rPr>
        <w:t>an enhanced role for Parliament and legislatures; and</w:t>
      </w:r>
    </w:p>
    <w:p w14:paraId="44ECBEC8" w14:textId="4C494913" w:rsidR="006A3076" w:rsidRPr="00F037B5" w:rsidRDefault="006A3076" w:rsidP="003077EF">
      <w:pPr>
        <w:numPr>
          <w:ilvl w:val="0"/>
          <w:numId w:val="2"/>
        </w:numPr>
        <w:spacing w:after="0" w:line="240" w:lineRule="auto"/>
        <w:contextualSpacing/>
        <w:rPr>
          <w:rFonts w:cs="Arial"/>
        </w:rPr>
      </w:pPr>
      <w:r w:rsidRPr="00F037B5">
        <w:rPr>
          <w:rFonts w:cs="Arial"/>
        </w:rPr>
        <w:t>increased resourcing, including to support civil society.</w:t>
      </w:r>
      <w:r w:rsidR="003C7027" w:rsidRPr="00F037B5">
        <w:rPr>
          <w:rFonts w:cs="Arial"/>
        </w:rPr>
        <w:t xml:space="preserve"> </w:t>
      </w:r>
    </w:p>
    <w:p w14:paraId="0BBAB9CB" w14:textId="77777777" w:rsidR="006A3076" w:rsidRPr="00F037B5" w:rsidRDefault="006A3076" w:rsidP="006A3076">
      <w:pPr>
        <w:spacing w:after="0" w:line="240" w:lineRule="auto"/>
        <w:ind w:left="720"/>
        <w:contextualSpacing/>
        <w:rPr>
          <w:rFonts w:cs="Arial"/>
        </w:rPr>
      </w:pPr>
    </w:p>
    <w:p w14:paraId="08E295B2" w14:textId="50ADA31C" w:rsidR="00126FA6" w:rsidRPr="00F037B5" w:rsidRDefault="00F24D4F" w:rsidP="00EB5CE7">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pPr>
      <w:r w:rsidRPr="00F037B5">
        <w:rPr>
          <w:rFonts w:cs="Arial"/>
          <w:b/>
          <w:bCs/>
          <w:szCs w:val="24"/>
          <w:lang w:val="en-US"/>
        </w:rPr>
        <w:t>Recommendation #</w:t>
      </w:r>
      <w:r w:rsidR="00965797">
        <w:rPr>
          <w:rFonts w:cs="Arial"/>
          <w:b/>
          <w:bCs/>
          <w:szCs w:val="24"/>
          <w:lang w:val="en-US"/>
        </w:rPr>
        <w:t>27</w:t>
      </w:r>
      <w:r w:rsidRPr="00F037B5">
        <w:rPr>
          <w:rFonts w:cs="Arial"/>
          <w:b/>
          <w:bCs/>
          <w:szCs w:val="24"/>
          <w:lang w:val="en-US"/>
        </w:rPr>
        <w:t xml:space="preserve">: </w:t>
      </w:r>
      <w:r w:rsidRPr="00F037B5">
        <w:t xml:space="preserve">That Canada </w:t>
      </w:r>
      <w:r w:rsidR="000331B3" w:rsidRPr="00F037B5">
        <w:t xml:space="preserve">work with provincial and territorial governments to develop and adopt a national framework for international human rights implementation. </w:t>
      </w:r>
    </w:p>
    <w:p w14:paraId="00EC905C" w14:textId="0A96B895" w:rsidR="00126FA6" w:rsidRPr="00F037B5" w:rsidRDefault="00126FA6" w:rsidP="00126FA6">
      <w:pPr>
        <w:tabs>
          <w:tab w:val="left" w:pos="2115"/>
        </w:tabs>
        <w:spacing w:line="240" w:lineRule="auto"/>
      </w:pPr>
      <w:r w:rsidRPr="00F037B5">
        <w:t xml:space="preserve">The CHRC also wishes to note the existing gaps within international and domestic human rights systems </w:t>
      </w:r>
      <w:r w:rsidR="00296AFF" w:rsidRPr="00F037B5">
        <w:t xml:space="preserve">on </w:t>
      </w:r>
      <w:r w:rsidRPr="00F037B5">
        <w:t xml:space="preserve">the rights of older people. As highlighted by the Office of the High Commissioner for Human Rights, the international legal framework on the human rights of older people remains fragmented and incomplete, with evident gaps in protections. The CHRC notes that in May 2024, the UN Open Ended Working Group on Ageing provided recommendations to address this gap, including by recommending an </w:t>
      </w:r>
      <w:r w:rsidRPr="00F037B5">
        <w:lastRenderedPageBreak/>
        <w:t>international legally binding instrument to ensure the recognition of the rights of older people</w:t>
      </w:r>
      <w:r w:rsidR="00B30478">
        <w:t>,</w:t>
      </w:r>
      <w:r w:rsidRPr="00F037B5">
        <w:rPr>
          <w:rStyle w:val="FootnoteReference"/>
        </w:rPr>
        <w:footnoteReference w:id="130"/>
      </w:r>
      <w:r w:rsidR="00914E13" w:rsidRPr="00F037B5">
        <w:t xml:space="preserve"> and that in April 2025,</w:t>
      </w:r>
      <w:r w:rsidR="001D3DC0" w:rsidRPr="00F037B5">
        <w:t xml:space="preserve"> the Human Rights Council </w:t>
      </w:r>
      <w:r w:rsidR="00DD017C" w:rsidRPr="00F037B5">
        <w:t>adopted a resolution to</w:t>
      </w:r>
      <w:r w:rsidR="001D3DC0" w:rsidRPr="00F037B5">
        <w:t xml:space="preserve"> establish an open-ended intergovernmental working group for the elaboration of a legally binding instrument on the promotion and protection of the human rights of older persons.</w:t>
      </w:r>
      <w:r w:rsidR="00DD017C" w:rsidRPr="00F037B5">
        <w:rPr>
          <w:rStyle w:val="FootnoteReference"/>
        </w:rPr>
        <w:footnoteReference w:id="131"/>
      </w:r>
      <w:r w:rsidR="001D3DC0" w:rsidRPr="00F037B5">
        <w:t xml:space="preserve"> </w:t>
      </w:r>
      <w:r w:rsidRPr="00F037B5">
        <w:t>The CHRC amplifies the calls of rights holders and advocates to include explicit recognition of older people in international human rights law</w:t>
      </w:r>
      <w:r w:rsidR="00CC1255" w:rsidRPr="00F037B5">
        <w:t xml:space="preserve"> to strengthen and better protect </w:t>
      </w:r>
      <w:r w:rsidR="00296AFF" w:rsidRPr="00F037B5">
        <w:t xml:space="preserve">their </w:t>
      </w:r>
      <w:r w:rsidR="00774A9D" w:rsidRPr="00F037B5">
        <w:t xml:space="preserve">human </w:t>
      </w:r>
      <w:r w:rsidR="00CC1255" w:rsidRPr="00F037B5">
        <w:t>rights</w:t>
      </w:r>
      <w:r w:rsidR="001D3DC0" w:rsidRPr="00F037B5">
        <w:t xml:space="preserve">. </w:t>
      </w:r>
    </w:p>
    <w:p w14:paraId="0E6ABEBD" w14:textId="32E67550" w:rsidR="00126FA6" w:rsidRPr="00F037B5" w:rsidRDefault="00126FA6" w:rsidP="00706252">
      <w:pPr>
        <w:pBdr>
          <w:top w:val="single" w:sz="12" w:space="1" w:color="auto"/>
          <w:left w:val="single" w:sz="12" w:space="4" w:color="auto"/>
          <w:bottom w:val="single" w:sz="12" w:space="0" w:color="auto"/>
          <w:right w:val="single" w:sz="12" w:space="4" w:color="auto"/>
        </w:pBdr>
        <w:shd w:val="clear" w:color="auto" w:fill="DEEAF6" w:themeFill="accent1" w:themeFillTint="33"/>
        <w:spacing w:line="240" w:lineRule="auto"/>
      </w:pPr>
      <w:r w:rsidRPr="00F037B5">
        <w:rPr>
          <w:rFonts w:cs="Arial"/>
          <w:b/>
          <w:bCs/>
          <w:szCs w:val="24"/>
          <w:lang w:val="en-US"/>
        </w:rPr>
        <w:t>Recommendation #</w:t>
      </w:r>
      <w:r w:rsidR="00965797">
        <w:rPr>
          <w:rFonts w:cs="Arial"/>
          <w:b/>
          <w:bCs/>
          <w:szCs w:val="24"/>
          <w:lang w:val="en-US"/>
        </w:rPr>
        <w:t>28</w:t>
      </w:r>
      <w:r w:rsidRPr="00F037B5">
        <w:rPr>
          <w:rFonts w:cs="Arial"/>
          <w:b/>
          <w:bCs/>
          <w:szCs w:val="24"/>
          <w:lang w:val="en-US"/>
        </w:rPr>
        <w:t xml:space="preserve">: </w:t>
      </w:r>
      <w:r w:rsidRPr="00F037B5">
        <w:t xml:space="preserve">That Canada engage in opportunities that promote, protect and ensure the rights of older people, including by supporting the explicit recognition of older people in international human rights law. </w:t>
      </w:r>
    </w:p>
    <w:p w14:paraId="589255A5" w14:textId="77777777" w:rsidR="00126FA6" w:rsidRPr="00F037B5" w:rsidRDefault="00126FA6" w:rsidP="00126FA6">
      <w:pPr>
        <w:tabs>
          <w:tab w:val="left" w:pos="2115"/>
        </w:tabs>
      </w:pPr>
    </w:p>
    <w:sectPr w:rsidR="00126FA6" w:rsidRPr="00F037B5" w:rsidSect="00F00A13">
      <w:headerReference w:type="even" r:id="rId12"/>
      <w:headerReference w:type="default" r:id="rId13"/>
      <w:footerReference w:type="default" r:id="rId14"/>
      <w:headerReference w:type="first" r:id="rId15"/>
      <w:footerReference w:type="first" r:id="rId16"/>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B89B9" w14:textId="77777777" w:rsidR="00B22501" w:rsidRDefault="00B22501" w:rsidP="00F71FA3">
      <w:pPr>
        <w:spacing w:after="0" w:line="240" w:lineRule="auto"/>
      </w:pPr>
      <w:r>
        <w:separator/>
      </w:r>
    </w:p>
    <w:p w14:paraId="4F1F7B1D" w14:textId="77777777" w:rsidR="00B22501" w:rsidRDefault="00B22501"/>
  </w:endnote>
  <w:endnote w:type="continuationSeparator" w:id="0">
    <w:p w14:paraId="1F1F1F21" w14:textId="77777777" w:rsidR="00B22501" w:rsidRDefault="00B22501" w:rsidP="00F71FA3">
      <w:pPr>
        <w:spacing w:after="0" w:line="240" w:lineRule="auto"/>
      </w:pPr>
      <w:r>
        <w:continuationSeparator/>
      </w:r>
    </w:p>
    <w:p w14:paraId="07F9F2BC" w14:textId="77777777" w:rsidR="00B22501" w:rsidRDefault="00B225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Italic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F0228" w14:textId="61A3938D" w:rsidR="00E73436" w:rsidRDefault="00E73436" w:rsidP="003F2241">
    <w:pPr>
      <w:pStyle w:val="Footer"/>
      <w:ind w:left="3960" w:firstLine="468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3041040"/>
      <w:docPartObj>
        <w:docPartGallery w:val="Page Numbers (Bottom of Page)"/>
        <w:docPartUnique/>
      </w:docPartObj>
    </w:sdtPr>
    <w:sdtEndPr>
      <w:rPr>
        <w:noProof/>
      </w:rPr>
    </w:sdtEndPr>
    <w:sdtContent>
      <w:p w14:paraId="14F9AB99" w14:textId="4D8A8779" w:rsidR="00F00A13" w:rsidRDefault="00F00A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3AE1EA" w14:textId="77777777" w:rsidR="00F00A13" w:rsidRDefault="00F00A1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2452591"/>
      <w:docPartObj>
        <w:docPartGallery w:val="Page Numbers (Bottom of Page)"/>
        <w:docPartUnique/>
      </w:docPartObj>
    </w:sdtPr>
    <w:sdtEndPr>
      <w:rPr>
        <w:noProof/>
      </w:rPr>
    </w:sdtEndPr>
    <w:sdtContent>
      <w:p w14:paraId="0510A006" w14:textId="5F1A7B9E" w:rsidR="00F00A13" w:rsidRDefault="00F00A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D96EE8" w14:textId="77777777" w:rsidR="00F00A13" w:rsidRDefault="00F00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D51C6" w14:textId="77777777" w:rsidR="00B22501" w:rsidRDefault="00B22501" w:rsidP="00F71FA3">
      <w:pPr>
        <w:spacing w:after="0" w:line="240" w:lineRule="auto"/>
      </w:pPr>
      <w:r>
        <w:separator/>
      </w:r>
    </w:p>
    <w:p w14:paraId="4EB6FDB5" w14:textId="77777777" w:rsidR="00B22501" w:rsidRDefault="00B22501"/>
  </w:footnote>
  <w:footnote w:type="continuationSeparator" w:id="0">
    <w:p w14:paraId="12D7FE97" w14:textId="77777777" w:rsidR="00B22501" w:rsidRDefault="00B22501" w:rsidP="00F71FA3">
      <w:pPr>
        <w:spacing w:after="0" w:line="240" w:lineRule="auto"/>
      </w:pPr>
      <w:r>
        <w:continuationSeparator/>
      </w:r>
    </w:p>
    <w:p w14:paraId="034E9F0E" w14:textId="77777777" w:rsidR="00B22501" w:rsidRDefault="00B22501"/>
  </w:footnote>
  <w:footnote w:id="1">
    <w:p w14:paraId="313AD413" w14:textId="19EBC881" w:rsidR="0067794C" w:rsidRPr="00D34DB1" w:rsidRDefault="0067794C" w:rsidP="0067794C">
      <w:pPr>
        <w:pStyle w:val="NoSpacing"/>
        <w:rPr>
          <w:rFonts w:ascii="Arial" w:hAnsi="Arial" w:cs="Arial"/>
          <w:sz w:val="20"/>
          <w:szCs w:val="20"/>
        </w:rPr>
      </w:pPr>
      <w:r w:rsidRPr="00D34DB1">
        <w:rPr>
          <w:rStyle w:val="FootnoteReference"/>
          <w:rFonts w:ascii="Arial" w:hAnsi="Arial" w:cs="Arial"/>
          <w:sz w:val="20"/>
          <w:szCs w:val="20"/>
        </w:rPr>
        <w:footnoteRef/>
      </w:r>
      <w:r w:rsidRPr="00D34DB1">
        <w:rPr>
          <w:rFonts w:ascii="Arial" w:hAnsi="Arial" w:cs="Arial"/>
          <w:sz w:val="20"/>
          <w:szCs w:val="20"/>
        </w:rPr>
        <w:t xml:space="preserve"> Available </w:t>
      </w:r>
      <w:r w:rsidR="000B0449" w:rsidRPr="00D34DB1">
        <w:rPr>
          <w:rFonts w:ascii="Arial" w:hAnsi="Arial" w:cs="Arial"/>
          <w:sz w:val="20"/>
          <w:szCs w:val="20"/>
        </w:rPr>
        <w:t>on the</w:t>
      </w:r>
      <w:r w:rsidRPr="00D34DB1">
        <w:rPr>
          <w:rFonts w:ascii="Arial" w:hAnsi="Arial" w:cs="Arial"/>
          <w:sz w:val="20"/>
          <w:szCs w:val="20"/>
        </w:rPr>
        <w:t xml:space="preserve"> </w:t>
      </w:r>
      <w:hyperlink r:id="rId1" w:history="1">
        <w:r w:rsidR="000B0449" w:rsidRPr="00D34DB1">
          <w:rPr>
            <w:rStyle w:val="Hyperlink"/>
            <w:rFonts w:ascii="Arial" w:hAnsi="Arial" w:cs="Arial"/>
            <w:sz w:val="20"/>
            <w:szCs w:val="20"/>
          </w:rPr>
          <w:t>Justice Canada website</w:t>
        </w:r>
      </w:hyperlink>
      <w:r w:rsidRPr="00D34DB1">
        <w:rPr>
          <w:rFonts w:ascii="Arial" w:hAnsi="Arial" w:cs="Arial"/>
          <w:sz w:val="20"/>
          <w:szCs w:val="20"/>
        </w:rPr>
        <w:t xml:space="preserve">. Although Canada’s human rights laws are not part of the Constitution, they are considered “quasi-constitutional” in nature, meaning that all other laws must be interpreted in a manner consistent with human rights law.  </w:t>
      </w:r>
    </w:p>
  </w:footnote>
  <w:footnote w:id="2">
    <w:p w14:paraId="2DBC211E" w14:textId="2C589732" w:rsidR="00F16DF5" w:rsidRDefault="00F16DF5">
      <w:pPr>
        <w:pStyle w:val="FootnoteText"/>
      </w:pPr>
      <w:r>
        <w:rPr>
          <w:rStyle w:val="FootnoteReference"/>
        </w:rPr>
        <w:footnoteRef/>
      </w:r>
      <w:r>
        <w:t xml:space="preserve"> </w:t>
      </w:r>
      <w:r w:rsidRPr="00F16DF5">
        <w:t>Communication barriers can include a lack of sign language interpretation or plain language resources.</w:t>
      </w:r>
    </w:p>
  </w:footnote>
  <w:footnote w:id="3">
    <w:p w14:paraId="1018AA41" w14:textId="2C5B82D6" w:rsidR="00065096" w:rsidRPr="00F037B5" w:rsidRDefault="00065096">
      <w:pPr>
        <w:pStyle w:val="FootnoteText"/>
        <w:rPr>
          <w:lang w:val="en-US"/>
        </w:rPr>
      </w:pPr>
      <w:r w:rsidRPr="00F037B5">
        <w:rPr>
          <w:rStyle w:val="FootnoteReference"/>
        </w:rPr>
        <w:footnoteRef/>
      </w:r>
      <w:r w:rsidRPr="00F037B5">
        <w:t xml:space="preserve"> </w:t>
      </w:r>
      <w:r w:rsidR="00BC062E">
        <w:t xml:space="preserve">See: </w:t>
      </w:r>
      <w:hyperlink r:id="rId2" w:history="1">
        <w:r w:rsidR="008E115A" w:rsidRPr="00B86B09">
          <w:rPr>
            <w:rStyle w:val="Hyperlink"/>
          </w:rPr>
          <w:t>An Act to amend the Criminal Code (medical assistance in dying), S.C. 2021, c. 2.</w:t>
        </w:r>
      </w:hyperlink>
    </w:p>
  </w:footnote>
  <w:footnote w:id="4">
    <w:p w14:paraId="20E3E205" w14:textId="253CB5CF" w:rsidR="00B17E5F" w:rsidRPr="006634D5" w:rsidRDefault="00B17E5F" w:rsidP="00B17E5F">
      <w:pPr>
        <w:pStyle w:val="FootnoteText"/>
      </w:pPr>
      <w:r>
        <w:rPr>
          <w:rStyle w:val="FootnoteReference"/>
        </w:rPr>
        <w:footnoteRef/>
      </w:r>
      <w:r>
        <w:t xml:space="preserve"> Inclusion Canada. (2024). </w:t>
      </w:r>
      <w:hyperlink r:id="rId3" w:history="1">
        <w:r w:rsidRPr="006634D5">
          <w:rPr>
            <w:rStyle w:val="Hyperlink"/>
          </w:rPr>
          <w:t>Disability Rights Coalition Challenges Discriminatory Sections of Canada’s Assisted Dying Law in Court</w:t>
        </w:r>
      </w:hyperlink>
      <w:r w:rsidR="0031239A">
        <w:t>.</w:t>
      </w:r>
    </w:p>
  </w:footnote>
  <w:footnote w:id="5">
    <w:p w14:paraId="579B0196" w14:textId="75C8C38C" w:rsidR="005D468A" w:rsidRPr="0031239A" w:rsidRDefault="005D468A">
      <w:pPr>
        <w:pStyle w:val="FootnoteText"/>
        <w:rPr>
          <w:lang w:val="en-US"/>
        </w:rPr>
      </w:pPr>
      <w:r>
        <w:rPr>
          <w:rStyle w:val="FootnoteReference"/>
        </w:rPr>
        <w:footnoteRef/>
      </w:r>
      <w:r>
        <w:t xml:space="preserve"> </w:t>
      </w:r>
      <w:r>
        <w:rPr>
          <w:lang w:val="en-US"/>
        </w:rPr>
        <w:t xml:space="preserve">Coelho, R. (2024). </w:t>
      </w:r>
      <w:hyperlink r:id="rId4" w:history="1">
        <w:r w:rsidRPr="005D468A">
          <w:rPr>
            <w:rStyle w:val="Hyperlink"/>
            <w:lang w:val="en-US"/>
          </w:rPr>
          <w:t>Canadians with disabilities are dying needlessly</w:t>
        </w:r>
      </w:hyperlink>
      <w:r w:rsidR="001F7BFE">
        <w:rPr>
          <w:lang w:val="en-US"/>
        </w:rPr>
        <w:t>.</w:t>
      </w:r>
      <w:r>
        <w:rPr>
          <w:lang w:val="en-US"/>
        </w:rPr>
        <w:t xml:space="preserve"> </w:t>
      </w:r>
    </w:p>
  </w:footnote>
  <w:footnote w:id="6">
    <w:p w14:paraId="36670066" w14:textId="07811B03" w:rsidR="00C936CD" w:rsidRPr="00C936CD" w:rsidRDefault="00C936CD">
      <w:pPr>
        <w:pStyle w:val="FootnoteText"/>
      </w:pPr>
      <w:r>
        <w:rPr>
          <w:rStyle w:val="FootnoteReference"/>
        </w:rPr>
        <w:footnoteRef/>
      </w:r>
      <w:r>
        <w:t xml:space="preserve"> CHRC. (2024). </w:t>
      </w:r>
      <w:hyperlink r:id="rId5" w:history="1">
        <w:r w:rsidRPr="00C936CD">
          <w:rPr>
            <w:rStyle w:val="Hyperlink"/>
          </w:rPr>
          <w:t>What we learned: Housing for people with disabilities</w:t>
        </w:r>
      </w:hyperlink>
      <w:r w:rsidR="0031239A">
        <w:t>.</w:t>
      </w:r>
    </w:p>
  </w:footnote>
  <w:footnote w:id="7">
    <w:p w14:paraId="1AFB84A6" w14:textId="77777777" w:rsidR="0097209B" w:rsidRDefault="0097209B" w:rsidP="0097209B">
      <w:pPr>
        <w:pStyle w:val="FootnoteText"/>
      </w:pPr>
      <w:r>
        <w:rPr>
          <w:rStyle w:val="FootnoteReference"/>
        </w:rPr>
        <w:footnoteRef/>
      </w:r>
      <w:r>
        <w:t xml:space="preserve"> </w:t>
      </w:r>
      <w:r w:rsidRPr="00F037B5">
        <w:t>The term “Indigenous” or “Indigenous peoples” is used throughout this submission to refer to First Nations, Inuit and Métis peoples in Canada. The CHRC recognizes that rights holders have advocated for a distinctions-based approach to discussions on the rights of Indigenous peoples. First Nations, Inuit and Métis peoples experience distinct realities, have different needs, and should not be considered a monolithic group. The CHRC also recognizes the diversity of individuals and lived experiences within Indigenous communities, whether individuals live in their traditional territories or not. Where distinctions regarding specific groups can be made, this specification will be provided.</w:t>
      </w:r>
    </w:p>
  </w:footnote>
  <w:footnote w:id="8">
    <w:p w14:paraId="7DFEFEFE" w14:textId="466812B6" w:rsidR="00B72F21" w:rsidRPr="00F037B5" w:rsidRDefault="00B72F21">
      <w:pPr>
        <w:pStyle w:val="FootnoteText"/>
      </w:pPr>
      <w:r w:rsidRPr="00F037B5">
        <w:rPr>
          <w:rStyle w:val="FootnoteReference"/>
        </w:rPr>
        <w:footnoteRef/>
      </w:r>
      <w:r w:rsidRPr="00F037B5">
        <w:t xml:space="preserve"> </w:t>
      </w:r>
      <w:r w:rsidR="0043155E" w:rsidRPr="0043155E">
        <w:t xml:space="preserve">See the CHRC’s website: </w:t>
      </w:r>
      <w:hyperlink r:id="rId6" w:history="1">
        <w:r w:rsidR="0043155E" w:rsidRPr="0043155E">
          <w:rPr>
            <w:rStyle w:val="Hyperlink"/>
          </w:rPr>
          <w:t>Ending one's life must be a true and informed choice</w:t>
        </w:r>
      </w:hyperlink>
      <w:r w:rsidR="00BC062E">
        <w:t xml:space="preserve"> (2024)</w:t>
      </w:r>
      <w:r w:rsidR="00FC7048">
        <w:t>.</w:t>
      </w:r>
    </w:p>
  </w:footnote>
  <w:footnote w:id="9">
    <w:p w14:paraId="696E3BF3" w14:textId="77777777" w:rsidR="00201998" w:rsidRPr="00F037B5" w:rsidRDefault="00201998" w:rsidP="00201998">
      <w:pPr>
        <w:pStyle w:val="FootnoteText"/>
      </w:pPr>
      <w:r w:rsidRPr="00F037B5">
        <w:rPr>
          <w:rStyle w:val="FootnoteReference"/>
        </w:rPr>
        <w:footnoteRef/>
      </w:r>
      <w:r w:rsidRPr="00F037B5">
        <w:t xml:space="preserve"> </w:t>
      </w:r>
      <w:r w:rsidRPr="00174B2E">
        <w:t>See: Committee on the Rights of Persons with Disabilities</w:t>
      </w:r>
      <w:r>
        <w:t xml:space="preserve"> (March 2025). </w:t>
      </w:r>
      <w:hyperlink r:id="rId7" w:tgtFrame="_blank" w:tooltip="https://tbinternet.ohchr.org/_layouts/15/treatybodyexternal/download.aspx?symbolno=crpd%2fc%2fcan%2fco%2f2-3&amp;lang=en" w:history="1">
        <w:r w:rsidRPr="00174B2E">
          <w:rPr>
            <w:rStyle w:val="Hyperlink"/>
          </w:rPr>
          <w:t>Concluding observations on the combined second and third periodic reports of Canada</w:t>
        </w:r>
      </w:hyperlink>
      <w:r>
        <w:t>.</w:t>
      </w:r>
    </w:p>
  </w:footnote>
  <w:footnote w:id="10">
    <w:p w14:paraId="6E15F0BC" w14:textId="3CCD13AA" w:rsidR="000A3931" w:rsidRDefault="000A3931">
      <w:pPr>
        <w:pStyle w:val="FootnoteText"/>
      </w:pPr>
      <w:r>
        <w:rPr>
          <w:rStyle w:val="FootnoteReference"/>
        </w:rPr>
        <w:footnoteRef/>
      </w:r>
      <w:r>
        <w:t xml:space="preserve"> </w:t>
      </w:r>
      <w:r w:rsidRPr="000E4B63">
        <w:t>2SLG</w:t>
      </w:r>
      <w:r w:rsidR="00BB4E0C">
        <w:t>BT</w:t>
      </w:r>
      <w:r w:rsidRPr="000E4B63">
        <w:t>QI+</w:t>
      </w:r>
      <w:r w:rsidRPr="00FB4031">
        <w:t xml:space="preserve"> is an acronym for Two-Spirit, lesbian, gay, </w:t>
      </w:r>
      <w:r w:rsidR="00BB4E0C" w:rsidRPr="00FB4031">
        <w:t>bisexual</w:t>
      </w:r>
      <w:r w:rsidR="00BB4E0C">
        <w:t xml:space="preserve">, </w:t>
      </w:r>
      <w:r w:rsidRPr="00FB4031">
        <w:t>trans</w:t>
      </w:r>
      <w:r w:rsidR="00163B11">
        <w:t>gender</w:t>
      </w:r>
      <w:r w:rsidR="00BB4E0C">
        <w:t xml:space="preserve">, </w:t>
      </w:r>
      <w:r w:rsidRPr="00FB4031">
        <w:t xml:space="preserve">queer </w:t>
      </w:r>
      <w:r w:rsidR="00163B11">
        <w:t xml:space="preserve">and </w:t>
      </w:r>
      <w:r w:rsidRPr="00FB4031">
        <w:t>intersex</w:t>
      </w:r>
      <w:r>
        <w:t>. T</w:t>
      </w:r>
      <w:r w:rsidR="00163B11">
        <w:t>he + is inclusive of</w:t>
      </w:r>
      <w:r>
        <w:t xml:space="preserve"> </w:t>
      </w:r>
      <w:r w:rsidRPr="00FB4031">
        <w:t>people who use additional terminologies.</w:t>
      </w:r>
      <w:r>
        <w:t xml:space="preserve"> </w:t>
      </w:r>
    </w:p>
  </w:footnote>
  <w:footnote w:id="11">
    <w:p w14:paraId="27DFC8B7" w14:textId="678F1265" w:rsidR="004E2544" w:rsidRPr="00F037B5" w:rsidRDefault="004E2544">
      <w:pPr>
        <w:pStyle w:val="FootnoteText"/>
      </w:pPr>
      <w:r w:rsidRPr="00F037B5">
        <w:rPr>
          <w:rStyle w:val="FootnoteReference"/>
        </w:rPr>
        <w:footnoteRef/>
      </w:r>
      <w:r w:rsidRPr="00F037B5">
        <w:t xml:space="preserve"> For example, British Columbia</w:t>
      </w:r>
      <w:r w:rsidR="00974B59" w:rsidRPr="00F037B5">
        <w:t>’s Office of the</w:t>
      </w:r>
      <w:r w:rsidRPr="00F037B5">
        <w:t xml:space="preserve"> Human Rights Commission</w:t>
      </w:r>
      <w:r w:rsidR="00974B59" w:rsidRPr="00F037B5">
        <w:t>er noted</w:t>
      </w:r>
      <w:r w:rsidRPr="00F037B5">
        <w:t xml:space="preserve"> that </w:t>
      </w:r>
      <w:r w:rsidR="00974B59" w:rsidRPr="00F037B5">
        <w:t>disaggregated demographic data about homeless populations in the province exposed the profound consequences of systemic racism, discrimination and colonialism. Their research confirmed that Indigenous populations were significantly overrepresented among the homeless</w:t>
      </w:r>
      <w:r w:rsidR="00163B11">
        <w:t>.</w:t>
      </w:r>
      <w:r w:rsidR="00974B59" w:rsidRPr="00F037B5">
        <w:t xml:space="preserve"> Members of 2SLGBTQI+ communities were also represented. They noted that over two-thirds of BC’s homeless have multiple health conditions, including a third with acquired brain injuries and more than 4 in 10 with physical disabilities, noting that this could be connected to the discrimination that many people with disabilities face when trying to secure accessible housing. See: British Columbia’s Office of the Human Rights Commissioner (2024) </w:t>
      </w:r>
      <w:hyperlink r:id="rId8" w:history="1">
        <w:r w:rsidR="00974B59" w:rsidRPr="00F037B5">
          <w:rPr>
            <w:rStyle w:val="Hyperlink"/>
          </w:rPr>
          <w:t>Rights in focus: Lived realities in B.C.</w:t>
        </w:r>
      </w:hyperlink>
    </w:p>
  </w:footnote>
  <w:footnote w:id="12">
    <w:p w14:paraId="42130501" w14:textId="0DB65E92" w:rsidR="00A11B1D" w:rsidRPr="00F037B5" w:rsidRDefault="00A11B1D">
      <w:pPr>
        <w:pStyle w:val="FootnoteText"/>
        <w:rPr>
          <w:lang w:val="en-US"/>
        </w:rPr>
      </w:pPr>
      <w:r w:rsidRPr="00F037B5">
        <w:rPr>
          <w:rStyle w:val="FootnoteReference"/>
        </w:rPr>
        <w:footnoteRef/>
      </w:r>
      <w:r w:rsidRPr="00F037B5">
        <w:t xml:space="preserve"> </w:t>
      </w:r>
      <w:r w:rsidRPr="00F037B5">
        <w:rPr>
          <w:lang w:val="en-US"/>
        </w:rPr>
        <w:t xml:space="preserve">While the Canadian Human Rights Commission has limited jurisdiction to accept housing-related complaints, provincial complaints data indicates that complaints related to housing-related discrimination are on the rise. For instance, in 2022-2023 in New Brunswick, housing-related complaints escalated from four percent to 13% of total complaints received, which the New Brunswick Human Rights Commission noted was a “worrisome indicator of the state of housing rights” in the province. See: </w:t>
      </w:r>
      <w:hyperlink r:id="rId9" w:history="1">
        <w:r w:rsidRPr="00F037B5">
          <w:rPr>
            <w:rStyle w:val="Hyperlink"/>
          </w:rPr>
          <w:t>Landlords must respect the human rights of all persons: commission chair</w:t>
        </w:r>
      </w:hyperlink>
      <w:r w:rsidR="005C6F34" w:rsidRPr="00F037B5">
        <w:rPr>
          <w:lang w:val="en-US"/>
        </w:rPr>
        <w:t>.</w:t>
      </w:r>
    </w:p>
  </w:footnote>
  <w:footnote w:id="13">
    <w:p w14:paraId="47040796" w14:textId="4C577DC6" w:rsidR="00F32503" w:rsidRPr="00F037B5" w:rsidRDefault="00F32503">
      <w:pPr>
        <w:pStyle w:val="FootnoteText"/>
        <w:rPr>
          <w:lang w:val="en-US"/>
        </w:rPr>
      </w:pPr>
      <w:r w:rsidRPr="00F037B5">
        <w:rPr>
          <w:rStyle w:val="FootnoteReference"/>
        </w:rPr>
        <w:footnoteRef/>
      </w:r>
      <w:r w:rsidRPr="00F037B5">
        <w:t xml:space="preserve"> Appointed in 2022, Marie Josée Houle is Canada’s first Federal Housing Advocate. </w:t>
      </w:r>
      <w:r w:rsidRPr="00F037B5">
        <w:rPr>
          <w:lang w:val="en-US"/>
        </w:rPr>
        <w:t xml:space="preserve">The National Housing Strategy Act mandates the Advocate to monitor the national housing strategy, engage with rights holders and civil society, receive submissions from individuals and organizations, and produce reports with recommendations on systemic housing issues to the federal minister responsible for housing. The Advocate does not have enforcement powers and is not an individual recourse mechanism. The Office of the Federal Housing Advocate (OFHA) </w:t>
      </w:r>
      <w:proofErr w:type="gramStart"/>
      <w:r w:rsidRPr="00F037B5">
        <w:rPr>
          <w:lang w:val="en-US"/>
        </w:rPr>
        <w:t>is located in</w:t>
      </w:r>
      <w:proofErr w:type="gramEnd"/>
      <w:r w:rsidRPr="00F037B5">
        <w:rPr>
          <w:lang w:val="en-US"/>
        </w:rPr>
        <w:t xml:space="preserve"> the Canadian Human Rights Commission.</w:t>
      </w:r>
    </w:p>
  </w:footnote>
  <w:footnote w:id="14">
    <w:p w14:paraId="01C48F15" w14:textId="22A032D1" w:rsidR="007D715B" w:rsidRPr="00F037B5" w:rsidRDefault="007D715B">
      <w:pPr>
        <w:pStyle w:val="FootnoteText"/>
      </w:pPr>
      <w:r w:rsidRPr="00F037B5">
        <w:rPr>
          <w:rStyle w:val="FootnoteReference"/>
        </w:rPr>
        <w:footnoteRef/>
      </w:r>
      <w:r w:rsidRPr="00F037B5">
        <w:t xml:space="preserve"> </w:t>
      </w:r>
      <w:r w:rsidR="00A95C16">
        <w:t>CBC News</w:t>
      </w:r>
      <w:r w:rsidR="00F54383">
        <w:t>.</w:t>
      </w:r>
      <w:r w:rsidR="00A95C16">
        <w:t xml:space="preserve"> (2025). </w:t>
      </w:r>
      <w:hyperlink r:id="rId10" w:history="1">
        <w:r w:rsidR="00A95C16" w:rsidRPr="00A95C16">
          <w:rPr>
            <w:rStyle w:val="Hyperlink"/>
          </w:rPr>
          <w:t>Over 450 homeless people died in B.C. in 2023, according to coroner</w:t>
        </w:r>
      </w:hyperlink>
      <w:r w:rsidR="00DD3FF7">
        <w:t>.</w:t>
      </w:r>
    </w:p>
  </w:footnote>
  <w:footnote w:id="15">
    <w:p w14:paraId="0724CB31" w14:textId="7ADBE77C" w:rsidR="007D715B" w:rsidRPr="00F037B5" w:rsidRDefault="007D715B">
      <w:pPr>
        <w:pStyle w:val="FootnoteText"/>
      </w:pPr>
      <w:r w:rsidRPr="00F037B5">
        <w:rPr>
          <w:rStyle w:val="FootnoteReference"/>
        </w:rPr>
        <w:footnoteRef/>
      </w:r>
      <w:r w:rsidRPr="00F037B5">
        <w:t xml:space="preserve"> </w:t>
      </w:r>
      <w:r w:rsidR="00246CC3" w:rsidRPr="002C38AA">
        <w:t>For men experiencing homelessness the median age was 50.</w:t>
      </w:r>
      <w:r w:rsidR="00246CC3">
        <w:t xml:space="preserve"> See: </w:t>
      </w:r>
      <w:r w:rsidR="00A95C16">
        <w:t>CP24</w:t>
      </w:r>
      <w:r w:rsidR="00F54383">
        <w:t>.</w:t>
      </w:r>
      <w:r w:rsidR="00A95C16">
        <w:t xml:space="preserve"> (2025). </w:t>
      </w:r>
      <w:hyperlink r:id="rId11" w:history="1">
        <w:r w:rsidR="00A95C16" w:rsidRPr="00A95C16">
          <w:rPr>
            <w:rStyle w:val="Hyperlink"/>
          </w:rPr>
          <w:t>Median age of death for unhoused women in Toronto drops to 36</w:t>
        </w:r>
      </w:hyperlink>
      <w:r w:rsidR="00DD3FF7">
        <w:t>.</w:t>
      </w:r>
    </w:p>
  </w:footnote>
  <w:footnote w:id="16">
    <w:p w14:paraId="1F46F87F" w14:textId="5CF212F3" w:rsidR="001B0B81" w:rsidRPr="00AA2505" w:rsidRDefault="001B0B81">
      <w:pPr>
        <w:pStyle w:val="FootnoteText"/>
        <w:rPr>
          <w:lang w:val="en-US"/>
        </w:rPr>
      </w:pPr>
      <w:r>
        <w:rPr>
          <w:rStyle w:val="FootnoteReference"/>
        </w:rPr>
        <w:footnoteRef/>
      </w:r>
      <w:r>
        <w:t xml:space="preserve"> </w:t>
      </w:r>
      <w:r w:rsidR="00F54383">
        <w:t xml:space="preserve">Vancouver Sun. (2025). </w:t>
      </w:r>
      <w:hyperlink r:id="rId12" w:history="1">
        <w:r w:rsidR="00F54383" w:rsidRPr="00F54383">
          <w:rPr>
            <w:rStyle w:val="Hyperlink"/>
          </w:rPr>
          <w:t>Swept aside: Study links Vancouver’s ‘street sweeps’ of homeless to greater risk of overdose, violence</w:t>
        </w:r>
      </w:hyperlink>
      <w:r w:rsidR="00F54383">
        <w:t>.</w:t>
      </w:r>
    </w:p>
  </w:footnote>
  <w:footnote w:id="17">
    <w:p w14:paraId="3ACD2E9D" w14:textId="3BAA0FB6" w:rsidR="007D715B" w:rsidRPr="00F037B5" w:rsidRDefault="007D715B">
      <w:pPr>
        <w:pStyle w:val="FootnoteText"/>
      </w:pPr>
      <w:r w:rsidRPr="00F037B5">
        <w:rPr>
          <w:rStyle w:val="FootnoteReference"/>
        </w:rPr>
        <w:footnoteRef/>
      </w:r>
      <w:r w:rsidRPr="00F037B5">
        <w:t xml:space="preserve"> </w:t>
      </w:r>
      <w:r w:rsidR="00451233" w:rsidRPr="00451233">
        <w:t>The Office of the Federal Housing Advocate</w:t>
      </w:r>
      <w:r w:rsidR="00451233">
        <w:t>.</w:t>
      </w:r>
      <w:r w:rsidR="00451233" w:rsidRPr="00451233">
        <w:t xml:space="preserve"> (202</w:t>
      </w:r>
      <w:r w:rsidR="00445295">
        <w:t>4</w:t>
      </w:r>
      <w:r w:rsidR="00451233" w:rsidRPr="00451233">
        <w:t xml:space="preserve">). </w:t>
      </w:r>
      <w:hyperlink r:id="rId13" w:history="1">
        <w:r w:rsidR="00445295" w:rsidRPr="00445295">
          <w:rPr>
            <w:rStyle w:val="Hyperlink"/>
          </w:rPr>
          <w:t>Upholding dignity and human rights: the Federal Housing Advocate’s review of homeless encampments – Final report</w:t>
        </w:r>
      </w:hyperlink>
      <w:r w:rsidR="00445295" w:rsidRPr="00445295">
        <w:t>.</w:t>
      </w:r>
      <w:r w:rsidR="00445295">
        <w:t xml:space="preserve"> </w:t>
      </w:r>
    </w:p>
  </w:footnote>
  <w:footnote w:id="18">
    <w:p w14:paraId="1A3F3599" w14:textId="4FE803B9" w:rsidR="003077EF" w:rsidRPr="00F037B5" w:rsidRDefault="003077EF">
      <w:pPr>
        <w:pStyle w:val="FootnoteText"/>
      </w:pPr>
      <w:r w:rsidRPr="00F037B5">
        <w:rPr>
          <w:rStyle w:val="FootnoteReference"/>
        </w:rPr>
        <w:footnoteRef/>
      </w:r>
      <w:r w:rsidRPr="00F037B5">
        <w:t xml:space="preserve"> </w:t>
      </w:r>
      <w:r w:rsidR="007F60C0">
        <w:t xml:space="preserve">See the Government of Canada’s </w:t>
      </w:r>
      <w:hyperlink r:id="rId14" w:history="1">
        <w:r w:rsidR="007F60C0" w:rsidRPr="007F60C0">
          <w:rPr>
            <w:rStyle w:val="Hyperlink"/>
          </w:rPr>
          <w:t>Budget 2024</w:t>
        </w:r>
      </w:hyperlink>
      <w:r w:rsidR="007F60C0">
        <w:t xml:space="preserve"> at page </w:t>
      </w:r>
      <w:r w:rsidR="00D3066F">
        <w:t>81.</w:t>
      </w:r>
      <w:r w:rsidR="007F60C0">
        <w:t xml:space="preserve"> </w:t>
      </w:r>
    </w:p>
  </w:footnote>
  <w:footnote w:id="19">
    <w:p w14:paraId="793E0353" w14:textId="47424675" w:rsidR="00BA653D" w:rsidRPr="00F037B5" w:rsidRDefault="003077EF" w:rsidP="00BA653D">
      <w:pPr>
        <w:pStyle w:val="FootnoteText"/>
      </w:pPr>
      <w:r w:rsidRPr="00F037B5">
        <w:rPr>
          <w:rStyle w:val="FootnoteReference"/>
        </w:rPr>
        <w:footnoteRef/>
      </w:r>
      <w:r w:rsidR="00A95C16">
        <w:t xml:space="preserve"> UN Special Rapporteur on the Right to Housing</w:t>
      </w:r>
      <w:r w:rsidR="00B40F8D">
        <w:t>.</w:t>
      </w:r>
      <w:r w:rsidR="00A95C16">
        <w:t xml:space="preserve"> (2020).</w:t>
      </w:r>
      <w:r w:rsidRPr="00F037B5">
        <w:t xml:space="preserve"> </w:t>
      </w:r>
      <w:hyperlink r:id="rId15" w:history="1">
        <w:r w:rsidR="008E5CC4" w:rsidRPr="008E5CC4">
          <w:rPr>
            <w:rStyle w:val="Hyperlink"/>
          </w:rPr>
          <w:t>A national protocol for homeless encampments in Canada: A human rights approach</w:t>
        </w:r>
        <w:r w:rsidR="00B40F8D">
          <w:rPr>
            <w:rStyle w:val="Hyperlink"/>
          </w:rPr>
          <w:t>.</w:t>
        </w:r>
      </w:hyperlink>
      <w:r w:rsidR="008E5CC4">
        <w:t xml:space="preserve"> </w:t>
      </w:r>
    </w:p>
    <w:p w14:paraId="787DF987" w14:textId="5B1284BB" w:rsidR="003077EF" w:rsidRPr="00F037B5" w:rsidRDefault="003077EF">
      <w:pPr>
        <w:pStyle w:val="FootnoteText"/>
      </w:pPr>
    </w:p>
  </w:footnote>
  <w:footnote w:id="20">
    <w:p w14:paraId="20A5C973" w14:textId="5F2F522C" w:rsidR="00B80E8E" w:rsidRPr="00F037B5" w:rsidRDefault="00B80E8E">
      <w:pPr>
        <w:pStyle w:val="FootnoteText"/>
      </w:pPr>
      <w:r w:rsidRPr="00F037B5">
        <w:rPr>
          <w:rStyle w:val="FootnoteReference"/>
        </w:rPr>
        <w:footnoteRef/>
      </w:r>
      <w:r w:rsidRPr="00F037B5">
        <w:t xml:space="preserve"> </w:t>
      </w:r>
      <w:r w:rsidR="003E71DA">
        <w:t>Government of Canada. (</w:t>
      </w:r>
      <w:r w:rsidR="003E71DA" w:rsidRPr="00930211">
        <w:t>20</w:t>
      </w:r>
      <w:r w:rsidR="00930211" w:rsidRPr="00930211">
        <w:t>2</w:t>
      </w:r>
      <w:r w:rsidR="003E71DA" w:rsidRPr="00930211">
        <w:t>3</w:t>
      </w:r>
      <w:r w:rsidR="003E71DA">
        <w:t xml:space="preserve">). </w:t>
      </w:r>
      <w:hyperlink r:id="rId16" w:history="1">
        <w:r w:rsidR="003E71DA" w:rsidRPr="00461551">
          <w:rPr>
            <w:rStyle w:val="Hyperlink"/>
          </w:rPr>
          <w:t>Strengthening Environmental Protection for a Healthier Canada Act</w:t>
        </w:r>
      </w:hyperlink>
      <w:r w:rsidR="00FC7048">
        <w:t>.</w:t>
      </w:r>
    </w:p>
  </w:footnote>
  <w:footnote w:id="21">
    <w:p w14:paraId="72E00F35" w14:textId="65E7D91E" w:rsidR="00EF2A40" w:rsidRPr="00EF2A40" w:rsidRDefault="00EF2A40">
      <w:pPr>
        <w:pStyle w:val="FootnoteText"/>
      </w:pPr>
      <w:r>
        <w:rPr>
          <w:rStyle w:val="FootnoteReference"/>
        </w:rPr>
        <w:footnoteRef/>
      </w:r>
      <w:r>
        <w:t xml:space="preserve"> As of 2025, </w:t>
      </w:r>
      <w:hyperlink r:id="rId17" w:history="1">
        <w:r w:rsidRPr="00EF2A40">
          <w:rPr>
            <w:rStyle w:val="Hyperlink"/>
          </w:rPr>
          <w:t>engagement activities</w:t>
        </w:r>
      </w:hyperlink>
      <w:r>
        <w:t xml:space="preserve"> are underway by Environment and Climate Change Canada to aid in the development of a national strategy to promote efforts across Canada to advance environmental justice and to assess, prevent and address environmental racism.</w:t>
      </w:r>
    </w:p>
  </w:footnote>
  <w:footnote w:id="22">
    <w:p w14:paraId="7C6B8E75" w14:textId="62B2AFA2" w:rsidR="00492B29" w:rsidRPr="00F037B5" w:rsidRDefault="00492B29" w:rsidP="00492B29">
      <w:pPr>
        <w:pStyle w:val="FootnoteText"/>
      </w:pPr>
      <w:r w:rsidRPr="00F037B5">
        <w:rPr>
          <w:rStyle w:val="FootnoteReference"/>
        </w:rPr>
        <w:footnoteRef/>
      </w:r>
      <w:r w:rsidRPr="00F037B5">
        <w:t xml:space="preserve"> </w:t>
      </w:r>
      <w:r w:rsidR="003E71DA">
        <w:t xml:space="preserve">Center for International Environmental Law (CIEL), Council of Canadians with Disabilities (CCD), &amp; </w:t>
      </w:r>
      <w:proofErr w:type="spellStart"/>
      <w:r w:rsidR="003E71DA">
        <w:t>Inclusiva</w:t>
      </w:r>
      <w:proofErr w:type="spellEnd"/>
      <w:r w:rsidR="003E71DA">
        <w:t xml:space="preserve">. (2019). </w:t>
      </w:r>
      <w:hyperlink r:id="rId18" w:history="1">
        <w:r w:rsidR="003E71DA">
          <w:rPr>
            <w:rStyle w:val="Hyperlink"/>
          </w:rPr>
          <w:t>The Rights of Persons with Disabilities in the Context of the UN Framework Convention on Climate Change</w:t>
        </w:r>
      </w:hyperlink>
      <w:r w:rsidR="00B27B6A">
        <w:t>.</w:t>
      </w:r>
    </w:p>
  </w:footnote>
  <w:footnote w:id="23">
    <w:p w14:paraId="45450E12" w14:textId="2D9ED4D7" w:rsidR="00492B29" w:rsidRPr="00F037B5" w:rsidRDefault="00492B29" w:rsidP="00492B29">
      <w:pPr>
        <w:pStyle w:val="FootnoteText"/>
      </w:pPr>
      <w:r w:rsidRPr="00F037B5">
        <w:rPr>
          <w:rStyle w:val="FootnoteReference"/>
        </w:rPr>
        <w:footnoteRef/>
      </w:r>
      <w:r w:rsidRPr="00F037B5">
        <w:t xml:space="preserve"> </w:t>
      </w:r>
      <w:r w:rsidR="003E71DA">
        <w:t xml:space="preserve">Human Rights Watch. (2021). </w:t>
      </w:r>
      <w:hyperlink r:id="rId19" w:anchor=":~:text=People%20interviewed%20by%20Human%20Rights%20Watch%20described%20symptoms%20of%20heat,%2C%20breathing%20difficulties%2C%20and%20weakness" w:history="1">
        <w:r w:rsidR="003E71DA" w:rsidRPr="00F67DBF">
          <w:rPr>
            <w:rStyle w:val="Hyperlink"/>
          </w:rPr>
          <w:t>Canada: Disastrous Impact of Extreme Heat</w:t>
        </w:r>
      </w:hyperlink>
      <w:r w:rsidR="00B27B6A">
        <w:t>.</w:t>
      </w:r>
    </w:p>
  </w:footnote>
  <w:footnote w:id="24">
    <w:p w14:paraId="2DEE9F90" w14:textId="77777777" w:rsidR="00EE5B19" w:rsidRPr="00F037B5" w:rsidRDefault="00EE5B19" w:rsidP="00EE5B19">
      <w:pPr>
        <w:pStyle w:val="FootnoteText"/>
        <w:rPr>
          <w:lang w:val="en-US"/>
        </w:rPr>
      </w:pPr>
      <w:r w:rsidRPr="00F037B5">
        <w:rPr>
          <w:rStyle w:val="FootnoteReference"/>
        </w:rPr>
        <w:footnoteRef/>
      </w:r>
      <w:r w:rsidRPr="00F037B5">
        <w:t xml:space="preserve"> </w:t>
      </w:r>
      <w:r>
        <w:t>British Columbia’s Office of the Human Rights Commissioner. (2024).</w:t>
      </w:r>
      <w:r w:rsidRPr="00F037B5">
        <w:rPr>
          <w:lang w:val="en-US"/>
        </w:rPr>
        <w:t xml:space="preserve"> </w:t>
      </w:r>
      <w:hyperlink r:id="rId20" w:history="1">
        <w:r w:rsidRPr="00F037B5">
          <w:rPr>
            <w:rStyle w:val="Hyperlink"/>
          </w:rPr>
          <w:t>Rights in focus: Lived realities in B.C.</w:t>
        </w:r>
      </w:hyperlink>
      <w:r>
        <w:t xml:space="preserve"> </w:t>
      </w:r>
      <w:r w:rsidRPr="005E1F51">
        <w:t>The Federal Housing Advocate has also heard about the increased risk to people experiencing homelessness caused by extreme weather, such as the heatwaves experienced in Southern Ontario in summer 2025. While most municipalities are getting better at planning and taking steps to mitigate the risks from cold weather in the winter, not enough is being done to understand and mitigate the health impacts of heat on people experiencing homelessness.</w:t>
      </w:r>
      <w:r>
        <w:t xml:space="preserve"> </w:t>
      </w:r>
    </w:p>
  </w:footnote>
  <w:footnote w:id="25">
    <w:p w14:paraId="467117AC" w14:textId="77777777" w:rsidR="007F7EAF" w:rsidRPr="003247E4" w:rsidRDefault="007F7EAF" w:rsidP="007F7EAF">
      <w:pPr>
        <w:pStyle w:val="FootnoteText"/>
      </w:pPr>
      <w:r w:rsidRPr="00F037B5">
        <w:rPr>
          <w:rStyle w:val="FootnoteReference"/>
        </w:rPr>
        <w:footnoteRef/>
      </w:r>
      <w:r w:rsidRPr="00F037B5">
        <w:t xml:space="preserve"> </w:t>
      </w:r>
      <w:r>
        <w:t xml:space="preserve">Waldron, I. (2016). </w:t>
      </w:r>
      <w:hyperlink r:id="rId21" w:history="1">
        <w:r>
          <w:rPr>
            <w:rStyle w:val="Hyperlink"/>
          </w:rPr>
          <w:t>Experiences of Environmental Health Inequities in African Nova Scotian Communities</w:t>
        </w:r>
      </w:hyperlink>
      <w:r>
        <w:t>.</w:t>
      </w:r>
    </w:p>
  </w:footnote>
  <w:footnote w:id="26">
    <w:p w14:paraId="7BA5EE95" w14:textId="77777777" w:rsidR="007F7EAF" w:rsidRPr="00F037B5" w:rsidRDefault="007F7EAF" w:rsidP="007F7EAF">
      <w:pPr>
        <w:pStyle w:val="FootnoteText"/>
      </w:pPr>
      <w:r w:rsidRPr="00F037B5">
        <w:rPr>
          <w:rStyle w:val="FootnoteReference"/>
        </w:rPr>
        <w:footnoteRef/>
      </w:r>
      <w:r w:rsidRPr="00F037B5">
        <w:t xml:space="preserve"> </w:t>
      </w:r>
      <w:r>
        <w:t xml:space="preserve">National Collaborating Centre for Determinants of Health. (2017). </w:t>
      </w:r>
      <w:hyperlink r:id="rId22" w:history="1">
        <w:r w:rsidRPr="00F67DBF">
          <w:rPr>
            <w:rStyle w:val="Hyperlink"/>
          </w:rPr>
          <w:t>Learning from Practice: Advocacy for health equity - Environmental racism</w:t>
        </w:r>
      </w:hyperlink>
      <w:r>
        <w:t>.</w:t>
      </w:r>
    </w:p>
  </w:footnote>
  <w:footnote w:id="27">
    <w:p w14:paraId="02AE08CA" w14:textId="450EC003" w:rsidR="00BC52BE" w:rsidRPr="00F037B5" w:rsidRDefault="00BC52BE">
      <w:pPr>
        <w:pStyle w:val="FootnoteText"/>
      </w:pPr>
      <w:r w:rsidRPr="00F037B5">
        <w:rPr>
          <w:rStyle w:val="FootnoteReference"/>
        </w:rPr>
        <w:footnoteRef/>
      </w:r>
      <w:r w:rsidRPr="00F037B5">
        <w:t xml:space="preserve"> supra note </w:t>
      </w:r>
      <w:r w:rsidR="00E04CA0">
        <w:t>2</w:t>
      </w:r>
      <w:r w:rsidR="00223ED0">
        <w:t>5</w:t>
      </w:r>
      <w:r w:rsidRPr="00F037B5">
        <w:t xml:space="preserve">. For example, see Lincolnville, a small African Nova Scotian rural community, with first and second-generation landfills. This community represents one of the more serious cases of environmental racism in Nova Scotia. Also, as part of the Commission’s Fast Talk on Environmental Racism in Canada (April 2024), experts shared accounts of their fight for clean water in a historically Black community that relies on dug wells and whose water supply is contaminated </w:t>
      </w:r>
      <w:proofErr w:type="gramStart"/>
      <w:r w:rsidRPr="00F037B5">
        <w:t>as a result of</w:t>
      </w:r>
      <w:proofErr w:type="gramEnd"/>
      <w:r w:rsidRPr="00F037B5">
        <w:t xml:space="preserve"> environmental racism. Safe drinking water pipelines connecting to nearby communities bypass the Black community completely. Experts reported that communities are left without infrastructure for clean water, sewer systems, sustainable housing, and accessible roads to get in and out of their community, which compounds the disparities experienced from environmental racism. Moreover, several participants shared stories of high rates of chronic illness, such as cancer and respiratory illnesses, in impacted communities. See the CHRC’s website: </w:t>
      </w:r>
      <w:hyperlink r:id="rId23" w:history="1">
        <w:r w:rsidRPr="00F037B5">
          <w:rPr>
            <w:rStyle w:val="Hyperlink"/>
          </w:rPr>
          <w:t>Fast Talk on environmental racism in Canada</w:t>
        </w:r>
      </w:hyperlink>
      <w:r w:rsidRPr="00F037B5">
        <w:t>.</w:t>
      </w:r>
    </w:p>
  </w:footnote>
  <w:footnote w:id="28">
    <w:p w14:paraId="597AAF5D" w14:textId="4F58F28B" w:rsidR="00BC52BE" w:rsidRPr="00F037B5" w:rsidRDefault="00BC52BE">
      <w:pPr>
        <w:pStyle w:val="FootnoteText"/>
      </w:pPr>
      <w:r w:rsidRPr="00F037B5">
        <w:rPr>
          <w:rStyle w:val="FootnoteReference"/>
        </w:rPr>
        <w:footnoteRef/>
      </w:r>
      <w:r w:rsidRPr="00F037B5">
        <w:t xml:space="preserve"> </w:t>
      </w:r>
      <w:r w:rsidR="003E71DA">
        <w:t xml:space="preserve">CBC News. (2022). </w:t>
      </w:r>
      <w:hyperlink r:id="rId24" w:anchor=":~:text=A%20new%20health%20study%20on%20people%20living%20in,the%20health%20of%20people%20in%20the%20community%20today." w:history="1">
        <w:r w:rsidR="003E71DA" w:rsidRPr="00F67DBF">
          <w:rPr>
            <w:rStyle w:val="Hyperlink"/>
          </w:rPr>
          <w:t>New study adds to body of proof connecting mercury poisoning to health issues in Grassy Narrows</w:t>
        </w:r>
      </w:hyperlink>
      <w:r w:rsidR="00AC1CE3">
        <w:t>.</w:t>
      </w:r>
    </w:p>
  </w:footnote>
  <w:footnote w:id="29">
    <w:p w14:paraId="15C52894" w14:textId="5729A639" w:rsidR="00D36267" w:rsidRPr="00F037B5" w:rsidRDefault="00D36267">
      <w:pPr>
        <w:pStyle w:val="FootnoteText"/>
      </w:pPr>
      <w:r w:rsidRPr="00F037B5">
        <w:rPr>
          <w:rStyle w:val="FootnoteReference"/>
        </w:rPr>
        <w:footnoteRef/>
      </w:r>
      <w:r w:rsidRPr="00F037B5">
        <w:t xml:space="preserve"> For over 150 years, residential schools operated in Canada. More than 150,000 children attended these schools. Many never returned. Often underfunded and overcrowded, these schools were used as a tool of assimilation by the Canadian state and churches. Thousands of students suffered physical and sexual abuse. All suffered from loneliness and a longing to be home with their families. The damages inflicted by these schools continue to this day. See: </w:t>
      </w:r>
      <w:proofErr w:type="gramStart"/>
      <w:r w:rsidR="00A64226">
        <w:t>the</w:t>
      </w:r>
      <w:proofErr w:type="gramEnd"/>
      <w:r w:rsidR="00A64226">
        <w:t xml:space="preserve"> </w:t>
      </w:r>
      <w:r w:rsidRPr="00F037B5">
        <w:t>National Centre for Truth and Reconciliation</w:t>
      </w:r>
      <w:r w:rsidR="00A64226">
        <w:t xml:space="preserve">’s </w:t>
      </w:r>
      <w:hyperlink r:id="rId25" w:history="1">
        <w:r w:rsidR="00A64226" w:rsidRPr="00A64226">
          <w:rPr>
            <w:rStyle w:val="Hyperlink"/>
          </w:rPr>
          <w:t>website</w:t>
        </w:r>
      </w:hyperlink>
      <w:r w:rsidR="00A64226">
        <w:t xml:space="preserve"> for more information.</w:t>
      </w:r>
    </w:p>
  </w:footnote>
  <w:footnote w:id="30">
    <w:p w14:paraId="77E53867" w14:textId="77777777" w:rsidR="008704C9" w:rsidRDefault="008704C9" w:rsidP="008704C9">
      <w:pPr>
        <w:pStyle w:val="FootnoteText"/>
      </w:pPr>
      <w:r>
        <w:rPr>
          <w:rStyle w:val="FootnoteReference"/>
        </w:rPr>
        <w:footnoteRef/>
      </w:r>
      <w:r>
        <w:t xml:space="preserve"> See: </w:t>
      </w:r>
      <w:hyperlink r:id="rId26" w:history="1">
        <w:r w:rsidRPr="00BB0F72">
          <w:rPr>
            <w:rStyle w:val="Hyperlink"/>
          </w:rPr>
          <w:t>The United Nations Declaration on the Rights of Indigenous Peoples Act Action Plan</w:t>
        </w:r>
      </w:hyperlink>
      <w:r>
        <w:t xml:space="preserve">. (2023). </w:t>
      </w:r>
    </w:p>
  </w:footnote>
  <w:footnote w:id="31">
    <w:p w14:paraId="2FB1AEAC" w14:textId="77777777" w:rsidR="008704C9" w:rsidRPr="00D34DB1" w:rsidRDefault="008704C9" w:rsidP="008704C9">
      <w:pPr>
        <w:pStyle w:val="FootnoteText"/>
      </w:pPr>
      <w:r w:rsidRPr="00D34DB1">
        <w:rPr>
          <w:rStyle w:val="FootnoteReference"/>
        </w:rPr>
        <w:footnoteRef/>
      </w:r>
      <w:r w:rsidRPr="00D34DB1">
        <w:t xml:space="preserve"> It also includes measures to advance the honourable implementation of treaties, agreements and other constructive arrangements, ensure meaningful participation by Indigenous peoples in decision-making over lands, territories, resources and inclusive economic development, and to revitalize Indigenous languages, cultures and legal systems. </w:t>
      </w:r>
    </w:p>
  </w:footnote>
  <w:footnote w:id="32">
    <w:p w14:paraId="4E86C70A" w14:textId="77777777" w:rsidR="008704C9" w:rsidRPr="00D34DB1" w:rsidRDefault="008704C9" w:rsidP="008704C9">
      <w:pPr>
        <w:pStyle w:val="FootnoteText"/>
      </w:pPr>
      <w:r w:rsidRPr="00D34DB1">
        <w:rPr>
          <w:rStyle w:val="FootnoteReference"/>
        </w:rPr>
        <w:footnoteRef/>
      </w:r>
      <w:r w:rsidRPr="00D34DB1">
        <w:t xml:space="preserve"> See: Government of Canada (2025). </w:t>
      </w:r>
      <w:hyperlink r:id="rId27" w:history="1">
        <w:r w:rsidRPr="00D34DB1">
          <w:rPr>
            <w:rStyle w:val="Hyperlink"/>
          </w:rPr>
          <w:t>One Canadian Economy Act</w:t>
        </w:r>
      </w:hyperlink>
      <w:r w:rsidRPr="00D34DB1">
        <w:t xml:space="preserve">. </w:t>
      </w:r>
    </w:p>
  </w:footnote>
  <w:footnote w:id="33">
    <w:p w14:paraId="238E9A35" w14:textId="77777777" w:rsidR="008704C9" w:rsidRPr="00F037B5" w:rsidRDefault="008704C9" w:rsidP="008704C9">
      <w:pPr>
        <w:pStyle w:val="FootnoteText"/>
        <w:rPr>
          <w:highlight w:val="yellow"/>
        </w:rPr>
      </w:pPr>
      <w:r w:rsidRPr="00D34DB1">
        <w:rPr>
          <w:rStyle w:val="FootnoteReference"/>
        </w:rPr>
        <w:footnoteRef/>
      </w:r>
      <w:r w:rsidRPr="00D34DB1">
        <w:t xml:space="preserve"> These concerns include impacts on the environment, diminished decision-making and planning, disregard for the legal standard of free, prior and informed consent, and disruption to daily and traditional ways of living. See: Assembly of First Nations. (2025). </w:t>
      </w:r>
      <w:hyperlink r:id="rId28" w:history="1">
        <w:r w:rsidRPr="00D34DB1">
          <w:rPr>
            <w:rStyle w:val="Hyperlink"/>
          </w:rPr>
          <w:t>Statement from National Chief Regarding Building Canada Act: Enormous Responsibility Rests on MPs and Senators to Uphold the Honour of the Crown</w:t>
        </w:r>
      </w:hyperlink>
      <w:r w:rsidRPr="00D34DB1">
        <w:t xml:space="preserve">; and Chiefs of Ontario. (2025). </w:t>
      </w:r>
      <w:hyperlink r:id="rId29" w:history="1">
        <w:r w:rsidRPr="00D34DB1">
          <w:rPr>
            <w:rStyle w:val="Hyperlink"/>
          </w:rPr>
          <w:t>Chiefs of Ontario issue urgent warning on Bill C-5, the One Canadian Economy Act, and will rally on Parliament Hill</w:t>
        </w:r>
      </w:hyperlink>
      <w:r w:rsidRPr="00D34DB1">
        <w:t>.</w:t>
      </w:r>
      <w:r w:rsidRPr="00A36696">
        <w:t xml:space="preserve"> </w:t>
      </w:r>
    </w:p>
  </w:footnote>
  <w:footnote w:id="34">
    <w:p w14:paraId="7B678523" w14:textId="77777777" w:rsidR="008704C9" w:rsidRPr="00F037B5" w:rsidRDefault="008704C9" w:rsidP="008704C9">
      <w:pPr>
        <w:pStyle w:val="FootnoteText"/>
      </w:pPr>
      <w:r w:rsidRPr="00F037B5">
        <w:rPr>
          <w:rStyle w:val="FootnoteReference"/>
        </w:rPr>
        <w:footnoteRef/>
      </w:r>
      <w:r w:rsidRPr="00F037B5">
        <w:t xml:space="preserve"> </w:t>
      </w:r>
      <w:r w:rsidRPr="004F5A97">
        <w:t xml:space="preserve">This action was taken in response to Call for Justice 1.7 in the Final Report of the National Inquiry into Missing and Murdered Indigenous Women and Girls. See the final report of the Ministerial Special Representative here: </w:t>
      </w:r>
      <w:hyperlink r:id="rId30" w:history="1">
        <w:r w:rsidRPr="004F5A97">
          <w:rPr>
            <w:rStyle w:val="Hyperlink"/>
          </w:rPr>
          <w:t>Call for Justice 1.7 Final Report</w:t>
        </w:r>
      </w:hyperlink>
      <w:r w:rsidRPr="004F5A97">
        <w:t>.</w:t>
      </w:r>
    </w:p>
  </w:footnote>
  <w:footnote w:id="35">
    <w:p w14:paraId="6C74D012" w14:textId="006686A1" w:rsidR="00116F99" w:rsidRDefault="00116F99">
      <w:pPr>
        <w:pStyle w:val="FootnoteText"/>
      </w:pPr>
      <w:r>
        <w:rPr>
          <w:rStyle w:val="FootnoteReference"/>
        </w:rPr>
        <w:footnoteRef/>
      </w:r>
      <w:r>
        <w:t xml:space="preserve"> </w:t>
      </w:r>
      <w:r w:rsidRPr="00F037B5">
        <w:t>Standing Senate Committee on Indigenous Peoples. (December</w:t>
      </w:r>
      <w:r>
        <w:t xml:space="preserve"> 2024</w:t>
      </w:r>
      <w:r w:rsidRPr="00F037B5">
        <w:t xml:space="preserve">). </w:t>
      </w:r>
      <w:hyperlink r:id="rId31" w:history="1">
        <w:r w:rsidRPr="004A2C53">
          <w:rPr>
            <w:rStyle w:val="Hyperlink"/>
          </w:rPr>
          <w:t>Respected and protected: Towards the establishment of an Indigenous human rights framework.</w:t>
        </w:r>
      </w:hyperlink>
    </w:p>
  </w:footnote>
  <w:footnote w:id="36">
    <w:p w14:paraId="4D6B7B89" w14:textId="7B7AF3C6" w:rsidR="008704C9" w:rsidRPr="00F037B5" w:rsidRDefault="008704C9" w:rsidP="008704C9">
      <w:pPr>
        <w:pStyle w:val="FootnoteText"/>
      </w:pPr>
      <w:r w:rsidRPr="00F037B5">
        <w:rPr>
          <w:rStyle w:val="FootnoteReference"/>
        </w:rPr>
        <w:footnoteRef/>
      </w:r>
      <w:r w:rsidRPr="00F037B5">
        <w:t xml:space="preserve"> Canadian Human Rights Commission. (</w:t>
      </w:r>
      <w:r>
        <w:t>June 2024</w:t>
      </w:r>
      <w:r w:rsidRPr="00F037B5">
        <w:t xml:space="preserve">). </w:t>
      </w:r>
      <w:hyperlink r:id="rId32" w:history="1">
        <w:r w:rsidRPr="004A2C53">
          <w:rPr>
            <w:rStyle w:val="Hyperlink"/>
          </w:rPr>
          <w:t>Independent Indigenous human rights system is overdue</w:t>
        </w:r>
      </w:hyperlink>
      <w:r w:rsidRPr="00F037B5">
        <w:t>.</w:t>
      </w:r>
    </w:p>
  </w:footnote>
  <w:footnote w:id="37">
    <w:p w14:paraId="7DCE420A" w14:textId="294B4BF5" w:rsidR="00AE199E" w:rsidRPr="00F037B5" w:rsidRDefault="00AE199E">
      <w:pPr>
        <w:pStyle w:val="FootnoteText"/>
      </w:pPr>
      <w:r w:rsidRPr="00F037B5">
        <w:rPr>
          <w:rStyle w:val="FootnoteReference"/>
        </w:rPr>
        <w:footnoteRef/>
      </w:r>
      <w:r w:rsidRPr="00F037B5">
        <w:t xml:space="preserve"> </w:t>
      </w:r>
      <w:r w:rsidRPr="00F037B5">
        <w:rPr>
          <w:rFonts w:cs="Arial"/>
          <w:szCs w:val="24"/>
        </w:rPr>
        <w:t xml:space="preserve">In one case, the Tribunal found the implementation of the First Nations Policing Program by Public Safety Canada was discriminatory towards a First Nation’s members, because the Program’s structure and funding did not allow the Nation to provide police services to the same level as those provided to non-Indigenous communities in the same province. This decision was recently upheld by the Federal Court of Appeal: </w:t>
      </w:r>
      <w:r w:rsidRPr="00F037B5">
        <w:t xml:space="preserve">Dominique (on behalf of the members of the </w:t>
      </w:r>
      <w:proofErr w:type="spellStart"/>
      <w:r w:rsidRPr="00F037B5">
        <w:t>Pekuakamiulnuatsh</w:t>
      </w:r>
      <w:proofErr w:type="spellEnd"/>
      <w:r w:rsidRPr="00F037B5">
        <w:t xml:space="preserve"> First Nation) v. Public Safety Canada, </w:t>
      </w:r>
      <w:hyperlink r:id="rId33" w:history="1">
        <w:r w:rsidRPr="00A03753">
          <w:rPr>
            <w:rStyle w:val="Hyperlink"/>
          </w:rPr>
          <w:t>2022 CHRT 4</w:t>
        </w:r>
      </w:hyperlink>
      <w:r w:rsidRPr="00F037B5">
        <w:t xml:space="preserve">, upheld </w:t>
      </w:r>
      <w:hyperlink r:id="rId34" w:history="1">
        <w:r w:rsidRPr="00A70A43">
          <w:rPr>
            <w:rStyle w:val="Hyperlink"/>
          </w:rPr>
          <w:t>2025 FCA 24.</w:t>
        </w:r>
      </w:hyperlink>
    </w:p>
  </w:footnote>
  <w:footnote w:id="38">
    <w:p w14:paraId="64EA455A" w14:textId="77777777" w:rsidR="00285F5E" w:rsidRPr="00F037B5" w:rsidRDefault="00285F5E" w:rsidP="00285F5E">
      <w:pPr>
        <w:pStyle w:val="FootnoteText"/>
        <w:rPr>
          <w:rFonts w:cs="Arial"/>
        </w:rPr>
      </w:pPr>
      <w:r w:rsidRPr="00F037B5">
        <w:rPr>
          <w:rStyle w:val="FootnoteReference"/>
          <w:rFonts w:cs="Arial"/>
        </w:rPr>
        <w:footnoteRef/>
      </w:r>
      <w:r w:rsidRPr="00F037B5">
        <w:rPr>
          <w:rFonts w:cs="Arial"/>
        </w:rPr>
        <w:t xml:space="preserve"> First Nations Child &amp; Family Caring Society of Canada and Assembly of First Nations v. Attorney General of Canada (representing the Minister of Indigenous and Northern Affairs Canada), </w:t>
      </w:r>
      <w:hyperlink r:id="rId35" w:history="1">
        <w:r w:rsidRPr="00F037B5">
          <w:rPr>
            <w:rStyle w:val="Hyperlink"/>
            <w:rFonts w:cs="Arial"/>
          </w:rPr>
          <w:t>2025 CHRT 6</w:t>
        </w:r>
      </w:hyperlink>
      <w:r w:rsidRPr="00F037B5">
        <w:rPr>
          <w:rFonts w:cs="Arial"/>
        </w:rPr>
        <w:t xml:space="preserve">. </w:t>
      </w:r>
    </w:p>
  </w:footnote>
  <w:footnote w:id="39">
    <w:p w14:paraId="0A738775" w14:textId="77777777" w:rsidR="00285F5E" w:rsidRPr="00F037B5" w:rsidRDefault="00285F5E" w:rsidP="00285F5E">
      <w:pPr>
        <w:pStyle w:val="FootnoteText"/>
        <w:rPr>
          <w:rFonts w:cs="Arial"/>
        </w:rPr>
      </w:pPr>
      <w:r w:rsidRPr="00F037B5">
        <w:rPr>
          <w:rStyle w:val="FootnoteReference"/>
          <w:rFonts w:cs="Arial"/>
        </w:rPr>
        <w:footnoteRef/>
      </w:r>
      <w:r w:rsidRPr="00F037B5">
        <w:rPr>
          <w:rFonts w:cs="Arial"/>
        </w:rPr>
        <w:t xml:space="preserve"> First Nations Child and Family Caring Society of Canada and Assembly of First Nations et al. v. </w:t>
      </w:r>
    </w:p>
    <w:p w14:paraId="0D204D5A" w14:textId="77777777" w:rsidR="00285F5E" w:rsidRPr="00F037B5" w:rsidRDefault="00285F5E" w:rsidP="00285F5E">
      <w:pPr>
        <w:pStyle w:val="FootnoteText"/>
        <w:rPr>
          <w:rFonts w:ascii="Times New Roman" w:hAnsi="Times New Roman" w:cs="Times New Roman"/>
          <w:sz w:val="22"/>
          <w:szCs w:val="22"/>
        </w:rPr>
      </w:pPr>
      <w:r w:rsidRPr="00F037B5">
        <w:rPr>
          <w:rFonts w:cs="Arial"/>
        </w:rPr>
        <w:t xml:space="preserve">Attorney General of Canada: </w:t>
      </w:r>
      <w:hyperlink r:id="rId36" w:history="1">
        <w:r w:rsidRPr="00F037B5">
          <w:rPr>
            <w:rStyle w:val="Hyperlink"/>
            <w:rFonts w:cs="Arial"/>
          </w:rPr>
          <w:t>2016 CHRT 2</w:t>
        </w:r>
      </w:hyperlink>
      <w:r w:rsidRPr="00F037B5">
        <w:rPr>
          <w:rFonts w:cs="Arial"/>
        </w:rPr>
        <w:t xml:space="preserve"> (re liability); </w:t>
      </w:r>
      <w:hyperlink r:id="rId37" w:history="1">
        <w:r w:rsidRPr="00F037B5">
          <w:rPr>
            <w:rStyle w:val="Hyperlink"/>
            <w:rFonts w:cs="Arial"/>
          </w:rPr>
          <w:t>2023 CHRT 44</w:t>
        </w:r>
      </w:hyperlink>
      <w:r w:rsidRPr="00F037B5">
        <w:rPr>
          <w:rFonts w:cs="Arial"/>
        </w:rPr>
        <w:t xml:space="preserve"> (re compensation).</w:t>
      </w:r>
    </w:p>
  </w:footnote>
  <w:footnote w:id="40">
    <w:p w14:paraId="47177EA3" w14:textId="77777777" w:rsidR="00EE5B19" w:rsidRPr="00F037B5" w:rsidRDefault="00EE5B19" w:rsidP="00EE5B19">
      <w:pPr>
        <w:pStyle w:val="FootnoteText"/>
      </w:pPr>
      <w:r w:rsidRPr="00F037B5">
        <w:rPr>
          <w:rStyle w:val="FootnoteReference"/>
        </w:rPr>
        <w:footnoteRef/>
      </w:r>
      <w:r w:rsidRPr="00F037B5">
        <w:t xml:space="preserve"> Relying on the Tribunal’s reasoning in the First Nations Child &amp; Family Caring Society of Canada case, a group of educators has filed a complaint alleging their First Nations’ schools are underfunded compared to neighbouring non-Indigenous provincial school divisions, leading to poorer outcomes for their students. In another case, a coalition of individuals with disabilities in Manitoba and their families have brought a complaint alleging First Nation adults with disabilities are not adequately supported to live healthy, meaningful, self-determined lives.</w:t>
      </w:r>
    </w:p>
  </w:footnote>
  <w:footnote w:id="41">
    <w:p w14:paraId="14F045FA" w14:textId="1EE010C1" w:rsidR="006E0FE8" w:rsidRPr="00F037B5" w:rsidRDefault="006E0FE8">
      <w:pPr>
        <w:pStyle w:val="FootnoteText"/>
      </w:pPr>
      <w:r w:rsidRPr="00F037B5">
        <w:rPr>
          <w:rStyle w:val="FootnoteReference"/>
        </w:rPr>
        <w:footnoteRef/>
      </w:r>
      <w:r w:rsidRPr="00F037B5">
        <w:t xml:space="preserve"> </w:t>
      </w:r>
      <w:r w:rsidR="003E71DA">
        <w:t>National Inquiry into Missing and Murdered Indigenous Women and Girls</w:t>
      </w:r>
      <w:r w:rsidR="00B9097F">
        <w:t>.</w:t>
      </w:r>
      <w:r w:rsidR="003E71DA">
        <w:t xml:space="preserve"> </w:t>
      </w:r>
      <w:r w:rsidR="005F048C">
        <w:t xml:space="preserve">(2019). </w:t>
      </w:r>
      <w:hyperlink r:id="rId38" w:history="1">
        <w:r w:rsidR="003E71DA">
          <w:rPr>
            <w:rStyle w:val="Hyperlink"/>
          </w:rPr>
          <w:t>Reclaiming Power and Place: The Final Report of the National Inquiry into Missing and Murdered Indigenous Women and Girls</w:t>
        </w:r>
      </w:hyperlink>
      <w:r w:rsidR="00B9097F">
        <w:t>.</w:t>
      </w:r>
    </w:p>
  </w:footnote>
  <w:footnote w:id="42">
    <w:p w14:paraId="3BCBC025" w14:textId="2ACE165B" w:rsidR="00BB68B2" w:rsidRPr="00F037B5" w:rsidRDefault="00BB68B2">
      <w:pPr>
        <w:pStyle w:val="FootnoteText"/>
      </w:pPr>
      <w:r w:rsidRPr="00F037B5">
        <w:rPr>
          <w:rStyle w:val="FootnoteReference"/>
        </w:rPr>
        <w:footnoteRef/>
      </w:r>
      <w:r w:rsidRPr="00F037B5">
        <w:t xml:space="preserve"> </w:t>
      </w:r>
      <w:r w:rsidR="003E71DA">
        <w:t xml:space="preserve">Standing Senate Committee on Human Rights. (2022). </w:t>
      </w:r>
      <w:hyperlink r:id="rId39" w:tgtFrame="_new" w:history="1">
        <w:r w:rsidR="003E71DA">
          <w:rPr>
            <w:rStyle w:val="Hyperlink"/>
          </w:rPr>
          <w:t xml:space="preserve">The </w:t>
        </w:r>
        <w:r w:rsidR="00E04CA0">
          <w:rPr>
            <w:rStyle w:val="Hyperlink"/>
          </w:rPr>
          <w:t>S</w:t>
        </w:r>
        <w:r w:rsidR="003E71DA">
          <w:rPr>
            <w:rStyle w:val="Hyperlink"/>
          </w:rPr>
          <w:t xml:space="preserve">cars that </w:t>
        </w:r>
        <w:r w:rsidR="00E04CA0">
          <w:rPr>
            <w:rStyle w:val="Hyperlink"/>
          </w:rPr>
          <w:t>W</w:t>
        </w:r>
        <w:r w:rsidR="003E71DA">
          <w:rPr>
            <w:rStyle w:val="Hyperlink"/>
          </w:rPr>
          <w:t xml:space="preserve">e </w:t>
        </w:r>
        <w:r w:rsidR="00E04CA0">
          <w:rPr>
            <w:rStyle w:val="Hyperlink"/>
          </w:rPr>
          <w:t>C</w:t>
        </w:r>
        <w:r w:rsidR="003E71DA">
          <w:rPr>
            <w:rStyle w:val="Hyperlink"/>
          </w:rPr>
          <w:t xml:space="preserve">arry: Forced and </w:t>
        </w:r>
        <w:r w:rsidR="00E04CA0">
          <w:rPr>
            <w:rStyle w:val="Hyperlink"/>
          </w:rPr>
          <w:t>C</w:t>
        </w:r>
        <w:r w:rsidR="003E71DA">
          <w:rPr>
            <w:rStyle w:val="Hyperlink"/>
          </w:rPr>
          <w:t xml:space="preserve">oerced </w:t>
        </w:r>
        <w:r w:rsidR="00E04CA0">
          <w:rPr>
            <w:rStyle w:val="Hyperlink"/>
          </w:rPr>
          <w:t>S</w:t>
        </w:r>
        <w:r w:rsidR="003E71DA">
          <w:rPr>
            <w:rStyle w:val="Hyperlink"/>
          </w:rPr>
          <w:t xml:space="preserve">terilization of </w:t>
        </w:r>
        <w:r w:rsidR="00E04CA0">
          <w:rPr>
            <w:rStyle w:val="Hyperlink"/>
          </w:rPr>
          <w:t>P</w:t>
        </w:r>
        <w:r w:rsidR="003E71DA">
          <w:rPr>
            <w:rStyle w:val="Hyperlink"/>
          </w:rPr>
          <w:t>ersons in Canada – Part II.</w:t>
        </w:r>
      </w:hyperlink>
    </w:p>
  </w:footnote>
  <w:footnote w:id="43">
    <w:p w14:paraId="2B7C7770" w14:textId="61859C61" w:rsidR="00FE6E7C" w:rsidRPr="00F037B5" w:rsidRDefault="00FE6E7C" w:rsidP="00FE6E7C">
      <w:pPr>
        <w:pStyle w:val="FootnoteText"/>
      </w:pPr>
      <w:r w:rsidRPr="00F037B5">
        <w:rPr>
          <w:rStyle w:val="FootnoteReference"/>
        </w:rPr>
        <w:footnoteRef/>
      </w:r>
      <w:r w:rsidRPr="00F037B5">
        <w:t xml:space="preserve"> </w:t>
      </w:r>
      <w:r w:rsidR="009E2E09">
        <w:t xml:space="preserve">See note </w:t>
      </w:r>
      <w:proofErr w:type="gramStart"/>
      <w:r w:rsidR="009E2E09">
        <w:t>4</w:t>
      </w:r>
      <w:r w:rsidR="00F70431">
        <w:t>2</w:t>
      </w:r>
      <w:r w:rsidR="009E2E09">
        <w:t>;</w:t>
      </w:r>
      <w:proofErr w:type="gramEnd"/>
      <w:r w:rsidR="009E2E09">
        <w:t xml:space="preserve"> and </w:t>
      </w:r>
      <w:r>
        <w:t xml:space="preserve">Boyer, Y., Bartlett, J. </w:t>
      </w:r>
      <w:r w:rsidRPr="006E0FE8">
        <w:t xml:space="preserve">Saskatoon Regional Health Authority. </w:t>
      </w:r>
      <w:r>
        <w:t xml:space="preserve">(2017). </w:t>
      </w:r>
      <w:hyperlink r:id="rId40" w:history="1">
        <w:r w:rsidRPr="004A6A89">
          <w:rPr>
            <w:rStyle w:val="Hyperlink"/>
          </w:rPr>
          <w:t>External Review: Tubal Ligation in the Saskatoon Health Region: The Lived Experience of Aboriginal Women</w:t>
        </w:r>
      </w:hyperlink>
      <w:r>
        <w:t>.</w:t>
      </w:r>
    </w:p>
  </w:footnote>
  <w:footnote w:id="44">
    <w:p w14:paraId="29BA2ECB" w14:textId="1F29FF8B" w:rsidR="006E0FE8" w:rsidRPr="00F037B5" w:rsidRDefault="006E0FE8">
      <w:pPr>
        <w:pStyle w:val="FootnoteText"/>
      </w:pPr>
      <w:r w:rsidRPr="00F037B5">
        <w:rPr>
          <w:rStyle w:val="FootnoteReference"/>
        </w:rPr>
        <w:footnoteRef/>
      </w:r>
      <w:r w:rsidRPr="00F037B5">
        <w:t xml:space="preserve"> supra note </w:t>
      </w:r>
      <w:r w:rsidR="00FB6E84">
        <w:t>4</w:t>
      </w:r>
      <w:r w:rsidR="00F70431">
        <w:t>2</w:t>
      </w:r>
      <w:r w:rsidRPr="00F037B5">
        <w:t xml:space="preserve">. </w:t>
      </w:r>
    </w:p>
  </w:footnote>
  <w:footnote w:id="45">
    <w:p w14:paraId="6B53DA27" w14:textId="4F03BE89" w:rsidR="00EB3C24" w:rsidRPr="00F037B5" w:rsidRDefault="00EB3C24" w:rsidP="00EB3C24">
      <w:pPr>
        <w:spacing w:after="0" w:line="240" w:lineRule="auto"/>
        <w:rPr>
          <w:sz w:val="20"/>
          <w:szCs w:val="20"/>
        </w:rPr>
      </w:pPr>
      <w:r w:rsidRPr="00F037B5">
        <w:rPr>
          <w:rStyle w:val="FootnoteReference"/>
          <w:sz w:val="20"/>
          <w:szCs w:val="20"/>
        </w:rPr>
        <w:footnoteRef/>
      </w:r>
      <w:r w:rsidRPr="00F037B5">
        <w:rPr>
          <w:sz w:val="20"/>
          <w:szCs w:val="20"/>
        </w:rPr>
        <w:t xml:space="preserve"> In Attorney General of Quebec v. Luamba, the Quebec Court of Appeal recently upheld a lower court decision that random roadside checks violate sections 9 and 15 of the Charter and that the discriminatory effects suffered by Black drivers cannot be justified. The matter has been appealed to the Supreme Court of Canada.</w:t>
      </w:r>
    </w:p>
  </w:footnote>
  <w:footnote w:id="46">
    <w:p w14:paraId="4F96CE54" w14:textId="167EFEB9" w:rsidR="006337C5" w:rsidRPr="005D1C0F" w:rsidRDefault="00C85524">
      <w:pPr>
        <w:pStyle w:val="FootnoteText"/>
      </w:pPr>
      <w:r w:rsidRPr="00F037B5">
        <w:rPr>
          <w:rStyle w:val="FootnoteReference"/>
        </w:rPr>
        <w:footnoteRef/>
      </w:r>
      <w:r w:rsidR="008C241E">
        <w:t xml:space="preserve"> </w:t>
      </w:r>
      <w:r w:rsidR="004A2C53">
        <w:t>Standing Committee on Access to Info</w:t>
      </w:r>
      <w:r w:rsidR="005F048C">
        <w:t>rm</w:t>
      </w:r>
      <w:r w:rsidR="004A2C53">
        <w:t xml:space="preserve">ation, Privacy and Ethics. (2022). </w:t>
      </w:r>
      <w:hyperlink r:id="rId41" w:history="1">
        <w:r w:rsidR="004A2C53" w:rsidRPr="004A2C53">
          <w:rPr>
            <w:rStyle w:val="Hyperlink"/>
          </w:rPr>
          <w:t>Facial Recognition Technology and the Growing Power of Artificial Intelligence</w:t>
        </w:r>
      </w:hyperlink>
      <w:r w:rsidR="004A2C53">
        <w:t xml:space="preserve">; </w:t>
      </w:r>
      <w:r w:rsidR="006337C5">
        <w:t xml:space="preserve">Canadian Human Rights Commission. (2022). </w:t>
      </w:r>
      <w:hyperlink r:id="rId42" w:history="1">
        <w:r w:rsidR="006337C5">
          <w:rPr>
            <w:rStyle w:val="Hyperlink"/>
          </w:rPr>
          <w:t>Submission to the House of Commons Committee on Access to Information, Privacy and Ethics: Facial Recognition Technology Use in Policing</w:t>
        </w:r>
      </w:hyperlink>
      <w:r w:rsidR="005F048C">
        <w:t>.</w:t>
      </w:r>
    </w:p>
  </w:footnote>
  <w:footnote w:id="47">
    <w:p w14:paraId="5F09C717" w14:textId="6348EAC1" w:rsidR="00C66B07" w:rsidRPr="00F037B5" w:rsidRDefault="00C66B07" w:rsidP="00C66B07">
      <w:pPr>
        <w:pStyle w:val="FootnoteText"/>
        <w:rPr>
          <w:rFonts w:cs="Arial"/>
        </w:rPr>
      </w:pPr>
      <w:r w:rsidRPr="00F037B5">
        <w:rPr>
          <w:rStyle w:val="FootnoteReference"/>
          <w:rFonts w:cs="Arial"/>
        </w:rPr>
        <w:footnoteRef/>
      </w:r>
      <w:r w:rsidR="00A110C7" w:rsidRPr="006337C5">
        <w:rPr>
          <w:rFonts w:cs="Arial"/>
          <w:lang w:val="fr-CA"/>
        </w:rPr>
        <w:t xml:space="preserve"> </w:t>
      </w:r>
      <w:r w:rsidR="006337C5" w:rsidRPr="006337C5">
        <w:rPr>
          <w:rFonts w:cs="Arial"/>
          <w:lang w:val="fr-CA"/>
        </w:rPr>
        <w:t>Commission des droits de</w:t>
      </w:r>
      <w:r w:rsidR="006337C5">
        <w:rPr>
          <w:rFonts w:cs="Arial"/>
          <w:lang w:val="fr-CA"/>
        </w:rPr>
        <w:t xml:space="preserve"> la personne et des droits de la jeunesse Quebec</w:t>
      </w:r>
      <w:r w:rsidR="005F048C">
        <w:rPr>
          <w:rFonts w:cs="Arial"/>
          <w:lang w:val="fr-CA"/>
        </w:rPr>
        <w:t>.</w:t>
      </w:r>
      <w:r w:rsidR="006337C5">
        <w:rPr>
          <w:rFonts w:cs="Arial"/>
          <w:lang w:val="fr-CA"/>
        </w:rPr>
        <w:t xml:space="preserve"> </w:t>
      </w:r>
      <w:r w:rsidR="006337C5" w:rsidRPr="002B7392">
        <w:rPr>
          <w:rFonts w:cs="Arial"/>
        </w:rPr>
        <w:t>(20</w:t>
      </w:r>
      <w:r w:rsidR="00450FC2" w:rsidRPr="002B7392">
        <w:rPr>
          <w:rFonts w:cs="Arial"/>
        </w:rPr>
        <w:t>20</w:t>
      </w:r>
      <w:r w:rsidR="006337C5" w:rsidRPr="002B7392">
        <w:rPr>
          <w:rFonts w:cs="Arial"/>
        </w:rPr>
        <w:t xml:space="preserve">). </w:t>
      </w:r>
      <w:hyperlink r:id="rId43" w:history="1">
        <w:r w:rsidR="006337C5" w:rsidRPr="006337C5">
          <w:rPr>
            <w:rStyle w:val="Hyperlink"/>
            <w:rFonts w:cs="Arial"/>
          </w:rPr>
          <w:t>Review of implementation of the Recommendations issued in the Report of the Consultation on Racial Profiling and its Consequences</w:t>
        </w:r>
      </w:hyperlink>
      <w:r w:rsidRPr="006337C5">
        <w:rPr>
          <w:rFonts w:cs="Arial"/>
        </w:rPr>
        <w:t>;</w:t>
      </w:r>
      <w:r w:rsidR="00A110C7" w:rsidRPr="006337C5">
        <w:rPr>
          <w:rFonts w:cs="Arial"/>
        </w:rPr>
        <w:t xml:space="preserve"> </w:t>
      </w:r>
      <w:r w:rsidR="006337C5">
        <w:t xml:space="preserve">Nova Scotia Human Rights Commission. (2019). </w:t>
      </w:r>
      <w:hyperlink r:id="rId44" w:history="1">
        <w:r w:rsidR="006337C5" w:rsidRPr="006337C5">
          <w:rPr>
            <w:rStyle w:val="Hyperlink"/>
          </w:rPr>
          <w:t>Street Checks Report</w:t>
        </w:r>
      </w:hyperlink>
      <w:r w:rsidR="006337C5">
        <w:t xml:space="preserve">; Ontario Human Rights Commission. (2017). </w:t>
      </w:r>
      <w:hyperlink r:id="rId45" w:history="1">
        <w:r w:rsidR="006337C5" w:rsidRPr="006337C5">
          <w:rPr>
            <w:rStyle w:val="Hyperlink"/>
          </w:rPr>
          <w:t>R</w:t>
        </w:r>
        <w:r w:rsidR="008C241E">
          <w:rPr>
            <w:rStyle w:val="Hyperlink"/>
          </w:rPr>
          <w:t>eport</w:t>
        </w:r>
        <w:r w:rsidR="006337C5" w:rsidRPr="006337C5">
          <w:rPr>
            <w:rStyle w:val="Hyperlink"/>
          </w:rPr>
          <w:t>: U</w:t>
        </w:r>
        <w:r w:rsidR="008C241E">
          <w:rPr>
            <w:rStyle w:val="Hyperlink"/>
          </w:rPr>
          <w:t>nder</w:t>
        </w:r>
        <w:r w:rsidR="006337C5" w:rsidRPr="006337C5">
          <w:rPr>
            <w:rStyle w:val="Hyperlink"/>
          </w:rPr>
          <w:t xml:space="preserve"> S</w:t>
        </w:r>
        <w:r w:rsidR="008C241E">
          <w:rPr>
            <w:rStyle w:val="Hyperlink"/>
          </w:rPr>
          <w:t>uspicion</w:t>
        </w:r>
        <w:r w:rsidR="006337C5" w:rsidRPr="006337C5">
          <w:rPr>
            <w:rStyle w:val="Hyperlink"/>
          </w:rPr>
          <w:t xml:space="preserve"> - Research and consultation report on racial profiling in Ontario</w:t>
        </w:r>
      </w:hyperlink>
      <w:r w:rsidR="005F048C">
        <w:t>.</w:t>
      </w:r>
    </w:p>
  </w:footnote>
  <w:footnote w:id="48">
    <w:p w14:paraId="152798FF" w14:textId="147AE2D8" w:rsidR="00C66B07" w:rsidRPr="00F037B5" w:rsidRDefault="00C66B07" w:rsidP="00C66B07">
      <w:pPr>
        <w:pStyle w:val="FootnoteText"/>
        <w:rPr>
          <w:rFonts w:asciiTheme="minorHAnsi" w:hAnsiTheme="minorHAnsi" w:cstheme="minorHAnsi"/>
        </w:rPr>
      </w:pPr>
      <w:r w:rsidRPr="00F037B5">
        <w:rPr>
          <w:rStyle w:val="FootnoteReference"/>
          <w:rFonts w:cs="Arial"/>
        </w:rPr>
        <w:footnoteRef/>
      </w:r>
      <w:r w:rsidRPr="00F037B5">
        <w:rPr>
          <w:rFonts w:cs="Arial"/>
        </w:rPr>
        <w:t xml:space="preserve"> </w:t>
      </w:r>
      <w:r w:rsidR="006337C5">
        <w:t xml:space="preserve">Ontario Human Rights Commission. </w:t>
      </w:r>
      <w:r w:rsidR="006337C5" w:rsidRPr="008C241E">
        <w:t>(202</w:t>
      </w:r>
      <w:r w:rsidR="00450FC2" w:rsidRPr="008C241E">
        <w:t>3</w:t>
      </w:r>
      <w:r w:rsidR="006337C5">
        <w:t xml:space="preserve">). </w:t>
      </w:r>
      <w:hyperlink r:id="rId46" w:history="1">
        <w:r w:rsidR="006337C5">
          <w:rPr>
            <w:rStyle w:val="Hyperlink"/>
          </w:rPr>
          <w:t>From Impact to Action: Final report into anti-Black racism by the Toronto Police Service</w:t>
        </w:r>
      </w:hyperlink>
      <w:r w:rsidR="005F048C">
        <w:t>.</w:t>
      </w:r>
    </w:p>
  </w:footnote>
  <w:footnote w:id="49">
    <w:p w14:paraId="1ED204B1" w14:textId="3663A368" w:rsidR="0031619F" w:rsidRDefault="0031619F">
      <w:pPr>
        <w:pStyle w:val="FootnoteText"/>
      </w:pPr>
      <w:r>
        <w:rPr>
          <w:rStyle w:val="FootnoteReference"/>
        </w:rPr>
        <w:footnoteRef/>
      </w:r>
      <w:r>
        <w:t xml:space="preserve"> </w:t>
      </w:r>
      <w:r w:rsidRPr="0031619F">
        <w:t>In January 2026, the Supreme Court of Canada is set to hear a case which challenges the constitutionality of random traffic stops by police, particularly concerning racial profiling (</w:t>
      </w:r>
      <w:hyperlink r:id="rId47" w:history="1">
        <w:r w:rsidRPr="002A0B49">
          <w:rPr>
            <w:rStyle w:val="Hyperlink"/>
          </w:rPr>
          <w:t>Attorney General of Quebec v. Joseph-Christopher Luamba, et al.</w:t>
        </w:r>
      </w:hyperlink>
      <w:r>
        <w:t>).</w:t>
      </w:r>
    </w:p>
  </w:footnote>
  <w:footnote w:id="50">
    <w:p w14:paraId="56608BDA" w14:textId="525054D7" w:rsidR="001F7A53" w:rsidRPr="00F037B5" w:rsidRDefault="001F7A53" w:rsidP="001F7A53">
      <w:pPr>
        <w:pStyle w:val="FootnoteText"/>
      </w:pPr>
      <w:r w:rsidRPr="00F037B5">
        <w:rPr>
          <w:rStyle w:val="FootnoteReference"/>
        </w:rPr>
        <w:footnoteRef/>
      </w:r>
      <w:r w:rsidRPr="00F037B5">
        <w:t xml:space="preserve"> </w:t>
      </w:r>
      <w:r w:rsidR="00B3536A" w:rsidRPr="00B3536A">
        <w:t>Assembly of First Nations</w:t>
      </w:r>
      <w:r w:rsidR="00B3536A">
        <w:t>.</w:t>
      </w:r>
      <w:r w:rsidR="00B3536A" w:rsidRPr="00B3536A">
        <w:t xml:space="preserve"> (2024)</w:t>
      </w:r>
      <w:r w:rsidR="00B3536A">
        <w:t>.</w:t>
      </w:r>
      <w:r w:rsidR="00B3536A" w:rsidRPr="00B3536A">
        <w:t xml:space="preserve"> </w:t>
      </w:r>
      <w:hyperlink r:id="rId48" w:history="1">
        <w:r w:rsidR="00B3536A" w:rsidRPr="00B3536A">
          <w:rPr>
            <w:rStyle w:val="Hyperlink"/>
          </w:rPr>
          <w:t>Call for a National Inquiry into Systemic Racism in Policing and First Nations Peoples Deaths</w:t>
        </w:r>
      </w:hyperlink>
      <w:r w:rsidR="00B3536A" w:rsidRPr="00B3536A">
        <w:t>. Note: Between August and November 2024, 10 First Nations people have died during interactions with police.</w:t>
      </w:r>
    </w:p>
  </w:footnote>
  <w:footnote w:id="51">
    <w:p w14:paraId="50E205FB" w14:textId="0CB4B5E1" w:rsidR="001F7A53" w:rsidRPr="00D34DB1" w:rsidRDefault="001F7A53" w:rsidP="001F7A53">
      <w:pPr>
        <w:pStyle w:val="FootnoteText"/>
      </w:pPr>
      <w:r w:rsidRPr="00D34DB1">
        <w:rPr>
          <w:rStyle w:val="FootnoteReference"/>
        </w:rPr>
        <w:footnoteRef/>
      </w:r>
      <w:r w:rsidRPr="00D34DB1">
        <w:t xml:space="preserve"> </w:t>
      </w:r>
      <w:r w:rsidR="00B3536A" w:rsidRPr="00D34DB1">
        <w:t>Assembly of First Nations. (2024).</w:t>
      </w:r>
      <w:r w:rsidR="00545C7F" w:rsidRPr="00D34DB1">
        <w:t xml:space="preserve"> </w:t>
      </w:r>
      <w:hyperlink r:id="rId49" w:history="1">
        <w:r w:rsidR="00545C7F" w:rsidRPr="00D34DB1">
          <w:rPr>
            <w:rStyle w:val="Hyperlink"/>
          </w:rPr>
          <w:t>Assembly of First Nations (AFN) Calls for a National Inquiry into Systemic Racism in Policing</w:t>
        </w:r>
      </w:hyperlink>
      <w:r w:rsidR="00B3536A" w:rsidRPr="00D34DB1">
        <w:t>.</w:t>
      </w:r>
    </w:p>
  </w:footnote>
  <w:footnote w:id="52">
    <w:p w14:paraId="5C227559" w14:textId="31FF1846" w:rsidR="00272015" w:rsidRPr="00D34DB1" w:rsidRDefault="00272015" w:rsidP="001F5DC9">
      <w:pPr>
        <w:spacing w:after="0" w:line="240" w:lineRule="auto"/>
        <w:contextualSpacing/>
        <w:rPr>
          <w:sz w:val="20"/>
          <w:szCs w:val="20"/>
        </w:rPr>
      </w:pPr>
      <w:r w:rsidRPr="00D34DB1">
        <w:rPr>
          <w:rStyle w:val="FootnoteReference"/>
          <w:sz w:val="20"/>
          <w:szCs w:val="20"/>
        </w:rPr>
        <w:footnoteRef/>
      </w:r>
      <w:r w:rsidRPr="00D34DB1">
        <w:rPr>
          <w:sz w:val="20"/>
          <w:szCs w:val="20"/>
        </w:rPr>
        <w:t xml:space="preserve"> Tracking (In)Justice</w:t>
      </w:r>
      <w:r w:rsidR="00A110C7" w:rsidRPr="00D34DB1">
        <w:rPr>
          <w:sz w:val="20"/>
          <w:szCs w:val="20"/>
        </w:rPr>
        <w:t>.</w:t>
      </w:r>
      <w:r w:rsidRPr="00D34DB1">
        <w:rPr>
          <w:sz w:val="20"/>
          <w:szCs w:val="20"/>
        </w:rPr>
        <w:t xml:space="preserve"> (2023)</w:t>
      </w:r>
      <w:r w:rsidR="00A110C7" w:rsidRPr="00D34DB1">
        <w:rPr>
          <w:sz w:val="20"/>
          <w:szCs w:val="20"/>
        </w:rPr>
        <w:t>.</w:t>
      </w:r>
      <w:r w:rsidRPr="00D34DB1">
        <w:rPr>
          <w:sz w:val="20"/>
          <w:szCs w:val="20"/>
        </w:rPr>
        <w:t xml:space="preserve"> </w:t>
      </w:r>
      <w:hyperlink r:id="rId50" w:history="1">
        <w:r w:rsidRPr="00D34DB1">
          <w:rPr>
            <w:rStyle w:val="Hyperlink"/>
            <w:sz w:val="20"/>
            <w:szCs w:val="20"/>
          </w:rPr>
          <w:t>Police-involved Deaths are on the Rise, as are Racial Disparities in Canada</w:t>
        </w:r>
      </w:hyperlink>
      <w:r w:rsidR="001F5DC9" w:rsidRPr="00D34DB1">
        <w:rPr>
          <w:sz w:val="20"/>
          <w:szCs w:val="20"/>
        </w:rPr>
        <w:t xml:space="preserve">. </w:t>
      </w:r>
    </w:p>
  </w:footnote>
  <w:footnote w:id="53">
    <w:p w14:paraId="50A7DFC6" w14:textId="6D27834B" w:rsidR="00E71D11" w:rsidRPr="00E71D11" w:rsidRDefault="00E71D11">
      <w:pPr>
        <w:pStyle w:val="FootnoteText"/>
      </w:pPr>
      <w:r>
        <w:rPr>
          <w:rStyle w:val="FootnoteReference"/>
        </w:rPr>
        <w:footnoteRef/>
      </w:r>
      <w:r>
        <w:t xml:space="preserve"> Statistics Canada. (2023).</w:t>
      </w:r>
      <w:r w:rsidR="00CF79CC">
        <w:t xml:space="preserve"> </w:t>
      </w:r>
      <w:hyperlink r:id="rId51" w:history="1">
        <w:r w:rsidRPr="00E71D11">
          <w:rPr>
            <w:rStyle w:val="Hyperlink"/>
          </w:rPr>
          <w:t>Police resources in Canada, 2023</w:t>
        </w:r>
      </w:hyperlink>
      <w:r w:rsidR="00407365">
        <w:t>.</w:t>
      </w:r>
    </w:p>
  </w:footnote>
  <w:footnote w:id="54">
    <w:p w14:paraId="2C46DBC4" w14:textId="2B43E474" w:rsidR="00BF0033" w:rsidRPr="00D34DB1" w:rsidRDefault="00BF0033" w:rsidP="00BF0033">
      <w:pPr>
        <w:pStyle w:val="FootnoteText"/>
        <w:rPr>
          <w:rFonts w:cs="Arial"/>
          <w:b/>
          <w:bCs/>
        </w:rPr>
      </w:pPr>
      <w:r w:rsidRPr="00D34DB1">
        <w:rPr>
          <w:rStyle w:val="FootnoteReference"/>
          <w:rFonts w:cs="Arial"/>
        </w:rPr>
        <w:footnoteRef/>
      </w:r>
      <w:r w:rsidRPr="00D34DB1">
        <w:rPr>
          <w:rFonts w:cs="Arial"/>
        </w:rPr>
        <w:t xml:space="preserve"> </w:t>
      </w:r>
      <w:r w:rsidR="000E6955" w:rsidRPr="00D34DB1">
        <w:t xml:space="preserve">Beg, </w:t>
      </w:r>
      <w:r w:rsidR="00450099" w:rsidRPr="00D34DB1">
        <w:t xml:space="preserve">S. </w:t>
      </w:r>
      <w:r w:rsidR="000E6955" w:rsidRPr="00D34DB1">
        <w:t xml:space="preserve">and </w:t>
      </w:r>
      <w:proofErr w:type="spellStart"/>
      <w:r w:rsidR="000E6955" w:rsidRPr="00D34DB1">
        <w:t>Sossin</w:t>
      </w:r>
      <w:proofErr w:type="spellEnd"/>
      <w:r w:rsidR="00450099" w:rsidRPr="00D34DB1">
        <w:t>, L</w:t>
      </w:r>
      <w:r w:rsidR="000E6955" w:rsidRPr="00D34DB1">
        <w:t xml:space="preserve">. (2017). </w:t>
      </w:r>
      <w:hyperlink r:id="rId52" w:history="1">
        <w:r w:rsidR="000E6955" w:rsidRPr="00D34DB1">
          <w:rPr>
            <w:rStyle w:val="Hyperlink"/>
          </w:rPr>
          <w:t>Diversity, Transparency &amp; Inclusion in Canada</w:t>
        </w:r>
        <w:r w:rsidR="00B3536A" w:rsidRPr="00D34DB1">
          <w:rPr>
            <w:rStyle w:val="Hyperlink"/>
          </w:rPr>
          <w:t>’</w:t>
        </w:r>
        <w:r w:rsidR="000E6955" w:rsidRPr="00D34DB1">
          <w:rPr>
            <w:rStyle w:val="Hyperlink"/>
          </w:rPr>
          <w:t>s Judiciary</w:t>
        </w:r>
      </w:hyperlink>
      <w:r w:rsidR="00B3536A" w:rsidRPr="00D34DB1">
        <w:t>.</w:t>
      </w:r>
    </w:p>
  </w:footnote>
  <w:footnote w:id="55">
    <w:p w14:paraId="6A5E2B07" w14:textId="4A300674" w:rsidR="00A110C7" w:rsidRPr="00D34DB1" w:rsidRDefault="00BF0033" w:rsidP="00A110C7">
      <w:pPr>
        <w:pStyle w:val="FootnoteText"/>
        <w:rPr>
          <w:rFonts w:cs="Arial"/>
        </w:rPr>
      </w:pPr>
      <w:r w:rsidRPr="00D34DB1">
        <w:rPr>
          <w:rStyle w:val="FootnoteReference"/>
          <w:rFonts w:cs="Arial"/>
        </w:rPr>
        <w:footnoteRef/>
      </w:r>
      <w:r w:rsidRPr="00D34DB1">
        <w:rPr>
          <w:rFonts w:cs="Arial"/>
        </w:rPr>
        <w:t xml:space="preserve"> </w:t>
      </w:r>
      <w:r w:rsidR="000E6955" w:rsidRPr="00D34DB1">
        <w:t xml:space="preserve">Justice Canada. (2023). </w:t>
      </w:r>
      <w:hyperlink r:id="rId53" w:history="1">
        <w:r w:rsidR="000E6955" w:rsidRPr="00D34DB1">
          <w:rPr>
            <w:rStyle w:val="Hyperlink"/>
          </w:rPr>
          <w:t>Experiences of Indigenous Families in the Family Justice System: A literature review and perspectives from legal and frontline family justice professionals.</w:t>
        </w:r>
      </w:hyperlink>
    </w:p>
    <w:p w14:paraId="3569BAEE" w14:textId="193B75B8" w:rsidR="00BF0033" w:rsidRPr="00D34DB1" w:rsidRDefault="00BF0033" w:rsidP="00BF0033">
      <w:pPr>
        <w:pStyle w:val="FootnoteText"/>
        <w:rPr>
          <w:rFonts w:cs="Arial"/>
        </w:rPr>
      </w:pPr>
      <w:r w:rsidRPr="00D34DB1">
        <w:rPr>
          <w:rFonts w:cs="Arial"/>
        </w:rPr>
        <w:t xml:space="preserve">See also: </w:t>
      </w:r>
      <w:r w:rsidR="000E6955" w:rsidRPr="00D34DB1">
        <w:t xml:space="preserve">Canadian Centre for Diversity and Inclusion. (2018). </w:t>
      </w:r>
      <w:hyperlink r:id="rId54" w:history="1">
        <w:r w:rsidR="000E6955" w:rsidRPr="00D34DB1">
          <w:rPr>
            <w:rStyle w:val="Hyperlink"/>
          </w:rPr>
          <w:t>Power, privilege and inequities in the legal profession</w:t>
        </w:r>
        <w:r w:rsidR="00450099" w:rsidRPr="00D34DB1">
          <w:rPr>
            <w:rStyle w:val="Hyperlink"/>
          </w:rPr>
          <w:t>: unpacking hegemonic masculinity in the culture of private practice law</w:t>
        </w:r>
      </w:hyperlink>
      <w:r w:rsidR="00B3536A" w:rsidRPr="00D34DB1">
        <w:t>.</w:t>
      </w:r>
    </w:p>
  </w:footnote>
  <w:footnote w:id="56">
    <w:p w14:paraId="3435164D" w14:textId="77DB9AF5" w:rsidR="00BF0033" w:rsidRPr="00D34DB1" w:rsidRDefault="00BF0033" w:rsidP="00BF0033">
      <w:pPr>
        <w:pStyle w:val="FootnoteText"/>
      </w:pPr>
      <w:r w:rsidRPr="00D34DB1">
        <w:rPr>
          <w:rStyle w:val="FootnoteReference"/>
          <w:rFonts w:cs="Arial"/>
        </w:rPr>
        <w:footnoteRef/>
      </w:r>
      <w:r w:rsidRPr="00D34DB1">
        <w:rPr>
          <w:rFonts w:cs="Arial"/>
        </w:rPr>
        <w:t xml:space="preserve"> </w:t>
      </w:r>
      <w:r w:rsidR="00B3536A" w:rsidRPr="00D34DB1">
        <w:t>Canadian Institute for the Administration of Justice</w:t>
      </w:r>
      <w:r w:rsidR="000E6955" w:rsidRPr="00D34DB1">
        <w:t xml:space="preserve">. (2018). </w:t>
      </w:r>
      <w:hyperlink r:id="rId55" w:history="1">
        <w:r w:rsidR="000E6955" w:rsidRPr="00D34DB1">
          <w:rPr>
            <w:rStyle w:val="Hyperlink"/>
          </w:rPr>
          <w:t>Systemic Barriers and Biases in the "Conscience of the Community</w:t>
        </w:r>
        <w:r w:rsidR="00450099" w:rsidRPr="00D34DB1">
          <w:rPr>
            <w:rStyle w:val="Hyperlink"/>
          </w:rPr>
          <w:t>: Report of the Canadian Institute for the Administration of Justice</w:t>
        </w:r>
        <w:r w:rsidR="000E6955" w:rsidRPr="00D34DB1">
          <w:rPr>
            <w:rStyle w:val="Hyperlink"/>
          </w:rPr>
          <w:t>"</w:t>
        </w:r>
      </w:hyperlink>
      <w:r w:rsidR="00B3536A" w:rsidRPr="00D34DB1">
        <w:t>.</w:t>
      </w:r>
    </w:p>
  </w:footnote>
  <w:footnote w:id="57">
    <w:p w14:paraId="493304BC" w14:textId="51DB2FAE" w:rsidR="001F5DC9" w:rsidRPr="00D34DB1" w:rsidRDefault="001F5DC9" w:rsidP="001F5DC9">
      <w:pPr>
        <w:pStyle w:val="FootnoteText"/>
      </w:pPr>
      <w:r w:rsidRPr="00D34DB1">
        <w:rPr>
          <w:rStyle w:val="FootnoteReference"/>
        </w:rPr>
        <w:footnoteRef/>
      </w:r>
      <w:r w:rsidR="00A110C7" w:rsidRPr="00D34DB1">
        <w:t xml:space="preserve"> </w:t>
      </w:r>
      <w:r w:rsidR="00566A73" w:rsidRPr="00D34DB1">
        <w:t xml:space="preserve">John Howard Society. (2021). </w:t>
      </w:r>
      <w:hyperlink r:id="rId56" w:history="1">
        <w:r w:rsidR="00B3536A" w:rsidRPr="00D34DB1">
          <w:rPr>
            <w:rStyle w:val="Hyperlink"/>
          </w:rPr>
          <w:t>Broken Record: The Continued Criminalization of Mental Health Issues</w:t>
        </w:r>
      </w:hyperlink>
      <w:r w:rsidR="00B3536A" w:rsidRPr="00D34DB1">
        <w:t>.</w:t>
      </w:r>
    </w:p>
  </w:footnote>
  <w:footnote w:id="58">
    <w:p w14:paraId="49B3BC32" w14:textId="77777777" w:rsidR="00882CBF" w:rsidRPr="00F037B5" w:rsidRDefault="00882CBF" w:rsidP="00882CBF">
      <w:pPr>
        <w:pStyle w:val="FootnoteText"/>
      </w:pPr>
      <w:r w:rsidRPr="00D34DB1">
        <w:rPr>
          <w:rStyle w:val="FootnoteReference"/>
        </w:rPr>
        <w:footnoteRef/>
      </w:r>
      <w:r w:rsidRPr="00D34DB1">
        <w:t xml:space="preserve"> In June 2025, the Canadian Hard of Hearing Association highlighted concerns regarding the possible termination of the Captioning and Court Reporting Program due to financial constraints. This is the only program of its kind in Canada, and its termination would mean losing the only direct pathway for training Professional Captioners and Court Reporters, directly impacting those who are hard of hearing and increasing barriers to communication access.</w:t>
      </w:r>
      <w:r w:rsidRPr="00F037B5">
        <w:t xml:space="preserve"> </w:t>
      </w:r>
    </w:p>
  </w:footnote>
  <w:footnote w:id="59">
    <w:p w14:paraId="764F9729" w14:textId="137FC818" w:rsidR="00505E71" w:rsidRPr="00F037B5" w:rsidRDefault="00505E71">
      <w:pPr>
        <w:pStyle w:val="FootnoteText"/>
      </w:pPr>
      <w:r w:rsidRPr="00F037B5">
        <w:rPr>
          <w:rStyle w:val="FootnoteReference"/>
        </w:rPr>
        <w:footnoteRef/>
      </w:r>
      <w:r w:rsidRPr="00F037B5">
        <w:t xml:space="preserve"> The Indigenous Justice Strategy (IJS), released in March 2025, was developed in collaboration with Indigenous governments, organizations and community members. It signals Canada’s intention to address systemic discrimination within the criminal justice system and end the ongoing legacy of colonialism. The IJS is guided by self-determination, and takes a distinction-based approach, with specific chapters on the priorities of First Nations, Métis and Inuit peoples. It identifies 26 areas of priority for addressing systemic discrimination and the overrepresentation of Indigenous people in the justice system. In February 2025, the Government released Canada’s Black Justice Strategy’s Implementation Plan, which establishes a 10-year framework to reduce the overrepresentation of Black people in the criminal justice system. It builds on the 114 recommendations outlined in the 2024 report of the External Steering Group, </w:t>
      </w:r>
      <w:hyperlink r:id="rId57" w:history="1">
        <w:r w:rsidRPr="00F037B5">
          <w:rPr>
            <w:rStyle w:val="Hyperlink"/>
          </w:rPr>
          <w:t>A Roadmap for Transformative Change</w:t>
        </w:r>
      </w:hyperlink>
      <w:r w:rsidRPr="00F037B5">
        <w:t xml:space="preserve">, which aimed to address anti-Black racism and systemic discrimination in the criminal justice and other related systems. </w:t>
      </w:r>
    </w:p>
  </w:footnote>
  <w:footnote w:id="60">
    <w:p w14:paraId="1DDAAE69" w14:textId="7A640E3B" w:rsidR="005B1A88" w:rsidRPr="00F037B5" w:rsidRDefault="005B1A88" w:rsidP="005B1A88">
      <w:pPr>
        <w:pStyle w:val="FootnoteText"/>
        <w:rPr>
          <w:rFonts w:asciiTheme="minorHAnsi" w:hAnsiTheme="minorHAnsi" w:cstheme="minorHAnsi"/>
        </w:rPr>
      </w:pPr>
      <w:r w:rsidRPr="00F037B5">
        <w:rPr>
          <w:rStyle w:val="FootnoteReference"/>
          <w:rFonts w:cs="Arial"/>
        </w:rPr>
        <w:footnoteRef/>
      </w:r>
      <w:r w:rsidRPr="00F037B5">
        <w:rPr>
          <w:rFonts w:cs="Arial"/>
        </w:rPr>
        <w:t xml:space="preserve"> </w:t>
      </w:r>
      <w:r w:rsidR="00566A73">
        <w:rPr>
          <w:rFonts w:cs="Arial"/>
        </w:rPr>
        <w:t xml:space="preserve">Office of the Correctional Investigator of Canada. (2023). </w:t>
      </w:r>
      <w:hyperlink r:id="rId58" w:anchor="fn5-rf" w:history="1">
        <w:r w:rsidRPr="00F037B5">
          <w:rPr>
            <w:rStyle w:val="Hyperlink"/>
            <w:rFonts w:cs="Arial"/>
          </w:rPr>
          <w:t>Ten Years since Spirit Matters: A Roadmap for the Reform of Indigenous Corrections in Canada</w:t>
        </w:r>
      </w:hyperlink>
      <w:r w:rsidRPr="00F037B5">
        <w:rPr>
          <w:rFonts w:cs="Arial"/>
        </w:rPr>
        <w:t>.</w:t>
      </w:r>
    </w:p>
  </w:footnote>
  <w:footnote w:id="61">
    <w:p w14:paraId="11B4319D" w14:textId="52128BD0" w:rsidR="004315B9" w:rsidRPr="00F037B5" w:rsidRDefault="004315B9" w:rsidP="004315B9">
      <w:pPr>
        <w:pStyle w:val="FootnoteText"/>
        <w:rPr>
          <w:rFonts w:asciiTheme="minorHAnsi" w:hAnsiTheme="minorHAnsi" w:cstheme="minorHAnsi"/>
        </w:rPr>
      </w:pPr>
      <w:r w:rsidRPr="00F037B5">
        <w:rPr>
          <w:rStyle w:val="FootnoteReference"/>
          <w:rFonts w:cs="Arial"/>
        </w:rPr>
        <w:footnoteRef/>
      </w:r>
      <w:r w:rsidRPr="00F037B5">
        <w:rPr>
          <w:rFonts w:cs="Arial"/>
        </w:rPr>
        <w:t xml:space="preserve"> </w:t>
      </w:r>
      <w:r w:rsidR="008B49DF" w:rsidRPr="00E04CA0">
        <w:rPr>
          <w:rFonts w:cs="Arial"/>
        </w:rPr>
        <w:t>Ibid.</w:t>
      </w:r>
    </w:p>
  </w:footnote>
  <w:footnote w:id="62">
    <w:p w14:paraId="2C47D18F" w14:textId="0A3B6062" w:rsidR="00B0572C" w:rsidRPr="00F037B5" w:rsidRDefault="00B0572C" w:rsidP="00B0572C">
      <w:pPr>
        <w:pStyle w:val="FootnoteText"/>
        <w:rPr>
          <w:rFonts w:asciiTheme="minorHAnsi" w:hAnsiTheme="minorHAnsi" w:cstheme="minorHAnsi"/>
        </w:rPr>
      </w:pPr>
      <w:r w:rsidRPr="00F037B5">
        <w:rPr>
          <w:rStyle w:val="FootnoteReference"/>
          <w:rFonts w:cs="Arial"/>
        </w:rPr>
        <w:footnoteRef/>
      </w:r>
      <w:r w:rsidR="006568DF">
        <w:t xml:space="preserve"> </w:t>
      </w:r>
      <w:r w:rsidR="002D6C02">
        <w:t>Public Safety Canada</w:t>
      </w:r>
      <w:r w:rsidR="00566A73">
        <w:t xml:space="preserve"> (202</w:t>
      </w:r>
      <w:r w:rsidR="002D6C02">
        <w:t>4</w:t>
      </w:r>
      <w:r w:rsidR="00566A73">
        <w:t xml:space="preserve">). </w:t>
      </w:r>
      <w:hyperlink r:id="rId59" w:anchor="sec-c" w:history="1">
        <w:r w:rsidR="00566A73" w:rsidRPr="00566A73">
          <w:rPr>
            <w:rStyle w:val="Hyperlink"/>
          </w:rPr>
          <w:t>2022 Corrections and Conditional Release Statistical Overview</w:t>
        </w:r>
      </w:hyperlink>
      <w:r w:rsidR="002D6C02">
        <w:t>.</w:t>
      </w:r>
    </w:p>
  </w:footnote>
  <w:footnote w:id="63">
    <w:p w14:paraId="45032D85" w14:textId="62D5E173" w:rsidR="00B0572C" w:rsidRPr="00F037B5" w:rsidRDefault="00B0572C" w:rsidP="00B0572C">
      <w:pPr>
        <w:pStyle w:val="FootnoteText"/>
      </w:pPr>
      <w:r w:rsidRPr="00F037B5">
        <w:rPr>
          <w:rStyle w:val="FootnoteReference"/>
        </w:rPr>
        <w:footnoteRef/>
      </w:r>
      <w:r w:rsidRPr="00F037B5">
        <w:t xml:space="preserve"> </w:t>
      </w:r>
      <w:r w:rsidR="002D6C02">
        <w:t>Statistics Canada.</w:t>
      </w:r>
      <w:r w:rsidR="00566A73">
        <w:t xml:space="preserve"> (2024). </w:t>
      </w:r>
      <w:hyperlink r:id="rId60" w:history="1">
        <w:r w:rsidRPr="00F037B5">
          <w:rPr>
            <w:rStyle w:val="Hyperlink"/>
          </w:rPr>
          <w:t>The Diversity of the Black Populations in Canada, 2021: A Sociodemographic Portrait</w:t>
        </w:r>
      </w:hyperlink>
      <w:r w:rsidR="006568DF">
        <w:t>.</w:t>
      </w:r>
      <w:r w:rsidRPr="00F037B5">
        <w:t xml:space="preserve"> </w:t>
      </w:r>
    </w:p>
  </w:footnote>
  <w:footnote w:id="64">
    <w:p w14:paraId="74E98A65" w14:textId="335BD666" w:rsidR="00B0572C" w:rsidRPr="00F037B5" w:rsidRDefault="00B0572C" w:rsidP="00B0572C">
      <w:pPr>
        <w:pStyle w:val="FootnoteText"/>
        <w:rPr>
          <w:rFonts w:asciiTheme="minorHAnsi" w:hAnsiTheme="minorHAnsi" w:cstheme="minorHAnsi"/>
        </w:rPr>
      </w:pPr>
      <w:r w:rsidRPr="00F037B5">
        <w:rPr>
          <w:rStyle w:val="FootnoteReference"/>
          <w:rFonts w:cs="Arial"/>
        </w:rPr>
        <w:footnoteRef/>
      </w:r>
      <w:r w:rsidRPr="00F037B5">
        <w:rPr>
          <w:rFonts w:cs="Arial"/>
        </w:rPr>
        <w:t xml:space="preserve"> </w:t>
      </w:r>
      <w:r w:rsidR="002D6C02">
        <w:t>Public Safety Canada</w:t>
      </w:r>
      <w:r w:rsidR="00566A73">
        <w:t>. (202</w:t>
      </w:r>
      <w:r w:rsidR="002D6C02">
        <w:t>4</w:t>
      </w:r>
      <w:r w:rsidR="00566A73">
        <w:t xml:space="preserve">). </w:t>
      </w:r>
      <w:hyperlink r:id="rId61" w:anchor="sec-c" w:history="1">
        <w:r w:rsidRPr="00F037B5">
          <w:rPr>
            <w:rStyle w:val="Hyperlink"/>
          </w:rPr>
          <w:t>2022 Corrections and Conditional Release Statistical Overview (CCRSO)</w:t>
        </w:r>
      </w:hyperlink>
      <w:r w:rsidRPr="00F037B5">
        <w:t>.</w:t>
      </w:r>
    </w:p>
  </w:footnote>
  <w:footnote w:id="65">
    <w:p w14:paraId="37FFCFD6" w14:textId="5C31D362" w:rsidR="005B1A88" w:rsidRPr="00F037B5" w:rsidRDefault="005B1A88" w:rsidP="005B1A88">
      <w:pPr>
        <w:pStyle w:val="FootnoteText"/>
        <w:rPr>
          <w:rFonts w:cs="Arial"/>
        </w:rPr>
      </w:pPr>
      <w:r w:rsidRPr="00F037B5">
        <w:rPr>
          <w:rStyle w:val="FootnoteReference"/>
          <w:rFonts w:cs="Arial"/>
        </w:rPr>
        <w:footnoteRef/>
      </w:r>
      <w:r w:rsidR="00566A73">
        <w:rPr>
          <w:rFonts w:cs="Arial"/>
        </w:rPr>
        <w:t xml:space="preserve"> Office of the Correctional Investigator</w:t>
      </w:r>
      <w:r w:rsidR="008C241E">
        <w:rPr>
          <w:rFonts w:cs="Arial"/>
        </w:rPr>
        <w:t xml:space="preserve"> of Canada</w:t>
      </w:r>
      <w:r w:rsidR="00566A73">
        <w:rPr>
          <w:rFonts w:cs="Arial"/>
        </w:rPr>
        <w:t>. (2021).</w:t>
      </w:r>
      <w:r w:rsidRPr="00F037B5">
        <w:rPr>
          <w:rFonts w:cs="Arial"/>
        </w:rPr>
        <w:t xml:space="preserve"> </w:t>
      </w:r>
      <w:hyperlink r:id="rId62" w:anchor="s4" w:history="1">
        <w:r w:rsidR="00F34A9E" w:rsidRPr="001C6E6E">
          <w:rPr>
            <w:rStyle w:val="Hyperlink"/>
          </w:rPr>
          <w:t>Office of the Correctional Investigator Annual Report 2020-2021</w:t>
        </w:r>
      </w:hyperlink>
      <w:r w:rsidRPr="00F037B5">
        <w:rPr>
          <w:rFonts w:cs="Arial"/>
        </w:rPr>
        <w:t>.</w:t>
      </w:r>
    </w:p>
  </w:footnote>
  <w:footnote w:id="66">
    <w:p w14:paraId="171C859F" w14:textId="2EC0F51D" w:rsidR="009E0348" w:rsidRPr="00F037B5" w:rsidRDefault="009E0348" w:rsidP="009E0348">
      <w:pPr>
        <w:pStyle w:val="FootnoteText"/>
      </w:pPr>
      <w:r w:rsidRPr="00F037B5">
        <w:rPr>
          <w:rStyle w:val="FootnoteReference"/>
        </w:rPr>
        <w:footnoteRef/>
      </w:r>
      <w:r w:rsidRPr="00F037B5">
        <w:t xml:space="preserve"> </w:t>
      </w:r>
      <w:r w:rsidR="00302220">
        <w:t>Standing Senate Committee on Human Rights</w:t>
      </w:r>
      <w:r w:rsidR="00566A73">
        <w:t xml:space="preserve">. (2021). </w:t>
      </w:r>
      <w:hyperlink r:id="rId63" w:history="1">
        <w:r w:rsidRPr="00F037B5">
          <w:rPr>
            <w:rStyle w:val="Hyperlink"/>
          </w:rPr>
          <w:t>Human Rights of Federally Sentenced Persons</w:t>
        </w:r>
      </w:hyperlink>
      <w:r w:rsidRPr="00F037B5">
        <w:t xml:space="preserve">; </w:t>
      </w:r>
      <w:r w:rsidR="00302220">
        <w:t>Standing Senate Committee on Human Rights</w:t>
      </w:r>
      <w:r w:rsidR="00566A73">
        <w:t xml:space="preserve">. (2019). </w:t>
      </w:r>
      <w:hyperlink r:id="rId64" w:history="1">
        <w:r w:rsidRPr="00F037B5">
          <w:rPr>
            <w:rStyle w:val="Hyperlink"/>
          </w:rPr>
          <w:t>Interim Report – Study on the Human Rights of Federally-Sentenced Persons: The Most Basic Human Right is to be Treated as a Human Being</w:t>
        </w:r>
      </w:hyperlink>
      <w:r w:rsidR="006568DF">
        <w:t>.</w:t>
      </w:r>
      <w:r w:rsidRPr="00F037B5">
        <w:t xml:space="preserve"> </w:t>
      </w:r>
    </w:p>
  </w:footnote>
  <w:footnote w:id="67">
    <w:p w14:paraId="7C92D0A2" w14:textId="2C8E58B5" w:rsidR="00584D71" w:rsidRPr="00F037B5" w:rsidRDefault="00584D71">
      <w:pPr>
        <w:pStyle w:val="FootnoteText"/>
      </w:pPr>
      <w:r w:rsidRPr="00F037B5">
        <w:rPr>
          <w:rStyle w:val="FootnoteReference"/>
        </w:rPr>
        <w:footnoteRef/>
      </w:r>
      <w:r w:rsidRPr="00F037B5">
        <w:t xml:space="preserve"> The CHRC has received complaints filed by or on behalf of Indigenous persons relating to adverse differential treatment in the federal corrections system. For example, the CHRC is currently fully participating in the hearing of a complaint of a </w:t>
      </w:r>
      <w:proofErr w:type="gramStart"/>
      <w:r w:rsidRPr="00F037B5">
        <w:t>federally-sentenced</w:t>
      </w:r>
      <w:proofErr w:type="gramEnd"/>
      <w:r w:rsidRPr="00F037B5">
        <w:t xml:space="preserve"> person against the Correctional Service of Canada (CSC) regarding the use of risk assessment tools, including psychological risk assessment tools, and their use with Indigenous persons in prison. The Complainant alleges that these tools, which are used to provide recommendation on release and security classification, are not culturally appropriate for use with Indigenous persons. The CHRC participated at the hearing, advocating for systemic reform of the approach to risk assessments with Indigenous persons. In another case, a complaint was filed on behalf of prisoners with mental health disabilities in the federal corrections system, alleging that CSC discriminates against prisoners in the areas of security classification, access to treatment, use of administrative segregation and use of force, based on disability, race, national or ethnic origin and religion.</w:t>
      </w:r>
    </w:p>
  </w:footnote>
  <w:footnote w:id="68">
    <w:p w14:paraId="579FEC63" w14:textId="16D47B77" w:rsidR="00CA2979" w:rsidRDefault="00CA2979">
      <w:pPr>
        <w:pStyle w:val="FootnoteText"/>
      </w:pPr>
      <w:r>
        <w:rPr>
          <w:rStyle w:val="FootnoteReference"/>
        </w:rPr>
        <w:footnoteRef/>
      </w:r>
      <w:r>
        <w:t xml:space="preserve"> </w:t>
      </w:r>
      <w:r w:rsidR="00DF0F78">
        <w:t xml:space="preserve">For example, see the most recent publications from the </w:t>
      </w:r>
      <w:r>
        <w:rPr>
          <w:rFonts w:cs="Arial"/>
        </w:rPr>
        <w:t>Office of the Correctional</w:t>
      </w:r>
      <w:r w:rsidR="00DF0F78">
        <w:rPr>
          <w:rFonts w:cs="Arial"/>
        </w:rPr>
        <w:t xml:space="preserve"> Investigator</w:t>
      </w:r>
      <w:r w:rsidR="006407B2">
        <w:rPr>
          <w:rFonts w:cs="Arial"/>
        </w:rPr>
        <w:t>,</w:t>
      </w:r>
      <w:r w:rsidR="00DF0F78">
        <w:rPr>
          <w:rFonts w:cs="Arial"/>
        </w:rPr>
        <w:t xml:space="preserve"> which outline findings from their investigations.</w:t>
      </w:r>
      <w:r w:rsidR="00CC2D6D">
        <w:rPr>
          <w:rFonts w:cs="Arial"/>
        </w:rPr>
        <w:t xml:space="preserve"> See: </w:t>
      </w:r>
      <w:hyperlink r:id="rId65" w:history="1">
        <w:r w:rsidR="00CC2D6D" w:rsidRPr="00CC2D6D">
          <w:rPr>
            <w:rStyle w:val="Hyperlink"/>
            <w:rFonts w:cs="Arial"/>
          </w:rPr>
          <w:t>Backgrounder – 2024-2025 Annual Report of the Office of the Correctional Investigator</w:t>
        </w:r>
      </w:hyperlink>
      <w:r w:rsidR="00CC2D6D">
        <w:rPr>
          <w:rFonts w:cs="Arial"/>
        </w:rPr>
        <w:t xml:space="preserve">. </w:t>
      </w:r>
    </w:p>
  </w:footnote>
  <w:footnote w:id="69">
    <w:p w14:paraId="5DB1830B" w14:textId="6EAAD00C" w:rsidR="00266A10" w:rsidRPr="00F037B5" w:rsidRDefault="00266A10">
      <w:pPr>
        <w:pStyle w:val="FootnoteText"/>
      </w:pPr>
      <w:r w:rsidRPr="00F037B5">
        <w:rPr>
          <w:rStyle w:val="FootnoteReference"/>
        </w:rPr>
        <w:footnoteRef/>
      </w:r>
      <w:r w:rsidRPr="00F037B5">
        <w:t xml:space="preserve"> </w:t>
      </w:r>
      <w:r w:rsidR="003C4D1A">
        <w:t>Canadian Human Rights Commission &amp; Office of the Correctional Investigator. (</w:t>
      </w:r>
      <w:r w:rsidR="00302220">
        <w:t>2019</w:t>
      </w:r>
      <w:r w:rsidR="003C4D1A">
        <w:t xml:space="preserve">). </w:t>
      </w:r>
      <w:hyperlink r:id="rId66" w:history="1">
        <w:r w:rsidR="003C4D1A">
          <w:rPr>
            <w:rStyle w:val="Hyperlink"/>
          </w:rPr>
          <w:t>Aging and Dying in Prison: An Investigation into the Experiences of Older Individuals in Federal Custody</w:t>
        </w:r>
      </w:hyperlink>
      <w:r w:rsidR="00302220">
        <w:t>.</w:t>
      </w:r>
    </w:p>
  </w:footnote>
  <w:footnote w:id="70">
    <w:p w14:paraId="50BCE29A" w14:textId="6304F1AB" w:rsidR="00584D71" w:rsidRPr="00F037B5" w:rsidRDefault="00584D71">
      <w:pPr>
        <w:pStyle w:val="FootnoteText"/>
      </w:pPr>
      <w:r w:rsidRPr="00F037B5">
        <w:rPr>
          <w:rStyle w:val="FootnoteReference"/>
        </w:rPr>
        <w:footnoteRef/>
      </w:r>
      <w:r w:rsidRPr="00F037B5">
        <w:t xml:space="preserve"> In a case before the Tribunal, a Deaf Métis man, has alleged that Correctional Service Canada (CSC) failed to accommodate his disability by denying him Sign language interpretation, including in situations that impacted his health, safety, and liberty. He also alleged that CSC failed to provide adequate assistive technology that would enable him to communicate effectively with others. He claims that he experienced profound isolation and that CSC’s failure to accommodate him impacted his ability to, among other things, practise his Indigenous culture, communicate with legal counsel, receive medical services, participate in correctional life, and succeed in the community.</w:t>
      </w:r>
    </w:p>
  </w:footnote>
  <w:footnote w:id="71">
    <w:p w14:paraId="23E02F55" w14:textId="5AC90290" w:rsidR="00DF0F78" w:rsidRDefault="00DF0F78">
      <w:pPr>
        <w:pStyle w:val="FootnoteText"/>
      </w:pPr>
      <w:r>
        <w:rPr>
          <w:rStyle w:val="FootnoteReference"/>
        </w:rPr>
        <w:footnoteRef/>
      </w:r>
      <w:r w:rsidR="004E49DD">
        <w:t xml:space="preserve"> </w:t>
      </w:r>
      <w:r>
        <w:t xml:space="preserve">The </w:t>
      </w:r>
      <w:r>
        <w:rPr>
          <w:rFonts w:cs="Arial"/>
        </w:rPr>
        <w:t xml:space="preserve">Office of the Correctional Investigator. (2025). </w:t>
      </w:r>
      <w:hyperlink r:id="rId67" w:history="1">
        <w:r w:rsidRPr="00DF0F78">
          <w:rPr>
            <w:rStyle w:val="Hyperlink"/>
            <w:rFonts w:cs="Arial"/>
          </w:rPr>
          <w:t>Office of the Correctional Investigator Annual Report 2024-25</w:t>
        </w:r>
      </w:hyperlink>
      <w:r>
        <w:rPr>
          <w:rFonts w:cs="Arial"/>
        </w:rPr>
        <w:t>.</w:t>
      </w:r>
      <w:r>
        <w:t xml:space="preserve"> </w:t>
      </w:r>
    </w:p>
  </w:footnote>
  <w:footnote w:id="72">
    <w:p w14:paraId="3A229557" w14:textId="00200307" w:rsidR="00FA48CD" w:rsidRPr="00F037B5" w:rsidRDefault="00FA48CD" w:rsidP="00FA48CD">
      <w:pPr>
        <w:pStyle w:val="FootnoteText"/>
      </w:pPr>
      <w:r w:rsidRPr="00F037B5">
        <w:rPr>
          <w:rStyle w:val="FootnoteReference"/>
        </w:rPr>
        <w:footnoteRef/>
      </w:r>
      <w:r w:rsidRPr="00F037B5">
        <w:t xml:space="preserve"> </w:t>
      </w:r>
      <w:r w:rsidR="003C4D1A">
        <w:t xml:space="preserve">Public Safety Canada. (2024). </w:t>
      </w:r>
      <w:hyperlink r:id="rId68" w:history="1">
        <w:r w:rsidR="003C4D1A" w:rsidRPr="003C4D1A">
          <w:rPr>
            <w:rStyle w:val="Hyperlink"/>
          </w:rPr>
          <w:t>Structured Intervention Unit Implementation Advisory Panel 2023 to 2024 Annual Report</w:t>
        </w:r>
      </w:hyperlink>
      <w:r w:rsidR="00302220">
        <w:t>.</w:t>
      </w:r>
    </w:p>
  </w:footnote>
  <w:footnote w:id="73">
    <w:p w14:paraId="6835ADA1" w14:textId="4011FCD4" w:rsidR="00BB1B0C" w:rsidRPr="00D34DB1" w:rsidRDefault="00BB1B0C" w:rsidP="00BB1B0C">
      <w:pPr>
        <w:pStyle w:val="FootnoteText"/>
      </w:pPr>
      <w:r w:rsidRPr="00D34DB1">
        <w:rPr>
          <w:rStyle w:val="FootnoteReference"/>
        </w:rPr>
        <w:footnoteRef/>
      </w:r>
      <w:r w:rsidRPr="00D34DB1">
        <w:t xml:space="preserve"> In a </w:t>
      </w:r>
      <w:hyperlink r:id="rId69" w:history="1">
        <w:r w:rsidRPr="00D34DB1">
          <w:rPr>
            <w:rStyle w:val="Hyperlink"/>
          </w:rPr>
          <w:t>recent annual report</w:t>
        </w:r>
      </w:hyperlink>
      <w:r w:rsidRPr="00D34DB1">
        <w:t>, the OCI committed to conducting a five-year review of SIUs. The CHRC is hopeful that this will result in meaningful and tangible recommendations on how Canada can address the serious human rights issues that persist under this system.</w:t>
      </w:r>
    </w:p>
  </w:footnote>
  <w:footnote w:id="74">
    <w:p w14:paraId="5BC802CB" w14:textId="26892875" w:rsidR="00FA48CD" w:rsidRPr="00D34DB1" w:rsidRDefault="00FA48CD" w:rsidP="00FA48CD">
      <w:pPr>
        <w:pStyle w:val="FootnoteText"/>
      </w:pPr>
      <w:r w:rsidRPr="00D34DB1">
        <w:rPr>
          <w:rStyle w:val="FootnoteReference"/>
        </w:rPr>
        <w:footnoteRef/>
      </w:r>
      <w:r w:rsidRPr="00D34DB1">
        <w:t xml:space="preserve"> </w:t>
      </w:r>
      <w:r w:rsidR="0009778D" w:rsidRPr="00D34DB1">
        <w:t xml:space="preserve">While the amended legislation does provide for some external review through Independent External Decision Makers, their involvement in a case is only triggered after a person has been confined in a SIU for 90 consecutive days. See Public Safety Canada’s website: </w:t>
      </w:r>
      <w:hyperlink r:id="rId70" w:history="1">
        <w:r w:rsidR="0009778D" w:rsidRPr="00D34DB1">
          <w:rPr>
            <w:rStyle w:val="Hyperlink"/>
          </w:rPr>
          <w:t>Independent External Decision-Makers</w:t>
        </w:r>
      </w:hyperlink>
      <w:r w:rsidR="0009778D" w:rsidRPr="00D34DB1">
        <w:t xml:space="preserve">. </w:t>
      </w:r>
    </w:p>
  </w:footnote>
  <w:footnote w:id="75">
    <w:p w14:paraId="23201DEF" w14:textId="2C94CDE3" w:rsidR="00FA48CD" w:rsidRPr="00D34DB1" w:rsidRDefault="00FA48CD" w:rsidP="004E24C4">
      <w:pPr>
        <w:spacing w:after="0" w:line="240" w:lineRule="auto"/>
        <w:rPr>
          <w:sz w:val="20"/>
          <w:szCs w:val="20"/>
        </w:rPr>
      </w:pPr>
      <w:r w:rsidRPr="00D34DB1">
        <w:rPr>
          <w:rStyle w:val="FootnoteReference"/>
          <w:sz w:val="20"/>
          <w:szCs w:val="20"/>
        </w:rPr>
        <w:footnoteRef/>
      </w:r>
      <w:r w:rsidRPr="00D34DB1">
        <w:rPr>
          <w:sz w:val="20"/>
          <w:szCs w:val="20"/>
        </w:rPr>
        <w:t xml:space="preserve"> supra note</w:t>
      </w:r>
      <w:r w:rsidR="00E04CA0" w:rsidRPr="00D34DB1">
        <w:rPr>
          <w:sz w:val="20"/>
          <w:szCs w:val="20"/>
        </w:rPr>
        <w:t xml:space="preserve"> 7</w:t>
      </w:r>
      <w:r w:rsidR="00F70431">
        <w:rPr>
          <w:sz w:val="20"/>
          <w:szCs w:val="20"/>
        </w:rPr>
        <w:t>2</w:t>
      </w:r>
      <w:r w:rsidRPr="00D34DB1">
        <w:rPr>
          <w:sz w:val="20"/>
          <w:szCs w:val="20"/>
        </w:rPr>
        <w:t>.</w:t>
      </w:r>
      <w:r w:rsidR="00D07BD9" w:rsidRPr="00D34DB1">
        <w:rPr>
          <w:sz w:val="20"/>
          <w:szCs w:val="20"/>
        </w:rPr>
        <w:t xml:space="preserve"> The panel provided the following examples of failures of the SIU system: the implementation of SIUs has not eliminated conditions of solitary confinement in Canada’s federal prisons; the number of long stays in SIUs mimics that of the previous system of Administrative Segregation that it was intended to replace; Indigenous and Black individuals are over-represented in the placement of prisoners into SIUs; prisoners with mental health needs are also more likely to be placed in SIUs; despite being guaranteed in law by mid-2023, Parliament has yet to begin its mandated comprehensive review of the provisions enacted in the Bill that resulted in the creation of the SIU system.</w:t>
      </w:r>
    </w:p>
  </w:footnote>
  <w:footnote w:id="76">
    <w:p w14:paraId="4A4F6B37" w14:textId="1D0CB1C1" w:rsidR="00640CBA" w:rsidRPr="00D34DB1" w:rsidRDefault="00640CBA">
      <w:pPr>
        <w:pStyle w:val="FootnoteText"/>
      </w:pPr>
      <w:r w:rsidRPr="00D34DB1">
        <w:rPr>
          <w:rStyle w:val="FootnoteReference"/>
        </w:rPr>
        <w:footnoteRef/>
      </w:r>
      <w:r w:rsidRPr="00D34DB1">
        <w:t xml:space="preserve"> See: </w:t>
      </w:r>
      <w:hyperlink r:id="rId71" w:history="1">
        <w:r w:rsidRPr="00D34DB1">
          <w:rPr>
            <w:rStyle w:val="Hyperlink"/>
          </w:rPr>
          <w:t>Bill S-205 An Act to amend the Corrections and Conditional Release Act (Tona’s Law)</w:t>
        </w:r>
      </w:hyperlink>
      <w:r w:rsidR="006407B2" w:rsidRPr="00D34DB1">
        <w:t>.</w:t>
      </w:r>
      <w:r w:rsidRPr="00D34DB1">
        <w:t xml:space="preserve"> (As of December 2, 2025</w:t>
      </w:r>
      <w:r w:rsidR="006407B2" w:rsidRPr="00D34DB1">
        <w:t>,</w:t>
      </w:r>
      <w:r w:rsidRPr="00D34DB1">
        <w:t xml:space="preserve"> Bill S-205 has passed second reading and is before the Standing Senate Committee on Legal and Constitutional Affairs)</w:t>
      </w:r>
      <w:r w:rsidR="006407B2" w:rsidRPr="00D34DB1">
        <w:t>.</w:t>
      </w:r>
    </w:p>
  </w:footnote>
  <w:footnote w:id="77">
    <w:p w14:paraId="22291ACA" w14:textId="50ADF47B" w:rsidR="00FA48CD" w:rsidRPr="00F037B5" w:rsidRDefault="00FA48CD" w:rsidP="00C7113B">
      <w:pPr>
        <w:pStyle w:val="FootnoteText"/>
      </w:pPr>
      <w:r w:rsidRPr="00D34DB1">
        <w:rPr>
          <w:rStyle w:val="FootnoteReference"/>
        </w:rPr>
        <w:footnoteRef/>
      </w:r>
      <w:r w:rsidRPr="00D34DB1">
        <w:t xml:space="preserve"> For example, the effects of the first and second waves of COVID-19 before priority access to vaccines was implemented in long-term care and retirement facilities were described by the Canadian Institute of Health Information as “devastating</w:t>
      </w:r>
      <w:r w:rsidR="00C7113B" w:rsidRPr="00D34DB1">
        <w:t>”.</w:t>
      </w:r>
      <w:r w:rsidR="00A110C7" w:rsidRPr="00D34DB1">
        <w:t xml:space="preserve"> </w:t>
      </w:r>
      <w:r w:rsidR="00C7113B" w:rsidRPr="00D34DB1">
        <w:t xml:space="preserve">See the </w:t>
      </w:r>
      <w:r w:rsidR="00A110C7" w:rsidRPr="00D34DB1">
        <w:t>Canadian Institute for Health Information</w:t>
      </w:r>
      <w:r w:rsidR="00C7113B" w:rsidRPr="00D34DB1">
        <w:t>:</w:t>
      </w:r>
      <w:r w:rsidR="00A110C7" w:rsidRPr="00D34DB1">
        <w:t xml:space="preserve"> </w:t>
      </w:r>
      <w:hyperlink r:id="rId72" w:tgtFrame="_new" w:history="1">
        <w:r w:rsidR="00C443D0" w:rsidRPr="00D34DB1">
          <w:rPr>
            <w:rStyle w:val="Hyperlink"/>
          </w:rPr>
          <w:t>COVID-19’s impact on long-term care.</w:t>
        </w:r>
      </w:hyperlink>
      <w:r w:rsidRPr="00D34DB1">
        <w:t xml:space="preserve"> </w:t>
      </w:r>
      <w:r w:rsidR="00C7113B" w:rsidRPr="00D34DB1">
        <w:t xml:space="preserve">For first-hand accounts of survivors of institutions, see: Linton, </w:t>
      </w:r>
      <w:r w:rsidR="00CC2F4C" w:rsidRPr="00D34DB1">
        <w:t xml:space="preserve">M. </w:t>
      </w:r>
      <w:hyperlink r:id="rId73" w:anchor="is" w:history="1">
        <w:r w:rsidR="00C7113B" w:rsidRPr="00D34DB1">
          <w:rPr>
            <w:rStyle w:val="Hyperlink"/>
          </w:rPr>
          <w:t>Invisible Institutions Podcast</w:t>
        </w:r>
      </w:hyperlink>
      <w:r w:rsidR="00C7113B" w:rsidRPr="00D34DB1">
        <w:t xml:space="preserve"> (2022); Inclusion Canada et al, </w:t>
      </w:r>
      <w:hyperlink r:id="rId74" w:history="1">
        <w:r w:rsidR="00C7113B" w:rsidRPr="00D34DB1">
          <w:rPr>
            <w:rStyle w:val="Hyperlink"/>
          </w:rPr>
          <w:t>Truths of Institutionalization: Past and Present</w:t>
        </w:r>
      </w:hyperlink>
      <w:r w:rsidR="00C7113B" w:rsidRPr="00D34DB1">
        <w:t xml:space="preserve"> (2021); Survivors of the Huronia Regional Centre, </w:t>
      </w:r>
      <w:hyperlink r:id="rId75" w:history="1">
        <w:r w:rsidR="00C7113B" w:rsidRPr="00D34DB1">
          <w:rPr>
            <w:rStyle w:val="Hyperlink"/>
          </w:rPr>
          <w:t>Remember Every Name</w:t>
        </w:r>
      </w:hyperlink>
      <w:r w:rsidR="00C7113B" w:rsidRPr="00D34DB1">
        <w:t xml:space="preserve">; </w:t>
      </w:r>
      <w:proofErr w:type="spellStart"/>
      <w:r w:rsidR="00C7113B" w:rsidRPr="00D34DB1">
        <w:t>L’Arche</w:t>
      </w:r>
      <w:proofErr w:type="spellEnd"/>
      <w:r w:rsidR="00C7113B" w:rsidRPr="00D34DB1">
        <w:t xml:space="preserve"> Toronto, </w:t>
      </w:r>
      <w:hyperlink r:id="rId76" w:history="1">
        <w:r w:rsidR="00C7113B" w:rsidRPr="00D34DB1">
          <w:rPr>
            <w:rStyle w:val="Hyperlink"/>
          </w:rPr>
          <w:t>Listen to My Story</w:t>
        </w:r>
      </w:hyperlink>
      <w:r w:rsidR="00C7113B" w:rsidRPr="00D34DB1">
        <w:t xml:space="preserve"> (2018); </w:t>
      </w:r>
      <w:hyperlink r:id="rId77" w:history="1">
        <w:r w:rsidR="00C7113B" w:rsidRPr="00D34DB1">
          <w:rPr>
            <w:rStyle w:val="Hyperlink"/>
          </w:rPr>
          <w:t>National Task Force on Deinstitutionalization</w:t>
        </w:r>
      </w:hyperlink>
      <w:r w:rsidR="00C7113B" w:rsidRPr="00D34DB1">
        <w:t xml:space="preserve">; and </w:t>
      </w:r>
      <w:hyperlink r:id="rId78" w:history="1">
        <w:r w:rsidR="00C7113B" w:rsidRPr="00D34DB1">
          <w:rPr>
            <w:rStyle w:val="Hyperlink"/>
          </w:rPr>
          <w:t>Eugenics Archives</w:t>
        </w:r>
      </w:hyperlink>
      <w:r w:rsidR="00C7113B" w:rsidRPr="00D34DB1">
        <w:t>.</w:t>
      </w:r>
    </w:p>
  </w:footnote>
  <w:footnote w:id="78">
    <w:p w14:paraId="1DF57D5E" w14:textId="75BBE6CC" w:rsidR="00FA48CD" w:rsidRPr="00F037B5" w:rsidRDefault="00FA48CD" w:rsidP="00FA48CD">
      <w:pPr>
        <w:pStyle w:val="FootnoteText"/>
        <w:rPr>
          <w:lang w:val="en-US"/>
        </w:rPr>
      </w:pPr>
      <w:r w:rsidRPr="00F037B5">
        <w:rPr>
          <w:rStyle w:val="FootnoteReference"/>
        </w:rPr>
        <w:footnoteRef/>
      </w:r>
      <w:r w:rsidRPr="00F037B5">
        <w:t xml:space="preserve"> </w:t>
      </w:r>
      <w:r w:rsidR="00C7113B" w:rsidRPr="00C7113B">
        <w:t xml:space="preserve">See: </w:t>
      </w:r>
      <w:hyperlink r:id="rId79" w:history="1">
        <w:r w:rsidR="00C7113B" w:rsidRPr="00C7113B">
          <w:rPr>
            <w:rStyle w:val="Hyperlink"/>
          </w:rPr>
          <w:t>Disability Rights Coalition v. Nova Scotia (Attorney General), 2021 NSCA 70</w:t>
        </w:r>
      </w:hyperlink>
      <w:r w:rsidR="00C7113B" w:rsidRPr="00C7113B">
        <w:t xml:space="preserve"> (CanLII).</w:t>
      </w:r>
      <w:r w:rsidR="008B2454" w:rsidRPr="00F037B5">
        <w:t xml:space="preserve"> </w:t>
      </w:r>
    </w:p>
  </w:footnote>
  <w:footnote w:id="79">
    <w:p w14:paraId="6DD74BA6" w14:textId="29C1C599" w:rsidR="00FA48CD" w:rsidRPr="00F037B5" w:rsidRDefault="00FA48CD" w:rsidP="00FA48CD">
      <w:pPr>
        <w:pStyle w:val="FootnoteText"/>
      </w:pPr>
      <w:r w:rsidRPr="00F037B5">
        <w:rPr>
          <w:rStyle w:val="FootnoteReference"/>
        </w:rPr>
        <w:footnoteRef/>
      </w:r>
      <w:r w:rsidRPr="00F037B5">
        <w:t xml:space="preserve"> </w:t>
      </w:r>
      <w:r w:rsidR="005E6EFE" w:rsidRPr="005E6EFE">
        <w:t xml:space="preserve">See this report from the Nova Scotia Human Rights Commission: </w:t>
      </w:r>
      <w:hyperlink r:id="rId80" w:history="1">
        <w:r w:rsidR="005E6EFE" w:rsidRPr="005E6EFE">
          <w:rPr>
            <w:rStyle w:val="Hyperlink"/>
          </w:rPr>
          <w:t>Monitoring Report 2023-24: Getting on Track</w:t>
        </w:r>
      </w:hyperlink>
      <w:r w:rsidR="005E6EFE" w:rsidRPr="005E6EFE">
        <w:t>.</w:t>
      </w:r>
    </w:p>
  </w:footnote>
  <w:footnote w:id="80">
    <w:p w14:paraId="777E0A99" w14:textId="0832D49D" w:rsidR="00FA48CD" w:rsidRPr="00F037B5" w:rsidRDefault="00FA48CD" w:rsidP="00FA48CD">
      <w:pPr>
        <w:pStyle w:val="FootnoteText"/>
      </w:pPr>
      <w:r w:rsidRPr="00F037B5">
        <w:rPr>
          <w:rStyle w:val="FootnoteReference"/>
        </w:rPr>
        <w:footnoteRef/>
      </w:r>
      <w:r w:rsidRPr="00F037B5">
        <w:t xml:space="preserve"> The CHRC tried to obtain data on people living in institutions for its Monitoring Framework on the Right to Adequate Housing for People with Disabilities, but this data is not currently collected through national surveys. </w:t>
      </w:r>
      <w:r w:rsidR="005E6EFE">
        <w:t xml:space="preserve">See the CHRC’s website for more information about the CHRC’s Monitoring Framework: </w:t>
      </w:r>
      <w:hyperlink r:id="rId81" w:history="1">
        <w:r w:rsidR="005E6EFE" w:rsidRPr="005E6EFE">
          <w:rPr>
            <w:rStyle w:val="Hyperlink"/>
          </w:rPr>
          <w:t>Monitoring the right to housing for people with disabilities</w:t>
        </w:r>
      </w:hyperlink>
      <w:r w:rsidR="005E6EFE">
        <w:t>.</w:t>
      </w:r>
    </w:p>
  </w:footnote>
  <w:footnote w:id="81">
    <w:p w14:paraId="396993FB" w14:textId="77777777" w:rsidR="00FA48CD" w:rsidRPr="00F037B5" w:rsidRDefault="00FA48CD" w:rsidP="00FA48CD">
      <w:pPr>
        <w:pStyle w:val="FootnoteText"/>
      </w:pPr>
      <w:r w:rsidRPr="00F037B5">
        <w:rPr>
          <w:rStyle w:val="FootnoteReference"/>
        </w:rPr>
        <w:footnoteRef/>
      </w:r>
      <w:r w:rsidRPr="00F037B5">
        <w:t xml:space="preserve"> These numbers are head counts of residents in these institutions on the day of the Census. </w:t>
      </w:r>
    </w:p>
  </w:footnote>
  <w:footnote w:id="82">
    <w:p w14:paraId="2399FA70" w14:textId="77777777" w:rsidR="002C587C" w:rsidRPr="00F037B5" w:rsidRDefault="002C587C" w:rsidP="002C587C">
      <w:pPr>
        <w:pStyle w:val="FootnoteText"/>
        <w:rPr>
          <w:lang w:val="en"/>
        </w:rPr>
      </w:pPr>
      <w:r w:rsidRPr="00F037B5">
        <w:rPr>
          <w:rStyle w:val="FootnoteReference"/>
        </w:rPr>
        <w:footnoteRef/>
      </w:r>
      <w:r w:rsidRPr="00F037B5">
        <w:t xml:space="preserve"> </w:t>
      </w:r>
      <w:r w:rsidRPr="00B83B31">
        <w:t xml:space="preserve">For example, see: </w:t>
      </w:r>
      <w:r>
        <w:t xml:space="preserve">CBC News. (September 15, 2024). </w:t>
      </w:r>
      <w:hyperlink r:id="rId82" w:history="1">
        <w:r w:rsidRPr="00F037B5">
          <w:rPr>
            <w:rStyle w:val="Hyperlink"/>
          </w:rPr>
          <w:t>B.C. to expand involuntary care for those with addiction issues</w:t>
        </w:r>
      </w:hyperlink>
      <w:r>
        <w:t xml:space="preserve">. </w:t>
      </w:r>
    </w:p>
  </w:footnote>
  <w:footnote w:id="83">
    <w:p w14:paraId="46F51CEE" w14:textId="30FEA36A" w:rsidR="00EB38D9" w:rsidRPr="00F037B5" w:rsidRDefault="00EB38D9">
      <w:pPr>
        <w:pStyle w:val="FootnoteText"/>
      </w:pPr>
      <w:r w:rsidRPr="00F037B5">
        <w:rPr>
          <w:rStyle w:val="FootnoteReference"/>
        </w:rPr>
        <w:footnoteRef/>
      </w:r>
      <w:r w:rsidRPr="00F037B5">
        <w:t xml:space="preserve"> </w:t>
      </w:r>
      <w:r w:rsidR="00A5344D">
        <w:t>BC’s Office of the Human Rights Commissioner. (2025). “</w:t>
      </w:r>
      <w:hyperlink r:id="rId83" w:history="1">
        <w:r w:rsidR="00A5344D" w:rsidRPr="002D4ACA">
          <w:rPr>
            <w:rStyle w:val="Hyperlink"/>
          </w:rPr>
          <w:t>We’re still here”: Report of the Inquiry into detentions under the Adult Guardianship Act</w:t>
        </w:r>
      </w:hyperlink>
      <w:r w:rsidR="00A5344D">
        <w:t>.</w:t>
      </w:r>
    </w:p>
  </w:footnote>
  <w:footnote w:id="84">
    <w:p w14:paraId="2C3EE071" w14:textId="0FDCDA96" w:rsidR="00FA48CD" w:rsidRPr="00F037B5" w:rsidRDefault="00FA48CD" w:rsidP="00FA48CD">
      <w:pPr>
        <w:pStyle w:val="FootnoteText"/>
      </w:pPr>
      <w:r w:rsidRPr="00F037B5">
        <w:rPr>
          <w:rStyle w:val="FootnoteReference"/>
        </w:rPr>
        <w:footnoteRef/>
      </w:r>
      <w:r w:rsidRPr="00F037B5">
        <w:t xml:space="preserve"> </w:t>
      </w:r>
      <w:r w:rsidR="005E6EFE" w:rsidRPr="005E6EFE">
        <w:t xml:space="preserve">For a more fulsome understanding of the CHRC’s call to ratify the OPCAT, see our </w:t>
      </w:r>
      <w:hyperlink r:id="rId84" w:history="1">
        <w:r w:rsidR="005E6EFE" w:rsidRPr="00B53417">
          <w:rPr>
            <w:rStyle w:val="Hyperlink"/>
          </w:rPr>
          <w:t>joint open letter with the Office of the Correctional Investigator</w:t>
        </w:r>
      </w:hyperlink>
      <w:r w:rsidR="005E6EFE" w:rsidRPr="005E6EFE">
        <w:t>, (November 1, 2023).</w:t>
      </w:r>
      <w:r w:rsidR="008B2454" w:rsidRPr="00F037B5">
        <w:t xml:space="preserve"> </w:t>
      </w:r>
    </w:p>
  </w:footnote>
  <w:footnote w:id="85">
    <w:p w14:paraId="57FDAF60" w14:textId="79314B5B" w:rsidR="00BA3850" w:rsidRPr="00F037B5" w:rsidRDefault="00BA3850" w:rsidP="00BA3850">
      <w:pPr>
        <w:pStyle w:val="FootnoteText"/>
        <w:rPr>
          <w:rFonts w:cs="Arial"/>
        </w:rPr>
      </w:pPr>
      <w:r w:rsidRPr="00F037B5">
        <w:rPr>
          <w:rStyle w:val="FootnoteReference"/>
          <w:rFonts w:cs="Arial"/>
        </w:rPr>
        <w:footnoteRef/>
      </w:r>
      <w:r w:rsidRPr="00F037B5">
        <w:rPr>
          <w:rFonts w:cs="Arial"/>
        </w:rPr>
        <w:t xml:space="preserve"> </w:t>
      </w:r>
      <w:r w:rsidR="00A5344D">
        <w:rPr>
          <w:rFonts w:cs="Arial"/>
        </w:rPr>
        <w:t xml:space="preserve">See what people with disabilities told the CHRC during our 2020 engagement process: </w:t>
      </w:r>
      <w:hyperlink r:id="rId85" w:history="1">
        <w:r w:rsidR="00A5344D" w:rsidRPr="00305FC1">
          <w:rPr>
            <w:rStyle w:val="Hyperlink"/>
            <w:rFonts w:cs="Arial"/>
          </w:rPr>
          <w:t>What we did and what we learned: Monitoring Disability Rights</w:t>
        </w:r>
      </w:hyperlink>
      <w:r w:rsidR="00A5344D" w:rsidRPr="00305FC1">
        <w:rPr>
          <w:rFonts w:cs="Arial"/>
        </w:rPr>
        <w:t xml:space="preserve"> (2022)</w:t>
      </w:r>
      <w:r w:rsidR="00A5344D">
        <w:rPr>
          <w:rFonts w:cs="Arial"/>
        </w:rPr>
        <w:t>.</w:t>
      </w:r>
    </w:p>
  </w:footnote>
  <w:footnote w:id="86">
    <w:p w14:paraId="6CCE22D7" w14:textId="7FF6222A" w:rsidR="00D90C52" w:rsidRPr="00F037B5" w:rsidRDefault="00D90C52" w:rsidP="00D90C52">
      <w:pPr>
        <w:pStyle w:val="FootnoteText"/>
        <w:rPr>
          <w:rFonts w:cs="Arial"/>
        </w:rPr>
      </w:pPr>
      <w:r w:rsidRPr="00F037B5">
        <w:rPr>
          <w:rStyle w:val="FootnoteReference"/>
          <w:rFonts w:cs="Arial"/>
        </w:rPr>
        <w:footnoteRef/>
      </w:r>
      <w:hyperlink r:id="rId86" w:history="1">
        <w:r w:rsidR="00196776">
          <w:rPr>
            <w:rStyle w:val="Hyperlink"/>
            <w:rFonts w:cs="Arial"/>
            <w:u w:val="none"/>
          </w:rPr>
          <w:t xml:space="preserve"> </w:t>
        </w:r>
        <w:r w:rsidR="00196776">
          <w:rPr>
            <w:rFonts w:cs="Arial"/>
          </w:rPr>
          <w:t xml:space="preserve">Canadian National Institute for the Blind. </w:t>
        </w:r>
        <w:r w:rsidR="00DA1701">
          <w:rPr>
            <w:rFonts w:cs="Arial"/>
          </w:rPr>
          <w:t xml:space="preserve">(2021). </w:t>
        </w:r>
        <w:r w:rsidR="008B2454" w:rsidRPr="00C443D0">
          <w:rPr>
            <w:rStyle w:val="Hyperlink"/>
            <w:rFonts w:cs="Arial"/>
          </w:rPr>
          <w:t>Voting inaccessible for electors with sight loss, as Canadians head to polls.</w:t>
        </w:r>
      </w:hyperlink>
    </w:p>
  </w:footnote>
  <w:footnote w:id="87">
    <w:p w14:paraId="3B1B7BFB" w14:textId="6593D29E" w:rsidR="00D90C52" w:rsidRPr="00F037B5" w:rsidRDefault="00D90C52" w:rsidP="00D90C52">
      <w:pPr>
        <w:pStyle w:val="FootnoteText"/>
        <w:rPr>
          <w:rFonts w:cs="Arial"/>
          <w:lang w:val="en-US"/>
        </w:rPr>
      </w:pPr>
      <w:r w:rsidRPr="00F037B5">
        <w:rPr>
          <w:rStyle w:val="FootnoteReference"/>
          <w:rFonts w:cs="Arial"/>
        </w:rPr>
        <w:footnoteRef/>
      </w:r>
      <w:r w:rsidRPr="00F037B5">
        <w:rPr>
          <w:rFonts w:cs="Arial"/>
        </w:rPr>
        <w:t xml:space="preserve"> </w:t>
      </w:r>
      <w:r w:rsidR="00196776">
        <w:rPr>
          <w:rFonts w:cs="Arial"/>
        </w:rPr>
        <w:t>Environmental Health Association of Québec</w:t>
      </w:r>
      <w:r w:rsidR="00196776">
        <w:t xml:space="preserve">. (2021). </w:t>
      </w:r>
      <w:hyperlink r:id="rId87" w:history="1">
        <w:r w:rsidR="00196776" w:rsidRPr="006C15DF">
          <w:rPr>
            <w:rStyle w:val="Hyperlink"/>
            <w:rFonts w:cs="Arial"/>
          </w:rPr>
          <w:t xml:space="preserve">Open Letter to </w:t>
        </w:r>
        <w:proofErr w:type="gramStart"/>
        <w:r w:rsidR="00196776" w:rsidRPr="006C15DF">
          <w:rPr>
            <w:rStyle w:val="Hyperlink"/>
            <w:rFonts w:cs="Arial"/>
          </w:rPr>
          <w:t>all of</w:t>
        </w:r>
        <w:proofErr w:type="gramEnd"/>
        <w:r w:rsidR="00196776" w:rsidRPr="006C15DF">
          <w:rPr>
            <w:rStyle w:val="Hyperlink"/>
            <w:rFonts w:cs="Arial"/>
          </w:rPr>
          <w:t xml:space="preserve"> the Federal Political Parties in Canada</w:t>
        </w:r>
      </w:hyperlink>
      <w:r w:rsidR="00196776">
        <w:rPr>
          <w:rFonts w:cs="Arial"/>
        </w:rPr>
        <w:t xml:space="preserve">. </w:t>
      </w:r>
    </w:p>
  </w:footnote>
  <w:footnote w:id="88">
    <w:p w14:paraId="5669788A" w14:textId="22E2D8ED" w:rsidR="005E04E8" w:rsidRPr="00FF0F1F" w:rsidRDefault="005E04E8" w:rsidP="005E04E8">
      <w:pPr>
        <w:pStyle w:val="FootnoteText"/>
        <w:rPr>
          <w:lang w:val="en-US"/>
        </w:rPr>
      </w:pPr>
      <w:r w:rsidRPr="00FF0F1F">
        <w:rPr>
          <w:rStyle w:val="FootnoteReference"/>
        </w:rPr>
        <w:footnoteRef/>
      </w:r>
      <w:r w:rsidR="00FF0F1F" w:rsidRPr="00FF0F1F">
        <w:t xml:space="preserve"> </w:t>
      </w:r>
      <w:r w:rsidR="00577DD6" w:rsidRPr="00FF0F1F">
        <w:t xml:space="preserve">Statistics Canada. </w:t>
      </w:r>
      <w:r w:rsidR="00FF0F1F" w:rsidRPr="00FF0F1F">
        <w:t>(202</w:t>
      </w:r>
      <w:r w:rsidR="00E1772C">
        <w:t>5</w:t>
      </w:r>
      <w:r w:rsidR="00FF0F1F" w:rsidRPr="00FF0F1F">
        <w:t xml:space="preserve">). </w:t>
      </w:r>
      <w:hyperlink r:id="rId88" w:history="1">
        <w:r w:rsidR="00124FBE" w:rsidRPr="00124FBE">
          <w:rPr>
            <w:rStyle w:val="Hyperlink"/>
          </w:rPr>
          <w:t>Employee wages by occupation, annual</w:t>
        </w:r>
      </w:hyperlink>
      <w:r w:rsidR="00124FBE">
        <w:t>.</w:t>
      </w:r>
    </w:p>
  </w:footnote>
  <w:footnote w:id="89">
    <w:p w14:paraId="310D6B65" w14:textId="7F70AF7E" w:rsidR="005E04E8" w:rsidRPr="00FF0F1F" w:rsidRDefault="005E04E8" w:rsidP="005E04E8">
      <w:pPr>
        <w:pStyle w:val="FootnoteText"/>
      </w:pPr>
      <w:r w:rsidRPr="00FF0F1F">
        <w:rPr>
          <w:rStyle w:val="FootnoteReference"/>
        </w:rPr>
        <w:footnoteRef/>
      </w:r>
      <w:r w:rsidRPr="00FF0F1F">
        <w:t xml:space="preserve"> </w:t>
      </w:r>
      <w:r w:rsidR="00577DD6" w:rsidRPr="00FF0F1F">
        <w:t xml:space="preserve">2024 Labour Force Survey data notes that: The average hourly wage rate of Indigenous women living off reserve was $29.53, while for Indigenous men it was $33.53. That is a gender wage gap of 0.88, meaning that Indigenous women living off reserve make $0.88 cents for every dollar earned by an Indigenous man living off reserve. Indigenous women living off reserve make $0.79 cents for every dollar earned by a non-Indigenous man. </w:t>
      </w:r>
    </w:p>
  </w:footnote>
  <w:footnote w:id="90">
    <w:p w14:paraId="6ADDCC9E" w14:textId="4CD5030D" w:rsidR="005E04E8" w:rsidRPr="00FF0F1F" w:rsidRDefault="005E04E8" w:rsidP="005E04E8">
      <w:pPr>
        <w:pStyle w:val="FootnoteText"/>
      </w:pPr>
      <w:r w:rsidRPr="00FF0F1F">
        <w:rPr>
          <w:rStyle w:val="FootnoteReference"/>
        </w:rPr>
        <w:footnoteRef/>
      </w:r>
      <w:r w:rsidRPr="00FF0F1F">
        <w:t xml:space="preserve"> </w:t>
      </w:r>
      <w:r w:rsidR="00FF0F1F">
        <w:t>Canadian Women’s Foundation. (2019).</w:t>
      </w:r>
      <w:r w:rsidR="00A264D5">
        <w:t xml:space="preserve"> </w:t>
      </w:r>
      <w:hyperlink r:id="rId89" w:history="1">
        <w:r w:rsidR="00FF0F1F">
          <w:rPr>
            <w:rStyle w:val="Hyperlink"/>
          </w:rPr>
          <w:t>The Facts about the Gender Wage Gap in Canada.</w:t>
        </w:r>
      </w:hyperlink>
      <w:r w:rsidR="00577DD6" w:rsidRPr="00FF0F1F">
        <w:t xml:space="preserve">; </w:t>
      </w:r>
      <w:r w:rsidR="00577DD6" w:rsidRPr="00FF0F1F">
        <w:rPr>
          <w:iCs/>
        </w:rPr>
        <w:t>Canadian Centre for Policy Alternatives.</w:t>
      </w:r>
      <w:r w:rsidR="00577DD6" w:rsidRPr="00FF0F1F">
        <w:rPr>
          <w:i/>
        </w:rPr>
        <w:t xml:space="preserve"> </w:t>
      </w:r>
      <w:r w:rsidR="00FF0F1F">
        <w:t xml:space="preserve">(2011). </w:t>
      </w:r>
      <w:hyperlink r:id="rId90" w:history="1">
        <w:r w:rsidR="00FF0F1F" w:rsidRPr="00FF0F1F">
          <w:rPr>
            <w:rStyle w:val="Hyperlink"/>
          </w:rPr>
          <w:t>Canada’s Colour Coded Labour Market: The Gap for Racialized Workers</w:t>
        </w:r>
      </w:hyperlink>
      <w:r w:rsidR="00FF0F1F">
        <w:t xml:space="preserve">; Statistics Canada. (2023). </w:t>
      </w:r>
      <w:hyperlink r:id="rId91" w:history="1">
        <w:r w:rsidR="00FF0F1F">
          <w:rPr>
            <w:rStyle w:val="Hyperlink"/>
          </w:rPr>
          <w:t>Intersectional Perspective on the Canadian Gender Wage Gap</w:t>
        </w:r>
      </w:hyperlink>
      <w:r w:rsidR="00A264D5" w:rsidRPr="00124FBE">
        <w:t>.</w:t>
      </w:r>
      <w:r w:rsidR="00124FBE">
        <w:t xml:space="preserve">; </w:t>
      </w:r>
      <w:r w:rsidR="00124FBE" w:rsidRPr="003A4AB6">
        <w:t>Compared to Canadian-born men, gender wage gaps are largest for immigrant women landing as adults (20.9%) and Indigenous women (20.1%)</w:t>
      </w:r>
      <w:r w:rsidR="00124FBE">
        <w:t>,</w:t>
      </w:r>
      <w:r w:rsidR="00124FBE" w:rsidRPr="003A4AB6">
        <w:t xml:space="preserve"> and smallest for immigrant women landing as children (10.5%) and Canadian-born women (9.2%) in 2022</w:t>
      </w:r>
      <w:r w:rsidR="00124FBE">
        <w:t xml:space="preserve">. </w:t>
      </w:r>
    </w:p>
  </w:footnote>
  <w:footnote w:id="91">
    <w:p w14:paraId="59FFBBD0" w14:textId="63097B3D" w:rsidR="005E04E8" w:rsidRPr="00FF0F1F" w:rsidRDefault="005E04E8" w:rsidP="005E04E8">
      <w:pPr>
        <w:pStyle w:val="FootnoteText"/>
        <w:rPr>
          <w:rFonts w:cs="Arial"/>
        </w:rPr>
      </w:pPr>
      <w:r w:rsidRPr="00FF0F1F">
        <w:rPr>
          <w:rStyle w:val="FootnoteReference"/>
          <w:rFonts w:cs="Arial"/>
        </w:rPr>
        <w:footnoteRef/>
      </w:r>
      <w:r w:rsidRPr="00FF0F1F">
        <w:rPr>
          <w:rFonts w:cs="Arial"/>
        </w:rPr>
        <w:t xml:space="preserve"> </w:t>
      </w:r>
      <w:r w:rsidR="00577DD6" w:rsidRPr="00FF0F1F">
        <w:rPr>
          <w:rFonts w:cstheme="minorHAnsi"/>
        </w:rPr>
        <w:t>Statistics Canada</w:t>
      </w:r>
      <w:r w:rsidR="00FF0F1F">
        <w:rPr>
          <w:rFonts w:cstheme="minorHAnsi"/>
        </w:rPr>
        <w:t xml:space="preserve">. (2024). </w:t>
      </w:r>
      <w:hyperlink r:id="rId92" w:history="1">
        <w:r w:rsidR="00FF0F1F">
          <w:rPr>
            <w:rStyle w:val="Hyperlink"/>
            <w:rFonts w:cstheme="minorHAnsi"/>
          </w:rPr>
          <w:t>Average and median market, total and after-tax income of individuals by selected demographic characteristics</w:t>
        </w:r>
      </w:hyperlink>
      <w:r w:rsidR="00577DD6" w:rsidRPr="00FF0F1F">
        <w:rPr>
          <w:rFonts w:cstheme="minorHAnsi"/>
        </w:rPr>
        <w:t xml:space="preserve">; </w:t>
      </w:r>
      <w:r w:rsidR="00124FBE">
        <w:rPr>
          <w:rFonts w:cstheme="minorHAnsi"/>
        </w:rPr>
        <w:t>Statistics Canada</w:t>
      </w:r>
      <w:r w:rsidR="00FF0F1F">
        <w:rPr>
          <w:rFonts w:cstheme="minorHAnsi"/>
        </w:rPr>
        <w:t xml:space="preserve">. (2023). </w:t>
      </w:r>
      <w:hyperlink r:id="rId93" w:history="1">
        <w:r w:rsidR="00577DD6" w:rsidRPr="00FF0F1F">
          <w:rPr>
            <w:rStyle w:val="Hyperlink"/>
            <w:rFonts w:cstheme="minorHAnsi"/>
          </w:rPr>
          <w:t>Earnings Pay Gap among Persons with and without Disabilities, 2019</w:t>
        </w:r>
      </w:hyperlink>
      <w:r w:rsidR="00A264D5">
        <w:rPr>
          <w:rFonts w:cstheme="minorHAnsi"/>
        </w:rPr>
        <w:t>;</w:t>
      </w:r>
      <w:r w:rsidR="00577DD6" w:rsidRPr="00FF0F1F">
        <w:rPr>
          <w:rFonts w:cstheme="minorHAnsi"/>
        </w:rPr>
        <w:t xml:space="preserve"> </w:t>
      </w:r>
      <w:r w:rsidR="00FF0F1F">
        <w:rPr>
          <w:rFonts w:cstheme="minorHAnsi"/>
        </w:rPr>
        <w:t>Statistics Canada. (</w:t>
      </w:r>
      <w:r w:rsidR="004B5052" w:rsidRPr="00FF0F1F">
        <w:rPr>
          <w:rFonts w:cstheme="minorHAnsi"/>
        </w:rPr>
        <w:t>20</w:t>
      </w:r>
      <w:r w:rsidR="004B5052">
        <w:rPr>
          <w:rFonts w:cstheme="minorHAnsi"/>
        </w:rPr>
        <w:t>2</w:t>
      </w:r>
      <w:r w:rsidR="00AD6187">
        <w:rPr>
          <w:rFonts w:cstheme="minorHAnsi"/>
        </w:rPr>
        <w:t>4</w:t>
      </w:r>
      <w:r w:rsidR="00FF0F1F">
        <w:rPr>
          <w:rFonts w:cstheme="minorHAnsi"/>
        </w:rPr>
        <w:t>)</w:t>
      </w:r>
      <w:r w:rsidR="00577DD6" w:rsidRPr="00FF0F1F">
        <w:rPr>
          <w:rFonts w:cstheme="minorHAnsi"/>
        </w:rPr>
        <w:t xml:space="preserve">. </w:t>
      </w:r>
      <w:hyperlink r:id="rId94" w:history="1">
        <w:r w:rsidR="00AD6187" w:rsidRPr="00AD6187">
          <w:rPr>
            <w:rStyle w:val="Hyperlink"/>
          </w:rPr>
          <w:t>A demographic, employment and income profile of persons with disabilities aged 15 years and over in Canada, 2022</w:t>
        </w:r>
      </w:hyperlink>
      <w:r w:rsidR="00B9474F">
        <w:t>.</w:t>
      </w:r>
    </w:p>
  </w:footnote>
  <w:footnote w:id="92">
    <w:p w14:paraId="42D5027D" w14:textId="0B04EDE3" w:rsidR="005E04E8" w:rsidRPr="00FF0F1F" w:rsidRDefault="005E04E8" w:rsidP="005E04E8">
      <w:pPr>
        <w:pStyle w:val="FootnoteText"/>
      </w:pPr>
      <w:r w:rsidRPr="00FF0F1F">
        <w:rPr>
          <w:rStyle w:val="FootnoteReference"/>
        </w:rPr>
        <w:footnoteRef/>
      </w:r>
      <w:r w:rsidRPr="00FF0F1F">
        <w:t xml:space="preserve"> </w:t>
      </w:r>
      <w:r w:rsidR="00577DD6" w:rsidRPr="00FF0F1F">
        <w:t>See for example: BC Ministry of Labour and BC Ministry of Finance</w:t>
      </w:r>
      <w:r w:rsidR="00FF0F1F">
        <w:t>. (2022).</w:t>
      </w:r>
      <w:r w:rsidR="00577DD6" w:rsidRPr="00FF0F1F">
        <w:t xml:space="preserve"> </w:t>
      </w:r>
      <w:hyperlink r:id="rId95" w:history="1">
        <w:r w:rsidR="00577DD6" w:rsidRPr="00FF0F1F">
          <w:rPr>
            <w:rStyle w:val="Hyperlink"/>
          </w:rPr>
          <w:t>Developing Pay Transparency Legislation</w:t>
        </w:r>
      </w:hyperlink>
      <w:r w:rsidR="00FF0F1F">
        <w:t xml:space="preserve">; </w:t>
      </w:r>
      <w:r w:rsidR="007B5A21" w:rsidRPr="00582B74">
        <w:t>Ontario Pay Equity Office</w:t>
      </w:r>
      <w:r w:rsidR="007B5A21">
        <w:t xml:space="preserve">. </w:t>
      </w:r>
      <w:hyperlink r:id="rId96" w:history="1">
        <w:r w:rsidR="007B5A21" w:rsidRPr="00F34FC7">
          <w:rPr>
            <w:rStyle w:val="Hyperlink"/>
          </w:rPr>
          <w:t>The Gender Wage Gap: It’s More Than You Think</w:t>
        </w:r>
      </w:hyperlink>
      <w:r w:rsidR="007B5A21">
        <w:t>.</w:t>
      </w:r>
      <w:r w:rsidR="007B5A21" w:rsidRPr="00582B74">
        <w:t xml:space="preserve"> </w:t>
      </w:r>
    </w:p>
  </w:footnote>
  <w:footnote w:id="93">
    <w:p w14:paraId="00CD4CC8" w14:textId="63D330E8" w:rsidR="005E04E8" w:rsidRPr="00F037B5" w:rsidRDefault="005E04E8" w:rsidP="005E04E8">
      <w:pPr>
        <w:pStyle w:val="FootnoteText"/>
        <w:rPr>
          <w:lang w:val="en-US"/>
        </w:rPr>
      </w:pPr>
      <w:r w:rsidRPr="00FF0F1F">
        <w:rPr>
          <w:rStyle w:val="FootnoteReference"/>
        </w:rPr>
        <w:footnoteRef/>
      </w:r>
      <w:r w:rsidR="00D81DCB" w:rsidRPr="00FF0F1F">
        <w:t xml:space="preserve"> </w:t>
      </w:r>
      <w:r w:rsidR="007B5A21">
        <w:t xml:space="preserve">See for example: </w:t>
      </w:r>
      <w:r w:rsidR="007B5A21" w:rsidRPr="00A33508">
        <w:t>Canadian Labour Congress</w:t>
      </w:r>
      <w:r w:rsidR="007B5A21">
        <w:t>.</w:t>
      </w:r>
      <w:r w:rsidR="007B5A21" w:rsidRPr="00A33508">
        <w:t xml:space="preserve"> (2020)</w:t>
      </w:r>
      <w:r w:rsidR="007B5A21">
        <w:t>.</w:t>
      </w:r>
      <w:r w:rsidR="007B5A21" w:rsidRPr="00A33508">
        <w:t xml:space="preserve"> </w:t>
      </w:r>
      <w:hyperlink r:id="rId97" w:history="1">
        <w:r w:rsidR="007B5A21" w:rsidRPr="007B5A21">
          <w:rPr>
            <w:rStyle w:val="Hyperlink"/>
          </w:rPr>
          <w:t>Lessons of the pandemic must lead to change for frontline workers</w:t>
        </w:r>
      </w:hyperlink>
      <w:r w:rsidR="007B5A21">
        <w:t>;</w:t>
      </w:r>
      <w:r w:rsidR="007B5A21" w:rsidRPr="00A33508">
        <w:t xml:space="preserve"> </w:t>
      </w:r>
      <w:proofErr w:type="spellStart"/>
      <w:r w:rsidR="007B5A21" w:rsidRPr="007B5A21">
        <w:t>Shrma</w:t>
      </w:r>
      <w:proofErr w:type="spellEnd"/>
      <w:r w:rsidR="007B5A21" w:rsidRPr="007B5A21">
        <w:t xml:space="preserve"> L</w:t>
      </w:r>
      <w:r w:rsidR="00165A6E">
        <w:t>.</w:t>
      </w:r>
      <w:r w:rsidR="007B5A21" w:rsidRPr="007B5A21">
        <w:t xml:space="preserve"> and Smith J</w:t>
      </w:r>
      <w:r w:rsidR="007B5A21">
        <w:t>.</w:t>
      </w:r>
      <w:r w:rsidR="007B5A21" w:rsidRPr="007B5A21">
        <w:t xml:space="preserve"> (2021)</w:t>
      </w:r>
      <w:r w:rsidR="007B5A21">
        <w:t>.</w:t>
      </w:r>
      <w:r w:rsidR="007B5A21" w:rsidRPr="007B5A21">
        <w:t xml:space="preserve"> </w:t>
      </w:r>
      <w:hyperlink r:id="rId98" w:history="1">
        <w:r w:rsidR="00577DD6" w:rsidRPr="004F5B8D">
          <w:rPr>
            <w:rStyle w:val="Hyperlink"/>
          </w:rPr>
          <w:t>Women in a COVID-19 recession: Employment, job loss and wage inequality in Canada, Gender and COVID-19 Evidence Download</w:t>
        </w:r>
      </w:hyperlink>
      <w:r w:rsidR="00577DD6" w:rsidRPr="00FF0F1F">
        <w:t>;</w:t>
      </w:r>
      <w:r w:rsidR="002D7703">
        <w:t xml:space="preserve"> </w:t>
      </w:r>
      <w:proofErr w:type="spellStart"/>
      <w:r w:rsidR="002D7703">
        <w:t>PolicyWise</w:t>
      </w:r>
      <w:proofErr w:type="spellEnd"/>
      <w:r w:rsidR="002D7703">
        <w:t xml:space="preserve"> for Children &amp; Families</w:t>
      </w:r>
      <w:r w:rsidR="00577DD6" w:rsidRPr="00FF0F1F">
        <w:t>. (2022)</w:t>
      </w:r>
      <w:r w:rsidR="00BD3A84">
        <w:t>.</w:t>
      </w:r>
      <w:r w:rsidR="00577DD6" w:rsidRPr="00FF0F1F">
        <w:t xml:space="preserve"> </w:t>
      </w:r>
      <w:hyperlink r:id="rId99" w:history="1">
        <w:r w:rsidR="00577DD6" w:rsidRPr="002D7703">
          <w:rPr>
            <w:rStyle w:val="Hyperlink"/>
          </w:rPr>
          <w:t>Discussion Paper: Reversing the Gendered Impact of COVID-19 on Labour Force Participation in Alberta</w:t>
        </w:r>
      </w:hyperlink>
      <w:r w:rsidR="00577DD6" w:rsidRPr="00FF0F1F">
        <w:t xml:space="preserve">. </w:t>
      </w:r>
    </w:p>
  </w:footnote>
  <w:footnote w:id="94">
    <w:p w14:paraId="5F074030" w14:textId="5C6C2B9D" w:rsidR="005E04E8" w:rsidRPr="00F037B5" w:rsidRDefault="005E04E8" w:rsidP="005E04E8">
      <w:pPr>
        <w:pStyle w:val="FootnoteText"/>
        <w:rPr>
          <w:rFonts w:cs="Arial"/>
        </w:rPr>
      </w:pPr>
      <w:r w:rsidRPr="00F037B5">
        <w:rPr>
          <w:rStyle w:val="FootnoteReference"/>
          <w:rFonts w:cs="Arial"/>
        </w:rPr>
        <w:footnoteRef/>
      </w:r>
      <w:r w:rsidRPr="00F037B5">
        <w:rPr>
          <w:rFonts w:cs="Arial"/>
        </w:rPr>
        <w:t xml:space="preserve"> </w:t>
      </w:r>
      <w:r w:rsidR="00577DD6" w:rsidRPr="007857A2">
        <w:rPr>
          <w:rFonts w:cstheme="minorHAnsi"/>
        </w:rPr>
        <w:t>Statistics Canada</w:t>
      </w:r>
      <w:r w:rsidR="004C5DA5">
        <w:rPr>
          <w:rFonts w:cstheme="minorHAnsi"/>
        </w:rPr>
        <w:t>.</w:t>
      </w:r>
      <w:r w:rsidR="00577DD6" w:rsidRPr="007857A2">
        <w:rPr>
          <w:rFonts w:cstheme="minorHAnsi"/>
        </w:rPr>
        <w:t xml:space="preserve"> </w:t>
      </w:r>
      <w:r w:rsidR="00584834">
        <w:rPr>
          <w:rFonts w:cstheme="minorHAnsi"/>
        </w:rPr>
        <w:t xml:space="preserve">(2024). </w:t>
      </w:r>
      <w:hyperlink r:id="rId100" w:history="1">
        <w:r w:rsidR="00577DD6" w:rsidRPr="00584834">
          <w:rPr>
            <w:rStyle w:val="Hyperlink"/>
            <w:rFonts w:cstheme="minorHAnsi"/>
          </w:rPr>
          <w:t>Average and median market, total and after-tax income of individuals by selected demographic characteristics</w:t>
        </w:r>
      </w:hyperlink>
      <w:r w:rsidR="00584834">
        <w:rPr>
          <w:rFonts w:cstheme="minorHAnsi"/>
          <w:i/>
          <w:iCs/>
        </w:rPr>
        <w:t xml:space="preserve">; </w:t>
      </w:r>
      <w:r w:rsidR="00584834">
        <w:rPr>
          <w:rFonts w:cstheme="minorHAnsi"/>
        </w:rPr>
        <w:t>Statistics Canada. (2023).</w:t>
      </w:r>
      <w:r w:rsidR="00BD3A84">
        <w:rPr>
          <w:rFonts w:cstheme="minorHAnsi"/>
        </w:rPr>
        <w:t xml:space="preserve"> </w:t>
      </w:r>
      <w:hyperlink r:id="rId101" w:history="1">
        <w:r w:rsidR="00BD3A84" w:rsidRPr="00FF0F1F">
          <w:rPr>
            <w:rStyle w:val="Hyperlink"/>
            <w:rFonts w:cstheme="minorHAnsi"/>
          </w:rPr>
          <w:t>Earnings Pay Gap among Persons with and without Disabilities, 2019</w:t>
        </w:r>
      </w:hyperlink>
      <w:r w:rsidR="00BD3A84">
        <w:t>;</w:t>
      </w:r>
      <w:r w:rsidR="00577DD6" w:rsidRPr="007857A2">
        <w:rPr>
          <w:rFonts w:cstheme="minorHAnsi"/>
        </w:rPr>
        <w:t xml:space="preserve"> </w:t>
      </w:r>
      <w:r w:rsidR="00BD3A84">
        <w:rPr>
          <w:rFonts w:cstheme="minorHAnsi"/>
        </w:rPr>
        <w:t>Statistics Canada. (</w:t>
      </w:r>
      <w:r w:rsidR="00AD6187">
        <w:rPr>
          <w:rFonts w:cstheme="minorHAnsi"/>
        </w:rPr>
        <w:t>2024</w:t>
      </w:r>
      <w:r w:rsidR="00BD3A84">
        <w:rPr>
          <w:rFonts w:cstheme="minorHAnsi"/>
        </w:rPr>
        <w:t>)</w:t>
      </w:r>
      <w:r w:rsidR="00BD3A84" w:rsidRPr="00FF0F1F">
        <w:rPr>
          <w:rFonts w:cstheme="minorHAnsi"/>
        </w:rPr>
        <w:t xml:space="preserve">. </w:t>
      </w:r>
      <w:hyperlink r:id="rId102" w:history="1">
        <w:r w:rsidR="00AD6187" w:rsidRPr="00AD6187">
          <w:rPr>
            <w:rStyle w:val="Hyperlink"/>
            <w:rFonts w:cstheme="minorHAnsi"/>
          </w:rPr>
          <w:t>A</w:t>
        </w:r>
        <w:r w:rsidR="00AD6187" w:rsidRPr="00AD6187">
          <w:rPr>
            <w:rStyle w:val="Hyperlink"/>
          </w:rPr>
          <w:t xml:space="preserve"> demographic, employment and income profile of persons with disabilities aged 15 years and over in Canada, 2022</w:t>
        </w:r>
      </w:hyperlink>
      <w:r w:rsidR="00BD3A84">
        <w:t>.</w:t>
      </w:r>
      <w:r w:rsidR="00577DD6" w:rsidRPr="007857A2">
        <w:rPr>
          <w:rFonts w:cstheme="minorHAnsi"/>
        </w:rPr>
        <w:t xml:space="preserve"> </w:t>
      </w:r>
    </w:p>
  </w:footnote>
  <w:footnote w:id="95">
    <w:p w14:paraId="34365FBC" w14:textId="30E0D854" w:rsidR="005E04E8" w:rsidRPr="00F037B5" w:rsidRDefault="005E04E8" w:rsidP="005E04E8">
      <w:pPr>
        <w:pStyle w:val="FootnoteText"/>
        <w:rPr>
          <w:lang w:val="en-US"/>
        </w:rPr>
      </w:pPr>
      <w:r w:rsidRPr="00F037B5">
        <w:rPr>
          <w:rStyle w:val="FootnoteReference"/>
        </w:rPr>
        <w:footnoteRef/>
      </w:r>
      <w:r w:rsidRPr="00F037B5">
        <w:t xml:space="preserve"> </w:t>
      </w:r>
      <w:r w:rsidR="00577DD6" w:rsidRPr="001C0391">
        <w:t>See for example:</w:t>
      </w:r>
      <w:r w:rsidR="00584834">
        <w:t xml:space="preserve"> Gender and the Economy. (2019).</w:t>
      </w:r>
      <w:r w:rsidR="00577DD6" w:rsidRPr="001C0391">
        <w:t xml:space="preserve"> </w:t>
      </w:r>
      <w:hyperlink r:id="rId103" w:history="1">
        <w:r w:rsidR="00577DD6" w:rsidRPr="001C0391">
          <w:rPr>
            <w:rStyle w:val="Hyperlink"/>
          </w:rPr>
          <w:t>The gender wage gap</w:t>
        </w:r>
      </w:hyperlink>
      <w:r w:rsidR="00584834">
        <w:t xml:space="preserve">; </w:t>
      </w:r>
      <w:r w:rsidR="008272E7">
        <w:t>Statistics Canada</w:t>
      </w:r>
      <w:r w:rsidR="00BD3A84">
        <w:t>. (2</w:t>
      </w:r>
      <w:r w:rsidR="00577DD6" w:rsidRPr="001C0391">
        <w:t xml:space="preserve">019). </w:t>
      </w:r>
      <w:hyperlink r:id="rId104" w:history="1">
        <w:r w:rsidR="00577DD6" w:rsidRPr="001C0391">
          <w:rPr>
            <w:rStyle w:val="Hyperlink"/>
          </w:rPr>
          <w:t>Earnings inequality and the gender pay gap in Canada: The role of women’s under-representation among top earners</w:t>
        </w:r>
      </w:hyperlink>
      <w:r w:rsidR="004C5DA5">
        <w:t>;</w:t>
      </w:r>
      <w:r w:rsidR="00577DD6" w:rsidRPr="001C0391">
        <w:t xml:space="preserve"> </w:t>
      </w:r>
      <w:r w:rsidR="008272E7" w:rsidRPr="001C0391">
        <w:t>Canadian Studies in Population</w:t>
      </w:r>
      <w:r w:rsidR="00584834">
        <w:t xml:space="preserve">. (2022). </w:t>
      </w:r>
      <w:hyperlink r:id="rId105" w:history="1">
        <w:r w:rsidR="00577DD6" w:rsidRPr="001C0391">
          <w:rPr>
            <w:rStyle w:val="Hyperlink"/>
          </w:rPr>
          <w:t>When pay equity policy is not enough: Persistence of the gender wage gap among health, education, and STEM professionals in Canada, 2006- 2016</w:t>
        </w:r>
      </w:hyperlink>
      <w:r w:rsidR="00577DD6" w:rsidRPr="001C0391">
        <w:t xml:space="preserve">. </w:t>
      </w:r>
    </w:p>
  </w:footnote>
  <w:footnote w:id="96">
    <w:p w14:paraId="25037CA0" w14:textId="41937B0F" w:rsidR="005E04E8" w:rsidRPr="00F037B5" w:rsidRDefault="005E04E8" w:rsidP="005E04E8">
      <w:pPr>
        <w:pStyle w:val="FootnoteText"/>
        <w:rPr>
          <w:lang w:val="en-US"/>
        </w:rPr>
      </w:pPr>
      <w:r w:rsidRPr="00F037B5">
        <w:rPr>
          <w:rStyle w:val="FootnoteReference"/>
        </w:rPr>
        <w:footnoteRef/>
      </w:r>
      <w:r w:rsidRPr="00F037B5">
        <w:t xml:space="preserve"> </w:t>
      </w:r>
      <w:r w:rsidR="00577DD6" w:rsidRPr="001C0391">
        <w:t xml:space="preserve">For example, non-legislative and legislative measures that </w:t>
      </w:r>
      <w:proofErr w:type="gramStart"/>
      <w:r w:rsidR="00577DD6" w:rsidRPr="001C0391">
        <w:t>address:</w:t>
      </w:r>
      <w:proofErr w:type="gramEnd"/>
      <w:r w:rsidR="00577DD6" w:rsidRPr="001C0391">
        <w:t xml:space="preserve"> pay equity, pay transparency, employment equity, labour standards, affordable childcare, affordable post-secondary education and specialized certification programs, and gendered stereotypes.</w:t>
      </w:r>
    </w:p>
  </w:footnote>
  <w:footnote w:id="97">
    <w:p w14:paraId="1744EBCC" w14:textId="48E7114D" w:rsidR="00C06C2D" w:rsidRPr="00F037B5" w:rsidRDefault="00C06C2D" w:rsidP="00C06C2D">
      <w:pPr>
        <w:pStyle w:val="FootnoteText"/>
        <w:rPr>
          <w:lang w:val="en-US"/>
        </w:rPr>
      </w:pPr>
      <w:r w:rsidRPr="00F037B5">
        <w:rPr>
          <w:rStyle w:val="FootnoteReference"/>
        </w:rPr>
        <w:footnoteRef/>
      </w:r>
      <w:r w:rsidRPr="00F037B5">
        <w:t xml:space="preserve"> </w:t>
      </w:r>
      <w:r w:rsidR="00584834">
        <w:t xml:space="preserve">Statistics Canada. (2025). </w:t>
      </w:r>
      <w:hyperlink r:id="rId106" w:history="1">
        <w:r w:rsidR="00584834" w:rsidRPr="00584834">
          <w:rPr>
            <w:rStyle w:val="Hyperlink"/>
          </w:rPr>
          <w:t>Police-reported Hate Crime in Canada, 2023</w:t>
        </w:r>
      </w:hyperlink>
      <w:r w:rsidR="00063D8A">
        <w:t>.</w:t>
      </w:r>
    </w:p>
  </w:footnote>
  <w:footnote w:id="98">
    <w:p w14:paraId="76B00E03" w14:textId="7772510D" w:rsidR="00997D19" w:rsidRPr="002C497A" w:rsidRDefault="00792E6D" w:rsidP="00732EFA">
      <w:pPr>
        <w:pStyle w:val="FootnoteText"/>
        <w:rPr>
          <w:rFonts w:cs="Arial"/>
          <w:color w:val="333333"/>
          <w:shd w:val="clear" w:color="auto" w:fill="FFFFFF"/>
        </w:rPr>
      </w:pPr>
      <w:r w:rsidRPr="00A264D5">
        <w:rPr>
          <w:rStyle w:val="FootnoteReference"/>
        </w:rPr>
        <w:footnoteRef/>
      </w:r>
      <w:r w:rsidRPr="00A264D5">
        <w:t xml:space="preserve"> </w:t>
      </w:r>
      <w:r w:rsidR="008272E7">
        <w:rPr>
          <w:rFonts w:cs="Arial"/>
          <w:lang w:val="en-US"/>
        </w:rPr>
        <w:t>See:</w:t>
      </w:r>
      <w:r w:rsidRPr="00A264D5">
        <w:rPr>
          <w:rFonts w:cs="Arial"/>
          <w:lang w:val="en-US"/>
        </w:rPr>
        <w:t xml:space="preserve"> </w:t>
      </w:r>
      <w:hyperlink r:id="rId107" w:history="1">
        <w:r w:rsidRPr="008272E7">
          <w:rPr>
            <w:rStyle w:val="Hyperlink"/>
            <w:rFonts w:cs="Arial"/>
            <w:lang w:val="en-US"/>
          </w:rPr>
          <w:t xml:space="preserve">Bill C-9: </w:t>
        </w:r>
        <w:r w:rsidRPr="008272E7">
          <w:rPr>
            <w:rStyle w:val="Hyperlink"/>
            <w:rFonts w:cs="Arial"/>
            <w:shd w:val="clear" w:color="auto" w:fill="FFFFFF"/>
          </w:rPr>
          <w:t>An Act to amend the Criminal Code (hate propaganda, hate crime and access to religious or cultural places)</w:t>
        </w:r>
      </w:hyperlink>
      <w:r w:rsidR="00732EFA" w:rsidRPr="008272E7">
        <w:rPr>
          <w:rFonts w:cs="Arial"/>
          <w:shd w:val="clear" w:color="auto" w:fill="FFFFFF"/>
        </w:rPr>
        <w:t>.</w:t>
      </w:r>
      <w:r w:rsidR="00732EFA" w:rsidRPr="00A264D5">
        <w:rPr>
          <w:rFonts w:cs="Arial"/>
          <w:shd w:val="clear" w:color="auto" w:fill="FFFFFF"/>
        </w:rPr>
        <w:t xml:space="preserve"> The legislation would amend the Criminal Code to, among other things, make it an offence to intimidate and obstruct people from accessing places of worship, schools, community centres and other places primarily used by an identifiable group; make hate motivated crime a specific offence; and make it a crime to wilfully promote hatred against an identifiable group by displaying certain terrorism or hate symbols in public</w:t>
      </w:r>
      <w:r w:rsidR="00997D19" w:rsidRPr="00A264D5">
        <w:rPr>
          <w:rFonts w:cs="Arial"/>
          <w:shd w:val="clear" w:color="auto" w:fill="FFFFFF"/>
        </w:rPr>
        <w:t xml:space="preserve">. </w:t>
      </w:r>
    </w:p>
  </w:footnote>
  <w:footnote w:id="99">
    <w:p w14:paraId="3FC8FF92" w14:textId="70FC2259" w:rsidR="00B8315F" w:rsidRPr="00A11597" w:rsidRDefault="00B8315F">
      <w:pPr>
        <w:pStyle w:val="FootnoteText"/>
        <w:rPr>
          <w:lang w:val="en-US"/>
        </w:rPr>
      </w:pPr>
      <w:r>
        <w:rPr>
          <w:rStyle w:val="FootnoteReference"/>
        </w:rPr>
        <w:footnoteRef/>
      </w:r>
      <w:r>
        <w:t xml:space="preserve"> For </w:t>
      </w:r>
      <w:r w:rsidR="00A73EED">
        <w:t>example</w:t>
      </w:r>
      <w:r>
        <w:t>, b</w:t>
      </w:r>
      <w:r w:rsidRPr="00B8315F">
        <w:t xml:space="preserve">ecause many feminizing procedures are treated as cosmetic or excluded from provincial health insurance plans, </w:t>
      </w:r>
      <w:r w:rsidRPr="00A11597">
        <w:t>people seeking those procedures face additional financial and access barriers</w:t>
      </w:r>
      <w:r w:rsidRPr="00B8315F">
        <w:t xml:space="preserve"> — even when those same procedures are recognized by clinical standards of care (e.g., WPATH) as part of gender-affirming health care.</w:t>
      </w:r>
      <w:r>
        <w:t xml:space="preserve"> For more information see: </w:t>
      </w:r>
      <w:r w:rsidR="0013786F">
        <w:t>Rainbow Canada</w:t>
      </w:r>
      <w:r w:rsidRPr="00B8315F">
        <w:t xml:space="preserve">. (2023). </w:t>
      </w:r>
      <w:hyperlink r:id="rId108" w:history="1">
        <w:r w:rsidRPr="00B8315F">
          <w:rPr>
            <w:rStyle w:val="Hyperlink"/>
          </w:rPr>
          <w:t>Equitable access to gender-affirming care for trans and gender diverse individuals: A policy brief on gender-affirming care in Canada</w:t>
        </w:r>
      </w:hyperlink>
      <w:r w:rsidRPr="00B8315F">
        <w:t>.</w:t>
      </w:r>
    </w:p>
  </w:footnote>
  <w:footnote w:id="100">
    <w:p w14:paraId="10E8B8A0" w14:textId="1D954CB9" w:rsidR="00B05528" w:rsidRPr="00F037B5" w:rsidRDefault="00B05528" w:rsidP="00B05528">
      <w:pPr>
        <w:pStyle w:val="FootnoteText"/>
        <w:rPr>
          <w:rFonts w:cs="Arial"/>
        </w:rPr>
      </w:pPr>
      <w:r w:rsidRPr="00F037B5">
        <w:rPr>
          <w:rStyle w:val="FootnoteReference"/>
          <w:rFonts w:cs="Arial"/>
        </w:rPr>
        <w:footnoteRef/>
      </w:r>
      <w:r w:rsidRPr="00F037B5">
        <w:rPr>
          <w:rFonts w:cs="Arial"/>
        </w:rPr>
        <w:t xml:space="preserve"> </w:t>
      </w:r>
      <w:r w:rsidR="00584834">
        <w:rPr>
          <w:rFonts w:cs="Arial"/>
        </w:rPr>
        <w:t>E</w:t>
      </w:r>
      <w:r w:rsidR="00A0249F">
        <w:rPr>
          <w:rFonts w:cs="Arial"/>
        </w:rPr>
        <w:t>ga</w:t>
      </w:r>
      <w:r w:rsidR="00584834">
        <w:rPr>
          <w:rFonts w:cs="Arial"/>
        </w:rPr>
        <w:t>le</w:t>
      </w:r>
      <w:r w:rsidR="00A0249F">
        <w:rPr>
          <w:rFonts w:cs="Arial"/>
        </w:rPr>
        <w:t xml:space="preserve"> Canada</w:t>
      </w:r>
      <w:r w:rsidR="00584834">
        <w:rPr>
          <w:rFonts w:cs="Arial"/>
        </w:rPr>
        <w:t xml:space="preserve">. (2018). </w:t>
      </w:r>
      <w:hyperlink r:id="rId109" w:tgtFrame="_new" w:history="1">
        <w:r w:rsidR="00883C2F" w:rsidRPr="00883C2F">
          <w:rPr>
            <w:rStyle w:val="Hyperlink"/>
            <w:rFonts w:cs="Arial"/>
          </w:rPr>
          <w:t>Egale submission to the UN Committee Against Torture.</w:t>
        </w:r>
      </w:hyperlink>
      <w:r w:rsidR="00584834">
        <w:t xml:space="preserve">; </w:t>
      </w:r>
      <w:r w:rsidR="009854AB">
        <w:t xml:space="preserve">Wilfrid </w:t>
      </w:r>
      <w:r w:rsidR="00584834">
        <w:t>Laurier University. (2025)</w:t>
      </w:r>
      <w:r w:rsidR="00A0249F">
        <w:rPr>
          <w:rFonts w:cs="Arial"/>
        </w:rPr>
        <w:t xml:space="preserve">. </w:t>
      </w:r>
      <w:hyperlink r:id="rId110" w:history="1">
        <w:r w:rsidR="0066364F" w:rsidRPr="00883C2F">
          <w:rPr>
            <w:rStyle w:val="Hyperlink"/>
            <w:rFonts w:cs="Arial"/>
          </w:rPr>
          <w:t>Professor Morgan Holmes is pushing for change for intersex people, through research and activism.</w:t>
        </w:r>
      </w:hyperlink>
      <w:r w:rsidR="00584834">
        <w:rPr>
          <w:rFonts w:cs="Arial"/>
        </w:rPr>
        <w:t xml:space="preserve">; </w:t>
      </w:r>
      <w:r w:rsidR="00F81BF7">
        <w:t xml:space="preserve">Human Rights Watch. (2017). </w:t>
      </w:r>
      <w:hyperlink r:id="rId111" w:history="1">
        <w:r w:rsidR="00F81BF7" w:rsidRPr="00883C2F">
          <w:rPr>
            <w:rStyle w:val="Hyperlink"/>
            <w:rFonts w:cs="Arial"/>
          </w:rPr>
          <w:t>Human Rights Watch. “I want to be like nature made me”: Medically unnecessary surgeries on intersex children in the US</w:t>
        </w:r>
      </w:hyperlink>
      <w:r w:rsidR="00F81BF7">
        <w:rPr>
          <w:rFonts w:cs="Arial"/>
        </w:rPr>
        <w:t xml:space="preserve">; Office of the High Commissioner for Human Rights. (2025). </w:t>
      </w:r>
      <w:hyperlink r:id="rId112" w:history="1">
        <w:r w:rsidR="00F81BF7" w:rsidRPr="00F81BF7">
          <w:rPr>
            <w:rStyle w:val="Hyperlink"/>
            <w:rFonts w:cs="Arial"/>
          </w:rPr>
          <w:t>DHC Al-</w:t>
        </w:r>
        <w:proofErr w:type="spellStart"/>
        <w:r w:rsidR="00F81BF7" w:rsidRPr="00F81BF7">
          <w:rPr>
            <w:rStyle w:val="Hyperlink"/>
            <w:rFonts w:cs="Arial"/>
          </w:rPr>
          <w:t>Nashif</w:t>
        </w:r>
        <w:proofErr w:type="spellEnd"/>
        <w:r w:rsidR="00F81BF7" w:rsidRPr="00F81BF7">
          <w:rPr>
            <w:rStyle w:val="Hyperlink"/>
            <w:rFonts w:cs="Arial"/>
          </w:rPr>
          <w:t xml:space="preserve"> urges an end to discrimination and abuse against intersex people</w:t>
        </w:r>
      </w:hyperlink>
      <w:r w:rsidR="00A0249F">
        <w:t>.</w:t>
      </w:r>
    </w:p>
  </w:footnote>
  <w:footnote w:id="101">
    <w:p w14:paraId="4AFF96D5" w14:textId="77777777" w:rsidR="00B05528" w:rsidRPr="00F037B5" w:rsidRDefault="00B05528" w:rsidP="00B05528">
      <w:pPr>
        <w:pStyle w:val="FootnoteText"/>
      </w:pPr>
      <w:r w:rsidRPr="00F037B5">
        <w:rPr>
          <w:rStyle w:val="FootnoteReference"/>
        </w:rPr>
        <w:footnoteRef/>
      </w:r>
      <w:r w:rsidRPr="00F037B5">
        <w:t xml:space="preserve"> For clarity, section 268(1) of the Criminal Code of Canada outlines crimes of aggravated assault. Section 268(3) of the code states as follows: “For greater certainty, in this section, “wounds” or “maims” includes to excise, infibulate or mutilate, in whole or in part, the labia majora, labia minora or clitoris of a person except where: A surgical procedure is performed, by a person duly qualified by provincial law to practise medicine, for the benefit of the physical health of the person or for the purpose of that person having normal reproductive functions or normal sexual appearance or function.”</w:t>
      </w:r>
    </w:p>
  </w:footnote>
  <w:footnote w:id="102">
    <w:p w14:paraId="4A4A58DF" w14:textId="3100D19B" w:rsidR="00B05528" w:rsidRPr="00F037B5" w:rsidRDefault="00B05528" w:rsidP="00B05528">
      <w:pPr>
        <w:pStyle w:val="FootnoteText"/>
        <w:rPr>
          <w:rFonts w:cs="Arial"/>
        </w:rPr>
      </w:pPr>
      <w:r w:rsidRPr="00F037B5">
        <w:rPr>
          <w:rStyle w:val="FootnoteReference"/>
          <w:rFonts w:cs="Arial"/>
        </w:rPr>
        <w:footnoteRef/>
      </w:r>
      <w:r w:rsidRPr="00F037B5">
        <w:rPr>
          <w:rFonts w:cs="Arial"/>
        </w:rPr>
        <w:t xml:space="preserve"> </w:t>
      </w:r>
      <w:r w:rsidR="00F81BF7">
        <w:rPr>
          <w:rFonts w:cs="Arial"/>
        </w:rPr>
        <w:t>E</w:t>
      </w:r>
      <w:r w:rsidR="0087631B">
        <w:rPr>
          <w:rFonts w:cs="Arial"/>
        </w:rPr>
        <w:t>ga</w:t>
      </w:r>
      <w:r w:rsidR="00F81BF7">
        <w:rPr>
          <w:rFonts w:cs="Arial"/>
        </w:rPr>
        <w:t>le</w:t>
      </w:r>
      <w:r w:rsidR="0087631B">
        <w:rPr>
          <w:rFonts w:cs="Arial"/>
        </w:rPr>
        <w:t xml:space="preserve"> Canada</w:t>
      </w:r>
      <w:r w:rsidR="00F81BF7">
        <w:rPr>
          <w:rFonts w:cs="Arial"/>
        </w:rPr>
        <w:t xml:space="preserve">. (2021). </w:t>
      </w:r>
      <w:hyperlink r:id="rId113" w:history="1">
        <w:r w:rsidR="00F81BF7" w:rsidRPr="00F81BF7">
          <w:rPr>
            <w:rStyle w:val="Hyperlink"/>
            <w:rFonts w:cs="Arial"/>
          </w:rPr>
          <w:t>E</w:t>
        </w:r>
        <w:r w:rsidR="0087631B">
          <w:rPr>
            <w:rStyle w:val="Hyperlink"/>
            <w:rFonts w:cs="Arial"/>
          </w:rPr>
          <w:t>ga</w:t>
        </w:r>
        <w:r w:rsidR="00F81BF7" w:rsidRPr="00F81BF7">
          <w:rPr>
            <w:rStyle w:val="Hyperlink"/>
            <w:rFonts w:cs="Arial"/>
          </w:rPr>
          <w:t>le Canada files an application at the Ontario Superior Court of Justice in groundbreaking Inte</w:t>
        </w:r>
        <w:r w:rsidR="0087631B">
          <w:rPr>
            <w:rStyle w:val="Hyperlink"/>
            <w:rFonts w:cs="Arial"/>
          </w:rPr>
          <w:t>r</w:t>
        </w:r>
        <w:r w:rsidR="00F81BF7" w:rsidRPr="00F81BF7">
          <w:rPr>
            <w:rStyle w:val="Hyperlink"/>
            <w:rFonts w:cs="Arial"/>
          </w:rPr>
          <w:t>sex Human Rights case</w:t>
        </w:r>
      </w:hyperlink>
      <w:r w:rsidR="0087631B">
        <w:t>.</w:t>
      </w:r>
    </w:p>
  </w:footnote>
  <w:footnote w:id="103">
    <w:p w14:paraId="214047A5" w14:textId="110FD66C" w:rsidR="00B05528" w:rsidRPr="00F65AD8" w:rsidRDefault="00B05528" w:rsidP="00B05528">
      <w:pPr>
        <w:pStyle w:val="FootnoteText"/>
      </w:pPr>
      <w:r w:rsidRPr="00F65AD8">
        <w:rPr>
          <w:rStyle w:val="FootnoteReference"/>
        </w:rPr>
        <w:footnoteRef/>
      </w:r>
      <w:r w:rsidRPr="00F65AD8">
        <w:t xml:space="preserve"> </w:t>
      </w:r>
      <w:r w:rsidR="00F65AD8" w:rsidRPr="00F65AD8">
        <w:t>E</w:t>
      </w:r>
      <w:r w:rsidR="008D703E">
        <w:t>ga</w:t>
      </w:r>
      <w:r w:rsidR="00F65AD8" w:rsidRPr="00F65AD8">
        <w:t>le</w:t>
      </w:r>
      <w:r w:rsidR="00A264D5">
        <w:t xml:space="preserve"> Canada</w:t>
      </w:r>
      <w:r w:rsidR="00F65AD8" w:rsidRPr="00F65AD8">
        <w:t xml:space="preserve">. (2018). </w:t>
      </w:r>
      <w:hyperlink r:id="rId114" w:history="1">
        <w:r w:rsidR="00F65AD8" w:rsidRPr="00F65AD8">
          <w:rPr>
            <w:rStyle w:val="Hyperlink"/>
          </w:rPr>
          <w:t>Egale Canada urges the Federal Government to meet domestic and International Human Rights requirements of Intersex People on International Intersex Awareness Day</w:t>
        </w:r>
      </w:hyperlink>
      <w:r w:rsidR="00A264D5">
        <w:t>.</w:t>
      </w:r>
    </w:p>
  </w:footnote>
  <w:footnote w:id="104">
    <w:p w14:paraId="3A09363F" w14:textId="79EB399A" w:rsidR="00B05528" w:rsidRPr="00F65AD8" w:rsidRDefault="00B05528" w:rsidP="00B05528">
      <w:pPr>
        <w:pStyle w:val="FootnoteText"/>
      </w:pPr>
      <w:r w:rsidRPr="00F65AD8">
        <w:rPr>
          <w:rStyle w:val="FootnoteReference"/>
        </w:rPr>
        <w:footnoteRef/>
      </w:r>
      <w:r w:rsidRPr="00F65AD8">
        <w:t xml:space="preserve"> </w:t>
      </w:r>
      <w:r w:rsidR="0066364F" w:rsidRPr="00F65AD8">
        <w:t xml:space="preserve">Canadian Bar Association. (2023). </w:t>
      </w:r>
      <w:hyperlink r:id="rId115" w:tgtFrame="_new" w:history="1">
        <w:r w:rsidR="00F65AD8" w:rsidRPr="00F65AD8">
          <w:rPr>
            <w:rStyle w:val="Hyperlink"/>
          </w:rPr>
          <w:t>Consultation needed on attempts to "fix" intersex children's gen</w:t>
        </w:r>
        <w:r w:rsidR="00E215AF">
          <w:rPr>
            <w:rStyle w:val="Hyperlink"/>
          </w:rPr>
          <w:t>i</w:t>
        </w:r>
        <w:r w:rsidR="00F65AD8" w:rsidRPr="00F65AD8">
          <w:rPr>
            <w:rStyle w:val="Hyperlink"/>
          </w:rPr>
          <w:t>talia</w:t>
        </w:r>
      </w:hyperlink>
      <w:r w:rsidR="00A264D5">
        <w:t>.</w:t>
      </w:r>
    </w:p>
  </w:footnote>
  <w:footnote w:id="105">
    <w:p w14:paraId="0E72D64C" w14:textId="6CC80499" w:rsidR="00B05528" w:rsidRPr="00F037B5" w:rsidRDefault="00B05528" w:rsidP="00B05528">
      <w:pPr>
        <w:pStyle w:val="FootnoteText"/>
      </w:pPr>
      <w:r w:rsidRPr="00F65AD8">
        <w:rPr>
          <w:rStyle w:val="FootnoteReference"/>
        </w:rPr>
        <w:footnoteRef/>
      </w:r>
      <w:r w:rsidRPr="00F65AD8">
        <w:t xml:space="preserve"> </w:t>
      </w:r>
      <w:r w:rsidR="00873B29">
        <w:t xml:space="preserve">Government of </w:t>
      </w:r>
      <w:r w:rsidR="00F65AD8" w:rsidRPr="00F65AD8">
        <w:t>Canada</w:t>
      </w:r>
      <w:r w:rsidR="00F65AD8">
        <w:t xml:space="preserve">. (2022). </w:t>
      </w:r>
      <w:hyperlink r:id="rId116" w:history="1">
        <w:r w:rsidR="00F65AD8" w:rsidRPr="00F65AD8">
          <w:rPr>
            <w:rStyle w:val="Hyperlink"/>
          </w:rPr>
          <w:t>Federal 2SLGBTQI+ Action Plan 2022</w:t>
        </w:r>
      </w:hyperlink>
      <w:r w:rsidR="00A264D5">
        <w:t>.</w:t>
      </w:r>
    </w:p>
  </w:footnote>
  <w:footnote w:id="106">
    <w:p w14:paraId="03FD1E1F" w14:textId="2ED59B20" w:rsidR="0075782C" w:rsidRPr="00F037B5" w:rsidRDefault="0075782C">
      <w:pPr>
        <w:pStyle w:val="FootnoteText"/>
      </w:pPr>
      <w:r w:rsidRPr="00F037B5">
        <w:rPr>
          <w:rStyle w:val="FootnoteReference"/>
        </w:rPr>
        <w:footnoteRef/>
      </w:r>
      <w:r w:rsidRPr="00F037B5">
        <w:t xml:space="preserve"> </w:t>
      </w:r>
      <w:r w:rsidR="00997D19">
        <w:t xml:space="preserve">See the CHRC’s </w:t>
      </w:r>
      <w:hyperlink r:id="rId117" w:history="1">
        <w:r w:rsidR="00997D19" w:rsidRPr="00D46BE4">
          <w:rPr>
            <w:rStyle w:val="Hyperlink"/>
          </w:rPr>
          <w:t>Discussion Paper on Religious Intolerance</w:t>
        </w:r>
      </w:hyperlink>
      <w:r w:rsidR="00997D19">
        <w:t xml:space="preserve"> (2023). </w:t>
      </w:r>
    </w:p>
  </w:footnote>
  <w:footnote w:id="107">
    <w:p w14:paraId="50EF7F81" w14:textId="77777777" w:rsidR="00E12199" w:rsidRPr="00F037B5" w:rsidRDefault="00E12199" w:rsidP="009D6746">
      <w:pPr>
        <w:pStyle w:val="FootnoteText"/>
      </w:pPr>
      <w:r w:rsidRPr="00F037B5">
        <w:rPr>
          <w:rStyle w:val="FootnoteReference"/>
        </w:rPr>
        <w:footnoteRef/>
      </w:r>
      <w:r w:rsidRPr="00F037B5">
        <w:t xml:space="preserve"> Since the legislation has been upheld by the Quebec Court of Appeal, parties have sought leave to file an appeal to the Supreme Court of Canada. A decision on leave to appeal has yet to be granted. </w:t>
      </w:r>
    </w:p>
  </w:footnote>
  <w:footnote w:id="108">
    <w:p w14:paraId="0EFB523B" w14:textId="77777777" w:rsidR="00E12199" w:rsidRPr="00F037B5" w:rsidRDefault="00E12199" w:rsidP="00E12199">
      <w:pPr>
        <w:pStyle w:val="FootnoteText"/>
      </w:pPr>
      <w:r w:rsidRPr="00F037B5">
        <w:rPr>
          <w:rStyle w:val="FootnoteReference"/>
        </w:rPr>
        <w:footnoteRef/>
      </w:r>
      <w:r w:rsidRPr="00F037B5">
        <w:t xml:space="preserve"> The CHRC intervened in the case at all levels of court.  </w:t>
      </w:r>
    </w:p>
  </w:footnote>
  <w:footnote w:id="109">
    <w:p w14:paraId="5A8E5728" w14:textId="6C5C7340" w:rsidR="00E12199" w:rsidRPr="00F037B5" w:rsidRDefault="00E12199" w:rsidP="00E12199">
      <w:pPr>
        <w:pStyle w:val="FootnoteText"/>
      </w:pPr>
      <w:r w:rsidRPr="00F037B5">
        <w:rPr>
          <w:rStyle w:val="FootnoteReference"/>
        </w:rPr>
        <w:footnoteRef/>
      </w:r>
      <w:r w:rsidRPr="00F037B5">
        <w:t xml:space="preserve"> Reports show that it is primarily Muslim women whose employment is affected by the enforcement of Bill 21. Civil society groups have expressed concerns that the unique position of Muslim women in hijab and their experiences at the intersection of race, religion and gender, contributes to a lack of power and privilege and other unique challenges.</w:t>
      </w:r>
      <w:r w:rsidR="00561F70">
        <w:t xml:space="preserve"> See: CBC News. (November 8, 2022). </w:t>
      </w:r>
      <w:hyperlink r:id="rId118" w:history="1">
        <w:r w:rsidR="00A65FA3" w:rsidRPr="00A65FA3">
          <w:rPr>
            <w:rStyle w:val="Hyperlink"/>
          </w:rPr>
          <w:t>Muslim women most affected by Quebec's secularism law, Court of Appeal hears</w:t>
        </w:r>
      </w:hyperlink>
      <w:r w:rsidR="00A65FA3">
        <w:t xml:space="preserve">. </w:t>
      </w:r>
      <w:r w:rsidRPr="00F037B5">
        <w:t xml:space="preserve">See also: </w:t>
      </w:r>
      <w:r w:rsidR="00561F70" w:rsidRPr="001C4D0C">
        <w:t>The Globe and Mail.</w:t>
      </w:r>
      <w:r w:rsidR="00561F70">
        <w:t xml:space="preserve"> (2022). </w:t>
      </w:r>
      <w:hyperlink r:id="rId119" w:history="1">
        <w:r w:rsidR="00A65FA3" w:rsidRPr="00A65FA3">
          <w:rPr>
            <w:rStyle w:val="Hyperlink"/>
          </w:rPr>
          <w:t>Muslim women wearing hijab at work face heightened scrutiny, professional consequences.</w:t>
        </w:r>
      </w:hyperlink>
    </w:p>
  </w:footnote>
  <w:footnote w:id="110">
    <w:p w14:paraId="6E20620B" w14:textId="3594F24C" w:rsidR="00F75577" w:rsidRPr="009D6746" w:rsidRDefault="00F75577">
      <w:pPr>
        <w:pStyle w:val="FootnoteText"/>
        <w:rPr>
          <w:rFonts w:cs="Arial"/>
        </w:rPr>
      </w:pPr>
      <w:r w:rsidRPr="009D6746">
        <w:rPr>
          <w:rStyle w:val="FootnoteReference"/>
          <w:rFonts w:cs="Arial"/>
        </w:rPr>
        <w:footnoteRef/>
      </w:r>
      <w:r w:rsidRPr="009D6746">
        <w:rPr>
          <w:rFonts w:cs="Arial"/>
        </w:rPr>
        <w:t xml:space="preserve"> While it is not only racialized women who wear the hijab, the hijab is a physical identifier of a religion that has been widely racialized throughout the West. This places women and girls in hijab firmly at the intersection of cultural, structural and institutional oppression that is gendered Islamophobia and anti-Muslim racism. White and “white-passing” </w:t>
      </w:r>
      <w:proofErr w:type="spellStart"/>
      <w:r w:rsidRPr="009D6746">
        <w:rPr>
          <w:rFonts w:cs="Arial"/>
        </w:rPr>
        <w:t>hijabi</w:t>
      </w:r>
      <w:proofErr w:type="spellEnd"/>
      <w:r w:rsidRPr="009D6746">
        <w:rPr>
          <w:rFonts w:cs="Arial"/>
        </w:rPr>
        <w:t xml:space="preserve"> women and girls have expressed how they feel that their whiteness is malleable and precarious, and dependent on the racialization of their religious expression. See: Yaqeen Institute.</w:t>
      </w:r>
      <w:r w:rsidRPr="009D6746">
        <w:rPr>
          <w:rFonts w:cs="Arial"/>
          <w:i/>
          <w:iCs/>
        </w:rPr>
        <w:t xml:space="preserve"> </w:t>
      </w:r>
      <w:r w:rsidRPr="009D6746">
        <w:rPr>
          <w:rFonts w:cs="Arial"/>
        </w:rPr>
        <w:t xml:space="preserve">(2021). </w:t>
      </w:r>
      <w:hyperlink r:id="rId120" w:history="1">
        <w:r w:rsidRPr="009D6746">
          <w:rPr>
            <w:rStyle w:val="Hyperlink"/>
            <w:rFonts w:cs="Arial"/>
          </w:rPr>
          <w:t>Hijab, Gendered Islamophobia, and the Lived Experiences of Muslim Women</w:t>
        </w:r>
      </w:hyperlink>
      <w:r w:rsidRPr="009D6746">
        <w:rPr>
          <w:rFonts w:cs="Arial"/>
        </w:rPr>
        <w:t>. See also: Karaman, N. &amp; Christian, M. Sociology of Race and Ethnicity,</w:t>
      </w:r>
      <w:r w:rsidRPr="009D6746">
        <w:rPr>
          <w:rFonts w:cs="Arial"/>
          <w:i/>
          <w:iCs/>
        </w:rPr>
        <w:t xml:space="preserve"> </w:t>
      </w:r>
      <w:r w:rsidRPr="009D6746">
        <w:rPr>
          <w:rFonts w:cs="Arial"/>
        </w:rPr>
        <w:t xml:space="preserve">6(4). (2020). </w:t>
      </w:r>
      <w:hyperlink r:id="rId121" w:history="1">
        <w:r w:rsidRPr="009D6746">
          <w:rPr>
            <w:rStyle w:val="Hyperlink"/>
            <w:rFonts w:cs="Arial"/>
          </w:rPr>
          <w:t>“My Hijab Is Like My Skin Color”: Muslim Women Students, Racialization, and Intersectionality.</w:t>
        </w:r>
      </w:hyperlink>
    </w:p>
  </w:footnote>
  <w:footnote w:id="111">
    <w:p w14:paraId="794D3FF9" w14:textId="76D2CA27" w:rsidR="00F75577" w:rsidRPr="009D6746" w:rsidRDefault="00F75577">
      <w:pPr>
        <w:pStyle w:val="FootnoteText"/>
        <w:rPr>
          <w:rFonts w:cs="Arial"/>
        </w:rPr>
      </w:pPr>
      <w:r w:rsidRPr="009D6746">
        <w:rPr>
          <w:rStyle w:val="FootnoteReference"/>
          <w:rFonts w:cs="Arial"/>
        </w:rPr>
        <w:footnoteRef/>
      </w:r>
      <w:r w:rsidRPr="009D6746">
        <w:rPr>
          <w:rFonts w:cs="Arial"/>
        </w:rPr>
        <w:t xml:space="preserve"> Canadian Human Rights Commission. (June 2019). </w:t>
      </w:r>
      <w:hyperlink r:id="rId122" w:tgtFrame="_new" w:history="1">
        <w:r w:rsidRPr="009D6746">
          <w:rPr>
            <w:rStyle w:val="Hyperlink"/>
            <w:rFonts w:cs="Arial"/>
          </w:rPr>
          <w:t>Banning religious symbols puts everyone’s rights at risk</w:t>
        </w:r>
      </w:hyperlink>
      <w:r w:rsidRPr="009D6746">
        <w:rPr>
          <w:rFonts w:cs="Arial"/>
        </w:rPr>
        <w:t>.</w:t>
      </w:r>
    </w:p>
  </w:footnote>
  <w:footnote w:id="112">
    <w:p w14:paraId="7E545FEC" w14:textId="50887138" w:rsidR="008E2603" w:rsidRPr="00F037B5" w:rsidRDefault="008E2603" w:rsidP="008E2603">
      <w:pPr>
        <w:pStyle w:val="FootnoteText"/>
        <w:rPr>
          <w:rFonts w:asciiTheme="minorHAnsi" w:hAnsiTheme="minorHAnsi" w:cstheme="minorHAnsi"/>
        </w:rPr>
      </w:pPr>
      <w:r w:rsidRPr="009D6746">
        <w:rPr>
          <w:rStyle w:val="FootnoteReference"/>
          <w:rFonts w:cs="Arial"/>
        </w:rPr>
        <w:footnoteRef/>
      </w:r>
      <w:r w:rsidRPr="009D6746">
        <w:rPr>
          <w:rFonts w:cs="Arial"/>
        </w:rPr>
        <w:t xml:space="preserve"> </w:t>
      </w:r>
      <w:r w:rsidR="0068449F" w:rsidRPr="009D6746">
        <w:rPr>
          <w:rFonts w:cs="Arial"/>
        </w:rPr>
        <w:t xml:space="preserve">In 2024, </w:t>
      </w:r>
      <w:r w:rsidR="0019365D" w:rsidRPr="009D6746">
        <w:rPr>
          <w:rFonts w:cs="Arial"/>
          <w:szCs w:val="24"/>
        </w:rPr>
        <w:t xml:space="preserve">Human Rights Watch reported that the CBSA incarcerated thousands of people on immigration grounds in dozens of provincial jails over the past five years. </w:t>
      </w:r>
      <w:r w:rsidR="00FE300D" w:rsidRPr="009D6746">
        <w:rPr>
          <w:rFonts w:cs="Arial"/>
        </w:rPr>
        <w:t xml:space="preserve">Human Rights Watch. (2024). </w:t>
      </w:r>
      <w:hyperlink r:id="rId123" w:history="1">
        <w:r w:rsidR="00FE300D" w:rsidRPr="009D6746">
          <w:rPr>
            <w:rStyle w:val="Hyperlink"/>
            <w:rFonts w:cs="Arial"/>
          </w:rPr>
          <w:t xml:space="preserve">Canada: All 10 Provinces </w:t>
        </w:r>
        <w:proofErr w:type="gramStart"/>
        <w:r w:rsidR="00FE300D" w:rsidRPr="009D6746">
          <w:rPr>
            <w:rStyle w:val="Hyperlink"/>
            <w:rFonts w:cs="Arial"/>
          </w:rPr>
          <w:t>To</w:t>
        </w:r>
        <w:proofErr w:type="gramEnd"/>
        <w:r w:rsidR="00FE300D" w:rsidRPr="009D6746">
          <w:rPr>
            <w:rStyle w:val="Hyperlink"/>
            <w:rFonts w:cs="Arial"/>
          </w:rPr>
          <w:t xml:space="preserve"> End Immigration Detention in Jails</w:t>
        </w:r>
      </w:hyperlink>
      <w:r w:rsidR="00FE300D" w:rsidRPr="009D6746">
        <w:rPr>
          <w:rFonts w:cs="Arial"/>
        </w:rPr>
        <w:t>.</w:t>
      </w:r>
      <w:r w:rsidR="00FE300D">
        <w:t xml:space="preserve"> </w:t>
      </w:r>
    </w:p>
  </w:footnote>
  <w:footnote w:id="113">
    <w:p w14:paraId="79544644" w14:textId="05D49EE7" w:rsidR="008E2603" w:rsidRPr="00F037B5" w:rsidRDefault="008E2603" w:rsidP="008E2603">
      <w:pPr>
        <w:pStyle w:val="FootnoteText"/>
        <w:rPr>
          <w:rFonts w:cs="Arial"/>
        </w:rPr>
      </w:pPr>
      <w:r w:rsidRPr="00F037B5">
        <w:rPr>
          <w:rStyle w:val="FootnoteReference"/>
          <w:rFonts w:cs="Arial"/>
        </w:rPr>
        <w:footnoteRef/>
      </w:r>
      <w:r w:rsidRPr="00F037B5">
        <w:rPr>
          <w:rFonts w:cs="Arial"/>
        </w:rPr>
        <w:t xml:space="preserve"> </w:t>
      </w:r>
      <w:r w:rsidR="00FE300D" w:rsidRPr="006479F3">
        <w:rPr>
          <w:rFonts w:cs="Arial"/>
        </w:rPr>
        <w:t>Human Rights Watch</w:t>
      </w:r>
      <w:r w:rsidR="00FE300D">
        <w:rPr>
          <w:rFonts w:cs="Arial"/>
        </w:rPr>
        <w:t>.</w:t>
      </w:r>
      <w:r w:rsidR="00FE300D" w:rsidRPr="006479F3">
        <w:rPr>
          <w:rFonts w:cs="Arial"/>
        </w:rPr>
        <w:t xml:space="preserve"> (2021)</w:t>
      </w:r>
      <w:r w:rsidR="00FE300D">
        <w:rPr>
          <w:rFonts w:cs="Arial"/>
        </w:rPr>
        <w:t>.</w:t>
      </w:r>
      <w:r w:rsidR="00FE300D" w:rsidRPr="006479F3">
        <w:rPr>
          <w:rFonts w:cs="Arial"/>
        </w:rPr>
        <w:t xml:space="preserve"> </w:t>
      </w:r>
      <w:hyperlink r:id="rId124" w:history="1">
        <w:r w:rsidR="00FE300D" w:rsidRPr="006479F3">
          <w:rPr>
            <w:rStyle w:val="Hyperlink"/>
            <w:rFonts w:cs="Arial"/>
          </w:rPr>
          <w:t>“I Didn’t Feel Like a Human in There” - Immigration Detention in Canada and its Impact on Mental Health</w:t>
        </w:r>
      </w:hyperlink>
      <w:hyperlink r:id="rId125" w:history="1">
        <w:r w:rsidR="00FE300D">
          <w:rPr>
            <w:rStyle w:val="Hyperlink"/>
            <w:rFonts w:cs="Arial"/>
          </w:rPr>
          <w:t>.</w:t>
        </w:r>
      </w:hyperlink>
      <w:r w:rsidR="00FE300D">
        <w:t xml:space="preserve"> </w:t>
      </w:r>
    </w:p>
  </w:footnote>
  <w:footnote w:id="114">
    <w:p w14:paraId="5CD9A67A" w14:textId="2DC4305F" w:rsidR="00907558" w:rsidRPr="00F037B5" w:rsidRDefault="00907558">
      <w:pPr>
        <w:pStyle w:val="FootnoteText"/>
        <w:rPr>
          <w:lang w:val="en-US"/>
        </w:rPr>
      </w:pPr>
      <w:r w:rsidRPr="00F037B5">
        <w:rPr>
          <w:rStyle w:val="FootnoteReference"/>
        </w:rPr>
        <w:footnoteRef/>
      </w:r>
      <w:r w:rsidRPr="00F037B5">
        <w:t xml:space="preserve"> </w:t>
      </w:r>
      <w:r w:rsidR="00FE300D" w:rsidRPr="00B331D7">
        <w:rPr>
          <w:lang w:val="en-US"/>
        </w:rPr>
        <w:t>Human Rights Watch</w:t>
      </w:r>
      <w:r w:rsidR="00FE300D">
        <w:rPr>
          <w:lang w:val="en-US"/>
        </w:rPr>
        <w:t>. (</w:t>
      </w:r>
      <w:r w:rsidR="00FE300D" w:rsidRPr="00B331D7">
        <w:rPr>
          <w:lang w:val="en-US"/>
        </w:rPr>
        <w:t>2024)</w:t>
      </w:r>
      <w:r w:rsidR="00FE300D">
        <w:rPr>
          <w:lang w:val="en-US"/>
        </w:rPr>
        <w:t>.</w:t>
      </w:r>
      <w:r w:rsidR="00FE300D" w:rsidRPr="00B331D7">
        <w:rPr>
          <w:lang w:val="en-US"/>
        </w:rPr>
        <w:t xml:space="preserve"> </w:t>
      </w:r>
      <w:hyperlink r:id="rId126" w:history="1">
        <w:r w:rsidR="00FE300D" w:rsidRPr="00B55012">
          <w:rPr>
            <w:rStyle w:val="Hyperlink"/>
            <w:lang w:val="en-US"/>
          </w:rPr>
          <w:t xml:space="preserve">“It Felt Like Everything </w:t>
        </w:r>
        <w:proofErr w:type="gramStart"/>
        <w:r w:rsidR="00FE300D" w:rsidRPr="00B55012">
          <w:rPr>
            <w:rStyle w:val="Hyperlink"/>
            <w:lang w:val="en-US"/>
          </w:rPr>
          <w:t>In</w:t>
        </w:r>
        <w:proofErr w:type="gramEnd"/>
        <w:r w:rsidR="00FE300D" w:rsidRPr="00B55012">
          <w:rPr>
            <w:rStyle w:val="Hyperlink"/>
            <w:lang w:val="en-US"/>
          </w:rPr>
          <w:t xml:space="preserve"> Life Stopped” – Legal Capacity Rights Violations Against People with Disabilities in Canada’s Immigration Detention System.</w:t>
        </w:r>
      </w:hyperlink>
    </w:p>
  </w:footnote>
  <w:footnote w:id="115">
    <w:p w14:paraId="628BB986" w14:textId="1A488E38" w:rsidR="009B739E" w:rsidRPr="00F037B5" w:rsidRDefault="009B739E" w:rsidP="009B739E">
      <w:pPr>
        <w:pStyle w:val="FootnoteText"/>
      </w:pPr>
      <w:r w:rsidRPr="00F037B5">
        <w:rPr>
          <w:rStyle w:val="FootnoteReference"/>
        </w:rPr>
        <w:footnoteRef/>
      </w:r>
      <w:r w:rsidRPr="00F037B5">
        <w:t xml:space="preserve"> </w:t>
      </w:r>
      <w:r w:rsidR="00B55012">
        <w:t xml:space="preserve">Bill C-20. (2024). </w:t>
      </w:r>
      <w:hyperlink r:id="rId127" w:history="1">
        <w:r w:rsidR="00B55012" w:rsidRPr="000A7E49">
          <w:rPr>
            <w:rStyle w:val="Hyperlink"/>
          </w:rPr>
          <w:t>An Act establishing the Public Complaints and Review Commission and amending certain Acts and statutory instruments</w:t>
        </w:r>
      </w:hyperlink>
      <w:r w:rsidR="00B55012">
        <w:t>.</w:t>
      </w:r>
    </w:p>
  </w:footnote>
  <w:footnote w:id="116">
    <w:p w14:paraId="0620D679" w14:textId="77777777" w:rsidR="005A30DB" w:rsidRPr="00F037B5" w:rsidRDefault="005A30DB" w:rsidP="005A30DB">
      <w:pPr>
        <w:pStyle w:val="FootnoteText"/>
        <w:rPr>
          <w:rFonts w:cs="Arial"/>
        </w:rPr>
      </w:pPr>
      <w:r w:rsidRPr="00A264D5">
        <w:rPr>
          <w:rStyle w:val="FootnoteReference"/>
          <w:rFonts w:cs="Arial"/>
        </w:rPr>
        <w:footnoteRef/>
      </w:r>
      <w:r w:rsidRPr="00A264D5">
        <w:rPr>
          <w:rFonts w:cs="Arial"/>
        </w:rPr>
        <w:t xml:space="preserve"> </w:t>
      </w:r>
      <w:hyperlink r:id="rId128" w:anchor=":~:text=No%20complaints%20to%20be%20considered,dealt%20with%20in%20certain%20cases" w:history="1">
        <w:r w:rsidRPr="00A264D5">
          <w:rPr>
            <w:rStyle w:val="Hyperlink"/>
            <w:rFonts w:cs="Arial"/>
          </w:rPr>
          <w:t>Canadian Human Rights Act (CHRA) Section 40(5)</w:t>
        </w:r>
      </w:hyperlink>
      <w:r w:rsidRPr="00F037B5">
        <w:rPr>
          <w:rFonts w:cs="Arial"/>
        </w:rPr>
        <w:t>.</w:t>
      </w:r>
    </w:p>
  </w:footnote>
  <w:footnote w:id="117">
    <w:p w14:paraId="1FF3F3C6" w14:textId="77777777" w:rsidR="005238E6" w:rsidRPr="00F037B5" w:rsidRDefault="005238E6" w:rsidP="005238E6">
      <w:pPr>
        <w:pStyle w:val="FootnoteText"/>
      </w:pPr>
      <w:r w:rsidRPr="00F037B5">
        <w:rPr>
          <w:rStyle w:val="FootnoteReference"/>
        </w:rPr>
        <w:footnoteRef/>
      </w:r>
      <w:r w:rsidRPr="00F037B5">
        <w:t xml:space="preserve"> Bill C-2</w:t>
      </w:r>
      <w:r>
        <w:t>.</w:t>
      </w:r>
      <w:r w:rsidRPr="00F037B5">
        <w:t xml:space="preserve"> (2025)</w:t>
      </w:r>
      <w:r>
        <w:t>.</w:t>
      </w:r>
      <w:r w:rsidRPr="00F037B5">
        <w:t xml:space="preserve"> </w:t>
      </w:r>
      <w:hyperlink r:id="rId129" w:history="1">
        <w:r w:rsidRPr="00F037B5">
          <w:rPr>
            <w:rStyle w:val="Hyperlink"/>
          </w:rPr>
          <w:t>An Act respecting certain measures relating to the security of the border between Canada and the United States and respecting other related security measures Act</w:t>
        </w:r>
      </w:hyperlink>
      <w:r w:rsidRPr="00F037B5">
        <w:t>.</w:t>
      </w:r>
    </w:p>
  </w:footnote>
  <w:footnote w:id="118">
    <w:p w14:paraId="6CDBC280" w14:textId="77777777" w:rsidR="005238E6" w:rsidRDefault="005238E6" w:rsidP="005238E6">
      <w:pPr>
        <w:pStyle w:val="FootnoteText"/>
      </w:pPr>
      <w:r>
        <w:rPr>
          <w:rStyle w:val="FootnoteReference"/>
        </w:rPr>
        <w:footnoteRef/>
      </w:r>
      <w:r>
        <w:t xml:space="preserve"> Bill C-12. (2025). </w:t>
      </w:r>
      <w:hyperlink r:id="rId130" w:history="1">
        <w:r w:rsidRPr="00663AE9">
          <w:rPr>
            <w:rStyle w:val="Hyperlink"/>
          </w:rPr>
          <w:t>An Act respecting certain measures relating to the security of Canada's borders and the integrity of the Canadian immigration system and respecting other related security measures.</w:t>
        </w:r>
      </w:hyperlink>
    </w:p>
  </w:footnote>
  <w:footnote w:id="119">
    <w:p w14:paraId="6036EF3B" w14:textId="77777777" w:rsidR="00FB4690" w:rsidRPr="00F037B5" w:rsidRDefault="00FB4690" w:rsidP="00FB4690">
      <w:pPr>
        <w:pStyle w:val="FootnoteText"/>
      </w:pPr>
      <w:r w:rsidRPr="00F037B5">
        <w:rPr>
          <w:rStyle w:val="FootnoteReference"/>
        </w:rPr>
        <w:footnoteRef/>
      </w:r>
      <w:r w:rsidRPr="00F037B5">
        <w:t xml:space="preserve"> </w:t>
      </w:r>
      <w:r>
        <w:t xml:space="preserve">University of Toronto. (2018). </w:t>
      </w:r>
      <w:hyperlink r:id="rId131" w:history="1">
        <w:r w:rsidRPr="00495B08">
          <w:rPr>
            <w:rStyle w:val="Hyperlink"/>
          </w:rPr>
          <w:t>Bots at the gate: A human rights analysis of automated decision making in Canada’s immigration and refugee system</w:t>
        </w:r>
      </w:hyperlink>
      <w:r>
        <w:t>.</w:t>
      </w:r>
    </w:p>
  </w:footnote>
  <w:footnote w:id="120">
    <w:p w14:paraId="36849EA6" w14:textId="77777777" w:rsidR="00FB4690" w:rsidRPr="00F037B5" w:rsidRDefault="00FB4690" w:rsidP="00FB4690">
      <w:pPr>
        <w:pStyle w:val="FootnoteText"/>
      </w:pPr>
      <w:r w:rsidRPr="00BF10A5">
        <w:rPr>
          <w:rStyle w:val="FootnoteReference"/>
        </w:rPr>
        <w:footnoteRef/>
      </w:r>
      <w:r w:rsidRPr="00BF10A5">
        <w:t xml:space="preserve"> </w:t>
      </w:r>
      <w:r>
        <w:t xml:space="preserve">Centre for International Governance Innovation. (2025). </w:t>
      </w:r>
      <w:hyperlink r:id="rId132" w:history="1">
        <w:r w:rsidRPr="007B66EF">
          <w:rPr>
            <w:rStyle w:val="Hyperlink"/>
          </w:rPr>
          <w:t>The Role of Data and AI in Canada’s Housing Crisis: A Critical Overview</w:t>
        </w:r>
      </w:hyperlink>
      <w:r>
        <w:t xml:space="preserve">. </w:t>
      </w:r>
    </w:p>
  </w:footnote>
  <w:footnote w:id="121">
    <w:p w14:paraId="18C71595" w14:textId="7BB3DFF2" w:rsidR="00FB4690" w:rsidRPr="00F81BF7" w:rsidRDefault="00FB4690" w:rsidP="00FB4690">
      <w:pPr>
        <w:pStyle w:val="FootnoteText"/>
        <w:rPr>
          <w:rStyle w:val="Hyperlink"/>
        </w:rPr>
      </w:pPr>
      <w:r w:rsidRPr="00F037B5">
        <w:rPr>
          <w:rStyle w:val="FootnoteReference"/>
        </w:rPr>
        <w:footnoteRef/>
      </w:r>
      <w:r w:rsidRPr="00F037B5">
        <w:t xml:space="preserve"> </w:t>
      </w:r>
      <w:r>
        <w:t xml:space="preserve">Canadian Human Rights Commission. (2022). </w:t>
      </w:r>
      <w:r>
        <w:fldChar w:fldCharType="begin"/>
      </w:r>
      <w:r>
        <w:instrText>HYPERLINK "https://www.chrc-ccdp.gc.ca/about-human-rights/publications/facial-recognition-technology-use-policing"</w:instrText>
      </w:r>
      <w:r>
        <w:fldChar w:fldCharType="separate"/>
      </w:r>
      <w:r w:rsidRPr="00F81BF7">
        <w:rPr>
          <w:rStyle w:val="Hyperlink"/>
        </w:rPr>
        <w:t>Facial recognition technology use in policing</w:t>
      </w:r>
      <w:proofErr w:type="gramStart"/>
      <w:r w:rsidRPr="00F81BF7">
        <w:rPr>
          <w:rStyle w:val="Hyperlink"/>
        </w:rPr>
        <w:t>.</w:t>
      </w:r>
      <w:r w:rsidR="00865F4D" w:rsidRPr="00865F4D">
        <w:rPr>
          <w:rStyle w:val="Hyperlink"/>
          <w:color w:val="auto"/>
          <w:u w:val="none"/>
        </w:rPr>
        <w:t>;</w:t>
      </w:r>
      <w:proofErr w:type="gramEnd"/>
    </w:p>
    <w:p w14:paraId="2893AF5A" w14:textId="77777777" w:rsidR="00FB4690" w:rsidRPr="00F037B5" w:rsidRDefault="00FB4690" w:rsidP="00FB4690">
      <w:pPr>
        <w:pStyle w:val="FootnoteText"/>
      </w:pPr>
      <w:r>
        <w:fldChar w:fldCharType="end"/>
      </w:r>
      <w:r>
        <w:t>University of Toronto. (2020).</w:t>
      </w:r>
      <w:r w:rsidRPr="00F037B5">
        <w:t xml:space="preserve"> </w:t>
      </w:r>
      <w:hyperlink r:id="rId133" w:history="1">
        <w:r w:rsidRPr="00495B08">
          <w:rPr>
            <w:rStyle w:val="Hyperlink"/>
          </w:rPr>
          <w:t xml:space="preserve">To </w:t>
        </w:r>
        <w:proofErr w:type="spellStart"/>
        <w:r w:rsidRPr="00F81BF7">
          <w:rPr>
            <w:rStyle w:val="Hyperlink"/>
          </w:rPr>
          <w:t>surveil</w:t>
        </w:r>
        <w:proofErr w:type="spellEnd"/>
        <w:r w:rsidRPr="00495B08">
          <w:rPr>
            <w:rStyle w:val="Hyperlink"/>
          </w:rPr>
          <w:t xml:space="preserve"> and predict: A human rights analysis of algorithmic policing in Canada.</w:t>
        </w:r>
      </w:hyperlink>
      <w:r>
        <w:t xml:space="preserve">; see also: </w:t>
      </w:r>
      <w:hyperlink r:id="rId134" w:history="1">
        <w:r w:rsidRPr="00BF10A5">
          <w:rPr>
            <w:rStyle w:val="Hyperlink"/>
          </w:rPr>
          <w:t>Transparency and accountability archives.</w:t>
        </w:r>
      </w:hyperlink>
    </w:p>
  </w:footnote>
  <w:footnote w:id="122">
    <w:p w14:paraId="44BAC857" w14:textId="77777777" w:rsidR="00FB4690" w:rsidRPr="00F037B5" w:rsidRDefault="00FB4690" w:rsidP="00FB4690">
      <w:pPr>
        <w:pStyle w:val="FootnoteText"/>
      </w:pPr>
      <w:r w:rsidRPr="00BF10A5">
        <w:rPr>
          <w:rStyle w:val="FootnoteReference"/>
        </w:rPr>
        <w:footnoteRef/>
      </w:r>
      <w:r w:rsidRPr="00BF10A5">
        <w:t xml:space="preserve"> </w:t>
      </w:r>
      <w:r>
        <w:t xml:space="preserve">Law Commission of Ontario. </w:t>
      </w:r>
      <w:hyperlink r:id="rId135" w:history="1">
        <w:r w:rsidRPr="005F1053">
          <w:rPr>
            <w:rStyle w:val="Hyperlink"/>
          </w:rPr>
          <w:t>AI in Criminal Justice</w:t>
        </w:r>
      </w:hyperlink>
      <w:r>
        <w:t xml:space="preserve">. </w:t>
      </w:r>
    </w:p>
  </w:footnote>
  <w:footnote w:id="123">
    <w:p w14:paraId="4CA497BB" w14:textId="77777777" w:rsidR="00FB4690" w:rsidRPr="00F037B5" w:rsidRDefault="00FB4690" w:rsidP="00FB4690">
      <w:pPr>
        <w:pStyle w:val="FootnoteText"/>
      </w:pPr>
      <w:r w:rsidRPr="00F037B5">
        <w:rPr>
          <w:rStyle w:val="FootnoteReference"/>
        </w:rPr>
        <w:footnoteRef/>
      </w:r>
      <w:r w:rsidRPr="00F037B5">
        <w:t xml:space="preserve"> </w:t>
      </w:r>
      <w:r>
        <w:t xml:space="preserve">Ontario Human Rights Commission. (2024). </w:t>
      </w:r>
      <w:hyperlink r:id="rId136" w:history="1">
        <w:r w:rsidRPr="005F1053">
          <w:rPr>
            <w:rStyle w:val="Hyperlink"/>
          </w:rPr>
          <w:t>Bill 194, Strengthening Cyber Security and Building Trust in the Public Sector Act, 2024.</w:t>
        </w:r>
      </w:hyperlink>
    </w:p>
  </w:footnote>
  <w:footnote w:id="124">
    <w:p w14:paraId="1FB4AE59" w14:textId="05CB5531" w:rsidR="002C06DB" w:rsidRPr="00F037B5" w:rsidRDefault="002C06DB" w:rsidP="002C06DB">
      <w:pPr>
        <w:pStyle w:val="FootnoteText"/>
      </w:pPr>
      <w:r w:rsidRPr="00F037B5">
        <w:rPr>
          <w:rStyle w:val="FootnoteReference"/>
        </w:rPr>
        <w:footnoteRef/>
      </w:r>
      <w:r w:rsidRPr="00F037B5">
        <w:t xml:space="preserve"> </w:t>
      </w:r>
      <w:r w:rsidR="00A36696">
        <w:t>Global Affairs Canada. (2025)</w:t>
      </w:r>
      <w:r w:rsidR="004C46C8">
        <w:t>.</w:t>
      </w:r>
      <w:r w:rsidR="00A36696">
        <w:t xml:space="preserve"> </w:t>
      </w:r>
      <w:hyperlink r:id="rId137" w:history="1">
        <w:r w:rsidR="00015111" w:rsidRPr="00A36696">
          <w:rPr>
            <w:rStyle w:val="Hyperlink"/>
          </w:rPr>
          <w:t>Canada signs the Council of Europe Framework Convention on Artificial Intelligence and Human Rights, Democracy and the Rule of Law.</w:t>
        </w:r>
      </w:hyperlink>
      <w:r w:rsidR="00015111" w:rsidRPr="00F037B5">
        <w:t xml:space="preserve"> </w:t>
      </w:r>
    </w:p>
  </w:footnote>
  <w:footnote w:id="125">
    <w:p w14:paraId="71915157" w14:textId="31260E06" w:rsidR="002C06DB" w:rsidRPr="00F037B5" w:rsidRDefault="002C06DB" w:rsidP="004C46C8">
      <w:pPr>
        <w:pStyle w:val="FootnoteText"/>
      </w:pPr>
      <w:r w:rsidRPr="00F037B5">
        <w:rPr>
          <w:rStyle w:val="FootnoteReference"/>
        </w:rPr>
        <w:footnoteRef/>
      </w:r>
      <w:r w:rsidRPr="00F037B5">
        <w:t xml:space="preserve"> </w:t>
      </w:r>
      <w:r w:rsidR="00A36696">
        <w:t xml:space="preserve">Council of Europe. (2024). </w:t>
      </w:r>
      <w:hyperlink r:id="rId138" w:history="1">
        <w:r w:rsidR="004C46C8" w:rsidRPr="004C46C8">
          <w:rPr>
            <w:rStyle w:val="Hyperlink"/>
          </w:rPr>
          <w:t>Council of Europe Framework Convention on Artificial Intelligence and Human Rights, Democracy and the Rule of Law</w:t>
        </w:r>
      </w:hyperlink>
      <w:r w:rsidR="004C46C8">
        <w:t>.</w:t>
      </w:r>
    </w:p>
  </w:footnote>
  <w:footnote w:id="126">
    <w:p w14:paraId="1F2CB110" w14:textId="2402B631" w:rsidR="00B61738" w:rsidRPr="004A2A07" w:rsidRDefault="00B61738">
      <w:pPr>
        <w:pStyle w:val="FootnoteText"/>
      </w:pPr>
      <w:r w:rsidRPr="005D3B04">
        <w:rPr>
          <w:rStyle w:val="FootnoteReference"/>
        </w:rPr>
        <w:footnoteRef/>
      </w:r>
      <w:r w:rsidRPr="005D3B04">
        <w:t xml:space="preserve"> </w:t>
      </w:r>
      <w:r w:rsidR="005D3B04" w:rsidRPr="005D3B04">
        <w:t>See for example: the</w:t>
      </w:r>
      <w:r w:rsidRPr="005D3B04">
        <w:t xml:space="preserve"> </w:t>
      </w:r>
      <w:hyperlink r:id="rId139" w:history="1">
        <w:r w:rsidRPr="005D3B04">
          <w:rPr>
            <w:rStyle w:val="Hyperlink"/>
          </w:rPr>
          <w:t>Responsible use of artificial intelligence in government</w:t>
        </w:r>
      </w:hyperlink>
      <w:r w:rsidR="004A2A07" w:rsidRPr="005D3B04">
        <w:t>,</w:t>
      </w:r>
      <w:r w:rsidRPr="005D3B04">
        <w:t xml:space="preserve"> the </w:t>
      </w:r>
      <w:hyperlink r:id="rId140" w:history="1">
        <w:r w:rsidRPr="005D3B04">
          <w:rPr>
            <w:rStyle w:val="Hyperlink"/>
          </w:rPr>
          <w:t>Directive on Automated Decision-Making</w:t>
        </w:r>
      </w:hyperlink>
      <w:r w:rsidR="005D3B04" w:rsidRPr="005D3B04">
        <w:t>,</w:t>
      </w:r>
      <w:r w:rsidRPr="005D3B04">
        <w:t xml:space="preserve"> and the related </w:t>
      </w:r>
      <w:hyperlink r:id="rId141" w:history="1">
        <w:r w:rsidRPr="005D3B04">
          <w:rPr>
            <w:rStyle w:val="Hyperlink"/>
          </w:rPr>
          <w:t>Algorithmic Impact Assessment tool</w:t>
        </w:r>
      </w:hyperlink>
      <w:r w:rsidRPr="005D3B04">
        <w:t xml:space="preserve">, which were recently updated to improve human rights analysis. </w:t>
      </w:r>
    </w:p>
  </w:footnote>
  <w:footnote w:id="127">
    <w:p w14:paraId="087CF969" w14:textId="5E8AC11F" w:rsidR="00012F2A" w:rsidRPr="00E96DCC" w:rsidRDefault="00012F2A">
      <w:pPr>
        <w:pStyle w:val="FootnoteText"/>
      </w:pPr>
      <w:r>
        <w:rPr>
          <w:rStyle w:val="FootnoteReference"/>
        </w:rPr>
        <w:footnoteRef/>
      </w:r>
      <w:r>
        <w:t xml:space="preserve"> </w:t>
      </w:r>
      <w:r w:rsidR="00E96DCC">
        <w:t xml:space="preserve">Government of Canada. (2025). </w:t>
      </w:r>
      <w:hyperlink r:id="rId142" w:history="1">
        <w:r w:rsidR="00E96DCC" w:rsidRPr="00E96DCC">
          <w:rPr>
            <w:rStyle w:val="Hyperlink"/>
          </w:rPr>
          <w:t>AI Strategy for the Federal Public Service 2025-2027: Overview</w:t>
        </w:r>
      </w:hyperlink>
      <w:r w:rsidR="00E96DCC">
        <w:t>.</w:t>
      </w:r>
    </w:p>
  </w:footnote>
  <w:footnote w:id="128">
    <w:p w14:paraId="525F2A93" w14:textId="3AB29649" w:rsidR="002C06DB" w:rsidRPr="00063D8A" w:rsidRDefault="002C06DB" w:rsidP="002C06DB">
      <w:pPr>
        <w:pStyle w:val="FootnoteText"/>
        <w:rPr>
          <w:highlight w:val="yellow"/>
        </w:rPr>
      </w:pPr>
      <w:r w:rsidRPr="004A2A07">
        <w:rPr>
          <w:rStyle w:val="FootnoteReference"/>
        </w:rPr>
        <w:footnoteRef/>
      </w:r>
      <w:r w:rsidR="004A2A07" w:rsidRPr="004A2A07">
        <w:t xml:space="preserve"> Algorithmic Media Observatory. (2024).</w:t>
      </w:r>
      <w:r w:rsidRPr="004A2A07">
        <w:t xml:space="preserve"> </w:t>
      </w:r>
      <w:hyperlink r:id="rId143" w:history="1">
        <w:r w:rsidRPr="004A2A07">
          <w:rPr>
            <w:rStyle w:val="Hyperlink"/>
          </w:rPr>
          <w:t>Northern Lights and Silicon Dreams: AI Governance in Canada (2011-2022)</w:t>
        </w:r>
      </w:hyperlink>
      <w:r w:rsidR="00A264D5">
        <w:t>.</w:t>
      </w:r>
    </w:p>
  </w:footnote>
  <w:footnote w:id="129">
    <w:p w14:paraId="27F13154" w14:textId="4A1A035F" w:rsidR="002C06DB" w:rsidRPr="00F037B5" w:rsidRDefault="002C06DB" w:rsidP="002C06DB">
      <w:pPr>
        <w:pStyle w:val="FootnoteText"/>
      </w:pPr>
      <w:r w:rsidRPr="004A2A07">
        <w:rPr>
          <w:rStyle w:val="FootnoteReference"/>
        </w:rPr>
        <w:footnoteRef/>
      </w:r>
      <w:r w:rsidRPr="004A2A07">
        <w:t xml:space="preserve"> </w:t>
      </w:r>
      <w:r w:rsidR="00B521D6" w:rsidRPr="004A2A07">
        <w:t>One example of this would be the following assessment tool</w:t>
      </w:r>
      <w:r w:rsidR="00A264D5">
        <w:t>,</w:t>
      </w:r>
      <w:r w:rsidR="00B521D6" w:rsidRPr="004A2A07">
        <w:t xml:space="preserve"> which the CHRC contributed to</w:t>
      </w:r>
      <w:r w:rsidR="00A264D5">
        <w:t>:</w:t>
      </w:r>
      <w:r w:rsidR="004A2A07" w:rsidRPr="004A2A07">
        <w:t xml:space="preserve"> Ontario Human Rights Commission. (2024).</w:t>
      </w:r>
      <w:r w:rsidR="00B521D6" w:rsidRPr="004A2A07">
        <w:t xml:space="preserve"> </w:t>
      </w:r>
      <w:hyperlink r:id="rId144" w:history="1">
        <w:r w:rsidR="004A2A07" w:rsidRPr="004A2A07">
          <w:rPr>
            <w:rStyle w:val="Hyperlink"/>
          </w:rPr>
          <w:t>Human Rights AI Impact Assessment</w:t>
        </w:r>
      </w:hyperlink>
      <w:r w:rsidR="00A264D5">
        <w:t xml:space="preserve">. </w:t>
      </w:r>
    </w:p>
  </w:footnote>
  <w:footnote w:id="130">
    <w:p w14:paraId="55E3C412" w14:textId="5D7CFD96" w:rsidR="00126FA6" w:rsidRPr="00F037B5" w:rsidRDefault="00126FA6">
      <w:pPr>
        <w:pStyle w:val="FootnoteText"/>
      </w:pPr>
      <w:r w:rsidRPr="00F037B5">
        <w:rPr>
          <w:rStyle w:val="FootnoteReference"/>
        </w:rPr>
        <w:footnoteRef/>
      </w:r>
      <w:r w:rsidRPr="00F037B5">
        <w:t xml:space="preserve"> </w:t>
      </w:r>
      <w:r w:rsidR="00B30478">
        <w:t xml:space="preserve">United Nations General Assembly. </w:t>
      </w:r>
      <w:r w:rsidR="00B30478" w:rsidRPr="00126FA6">
        <w:t xml:space="preserve">Open-Ended Working Group on Ageing. </w:t>
      </w:r>
      <w:r w:rsidR="00B30478">
        <w:t xml:space="preserve">(May 2024). </w:t>
      </w:r>
      <w:hyperlink r:id="rId145" w:history="1">
        <w:r w:rsidR="00B30478" w:rsidRPr="00126FA6">
          <w:rPr>
            <w:rStyle w:val="Hyperlink"/>
          </w:rPr>
          <w:t>Report of the Open-Ended Working Group on Ageing on its fourteenth session</w:t>
        </w:r>
      </w:hyperlink>
      <w:r w:rsidR="00B30478" w:rsidRPr="00126FA6">
        <w:t xml:space="preserve">. </w:t>
      </w:r>
    </w:p>
  </w:footnote>
  <w:footnote w:id="131">
    <w:p w14:paraId="1687E08C" w14:textId="753EDECA" w:rsidR="00DD017C" w:rsidRPr="00F037B5" w:rsidRDefault="00DD017C">
      <w:pPr>
        <w:pStyle w:val="FootnoteText"/>
      </w:pPr>
      <w:r w:rsidRPr="00F037B5">
        <w:rPr>
          <w:rStyle w:val="FootnoteReference"/>
        </w:rPr>
        <w:footnoteRef/>
      </w:r>
      <w:r w:rsidR="00B30478">
        <w:t xml:space="preserve"> United Nations General Assembly. Human Rights Council. (April 2025). </w:t>
      </w:r>
      <w:hyperlink r:id="rId146" w:history="1">
        <w:r w:rsidR="00B30478" w:rsidRPr="00CC1255">
          <w:rPr>
            <w:rStyle w:val="Hyperlink"/>
          </w:rPr>
          <w:t>Open-ended intergovernmental working group for the elaboration of a legally binding instrument on the promotion and protection of the human rights of older persons</w:t>
        </w:r>
      </w:hyperlink>
      <w:r w:rsidR="00B30478">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6FAAB" w14:textId="6CBEA06E" w:rsidR="00AF6D7D" w:rsidRDefault="00AF6D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BD72A" w14:textId="681D9664" w:rsidR="00AF6D7D" w:rsidRDefault="00AF6D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2FEB3" w14:textId="606A6557" w:rsidR="00F73E0B" w:rsidRDefault="00F73E0B">
    <w:pPr>
      <w:pStyle w:val="Header"/>
    </w:pPr>
    <w:r>
      <w:rPr>
        <w:noProof/>
        <w:lang w:eastAsia="en-CA"/>
      </w:rPr>
      <w:drawing>
        <wp:anchor distT="0" distB="0" distL="114300" distR="114300" simplePos="0" relativeHeight="251659264" behindDoc="1" locked="0" layoutInCell="1" allowOverlap="1" wp14:anchorId="7DBE6F22" wp14:editId="4138917D">
          <wp:simplePos x="0" y="0"/>
          <wp:positionH relativeFrom="page">
            <wp:posOffset>9525</wp:posOffset>
          </wp:positionH>
          <wp:positionV relativeFrom="paragraph">
            <wp:posOffset>-457835</wp:posOffset>
          </wp:positionV>
          <wp:extent cx="7763510" cy="10126980"/>
          <wp:effectExtent l="0" t="0" r="8890" b="7620"/>
          <wp:wrapNone/>
          <wp:docPr id="1420130019" name="Image 2" descr="Cover page with a black banner at the top containing the Canadian Human Rights Commission logo and two colored triangles at the bottom. On the right side, it is inscribed &quot;Human Right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Cover page with a black banner at the top containing the Canadian Human Rights Commission logo and two colored triangles at the bottom. On the right side, it is inscribed &quot;Human Rights&quot;."/>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63510" cy="1012698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154F5" w14:textId="1B8D1203" w:rsidR="00AF6D7D" w:rsidRDefault="00AF6D7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34F9D" w14:textId="10E98040" w:rsidR="003F2241" w:rsidRPr="003F2241" w:rsidRDefault="003F2241" w:rsidP="003F2241">
    <w:pPr>
      <w:pStyle w:val="Header"/>
      <w:jc w:val="right"/>
      <w:rPr>
        <w:b/>
        <w:bCs/>
        <w:sz w:val="20"/>
        <w:szCs w:val="18"/>
        <w:lang w:val="en-U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F1CDB" w14:textId="521F7309" w:rsidR="00F00A13" w:rsidRDefault="00F00A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819BC"/>
    <w:multiLevelType w:val="hybridMultilevel"/>
    <w:tmpl w:val="09845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C9726C9"/>
    <w:multiLevelType w:val="multilevel"/>
    <w:tmpl w:val="6EAC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7A427E"/>
    <w:multiLevelType w:val="hybridMultilevel"/>
    <w:tmpl w:val="4E4AF92C"/>
    <w:lvl w:ilvl="0" w:tplc="4B02069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526D82"/>
    <w:multiLevelType w:val="multilevel"/>
    <w:tmpl w:val="EB70B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422EB7"/>
    <w:multiLevelType w:val="multilevel"/>
    <w:tmpl w:val="B7EAF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E33730"/>
    <w:multiLevelType w:val="hybridMultilevel"/>
    <w:tmpl w:val="46D00C86"/>
    <w:lvl w:ilvl="0" w:tplc="E6B0A430">
      <w:numFmt w:val="bullet"/>
      <w:lvlText w:val="-"/>
      <w:lvlJc w:val="left"/>
      <w:pPr>
        <w:ind w:left="720" w:hanging="360"/>
      </w:pPr>
      <w:rPr>
        <w:rFonts w:ascii="Aptos" w:eastAsiaTheme="minorHAnsi" w:hAnsi="Apto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E424CFB"/>
    <w:multiLevelType w:val="hybridMultilevel"/>
    <w:tmpl w:val="E5080906"/>
    <w:lvl w:ilvl="0" w:tplc="A08CC798">
      <w:start w:val="1"/>
      <w:numFmt w:val="decimal"/>
      <w:lvlText w:val="%1."/>
      <w:lvlJc w:val="left"/>
      <w:pPr>
        <w:ind w:left="1440" w:hanging="360"/>
      </w:pPr>
    </w:lvl>
    <w:lvl w:ilvl="1" w:tplc="9B7A3728">
      <w:start w:val="1"/>
      <w:numFmt w:val="decimal"/>
      <w:lvlText w:val="%2."/>
      <w:lvlJc w:val="left"/>
      <w:pPr>
        <w:ind w:left="1440" w:hanging="360"/>
      </w:pPr>
    </w:lvl>
    <w:lvl w:ilvl="2" w:tplc="6868FAAE">
      <w:start w:val="1"/>
      <w:numFmt w:val="decimal"/>
      <w:lvlText w:val="%3."/>
      <w:lvlJc w:val="left"/>
      <w:pPr>
        <w:ind w:left="1440" w:hanging="360"/>
      </w:pPr>
    </w:lvl>
    <w:lvl w:ilvl="3" w:tplc="7A9E915E">
      <w:start w:val="1"/>
      <w:numFmt w:val="decimal"/>
      <w:lvlText w:val="%4."/>
      <w:lvlJc w:val="left"/>
      <w:pPr>
        <w:ind w:left="1440" w:hanging="360"/>
      </w:pPr>
    </w:lvl>
    <w:lvl w:ilvl="4" w:tplc="298E8CAA">
      <w:start w:val="1"/>
      <w:numFmt w:val="decimal"/>
      <w:lvlText w:val="%5."/>
      <w:lvlJc w:val="left"/>
      <w:pPr>
        <w:ind w:left="1440" w:hanging="360"/>
      </w:pPr>
    </w:lvl>
    <w:lvl w:ilvl="5" w:tplc="FC34DE84">
      <w:start w:val="1"/>
      <w:numFmt w:val="decimal"/>
      <w:lvlText w:val="%6."/>
      <w:lvlJc w:val="left"/>
      <w:pPr>
        <w:ind w:left="1440" w:hanging="360"/>
      </w:pPr>
    </w:lvl>
    <w:lvl w:ilvl="6" w:tplc="0AF26B9A">
      <w:start w:val="1"/>
      <w:numFmt w:val="decimal"/>
      <w:lvlText w:val="%7."/>
      <w:lvlJc w:val="left"/>
      <w:pPr>
        <w:ind w:left="1440" w:hanging="360"/>
      </w:pPr>
    </w:lvl>
    <w:lvl w:ilvl="7" w:tplc="4CAE131C">
      <w:start w:val="1"/>
      <w:numFmt w:val="decimal"/>
      <w:lvlText w:val="%8."/>
      <w:lvlJc w:val="left"/>
      <w:pPr>
        <w:ind w:left="1440" w:hanging="360"/>
      </w:pPr>
    </w:lvl>
    <w:lvl w:ilvl="8" w:tplc="71403F26">
      <w:start w:val="1"/>
      <w:numFmt w:val="decimal"/>
      <w:lvlText w:val="%9."/>
      <w:lvlJc w:val="left"/>
      <w:pPr>
        <w:ind w:left="1440" w:hanging="360"/>
      </w:pPr>
    </w:lvl>
  </w:abstractNum>
  <w:abstractNum w:abstractNumId="7" w15:restartNumberingAfterBreak="0">
    <w:nsid w:val="32983843"/>
    <w:multiLevelType w:val="multilevel"/>
    <w:tmpl w:val="3E46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2832AC"/>
    <w:multiLevelType w:val="hybridMultilevel"/>
    <w:tmpl w:val="A4A6F3B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B8B149E"/>
    <w:multiLevelType w:val="hybridMultilevel"/>
    <w:tmpl w:val="4F805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9704EE"/>
    <w:multiLevelType w:val="multilevel"/>
    <w:tmpl w:val="7C80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C384004"/>
    <w:multiLevelType w:val="multilevel"/>
    <w:tmpl w:val="56DCA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42A256E"/>
    <w:multiLevelType w:val="multilevel"/>
    <w:tmpl w:val="2AC0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E624EB"/>
    <w:multiLevelType w:val="multilevel"/>
    <w:tmpl w:val="F0B8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6A17897"/>
    <w:multiLevelType w:val="multilevel"/>
    <w:tmpl w:val="16A64BE2"/>
    <w:lvl w:ilvl="0">
      <w:start w:val="1"/>
      <w:numFmt w:val="decimal"/>
      <w:pStyle w:val="Heading1"/>
      <w:suff w:val="space"/>
      <w:lvlText w:val="%1."/>
      <w:lvlJc w:val="left"/>
      <w:pPr>
        <w:ind w:left="720" w:hanging="720"/>
      </w:pPr>
      <w:rPr>
        <w:rFonts w:hint="default"/>
      </w:rPr>
    </w:lvl>
    <w:lvl w:ilvl="1">
      <w:start w:val="1"/>
      <w:numFmt w:val="decimal"/>
      <w:pStyle w:val="Heading2"/>
      <w:isLgl/>
      <w:lvlText w:val="%1.%2"/>
      <w:lvlJc w:val="left"/>
      <w:pPr>
        <w:ind w:left="4658" w:hanging="405"/>
      </w:pPr>
      <w:rPr>
        <w:rFonts w:hint="default"/>
      </w:rPr>
    </w:lvl>
    <w:lvl w:ilvl="2">
      <w:start w:val="1"/>
      <w:numFmt w:val="decimal"/>
      <w:isLgl/>
      <w:lvlText w:val="%1.%2.%3"/>
      <w:lvlJc w:val="left"/>
      <w:pPr>
        <w:ind w:left="2610" w:hanging="720"/>
      </w:pPr>
      <w:rPr>
        <w:rFonts w:hint="default"/>
      </w:rPr>
    </w:lvl>
    <w:lvl w:ilvl="3">
      <w:start w:val="1"/>
      <w:numFmt w:val="decimal"/>
      <w:isLgl/>
      <w:lvlText w:val="%1.%2.%3.%4"/>
      <w:lvlJc w:val="left"/>
      <w:pPr>
        <w:ind w:left="2970" w:hanging="1080"/>
      </w:pPr>
      <w:rPr>
        <w:rFonts w:hint="default"/>
      </w:rPr>
    </w:lvl>
    <w:lvl w:ilvl="4">
      <w:start w:val="1"/>
      <w:numFmt w:val="decimal"/>
      <w:isLgl/>
      <w:lvlText w:val="%1.%2.%3.%4.%5"/>
      <w:lvlJc w:val="left"/>
      <w:pPr>
        <w:ind w:left="2970" w:hanging="1080"/>
      </w:pPr>
      <w:rPr>
        <w:rFonts w:hint="default"/>
      </w:rPr>
    </w:lvl>
    <w:lvl w:ilvl="5">
      <w:start w:val="1"/>
      <w:numFmt w:val="decimal"/>
      <w:isLgl/>
      <w:lvlText w:val="%1.%2.%3.%4.%5.%6"/>
      <w:lvlJc w:val="left"/>
      <w:pPr>
        <w:ind w:left="3330" w:hanging="144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690" w:hanging="1800"/>
      </w:pPr>
      <w:rPr>
        <w:rFonts w:hint="default"/>
      </w:rPr>
    </w:lvl>
    <w:lvl w:ilvl="8">
      <w:start w:val="1"/>
      <w:numFmt w:val="decimal"/>
      <w:isLgl/>
      <w:lvlText w:val="%1.%2.%3.%4.%5.%6.%7.%8.%9"/>
      <w:lvlJc w:val="left"/>
      <w:pPr>
        <w:ind w:left="3690" w:hanging="1800"/>
      </w:pPr>
      <w:rPr>
        <w:rFonts w:hint="default"/>
      </w:rPr>
    </w:lvl>
  </w:abstractNum>
  <w:abstractNum w:abstractNumId="15" w15:restartNumberingAfterBreak="0">
    <w:nsid w:val="6CA3749D"/>
    <w:multiLevelType w:val="hybridMultilevel"/>
    <w:tmpl w:val="0A4442F0"/>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304BB4"/>
    <w:multiLevelType w:val="multilevel"/>
    <w:tmpl w:val="F7FA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26021563">
    <w:abstractNumId w:val="14"/>
  </w:num>
  <w:num w:numId="2" w16cid:durableId="6642598">
    <w:abstractNumId w:val="3"/>
  </w:num>
  <w:num w:numId="3" w16cid:durableId="1702627815">
    <w:abstractNumId w:val="2"/>
  </w:num>
  <w:num w:numId="4" w16cid:durableId="1882666911">
    <w:abstractNumId w:val="0"/>
  </w:num>
  <w:num w:numId="5" w16cid:durableId="893348979">
    <w:abstractNumId w:val="8"/>
  </w:num>
  <w:num w:numId="6" w16cid:durableId="1032608571">
    <w:abstractNumId w:val="9"/>
  </w:num>
  <w:num w:numId="7" w16cid:durableId="1107695960">
    <w:abstractNumId w:val="5"/>
  </w:num>
  <w:num w:numId="8" w16cid:durableId="1302151910">
    <w:abstractNumId w:val="7"/>
  </w:num>
  <w:num w:numId="9" w16cid:durableId="1665820026">
    <w:abstractNumId w:val="16"/>
  </w:num>
  <w:num w:numId="10" w16cid:durableId="1728143460">
    <w:abstractNumId w:val="12"/>
  </w:num>
  <w:num w:numId="11" w16cid:durableId="1677073149">
    <w:abstractNumId w:val="4"/>
  </w:num>
  <w:num w:numId="12" w16cid:durableId="540094426">
    <w:abstractNumId w:val="1"/>
  </w:num>
  <w:num w:numId="13" w16cid:durableId="1191725008">
    <w:abstractNumId w:val="11"/>
  </w:num>
  <w:num w:numId="14" w16cid:durableId="820536211">
    <w:abstractNumId w:val="10"/>
  </w:num>
  <w:num w:numId="15" w16cid:durableId="746466075">
    <w:abstractNumId w:val="13"/>
  </w:num>
  <w:num w:numId="16" w16cid:durableId="1355812413">
    <w:abstractNumId w:val="15"/>
  </w:num>
  <w:num w:numId="17" w16cid:durableId="112404624">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CA" w:vendorID="64" w:dllVersion="6" w:nlCheck="1" w:checkStyle="0"/>
  <w:activeWritingStyle w:appName="MSWord" w:lang="en-CA" w:vendorID="64" w:dllVersion="6" w:nlCheck="1" w:checkStyle="1"/>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CA" w:vendorID="64" w:dllVersion="0" w:nlCheck="1" w:checkStyle="0"/>
  <w:activeWritingStyle w:appName="MSWord" w:lang="fr-CA" w:vendorID="64" w:dllVersion="0" w:nlCheck="1" w:checkStyle="0"/>
  <w:activeWritingStyle w:appName="MSWord" w:lang="fr-FR" w:vendorID="64" w:dllVersion="0" w:nlCheck="1" w:checkStyle="0"/>
  <w:activeWritingStyle w:appName="MSWord" w:lang="en-GB" w:vendorID="64" w:dllVersion="0" w:nlCheck="1" w:checkStyle="0"/>
  <w:activeWritingStyle w:appName="MSWord" w:lang="pt-BR"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0E2"/>
    <w:rsid w:val="000004F4"/>
    <w:rsid w:val="000008DB"/>
    <w:rsid w:val="00000910"/>
    <w:rsid w:val="00001625"/>
    <w:rsid w:val="00001691"/>
    <w:rsid w:val="00001B64"/>
    <w:rsid w:val="00002313"/>
    <w:rsid w:val="000026E7"/>
    <w:rsid w:val="00002A6D"/>
    <w:rsid w:val="00002BC6"/>
    <w:rsid w:val="0000303E"/>
    <w:rsid w:val="0000325E"/>
    <w:rsid w:val="00003AB3"/>
    <w:rsid w:val="00003AC5"/>
    <w:rsid w:val="0000487C"/>
    <w:rsid w:val="000048CF"/>
    <w:rsid w:val="00004A90"/>
    <w:rsid w:val="00005014"/>
    <w:rsid w:val="000053E2"/>
    <w:rsid w:val="00005846"/>
    <w:rsid w:val="00005BFD"/>
    <w:rsid w:val="000061C9"/>
    <w:rsid w:val="000068E4"/>
    <w:rsid w:val="00006944"/>
    <w:rsid w:val="00006ED9"/>
    <w:rsid w:val="00006F1E"/>
    <w:rsid w:val="00007276"/>
    <w:rsid w:val="000077E8"/>
    <w:rsid w:val="00007B1C"/>
    <w:rsid w:val="00007B78"/>
    <w:rsid w:val="00010097"/>
    <w:rsid w:val="000103C6"/>
    <w:rsid w:val="0001040A"/>
    <w:rsid w:val="00010C0F"/>
    <w:rsid w:val="0001153B"/>
    <w:rsid w:val="00011B62"/>
    <w:rsid w:val="00012307"/>
    <w:rsid w:val="00012F2A"/>
    <w:rsid w:val="00012FA5"/>
    <w:rsid w:val="000130E2"/>
    <w:rsid w:val="00013513"/>
    <w:rsid w:val="000135F7"/>
    <w:rsid w:val="0001363C"/>
    <w:rsid w:val="00013912"/>
    <w:rsid w:val="000142AF"/>
    <w:rsid w:val="00014DAC"/>
    <w:rsid w:val="00014DC2"/>
    <w:rsid w:val="00014F68"/>
    <w:rsid w:val="00015111"/>
    <w:rsid w:val="00016189"/>
    <w:rsid w:val="000167E0"/>
    <w:rsid w:val="00017DC9"/>
    <w:rsid w:val="00020924"/>
    <w:rsid w:val="00021016"/>
    <w:rsid w:val="000214D9"/>
    <w:rsid w:val="00021F73"/>
    <w:rsid w:val="00022BE2"/>
    <w:rsid w:val="000230B2"/>
    <w:rsid w:val="0002372C"/>
    <w:rsid w:val="00023733"/>
    <w:rsid w:val="000246A3"/>
    <w:rsid w:val="00025769"/>
    <w:rsid w:val="00026400"/>
    <w:rsid w:val="00026CDA"/>
    <w:rsid w:val="00026E32"/>
    <w:rsid w:val="00026FC2"/>
    <w:rsid w:val="000274ED"/>
    <w:rsid w:val="00027A09"/>
    <w:rsid w:val="000306E8"/>
    <w:rsid w:val="00030827"/>
    <w:rsid w:val="000309F9"/>
    <w:rsid w:val="000319E4"/>
    <w:rsid w:val="00032437"/>
    <w:rsid w:val="00032A77"/>
    <w:rsid w:val="00032F26"/>
    <w:rsid w:val="000331B3"/>
    <w:rsid w:val="00033431"/>
    <w:rsid w:val="000335F7"/>
    <w:rsid w:val="00033CE3"/>
    <w:rsid w:val="00034B8C"/>
    <w:rsid w:val="00034F4A"/>
    <w:rsid w:val="000359BB"/>
    <w:rsid w:val="000359C4"/>
    <w:rsid w:val="000359C9"/>
    <w:rsid w:val="00035A87"/>
    <w:rsid w:val="00035EED"/>
    <w:rsid w:val="000360D6"/>
    <w:rsid w:val="0003623C"/>
    <w:rsid w:val="0003649D"/>
    <w:rsid w:val="000365FF"/>
    <w:rsid w:val="00036622"/>
    <w:rsid w:val="0003732C"/>
    <w:rsid w:val="00037367"/>
    <w:rsid w:val="000376B3"/>
    <w:rsid w:val="00037B25"/>
    <w:rsid w:val="000401FA"/>
    <w:rsid w:val="00040517"/>
    <w:rsid w:val="00040BBF"/>
    <w:rsid w:val="000414E8"/>
    <w:rsid w:val="000422B1"/>
    <w:rsid w:val="000423FC"/>
    <w:rsid w:val="000424B0"/>
    <w:rsid w:val="00042716"/>
    <w:rsid w:val="00042AC0"/>
    <w:rsid w:val="00042C8A"/>
    <w:rsid w:val="0004319A"/>
    <w:rsid w:val="000434B3"/>
    <w:rsid w:val="00043967"/>
    <w:rsid w:val="00043B89"/>
    <w:rsid w:val="00044096"/>
    <w:rsid w:val="000444EC"/>
    <w:rsid w:val="000445EF"/>
    <w:rsid w:val="00045929"/>
    <w:rsid w:val="00045A4D"/>
    <w:rsid w:val="00045AAF"/>
    <w:rsid w:val="00045EE6"/>
    <w:rsid w:val="00045F6A"/>
    <w:rsid w:val="000460B0"/>
    <w:rsid w:val="000464A5"/>
    <w:rsid w:val="000467D7"/>
    <w:rsid w:val="00046E4F"/>
    <w:rsid w:val="000470AC"/>
    <w:rsid w:val="00047F86"/>
    <w:rsid w:val="0005079A"/>
    <w:rsid w:val="0005093D"/>
    <w:rsid w:val="000511D5"/>
    <w:rsid w:val="00051490"/>
    <w:rsid w:val="00051522"/>
    <w:rsid w:val="000517FA"/>
    <w:rsid w:val="000519D0"/>
    <w:rsid w:val="00051D0E"/>
    <w:rsid w:val="00051DC2"/>
    <w:rsid w:val="00052306"/>
    <w:rsid w:val="00052D42"/>
    <w:rsid w:val="0005354C"/>
    <w:rsid w:val="00054C48"/>
    <w:rsid w:val="00054E4A"/>
    <w:rsid w:val="00054E5E"/>
    <w:rsid w:val="00054E95"/>
    <w:rsid w:val="00055635"/>
    <w:rsid w:val="000557EC"/>
    <w:rsid w:val="00055CC5"/>
    <w:rsid w:val="00055EC3"/>
    <w:rsid w:val="00055F80"/>
    <w:rsid w:val="000571DB"/>
    <w:rsid w:val="0005774A"/>
    <w:rsid w:val="00057A31"/>
    <w:rsid w:val="0006046E"/>
    <w:rsid w:val="0006086C"/>
    <w:rsid w:val="00061B0E"/>
    <w:rsid w:val="00062D6B"/>
    <w:rsid w:val="00062FA1"/>
    <w:rsid w:val="00063744"/>
    <w:rsid w:val="00063C2D"/>
    <w:rsid w:val="00063D67"/>
    <w:rsid w:val="00063D8A"/>
    <w:rsid w:val="00063E5B"/>
    <w:rsid w:val="00063E6A"/>
    <w:rsid w:val="00064375"/>
    <w:rsid w:val="00064712"/>
    <w:rsid w:val="00064A5C"/>
    <w:rsid w:val="00064E9F"/>
    <w:rsid w:val="00064F41"/>
    <w:rsid w:val="00065096"/>
    <w:rsid w:val="00065803"/>
    <w:rsid w:val="00065E87"/>
    <w:rsid w:val="00067087"/>
    <w:rsid w:val="000673A6"/>
    <w:rsid w:val="0006795E"/>
    <w:rsid w:val="00070304"/>
    <w:rsid w:val="00070771"/>
    <w:rsid w:val="000708A3"/>
    <w:rsid w:val="000711C3"/>
    <w:rsid w:val="00073059"/>
    <w:rsid w:val="0007357A"/>
    <w:rsid w:val="00073CBC"/>
    <w:rsid w:val="00073E0A"/>
    <w:rsid w:val="00074215"/>
    <w:rsid w:val="000744EF"/>
    <w:rsid w:val="00074CFC"/>
    <w:rsid w:val="000756CA"/>
    <w:rsid w:val="00075769"/>
    <w:rsid w:val="00075A79"/>
    <w:rsid w:val="000764F9"/>
    <w:rsid w:val="0007745E"/>
    <w:rsid w:val="00077506"/>
    <w:rsid w:val="00077BD2"/>
    <w:rsid w:val="00077C96"/>
    <w:rsid w:val="00077DAF"/>
    <w:rsid w:val="000800A1"/>
    <w:rsid w:val="000812BA"/>
    <w:rsid w:val="000819BD"/>
    <w:rsid w:val="00082817"/>
    <w:rsid w:val="00083AFC"/>
    <w:rsid w:val="0008495C"/>
    <w:rsid w:val="00084EAC"/>
    <w:rsid w:val="00085499"/>
    <w:rsid w:val="000858E4"/>
    <w:rsid w:val="00085FC1"/>
    <w:rsid w:val="00086161"/>
    <w:rsid w:val="000873D2"/>
    <w:rsid w:val="00087D0C"/>
    <w:rsid w:val="0009052D"/>
    <w:rsid w:val="00090DDE"/>
    <w:rsid w:val="00090F0E"/>
    <w:rsid w:val="000912FF"/>
    <w:rsid w:val="000916A8"/>
    <w:rsid w:val="000917EE"/>
    <w:rsid w:val="000925C8"/>
    <w:rsid w:val="0009278E"/>
    <w:rsid w:val="00093908"/>
    <w:rsid w:val="000940BF"/>
    <w:rsid w:val="00094221"/>
    <w:rsid w:val="000949E4"/>
    <w:rsid w:val="000951E4"/>
    <w:rsid w:val="000969F2"/>
    <w:rsid w:val="00096B68"/>
    <w:rsid w:val="000975CD"/>
    <w:rsid w:val="0009778D"/>
    <w:rsid w:val="000977C0"/>
    <w:rsid w:val="000A03AE"/>
    <w:rsid w:val="000A06ED"/>
    <w:rsid w:val="000A07C6"/>
    <w:rsid w:val="000A0E8B"/>
    <w:rsid w:val="000A13A2"/>
    <w:rsid w:val="000A16EE"/>
    <w:rsid w:val="000A17E1"/>
    <w:rsid w:val="000A297E"/>
    <w:rsid w:val="000A3206"/>
    <w:rsid w:val="000A3267"/>
    <w:rsid w:val="000A3931"/>
    <w:rsid w:val="000A3C7A"/>
    <w:rsid w:val="000A4385"/>
    <w:rsid w:val="000A4654"/>
    <w:rsid w:val="000A48B2"/>
    <w:rsid w:val="000A5989"/>
    <w:rsid w:val="000A5C36"/>
    <w:rsid w:val="000A680E"/>
    <w:rsid w:val="000A6C56"/>
    <w:rsid w:val="000A6EA8"/>
    <w:rsid w:val="000A6EFE"/>
    <w:rsid w:val="000A71E9"/>
    <w:rsid w:val="000A7319"/>
    <w:rsid w:val="000A75D3"/>
    <w:rsid w:val="000A78A0"/>
    <w:rsid w:val="000A79BD"/>
    <w:rsid w:val="000B0449"/>
    <w:rsid w:val="000B096D"/>
    <w:rsid w:val="000B0EF7"/>
    <w:rsid w:val="000B11F4"/>
    <w:rsid w:val="000B12A0"/>
    <w:rsid w:val="000B28ED"/>
    <w:rsid w:val="000B2E5D"/>
    <w:rsid w:val="000B2EA8"/>
    <w:rsid w:val="000B361E"/>
    <w:rsid w:val="000B3A58"/>
    <w:rsid w:val="000B450E"/>
    <w:rsid w:val="000B483F"/>
    <w:rsid w:val="000B4B7C"/>
    <w:rsid w:val="000B51FF"/>
    <w:rsid w:val="000B5317"/>
    <w:rsid w:val="000B53D0"/>
    <w:rsid w:val="000B5FB5"/>
    <w:rsid w:val="000B68A8"/>
    <w:rsid w:val="000B6DF6"/>
    <w:rsid w:val="000B7BA0"/>
    <w:rsid w:val="000C0C5E"/>
    <w:rsid w:val="000C166A"/>
    <w:rsid w:val="000C1711"/>
    <w:rsid w:val="000C27AE"/>
    <w:rsid w:val="000C30D3"/>
    <w:rsid w:val="000C32DA"/>
    <w:rsid w:val="000C3735"/>
    <w:rsid w:val="000C3CC8"/>
    <w:rsid w:val="000C4433"/>
    <w:rsid w:val="000C4680"/>
    <w:rsid w:val="000C470E"/>
    <w:rsid w:val="000C4AC8"/>
    <w:rsid w:val="000C4C85"/>
    <w:rsid w:val="000C551E"/>
    <w:rsid w:val="000C5BBE"/>
    <w:rsid w:val="000C680A"/>
    <w:rsid w:val="000C6C48"/>
    <w:rsid w:val="000C76F3"/>
    <w:rsid w:val="000D076D"/>
    <w:rsid w:val="000D0E23"/>
    <w:rsid w:val="000D0F9F"/>
    <w:rsid w:val="000D13C7"/>
    <w:rsid w:val="000D2697"/>
    <w:rsid w:val="000D2A81"/>
    <w:rsid w:val="000D332A"/>
    <w:rsid w:val="000D3837"/>
    <w:rsid w:val="000D428D"/>
    <w:rsid w:val="000D432E"/>
    <w:rsid w:val="000D4466"/>
    <w:rsid w:val="000D5456"/>
    <w:rsid w:val="000D5B15"/>
    <w:rsid w:val="000D5F7F"/>
    <w:rsid w:val="000D683B"/>
    <w:rsid w:val="000D6B4D"/>
    <w:rsid w:val="000D6C55"/>
    <w:rsid w:val="000D6F36"/>
    <w:rsid w:val="000D7141"/>
    <w:rsid w:val="000E09FF"/>
    <w:rsid w:val="000E0B36"/>
    <w:rsid w:val="000E104E"/>
    <w:rsid w:val="000E116C"/>
    <w:rsid w:val="000E193D"/>
    <w:rsid w:val="000E1B90"/>
    <w:rsid w:val="000E1CED"/>
    <w:rsid w:val="000E23FA"/>
    <w:rsid w:val="000E2713"/>
    <w:rsid w:val="000E2BB8"/>
    <w:rsid w:val="000E2C96"/>
    <w:rsid w:val="000E3339"/>
    <w:rsid w:val="000E4B63"/>
    <w:rsid w:val="000E5728"/>
    <w:rsid w:val="000E603B"/>
    <w:rsid w:val="000E6418"/>
    <w:rsid w:val="000E6589"/>
    <w:rsid w:val="000E6955"/>
    <w:rsid w:val="000E6B57"/>
    <w:rsid w:val="000E6C4B"/>
    <w:rsid w:val="000E6F32"/>
    <w:rsid w:val="000E7913"/>
    <w:rsid w:val="000F0154"/>
    <w:rsid w:val="000F0813"/>
    <w:rsid w:val="000F14E5"/>
    <w:rsid w:val="000F1906"/>
    <w:rsid w:val="000F1F0F"/>
    <w:rsid w:val="000F23E2"/>
    <w:rsid w:val="000F24B4"/>
    <w:rsid w:val="000F3542"/>
    <w:rsid w:val="000F37DD"/>
    <w:rsid w:val="000F38BE"/>
    <w:rsid w:val="000F3FE5"/>
    <w:rsid w:val="000F431A"/>
    <w:rsid w:val="000F46A4"/>
    <w:rsid w:val="000F48A2"/>
    <w:rsid w:val="000F5DF7"/>
    <w:rsid w:val="000F608D"/>
    <w:rsid w:val="000F68A3"/>
    <w:rsid w:val="000F68FD"/>
    <w:rsid w:val="000F69B7"/>
    <w:rsid w:val="000F6E4E"/>
    <w:rsid w:val="000F74EE"/>
    <w:rsid w:val="000F7565"/>
    <w:rsid w:val="000F78E2"/>
    <w:rsid w:val="000F7B9A"/>
    <w:rsid w:val="00101103"/>
    <w:rsid w:val="0010125D"/>
    <w:rsid w:val="0010158E"/>
    <w:rsid w:val="001027BC"/>
    <w:rsid w:val="001028E4"/>
    <w:rsid w:val="00102CAC"/>
    <w:rsid w:val="00102DEB"/>
    <w:rsid w:val="00102EF5"/>
    <w:rsid w:val="001038C6"/>
    <w:rsid w:val="00103DCA"/>
    <w:rsid w:val="0010415E"/>
    <w:rsid w:val="001041D9"/>
    <w:rsid w:val="00104356"/>
    <w:rsid w:val="00104473"/>
    <w:rsid w:val="0010518D"/>
    <w:rsid w:val="001055BD"/>
    <w:rsid w:val="00105CB0"/>
    <w:rsid w:val="00106054"/>
    <w:rsid w:val="00106664"/>
    <w:rsid w:val="0010699A"/>
    <w:rsid w:val="00107E00"/>
    <w:rsid w:val="00110240"/>
    <w:rsid w:val="001106DC"/>
    <w:rsid w:val="00110846"/>
    <w:rsid w:val="00110B66"/>
    <w:rsid w:val="00110CDD"/>
    <w:rsid w:val="00111597"/>
    <w:rsid w:val="001116A2"/>
    <w:rsid w:val="00111714"/>
    <w:rsid w:val="00111824"/>
    <w:rsid w:val="00111A2C"/>
    <w:rsid w:val="00111E2F"/>
    <w:rsid w:val="0011230D"/>
    <w:rsid w:val="00112379"/>
    <w:rsid w:val="00112C45"/>
    <w:rsid w:val="001132D9"/>
    <w:rsid w:val="001136C8"/>
    <w:rsid w:val="00113779"/>
    <w:rsid w:val="001143E4"/>
    <w:rsid w:val="001148C2"/>
    <w:rsid w:val="00114CE1"/>
    <w:rsid w:val="00115209"/>
    <w:rsid w:val="001154C2"/>
    <w:rsid w:val="00115555"/>
    <w:rsid w:val="00115724"/>
    <w:rsid w:val="00115ADD"/>
    <w:rsid w:val="00116F99"/>
    <w:rsid w:val="0011736B"/>
    <w:rsid w:val="001173B0"/>
    <w:rsid w:val="00117CA0"/>
    <w:rsid w:val="00120561"/>
    <w:rsid w:val="00120A62"/>
    <w:rsid w:val="00120C77"/>
    <w:rsid w:val="00120F14"/>
    <w:rsid w:val="00120FDE"/>
    <w:rsid w:val="0012110C"/>
    <w:rsid w:val="0012123B"/>
    <w:rsid w:val="001216F8"/>
    <w:rsid w:val="00122FDB"/>
    <w:rsid w:val="00123283"/>
    <w:rsid w:val="001238BC"/>
    <w:rsid w:val="00123A79"/>
    <w:rsid w:val="00123ACC"/>
    <w:rsid w:val="001244F5"/>
    <w:rsid w:val="00124D9A"/>
    <w:rsid w:val="00124FBE"/>
    <w:rsid w:val="00125224"/>
    <w:rsid w:val="001259FD"/>
    <w:rsid w:val="00125B37"/>
    <w:rsid w:val="00126FA6"/>
    <w:rsid w:val="00127069"/>
    <w:rsid w:val="00127201"/>
    <w:rsid w:val="00127637"/>
    <w:rsid w:val="0012780D"/>
    <w:rsid w:val="001313D6"/>
    <w:rsid w:val="00131411"/>
    <w:rsid w:val="00131620"/>
    <w:rsid w:val="0013165C"/>
    <w:rsid w:val="001316E4"/>
    <w:rsid w:val="00131E2C"/>
    <w:rsid w:val="00132092"/>
    <w:rsid w:val="001334EE"/>
    <w:rsid w:val="00133C78"/>
    <w:rsid w:val="00134F23"/>
    <w:rsid w:val="0013530B"/>
    <w:rsid w:val="00135F22"/>
    <w:rsid w:val="00136440"/>
    <w:rsid w:val="001369A1"/>
    <w:rsid w:val="00136F2A"/>
    <w:rsid w:val="001376BC"/>
    <w:rsid w:val="0013786F"/>
    <w:rsid w:val="00137ED0"/>
    <w:rsid w:val="0014045F"/>
    <w:rsid w:val="00140467"/>
    <w:rsid w:val="00140722"/>
    <w:rsid w:val="00140813"/>
    <w:rsid w:val="001416B8"/>
    <w:rsid w:val="00141BD2"/>
    <w:rsid w:val="00142067"/>
    <w:rsid w:val="00142071"/>
    <w:rsid w:val="001423C8"/>
    <w:rsid w:val="001426F1"/>
    <w:rsid w:val="00143830"/>
    <w:rsid w:val="00143DB9"/>
    <w:rsid w:val="00144B95"/>
    <w:rsid w:val="00144CF2"/>
    <w:rsid w:val="00145785"/>
    <w:rsid w:val="00146C3A"/>
    <w:rsid w:val="0014766B"/>
    <w:rsid w:val="001477B3"/>
    <w:rsid w:val="001508BA"/>
    <w:rsid w:val="00150937"/>
    <w:rsid w:val="001509DB"/>
    <w:rsid w:val="00150AF3"/>
    <w:rsid w:val="00150CA6"/>
    <w:rsid w:val="00150D7F"/>
    <w:rsid w:val="00151064"/>
    <w:rsid w:val="001514B5"/>
    <w:rsid w:val="00152019"/>
    <w:rsid w:val="001520D5"/>
    <w:rsid w:val="00152CB2"/>
    <w:rsid w:val="001530DD"/>
    <w:rsid w:val="00153140"/>
    <w:rsid w:val="00153573"/>
    <w:rsid w:val="00153D36"/>
    <w:rsid w:val="00153E46"/>
    <w:rsid w:val="00154661"/>
    <w:rsid w:val="001547A6"/>
    <w:rsid w:val="00154B5F"/>
    <w:rsid w:val="00155697"/>
    <w:rsid w:val="001556E3"/>
    <w:rsid w:val="00155703"/>
    <w:rsid w:val="00155AF1"/>
    <w:rsid w:val="001560A3"/>
    <w:rsid w:val="0015635A"/>
    <w:rsid w:val="0015652F"/>
    <w:rsid w:val="00156E12"/>
    <w:rsid w:val="00157347"/>
    <w:rsid w:val="00160DC5"/>
    <w:rsid w:val="00161893"/>
    <w:rsid w:val="00161AE1"/>
    <w:rsid w:val="00162563"/>
    <w:rsid w:val="001627CB"/>
    <w:rsid w:val="00162D6B"/>
    <w:rsid w:val="0016319C"/>
    <w:rsid w:val="0016347A"/>
    <w:rsid w:val="001634C4"/>
    <w:rsid w:val="00163B11"/>
    <w:rsid w:val="00163F3D"/>
    <w:rsid w:val="0016408A"/>
    <w:rsid w:val="00164582"/>
    <w:rsid w:val="00164774"/>
    <w:rsid w:val="00164B08"/>
    <w:rsid w:val="00164B8D"/>
    <w:rsid w:val="00164BFA"/>
    <w:rsid w:val="001659A6"/>
    <w:rsid w:val="00165A6E"/>
    <w:rsid w:val="00166072"/>
    <w:rsid w:val="00166136"/>
    <w:rsid w:val="00166F39"/>
    <w:rsid w:val="00167409"/>
    <w:rsid w:val="00167897"/>
    <w:rsid w:val="00167940"/>
    <w:rsid w:val="00167A62"/>
    <w:rsid w:val="00170017"/>
    <w:rsid w:val="001701C2"/>
    <w:rsid w:val="00170DD9"/>
    <w:rsid w:val="00170E2B"/>
    <w:rsid w:val="00171341"/>
    <w:rsid w:val="00171839"/>
    <w:rsid w:val="00171AFB"/>
    <w:rsid w:val="00171C2A"/>
    <w:rsid w:val="00172872"/>
    <w:rsid w:val="00172AF7"/>
    <w:rsid w:val="00172BC8"/>
    <w:rsid w:val="00172F68"/>
    <w:rsid w:val="00173608"/>
    <w:rsid w:val="00173DF9"/>
    <w:rsid w:val="001746D3"/>
    <w:rsid w:val="001747B3"/>
    <w:rsid w:val="00174B2E"/>
    <w:rsid w:val="0017619A"/>
    <w:rsid w:val="0017699F"/>
    <w:rsid w:val="001770E0"/>
    <w:rsid w:val="00177B10"/>
    <w:rsid w:val="00180F95"/>
    <w:rsid w:val="00181288"/>
    <w:rsid w:val="00181398"/>
    <w:rsid w:val="00181A6C"/>
    <w:rsid w:val="00182394"/>
    <w:rsid w:val="00182709"/>
    <w:rsid w:val="00183034"/>
    <w:rsid w:val="001831BF"/>
    <w:rsid w:val="00183AA9"/>
    <w:rsid w:val="0018445B"/>
    <w:rsid w:val="00184514"/>
    <w:rsid w:val="00184633"/>
    <w:rsid w:val="0018509F"/>
    <w:rsid w:val="00185E04"/>
    <w:rsid w:val="001864B2"/>
    <w:rsid w:val="00186CCD"/>
    <w:rsid w:val="00187223"/>
    <w:rsid w:val="00187225"/>
    <w:rsid w:val="00187253"/>
    <w:rsid w:val="00187A50"/>
    <w:rsid w:val="00187C41"/>
    <w:rsid w:val="001904CF"/>
    <w:rsid w:val="001905A1"/>
    <w:rsid w:val="00191623"/>
    <w:rsid w:val="00191E55"/>
    <w:rsid w:val="00192292"/>
    <w:rsid w:val="001926D2"/>
    <w:rsid w:val="00192812"/>
    <w:rsid w:val="0019365D"/>
    <w:rsid w:val="00194196"/>
    <w:rsid w:val="00194C05"/>
    <w:rsid w:val="00194CCC"/>
    <w:rsid w:val="00195889"/>
    <w:rsid w:val="00196776"/>
    <w:rsid w:val="00196E93"/>
    <w:rsid w:val="00197478"/>
    <w:rsid w:val="001974F1"/>
    <w:rsid w:val="00197EF0"/>
    <w:rsid w:val="001A0362"/>
    <w:rsid w:val="001A0A10"/>
    <w:rsid w:val="001A0E88"/>
    <w:rsid w:val="001A0F29"/>
    <w:rsid w:val="001A1100"/>
    <w:rsid w:val="001A1AA5"/>
    <w:rsid w:val="001A27B5"/>
    <w:rsid w:val="001A29E1"/>
    <w:rsid w:val="001A2AD8"/>
    <w:rsid w:val="001A3679"/>
    <w:rsid w:val="001A50D0"/>
    <w:rsid w:val="001A522C"/>
    <w:rsid w:val="001A550E"/>
    <w:rsid w:val="001A6353"/>
    <w:rsid w:val="001A6E54"/>
    <w:rsid w:val="001A77CF"/>
    <w:rsid w:val="001B0811"/>
    <w:rsid w:val="001B0B81"/>
    <w:rsid w:val="001B0E85"/>
    <w:rsid w:val="001B15E6"/>
    <w:rsid w:val="001B1D78"/>
    <w:rsid w:val="001B309F"/>
    <w:rsid w:val="001B465E"/>
    <w:rsid w:val="001B62F4"/>
    <w:rsid w:val="001B634D"/>
    <w:rsid w:val="001B6376"/>
    <w:rsid w:val="001B7796"/>
    <w:rsid w:val="001B7FB0"/>
    <w:rsid w:val="001C01A7"/>
    <w:rsid w:val="001C058A"/>
    <w:rsid w:val="001C08B5"/>
    <w:rsid w:val="001C0A4F"/>
    <w:rsid w:val="001C0B5C"/>
    <w:rsid w:val="001C16BF"/>
    <w:rsid w:val="001C1D7B"/>
    <w:rsid w:val="001C2034"/>
    <w:rsid w:val="001C208C"/>
    <w:rsid w:val="001C2E8C"/>
    <w:rsid w:val="001C3221"/>
    <w:rsid w:val="001C4590"/>
    <w:rsid w:val="001C4802"/>
    <w:rsid w:val="001C4D0C"/>
    <w:rsid w:val="001C53EF"/>
    <w:rsid w:val="001C5502"/>
    <w:rsid w:val="001C56AB"/>
    <w:rsid w:val="001C6214"/>
    <w:rsid w:val="001C641A"/>
    <w:rsid w:val="001C646F"/>
    <w:rsid w:val="001C65D9"/>
    <w:rsid w:val="001C67A0"/>
    <w:rsid w:val="001C67C9"/>
    <w:rsid w:val="001C69B6"/>
    <w:rsid w:val="001C6B93"/>
    <w:rsid w:val="001C6BC1"/>
    <w:rsid w:val="001C6C0E"/>
    <w:rsid w:val="001C6E6E"/>
    <w:rsid w:val="001C768E"/>
    <w:rsid w:val="001C78B7"/>
    <w:rsid w:val="001C79A7"/>
    <w:rsid w:val="001C7A1C"/>
    <w:rsid w:val="001C7BDE"/>
    <w:rsid w:val="001C7E29"/>
    <w:rsid w:val="001D029C"/>
    <w:rsid w:val="001D034C"/>
    <w:rsid w:val="001D059A"/>
    <w:rsid w:val="001D2577"/>
    <w:rsid w:val="001D28D2"/>
    <w:rsid w:val="001D359F"/>
    <w:rsid w:val="001D3673"/>
    <w:rsid w:val="001D37FF"/>
    <w:rsid w:val="001D3DC0"/>
    <w:rsid w:val="001D3EDD"/>
    <w:rsid w:val="001D5244"/>
    <w:rsid w:val="001D58DE"/>
    <w:rsid w:val="001D5A91"/>
    <w:rsid w:val="001D5D1B"/>
    <w:rsid w:val="001D61C3"/>
    <w:rsid w:val="001D6264"/>
    <w:rsid w:val="001D73F4"/>
    <w:rsid w:val="001D76AA"/>
    <w:rsid w:val="001E0766"/>
    <w:rsid w:val="001E0BF4"/>
    <w:rsid w:val="001E0F75"/>
    <w:rsid w:val="001E1327"/>
    <w:rsid w:val="001E166F"/>
    <w:rsid w:val="001E27A3"/>
    <w:rsid w:val="001E39A4"/>
    <w:rsid w:val="001E3CDE"/>
    <w:rsid w:val="001E4096"/>
    <w:rsid w:val="001E42E9"/>
    <w:rsid w:val="001E43C7"/>
    <w:rsid w:val="001E49DF"/>
    <w:rsid w:val="001E4F77"/>
    <w:rsid w:val="001E55EA"/>
    <w:rsid w:val="001E6301"/>
    <w:rsid w:val="001E6454"/>
    <w:rsid w:val="001E6626"/>
    <w:rsid w:val="001E6F49"/>
    <w:rsid w:val="001E70EE"/>
    <w:rsid w:val="001E75C2"/>
    <w:rsid w:val="001E79F9"/>
    <w:rsid w:val="001F0442"/>
    <w:rsid w:val="001F068D"/>
    <w:rsid w:val="001F11E5"/>
    <w:rsid w:val="001F2044"/>
    <w:rsid w:val="001F2CAA"/>
    <w:rsid w:val="001F2E41"/>
    <w:rsid w:val="001F30FB"/>
    <w:rsid w:val="001F3C4A"/>
    <w:rsid w:val="001F3D33"/>
    <w:rsid w:val="001F4916"/>
    <w:rsid w:val="001F53DB"/>
    <w:rsid w:val="001F5885"/>
    <w:rsid w:val="001F594B"/>
    <w:rsid w:val="001F5DC9"/>
    <w:rsid w:val="001F5F95"/>
    <w:rsid w:val="001F786B"/>
    <w:rsid w:val="001F7A53"/>
    <w:rsid w:val="001F7AF7"/>
    <w:rsid w:val="001F7BFE"/>
    <w:rsid w:val="0020051C"/>
    <w:rsid w:val="002006A7"/>
    <w:rsid w:val="0020184B"/>
    <w:rsid w:val="00201945"/>
    <w:rsid w:val="00201998"/>
    <w:rsid w:val="00201FFE"/>
    <w:rsid w:val="002022A2"/>
    <w:rsid w:val="0020256F"/>
    <w:rsid w:val="002028E0"/>
    <w:rsid w:val="00202B03"/>
    <w:rsid w:val="002033FC"/>
    <w:rsid w:val="00203576"/>
    <w:rsid w:val="00203B89"/>
    <w:rsid w:val="00203F66"/>
    <w:rsid w:val="00204B80"/>
    <w:rsid w:val="00204DAC"/>
    <w:rsid w:val="002050FB"/>
    <w:rsid w:val="002058D6"/>
    <w:rsid w:val="0020605F"/>
    <w:rsid w:val="00206A3C"/>
    <w:rsid w:val="00206AAF"/>
    <w:rsid w:val="00206BE3"/>
    <w:rsid w:val="002071BD"/>
    <w:rsid w:val="00207351"/>
    <w:rsid w:val="00207656"/>
    <w:rsid w:val="002076C2"/>
    <w:rsid w:val="00207C85"/>
    <w:rsid w:val="00207C9E"/>
    <w:rsid w:val="00207C9F"/>
    <w:rsid w:val="00210272"/>
    <w:rsid w:val="00210B90"/>
    <w:rsid w:val="002110DA"/>
    <w:rsid w:val="0021137C"/>
    <w:rsid w:val="0021207E"/>
    <w:rsid w:val="002120EE"/>
    <w:rsid w:val="00212580"/>
    <w:rsid w:val="00212DAD"/>
    <w:rsid w:val="002135D6"/>
    <w:rsid w:val="00214628"/>
    <w:rsid w:val="00214719"/>
    <w:rsid w:val="00215343"/>
    <w:rsid w:val="0021600D"/>
    <w:rsid w:val="002168CA"/>
    <w:rsid w:val="00216EDB"/>
    <w:rsid w:val="00217024"/>
    <w:rsid w:val="00217720"/>
    <w:rsid w:val="002200B1"/>
    <w:rsid w:val="00220E83"/>
    <w:rsid w:val="00221797"/>
    <w:rsid w:val="00222045"/>
    <w:rsid w:val="002230BD"/>
    <w:rsid w:val="002234F8"/>
    <w:rsid w:val="0022376D"/>
    <w:rsid w:val="00223ED0"/>
    <w:rsid w:val="00223F2A"/>
    <w:rsid w:val="0022436B"/>
    <w:rsid w:val="00224849"/>
    <w:rsid w:val="00224BFF"/>
    <w:rsid w:val="00224DC6"/>
    <w:rsid w:val="00225D34"/>
    <w:rsid w:val="00225D72"/>
    <w:rsid w:val="00225E8D"/>
    <w:rsid w:val="00226589"/>
    <w:rsid w:val="00226690"/>
    <w:rsid w:val="002268B3"/>
    <w:rsid w:val="00227199"/>
    <w:rsid w:val="00230DD4"/>
    <w:rsid w:val="00231276"/>
    <w:rsid w:val="0023135A"/>
    <w:rsid w:val="002313E5"/>
    <w:rsid w:val="002316D9"/>
    <w:rsid w:val="002322CC"/>
    <w:rsid w:val="002323B7"/>
    <w:rsid w:val="002324F3"/>
    <w:rsid w:val="00232FD0"/>
    <w:rsid w:val="00233DAD"/>
    <w:rsid w:val="00234142"/>
    <w:rsid w:val="002350E2"/>
    <w:rsid w:val="00235D3F"/>
    <w:rsid w:val="002366BE"/>
    <w:rsid w:val="00237BD7"/>
    <w:rsid w:val="00240A20"/>
    <w:rsid w:val="002418C5"/>
    <w:rsid w:val="0024208D"/>
    <w:rsid w:val="00242822"/>
    <w:rsid w:val="00242CC5"/>
    <w:rsid w:val="00243538"/>
    <w:rsid w:val="002437B3"/>
    <w:rsid w:val="00243ECC"/>
    <w:rsid w:val="0024417E"/>
    <w:rsid w:val="0024497C"/>
    <w:rsid w:val="00244A03"/>
    <w:rsid w:val="00244CD3"/>
    <w:rsid w:val="00245227"/>
    <w:rsid w:val="00245242"/>
    <w:rsid w:val="00245875"/>
    <w:rsid w:val="0024601F"/>
    <w:rsid w:val="00246798"/>
    <w:rsid w:val="00246CC3"/>
    <w:rsid w:val="00250115"/>
    <w:rsid w:val="00250D97"/>
    <w:rsid w:val="00250F77"/>
    <w:rsid w:val="00251B26"/>
    <w:rsid w:val="00251EFA"/>
    <w:rsid w:val="00253D2D"/>
    <w:rsid w:val="0025453F"/>
    <w:rsid w:val="002545C4"/>
    <w:rsid w:val="00254BC6"/>
    <w:rsid w:val="002556DD"/>
    <w:rsid w:val="00255798"/>
    <w:rsid w:val="00255924"/>
    <w:rsid w:val="00255E90"/>
    <w:rsid w:val="00256055"/>
    <w:rsid w:val="002560D1"/>
    <w:rsid w:val="00256305"/>
    <w:rsid w:val="0025641E"/>
    <w:rsid w:val="0025644A"/>
    <w:rsid w:val="00256E74"/>
    <w:rsid w:val="002572AE"/>
    <w:rsid w:val="00257E40"/>
    <w:rsid w:val="00260906"/>
    <w:rsid w:val="00260A5A"/>
    <w:rsid w:val="00260A6D"/>
    <w:rsid w:val="0026111F"/>
    <w:rsid w:val="00261A19"/>
    <w:rsid w:val="00261E1D"/>
    <w:rsid w:val="00261E8D"/>
    <w:rsid w:val="00262130"/>
    <w:rsid w:val="00262497"/>
    <w:rsid w:val="00263674"/>
    <w:rsid w:val="002641B6"/>
    <w:rsid w:val="002646DE"/>
    <w:rsid w:val="00264726"/>
    <w:rsid w:val="002647ED"/>
    <w:rsid w:val="00264DB3"/>
    <w:rsid w:val="002650B2"/>
    <w:rsid w:val="00265295"/>
    <w:rsid w:val="00265A48"/>
    <w:rsid w:val="002666BA"/>
    <w:rsid w:val="00266A10"/>
    <w:rsid w:val="00266A9A"/>
    <w:rsid w:val="00266B05"/>
    <w:rsid w:val="002670B3"/>
    <w:rsid w:val="00267495"/>
    <w:rsid w:val="002676B0"/>
    <w:rsid w:val="00267B0D"/>
    <w:rsid w:val="0027014F"/>
    <w:rsid w:val="0027092F"/>
    <w:rsid w:val="00270A32"/>
    <w:rsid w:val="00271CB3"/>
    <w:rsid w:val="00272015"/>
    <w:rsid w:val="00272317"/>
    <w:rsid w:val="002725CD"/>
    <w:rsid w:val="00272BA2"/>
    <w:rsid w:val="002731FF"/>
    <w:rsid w:val="0027391F"/>
    <w:rsid w:val="002739BD"/>
    <w:rsid w:val="0027436D"/>
    <w:rsid w:val="0027466C"/>
    <w:rsid w:val="00275954"/>
    <w:rsid w:val="002759F5"/>
    <w:rsid w:val="00275CFC"/>
    <w:rsid w:val="00275EC6"/>
    <w:rsid w:val="00275F52"/>
    <w:rsid w:val="002770D0"/>
    <w:rsid w:val="00277652"/>
    <w:rsid w:val="0027765E"/>
    <w:rsid w:val="002777F1"/>
    <w:rsid w:val="002805E5"/>
    <w:rsid w:val="00280EE2"/>
    <w:rsid w:val="002816CF"/>
    <w:rsid w:val="00281BA7"/>
    <w:rsid w:val="002821B9"/>
    <w:rsid w:val="002847D7"/>
    <w:rsid w:val="0028483F"/>
    <w:rsid w:val="00284A7F"/>
    <w:rsid w:val="00284F6C"/>
    <w:rsid w:val="00285B3A"/>
    <w:rsid w:val="00285F5E"/>
    <w:rsid w:val="0028667D"/>
    <w:rsid w:val="00286782"/>
    <w:rsid w:val="00286887"/>
    <w:rsid w:val="00286916"/>
    <w:rsid w:val="00287140"/>
    <w:rsid w:val="00287351"/>
    <w:rsid w:val="002902B2"/>
    <w:rsid w:val="002906A7"/>
    <w:rsid w:val="0029156F"/>
    <w:rsid w:val="002915EF"/>
    <w:rsid w:val="00291612"/>
    <w:rsid w:val="002917FA"/>
    <w:rsid w:val="002918DA"/>
    <w:rsid w:val="00291AEA"/>
    <w:rsid w:val="00291DA9"/>
    <w:rsid w:val="00291E37"/>
    <w:rsid w:val="00292442"/>
    <w:rsid w:val="00292473"/>
    <w:rsid w:val="00292485"/>
    <w:rsid w:val="00292566"/>
    <w:rsid w:val="00292588"/>
    <w:rsid w:val="0029281D"/>
    <w:rsid w:val="00292A85"/>
    <w:rsid w:val="002932B6"/>
    <w:rsid w:val="00293664"/>
    <w:rsid w:val="00293A86"/>
    <w:rsid w:val="00293D0F"/>
    <w:rsid w:val="0029421C"/>
    <w:rsid w:val="0029455E"/>
    <w:rsid w:val="00294BF6"/>
    <w:rsid w:val="00295101"/>
    <w:rsid w:val="00295BFB"/>
    <w:rsid w:val="002967B8"/>
    <w:rsid w:val="00296AFF"/>
    <w:rsid w:val="00296E87"/>
    <w:rsid w:val="002971B7"/>
    <w:rsid w:val="002974EF"/>
    <w:rsid w:val="002975EE"/>
    <w:rsid w:val="00297917"/>
    <w:rsid w:val="00297B2E"/>
    <w:rsid w:val="002A0B49"/>
    <w:rsid w:val="002A0DB5"/>
    <w:rsid w:val="002A0E73"/>
    <w:rsid w:val="002A133B"/>
    <w:rsid w:val="002A1446"/>
    <w:rsid w:val="002A15E1"/>
    <w:rsid w:val="002A15E4"/>
    <w:rsid w:val="002A1EE2"/>
    <w:rsid w:val="002A2525"/>
    <w:rsid w:val="002A321F"/>
    <w:rsid w:val="002A35A4"/>
    <w:rsid w:val="002A39B3"/>
    <w:rsid w:val="002A3B01"/>
    <w:rsid w:val="002A3E3B"/>
    <w:rsid w:val="002A479F"/>
    <w:rsid w:val="002A47F4"/>
    <w:rsid w:val="002A4A76"/>
    <w:rsid w:val="002A54E9"/>
    <w:rsid w:val="002A59D3"/>
    <w:rsid w:val="002A5EAB"/>
    <w:rsid w:val="002A6668"/>
    <w:rsid w:val="002A71C6"/>
    <w:rsid w:val="002A78B3"/>
    <w:rsid w:val="002B00B4"/>
    <w:rsid w:val="002B046F"/>
    <w:rsid w:val="002B093C"/>
    <w:rsid w:val="002B0CDC"/>
    <w:rsid w:val="002B0DF3"/>
    <w:rsid w:val="002B12D5"/>
    <w:rsid w:val="002B225F"/>
    <w:rsid w:val="002B2B26"/>
    <w:rsid w:val="002B2E03"/>
    <w:rsid w:val="002B30FE"/>
    <w:rsid w:val="002B34A2"/>
    <w:rsid w:val="002B3AF6"/>
    <w:rsid w:val="002B46A2"/>
    <w:rsid w:val="002B4972"/>
    <w:rsid w:val="002B600C"/>
    <w:rsid w:val="002B6204"/>
    <w:rsid w:val="002B6ECA"/>
    <w:rsid w:val="002B6F09"/>
    <w:rsid w:val="002B6FC3"/>
    <w:rsid w:val="002B6FD4"/>
    <w:rsid w:val="002B720E"/>
    <w:rsid w:val="002B7392"/>
    <w:rsid w:val="002C0021"/>
    <w:rsid w:val="002C0691"/>
    <w:rsid w:val="002C06DB"/>
    <w:rsid w:val="002C0E62"/>
    <w:rsid w:val="002C1C9C"/>
    <w:rsid w:val="002C1D24"/>
    <w:rsid w:val="002C20E7"/>
    <w:rsid w:val="002C2A54"/>
    <w:rsid w:val="002C3030"/>
    <w:rsid w:val="002C39A1"/>
    <w:rsid w:val="002C40E1"/>
    <w:rsid w:val="002C40FD"/>
    <w:rsid w:val="002C42D1"/>
    <w:rsid w:val="002C4737"/>
    <w:rsid w:val="002C497A"/>
    <w:rsid w:val="002C4C91"/>
    <w:rsid w:val="002C5388"/>
    <w:rsid w:val="002C5584"/>
    <w:rsid w:val="002C582C"/>
    <w:rsid w:val="002C587C"/>
    <w:rsid w:val="002C5D3D"/>
    <w:rsid w:val="002C6494"/>
    <w:rsid w:val="002C7272"/>
    <w:rsid w:val="002C7AFA"/>
    <w:rsid w:val="002C7FA8"/>
    <w:rsid w:val="002D0391"/>
    <w:rsid w:val="002D05CB"/>
    <w:rsid w:val="002D0AFF"/>
    <w:rsid w:val="002D1445"/>
    <w:rsid w:val="002D185E"/>
    <w:rsid w:val="002D1984"/>
    <w:rsid w:val="002D1EFE"/>
    <w:rsid w:val="002D219F"/>
    <w:rsid w:val="002D2741"/>
    <w:rsid w:val="002D2F43"/>
    <w:rsid w:val="002D3127"/>
    <w:rsid w:val="002D384B"/>
    <w:rsid w:val="002D3BB5"/>
    <w:rsid w:val="002D4A7A"/>
    <w:rsid w:val="002D4ACA"/>
    <w:rsid w:val="002D56C1"/>
    <w:rsid w:val="002D575B"/>
    <w:rsid w:val="002D6C02"/>
    <w:rsid w:val="002D70D7"/>
    <w:rsid w:val="002D744D"/>
    <w:rsid w:val="002D7703"/>
    <w:rsid w:val="002D7A03"/>
    <w:rsid w:val="002E0535"/>
    <w:rsid w:val="002E1237"/>
    <w:rsid w:val="002E144E"/>
    <w:rsid w:val="002E171B"/>
    <w:rsid w:val="002E2315"/>
    <w:rsid w:val="002E2679"/>
    <w:rsid w:val="002E284A"/>
    <w:rsid w:val="002E2FEF"/>
    <w:rsid w:val="002E353E"/>
    <w:rsid w:val="002E354A"/>
    <w:rsid w:val="002E360C"/>
    <w:rsid w:val="002E36C1"/>
    <w:rsid w:val="002E3767"/>
    <w:rsid w:val="002E38F0"/>
    <w:rsid w:val="002E3997"/>
    <w:rsid w:val="002E4332"/>
    <w:rsid w:val="002E47BB"/>
    <w:rsid w:val="002E5A79"/>
    <w:rsid w:val="002E629C"/>
    <w:rsid w:val="002E643E"/>
    <w:rsid w:val="002E687F"/>
    <w:rsid w:val="002E6926"/>
    <w:rsid w:val="002E7238"/>
    <w:rsid w:val="002E7615"/>
    <w:rsid w:val="002E7623"/>
    <w:rsid w:val="002E7FAC"/>
    <w:rsid w:val="002F1DB3"/>
    <w:rsid w:val="002F1E02"/>
    <w:rsid w:val="002F21AE"/>
    <w:rsid w:val="002F35F8"/>
    <w:rsid w:val="002F361E"/>
    <w:rsid w:val="002F38B6"/>
    <w:rsid w:val="002F3CF2"/>
    <w:rsid w:val="002F4E20"/>
    <w:rsid w:val="002F5055"/>
    <w:rsid w:val="002F5B0D"/>
    <w:rsid w:val="002F5B82"/>
    <w:rsid w:val="002F7CC2"/>
    <w:rsid w:val="0030020F"/>
    <w:rsid w:val="00300A8A"/>
    <w:rsid w:val="00300BFB"/>
    <w:rsid w:val="00300BFE"/>
    <w:rsid w:val="00301017"/>
    <w:rsid w:val="00301EE2"/>
    <w:rsid w:val="0030203E"/>
    <w:rsid w:val="00302220"/>
    <w:rsid w:val="00302EBC"/>
    <w:rsid w:val="00303984"/>
    <w:rsid w:val="003040ED"/>
    <w:rsid w:val="00304209"/>
    <w:rsid w:val="00304D76"/>
    <w:rsid w:val="0030588E"/>
    <w:rsid w:val="00305BC1"/>
    <w:rsid w:val="00305C71"/>
    <w:rsid w:val="003062A3"/>
    <w:rsid w:val="00306455"/>
    <w:rsid w:val="003068EA"/>
    <w:rsid w:val="00307556"/>
    <w:rsid w:val="003077EF"/>
    <w:rsid w:val="00307DC1"/>
    <w:rsid w:val="0031028A"/>
    <w:rsid w:val="003104E8"/>
    <w:rsid w:val="0031059B"/>
    <w:rsid w:val="0031101C"/>
    <w:rsid w:val="00311356"/>
    <w:rsid w:val="00311548"/>
    <w:rsid w:val="00311ABA"/>
    <w:rsid w:val="0031239A"/>
    <w:rsid w:val="00312540"/>
    <w:rsid w:val="00312B50"/>
    <w:rsid w:val="00312DB1"/>
    <w:rsid w:val="0031306B"/>
    <w:rsid w:val="0031329C"/>
    <w:rsid w:val="00313839"/>
    <w:rsid w:val="00313E9C"/>
    <w:rsid w:val="0031402E"/>
    <w:rsid w:val="00314CA6"/>
    <w:rsid w:val="00315DC0"/>
    <w:rsid w:val="0031619F"/>
    <w:rsid w:val="0031670A"/>
    <w:rsid w:val="00316F96"/>
    <w:rsid w:val="00317646"/>
    <w:rsid w:val="00317CF6"/>
    <w:rsid w:val="00317D08"/>
    <w:rsid w:val="00317DDA"/>
    <w:rsid w:val="003203CF"/>
    <w:rsid w:val="00320FFC"/>
    <w:rsid w:val="003216C8"/>
    <w:rsid w:val="00321BB4"/>
    <w:rsid w:val="00321F63"/>
    <w:rsid w:val="0032277A"/>
    <w:rsid w:val="00322804"/>
    <w:rsid w:val="00322B3E"/>
    <w:rsid w:val="00323128"/>
    <w:rsid w:val="003234AA"/>
    <w:rsid w:val="00323B73"/>
    <w:rsid w:val="00324522"/>
    <w:rsid w:val="003247E4"/>
    <w:rsid w:val="00325522"/>
    <w:rsid w:val="00325C79"/>
    <w:rsid w:val="00326B98"/>
    <w:rsid w:val="00326E3B"/>
    <w:rsid w:val="00327653"/>
    <w:rsid w:val="00327BB4"/>
    <w:rsid w:val="00327C74"/>
    <w:rsid w:val="00327DA0"/>
    <w:rsid w:val="003307D8"/>
    <w:rsid w:val="00330B0E"/>
    <w:rsid w:val="0033189C"/>
    <w:rsid w:val="00331B0B"/>
    <w:rsid w:val="00331CB8"/>
    <w:rsid w:val="00332161"/>
    <w:rsid w:val="0033267C"/>
    <w:rsid w:val="00333266"/>
    <w:rsid w:val="00333435"/>
    <w:rsid w:val="003334E5"/>
    <w:rsid w:val="00333673"/>
    <w:rsid w:val="003339C3"/>
    <w:rsid w:val="00334746"/>
    <w:rsid w:val="003351AC"/>
    <w:rsid w:val="003353DA"/>
    <w:rsid w:val="00335479"/>
    <w:rsid w:val="00335ADD"/>
    <w:rsid w:val="00335BC9"/>
    <w:rsid w:val="00335D73"/>
    <w:rsid w:val="00336735"/>
    <w:rsid w:val="003379AD"/>
    <w:rsid w:val="00337FCB"/>
    <w:rsid w:val="003400D6"/>
    <w:rsid w:val="003407A2"/>
    <w:rsid w:val="00341064"/>
    <w:rsid w:val="003412D7"/>
    <w:rsid w:val="00341A0B"/>
    <w:rsid w:val="00342286"/>
    <w:rsid w:val="003426DD"/>
    <w:rsid w:val="00342725"/>
    <w:rsid w:val="003428CF"/>
    <w:rsid w:val="00342D2B"/>
    <w:rsid w:val="003433DF"/>
    <w:rsid w:val="00343539"/>
    <w:rsid w:val="0034379B"/>
    <w:rsid w:val="00343ECF"/>
    <w:rsid w:val="00343FB9"/>
    <w:rsid w:val="003446DC"/>
    <w:rsid w:val="003447F8"/>
    <w:rsid w:val="00345A20"/>
    <w:rsid w:val="00346DE8"/>
    <w:rsid w:val="00346E22"/>
    <w:rsid w:val="0034745E"/>
    <w:rsid w:val="00347D9D"/>
    <w:rsid w:val="00350204"/>
    <w:rsid w:val="00350DAF"/>
    <w:rsid w:val="0035113D"/>
    <w:rsid w:val="00351E56"/>
    <w:rsid w:val="00352988"/>
    <w:rsid w:val="00352CD5"/>
    <w:rsid w:val="00352CE1"/>
    <w:rsid w:val="00353211"/>
    <w:rsid w:val="0035372B"/>
    <w:rsid w:val="003537EF"/>
    <w:rsid w:val="00353E82"/>
    <w:rsid w:val="00354558"/>
    <w:rsid w:val="00354682"/>
    <w:rsid w:val="00354BA7"/>
    <w:rsid w:val="00355419"/>
    <w:rsid w:val="00355786"/>
    <w:rsid w:val="003557ED"/>
    <w:rsid w:val="00356036"/>
    <w:rsid w:val="00357D03"/>
    <w:rsid w:val="0036019B"/>
    <w:rsid w:val="00360B4C"/>
    <w:rsid w:val="00360CDB"/>
    <w:rsid w:val="0036245D"/>
    <w:rsid w:val="00362C08"/>
    <w:rsid w:val="00363315"/>
    <w:rsid w:val="00363541"/>
    <w:rsid w:val="00365425"/>
    <w:rsid w:val="003655E8"/>
    <w:rsid w:val="00365682"/>
    <w:rsid w:val="0036668F"/>
    <w:rsid w:val="00367738"/>
    <w:rsid w:val="0037025F"/>
    <w:rsid w:val="00370886"/>
    <w:rsid w:val="00370E96"/>
    <w:rsid w:val="00371268"/>
    <w:rsid w:val="003715B5"/>
    <w:rsid w:val="00371697"/>
    <w:rsid w:val="00371AAB"/>
    <w:rsid w:val="00371ED5"/>
    <w:rsid w:val="003724B2"/>
    <w:rsid w:val="00372D4C"/>
    <w:rsid w:val="00372D97"/>
    <w:rsid w:val="00372F13"/>
    <w:rsid w:val="00372F5E"/>
    <w:rsid w:val="00373DA6"/>
    <w:rsid w:val="0037413E"/>
    <w:rsid w:val="00374261"/>
    <w:rsid w:val="00374324"/>
    <w:rsid w:val="00374804"/>
    <w:rsid w:val="003756F2"/>
    <w:rsid w:val="00375945"/>
    <w:rsid w:val="00375A46"/>
    <w:rsid w:val="00375D62"/>
    <w:rsid w:val="0037648E"/>
    <w:rsid w:val="003766B5"/>
    <w:rsid w:val="00376728"/>
    <w:rsid w:val="00376998"/>
    <w:rsid w:val="00376A28"/>
    <w:rsid w:val="00376FEB"/>
    <w:rsid w:val="00380B99"/>
    <w:rsid w:val="00380F21"/>
    <w:rsid w:val="003810CF"/>
    <w:rsid w:val="00381A1C"/>
    <w:rsid w:val="00382153"/>
    <w:rsid w:val="00382EEA"/>
    <w:rsid w:val="00383765"/>
    <w:rsid w:val="00383919"/>
    <w:rsid w:val="00383FF8"/>
    <w:rsid w:val="00385E0B"/>
    <w:rsid w:val="00385E58"/>
    <w:rsid w:val="00386F45"/>
    <w:rsid w:val="00390149"/>
    <w:rsid w:val="00390573"/>
    <w:rsid w:val="00391076"/>
    <w:rsid w:val="003915D3"/>
    <w:rsid w:val="00391D85"/>
    <w:rsid w:val="00391E5B"/>
    <w:rsid w:val="00392162"/>
    <w:rsid w:val="003927BC"/>
    <w:rsid w:val="00392F52"/>
    <w:rsid w:val="003936AE"/>
    <w:rsid w:val="00393C39"/>
    <w:rsid w:val="00394211"/>
    <w:rsid w:val="00394372"/>
    <w:rsid w:val="003949B1"/>
    <w:rsid w:val="00394F3C"/>
    <w:rsid w:val="003964EE"/>
    <w:rsid w:val="00396BB2"/>
    <w:rsid w:val="00396D1B"/>
    <w:rsid w:val="003A0AD9"/>
    <w:rsid w:val="003A0B90"/>
    <w:rsid w:val="003A0D2D"/>
    <w:rsid w:val="003A1304"/>
    <w:rsid w:val="003A1362"/>
    <w:rsid w:val="003A2E2B"/>
    <w:rsid w:val="003A3A20"/>
    <w:rsid w:val="003A4289"/>
    <w:rsid w:val="003A4893"/>
    <w:rsid w:val="003A48B5"/>
    <w:rsid w:val="003A4FEC"/>
    <w:rsid w:val="003A526B"/>
    <w:rsid w:val="003A57BB"/>
    <w:rsid w:val="003A5D14"/>
    <w:rsid w:val="003A5D22"/>
    <w:rsid w:val="003A690E"/>
    <w:rsid w:val="003A72B4"/>
    <w:rsid w:val="003A7769"/>
    <w:rsid w:val="003A7779"/>
    <w:rsid w:val="003A7E05"/>
    <w:rsid w:val="003B0662"/>
    <w:rsid w:val="003B0F38"/>
    <w:rsid w:val="003B18EA"/>
    <w:rsid w:val="003B1D2B"/>
    <w:rsid w:val="003B28E5"/>
    <w:rsid w:val="003B2B84"/>
    <w:rsid w:val="003B346C"/>
    <w:rsid w:val="003B3629"/>
    <w:rsid w:val="003B3FA7"/>
    <w:rsid w:val="003B4EDA"/>
    <w:rsid w:val="003B53D2"/>
    <w:rsid w:val="003B73DC"/>
    <w:rsid w:val="003B74E1"/>
    <w:rsid w:val="003B7711"/>
    <w:rsid w:val="003B7CED"/>
    <w:rsid w:val="003B7EA6"/>
    <w:rsid w:val="003C00A7"/>
    <w:rsid w:val="003C037E"/>
    <w:rsid w:val="003C06EF"/>
    <w:rsid w:val="003C0746"/>
    <w:rsid w:val="003C108F"/>
    <w:rsid w:val="003C1CEC"/>
    <w:rsid w:val="003C1E55"/>
    <w:rsid w:val="003C1F87"/>
    <w:rsid w:val="003C2763"/>
    <w:rsid w:val="003C31D9"/>
    <w:rsid w:val="003C3219"/>
    <w:rsid w:val="003C41B1"/>
    <w:rsid w:val="003C4CAD"/>
    <w:rsid w:val="003C4CCB"/>
    <w:rsid w:val="003C4D1A"/>
    <w:rsid w:val="003C4E30"/>
    <w:rsid w:val="003C5080"/>
    <w:rsid w:val="003C5EE1"/>
    <w:rsid w:val="003C6130"/>
    <w:rsid w:val="003C6371"/>
    <w:rsid w:val="003C6E02"/>
    <w:rsid w:val="003C7027"/>
    <w:rsid w:val="003C75C8"/>
    <w:rsid w:val="003C782A"/>
    <w:rsid w:val="003C7953"/>
    <w:rsid w:val="003C7B1B"/>
    <w:rsid w:val="003D0645"/>
    <w:rsid w:val="003D0702"/>
    <w:rsid w:val="003D08F7"/>
    <w:rsid w:val="003D0902"/>
    <w:rsid w:val="003D0B08"/>
    <w:rsid w:val="003D100D"/>
    <w:rsid w:val="003D178F"/>
    <w:rsid w:val="003D21F3"/>
    <w:rsid w:val="003D274B"/>
    <w:rsid w:val="003D362E"/>
    <w:rsid w:val="003D366E"/>
    <w:rsid w:val="003D416C"/>
    <w:rsid w:val="003D4702"/>
    <w:rsid w:val="003D4CBA"/>
    <w:rsid w:val="003D4F8F"/>
    <w:rsid w:val="003D5F8D"/>
    <w:rsid w:val="003D630E"/>
    <w:rsid w:val="003D779B"/>
    <w:rsid w:val="003D7C00"/>
    <w:rsid w:val="003E064D"/>
    <w:rsid w:val="003E091C"/>
    <w:rsid w:val="003E0DE8"/>
    <w:rsid w:val="003E112C"/>
    <w:rsid w:val="003E1238"/>
    <w:rsid w:val="003E1812"/>
    <w:rsid w:val="003E1DCF"/>
    <w:rsid w:val="003E2345"/>
    <w:rsid w:val="003E2711"/>
    <w:rsid w:val="003E277B"/>
    <w:rsid w:val="003E2C40"/>
    <w:rsid w:val="003E2FFD"/>
    <w:rsid w:val="003E3555"/>
    <w:rsid w:val="003E3A34"/>
    <w:rsid w:val="003E3A51"/>
    <w:rsid w:val="003E53D1"/>
    <w:rsid w:val="003E64D4"/>
    <w:rsid w:val="003E694D"/>
    <w:rsid w:val="003E6BE4"/>
    <w:rsid w:val="003E7085"/>
    <w:rsid w:val="003E71DA"/>
    <w:rsid w:val="003E753F"/>
    <w:rsid w:val="003E7556"/>
    <w:rsid w:val="003E7933"/>
    <w:rsid w:val="003E7A4C"/>
    <w:rsid w:val="003E7ABE"/>
    <w:rsid w:val="003F0195"/>
    <w:rsid w:val="003F0196"/>
    <w:rsid w:val="003F0D90"/>
    <w:rsid w:val="003F1956"/>
    <w:rsid w:val="003F1A5F"/>
    <w:rsid w:val="003F1F01"/>
    <w:rsid w:val="003F2241"/>
    <w:rsid w:val="003F245F"/>
    <w:rsid w:val="003F25A8"/>
    <w:rsid w:val="003F25F5"/>
    <w:rsid w:val="003F44C3"/>
    <w:rsid w:val="003F4E2F"/>
    <w:rsid w:val="003F5B66"/>
    <w:rsid w:val="003F6056"/>
    <w:rsid w:val="003F6364"/>
    <w:rsid w:val="003F7850"/>
    <w:rsid w:val="004000E8"/>
    <w:rsid w:val="00400FF2"/>
    <w:rsid w:val="00401ACD"/>
    <w:rsid w:val="00401D9A"/>
    <w:rsid w:val="00402166"/>
    <w:rsid w:val="00402677"/>
    <w:rsid w:val="0040288B"/>
    <w:rsid w:val="00402E25"/>
    <w:rsid w:val="0040312B"/>
    <w:rsid w:val="004042DC"/>
    <w:rsid w:val="004043C0"/>
    <w:rsid w:val="00404777"/>
    <w:rsid w:val="004047B5"/>
    <w:rsid w:val="00404B38"/>
    <w:rsid w:val="00404DC2"/>
    <w:rsid w:val="004057A3"/>
    <w:rsid w:val="00405B99"/>
    <w:rsid w:val="00405FB5"/>
    <w:rsid w:val="00406F3D"/>
    <w:rsid w:val="00407365"/>
    <w:rsid w:val="00407415"/>
    <w:rsid w:val="004079D8"/>
    <w:rsid w:val="004105F7"/>
    <w:rsid w:val="004107DA"/>
    <w:rsid w:val="00410BDB"/>
    <w:rsid w:val="00410C47"/>
    <w:rsid w:val="00410DD5"/>
    <w:rsid w:val="004111F4"/>
    <w:rsid w:val="004115D5"/>
    <w:rsid w:val="004117EC"/>
    <w:rsid w:val="00411B7D"/>
    <w:rsid w:val="00411FD7"/>
    <w:rsid w:val="00412A5B"/>
    <w:rsid w:val="00413749"/>
    <w:rsid w:val="004137AF"/>
    <w:rsid w:val="00413AC7"/>
    <w:rsid w:val="00413EFA"/>
    <w:rsid w:val="00414358"/>
    <w:rsid w:val="00414456"/>
    <w:rsid w:val="00414866"/>
    <w:rsid w:val="00414ADC"/>
    <w:rsid w:val="00414EA6"/>
    <w:rsid w:val="004151F2"/>
    <w:rsid w:val="0041525F"/>
    <w:rsid w:val="0041588C"/>
    <w:rsid w:val="004158AD"/>
    <w:rsid w:val="00415D69"/>
    <w:rsid w:val="004164CA"/>
    <w:rsid w:val="00416E7A"/>
    <w:rsid w:val="00420004"/>
    <w:rsid w:val="004202C4"/>
    <w:rsid w:val="0042037B"/>
    <w:rsid w:val="00420392"/>
    <w:rsid w:val="004206B1"/>
    <w:rsid w:val="00420E4A"/>
    <w:rsid w:val="0042174D"/>
    <w:rsid w:val="00421D6E"/>
    <w:rsid w:val="00422E82"/>
    <w:rsid w:val="004237E5"/>
    <w:rsid w:val="00423C52"/>
    <w:rsid w:val="00424AA5"/>
    <w:rsid w:val="00424BE2"/>
    <w:rsid w:val="00424FE8"/>
    <w:rsid w:val="004255E6"/>
    <w:rsid w:val="004257C2"/>
    <w:rsid w:val="00426045"/>
    <w:rsid w:val="004268FF"/>
    <w:rsid w:val="00426A93"/>
    <w:rsid w:val="00426D25"/>
    <w:rsid w:val="00426FE1"/>
    <w:rsid w:val="0042728C"/>
    <w:rsid w:val="004273F8"/>
    <w:rsid w:val="004274A4"/>
    <w:rsid w:val="00430954"/>
    <w:rsid w:val="004312F5"/>
    <w:rsid w:val="00431521"/>
    <w:rsid w:val="0043155E"/>
    <w:rsid w:val="004315B9"/>
    <w:rsid w:val="004317ED"/>
    <w:rsid w:val="004324E3"/>
    <w:rsid w:val="004327C9"/>
    <w:rsid w:val="00432891"/>
    <w:rsid w:val="00432C08"/>
    <w:rsid w:val="00433948"/>
    <w:rsid w:val="004347B3"/>
    <w:rsid w:val="00434BC6"/>
    <w:rsid w:val="00434BD4"/>
    <w:rsid w:val="00434DED"/>
    <w:rsid w:val="0043691C"/>
    <w:rsid w:val="00436F9C"/>
    <w:rsid w:val="00440066"/>
    <w:rsid w:val="004405AC"/>
    <w:rsid w:val="00441440"/>
    <w:rsid w:val="0044166A"/>
    <w:rsid w:val="004418DC"/>
    <w:rsid w:val="00441A1C"/>
    <w:rsid w:val="00441B51"/>
    <w:rsid w:val="00442127"/>
    <w:rsid w:val="0044254D"/>
    <w:rsid w:val="00442BAF"/>
    <w:rsid w:val="004443A0"/>
    <w:rsid w:val="00444545"/>
    <w:rsid w:val="00444BE8"/>
    <w:rsid w:val="00445295"/>
    <w:rsid w:val="0044614A"/>
    <w:rsid w:val="00446702"/>
    <w:rsid w:val="00447395"/>
    <w:rsid w:val="00447EDF"/>
    <w:rsid w:val="00450099"/>
    <w:rsid w:val="004502F1"/>
    <w:rsid w:val="00450465"/>
    <w:rsid w:val="004506B6"/>
    <w:rsid w:val="00450A8C"/>
    <w:rsid w:val="00450BF8"/>
    <w:rsid w:val="00450ECC"/>
    <w:rsid w:val="00450FC2"/>
    <w:rsid w:val="0045122D"/>
    <w:rsid w:val="00451233"/>
    <w:rsid w:val="00451305"/>
    <w:rsid w:val="0045158C"/>
    <w:rsid w:val="00451A93"/>
    <w:rsid w:val="00452A14"/>
    <w:rsid w:val="00452B5C"/>
    <w:rsid w:val="0045410B"/>
    <w:rsid w:val="00454779"/>
    <w:rsid w:val="00454ACB"/>
    <w:rsid w:val="00455014"/>
    <w:rsid w:val="00455274"/>
    <w:rsid w:val="004563C1"/>
    <w:rsid w:val="004565F4"/>
    <w:rsid w:val="00456742"/>
    <w:rsid w:val="004578F6"/>
    <w:rsid w:val="00457D7E"/>
    <w:rsid w:val="0046000F"/>
    <w:rsid w:val="004604D8"/>
    <w:rsid w:val="00462419"/>
    <w:rsid w:val="004628E8"/>
    <w:rsid w:val="00463078"/>
    <w:rsid w:val="0046362D"/>
    <w:rsid w:val="0046513A"/>
    <w:rsid w:val="004659A7"/>
    <w:rsid w:val="00466351"/>
    <w:rsid w:val="00466649"/>
    <w:rsid w:val="004668C2"/>
    <w:rsid w:val="00466C48"/>
    <w:rsid w:val="00467453"/>
    <w:rsid w:val="00470629"/>
    <w:rsid w:val="00470D34"/>
    <w:rsid w:val="00471D64"/>
    <w:rsid w:val="0047200A"/>
    <w:rsid w:val="004720E8"/>
    <w:rsid w:val="00472140"/>
    <w:rsid w:val="0047221B"/>
    <w:rsid w:val="00472699"/>
    <w:rsid w:val="00474647"/>
    <w:rsid w:val="004747D4"/>
    <w:rsid w:val="00474AF3"/>
    <w:rsid w:val="004751AF"/>
    <w:rsid w:val="00475B9D"/>
    <w:rsid w:val="004764E7"/>
    <w:rsid w:val="004766F0"/>
    <w:rsid w:val="004767A2"/>
    <w:rsid w:val="00476EE8"/>
    <w:rsid w:val="00476F06"/>
    <w:rsid w:val="004771FA"/>
    <w:rsid w:val="00477258"/>
    <w:rsid w:val="004773E1"/>
    <w:rsid w:val="00477490"/>
    <w:rsid w:val="00477972"/>
    <w:rsid w:val="0048008E"/>
    <w:rsid w:val="00480524"/>
    <w:rsid w:val="0048070F"/>
    <w:rsid w:val="00480960"/>
    <w:rsid w:val="00481553"/>
    <w:rsid w:val="00481606"/>
    <w:rsid w:val="0048166F"/>
    <w:rsid w:val="00481B2A"/>
    <w:rsid w:val="00481B97"/>
    <w:rsid w:val="00481DA7"/>
    <w:rsid w:val="00483846"/>
    <w:rsid w:val="00483C84"/>
    <w:rsid w:val="0048466A"/>
    <w:rsid w:val="00484BD5"/>
    <w:rsid w:val="00484DE7"/>
    <w:rsid w:val="004858F6"/>
    <w:rsid w:val="00485DED"/>
    <w:rsid w:val="00486621"/>
    <w:rsid w:val="004867FE"/>
    <w:rsid w:val="00487638"/>
    <w:rsid w:val="00487732"/>
    <w:rsid w:val="00487747"/>
    <w:rsid w:val="00487801"/>
    <w:rsid w:val="00487B69"/>
    <w:rsid w:val="0049048E"/>
    <w:rsid w:val="00490561"/>
    <w:rsid w:val="0049059B"/>
    <w:rsid w:val="004908FB"/>
    <w:rsid w:val="00490B95"/>
    <w:rsid w:val="00490E02"/>
    <w:rsid w:val="0049101A"/>
    <w:rsid w:val="00491589"/>
    <w:rsid w:val="00491912"/>
    <w:rsid w:val="00491D38"/>
    <w:rsid w:val="0049201F"/>
    <w:rsid w:val="004923F7"/>
    <w:rsid w:val="00492B29"/>
    <w:rsid w:val="00492B32"/>
    <w:rsid w:val="00494896"/>
    <w:rsid w:val="00495B08"/>
    <w:rsid w:val="0049641E"/>
    <w:rsid w:val="00496E5E"/>
    <w:rsid w:val="00496E8E"/>
    <w:rsid w:val="004971DE"/>
    <w:rsid w:val="0049720A"/>
    <w:rsid w:val="00497AE1"/>
    <w:rsid w:val="00497E51"/>
    <w:rsid w:val="004A0586"/>
    <w:rsid w:val="004A0590"/>
    <w:rsid w:val="004A0C8F"/>
    <w:rsid w:val="004A161D"/>
    <w:rsid w:val="004A2A07"/>
    <w:rsid w:val="004A2AFC"/>
    <w:rsid w:val="004A2C53"/>
    <w:rsid w:val="004A35BB"/>
    <w:rsid w:val="004A3C6D"/>
    <w:rsid w:val="004A4EBA"/>
    <w:rsid w:val="004A6A89"/>
    <w:rsid w:val="004A7A2F"/>
    <w:rsid w:val="004B0876"/>
    <w:rsid w:val="004B0974"/>
    <w:rsid w:val="004B17B2"/>
    <w:rsid w:val="004B1BFE"/>
    <w:rsid w:val="004B2CB2"/>
    <w:rsid w:val="004B3298"/>
    <w:rsid w:val="004B3AAF"/>
    <w:rsid w:val="004B3E30"/>
    <w:rsid w:val="004B3F4F"/>
    <w:rsid w:val="004B460F"/>
    <w:rsid w:val="004B5052"/>
    <w:rsid w:val="004B50A1"/>
    <w:rsid w:val="004B5A85"/>
    <w:rsid w:val="004B6ACC"/>
    <w:rsid w:val="004B6FBD"/>
    <w:rsid w:val="004B7BFD"/>
    <w:rsid w:val="004C0418"/>
    <w:rsid w:val="004C066A"/>
    <w:rsid w:val="004C1080"/>
    <w:rsid w:val="004C1991"/>
    <w:rsid w:val="004C1AC3"/>
    <w:rsid w:val="004C1B0C"/>
    <w:rsid w:val="004C1E50"/>
    <w:rsid w:val="004C22E4"/>
    <w:rsid w:val="004C2603"/>
    <w:rsid w:val="004C2933"/>
    <w:rsid w:val="004C29FD"/>
    <w:rsid w:val="004C3636"/>
    <w:rsid w:val="004C3715"/>
    <w:rsid w:val="004C46C8"/>
    <w:rsid w:val="004C50A1"/>
    <w:rsid w:val="004C5DA5"/>
    <w:rsid w:val="004C624D"/>
    <w:rsid w:val="004C680A"/>
    <w:rsid w:val="004D135D"/>
    <w:rsid w:val="004D2090"/>
    <w:rsid w:val="004D267F"/>
    <w:rsid w:val="004D2AA4"/>
    <w:rsid w:val="004D2C4B"/>
    <w:rsid w:val="004D2DE7"/>
    <w:rsid w:val="004D2FC2"/>
    <w:rsid w:val="004D34E8"/>
    <w:rsid w:val="004D3F83"/>
    <w:rsid w:val="004D413E"/>
    <w:rsid w:val="004D442F"/>
    <w:rsid w:val="004D4A4E"/>
    <w:rsid w:val="004D4B30"/>
    <w:rsid w:val="004D4DF4"/>
    <w:rsid w:val="004D5059"/>
    <w:rsid w:val="004D5066"/>
    <w:rsid w:val="004D553A"/>
    <w:rsid w:val="004D5D5F"/>
    <w:rsid w:val="004D5D7E"/>
    <w:rsid w:val="004D61ED"/>
    <w:rsid w:val="004D6393"/>
    <w:rsid w:val="004D63CA"/>
    <w:rsid w:val="004D66BF"/>
    <w:rsid w:val="004D6887"/>
    <w:rsid w:val="004D6B5A"/>
    <w:rsid w:val="004D6B97"/>
    <w:rsid w:val="004D7B49"/>
    <w:rsid w:val="004D7CAD"/>
    <w:rsid w:val="004E12E3"/>
    <w:rsid w:val="004E1532"/>
    <w:rsid w:val="004E1842"/>
    <w:rsid w:val="004E1E6C"/>
    <w:rsid w:val="004E2085"/>
    <w:rsid w:val="004E24C4"/>
    <w:rsid w:val="004E2544"/>
    <w:rsid w:val="004E26E2"/>
    <w:rsid w:val="004E2B90"/>
    <w:rsid w:val="004E3239"/>
    <w:rsid w:val="004E3270"/>
    <w:rsid w:val="004E32AA"/>
    <w:rsid w:val="004E3715"/>
    <w:rsid w:val="004E3B45"/>
    <w:rsid w:val="004E44EE"/>
    <w:rsid w:val="004E49C2"/>
    <w:rsid w:val="004E49DD"/>
    <w:rsid w:val="004E4D47"/>
    <w:rsid w:val="004E5889"/>
    <w:rsid w:val="004E5A25"/>
    <w:rsid w:val="004E5B4D"/>
    <w:rsid w:val="004E5C8F"/>
    <w:rsid w:val="004E61A6"/>
    <w:rsid w:val="004E6CCC"/>
    <w:rsid w:val="004F0F08"/>
    <w:rsid w:val="004F113E"/>
    <w:rsid w:val="004F24DD"/>
    <w:rsid w:val="004F3092"/>
    <w:rsid w:val="004F38A7"/>
    <w:rsid w:val="004F45BE"/>
    <w:rsid w:val="004F45F9"/>
    <w:rsid w:val="004F4916"/>
    <w:rsid w:val="004F50BC"/>
    <w:rsid w:val="004F5A97"/>
    <w:rsid w:val="004F5B8D"/>
    <w:rsid w:val="004F5E7D"/>
    <w:rsid w:val="004F61D6"/>
    <w:rsid w:val="004F6590"/>
    <w:rsid w:val="004F7001"/>
    <w:rsid w:val="004F77EE"/>
    <w:rsid w:val="004F7B59"/>
    <w:rsid w:val="004F7DFB"/>
    <w:rsid w:val="00500914"/>
    <w:rsid w:val="0050104A"/>
    <w:rsid w:val="005015E1"/>
    <w:rsid w:val="005015F0"/>
    <w:rsid w:val="0050170C"/>
    <w:rsid w:val="00501DF2"/>
    <w:rsid w:val="005025E0"/>
    <w:rsid w:val="00502C0B"/>
    <w:rsid w:val="00503749"/>
    <w:rsid w:val="005037CD"/>
    <w:rsid w:val="00504245"/>
    <w:rsid w:val="005044B7"/>
    <w:rsid w:val="005044EC"/>
    <w:rsid w:val="00504A53"/>
    <w:rsid w:val="00504B9D"/>
    <w:rsid w:val="0050530C"/>
    <w:rsid w:val="005057EC"/>
    <w:rsid w:val="00505E71"/>
    <w:rsid w:val="00506624"/>
    <w:rsid w:val="00506777"/>
    <w:rsid w:val="0050706C"/>
    <w:rsid w:val="0050745B"/>
    <w:rsid w:val="0050762E"/>
    <w:rsid w:val="005076D3"/>
    <w:rsid w:val="00507DD4"/>
    <w:rsid w:val="00507E32"/>
    <w:rsid w:val="00510648"/>
    <w:rsid w:val="00510F57"/>
    <w:rsid w:val="005110FA"/>
    <w:rsid w:val="0051209A"/>
    <w:rsid w:val="005124F5"/>
    <w:rsid w:val="00512F12"/>
    <w:rsid w:val="00513691"/>
    <w:rsid w:val="0051430C"/>
    <w:rsid w:val="00514EF0"/>
    <w:rsid w:val="00516263"/>
    <w:rsid w:val="00516375"/>
    <w:rsid w:val="005168D8"/>
    <w:rsid w:val="00517027"/>
    <w:rsid w:val="005173E7"/>
    <w:rsid w:val="00517804"/>
    <w:rsid w:val="00517991"/>
    <w:rsid w:val="00517AE2"/>
    <w:rsid w:val="00520920"/>
    <w:rsid w:val="0052147B"/>
    <w:rsid w:val="00521FDB"/>
    <w:rsid w:val="00522B3C"/>
    <w:rsid w:val="00522BB1"/>
    <w:rsid w:val="00523070"/>
    <w:rsid w:val="00523710"/>
    <w:rsid w:val="005238E6"/>
    <w:rsid w:val="00524257"/>
    <w:rsid w:val="00525190"/>
    <w:rsid w:val="00525300"/>
    <w:rsid w:val="00525A03"/>
    <w:rsid w:val="00525C17"/>
    <w:rsid w:val="0052601F"/>
    <w:rsid w:val="00526044"/>
    <w:rsid w:val="0052637E"/>
    <w:rsid w:val="005264F6"/>
    <w:rsid w:val="005276C5"/>
    <w:rsid w:val="00527A21"/>
    <w:rsid w:val="00527DF4"/>
    <w:rsid w:val="00530783"/>
    <w:rsid w:val="00531373"/>
    <w:rsid w:val="00531B1B"/>
    <w:rsid w:val="00531E27"/>
    <w:rsid w:val="00532068"/>
    <w:rsid w:val="00532A02"/>
    <w:rsid w:val="00533406"/>
    <w:rsid w:val="005339D8"/>
    <w:rsid w:val="0053493E"/>
    <w:rsid w:val="005349B3"/>
    <w:rsid w:val="00534AC9"/>
    <w:rsid w:val="00534D03"/>
    <w:rsid w:val="00534DEF"/>
    <w:rsid w:val="00534E84"/>
    <w:rsid w:val="00535479"/>
    <w:rsid w:val="0053577F"/>
    <w:rsid w:val="00535FAE"/>
    <w:rsid w:val="00535FD8"/>
    <w:rsid w:val="00536E0E"/>
    <w:rsid w:val="0053720A"/>
    <w:rsid w:val="00537790"/>
    <w:rsid w:val="00537C91"/>
    <w:rsid w:val="00540C05"/>
    <w:rsid w:val="00540FC3"/>
    <w:rsid w:val="00541A62"/>
    <w:rsid w:val="00541CB0"/>
    <w:rsid w:val="0054212E"/>
    <w:rsid w:val="00543456"/>
    <w:rsid w:val="0054397E"/>
    <w:rsid w:val="00543B28"/>
    <w:rsid w:val="00543CF8"/>
    <w:rsid w:val="00544562"/>
    <w:rsid w:val="00544E37"/>
    <w:rsid w:val="00544F14"/>
    <w:rsid w:val="005458BF"/>
    <w:rsid w:val="005459E7"/>
    <w:rsid w:val="00545BA5"/>
    <w:rsid w:val="00545C7F"/>
    <w:rsid w:val="00545F27"/>
    <w:rsid w:val="005461FF"/>
    <w:rsid w:val="0054683A"/>
    <w:rsid w:val="00547360"/>
    <w:rsid w:val="00547982"/>
    <w:rsid w:val="00547E42"/>
    <w:rsid w:val="00550F8D"/>
    <w:rsid w:val="005510B5"/>
    <w:rsid w:val="0055129D"/>
    <w:rsid w:val="00551317"/>
    <w:rsid w:val="0055144A"/>
    <w:rsid w:val="00552105"/>
    <w:rsid w:val="005524C3"/>
    <w:rsid w:val="00552C37"/>
    <w:rsid w:val="005535A3"/>
    <w:rsid w:val="005536D4"/>
    <w:rsid w:val="0055477C"/>
    <w:rsid w:val="00554FE0"/>
    <w:rsid w:val="00556171"/>
    <w:rsid w:val="005565BE"/>
    <w:rsid w:val="005566FD"/>
    <w:rsid w:val="00557486"/>
    <w:rsid w:val="0055753D"/>
    <w:rsid w:val="00557CFD"/>
    <w:rsid w:val="00560194"/>
    <w:rsid w:val="005604FC"/>
    <w:rsid w:val="005607A9"/>
    <w:rsid w:val="005613F4"/>
    <w:rsid w:val="00561F70"/>
    <w:rsid w:val="005624DA"/>
    <w:rsid w:val="00562656"/>
    <w:rsid w:val="00562862"/>
    <w:rsid w:val="00562CB7"/>
    <w:rsid w:val="0056374D"/>
    <w:rsid w:val="0056438D"/>
    <w:rsid w:val="005651AF"/>
    <w:rsid w:val="0056541D"/>
    <w:rsid w:val="005656C4"/>
    <w:rsid w:val="00565773"/>
    <w:rsid w:val="005657D0"/>
    <w:rsid w:val="005657FB"/>
    <w:rsid w:val="0056596F"/>
    <w:rsid w:val="00566041"/>
    <w:rsid w:val="00566A58"/>
    <w:rsid w:val="00566A73"/>
    <w:rsid w:val="00566D0B"/>
    <w:rsid w:val="00566DA4"/>
    <w:rsid w:val="00566ECC"/>
    <w:rsid w:val="0056792B"/>
    <w:rsid w:val="00567CBA"/>
    <w:rsid w:val="0057025F"/>
    <w:rsid w:val="00570647"/>
    <w:rsid w:val="00570759"/>
    <w:rsid w:val="00570A20"/>
    <w:rsid w:val="00570B16"/>
    <w:rsid w:val="005710D9"/>
    <w:rsid w:val="0057133A"/>
    <w:rsid w:val="0057157B"/>
    <w:rsid w:val="0057186E"/>
    <w:rsid w:val="005719AE"/>
    <w:rsid w:val="00571A44"/>
    <w:rsid w:val="00571B9F"/>
    <w:rsid w:val="005723EB"/>
    <w:rsid w:val="00573185"/>
    <w:rsid w:val="00573594"/>
    <w:rsid w:val="005741C4"/>
    <w:rsid w:val="00574878"/>
    <w:rsid w:val="00575252"/>
    <w:rsid w:val="005756E4"/>
    <w:rsid w:val="0057572C"/>
    <w:rsid w:val="00575A49"/>
    <w:rsid w:val="00575DFA"/>
    <w:rsid w:val="00576C24"/>
    <w:rsid w:val="00576FAC"/>
    <w:rsid w:val="005778CD"/>
    <w:rsid w:val="00577D69"/>
    <w:rsid w:val="00577DD6"/>
    <w:rsid w:val="0058005D"/>
    <w:rsid w:val="0058087B"/>
    <w:rsid w:val="00581EA5"/>
    <w:rsid w:val="00582887"/>
    <w:rsid w:val="005834B8"/>
    <w:rsid w:val="0058364C"/>
    <w:rsid w:val="00583802"/>
    <w:rsid w:val="005841D3"/>
    <w:rsid w:val="005844A7"/>
    <w:rsid w:val="00584720"/>
    <w:rsid w:val="00584834"/>
    <w:rsid w:val="00584D71"/>
    <w:rsid w:val="00584E0E"/>
    <w:rsid w:val="00585395"/>
    <w:rsid w:val="0058595F"/>
    <w:rsid w:val="00586653"/>
    <w:rsid w:val="00586B19"/>
    <w:rsid w:val="005876B0"/>
    <w:rsid w:val="00587BC0"/>
    <w:rsid w:val="005903D4"/>
    <w:rsid w:val="00591107"/>
    <w:rsid w:val="00591D49"/>
    <w:rsid w:val="00591EA1"/>
    <w:rsid w:val="00592217"/>
    <w:rsid w:val="00592401"/>
    <w:rsid w:val="00595716"/>
    <w:rsid w:val="005962B8"/>
    <w:rsid w:val="00596CD8"/>
    <w:rsid w:val="00596DEE"/>
    <w:rsid w:val="00596F46"/>
    <w:rsid w:val="0059759B"/>
    <w:rsid w:val="005975F2"/>
    <w:rsid w:val="00597F23"/>
    <w:rsid w:val="005A0397"/>
    <w:rsid w:val="005A1301"/>
    <w:rsid w:val="005A1360"/>
    <w:rsid w:val="005A2104"/>
    <w:rsid w:val="005A22D4"/>
    <w:rsid w:val="005A22E7"/>
    <w:rsid w:val="005A30DB"/>
    <w:rsid w:val="005A35A0"/>
    <w:rsid w:val="005A371C"/>
    <w:rsid w:val="005A4598"/>
    <w:rsid w:val="005A49AC"/>
    <w:rsid w:val="005A51CB"/>
    <w:rsid w:val="005A68AE"/>
    <w:rsid w:val="005A6FDB"/>
    <w:rsid w:val="005A7209"/>
    <w:rsid w:val="005A7819"/>
    <w:rsid w:val="005A7B39"/>
    <w:rsid w:val="005B03D8"/>
    <w:rsid w:val="005B098D"/>
    <w:rsid w:val="005B10FD"/>
    <w:rsid w:val="005B19C2"/>
    <w:rsid w:val="005B1A88"/>
    <w:rsid w:val="005B2211"/>
    <w:rsid w:val="005B2E09"/>
    <w:rsid w:val="005B2F40"/>
    <w:rsid w:val="005B3374"/>
    <w:rsid w:val="005B3E07"/>
    <w:rsid w:val="005B3F0D"/>
    <w:rsid w:val="005B45C8"/>
    <w:rsid w:val="005B4C27"/>
    <w:rsid w:val="005B69B7"/>
    <w:rsid w:val="005B6EEE"/>
    <w:rsid w:val="005B78E5"/>
    <w:rsid w:val="005C05EA"/>
    <w:rsid w:val="005C0773"/>
    <w:rsid w:val="005C0E96"/>
    <w:rsid w:val="005C28DA"/>
    <w:rsid w:val="005C2A50"/>
    <w:rsid w:val="005C2AAA"/>
    <w:rsid w:val="005C2EB1"/>
    <w:rsid w:val="005C2EF2"/>
    <w:rsid w:val="005C43BA"/>
    <w:rsid w:val="005C4609"/>
    <w:rsid w:val="005C470F"/>
    <w:rsid w:val="005C4F66"/>
    <w:rsid w:val="005C67C8"/>
    <w:rsid w:val="005C6F34"/>
    <w:rsid w:val="005C797E"/>
    <w:rsid w:val="005D022C"/>
    <w:rsid w:val="005D054F"/>
    <w:rsid w:val="005D13F9"/>
    <w:rsid w:val="005D179B"/>
    <w:rsid w:val="005D1C0F"/>
    <w:rsid w:val="005D28FA"/>
    <w:rsid w:val="005D2954"/>
    <w:rsid w:val="005D361E"/>
    <w:rsid w:val="005D388F"/>
    <w:rsid w:val="005D3B04"/>
    <w:rsid w:val="005D43F5"/>
    <w:rsid w:val="005D468A"/>
    <w:rsid w:val="005D4AC9"/>
    <w:rsid w:val="005D4E67"/>
    <w:rsid w:val="005D4F12"/>
    <w:rsid w:val="005D5692"/>
    <w:rsid w:val="005D5C1C"/>
    <w:rsid w:val="005D5E28"/>
    <w:rsid w:val="005D6258"/>
    <w:rsid w:val="005D62E7"/>
    <w:rsid w:val="005D64D4"/>
    <w:rsid w:val="005D6718"/>
    <w:rsid w:val="005D6F36"/>
    <w:rsid w:val="005D729C"/>
    <w:rsid w:val="005E04E8"/>
    <w:rsid w:val="005E159E"/>
    <w:rsid w:val="005E1C7D"/>
    <w:rsid w:val="005E1F51"/>
    <w:rsid w:val="005E20F1"/>
    <w:rsid w:val="005E22A9"/>
    <w:rsid w:val="005E2C2A"/>
    <w:rsid w:val="005E3460"/>
    <w:rsid w:val="005E440C"/>
    <w:rsid w:val="005E45D6"/>
    <w:rsid w:val="005E555A"/>
    <w:rsid w:val="005E558C"/>
    <w:rsid w:val="005E6809"/>
    <w:rsid w:val="005E6BD2"/>
    <w:rsid w:val="005E6EFE"/>
    <w:rsid w:val="005E7527"/>
    <w:rsid w:val="005F0093"/>
    <w:rsid w:val="005F01FC"/>
    <w:rsid w:val="005F048C"/>
    <w:rsid w:val="005F1053"/>
    <w:rsid w:val="005F1C21"/>
    <w:rsid w:val="005F2398"/>
    <w:rsid w:val="005F2E06"/>
    <w:rsid w:val="005F346E"/>
    <w:rsid w:val="005F348C"/>
    <w:rsid w:val="005F37DC"/>
    <w:rsid w:val="005F3AF4"/>
    <w:rsid w:val="005F3C22"/>
    <w:rsid w:val="005F442C"/>
    <w:rsid w:val="005F4767"/>
    <w:rsid w:val="005F5404"/>
    <w:rsid w:val="005F5803"/>
    <w:rsid w:val="005F5A95"/>
    <w:rsid w:val="005F5C82"/>
    <w:rsid w:val="005F5CC9"/>
    <w:rsid w:val="005F65C1"/>
    <w:rsid w:val="005F66D3"/>
    <w:rsid w:val="005F670D"/>
    <w:rsid w:val="005F6B06"/>
    <w:rsid w:val="005F6B32"/>
    <w:rsid w:val="005F7442"/>
    <w:rsid w:val="005F79CA"/>
    <w:rsid w:val="00600038"/>
    <w:rsid w:val="006016D6"/>
    <w:rsid w:val="00602554"/>
    <w:rsid w:val="006029CF"/>
    <w:rsid w:val="00602D30"/>
    <w:rsid w:val="006030B8"/>
    <w:rsid w:val="00603B77"/>
    <w:rsid w:val="006045B9"/>
    <w:rsid w:val="006049B3"/>
    <w:rsid w:val="00604A57"/>
    <w:rsid w:val="0060733B"/>
    <w:rsid w:val="006073BB"/>
    <w:rsid w:val="0060764D"/>
    <w:rsid w:val="00607E80"/>
    <w:rsid w:val="006105F2"/>
    <w:rsid w:val="00610683"/>
    <w:rsid w:val="00610A45"/>
    <w:rsid w:val="00610CCC"/>
    <w:rsid w:val="00610E52"/>
    <w:rsid w:val="006111CE"/>
    <w:rsid w:val="00611307"/>
    <w:rsid w:val="00611FC5"/>
    <w:rsid w:val="00612B1F"/>
    <w:rsid w:val="006132C9"/>
    <w:rsid w:val="006138E5"/>
    <w:rsid w:val="00613B48"/>
    <w:rsid w:val="00613B50"/>
    <w:rsid w:val="0061492E"/>
    <w:rsid w:val="006155C7"/>
    <w:rsid w:val="00615942"/>
    <w:rsid w:val="00615E61"/>
    <w:rsid w:val="00615EFA"/>
    <w:rsid w:val="0061697B"/>
    <w:rsid w:val="00617313"/>
    <w:rsid w:val="00617778"/>
    <w:rsid w:val="00617F2F"/>
    <w:rsid w:val="006219DE"/>
    <w:rsid w:val="006221E7"/>
    <w:rsid w:val="006222D2"/>
    <w:rsid w:val="0062269F"/>
    <w:rsid w:val="006229A2"/>
    <w:rsid w:val="0062343A"/>
    <w:rsid w:val="00623B57"/>
    <w:rsid w:val="00623C0C"/>
    <w:rsid w:val="00623DF5"/>
    <w:rsid w:val="00624033"/>
    <w:rsid w:val="00624142"/>
    <w:rsid w:val="006245D5"/>
    <w:rsid w:val="00624B8D"/>
    <w:rsid w:val="00624E91"/>
    <w:rsid w:val="00625851"/>
    <w:rsid w:val="00625DE4"/>
    <w:rsid w:val="006260EB"/>
    <w:rsid w:val="00626BE8"/>
    <w:rsid w:val="006314A0"/>
    <w:rsid w:val="00632053"/>
    <w:rsid w:val="00632637"/>
    <w:rsid w:val="00633171"/>
    <w:rsid w:val="006337C5"/>
    <w:rsid w:val="006346FD"/>
    <w:rsid w:val="00634BA8"/>
    <w:rsid w:val="006368AA"/>
    <w:rsid w:val="00636FD7"/>
    <w:rsid w:val="00637A9C"/>
    <w:rsid w:val="0064049B"/>
    <w:rsid w:val="006407B2"/>
    <w:rsid w:val="00640CBA"/>
    <w:rsid w:val="006411C5"/>
    <w:rsid w:val="006423CC"/>
    <w:rsid w:val="0064252A"/>
    <w:rsid w:val="0064298C"/>
    <w:rsid w:val="00642A8F"/>
    <w:rsid w:val="00642E34"/>
    <w:rsid w:val="0064363F"/>
    <w:rsid w:val="00643731"/>
    <w:rsid w:val="0064383F"/>
    <w:rsid w:val="00643AC4"/>
    <w:rsid w:val="00643B68"/>
    <w:rsid w:val="00643C7F"/>
    <w:rsid w:val="00643E0F"/>
    <w:rsid w:val="00644CDC"/>
    <w:rsid w:val="00644F06"/>
    <w:rsid w:val="006451EC"/>
    <w:rsid w:val="00650C95"/>
    <w:rsid w:val="00650FC8"/>
    <w:rsid w:val="00651644"/>
    <w:rsid w:val="0065197C"/>
    <w:rsid w:val="00651E0B"/>
    <w:rsid w:val="0065245C"/>
    <w:rsid w:val="00652D34"/>
    <w:rsid w:val="00653024"/>
    <w:rsid w:val="00653128"/>
    <w:rsid w:val="0065405D"/>
    <w:rsid w:val="006540E5"/>
    <w:rsid w:val="006549D4"/>
    <w:rsid w:val="00654A9B"/>
    <w:rsid w:val="00654FEE"/>
    <w:rsid w:val="006552CF"/>
    <w:rsid w:val="00655D4B"/>
    <w:rsid w:val="00655E95"/>
    <w:rsid w:val="00655EBE"/>
    <w:rsid w:val="006564B6"/>
    <w:rsid w:val="006568DF"/>
    <w:rsid w:val="006579FC"/>
    <w:rsid w:val="00660551"/>
    <w:rsid w:val="0066093B"/>
    <w:rsid w:val="0066117D"/>
    <w:rsid w:val="006613C5"/>
    <w:rsid w:val="00661600"/>
    <w:rsid w:val="0066310A"/>
    <w:rsid w:val="006634D5"/>
    <w:rsid w:val="0066364F"/>
    <w:rsid w:val="00663977"/>
    <w:rsid w:val="00663AE9"/>
    <w:rsid w:val="006642BE"/>
    <w:rsid w:val="006643F9"/>
    <w:rsid w:val="00664AE3"/>
    <w:rsid w:val="00664CDC"/>
    <w:rsid w:val="00664DDF"/>
    <w:rsid w:val="006651FD"/>
    <w:rsid w:val="00665275"/>
    <w:rsid w:val="00666372"/>
    <w:rsid w:val="00666537"/>
    <w:rsid w:val="006665C7"/>
    <w:rsid w:val="00666C1F"/>
    <w:rsid w:val="00666E6E"/>
    <w:rsid w:val="006677E1"/>
    <w:rsid w:val="006705B1"/>
    <w:rsid w:val="00670747"/>
    <w:rsid w:val="006709FA"/>
    <w:rsid w:val="00670F5A"/>
    <w:rsid w:val="00671777"/>
    <w:rsid w:val="00671BF0"/>
    <w:rsid w:val="00671C01"/>
    <w:rsid w:val="00671F8E"/>
    <w:rsid w:val="00672144"/>
    <w:rsid w:val="00672544"/>
    <w:rsid w:val="006729BA"/>
    <w:rsid w:val="006737FF"/>
    <w:rsid w:val="00673927"/>
    <w:rsid w:val="0067520D"/>
    <w:rsid w:val="00675803"/>
    <w:rsid w:val="00675A29"/>
    <w:rsid w:val="00676137"/>
    <w:rsid w:val="006762F4"/>
    <w:rsid w:val="0067794C"/>
    <w:rsid w:val="0068072B"/>
    <w:rsid w:val="00680F6C"/>
    <w:rsid w:val="00680FB0"/>
    <w:rsid w:val="00681871"/>
    <w:rsid w:val="0068220A"/>
    <w:rsid w:val="00682314"/>
    <w:rsid w:val="0068235A"/>
    <w:rsid w:val="00682B62"/>
    <w:rsid w:val="00682BF1"/>
    <w:rsid w:val="00682FDF"/>
    <w:rsid w:val="00683B15"/>
    <w:rsid w:val="00683C91"/>
    <w:rsid w:val="00683CE3"/>
    <w:rsid w:val="0068449F"/>
    <w:rsid w:val="006844E8"/>
    <w:rsid w:val="006844FF"/>
    <w:rsid w:val="006846F5"/>
    <w:rsid w:val="00684A6E"/>
    <w:rsid w:val="00684C74"/>
    <w:rsid w:val="00684D18"/>
    <w:rsid w:val="00685789"/>
    <w:rsid w:val="006857EA"/>
    <w:rsid w:val="00685F3B"/>
    <w:rsid w:val="006865A1"/>
    <w:rsid w:val="00687D1C"/>
    <w:rsid w:val="00691CF0"/>
    <w:rsid w:val="00691CF2"/>
    <w:rsid w:val="00691F4C"/>
    <w:rsid w:val="00691FA5"/>
    <w:rsid w:val="006929DA"/>
    <w:rsid w:val="006942F8"/>
    <w:rsid w:val="006949B9"/>
    <w:rsid w:val="00694CF6"/>
    <w:rsid w:val="00694F24"/>
    <w:rsid w:val="00695738"/>
    <w:rsid w:val="00695B9E"/>
    <w:rsid w:val="00696759"/>
    <w:rsid w:val="00697800"/>
    <w:rsid w:val="00697934"/>
    <w:rsid w:val="00697A10"/>
    <w:rsid w:val="00697B3E"/>
    <w:rsid w:val="00697E14"/>
    <w:rsid w:val="006A06D0"/>
    <w:rsid w:val="006A13DF"/>
    <w:rsid w:val="006A153F"/>
    <w:rsid w:val="006A1625"/>
    <w:rsid w:val="006A1761"/>
    <w:rsid w:val="006A2126"/>
    <w:rsid w:val="006A286A"/>
    <w:rsid w:val="006A3076"/>
    <w:rsid w:val="006A33C6"/>
    <w:rsid w:val="006A3479"/>
    <w:rsid w:val="006A3A8B"/>
    <w:rsid w:val="006A44F5"/>
    <w:rsid w:val="006A4715"/>
    <w:rsid w:val="006A4CF2"/>
    <w:rsid w:val="006A545E"/>
    <w:rsid w:val="006A5979"/>
    <w:rsid w:val="006A62F9"/>
    <w:rsid w:val="006A65A4"/>
    <w:rsid w:val="006B0814"/>
    <w:rsid w:val="006B1103"/>
    <w:rsid w:val="006B1124"/>
    <w:rsid w:val="006B13C2"/>
    <w:rsid w:val="006B21BE"/>
    <w:rsid w:val="006B255B"/>
    <w:rsid w:val="006B2655"/>
    <w:rsid w:val="006B2C2C"/>
    <w:rsid w:val="006B2FFC"/>
    <w:rsid w:val="006B3050"/>
    <w:rsid w:val="006B399A"/>
    <w:rsid w:val="006B4463"/>
    <w:rsid w:val="006B4836"/>
    <w:rsid w:val="006B4E13"/>
    <w:rsid w:val="006B5276"/>
    <w:rsid w:val="006B542E"/>
    <w:rsid w:val="006B543A"/>
    <w:rsid w:val="006B5D9F"/>
    <w:rsid w:val="006B5EA1"/>
    <w:rsid w:val="006B5F38"/>
    <w:rsid w:val="006B6C09"/>
    <w:rsid w:val="006B6E2B"/>
    <w:rsid w:val="006B74E5"/>
    <w:rsid w:val="006C0890"/>
    <w:rsid w:val="006C1230"/>
    <w:rsid w:val="006C1E95"/>
    <w:rsid w:val="006C1EA3"/>
    <w:rsid w:val="006C1EBA"/>
    <w:rsid w:val="006C208A"/>
    <w:rsid w:val="006C28E5"/>
    <w:rsid w:val="006C3283"/>
    <w:rsid w:val="006C32A5"/>
    <w:rsid w:val="006C3750"/>
    <w:rsid w:val="006C3FB2"/>
    <w:rsid w:val="006C4532"/>
    <w:rsid w:val="006C4779"/>
    <w:rsid w:val="006C48BA"/>
    <w:rsid w:val="006C495D"/>
    <w:rsid w:val="006C4F3E"/>
    <w:rsid w:val="006C555C"/>
    <w:rsid w:val="006C5B19"/>
    <w:rsid w:val="006C6575"/>
    <w:rsid w:val="006C68F7"/>
    <w:rsid w:val="006C7BC3"/>
    <w:rsid w:val="006D0136"/>
    <w:rsid w:val="006D025B"/>
    <w:rsid w:val="006D1720"/>
    <w:rsid w:val="006D2319"/>
    <w:rsid w:val="006D2801"/>
    <w:rsid w:val="006D2C9F"/>
    <w:rsid w:val="006D3399"/>
    <w:rsid w:val="006D3578"/>
    <w:rsid w:val="006D3967"/>
    <w:rsid w:val="006D3AD3"/>
    <w:rsid w:val="006D3CA4"/>
    <w:rsid w:val="006D4745"/>
    <w:rsid w:val="006D4DC9"/>
    <w:rsid w:val="006D4FA7"/>
    <w:rsid w:val="006D4FD8"/>
    <w:rsid w:val="006D535C"/>
    <w:rsid w:val="006D5AFC"/>
    <w:rsid w:val="006D5EE5"/>
    <w:rsid w:val="006D5F63"/>
    <w:rsid w:val="006D6CF8"/>
    <w:rsid w:val="006D717D"/>
    <w:rsid w:val="006D7897"/>
    <w:rsid w:val="006E0BCB"/>
    <w:rsid w:val="006E0C20"/>
    <w:rsid w:val="006E0D83"/>
    <w:rsid w:val="006E0E68"/>
    <w:rsid w:val="006E0FE8"/>
    <w:rsid w:val="006E18E7"/>
    <w:rsid w:val="006E241E"/>
    <w:rsid w:val="006E3A61"/>
    <w:rsid w:val="006E3C63"/>
    <w:rsid w:val="006E3D09"/>
    <w:rsid w:val="006E40C6"/>
    <w:rsid w:val="006E4FA2"/>
    <w:rsid w:val="006E5B97"/>
    <w:rsid w:val="006E5CA3"/>
    <w:rsid w:val="006E6132"/>
    <w:rsid w:val="006E6A0A"/>
    <w:rsid w:val="006E7253"/>
    <w:rsid w:val="006F00B3"/>
    <w:rsid w:val="006F0118"/>
    <w:rsid w:val="006F0308"/>
    <w:rsid w:val="006F0EC1"/>
    <w:rsid w:val="006F1CEC"/>
    <w:rsid w:val="006F1E53"/>
    <w:rsid w:val="006F1FD2"/>
    <w:rsid w:val="006F2431"/>
    <w:rsid w:val="006F2492"/>
    <w:rsid w:val="006F2561"/>
    <w:rsid w:val="006F294F"/>
    <w:rsid w:val="006F29F1"/>
    <w:rsid w:val="006F3735"/>
    <w:rsid w:val="006F4276"/>
    <w:rsid w:val="006F4455"/>
    <w:rsid w:val="006F4512"/>
    <w:rsid w:val="006F4728"/>
    <w:rsid w:val="006F4F93"/>
    <w:rsid w:val="006F5001"/>
    <w:rsid w:val="006F5948"/>
    <w:rsid w:val="006F5D6B"/>
    <w:rsid w:val="006F694E"/>
    <w:rsid w:val="006F7046"/>
    <w:rsid w:val="006F72CF"/>
    <w:rsid w:val="006F77BB"/>
    <w:rsid w:val="006F79BC"/>
    <w:rsid w:val="007000E6"/>
    <w:rsid w:val="007010E2"/>
    <w:rsid w:val="00701204"/>
    <w:rsid w:val="007015BA"/>
    <w:rsid w:val="00701C64"/>
    <w:rsid w:val="00702369"/>
    <w:rsid w:val="007023FB"/>
    <w:rsid w:val="00702D1B"/>
    <w:rsid w:val="00702D86"/>
    <w:rsid w:val="00702FCA"/>
    <w:rsid w:val="007046B0"/>
    <w:rsid w:val="0070472B"/>
    <w:rsid w:val="00705048"/>
    <w:rsid w:val="007050A2"/>
    <w:rsid w:val="0070596A"/>
    <w:rsid w:val="00706252"/>
    <w:rsid w:val="00706805"/>
    <w:rsid w:val="00706D52"/>
    <w:rsid w:val="007073A6"/>
    <w:rsid w:val="0070744E"/>
    <w:rsid w:val="007079B4"/>
    <w:rsid w:val="00707AE2"/>
    <w:rsid w:val="0071033B"/>
    <w:rsid w:val="00710878"/>
    <w:rsid w:val="00711B22"/>
    <w:rsid w:val="00711EF4"/>
    <w:rsid w:val="00713AF0"/>
    <w:rsid w:val="007143F6"/>
    <w:rsid w:val="00714465"/>
    <w:rsid w:val="007145C4"/>
    <w:rsid w:val="00715366"/>
    <w:rsid w:val="00715472"/>
    <w:rsid w:val="00715E94"/>
    <w:rsid w:val="00716999"/>
    <w:rsid w:val="00716E0A"/>
    <w:rsid w:val="00717770"/>
    <w:rsid w:val="007177A6"/>
    <w:rsid w:val="00720183"/>
    <w:rsid w:val="007202EC"/>
    <w:rsid w:val="0072052B"/>
    <w:rsid w:val="0072058C"/>
    <w:rsid w:val="00720EAE"/>
    <w:rsid w:val="007220E7"/>
    <w:rsid w:val="00722858"/>
    <w:rsid w:val="00722E82"/>
    <w:rsid w:val="00722FC9"/>
    <w:rsid w:val="007235AC"/>
    <w:rsid w:val="00723CEA"/>
    <w:rsid w:val="0072458B"/>
    <w:rsid w:val="007245CE"/>
    <w:rsid w:val="00724BA4"/>
    <w:rsid w:val="00725107"/>
    <w:rsid w:val="00725635"/>
    <w:rsid w:val="007256CC"/>
    <w:rsid w:val="007258B3"/>
    <w:rsid w:val="00725D13"/>
    <w:rsid w:val="00727D76"/>
    <w:rsid w:val="007302A1"/>
    <w:rsid w:val="00730E0D"/>
    <w:rsid w:val="00730FEA"/>
    <w:rsid w:val="007310B2"/>
    <w:rsid w:val="0073112A"/>
    <w:rsid w:val="00732899"/>
    <w:rsid w:val="00732B8B"/>
    <w:rsid w:val="00732EFA"/>
    <w:rsid w:val="00733294"/>
    <w:rsid w:val="007345BC"/>
    <w:rsid w:val="007354C3"/>
    <w:rsid w:val="00736504"/>
    <w:rsid w:val="00736E05"/>
    <w:rsid w:val="007374A7"/>
    <w:rsid w:val="007402BF"/>
    <w:rsid w:val="007405C7"/>
    <w:rsid w:val="00741191"/>
    <w:rsid w:val="007418C2"/>
    <w:rsid w:val="00741BAC"/>
    <w:rsid w:val="00742CE3"/>
    <w:rsid w:val="007433C0"/>
    <w:rsid w:val="00743CC1"/>
    <w:rsid w:val="00744013"/>
    <w:rsid w:val="007440A0"/>
    <w:rsid w:val="00744282"/>
    <w:rsid w:val="007448DD"/>
    <w:rsid w:val="00744FD4"/>
    <w:rsid w:val="00745A14"/>
    <w:rsid w:val="0074613C"/>
    <w:rsid w:val="00747355"/>
    <w:rsid w:val="007479B1"/>
    <w:rsid w:val="00747C79"/>
    <w:rsid w:val="00750481"/>
    <w:rsid w:val="00751302"/>
    <w:rsid w:val="007520A9"/>
    <w:rsid w:val="00752B3A"/>
    <w:rsid w:val="00753391"/>
    <w:rsid w:val="00753878"/>
    <w:rsid w:val="00753B6D"/>
    <w:rsid w:val="0075416E"/>
    <w:rsid w:val="007555E8"/>
    <w:rsid w:val="00755D84"/>
    <w:rsid w:val="0075608B"/>
    <w:rsid w:val="007561C4"/>
    <w:rsid w:val="0075782C"/>
    <w:rsid w:val="00760782"/>
    <w:rsid w:val="00760AAE"/>
    <w:rsid w:val="00760C8F"/>
    <w:rsid w:val="00761220"/>
    <w:rsid w:val="00761F74"/>
    <w:rsid w:val="00762BE9"/>
    <w:rsid w:val="00762C4B"/>
    <w:rsid w:val="0076343A"/>
    <w:rsid w:val="0076404E"/>
    <w:rsid w:val="00764567"/>
    <w:rsid w:val="0076497B"/>
    <w:rsid w:val="007649A7"/>
    <w:rsid w:val="00764FA1"/>
    <w:rsid w:val="00765A34"/>
    <w:rsid w:val="007665D9"/>
    <w:rsid w:val="007668A0"/>
    <w:rsid w:val="00766ED4"/>
    <w:rsid w:val="007676A6"/>
    <w:rsid w:val="007701B1"/>
    <w:rsid w:val="0077111C"/>
    <w:rsid w:val="00771882"/>
    <w:rsid w:val="0077322E"/>
    <w:rsid w:val="007735C4"/>
    <w:rsid w:val="00773AF6"/>
    <w:rsid w:val="00773C88"/>
    <w:rsid w:val="00773FEB"/>
    <w:rsid w:val="00774A9D"/>
    <w:rsid w:val="0077556B"/>
    <w:rsid w:val="00775DC8"/>
    <w:rsid w:val="00776777"/>
    <w:rsid w:val="007776AD"/>
    <w:rsid w:val="0078099B"/>
    <w:rsid w:val="00780E33"/>
    <w:rsid w:val="00781021"/>
    <w:rsid w:val="007815D4"/>
    <w:rsid w:val="007818FF"/>
    <w:rsid w:val="00781B5B"/>
    <w:rsid w:val="00782001"/>
    <w:rsid w:val="007823BD"/>
    <w:rsid w:val="0078296A"/>
    <w:rsid w:val="00782AD5"/>
    <w:rsid w:val="007832EF"/>
    <w:rsid w:val="00783CD4"/>
    <w:rsid w:val="00783F25"/>
    <w:rsid w:val="00784014"/>
    <w:rsid w:val="00784489"/>
    <w:rsid w:val="00784670"/>
    <w:rsid w:val="007847CD"/>
    <w:rsid w:val="00784AFF"/>
    <w:rsid w:val="00785208"/>
    <w:rsid w:val="007861C6"/>
    <w:rsid w:val="007866BD"/>
    <w:rsid w:val="00786D2A"/>
    <w:rsid w:val="0078722A"/>
    <w:rsid w:val="00787255"/>
    <w:rsid w:val="0078764E"/>
    <w:rsid w:val="00790B78"/>
    <w:rsid w:val="00790C82"/>
    <w:rsid w:val="00791042"/>
    <w:rsid w:val="007915B6"/>
    <w:rsid w:val="00791E6B"/>
    <w:rsid w:val="00791F5F"/>
    <w:rsid w:val="0079230D"/>
    <w:rsid w:val="00792B60"/>
    <w:rsid w:val="00792E6D"/>
    <w:rsid w:val="00794205"/>
    <w:rsid w:val="00794EFF"/>
    <w:rsid w:val="007950BD"/>
    <w:rsid w:val="00795333"/>
    <w:rsid w:val="00796084"/>
    <w:rsid w:val="00796D4E"/>
    <w:rsid w:val="00796EFC"/>
    <w:rsid w:val="00796FC8"/>
    <w:rsid w:val="00797396"/>
    <w:rsid w:val="007977B8"/>
    <w:rsid w:val="00797958"/>
    <w:rsid w:val="007A0877"/>
    <w:rsid w:val="007A0CD6"/>
    <w:rsid w:val="007A1256"/>
    <w:rsid w:val="007A1495"/>
    <w:rsid w:val="007A168C"/>
    <w:rsid w:val="007A17B1"/>
    <w:rsid w:val="007A1B67"/>
    <w:rsid w:val="007A1E31"/>
    <w:rsid w:val="007A2099"/>
    <w:rsid w:val="007A2D15"/>
    <w:rsid w:val="007A2F01"/>
    <w:rsid w:val="007A2F4F"/>
    <w:rsid w:val="007A3B2B"/>
    <w:rsid w:val="007A425E"/>
    <w:rsid w:val="007A43BB"/>
    <w:rsid w:val="007A4A4F"/>
    <w:rsid w:val="007A68F7"/>
    <w:rsid w:val="007A6A72"/>
    <w:rsid w:val="007A6F49"/>
    <w:rsid w:val="007A708A"/>
    <w:rsid w:val="007A7FE6"/>
    <w:rsid w:val="007B0597"/>
    <w:rsid w:val="007B0DF5"/>
    <w:rsid w:val="007B2396"/>
    <w:rsid w:val="007B2E7A"/>
    <w:rsid w:val="007B2ED7"/>
    <w:rsid w:val="007B3934"/>
    <w:rsid w:val="007B4651"/>
    <w:rsid w:val="007B566E"/>
    <w:rsid w:val="007B5725"/>
    <w:rsid w:val="007B58BD"/>
    <w:rsid w:val="007B5A21"/>
    <w:rsid w:val="007B5DA8"/>
    <w:rsid w:val="007B66EF"/>
    <w:rsid w:val="007B6DDB"/>
    <w:rsid w:val="007B7281"/>
    <w:rsid w:val="007B7769"/>
    <w:rsid w:val="007B7981"/>
    <w:rsid w:val="007B7A75"/>
    <w:rsid w:val="007B7A88"/>
    <w:rsid w:val="007B7BD4"/>
    <w:rsid w:val="007C08C6"/>
    <w:rsid w:val="007C12CB"/>
    <w:rsid w:val="007C1D0A"/>
    <w:rsid w:val="007C2F50"/>
    <w:rsid w:val="007C30C4"/>
    <w:rsid w:val="007C32BF"/>
    <w:rsid w:val="007C352B"/>
    <w:rsid w:val="007C3EDA"/>
    <w:rsid w:val="007C4656"/>
    <w:rsid w:val="007C4BB7"/>
    <w:rsid w:val="007C4BFA"/>
    <w:rsid w:val="007C540F"/>
    <w:rsid w:val="007C5804"/>
    <w:rsid w:val="007C5B60"/>
    <w:rsid w:val="007C677F"/>
    <w:rsid w:val="007C73AA"/>
    <w:rsid w:val="007C798B"/>
    <w:rsid w:val="007C7CA8"/>
    <w:rsid w:val="007C7FC0"/>
    <w:rsid w:val="007D09E0"/>
    <w:rsid w:val="007D0D45"/>
    <w:rsid w:val="007D0E43"/>
    <w:rsid w:val="007D175D"/>
    <w:rsid w:val="007D1CD9"/>
    <w:rsid w:val="007D2D6C"/>
    <w:rsid w:val="007D2E4F"/>
    <w:rsid w:val="007D3094"/>
    <w:rsid w:val="007D34A4"/>
    <w:rsid w:val="007D3BDD"/>
    <w:rsid w:val="007D3F6B"/>
    <w:rsid w:val="007D3F6F"/>
    <w:rsid w:val="007D45B2"/>
    <w:rsid w:val="007D67A0"/>
    <w:rsid w:val="007D6A18"/>
    <w:rsid w:val="007D6E3D"/>
    <w:rsid w:val="007D715B"/>
    <w:rsid w:val="007D73A5"/>
    <w:rsid w:val="007E0078"/>
    <w:rsid w:val="007E04BB"/>
    <w:rsid w:val="007E0554"/>
    <w:rsid w:val="007E0DA5"/>
    <w:rsid w:val="007E30CA"/>
    <w:rsid w:val="007E3455"/>
    <w:rsid w:val="007E3791"/>
    <w:rsid w:val="007E399D"/>
    <w:rsid w:val="007E3A33"/>
    <w:rsid w:val="007E4508"/>
    <w:rsid w:val="007E4698"/>
    <w:rsid w:val="007E4F71"/>
    <w:rsid w:val="007E4FE7"/>
    <w:rsid w:val="007E6831"/>
    <w:rsid w:val="007E74FE"/>
    <w:rsid w:val="007E7521"/>
    <w:rsid w:val="007E7821"/>
    <w:rsid w:val="007E7AD8"/>
    <w:rsid w:val="007E7B42"/>
    <w:rsid w:val="007F0949"/>
    <w:rsid w:val="007F1F18"/>
    <w:rsid w:val="007F20A5"/>
    <w:rsid w:val="007F2461"/>
    <w:rsid w:val="007F2616"/>
    <w:rsid w:val="007F3659"/>
    <w:rsid w:val="007F396B"/>
    <w:rsid w:val="007F3BC9"/>
    <w:rsid w:val="007F42F3"/>
    <w:rsid w:val="007F4970"/>
    <w:rsid w:val="007F60C0"/>
    <w:rsid w:val="007F6EB9"/>
    <w:rsid w:val="007F7627"/>
    <w:rsid w:val="007F794A"/>
    <w:rsid w:val="007F7B9A"/>
    <w:rsid w:val="007F7EAF"/>
    <w:rsid w:val="007F7F20"/>
    <w:rsid w:val="00800176"/>
    <w:rsid w:val="0080065B"/>
    <w:rsid w:val="00801CE1"/>
    <w:rsid w:val="00801CF5"/>
    <w:rsid w:val="00802233"/>
    <w:rsid w:val="00802499"/>
    <w:rsid w:val="008027F6"/>
    <w:rsid w:val="008029E4"/>
    <w:rsid w:val="00802D21"/>
    <w:rsid w:val="00803851"/>
    <w:rsid w:val="00803A06"/>
    <w:rsid w:val="00803E11"/>
    <w:rsid w:val="0080484F"/>
    <w:rsid w:val="00805B89"/>
    <w:rsid w:val="00805F37"/>
    <w:rsid w:val="00806BC7"/>
    <w:rsid w:val="00807126"/>
    <w:rsid w:val="0080769A"/>
    <w:rsid w:val="00807879"/>
    <w:rsid w:val="00807A1C"/>
    <w:rsid w:val="0081066C"/>
    <w:rsid w:val="0081093C"/>
    <w:rsid w:val="00810942"/>
    <w:rsid w:val="00810D41"/>
    <w:rsid w:val="00810F07"/>
    <w:rsid w:val="008117AB"/>
    <w:rsid w:val="008118FB"/>
    <w:rsid w:val="00812522"/>
    <w:rsid w:val="00812A04"/>
    <w:rsid w:val="00812B28"/>
    <w:rsid w:val="008130D3"/>
    <w:rsid w:val="008134A3"/>
    <w:rsid w:val="00815618"/>
    <w:rsid w:val="00815A84"/>
    <w:rsid w:val="00815CF5"/>
    <w:rsid w:val="00815FD2"/>
    <w:rsid w:val="00816522"/>
    <w:rsid w:val="00816A4B"/>
    <w:rsid w:val="0081738C"/>
    <w:rsid w:val="0081762D"/>
    <w:rsid w:val="00817699"/>
    <w:rsid w:val="00817E05"/>
    <w:rsid w:val="00817E51"/>
    <w:rsid w:val="00817FD9"/>
    <w:rsid w:val="008203EE"/>
    <w:rsid w:val="00821234"/>
    <w:rsid w:val="008212BD"/>
    <w:rsid w:val="00821533"/>
    <w:rsid w:val="0082178F"/>
    <w:rsid w:val="00821C9A"/>
    <w:rsid w:val="00821CD8"/>
    <w:rsid w:val="0082209B"/>
    <w:rsid w:val="0082231B"/>
    <w:rsid w:val="0082259F"/>
    <w:rsid w:val="00822838"/>
    <w:rsid w:val="00823001"/>
    <w:rsid w:val="00823375"/>
    <w:rsid w:val="00823B6C"/>
    <w:rsid w:val="008244B9"/>
    <w:rsid w:val="0082509D"/>
    <w:rsid w:val="0082524E"/>
    <w:rsid w:val="008255C3"/>
    <w:rsid w:val="00825CBE"/>
    <w:rsid w:val="00825D2D"/>
    <w:rsid w:val="00825D85"/>
    <w:rsid w:val="00826592"/>
    <w:rsid w:val="008272CB"/>
    <w:rsid w:val="008272E7"/>
    <w:rsid w:val="00827EFA"/>
    <w:rsid w:val="008304AC"/>
    <w:rsid w:val="00830EF2"/>
    <w:rsid w:val="00831C63"/>
    <w:rsid w:val="008323BA"/>
    <w:rsid w:val="00832EFA"/>
    <w:rsid w:val="00833549"/>
    <w:rsid w:val="00833717"/>
    <w:rsid w:val="00833C16"/>
    <w:rsid w:val="008344FE"/>
    <w:rsid w:val="00835A1A"/>
    <w:rsid w:val="00835DCB"/>
    <w:rsid w:val="00835E17"/>
    <w:rsid w:val="008360B4"/>
    <w:rsid w:val="00836399"/>
    <w:rsid w:val="0083640A"/>
    <w:rsid w:val="0083655E"/>
    <w:rsid w:val="00836656"/>
    <w:rsid w:val="00837112"/>
    <w:rsid w:val="00837396"/>
    <w:rsid w:val="00837C9D"/>
    <w:rsid w:val="00837E9E"/>
    <w:rsid w:val="00840695"/>
    <w:rsid w:val="00840810"/>
    <w:rsid w:val="0084095F"/>
    <w:rsid w:val="00840BF1"/>
    <w:rsid w:val="008419EC"/>
    <w:rsid w:val="00841C96"/>
    <w:rsid w:val="00842128"/>
    <w:rsid w:val="008421A4"/>
    <w:rsid w:val="00842266"/>
    <w:rsid w:val="00842807"/>
    <w:rsid w:val="00842984"/>
    <w:rsid w:val="00842B3E"/>
    <w:rsid w:val="00842E9C"/>
    <w:rsid w:val="00843B2E"/>
    <w:rsid w:val="0084410F"/>
    <w:rsid w:val="0084416B"/>
    <w:rsid w:val="00844279"/>
    <w:rsid w:val="0084437A"/>
    <w:rsid w:val="0084488F"/>
    <w:rsid w:val="00844F8F"/>
    <w:rsid w:val="008459FF"/>
    <w:rsid w:val="00845B56"/>
    <w:rsid w:val="00845CC7"/>
    <w:rsid w:val="00846338"/>
    <w:rsid w:val="0084665C"/>
    <w:rsid w:val="00846D13"/>
    <w:rsid w:val="00847B90"/>
    <w:rsid w:val="00847EAD"/>
    <w:rsid w:val="0085003E"/>
    <w:rsid w:val="008502DA"/>
    <w:rsid w:val="0085078C"/>
    <w:rsid w:val="00850C1C"/>
    <w:rsid w:val="00851E7F"/>
    <w:rsid w:val="00852709"/>
    <w:rsid w:val="008531C8"/>
    <w:rsid w:val="00853FA1"/>
    <w:rsid w:val="008543BD"/>
    <w:rsid w:val="00854BBD"/>
    <w:rsid w:val="00854E12"/>
    <w:rsid w:val="0085547C"/>
    <w:rsid w:val="0085658F"/>
    <w:rsid w:val="00856F7C"/>
    <w:rsid w:val="00857372"/>
    <w:rsid w:val="00857DFF"/>
    <w:rsid w:val="0086018B"/>
    <w:rsid w:val="00860E60"/>
    <w:rsid w:val="008612B6"/>
    <w:rsid w:val="00861523"/>
    <w:rsid w:val="00861960"/>
    <w:rsid w:val="00861BE8"/>
    <w:rsid w:val="00862415"/>
    <w:rsid w:val="008625A1"/>
    <w:rsid w:val="008626D6"/>
    <w:rsid w:val="008627CA"/>
    <w:rsid w:val="00862C46"/>
    <w:rsid w:val="008631B0"/>
    <w:rsid w:val="0086367A"/>
    <w:rsid w:val="00863772"/>
    <w:rsid w:val="00863EED"/>
    <w:rsid w:val="0086490C"/>
    <w:rsid w:val="00864AEB"/>
    <w:rsid w:val="0086500C"/>
    <w:rsid w:val="00865098"/>
    <w:rsid w:val="0086544E"/>
    <w:rsid w:val="00865CA8"/>
    <w:rsid w:val="00865F4D"/>
    <w:rsid w:val="008665A0"/>
    <w:rsid w:val="00866A79"/>
    <w:rsid w:val="00866D30"/>
    <w:rsid w:val="00866D35"/>
    <w:rsid w:val="00867514"/>
    <w:rsid w:val="00867CBB"/>
    <w:rsid w:val="00867D31"/>
    <w:rsid w:val="008704C9"/>
    <w:rsid w:val="00870BD3"/>
    <w:rsid w:val="00871107"/>
    <w:rsid w:val="008712EB"/>
    <w:rsid w:val="0087142F"/>
    <w:rsid w:val="00871572"/>
    <w:rsid w:val="00871B6E"/>
    <w:rsid w:val="00871D1F"/>
    <w:rsid w:val="0087231A"/>
    <w:rsid w:val="0087253E"/>
    <w:rsid w:val="0087256B"/>
    <w:rsid w:val="00872C41"/>
    <w:rsid w:val="00872E3E"/>
    <w:rsid w:val="00872FE0"/>
    <w:rsid w:val="00873699"/>
    <w:rsid w:val="0087385B"/>
    <w:rsid w:val="00873B29"/>
    <w:rsid w:val="00873DF5"/>
    <w:rsid w:val="00873F73"/>
    <w:rsid w:val="00873FAA"/>
    <w:rsid w:val="00874795"/>
    <w:rsid w:val="008749A6"/>
    <w:rsid w:val="00874AF5"/>
    <w:rsid w:val="008752AB"/>
    <w:rsid w:val="00875472"/>
    <w:rsid w:val="008754DD"/>
    <w:rsid w:val="008761F6"/>
    <w:rsid w:val="0087631B"/>
    <w:rsid w:val="0087678A"/>
    <w:rsid w:val="00876BA3"/>
    <w:rsid w:val="00876EA4"/>
    <w:rsid w:val="00880208"/>
    <w:rsid w:val="00880866"/>
    <w:rsid w:val="00880A18"/>
    <w:rsid w:val="00881022"/>
    <w:rsid w:val="008812E7"/>
    <w:rsid w:val="00881367"/>
    <w:rsid w:val="008819BF"/>
    <w:rsid w:val="00881DD2"/>
    <w:rsid w:val="00881E45"/>
    <w:rsid w:val="00881E49"/>
    <w:rsid w:val="00882CBF"/>
    <w:rsid w:val="00883051"/>
    <w:rsid w:val="00883BE0"/>
    <w:rsid w:val="00883C2F"/>
    <w:rsid w:val="00883EFA"/>
    <w:rsid w:val="00883F43"/>
    <w:rsid w:val="0088530F"/>
    <w:rsid w:val="00885C3B"/>
    <w:rsid w:val="008860ED"/>
    <w:rsid w:val="00886A72"/>
    <w:rsid w:val="00886CBE"/>
    <w:rsid w:val="0088727E"/>
    <w:rsid w:val="00887B3D"/>
    <w:rsid w:val="00890508"/>
    <w:rsid w:val="00890D1A"/>
    <w:rsid w:val="008912D0"/>
    <w:rsid w:val="00891786"/>
    <w:rsid w:val="00892718"/>
    <w:rsid w:val="00892D4F"/>
    <w:rsid w:val="008935DD"/>
    <w:rsid w:val="00893634"/>
    <w:rsid w:val="00893782"/>
    <w:rsid w:val="00893AFF"/>
    <w:rsid w:val="00894875"/>
    <w:rsid w:val="008954F9"/>
    <w:rsid w:val="00895D79"/>
    <w:rsid w:val="00896BE6"/>
    <w:rsid w:val="00897032"/>
    <w:rsid w:val="008974B9"/>
    <w:rsid w:val="00897681"/>
    <w:rsid w:val="00897D4D"/>
    <w:rsid w:val="008A01B4"/>
    <w:rsid w:val="008A04B7"/>
    <w:rsid w:val="008A1082"/>
    <w:rsid w:val="008A30E4"/>
    <w:rsid w:val="008A32B5"/>
    <w:rsid w:val="008A3EF3"/>
    <w:rsid w:val="008A499D"/>
    <w:rsid w:val="008A4F2A"/>
    <w:rsid w:val="008A527A"/>
    <w:rsid w:val="008A5470"/>
    <w:rsid w:val="008A5532"/>
    <w:rsid w:val="008A5937"/>
    <w:rsid w:val="008A6867"/>
    <w:rsid w:val="008A7B61"/>
    <w:rsid w:val="008A7D51"/>
    <w:rsid w:val="008A7FDB"/>
    <w:rsid w:val="008B05FC"/>
    <w:rsid w:val="008B0655"/>
    <w:rsid w:val="008B0C78"/>
    <w:rsid w:val="008B115A"/>
    <w:rsid w:val="008B2454"/>
    <w:rsid w:val="008B2609"/>
    <w:rsid w:val="008B2642"/>
    <w:rsid w:val="008B26EB"/>
    <w:rsid w:val="008B2C99"/>
    <w:rsid w:val="008B2E2B"/>
    <w:rsid w:val="008B39BC"/>
    <w:rsid w:val="008B3FCE"/>
    <w:rsid w:val="008B49DF"/>
    <w:rsid w:val="008B64AE"/>
    <w:rsid w:val="008B6867"/>
    <w:rsid w:val="008B724D"/>
    <w:rsid w:val="008B747E"/>
    <w:rsid w:val="008B7E6A"/>
    <w:rsid w:val="008C15CB"/>
    <w:rsid w:val="008C1628"/>
    <w:rsid w:val="008C183E"/>
    <w:rsid w:val="008C20F1"/>
    <w:rsid w:val="008C241E"/>
    <w:rsid w:val="008C2646"/>
    <w:rsid w:val="008C29CD"/>
    <w:rsid w:val="008C2ABF"/>
    <w:rsid w:val="008C2AD6"/>
    <w:rsid w:val="008C335A"/>
    <w:rsid w:val="008C4195"/>
    <w:rsid w:val="008C4DDC"/>
    <w:rsid w:val="008C4F84"/>
    <w:rsid w:val="008C5AE6"/>
    <w:rsid w:val="008C631F"/>
    <w:rsid w:val="008C6AA7"/>
    <w:rsid w:val="008C7724"/>
    <w:rsid w:val="008D009B"/>
    <w:rsid w:val="008D0C6D"/>
    <w:rsid w:val="008D111E"/>
    <w:rsid w:val="008D11B7"/>
    <w:rsid w:val="008D1450"/>
    <w:rsid w:val="008D14C5"/>
    <w:rsid w:val="008D1629"/>
    <w:rsid w:val="008D1884"/>
    <w:rsid w:val="008D3048"/>
    <w:rsid w:val="008D38A7"/>
    <w:rsid w:val="008D3CCB"/>
    <w:rsid w:val="008D3F2D"/>
    <w:rsid w:val="008D49E2"/>
    <w:rsid w:val="008D53A0"/>
    <w:rsid w:val="008D5795"/>
    <w:rsid w:val="008D6691"/>
    <w:rsid w:val="008D6942"/>
    <w:rsid w:val="008D703E"/>
    <w:rsid w:val="008E0537"/>
    <w:rsid w:val="008E06A9"/>
    <w:rsid w:val="008E0A83"/>
    <w:rsid w:val="008E115A"/>
    <w:rsid w:val="008E1C20"/>
    <w:rsid w:val="008E1F5D"/>
    <w:rsid w:val="008E25B6"/>
    <w:rsid w:val="008E2603"/>
    <w:rsid w:val="008E262D"/>
    <w:rsid w:val="008E32B2"/>
    <w:rsid w:val="008E32BB"/>
    <w:rsid w:val="008E3309"/>
    <w:rsid w:val="008E3CDB"/>
    <w:rsid w:val="008E3DD0"/>
    <w:rsid w:val="008E405A"/>
    <w:rsid w:val="008E40CF"/>
    <w:rsid w:val="008E4C27"/>
    <w:rsid w:val="008E5CC4"/>
    <w:rsid w:val="008E5D52"/>
    <w:rsid w:val="008E61C6"/>
    <w:rsid w:val="008E6449"/>
    <w:rsid w:val="008E6E77"/>
    <w:rsid w:val="008E700D"/>
    <w:rsid w:val="008E708E"/>
    <w:rsid w:val="008E7855"/>
    <w:rsid w:val="008E7918"/>
    <w:rsid w:val="008E7D51"/>
    <w:rsid w:val="008E7E02"/>
    <w:rsid w:val="008F178D"/>
    <w:rsid w:val="008F2070"/>
    <w:rsid w:val="008F224A"/>
    <w:rsid w:val="008F2356"/>
    <w:rsid w:val="008F295F"/>
    <w:rsid w:val="008F299D"/>
    <w:rsid w:val="008F2BE7"/>
    <w:rsid w:val="008F43AE"/>
    <w:rsid w:val="008F442D"/>
    <w:rsid w:val="008F4E31"/>
    <w:rsid w:val="008F592C"/>
    <w:rsid w:val="008F5A30"/>
    <w:rsid w:val="008F6576"/>
    <w:rsid w:val="008F7B98"/>
    <w:rsid w:val="008F7C21"/>
    <w:rsid w:val="00900443"/>
    <w:rsid w:val="00900FBF"/>
    <w:rsid w:val="00901126"/>
    <w:rsid w:val="00901E46"/>
    <w:rsid w:val="00902A34"/>
    <w:rsid w:val="00902CC5"/>
    <w:rsid w:val="009042AB"/>
    <w:rsid w:val="009044ED"/>
    <w:rsid w:val="00904C74"/>
    <w:rsid w:val="00904CA9"/>
    <w:rsid w:val="00905E37"/>
    <w:rsid w:val="00905EB8"/>
    <w:rsid w:val="0090639B"/>
    <w:rsid w:val="0090664B"/>
    <w:rsid w:val="0090684A"/>
    <w:rsid w:val="00906E6C"/>
    <w:rsid w:val="00907558"/>
    <w:rsid w:val="00910834"/>
    <w:rsid w:val="00911045"/>
    <w:rsid w:val="00911826"/>
    <w:rsid w:val="00911B5E"/>
    <w:rsid w:val="00911DFC"/>
    <w:rsid w:val="00911FE2"/>
    <w:rsid w:val="00913044"/>
    <w:rsid w:val="0091337E"/>
    <w:rsid w:val="00913661"/>
    <w:rsid w:val="0091451F"/>
    <w:rsid w:val="00914686"/>
    <w:rsid w:val="00914786"/>
    <w:rsid w:val="00914DF6"/>
    <w:rsid w:val="00914E13"/>
    <w:rsid w:val="00915452"/>
    <w:rsid w:val="00915752"/>
    <w:rsid w:val="00915CA7"/>
    <w:rsid w:val="00917452"/>
    <w:rsid w:val="00917C97"/>
    <w:rsid w:val="00917D63"/>
    <w:rsid w:val="00917FD8"/>
    <w:rsid w:val="0092002F"/>
    <w:rsid w:val="0092094A"/>
    <w:rsid w:val="00920F11"/>
    <w:rsid w:val="0092232F"/>
    <w:rsid w:val="0092287D"/>
    <w:rsid w:val="00922D5F"/>
    <w:rsid w:val="00923A2E"/>
    <w:rsid w:val="00923C21"/>
    <w:rsid w:val="00923FC4"/>
    <w:rsid w:val="009241A8"/>
    <w:rsid w:val="0092476E"/>
    <w:rsid w:val="00924908"/>
    <w:rsid w:val="00924AF2"/>
    <w:rsid w:val="00924BF9"/>
    <w:rsid w:val="0092533E"/>
    <w:rsid w:val="0092576A"/>
    <w:rsid w:val="00925FE2"/>
    <w:rsid w:val="00925FFA"/>
    <w:rsid w:val="009275FB"/>
    <w:rsid w:val="00930211"/>
    <w:rsid w:val="00930A30"/>
    <w:rsid w:val="00931234"/>
    <w:rsid w:val="009316AB"/>
    <w:rsid w:val="00931A8E"/>
    <w:rsid w:val="00931C3C"/>
    <w:rsid w:val="00931F4E"/>
    <w:rsid w:val="009320B5"/>
    <w:rsid w:val="00932393"/>
    <w:rsid w:val="009328BE"/>
    <w:rsid w:val="00932AF7"/>
    <w:rsid w:val="00933B63"/>
    <w:rsid w:val="00933CA9"/>
    <w:rsid w:val="00934276"/>
    <w:rsid w:val="00934853"/>
    <w:rsid w:val="00934984"/>
    <w:rsid w:val="00934B82"/>
    <w:rsid w:val="00935454"/>
    <w:rsid w:val="00935567"/>
    <w:rsid w:val="009355E0"/>
    <w:rsid w:val="009355FF"/>
    <w:rsid w:val="00940A62"/>
    <w:rsid w:val="00941A7C"/>
    <w:rsid w:val="0094240E"/>
    <w:rsid w:val="00942DC5"/>
    <w:rsid w:val="009431CE"/>
    <w:rsid w:val="009434EA"/>
    <w:rsid w:val="00944259"/>
    <w:rsid w:val="00944529"/>
    <w:rsid w:val="0094512C"/>
    <w:rsid w:val="00945364"/>
    <w:rsid w:val="00945B40"/>
    <w:rsid w:val="00946DF0"/>
    <w:rsid w:val="00946E33"/>
    <w:rsid w:val="00946F89"/>
    <w:rsid w:val="0094774C"/>
    <w:rsid w:val="009478F7"/>
    <w:rsid w:val="009479DA"/>
    <w:rsid w:val="00947DF1"/>
    <w:rsid w:val="00947F73"/>
    <w:rsid w:val="009504A0"/>
    <w:rsid w:val="009508BF"/>
    <w:rsid w:val="00950F80"/>
    <w:rsid w:val="00951561"/>
    <w:rsid w:val="009516FD"/>
    <w:rsid w:val="00951FEA"/>
    <w:rsid w:val="0095238F"/>
    <w:rsid w:val="009524AE"/>
    <w:rsid w:val="00952940"/>
    <w:rsid w:val="00952FAF"/>
    <w:rsid w:val="009538F5"/>
    <w:rsid w:val="009555ED"/>
    <w:rsid w:val="009558CB"/>
    <w:rsid w:val="0095598C"/>
    <w:rsid w:val="00955A66"/>
    <w:rsid w:val="00955AAC"/>
    <w:rsid w:val="00955BC5"/>
    <w:rsid w:val="00955D95"/>
    <w:rsid w:val="00955ED4"/>
    <w:rsid w:val="00956255"/>
    <w:rsid w:val="00956661"/>
    <w:rsid w:val="00956B00"/>
    <w:rsid w:val="00956C13"/>
    <w:rsid w:val="0095724F"/>
    <w:rsid w:val="00957422"/>
    <w:rsid w:val="009575E4"/>
    <w:rsid w:val="00957A32"/>
    <w:rsid w:val="009600F9"/>
    <w:rsid w:val="009606DA"/>
    <w:rsid w:val="00961523"/>
    <w:rsid w:val="00961860"/>
    <w:rsid w:val="009620FE"/>
    <w:rsid w:val="009624AF"/>
    <w:rsid w:val="009625EF"/>
    <w:rsid w:val="009627D3"/>
    <w:rsid w:val="0096294F"/>
    <w:rsid w:val="00964A0F"/>
    <w:rsid w:val="00964BFD"/>
    <w:rsid w:val="00964DF2"/>
    <w:rsid w:val="00965797"/>
    <w:rsid w:val="009657FF"/>
    <w:rsid w:val="00965A74"/>
    <w:rsid w:val="009666CA"/>
    <w:rsid w:val="00967421"/>
    <w:rsid w:val="00967448"/>
    <w:rsid w:val="00967826"/>
    <w:rsid w:val="00967992"/>
    <w:rsid w:val="00967D2D"/>
    <w:rsid w:val="00970B58"/>
    <w:rsid w:val="00970CB0"/>
    <w:rsid w:val="00970E84"/>
    <w:rsid w:val="009715CE"/>
    <w:rsid w:val="009715D5"/>
    <w:rsid w:val="009718AE"/>
    <w:rsid w:val="009719A0"/>
    <w:rsid w:val="00971B1F"/>
    <w:rsid w:val="0097209B"/>
    <w:rsid w:val="009722A9"/>
    <w:rsid w:val="0097235E"/>
    <w:rsid w:val="00972576"/>
    <w:rsid w:val="0097282E"/>
    <w:rsid w:val="00972DC3"/>
    <w:rsid w:val="00973923"/>
    <w:rsid w:val="00973DB2"/>
    <w:rsid w:val="00973E7F"/>
    <w:rsid w:val="009741B1"/>
    <w:rsid w:val="009746B4"/>
    <w:rsid w:val="00974B59"/>
    <w:rsid w:val="00975964"/>
    <w:rsid w:val="00975D41"/>
    <w:rsid w:val="00976BD0"/>
    <w:rsid w:val="00976F33"/>
    <w:rsid w:val="00976FA8"/>
    <w:rsid w:val="00977A38"/>
    <w:rsid w:val="00977B01"/>
    <w:rsid w:val="00977C58"/>
    <w:rsid w:val="00977E37"/>
    <w:rsid w:val="00980493"/>
    <w:rsid w:val="009809AF"/>
    <w:rsid w:val="00980B1E"/>
    <w:rsid w:val="00980ED9"/>
    <w:rsid w:val="00981ED6"/>
    <w:rsid w:val="009823E1"/>
    <w:rsid w:val="00982FEF"/>
    <w:rsid w:val="00983210"/>
    <w:rsid w:val="009836BD"/>
    <w:rsid w:val="0098376F"/>
    <w:rsid w:val="00983F42"/>
    <w:rsid w:val="00983F8A"/>
    <w:rsid w:val="00984025"/>
    <w:rsid w:val="009854AB"/>
    <w:rsid w:val="00985C5C"/>
    <w:rsid w:val="00986057"/>
    <w:rsid w:val="009860EB"/>
    <w:rsid w:val="009867A8"/>
    <w:rsid w:val="009867E6"/>
    <w:rsid w:val="00986AA4"/>
    <w:rsid w:val="009877A4"/>
    <w:rsid w:val="00987815"/>
    <w:rsid w:val="0099041D"/>
    <w:rsid w:val="009906E2"/>
    <w:rsid w:val="00992277"/>
    <w:rsid w:val="009922AE"/>
    <w:rsid w:val="00992D97"/>
    <w:rsid w:val="0099369C"/>
    <w:rsid w:val="00993BE1"/>
    <w:rsid w:val="00993DC0"/>
    <w:rsid w:val="009948D4"/>
    <w:rsid w:val="0099648B"/>
    <w:rsid w:val="00997051"/>
    <w:rsid w:val="009979D2"/>
    <w:rsid w:val="00997D19"/>
    <w:rsid w:val="00997F71"/>
    <w:rsid w:val="009A1A22"/>
    <w:rsid w:val="009A1BD4"/>
    <w:rsid w:val="009A1BE0"/>
    <w:rsid w:val="009A1D50"/>
    <w:rsid w:val="009A22E6"/>
    <w:rsid w:val="009A235C"/>
    <w:rsid w:val="009A28C4"/>
    <w:rsid w:val="009A2943"/>
    <w:rsid w:val="009A2D4E"/>
    <w:rsid w:val="009A31CB"/>
    <w:rsid w:val="009A3467"/>
    <w:rsid w:val="009A352D"/>
    <w:rsid w:val="009A393F"/>
    <w:rsid w:val="009A48E5"/>
    <w:rsid w:val="009A58C6"/>
    <w:rsid w:val="009A5A69"/>
    <w:rsid w:val="009A5CD4"/>
    <w:rsid w:val="009A60B4"/>
    <w:rsid w:val="009A6A95"/>
    <w:rsid w:val="009A6BF3"/>
    <w:rsid w:val="009A6EE6"/>
    <w:rsid w:val="009B01E6"/>
    <w:rsid w:val="009B037B"/>
    <w:rsid w:val="009B0758"/>
    <w:rsid w:val="009B08E7"/>
    <w:rsid w:val="009B0BDF"/>
    <w:rsid w:val="009B0E79"/>
    <w:rsid w:val="009B1225"/>
    <w:rsid w:val="009B30DF"/>
    <w:rsid w:val="009B36BB"/>
    <w:rsid w:val="009B391B"/>
    <w:rsid w:val="009B43A7"/>
    <w:rsid w:val="009B44DF"/>
    <w:rsid w:val="009B5352"/>
    <w:rsid w:val="009B5525"/>
    <w:rsid w:val="009B565C"/>
    <w:rsid w:val="009B57E3"/>
    <w:rsid w:val="009B5806"/>
    <w:rsid w:val="009B5A74"/>
    <w:rsid w:val="009B6682"/>
    <w:rsid w:val="009B6EF4"/>
    <w:rsid w:val="009B6FE6"/>
    <w:rsid w:val="009B704E"/>
    <w:rsid w:val="009B711C"/>
    <w:rsid w:val="009B739E"/>
    <w:rsid w:val="009B7E22"/>
    <w:rsid w:val="009C05DF"/>
    <w:rsid w:val="009C0697"/>
    <w:rsid w:val="009C0BF0"/>
    <w:rsid w:val="009C18A3"/>
    <w:rsid w:val="009C1934"/>
    <w:rsid w:val="009C1E05"/>
    <w:rsid w:val="009C1F7B"/>
    <w:rsid w:val="009C324E"/>
    <w:rsid w:val="009C3648"/>
    <w:rsid w:val="009C39E9"/>
    <w:rsid w:val="009C3C68"/>
    <w:rsid w:val="009C4F66"/>
    <w:rsid w:val="009C50B1"/>
    <w:rsid w:val="009C536B"/>
    <w:rsid w:val="009C60BB"/>
    <w:rsid w:val="009C6F5C"/>
    <w:rsid w:val="009C7558"/>
    <w:rsid w:val="009C770F"/>
    <w:rsid w:val="009C7F05"/>
    <w:rsid w:val="009D0033"/>
    <w:rsid w:val="009D032D"/>
    <w:rsid w:val="009D0336"/>
    <w:rsid w:val="009D0A0D"/>
    <w:rsid w:val="009D0CA9"/>
    <w:rsid w:val="009D0E9F"/>
    <w:rsid w:val="009D1322"/>
    <w:rsid w:val="009D19EF"/>
    <w:rsid w:val="009D1A14"/>
    <w:rsid w:val="009D25F7"/>
    <w:rsid w:val="009D3037"/>
    <w:rsid w:val="009D3D0E"/>
    <w:rsid w:val="009D47F2"/>
    <w:rsid w:val="009D4A74"/>
    <w:rsid w:val="009D5203"/>
    <w:rsid w:val="009D58DF"/>
    <w:rsid w:val="009D6287"/>
    <w:rsid w:val="009D6746"/>
    <w:rsid w:val="009D6CC0"/>
    <w:rsid w:val="009D7C98"/>
    <w:rsid w:val="009E0348"/>
    <w:rsid w:val="009E11C5"/>
    <w:rsid w:val="009E11F6"/>
    <w:rsid w:val="009E127A"/>
    <w:rsid w:val="009E130B"/>
    <w:rsid w:val="009E15BF"/>
    <w:rsid w:val="009E15DA"/>
    <w:rsid w:val="009E17D8"/>
    <w:rsid w:val="009E1A5E"/>
    <w:rsid w:val="009E2A75"/>
    <w:rsid w:val="009E2E09"/>
    <w:rsid w:val="009E324C"/>
    <w:rsid w:val="009E36EB"/>
    <w:rsid w:val="009E4041"/>
    <w:rsid w:val="009E45CF"/>
    <w:rsid w:val="009E47DF"/>
    <w:rsid w:val="009E4DB0"/>
    <w:rsid w:val="009E5588"/>
    <w:rsid w:val="009E5E7D"/>
    <w:rsid w:val="009E5F47"/>
    <w:rsid w:val="009E6220"/>
    <w:rsid w:val="009E6732"/>
    <w:rsid w:val="009E707A"/>
    <w:rsid w:val="009E739F"/>
    <w:rsid w:val="009E73BC"/>
    <w:rsid w:val="009E78DB"/>
    <w:rsid w:val="009F0129"/>
    <w:rsid w:val="009F0FE4"/>
    <w:rsid w:val="009F1538"/>
    <w:rsid w:val="009F1693"/>
    <w:rsid w:val="009F1A9B"/>
    <w:rsid w:val="009F1C24"/>
    <w:rsid w:val="009F2DB2"/>
    <w:rsid w:val="009F3681"/>
    <w:rsid w:val="009F3A40"/>
    <w:rsid w:val="009F46ED"/>
    <w:rsid w:val="009F4EA9"/>
    <w:rsid w:val="009F5411"/>
    <w:rsid w:val="009F58C5"/>
    <w:rsid w:val="009F7023"/>
    <w:rsid w:val="009F7CCF"/>
    <w:rsid w:val="009F7F22"/>
    <w:rsid w:val="00A0030B"/>
    <w:rsid w:val="00A00317"/>
    <w:rsid w:val="00A00477"/>
    <w:rsid w:val="00A01A6A"/>
    <w:rsid w:val="00A01DA5"/>
    <w:rsid w:val="00A01EFB"/>
    <w:rsid w:val="00A02452"/>
    <w:rsid w:val="00A0249F"/>
    <w:rsid w:val="00A03753"/>
    <w:rsid w:val="00A03905"/>
    <w:rsid w:val="00A0452F"/>
    <w:rsid w:val="00A04CDB"/>
    <w:rsid w:val="00A054EC"/>
    <w:rsid w:val="00A057E8"/>
    <w:rsid w:val="00A05A31"/>
    <w:rsid w:val="00A05B04"/>
    <w:rsid w:val="00A06680"/>
    <w:rsid w:val="00A07126"/>
    <w:rsid w:val="00A071E1"/>
    <w:rsid w:val="00A0726C"/>
    <w:rsid w:val="00A07DCE"/>
    <w:rsid w:val="00A110C7"/>
    <w:rsid w:val="00A113EC"/>
    <w:rsid w:val="00A11597"/>
    <w:rsid w:val="00A11B1D"/>
    <w:rsid w:val="00A11B1F"/>
    <w:rsid w:val="00A1265E"/>
    <w:rsid w:val="00A12AAA"/>
    <w:rsid w:val="00A13186"/>
    <w:rsid w:val="00A133CA"/>
    <w:rsid w:val="00A14175"/>
    <w:rsid w:val="00A14D77"/>
    <w:rsid w:val="00A15067"/>
    <w:rsid w:val="00A16079"/>
    <w:rsid w:val="00A16476"/>
    <w:rsid w:val="00A1649C"/>
    <w:rsid w:val="00A16721"/>
    <w:rsid w:val="00A16CF0"/>
    <w:rsid w:val="00A17525"/>
    <w:rsid w:val="00A17D2F"/>
    <w:rsid w:val="00A20AA9"/>
    <w:rsid w:val="00A20BE8"/>
    <w:rsid w:val="00A20E37"/>
    <w:rsid w:val="00A215DD"/>
    <w:rsid w:val="00A2203A"/>
    <w:rsid w:val="00A22C05"/>
    <w:rsid w:val="00A2359E"/>
    <w:rsid w:val="00A23910"/>
    <w:rsid w:val="00A241C6"/>
    <w:rsid w:val="00A2448F"/>
    <w:rsid w:val="00A247C2"/>
    <w:rsid w:val="00A24E82"/>
    <w:rsid w:val="00A264D5"/>
    <w:rsid w:val="00A26892"/>
    <w:rsid w:val="00A26986"/>
    <w:rsid w:val="00A26C0B"/>
    <w:rsid w:val="00A26C4B"/>
    <w:rsid w:val="00A27695"/>
    <w:rsid w:val="00A27873"/>
    <w:rsid w:val="00A278AB"/>
    <w:rsid w:val="00A30402"/>
    <w:rsid w:val="00A30C20"/>
    <w:rsid w:val="00A3109B"/>
    <w:rsid w:val="00A31126"/>
    <w:rsid w:val="00A313F2"/>
    <w:rsid w:val="00A3151A"/>
    <w:rsid w:val="00A31863"/>
    <w:rsid w:val="00A3298F"/>
    <w:rsid w:val="00A32D6C"/>
    <w:rsid w:val="00A32DD0"/>
    <w:rsid w:val="00A340E2"/>
    <w:rsid w:val="00A3435E"/>
    <w:rsid w:val="00A34734"/>
    <w:rsid w:val="00A34BFC"/>
    <w:rsid w:val="00A34DDC"/>
    <w:rsid w:val="00A34EA9"/>
    <w:rsid w:val="00A35025"/>
    <w:rsid w:val="00A3565C"/>
    <w:rsid w:val="00A35F29"/>
    <w:rsid w:val="00A35F37"/>
    <w:rsid w:val="00A36696"/>
    <w:rsid w:val="00A36D4D"/>
    <w:rsid w:val="00A3736E"/>
    <w:rsid w:val="00A376A5"/>
    <w:rsid w:val="00A377D8"/>
    <w:rsid w:val="00A404C1"/>
    <w:rsid w:val="00A40C61"/>
    <w:rsid w:val="00A40D48"/>
    <w:rsid w:val="00A41E0B"/>
    <w:rsid w:val="00A41FF6"/>
    <w:rsid w:val="00A4230A"/>
    <w:rsid w:val="00A42686"/>
    <w:rsid w:val="00A4277A"/>
    <w:rsid w:val="00A42973"/>
    <w:rsid w:val="00A43232"/>
    <w:rsid w:val="00A43862"/>
    <w:rsid w:val="00A43948"/>
    <w:rsid w:val="00A439C8"/>
    <w:rsid w:val="00A43A34"/>
    <w:rsid w:val="00A43DB2"/>
    <w:rsid w:val="00A43ECE"/>
    <w:rsid w:val="00A452FB"/>
    <w:rsid w:val="00A4561C"/>
    <w:rsid w:val="00A458F1"/>
    <w:rsid w:val="00A4593B"/>
    <w:rsid w:val="00A46BA5"/>
    <w:rsid w:val="00A46BE3"/>
    <w:rsid w:val="00A46EEC"/>
    <w:rsid w:val="00A46FCD"/>
    <w:rsid w:val="00A4712E"/>
    <w:rsid w:val="00A47437"/>
    <w:rsid w:val="00A475EF"/>
    <w:rsid w:val="00A47BAC"/>
    <w:rsid w:val="00A47C08"/>
    <w:rsid w:val="00A50CDD"/>
    <w:rsid w:val="00A52479"/>
    <w:rsid w:val="00A52AEA"/>
    <w:rsid w:val="00A5344D"/>
    <w:rsid w:val="00A536DA"/>
    <w:rsid w:val="00A5527A"/>
    <w:rsid w:val="00A55531"/>
    <w:rsid w:val="00A55567"/>
    <w:rsid w:val="00A55A0B"/>
    <w:rsid w:val="00A5605D"/>
    <w:rsid w:val="00A56E40"/>
    <w:rsid w:val="00A56EEF"/>
    <w:rsid w:val="00A5726E"/>
    <w:rsid w:val="00A57349"/>
    <w:rsid w:val="00A6053D"/>
    <w:rsid w:val="00A6055B"/>
    <w:rsid w:val="00A6096E"/>
    <w:rsid w:val="00A60CBC"/>
    <w:rsid w:val="00A62908"/>
    <w:rsid w:val="00A63462"/>
    <w:rsid w:val="00A64226"/>
    <w:rsid w:val="00A65FA3"/>
    <w:rsid w:val="00A665AD"/>
    <w:rsid w:val="00A667D8"/>
    <w:rsid w:val="00A667EE"/>
    <w:rsid w:val="00A66AF8"/>
    <w:rsid w:val="00A67391"/>
    <w:rsid w:val="00A6751B"/>
    <w:rsid w:val="00A67737"/>
    <w:rsid w:val="00A677A5"/>
    <w:rsid w:val="00A67885"/>
    <w:rsid w:val="00A7050B"/>
    <w:rsid w:val="00A70A43"/>
    <w:rsid w:val="00A70BC6"/>
    <w:rsid w:val="00A70D53"/>
    <w:rsid w:val="00A711B7"/>
    <w:rsid w:val="00A71231"/>
    <w:rsid w:val="00A725A2"/>
    <w:rsid w:val="00A72696"/>
    <w:rsid w:val="00A73EED"/>
    <w:rsid w:val="00A7570C"/>
    <w:rsid w:val="00A757FA"/>
    <w:rsid w:val="00A75941"/>
    <w:rsid w:val="00A75BE4"/>
    <w:rsid w:val="00A7627C"/>
    <w:rsid w:val="00A76773"/>
    <w:rsid w:val="00A76A68"/>
    <w:rsid w:val="00A771F6"/>
    <w:rsid w:val="00A772A2"/>
    <w:rsid w:val="00A77575"/>
    <w:rsid w:val="00A80015"/>
    <w:rsid w:val="00A80A31"/>
    <w:rsid w:val="00A80D01"/>
    <w:rsid w:val="00A8366C"/>
    <w:rsid w:val="00A83EC4"/>
    <w:rsid w:val="00A84033"/>
    <w:rsid w:val="00A847B6"/>
    <w:rsid w:val="00A84A2A"/>
    <w:rsid w:val="00A85328"/>
    <w:rsid w:val="00A85543"/>
    <w:rsid w:val="00A859DD"/>
    <w:rsid w:val="00A85C1E"/>
    <w:rsid w:val="00A85C41"/>
    <w:rsid w:val="00A86528"/>
    <w:rsid w:val="00A86A37"/>
    <w:rsid w:val="00A87747"/>
    <w:rsid w:val="00A877C9"/>
    <w:rsid w:val="00A9007F"/>
    <w:rsid w:val="00A90914"/>
    <w:rsid w:val="00A90DE3"/>
    <w:rsid w:val="00A91263"/>
    <w:rsid w:val="00A92047"/>
    <w:rsid w:val="00A92648"/>
    <w:rsid w:val="00A92903"/>
    <w:rsid w:val="00A92E04"/>
    <w:rsid w:val="00A93089"/>
    <w:rsid w:val="00A93927"/>
    <w:rsid w:val="00A950DA"/>
    <w:rsid w:val="00A95324"/>
    <w:rsid w:val="00A95C16"/>
    <w:rsid w:val="00A97076"/>
    <w:rsid w:val="00A978B7"/>
    <w:rsid w:val="00A97929"/>
    <w:rsid w:val="00A97EB1"/>
    <w:rsid w:val="00A97F0A"/>
    <w:rsid w:val="00AA097B"/>
    <w:rsid w:val="00AA0CD9"/>
    <w:rsid w:val="00AA2505"/>
    <w:rsid w:val="00AA28A7"/>
    <w:rsid w:val="00AA3860"/>
    <w:rsid w:val="00AA4A76"/>
    <w:rsid w:val="00AA5246"/>
    <w:rsid w:val="00AA6CEA"/>
    <w:rsid w:val="00AA7423"/>
    <w:rsid w:val="00AA7778"/>
    <w:rsid w:val="00AA79C2"/>
    <w:rsid w:val="00AA7C5F"/>
    <w:rsid w:val="00AB00C5"/>
    <w:rsid w:val="00AB056C"/>
    <w:rsid w:val="00AB17AE"/>
    <w:rsid w:val="00AB1970"/>
    <w:rsid w:val="00AB1EBF"/>
    <w:rsid w:val="00AB2203"/>
    <w:rsid w:val="00AB22C3"/>
    <w:rsid w:val="00AB292F"/>
    <w:rsid w:val="00AB29DB"/>
    <w:rsid w:val="00AB308B"/>
    <w:rsid w:val="00AB34F7"/>
    <w:rsid w:val="00AB352F"/>
    <w:rsid w:val="00AB35FE"/>
    <w:rsid w:val="00AB3D10"/>
    <w:rsid w:val="00AB4110"/>
    <w:rsid w:val="00AB522B"/>
    <w:rsid w:val="00AB5596"/>
    <w:rsid w:val="00AB6537"/>
    <w:rsid w:val="00AB69DA"/>
    <w:rsid w:val="00AB6BCC"/>
    <w:rsid w:val="00AB6FAD"/>
    <w:rsid w:val="00AB7438"/>
    <w:rsid w:val="00AB7B65"/>
    <w:rsid w:val="00AB7E86"/>
    <w:rsid w:val="00AB7F62"/>
    <w:rsid w:val="00AC0421"/>
    <w:rsid w:val="00AC0BED"/>
    <w:rsid w:val="00AC1123"/>
    <w:rsid w:val="00AC1C6B"/>
    <w:rsid w:val="00AC1CE3"/>
    <w:rsid w:val="00AC1DB3"/>
    <w:rsid w:val="00AC1EB1"/>
    <w:rsid w:val="00AC1EBA"/>
    <w:rsid w:val="00AC284D"/>
    <w:rsid w:val="00AC2B6E"/>
    <w:rsid w:val="00AC2EC5"/>
    <w:rsid w:val="00AC3358"/>
    <w:rsid w:val="00AC482D"/>
    <w:rsid w:val="00AC5C12"/>
    <w:rsid w:val="00AC5D29"/>
    <w:rsid w:val="00AC5DE4"/>
    <w:rsid w:val="00AC5EE8"/>
    <w:rsid w:val="00AC5FA3"/>
    <w:rsid w:val="00AC6768"/>
    <w:rsid w:val="00AD04CD"/>
    <w:rsid w:val="00AD1C57"/>
    <w:rsid w:val="00AD1C73"/>
    <w:rsid w:val="00AD1FF5"/>
    <w:rsid w:val="00AD2187"/>
    <w:rsid w:val="00AD2DF6"/>
    <w:rsid w:val="00AD425F"/>
    <w:rsid w:val="00AD45BB"/>
    <w:rsid w:val="00AD489C"/>
    <w:rsid w:val="00AD49EF"/>
    <w:rsid w:val="00AD4B5F"/>
    <w:rsid w:val="00AD51F0"/>
    <w:rsid w:val="00AD55B5"/>
    <w:rsid w:val="00AD584A"/>
    <w:rsid w:val="00AD593C"/>
    <w:rsid w:val="00AD5BB2"/>
    <w:rsid w:val="00AD6163"/>
    <w:rsid w:val="00AD6187"/>
    <w:rsid w:val="00AD649E"/>
    <w:rsid w:val="00AD6F8A"/>
    <w:rsid w:val="00AD724A"/>
    <w:rsid w:val="00AD75DD"/>
    <w:rsid w:val="00AD75FB"/>
    <w:rsid w:val="00AD7833"/>
    <w:rsid w:val="00AD7E81"/>
    <w:rsid w:val="00AE0BB5"/>
    <w:rsid w:val="00AE0E75"/>
    <w:rsid w:val="00AE199E"/>
    <w:rsid w:val="00AE1ADE"/>
    <w:rsid w:val="00AE1D52"/>
    <w:rsid w:val="00AE33C4"/>
    <w:rsid w:val="00AE4584"/>
    <w:rsid w:val="00AE4C67"/>
    <w:rsid w:val="00AE57CD"/>
    <w:rsid w:val="00AE5E47"/>
    <w:rsid w:val="00AE6144"/>
    <w:rsid w:val="00AE7634"/>
    <w:rsid w:val="00AE7BE9"/>
    <w:rsid w:val="00AE7FDD"/>
    <w:rsid w:val="00AF00AC"/>
    <w:rsid w:val="00AF0A8A"/>
    <w:rsid w:val="00AF0F4A"/>
    <w:rsid w:val="00AF1718"/>
    <w:rsid w:val="00AF180B"/>
    <w:rsid w:val="00AF1BC6"/>
    <w:rsid w:val="00AF2017"/>
    <w:rsid w:val="00AF3197"/>
    <w:rsid w:val="00AF3220"/>
    <w:rsid w:val="00AF3BA1"/>
    <w:rsid w:val="00AF46AD"/>
    <w:rsid w:val="00AF5C0B"/>
    <w:rsid w:val="00AF5F1D"/>
    <w:rsid w:val="00AF62EF"/>
    <w:rsid w:val="00AF64B6"/>
    <w:rsid w:val="00AF654D"/>
    <w:rsid w:val="00AF6D7D"/>
    <w:rsid w:val="00AF7654"/>
    <w:rsid w:val="00AF7E5C"/>
    <w:rsid w:val="00B00146"/>
    <w:rsid w:val="00B0077B"/>
    <w:rsid w:val="00B007D5"/>
    <w:rsid w:val="00B01295"/>
    <w:rsid w:val="00B01317"/>
    <w:rsid w:val="00B01569"/>
    <w:rsid w:val="00B017FF"/>
    <w:rsid w:val="00B01E6F"/>
    <w:rsid w:val="00B02B80"/>
    <w:rsid w:val="00B03749"/>
    <w:rsid w:val="00B037F8"/>
    <w:rsid w:val="00B039FC"/>
    <w:rsid w:val="00B03DA3"/>
    <w:rsid w:val="00B040C7"/>
    <w:rsid w:val="00B04C03"/>
    <w:rsid w:val="00B05171"/>
    <w:rsid w:val="00B05528"/>
    <w:rsid w:val="00B0572C"/>
    <w:rsid w:val="00B066DD"/>
    <w:rsid w:val="00B06FA1"/>
    <w:rsid w:val="00B07855"/>
    <w:rsid w:val="00B07A65"/>
    <w:rsid w:val="00B07C7E"/>
    <w:rsid w:val="00B10892"/>
    <w:rsid w:val="00B10CD4"/>
    <w:rsid w:val="00B12740"/>
    <w:rsid w:val="00B12C91"/>
    <w:rsid w:val="00B1338C"/>
    <w:rsid w:val="00B13CA2"/>
    <w:rsid w:val="00B13EFA"/>
    <w:rsid w:val="00B141AD"/>
    <w:rsid w:val="00B14216"/>
    <w:rsid w:val="00B145CA"/>
    <w:rsid w:val="00B14CD6"/>
    <w:rsid w:val="00B15438"/>
    <w:rsid w:val="00B155E5"/>
    <w:rsid w:val="00B159FB"/>
    <w:rsid w:val="00B160B6"/>
    <w:rsid w:val="00B17AE0"/>
    <w:rsid w:val="00B17D0C"/>
    <w:rsid w:val="00B17E5F"/>
    <w:rsid w:val="00B17E97"/>
    <w:rsid w:val="00B20539"/>
    <w:rsid w:val="00B20E3C"/>
    <w:rsid w:val="00B20F17"/>
    <w:rsid w:val="00B21018"/>
    <w:rsid w:val="00B212BE"/>
    <w:rsid w:val="00B214AD"/>
    <w:rsid w:val="00B21EFB"/>
    <w:rsid w:val="00B22215"/>
    <w:rsid w:val="00B22501"/>
    <w:rsid w:val="00B228E9"/>
    <w:rsid w:val="00B22A51"/>
    <w:rsid w:val="00B23451"/>
    <w:rsid w:val="00B234CF"/>
    <w:rsid w:val="00B24154"/>
    <w:rsid w:val="00B24C94"/>
    <w:rsid w:val="00B254C2"/>
    <w:rsid w:val="00B2568F"/>
    <w:rsid w:val="00B256A8"/>
    <w:rsid w:val="00B26AF1"/>
    <w:rsid w:val="00B26EE0"/>
    <w:rsid w:val="00B278C2"/>
    <w:rsid w:val="00B27B6A"/>
    <w:rsid w:val="00B27FD1"/>
    <w:rsid w:val="00B30478"/>
    <w:rsid w:val="00B30C44"/>
    <w:rsid w:val="00B316F4"/>
    <w:rsid w:val="00B317CA"/>
    <w:rsid w:val="00B31EC7"/>
    <w:rsid w:val="00B32033"/>
    <w:rsid w:val="00B322C7"/>
    <w:rsid w:val="00B3231E"/>
    <w:rsid w:val="00B3244F"/>
    <w:rsid w:val="00B3286B"/>
    <w:rsid w:val="00B33035"/>
    <w:rsid w:val="00B33161"/>
    <w:rsid w:val="00B331D7"/>
    <w:rsid w:val="00B33220"/>
    <w:rsid w:val="00B3374C"/>
    <w:rsid w:val="00B3389D"/>
    <w:rsid w:val="00B33BD3"/>
    <w:rsid w:val="00B34CAC"/>
    <w:rsid w:val="00B3536A"/>
    <w:rsid w:val="00B35A2B"/>
    <w:rsid w:val="00B36570"/>
    <w:rsid w:val="00B36B70"/>
    <w:rsid w:val="00B36EA4"/>
    <w:rsid w:val="00B37142"/>
    <w:rsid w:val="00B37DC0"/>
    <w:rsid w:val="00B40118"/>
    <w:rsid w:val="00B40755"/>
    <w:rsid w:val="00B40AEB"/>
    <w:rsid w:val="00B40F8D"/>
    <w:rsid w:val="00B41336"/>
    <w:rsid w:val="00B41A3E"/>
    <w:rsid w:val="00B4273C"/>
    <w:rsid w:val="00B43204"/>
    <w:rsid w:val="00B43DD6"/>
    <w:rsid w:val="00B444B0"/>
    <w:rsid w:val="00B44850"/>
    <w:rsid w:val="00B44B5B"/>
    <w:rsid w:val="00B44D61"/>
    <w:rsid w:val="00B451B6"/>
    <w:rsid w:val="00B458E0"/>
    <w:rsid w:val="00B45C00"/>
    <w:rsid w:val="00B46648"/>
    <w:rsid w:val="00B47ACE"/>
    <w:rsid w:val="00B47B8A"/>
    <w:rsid w:val="00B501BD"/>
    <w:rsid w:val="00B506A8"/>
    <w:rsid w:val="00B51120"/>
    <w:rsid w:val="00B511A2"/>
    <w:rsid w:val="00B51ACA"/>
    <w:rsid w:val="00B51E83"/>
    <w:rsid w:val="00B521D6"/>
    <w:rsid w:val="00B522B2"/>
    <w:rsid w:val="00B526DA"/>
    <w:rsid w:val="00B52BC2"/>
    <w:rsid w:val="00B53417"/>
    <w:rsid w:val="00B5342D"/>
    <w:rsid w:val="00B539DD"/>
    <w:rsid w:val="00B5415D"/>
    <w:rsid w:val="00B54516"/>
    <w:rsid w:val="00B547D5"/>
    <w:rsid w:val="00B54CF5"/>
    <w:rsid w:val="00B55012"/>
    <w:rsid w:val="00B55F05"/>
    <w:rsid w:val="00B56FC1"/>
    <w:rsid w:val="00B600BC"/>
    <w:rsid w:val="00B60677"/>
    <w:rsid w:val="00B60801"/>
    <w:rsid w:val="00B61738"/>
    <w:rsid w:val="00B618E7"/>
    <w:rsid w:val="00B6200D"/>
    <w:rsid w:val="00B622E5"/>
    <w:rsid w:val="00B62CA6"/>
    <w:rsid w:val="00B63826"/>
    <w:rsid w:val="00B63F07"/>
    <w:rsid w:val="00B641FD"/>
    <w:rsid w:val="00B64835"/>
    <w:rsid w:val="00B649F4"/>
    <w:rsid w:val="00B65684"/>
    <w:rsid w:val="00B6626C"/>
    <w:rsid w:val="00B6706E"/>
    <w:rsid w:val="00B70170"/>
    <w:rsid w:val="00B709DE"/>
    <w:rsid w:val="00B70CE8"/>
    <w:rsid w:val="00B70EB9"/>
    <w:rsid w:val="00B71A14"/>
    <w:rsid w:val="00B71D21"/>
    <w:rsid w:val="00B7210D"/>
    <w:rsid w:val="00B72F21"/>
    <w:rsid w:val="00B73B8C"/>
    <w:rsid w:val="00B73D5C"/>
    <w:rsid w:val="00B73ED4"/>
    <w:rsid w:val="00B740CC"/>
    <w:rsid w:val="00B747A8"/>
    <w:rsid w:val="00B74EA0"/>
    <w:rsid w:val="00B75B5B"/>
    <w:rsid w:val="00B75F0C"/>
    <w:rsid w:val="00B75F11"/>
    <w:rsid w:val="00B76132"/>
    <w:rsid w:val="00B7618E"/>
    <w:rsid w:val="00B76863"/>
    <w:rsid w:val="00B76BF4"/>
    <w:rsid w:val="00B76D17"/>
    <w:rsid w:val="00B77D76"/>
    <w:rsid w:val="00B8049A"/>
    <w:rsid w:val="00B80C93"/>
    <w:rsid w:val="00B80DED"/>
    <w:rsid w:val="00B80E8E"/>
    <w:rsid w:val="00B8139D"/>
    <w:rsid w:val="00B81527"/>
    <w:rsid w:val="00B81580"/>
    <w:rsid w:val="00B81A90"/>
    <w:rsid w:val="00B81E03"/>
    <w:rsid w:val="00B82AD7"/>
    <w:rsid w:val="00B82C2B"/>
    <w:rsid w:val="00B8315F"/>
    <w:rsid w:val="00B8329C"/>
    <w:rsid w:val="00B83B31"/>
    <w:rsid w:val="00B83FFE"/>
    <w:rsid w:val="00B84207"/>
    <w:rsid w:val="00B842FC"/>
    <w:rsid w:val="00B8553E"/>
    <w:rsid w:val="00B8593D"/>
    <w:rsid w:val="00B85EC8"/>
    <w:rsid w:val="00B862F5"/>
    <w:rsid w:val="00B863DA"/>
    <w:rsid w:val="00B86AF8"/>
    <w:rsid w:val="00B86B09"/>
    <w:rsid w:val="00B86BF5"/>
    <w:rsid w:val="00B86C02"/>
    <w:rsid w:val="00B8735F"/>
    <w:rsid w:val="00B87522"/>
    <w:rsid w:val="00B87A04"/>
    <w:rsid w:val="00B90464"/>
    <w:rsid w:val="00B9097F"/>
    <w:rsid w:val="00B91488"/>
    <w:rsid w:val="00B9230B"/>
    <w:rsid w:val="00B92467"/>
    <w:rsid w:val="00B930E9"/>
    <w:rsid w:val="00B931F2"/>
    <w:rsid w:val="00B9345F"/>
    <w:rsid w:val="00B93B98"/>
    <w:rsid w:val="00B93BE9"/>
    <w:rsid w:val="00B93D33"/>
    <w:rsid w:val="00B94258"/>
    <w:rsid w:val="00B942C9"/>
    <w:rsid w:val="00B94354"/>
    <w:rsid w:val="00B9474F"/>
    <w:rsid w:val="00B9476B"/>
    <w:rsid w:val="00B94B78"/>
    <w:rsid w:val="00B95005"/>
    <w:rsid w:val="00B9551B"/>
    <w:rsid w:val="00B95873"/>
    <w:rsid w:val="00B960EE"/>
    <w:rsid w:val="00B96137"/>
    <w:rsid w:val="00B96264"/>
    <w:rsid w:val="00B9713F"/>
    <w:rsid w:val="00B971FC"/>
    <w:rsid w:val="00B97952"/>
    <w:rsid w:val="00B97B36"/>
    <w:rsid w:val="00BA09E4"/>
    <w:rsid w:val="00BA0BD9"/>
    <w:rsid w:val="00BA1384"/>
    <w:rsid w:val="00BA1773"/>
    <w:rsid w:val="00BA1F44"/>
    <w:rsid w:val="00BA253C"/>
    <w:rsid w:val="00BA3348"/>
    <w:rsid w:val="00BA3850"/>
    <w:rsid w:val="00BA4121"/>
    <w:rsid w:val="00BA4440"/>
    <w:rsid w:val="00BA4625"/>
    <w:rsid w:val="00BA4B73"/>
    <w:rsid w:val="00BA4E85"/>
    <w:rsid w:val="00BA5814"/>
    <w:rsid w:val="00BA59D1"/>
    <w:rsid w:val="00BA653D"/>
    <w:rsid w:val="00BA685D"/>
    <w:rsid w:val="00BA6FA6"/>
    <w:rsid w:val="00BB04CB"/>
    <w:rsid w:val="00BB0D36"/>
    <w:rsid w:val="00BB0E5B"/>
    <w:rsid w:val="00BB0F72"/>
    <w:rsid w:val="00BB11B2"/>
    <w:rsid w:val="00BB16D8"/>
    <w:rsid w:val="00BB1AD7"/>
    <w:rsid w:val="00BB1B0C"/>
    <w:rsid w:val="00BB1D2F"/>
    <w:rsid w:val="00BB2922"/>
    <w:rsid w:val="00BB2A47"/>
    <w:rsid w:val="00BB4534"/>
    <w:rsid w:val="00BB4792"/>
    <w:rsid w:val="00BB4910"/>
    <w:rsid w:val="00BB4E0C"/>
    <w:rsid w:val="00BB5E65"/>
    <w:rsid w:val="00BB66F1"/>
    <w:rsid w:val="00BB68B2"/>
    <w:rsid w:val="00BB6947"/>
    <w:rsid w:val="00BB71A3"/>
    <w:rsid w:val="00BB7444"/>
    <w:rsid w:val="00BB776C"/>
    <w:rsid w:val="00BC0078"/>
    <w:rsid w:val="00BC049C"/>
    <w:rsid w:val="00BC062E"/>
    <w:rsid w:val="00BC1E7E"/>
    <w:rsid w:val="00BC2B6C"/>
    <w:rsid w:val="00BC317F"/>
    <w:rsid w:val="00BC3A9F"/>
    <w:rsid w:val="00BC3E87"/>
    <w:rsid w:val="00BC47B7"/>
    <w:rsid w:val="00BC52BE"/>
    <w:rsid w:val="00BC55CD"/>
    <w:rsid w:val="00BC5748"/>
    <w:rsid w:val="00BC6987"/>
    <w:rsid w:val="00BC6C90"/>
    <w:rsid w:val="00BC6D2F"/>
    <w:rsid w:val="00BC7C52"/>
    <w:rsid w:val="00BD0056"/>
    <w:rsid w:val="00BD03A2"/>
    <w:rsid w:val="00BD098B"/>
    <w:rsid w:val="00BD15AE"/>
    <w:rsid w:val="00BD1C7C"/>
    <w:rsid w:val="00BD2679"/>
    <w:rsid w:val="00BD2698"/>
    <w:rsid w:val="00BD3190"/>
    <w:rsid w:val="00BD338B"/>
    <w:rsid w:val="00BD36BE"/>
    <w:rsid w:val="00BD3A84"/>
    <w:rsid w:val="00BD4295"/>
    <w:rsid w:val="00BD51F9"/>
    <w:rsid w:val="00BD5320"/>
    <w:rsid w:val="00BD57F2"/>
    <w:rsid w:val="00BD5C38"/>
    <w:rsid w:val="00BD6110"/>
    <w:rsid w:val="00BD697B"/>
    <w:rsid w:val="00BD6B16"/>
    <w:rsid w:val="00BD789E"/>
    <w:rsid w:val="00BD794D"/>
    <w:rsid w:val="00BD79A4"/>
    <w:rsid w:val="00BD7B81"/>
    <w:rsid w:val="00BE031D"/>
    <w:rsid w:val="00BE0A6A"/>
    <w:rsid w:val="00BE0F93"/>
    <w:rsid w:val="00BE1E82"/>
    <w:rsid w:val="00BE26B1"/>
    <w:rsid w:val="00BE36A6"/>
    <w:rsid w:val="00BE3B39"/>
    <w:rsid w:val="00BE3BD9"/>
    <w:rsid w:val="00BE404A"/>
    <w:rsid w:val="00BE4177"/>
    <w:rsid w:val="00BE41A0"/>
    <w:rsid w:val="00BE4313"/>
    <w:rsid w:val="00BE48AB"/>
    <w:rsid w:val="00BE5943"/>
    <w:rsid w:val="00BE5E79"/>
    <w:rsid w:val="00BE5EB9"/>
    <w:rsid w:val="00BE613E"/>
    <w:rsid w:val="00BE6538"/>
    <w:rsid w:val="00BE7430"/>
    <w:rsid w:val="00BE78BD"/>
    <w:rsid w:val="00BE7D3B"/>
    <w:rsid w:val="00BF0033"/>
    <w:rsid w:val="00BF0B11"/>
    <w:rsid w:val="00BF10A5"/>
    <w:rsid w:val="00BF201E"/>
    <w:rsid w:val="00BF20CB"/>
    <w:rsid w:val="00BF230D"/>
    <w:rsid w:val="00BF2ADF"/>
    <w:rsid w:val="00BF2BAD"/>
    <w:rsid w:val="00BF31E1"/>
    <w:rsid w:val="00BF3B06"/>
    <w:rsid w:val="00BF440D"/>
    <w:rsid w:val="00BF4461"/>
    <w:rsid w:val="00BF484D"/>
    <w:rsid w:val="00BF4967"/>
    <w:rsid w:val="00BF4D3E"/>
    <w:rsid w:val="00BF4D5C"/>
    <w:rsid w:val="00BF5B83"/>
    <w:rsid w:val="00BF5EFE"/>
    <w:rsid w:val="00BF5F8F"/>
    <w:rsid w:val="00BF6785"/>
    <w:rsid w:val="00BF7551"/>
    <w:rsid w:val="00BF7C52"/>
    <w:rsid w:val="00BF7F56"/>
    <w:rsid w:val="00C001DB"/>
    <w:rsid w:val="00C010F8"/>
    <w:rsid w:val="00C017A5"/>
    <w:rsid w:val="00C01B32"/>
    <w:rsid w:val="00C01EA3"/>
    <w:rsid w:val="00C030DB"/>
    <w:rsid w:val="00C032AD"/>
    <w:rsid w:val="00C035C5"/>
    <w:rsid w:val="00C03EF3"/>
    <w:rsid w:val="00C04B37"/>
    <w:rsid w:val="00C04C61"/>
    <w:rsid w:val="00C05B70"/>
    <w:rsid w:val="00C062F6"/>
    <w:rsid w:val="00C06665"/>
    <w:rsid w:val="00C06685"/>
    <w:rsid w:val="00C06C2D"/>
    <w:rsid w:val="00C06CEB"/>
    <w:rsid w:val="00C07111"/>
    <w:rsid w:val="00C07D21"/>
    <w:rsid w:val="00C07F75"/>
    <w:rsid w:val="00C10131"/>
    <w:rsid w:val="00C10CFC"/>
    <w:rsid w:val="00C111FE"/>
    <w:rsid w:val="00C113EA"/>
    <w:rsid w:val="00C12266"/>
    <w:rsid w:val="00C123A9"/>
    <w:rsid w:val="00C12593"/>
    <w:rsid w:val="00C12CF0"/>
    <w:rsid w:val="00C131F2"/>
    <w:rsid w:val="00C1395D"/>
    <w:rsid w:val="00C13A50"/>
    <w:rsid w:val="00C13BA8"/>
    <w:rsid w:val="00C14694"/>
    <w:rsid w:val="00C146A0"/>
    <w:rsid w:val="00C14C7A"/>
    <w:rsid w:val="00C15495"/>
    <w:rsid w:val="00C1584A"/>
    <w:rsid w:val="00C15875"/>
    <w:rsid w:val="00C16153"/>
    <w:rsid w:val="00C1651F"/>
    <w:rsid w:val="00C16DCB"/>
    <w:rsid w:val="00C173A3"/>
    <w:rsid w:val="00C17988"/>
    <w:rsid w:val="00C2056A"/>
    <w:rsid w:val="00C20676"/>
    <w:rsid w:val="00C22183"/>
    <w:rsid w:val="00C22507"/>
    <w:rsid w:val="00C22B03"/>
    <w:rsid w:val="00C232BF"/>
    <w:rsid w:val="00C23475"/>
    <w:rsid w:val="00C23A73"/>
    <w:rsid w:val="00C23E6A"/>
    <w:rsid w:val="00C247BA"/>
    <w:rsid w:val="00C25033"/>
    <w:rsid w:val="00C25C36"/>
    <w:rsid w:val="00C26A1E"/>
    <w:rsid w:val="00C27328"/>
    <w:rsid w:val="00C2732F"/>
    <w:rsid w:val="00C27847"/>
    <w:rsid w:val="00C27E95"/>
    <w:rsid w:val="00C30A3D"/>
    <w:rsid w:val="00C30A5B"/>
    <w:rsid w:val="00C31EB9"/>
    <w:rsid w:val="00C334CC"/>
    <w:rsid w:val="00C337ED"/>
    <w:rsid w:val="00C3460C"/>
    <w:rsid w:val="00C34A47"/>
    <w:rsid w:val="00C34A68"/>
    <w:rsid w:val="00C35590"/>
    <w:rsid w:val="00C3592C"/>
    <w:rsid w:val="00C359D9"/>
    <w:rsid w:val="00C3606D"/>
    <w:rsid w:val="00C364E7"/>
    <w:rsid w:val="00C377B4"/>
    <w:rsid w:val="00C37950"/>
    <w:rsid w:val="00C40309"/>
    <w:rsid w:val="00C40995"/>
    <w:rsid w:val="00C4129A"/>
    <w:rsid w:val="00C41350"/>
    <w:rsid w:val="00C417B8"/>
    <w:rsid w:val="00C429D1"/>
    <w:rsid w:val="00C42F2A"/>
    <w:rsid w:val="00C4338A"/>
    <w:rsid w:val="00C43DFC"/>
    <w:rsid w:val="00C4402C"/>
    <w:rsid w:val="00C443D0"/>
    <w:rsid w:val="00C44752"/>
    <w:rsid w:val="00C45097"/>
    <w:rsid w:val="00C45756"/>
    <w:rsid w:val="00C464A0"/>
    <w:rsid w:val="00C46B4E"/>
    <w:rsid w:val="00C46C77"/>
    <w:rsid w:val="00C47018"/>
    <w:rsid w:val="00C470CB"/>
    <w:rsid w:val="00C472C0"/>
    <w:rsid w:val="00C475F8"/>
    <w:rsid w:val="00C478A9"/>
    <w:rsid w:val="00C50077"/>
    <w:rsid w:val="00C500D0"/>
    <w:rsid w:val="00C509E8"/>
    <w:rsid w:val="00C5147C"/>
    <w:rsid w:val="00C51792"/>
    <w:rsid w:val="00C521F1"/>
    <w:rsid w:val="00C52310"/>
    <w:rsid w:val="00C52D37"/>
    <w:rsid w:val="00C52E0C"/>
    <w:rsid w:val="00C53975"/>
    <w:rsid w:val="00C544D0"/>
    <w:rsid w:val="00C555DA"/>
    <w:rsid w:val="00C558AB"/>
    <w:rsid w:val="00C56948"/>
    <w:rsid w:val="00C56BF3"/>
    <w:rsid w:val="00C57CD2"/>
    <w:rsid w:val="00C603D7"/>
    <w:rsid w:val="00C60858"/>
    <w:rsid w:val="00C60AA2"/>
    <w:rsid w:val="00C60AFC"/>
    <w:rsid w:val="00C614A5"/>
    <w:rsid w:val="00C615FD"/>
    <w:rsid w:val="00C61899"/>
    <w:rsid w:val="00C61DCE"/>
    <w:rsid w:val="00C62067"/>
    <w:rsid w:val="00C6232E"/>
    <w:rsid w:val="00C62F6E"/>
    <w:rsid w:val="00C6315B"/>
    <w:rsid w:val="00C634FF"/>
    <w:rsid w:val="00C63B09"/>
    <w:rsid w:val="00C63F40"/>
    <w:rsid w:val="00C6428E"/>
    <w:rsid w:val="00C64AEB"/>
    <w:rsid w:val="00C6597F"/>
    <w:rsid w:val="00C662DC"/>
    <w:rsid w:val="00C66A93"/>
    <w:rsid w:val="00C66B07"/>
    <w:rsid w:val="00C66DA9"/>
    <w:rsid w:val="00C66EEA"/>
    <w:rsid w:val="00C67613"/>
    <w:rsid w:val="00C67DF3"/>
    <w:rsid w:val="00C67E5B"/>
    <w:rsid w:val="00C7002A"/>
    <w:rsid w:val="00C70366"/>
    <w:rsid w:val="00C70AE9"/>
    <w:rsid w:val="00C70C43"/>
    <w:rsid w:val="00C70EAD"/>
    <w:rsid w:val="00C7113B"/>
    <w:rsid w:val="00C727FF"/>
    <w:rsid w:val="00C73156"/>
    <w:rsid w:val="00C73606"/>
    <w:rsid w:val="00C73A39"/>
    <w:rsid w:val="00C73A64"/>
    <w:rsid w:val="00C73CFD"/>
    <w:rsid w:val="00C73FCE"/>
    <w:rsid w:val="00C74419"/>
    <w:rsid w:val="00C744A1"/>
    <w:rsid w:val="00C75B85"/>
    <w:rsid w:val="00C76354"/>
    <w:rsid w:val="00C76896"/>
    <w:rsid w:val="00C76E9C"/>
    <w:rsid w:val="00C7710F"/>
    <w:rsid w:val="00C77254"/>
    <w:rsid w:val="00C7736D"/>
    <w:rsid w:val="00C80174"/>
    <w:rsid w:val="00C80237"/>
    <w:rsid w:val="00C8065D"/>
    <w:rsid w:val="00C82398"/>
    <w:rsid w:val="00C825C3"/>
    <w:rsid w:val="00C82816"/>
    <w:rsid w:val="00C82F0D"/>
    <w:rsid w:val="00C82F1F"/>
    <w:rsid w:val="00C853DA"/>
    <w:rsid w:val="00C854B7"/>
    <w:rsid w:val="00C85524"/>
    <w:rsid w:val="00C8630E"/>
    <w:rsid w:val="00C86E74"/>
    <w:rsid w:val="00C87141"/>
    <w:rsid w:val="00C87450"/>
    <w:rsid w:val="00C87547"/>
    <w:rsid w:val="00C87A45"/>
    <w:rsid w:val="00C87B6D"/>
    <w:rsid w:val="00C87F89"/>
    <w:rsid w:val="00C904D1"/>
    <w:rsid w:val="00C90879"/>
    <w:rsid w:val="00C91095"/>
    <w:rsid w:val="00C91C85"/>
    <w:rsid w:val="00C9224F"/>
    <w:rsid w:val="00C922A7"/>
    <w:rsid w:val="00C9254D"/>
    <w:rsid w:val="00C9349E"/>
    <w:rsid w:val="00C936CD"/>
    <w:rsid w:val="00C94694"/>
    <w:rsid w:val="00C948A2"/>
    <w:rsid w:val="00C94B56"/>
    <w:rsid w:val="00C94C48"/>
    <w:rsid w:val="00C94CA8"/>
    <w:rsid w:val="00C94DD9"/>
    <w:rsid w:val="00C95016"/>
    <w:rsid w:val="00C95300"/>
    <w:rsid w:val="00C95368"/>
    <w:rsid w:val="00C95FCF"/>
    <w:rsid w:val="00C96606"/>
    <w:rsid w:val="00C96BA8"/>
    <w:rsid w:val="00C97346"/>
    <w:rsid w:val="00CA0386"/>
    <w:rsid w:val="00CA0BFD"/>
    <w:rsid w:val="00CA0FE7"/>
    <w:rsid w:val="00CA241B"/>
    <w:rsid w:val="00CA243B"/>
    <w:rsid w:val="00CA263F"/>
    <w:rsid w:val="00CA2979"/>
    <w:rsid w:val="00CA349E"/>
    <w:rsid w:val="00CA3F9B"/>
    <w:rsid w:val="00CA461C"/>
    <w:rsid w:val="00CA5BB4"/>
    <w:rsid w:val="00CA5E22"/>
    <w:rsid w:val="00CA65E3"/>
    <w:rsid w:val="00CA6DB4"/>
    <w:rsid w:val="00CA6E16"/>
    <w:rsid w:val="00CA7AEB"/>
    <w:rsid w:val="00CA7E4F"/>
    <w:rsid w:val="00CB0A53"/>
    <w:rsid w:val="00CB1748"/>
    <w:rsid w:val="00CB1D9E"/>
    <w:rsid w:val="00CB285A"/>
    <w:rsid w:val="00CB33CA"/>
    <w:rsid w:val="00CB340C"/>
    <w:rsid w:val="00CB35F2"/>
    <w:rsid w:val="00CB3762"/>
    <w:rsid w:val="00CB3EB6"/>
    <w:rsid w:val="00CB49E7"/>
    <w:rsid w:val="00CB5655"/>
    <w:rsid w:val="00CB5F9E"/>
    <w:rsid w:val="00CB62CD"/>
    <w:rsid w:val="00CB632E"/>
    <w:rsid w:val="00CB6CD3"/>
    <w:rsid w:val="00CB7542"/>
    <w:rsid w:val="00CB7733"/>
    <w:rsid w:val="00CB775B"/>
    <w:rsid w:val="00CC000C"/>
    <w:rsid w:val="00CC0E8B"/>
    <w:rsid w:val="00CC0FC8"/>
    <w:rsid w:val="00CC1255"/>
    <w:rsid w:val="00CC1369"/>
    <w:rsid w:val="00CC1925"/>
    <w:rsid w:val="00CC25BD"/>
    <w:rsid w:val="00CC2634"/>
    <w:rsid w:val="00CC2D6D"/>
    <w:rsid w:val="00CC2F4C"/>
    <w:rsid w:val="00CC3904"/>
    <w:rsid w:val="00CC3B62"/>
    <w:rsid w:val="00CC3BCB"/>
    <w:rsid w:val="00CC3FBE"/>
    <w:rsid w:val="00CC62E2"/>
    <w:rsid w:val="00CC71A4"/>
    <w:rsid w:val="00CC7BAD"/>
    <w:rsid w:val="00CC7DB7"/>
    <w:rsid w:val="00CD0780"/>
    <w:rsid w:val="00CD07C7"/>
    <w:rsid w:val="00CD0952"/>
    <w:rsid w:val="00CD0B93"/>
    <w:rsid w:val="00CD0D9E"/>
    <w:rsid w:val="00CD194F"/>
    <w:rsid w:val="00CD23A4"/>
    <w:rsid w:val="00CD23D3"/>
    <w:rsid w:val="00CD2B44"/>
    <w:rsid w:val="00CD2FB0"/>
    <w:rsid w:val="00CD457E"/>
    <w:rsid w:val="00CD5ABF"/>
    <w:rsid w:val="00CD5E4C"/>
    <w:rsid w:val="00CD6221"/>
    <w:rsid w:val="00CD63A6"/>
    <w:rsid w:val="00CD6405"/>
    <w:rsid w:val="00CD65EC"/>
    <w:rsid w:val="00CD668F"/>
    <w:rsid w:val="00CD68B5"/>
    <w:rsid w:val="00CD6D73"/>
    <w:rsid w:val="00CD758C"/>
    <w:rsid w:val="00CD785F"/>
    <w:rsid w:val="00CD7AF0"/>
    <w:rsid w:val="00CD7EBB"/>
    <w:rsid w:val="00CE06E9"/>
    <w:rsid w:val="00CE0C04"/>
    <w:rsid w:val="00CE0F05"/>
    <w:rsid w:val="00CE14C4"/>
    <w:rsid w:val="00CE1789"/>
    <w:rsid w:val="00CE234B"/>
    <w:rsid w:val="00CE328C"/>
    <w:rsid w:val="00CE3F53"/>
    <w:rsid w:val="00CE46CD"/>
    <w:rsid w:val="00CE484D"/>
    <w:rsid w:val="00CE4D00"/>
    <w:rsid w:val="00CE5136"/>
    <w:rsid w:val="00CE51A0"/>
    <w:rsid w:val="00CE5779"/>
    <w:rsid w:val="00CE6A94"/>
    <w:rsid w:val="00CF068B"/>
    <w:rsid w:val="00CF0A83"/>
    <w:rsid w:val="00CF1318"/>
    <w:rsid w:val="00CF1396"/>
    <w:rsid w:val="00CF1882"/>
    <w:rsid w:val="00CF250B"/>
    <w:rsid w:val="00CF330C"/>
    <w:rsid w:val="00CF3E27"/>
    <w:rsid w:val="00CF3ECD"/>
    <w:rsid w:val="00CF602D"/>
    <w:rsid w:val="00CF6237"/>
    <w:rsid w:val="00CF649B"/>
    <w:rsid w:val="00CF6980"/>
    <w:rsid w:val="00CF6B46"/>
    <w:rsid w:val="00CF7335"/>
    <w:rsid w:val="00CF79CC"/>
    <w:rsid w:val="00CF7BCC"/>
    <w:rsid w:val="00CF7FA1"/>
    <w:rsid w:val="00D0073E"/>
    <w:rsid w:val="00D00FF8"/>
    <w:rsid w:val="00D010C2"/>
    <w:rsid w:val="00D01325"/>
    <w:rsid w:val="00D01379"/>
    <w:rsid w:val="00D013B0"/>
    <w:rsid w:val="00D015AB"/>
    <w:rsid w:val="00D01FEF"/>
    <w:rsid w:val="00D03151"/>
    <w:rsid w:val="00D0327A"/>
    <w:rsid w:val="00D04B31"/>
    <w:rsid w:val="00D04CCC"/>
    <w:rsid w:val="00D053D4"/>
    <w:rsid w:val="00D05DBD"/>
    <w:rsid w:val="00D05F91"/>
    <w:rsid w:val="00D07BD9"/>
    <w:rsid w:val="00D1018C"/>
    <w:rsid w:val="00D10BFB"/>
    <w:rsid w:val="00D11003"/>
    <w:rsid w:val="00D11148"/>
    <w:rsid w:val="00D11374"/>
    <w:rsid w:val="00D1155C"/>
    <w:rsid w:val="00D12354"/>
    <w:rsid w:val="00D12558"/>
    <w:rsid w:val="00D1314A"/>
    <w:rsid w:val="00D133DE"/>
    <w:rsid w:val="00D14334"/>
    <w:rsid w:val="00D148DB"/>
    <w:rsid w:val="00D14CEF"/>
    <w:rsid w:val="00D14DC5"/>
    <w:rsid w:val="00D14E19"/>
    <w:rsid w:val="00D1514A"/>
    <w:rsid w:val="00D15265"/>
    <w:rsid w:val="00D155FF"/>
    <w:rsid w:val="00D1584C"/>
    <w:rsid w:val="00D165AF"/>
    <w:rsid w:val="00D1668A"/>
    <w:rsid w:val="00D16B5B"/>
    <w:rsid w:val="00D171B7"/>
    <w:rsid w:val="00D17468"/>
    <w:rsid w:val="00D176C0"/>
    <w:rsid w:val="00D209F6"/>
    <w:rsid w:val="00D2115F"/>
    <w:rsid w:val="00D213C1"/>
    <w:rsid w:val="00D213F4"/>
    <w:rsid w:val="00D2149A"/>
    <w:rsid w:val="00D21560"/>
    <w:rsid w:val="00D220E8"/>
    <w:rsid w:val="00D222B6"/>
    <w:rsid w:val="00D223AA"/>
    <w:rsid w:val="00D234BA"/>
    <w:rsid w:val="00D23EE5"/>
    <w:rsid w:val="00D23F76"/>
    <w:rsid w:val="00D24A5E"/>
    <w:rsid w:val="00D25528"/>
    <w:rsid w:val="00D25568"/>
    <w:rsid w:val="00D25825"/>
    <w:rsid w:val="00D25B62"/>
    <w:rsid w:val="00D26DBF"/>
    <w:rsid w:val="00D27192"/>
    <w:rsid w:val="00D271E4"/>
    <w:rsid w:val="00D277C1"/>
    <w:rsid w:val="00D277DE"/>
    <w:rsid w:val="00D279BF"/>
    <w:rsid w:val="00D27F2D"/>
    <w:rsid w:val="00D27F74"/>
    <w:rsid w:val="00D30332"/>
    <w:rsid w:val="00D30399"/>
    <w:rsid w:val="00D303A1"/>
    <w:rsid w:val="00D3066F"/>
    <w:rsid w:val="00D31AC8"/>
    <w:rsid w:val="00D31E70"/>
    <w:rsid w:val="00D31FFE"/>
    <w:rsid w:val="00D322F4"/>
    <w:rsid w:val="00D3235E"/>
    <w:rsid w:val="00D32EF9"/>
    <w:rsid w:val="00D33296"/>
    <w:rsid w:val="00D332CF"/>
    <w:rsid w:val="00D33B09"/>
    <w:rsid w:val="00D34631"/>
    <w:rsid w:val="00D3490F"/>
    <w:rsid w:val="00D34DB1"/>
    <w:rsid w:val="00D354C6"/>
    <w:rsid w:val="00D35999"/>
    <w:rsid w:val="00D35ACB"/>
    <w:rsid w:val="00D35BC1"/>
    <w:rsid w:val="00D35CFD"/>
    <w:rsid w:val="00D35D32"/>
    <w:rsid w:val="00D36267"/>
    <w:rsid w:val="00D36E13"/>
    <w:rsid w:val="00D37295"/>
    <w:rsid w:val="00D405BB"/>
    <w:rsid w:val="00D41033"/>
    <w:rsid w:val="00D4161F"/>
    <w:rsid w:val="00D41BA5"/>
    <w:rsid w:val="00D42412"/>
    <w:rsid w:val="00D43082"/>
    <w:rsid w:val="00D431F2"/>
    <w:rsid w:val="00D4332D"/>
    <w:rsid w:val="00D4339F"/>
    <w:rsid w:val="00D4350C"/>
    <w:rsid w:val="00D43F3F"/>
    <w:rsid w:val="00D43F64"/>
    <w:rsid w:val="00D446F0"/>
    <w:rsid w:val="00D44762"/>
    <w:rsid w:val="00D447FC"/>
    <w:rsid w:val="00D44A81"/>
    <w:rsid w:val="00D46125"/>
    <w:rsid w:val="00D46576"/>
    <w:rsid w:val="00D46BE4"/>
    <w:rsid w:val="00D50205"/>
    <w:rsid w:val="00D50482"/>
    <w:rsid w:val="00D50B4E"/>
    <w:rsid w:val="00D50D17"/>
    <w:rsid w:val="00D510F9"/>
    <w:rsid w:val="00D51341"/>
    <w:rsid w:val="00D5258F"/>
    <w:rsid w:val="00D52706"/>
    <w:rsid w:val="00D52A2E"/>
    <w:rsid w:val="00D53039"/>
    <w:rsid w:val="00D531F6"/>
    <w:rsid w:val="00D53988"/>
    <w:rsid w:val="00D546C4"/>
    <w:rsid w:val="00D555CE"/>
    <w:rsid w:val="00D559B6"/>
    <w:rsid w:val="00D56E75"/>
    <w:rsid w:val="00D57A4D"/>
    <w:rsid w:val="00D6059E"/>
    <w:rsid w:val="00D605E9"/>
    <w:rsid w:val="00D607B4"/>
    <w:rsid w:val="00D607F0"/>
    <w:rsid w:val="00D61189"/>
    <w:rsid w:val="00D615BE"/>
    <w:rsid w:val="00D6224E"/>
    <w:rsid w:val="00D62276"/>
    <w:rsid w:val="00D6257C"/>
    <w:rsid w:val="00D6306D"/>
    <w:rsid w:val="00D63083"/>
    <w:rsid w:val="00D634EF"/>
    <w:rsid w:val="00D639F1"/>
    <w:rsid w:val="00D64162"/>
    <w:rsid w:val="00D64759"/>
    <w:rsid w:val="00D64767"/>
    <w:rsid w:val="00D65567"/>
    <w:rsid w:val="00D65BE1"/>
    <w:rsid w:val="00D662E7"/>
    <w:rsid w:val="00D6653F"/>
    <w:rsid w:val="00D66AA3"/>
    <w:rsid w:val="00D67081"/>
    <w:rsid w:val="00D678B6"/>
    <w:rsid w:val="00D67B29"/>
    <w:rsid w:val="00D702F5"/>
    <w:rsid w:val="00D704AD"/>
    <w:rsid w:val="00D71055"/>
    <w:rsid w:val="00D71717"/>
    <w:rsid w:val="00D719E4"/>
    <w:rsid w:val="00D71EB8"/>
    <w:rsid w:val="00D71FD2"/>
    <w:rsid w:val="00D72DCB"/>
    <w:rsid w:val="00D73D75"/>
    <w:rsid w:val="00D73F4B"/>
    <w:rsid w:val="00D74A07"/>
    <w:rsid w:val="00D74D75"/>
    <w:rsid w:val="00D75291"/>
    <w:rsid w:val="00D752CB"/>
    <w:rsid w:val="00D75366"/>
    <w:rsid w:val="00D757A9"/>
    <w:rsid w:val="00D7617A"/>
    <w:rsid w:val="00D765EB"/>
    <w:rsid w:val="00D76AEF"/>
    <w:rsid w:val="00D76EFF"/>
    <w:rsid w:val="00D77008"/>
    <w:rsid w:val="00D77C4A"/>
    <w:rsid w:val="00D77EC8"/>
    <w:rsid w:val="00D80CA3"/>
    <w:rsid w:val="00D80EE0"/>
    <w:rsid w:val="00D81DCB"/>
    <w:rsid w:val="00D8202D"/>
    <w:rsid w:val="00D84ECD"/>
    <w:rsid w:val="00D85843"/>
    <w:rsid w:val="00D8643A"/>
    <w:rsid w:val="00D866A8"/>
    <w:rsid w:val="00D8675B"/>
    <w:rsid w:val="00D86F0C"/>
    <w:rsid w:val="00D86F3C"/>
    <w:rsid w:val="00D87307"/>
    <w:rsid w:val="00D8771E"/>
    <w:rsid w:val="00D87A1A"/>
    <w:rsid w:val="00D87FC7"/>
    <w:rsid w:val="00D90B85"/>
    <w:rsid w:val="00D90C39"/>
    <w:rsid w:val="00D90C52"/>
    <w:rsid w:val="00D91298"/>
    <w:rsid w:val="00D915E8"/>
    <w:rsid w:val="00D926B4"/>
    <w:rsid w:val="00D92DFB"/>
    <w:rsid w:val="00D94015"/>
    <w:rsid w:val="00D9579D"/>
    <w:rsid w:val="00D95CD9"/>
    <w:rsid w:val="00D96087"/>
    <w:rsid w:val="00D96555"/>
    <w:rsid w:val="00D96EE0"/>
    <w:rsid w:val="00DA02BC"/>
    <w:rsid w:val="00DA1701"/>
    <w:rsid w:val="00DA1C2F"/>
    <w:rsid w:val="00DA2644"/>
    <w:rsid w:val="00DA2C25"/>
    <w:rsid w:val="00DA2CE7"/>
    <w:rsid w:val="00DA34F0"/>
    <w:rsid w:val="00DA3646"/>
    <w:rsid w:val="00DA3913"/>
    <w:rsid w:val="00DA5D24"/>
    <w:rsid w:val="00DA6361"/>
    <w:rsid w:val="00DA6BE7"/>
    <w:rsid w:val="00DA70AC"/>
    <w:rsid w:val="00DA77B2"/>
    <w:rsid w:val="00DA7DCD"/>
    <w:rsid w:val="00DB09B1"/>
    <w:rsid w:val="00DB09F1"/>
    <w:rsid w:val="00DB15A8"/>
    <w:rsid w:val="00DB1836"/>
    <w:rsid w:val="00DB1F2B"/>
    <w:rsid w:val="00DB2021"/>
    <w:rsid w:val="00DB2C67"/>
    <w:rsid w:val="00DB31FA"/>
    <w:rsid w:val="00DB3AAB"/>
    <w:rsid w:val="00DB487D"/>
    <w:rsid w:val="00DB490B"/>
    <w:rsid w:val="00DB4AD5"/>
    <w:rsid w:val="00DB4CEF"/>
    <w:rsid w:val="00DB4D03"/>
    <w:rsid w:val="00DB51E6"/>
    <w:rsid w:val="00DB540C"/>
    <w:rsid w:val="00DB6530"/>
    <w:rsid w:val="00DC00E6"/>
    <w:rsid w:val="00DC0345"/>
    <w:rsid w:val="00DC0B06"/>
    <w:rsid w:val="00DC0BFA"/>
    <w:rsid w:val="00DC0DAB"/>
    <w:rsid w:val="00DC1587"/>
    <w:rsid w:val="00DC2227"/>
    <w:rsid w:val="00DC2923"/>
    <w:rsid w:val="00DC29B3"/>
    <w:rsid w:val="00DC3834"/>
    <w:rsid w:val="00DC4DB3"/>
    <w:rsid w:val="00DC59D8"/>
    <w:rsid w:val="00DC6108"/>
    <w:rsid w:val="00DC6128"/>
    <w:rsid w:val="00DC6208"/>
    <w:rsid w:val="00DC636A"/>
    <w:rsid w:val="00DC6588"/>
    <w:rsid w:val="00DC733E"/>
    <w:rsid w:val="00DD017C"/>
    <w:rsid w:val="00DD0711"/>
    <w:rsid w:val="00DD0F24"/>
    <w:rsid w:val="00DD1039"/>
    <w:rsid w:val="00DD149D"/>
    <w:rsid w:val="00DD196C"/>
    <w:rsid w:val="00DD2AC1"/>
    <w:rsid w:val="00DD3167"/>
    <w:rsid w:val="00DD3322"/>
    <w:rsid w:val="00DD3B0E"/>
    <w:rsid w:val="00DD3FF7"/>
    <w:rsid w:val="00DD4980"/>
    <w:rsid w:val="00DD5444"/>
    <w:rsid w:val="00DD55F0"/>
    <w:rsid w:val="00DD56A6"/>
    <w:rsid w:val="00DD6475"/>
    <w:rsid w:val="00DE0668"/>
    <w:rsid w:val="00DE0DEF"/>
    <w:rsid w:val="00DE10E2"/>
    <w:rsid w:val="00DE11E2"/>
    <w:rsid w:val="00DE2212"/>
    <w:rsid w:val="00DE35AE"/>
    <w:rsid w:val="00DE3A5B"/>
    <w:rsid w:val="00DE4793"/>
    <w:rsid w:val="00DE4975"/>
    <w:rsid w:val="00DE61EC"/>
    <w:rsid w:val="00DE6887"/>
    <w:rsid w:val="00DE6944"/>
    <w:rsid w:val="00DE6AAB"/>
    <w:rsid w:val="00DE6BC1"/>
    <w:rsid w:val="00DE6D21"/>
    <w:rsid w:val="00DE74A8"/>
    <w:rsid w:val="00DE74F1"/>
    <w:rsid w:val="00DE750B"/>
    <w:rsid w:val="00DE7D55"/>
    <w:rsid w:val="00DE7D92"/>
    <w:rsid w:val="00DF023C"/>
    <w:rsid w:val="00DF07E1"/>
    <w:rsid w:val="00DF0F78"/>
    <w:rsid w:val="00DF10D8"/>
    <w:rsid w:val="00DF2EBC"/>
    <w:rsid w:val="00DF2FD7"/>
    <w:rsid w:val="00DF3120"/>
    <w:rsid w:val="00DF3491"/>
    <w:rsid w:val="00DF37A7"/>
    <w:rsid w:val="00DF3812"/>
    <w:rsid w:val="00DF3964"/>
    <w:rsid w:val="00DF3FCE"/>
    <w:rsid w:val="00DF4EB7"/>
    <w:rsid w:val="00DF5774"/>
    <w:rsid w:val="00DF5B79"/>
    <w:rsid w:val="00DF6B81"/>
    <w:rsid w:val="00DF7315"/>
    <w:rsid w:val="00E00EB8"/>
    <w:rsid w:val="00E010BC"/>
    <w:rsid w:val="00E013CF"/>
    <w:rsid w:val="00E01888"/>
    <w:rsid w:val="00E01A3F"/>
    <w:rsid w:val="00E01C95"/>
    <w:rsid w:val="00E0236C"/>
    <w:rsid w:val="00E02862"/>
    <w:rsid w:val="00E02F50"/>
    <w:rsid w:val="00E032D2"/>
    <w:rsid w:val="00E0354E"/>
    <w:rsid w:val="00E046FB"/>
    <w:rsid w:val="00E04CA0"/>
    <w:rsid w:val="00E04F86"/>
    <w:rsid w:val="00E05302"/>
    <w:rsid w:val="00E053A3"/>
    <w:rsid w:val="00E062CE"/>
    <w:rsid w:val="00E06E8C"/>
    <w:rsid w:val="00E07649"/>
    <w:rsid w:val="00E07864"/>
    <w:rsid w:val="00E07BAB"/>
    <w:rsid w:val="00E07E17"/>
    <w:rsid w:val="00E07E2C"/>
    <w:rsid w:val="00E104F0"/>
    <w:rsid w:val="00E10736"/>
    <w:rsid w:val="00E10775"/>
    <w:rsid w:val="00E109C9"/>
    <w:rsid w:val="00E12199"/>
    <w:rsid w:val="00E121D9"/>
    <w:rsid w:val="00E124BC"/>
    <w:rsid w:val="00E12B99"/>
    <w:rsid w:val="00E132CA"/>
    <w:rsid w:val="00E142C0"/>
    <w:rsid w:val="00E14C3F"/>
    <w:rsid w:val="00E14CE7"/>
    <w:rsid w:val="00E14EF4"/>
    <w:rsid w:val="00E15713"/>
    <w:rsid w:val="00E15B55"/>
    <w:rsid w:val="00E15EAE"/>
    <w:rsid w:val="00E15FD3"/>
    <w:rsid w:val="00E16536"/>
    <w:rsid w:val="00E16681"/>
    <w:rsid w:val="00E17230"/>
    <w:rsid w:val="00E1770F"/>
    <w:rsid w:val="00E1772C"/>
    <w:rsid w:val="00E17B73"/>
    <w:rsid w:val="00E20187"/>
    <w:rsid w:val="00E20AD2"/>
    <w:rsid w:val="00E20BE9"/>
    <w:rsid w:val="00E20E5F"/>
    <w:rsid w:val="00E2127E"/>
    <w:rsid w:val="00E215AF"/>
    <w:rsid w:val="00E2252C"/>
    <w:rsid w:val="00E22692"/>
    <w:rsid w:val="00E2290C"/>
    <w:rsid w:val="00E23398"/>
    <w:rsid w:val="00E24C31"/>
    <w:rsid w:val="00E24CAF"/>
    <w:rsid w:val="00E25288"/>
    <w:rsid w:val="00E255DB"/>
    <w:rsid w:val="00E25B38"/>
    <w:rsid w:val="00E2604E"/>
    <w:rsid w:val="00E2618D"/>
    <w:rsid w:val="00E268E4"/>
    <w:rsid w:val="00E269B4"/>
    <w:rsid w:val="00E26BDA"/>
    <w:rsid w:val="00E27BD2"/>
    <w:rsid w:val="00E3004C"/>
    <w:rsid w:val="00E302EB"/>
    <w:rsid w:val="00E303C5"/>
    <w:rsid w:val="00E305DA"/>
    <w:rsid w:val="00E30F75"/>
    <w:rsid w:val="00E318E6"/>
    <w:rsid w:val="00E319F6"/>
    <w:rsid w:val="00E31A5E"/>
    <w:rsid w:val="00E31E1A"/>
    <w:rsid w:val="00E32BCA"/>
    <w:rsid w:val="00E32C70"/>
    <w:rsid w:val="00E33444"/>
    <w:rsid w:val="00E33819"/>
    <w:rsid w:val="00E33C39"/>
    <w:rsid w:val="00E33F49"/>
    <w:rsid w:val="00E344B3"/>
    <w:rsid w:val="00E347D7"/>
    <w:rsid w:val="00E34E15"/>
    <w:rsid w:val="00E35057"/>
    <w:rsid w:val="00E35448"/>
    <w:rsid w:val="00E3618D"/>
    <w:rsid w:val="00E369C5"/>
    <w:rsid w:val="00E36C09"/>
    <w:rsid w:val="00E36D39"/>
    <w:rsid w:val="00E379C0"/>
    <w:rsid w:val="00E37AE8"/>
    <w:rsid w:val="00E37EE7"/>
    <w:rsid w:val="00E40540"/>
    <w:rsid w:val="00E40803"/>
    <w:rsid w:val="00E40BF9"/>
    <w:rsid w:val="00E410FF"/>
    <w:rsid w:val="00E412EE"/>
    <w:rsid w:val="00E42759"/>
    <w:rsid w:val="00E42CA3"/>
    <w:rsid w:val="00E42FE4"/>
    <w:rsid w:val="00E4388E"/>
    <w:rsid w:val="00E43ADC"/>
    <w:rsid w:val="00E43EB0"/>
    <w:rsid w:val="00E45057"/>
    <w:rsid w:val="00E45A6E"/>
    <w:rsid w:val="00E45BA8"/>
    <w:rsid w:val="00E45FE7"/>
    <w:rsid w:val="00E46096"/>
    <w:rsid w:val="00E468DA"/>
    <w:rsid w:val="00E46A94"/>
    <w:rsid w:val="00E47073"/>
    <w:rsid w:val="00E47799"/>
    <w:rsid w:val="00E47EAE"/>
    <w:rsid w:val="00E50131"/>
    <w:rsid w:val="00E51BDB"/>
    <w:rsid w:val="00E521EE"/>
    <w:rsid w:val="00E5271A"/>
    <w:rsid w:val="00E52F02"/>
    <w:rsid w:val="00E5333A"/>
    <w:rsid w:val="00E53512"/>
    <w:rsid w:val="00E53569"/>
    <w:rsid w:val="00E541F6"/>
    <w:rsid w:val="00E54523"/>
    <w:rsid w:val="00E54A91"/>
    <w:rsid w:val="00E54CB3"/>
    <w:rsid w:val="00E54DAC"/>
    <w:rsid w:val="00E55D35"/>
    <w:rsid w:val="00E564AE"/>
    <w:rsid w:val="00E568AA"/>
    <w:rsid w:val="00E56A43"/>
    <w:rsid w:val="00E57136"/>
    <w:rsid w:val="00E5716B"/>
    <w:rsid w:val="00E57D1B"/>
    <w:rsid w:val="00E600A3"/>
    <w:rsid w:val="00E6057D"/>
    <w:rsid w:val="00E607DB"/>
    <w:rsid w:val="00E60FEA"/>
    <w:rsid w:val="00E6105F"/>
    <w:rsid w:val="00E61524"/>
    <w:rsid w:val="00E619D8"/>
    <w:rsid w:val="00E626E4"/>
    <w:rsid w:val="00E62ADD"/>
    <w:rsid w:val="00E62DC0"/>
    <w:rsid w:val="00E63303"/>
    <w:rsid w:val="00E63A35"/>
    <w:rsid w:val="00E63ACF"/>
    <w:rsid w:val="00E63CAC"/>
    <w:rsid w:val="00E64F05"/>
    <w:rsid w:val="00E65175"/>
    <w:rsid w:val="00E657BE"/>
    <w:rsid w:val="00E65FA5"/>
    <w:rsid w:val="00E66457"/>
    <w:rsid w:val="00E6691B"/>
    <w:rsid w:val="00E66FB9"/>
    <w:rsid w:val="00E6720D"/>
    <w:rsid w:val="00E67E36"/>
    <w:rsid w:val="00E67ED6"/>
    <w:rsid w:val="00E703CD"/>
    <w:rsid w:val="00E70E99"/>
    <w:rsid w:val="00E7142C"/>
    <w:rsid w:val="00E71567"/>
    <w:rsid w:val="00E7192A"/>
    <w:rsid w:val="00E71BDB"/>
    <w:rsid w:val="00E71D11"/>
    <w:rsid w:val="00E72075"/>
    <w:rsid w:val="00E72C42"/>
    <w:rsid w:val="00E72D97"/>
    <w:rsid w:val="00E733C7"/>
    <w:rsid w:val="00E73436"/>
    <w:rsid w:val="00E73443"/>
    <w:rsid w:val="00E7482E"/>
    <w:rsid w:val="00E74CBE"/>
    <w:rsid w:val="00E75280"/>
    <w:rsid w:val="00E7562A"/>
    <w:rsid w:val="00E756FC"/>
    <w:rsid w:val="00E76555"/>
    <w:rsid w:val="00E7669A"/>
    <w:rsid w:val="00E76A77"/>
    <w:rsid w:val="00E771B8"/>
    <w:rsid w:val="00E7733B"/>
    <w:rsid w:val="00E77551"/>
    <w:rsid w:val="00E77696"/>
    <w:rsid w:val="00E77DBC"/>
    <w:rsid w:val="00E77E0E"/>
    <w:rsid w:val="00E80118"/>
    <w:rsid w:val="00E80C11"/>
    <w:rsid w:val="00E80DAD"/>
    <w:rsid w:val="00E810E4"/>
    <w:rsid w:val="00E81C0B"/>
    <w:rsid w:val="00E81F74"/>
    <w:rsid w:val="00E82041"/>
    <w:rsid w:val="00E82071"/>
    <w:rsid w:val="00E830F3"/>
    <w:rsid w:val="00E8314B"/>
    <w:rsid w:val="00E835C5"/>
    <w:rsid w:val="00E83BFC"/>
    <w:rsid w:val="00E84665"/>
    <w:rsid w:val="00E84ABE"/>
    <w:rsid w:val="00E84FF9"/>
    <w:rsid w:val="00E86398"/>
    <w:rsid w:val="00E86650"/>
    <w:rsid w:val="00E86750"/>
    <w:rsid w:val="00E86C54"/>
    <w:rsid w:val="00E86D88"/>
    <w:rsid w:val="00E872FC"/>
    <w:rsid w:val="00E877F9"/>
    <w:rsid w:val="00E87BFE"/>
    <w:rsid w:val="00E87D1E"/>
    <w:rsid w:val="00E90096"/>
    <w:rsid w:val="00E90634"/>
    <w:rsid w:val="00E90A4F"/>
    <w:rsid w:val="00E90C38"/>
    <w:rsid w:val="00E911F5"/>
    <w:rsid w:val="00E917EB"/>
    <w:rsid w:val="00E91A78"/>
    <w:rsid w:val="00E91F31"/>
    <w:rsid w:val="00E9224C"/>
    <w:rsid w:val="00E9224D"/>
    <w:rsid w:val="00E92C20"/>
    <w:rsid w:val="00E932B2"/>
    <w:rsid w:val="00E9369A"/>
    <w:rsid w:val="00E93B7B"/>
    <w:rsid w:val="00E94421"/>
    <w:rsid w:val="00E94753"/>
    <w:rsid w:val="00E94920"/>
    <w:rsid w:val="00E94A8D"/>
    <w:rsid w:val="00E94ED6"/>
    <w:rsid w:val="00E95E33"/>
    <w:rsid w:val="00E95F7C"/>
    <w:rsid w:val="00E96A95"/>
    <w:rsid w:val="00E96B31"/>
    <w:rsid w:val="00E96DCC"/>
    <w:rsid w:val="00E9799B"/>
    <w:rsid w:val="00E9799C"/>
    <w:rsid w:val="00E97CC5"/>
    <w:rsid w:val="00EA00E8"/>
    <w:rsid w:val="00EA0404"/>
    <w:rsid w:val="00EA058C"/>
    <w:rsid w:val="00EA0C9C"/>
    <w:rsid w:val="00EA1552"/>
    <w:rsid w:val="00EA163A"/>
    <w:rsid w:val="00EA1F03"/>
    <w:rsid w:val="00EA1FCC"/>
    <w:rsid w:val="00EA22E9"/>
    <w:rsid w:val="00EA2646"/>
    <w:rsid w:val="00EA2F61"/>
    <w:rsid w:val="00EA3050"/>
    <w:rsid w:val="00EA3507"/>
    <w:rsid w:val="00EA4106"/>
    <w:rsid w:val="00EA5E97"/>
    <w:rsid w:val="00EA67E1"/>
    <w:rsid w:val="00EA6AB1"/>
    <w:rsid w:val="00EA704F"/>
    <w:rsid w:val="00EA7997"/>
    <w:rsid w:val="00EA7CD1"/>
    <w:rsid w:val="00EB0B75"/>
    <w:rsid w:val="00EB0EC2"/>
    <w:rsid w:val="00EB17AD"/>
    <w:rsid w:val="00EB189B"/>
    <w:rsid w:val="00EB2A9F"/>
    <w:rsid w:val="00EB2D1F"/>
    <w:rsid w:val="00EB33E7"/>
    <w:rsid w:val="00EB34CF"/>
    <w:rsid w:val="00EB34DF"/>
    <w:rsid w:val="00EB38D9"/>
    <w:rsid w:val="00EB3C24"/>
    <w:rsid w:val="00EB4326"/>
    <w:rsid w:val="00EB440B"/>
    <w:rsid w:val="00EB448E"/>
    <w:rsid w:val="00EB5CE7"/>
    <w:rsid w:val="00EB647A"/>
    <w:rsid w:val="00EB6C77"/>
    <w:rsid w:val="00EB703D"/>
    <w:rsid w:val="00EB78A6"/>
    <w:rsid w:val="00EB7AA0"/>
    <w:rsid w:val="00EC139C"/>
    <w:rsid w:val="00EC1585"/>
    <w:rsid w:val="00EC1B72"/>
    <w:rsid w:val="00EC1E78"/>
    <w:rsid w:val="00EC2020"/>
    <w:rsid w:val="00EC2880"/>
    <w:rsid w:val="00EC28E0"/>
    <w:rsid w:val="00EC386A"/>
    <w:rsid w:val="00EC4181"/>
    <w:rsid w:val="00EC4668"/>
    <w:rsid w:val="00EC4944"/>
    <w:rsid w:val="00EC4981"/>
    <w:rsid w:val="00EC522F"/>
    <w:rsid w:val="00EC5647"/>
    <w:rsid w:val="00EC6555"/>
    <w:rsid w:val="00EC6B21"/>
    <w:rsid w:val="00EC6D2D"/>
    <w:rsid w:val="00EC79D9"/>
    <w:rsid w:val="00EC7C7E"/>
    <w:rsid w:val="00ED028D"/>
    <w:rsid w:val="00ED0399"/>
    <w:rsid w:val="00ED04D0"/>
    <w:rsid w:val="00ED07FD"/>
    <w:rsid w:val="00ED0FCD"/>
    <w:rsid w:val="00ED1157"/>
    <w:rsid w:val="00ED141B"/>
    <w:rsid w:val="00ED2612"/>
    <w:rsid w:val="00ED27A2"/>
    <w:rsid w:val="00ED294C"/>
    <w:rsid w:val="00ED2A18"/>
    <w:rsid w:val="00ED3882"/>
    <w:rsid w:val="00ED3C4C"/>
    <w:rsid w:val="00ED3CC7"/>
    <w:rsid w:val="00ED3F2A"/>
    <w:rsid w:val="00ED4897"/>
    <w:rsid w:val="00ED4B03"/>
    <w:rsid w:val="00ED5A05"/>
    <w:rsid w:val="00ED5B17"/>
    <w:rsid w:val="00ED5C3A"/>
    <w:rsid w:val="00ED5DB0"/>
    <w:rsid w:val="00ED5DC1"/>
    <w:rsid w:val="00ED60D0"/>
    <w:rsid w:val="00ED6C8E"/>
    <w:rsid w:val="00ED7A4B"/>
    <w:rsid w:val="00ED7C62"/>
    <w:rsid w:val="00EE08AE"/>
    <w:rsid w:val="00EE0B30"/>
    <w:rsid w:val="00EE0F35"/>
    <w:rsid w:val="00EE115B"/>
    <w:rsid w:val="00EE1634"/>
    <w:rsid w:val="00EE16BD"/>
    <w:rsid w:val="00EE18FF"/>
    <w:rsid w:val="00EE1A22"/>
    <w:rsid w:val="00EE20B3"/>
    <w:rsid w:val="00EE21B4"/>
    <w:rsid w:val="00EE2437"/>
    <w:rsid w:val="00EE3A52"/>
    <w:rsid w:val="00EE4330"/>
    <w:rsid w:val="00EE5517"/>
    <w:rsid w:val="00EE55CE"/>
    <w:rsid w:val="00EE5813"/>
    <w:rsid w:val="00EE5B19"/>
    <w:rsid w:val="00EE5DD9"/>
    <w:rsid w:val="00EE643D"/>
    <w:rsid w:val="00EE64FB"/>
    <w:rsid w:val="00EE6545"/>
    <w:rsid w:val="00EE67A2"/>
    <w:rsid w:val="00EE6C87"/>
    <w:rsid w:val="00EE6CB0"/>
    <w:rsid w:val="00EE72DA"/>
    <w:rsid w:val="00EE76DE"/>
    <w:rsid w:val="00EE7A4F"/>
    <w:rsid w:val="00EE7AB4"/>
    <w:rsid w:val="00EE7C7B"/>
    <w:rsid w:val="00EF06E2"/>
    <w:rsid w:val="00EF1464"/>
    <w:rsid w:val="00EF1F97"/>
    <w:rsid w:val="00EF2085"/>
    <w:rsid w:val="00EF221A"/>
    <w:rsid w:val="00EF2A40"/>
    <w:rsid w:val="00EF2C2B"/>
    <w:rsid w:val="00EF330F"/>
    <w:rsid w:val="00EF37A2"/>
    <w:rsid w:val="00EF3F35"/>
    <w:rsid w:val="00EF4B92"/>
    <w:rsid w:val="00EF5143"/>
    <w:rsid w:val="00EF5B5F"/>
    <w:rsid w:val="00EF5E61"/>
    <w:rsid w:val="00EF69CC"/>
    <w:rsid w:val="00EF7AE2"/>
    <w:rsid w:val="00F00A13"/>
    <w:rsid w:val="00F00EF9"/>
    <w:rsid w:val="00F01113"/>
    <w:rsid w:val="00F01E91"/>
    <w:rsid w:val="00F02761"/>
    <w:rsid w:val="00F02C0D"/>
    <w:rsid w:val="00F03279"/>
    <w:rsid w:val="00F037B5"/>
    <w:rsid w:val="00F0400C"/>
    <w:rsid w:val="00F04898"/>
    <w:rsid w:val="00F049D3"/>
    <w:rsid w:val="00F04F4C"/>
    <w:rsid w:val="00F05337"/>
    <w:rsid w:val="00F0537E"/>
    <w:rsid w:val="00F05B46"/>
    <w:rsid w:val="00F05C0E"/>
    <w:rsid w:val="00F05D44"/>
    <w:rsid w:val="00F063A4"/>
    <w:rsid w:val="00F07D27"/>
    <w:rsid w:val="00F1073D"/>
    <w:rsid w:val="00F10748"/>
    <w:rsid w:val="00F110C9"/>
    <w:rsid w:val="00F118AC"/>
    <w:rsid w:val="00F11CD4"/>
    <w:rsid w:val="00F12686"/>
    <w:rsid w:val="00F1454C"/>
    <w:rsid w:val="00F14C5C"/>
    <w:rsid w:val="00F14F9F"/>
    <w:rsid w:val="00F15CFA"/>
    <w:rsid w:val="00F15D29"/>
    <w:rsid w:val="00F16557"/>
    <w:rsid w:val="00F16790"/>
    <w:rsid w:val="00F16DF5"/>
    <w:rsid w:val="00F171D6"/>
    <w:rsid w:val="00F17402"/>
    <w:rsid w:val="00F17420"/>
    <w:rsid w:val="00F17470"/>
    <w:rsid w:val="00F202FA"/>
    <w:rsid w:val="00F203DF"/>
    <w:rsid w:val="00F2045D"/>
    <w:rsid w:val="00F20526"/>
    <w:rsid w:val="00F206BD"/>
    <w:rsid w:val="00F2091B"/>
    <w:rsid w:val="00F20E2D"/>
    <w:rsid w:val="00F21094"/>
    <w:rsid w:val="00F212FA"/>
    <w:rsid w:val="00F2136A"/>
    <w:rsid w:val="00F21D09"/>
    <w:rsid w:val="00F227BC"/>
    <w:rsid w:val="00F23366"/>
    <w:rsid w:val="00F23CFC"/>
    <w:rsid w:val="00F23D96"/>
    <w:rsid w:val="00F23FED"/>
    <w:rsid w:val="00F2488D"/>
    <w:rsid w:val="00F24D4F"/>
    <w:rsid w:val="00F25DFA"/>
    <w:rsid w:val="00F25F74"/>
    <w:rsid w:val="00F264CC"/>
    <w:rsid w:val="00F26785"/>
    <w:rsid w:val="00F26BCC"/>
    <w:rsid w:val="00F26BDF"/>
    <w:rsid w:val="00F274D7"/>
    <w:rsid w:val="00F278DF"/>
    <w:rsid w:val="00F3093D"/>
    <w:rsid w:val="00F30961"/>
    <w:rsid w:val="00F30F15"/>
    <w:rsid w:val="00F31827"/>
    <w:rsid w:val="00F31E2E"/>
    <w:rsid w:val="00F32503"/>
    <w:rsid w:val="00F32519"/>
    <w:rsid w:val="00F32684"/>
    <w:rsid w:val="00F32C6D"/>
    <w:rsid w:val="00F32F4D"/>
    <w:rsid w:val="00F3450A"/>
    <w:rsid w:val="00F34A9E"/>
    <w:rsid w:val="00F34E37"/>
    <w:rsid w:val="00F34FC7"/>
    <w:rsid w:val="00F36119"/>
    <w:rsid w:val="00F36934"/>
    <w:rsid w:val="00F369B2"/>
    <w:rsid w:val="00F36A46"/>
    <w:rsid w:val="00F37C79"/>
    <w:rsid w:val="00F37E50"/>
    <w:rsid w:val="00F402DE"/>
    <w:rsid w:val="00F41833"/>
    <w:rsid w:val="00F41FBC"/>
    <w:rsid w:val="00F438FF"/>
    <w:rsid w:val="00F43D99"/>
    <w:rsid w:val="00F4443D"/>
    <w:rsid w:val="00F4471A"/>
    <w:rsid w:val="00F4518C"/>
    <w:rsid w:val="00F4575D"/>
    <w:rsid w:val="00F45F02"/>
    <w:rsid w:val="00F46CCC"/>
    <w:rsid w:val="00F474F9"/>
    <w:rsid w:val="00F47D3F"/>
    <w:rsid w:val="00F505FA"/>
    <w:rsid w:val="00F50670"/>
    <w:rsid w:val="00F50894"/>
    <w:rsid w:val="00F50B86"/>
    <w:rsid w:val="00F50C6C"/>
    <w:rsid w:val="00F52A4B"/>
    <w:rsid w:val="00F534C1"/>
    <w:rsid w:val="00F53727"/>
    <w:rsid w:val="00F53B2C"/>
    <w:rsid w:val="00F53E94"/>
    <w:rsid w:val="00F5418E"/>
    <w:rsid w:val="00F54383"/>
    <w:rsid w:val="00F549F7"/>
    <w:rsid w:val="00F553B2"/>
    <w:rsid w:val="00F55B0F"/>
    <w:rsid w:val="00F55BEF"/>
    <w:rsid w:val="00F56ADB"/>
    <w:rsid w:val="00F5730E"/>
    <w:rsid w:val="00F57340"/>
    <w:rsid w:val="00F57514"/>
    <w:rsid w:val="00F60136"/>
    <w:rsid w:val="00F602E1"/>
    <w:rsid w:val="00F6049E"/>
    <w:rsid w:val="00F6064D"/>
    <w:rsid w:val="00F6096B"/>
    <w:rsid w:val="00F60BBF"/>
    <w:rsid w:val="00F60D0C"/>
    <w:rsid w:val="00F60F67"/>
    <w:rsid w:val="00F61704"/>
    <w:rsid w:val="00F6296F"/>
    <w:rsid w:val="00F62F42"/>
    <w:rsid w:val="00F632F2"/>
    <w:rsid w:val="00F6330C"/>
    <w:rsid w:val="00F63523"/>
    <w:rsid w:val="00F638CF"/>
    <w:rsid w:val="00F639AF"/>
    <w:rsid w:val="00F63CF6"/>
    <w:rsid w:val="00F64423"/>
    <w:rsid w:val="00F6443B"/>
    <w:rsid w:val="00F64568"/>
    <w:rsid w:val="00F64783"/>
    <w:rsid w:val="00F64AD8"/>
    <w:rsid w:val="00F64FD9"/>
    <w:rsid w:val="00F651AC"/>
    <w:rsid w:val="00F65AD8"/>
    <w:rsid w:val="00F65BA9"/>
    <w:rsid w:val="00F65F40"/>
    <w:rsid w:val="00F667BB"/>
    <w:rsid w:val="00F66BDE"/>
    <w:rsid w:val="00F67073"/>
    <w:rsid w:val="00F673D0"/>
    <w:rsid w:val="00F67758"/>
    <w:rsid w:val="00F67D11"/>
    <w:rsid w:val="00F67DA0"/>
    <w:rsid w:val="00F67F49"/>
    <w:rsid w:val="00F70310"/>
    <w:rsid w:val="00F70431"/>
    <w:rsid w:val="00F7070F"/>
    <w:rsid w:val="00F709E0"/>
    <w:rsid w:val="00F7136E"/>
    <w:rsid w:val="00F713AE"/>
    <w:rsid w:val="00F71AD4"/>
    <w:rsid w:val="00F71FA3"/>
    <w:rsid w:val="00F7288F"/>
    <w:rsid w:val="00F72F2C"/>
    <w:rsid w:val="00F73706"/>
    <w:rsid w:val="00F73E0B"/>
    <w:rsid w:val="00F74742"/>
    <w:rsid w:val="00F7480B"/>
    <w:rsid w:val="00F74E50"/>
    <w:rsid w:val="00F75577"/>
    <w:rsid w:val="00F75893"/>
    <w:rsid w:val="00F75BBA"/>
    <w:rsid w:val="00F75DF7"/>
    <w:rsid w:val="00F761C7"/>
    <w:rsid w:val="00F761EA"/>
    <w:rsid w:val="00F76E4D"/>
    <w:rsid w:val="00F77F47"/>
    <w:rsid w:val="00F77FDD"/>
    <w:rsid w:val="00F80670"/>
    <w:rsid w:val="00F80C20"/>
    <w:rsid w:val="00F810EF"/>
    <w:rsid w:val="00F811D6"/>
    <w:rsid w:val="00F81BF7"/>
    <w:rsid w:val="00F81F97"/>
    <w:rsid w:val="00F8203F"/>
    <w:rsid w:val="00F837F0"/>
    <w:rsid w:val="00F84615"/>
    <w:rsid w:val="00F848A9"/>
    <w:rsid w:val="00F84D35"/>
    <w:rsid w:val="00F8501F"/>
    <w:rsid w:val="00F8539B"/>
    <w:rsid w:val="00F85742"/>
    <w:rsid w:val="00F85B03"/>
    <w:rsid w:val="00F85CAE"/>
    <w:rsid w:val="00F86104"/>
    <w:rsid w:val="00F866B7"/>
    <w:rsid w:val="00F87255"/>
    <w:rsid w:val="00F90353"/>
    <w:rsid w:val="00F903AE"/>
    <w:rsid w:val="00F90983"/>
    <w:rsid w:val="00F909DE"/>
    <w:rsid w:val="00F910DD"/>
    <w:rsid w:val="00F91AA8"/>
    <w:rsid w:val="00F921E1"/>
    <w:rsid w:val="00F9238B"/>
    <w:rsid w:val="00F923B0"/>
    <w:rsid w:val="00F935B3"/>
    <w:rsid w:val="00F93AFB"/>
    <w:rsid w:val="00F93CB2"/>
    <w:rsid w:val="00F93E5D"/>
    <w:rsid w:val="00F9488C"/>
    <w:rsid w:val="00F94D0A"/>
    <w:rsid w:val="00F94D42"/>
    <w:rsid w:val="00F94DBB"/>
    <w:rsid w:val="00F95932"/>
    <w:rsid w:val="00F95BA5"/>
    <w:rsid w:val="00F95D12"/>
    <w:rsid w:val="00F960F6"/>
    <w:rsid w:val="00F96420"/>
    <w:rsid w:val="00F96473"/>
    <w:rsid w:val="00F964F2"/>
    <w:rsid w:val="00F965BA"/>
    <w:rsid w:val="00F978EF"/>
    <w:rsid w:val="00F979D6"/>
    <w:rsid w:val="00FA03B1"/>
    <w:rsid w:val="00FA0429"/>
    <w:rsid w:val="00FA0C64"/>
    <w:rsid w:val="00FA13E9"/>
    <w:rsid w:val="00FA1978"/>
    <w:rsid w:val="00FA1C12"/>
    <w:rsid w:val="00FA25C2"/>
    <w:rsid w:val="00FA2B6F"/>
    <w:rsid w:val="00FA3440"/>
    <w:rsid w:val="00FA348E"/>
    <w:rsid w:val="00FA3492"/>
    <w:rsid w:val="00FA34EF"/>
    <w:rsid w:val="00FA3BB9"/>
    <w:rsid w:val="00FA43CF"/>
    <w:rsid w:val="00FA48CD"/>
    <w:rsid w:val="00FA4C1A"/>
    <w:rsid w:val="00FA5D7C"/>
    <w:rsid w:val="00FA5D7E"/>
    <w:rsid w:val="00FA6142"/>
    <w:rsid w:val="00FA6A2E"/>
    <w:rsid w:val="00FA6E67"/>
    <w:rsid w:val="00FA73F9"/>
    <w:rsid w:val="00FA7EBB"/>
    <w:rsid w:val="00FB0A9A"/>
    <w:rsid w:val="00FB0AB1"/>
    <w:rsid w:val="00FB1268"/>
    <w:rsid w:val="00FB1761"/>
    <w:rsid w:val="00FB187B"/>
    <w:rsid w:val="00FB1A64"/>
    <w:rsid w:val="00FB1BBF"/>
    <w:rsid w:val="00FB1C2D"/>
    <w:rsid w:val="00FB230C"/>
    <w:rsid w:val="00FB27AA"/>
    <w:rsid w:val="00FB3204"/>
    <w:rsid w:val="00FB4031"/>
    <w:rsid w:val="00FB4690"/>
    <w:rsid w:val="00FB47B7"/>
    <w:rsid w:val="00FB4847"/>
    <w:rsid w:val="00FB4A09"/>
    <w:rsid w:val="00FB4B2E"/>
    <w:rsid w:val="00FB53B3"/>
    <w:rsid w:val="00FB5914"/>
    <w:rsid w:val="00FB5A31"/>
    <w:rsid w:val="00FB5B43"/>
    <w:rsid w:val="00FB5C93"/>
    <w:rsid w:val="00FB6709"/>
    <w:rsid w:val="00FB6759"/>
    <w:rsid w:val="00FB6DE9"/>
    <w:rsid w:val="00FB6E84"/>
    <w:rsid w:val="00FB6F45"/>
    <w:rsid w:val="00FB70FE"/>
    <w:rsid w:val="00FB7DED"/>
    <w:rsid w:val="00FC0FFD"/>
    <w:rsid w:val="00FC1737"/>
    <w:rsid w:val="00FC1B41"/>
    <w:rsid w:val="00FC20C8"/>
    <w:rsid w:val="00FC27E0"/>
    <w:rsid w:val="00FC2E27"/>
    <w:rsid w:val="00FC37ED"/>
    <w:rsid w:val="00FC3BCB"/>
    <w:rsid w:val="00FC4420"/>
    <w:rsid w:val="00FC4569"/>
    <w:rsid w:val="00FC4978"/>
    <w:rsid w:val="00FC5B47"/>
    <w:rsid w:val="00FC5FDF"/>
    <w:rsid w:val="00FC6475"/>
    <w:rsid w:val="00FC6529"/>
    <w:rsid w:val="00FC7048"/>
    <w:rsid w:val="00FC7D3E"/>
    <w:rsid w:val="00FD04E1"/>
    <w:rsid w:val="00FD0597"/>
    <w:rsid w:val="00FD0D02"/>
    <w:rsid w:val="00FD0DD0"/>
    <w:rsid w:val="00FD17AB"/>
    <w:rsid w:val="00FD267B"/>
    <w:rsid w:val="00FD27B1"/>
    <w:rsid w:val="00FD3BE0"/>
    <w:rsid w:val="00FD405D"/>
    <w:rsid w:val="00FD5E3C"/>
    <w:rsid w:val="00FD62DD"/>
    <w:rsid w:val="00FD632B"/>
    <w:rsid w:val="00FD6747"/>
    <w:rsid w:val="00FD69E0"/>
    <w:rsid w:val="00FD6AF1"/>
    <w:rsid w:val="00FD6F5B"/>
    <w:rsid w:val="00FD7478"/>
    <w:rsid w:val="00FD7801"/>
    <w:rsid w:val="00FD7B8F"/>
    <w:rsid w:val="00FD7E5C"/>
    <w:rsid w:val="00FE04AD"/>
    <w:rsid w:val="00FE06AC"/>
    <w:rsid w:val="00FE0B95"/>
    <w:rsid w:val="00FE1073"/>
    <w:rsid w:val="00FE137F"/>
    <w:rsid w:val="00FE16DA"/>
    <w:rsid w:val="00FE1BED"/>
    <w:rsid w:val="00FE1F14"/>
    <w:rsid w:val="00FE27FC"/>
    <w:rsid w:val="00FE300D"/>
    <w:rsid w:val="00FE351E"/>
    <w:rsid w:val="00FE4BCD"/>
    <w:rsid w:val="00FE4C0B"/>
    <w:rsid w:val="00FE503D"/>
    <w:rsid w:val="00FE6876"/>
    <w:rsid w:val="00FE6AAD"/>
    <w:rsid w:val="00FE6AFF"/>
    <w:rsid w:val="00FE6B97"/>
    <w:rsid w:val="00FE6E7C"/>
    <w:rsid w:val="00FE7476"/>
    <w:rsid w:val="00FE7980"/>
    <w:rsid w:val="00FE79C3"/>
    <w:rsid w:val="00FE7A6F"/>
    <w:rsid w:val="00FF065C"/>
    <w:rsid w:val="00FF07E9"/>
    <w:rsid w:val="00FF0F1F"/>
    <w:rsid w:val="00FF1079"/>
    <w:rsid w:val="00FF11F0"/>
    <w:rsid w:val="00FF15F5"/>
    <w:rsid w:val="00FF27BE"/>
    <w:rsid w:val="00FF3526"/>
    <w:rsid w:val="00FF370B"/>
    <w:rsid w:val="00FF38E8"/>
    <w:rsid w:val="00FF3B07"/>
    <w:rsid w:val="00FF3FDB"/>
    <w:rsid w:val="00FF4B99"/>
    <w:rsid w:val="00FF5877"/>
    <w:rsid w:val="00FF61EE"/>
    <w:rsid w:val="00FF74C4"/>
    <w:rsid w:val="00FF778C"/>
    <w:rsid w:val="00FF7CBA"/>
    <w:rsid w:val="00FF7D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784414"/>
  <w15:chartTrackingRefBased/>
  <w15:docId w15:val="{5330DAE4-3045-421F-BB2F-A49E3284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8E4"/>
    <w:rPr>
      <w:rFonts w:ascii="Arial" w:hAnsi="Arial"/>
      <w:sz w:val="24"/>
    </w:rPr>
  </w:style>
  <w:style w:type="paragraph" w:styleId="Heading1">
    <w:name w:val="heading 1"/>
    <w:basedOn w:val="ListParagraph"/>
    <w:next w:val="Normal"/>
    <w:link w:val="Heading1Char"/>
    <w:uiPriority w:val="9"/>
    <w:qFormat/>
    <w:rsid w:val="008F2070"/>
    <w:pPr>
      <w:numPr>
        <w:numId w:val="1"/>
      </w:numPr>
      <w:pBdr>
        <w:top w:val="single" w:sz="4" w:space="0" w:color="auto"/>
        <w:left w:val="single" w:sz="4" w:space="4" w:color="auto"/>
        <w:bottom w:val="single" w:sz="4" w:space="1" w:color="auto"/>
        <w:right w:val="single" w:sz="4" w:space="4" w:color="auto"/>
      </w:pBdr>
      <w:shd w:val="clear" w:color="auto" w:fill="8DB3E2"/>
      <w:spacing w:line="240" w:lineRule="auto"/>
      <w:outlineLvl w:val="0"/>
    </w:pPr>
    <w:rPr>
      <w:rFonts w:cs="Arial"/>
      <w:b/>
      <w:bCs/>
      <w:sz w:val="32"/>
      <w:szCs w:val="32"/>
    </w:rPr>
  </w:style>
  <w:style w:type="paragraph" w:styleId="Heading2">
    <w:name w:val="heading 2"/>
    <w:basedOn w:val="Normal"/>
    <w:next w:val="Normal"/>
    <w:link w:val="Heading2Char"/>
    <w:uiPriority w:val="9"/>
    <w:unhideWhenUsed/>
    <w:qFormat/>
    <w:rsid w:val="00C429D1"/>
    <w:pPr>
      <w:numPr>
        <w:ilvl w:val="1"/>
        <w:numId w:val="1"/>
      </w:numPr>
      <w:spacing w:before="240" w:line="240" w:lineRule="auto"/>
      <w:ind w:left="2295"/>
      <w:outlineLvl w:val="1"/>
    </w:pPr>
    <w:rPr>
      <w:rFonts w:cs="Arial"/>
      <w:b/>
      <w:bCs/>
      <w:szCs w:val="24"/>
      <w:lang w:val="en-US"/>
    </w:rPr>
  </w:style>
  <w:style w:type="paragraph" w:styleId="Heading3">
    <w:name w:val="heading 3"/>
    <w:basedOn w:val="Normal"/>
    <w:next w:val="Normal"/>
    <w:link w:val="Heading3Char"/>
    <w:uiPriority w:val="9"/>
    <w:unhideWhenUsed/>
    <w:qFormat/>
    <w:rsid w:val="00A60CBC"/>
    <w:pPr>
      <w:outlineLvl w:val="2"/>
    </w:pPr>
    <w:rPr>
      <w:u w:val="single"/>
    </w:rPr>
  </w:style>
  <w:style w:type="paragraph" w:styleId="Heading4">
    <w:name w:val="heading 4"/>
    <w:basedOn w:val="Normal"/>
    <w:next w:val="Normal"/>
    <w:link w:val="Heading4Char"/>
    <w:uiPriority w:val="9"/>
    <w:unhideWhenUsed/>
    <w:qFormat/>
    <w:rsid w:val="00707AE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671777"/>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7">
    <w:name w:val="heading 7"/>
    <w:basedOn w:val="Normal"/>
    <w:next w:val="Normal"/>
    <w:link w:val="Heading7Char"/>
    <w:uiPriority w:val="9"/>
    <w:semiHidden/>
    <w:unhideWhenUsed/>
    <w:qFormat/>
    <w:rsid w:val="009657FF"/>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87253E"/>
    <w:rPr>
      <w:rFonts w:ascii="ArialMT" w:hAnsi="ArialMT" w:hint="default"/>
      <w:b w:val="0"/>
      <w:bCs w:val="0"/>
      <w:i w:val="0"/>
      <w:iCs w:val="0"/>
      <w:color w:val="000000"/>
      <w:sz w:val="22"/>
      <w:szCs w:val="22"/>
    </w:rPr>
  </w:style>
  <w:style w:type="character" w:customStyle="1" w:styleId="fontstyle21">
    <w:name w:val="fontstyle21"/>
    <w:basedOn w:val="DefaultParagraphFont"/>
    <w:rsid w:val="0087253E"/>
    <w:rPr>
      <w:rFonts w:ascii="Arial-ItalicMT" w:hAnsi="Arial-ItalicMT" w:hint="default"/>
      <w:b w:val="0"/>
      <w:bCs w:val="0"/>
      <w:i/>
      <w:iCs/>
      <w:color w:val="000000"/>
      <w:sz w:val="22"/>
      <w:szCs w:val="22"/>
    </w:rPr>
  </w:style>
  <w:style w:type="paragraph" w:customStyle="1" w:styleId="paragraph">
    <w:name w:val="paragraph"/>
    <w:basedOn w:val="Normal"/>
    <w:rsid w:val="00582887"/>
    <w:pPr>
      <w:spacing w:before="100" w:beforeAutospacing="1" w:after="100" w:afterAutospacing="1" w:line="240" w:lineRule="auto"/>
    </w:pPr>
    <w:rPr>
      <w:rFonts w:ascii="Times New Roman" w:eastAsia="Times New Roman" w:hAnsi="Times New Roman" w:cs="Times New Roman"/>
      <w:szCs w:val="24"/>
      <w:lang w:eastAsia="en-CA"/>
    </w:rPr>
  </w:style>
  <w:style w:type="character" w:customStyle="1" w:styleId="normaltextrun">
    <w:name w:val="normaltextrun"/>
    <w:basedOn w:val="DefaultParagraphFont"/>
    <w:rsid w:val="00582887"/>
  </w:style>
  <w:style w:type="character" w:customStyle="1" w:styleId="eop">
    <w:name w:val="eop"/>
    <w:basedOn w:val="DefaultParagraphFont"/>
    <w:rsid w:val="00582887"/>
  </w:style>
  <w:style w:type="paragraph" w:styleId="ListParagraph">
    <w:name w:val="List Paragraph"/>
    <w:aliases w:val="Recommendation,List Paragraph11,L,CV text,Table text,F5 List Paragraph,Dot pt,Bullet 1,Numbered Para 1,No Spacing1,List Paragraph Char Char Char,Indicator Text,table bullets,List Paragraph1,Bullet Points,List Paragraph2,MAIN CONTENT,BN 1"/>
    <w:basedOn w:val="Normal"/>
    <w:link w:val="ListParagraphChar"/>
    <w:uiPriority w:val="34"/>
    <w:qFormat/>
    <w:rsid w:val="00582887"/>
    <w:pPr>
      <w:ind w:left="720"/>
      <w:contextualSpacing/>
    </w:pPr>
  </w:style>
  <w:style w:type="paragraph" w:styleId="FootnoteText">
    <w:name w:val="footnote text"/>
    <w:aliases w:val="Carattere,Footnote Text Char1 Char,Footnote Text Char Char Char,Footnote Text Char1 Char Char Char,Footnote Text Char Char Char Char Char,Footnote Text Char2 Char Char Char Char Char,Footnote Text Char1,FA Fu,Char,FA,FA Fußnotentext,5_G"/>
    <w:basedOn w:val="Normal"/>
    <w:link w:val="FootnoteTextChar"/>
    <w:uiPriority w:val="99"/>
    <w:unhideWhenUsed/>
    <w:rsid w:val="00F71FA3"/>
    <w:pPr>
      <w:spacing w:after="0" w:line="240" w:lineRule="auto"/>
    </w:pPr>
    <w:rPr>
      <w:sz w:val="20"/>
      <w:szCs w:val="20"/>
    </w:rPr>
  </w:style>
  <w:style w:type="character" w:customStyle="1" w:styleId="FootnoteTextChar">
    <w:name w:val="Footnote Text Char"/>
    <w:aliases w:val="Carattere Char,Footnote Text Char1 Char Char,Footnote Text Char Char Char Char,Footnote Text Char1 Char Char Char Char,Footnote Text Char Char Char Char Char Char,Footnote Text Char2 Char Char Char Char Char Char,FA Fu Char,Char Char"/>
    <w:basedOn w:val="DefaultParagraphFont"/>
    <w:link w:val="FootnoteText"/>
    <w:uiPriority w:val="99"/>
    <w:rsid w:val="00F71FA3"/>
    <w:rPr>
      <w:sz w:val="20"/>
      <w:szCs w:val="20"/>
    </w:rPr>
  </w:style>
  <w:style w:type="character" w:styleId="FootnoteReference">
    <w:name w:val="footnote reference"/>
    <w:aliases w:val="Appel note de bas de page,Footnotes refss,Fago Fu?notenzeichen,Fago Fußnotenzeichen,Footnote number,Fago Fuﬂnotenzeichen,4_G"/>
    <w:basedOn w:val="DefaultParagraphFont"/>
    <w:uiPriority w:val="99"/>
    <w:unhideWhenUsed/>
    <w:rsid w:val="00F71FA3"/>
    <w:rPr>
      <w:vertAlign w:val="superscript"/>
    </w:rPr>
  </w:style>
  <w:style w:type="character" w:styleId="Hyperlink">
    <w:name w:val="Hyperlink"/>
    <w:basedOn w:val="DefaultParagraphFont"/>
    <w:uiPriority w:val="99"/>
    <w:unhideWhenUsed/>
    <w:rsid w:val="00F71FA3"/>
    <w:rPr>
      <w:color w:val="0563C1" w:themeColor="hyperlink"/>
      <w:u w:val="single"/>
    </w:rPr>
  </w:style>
  <w:style w:type="paragraph" w:styleId="NormalWeb">
    <w:name w:val="Normal (Web)"/>
    <w:basedOn w:val="Normal"/>
    <w:uiPriority w:val="99"/>
    <w:unhideWhenUsed/>
    <w:rsid w:val="002E1237"/>
    <w:pPr>
      <w:spacing w:before="100" w:beforeAutospacing="1" w:after="100" w:afterAutospacing="1" w:line="240" w:lineRule="auto"/>
    </w:pPr>
    <w:rPr>
      <w:rFonts w:ascii="Times New Roman" w:eastAsia="Times New Roman" w:hAnsi="Times New Roman" w:cs="Times New Roman"/>
      <w:szCs w:val="24"/>
      <w:lang w:eastAsia="en-CA"/>
    </w:rPr>
  </w:style>
  <w:style w:type="character" w:styleId="Emphasis">
    <w:name w:val="Emphasis"/>
    <w:basedOn w:val="DefaultParagraphFont"/>
    <w:uiPriority w:val="20"/>
    <w:qFormat/>
    <w:rsid w:val="002E1237"/>
    <w:rPr>
      <w:i/>
      <w:iCs/>
    </w:rPr>
  </w:style>
  <w:style w:type="character" w:styleId="FollowedHyperlink">
    <w:name w:val="FollowedHyperlink"/>
    <w:basedOn w:val="DefaultParagraphFont"/>
    <w:uiPriority w:val="99"/>
    <w:semiHidden/>
    <w:unhideWhenUsed/>
    <w:rsid w:val="006E3A61"/>
    <w:rPr>
      <w:color w:val="954F72" w:themeColor="followedHyperlink"/>
      <w:u w:val="single"/>
    </w:rPr>
  </w:style>
  <w:style w:type="character" w:styleId="Strong">
    <w:name w:val="Strong"/>
    <w:basedOn w:val="DefaultParagraphFont"/>
    <w:uiPriority w:val="22"/>
    <w:qFormat/>
    <w:rsid w:val="000A03AE"/>
    <w:rPr>
      <w:b/>
      <w:bCs/>
    </w:rPr>
  </w:style>
  <w:style w:type="character" w:customStyle="1" w:styleId="ListParagraphChar">
    <w:name w:val="List Paragraph Char"/>
    <w:aliases w:val="Recommendation Char,List Paragraph11 Char,L Char,CV text Char,Table text Char,F5 List Paragraph Char,Dot pt Char,Bullet 1 Char,Numbered Para 1 Char,No Spacing1 Char,List Paragraph Char Char Char Char,Indicator Text Char,BN 1 Char"/>
    <w:basedOn w:val="DefaultParagraphFont"/>
    <w:link w:val="ListParagraph"/>
    <w:uiPriority w:val="34"/>
    <w:qFormat/>
    <w:locked/>
    <w:rsid w:val="00BA4B73"/>
  </w:style>
  <w:style w:type="paragraph" w:styleId="BalloonText">
    <w:name w:val="Balloon Text"/>
    <w:basedOn w:val="Normal"/>
    <w:link w:val="BalloonTextChar"/>
    <w:uiPriority w:val="99"/>
    <w:semiHidden/>
    <w:unhideWhenUsed/>
    <w:rsid w:val="006F24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2431"/>
    <w:rPr>
      <w:rFonts w:ascii="Segoe UI" w:hAnsi="Segoe UI" w:cs="Segoe UI"/>
      <w:sz w:val="18"/>
      <w:szCs w:val="18"/>
    </w:rPr>
  </w:style>
  <w:style w:type="character" w:styleId="CommentReference">
    <w:name w:val="annotation reference"/>
    <w:basedOn w:val="DefaultParagraphFont"/>
    <w:uiPriority w:val="99"/>
    <w:semiHidden/>
    <w:unhideWhenUsed/>
    <w:rsid w:val="003A57BB"/>
    <w:rPr>
      <w:sz w:val="16"/>
      <w:szCs w:val="16"/>
    </w:rPr>
  </w:style>
  <w:style w:type="paragraph" w:styleId="CommentText">
    <w:name w:val="annotation text"/>
    <w:basedOn w:val="Normal"/>
    <w:link w:val="CommentTextChar"/>
    <w:uiPriority w:val="99"/>
    <w:unhideWhenUsed/>
    <w:rsid w:val="003A57BB"/>
    <w:pPr>
      <w:spacing w:line="240" w:lineRule="auto"/>
    </w:pPr>
    <w:rPr>
      <w:sz w:val="20"/>
      <w:szCs w:val="20"/>
    </w:rPr>
  </w:style>
  <w:style w:type="character" w:customStyle="1" w:styleId="CommentTextChar">
    <w:name w:val="Comment Text Char"/>
    <w:basedOn w:val="DefaultParagraphFont"/>
    <w:link w:val="CommentText"/>
    <w:uiPriority w:val="99"/>
    <w:rsid w:val="003A57BB"/>
    <w:rPr>
      <w:sz w:val="20"/>
      <w:szCs w:val="20"/>
    </w:rPr>
  </w:style>
  <w:style w:type="paragraph" w:styleId="CommentSubject">
    <w:name w:val="annotation subject"/>
    <w:basedOn w:val="CommentText"/>
    <w:next w:val="CommentText"/>
    <w:link w:val="CommentSubjectChar"/>
    <w:uiPriority w:val="99"/>
    <w:semiHidden/>
    <w:unhideWhenUsed/>
    <w:rsid w:val="003A57BB"/>
    <w:rPr>
      <w:b/>
      <w:bCs/>
    </w:rPr>
  </w:style>
  <w:style w:type="character" w:customStyle="1" w:styleId="CommentSubjectChar">
    <w:name w:val="Comment Subject Char"/>
    <w:basedOn w:val="CommentTextChar"/>
    <w:link w:val="CommentSubject"/>
    <w:uiPriority w:val="99"/>
    <w:semiHidden/>
    <w:rsid w:val="003A57BB"/>
    <w:rPr>
      <w:b/>
      <w:bCs/>
      <w:sz w:val="20"/>
      <w:szCs w:val="20"/>
    </w:rPr>
  </w:style>
  <w:style w:type="paragraph" w:styleId="Subtitle">
    <w:name w:val="Subtitle"/>
    <w:basedOn w:val="Normal"/>
    <w:next w:val="Normal"/>
    <w:link w:val="SubtitleChar"/>
    <w:uiPriority w:val="11"/>
    <w:qFormat/>
    <w:rsid w:val="003307D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307D8"/>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8F2070"/>
    <w:rPr>
      <w:rFonts w:ascii="Arial" w:hAnsi="Arial" w:cs="Arial"/>
      <w:b/>
      <w:bCs/>
      <w:sz w:val="32"/>
      <w:szCs w:val="32"/>
      <w:shd w:val="clear" w:color="auto" w:fill="8DB3E2"/>
    </w:rPr>
  </w:style>
  <w:style w:type="character" w:customStyle="1" w:styleId="Heading2Char">
    <w:name w:val="Heading 2 Char"/>
    <w:basedOn w:val="DefaultParagraphFont"/>
    <w:link w:val="Heading2"/>
    <w:uiPriority w:val="9"/>
    <w:rsid w:val="00C429D1"/>
    <w:rPr>
      <w:rFonts w:ascii="Arial" w:hAnsi="Arial" w:cs="Arial"/>
      <w:b/>
      <w:bCs/>
      <w:sz w:val="24"/>
      <w:szCs w:val="24"/>
      <w:lang w:val="en-US"/>
    </w:rPr>
  </w:style>
  <w:style w:type="character" w:customStyle="1" w:styleId="Heading3Char">
    <w:name w:val="Heading 3 Char"/>
    <w:basedOn w:val="DefaultParagraphFont"/>
    <w:link w:val="Heading3"/>
    <w:uiPriority w:val="9"/>
    <w:rsid w:val="00A60CBC"/>
    <w:rPr>
      <w:rFonts w:ascii="Arial" w:hAnsi="Arial"/>
      <w:sz w:val="24"/>
      <w:u w:val="single"/>
    </w:rPr>
  </w:style>
  <w:style w:type="character" w:customStyle="1" w:styleId="Heading4Char">
    <w:name w:val="Heading 4 Char"/>
    <w:basedOn w:val="DefaultParagraphFont"/>
    <w:link w:val="Heading4"/>
    <w:uiPriority w:val="9"/>
    <w:rsid w:val="00707AE2"/>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BF4461"/>
    <w:pPr>
      <w:outlineLvl w:val="9"/>
    </w:pPr>
    <w:rPr>
      <w:lang w:val="en-US"/>
    </w:rPr>
  </w:style>
  <w:style w:type="paragraph" w:styleId="TOC1">
    <w:name w:val="toc 1"/>
    <w:basedOn w:val="Normal"/>
    <w:next w:val="Normal"/>
    <w:autoRedefine/>
    <w:uiPriority w:val="39"/>
    <w:unhideWhenUsed/>
    <w:rsid w:val="00F00A13"/>
    <w:pPr>
      <w:tabs>
        <w:tab w:val="right" w:leader="dot" w:pos="9350"/>
      </w:tabs>
      <w:spacing w:after="100"/>
    </w:pPr>
    <w:rPr>
      <w:b/>
      <w:bCs/>
      <w:noProof/>
    </w:rPr>
  </w:style>
  <w:style w:type="paragraph" w:styleId="TOC2">
    <w:name w:val="toc 2"/>
    <w:basedOn w:val="Normal"/>
    <w:next w:val="Normal"/>
    <w:autoRedefine/>
    <w:uiPriority w:val="39"/>
    <w:unhideWhenUsed/>
    <w:rsid w:val="00BF4461"/>
    <w:pPr>
      <w:spacing w:after="100"/>
      <w:ind w:left="220"/>
    </w:pPr>
  </w:style>
  <w:style w:type="paragraph" w:styleId="TOC3">
    <w:name w:val="toc 3"/>
    <w:basedOn w:val="Normal"/>
    <w:next w:val="Normal"/>
    <w:autoRedefine/>
    <w:uiPriority w:val="39"/>
    <w:unhideWhenUsed/>
    <w:rsid w:val="00BF4461"/>
    <w:pPr>
      <w:spacing w:after="100"/>
      <w:ind w:left="440"/>
    </w:pPr>
  </w:style>
  <w:style w:type="paragraph" w:styleId="Header">
    <w:name w:val="header"/>
    <w:basedOn w:val="Normal"/>
    <w:link w:val="HeaderChar"/>
    <w:uiPriority w:val="99"/>
    <w:unhideWhenUsed/>
    <w:rsid w:val="004F45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5F9"/>
  </w:style>
  <w:style w:type="paragraph" w:styleId="Footer">
    <w:name w:val="footer"/>
    <w:basedOn w:val="Normal"/>
    <w:link w:val="FooterChar"/>
    <w:uiPriority w:val="99"/>
    <w:unhideWhenUsed/>
    <w:rsid w:val="004F45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5F9"/>
  </w:style>
  <w:style w:type="paragraph" w:styleId="Revision">
    <w:name w:val="Revision"/>
    <w:hidden/>
    <w:uiPriority w:val="99"/>
    <w:semiHidden/>
    <w:rsid w:val="00E013CF"/>
    <w:pPr>
      <w:spacing w:after="0" w:line="240" w:lineRule="auto"/>
    </w:pPr>
  </w:style>
  <w:style w:type="paragraph" w:customStyle="1" w:styleId="section">
    <w:name w:val="section"/>
    <w:basedOn w:val="Normal"/>
    <w:rsid w:val="00FB4B2E"/>
    <w:pPr>
      <w:spacing w:before="100" w:beforeAutospacing="1" w:after="100" w:afterAutospacing="1" w:line="240" w:lineRule="auto"/>
    </w:pPr>
    <w:rPr>
      <w:rFonts w:ascii="Times New Roman" w:hAnsi="Times New Roman" w:cs="Times New Roman"/>
      <w:szCs w:val="24"/>
      <w:lang w:eastAsia="en-CA"/>
    </w:rPr>
  </w:style>
  <w:style w:type="character" w:customStyle="1" w:styleId="sectionlabel">
    <w:name w:val="sectionlabel"/>
    <w:basedOn w:val="DefaultParagraphFont"/>
    <w:rsid w:val="00FB4B2E"/>
  </w:style>
  <w:style w:type="character" w:customStyle="1" w:styleId="lawlabel">
    <w:name w:val="lawlabel"/>
    <w:basedOn w:val="DefaultParagraphFont"/>
    <w:rsid w:val="00FB4B2E"/>
  </w:style>
  <w:style w:type="character" w:customStyle="1" w:styleId="Heading5Char">
    <w:name w:val="Heading 5 Char"/>
    <w:basedOn w:val="DefaultParagraphFont"/>
    <w:link w:val="Heading5"/>
    <w:uiPriority w:val="9"/>
    <w:rsid w:val="00671777"/>
    <w:rPr>
      <w:rFonts w:asciiTheme="majorHAnsi" w:eastAsiaTheme="majorEastAsia" w:hAnsiTheme="majorHAnsi" w:cstheme="majorBidi"/>
      <w:color w:val="2E74B5" w:themeColor="accent1" w:themeShade="BF"/>
    </w:rPr>
  </w:style>
  <w:style w:type="paragraph" w:customStyle="1" w:styleId="marginalnote">
    <w:name w:val="marginalnote"/>
    <w:basedOn w:val="Normal"/>
    <w:rsid w:val="00893AFF"/>
    <w:pPr>
      <w:spacing w:before="100" w:beforeAutospacing="1" w:after="100" w:afterAutospacing="1" w:line="240" w:lineRule="auto"/>
    </w:pPr>
    <w:rPr>
      <w:rFonts w:ascii="Times New Roman" w:eastAsia="Times New Roman" w:hAnsi="Times New Roman" w:cs="Times New Roman"/>
      <w:szCs w:val="24"/>
      <w:lang w:eastAsia="en-CA"/>
    </w:rPr>
  </w:style>
  <w:style w:type="paragraph" w:styleId="NoSpacing">
    <w:name w:val="No Spacing"/>
    <w:link w:val="NoSpacingChar"/>
    <w:uiPriority w:val="1"/>
    <w:qFormat/>
    <w:rsid w:val="003C5EE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5EE1"/>
    <w:rPr>
      <w:rFonts w:eastAsiaTheme="minorEastAsia"/>
      <w:lang w:val="en-US"/>
    </w:rPr>
  </w:style>
  <w:style w:type="table" w:styleId="TableGrid">
    <w:name w:val="Table Grid"/>
    <w:basedOn w:val="TableNormal"/>
    <w:uiPriority w:val="39"/>
    <w:rsid w:val="00D662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43B28"/>
  </w:style>
  <w:style w:type="character" w:styleId="UnresolvedMention">
    <w:name w:val="Unresolved Mention"/>
    <w:basedOn w:val="DefaultParagraphFont"/>
    <w:uiPriority w:val="99"/>
    <w:semiHidden/>
    <w:unhideWhenUsed/>
    <w:rsid w:val="00255E90"/>
    <w:rPr>
      <w:color w:val="605E5C"/>
      <w:shd w:val="clear" w:color="auto" w:fill="E1DFDD"/>
    </w:rPr>
  </w:style>
  <w:style w:type="paragraph" w:styleId="EndnoteText">
    <w:name w:val="endnote text"/>
    <w:basedOn w:val="Normal"/>
    <w:link w:val="EndnoteTextChar"/>
    <w:uiPriority w:val="99"/>
    <w:semiHidden/>
    <w:unhideWhenUsed/>
    <w:rsid w:val="007B58B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B58BD"/>
    <w:rPr>
      <w:rFonts w:ascii="Arial" w:hAnsi="Arial"/>
      <w:sz w:val="20"/>
      <w:szCs w:val="20"/>
    </w:rPr>
  </w:style>
  <w:style w:type="character" w:styleId="EndnoteReference">
    <w:name w:val="endnote reference"/>
    <w:basedOn w:val="DefaultParagraphFont"/>
    <w:uiPriority w:val="99"/>
    <w:semiHidden/>
    <w:unhideWhenUsed/>
    <w:rsid w:val="007B58BD"/>
    <w:rPr>
      <w:vertAlign w:val="superscript"/>
    </w:rPr>
  </w:style>
  <w:style w:type="character" w:customStyle="1" w:styleId="Heading7Char">
    <w:name w:val="Heading 7 Char"/>
    <w:basedOn w:val="DefaultParagraphFont"/>
    <w:link w:val="Heading7"/>
    <w:uiPriority w:val="9"/>
    <w:semiHidden/>
    <w:rsid w:val="009657FF"/>
    <w:rPr>
      <w:rFonts w:asciiTheme="majorHAnsi" w:eastAsiaTheme="majorEastAsia" w:hAnsiTheme="majorHAnsi" w:cstheme="majorBidi"/>
      <w:i/>
      <w:iCs/>
      <w:color w:val="1F4D78"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0707">
      <w:bodyDiv w:val="1"/>
      <w:marLeft w:val="0"/>
      <w:marRight w:val="0"/>
      <w:marTop w:val="0"/>
      <w:marBottom w:val="0"/>
      <w:divBdr>
        <w:top w:val="none" w:sz="0" w:space="0" w:color="auto"/>
        <w:left w:val="none" w:sz="0" w:space="0" w:color="auto"/>
        <w:bottom w:val="none" w:sz="0" w:space="0" w:color="auto"/>
        <w:right w:val="none" w:sz="0" w:space="0" w:color="auto"/>
      </w:divBdr>
    </w:div>
    <w:div w:id="39285267">
      <w:bodyDiv w:val="1"/>
      <w:marLeft w:val="0"/>
      <w:marRight w:val="0"/>
      <w:marTop w:val="0"/>
      <w:marBottom w:val="0"/>
      <w:divBdr>
        <w:top w:val="none" w:sz="0" w:space="0" w:color="auto"/>
        <w:left w:val="none" w:sz="0" w:space="0" w:color="auto"/>
        <w:bottom w:val="none" w:sz="0" w:space="0" w:color="auto"/>
        <w:right w:val="none" w:sz="0" w:space="0" w:color="auto"/>
      </w:divBdr>
    </w:div>
    <w:div w:id="48458735">
      <w:bodyDiv w:val="1"/>
      <w:marLeft w:val="0"/>
      <w:marRight w:val="0"/>
      <w:marTop w:val="0"/>
      <w:marBottom w:val="0"/>
      <w:divBdr>
        <w:top w:val="none" w:sz="0" w:space="0" w:color="auto"/>
        <w:left w:val="none" w:sz="0" w:space="0" w:color="auto"/>
        <w:bottom w:val="none" w:sz="0" w:space="0" w:color="auto"/>
        <w:right w:val="none" w:sz="0" w:space="0" w:color="auto"/>
      </w:divBdr>
    </w:div>
    <w:div w:id="55595263">
      <w:bodyDiv w:val="1"/>
      <w:marLeft w:val="0"/>
      <w:marRight w:val="0"/>
      <w:marTop w:val="0"/>
      <w:marBottom w:val="0"/>
      <w:divBdr>
        <w:top w:val="none" w:sz="0" w:space="0" w:color="auto"/>
        <w:left w:val="none" w:sz="0" w:space="0" w:color="auto"/>
        <w:bottom w:val="none" w:sz="0" w:space="0" w:color="auto"/>
        <w:right w:val="none" w:sz="0" w:space="0" w:color="auto"/>
      </w:divBdr>
    </w:div>
    <w:div w:id="60910195">
      <w:bodyDiv w:val="1"/>
      <w:marLeft w:val="0"/>
      <w:marRight w:val="0"/>
      <w:marTop w:val="0"/>
      <w:marBottom w:val="0"/>
      <w:divBdr>
        <w:top w:val="none" w:sz="0" w:space="0" w:color="auto"/>
        <w:left w:val="none" w:sz="0" w:space="0" w:color="auto"/>
        <w:bottom w:val="none" w:sz="0" w:space="0" w:color="auto"/>
        <w:right w:val="none" w:sz="0" w:space="0" w:color="auto"/>
      </w:divBdr>
    </w:div>
    <w:div w:id="73674608">
      <w:bodyDiv w:val="1"/>
      <w:marLeft w:val="0"/>
      <w:marRight w:val="0"/>
      <w:marTop w:val="0"/>
      <w:marBottom w:val="0"/>
      <w:divBdr>
        <w:top w:val="none" w:sz="0" w:space="0" w:color="auto"/>
        <w:left w:val="none" w:sz="0" w:space="0" w:color="auto"/>
        <w:bottom w:val="none" w:sz="0" w:space="0" w:color="auto"/>
        <w:right w:val="none" w:sz="0" w:space="0" w:color="auto"/>
      </w:divBdr>
    </w:div>
    <w:div w:id="75590680">
      <w:bodyDiv w:val="1"/>
      <w:marLeft w:val="0"/>
      <w:marRight w:val="0"/>
      <w:marTop w:val="0"/>
      <w:marBottom w:val="0"/>
      <w:divBdr>
        <w:top w:val="none" w:sz="0" w:space="0" w:color="auto"/>
        <w:left w:val="none" w:sz="0" w:space="0" w:color="auto"/>
        <w:bottom w:val="none" w:sz="0" w:space="0" w:color="auto"/>
        <w:right w:val="none" w:sz="0" w:space="0" w:color="auto"/>
      </w:divBdr>
    </w:div>
    <w:div w:id="78916278">
      <w:bodyDiv w:val="1"/>
      <w:marLeft w:val="0"/>
      <w:marRight w:val="0"/>
      <w:marTop w:val="0"/>
      <w:marBottom w:val="0"/>
      <w:divBdr>
        <w:top w:val="none" w:sz="0" w:space="0" w:color="auto"/>
        <w:left w:val="none" w:sz="0" w:space="0" w:color="auto"/>
        <w:bottom w:val="none" w:sz="0" w:space="0" w:color="auto"/>
        <w:right w:val="none" w:sz="0" w:space="0" w:color="auto"/>
      </w:divBdr>
    </w:div>
    <w:div w:id="83645961">
      <w:bodyDiv w:val="1"/>
      <w:marLeft w:val="0"/>
      <w:marRight w:val="0"/>
      <w:marTop w:val="0"/>
      <w:marBottom w:val="0"/>
      <w:divBdr>
        <w:top w:val="none" w:sz="0" w:space="0" w:color="auto"/>
        <w:left w:val="none" w:sz="0" w:space="0" w:color="auto"/>
        <w:bottom w:val="none" w:sz="0" w:space="0" w:color="auto"/>
        <w:right w:val="none" w:sz="0" w:space="0" w:color="auto"/>
      </w:divBdr>
    </w:div>
    <w:div w:id="93022200">
      <w:bodyDiv w:val="1"/>
      <w:marLeft w:val="0"/>
      <w:marRight w:val="0"/>
      <w:marTop w:val="0"/>
      <w:marBottom w:val="0"/>
      <w:divBdr>
        <w:top w:val="none" w:sz="0" w:space="0" w:color="auto"/>
        <w:left w:val="none" w:sz="0" w:space="0" w:color="auto"/>
        <w:bottom w:val="none" w:sz="0" w:space="0" w:color="auto"/>
        <w:right w:val="none" w:sz="0" w:space="0" w:color="auto"/>
      </w:divBdr>
    </w:div>
    <w:div w:id="97259551">
      <w:bodyDiv w:val="1"/>
      <w:marLeft w:val="0"/>
      <w:marRight w:val="0"/>
      <w:marTop w:val="0"/>
      <w:marBottom w:val="0"/>
      <w:divBdr>
        <w:top w:val="none" w:sz="0" w:space="0" w:color="auto"/>
        <w:left w:val="none" w:sz="0" w:space="0" w:color="auto"/>
        <w:bottom w:val="none" w:sz="0" w:space="0" w:color="auto"/>
        <w:right w:val="none" w:sz="0" w:space="0" w:color="auto"/>
      </w:divBdr>
    </w:div>
    <w:div w:id="100419426">
      <w:bodyDiv w:val="1"/>
      <w:marLeft w:val="0"/>
      <w:marRight w:val="0"/>
      <w:marTop w:val="0"/>
      <w:marBottom w:val="0"/>
      <w:divBdr>
        <w:top w:val="none" w:sz="0" w:space="0" w:color="auto"/>
        <w:left w:val="none" w:sz="0" w:space="0" w:color="auto"/>
        <w:bottom w:val="none" w:sz="0" w:space="0" w:color="auto"/>
        <w:right w:val="none" w:sz="0" w:space="0" w:color="auto"/>
      </w:divBdr>
    </w:div>
    <w:div w:id="104009095">
      <w:bodyDiv w:val="1"/>
      <w:marLeft w:val="0"/>
      <w:marRight w:val="0"/>
      <w:marTop w:val="0"/>
      <w:marBottom w:val="0"/>
      <w:divBdr>
        <w:top w:val="none" w:sz="0" w:space="0" w:color="auto"/>
        <w:left w:val="none" w:sz="0" w:space="0" w:color="auto"/>
        <w:bottom w:val="none" w:sz="0" w:space="0" w:color="auto"/>
        <w:right w:val="none" w:sz="0" w:space="0" w:color="auto"/>
      </w:divBdr>
    </w:div>
    <w:div w:id="105733530">
      <w:bodyDiv w:val="1"/>
      <w:marLeft w:val="0"/>
      <w:marRight w:val="0"/>
      <w:marTop w:val="0"/>
      <w:marBottom w:val="0"/>
      <w:divBdr>
        <w:top w:val="none" w:sz="0" w:space="0" w:color="auto"/>
        <w:left w:val="none" w:sz="0" w:space="0" w:color="auto"/>
        <w:bottom w:val="none" w:sz="0" w:space="0" w:color="auto"/>
        <w:right w:val="none" w:sz="0" w:space="0" w:color="auto"/>
      </w:divBdr>
    </w:div>
    <w:div w:id="106894359">
      <w:bodyDiv w:val="1"/>
      <w:marLeft w:val="0"/>
      <w:marRight w:val="0"/>
      <w:marTop w:val="0"/>
      <w:marBottom w:val="0"/>
      <w:divBdr>
        <w:top w:val="none" w:sz="0" w:space="0" w:color="auto"/>
        <w:left w:val="none" w:sz="0" w:space="0" w:color="auto"/>
        <w:bottom w:val="none" w:sz="0" w:space="0" w:color="auto"/>
        <w:right w:val="none" w:sz="0" w:space="0" w:color="auto"/>
      </w:divBdr>
    </w:div>
    <w:div w:id="108554930">
      <w:bodyDiv w:val="1"/>
      <w:marLeft w:val="0"/>
      <w:marRight w:val="0"/>
      <w:marTop w:val="0"/>
      <w:marBottom w:val="0"/>
      <w:divBdr>
        <w:top w:val="none" w:sz="0" w:space="0" w:color="auto"/>
        <w:left w:val="none" w:sz="0" w:space="0" w:color="auto"/>
        <w:bottom w:val="none" w:sz="0" w:space="0" w:color="auto"/>
        <w:right w:val="none" w:sz="0" w:space="0" w:color="auto"/>
      </w:divBdr>
    </w:div>
    <w:div w:id="123431643">
      <w:bodyDiv w:val="1"/>
      <w:marLeft w:val="0"/>
      <w:marRight w:val="0"/>
      <w:marTop w:val="0"/>
      <w:marBottom w:val="0"/>
      <w:divBdr>
        <w:top w:val="none" w:sz="0" w:space="0" w:color="auto"/>
        <w:left w:val="none" w:sz="0" w:space="0" w:color="auto"/>
        <w:bottom w:val="none" w:sz="0" w:space="0" w:color="auto"/>
        <w:right w:val="none" w:sz="0" w:space="0" w:color="auto"/>
      </w:divBdr>
    </w:div>
    <w:div w:id="179975550">
      <w:bodyDiv w:val="1"/>
      <w:marLeft w:val="0"/>
      <w:marRight w:val="0"/>
      <w:marTop w:val="0"/>
      <w:marBottom w:val="0"/>
      <w:divBdr>
        <w:top w:val="none" w:sz="0" w:space="0" w:color="auto"/>
        <w:left w:val="none" w:sz="0" w:space="0" w:color="auto"/>
        <w:bottom w:val="none" w:sz="0" w:space="0" w:color="auto"/>
        <w:right w:val="none" w:sz="0" w:space="0" w:color="auto"/>
      </w:divBdr>
    </w:div>
    <w:div w:id="203833488">
      <w:bodyDiv w:val="1"/>
      <w:marLeft w:val="0"/>
      <w:marRight w:val="0"/>
      <w:marTop w:val="0"/>
      <w:marBottom w:val="0"/>
      <w:divBdr>
        <w:top w:val="none" w:sz="0" w:space="0" w:color="auto"/>
        <w:left w:val="none" w:sz="0" w:space="0" w:color="auto"/>
        <w:bottom w:val="none" w:sz="0" w:space="0" w:color="auto"/>
        <w:right w:val="none" w:sz="0" w:space="0" w:color="auto"/>
      </w:divBdr>
    </w:div>
    <w:div w:id="212078238">
      <w:bodyDiv w:val="1"/>
      <w:marLeft w:val="0"/>
      <w:marRight w:val="0"/>
      <w:marTop w:val="0"/>
      <w:marBottom w:val="0"/>
      <w:divBdr>
        <w:top w:val="none" w:sz="0" w:space="0" w:color="auto"/>
        <w:left w:val="none" w:sz="0" w:space="0" w:color="auto"/>
        <w:bottom w:val="none" w:sz="0" w:space="0" w:color="auto"/>
        <w:right w:val="none" w:sz="0" w:space="0" w:color="auto"/>
      </w:divBdr>
    </w:div>
    <w:div w:id="215553898">
      <w:bodyDiv w:val="1"/>
      <w:marLeft w:val="0"/>
      <w:marRight w:val="0"/>
      <w:marTop w:val="0"/>
      <w:marBottom w:val="0"/>
      <w:divBdr>
        <w:top w:val="none" w:sz="0" w:space="0" w:color="auto"/>
        <w:left w:val="none" w:sz="0" w:space="0" w:color="auto"/>
        <w:bottom w:val="none" w:sz="0" w:space="0" w:color="auto"/>
        <w:right w:val="none" w:sz="0" w:space="0" w:color="auto"/>
      </w:divBdr>
    </w:div>
    <w:div w:id="223179199">
      <w:bodyDiv w:val="1"/>
      <w:marLeft w:val="0"/>
      <w:marRight w:val="0"/>
      <w:marTop w:val="0"/>
      <w:marBottom w:val="0"/>
      <w:divBdr>
        <w:top w:val="none" w:sz="0" w:space="0" w:color="auto"/>
        <w:left w:val="none" w:sz="0" w:space="0" w:color="auto"/>
        <w:bottom w:val="none" w:sz="0" w:space="0" w:color="auto"/>
        <w:right w:val="none" w:sz="0" w:space="0" w:color="auto"/>
      </w:divBdr>
    </w:div>
    <w:div w:id="236013657">
      <w:bodyDiv w:val="1"/>
      <w:marLeft w:val="0"/>
      <w:marRight w:val="0"/>
      <w:marTop w:val="0"/>
      <w:marBottom w:val="0"/>
      <w:divBdr>
        <w:top w:val="none" w:sz="0" w:space="0" w:color="auto"/>
        <w:left w:val="none" w:sz="0" w:space="0" w:color="auto"/>
        <w:bottom w:val="none" w:sz="0" w:space="0" w:color="auto"/>
        <w:right w:val="none" w:sz="0" w:space="0" w:color="auto"/>
      </w:divBdr>
    </w:div>
    <w:div w:id="244000016">
      <w:bodyDiv w:val="1"/>
      <w:marLeft w:val="0"/>
      <w:marRight w:val="0"/>
      <w:marTop w:val="0"/>
      <w:marBottom w:val="0"/>
      <w:divBdr>
        <w:top w:val="none" w:sz="0" w:space="0" w:color="auto"/>
        <w:left w:val="none" w:sz="0" w:space="0" w:color="auto"/>
        <w:bottom w:val="none" w:sz="0" w:space="0" w:color="auto"/>
        <w:right w:val="none" w:sz="0" w:space="0" w:color="auto"/>
      </w:divBdr>
    </w:div>
    <w:div w:id="244842691">
      <w:bodyDiv w:val="1"/>
      <w:marLeft w:val="0"/>
      <w:marRight w:val="0"/>
      <w:marTop w:val="0"/>
      <w:marBottom w:val="0"/>
      <w:divBdr>
        <w:top w:val="none" w:sz="0" w:space="0" w:color="auto"/>
        <w:left w:val="none" w:sz="0" w:space="0" w:color="auto"/>
        <w:bottom w:val="none" w:sz="0" w:space="0" w:color="auto"/>
        <w:right w:val="none" w:sz="0" w:space="0" w:color="auto"/>
      </w:divBdr>
    </w:div>
    <w:div w:id="250242470">
      <w:bodyDiv w:val="1"/>
      <w:marLeft w:val="0"/>
      <w:marRight w:val="0"/>
      <w:marTop w:val="0"/>
      <w:marBottom w:val="0"/>
      <w:divBdr>
        <w:top w:val="none" w:sz="0" w:space="0" w:color="auto"/>
        <w:left w:val="none" w:sz="0" w:space="0" w:color="auto"/>
        <w:bottom w:val="none" w:sz="0" w:space="0" w:color="auto"/>
        <w:right w:val="none" w:sz="0" w:space="0" w:color="auto"/>
      </w:divBdr>
    </w:div>
    <w:div w:id="264314442">
      <w:bodyDiv w:val="1"/>
      <w:marLeft w:val="0"/>
      <w:marRight w:val="0"/>
      <w:marTop w:val="0"/>
      <w:marBottom w:val="0"/>
      <w:divBdr>
        <w:top w:val="none" w:sz="0" w:space="0" w:color="auto"/>
        <w:left w:val="none" w:sz="0" w:space="0" w:color="auto"/>
        <w:bottom w:val="none" w:sz="0" w:space="0" w:color="auto"/>
        <w:right w:val="none" w:sz="0" w:space="0" w:color="auto"/>
      </w:divBdr>
    </w:div>
    <w:div w:id="273488094">
      <w:bodyDiv w:val="1"/>
      <w:marLeft w:val="0"/>
      <w:marRight w:val="0"/>
      <w:marTop w:val="0"/>
      <w:marBottom w:val="0"/>
      <w:divBdr>
        <w:top w:val="none" w:sz="0" w:space="0" w:color="auto"/>
        <w:left w:val="none" w:sz="0" w:space="0" w:color="auto"/>
        <w:bottom w:val="none" w:sz="0" w:space="0" w:color="auto"/>
        <w:right w:val="none" w:sz="0" w:space="0" w:color="auto"/>
      </w:divBdr>
    </w:div>
    <w:div w:id="296424069">
      <w:bodyDiv w:val="1"/>
      <w:marLeft w:val="0"/>
      <w:marRight w:val="0"/>
      <w:marTop w:val="0"/>
      <w:marBottom w:val="0"/>
      <w:divBdr>
        <w:top w:val="none" w:sz="0" w:space="0" w:color="auto"/>
        <w:left w:val="none" w:sz="0" w:space="0" w:color="auto"/>
        <w:bottom w:val="none" w:sz="0" w:space="0" w:color="auto"/>
        <w:right w:val="none" w:sz="0" w:space="0" w:color="auto"/>
      </w:divBdr>
    </w:div>
    <w:div w:id="301232862">
      <w:bodyDiv w:val="1"/>
      <w:marLeft w:val="0"/>
      <w:marRight w:val="0"/>
      <w:marTop w:val="0"/>
      <w:marBottom w:val="0"/>
      <w:divBdr>
        <w:top w:val="none" w:sz="0" w:space="0" w:color="auto"/>
        <w:left w:val="none" w:sz="0" w:space="0" w:color="auto"/>
        <w:bottom w:val="none" w:sz="0" w:space="0" w:color="auto"/>
        <w:right w:val="none" w:sz="0" w:space="0" w:color="auto"/>
      </w:divBdr>
    </w:div>
    <w:div w:id="302782379">
      <w:bodyDiv w:val="1"/>
      <w:marLeft w:val="0"/>
      <w:marRight w:val="0"/>
      <w:marTop w:val="0"/>
      <w:marBottom w:val="0"/>
      <w:divBdr>
        <w:top w:val="none" w:sz="0" w:space="0" w:color="auto"/>
        <w:left w:val="none" w:sz="0" w:space="0" w:color="auto"/>
        <w:bottom w:val="none" w:sz="0" w:space="0" w:color="auto"/>
        <w:right w:val="none" w:sz="0" w:space="0" w:color="auto"/>
      </w:divBdr>
    </w:div>
    <w:div w:id="304623881">
      <w:bodyDiv w:val="1"/>
      <w:marLeft w:val="0"/>
      <w:marRight w:val="0"/>
      <w:marTop w:val="0"/>
      <w:marBottom w:val="0"/>
      <w:divBdr>
        <w:top w:val="none" w:sz="0" w:space="0" w:color="auto"/>
        <w:left w:val="none" w:sz="0" w:space="0" w:color="auto"/>
        <w:bottom w:val="none" w:sz="0" w:space="0" w:color="auto"/>
        <w:right w:val="none" w:sz="0" w:space="0" w:color="auto"/>
      </w:divBdr>
    </w:div>
    <w:div w:id="336351794">
      <w:bodyDiv w:val="1"/>
      <w:marLeft w:val="0"/>
      <w:marRight w:val="0"/>
      <w:marTop w:val="0"/>
      <w:marBottom w:val="0"/>
      <w:divBdr>
        <w:top w:val="none" w:sz="0" w:space="0" w:color="auto"/>
        <w:left w:val="none" w:sz="0" w:space="0" w:color="auto"/>
        <w:bottom w:val="none" w:sz="0" w:space="0" w:color="auto"/>
        <w:right w:val="none" w:sz="0" w:space="0" w:color="auto"/>
      </w:divBdr>
      <w:divsChild>
        <w:div w:id="23484425">
          <w:marLeft w:val="0"/>
          <w:marRight w:val="0"/>
          <w:marTop w:val="0"/>
          <w:marBottom w:val="0"/>
          <w:divBdr>
            <w:top w:val="none" w:sz="0" w:space="0" w:color="auto"/>
            <w:left w:val="none" w:sz="0" w:space="0" w:color="auto"/>
            <w:bottom w:val="none" w:sz="0" w:space="0" w:color="auto"/>
            <w:right w:val="none" w:sz="0" w:space="0" w:color="auto"/>
          </w:divBdr>
          <w:divsChild>
            <w:div w:id="220794951">
              <w:marLeft w:val="0"/>
              <w:marRight w:val="0"/>
              <w:marTop w:val="0"/>
              <w:marBottom w:val="0"/>
              <w:divBdr>
                <w:top w:val="none" w:sz="0" w:space="0" w:color="auto"/>
                <w:left w:val="none" w:sz="0" w:space="0" w:color="auto"/>
                <w:bottom w:val="none" w:sz="0" w:space="0" w:color="auto"/>
                <w:right w:val="none" w:sz="0" w:space="0" w:color="auto"/>
              </w:divBdr>
            </w:div>
            <w:div w:id="259611391">
              <w:marLeft w:val="0"/>
              <w:marRight w:val="0"/>
              <w:marTop w:val="0"/>
              <w:marBottom w:val="0"/>
              <w:divBdr>
                <w:top w:val="none" w:sz="0" w:space="0" w:color="auto"/>
                <w:left w:val="none" w:sz="0" w:space="0" w:color="auto"/>
                <w:bottom w:val="none" w:sz="0" w:space="0" w:color="auto"/>
                <w:right w:val="none" w:sz="0" w:space="0" w:color="auto"/>
              </w:divBdr>
            </w:div>
            <w:div w:id="348726211">
              <w:marLeft w:val="0"/>
              <w:marRight w:val="0"/>
              <w:marTop w:val="0"/>
              <w:marBottom w:val="0"/>
              <w:divBdr>
                <w:top w:val="none" w:sz="0" w:space="0" w:color="auto"/>
                <w:left w:val="none" w:sz="0" w:space="0" w:color="auto"/>
                <w:bottom w:val="none" w:sz="0" w:space="0" w:color="auto"/>
                <w:right w:val="none" w:sz="0" w:space="0" w:color="auto"/>
              </w:divBdr>
            </w:div>
            <w:div w:id="714547243">
              <w:marLeft w:val="0"/>
              <w:marRight w:val="0"/>
              <w:marTop w:val="0"/>
              <w:marBottom w:val="0"/>
              <w:divBdr>
                <w:top w:val="none" w:sz="0" w:space="0" w:color="auto"/>
                <w:left w:val="none" w:sz="0" w:space="0" w:color="auto"/>
                <w:bottom w:val="none" w:sz="0" w:space="0" w:color="auto"/>
                <w:right w:val="none" w:sz="0" w:space="0" w:color="auto"/>
              </w:divBdr>
            </w:div>
            <w:div w:id="805469337">
              <w:marLeft w:val="0"/>
              <w:marRight w:val="0"/>
              <w:marTop w:val="0"/>
              <w:marBottom w:val="0"/>
              <w:divBdr>
                <w:top w:val="none" w:sz="0" w:space="0" w:color="auto"/>
                <w:left w:val="none" w:sz="0" w:space="0" w:color="auto"/>
                <w:bottom w:val="none" w:sz="0" w:space="0" w:color="auto"/>
                <w:right w:val="none" w:sz="0" w:space="0" w:color="auto"/>
              </w:divBdr>
            </w:div>
          </w:divsChild>
        </w:div>
        <w:div w:id="51930075">
          <w:marLeft w:val="0"/>
          <w:marRight w:val="0"/>
          <w:marTop w:val="0"/>
          <w:marBottom w:val="0"/>
          <w:divBdr>
            <w:top w:val="none" w:sz="0" w:space="0" w:color="auto"/>
            <w:left w:val="none" w:sz="0" w:space="0" w:color="auto"/>
            <w:bottom w:val="none" w:sz="0" w:space="0" w:color="auto"/>
            <w:right w:val="none" w:sz="0" w:space="0" w:color="auto"/>
          </w:divBdr>
          <w:divsChild>
            <w:div w:id="259073534">
              <w:marLeft w:val="0"/>
              <w:marRight w:val="0"/>
              <w:marTop w:val="0"/>
              <w:marBottom w:val="0"/>
              <w:divBdr>
                <w:top w:val="none" w:sz="0" w:space="0" w:color="auto"/>
                <w:left w:val="none" w:sz="0" w:space="0" w:color="auto"/>
                <w:bottom w:val="none" w:sz="0" w:space="0" w:color="auto"/>
                <w:right w:val="none" w:sz="0" w:space="0" w:color="auto"/>
              </w:divBdr>
            </w:div>
            <w:div w:id="678890305">
              <w:marLeft w:val="0"/>
              <w:marRight w:val="0"/>
              <w:marTop w:val="0"/>
              <w:marBottom w:val="0"/>
              <w:divBdr>
                <w:top w:val="none" w:sz="0" w:space="0" w:color="auto"/>
                <w:left w:val="none" w:sz="0" w:space="0" w:color="auto"/>
                <w:bottom w:val="none" w:sz="0" w:space="0" w:color="auto"/>
                <w:right w:val="none" w:sz="0" w:space="0" w:color="auto"/>
              </w:divBdr>
            </w:div>
            <w:div w:id="891963672">
              <w:marLeft w:val="0"/>
              <w:marRight w:val="0"/>
              <w:marTop w:val="0"/>
              <w:marBottom w:val="0"/>
              <w:divBdr>
                <w:top w:val="none" w:sz="0" w:space="0" w:color="auto"/>
                <w:left w:val="none" w:sz="0" w:space="0" w:color="auto"/>
                <w:bottom w:val="none" w:sz="0" w:space="0" w:color="auto"/>
                <w:right w:val="none" w:sz="0" w:space="0" w:color="auto"/>
              </w:divBdr>
            </w:div>
            <w:div w:id="1006131452">
              <w:marLeft w:val="0"/>
              <w:marRight w:val="0"/>
              <w:marTop w:val="0"/>
              <w:marBottom w:val="0"/>
              <w:divBdr>
                <w:top w:val="none" w:sz="0" w:space="0" w:color="auto"/>
                <w:left w:val="none" w:sz="0" w:space="0" w:color="auto"/>
                <w:bottom w:val="none" w:sz="0" w:space="0" w:color="auto"/>
                <w:right w:val="none" w:sz="0" w:space="0" w:color="auto"/>
              </w:divBdr>
            </w:div>
            <w:div w:id="1709253342">
              <w:marLeft w:val="0"/>
              <w:marRight w:val="0"/>
              <w:marTop w:val="0"/>
              <w:marBottom w:val="0"/>
              <w:divBdr>
                <w:top w:val="none" w:sz="0" w:space="0" w:color="auto"/>
                <w:left w:val="none" w:sz="0" w:space="0" w:color="auto"/>
                <w:bottom w:val="none" w:sz="0" w:space="0" w:color="auto"/>
                <w:right w:val="none" w:sz="0" w:space="0" w:color="auto"/>
              </w:divBdr>
            </w:div>
          </w:divsChild>
        </w:div>
        <w:div w:id="138810534">
          <w:marLeft w:val="0"/>
          <w:marRight w:val="0"/>
          <w:marTop w:val="0"/>
          <w:marBottom w:val="0"/>
          <w:divBdr>
            <w:top w:val="none" w:sz="0" w:space="0" w:color="auto"/>
            <w:left w:val="none" w:sz="0" w:space="0" w:color="auto"/>
            <w:bottom w:val="none" w:sz="0" w:space="0" w:color="auto"/>
            <w:right w:val="none" w:sz="0" w:space="0" w:color="auto"/>
          </w:divBdr>
        </w:div>
        <w:div w:id="144929996">
          <w:marLeft w:val="0"/>
          <w:marRight w:val="0"/>
          <w:marTop w:val="0"/>
          <w:marBottom w:val="0"/>
          <w:divBdr>
            <w:top w:val="none" w:sz="0" w:space="0" w:color="auto"/>
            <w:left w:val="none" w:sz="0" w:space="0" w:color="auto"/>
            <w:bottom w:val="none" w:sz="0" w:space="0" w:color="auto"/>
            <w:right w:val="none" w:sz="0" w:space="0" w:color="auto"/>
          </w:divBdr>
        </w:div>
        <w:div w:id="195849939">
          <w:marLeft w:val="0"/>
          <w:marRight w:val="0"/>
          <w:marTop w:val="0"/>
          <w:marBottom w:val="0"/>
          <w:divBdr>
            <w:top w:val="none" w:sz="0" w:space="0" w:color="auto"/>
            <w:left w:val="none" w:sz="0" w:space="0" w:color="auto"/>
            <w:bottom w:val="none" w:sz="0" w:space="0" w:color="auto"/>
            <w:right w:val="none" w:sz="0" w:space="0" w:color="auto"/>
          </w:divBdr>
        </w:div>
        <w:div w:id="260458788">
          <w:marLeft w:val="0"/>
          <w:marRight w:val="0"/>
          <w:marTop w:val="0"/>
          <w:marBottom w:val="0"/>
          <w:divBdr>
            <w:top w:val="none" w:sz="0" w:space="0" w:color="auto"/>
            <w:left w:val="none" w:sz="0" w:space="0" w:color="auto"/>
            <w:bottom w:val="none" w:sz="0" w:space="0" w:color="auto"/>
            <w:right w:val="none" w:sz="0" w:space="0" w:color="auto"/>
          </w:divBdr>
        </w:div>
        <w:div w:id="299967135">
          <w:marLeft w:val="0"/>
          <w:marRight w:val="0"/>
          <w:marTop w:val="0"/>
          <w:marBottom w:val="0"/>
          <w:divBdr>
            <w:top w:val="none" w:sz="0" w:space="0" w:color="auto"/>
            <w:left w:val="none" w:sz="0" w:space="0" w:color="auto"/>
            <w:bottom w:val="none" w:sz="0" w:space="0" w:color="auto"/>
            <w:right w:val="none" w:sz="0" w:space="0" w:color="auto"/>
          </w:divBdr>
        </w:div>
        <w:div w:id="438306514">
          <w:marLeft w:val="0"/>
          <w:marRight w:val="0"/>
          <w:marTop w:val="0"/>
          <w:marBottom w:val="0"/>
          <w:divBdr>
            <w:top w:val="none" w:sz="0" w:space="0" w:color="auto"/>
            <w:left w:val="none" w:sz="0" w:space="0" w:color="auto"/>
            <w:bottom w:val="none" w:sz="0" w:space="0" w:color="auto"/>
            <w:right w:val="none" w:sz="0" w:space="0" w:color="auto"/>
          </w:divBdr>
          <w:divsChild>
            <w:div w:id="292757767">
              <w:marLeft w:val="0"/>
              <w:marRight w:val="0"/>
              <w:marTop w:val="0"/>
              <w:marBottom w:val="0"/>
              <w:divBdr>
                <w:top w:val="none" w:sz="0" w:space="0" w:color="auto"/>
                <w:left w:val="none" w:sz="0" w:space="0" w:color="auto"/>
                <w:bottom w:val="none" w:sz="0" w:space="0" w:color="auto"/>
                <w:right w:val="none" w:sz="0" w:space="0" w:color="auto"/>
              </w:divBdr>
            </w:div>
            <w:div w:id="348682656">
              <w:marLeft w:val="0"/>
              <w:marRight w:val="0"/>
              <w:marTop w:val="0"/>
              <w:marBottom w:val="0"/>
              <w:divBdr>
                <w:top w:val="none" w:sz="0" w:space="0" w:color="auto"/>
                <w:left w:val="none" w:sz="0" w:space="0" w:color="auto"/>
                <w:bottom w:val="none" w:sz="0" w:space="0" w:color="auto"/>
                <w:right w:val="none" w:sz="0" w:space="0" w:color="auto"/>
              </w:divBdr>
            </w:div>
            <w:div w:id="590432151">
              <w:marLeft w:val="0"/>
              <w:marRight w:val="0"/>
              <w:marTop w:val="0"/>
              <w:marBottom w:val="0"/>
              <w:divBdr>
                <w:top w:val="none" w:sz="0" w:space="0" w:color="auto"/>
                <w:left w:val="none" w:sz="0" w:space="0" w:color="auto"/>
                <w:bottom w:val="none" w:sz="0" w:space="0" w:color="auto"/>
                <w:right w:val="none" w:sz="0" w:space="0" w:color="auto"/>
              </w:divBdr>
            </w:div>
            <w:div w:id="1188368523">
              <w:marLeft w:val="0"/>
              <w:marRight w:val="0"/>
              <w:marTop w:val="0"/>
              <w:marBottom w:val="0"/>
              <w:divBdr>
                <w:top w:val="none" w:sz="0" w:space="0" w:color="auto"/>
                <w:left w:val="none" w:sz="0" w:space="0" w:color="auto"/>
                <w:bottom w:val="none" w:sz="0" w:space="0" w:color="auto"/>
                <w:right w:val="none" w:sz="0" w:space="0" w:color="auto"/>
              </w:divBdr>
            </w:div>
            <w:div w:id="1386687159">
              <w:marLeft w:val="0"/>
              <w:marRight w:val="0"/>
              <w:marTop w:val="0"/>
              <w:marBottom w:val="0"/>
              <w:divBdr>
                <w:top w:val="none" w:sz="0" w:space="0" w:color="auto"/>
                <w:left w:val="none" w:sz="0" w:space="0" w:color="auto"/>
                <w:bottom w:val="none" w:sz="0" w:space="0" w:color="auto"/>
                <w:right w:val="none" w:sz="0" w:space="0" w:color="auto"/>
              </w:divBdr>
            </w:div>
          </w:divsChild>
        </w:div>
        <w:div w:id="491719683">
          <w:marLeft w:val="0"/>
          <w:marRight w:val="0"/>
          <w:marTop w:val="0"/>
          <w:marBottom w:val="0"/>
          <w:divBdr>
            <w:top w:val="none" w:sz="0" w:space="0" w:color="auto"/>
            <w:left w:val="none" w:sz="0" w:space="0" w:color="auto"/>
            <w:bottom w:val="none" w:sz="0" w:space="0" w:color="auto"/>
            <w:right w:val="none" w:sz="0" w:space="0" w:color="auto"/>
          </w:divBdr>
        </w:div>
        <w:div w:id="578100135">
          <w:marLeft w:val="0"/>
          <w:marRight w:val="0"/>
          <w:marTop w:val="0"/>
          <w:marBottom w:val="0"/>
          <w:divBdr>
            <w:top w:val="none" w:sz="0" w:space="0" w:color="auto"/>
            <w:left w:val="none" w:sz="0" w:space="0" w:color="auto"/>
            <w:bottom w:val="none" w:sz="0" w:space="0" w:color="auto"/>
            <w:right w:val="none" w:sz="0" w:space="0" w:color="auto"/>
          </w:divBdr>
        </w:div>
        <w:div w:id="619730211">
          <w:marLeft w:val="0"/>
          <w:marRight w:val="0"/>
          <w:marTop w:val="0"/>
          <w:marBottom w:val="0"/>
          <w:divBdr>
            <w:top w:val="none" w:sz="0" w:space="0" w:color="auto"/>
            <w:left w:val="none" w:sz="0" w:space="0" w:color="auto"/>
            <w:bottom w:val="none" w:sz="0" w:space="0" w:color="auto"/>
            <w:right w:val="none" w:sz="0" w:space="0" w:color="auto"/>
          </w:divBdr>
        </w:div>
        <w:div w:id="692270994">
          <w:marLeft w:val="0"/>
          <w:marRight w:val="0"/>
          <w:marTop w:val="0"/>
          <w:marBottom w:val="0"/>
          <w:divBdr>
            <w:top w:val="none" w:sz="0" w:space="0" w:color="auto"/>
            <w:left w:val="none" w:sz="0" w:space="0" w:color="auto"/>
            <w:bottom w:val="none" w:sz="0" w:space="0" w:color="auto"/>
            <w:right w:val="none" w:sz="0" w:space="0" w:color="auto"/>
          </w:divBdr>
        </w:div>
        <w:div w:id="772482782">
          <w:marLeft w:val="0"/>
          <w:marRight w:val="0"/>
          <w:marTop w:val="0"/>
          <w:marBottom w:val="0"/>
          <w:divBdr>
            <w:top w:val="none" w:sz="0" w:space="0" w:color="auto"/>
            <w:left w:val="none" w:sz="0" w:space="0" w:color="auto"/>
            <w:bottom w:val="none" w:sz="0" w:space="0" w:color="auto"/>
            <w:right w:val="none" w:sz="0" w:space="0" w:color="auto"/>
          </w:divBdr>
        </w:div>
        <w:div w:id="774324584">
          <w:marLeft w:val="0"/>
          <w:marRight w:val="0"/>
          <w:marTop w:val="0"/>
          <w:marBottom w:val="0"/>
          <w:divBdr>
            <w:top w:val="none" w:sz="0" w:space="0" w:color="auto"/>
            <w:left w:val="none" w:sz="0" w:space="0" w:color="auto"/>
            <w:bottom w:val="none" w:sz="0" w:space="0" w:color="auto"/>
            <w:right w:val="none" w:sz="0" w:space="0" w:color="auto"/>
          </w:divBdr>
        </w:div>
        <w:div w:id="795216624">
          <w:marLeft w:val="0"/>
          <w:marRight w:val="0"/>
          <w:marTop w:val="0"/>
          <w:marBottom w:val="0"/>
          <w:divBdr>
            <w:top w:val="none" w:sz="0" w:space="0" w:color="auto"/>
            <w:left w:val="none" w:sz="0" w:space="0" w:color="auto"/>
            <w:bottom w:val="none" w:sz="0" w:space="0" w:color="auto"/>
            <w:right w:val="none" w:sz="0" w:space="0" w:color="auto"/>
          </w:divBdr>
        </w:div>
        <w:div w:id="818769399">
          <w:marLeft w:val="0"/>
          <w:marRight w:val="0"/>
          <w:marTop w:val="0"/>
          <w:marBottom w:val="0"/>
          <w:divBdr>
            <w:top w:val="none" w:sz="0" w:space="0" w:color="auto"/>
            <w:left w:val="none" w:sz="0" w:space="0" w:color="auto"/>
            <w:bottom w:val="none" w:sz="0" w:space="0" w:color="auto"/>
            <w:right w:val="none" w:sz="0" w:space="0" w:color="auto"/>
          </w:divBdr>
        </w:div>
        <w:div w:id="882248916">
          <w:marLeft w:val="0"/>
          <w:marRight w:val="0"/>
          <w:marTop w:val="0"/>
          <w:marBottom w:val="0"/>
          <w:divBdr>
            <w:top w:val="none" w:sz="0" w:space="0" w:color="auto"/>
            <w:left w:val="none" w:sz="0" w:space="0" w:color="auto"/>
            <w:bottom w:val="none" w:sz="0" w:space="0" w:color="auto"/>
            <w:right w:val="none" w:sz="0" w:space="0" w:color="auto"/>
          </w:divBdr>
          <w:divsChild>
            <w:div w:id="609776029">
              <w:marLeft w:val="0"/>
              <w:marRight w:val="0"/>
              <w:marTop w:val="0"/>
              <w:marBottom w:val="0"/>
              <w:divBdr>
                <w:top w:val="none" w:sz="0" w:space="0" w:color="auto"/>
                <w:left w:val="none" w:sz="0" w:space="0" w:color="auto"/>
                <w:bottom w:val="none" w:sz="0" w:space="0" w:color="auto"/>
                <w:right w:val="none" w:sz="0" w:space="0" w:color="auto"/>
              </w:divBdr>
            </w:div>
          </w:divsChild>
        </w:div>
        <w:div w:id="928126377">
          <w:marLeft w:val="0"/>
          <w:marRight w:val="0"/>
          <w:marTop w:val="0"/>
          <w:marBottom w:val="0"/>
          <w:divBdr>
            <w:top w:val="none" w:sz="0" w:space="0" w:color="auto"/>
            <w:left w:val="none" w:sz="0" w:space="0" w:color="auto"/>
            <w:bottom w:val="none" w:sz="0" w:space="0" w:color="auto"/>
            <w:right w:val="none" w:sz="0" w:space="0" w:color="auto"/>
          </w:divBdr>
        </w:div>
        <w:div w:id="1080521318">
          <w:marLeft w:val="0"/>
          <w:marRight w:val="0"/>
          <w:marTop w:val="0"/>
          <w:marBottom w:val="0"/>
          <w:divBdr>
            <w:top w:val="none" w:sz="0" w:space="0" w:color="auto"/>
            <w:left w:val="none" w:sz="0" w:space="0" w:color="auto"/>
            <w:bottom w:val="none" w:sz="0" w:space="0" w:color="auto"/>
            <w:right w:val="none" w:sz="0" w:space="0" w:color="auto"/>
          </w:divBdr>
        </w:div>
        <w:div w:id="1107889890">
          <w:marLeft w:val="0"/>
          <w:marRight w:val="0"/>
          <w:marTop w:val="0"/>
          <w:marBottom w:val="0"/>
          <w:divBdr>
            <w:top w:val="none" w:sz="0" w:space="0" w:color="auto"/>
            <w:left w:val="none" w:sz="0" w:space="0" w:color="auto"/>
            <w:bottom w:val="none" w:sz="0" w:space="0" w:color="auto"/>
            <w:right w:val="none" w:sz="0" w:space="0" w:color="auto"/>
          </w:divBdr>
        </w:div>
        <w:div w:id="1252738882">
          <w:marLeft w:val="0"/>
          <w:marRight w:val="0"/>
          <w:marTop w:val="0"/>
          <w:marBottom w:val="0"/>
          <w:divBdr>
            <w:top w:val="none" w:sz="0" w:space="0" w:color="auto"/>
            <w:left w:val="none" w:sz="0" w:space="0" w:color="auto"/>
            <w:bottom w:val="none" w:sz="0" w:space="0" w:color="auto"/>
            <w:right w:val="none" w:sz="0" w:space="0" w:color="auto"/>
          </w:divBdr>
          <w:divsChild>
            <w:div w:id="469909186">
              <w:marLeft w:val="0"/>
              <w:marRight w:val="0"/>
              <w:marTop w:val="0"/>
              <w:marBottom w:val="0"/>
              <w:divBdr>
                <w:top w:val="none" w:sz="0" w:space="0" w:color="auto"/>
                <w:left w:val="none" w:sz="0" w:space="0" w:color="auto"/>
                <w:bottom w:val="none" w:sz="0" w:space="0" w:color="auto"/>
                <w:right w:val="none" w:sz="0" w:space="0" w:color="auto"/>
              </w:divBdr>
            </w:div>
            <w:div w:id="782115628">
              <w:marLeft w:val="0"/>
              <w:marRight w:val="0"/>
              <w:marTop w:val="0"/>
              <w:marBottom w:val="0"/>
              <w:divBdr>
                <w:top w:val="none" w:sz="0" w:space="0" w:color="auto"/>
                <w:left w:val="none" w:sz="0" w:space="0" w:color="auto"/>
                <w:bottom w:val="none" w:sz="0" w:space="0" w:color="auto"/>
                <w:right w:val="none" w:sz="0" w:space="0" w:color="auto"/>
              </w:divBdr>
            </w:div>
            <w:div w:id="1379014501">
              <w:marLeft w:val="0"/>
              <w:marRight w:val="0"/>
              <w:marTop w:val="0"/>
              <w:marBottom w:val="0"/>
              <w:divBdr>
                <w:top w:val="none" w:sz="0" w:space="0" w:color="auto"/>
                <w:left w:val="none" w:sz="0" w:space="0" w:color="auto"/>
                <w:bottom w:val="none" w:sz="0" w:space="0" w:color="auto"/>
                <w:right w:val="none" w:sz="0" w:space="0" w:color="auto"/>
              </w:divBdr>
            </w:div>
            <w:div w:id="1400404211">
              <w:marLeft w:val="0"/>
              <w:marRight w:val="0"/>
              <w:marTop w:val="0"/>
              <w:marBottom w:val="0"/>
              <w:divBdr>
                <w:top w:val="none" w:sz="0" w:space="0" w:color="auto"/>
                <w:left w:val="none" w:sz="0" w:space="0" w:color="auto"/>
                <w:bottom w:val="none" w:sz="0" w:space="0" w:color="auto"/>
                <w:right w:val="none" w:sz="0" w:space="0" w:color="auto"/>
              </w:divBdr>
            </w:div>
            <w:div w:id="1596474441">
              <w:marLeft w:val="0"/>
              <w:marRight w:val="0"/>
              <w:marTop w:val="0"/>
              <w:marBottom w:val="0"/>
              <w:divBdr>
                <w:top w:val="none" w:sz="0" w:space="0" w:color="auto"/>
                <w:left w:val="none" w:sz="0" w:space="0" w:color="auto"/>
                <w:bottom w:val="none" w:sz="0" w:space="0" w:color="auto"/>
                <w:right w:val="none" w:sz="0" w:space="0" w:color="auto"/>
              </w:divBdr>
            </w:div>
          </w:divsChild>
        </w:div>
        <w:div w:id="1339229539">
          <w:marLeft w:val="0"/>
          <w:marRight w:val="0"/>
          <w:marTop w:val="0"/>
          <w:marBottom w:val="0"/>
          <w:divBdr>
            <w:top w:val="none" w:sz="0" w:space="0" w:color="auto"/>
            <w:left w:val="none" w:sz="0" w:space="0" w:color="auto"/>
            <w:bottom w:val="none" w:sz="0" w:space="0" w:color="auto"/>
            <w:right w:val="none" w:sz="0" w:space="0" w:color="auto"/>
          </w:divBdr>
        </w:div>
        <w:div w:id="1356687378">
          <w:marLeft w:val="0"/>
          <w:marRight w:val="0"/>
          <w:marTop w:val="0"/>
          <w:marBottom w:val="0"/>
          <w:divBdr>
            <w:top w:val="none" w:sz="0" w:space="0" w:color="auto"/>
            <w:left w:val="none" w:sz="0" w:space="0" w:color="auto"/>
            <w:bottom w:val="none" w:sz="0" w:space="0" w:color="auto"/>
            <w:right w:val="none" w:sz="0" w:space="0" w:color="auto"/>
          </w:divBdr>
        </w:div>
        <w:div w:id="1387680072">
          <w:marLeft w:val="0"/>
          <w:marRight w:val="0"/>
          <w:marTop w:val="0"/>
          <w:marBottom w:val="0"/>
          <w:divBdr>
            <w:top w:val="none" w:sz="0" w:space="0" w:color="auto"/>
            <w:left w:val="none" w:sz="0" w:space="0" w:color="auto"/>
            <w:bottom w:val="none" w:sz="0" w:space="0" w:color="auto"/>
            <w:right w:val="none" w:sz="0" w:space="0" w:color="auto"/>
          </w:divBdr>
        </w:div>
        <w:div w:id="1394893078">
          <w:marLeft w:val="0"/>
          <w:marRight w:val="0"/>
          <w:marTop w:val="0"/>
          <w:marBottom w:val="0"/>
          <w:divBdr>
            <w:top w:val="none" w:sz="0" w:space="0" w:color="auto"/>
            <w:left w:val="none" w:sz="0" w:space="0" w:color="auto"/>
            <w:bottom w:val="none" w:sz="0" w:space="0" w:color="auto"/>
            <w:right w:val="none" w:sz="0" w:space="0" w:color="auto"/>
          </w:divBdr>
        </w:div>
        <w:div w:id="1477188234">
          <w:marLeft w:val="0"/>
          <w:marRight w:val="0"/>
          <w:marTop w:val="0"/>
          <w:marBottom w:val="0"/>
          <w:divBdr>
            <w:top w:val="none" w:sz="0" w:space="0" w:color="auto"/>
            <w:left w:val="none" w:sz="0" w:space="0" w:color="auto"/>
            <w:bottom w:val="none" w:sz="0" w:space="0" w:color="auto"/>
            <w:right w:val="none" w:sz="0" w:space="0" w:color="auto"/>
          </w:divBdr>
        </w:div>
        <w:div w:id="1506674297">
          <w:marLeft w:val="0"/>
          <w:marRight w:val="0"/>
          <w:marTop w:val="0"/>
          <w:marBottom w:val="0"/>
          <w:divBdr>
            <w:top w:val="none" w:sz="0" w:space="0" w:color="auto"/>
            <w:left w:val="none" w:sz="0" w:space="0" w:color="auto"/>
            <w:bottom w:val="none" w:sz="0" w:space="0" w:color="auto"/>
            <w:right w:val="none" w:sz="0" w:space="0" w:color="auto"/>
          </w:divBdr>
        </w:div>
        <w:div w:id="1547449441">
          <w:marLeft w:val="0"/>
          <w:marRight w:val="0"/>
          <w:marTop w:val="0"/>
          <w:marBottom w:val="0"/>
          <w:divBdr>
            <w:top w:val="none" w:sz="0" w:space="0" w:color="auto"/>
            <w:left w:val="none" w:sz="0" w:space="0" w:color="auto"/>
            <w:bottom w:val="none" w:sz="0" w:space="0" w:color="auto"/>
            <w:right w:val="none" w:sz="0" w:space="0" w:color="auto"/>
          </w:divBdr>
        </w:div>
        <w:div w:id="1707365297">
          <w:marLeft w:val="0"/>
          <w:marRight w:val="0"/>
          <w:marTop w:val="0"/>
          <w:marBottom w:val="0"/>
          <w:divBdr>
            <w:top w:val="none" w:sz="0" w:space="0" w:color="auto"/>
            <w:left w:val="none" w:sz="0" w:space="0" w:color="auto"/>
            <w:bottom w:val="none" w:sz="0" w:space="0" w:color="auto"/>
            <w:right w:val="none" w:sz="0" w:space="0" w:color="auto"/>
          </w:divBdr>
        </w:div>
        <w:div w:id="1728605762">
          <w:marLeft w:val="0"/>
          <w:marRight w:val="0"/>
          <w:marTop w:val="0"/>
          <w:marBottom w:val="0"/>
          <w:divBdr>
            <w:top w:val="none" w:sz="0" w:space="0" w:color="auto"/>
            <w:left w:val="none" w:sz="0" w:space="0" w:color="auto"/>
            <w:bottom w:val="none" w:sz="0" w:space="0" w:color="auto"/>
            <w:right w:val="none" w:sz="0" w:space="0" w:color="auto"/>
          </w:divBdr>
        </w:div>
        <w:div w:id="1769276709">
          <w:marLeft w:val="0"/>
          <w:marRight w:val="0"/>
          <w:marTop w:val="0"/>
          <w:marBottom w:val="0"/>
          <w:divBdr>
            <w:top w:val="none" w:sz="0" w:space="0" w:color="auto"/>
            <w:left w:val="none" w:sz="0" w:space="0" w:color="auto"/>
            <w:bottom w:val="none" w:sz="0" w:space="0" w:color="auto"/>
            <w:right w:val="none" w:sz="0" w:space="0" w:color="auto"/>
          </w:divBdr>
          <w:divsChild>
            <w:div w:id="276303539">
              <w:marLeft w:val="0"/>
              <w:marRight w:val="0"/>
              <w:marTop w:val="0"/>
              <w:marBottom w:val="0"/>
              <w:divBdr>
                <w:top w:val="none" w:sz="0" w:space="0" w:color="auto"/>
                <w:left w:val="none" w:sz="0" w:space="0" w:color="auto"/>
                <w:bottom w:val="none" w:sz="0" w:space="0" w:color="auto"/>
                <w:right w:val="none" w:sz="0" w:space="0" w:color="auto"/>
              </w:divBdr>
            </w:div>
            <w:div w:id="438988274">
              <w:marLeft w:val="0"/>
              <w:marRight w:val="0"/>
              <w:marTop w:val="0"/>
              <w:marBottom w:val="0"/>
              <w:divBdr>
                <w:top w:val="none" w:sz="0" w:space="0" w:color="auto"/>
                <w:left w:val="none" w:sz="0" w:space="0" w:color="auto"/>
                <w:bottom w:val="none" w:sz="0" w:space="0" w:color="auto"/>
                <w:right w:val="none" w:sz="0" w:space="0" w:color="auto"/>
              </w:divBdr>
            </w:div>
            <w:div w:id="647051896">
              <w:marLeft w:val="0"/>
              <w:marRight w:val="0"/>
              <w:marTop w:val="0"/>
              <w:marBottom w:val="0"/>
              <w:divBdr>
                <w:top w:val="none" w:sz="0" w:space="0" w:color="auto"/>
                <w:left w:val="none" w:sz="0" w:space="0" w:color="auto"/>
                <w:bottom w:val="none" w:sz="0" w:space="0" w:color="auto"/>
                <w:right w:val="none" w:sz="0" w:space="0" w:color="auto"/>
              </w:divBdr>
            </w:div>
            <w:div w:id="948315546">
              <w:marLeft w:val="0"/>
              <w:marRight w:val="0"/>
              <w:marTop w:val="0"/>
              <w:marBottom w:val="0"/>
              <w:divBdr>
                <w:top w:val="none" w:sz="0" w:space="0" w:color="auto"/>
                <w:left w:val="none" w:sz="0" w:space="0" w:color="auto"/>
                <w:bottom w:val="none" w:sz="0" w:space="0" w:color="auto"/>
                <w:right w:val="none" w:sz="0" w:space="0" w:color="auto"/>
              </w:divBdr>
            </w:div>
            <w:div w:id="2045056390">
              <w:marLeft w:val="0"/>
              <w:marRight w:val="0"/>
              <w:marTop w:val="0"/>
              <w:marBottom w:val="0"/>
              <w:divBdr>
                <w:top w:val="none" w:sz="0" w:space="0" w:color="auto"/>
                <w:left w:val="none" w:sz="0" w:space="0" w:color="auto"/>
                <w:bottom w:val="none" w:sz="0" w:space="0" w:color="auto"/>
                <w:right w:val="none" w:sz="0" w:space="0" w:color="auto"/>
              </w:divBdr>
            </w:div>
          </w:divsChild>
        </w:div>
        <w:div w:id="1803840101">
          <w:marLeft w:val="0"/>
          <w:marRight w:val="0"/>
          <w:marTop w:val="0"/>
          <w:marBottom w:val="0"/>
          <w:divBdr>
            <w:top w:val="none" w:sz="0" w:space="0" w:color="auto"/>
            <w:left w:val="none" w:sz="0" w:space="0" w:color="auto"/>
            <w:bottom w:val="none" w:sz="0" w:space="0" w:color="auto"/>
            <w:right w:val="none" w:sz="0" w:space="0" w:color="auto"/>
          </w:divBdr>
        </w:div>
        <w:div w:id="1872759755">
          <w:marLeft w:val="0"/>
          <w:marRight w:val="0"/>
          <w:marTop w:val="0"/>
          <w:marBottom w:val="0"/>
          <w:divBdr>
            <w:top w:val="none" w:sz="0" w:space="0" w:color="auto"/>
            <w:left w:val="none" w:sz="0" w:space="0" w:color="auto"/>
            <w:bottom w:val="none" w:sz="0" w:space="0" w:color="auto"/>
            <w:right w:val="none" w:sz="0" w:space="0" w:color="auto"/>
          </w:divBdr>
        </w:div>
        <w:div w:id="1942950187">
          <w:marLeft w:val="0"/>
          <w:marRight w:val="0"/>
          <w:marTop w:val="0"/>
          <w:marBottom w:val="0"/>
          <w:divBdr>
            <w:top w:val="none" w:sz="0" w:space="0" w:color="auto"/>
            <w:left w:val="none" w:sz="0" w:space="0" w:color="auto"/>
            <w:bottom w:val="none" w:sz="0" w:space="0" w:color="auto"/>
            <w:right w:val="none" w:sz="0" w:space="0" w:color="auto"/>
          </w:divBdr>
        </w:div>
        <w:div w:id="1952937722">
          <w:marLeft w:val="0"/>
          <w:marRight w:val="0"/>
          <w:marTop w:val="0"/>
          <w:marBottom w:val="0"/>
          <w:divBdr>
            <w:top w:val="none" w:sz="0" w:space="0" w:color="auto"/>
            <w:left w:val="none" w:sz="0" w:space="0" w:color="auto"/>
            <w:bottom w:val="none" w:sz="0" w:space="0" w:color="auto"/>
            <w:right w:val="none" w:sz="0" w:space="0" w:color="auto"/>
          </w:divBdr>
        </w:div>
        <w:div w:id="1956673281">
          <w:marLeft w:val="0"/>
          <w:marRight w:val="0"/>
          <w:marTop w:val="0"/>
          <w:marBottom w:val="0"/>
          <w:divBdr>
            <w:top w:val="none" w:sz="0" w:space="0" w:color="auto"/>
            <w:left w:val="none" w:sz="0" w:space="0" w:color="auto"/>
            <w:bottom w:val="none" w:sz="0" w:space="0" w:color="auto"/>
            <w:right w:val="none" w:sz="0" w:space="0" w:color="auto"/>
          </w:divBdr>
        </w:div>
        <w:div w:id="2094206064">
          <w:marLeft w:val="0"/>
          <w:marRight w:val="0"/>
          <w:marTop w:val="0"/>
          <w:marBottom w:val="0"/>
          <w:divBdr>
            <w:top w:val="none" w:sz="0" w:space="0" w:color="auto"/>
            <w:left w:val="none" w:sz="0" w:space="0" w:color="auto"/>
            <w:bottom w:val="none" w:sz="0" w:space="0" w:color="auto"/>
            <w:right w:val="none" w:sz="0" w:space="0" w:color="auto"/>
          </w:divBdr>
          <w:divsChild>
            <w:div w:id="714351658">
              <w:marLeft w:val="0"/>
              <w:marRight w:val="0"/>
              <w:marTop w:val="0"/>
              <w:marBottom w:val="0"/>
              <w:divBdr>
                <w:top w:val="none" w:sz="0" w:space="0" w:color="auto"/>
                <w:left w:val="none" w:sz="0" w:space="0" w:color="auto"/>
                <w:bottom w:val="none" w:sz="0" w:space="0" w:color="auto"/>
                <w:right w:val="none" w:sz="0" w:space="0" w:color="auto"/>
              </w:divBdr>
            </w:div>
            <w:div w:id="756482438">
              <w:marLeft w:val="0"/>
              <w:marRight w:val="0"/>
              <w:marTop w:val="0"/>
              <w:marBottom w:val="0"/>
              <w:divBdr>
                <w:top w:val="none" w:sz="0" w:space="0" w:color="auto"/>
                <w:left w:val="none" w:sz="0" w:space="0" w:color="auto"/>
                <w:bottom w:val="none" w:sz="0" w:space="0" w:color="auto"/>
                <w:right w:val="none" w:sz="0" w:space="0" w:color="auto"/>
              </w:divBdr>
            </w:div>
            <w:div w:id="778335638">
              <w:marLeft w:val="0"/>
              <w:marRight w:val="0"/>
              <w:marTop w:val="0"/>
              <w:marBottom w:val="0"/>
              <w:divBdr>
                <w:top w:val="none" w:sz="0" w:space="0" w:color="auto"/>
                <w:left w:val="none" w:sz="0" w:space="0" w:color="auto"/>
                <w:bottom w:val="none" w:sz="0" w:space="0" w:color="auto"/>
                <w:right w:val="none" w:sz="0" w:space="0" w:color="auto"/>
              </w:divBdr>
            </w:div>
            <w:div w:id="197378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002676">
      <w:bodyDiv w:val="1"/>
      <w:marLeft w:val="0"/>
      <w:marRight w:val="0"/>
      <w:marTop w:val="0"/>
      <w:marBottom w:val="0"/>
      <w:divBdr>
        <w:top w:val="none" w:sz="0" w:space="0" w:color="auto"/>
        <w:left w:val="none" w:sz="0" w:space="0" w:color="auto"/>
        <w:bottom w:val="none" w:sz="0" w:space="0" w:color="auto"/>
        <w:right w:val="none" w:sz="0" w:space="0" w:color="auto"/>
      </w:divBdr>
    </w:div>
    <w:div w:id="367336711">
      <w:bodyDiv w:val="1"/>
      <w:marLeft w:val="0"/>
      <w:marRight w:val="0"/>
      <w:marTop w:val="0"/>
      <w:marBottom w:val="0"/>
      <w:divBdr>
        <w:top w:val="none" w:sz="0" w:space="0" w:color="auto"/>
        <w:left w:val="none" w:sz="0" w:space="0" w:color="auto"/>
        <w:bottom w:val="none" w:sz="0" w:space="0" w:color="auto"/>
        <w:right w:val="none" w:sz="0" w:space="0" w:color="auto"/>
      </w:divBdr>
    </w:div>
    <w:div w:id="380984804">
      <w:bodyDiv w:val="1"/>
      <w:marLeft w:val="0"/>
      <w:marRight w:val="0"/>
      <w:marTop w:val="0"/>
      <w:marBottom w:val="0"/>
      <w:divBdr>
        <w:top w:val="none" w:sz="0" w:space="0" w:color="auto"/>
        <w:left w:val="none" w:sz="0" w:space="0" w:color="auto"/>
        <w:bottom w:val="none" w:sz="0" w:space="0" w:color="auto"/>
        <w:right w:val="none" w:sz="0" w:space="0" w:color="auto"/>
      </w:divBdr>
    </w:div>
    <w:div w:id="383334246">
      <w:bodyDiv w:val="1"/>
      <w:marLeft w:val="0"/>
      <w:marRight w:val="0"/>
      <w:marTop w:val="0"/>
      <w:marBottom w:val="0"/>
      <w:divBdr>
        <w:top w:val="none" w:sz="0" w:space="0" w:color="auto"/>
        <w:left w:val="none" w:sz="0" w:space="0" w:color="auto"/>
        <w:bottom w:val="none" w:sz="0" w:space="0" w:color="auto"/>
        <w:right w:val="none" w:sz="0" w:space="0" w:color="auto"/>
      </w:divBdr>
    </w:div>
    <w:div w:id="393044090">
      <w:bodyDiv w:val="1"/>
      <w:marLeft w:val="0"/>
      <w:marRight w:val="0"/>
      <w:marTop w:val="0"/>
      <w:marBottom w:val="0"/>
      <w:divBdr>
        <w:top w:val="none" w:sz="0" w:space="0" w:color="auto"/>
        <w:left w:val="none" w:sz="0" w:space="0" w:color="auto"/>
        <w:bottom w:val="none" w:sz="0" w:space="0" w:color="auto"/>
        <w:right w:val="none" w:sz="0" w:space="0" w:color="auto"/>
      </w:divBdr>
    </w:div>
    <w:div w:id="402026648">
      <w:bodyDiv w:val="1"/>
      <w:marLeft w:val="0"/>
      <w:marRight w:val="0"/>
      <w:marTop w:val="0"/>
      <w:marBottom w:val="0"/>
      <w:divBdr>
        <w:top w:val="none" w:sz="0" w:space="0" w:color="auto"/>
        <w:left w:val="none" w:sz="0" w:space="0" w:color="auto"/>
        <w:bottom w:val="none" w:sz="0" w:space="0" w:color="auto"/>
        <w:right w:val="none" w:sz="0" w:space="0" w:color="auto"/>
      </w:divBdr>
    </w:div>
    <w:div w:id="415902285">
      <w:bodyDiv w:val="1"/>
      <w:marLeft w:val="0"/>
      <w:marRight w:val="0"/>
      <w:marTop w:val="0"/>
      <w:marBottom w:val="0"/>
      <w:divBdr>
        <w:top w:val="none" w:sz="0" w:space="0" w:color="auto"/>
        <w:left w:val="none" w:sz="0" w:space="0" w:color="auto"/>
        <w:bottom w:val="none" w:sz="0" w:space="0" w:color="auto"/>
        <w:right w:val="none" w:sz="0" w:space="0" w:color="auto"/>
      </w:divBdr>
    </w:div>
    <w:div w:id="444815644">
      <w:bodyDiv w:val="1"/>
      <w:marLeft w:val="0"/>
      <w:marRight w:val="0"/>
      <w:marTop w:val="0"/>
      <w:marBottom w:val="0"/>
      <w:divBdr>
        <w:top w:val="none" w:sz="0" w:space="0" w:color="auto"/>
        <w:left w:val="none" w:sz="0" w:space="0" w:color="auto"/>
        <w:bottom w:val="none" w:sz="0" w:space="0" w:color="auto"/>
        <w:right w:val="none" w:sz="0" w:space="0" w:color="auto"/>
      </w:divBdr>
    </w:div>
    <w:div w:id="458037887">
      <w:bodyDiv w:val="1"/>
      <w:marLeft w:val="0"/>
      <w:marRight w:val="0"/>
      <w:marTop w:val="0"/>
      <w:marBottom w:val="0"/>
      <w:divBdr>
        <w:top w:val="none" w:sz="0" w:space="0" w:color="auto"/>
        <w:left w:val="none" w:sz="0" w:space="0" w:color="auto"/>
        <w:bottom w:val="none" w:sz="0" w:space="0" w:color="auto"/>
        <w:right w:val="none" w:sz="0" w:space="0" w:color="auto"/>
      </w:divBdr>
    </w:div>
    <w:div w:id="462578296">
      <w:bodyDiv w:val="1"/>
      <w:marLeft w:val="0"/>
      <w:marRight w:val="0"/>
      <w:marTop w:val="0"/>
      <w:marBottom w:val="0"/>
      <w:divBdr>
        <w:top w:val="none" w:sz="0" w:space="0" w:color="auto"/>
        <w:left w:val="none" w:sz="0" w:space="0" w:color="auto"/>
        <w:bottom w:val="none" w:sz="0" w:space="0" w:color="auto"/>
        <w:right w:val="none" w:sz="0" w:space="0" w:color="auto"/>
      </w:divBdr>
    </w:div>
    <w:div w:id="466356569">
      <w:bodyDiv w:val="1"/>
      <w:marLeft w:val="0"/>
      <w:marRight w:val="0"/>
      <w:marTop w:val="0"/>
      <w:marBottom w:val="0"/>
      <w:divBdr>
        <w:top w:val="none" w:sz="0" w:space="0" w:color="auto"/>
        <w:left w:val="none" w:sz="0" w:space="0" w:color="auto"/>
        <w:bottom w:val="none" w:sz="0" w:space="0" w:color="auto"/>
        <w:right w:val="none" w:sz="0" w:space="0" w:color="auto"/>
      </w:divBdr>
    </w:div>
    <w:div w:id="486896513">
      <w:bodyDiv w:val="1"/>
      <w:marLeft w:val="0"/>
      <w:marRight w:val="0"/>
      <w:marTop w:val="0"/>
      <w:marBottom w:val="0"/>
      <w:divBdr>
        <w:top w:val="none" w:sz="0" w:space="0" w:color="auto"/>
        <w:left w:val="none" w:sz="0" w:space="0" w:color="auto"/>
        <w:bottom w:val="none" w:sz="0" w:space="0" w:color="auto"/>
        <w:right w:val="none" w:sz="0" w:space="0" w:color="auto"/>
      </w:divBdr>
    </w:div>
    <w:div w:id="490754576">
      <w:bodyDiv w:val="1"/>
      <w:marLeft w:val="0"/>
      <w:marRight w:val="0"/>
      <w:marTop w:val="0"/>
      <w:marBottom w:val="0"/>
      <w:divBdr>
        <w:top w:val="none" w:sz="0" w:space="0" w:color="auto"/>
        <w:left w:val="none" w:sz="0" w:space="0" w:color="auto"/>
        <w:bottom w:val="none" w:sz="0" w:space="0" w:color="auto"/>
        <w:right w:val="none" w:sz="0" w:space="0" w:color="auto"/>
      </w:divBdr>
    </w:div>
    <w:div w:id="511603565">
      <w:bodyDiv w:val="1"/>
      <w:marLeft w:val="0"/>
      <w:marRight w:val="0"/>
      <w:marTop w:val="0"/>
      <w:marBottom w:val="0"/>
      <w:divBdr>
        <w:top w:val="none" w:sz="0" w:space="0" w:color="auto"/>
        <w:left w:val="none" w:sz="0" w:space="0" w:color="auto"/>
        <w:bottom w:val="none" w:sz="0" w:space="0" w:color="auto"/>
        <w:right w:val="none" w:sz="0" w:space="0" w:color="auto"/>
      </w:divBdr>
      <w:divsChild>
        <w:div w:id="172577278">
          <w:marLeft w:val="0"/>
          <w:marRight w:val="0"/>
          <w:marTop w:val="0"/>
          <w:marBottom w:val="0"/>
          <w:divBdr>
            <w:top w:val="none" w:sz="0" w:space="0" w:color="auto"/>
            <w:left w:val="none" w:sz="0" w:space="0" w:color="auto"/>
            <w:bottom w:val="none" w:sz="0" w:space="0" w:color="auto"/>
            <w:right w:val="none" w:sz="0" w:space="0" w:color="auto"/>
          </w:divBdr>
        </w:div>
        <w:div w:id="222717634">
          <w:marLeft w:val="0"/>
          <w:marRight w:val="0"/>
          <w:marTop w:val="0"/>
          <w:marBottom w:val="0"/>
          <w:divBdr>
            <w:top w:val="none" w:sz="0" w:space="0" w:color="auto"/>
            <w:left w:val="none" w:sz="0" w:space="0" w:color="auto"/>
            <w:bottom w:val="none" w:sz="0" w:space="0" w:color="auto"/>
            <w:right w:val="none" w:sz="0" w:space="0" w:color="auto"/>
          </w:divBdr>
        </w:div>
        <w:div w:id="1157187690">
          <w:marLeft w:val="0"/>
          <w:marRight w:val="0"/>
          <w:marTop w:val="0"/>
          <w:marBottom w:val="0"/>
          <w:divBdr>
            <w:top w:val="none" w:sz="0" w:space="0" w:color="auto"/>
            <w:left w:val="none" w:sz="0" w:space="0" w:color="auto"/>
            <w:bottom w:val="none" w:sz="0" w:space="0" w:color="auto"/>
            <w:right w:val="none" w:sz="0" w:space="0" w:color="auto"/>
          </w:divBdr>
        </w:div>
      </w:divsChild>
    </w:div>
    <w:div w:id="513229542">
      <w:bodyDiv w:val="1"/>
      <w:marLeft w:val="0"/>
      <w:marRight w:val="0"/>
      <w:marTop w:val="0"/>
      <w:marBottom w:val="0"/>
      <w:divBdr>
        <w:top w:val="none" w:sz="0" w:space="0" w:color="auto"/>
        <w:left w:val="none" w:sz="0" w:space="0" w:color="auto"/>
        <w:bottom w:val="none" w:sz="0" w:space="0" w:color="auto"/>
        <w:right w:val="none" w:sz="0" w:space="0" w:color="auto"/>
      </w:divBdr>
    </w:div>
    <w:div w:id="517617160">
      <w:bodyDiv w:val="1"/>
      <w:marLeft w:val="0"/>
      <w:marRight w:val="0"/>
      <w:marTop w:val="0"/>
      <w:marBottom w:val="0"/>
      <w:divBdr>
        <w:top w:val="none" w:sz="0" w:space="0" w:color="auto"/>
        <w:left w:val="none" w:sz="0" w:space="0" w:color="auto"/>
        <w:bottom w:val="none" w:sz="0" w:space="0" w:color="auto"/>
        <w:right w:val="none" w:sz="0" w:space="0" w:color="auto"/>
      </w:divBdr>
    </w:div>
    <w:div w:id="518004211">
      <w:bodyDiv w:val="1"/>
      <w:marLeft w:val="0"/>
      <w:marRight w:val="0"/>
      <w:marTop w:val="0"/>
      <w:marBottom w:val="0"/>
      <w:divBdr>
        <w:top w:val="none" w:sz="0" w:space="0" w:color="auto"/>
        <w:left w:val="none" w:sz="0" w:space="0" w:color="auto"/>
        <w:bottom w:val="none" w:sz="0" w:space="0" w:color="auto"/>
        <w:right w:val="none" w:sz="0" w:space="0" w:color="auto"/>
      </w:divBdr>
    </w:div>
    <w:div w:id="518279259">
      <w:bodyDiv w:val="1"/>
      <w:marLeft w:val="0"/>
      <w:marRight w:val="0"/>
      <w:marTop w:val="0"/>
      <w:marBottom w:val="0"/>
      <w:divBdr>
        <w:top w:val="none" w:sz="0" w:space="0" w:color="auto"/>
        <w:left w:val="none" w:sz="0" w:space="0" w:color="auto"/>
        <w:bottom w:val="none" w:sz="0" w:space="0" w:color="auto"/>
        <w:right w:val="none" w:sz="0" w:space="0" w:color="auto"/>
      </w:divBdr>
    </w:div>
    <w:div w:id="530654706">
      <w:bodyDiv w:val="1"/>
      <w:marLeft w:val="0"/>
      <w:marRight w:val="0"/>
      <w:marTop w:val="0"/>
      <w:marBottom w:val="0"/>
      <w:divBdr>
        <w:top w:val="none" w:sz="0" w:space="0" w:color="auto"/>
        <w:left w:val="none" w:sz="0" w:space="0" w:color="auto"/>
        <w:bottom w:val="none" w:sz="0" w:space="0" w:color="auto"/>
        <w:right w:val="none" w:sz="0" w:space="0" w:color="auto"/>
      </w:divBdr>
    </w:div>
    <w:div w:id="540358839">
      <w:bodyDiv w:val="1"/>
      <w:marLeft w:val="0"/>
      <w:marRight w:val="0"/>
      <w:marTop w:val="0"/>
      <w:marBottom w:val="0"/>
      <w:divBdr>
        <w:top w:val="none" w:sz="0" w:space="0" w:color="auto"/>
        <w:left w:val="none" w:sz="0" w:space="0" w:color="auto"/>
        <w:bottom w:val="none" w:sz="0" w:space="0" w:color="auto"/>
        <w:right w:val="none" w:sz="0" w:space="0" w:color="auto"/>
      </w:divBdr>
    </w:div>
    <w:div w:id="555822401">
      <w:bodyDiv w:val="1"/>
      <w:marLeft w:val="0"/>
      <w:marRight w:val="0"/>
      <w:marTop w:val="0"/>
      <w:marBottom w:val="0"/>
      <w:divBdr>
        <w:top w:val="none" w:sz="0" w:space="0" w:color="auto"/>
        <w:left w:val="none" w:sz="0" w:space="0" w:color="auto"/>
        <w:bottom w:val="none" w:sz="0" w:space="0" w:color="auto"/>
        <w:right w:val="none" w:sz="0" w:space="0" w:color="auto"/>
      </w:divBdr>
    </w:div>
    <w:div w:id="556822103">
      <w:bodyDiv w:val="1"/>
      <w:marLeft w:val="0"/>
      <w:marRight w:val="0"/>
      <w:marTop w:val="0"/>
      <w:marBottom w:val="0"/>
      <w:divBdr>
        <w:top w:val="none" w:sz="0" w:space="0" w:color="auto"/>
        <w:left w:val="none" w:sz="0" w:space="0" w:color="auto"/>
        <w:bottom w:val="none" w:sz="0" w:space="0" w:color="auto"/>
        <w:right w:val="none" w:sz="0" w:space="0" w:color="auto"/>
      </w:divBdr>
    </w:div>
    <w:div w:id="571736420">
      <w:bodyDiv w:val="1"/>
      <w:marLeft w:val="0"/>
      <w:marRight w:val="0"/>
      <w:marTop w:val="0"/>
      <w:marBottom w:val="0"/>
      <w:divBdr>
        <w:top w:val="none" w:sz="0" w:space="0" w:color="auto"/>
        <w:left w:val="none" w:sz="0" w:space="0" w:color="auto"/>
        <w:bottom w:val="none" w:sz="0" w:space="0" w:color="auto"/>
        <w:right w:val="none" w:sz="0" w:space="0" w:color="auto"/>
      </w:divBdr>
    </w:div>
    <w:div w:id="574555091">
      <w:bodyDiv w:val="1"/>
      <w:marLeft w:val="0"/>
      <w:marRight w:val="0"/>
      <w:marTop w:val="0"/>
      <w:marBottom w:val="0"/>
      <w:divBdr>
        <w:top w:val="none" w:sz="0" w:space="0" w:color="auto"/>
        <w:left w:val="none" w:sz="0" w:space="0" w:color="auto"/>
        <w:bottom w:val="none" w:sz="0" w:space="0" w:color="auto"/>
        <w:right w:val="none" w:sz="0" w:space="0" w:color="auto"/>
      </w:divBdr>
    </w:div>
    <w:div w:id="581985120">
      <w:bodyDiv w:val="1"/>
      <w:marLeft w:val="0"/>
      <w:marRight w:val="0"/>
      <w:marTop w:val="0"/>
      <w:marBottom w:val="0"/>
      <w:divBdr>
        <w:top w:val="none" w:sz="0" w:space="0" w:color="auto"/>
        <w:left w:val="none" w:sz="0" w:space="0" w:color="auto"/>
        <w:bottom w:val="none" w:sz="0" w:space="0" w:color="auto"/>
        <w:right w:val="none" w:sz="0" w:space="0" w:color="auto"/>
      </w:divBdr>
    </w:div>
    <w:div w:id="594675768">
      <w:bodyDiv w:val="1"/>
      <w:marLeft w:val="0"/>
      <w:marRight w:val="0"/>
      <w:marTop w:val="0"/>
      <w:marBottom w:val="0"/>
      <w:divBdr>
        <w:top w:val="none" w:sz="0" w:space="0" w:color="auto"/>
        <w:left w:val="none" w:sz="0" w:space="0" w:color="auto"/>
        <w:bottom w:val="none" w:sz="0" w:space="0" w:color="auto"/>
        <w:right w:val="none" w:sz="0" w:space="0" w:color="auto"/>
      </w:divBdr>
    </w:div>
    <w:div w:id="598441959">
      <w:bodyDiv w:val="1"/>
      <w:marLeft w:val="0"/>
      <w:marRight w:val="0"/>
      <w:marTop w:val="0"/>
      <w:marBottom w:val="0"/>
      <w:divBdr>
        <w:top w:val="none" w:sz="0" w:space="0" w:color="auto"/>
        <w:left w:val="none" w:sz="0" w:space="0" w:color="auto"/>
        <w:bottom w:val="none" w:sz="0" w:space="0" w:color="auto"/>
        <w:right w:val="none" w:sz="0" w:space="0" w:color="auto"/>
      </w:divBdr>
    </w:div>
    <w:div w:id="609825646">
      <w:bodyDiv w:val="1"/>
      <w:marLeft w:val="0"/>
      <w:marRight w:val="0"/>
      <w:marTop w:val="0"/>
      <w:marBottom w:val="0"/>
      <w:divBdr>
        <w:top w:val="none" w:sz="0" w:space="0" w:color="auto"/>
        <w:left w:val="none" w:sz="0" w:space="0" w:color="auto"/>
        <w:bottom w:val="none" w:sz="0" w:space="0" w:color="auto"/>
        <w:right w:val="none" w:sz="0" w:space="0" w:color="auto"/>
      </w:divBdr>
    </w:div>
    <w:div w:id="614214557">
      <w:bodyDiv w:val="1"/>
      <w:marLeft w:val="0"/>
      <w:marRight w:val="0"/>
      <w:marTop w:val="0"/>
      <w:marBottom w:val="0"/>
      <w:divBdr>
        <w:top w:val="none" w:sz="0" w:space="0" w:color="auto"/>
        <w:left w:val="none" w:sz="0" w:space="0" w:color="auto"/>
        <w:bottom w:val="none" w:sz="0" w:space="0" w:color="auto"/>
        <w:right w:val="none" w:sz="0" w:space="0" w:color="auto"/>
      </w:divBdr>
    </w:div>
    <w:div w:id="614556994">
      <w:bodyDiv w:val="1"/>
      <w:marLeft w:val="0"/>
      <w:marRight w:val="0"/>
      <w:marTop w:val="0"/>
      <w:marBottom w:val="0"/>
      <w:divBdr>
        <w:top w:val="none" w:sz="0" w:space="0" w:color="auto"/>
        <w:left w:val="none" w:sz="0" w:space="0" w:color="auto"/>
        <w:bottom w:val="none" w:sz="0" w:space="0" w:color="auto"/>
        <w:right w:val="none" w:sz="0" w:space="0" w:color="auto"/>
      </w:divBdr>
    </w:div>
    <w:div w:id="625966512">
      <w:bodyDiv w:val="1"/>
      <w:marLeft w:val="0"/>
      <w:marRight w:val="0"/>
      <w:marTop w:val="0"/>
      <w:marBottom w:val="0"/>
      <w:divBdr>
        <w:top w:val="none" w:sz="0" w:space="0" w:color="auto"/>
        <w:left w:val="none" w:sz="0" w:space="0" w:color="auto"/>
        <w:bottom w:val="none" w:sz="0" w:space="0" w:color="auto"/>
        <w:right w:val="none" w:sz="0" w:space="0" w:color="auto"/>
      </w:divBdr>
    </w:div>
    <w:div w:id="646083924">
      <w:bodyDiv w:val="1"/>
      <w:marLeft w:val="0"/>
      <w:marRight w:val="0"/>
      <w:marTop w:val="0"/>
      <w:marBottom w:val="0"/>
      <w:divBdr>
        <w:top w:val="none" w:sz="0" w:space="0" w:color="auto"/>
        <w:left w:val="none" w:sz="0" w:space="0" w:color="auto"/>
        <w:bottom w:val="none" w:sz="0" w:space="0" w:color="auto"/>
        <w:right w:val="none" w:sz="0" w:space="0" w:color="auto"/>
      </w:divBdr>
    </w:div>
    <w:div w:id="657078358">
      <w:bodyDiv w:val="1"/>
      <w:marLeft w:val="0"/>
      <w:marRight w:val="0"/>
      <w:marTop w:val="0"/>
      <w:marBottom w:val="0"/>
      <w:divBdr>
        <w:top w:val="none" w:sz="0" w:space="0" w:color="auto"/>
        <w:left w:val="none" w:sz="0" w:space="0" w:color="auto"/>
        <w:bottom w:val="none" w:sz="0" w:space="0" w:color="auto"/>
        <w:right w:val="none" w:sz="0" w:space="0" w:color="auto"/>
      </w:divBdr>
    </w:div>
    <w:div w:id="672341898">
      <w:bodyDiv w:val="1"/>
      <w:marLeft w:val="0"/>
      <w:marRight w:val="0"/>
      <w:marTop w:val="0"/>
      <w:marBottom w:val="0"/>
      <w:divBdr>
        <w:top w:val="none" w:sz="0" w:space="0" w:color="auto"/>
        <w:left w:val="none" w:sz="0" w:space="0" w:color="auto"/>
        <w:bottom w:val="none" w:sz="0" w:space="0" w:color="auto"/>
        <w:right w:val="none" w:sz="0" w:space="0" w:color="auto"/>
      </w:divBdr>
    </w:div>
    <w:div w:id="689184581">
      <w:bodyDiv w:val="1"/>
      <w:marLeft w:val="0"/>
      <w:marRight w:val="0"/>
      <w:marTop w:val="0"/>
      <w:marBottom w:val="0"/>
      <w:divBdr>
        <w:top w:val="none" w:sz="0" w:space="0" w:color="auto"/>
        <w:left w:val="none" w:sz="0" w:space="0" w:color="auto"/>
        <w:bottom w:val="none" w:sz="0" w:space="0" w:color="auto"/>
        <w:right w:val="none" w:sz="0" w:space="0" w:color="auto"/>
      </w:divBdr>
    </w:div>
    <w:div w:id="690495867">
      <w:bodyDiv w:val="1"/>
      <w:marLeft w:val="0"/>
      <w:marRight w:val="0"/>
      <w:marTop w:val="0"/>
      <w:marBottom w:val="0"/>
      <w:divBdr>
        <w:top w:val="none" w:sz="0" w:space="0" w:color="auto"/>
        <w:left w:val="none" w:sz="0" w:space="0" w:color="auto"/>
        <w:bottom w:val="none" w:sz="0" w:space="0" w:color="auto"/>
        <w:right w:val="none" w:sz="0" w:space="0" w:color="auto"/>
      </w:divBdr>
    </w:div>
    <w:div w:id="692001977">
      <w:bodyDiv w:val="1"/>
      <w:marLeft w:val="0"/>
      <w:marRight w:val="0"/>
      <w:marTop w:val="0"/>
      <w:marBottom w:val="0"/>
      <w:divBdr>
        <w:top w:val="none" w:sz="0" w:space="0" w:color="auto"/>
        <w:left w:val="none" w:sz="0" w:space="0" w:color="auto"/>
        <w:bottom w:val="none" w:sz="0" w:space="0" w:color="auto"/>
        <w:right w:val="none" w:sz="0" w:space="0" w:color="auto"/>
      </w:divBdr>
    </w:div>
    <w:div w:id="717977859">
      <w:bodyDiv w:val="1"/>
      <w:marLeft w:val="0"/>
      <w:marRight w:val="0"/>
      <w:marTop w:val="0"/>
      <w:marBottom w:val="0"/>
      <w:divBdr>
        <w:top w:val="none" w:sz="0" w:space="0" w:color="auto"/>
        <w:left w:val="none" w:sz="0" w:space="0" w:color="auto"/>
        <w:bottom w:val="none" w:sz="0" w:space="0" w:color="auto"/>
        <w:right w:val="none" w:sz="0" w:space="0" w:color="auto"/>
      </w:divBdr>
    </w:div>
    <w:div w:id="728923870">
      <w:bodyDiv w:val="1"/>
      <w:marLeft w:val="0"/>
      <w:marRight w:val="0"/>
      <w:marTop w:val="0"/>
      <w:marBottom w:val="0"/>
      <w:divBdr>
        <w:top w:val="none" w:sz="0" w:space="0" w:color="auto"/>
        <w:left w:val="none" w:sz="0" w:space="0" w:color="auto"/>
        <w:bottom w:val="none" w:sz="0" w:space="0" w:color="auto"/>
        <w:right w:val="none" w:sz="0" w:space="0" w:color="auto"/>
      </w:divBdr>
    </w:div>
    <w:div w:id="779298823">
      <w:bodyDiv w:val="1"/>
      <w:marLeft w:val="0"/>
      <w:marRight w:val="0"/>
      <w:marTop w:val="0"/>
      <w:marBottom w:val="0"/>
      <w:divBdr>
        <w:top w:val="none" w:sz="0" w:space="0" w:color="auto"/>
        <w:left w:val="none" w:sz="0" w:space="0" w:color="auto"/>
        <w:bottom w:val="none" w:sz="0" w:space="0" w:color="auto"/>
        <w:right w:val="none" w:sz="0" w:space="0" w:color="auto"/>
      </w:divBdr>
    </w:div>
    <w:div w:id="788398346">
      <w:bodyDiv w:val="1"/>
      <w:marLeft w:val="0"/>
      <w:marRight w:val="0"/>
      <w:marTop w:val="0"/>
      <w:marBottom w:val="0"/>
      <w:divBdr>
        <w:top w:val="none" w:sz="0" w:space="0" w:color="auto"/>
        <w:left w:val="none" w:sz="0" w:space="0" w:color="auto"/>
        <w:bottom w:val="none" w:sz="0" w:space="0" w:color="auto"/>
        <w:right w:val="none" w:sz="0" w:space="0" w:color="auto"/>
      </w:divBdr>
    </w:div>
    <w:div w:id="791024421">
      <w:bodyDiv w:val="1"/>
      <w:marLeft w:val="0"/>
      <w:marRight w:val="0"/>
      <w:marTop w:val="0"/>
      <w:marBottom w:val="0"/>
      <w:divBdr>
        <w:top w:val="none" w:sz="0" w:space="0" w:color="auto"/>
        <w:left w:val="none" w:sz="0" w:space="0" w:color="auto"/>
        <w:bottom w:val="none" w:sz="0" w:space="0" w:color="auto"/>
        <w:right w:val="none" w:sz="0" w:space="0" w:color="auto"/>
      </w:divBdr>
    </w:div>
    <w:div w:id="795485162">
      <w:bodyDiv w:val="1"/>
      <w:marLeft w:val="0"/>
      <w:marRight w:val="0"/>
      <w:marTop w:val="0"/>
      <w:marBottom w:val="0"/>
      <w:divBdr>
        <w:top w:val="none" w:sz="0" w:space="0" w:color="auto"/>
        <w:left w:val="none" w:sz="0" w:space="0" w:color="auto"/>
        <w:bottom w:val="none" w:sz="0" w:space="0" w:color="auto"/>
        <w:right w:val="none" w:sz="0" w:space="0" w:color="auto"/>
      </w:divBdr>
    </w:div>
    <w:div w:id="798842564">
      <w:bodyDiv w:val="1"/>
      <w:marLeft w:val="0"/>
      <w:marRight w:val="0"/>
      <w:marTop w:val="0"/>
      <w:marBottom w:val="0"/>
      <w:divBdr>
        <w:top w:val="none" w:sz="0" w:space="0" w:color="auto"/>
        <w:left w:val="none" w:sz="0" w:space="0" w:color="auto"/>
        <w:bottom w:val="none" w:sz="0" w:space="0" w:color="auto"/>
        <w:right w:val="none" w:sz="0" w:space="0" w:color="auto"/>
      </w:divBdr>
    </w:div>
    <w:div w:id="851380682">
      <w:bodyDiv w:val="1"/>
      <w:marLeft w:val="0"/>
      <w:marRight w:val="0"/>
      <w:marTop w:val="0"/>
      <w:marBottom w:val="0"/>
      <w:divBdr>
        <w:top w:val="none" w:sz="0" w:space="0" w:color="auto"/>
        <w:left w:val="none" w:sz="0" w:space="0" w:color="auto"/>
        <w:bottom w:val="none" w:sz="0" w:space="0" w:color="auto"/>
        <w:right w:val="none" w:sz="0" w:space="0" w:color="auto"/>
      </w:divBdr>
    </w:div>
    <w:div w:id="852376744">
      <w:bodyDiv w:val="1"/>
      <w:marLeft w:val="0"/>
      <w:marRight w:val="0"/>
      <w:marTop w:val="0"/>
      <w:marBottom w:val="0"/>
      <w:divBdr>
        <w:top w:val="none" w:sz="0" w:space="0" w:color="auto"/>
        <w:left w:val="none" w:sz="0" w:space="0" w:color="auto"/>
        <w:bottom w:val="none" w:sz="0" w:space="0" w:color="auto"/>
        <w:right w:val="none" w:sz="0" w:space="0" w:color="auto"/>
      </w:divBdr>
    </w:div>
    <w:div w:id="878396698">
      <w:bodyDiv w:val="1"/>
      <w:marLeft w:val="0"/>
      <w:marRight w:val="0"/>
      <w:marTop w:val="0"/>
      <w:marBottom w:val="0"/>
      <w:divBdr>
        <w:top w:val="none" w:sz="0" w:space="0" w:color="auto"/>
        <w:left w:val="none" w:sz="0" w:space="0" w:color="auto"/>
        <w:bottom w:val="none" w:sz="0" w:space="0" w:color="auto"/>
        <w:right w:val="none" w:sz="0" w:space="0" w:color="auto"/>
      </w:divBdr>
    </w:div>
    <w:div w:id="896086660">
      <w:bodyDiv w:val="1"/>
      <w:marLeft w:val="0"/>
      <w:marRight w:val="0"/>
      <w:marTop w:val="0"/>
      <w:marBottom w:val="0"/>
      <w:divBdr>
        <w:top w:val="none" w:sz="0" w:space="0" w:color="auto"/>
        <w:left w:val="none" w:sz="0" w:space="0" w:color="auto"/>
        <w:bottom w:val="none" w:sz="0" w:space="0" w:color="auto"/>
        <w:right w:val="none" w:sz="0" w:space="0" w:color="auto"/>
      </w:divBdr>
    </w:div>
    <w:div w:id="900166751">
      <w:bodyDiv w:val="1"/>
      <w:marLeft w:val="0"/>
      <w:marRight w:val="0"/>
      <w:marTop w:val="0"/>
      <w:marBottom w:val="0"/>
      <w:divBdr>
        <w:top w:val="none" w:sz="0" w:space="0" w:color="auto"/>
        <w:left w:val="none" w:sz="0" w:space="0" w:color="auto"/>
        <w:bottom w:val="none" w:sz="0" w:space="0" w:color="auto"/>
        <w:right w:val="none" w:sz="0" w:space="0" w:color="auto"/>
      </w:divBdr>
    </w:div>
    <w:div w:id="908072277">
      <w:bodyDiv w:val="1"/>
      <w:marLeft w:val="0"/>
      <w:marRight w:val="0"/>
      <w:marTop w:val="0"/>
      <w:marBottom w:val="0"/>
      <w:divBdr>
        <w:top w:val="none" w:sz="0" w:space="0" w:color="auto"/>
        <w:left w:val="none" w:sz="0" w:space="0" w:color="auto"/>
        <w:bottom w:val="none" w:sz="0" w:space="0" w:color="auto"/>
        <w:right w:val="none" w:sz="0" w:space="0" w:color="auto"/>
      </w:divBdr>
    </w:div>
    <w:div w:id="932012038">
      <w:bodyDiv w:val="1"/>
      <w:marLeft w:val="0"/>
      <w:marRight w:val="0"/>
      <w:marTop w:val="0"/>
      <w:marBottom w:val="0"/>
      <w:divBdr>
        <w:top w:val="none" w:sz="0" w:space="0" w:color="auto"/>
        <w:left w:val="none" w:sz="0" w:space="0" w:color="auto"/>
        <w:bottom w:val="none" w:sz="0" w:space="0" w:color="auto"/>
        <w:right w:val="none" w:sz="0" w:space="0" w:color="auto"/>
      </w:divBdr>
    </w:div>
    <w:div w:id="943269653">
      <w:bodyDiv w:val="1"/>
      <w:marLeft w:val="0"/>
      <w:marRight w:val="0"/>
      <w:marTop w:val="0"/>
      <w:marBottom w:val="0"/>
      <w:divBdr>
        <w:top w:val="none" w:sz="0" w:space="0" w:color="auto"/>
        <w:left w:val="none" w:sz="0" w:space="0" w:color="auto"/>
        <w:bottom w:val="none" w:sz="0" w:space="0" w:color="auto"/>
        <w:right w:val="none" w:sz="0" w:space="0" w:color="auto"/>
      </w:divBdr>
    </w:div>
    <w:div w:id="949582557">
      <w:bodyDiv w:val="1"/>
      <w:marLeft w:val="0"/>
      <w:marRight w:val="0"/>
      <w:marTop w:val="0"/>
      <w:marBottom w:val="0"/>
      <w:divBdr>
        <w:top w:val="none" w:sz="0" w:space="0" w:color="auto"/>
        <w:left w:val="none" w:sz="0" w:space="0" w:color="auto"/>
        <w:bottom w:val="none" w:sz="0" w:space="0" w:color="auto"/>
        <w:right w:val="none" w:sz="0" w:space="0" w:color="auto"/>
      </w:divBdr>
    </w:div>
    <w:div w:id="949819973">
      <w:bodyDiv w:val="1"/>
      <w:marLeft w:val="0"/>
      <w:marRight w:val="0"/>
      <w:marTop w:val="0"/>
      <w:marBottom w:val="0"/>
      <w:divBdr>
        <w:top w:val="none" w:sz="0" w:space="0" w:color="auto"/>
        <w:left w:val="none" w:sz="0" w:space="0" w:color="auto"/>
        <w:bottom w:val="none" w:sz="0" w:space="0" w:color="auto"/>
        <w:right w:val="none" w:sz="0" w:space="0" w:color="auto"/>
      </w:divBdr>
    </w:div>
    <w:div w:id="950473055">
      <w:bodyDiv w:val="1"/>
      <w:marLeft w:val="0"/>
      <w:marRight w:val="0"/>
      <w:marTop w:val="0"/>
      <w:marBottom w:val="0"/>
      <w:divBdr>
        <w:top w:val="none" w:sz="0" w:space="0" w:color="auto"/>
        <w:left w:val="none" w:sz="0" w:space="0" w:color="auto"/>
        <w:bottom w:val="none" w:sz="0" w:space="0" w:color="auto"/>
        <w:right w:val="none" w:sz="0" w:space="0" w:color="auto"/>
      </w:divBdr>
    </w:div>
    <w:div w:id="977952076">
      <w:bodyDiv w:val="1"/>
      <w:marLeft w:val="0"/>
      <w:marRight w:val="0"/>
      <w:marTop w:val="0"/>
      <w:marBottom w:val="0"/>
      <w:divBdr>
        <w:top w:val="none" w:sz="0" w:space="0" w:color="auto"/>
        <w:left w:val="none" w:sz="0" w:space="0" w:color="auto"/>
        <w:bottom w:val="none" w:sz="0" w:space="0" w:color="auto"/>
        <w:right w:val="none" w:sz="0" w:space="0" w:color="auto"/>
      </w:divBdr>
    </w:div>
    <w:div w:id="985860646">
      <w:bodyDiv w:val="1"/>
      <w:marLeft w:val="0"/>
      <w:marRight w:val="0"/>
      <w:marTop w:val="0"/>
      <w:marBottom w:val="0"/>
      <w:divBdr>
        <w:top w:val="none" w:sz="0" w:space="0" w:color="auto"/>
        <w:left w:val="none" w:sz="0" w:space="0" w:color="auto"/>
        <w:bottom w:val="none" w:sz="0" w:space="0" w:color="auto"/>
        <w:right w:val="none" w:sz="0" w:space="0" w:color="auto"/>
      </w:divBdr>
    </w:div>
    <w:div w:id="998771639">
      <w:bodyDiv w:val="1"/>
      <w:marLeft w:val="0"/>
      <w:marRight w:val="0"/>
      <w:marTop w:val="0"/>
      <w:marBottom w:val="0"/>
      <w:divBdr>
        <w:top w:val="none" w:sz="0" w:space="0" w:color="auto"/>
        <w:left w:val="none" w:sz="0" w:space="0" w:color="auto"/>
        <w:bottom w:val="none" w:sz="0" w:space="0" w:color="auto"/>
        <w:right w:val="none" w:sz="0" w:space="0" w:color="auto"/>
      </w:divBdr>
    </w:div>
    <w:div w:id="1004431825">
      <w:bodyDiv w:val="1"/>
      <w:marLeft w:val="0"/>
      <w:marRight w:val="0"/>
      <w:marTop w:val="0"/>
      <w:marBottom w:val="0"/>
      <w:divBdr>
        <w:top w:val="none" w:sz="0" w:space="0" w:color="auto"/>
        <w:left w:val="none" w:sz="0" w:space="0" w:color="auto"/>
        <w:bottom w:val="none" w:sz="0" w:space="0" w:color="auto"/>
        <w:right w:val="none" w:sz="0" w:space="0" w:color="auto"/>
      </w:divBdr>
      <w:divsChild>
        <w:div w:id="535580719">
          <w:marLeft w:val="0"/>
          <w:marRight w:val="0"/>
          <w:marTop w:val="0"/>
          <w:marBottom w:val="0"/>
          <w:divBdr>
            <w:top w:val="none" w:sz="0" w:space="0" w:color="auto"/>
            <w:left w:val="none" w:sz="0" w:space="0" w:color="auto"/>
            <w:bottom w:val="none" w:sz="0" w:space="0" w:color="auto"/>
            <w:right w:val="none" w:sz="0" w:space="0" w:color="auto"/>
          </w:divBdr>
          <w:divsChild>
            <w:div w:id="1255550960">
              <w:marLeft w:val="0"/>
              <w:marRight w:val="0"/>
              <w:marTop w:val="0"/>
              <w:marBottom w:val="0"/>
              <w:divBdr>
                <w:top w:val="none" w:sz="0" w:space="0" w:color="auto"/>
                <w:left w:val="none" w:sz="0" w:space="0" w:color="auto"/>
                <w:bottom w:val="none" w:sz="0" w:space="0" w:color="auto"/>
                <w:right w:val="none" w:sz="0" w:space="0" w:color="auto"/>
              </w:divBdr>
              <w:divsChild>
                <w:div w:id="1327130239">
                  <w:marLeft w:val="0"/>
                  <w:marRight w:val="0"/>
                  <w:marTop w:val="0"/>
                  <w:marBottom w:val="0"/>
                  <w:divBdr>
                    <w:top w:val="none" w:sz="0" w:space="0" w:color="auto"/>
                    <w:left w:val="none" w:sz="0" w:space="0" w:color="auto"/>
                    <w:bottom w:val="none" w:sz="0" w:space="0" w:color="auto"/>
                    <w:right w:val="none" w:sz="0" w:space="0" w:color="auto"/>
                  </w:divBdr>
                  <w:divsChild>
                    <w:div w:id="551189992">
                      <w:marLeft w:val="0"/>
                      <w:marRight w:val="90"/>
                      <w:marTop w:val="0"/>
                      <w:marBottom w:val="0"/>
                      <w:divBdr>
                        <w:top w:val="single" w:sz="6" w:space="0" w:color="636363"/>
                        <w:left w:val="single" w:sz="6" w:space="0" w:color="636363"/>
                        <w:bottom w:val="single" w:sz="6" w:space="0" w:color="636363"/>
                        <w:right w:val="single" w:sz="6" w:space="0" w:color="636363"/>
                      </w:divBdr>
                      <w:divsChild>
                        <w:div w:id="113999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728642">
      <w:bodyDiv w:val="1"/>
      <w:marLeft w:val="0"/>
      <w:marRight w:val="0"/>
      <w:marTop w:val="0"/>
      <w:marBottom w:val="0"/>
      <w:divBdr>
        <w:top w:val="none" w:sz="0" w:space="0" w:color="auto"/>
        <w:left w:val="none" w:sz="0" w:space="0" w:color="auto"/>
        <w:bottom w:val="none" w:sz="0" w:space="0" w:color="auto"/>
        <w:right w:val="none" w:sz="0" w:space="0" w:color="auto"/>
      </w:divBdr>
    </w:div>
    <w:div w:id="1061171459">
      <w:bodyDiv w:val="1"/>
      <w:marLeft w:val="0"/>
      <w:marRight w:val="0"/>
      <w:marTop w:val="0"/>
      <w:marBottom w:val="0"/>
      <w:divBdr>
        <w:top w:val="none" w:sz="0" w:space="0" w:color="auto"/>
        <w:left w:val="none" w:sz="0" w:space="0" w:color="auto"/>
        <w:bottom w:val="none" w:sz="0" w:space="0" w:color="auto"/>
        <w:right w:val="none" w:sz="0" w:space="0" w:color="auto"/>
      </w:divBdr>
    </w:div>
    <w:div w:id="1067806810">
      <w:bodyDiv w:val="1"/>
      <w:marLeft w:val="0"/>
      <w:marRight w:val="0"/>
      <w:marTop w:val="0"/>
      <w:marBottom w:val="0"/>
      <w:divBdr>
        <w:top w:val="none" w:sz="0" w:space="0" w:color="auto"/>
        <w:left w:val="none" w:sz="0" w:space="0" w:color="auto"/>
        <w:bottom w:val="none" w:sz="0" w:space="0" w:color="auto"/>
        <w:right w:val="none" w:sz="0" w:space="0" w:color="auto"/>
      </w:divBdr>
    </w:div>
    <w:div w:id="1087729480">
      <w:bodyDiv w:val="1"/>
      <w:marLeft w:val="0"/>
      <w:marRight w:val="0"/>
      <w:marTop w:val="0"/>
      <w:marBottom w:val="0"/>
      <w:divBdr>
        <w:top w:val="none" w:sz="0" w:space="0" w:color="auto"/>
        <w:left w:val="none" w:sz="0" w:space="0" w:color="auto"/>
        <w:bottom w:val="none" w:sz="0" w:space="0" w:color="auto"/>
        <w:right w:val="none" w:sz="0" w:space="0" w:color="auto"/>
      </w:divBdr>
    </w:div>
    <w:div w:id="1100105141">
      <w:bodyDiv w:val="1"/>
      <w:marLeft w:val="0"/>
      <w:marRight w:val="0"/>
      <w:marTop w:val="0"/>
      <w:marBottom w:val="0"/>
      <w:divBdr>
        <w:top w:val="none" w:sz="0" w:space="0" w:color="auto"/>
        <w:left w:val="none" w:sz="0" w:space="0" w:color="auto"/>
        <w:bottom w:val="none" w:sz="0" w:space="0" w:color="auto"/>
        <w:right w:val="none" w:sz="0" w:space="0" w:color="auto"/>
      </w:divBdr>
    </w:div>
    <w:div w:id="1102070822">
      <w:bodyDiv w:val="1"/>
      <w:marLeft w:val="0"/>
      <w:marRight w:val="0"/>
      <w:marTop w:val="0"/>
      <w:marBottom w:val="0"/>
      <w:divBdr>
        <w:top w:val="none" w:sz="0" w:space="0" w:color="auto"/>
        <w:left w:val="none" w:sz="0" w:space="0" w:color="auto"/>
        <w:bottom w:val="none" w:sz="0" w:space="0" w:color="auto"/>
        <w:right w:val="none" w:sz="0" w:space="0" w:color="auto"/>
      </w:divBdr>
    </w:div>
    <w:div w:id="1130438606">
      <w:bodyDiv w:val="1"/>
      <w:marLeft w:val="0"/>
      <w:marRight w:val="0"/>
      <w:marTop w:val="0"/>
      <w:marBottom w:val="0"/>
      <w:divBdr>
        <w:top w:val="none" w:sz="0" w:space="0" w:color="auto"/>
        <w:left w:val="none" w:sz="0" w:space="0" w:color="auto"/>
        <w:bottom w:val="none" w:sz="0" w:space="0" w:color="auto"/>
        <w:right w:val="none" w:sz="0" w:space="0" w:color="auto"/>
      </w:divBdr>
    </w:div>
    <w:div w:id="1150446285">
      <w:bodyDiv w:val="1"/>
      <w:marLeft w:val="0"/>
      <w:marRight w:val="0"/>
      <w:marTop w:val="0"/>
      <w:marBottom w:val="0"/>
      <w:divBdr>
        <w:top w:val="none" w:sz="0" w:space="0" w:color="auto"/>
        <w:left w:val="none" w:sz="0" w:space="0" w:color="auto"/>
        <w:bottom w:val="none" w:sz="0" w:space="0" w:color="auto"/>
        <w:right w:val="none" w:sz="0" w:space="0" w:color="auto"/>
      </w:divBdr>
    </w:div>
    <w:div w:id="1158766533">
      <w:bodyDiv w:val="1"/>
      <w:marLeft w:val="0"/>
      <w:marRight w:val="0"/>
      <w:marTop w:val="0"/>
      <w:marBottom w:val="0"/>
      <w:divBdr>
        <w:top w:val="none" w:sz="0" w:space="0" w:color="auto"/>
        <w:left w:val="none" w:sz="0" w:space="0" w:color="auto"/>
        <w:bottom w:val="none" w:sz="0" w:space="0" w:color="auto"/>
        <w:right w:val="none" w:sz="0" w:space="0" w:color="auto"/>
      </w:divBdr>
    </w:div>
    <w:div w:id="1167359134">
      <w:bodyDiv w:val="1"/>
      <w:marLeft w:val="0"/>
      <w:marRight w:val="0"/>
      <w:marTop w:val="0"/>
      <w:marBottom w:val="0"/>
      <w:divBdr>
        <w:top w:val="none" w:sz="0" w:space="0" w:color="auto"/>
        <w:left w:val="none" w:sz="0" w:space="0" w:color="auto"/>
        <w:bottom w:val="none" w:sz="0" w:space="0" w:color="auto"/>
        <w:right w:val="none" w:sz="0" w:space="0" w:color="auto"/>
      </w:divBdr>
    </w:div>
    <w:div w:id="1174103325">
      <w:bodyDiv w:val="1"/>
      <w:marLeft w:val="0"/>
      <w:marRight w:val="0"/>
      <w:marTop w:val="0"/>
      <w:marBottom w:val="0"/>
      <w:divBdr>
        <w:top w:val="none" w:sz="0" w:space="0" w:color="auto"/>
        <w:left w:val="none" w:sz="0" w:space="0" w:color="auto"/>
        <w:bottom w:val="none" w:sz="0" w:space="0" w:color="auto"/>
        <w:right w:val="none" w:sz="0" w:space="0" w:color="auto"/>
      </w:divBdr>
    </w:div>
    <w:div w:id="1184132817">
      <w:bodyDiv w:val="1"/>
      <w:marLeft w:val="0"/>
      <w:marRight w:val="0"/>
      <w:marTop w:val="0"/>
      <w:marBottom w:val="0"/>
      <w:divBdr>
        <w:top w:val="none" w:sz="0" w:space="0" w:color="auto"/>
        <w:left w:val="none" w:sz="0" w:space="0" w:color="auto"/>
        <w:bottom w:val="none" w:sz="0" w:space="0" w:color="auto"/>
        <w:right w:val="none" w:sz="0" w:space="0" w:color="auto"/>
      </w:divBdr>
    </w:div>
    <w:div w:id="1201438188">
      <w:bodyDiv w:val="1"/>
      <w:marLeft w:val="0"/>
      <w:marRight w:val="0"/>
      <w:marTop w:val="0"/>
      <w:marBottom w:val="0"/>
      <w:divBdr>
        <w:top w:val="none" w:sz="0" w:space="0" w:color="auto"/>
        <w:left w:val="none" w:sz="0" w:space="0" w:color="auto"/>
        <w:bottom w:val="none" w:sz="0" w:space="0" w:color="auto"/>
        <w:right w:val="none" w:sz="0" w:space="0" w:color="auto"/>
      </w:divBdr>
    </w:div>
    <w:div w:id="1202323721">
      <w:bodyDiv w:val="1"/>
      <w:marLeft w:val="0"/>
      <w:marRight w:val="0"/>
      <w:marTop w:val="0"/>
      <w:marBottom w:val="0"/>
      <w:divBdr>
        <w:top w:val="none" w:sz="0" w:space="0" w:color="auto"/>
        <w:left w:val="none" w:sz="0" w:space="0" w:color="auto"/>
        <w:bottom w:val="none" w:sz="0" w:space="0" w:color="auto"/>
        <w:right w:val="none" w:sz="0" w:space="0" w:color="auto"/>
      </w:divBdr>
    </w:div>
    <w:div w:id="1247884263">
      <w:bodyDiv w:val="1"/>
      <w:marLeft w:val="0"/>
      <w:marRight w:val="0"/>
      <w:marTop w:val="0"/>
      <w:marBottom w:val="0"/>
      <w:divBdr>
        <w:top w:val="none" w:sz="0" w:space="0" w:color="auto"/>
        <w:left w:val="none" w:sz="0" w:space="0" w:color="auto"/>
        <w:bottom w:val="none" w:sz="0" w:space="0" w:color="auto"/>
        <w:right w:val="none" w:sz="0" w:space="0" w:color="auto"/>
      </w:divBdr>
    </w:div>
    <w:div w:id="1247887494">
      <w:bodyDiv w:val="1"/>
      <w:marLeft w:val="0"/>
      <w:marRight w:val="0"/>
      <w:marTop w:val="0"/>
      <w:marBottom w:val="0"/>
      <w:divBdr>
        <w:top w:val="none" w:sz="0" w:space="0" w:color="auto"/>
        <w:left w:val="none" w:sz="0" w:space="0" w:color="auto"/>
        <w:bottom w:val="none" w:sz="0" w:space="0" w:color="auto"/>
        <w:right w:val="none" w:sz="0" w:space="0" w:color="auto"/>
      </w:divBdr>
    </w:div>
    <w:div w:id="1252008119">
      <w:bodyDiv w:val="1"/>
      <w:marLeft w:val="0"/>
      <w:marRight w:val="0"/>
      <w:marTop w:val="0"/>
      <w:marBottom w:val="0"/>
      <w:divBdr>
        <w:top w:val="none" w:sz="0" w:space="0" w:color="auto"/>
        <w:left w:val="none" w:sz="0" w:space="0" w:color="auto"/>
        <w:bottom w:val="none" w:sz="0" w:space="0" w:color="auto"/>
        <w:right w:val="none" w:sz="0" w:space="0" w:color="auto"/>
      </w:divBdr>
    </w:div>
    <w:div w:id="1257178860">
      <w:bodyDiv w:val="1"/>
      <w:marLeft w:val="0"/>
      <w:marRight w:val="0"/>
      <w:marTop w:val="0"/>
      <w:marBottom w:val="0"/>
      <w:divBdr>
        <w:top w:val="none" w:sz="0" w:space="0" w:color="auto"/>
        <w:left w:val="none" w:sz="0" w:space="0" w:color="auto"/>
        <w:bottom w:val="none" w:sz="0" w:space="0" w:color="auto"/>
        <w:right w:val="none" w:sz="0" w:space="0" w:color="auto"/>
      </w:divBdr>
    </w:div>
    <w:div w:id="1259290887">
      <w:bodyDiv w:val="1"/>
      <w:marLeft w:val="0"/>
      <w:marRight w:val="0"/>
      <w:marTop w:val="0"/>
      <w:marBottom w:val="0"/>
      <w:divBdr>
        <w:top w:val="none" w:sz="0" w:space="0" w:color="auto"/>
        <w:left w:val="none" w:sz="0" w:space="0" w:color="auto"/>
        <w:bottom w:val="none" w:sz="0" w:space="0" w:color="auto"/>
        <w:right w:val="none" w:sz="0" w:space="0" w:color="auto"/>
      </w:divBdr>
    </w:div>
    <w:div w:id="1265501353">
      <w:bodyDiv w:val="1"/>
      <w:marLeft w:val="0"/>
      <w:marRight w:val="0"/>
      <w:marTop w:val="0"/>
      <w:marBottom w:val="0"/>
      <w:divBdr>
        <w:top w:val="none" w:sz="0" w:space="0" w:color="auto"/>
        <w:left w:val="none" w:sz="0" w:space="0" w:color="auto"/>
        <w:bottom w:val="none" w:sz="0" w:space="0" w:color="auto"/>
        <w:right w:val="none" w:sz="0" w:space="0" w:color="auto"/>
      </w:divBdr>
    </w:div>
    <w:div w:id="1271472147">
      <w:bodyDiv w:val="1"/>
      <w:marLeft w:val="0"/>
      <w:marRight w:val="0"/>
      <w:marTop w:val="0"/>
      <w:marBottom w:val="0"/>
      <w:divBdr>
        <w:top w:val="none" w:sz="0" w:space="0" w:color="auto"/>
        <w:left w:val="none" w:sz="0" w:space="0" w:color="auto"/>
        <w:bottom w:val="none" w:sz="0" w:space="0" w:color="auto"/>
        <w:right w:val="none" w:sz="0" w:space="0" w:color="auto"/>
      </w:divBdr>
    </w:div>
    <w:div w:id="1284844601">
      <w:bodyDiv w:val="1"/>
      <w:marLeft w:val="0"/>
      <w:marRight w:val="0"/>
      <w:marTop w:val="0"/>
      <w:marBottom w:val="0"/>
      <w:divBdr>
        <w:top w:val="none" w:sz="0" w:space="0" w:color="auto"/>
        <w:left w:val="none" w:sz="0" w:space="0" w:color="auto"/>
        <w:bottom w:val="none" w:sz="0" w:space="0" w:color="auto"/>
        <w:right w:val="none" w:sz="0" w:space="0" w:color="auto"/>
      </w:divBdr>
    </w:div>
    <w:div w:id="1305230897">
      <w:bodyDiv w:val="1"/>
      <w:marLeft w:val="0"/>
      <w:marRight w:val="0"/>
      <w:marTop w:val="0"/>
      <w:marBottom w:val="0"/>
      <w:divBdr>
        <w:top w:val="none" w:sz="0" w:space="0" w:color="auto"/>
        <w:left w:val="none" w:sz="0" w:space="0" w:color="auto"/>
        <w:bottom w:val="none" w:sz="0" w:space="0" w:color="auto"/>
        <w:right w:val="none" w:sz="0" w:space="0" w:color="auto"/>
      </w:divBdr>
    </w:div>
    <w:div w:id="1306277180">
      <w:bodyDiv w:val="1"/>
      <w:marLeft w:val="0"/>
      <w:marRight w:val="0"/>
      <w:marTop w:val="0"/>
      <w:marBottom w:val="0"/>
      <w:divBdr>
        <w:top w:val="none" w:sz="0" w:space="0" w:color="auto"/>
        <w:left w:val="none" w:sz="0" w:space="0" w:color="auto"/>
        <w:bottom w:val="none" w:sz="0" w:space="0" w:color="auto"/>
        <w:right w:val="none" w:sz="0" w:space="0" w:color="auto"/>
      </w:divBdr>
    </w:div>
    <w:div w:id="1307978821">
      <w:bodyDiv w:val="1"/>
      <w:marLeft w:val="0"/>
      <w:marRight w:val="0"/>
      <w:marTop w:val="0"/>
      <w:marBottom w:val="0"/>
      <w:divBdr>
        <w:top w:val="none" w:sz="0" w:space="0" w:color="auto"/>
        <w:left w:val="none" w:sz="0" w:space="0" w:color="auto"/>
        <w:bottom w:val="none" w:sz="0" w:space="0" w:color="auto"/>
        <w:right w:val="none" w:sz="0" w:space="0" w:color="auto"/>
      </w:divBdr>
    </w:div>
    <w:div w:id="1321496427">
      <w:bodyDiv w:val="1"/>
      <w:marLeft w:val="0"/>
      <w:marRight w:val="0"/>
      <w:marTop w:val="0"/>
      <w:marBottom w:val="0"/>
      <w:divBdr>
        <w:top w:val="none" w:sz="0" w:space="0" w:color="auto"/>
        <w:left w:val="none" w:sz="0" w:space="0" w:color="auto"/>
        <w:bottom w:val="none" w:sz="0" w:space="0" w:color="auto"/>
        <w:right w:val="none" w:sz="0" w:space="0" w:color="auto"/>
      </w:divBdr>
    </w:div>
    <w:div w:id="1339429751">
      <w:bodyDiv w:val="1"/>
      <w:marLeft w:val="0"/>
      <w:marRight w:val="0"/>
      <w:marTop w:val="0"/>
      <w:marBottom w:val="0"/>
      <w:divBdr>
        <w:top w:val="none" w:sz="0" w:space="0" w:color="auto"/>
        <w:left w:val="none" w:sz="0" w:space="0" w:color="auto"/>
        <w:bottom w:val="none" w:sz="0" w:space="0" w:color="auto"/>
        <w:right w:val="none" w:sz="0" w:space="0" w:color="auto"/>
      </w:divBdr>
    </w:div>
    <w:div w:id="1351446655">
      <w:bodyDiv w:val="1"/>
      <w:marLeft w:val="0"/>
      <w:marRight w:val="0"/>
      <w:marTop w:val="0"/>
      <w:marBottom w:val="0"/>
      <w:divBdr>
        <w:top w:val="none" w:sz="0" w:space="0" w:color="auto"/>
        <w:left w:val="none" w:sz="0" w:space="0" w:color="auto"/>
        <w:bottom w:val="none" w:sz="0" w:space="0" w:color="auto"/>
        <w:right w:val="none" w:sz="0" w:space="0" w:color="auto"/>
      </w:divBdr>
    </w:div>
    <w:div w:id="1360352588">
      <w:bodyDiv w:val="1"/>
      <w:marLeft w:val="0"/>
      <w:marRight w:val="0"/>
      <w:marTop w:val="0"/>
      <w:marBottom w:val="0"/>
      <w:divBdr>
        <w:top w:val="none" w:sz="0" w:space="0" w:color="auto"/>
        <w:left w:val="none" w:sz="0" w:space="0" w:color="auto"/>
        <w:bottom w:val="none" w:sz="0" w:space="0" w:color="auto"/>
        <w:right w:val="none" w:sz="0" w:space="0" w:color="auto"/>
      </w:divBdr>
    </w:div>
    <w:div w:id="1363558889">
      <w:bodyDiv w:val="1"/>
      <w:marLeft w:val="0"/>
      <w:marRight w:val="0"/>
      <w:marTop w:val="0"/>
      <w:marBottom w:val="0"/>
      <w:divBdr>
        <w:top w:val="none" w:sz="0" w:space="0" w:color="auto"/>
        <w:left w:val="none" w:sz="0" w:space="0" w:color="auto"/>
        <w:bottom w:val="none" w:sz="0" w:space="0" w:color="auto"/>
        <w:right w:val="none" w:sz="0" w:space="0" w:color="auto"/>
      </w:divBdr>
    </w:div>
    <w:div w:id="1372458722">
      <w:bodyDiv w:val="1"/>
      <w:marLeft w:val="0"/>
      <w:marRight w:val="0"/>
      <w:marTop w:val="0"/>
      <w:marBottom w:val="0"/>
      <w:divBdr>
        <w:top w:val="none" w:sz="0" w:space="0" w:color="auto"/>
        <w:left w:val="none" w:sz="0" w:space="0" w:color="auto"/>
        <w:bottom w:val="none" w:sz="0" w:space="0" w:color="auto"/>
        <w:right w:val="none" w:sz="0" w:space="0" w:color="auto"/>
      </w:divBdr>
    </w:div>
    <w:div w:id="1391422192">
      <w:bodyDiv w:val="1"/>
      <w:marLeft w:val="0"/>
      <w:marRight w:val="0"/>
      <w:marTop w:val="0"/>
      <w:marBottom w:val="0"/>
      <w:divBdr>
        <w:top w:val="none" w:sz="0" w:space="0" w:color="auto"/>
        <w:left w:val="none" w:sz="0" w:space="0" w:color="auto"/>
        <w:bottom w:val="none" w:sz="0" w:space="0" w:color="auto"/>
        <w:right w:val="none" w:sz="0" w:space="0" w:color="auto"/>
      </w:divBdr>
      <w:divsChild>
        <w:div w:id="784740267">
          <w:marLeft w:val="0"/>
          <w:marRight w:val="0"/>
          <w:marTop w:val="15"/>
          <w:marBottom w:val="0"/>
          <w:divBdr>
            <w:top w:val="single" w:sz="48" w:space="0" w:color="auto"/>
            <w:left w:val="single" w:sz="48" w:space="0" w:color="auto"/>
            <w:bottom w:val="single" w:sz="48" w:space="0" w:color="auto"/>
            <w:right w:val="single" w:sz="48" w:space="0" w:color="auto"/>
          </w:divBdr>
          <w:divsChild>
            <w:div w:id="1785032086">
              <w:marLeft w:val="0"/>
              <w:marRight w:val="0"/>
              <w:marTop w:val="0"/>
              <w:marBottom w:val="0"/>
              <w:divBdr>
                <w:top w:val="none" w:sz="0" w:space="0" w:color="auto"/>
                <w:left w:val="none" w:sz="0" w:space="0" w:color="auto"/>
                <w:bottom w:val="none" w:sz="0" w:space="0" w:color="auto"/>
                <w:right w:val="none" w:sz="0" w:space="0" w:color="auto"/>
              </w:divBdr>
              <w:divsChild>
                <w:div w:id="13382701">
                  <w:marLeft w:val="0"/>
                  <w:marRight w:val="0"/>
                  <w:marTop w:val="0"/>
                  <w:marBottom w:val="0"/>
                  <w:divBdr>
                    <w:top w:val="none" w:sz="0" w:space="0" w:color="auto"/>
                    <w:left w:val="none" w:sz="0" w:space="0" w:color="auto"/>
                    <w:bottom w:val="none" w:sz="0" w:space="0" w:color="auto"/>
                    <w:right w:val="none" w:sz="0" w:space="0" w:color="auto"/>
                  </w:divBdr>
                </w:div>
                <w:div w:id="62072976">
                  <w:marLeft w:val="0"/>
                  <w:marRight w:val="0"/>
                  <w:marTop w:val="0"/>
                  <w:marBottom w:val="0"/>
                  <w:divBdr>
                    <w:top w:val="none" w:sz="0" w:space="0" w:color="auto"/>
                    <w:left w:val="none" w:sz="0" w:space="0" w:color="auto"/>
                    <w:bottom w:val="none" w:sz="0" w:space="0" w:color="auto"/>
                    <w:right w:val="none" w:sz="0" w:space="0" w:color="auto"/>
                  </w:divBdr>
                </w:div>
                <w:div w:id="149833038">
                  <w:marLeft w:val="0"/>
                  <w:marRight w:val="0"/>
                  <w:marTop w:val="0"/>
                  <w:marBottom w:val="0"/>
                  <w:divBdr>
                    <w:top w:val="none" w:sz="0" w:space="0" w:color="auto"/>
                    <w:left w:val="none" w:sz="0" w:space="0" w:color="auto"/>
                    <w:bottom w:val="none" w:sz="0" w:space="0" w:color="auto"/>
                    <w:right w:val="none" w:sz="0" w:space="0" w:color="auto"/>
                  </w:divBdr>
                </w:div>
                <w:div w:id="498227633">
                  <w:marLeft w:val="0"/>
                  <w:marRight w:val="0"/>
                  <w:marTop w:val="0"/>
                  <w:marBottom w:val="0"/>
                  <w:divBdr>
                    <w:top w:val="none" w:sz="0" w:space="0" w:color="auto"/>
                    <w:left w:val="none" w:sz="0" w:space="0" w:color="auto"/>
                    <w:bottom w:val="none" w:sz="0" w:space="0" w:color="auto"/>
                    <w:right w:val="none" w:sz="0" w:space="0" w:color="auto"/>
                  </w:divBdr>
                </w:div>
                <w:div w:id="663631697">
                  <w:marLeft w:val="0"/>
                  <w:marRight w:val="0"/>
                  <w:marTop w:val="0"/>
                  <w:marBottom w:val="0"/>
                  <w:divBdr>
                    <w:top w:val="none" w:sz="0" w:space="0" w:color="auto"/>
                    <w:left w:val="none" w:sz="0" w:space="0" w:color="auto"/>
                    <w:bottom w:val="none" w:sz="0" w:space="0" w:color="auto"/>
                    <w:right w:val="none" w:sz="0" w:space="0" w:color="auto"/>
                  </w:divBdr>
                </w:div>
                <w:div w:id="790170167">
                  <w:marLeft w:val="0"/>
                  <w:marRight w:val="0"/>
                  <w:marTop w:val="0"/>
                  <w:marBottom w:val="0"/>
                  <w:divBdr>
                    <w:top w:val="none" w:sz="0" w:space="0" w:color="auto"/>
                    <w:left w:val="none" w:sz="0" w:space="0" w:color="auto"/>
                    <w:bottom w:val="none" w:sz="0" w:space="0" w:color="auto"/>
                    <w:right w:val="none" w:sz="0" w:space="0" w:color="auto"/>
                  </w:divBdr>
                </w:div>
                <w:div w:id="874580065">
                  <w:marLeft w:val="0"/>
                  <w:marRight w:val="0"/>
                  <w:marTop w:val="0"/>
                  <w:marBottom w:val="0"/>
                  <w:divBdr>
                    <w:top w:val="none" w:sz="0" w:space="0" w:color="auto"/>
                    <w:left w:val="none" w:sz="0" w:space="0" w:color="auto"/>
                    <w:bottom w:val="none" w:sz="0" w:space="0" w:color="auto"/>
                    <w:right w:val="none" w:sz="0" w:space="0" w:color="auto"/>
                  </w:divBdr>
                </w:div>
                <w:div w:id="1015501195">
                  <w:marLeft w:val="0"/>
                  <w:marRight w:val="0"/>
                  <w:marTop w:val="0"/>
                  <w:marBottom w:val="0"/>
                  <w:divBdr>
                    <w:top w:val="none" w:sz="0" w:space="0" w:color="auto"/>
                    <w:left w:val="none" w:sz="0" w:space="0" w:color="auto"/>
                    <w:bottom w:val="none" w:sz="0" w:space="0" w:color="auto"/>
                    <w:right w:val="none" w:sz="0" w:space="0" w:color="auto"/>
                  </w:divBdr>
                </w:div>
                <w:div w:id="1035235996">
                  <w:marLeft w:val="0"/>
                  <w:marRight w:val="0"/>
                  <w:marTop w:val="0"/>
                  <w:marBottom w:val="0"/>
                  <w:divBdr>
                    <w:top w:val="none" w:sz="0" w:space="0" w:color="auto"/>
                    <w:left w:val="none" w:sz="0" w:space="0" w:color="auto"/>
                    <w:bottom w:val="none" w:sz="0" w:space="0" w:color="auto"/>
                    <w:right w:val="none" w:sz="0" w:space="0" w:color="auto"/>
                  </w:divBdr>
                </w:div>
                <w:div w:id="1142964956">
                  <w:marLeft w:val="0"/>
                  <w:marRight w:val="0"/>
                  <w:marTop w:val="0"/>
                  <w:marBottom w:val="0"/>
                  <w:divBdr>
                    <w:top w:val="none" w:sz="0" w:space="0" w:color="auto"/>
                    <w:left w:val="none" w:sz="0" w:space="0" w:color="auto"/>
                    <w:bottom w:val="none" w:sz="0" w:space="0" w:color="auto"/>
                    <w:right w:val="none" w:sz="0" w:space="0" w:color="auto"/>
                  </w:divBdr>
                </w:div>
                <w:div w:id="1537230861">
                  <w:marLeft w:val="0"/>
                  <w:marRight w:val="0"/>
                  <w:marTop w:val="0"/>
                  <w:marBottom w:val="0"/>
                  <w:divBdr>
                    <w:top w:val="none" w:sz="0" w:space="0" w:color="auto"/>
                    <w:left w:val="none" w:sz="0" w:space="0" w:color="auto"/>
                    <w:bottom w:val="none" w:sz="0" w:space="0" w:color="auto"/>
                    <w:right w:val="none" w:sz="0" w:space="0" w:color="auto"/>
                  </w:divBdr>
                </w:div>
                <w:div w:id="1590849997">
                  <w:marLeft w:val="0"/>
                  <w:marRight w:val="0"/>
                  <w:marTop w:val="0"/>
                  <w:marBottom w:val="0"/>
                  <w:divBdr>
                    <w:top w:val="none" w:sz="0" w:space="0" w:color="auto"/>
                    <w:left w:val="none" w:sz="0" w:space="0" w:color="auto"/>
                    <w:bottom w:val="none" w:sz="0" w:space="0" w:color="auto"/>
                    <w:right w:val="none" w:sz="0" w:space="0" w:color="auto"/>
                  </w:divBdr>
                </w:div>
                <w:div w:id="1594126792">
                  <w:marLeft w:val="0"/>
                  <w:marRight w:val="0"/>
                  <w:marTop w:val="0"/>
                  <w:marBottom w:val="0"/>
                  <w:divBdr>
                    <w:top w:val="none" w:sz="0" w:space="0" w:color="auto"/>
                    <w:left w:val="none" w:sz="0" w:space="0" w:color="auto"/>
                    <w:bottom w:val="none" w:sz="0" w:space="0" w:color="auto"/>
                    <w:right w:val="none" w:sz="0" w:space="0" w:color="auto"/>
                  </w:divBdr>
                </w:div>
                <w:div w:id="1916238727">
                  <w:marLeft w:val="0"/>
                  <w:marRight w:val="0"/>
                  <w:marTop w:val="0"/>
                  <w:marBottom w:val="0"/>
                  <w:divBdr>
                    <w:top w:val="none" w:sz="0" w:space="0" w:color="auto"/>
                    <w:left w:val="none" w:sz="0" w:space="0" w:color="auto"/>
                    <w:bottom w:val="none" w:sz="0" w:space="0" w:color="auto"/>
                    <w:right w:val="none" w:sz="0" w:space="0" w:color="auto"/>
                  </w:divBdr>
                </w:div>
                <w:div w:id="206394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657301">
          <w:marLeft w:val="0"/>
          <w:marRight w:val="0"/>
          <w:marTop w:val="15"/>
          <w:marBottom w:val="0"/>
          <w:divBdr>
            <w:top w:val="single" w:sz="48" w:space="0" w:color="auto"/>
            <w:left w:val="single" w:sz="48" w:space="0" w:color="auto"/>
            <w:bottom w:val="single" w:sz="48" w:space="0" w:color="auto"/>
            <w:right w:val="single" w:sz="48" w:space="0" w:color="auto"/>
          </w:divBdr>
          <w:divsChild>
            <w:div w:id="1952975344">
              <w:marLeft w:val="0"/>
              <w:marRight w:val="0"/>
              <w:marTop w:val="0"/>
              <w:marBottom w:val="0"/>
              <w:divBdr>
                <w:top w:val="none" w:sz="0" w:space="0" w:color="auto"/>
                <w:left w:val="none" w:sz="0" w:space="0" w:color="auto"/>
                <w:bottom w:val="none" w:sz="0" w:space="0" w:color="auto"/>
                <w:right w:val="none" w:sz="0" w:space="0" w:color="auto"/>
              </w:divBdr>
              <w:divsChild>
                <w:div w:id="24600231">
                  <w:marLeft w:val="0"/>
                  <w:marRight w:val="0"/>
                  <w:marTop w:val="0"/>
                  <w:marBottom w:val="0"/>
                  <w:divBdr>
                    <w:top w:val="none" w:sz="0" w:space="0" w:color="auto"/>
                    <w:left w:val="none" w:sz="0" w:space="0" w:color="auto"/>
                    <w:bottom w:val="none" w:sz="0" w:space="0" w:color="auto"/>
                    <w:right w:val="none" w:sz="0" w:space="0" w:color="auto"/>
                  </w:divBdr>
                </w:div>
                <w:div w:id="749085863">
                  <w:marLeft w:val="0"/>
                  <w:marRight w:val="0"/>
                  <w:marTop w:val="0"/>
                  <w:marBottom w:val="0"/>
                  <w:divBdr>
                    <w:top w:val="none" w:sz="0" w:space="0" w:color="auto"/>
                    <w:left w:val="none" w:sz="0" w:space="0" w:color="auto"/>
                    <w:bottom w:val="none" w:sz="0" w:space="0" w:color="auto"/>
                    <w:right w:val="none" w:sz="0" w:space="0" w:color="auto"/>
                  </w:divBdr>
                </w:div>
                <w:div w:id="1054353460">
                  <w:marLeft w:val="0"/>
                  <w:marRight w:val="0"/>
                  <w:marTop w:val="0"/>
                  <w:marBottom w:val="0"/>
                  <w:divBdr>
                    <w:top w:val="none" w:sz="0" w:space="0" w:color="auto"/>
                    <w:left w:val="none" w:sz="0" w:space="0" w:color="auto"/>
                    <w:bottom w:val="none" w:sz="0" w:space="0" w:color="auto"/>
                    <w:right w:val="none" w:sz="0" w:space="0" w:color="auto"/>
                  </w:divBdr>
                </w:div>
                <w:div w:id="1178885456">
                  <w:marLeft w:val="0"/>
                  <w:marRight w:val="0"/>
                  <w:marTop w:val="0"/>
                  <w:marBottom w:val="0"/>
                  <w:divBdr>
                    <w:top w:val="none" w:sz="0" w:space="0" w:color="auto"/>
                    <w:left w:val="none" w:sz="0" w:space="0" w:color="auto"/>
                    <w:bottom w:val="none" w:sz="0" w:space="0" w:color="auto"/>
                    <w:right w:val="none" w:sz="0" w:space="0" w:color="auto"/>
                  </w:divBdr>
                </w:div>
                <w:div w:id="1639261013">
                  <w:marLeft w:val="0"/>
                  <w:marRight w:val="0"/>
                  <w:marTop w:val="0"/>
                  <w:marBottom w:val="0"/>
                  <w:divBdr>
                    <w:top w:val="none" w:sz="0" w:space="0" w:color="auto"/>
                    <w:left w:val="none" w:sz="0" w:space="0" w:color="auto"/>
                    <w:bottom w:val="none" w:sz="0" w:space="0" w:color="auto"/>
                    <w:right w:val="none" w:sz="0" w:space="0" w:color="auto"/>
                  </w:divBdr>
                </w:div>
                <w:div w:id="183313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279157">
      <w:bodyDiv w:val="1"/>
      <w:marLeft w:val="0"/>
      <w:marRight w:val="0"/>
      <w:marTop w:val="0"/>
      <w:marBottom w:val="0"/>
      <w:divBdr>
        <w:top w:val="none" w:sz="0" w:space="0" w:color="auto"/>
        <w:left w:val="none" w:sz="0" w:space="0" w:color="auto"/>
        <w:bottom w:val="none" w:sz="0" w:space="0" w:color="auto"/>
        <w:right w:val="none" w:sz="0" w:space="0" w:color="auto"/>
      </w:divBdr>
    </w:div>
    <w:div w:id="1406534062">
      <w:bodyDiv w:val="1"/>
      <w:marLeft w:val="0"/>
      <w:marRight w:val="0"/>
      <w:marTop w:val="0"/>
      <w:marBottom w:val="0"/>
      <w:divBdr>
        <w:top w:val="none" w:sz="0" w:space="0" w:color="auto"/>
        <w:left w:val="none" w:sz="0" w:space="0" w:color="auto"/>
        <w:bottom w:val="none" w:sz="0" w:space="0" w:color="auto"/>
        <w:right w:val="none" w:sz="0" w:space="0" w:color="auto"/>
      </w:divBdr>
    </w:div>
    <w:div w:id="1422874051">
      <w:bodyDiv w:val="1"/>
      <w:marLeft w:val="0"/>
      <w:marRight w:val="0"/>
      <w:marTop w:val="0"/>
      <w:marBottom w:val="0"/>
      <w:divBdr>
        <w:top w:val="none" w:sz="0" w:space="0" w:color="auto"/>
        <w:left w:val="none" w:sz="0" w:space="0" w:color="auto"/>
        <w:bottom w:val="none" w:sz="0" w:space="0" w:color="auto"/>
        <w:right w:val="none" w:sz="0" w:space="0" w:color="auto"/>
      </w:divBdr>
    </w:div>
    <w:div w:id="1443650642">
      <w:bodyDiv w:val="1"/>
      <w:marLeft w:val="0"/>
      <w:marRight w:val="0"/>
      <w:marTop w:val="0"/>
      <w:marBottom w:val="0"/>
      <w:divBdr>
        <w:top w:val="none" w:sz="0" w:space="0" w:color="auto"/>
        <w:left w:val="none" w:sz="0" w:space="0" w:color="auto"/>
        <w:bottom w:val="none" w:sz="0" w:space="0" w:color="auto"/>
        <w:right w:val="none" w:sz="0" w:space="0" w:color="auto"/>
      </w:divBdr>
    </w:div>
    <w:div w:id="1487160378">
      <w:bodyDiv w:val="1"/>
      <w:marLeft w:val="0"/>
      <w:marRight w:val="0"/>
      <w:marTop w:val="0"/>
      <w:marBottom w:val="0"/>
      <w:divBdr>
        <w:top w:val="none" w:sz="0" w:space="0" w:color="auto"/>
        <w:left w:val="none" w:sz="0" w:space="0" w:color="auto"/>
        <w:bottom w:val="none" w:sz="0" w:space="0" w:color="auto"/>
        <w:right w:val="none" w:sz="0" w:space="0" w:color="auto"/>
      </w:divBdr>
    </w:div>
    <w:div w:id="1501240354">
      <w:bodyDiv w:val="1"/>
      <w:marLeft w:val="0"/>
      <w:marRight w:val="0"/>
      <w:marTop w:val="0"/>
      <w:marBottom w:val="0"/>
      <w:divBdr>
        <w:top w:val="none" w:sz="0" w:space="0" w:color="auto"/>
        <w:left w:val="none" w:sz="0" w:space="0" w:color="auto"/>
        <w:bottom w:val="none" w:sz="0" w:space="0" w:color="auto"/>
        <w:right w:val="none" w:sz="0" w:space="0" w:color="auto"/>
      </w:divBdr>
    </w:div>
    <w:div w:id="1502355372">
      <w:bodyDiv w:val="1"/>
      <w:marLeft w:val="0"/>
      <w:marRight w:val="0"/>
      <w:marTop w:val="0"/>
      <w:marBottom w:val="0"/>
      <w:divBdr>
        <w:top w:val="none" w:sz="0" w:space="0" w:color="auto"/>
        <w:left w:val="none" w:sz="0" w:space="0" w:color="auto"/>
        <w:bottom w:val="none" w:sz="0" w:space="0" w:color="auto"/>
        <w:right w:val="none" w:sz="0" w:space="0" w:color="auto"/>
      </w:divBdr>
    </w:div>
    <w:div w:id="1504933769">
      <w:bodyDiv w:val="1"/>
      <w:marLeft w:val="0"/>
      <w:marRight w:val="0"/>
      <w:marTop w:val="0"/>
      <w:marBottom w:val="0"/>
      <w:divBdr>
        <w:top w:val="none" w:sz="0" w:space="0" w:color="auto"/>
        <w:left w:val="none" w:sz="0" w:space="0" w:color="auto"/>
        <w:bottom w:val="none" w:sz="0" w:space="0" w:color="auto"/>
        <w:right w:val="none" w:sz="0" w:space="0" w:color="auto"/>
      </w:divBdr>
    </w:div>
    <w:div w:id="1508129554">
      <w:bodyDiv w:val="1"/>
      <w:marLeft w:val="0"/>
      <w:marRight w:val="0"/>
      <w:marTop w:val="0"/>
      <w:marBottom w:val="0"/>
      <w:divBdr>
        <w:top w:val="none" w:sz="0" w:space="0" w:color="auto"/>
        <w:left w:val="none" w:sz="0" w:space="0" w:color="auto"/>
        <w:bottom w:val="none" w:sz="0" w:space="0" w:color="auto"/>
        <w:right w:val="none" w:sz="0" w:space="0" w:color="auto"/>
      </w:divBdr>
    </w:div>
    <w:div w:id="1508132000">
      <w:bodyDiv w:val="1"/>
      <w:marLeft w:val="0"/>
      <w:marRight w:val="0"/>
      <w:marTop w:val="0"/>
      <w:marBottom w:val="0"/>
      <w:divBdr>
        <w:top w:val="none" w:sz="0" w:space="0" w:color="auto"/>
        <w:left w:val="none" w:sz="0" w:space="0" w:color="auto"/>
        <w:bottom w:val="none" w:sz="0" w:space="0" w:color="auto"/>
        <w:right w:val="none" w:sz="0" w:space="0" w:color="auto"/>
      </w:divBdr>
    </w:div>
    <w:div w:id="1512574089">
      <w:bodyDiv w:val="1"/>
      <w:marLeft w:val="0"/>
      <w:marRight w:val="0"/>
      <w:marTop w:val="0"/>
      <w:marBottom w:val="0"/>
      <w:divBdr>
        <w:top w:val="none" w:sz="0" w:space="0" w:color="auto"/>
        <w:left w:val="none" w:sz="0" w:space="0" w:color="auto"/>
        <w:bottom w:val="none" w:sz="0" w:space="0" w:color="auto"/>
        <w:right w:val="none" w:sz="0" w:space="0" w:color="auto"/>
      </w:divBdr>
    </w:div>
    <w:div w:id="1519125085">
      <w:bodyDiv w:val="1"/>
      <w:marLeft w:val="0"/>
      <w:marRight w:val="0"/>
      <w:marTop w:val="0"/>
      <w:marBottom w:val="0"/>
      <w:divBdr>
        <w:top w:val="none" w:sz="0" w:space="0" w:color="auto"/>
        <w:left w:val="none" w:sz="0" w:space="0" w:color="auto"/>
        <w:bottom w:val="none" w:sz="0" w:space="0" w:color="auto"/>
        <w:right w:val="none" w:sz="0" w:space="0" w:color="auto"/>
      </w:divBdr>
    </w:div>
    <w:div w:id="1531798645">
      <w:bodyDiv w:val="1"/>
      <w:marLeft w:val="0"/>
      <w:marRight w:val="0"/>
      <w:marTop w:val="0"/>
      <w:marBottom w:val="0"/>
      <w:divBdr>
        <w:top w:val="none" w:sz="0" w:space="0" w:color="auto"/>
        <w:left w:val="none" w:sz="0" w:space="0" w:color="auto"/>
        <w:bottom w:val="none" w:sz="0" w:space="0" w:color="auto"/>
        <w:right w:val="none" w:sz="0" w:space="0" w:color="auto"/>
      </w:divBdr>
    </w:div>
    <w:div w:id="1537085063">
      <w:bodyDiv w:val="1"/>
      <w:marLeft w:val="0"/>
      <w:marRight w:val="0"/>
      <w:marTop w:val="0"/>
      <w:marBottom w:val="0"/>
      <w:divBdr>
        <w:top w:val="none" w:sz="0" w:space="0" w:color="auto"/>
        <w:left w:val="none" w:sz="0" w:space="0" w:color="auto"/>
        <w:bottom w:val="none" w:sz="0" w:space="0" w:color="auto"/>
        <w:right w:val="none" w:sz="0" w:space="0" w:color="auto"/>
      </w:divBdr>
    </w:div>
    <w:div w:id="1551964080">
      <w:bodyDiv w:val="1"/>
      <w:marLeft w:val="0"/>
      <w:marRight w:val="0"/>
      <w:marTop w:val="0"/>
      <w:marBottom w:val="0"/>
      <w:divBdr>
        <w:top w:val="none" w:sz="0" w:space="0" w:color="auto"/>
        <w:left w:val="none" w:sz="0" w:space="0" w:color="auto"/>
        <w:bottom w:val="none" w:sz="0" w:space="0" w:color="auto"/>
        <w:right w:val="none" w:sz="0" w:space="0" w:color="auto"/>
      </w:divBdr>
    </w:div>
    <w:div w:id="1569614291">
      <w:bodyDiv w:val="1"/>
      <w:marLeft w:val="0"/>
      <w:marRight w:val="0"/>
      <w:marTop w:val="0"/>
      <w:marBottom w:val="0"/>
      <w:divBdr>
        <w:top w:val="none" w:sz="0" w:space="0" w:color="auto"/>
        <w:left w:val="none" w:sz="0" w:space="0" w:color="auto"/>
        <w:bottom w:val="none" w:sz="0" w:space="0" w:color="auto"/>
        <w:right w:val="none" w:sz="0" w:space="0" w:color="auto"/>
      </w:divBdr>
    </w:div>
    <w:div w:id="1602487453">
      <w:bodyDiv w:val="1"/>
      <w:marLeft w:val="0"/>
      <w:marRight w:val="0"/>
      <w:marTop w:val="0"/>
      <w:marBottom w:val="0"/>
      <w:divBdr>
        <w:top w:val="none" w:sz="0" w:space="0" w:color="auto"/>
        <w:left w:val="none" w:sz="0" w:space="0" w:color="auto"/>
        <w:bottom w:val="none" w:sz="0" w:space="0" w:color="auto"/>
        <w:right w:val="none" w:sz="0" w:space="0" w:color="auto"/>
      </w:divBdr>
    </w:div>
    <w:div w:id="1602562769">
      <w:bodyDiv w:val="1"/>
      <w:marLeft w:val="0"/>
      <w:marRight w:val="0"/>
      <w:marTop w:val="0"/>
      <w:marBottom w:val="0"/>
      <w:divBdr>
        <w:top w:val="none" w:sz="0" w:space="0" w:color="auto"/>
        <w:left w:val="none" w:sz="0" w:space="0" w:color="auto"/>
        <w:bottom w:val="none" w:sz="0" w:space="0" w:color="auto"/>
        <w:right w:val="none" w:sz="0" w:space="0" w:color="auto"/>
      </w:divBdr>
    </w:div>
    <w:div w:id="1605989523">
      <w:bodyDiv w:val="1"/>
      <w:marLeft w:val="0"/>
      <w:marRight w:val="0"/>
      <w:marTop w:val="0"/>
      <w:marBottom w:val="0"/>
      <w:divBdr>
        <w:top w:val="none" w:sz="0" w:space="0" w:color="auto"/>
        <w:left w:val="none" w:sz="0" w:space="0" w:color="auto"/>
        <w:bottom w:val="none" w:sz="0" w:space="0" w:color="auto"/>
        <w:right w:val="none" w:sz="0" w:space="0" w:color="auto"/>
      </w:divBdr>
    </w:div>
    <w:div w:id="1617254062">
      <w:bodyDiv w:val="1"/>
      <w:marLeft w:val="0"/>
      <w:marRight w:val="0"/>
      <w:marTop w:val="0"/>
      <w:marBottom w:val="0"/>
      <w:divBdr>
        <w:top w:val="none" w:sz="0" w:space="0" w:color="auto"/>
        <w:left w:val="none" w:sz="0" w:space="0" w:color="auto"/>
        <w:bottom w:val="none" w:sz="0" w:space="0" w:color="auto"/>
        <w:right w:val="none" w:sz="0" w:space="0" w:color="auto"/>
      </w:divBdr>
    </w:div>
    <w:div w:id="1619677564">
      <w:bodyDiv w:val="1"/>
      <w:marLeft w:val="0"/>
      <w:marRight w:val="0"/>
      <w:marTop w:val="0"/>
      <w:marBottom w:val="0"/>
      <w:divBdr>
        <w:top w:val="none" w:sz="0" w:space="0" w:color="auto"/>
        <w:left w:val="none" w:sz="0" w:space="0" w:color="auto"/>
        <w:bottom w:val="none" w:sz="0" w:space="0" w:color="auto"/>
        <w:right w:val="none" w:sz="0" w:space="0" w:color="auto"/>
      </w:divBdr>
    </w:div>
    <w:div w:id="1640647819">
      <w:bodyDiv w:val="1"/>
      <w:marLeft w:val="0"/>
      <w:marRight w:val="0"/>
      <w:marTop w:val="0"/>
      <w:marBottom w:val="0"/>
      <w:divBdr>
        <w:top w:val="none" w:sz="0" w:space="0" w:color="auto"/>
        <w:left w:val="none" w:sz="0" w:space="0" w:color="auto"/>
        <w:bottom w:val="none" w:sz="0" w:space="0" w:color="auto"/>
        <w:right w:val="none" w:sz="0" w:space="0" w:color="auto"/>
      </w:divBdr>
    </w:div>
    <w:div w:id="1662464667">
      <w:bodyDiv w:val="1"/>
      <w:marLeft w:val="0"/>
      <w:marRight w:val="0"/>
      <w:marTop w:val="0"/>
      <w:marBottom w:val="0"/>
      <w:divBdr>
        <w:top w:val="none" w:sz="0" w:space="0" w:color="auto"/>
        <w:left w:val="none" w:sz="0" w:space="0" w:color="auto"/>
        <w:bottom w:val="none" w:sz="0" w:space="0" w:color="auto"/>
        <w:right w:val="none" w:sz="0" w:space="0" w:color="auto"/>
      </w:divBdr>
    </w:div>
    <w:div w:id="1675261228">
      <w:bodyDiv w:val="1"/>
      <w:marLeft w:val="0"/>
      <w:marRight w:val="0"/>
      <w:marTop w:val="0"/>
      <w:marBottom w:val="0"/>
      <w:divBdr>
        <w:top w:val="none" w:sz="0" w:space="0" w:color="auto"/>
        <w:left w:val="none" w:sz="0" w:space="0" w:color="auto"/>
        <w:bottom w:val="none" w:sz="0" w:space="0" w:color="auto"/>
        <w:right w:val="none" w:sz="0" w:space="0" w:color="auto"/>
      </w:divBdr>
    </w:div>
    <w:div w:id="1702392200">
      <w:bodyDiv w:val="1"/>
      <w:marLeft w:val="0"/>
      <w:marRight w:val="0"/>
      <w:marTop w:val="0"/>
      <w:marBottom w:val="0"/>
      <w:divBdr>
        <w:top w:val="none" w:sz="0" w:space="0" w:color="auto"/>
        <w:left w:val="none" w:sz="0" w:space="0" w:color="auto"/>
        <w:bottom w:val="none" w:sz="0" w:space="0" w:color="auto"/>
        <w:right w:val="none" w:sz="0" w:space="0" w:color="auto"/>
      </w:divBdr>
    </w:div>
    <w:div w:id="1707172432">
      <w:bodyDiv w:val="1"/>
      <w:marLeft w:val="0"/>
      <w:marRight w:val="0"/>
      <w:marTop w:val="0"/>
      <w:marBottom w:val="0"/>
      <w:divBdr>
        <w:top w:val="none" w:sz="0" w:space="0" w:color="auto"/>
        <w:left w:val="none" w:sz="0" w:space="0" w:color="auto"/>
        <w:bottom w:val="none" w:sz="0" w:space="0" w:color="auto"/>
        <w:right w:val="none" w:sz="0" w:space="0" w:color="auto"/>
      </w:divBdr>
    </w:div>
    <w:div w:id="1747650353">
      <w:bodyDiv w:val="1"/>
      <w:marLeft w:val="0"/>
      <w:marRight w:val="0"/>
      <w:marTop w:val="0"/>
      <w:marBottom w:val="0"/>
      <w:divBdr>
        <w:top w:val="none" w:sz="0" w:space="0" w:color="auto"/>
        <w:left w:val="none" w:sz="0" w:space="0" w:color="auto"/>
        <w:bottom w:val="none" w:sz="0" w:space="0" w:color="auto"/>
        <w:right w:val="none" w:sz="0" w:space="0" w:color="auto"/>
      </w:divBdr>
    </w:div>
    <w:div w:id="1750425212">
      <w:bodyDiv w:val="1"/>
      <w:marLeft w:val="0"/>
      <w:marRight w:val="0"/>
      <w:marTop w:val="0"/>
      <w:marBottom w:val="0"/>
      <w:divBdr>
        <w:top w:val="none" w:sz="0" w:space="0" w:color="auto"/>
        <w:left w:val="none" w:sz="0" w:space="0" w:color="auto"/>
        <w:bottom w:val="none" w:sz="0" w:space="0" w:color="auto"/>
        <w:right w:val="none" w:sz="0" w:space="0" w:color="auto"/>
      </w:divBdr>
    </w:div>
    <w:div w:id="1773891615">
      <w:bodyDiv w:val="1"/>
      <w:marLeft w:val="0"/>
      <w:marRight w:val="0"/>
      <w:marTop w:val="0"/>
      <w:marBottom w:val="0"/>
      <w:divBdr>
        <w:top w:val="none" w:sz="0" w:space="0" w:color="auto"/>
        <w:left w:val="none" w:sz="0" w:space="0" w:color="auto"/>
        <w:bottom w:val="none" w:sz="0" w:space="0" w:color="auto"/>
        <w:right w:val="none" w:sz="0" w:space="0" w:color="auto"/>
      </w:divBdr>
    </w:div>
    <w:div w:id="1793867218">
      <w:bodyDiv w:val="1"/>
      <w:marLeft w:val="0"/>
      <w:marRight w:val="0"/>
      <w:marTop w:val="0"/>
      <w:marBottom w:val="0"/>
      <w:divBdr>
        <w:top w:val="none" w:sz="0" w:space="0" w:color="auto"/>
        <w:left w:val="none" w:sz="0" w:space="0" w:color="auto"/>
        <w:bottom w:val="none" w:sz="0" w:space="0" w:color="auto"/>
        <w:right w:val="none" w:sz="0" w:space="0" w:color="auto"/>
      </w:divBdr>
    </w:div>
    <w:div w:id="1814180665">
      <w:bodyDiv w:val="1"/>
      <w:marLeft w:val="0"/>
      <w:marRight w:val="0"/>
      <w:marTop w:val="0"/>
      <w:marBottom w:val="0"/>
      <w:divBdr>
        <w:top w:val="none" w:sz="0" w:space="0" w:color="auto"/>
        <w:left w:val="none" w:sz="0" w:space="0" w:color="auto"/>
        <w:bottom w:val="none" w:sz="0" w:space="0" w:color="auto"/>
        <w:right w:val="none" w:sz="0" w:space="0" w:color="auto"/>
      </w:divBdr>
    </w:div>
    <w:div w:id="1815828628">
      <w:bodyDiv w:val="1"/>
      <w:marLeft w:val="0"/>
      <w:marRight w:val="0"/>
      <w:marTop w:val="0"/>
      <w:marBottom w:val="0"/>
      <w:divBdr>
        <w:top w:val="none" w:sz="0" w:space="0" w:color="auto"/>
        <w:left w:val="none" w:sz="0" w:space="0" w:color="auto"/>
        <w:bottom w:val="none" w:sz="0" w:space="0" w:color="auto"/>
        <w:right w:val="none" w:sz="0" w:space="0" w:color="auto"/>
      </w:divBdr>
    </w:div>
    <w:div w:id="1819613370">
      <w:bodyDiv w:val="1"/>
      <w:marLeft w:val="0"/>
      <w:marRight w:val="0"/>
      <w:marTop w:val="0"/>
      <w:marBottom w:val="0"/>
      <w:divBdr>
        <w:top w:val="none" w:sz="0" w:space="0" w:color="auto"/>
        <w:left w:val="none" w:sz="0" w:space="0" w:color="auto"/>
        <w:bottom w:val="none" w:sz="0" w:space="0" w:color="auto"/>
        <w:right w:val="none" w:sz="0" w:space="0" w:color="auto"/>
      </w:divBdr>
    </w:div>
    <w:div w:id="1820152857">
      <w:bodyDiv w:val="1"/>
      <w:marLeft w:val="0"/>
      <w:marRight w:val="0"/>
      <w:marTop w:val="0"/>
      <w:marBottom w:val="0"/>
      <w:divBdr>
        <w:top w:val="none" w:sz="0" w:space="0" w:color="auto"/>
        <w:left w:val="none" w:sz="0" w:space="0" w:color="auto"/>
        <w:bottom w:val="none" w:sz="0" w:space="0" w:color="auto"/>
        <w:right w:val="none" w:sz="0" w:space="0" w:color="auto"/>
      </w:divBdr>
    </w:div>
    <w:div w:id="1821841674">
      <w:bodyDiv w:val="1"/>
      <w:marLeft w:val="0"/>
      <w:marRight w:val="0"/>
      <w:marTop w:val="0"/>
      <w:marBottom w:val="0"/>
      <w:divBdr>
        <w:top w:val="none" w:sz="0" w:space="0" w:color="auto"/>
        <w:left w:val="none" w:sz="0" w:space="0" w:color="auto"/>
        <w:bottom w:val="none" w:sz="0" w:space="0" w:color="auto"/>
        <w:right w:val="none" w:sz="0" w:space="0" w:color="auto"/>
      </w:divBdr>
    </w:div>
    <w:div w:id="1823808862">
      <w:bodyDiv w:val="1"/>
      <w:marLeft w:val="0"/>
      <w:marRight w:val="0"/>
      <w:marTop w:val="0"/>
      <w:marBottom w:val="0"/>
      <w:divBdr>
        <w:top w:val="none" w:sz="0" w:space="0" w:color="auto"/>
        <w:left w:val="none" w:sz="0" w:space="0" w:color="auto"/>
        <w:bottom w:val="none" w:sz="0" w:space="0" w:color="auto"/>
        <w:right w:val="none" w:sz="0" w:space="0" w:color="auto"/>
      </w:divBdr>
    </w:div>
    <w:div w:id="1844926676">
      <w:bodyDiv w:val="1"/>
      <w:marLeft w:val="0"/>
      <w:marRight w:val="0"/>
      <w:marTop w:val="0"/>
      <w:marBottom w:val="0"/>
      <w:divBdr>
        <w:top w:val="none" w:sz="0" w:space="0" w:color="auto"/>
        <w:left w:val="none" w:sz="0" w:space="0" w:color="auto"/>
        <w:bottom w:val="none" w:sz="0" w:space="0" w:color="auto"/>
        <w:right w:val="none" w:sz="0" w:space="0" w:color="auto"/>
      </w:divBdr>
    </w:div>
    <w:div w:id="1866139091">
      <w:bodyDiv w:val="1"/>
      <w:marLeft w:val="0"/>
      <w:marRight w:val="0"/>
      <w:marTop w:val="0"/>
      <w:marBottom w:val="0"/>
      <w:divBdr>
        <w:top w:val="none" w:sz="0" w:space="0" w:color="auto"/>
        <w:left w:val="none" w:sz="0" w:space="0" w:color="auto"/>
        <w:bottom w:val="none" w:sz="0" w:space="0" w:color="auto"/>
        <w:right w:val="none" w:sz="0" w:space="0" w:color="auto"/>
      </w:divBdr>
    </w:div>
    <w:div w:id="1877690174">
      <w:bodyDiv w:val="1"/>
      <w:marLeft w:val="0"/>
      <w:marRight w:val="0"/>
      <w:marTop w:val="0"/>
      <w:marBottom w:val="0"/>
      <w:divBdr>
        <w:top w:val="none" w:sz="0" w:space="0" w:color="auto"/>
        <w:left w:val="none" w:sz="0" w:space="0" w:color="auto"/>
        <w:bottom w:val="none" w:sz="0" w:space="0" w:color="auto"/>
        <w:right w:val="none" w:sz="0" w:space="0" w:color="auto"/>
      </w:divBdr>
    </w:div>
    <w:div w:id="1881626709">
      <w:bodyDiv w:val="1"/>
      <w:marLeft w:val="0"/>
      <w:marRight w:val="0"/>
      <w:marTop w:val="0"/>
      <w:marBottom w:val="0"/>
      <w:divBdr>
        <w:top w:val="none" w:sz="0" w:space="0" w:color="auto"/>
        <w:left w:val="none" w:sz="0" w:space="0" w:color="auto"/>
        <w:bottom w:val="none" w:sz="0" w:space="0" w:color="auto"/>
        <w:right w:val="none" w:sz="0" w:space="0" w:color="auto"/>
      </w:divBdr>
    </w:div>
    <w:div w:id="1884946531">
      <w:bodyDiv w:val="1"/>
      <w:marLeft w:val="0"/>
      <w:marRight w:val="0"/>
      <w:marTop w:val="0"/>
      <w:marBottom w:val="0"/>
      <w:divBdr>
        <w:top w:val="none" w:sz="0" w:space="0" w:color="auto"/>
        <w:left w:val="none" w:sz="0" w:space="0" w:color="auto"/>
        <w:bottom w:val="none" w:sz="0" w:space="0" w:color="auto"/>
        <w:right w:val="none" w:sz="0" w:space="0" w:color="auto"/>
      </w:divBdr>
    </w:div>
    <w:div w:id="1894274135">
      <w:bodyDiv w:val="1"/>
      <w:marLeft w:val="0"/>
      <w:marRight w:val="0"/>
      <w:marTop w:val="0"/>
      <w:marBottom w:val="0"/>
      <w:divBdr>
        <w:top w:val="none" w:sz="0" w:space="0" w:color="auto"/>
        <w:left w:val="none" w:sz="0" w:space="0" w:color="auto"/>
        <w:bottom w:val="none" w:sz="0" w:space="0" w:color="auto"/>
        <w:right w:val="none" w:sz="0" w:space="0" w:color="auto"/>
      </w:divBdr>
    </w:div>
    <w:div w:id="1896774787">
      <w:bodyDiv w:val="1"/>
      <w:marLeft w:val="0"/>
      <w:marRight w:val="0"/>
      <w:marTop w:val="0"/>
      <w:marBottom w:val="0"/>
      <w:divBdr>
        <w:top w:val="none" w:sz="0" w:space="0" w:color="auto"/>
        <w:left w:val="none" w:sz="0" w:space="0" w:color="auto"/>
        <w:bottom w:val="none" w:sz="0" w:space="0" w:color="auto"/>
        <w:right w:val="none" w:sz="0" w:space="0" w:color="auto"/>
      </w:divBdr>
    </w:div>
    <w:div w:id="1907564353">
      <w:bodyDiv w:val="1"/>
      <w:marLeft w:val="0"/>
      <w:marRight w:val="0"/>
      <w:marTop w:val="0"/>
      <w:marBottom w:val="0"/>
      <w:divBdr>
        <w:top w:val="none" w:sz="0" w:space="0" w:color="auto"/>
        <w:left w:val="none" w:sz="0" w:space="0" w:color="auto"/>
        <w:bottom w:val="none" w:sz="0" w:space="0" w:color="auto"/>
        <w:right w:val="none" w:sz="0" w:space="0" w:color="auto"/>
      </w:divBdr>
    </w:div>
    <w:div w:id="1907716169">
      <w:bodyDiv w:val="1"/>
      <w:marLeft w:val="0"/>
      <w:marRight w:val="0"/>
      <w:marTop w:val="0"/>
      <w:marBottom w:val="0"/>
      <w:divBdr>
        <w:top w:val="none" w:sz="0" w:space="0" w:color="auto"/>
        <w:left w:val="none" w:sz="0" w:space="0" w:color="auto"/>
        <w:bottom w:val="none" w:sz="0" w:space="0" w:color="auto"/>
        <w:right w:val="none" w:sz="0" w:space="0" w:color="auto"/>
      </w:divBdr>
    </w:div>
    <w:div w:id="1911185257">
      <w:bodyDiv w:val="1"/>
      <w:marLeft w:val="0"/>
      <w:marRight w:val="0"/>
      <w:marTop w:val="0"/>
      <w:marBottom w:val="0"/>
      <w:divBdr>
        <w:top w:val="none" w:sz="0" w:space="0" w:color="auto"/>
        <w:left w:val="none" w:sz="0" w:space="0" w:color="auto"/>
        <w:bottom w:val="none" w:sz="0" w:space="0" w:color="auto"/>
        <w:right w:val="none" w:sz="0" w:space="0" w:color="auto"/>
      </w:divBdr>
    </w:div>
    <w:div w:id="1919485853">
      <w:bodyDiv w:val="1"/>
      <w:marLeft w:val="0"/>
      <w:marRight w:val="0"/>
      <w:marTop w:val="0"/>
      <w:marBottom w:val="0"/>
      <w:divBdr>
        <w:top w:val="none" w:sz="0" w:space="0" w:color="auto"/>
        <w:left w:val="none" w:sz="0" w:space="0" w:color="auto"/>
        <w:bottom w:val="none" w:sz="0" w:space="0" w:color="auto"/>
        <w:right w:val="none" w:sz="0" w:space="0" w:color="auto"/>
      </w:divBdr>
    </w:div>
    <w:div w:id="1944877648">
      <w:bodyDiv w:val="1"/>
      <w:marLeft w:val="0"/>
      <w:marRight w:val="0"/>
      <w:marTop w:val="0"/>
      <w:marBottom w:val="0"/>
      <w:divBdr>
        <w:top w:val="none" w:sz="0" w:space="0" w:color="auto"/>
        <w:left w:val="none" w:sz="0" w:space="0" w:color="auto"/>
        <w:bottom w:val="none" w:sz="0" w:space="0" w:color="auto"/>
        <w:right w:val="none" w:sz="0" w:space="0" w:color="auto"/>
      </w:divBdr>
    </w:div>
    <w:div w:id="1950047693">
      <w:bodyDiv w:val="1"/>
      <w:marLeft w:val="0"/>
      <w:marRight w:val="0"/>
      <w:marTop w:val="0"/>
      <w:marBottom w:val="0"/>
      <w:divBdr>
        <w:top w:val="none" w:sz="0" w:space="0" w:color="auto"/>
        <w:left w:val="none" w:sz="0" w:space="0" w:color="auto"/>
        <w:bottom w:val="none" w:sz="0" w:space="0" w:color="auto"/>
        <w:right w:val="none" w:sz="0" w:space="0" w:color="auto"/>
      </w:divBdr>
    </w:div>
    <w:div w:id="1979218323">
      <w:bodyDiv w:val="1"/>
      <w:marLeft w:val="0"/>
      <w:marRight w:val="0"/>
      <w:marTop w:val="0"/>
      <w:marBottom w:val="0"/>
      <w:divBdr>
        <w:top w:val="none" w:sz="0" w:space="0" w:color="auto"/>
        <w:left w:val="none" w:sz="0" w:space="0" w:color="auto"/>
        <w:bottom w:val="none" w:sz="0" w:space="0" w:color="auto"/>
        <w:right w:val="none" w:sz="0" w:space="0" w:color="auto"/>
      </w:divBdr>
    </w:div>
    <w:div w:id="1987468570">
      <w:bodyDiv w:val="1"/>
      <w:marLeft w:val="0"/>
      <w:marRight w:val="0"/>
      <w:marTop w:val="0"/>
      <w:marBottom w:val="0"/>
      <w:divBdr>
        <w:top w:val="none" w:sz="0" w:space="0" w:color="auto"/>
        <w:left w:val="none" w:sz="0" w:space="0" w:color="auto"/>
        <w:bottom w:val="none" w:sz="0" w:space="0" w:color="auto"/>
        <w:right w:val="none" w:sz="0" w:space="0" w:color="auto"/>
      </w:divBdr>
      <w:divsChild>
        <w:div w:id="2081781638">
          <w:marLeft w:val="360"/>
          <w:marRight w:val="0"/>
          <w:marTop w:val="120"/>
          <w:marBottom w:val="240"/>
          <w:divBdr>
            <w:top w:val="none" w:sz="0" w:space="0" w:color="auto"/>
            <w:left w:val="none" w:sz="0" w:space="0" w:color="auto"/>
            <w:bottom w:val="none" w:sz="0" w:space="0" w:color="auto"/>
            <w:right w:val="none" w:sz="0" w:space="0" w:color="auto"/>
          </w:divBdr>
        </w:div>
        <w:div w:id="930816893">
          <w:marLeft w:val="360"/>
          <w:marRight w:val="0"/>
          <w:marTop w:val="120"/>
          <w:marBottom w:val="240"/>
          <w:divBdr>
            <w:top w:val="none" w:sz="0" w:space="0" w:color="auto"/>
            <w:left w:val="none" w:sz="0" w:space="0" w:color="auto"/>
            <w:bottom w:val="none" w:sz="0" w:space="0" w:color="auto"/>
            <w:right w:val="none" w:sz="0" w:space="0" w:color="auto"/>
          </w:divBdr>
        </w:div>
      </w:divsChild>
    </w:div>
    <w:div w:id="1989434404">
      <w:bodyDiv w:val="1"/>
      <w:marLeft w:val="0"/>
      <w:marRight w:val="0"/>
      <w:marTop w:val="0"/>
      <w:marBottom w:val="0"/>
      <w:divBdr>
        <w:top w:val="none" w:sz="0" w:space="0" w:color="auto"/>
        <w:left w:val="none" w:sz="0" w:space="0" w:color="auto"/>
        <w:bottom w:val="none" w:sz="0" w:space="0" w:color="auto"/>
        <w:right w:val="none" w:sz="0" w:space="0" w:color="auto"/>
      </w:divBdr>
    </w:div>
    <w:div w:id="1991670423">
      <w:bodyDiv w:val="1"/>
      <w:marLeft w:val="0"/>
      <w:marRight w:val="0"/>
      <w:marTop w:val="0"/>
      <w:marBottom w:val="0"/>
      <w:divBdr>
        <w:top w:val="none" w:sz="0" w:space="0" w:color="auto"/>
        <w:left w:val="none" w:sz="0" w:space="0" w:color="auto"/>
        <w:bottom w:val="none" w:sz="0" w:space="0" w:color="auto"/>
        <w:right w:val="none" w:sz="0" w:space="0" w:color="auto"/>
      </w:divBdr>
    </w:div>
    <w:div w:id="2001807653">
      <w:bodyDiv w:val="1"/>
      <w:marLeft w:val="0"/>
      <w:marRight w:val="0"/>
      <w:marTop w:val="0"/>
      <w:marBottom w:val="0"/>
      <w:divBdr>
        <w:top w:val="none" w:sz="0" w:space="0" w:color="auto"/>
        <w:left w:val="none" w:sz="0" w:space="0" w:color="auto"/>
        <w:bottom w:val="none" w:sz="0" w:space="0" w:color="auto"/>
        <w:right w:val="none" w:sz="0" w:space="0" w:color="auto"/>
      </w:divBdr>
    </w:div>
    <w:div w:id="2003195179">
      <w:bodyDiv w:val="1"/>
      <w:marLeft w:val="0"/>
      <w:marRight w:val="0"/>
      <w:marTop w:val="0"/>
      <w:marBottom w:val="0"/>
      <w:divBdr>
        <w:top w:val="none" w:sz="0" w:space="0" w:color="auto"/>
        <w:left w:val="none" w:sz="0" w:space="0" w:color="auto"/>
        <w:bottom w:val="none" w:sz="0" w:space="0" w:color="auto"/>
        <w:right w:val="none" w:sz="0" w:space="0" w:color="auto"/>
      </w:divBdr>
      <w:divsChild>
        <w:div w:id="965231934">
          <w:marLeft w:val="0"/>
          <w:marRight w:val="0"/>
          <w:marTop w:val="0"/>
          <w:marBottom w:val="0"/>
          <w:divBdr>
            <w:top w:val="none" w:sz="0" w:space="0" w:color="auto"/>
            <w:left w:val="none" w:sz="0" w:space="0" w:color="auto"/>
            <w:bottom w:val="none" w:sz="0" w:space="0" w:color="auto"/>
            <w:right w:val="none" w:sz="0" w:space="0" w:color="auto"/>
          </w:divBdr>
          <w:divsChild>
            <w:div w:id="388114863">
              <w:marLeft w:val="0"/>
              <w:marRight w:val="0"/>
              <w:marTop w:val="0"/>
              <w:marBottom w:val="0"/>
              <w:divBdr>
                <w:top w:val="none" w:sz="0" w:space="0" w:color="auto"/>
                <w:left w:val="none" w:sz="0" w:space="0" w:color="auto"/>
                <w:bottom w:val="none" w:sz="0" w:space="0" w:color="auto"/>
                <w:right w:val="none" w:sz="0" w:space="0" w:color="auto"/>
              </w:divBdr>
              <w:divsChild>
                <w:div w:id="1440372195">
                  <w:marLeft w:val="0"/>
                  <w:marRight w:val="0"/>
                  <w:marTop w:val="0"/>
                  <w:marBottom w:val="0"/>
                  <w:divBdr>
                    <w:top w:val="none" w:sz="0" w:space="0" w:color="auto"/>
                    <w:left w:val="none" w:sz="0" w:space="0" w:color="auto"/>
                    <w:bottom w:val="none" w:sz="0" w:space="0" w:color="auto"/>
                    <w:right w:val="none" w:sz="0" w:space="0" w:color="auto"/>
                  </w:divBdr>
                  <w:divsChild>
                    <w:div w:id="1192762622">
                      <w:marLeft w:val="0"/>
                      <w:marRight w:val="90"/>
                      <w:marTop w:val="0"/>
                      <w:marBottom w:val="0"/>
                      <w:divBdr>
                        <w:top w:val="single" w:sz="6" w:space="0" w:color="636363"/>
                        <w:left w:val="single" w:sz="6" w:space="0" w:color="636363"/>
                        <w:bottom w:val="single" w:sz="6" w:space="0" w:color="636363"/>
                        <w:right w:val="single" w:sz="6" w:space="0" w:color="636363"/>
                      </w:divBdr>
                      <w:divsChild>
                        <w:div w:id="23632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7710017">
      <w:bodyDiv w:val="1"/>
      <w:marLeft w:val="0"/>
      <w:marRight w:val="0"/>
      <w:marTop w:val="0"/>
      <w:marBottom w:val="0"/>
      <w:divBdr>
        <w:top w:val="none" w:sz="0" w:space="0" w:color="auto"/>
        <w:left w:val="none" w:sz="0" w:space="0" w:color="auto"/>
        <w:bottom w:val="none" w:sz="0" w:space="0" w:color="auto"/>
        <w:right w:val="none" w:sz="0" w:space="0" w:color="auto"/>
      </w:divBdr>
    </w:div>
    <w:div w:id="2024430973">
      <w:bodyDiv w:val="1"/>
      <w:marLeft w:val="0"/>
      <w:marRight w:val="0"/>
      <w:marTop w:val="0"/>
      <w:marBottom w:val="0"/>
      <w:divBdr>
        <w:top w:val="none" w:sz="0" w:space="0" w:color="auto"/>
        <w:left w:val="none" w:sz="0" w:space="0" w:color="auto"/>
        <w:bottom w:val="none" w:sz="0" w:space="0" w:color="auto"/>
        <w:right w:val="none" w:sz="0" w:space="0" w:color="auto"/>
      </w:divBdr>
    </w:div>
    <w:div w:id="2046439876">
      <w:bodyDiv w:val="1"/>
      <w:marLeft w:val="0"/>
      <w:marRight w:val="0"/>
      <w:marTop w:val="0"/>
      <w:marBottom w:val="0"/>
      <w:divBdr>
        <w:top w:val="none" w:sz="0" w:space="0" w:color="auto"/>
        <w:left w:val="none" w:sz="0" w:space="0" w:color="auto"/>
        <w:bottom w:val="none" w:sz="0" w:space="0" w:color="auto"/>
        <w:right w:val="none" w:sz="0" w:space="0" w:color="auto"/>
      </w:divBdr>
    </w:div>
    <w:div w:id="2061394485">
      <w:bodyDiv w:val="1"/>
      <w:marLeft w:val="0"/>
      <w:marRight w:val="0"/>
      <w:marTop w:val="0"/>
      <w:marBottom w:val="0"/>
      <w:divBdr>
        <w:top w:val="none" w:sz="0" w:space="0" w:color="auto"/>
        <w:left w:val="none" w:sz="0" w:space="0" w:color="auto"/>
        <w:bottom w:val="none" w:sz="0" w:space="0" w:color="auto"/>
        <w:right w:val="none" w:sz="0" w:space="0" w:color="auto"/>
      </w:divBdr>
    </w:div>
    <w:div w:id="2073263039">
      <w:bodyDiv w:val="1"/>
      <w:marLeft w:val="0"/>
      <w:marRight w:val="0"/>
      <w:marTop w:val="0"/>
      <w:marBottom w:val="0"/>
      <w:divBdr>
        <w:top w:val="none" w:sz="0" w:space="0" w:color="auto"/>
        <w:left w:val="none" w:sz="0" w:space="0" w:color="auto"/>
        <w:bottom w:val="none" w:sz="0" w:space="0" w:color="auto"/>
        <w:right w:val="none" w:sz="0" w:space="0" w:color="auto"/>
      </w:divBdr>
    </w:div>
    <w:div w:id="2077582633">
      <w:bodyDiv w:val="1"/>
      <w:marLeft w:val="0"/>
      <w:marRight w:val="0"/>
      <w:marTop w:val="0"/>
      <w:marBottom w:val="0"/>
      <w:divBdr>
        <w:top w:val="none" w:sz="0" w:space="0" w:color="auto"/>
        <w:left w:val="none" w:sz="0" w:space="0" w:color="auto"/>
        <w:bottom w:val="none" w:sz="0" w:space="0" w:color="auto"/>
        <w:right w:val="none" w:sz="0" w:space="0" w:color="auto"/>
      </w:divBdr>
    </w:div>
    <w:div w:id="2083019606">
      <w:bodyDiv w:val="1"/>
      <w:marLeft w:val="0"/>
      <w:marRight w:val="0"/>
      <w:marTop w:val="0"/>
      <w:marBottom w:val="0"/>
      <w:divBdr>
        <w:top w:val="none" w:sz="0" w:space="0" w:color="auto"/>
        <w:left w:val="none" w:sz="0" w:space="0" w:color="auto"/>
        <w:bottom w:val="none" w:sz="0" w:space="0" w:color="auto"/>
        <w:right w:val="none" w:sz="0" w:space="0" w:color="auto"/>
      </w:divBdr>
    </w:div>
    <w:div w:id="2095197238">
      <w:bodyDiv w:val="1"/>
      <w:marLeft w:val="0"/>
      <w:marRight w:val="0"/>
      <w:marTop w:val="0"/>
      <w:marBottom w:val="0"/>
      <w:divBdr>
        <w:top w:val="none" w:sz="0" w:space="0" w:color="auto"/>
        <w:left w:val="none" w:sz="0" w:space="0" w:color="auto"/>
        <w:bottom w:val="none" w:sz="0" w:space="0" w:color="auto"/>
        <w:right w:val="none" w:sz="0" w:space="0" w:color="auto"/>
      </w:divBdr>
    </w:div>
    <w:div w:id="2105805350">
      <w:bodyDiv w:val="1"/>
      <w:marLeft w:val="0"/>
      <w:marRight w:val="0"/>
      <w:marTop w:val="0"/>
      <w:marBottom w:val="0"/>
      <w:divBdr>
        <w:top w:val="none" w:sz="0" w:space="0" w:color="auto"/>
        <w:left w:val="none" w:sz="0" w:space="0" w:color="auto"/>
        <w:bottom w:val="none" w:sz="0" w:space="0" w:color="auto"/>
        <w:right w:val="none" w:sz="0" w:space="0" w:color="auto"/>
      </w:divBdr>
    </w:div>
    <w:div w:id="2114471270">
      <w:bodyDiv w:val="1"/>
      <w:marLeft w:val="0"/>
      <w:marRight w:val="0"/>
      <w:marTop w:val="0"/>
      <w:marBottom w:val="0"/>
      <w:divBdr>
        <w:top w:val="none" w:sz="0" w:space="0" w:color="auto"/>
        <w:left w:val="none" w:sz="0" w:space="0" w:color="auto"/>
        <w:bottom w:val="none" w:sz="0" w:space="0" w:color="auto"/>
        <w:right w:val="none" w:sz="0" w:space="0" w:color="auto"/>
      </w:divBdr>
    </w:div>
    <w:div w:id="2118332130">
      <w:bodyDiv w:val="1"/>
      <w:marLeft w:val="0"/>
      <w:marRight w:val="0"/>
      <w:marTop w:val="0"/>
      <w:marBottom w:val="0"/>
      <w:divBdr>
        <w:top w:val="none" w:sz="0" w:space="0" w:color="auto"/>
        <w:left w:val="none" w:sz="0" w:space="0" w:color="auto"/>
        <w:bottom w:val="none" w:sz="0" w:space="0" w:color="auto"/>
        <w:right w:val="none" w:sz="0" w:space="0" w:color="auto"/>
      </w:divBdr>
    </w:div>
    <w:div w:id="2124575527">
      <w:bodyDiv w:val="1"/>
      <w:marLeft w:val="0"/>
      <w:marRight w:val="0"/>
      <w:marTop w:val="0"/>
      <w:marBottom w:val="0"/>
      <w:divBdr>
        <w:top w:val="none" w:sz="0" w:space="0" w:color="auto"/>
        <w:left w:val="none" w:sz="0" w:space="0" w:color="auto"/>
        <w:bottom w:val="none" w:sz="0" w:space="0" w:color="auto"/>
        <w:right w:val="none" w:sz="0" w:space="0" w:color="auto"/>
      </w:divBdr>
    </w:div>
    <w:div w:id="2125348559">
      <w:bodyDiv w:val="1"/>
      <w:marLeft w:val="0"/>
      <w:marRight w:val="0"/>
      <w:marTop w:val="0"/>
      <w:marBottom w:val="0"/>
      <w:divBdr>
        <w:top w:val="none" w:sz="0" w:space="0" w:color="auto"/>
        <w:left w:val="none" w:sz="0" w:space="0" w:color="auto"/>
        <w:bottom w:val="none" w:sz="0" w:space="0" w:color="auto"/>
        <w:right w:val="none" w:sz="0" w:space="0" w:color="auto"/>
      </w:divBdr>
    </w:div>
    <w:div w:id="2136411250">
      <w:bodyDiv w:val="1"/>
      <w:marLeft w:val="0"/>
      <w:marRight w:val="0"/>
      <w:marTop w:val="0"/>
      <w:marBottom w:val="0"/>
      <w:divBdr>
        <w:top w:val="none" w:sz="0" w:space="0" w:color="auto"/>
        <w:left w:val="none" w:sz="0" w:space="0" w:color="auto"/>
        <w:bottom w:val="none" w:sz="0" w:space="0" w:color="auto"/>
        <w:right w:val="none" w:sz="0" w:space="0" w:color="auto"/>
      </w:divBdr>
    </w:div>
    <w:div w:id="214029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17" Type="http://schemas.openxmlformats.org/officeDocument/2006/relationships/hyperlink" Target="https://www.chrc-ccdp.gc.ca/resources/publications/discussion-paper-religious-intolerance" TargetMode="External"/><Relationship Id="rId21" Type="http://schemas.openxmlformats.org/officeDocument/2006/relationships/hyperlink" Target="https://www.enrichproject.org/wp-content/uploads/2016/10/Final-Environmental-Racism-Report.pdf" TargetMode="External"/><Relationship Id="rId42" Type="http://schemas.openxmlformats.org/officeDocument/2006/relationships/hyperlink" Target="https://www.ourcommons.ca/Content/Committee/441/ETHI/Brief/BR11713948/br-external/CanadianHumanRightsCommission-e.pdf" TargetMode="External"/><Relationship Id="rId63" Type="http://schemas.openxmlformats.org/officeDocument/2006/relationships/hyperlink" Target="https://sencanada.ca/en/info-page/parl-43-2/ridr-federally-sentenced-persons/" TargetMode="External"/><Relationship Id="rId84" Type="http://schemas.openxmlformats.org/officeDocument/2006/relationships/hyperlink" Target="https://www.chrc-ccdp.gc.ca/resources/newsroom/chrc-and-oci-open-letter-calling-canadas-ratification-opcat" TargetMode="External"/><Relationship Id="rId138" Type="http://schemas.openxmlformats.org/officeDocument/2006/relationships/hyperlink" Target="https://rm.coe.int/1680afae3c" TargetMode="External"/><Relationship Id="rId107" Type="http://schemas.openxmlformats.org/officeDocument/2006/relationships/hyperlink" Target="https://www.parl.ca/DocumentViewer/en/45-1/bill/C-9/first-reading" TargetMode="External"/><Relationship Id="rId11" Type="http://schemas.openxmlformats.org/officeDocument/2006/relationships/hyperlink" Target="https://www.cp24.com/local/toronto/2025/02/09/absolutely-horrific-the-median-age-of-death-for-unhoused-women-in-toronto-is-now-36/" TargetMode="External"/><Relationship Id="rId32" Type="http://schemas.openxmlformats.org/officeDocument/2006/relationships/hyperlink" Target="https://www.chrc-ccdp.gc.ca/resources/newsroom/independent-indigenous-human-rights-system-overdue" TargetMode="External"/><Relationship Id="rId53" Type="http://schemas.openxmlformats.org/officeDocument/2006/relationships/hyperlink" Target="https://www.justice.gc.ca/eng/rp-pr/jr/eiffjs-efasjf/pdf/RSD2023_RR_Indigenous_Experiences_in_FJS_EN.pdf" TargetMode="External"/><Relationship Id="rId74" Type="http://schemas.openxmlformats.org/officeDocument/2006/relationships/hyperlink" Target="https://truthsofinstitutionalization.ca/" TargetMode="External"/><Relationship Id="rId128" Type="http://schemas.openxmlformats.org/officeDocument/2006/relationships/hyperlink" Target="https://laws-lois.justice.gc.ca/eng/acts/H-6/section-40.html" TargetMode="External"/><Relationship Id="rId5" Type="http://schemas.openxmlformats.org/officeDocument/2006/relationships/hyperlink" Target="https://www.chrc-ccdp.gc.ca/resources/publications/what-we-learned-housing-people-disabilities" TargetMode="External"/><Relationship Id="rId90" Type="http://schemas.openxmlformats.org/officeDocument/2006/relationships/hyperlink" Target="https://www.policyalternatives.ca/publications/reports/canadas-colour-coded-labour-market" TargetMode="External"/><Relationship Id="rId95" Type="http://schemas.openxmlformats.org/officeDocument/2006/relationships/hyperlink" Target="https://www2.gov.bc.ca/assets/gov/british-columbians-our-governments/services-policies-for-government/gender-equity/bc-pay-transparency-discussion-paper.pdf" TargetMode="External"/><Relationship Id="rId22" Type="http://schemas.openxmlformats.org/officeDocument/2006/relationships/hyperlink" Target="https://nccdh.ca/resources/entry/learning-from-practice-advocacy-for-health-equity-environmental-racism" TargetMode="External"/><Relationship Id="rId27" Type="http://schemas.openxmlformats.org/officeDocument/2006/relationships/hyperlink" Target="https://laws-lois.justice.gc.ca/eng/AnnualStatutes/2025_2/page-1.html" TargetMode="External"/><Relationship Id="rId43" Type="http://schemas.openxmlformats.org/officeDocument/2006/relationships/hyperlink" Target="https://www.cdpdj.qc.ca/storage/app/media/publications/bilan-profilage-racial_synthese_EN.pdf" TargetMode="External"/><Relationship Id="rId48" Type="http://schemas.openxmlformats.org/officeDocument/2006/relationships/hyperlink" Target="https://afn.bynder.com/m/3c8a25105069ece0/original/December-2024-SCA-Resolutions-Package.pdf" TargetMode="External"/><Relationship Id="rId64" Type="http://schemas.openxmlformats.org/officeDocument/2006/relationships/hyperlink" Target="https://sencanada.ca/content/sen/committee/421/RIDR/Reports/RIDR_Report_Prisioners_e.pdf" TargetMode="External"/><Relationship Id="rId69" Type="http://schemas.openxmlformats.org/officeDocument/2006/relationships/hyperlink" Target="https://oci-bec.gc.ca/en/content/office-correctional-investigator-annual-report-2023-24" TargetMode="External"/><Relationship Id="rId113" Type="http://schemas.openxmlformats.org/officeDocument/2006/relationships/hyperlink" Target="https://egale.ca/egale-in-action/ontario-superior-court-intersex-human-rights/" TargetMode="External"/><Relationship Id="rId118" Type="http://schemas.openxmlformats.org/officeDocument/2006/relationships/hyperlink" Target="https://www.cbc.ca/news/canada/montreal/muslim-women-most-affected-by-quebec-s-secularism-law-court-of-appeal-hears-1.6644377" TargetMode="External"/><Relationship Id="rId134" Type="http://schemas.openxmlformats.org/officeDocument/2006/relationships/hyperlink" Target="https://citizenlab.ca/category/research/transparency/" TargetMode="External"/><Relationship Id="rId139" Type="http://schemas.openxmlformats.org/officeDocument/2006/relationships/hyperlink" Target="https://www.canada.ca/en/government/system/digital-government/digital-government-innovations/responsible-use-ai.html" TargetMode="External"/><Relationship Id="rId80" Type="http://schemas.openxmlformats.org/officeDocument/2006/relationships/hyperlink" Target="https://humanrights.novascotia.ca/sites/default/files/monitoring_report_year_one.pdf" TargetMode="External"/><Relationship Id="rId85" Type="http://schemas.openxmlformats.org/officeDocument/2006/relationships/hyperlink" Target="https://www.chrc-ccdp.gc.ca/resources/publications/what-we-did-and-what-we-learned-monitoring-disability-rights" TargetMode="External"/><Relationship Id="rId12" Type="http://schemas.openxmlformats.org/officeDocument/2006/relationships/hyperlink" Target="https://vancouversun.com/news/study-links-vancouver-street-sweeps-homeless-residents-greater-risk-overdose-violence?taid=68b91ce0f7cdc600013d8a54&amp;utm_campaign=trueanthem&amp;utm_medium=social&amp;utm_source=twitter" TargetMode="External"/><Relationship Id="rId17" Type="http://schemas.openxmlformats.org/officeDocument/2006/relationships/hyperlink" Target="https://www.canada.ca/en/environment-climate-change/services/strategic-policy-branch/environmental-justice.html" TargetMode="External"/><Relationship Id="rId33" Type="http://schemas.openxmlformats.org/officeDocument/2006/relationships/hyperlink" Target="https://www.canlii.org/en/ca/chrt/doc/2022/2022chrt4/2022chrt4.html?resultId=9299f48e7b8745a79d3cdd6c6c7a06f9&amp;searchId=2025-11-17T16:56:52:234/cb52b04963cf48609371b3c7fdda5291" TargetMode="External"/><Relationship Id="rId38" Type="http://schemas.openxmlformats.org/officeDocument/2006/relationships/hyperlink" Target="https://www.mmiwg-ffada.ca/final-report/" TargetMode="External"/><Relationship Id="rId59" Type="http://schemas.openxmlformats.org/officeDocument/2006/relationships/hyperlink" Target="https://www.publicsafety.gc.ca/cnt/rsrcs/pblctns/ccrso-2022/index-en.aspx" TargetMode="External"/><Relationship Id="rId103" Type="http://schemas.openxmlformats.org/officeDocument/2006/relationships/hyperlink" Target="https://www.gendereconomy.org/the-gender-wage-gap/" TargetMode="External"/><Relationship Id="rId108" Type="http://schemas.openxmlformats.org/officeDocument/2006/relationships/hyperlink" Target="https://reaffirm.ca/wp-content/uploads/2025/07/GAC_Policy-Brief_Rainbow-Canada_2024.pdf?utm_source=chatgpt.com" TargetMode="External"/><Relationship Id="rId124" Type="http://schemas.openxmlformats.org/officeDocument/2006/relationships/hyperlink" Target="https://www.hrw.org/report/2021/06/17/i-didnt-feel-human-there/immigration-detention-canada-and-its-impact-mental" TargetMode="External"/><Relationship Id="rId129" Type="http://schemas.openxmlformats.org/officeDocument/2006/relationships/hyperlink" Target="https://www.parl.ca/DocumentViewer/en/45-1/bill/C-2/first-reading" TargetMode="External"/><Relationship Id="rId54" Type="http://schemas.openxmlformats.org/officeDocument/2006/relationships/hyperlink" Target="https://new-api.ccdi.ca/wp-content/uploads/2025/06/20180125-report-power-privilege-and-inequities-in-the-legal-profession.pdf" TargetMode="External"/><Relationship Id="rId70" Type="http://schemas.openxmlformats.org/officeDocument/2006/relationships/hyperlink" Target="https://www.publicsafety.gc.ca/cnt/cntrng-crm/crrctns/iedm-dei-en.aspx" TargetMode="External"/><Relationship Id="rId75" Type="http://schemas.openxmlformats.org/officeDocument/2006/relationships/hyperlink" Target="https://www.remembereveryname.ca/the-history" TargetMode="External"/><Relationship Id="rId91" Type="http://schemas.openxmlformats.org/officeDocument/2006/relationships/hyperlink" Target="https://www150.statcan.gc.ca/n1/en/pub/45-20-0002/452000022023002-eng.pdf?st=nsbfmFg6" TargetMode="External"/><Relationship Id="rId96" Type="http://schemas.openxmlformats.org/officeDocument/2006/relationships/hyperlink" Target="https://payequity.gov.on.ca/the-gender-wage-gap-its-more-than-you-think/" TargetMode="External"/><Relationship Id="rId140" Type="http://schemas.openxmlformats.org/officeDocument/2006/relationships/hyperlink" Target="https://www.tbs-sct.canada.ca/pol/doc-eng.aspx?id=32592" TargetMode="External"/><Relationship Id="rId145" Type="http://schemas.openxmlformats.org/officeDocument/2006/relationships/hyperlink" Target="https://documents.un.org/doc/undoc/gen/n24/154/55/pdf/n2415455.pdf" TargetMode="External"/><Relationship Id="rId1" Type="http://schemas.openxmlformats.org/officeDocument/2006/relationships/hyperlink" Target="http://laws-lois.justice.gc.ca/PDF/H-6.pdf" TargetMode="External"/><Relationship Id="rId6" Type="http://schemas.openxmlformats.org/officeDocument/2006/relationships/hyperlink" Target="https://www.chrc-ccdp.gc.ca/resources/newsroom/ending-ones-life-must-be-true-and-informed-choice" TargetMode="External"/><Relationship Id="rId23" Type="http://schemas.openxmlformats.org/officeDocument/2006/relationships/hyperlink" Target="https://www.chrc-ccdp.gc.ca/resources/publications/fast-talk-environmental-racism-canada" TargetMode="External"/><Relationship Id="rId28" Type="http://schemas.openxmlformats.org/officeDocument/2006/relationships/hyperlink" Target="https://afn.ca/all-news/press-releases/statement-from-national-chief-regarding-building-canada-act-enormous-responsibility-rests-on-mps-and-senators-to-uphold-the-honour-of-the-crown/" TargetMode="External"/><Relationship Id="rId49" Type="http://schemas.openxmlformats.org/officeDocument/2006/relationships/hyperlink" Target="https://afn.ca/all-news/press-releases/assembly-of-first-nations-afn-calls-for-a-national-inquiry-into-systemic-racism-in-policing/" TargetMode="External"/><Relationship Id="rId114" Type="http://schemas.openxmlformats.org/officeDocument/2006/relationships/hyperlink" Target="https://egale.ca/egale-in-action/egale-canada-urges-the-federal-government-to-meet-domestic-and-international-human-rights-requirements-of-intersex-people-on-international-intersex-awareness-day/" TargetMode="External"/><Relationship Id="rId119" Type="http://schemas.openxmlformats.org/officeDocument/2006/relationships/hyperlink" Target="https://www.theglobeandmail.com/business/article-muslim-women-wearing-hijab-at-work-face-heightened-scrutiny/" TargetMode="External"/><Relationship Id="rId44" Type="http://schemas.openxmlformats.org/officeDocument/2006/relationships/hyperlink" Target="https://humanrights.novascotia.ca/sites/default/files/editor-uploads/halifax_street_checks_report_march_2019_0.pdf" TargetMode="External"/><Relationship Id="rId60" Type="http://schemas.openxmlformats.org/officeDocument/2006/relationships/hyperlink" Target="https://www150.statcan.gc.ca/n1/pub/89-657-x/89-657-x2024005-eng.htm" TargetMode="External"/><Relationship Id="rId65" Type="http://schemas.openxmlformats.org/officeDocument/2006/relationships/hyperlink" Target="https://oci-bec.gc.ca/en/content/backgrounder-2024-2025-annual-report-office-correctional-investigator" TargetMode="External"/><Relationship Id="rId81" Type="http://schemas.openxmlformats.org/officeDocument/2006/relationships/hyperlink" Target="https://www.chrc-ccdp.gc.ca/resources/publications/monitoring-the-right-housing-people-disabilities" TargetMode="External"/><Relationship Id="rId86" Type="http://schemas.openxmlformats.org/officeDocument/2006/relationships/hyperlink" Target="https://www.cnib.ca/en/news/voting-inaccessible-electors-sight-loss-canadians-head-polls" TargetMode="External"/><Relationship Id="rId130" Type="http://schemas.openxmlformats.org/officeDocument/2006/relationships/hyperlink" Target="https://www.parl.ca/DocumentViewer/en/45-1/bill/C-12/first-reading" TargetMode="External"/><Relationship Id="rId135" Type="http://schemas.openxmlformats.org/officeDocument/2006/relationships/hyperlink" Target="https://www.lco-cdo.org/en/our-current-projects/crimai/" TargetMode="External"/><Relationship Id="rId13" Type="http://schemas.openxmlformats.org/officeDocument/2006/relationships/hyperlink" Target="https://www.chrc-ccdp.gc.ca/publications/upholding-dignity-and-human-rights-federal-housing-advocates-review-homeless" TargetMode="External"/><Relationship Id="rId18" Type="http://schemas.openxmlformats.org/officeDocument/2006/relationships/hyperlink" Target="https://www.ciel.org/wp-content/uploads/2019/12/Disability-Rights-in-Climate-Action_Dec-2019.pdf" TargetMode="External"/><Relationship Id="rId39" Type="http://schemas.openxmlformats.org/officeDocument/2006/relationships/hyperlink" Target="https://publications.gc.ca/collections/collection_2022/sen/yc32-0/YC32-0-441-4-eng.pdf" TargetMode="External"/><Relationship Id="rId109" Type="http://schemas.openxmlformats.org/officeDocument/2006/relationships/hyperlink" Target="https://egale.ca/egale-submission-to-the-un-committee-against-torture/" TargetMode="External"/><Relationship Id="rId34" Type="http://schemas.openxmlformats.org/officeDocument/2006/relationships/hyperlink" Target="https://www.canlii.org/en/ca/fca/doc/2025/2025fca24/2025fca24.html?resultId=aac6ecea4c734514870ef6409120353d&amp;searchId=2025-11-17T16:46:04:696/31572d7000774dc4b69e7f354b346d0d" TargetMode="External"/><Relationship Id="rId50" Type="http://schemas.openxmlformats.org/officeDocument/2006/relationships/hyperlink" Target="https://trackinginjustice.ca/analysis-increase-in-deaths-and-racial-disparities/" TargetMode="External"/><Relationship Id="rId55" Type="http://schemas.openxmlformats.org/officeDocument/2006/relationships/hyperlink" Target="https://ciaj-icaj.ca/wp-content/uploads/page/2019/02/r83_preliminary-report_jury-representation-in-canada.pdf" TargetMode="External"/><Relationship Id="rId76" Type="http://schemas.openxmlformats.org/officeDocument/2006/relationships/hyperlink" Target="https://www.exclusiontobelonging.ca/" TargetMode="External"/><Relationship Id="rId97" Type="http://schemas.openxmlformats.org/officeDocument/2006/relationships/hyperlink" Target="https://canadianlabour.ca/lessons-of-the-pandemic-must-lead-to-change-for-frontline-workers/" TargetMode="External"/><Relationship Id="rId104" Type="http://schemas.openxmlformats.org/officeDocument/2006/relationships/hyperlink" Target="https://epe.lac-bac.gc.ca/disclaimer/index.html?dest=/100/201/301/weekly_acquisitions_list-ef/2019/19-10/publications.gc.ca/collections/collection_2019/statcan/11-626-x/11-626-x2019002-eng.pdf" TargetMode="External"/><Relationship Id="rId120" Type="http://schemas.openxmlformats.org/officeDocument/2006/relationships/hyperlink" Target="https://yaqeeninstitute.ca/read/paper/hijab-gendered-islamophobia-and-the-lived-experiences-of-muslim-women" TargetMode="External"/><Relationship Id="rId125" Type="http://schemas.openxmlformats.org/officeDocument/2006/relationships/hyperlink" Target="https://www.hrw.org/report/2021/06/17/i-didnt-feel-human-there/immigration-detention-canada-and-its-impact-mental" TargetMode="External"/><Relationship Id="rId141" Type="http://schemas.openxmlformats.org/officeDocument/2006/relationships/hyperlink" Target="https://www.canada.ca/en/government/system/digital-government/digital-government-innovations/responsible-use-ai/algorithmic-impact-assessment.html" TargetMode="External"/><Relationship Id="rId146" Type="http://schemas.openxmlformats.org/officeDocument/2006/relationships/hyperlink" Target="https://docs.un.org/en/A/HRC/58/L.24/Rev.1" TargetMode="External"/><Relationship Id="rId7" Type="http://schemas.openxmlformats.org/officeDocument/2006/relationships/hyperlink" Target="https://tbinternet.ohchr.org/_layouts/15/treatybodyexternal/Download.aspx?symbolno=CRPD%2FC%2FCAN%2FCO%2F2-3&amp;Lang=en" TargetMode="External"/><Relationship Id="rId71" Type="http://schemas.openxmlformats.org/officeDocument/2006/relationships/hyperlink" Target="https://www.parl.ca/LegisInfo/en/bill/45-1/s-205" TargetMode="External"/><Relationship Id="rId92" Type="http://schemas.openxmlformats.org/officeDocument/2006/relationships/hyperlink" Target="https://www150.statcan.gc.ca/t1/tbl1/en/cv.action?pid=1110009101" TargetMode="External"/><Relationship Id="rId2" Type="http://schemas.openxmlformats.org/officeDocument/2006/relationships/hyperlink" Target="https://laws-lois.justice.gc.ca/eng/AnnualStatutes/2021_2/page-1.html" TargetMode="External"/><Relationship Id="rId29" Type="http://schemas.openxmlformats.org/officeDocument/2006/relationships/hyperlink" Target="https://chiefs-of-ontario.org/chiefs-of-ontario-issue-urgent-warning-on-bill-c-5-the-one-canadian-economy-act-and-will-rally-on-parliament-hill/" TargetMode="External"/><Relationship Id="rId24" Type="http://schemas.openxmlformats.org/officeDocument/2006/relationships/hyperlink" Target="https://www.cbc.ca/news/canada/thunder-bay/grassy-narrows-mercury-poisoining-study-1.6387194" TargetMode="External"/><Relationship Id="rId40" Type="http://schemas.openxmlformats.org/officeDocument/2006/relationships/hyperlink" Target="https://senatorboyer.ca/wp-content/uploads/2021/09/Tubal-Ligation-in-the-Saskatoon-Health-Region-the-Lived-Experience-of-Aboriginal-Women-Boyer-and-Bartlett-July-11-2017.pdf" TargetMode="External"/><Relationship Id="rId45" Type="http://schemas.openxmlformats.org/officeDocument/2006/relationships/hyperlink" Target="https://www3.ohrc.on.ca/sites/default/files/Under%20suspicion_research%20and%20consultation%20report%20on%20racial%20profiling%20in%20Ontario_2017.pdf" TargetMode="External"/><Relationship Id="rId66" Type="http://schemas.openxmlformats.org/officeDocument/2006/relationships/hyperlink" Target="https://www.chrc-ccdp.gc.ca/resources/publications/aging-and-dying-prison-investigation-the-experiences-older-individuals-0" TargetMode="External"/><Relationship Id="rId87" Type="http://schemas.openxmlformats.org/officeDocument/2006/relationships/hyperlink" Target="https://aseq-ehaq.ca/wp-content/uploads/2021/08/Open-Letter-for-the-Website-EN.pdf" TargetMode="External"/><Relationship Id="rId110" Type="http://schemas.openxmlformats.org/officeDocument/2006/relationships/hyperlink" Target="https://images.ourontario.ca/Partners/WLU/WLU0041564151T.PDF" TargetMode="External"/><Relationship Id="rId115" Type="http://schemas.openxmlformats.org/officeDocument/2006/relationships/hyperlink" Target="https://www.cba.org/Our-Work/cbainfluence/Public-Policy-and-Advocacy/2023/May/Ban-attempts-to-fix-intersex-childrens-genitali" TargetMode="External"/><Relationship Id="rId131" Type="http://schemas.openxmlformats.org/officeDocument/2006/relationships/hyperlink" Target="https://citizenlab.ca/2018/09/bots-at-the-gate/" TargetMode="External"/><Relationship Id="rId136" Type="http://schemas.openxmlformats.org/officeDocument/2006/relationships/hyperlink" Target="https://www3.ohrc.on.ca/en/bill-194-strengthening-cyber-security-and-building-trust-public-sector-act-2024" TargetMode="External"/><Relationship Id="rId61" Type="http://schemas.openxmlformats.org/officeDocument/2006/relationships/hyperlink" Target="https://www.publicsafety.gc.ca/cnt/rsrcs/pblctns/ccrso-2022/index-en.aspx" TargetMode="External"/><Relationship Id="rId82" Type="http://schemas.openxmlformats.org/officeDocument/2006/relationships/hyperlink" Target="https://www.cbc.ca/news/canada/british-columbia/bc-involuntary-care-addiction-1.7324079" TargetMode="External"/><Relationship Id="rId19" Type="http://schemas.openxmlformats.org/officeDocument/2006/relationships/hyperlink" Target="https://www.hrw.org/news/2021/10/05/canada-disastrous-impact-extreme-heat" TargetMode="External"/><Relationship Id="rId14" Type="http://schemas.openxmlformats.org/officeDocument/2006/relationships/hyperlink" Target="https://budget.canada.ca/2024/report-rapport/budget-2024.pdf" TargetMode="External"/><Relationship Id="rId30" Type="http://schemas.openxmlformats.org/officeDocument/2006/relationships/hyperlink" Target="https://www.rcaanc-cirnac.gc.ca/eng/1717103903695/1717103981609" TargetMode="External"/><Relationship Id="rId35" Type="http://schemas.openxmlformats.org/officeDocument/2006/relationships/hyperlink" Target="https://canlii.ca/t/kc7s3" TargetMode="External"/><Relationship Id="rId56" Type="http://schemas.openxmlformats.org/officeDocument/2006/relationships/hyperlink" Target="https://johnhoward.on.ca/wp-content/uploads/2021/01/Broken-Record.pdf" TargetMode="External"/><Relationship Id="rId77" Type="http://schemas.openxmlformats.org/officeDocument/2006/relationships/hyperlink" Target="https://www.institutionwatch.ca/" TargetMode="External"/><Relationship Id="rId100" Type="http://schemas.openxmlformats.org/officeDocument/2006/relationships/hyperlink" Target="https://www150.statcan.gc.ca/t1/tbl1/en/cv.action?pid=1110009101" TargetMode="External"/><Relationship Id="rId105" Type="http://schemas.openxmlformats.org/officeDocument/2006/relationships/hyperlink" Target="https://link.springer.com/article/10.1007/s42650-022-00069-z" TargetMode="External"/><Relationship Id="rId126" Type="http://schemas.openxmlformats.org/officeDocument/2006/relationships/hyperlink" Target="https://www.hrw.org/report/2024/12/03/it-felt-like-everything-in-life-stopped/legal-capacity-rights-violations-against" TargetMode="External"/><Relationship Id="rId8" Type="http://schemas.openxmlformats.org/officeDocument/2006/relationships/hyperlink" Target="https://baseline.bchumanrights.ca/wp-content/uploads/2024/08/BCOHRC_Aug2024_Rights-in-focus.pdf" TargetMode="External"/><Relationship Id="rId51" Type="http://schemas.openxmlformats.org/officeDocument/2006/relationships/hyperlink" Target="https://www150.statcan.gc.ca/n1/daily-quotidien/240326/dq240326a-eng.htm" TargetMode="External"/><Relationship Id="rId72" Type="http://schemas.openxmlformats.org/officeDocument/2006/relationships/hyperlink" Target="https://www.cihi.ca/en/covid-19-resources/impact-of-covid-19-on-canadas-health-care-systems/long-term-care" TargetMode="External"/><Relationship Id="rId93" Type="http://schemas.openxmlformats.org/officeDocument/2006/relationships/hyperlink" Target="https://www150.statcan.gc.ca/n1/pub/89-654-x/89-654-x2023002-eng.htm" TargetMode="External"/><Relationship Id="rId98" Type="http://schemas.openxmlformats.org/officeDocument/2006/relationships/hyperlink" Target="https://www.genderandcovid-19.org/wp-content/uploads/2021/06/Women-in-a-COVID-19-recession-Canada-and-economic-impacts.pdf" TargetMode="External"/><Relationship Id="rId121" Type="http://schemas.openxmlformats.org/officeDocument/2006/relationships/hyperlink" Target="https://doi.org/10.1177/2332649220903740" TargetMode="External"/><Relationship Id="rId142" Type="http://schemas.openxmlformats.org/officeDocument/2006/relationships/hyperlink" Target="https://www.canada.ca/en/government/system/digital-government/digital-government-innovations/responsible-use-ai/gc-ai-strategy-overview.html" TargetMode="External"/><Relationship Id="rId3" Type="http://schemas.openxmlformats.org/officeDocument/2006/relationships/hyperlink" Target="https://www.inclusioncanada.ca/post/disability-rights-coalition-challenges-discriminatory-sections-of-canada-s-assisted-dying-law-in-cou" TargetMode="External"/><Relationship Id="rId25" Type="http://schemas.openxmlformats.org/officeDocument/2006/relationships/hyperlink" Target="https://nctr.ca/about/our-mandate/" TargetMode="External"/><Relationship Id="rId46" Type="http://schemas.openxmlformats.org/officeDocument/2006/relationships/hyperlink" Target="https://www3.ohrc.on.ca/en/impact-action-final-report-anti-black-racism-toronto-police-service" TargetMode="External"/><Relationship Id="rId67" Type="http://schemas.openxmlformats.org/officeDocument/2006/relationships/hyperlink" Target="https://oci-bec.gc.ca/en/content/office-correctional-investigator-annual-report-2024-25" TargetMode="External"/><Relationship Id="rId116" Type="http://schemas.openxmlformats.org/officeDocument/2006/relationships/hyperlink" Target="https://www.canada.ca/en/women-gender-equality/free-to-be-me/federal-2slgbtqi-plus-action-plan/federal-2slgbtqi-plus-action-plan-2022.html" TargetMode="External"/><Relationship Id="rId137" Type="http://schemas.openxmlformats.org/officeDocument/2006/relationships/hyperlink" Target="https://www.canada.ca/en/global-affairs/news/2025/02/canada-signs-the-council-of-europe-framework-convention-on-artificial-intelligence-and-human-rights-democracy-and-the-rule-of-law.html" TargetMode="External"/><Relationship Id="rId20" Type="http://schemas.openxmlformats.org/officeDocument/2006/relationships/hyperlink" Target="https://baseline.bchumanrights.ca/wp-content/uploads/2024/08/BCOHRC_Aug2024_Rights-in-focus.pdf" TargetMode="External"/><Relationship Id="rId41" Type="http://schemas.openxmlformats.org/officeDocument/2006/relationships/hyperlink" Target="https://www.ourcommons.ca/Content/Committee/441/ETHI/Reports/RP11948475/ethirp06/ethirp06-e.pdf" TargetMode="External"/><Relationship Id="rId62" Type="http://schemas.openxmlformats.org/officeDocument/2006/relationships/hyperlink" Target="https://oci-bec.gc.ca/en/content/office-correctional-investigator-annual-report-2020-2021" TargetMode="External"/><Relationship Id="rId83" Type="http://schemas.openxmlformats.org/officeDocument/2006/relationships/hyperlink" Target="https://bchumanrights.ca/wp-content/uploads/BCOHRC_Were-still-here-2025.pdf" TargetMode="External"/><Relationship Id="rId88" Type="http://schemas.openxmlformats.org/officeDocument/2006/relationships/hyperlink" Target="https://www150.statcan.gc.ca/t1/tbl1/en/tv.action?pid=1410041701" TargetMode="External"/><Relationship Id="rId111" Type="http://schemas.openxmlformats.org/officeDocument/2006/relationships/hyperlink" Target="https://www.hrw.org/report/2017/07/25/i-want-be-nature-made-me/medically-unnecessary-surgeries-intersex-children-us" TargetMode="External"/><Relationship Id="rId132" Type="http://schemas.openxmlformats.org/officeDocument/2006/relationships/hyperlink" Target="https://www.cigionline.org/static/documents/DPH-paper-Nathalie_DiBerardino.pdf" TargetMode="External"/><Relationship Id="rId15" Type="http://schemas.openxmlformats.org/officeDocument/2006/relationships/hyperlink" Target="https://make-the-shift.org/wp-content/uploads/2020/08/A-National-Protocol-for-Homeless-Encampments-in-Canada.pdf" TargetMode="External"/><Relationship Id="rId36" Type="http://schemas.openxmlformats.org/officeDocument/2006/relationships/hyperlink" Target="https://canlii.ca/t/gn2vg" TargetMode="External"/><Relationship Id="rId57" Type="http://schemas.openxmlformats.org/officeDocument/2006/relationships/hyperlink" Target="https://www.justice.gc.ca/eng/cj-jp/cbjs-scjn/transformative-transformateur/pdf/CS-24-110-CBJS-GV-DA_06-25-24-EN.pdf" TargetMode="External"/><Relationship Id="rId106" Type="http://schemas.openxmlformats.org/officeDocument/2006/relationships/hyperlink" Target="https://www150.statcan.gc.ca/n1/daily-quotidien/250325/dq250325a-eng.htm" TargetMode="External"/><Relationship Id="rId127" Type="http://schemas.openxmlformats.org/officeDocument/2006/relationships/hyperlink" Target="https://www.parl.ca/legisinfo/en/bill/44-1/c-20" TargetMode="External"/><Relationship Id="rId10" Type="http://schemas.openxmlformats.org/officeDocument/2006/relationships/hyperlink" Target="https://www.cbc.ca/news/canada/british-columbia/homeless-deaths-2023-1.7477742" TargetMode="External"/><Relationship Id="rId31" Type="http://schemas.openxmlformats.org/officeDocument/2006/relationships/hyperlink" Target="https://sencanada.ca/en/info-page/parl-44-1/appa-indigenous-human-rights-framework/" TargetMode="External"/><Relationship Id="rId52" Type="http://schemas.openxmlformats.org/officeDocument/2006/relationships/hyperlink" Target="https://digitalcommons.osgoode.yorku.ca/cgi/viewcontent.cgi?article=3595&amp;context=scholarly_works" TargetMode="External"/><Relationship Id="rId73" Type="http://schemas.openxmlformats.org/officeDocument/2006/relationships/hyperlink" Target="https://invisibleinstitutions.com/" TargetMode="External"/><Relationship Id="rId78" Type="http://schemas.openxmlformats.org/officeDocument/2006/relationships/hyperlink" Target="https://www.eugenicsarchive.ca/our-stories" TargetMode="External"/><Relationship Id="rId94" Type="http://schemas.openxmlformats.org/officeDocument/2006/relationships/hyperlink" Target="https://www150.statcan.gc.ca/n1/pub/89-654-x/89-654-x2024001-eng.htm" TargetMode="External"/><Relationship Id="rId99" Type="http://schemas.openxmlformats.org/officeDocument/2006/relationships/hyperlink" Target="https://policywise.blob.core.windows.net/files/Discussion%20Paper%20Reversing%20the%20Gendered%20Impact%20of%20Covid-19.pdf" TargetMode="External"/><Relationship Id="rId101" Type="http://schemas.openxmlformats.org/officeDocument/2006/relationships/hyperlink" Target="https://www150.statcan.gc.ca/n1/pub/89-654-x/89-654-x2023002-eng.htm" TargetMode="External"/><Relationship Id="rId122" Type="http://schemas.openxmlformats.org/officeDocument/2006/relationships/hyperlink" Target="https://www.chrc-ccdp.gc.ca/resources/newsroom/banning-religious-symbols-puts-everyones-rights-risk" TargetMode="External"/><Relationship Id="rId143" Type="http://schemas.openxmlformats.org/officeDocument/2006/relationships/hyperlink" Target="https://www.amo-oma.ca/en/ai-policy-report/" TargetMode="External"/><Relationship Id="rId4" Type="http://schemas.openxmlformats.org/officeDocument/2006/relationships/hyperlink" Target="https://www.theglobeandmail.com/opinion/article-canadians-with-disabilities-are-dying-needlessly/" TargetMode="External"/><Relationship Id="rId9" Type="http://schemas.openxmlformats.org/officeDocument/2006/relationships/hyperlink" Target="https://www2.gnb.ca/content/gnb/en/news/news_release.2024.04.0163.html" TargetMode="External"/><Relationship Id="rId26" Type="http://schemas.openxmlformats.org/officeDocument/2006/relationships/hyperlink" Target="https://www.justice.gc.ca/eng/declaration/ap-pa/index.html" TargetMode="External"/><Relationship Id="rId47" Type="http://schemas.openxmlformats.org/officeDocument/2006/relationships/hyperlink" Target="https://www.scc-csc.ca/cases-dossiers/search-recherche/41605/" TargetMode="External"/><Relationship Id="rId68" Type="http://schemas.openxmlformats.org/officeDocument/2006/relationships/hyperlink" Target="https://www.publicsafety.gc.ca/cnt/rsrcs/pblctns/2024-siu-iap-nnlrpt-2023-24/index-en.aspx" TargetMode="External"/><Relationship Id="rId89" Type="http://schemas.openxmlformats.org/officeDocument/2006/relationships/hyperlink" Target="https://www.canadianwomen.org/the-facts/the-wage-gap/" TargetMode="External"/><Relationship Id="rId112" Type="http://schemas.openxmlformats.org/officeDocument/2006/relationships/hyperlink" Target="https://www.ohchr.org/en/statements-and-speeches/2025/09/dhc-al-nashif-urges-end-discrimination-and-abuse-against-intersex" TargetMode="External"/><Relationship Id="rId133" Type="http://schemas.openxmlformats.org/officeDocument/2006/relationships/hyperlink" Target="https://citizenlab.ca/2020/09/to-surveil-and-predict-a-human-rights-analysis-of-algorithmic-policing-in-canada/" TargetMode="External"/><Relationship Id="rId16" Type="http://schemas.openxmlformats.org/officeDocument/2006/relationships/hyperlink" Target="https://www.parl.ca/DocumentViewer/en/44-1/bill/S-5/royal-assent" TargetMode="External"/><Relationship Id="rId37" Type="http://schemas.openxmlformats.org/officeDocument/2006/relationships/hyperlink" Target="https://canlii.ca/t/k3fj4" TargetMode="External"/><Relationship Id="rId58" Type="http://schemas.openxmlformats.org/officeDocument/2006/relationships/hyperlink" Target="https://oci-bec.gc.ca/en/content/ten-years-spirit-matters-roadmap-reform-indigenous-corrections-canada" TargetMode="External"/><Relationship Id="rId79" Type="http://schemas.openxmlformats.org/officeDocument/2006/relationships/hyperlink" Target="https://www.canlii.org/en/ns/nsca/doc/2021/2021nsca70/2021nsca70.html" TargetMode="External"/><Relationship Id="rId102" Type="http://schemas.openxmlformats.org/officeDocument/2006/relationships/hyperlink" Target="https://www150.statcan.gc.ca/n1/pub/89-654-x/89-654-x2024001-eng.htm" TargetMode="External"/><Relationship Id="rId123" Type="http://schemas.openxmlformats.org/officeDocument/2006/relationships/hyperlink" Target="https://www.hrw.org/news/2024/03/21/canada-all-10-provinces-end-immigration-detention-jails" TargetMode="External"/><Relationship Id="rId144" Type="http://schemas.openxmlformats.org/officeDocument/2006/relationships/hyperlink" Target="https://www3.ohrc.on.ca/en/human-rights-ai-impact-assessmen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A78B4-7686-47EE-AE1F-E8E4A418D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10554</Words>
  <Characters>60162</Characters>
  <Application>Microsoft Office Word</Application>
  <DocSecurity>0</DocSecurity>
  <Lines>501</Lines>
  <Paragraphs>141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70575</CharactersWithSpaces>
  <SharedDoc>false</SharedDoc>
  <HLinks>
    <vt:vector size="834" baseType="variant">
      <vt:variant>
        <vt:i4>1572917</vt:i4>
      </vt:variant>
      <vt:variant>
        <vt:i4>140</vt:i4>
      </vt:variant>
      <vt:variant>
        <vt:i4>0</vt:i4>
      </vt:variant>
      <vt:variant>
        <vt:i4>5</vt:i4>
      </vt:variant>
      <vt:variant>
        <vt:lpwstr/>
      </vt:variant>
      <vt:variant>
        <vt:lpwstr>_Toc203137790</vt:lpwstr>
      </vt:variant>
      <vt:variant>
        <vt:i4>1638453</vt:i4>
      </vt:variant>
      <vt:variant>
        <vt:i4>134</vt:i4>
      </vt:variant>
      <vt:variant>
        <vt:i4>0</vt:i4>
      </vt:variant>
      <vt:variant>
        <vt:i4>5</vt:i4>
      </vt:variant>
      <vt:variant>
        <vt:lpwstr/>
      </vt:variant>
      <vt:variant>
        <vt:lpwstr>_Toc203137789</vt:lpwstr>
      </vt:variant>
      <vt:variant>
        <vt:i4>1638453</vt:i4>
      </vt:variant>
      <vt:variant>
        <vt:i4>128</vt:i4>
      </vt:variant>
      <vt:variant>
        <vt:i4>0</vt:i4>
      </vt:variant>
      <vt:variant>
        <vt:i4>5</vt:i4>
      </vt:variant>
      <vt:variant>
        <vt:lpwstr/>
      </vt:variant>
      <vt:variant>
        <vt:lpwstr>_Toc203137788</vt:lpwstr>
      </vt:variant>
      <vt:variant>
        <vt:i4>1638453</vt:i4>
      </vt:variant>
      <vt:variant>
        <vt:i4>122</vt:i4>
      </vt:variant>
      <vt:variant>
        <vt:i4>0</vt:i4>
      </vt:variant>
      <vt:variant>
        <vt:i4>5</vt:i4>
      </vt:variant>
      <vt:variant>
        <vt:lpwstr/>
      </vt:variant>
      <vt:variant>
        <vt:lpwstr>_Toc203137787</vt:lpwstr>
      </vt:variant>
      <vt:variant>
        <vt:i4>1638453</vt:i4>
      </vt:variant>
      <vt:variant>
        <vt:i4>116</vt:i4>
      </vt:variant>
      <vt:variant>
        <vt:i4>0</vt:i4>
      </vt:variant>
      <vt:variant>
        <vt:i4>5</vt:i4>
      </vt:variant>
      <vt:variant>
        <vt:lpwstr/>
      </vt:variant>
      <vt:variant>
        <vt:lpwstr>_Toc203137786</vt:lpwstr>
      </vt:variant>
      <vt:variant>
        <vt:i4>1638453</vt:i4>
      </vt:variant>
      <vt:variant>
        <vt:i4>110</vt:i4>
      </vt:variant>
      <vt:variant>
        <vt:i4>0</vt:i4>
      </vt:variant>
      <vt:variant>
        <vt:i4>5</vt:i4>
      </vt:variant>
      <vt:variant>
        <vt:lpwstr/>
      </vt:variant>
      <vt:variant>
        <vt:lpwstr>_Toc203137785</vt:lpwstr>
      </vt:variant>
      <vt:variant>
        <vt:i4>1638453</vt:i4>
      </vt:variant>
      <vt:variant>
        <vt:i4>104</vt:i4>
      </vt:variant>
      <vt:variant>
        <vt:i4>0</vt:i4>
      </vt:variant>
      <vt:variant>
        <vt:i4>5</vt:i4>
      </vt:variant>
      <vt:variant>
        <vt:lpwstr/>
      </vt:variant>
      <vt:variant>
        <vt:lpwstr>_Toc203137784</vt:lpwstr>
      </vt:variant>
      <vt:variant>
        <vt:i4>1638453</vt:i4>
      </vt:variant>
      <vt:variant>
        <vt:i4>98</vt:i4>
      </vt:variant>
      <vt:variant>
        <vt:i4>0</vt:i4>
      </vt:variant>
      <vt:variant>
        <vt:i4>5</vt:i4>
      </vt:variant>
      <vt:variant>
        <vt:lpwstr/>
      </vt:variant>
      <vt:variant>
        <vt:lpwstr>_Toc203137783</vt:lpwstr>
      </vt:variant>
      <vt:variant>
        <vt:i4>1638453</vt:i4>
      </vt:variant>
      <vt:variant>
        <vt:i4>92</vt:i4>
      </vt:variant>
      <vt:variant>
        <vt:i4>0</vt:i4>
      </vt:variant>
      <vt:variant>
        <vt:i4>5</vt:i4>
      </vt:variant>
      <vt:variant>
        <vt:lpwstr/>
      </vt:variant>
      <vt:variant>
        <vt:lpwstr>_Toc203137782</vt:lpwstr>
      </vt:variant>
      <vt:variant>
        <vt:i4>1638453</vt:i4>
      </vt:variant>
      <vt:variant>
        <vt:i4>86</vt:i4>
      </vt:variant>
      <vt:variant>
        <vt:i4>0</vt:i4>
      </vt:variant>
      <vt:variant>
        <vt:i4>5</vt:i4>
      </vt:variant>
      <vt:variant>
        <vt:lpwstr/>
      </vt:variant>
      <vt:variant>
        <vt:lpwstr>_Toc203137781</vt:lpwstr>
      </vt:variant>
      <vt:variant>
        <vt:i4>1638453</vt:i4>
      </vt:variant>
      <vt:variant>
        <vt:i4>80</vt:i4>
      </vt:variant>
      <vt:variant>
        <vt:i4>0</vt:i4>
      </vt:variant>
      <vt:variant>
        <vt:i4>5</vt:i4>
      </vt:variant>
      <vt:variant>
        <vt:lpwstr/>
      </vt:variant>
      <vt:variant>
        <vt:lpwstr>_Toc203137780</vt:lpwstr>
      </vt:variant>
      <vt:variant>
        <vt:i4>1441845</vt:i4>
      </vt:variant>
      <vt:variant>
        <vt:i4>74</vt:i4>
      </vt:variant>
      <vt:variant>
        <vt:i4>0</vt:i4>
      </vt:variant>
      <vt:variant>
        <vt:i4>5</vt:i4>
      </vt:variant>
      <vt:variant>
        <vt:lpwstr/>
      </vt:variant>
      <vt:variant>
        <vt:lpwstr>_Toc203137779</vt:lpwstr>
      </vt:variant>
      <vt:variant>
        <vt:i4>1441845</vt:i4>
      </vt:variant>
      <vt:variant>
        <vt:i4>68</vt:i4>
      </vt:variant>
      <vt:variant>
        <vt:i4>0</vt:i4>
      </vt:variant>
      <vt:variant>
        <vt:i4>5</vt:i4>
      </vt:variant>
      <vt:variant>
        <vt:lpwstr/>
      </vt:variant>
      <vt:variant>
        <vt:lpwstr>_Toc203137778</vt:lpwstr>
      </vt:variant>
      <vt:variant>
        <vt:i4>1441845</vt:i4>
      </vt:variant>
      <vt:variant>
        <vt:i4>62</vt:i4>
      </vt:variant>
      <vt:variant>
        <vt:i4>0</vt:i4>
      </vt:variant>
      <vt:variant>
        <vt:i4>5</vt:i4>
      </vt:variant>
      <vt:variant>
        <vt:lpwstr/>
      </vt:variant>
      <vt:variant>
        <vt:lpwstr>_Toc203137777</vt:lpwstr>
      </vt:variant>
      <vt:variant>
        <vt:i4>1441845</vt:i4>
      </vt:variant>
      <vt:variant>
        <vt:i4>56</vt:i4>
      </vt:variant>
      <vt:variant>
        <vt:i4>0</vt:i4>
      </vt:variant>
      <vt:variant>
        <vt:i4>5</vt:i4>
      </vt:variant>
      <vt:variant>
        <vt:lpwstr/>
      </vt:variant>
      <vt:variant>
        <vt:lpwstr>_Toc203137776</vt:lpwstr>
      </vt:variant>
      <vt:variant>
        <vt:i4>1441845</vt:i4>
      </vt:variant>
      <vt:variant>
        <vt:i4>50</vt:i4>
      </vt:variant>
      <vt:variant>
        <vt:i4>0</vt:i4>
      </vt:variant>
      <vt:variant>
        <vt:i4>5</vt:i4>
      </vt:variant>
      <vt:variant>
        <vt:lpwstr/>
      </vt:variant>
      <vt:variant>
        <vt:lpwstr>_Toc203137775</vt:lpwstr>
      </vt:variant>
      <vt:variant>
        <vt:i4>1441845</vt:i4>
      </vt:variant>
      <vt:variant>
        <vt:i4>44</vt:i4>
      </vt:variant>
      <vt:variant>
        <vt:i4>0</vt:i4>
      </vt:variant>
      <vt:variant>
        <vt:i4>5</vt:i4>
      </vt:variant>
      <vt:variant>
        <vt:lpwstr/>
      </vt:variant>
      <vt:variant>
        <vt:lpwstr>_Toc203137774</vt:lpwstr>
      </vt:variant>
      <vt:variant>
        <vt:i4>1441845</vt:i4>
      </vt:variant>
      <vt:variant>
        <vt:i4>38</vt:i4>
      </vt:variant>
      <vt:variant>
        <vt:i4>0</vt:i4>
      </vt:variant>
      <vt:variant>
        <vt:i4>5</vt:i4>
      </vt:variant>
      <vt:variant>
        <vt:lpwstr/>
      </vt:variant>
      <vt:variant>
        <vt:lpwstr>_Toc203137773</vt:lpwstr>
      </vt:variant>
      <vt:variant>
        <vt:i4>1441845</vt:i4>
      </vt:variant>
      <vt:variant>
        <vt:i4>32</vt:i4>
      </vt:variant>
      <vt:variant>
        <vt:i4>0</vt:i4>
      </vt:variant>
      <vt:variant>
        <vt:i4>5</vt:i4>
      </vt:variant>
      <vt:variant>
        <vt:lpwstr/>
      </vt:variant>
      <vt:variant>
        <vt:lpwstr>_Toc203137772</vt:lpwstr>
      </vt:variant>
      <vt:variant>
        <vt:i4>1441845</vt:i4>
      </vt:variant>
      <vt:variant>
        <vt:i4>26</vt:i4>
      </vt:variant>
      <vt:variant>
        <vt:i4>0</vt:i4>
      </vt:variant>
      <vt:variant>
        <vt:i4>5</vt:i4>
      </vt:variant>
      <vt:variant>
        <vt:lpwstr/>
      </vt:variant>
      <vt:variant>
        <vt:lpwstr>_Toc203137771</vt:lpwstr>
      </vt:variant>
      <vt:variant>
        <vt:i4>1441845</vt:i4>
      </vt:variant>
      <vt:variant>
        <vt:i4>20</vt:i4>
      </vt:variant>
      <vt:variant>
        <vt:i4>0</vt:i4>
      </vt:variant>
      <vt:variant>
        <vt:i4>5</vt:i4>
      </vt:variant>
      <vt:variant>
        <vt:lpwstr/>
      </vt:variant>
      <vt:variant>
        <vt:lpwstr>_Toc203137770</vt:lpwstr>
      </vt:variant>
      <vt:variant>
        <vt:i4>1507381</vt:i4>
      </vt:variant>
      <vt:variant>
        <vt:i4>14</vt:i4>
      </vt:variant>
      <vt:variant>
        <vt:i4>0</vt:i4>
      </vt:variant>
      <vt:variant>
        <vt:i4>5</vt:i4>
      </vt:variant>
      <vt:variant>
        <vt:lpwstr/>
      </vt:variant>
      <vt:variant>
        <vt:lpwstr>_Toc203137769</vt:lpwstr>
      </vt:variant>
      <vt:variant>
        <vt:i4>1507381</vt:i4>
      </vt:variant>
      <vt:variant>
        <vt:i4>8</vt:i4>
      </vt:variant>
      <vt:variant>
        <vt:i4>0</vt:i4>
      </vt:variant>
      <vt:variant>
        <vt:i4>5</vt:i4>
      </vt:variant>
      <vt:variant>
        <vt:lpwstr/>
      </vt:variant>
      <vt:variant>
        <vt:lpwstr>_Toc203137768</vt:lpwstr>
      </vt:variant>
      <vt:variant>
        <vt:i4>1507381</vt:i4>
      </vt:variant>
      <vt:variant>
        <vt:i4>2</vt:i4>
      </vt:variant>
      <vt:variant>
        <vt:i4>0</vt:i4>
      </vt:variant>
      <vt:variant>
        <vt:i4>5</vt:i4>
      </vt:variant>
      <vt:variant>
        <vt:lpwstr/>
      </vt:variant>
      <vt:variant>
        <vt:lpwstr>_Toc203137767</vt:lpwstr>
      </vt:variant>
      <vt:variant>
        <vt:i4>5373982</vt:i4>
      </vt:variant>
      <vt:variant>
        <vt:i4>345</vt:i4>
      </vt:variant>
      <vt:variant>
        <vt:i4>0</vt:i4>
      </vt:variant>
      <vt:variant>
        <vt:i4>5</vt:i4>
      </vt:variant>
      <vt:variant>
        <vt:lpwstr>https://documents.un.org/</vt:lpwstr>
      </vt:variant>
      <vt:variant>
        <vt:lpwstr/>
      </vt:variant>
      <vt:variant>
        <vt:i4>5373982</vt:i4>
      </vt:variant>
      <vt:variant>
        <vt:i4>342</vt:i4>
      </vt:variant>
      <vt:variant>
        <vt:i4>0</vt:i4>
      </vt:variant>
      <vt:variant>
        <vt:i4>5</vt:i4>
      </vt:variant>
      <vt:variant>
        <vt:lpwstr>https://documents.un.org/</vt:lpwstr>
      </vt:variant>
      <vt:variant>
        <vt:lpwstr/>
      </vt:variant>
      <vt:variant>
        <vt:i4>4653074</vt:i4>
      </vt:variant>
      <vt:variant>
        <vt:i4>339</vt:i4>
      </vt:variant>
      <vt:variant>
        <vt:i4>0</vt:i4>
      </vt:variant>
      <vt:variant>
        <vt:i4>5</vt:i4>
      </vt:variant>
      <vt:variant>
        <vt:lpwstr>https://www3.ohrc.on.ca/en/human-rights-ai-impact-assessment</vt:lpwstr>
      </vt:variant>
      <vt:variant>
        <vt:lpwstr/>
      </vt:variant>
      <vt:variant>
        <vt:i4>2424865</vt:i4>
      </vt:variant>
      <vt:variant>
        <vt:i4>336</vt:i4>
      </vt:variant>
      <vt:variant>
        <vt:i4>0</vt:i4>
      </vt:variant>
      <vt:variant>
        <vt:i4>5</vt:i4>
      </vt:variant>
      <vt:variant>
        <vt:lpwstr>https://www.amo-oma.ca/en/ai-policy-report/</vt:lpwstr>
      </vt:variant>
      <vt:variant>
        <vt:lpwstr/>
      </vt:variant>
      <vt:variant>
        <vt:i4>5308423</vt:i4>
      </vt:variant>
      <vt:variant>
        <vt:i4>333</vt:i4>
      </vt:variant>
      <vt:variant>
        <vt:i4>0</vt:i4>
      </vt:variant>
      <vt:variant>
        <vt:i4>5</vt:i4>
      </vt:variant>
      <vt:variant>
        <vt:lpwstr>https://www.oipc.bc.ca/documents/public-comments/2727</vt:lpwstr>
      </vt:variant>
      <vt:variant>
        <vt:lpwstr/>
      </vt:variant>
      <vt:variant>
        <vt:i4>3604515</vt:i4>
      </vt:variant>
      <vt:variant>
        <vt:i4>330</vt:i4>
      </vt:variant>
      <vt:variant>
        <vt:i4>0</vt:i4>
      </vt:variant>
      <vt:variant>
        <vt:i4>5</vt:i4>
      </vt:variant>
      <vt:variant>
        <vt:lpwstr>https://bchumanrights.ca/news-and-events/news/b-c-independent-oversight-offices-urge-public-consultation-legislative-reform-on-use-of-artificial-intelligence/</vt:lpwstr>
      </vt:variant>
      <vt:variant>
        <vt:lpwstr/>
      </vt:variant>
      <vt:variant>
        <vt:i4>5701724</vt:i4>
      </vt:variant>
      <vt:variant>
        <vt:i4>327</vt:i4>
      </vt:variant>
      <vt:variant>
        <vt:i4>0</vt:i4>
      </vt:variant>
      <vt:variant>
        <vt:i4>5</vt:i4>
      </vt:variant>
      <vt:variant>
        <vt:lpwstr>https://www3.ohrc.on.ca/en/ohrc-submission-standing-committee-justice-policy-bill-194</vt:lpwstr>
      </vt:variant>
      <vt:variant>
        <vt:lpwstr/>
      </vt:variant>
      <vt:variant>
        <vt:i4>8257656</vt:i4>
      </vt:variant>
      <vt:variant>
        <vt:i4>324</vt:i4>
      </vt:variant>
      <vt:variant>
        <vt:i4>0</vt:i4>
      </vt:variant>
      <vt:variant>
        <vt:i4>5</vt:i4>
      </vt:variant>
      <vt:variant>
        <vt:lpwstr>https://www.canada.ca/en/government/system/digital-government/digital-government-innovations/responsible-use-ai/algorithmic-impact-assessment.html</vt:lpwstr>
      </vt:variant>
      <vt:variant>
        <vt:lpwstr/>
      </vt:variant>
      <vt:variant>
        <vt:i4>7405619</vt:i4>
      </vt:variant>
      <vt:variant>
        <vt:i4>321</vt:i4>
      </vt:variant>
      <vt:variant>
        <vt:i4>0</vt:i4>
      </vt:variant>
      <vt:variant>
        <vt:i4>5</vt:i4>
      </vt:variant>
      <vt:variant>
        <vt:lpwstr>https://www.tbs-sct.canada.ca/pol/doc-eng.aspx?id=32592</vt:lpwstr>
      </vt:variant>
      <vt:variant>
        <vt:lpwstr/>
      </vt:variant>
      <vt:variant>
        <vt:i4>852053</vt:i4>
      </vt:variant>
      <vt:variant>
        <vt:i4>318</vt:i4>
      </vt:variant>
      <vt:variant>
        <vt:i4>0</vt:i4>
      </vt:variant>
      <vt:variant>
        <vt:i4>5</vt:i4>
      </vt:variant>
      <vt:variant>
        <vt:lpwstr>https://www.canada.ca/en/government/system/digital-government/digital-government-innovations/responsible-use-ai.html</vt:lpwstr>
      </vt:variant>
      <vt:variant>
        <vt:lpwstr/>
      </vt:variant>
      <vt:variant>
        <vt:i4>6750251</vt:i4>
      </vt:variant>
      <vt:variant>
        <vt:i4>315</vt:i4>
      </vt:variant>
      <vt:variant>
        <vt:i4>0</vt:i4>
      </vt:variant>
      <vt:variant>
        <vt:i4>5</vt:i4>
      </vt:variant>
      <vt:variant>
        <vt:lpwstr>https://www.parl.ca/DocumentViewer/en/44-1/bill/C-27/first-reading</vt:lpwstr>
      </vt:variant>
      <vt:variant>
        <vt:lpwstr/>
      </vt:variant>
      <vt:variant>
        <vt:i4>2687008</vt:i4>
      </vt:variant>
      <vt:variant>
        <vt:i4>312</vt:i4>
      </vt:variant>
      <vt:variant>
        <vt:i4>0</vt:i4>
      </vt:variant>
      <vt:variant>
        <vt:i4>5</vt:i4>
      </vt:variant>
      <vt:variant>
        <vt:lpwstr>https://cjc-online.ca/index.php/journal/article/view/4068/4299</vt:lpwstr>
      </vt:variant>
      <vt:variant>
        <vt:lpwstr/>
      </vt:variant>
      <vt:variant>
        <vt:i4>1376268</vt:i4>
      </vt:variant>
      <vt:variant>
        <vt:i4>309</vt:i4>
      </vt:variant>
      <vt:variant>
        <vt:i4>0</vt:i4>
      </vt:variant>
      <vt:variant>
        <vt:i4>5</vt:i4>
      </vt:variant>
      <vt:variant>
        <vt:lpwstr>https://www.lco-cdo.org/wp-content/uploads/2021/04/LCO-Regulating-AI-Critical-Issues-and-Choices-Toronto-April-2021-1.pdf</vt:lpwstr>
      </vt:variant>
      <vt:variant>
        <vt:lpwstr/>
      </vt:variant>
      <vt:variant>
        <vt:i4>1048663</vt:i4>
      </vt:variant>
      <vt:variant>
        <vt:i4>306</vt:i4>
      </vt:variant>
      <vt:variant>
        <vt:i4>0</vt:i4>
      </vt:variant>
      <vt:variant>
        <vt:i4>5</vt:i4>
      </vt:variant>
      <vt:variant>
        <vt:lpwstr>https://news.un.org/en/story/2024/03/1148172</vt:lpwstr>
      </vt:variant>
      <vt:variant>
        <vt:lpwstr/>
      </vt:variant>
      <vt:variant>
        <vt:i4>851983</vt:i4>
      </vt:variant>
      <vt:variant>
        <vt:i4>303</vt:i4>
      </vt:variant>
      <vt:variant>
        <vt:i4>0</vt:i4>
      </vt:variant>
      <vt:variant>
        <vt:i4>5</vt:i4>
      </vt:variant>
      <vt:variant>
        <vt:lpwstr>https://thehub.ca/2025/03/21/can-ai-make-the-government-more-efficient-canada-plans-to-find-out/</vt:lpwstr>
      </vt:variant>
      <vt:variant>
        <vt:lpwstr/>
      </vt:variant>
      <vt:variant>
        <vt:i4>4128800</vt:i4>
      </vt:variant>
      <vt:variant>
        <vt:i4>300</vt:i4>
      </vt:variant>
      <vt:variant>
        <vt:i4>0</vt:i4>
      </vt:variant>
      <vt:variant>
        <vt:i4>5</vt:i4>
      </vt:variant>
      <vt:variant>
        <vt:lpwstr>https://www.parl.ca/legisinfo/en/bill/45-1/c-2</vt:lpwstr>
      </vt:variant>
      <vt:variant>
        <vt:lpwstr/>
      </vt:variant>
      <vt:variant>
        <vt:i4>2818164</vt:i4>
      </vt:variant>
      <vt:variant>
        <vt:i4>297</vt:i4>
      </vt:variant>
      <vt:variant>
        <vt:i4>0</vt:i4>
      </vt:variant>
      <vt:variant>
        <vt:i4>5</vt:i4>
      </vt:variant>
      <vt:variant>
        <vt:lpwstr>https://laws-lois.justice.gc.ca/eng/acts/H-6/section-40.html</vt:lpwstr>
      </vt:variant>
      <vt:variant>
        <vt:lpwstr>:~:text=No%20complaints%20to%20be%20considered,dealt%20with%20in%20certain%20cases</vt:lpwstr>
      </vt:variant>
      <vt:variant>
        <vt:i4>4063264</vt:i4>
      </vt:variant>
      <vt:variant>
        <vt:i4>294</vt:i4>
      </vt:variant>
      <vt:variant>
        <vt:i4>0</vt:i4>
      </vt:variant>
      <vt:variant>
        <vt:i4>5</vt:i4>
      </vt:variant>
      <vt:variant>
        <vt:lpwstr>https://www.parl.ca/legisinfo/en/bill/44-1/c-20</vt:lpwstr>
      </vt:variant>
      <vt:variant>
        <vt:lpwstr/>
      </vt:variant>
      <vt:variant>
        <vt:i4>9</vt:i4>
      </vt:variant>
      <vt:variant>
        <vt:i4>291</vt:i4>
      </vt:variant>
      <vt:variant>
        <vt:i4>0</vt:i4>
      </vt:variant>
      <vt:variant>
        <vt:i4>5</vt:i4>
      </vt:variant>
      <vt:variant>
        <vt:lpwstr>https://www.hrw.org/report/2024/12/03/it-felt-everything-life-stopped/legal-capacity-rights-violations-against-people</vt:lpwstr>
      </vt:variant>
      <vt:variant>
        <vt:lpwstr/>
      </vt:variant>
      <vt:variant>
        <vt:i4>1638480</vt:i4>
      </vt:variant>
      <vt:variant>
        <vt:i4>288</vt:i4>
      </vt:variant>
      <vt:variant>
        <vt:i4>0</vt:i4>
      </vt:variant>
      <vt:variant>
        <vt:i4>5</vt:i4>
      </vt:variant>
      <vt:variant>
        <vt:lpwstr>https://www.hrw.org/report/2021/06/17/i-didnt-feel-human-there/immigration-detention-canada-and-its-impact-mental</vt:lpwstr>
      </vt:variant>
      <vt:variant>
        <vt:lpwstr/>
      </vt:variant>
      <vt:variant>
        <vt:i4>6422576</vt:i4>
      </vt:variant>
      <vt:variant>
        <vt:i4>285</vt:i4>
      </vt:variant>
      <vt:variant>
        <vt:i4>0</vt:i4>
      </vt:variant>
      <vt:variant>
        <vt:i4>5</vt:i4>
      </vt:variant>
      <vt:variant>
        <vt:lpwstr>https://www.hrw.org/news/2024/03/21/canada-all-10-provinces-end-immigration-detention-jails</vt:lpwstr>
      </vt:variant>
      <vt:variant>
        <vt:lpwstr>:~:text=People%20in%20immigration%20detention%20are,with%20no%20end%20in%20sight</vt:lpwstr>
      </vt:variant>
      <vt:variant>
        <vt:i4>5439571</vt:i4>
      </vt:variant>
      <vt:variant>
        <vt:i4>282</vt:i4>
      </vt:variant>
      <vt:variant>
        <vt:i4>0</vt:i4>
      </vt:variant>
      <vt:variant>
        <vt:i4>5</vt:i4>
      </vt:variant>
      <vt:variant>
        <vt:lpwstr>https://www.chrc-ccdp.gc.ca/en/resources/banning-religious-symbols-puts-everyones-rights-risk</vt:lpwstr>
      </vt:variant>
      <vt:variant>
        <vt:lpwstr/>
      </vt:variant>
      <vt:variant>
        <vt:i4>1310814</vt:i4>
      </vt:variant>
      <vt:variant>
        <vt:i4>279</vt:i4>
      </vt:variant>
      <vt:variant>
        <vt:i4>0</vt:i4>
      </vt:variant>
      <vt:variant>
        <vt:i4>5</vt:i4>
      </vt:variant>
      <vt:variant>
        <vt:lpwstr>https://doi.org/10.1177/2332649220903740</vt:lpwstr>
      </vt:variant>
      <vt:variant>
        <vt:lpwstr/>
      </vt:variant>
      <vt:variant>
        <vt:i4>8061047</vt:i4>
      </vt:variant>
      <vt:variant>
        <vt:i4>276</vt:i4>
      </vt:variant>
      <vt:variant>
        <vt:i4>0</vt:i4>
      </vt:variant>
      <vt:variant>
        <vt:i4>5</vt:i4>
      </vt:variant>
      <vt:variant>
        <vt:lpwstr>https://yaqeeninstitute.ca/read/paper/hijab-gendered-islamophobia-and-the-lived-experiences-of-muslim-women</vt:lpwstr>
      </vt:variant>
      <vt:variant>
        <vt:lpwstr/>
      </vt:variant>
      <vt:variant>
        <vt:i4>4587615</vt:i4>
      </vt:variant>
      <vt:variant>
        <vt:i4>273</vt:i4>
      </vt:variant>
      <vt:variant>
        <vt:i4>0</vt:i4>
      </vt:variant>
      <vt:variant>
        <vt:i4>5</vt:i4>
      </vt:variant>
      <vt:variant>
        <vt:lpwstr>https://www.theglobeandmail.com/business/article-muslim-women-wearing-hijab-at-work-face-heightened-scrutiny/</vt:lpwstr>
      </vt:variant>
      <vt:variant>
        <vt:lpwstr/>
      </vt:variant>
      <vt:variant>
        <vt:i4>5439553</vt:i4>
      </vt:variant>
      <vt:variant>
        <vt:i4>270</vt:i4>
      </vt:variant>
      <vt:variant>
        <vt:i4>0</vt:i4>
      </vt:variant>
      <vt:variant>
        <vt:i4>5</vt:i4>
      </vt:variant>
      <vt:variant>
        <vt:lpwstr>https://www.cbc.ca/news/canada/montreal/muslim-women-most-affected-by-quebec-s-secularism-law-court-of-appeal-hears-1.6644377</vt:lpwstr>
      </vt:variant>
      <vt:variant>
        <vt:lpwstr/>
      </vt:variant>
      <vt:variant>
        <vt:i4>6488115</vt:i4>
      </vt:variant>
      <vt:variant>
        <vt:i4>267</vt:i4>
      </vt:variant>
      <vt:variant>
        <vt:i4>0</vt:i4>
      </vt:variant>
      <vt:variant>
        <vt:i4>5</vt:i4>
      </vt:variant>
      <vt:variant>
        <vt:lpwstr>https://www.canada.ca/en/women-gender-equality/free-to-be-me/federal-2slgbtqi-plus-action-plan/federal-2slgbtqi-plus-action-plan-2022.html</vt:lpwstr>
      </vt:variant>
      <vt:variant>
        <vt:lpwstr/>
      </vt:variant>
      <vt:variant>
        <vt:i4>2031694</vt:i4>
      </vt:variant>
      <vt:variant>
        <vt:i4>264</vt:i4>
      </vt:variant>
      <vt:variant>
        <vt:i4>0</vt:i4>
      </vt:variant>
      <vt:variant>
        <vt:i4>5</vt:i4>
      </vt:variant>
      <vt:variant>
        <vt:lpwstr>https://www.cba.org/Our-Work/cbainfluence/Public-Policy-and-Advocacy/2023/May/Ban-attempts-to-fix-intersex-childrens-genitali</vt:lpwstr>
      </vt:variant>
      <vt:variant>
        <vt:lpwstr/>
      </vt:variant>
      <vt:variant>
        <vt:i4>1376346</vt:i4>
      </vt:variant>
      <vt:variant>
        <vt:i4>261</vt:i4>
      </vt:variant>
      <vt:variant>
        <vt:i4>0</vt:i4>
      </vt:variant>
      <vt:variant>
        <vt:i4>5</vt:i4>
      </vt:variant>
      <vt:variant>
        <vt:lpwstr>https://egale.ca/awareness/egale-canada-urges-the-federal-government-to-meet-domestic-and-international-human-rights-requirements-of-intersex-people-on-international-intersex-awareness-day/</vt:lpwstr>
      </vt:variant>
      <vt:variant>
        <vt:lpwstr/>
      </vt:variant>
      <vt:variant>
        <vt:i4>3407934</vt:i4>
      </vt:variant>
      <vt:variant>
        <vt:i4>258</vt:i4>
      </vt:variant>
      <vt:variant>
        <vt:i4>0</vt:i4>
      </vt:variant>
      <vt:variant>
        <vt:i4>5</vt:i4>
      </vt:variant>
      <vt:variant>
        <vt:lpwstr>https://egale.ca/egale-in-action/ontario-superior-court-intersex-human-rights/</vt:lpwstr>
      </vt:variant>
      <vt:variant>
        <vt:lpwstr/>
      </vt:variant>
      <vt:variant>
        <vt:i4>3014782</vt:i4>
      </vt:variant>
      <vt:variant>
        <vt:i4>255</vt:i4>
      </vt:variant>
      <vt:variant>
        <vt:i4>0</vt:i4>
      </vt:variant>
      <vt:variant>
        <vt:i4>5</vt:i4>
      </vt:variant>
      <vt:variant>
        <vt:lpwstr>https://www.hrw.org/report/2017/07/25/i-want-be-nature-made-me/medically-unnecessary-surgeries-intersex-children-us</vt:lpwstr>
      </vt:variant>
      <vt:variant>
        <vt:lpwstr/>
      </vt:variant>
      <vt:variant>
        <vt:i4>7274555</vt:i4>
      </vt:variant>
      <vt:variant>
        <vt:i4>252</vt:i4>
      </vt:variant>
      <vt:variant>
        <vt:i4>0</vt:i4>
      </vt:variant>
      <vt:variant>
        <vt:i4>5</vt:i4>
      </vt:variant>
      <vt:variant>
        <vt:lpwstr>https://www.wlu.ca/news/spotlights/2019/june/professor-morgan-holmes-is-pushing-for-change-for-intersex-people,-through-research-and-activism.html</vt:lpwstr>
      </vt:variant>
      <vt:variant>
        <vt:lpwstr/>
      </vt:variant>
      <vt:variant>
        <vt:i4>7536687</vt:i4>
      </vt:variant>
      <vt:variant>
        <vt:i4>249</vt:i4>
      </vt:variant>
      <vt:variant>
        <vt:i4>0</vt:i4>
      </vt:variant>
      <vt:variant>
        <vt:i4>5</vt:i4>
      </vt:variant>
      <vt:variant>
        <vt:lpwstr>https://egale.ca/egale-submission-to-the-un-committee-against-torture/</vt:lpwstr>
      </vt:variant>
      <vt:variant>
        <vt:lpwstr/>
      </vt:variant>
      <vt:variant>
        <vt:i4>6488111</vt:i4>
      </vt:variant>
      <vt:variant>
        <vt:i4>246</vt:i4>
      </vt:variant>
      <vt:variant>
        <vt:i4>0</vt:i4>
      </vt:variant>
      <vt:variant>
        <vt:i4>5</vt:i4>
      </vt:variant>
      <vt:variant>
        <vt:lpwstr>https://www.parl.ca/DocumentViewer/en/44-1/bill/C-63/first-reading</vt:lpwstr>
      </vt:variant>
      <vt:variant>
        <vt:lpwstr/>
      </vt:variant>
      <vt:variant>
        <vt:i4>5636188</vt:i4>
      </vt:variant>
      <vt:variant>
        <vt:i4>243</vt:i4>
      </vt:variant>
      <vt:variant>
        <vt:i4>0</vt:i4>
      </vt:variant>
      <vt:variant>
        <vt:i4>5</vt:i4>
      </vt:variant>
      <vt:variant>
        <vt:lpwstr>https://www150.statcan.gc.ca/n1/daily-quotidien/250325/dq250325a%E2%80%91eng.htm</vt:lpwstr>
      </vt:variant>
      <vt:variant>
        <vt:lpwstr/>
      </vt:variant>
      <vt:variant>
        <vt:i4>4325384</vt:i4>
      </vt:variant>
      <vt:variant>
        <vt:i4>240</vt:i4>
      </vt:variant>
      <vt:variant>
        <vt:i4>0</vt:i4>
      </vt:variant>
      <vt:variant>
        <vt:i4>5</vt:i4>
      </vt:variant>
      <vt:variant>
        <vt:lpwstr>https://link.springer.com/article/10.1007/s42650-022-00069-z</vt:lpwstr>
      </vt:variant>
      <vt:variant>
        <vt:lpwstr/>
      </vt:variant>
      <vt:variant>
        <vt:i4>3801103</vt:i4>
      </vt:variant>
      <vt:variant>
        <vt:i4>237</vt:i4>
      </vt:variant>
      <vt:variant>
        <vt:i4>0</vt:i4>
      </vt:variant>
      <vt:variant>
        <vt:i4>5</vt:i4>
      </vt:variant>
      <vt:variant>
        <vt:lpwstr>https://epe.lac-bac.gc.ca/disclaimer/index.html?dest=/100/201/301/weekly_acquisitions_list-ef/2019/19-10/publications.gc.ca/collections/collection_2019/statcan/11-626-x/11-626-x2019002-eng.pdf</vt:lpwstr>
      </vt:variant>
      <vt:variant>
        <vt:lpwstr/>
      </vt:variant>
      <vt:variant>
        <vt:i4>7143547</vt:i4>
      </vt:variant>
      <vt:variant>
        <vt:i4>234</vt:i4>
      </vt:variant>
      <vt:variant>
        <vt:i4>0</vt:i4>
      </vt:variant>
      <vt:variant>
        <vt:i4>5</vt:i4>
      </vt:variant>
      <vt:variant>
        <vt:lpwstr>https://www.gendereconomy.org/the-gender-wage-gap/</vt:lpwstr>
      </vt:variant>
      <vt:variant>
        <vt:lpwstr/>
      </vt:variant>
      <vt:variant>
        <vt:i4>196696</vt:i4>
      </vt:variant>
      <vt:variant>
        <vt:i4>231</vt:i4>
      </vt:variant>
      <vt:variant>
        <vt:i4>0</vt:i4>
      </vt:variant>
      <vt:variant>
        <vt:i4>5</vt:i4>
      </vt:variant>
      <vt:variant>
        <vt:lpwstr>https://www150.statcan.gc.ca/n1/pub/89-654-x/89-654-x2018002-eng.htm</vt:lpwstr>
      </vt:variant>
      <vt:variant>
        <vt:lpwstr/>
      </vt:variant>
      <vt:variant>
        <vt:i4>4456535</vt:i4>
      </vt:variant>
      <vt:variant>
        <vt:i4>228</vt:i4>
      </vt:variant>
      <vt:variant>
        <vt:i4>0</vt:i4>
      </vt:variant>
      <vt:variant>
        <vt:i4>5</vt:i4>
      </vt:variant>
      <vt:variant>
        <vt:lpwstr>https://www150.statcan.gc.ca/t1/tbl1/en/cv.action?pid=1110009101</vt:lpwstr>
      </vt:variant>
      <vt:variant>
        <vt:lpwstr/>
      </vt:variant>
      <vt:variant>
        <vt:i4>196608</vt:i4>
      </vt:variant>
      <vt:variant>
        <vt:i4>225</vt:i4>
      </vt:variant>
      <vt:variant>
        <vt:i4>0</vt:i4>
      </vt:variant>
      <vt:variant>
        <vt:i4>5</vt:i4>
      </vt:variant>
      <vt:variant>
        <vt:lpwstr>https://policywise.blob.core.windows.net/files/Discussion Paper Reversing the Gendered Impact of Covid-19.pdf</vt:lpwstr>
      </vt:variant>
      <vt:variant>
        <vt:lpwstr/>
      </vt:variant>
      <vt:variant>
        <vt:i4>6881402</vt:i4>
      </vt:variant>
      <vt:variant>
        <vt:i4>222</vt:i4>
      </vt:variant>
      <vt:variant>
        <vt:i4>0</vt:i4>
      </vt:variant>
      <vt:variant>
        <vt:i4>5</vt:i4>
      </vt:variant>
      <vt:variant>
        <vt:lpwstr>https://www.genderandcovid-19.org/wp-content/uploads/2021/06/Women-in-a-COVID-19-recession-Canada-and-economic-impacts.pdf</vt:lpwstr>
      </vt:variant>
      <vt:variant>
        <vt:lpwstr/>
      </vt:variant>
      <vt:variant>
        <vt:i4>7471208</vt:i4>
      </vt:variant>
      <vt:variant>
        <vt:i4>219</vt:i4>
      </vt:variant>
      <vt:variant>
        <vt:i4>0</vt:i4>
      </vt:variant>
      <vt:variant>
        <vt:i4>5</vt:i4>
      </vt:variant>
      <vt:variant>
        <vt:lpwstr>https://canadianlabour.ca/lessons-of-the-pandemic-must-lead-to-change-for-frontlineworkers</vt:lpwstr>
      </vt:variant>
      <vt:variant>
        <vt:lpwstr/>
      </vt:variant>
      <vt:variant>
        <vt:i4>6160384</vt:i4>
      </vt:variant>
      <vt:variant>
        <vt:i4>216</vt:i4>
      </vt:variant>
      <vt:variant>
        <vt:i4>0</vt:i4>
      </vt:variant>
      <vt:variant>
        <vt:i4>5</vt:i4>
      </vt:variant>
      <vt:variant>
        <vt:lpwstr>https://www2.gov.bc.ca/assets/gov/british-columbians-our-governments/services-policies-for-government/gender-equity/bc-pay-transparency-discussion-paper.pdf</vt:lpwstr>
      </vt:variant>
      <vt:variant>
        <vt:lpwstr/>
      </vt:variant>
      <vt:variant>
        <vt:i4>196696</vt:i4>
      </vt:variant>
      <vt:variant>
        <vt:i4>213</vt:i4>
      </vt:variant>
      <vt:variant>
        <vt:i4>0</vt:i4>
      </vt:variant>
      <vt:variant>
        <vt:i4>5</vt:i4>
      </vt:variant>
      <vt:variant>
        <vt:lpwstr>https://www150.statcan.gc.ca/n1/pub/89-654-x/89-654-x2018002-eng.htm</vt:lpwstr>
      </vt:variant>
      <vt:variant>
        <vt:lpwstr/>
      </vt:variant>
      <vt:variant>
        <vt:i4>4456535</vt:i4>
      </vt:variant>
      <vt:variant>
        <vt:i4>210</vt:i4>
      </vt:variant>
      <vt:variant>
        <vt:i4>0</vt:i4>
      </vt:variant>
      <vt:variant>
        <vt:i4>5</vt:i4>
      </vt:variant>
      <vt:variant>
        <vt:lpwstr>https://www150.statcan.gc.ca/t1/tbl1/en/cv.action?pid=1110009101</vt:lpwstr>
      </vt:variant>
      <vt:variant>
        <vt:lpwstr/>
      </vt:variant>
      <vt:variant>
        <vt:i4>1769503</vt:i4>
      </vt:variant>
      <vt:variant>
        <vt:i4>207</vt:i4>
      </vt:variant>
      <vt:variant>
        <vt:i4>0</vt:i4>
      </vt:variant>
      <vt:variant>
        <vt:i4>5</vt:i4>
      </vt:variant>
      <vt:variant>
        <vt:lpwstr>https://www150.statcan.gc.ca/n1/en/pub/45-20-0002/452000022023002-eng.pdf?st=nsbfmFg6</vt:lpwstr>
      </vt:variant>
      <vt:variant>
        <vt:lpwstr/>
      </vt:variant>
      <vt:variant>
        <vt:i4>1048600</vt:i4>
      </vt:variant>
      <vt:variant>
        <vt:i4>204</vt:i4>
      </vt:variant>
      <vt:variant>
        <vt:i4>0</vt:i4>
      </vt:variant>
      <vt:variant>
        <vt:i4>5</vt:i4>
      </vt:variant>
      <vt:variant>
        <vt:lpwstr>https://www.policyalternatives.ca/publications/reports/canadas-colour-coded-labour-market</vt:lpwstr>
      </vt:variant>
      <vt:variant>
        <vt:lpwstr/>
      </vt:variant>
      <vt:variant>
        <vt:i4>2031646</vt:i4>
      </vt:variant>
      <vt:variant>
        <vt:i4>201</vt:i4>
      </vt:variant>
      <vt:variant>
        <vt:i4>0</vt:i4>
      </vt:variant>
      <vt:variant>
        <vt:i4>5</vt:i4>
      </vt:variant>
      <vt:variant>
        <vt:lpwstr>https://www.canadianwomen.org/the-facts/the-wage-gap/</vt:lpwstr>
      </vt:variant>
      <vt:variant>
        <vt:lpwstr/>
      </vt:variant>
      <vt:variant>
        <vt:i4>4391007</vt:i4>
      </vt:variant>
      <vt:variant>
        <vt:i4>198</vt:i4>
      </vt:variant>
      <vt:variant>
        <vt:i4>0</vt:i4>
      </vt:variant>
      <vt:variant>
        <vt:i4>5</vt:i4>
      </vt:variant>
      <vt:variant>
        <vt:lpwstr>https://www150.statcan.gc.ca/t1/tbl1/en/cv.action?pid=1410041701</vt:lpwstr>
      </vt:variant>
      <vt:variant>
        <vt:lpwstr/>
      </vt:variant>
      <vt:variant>
        <vt:i4>3997808</vt:i4>
      </vt:variant>
      <vt:variant>
        <vt:i4>195</vt:i4>
      </vt:variant>
      <vt:variant>
        <vt:i4>0</vt:i4>
      </vt:variant>
      <vt:variant>
        <vt:i4>5</vt:i4>
      </vt:variant>
      <vt:variant>
        <vt:lpwstr>https://www.ohchr.org/en/hr-bodies/upr/upr-canada-stakeholders-info-s30</vt:lpwstr>
      </vt:variant>
      <vt:variant>
        <vt:lpwstr/>
      </vt:variant>
      <vt:variant>
        <vt:i4>6488172</vt:i4>
      </vt:variant>
      <vt:variant>
        <vt:i4>192</vt:i4>
      </vt:variant>
      <vt:variant>
        <vt:i4>0</vt:i4>
      </vt:variant>
      <vt:variant>
        <vt:i4>5</vt:i4>
      </vt:variant>
      <vt:variant>
        <vt:lpwstr>https://www.cbc.ca/news/canada/british-columbia/bc-involuntary-care-addiction-1.7324079</vt:lpwstr>
      </vt:variant>
      <vt:variant>
        <vt:lpwstr/>
      </vt:variant>
      <vt:variant>
        <vt:i4>4718680</vt:i4>
      </vt:variant>
      <vt:variant>
        <vt:i4>189</vt:i4>
      </vt:variant>
      <vt:variant>
        <vt:i4>0</vt:i4>
      </vt:variant>
      <vt:variant>
        <vt:i4>5</vt:i4>
      </vt:variant>
      <vt:variant>
        <vt:lpwstr>https://bchumanrights.ca/</vt:lpwstr>
      </vt:variant>
      <vt:variant>
        <vt:lpwstr/>
      </vt:variant>
      <vt:variant>
        <vt:i4>3670050</vt:i4>
      </vt:variant>
      <vt:variant>
        <vt:i4>186</vt:i4>
      </vt:variant>
      <vt:variant>
        <vt:i4>0</vt:i4>
      </vt:variant>
      <vt:variant>
        <vt:i4>5</vt:i4>
      </vt:variant>
      <vt:variant>
        <vt:lpwstr>https://eugenicsarchive.ca/</vt:lpwstr>
      </vt:variant>
      <vt:variant>
        <vt:lpwstr/>
      </vt:variant>
      <vt:variant>
        <vt:i4>2687034</vt:i4>
      </vt:variant>
      <vt:variant>
        <vt:i4>183</vt:i4>
      </vt:variant>
      <vt:variant>
        <vt:i4>0</vt:i4>
      </vt:variant>
      <vt:variant>
        <vt:i4>5</vt:i4>
      </vt:variant>
      <vt:variant>
        <vt:lpwstr>https://inclusioncanada.ca/</vt:lpwstr>
      </vt:variant>
      <vt:variant>
        <vt:lpwstr/>
      </vt:variant>
      <vt:variant>
        <vt:i4>2621497</vt:i4>
      </vt:variant>
      <vt:variant>
        <vt:i4>180</vt:i4>
      </vt:variant>
      <vt:variant>
        <vt:i4>0</vt:i4>
      </vt:variant>
      <vt:variant>
        <vt:i4>5</vt:i4>
      </vt:variant>
      <vt:variant>
        <vt:lpwstr>https://www.larchetoronto.org/</vt:lpwstr>
      </vt:variant>
      <vt:variant>
        <vt:lpwstr/>
      </vt:variant>
      <vt:variant>
        <vt:i4>1048649</vt:i4>
      </vt:variant>
      <vt:variant>
        <vt:i4>174</vt:i4>
      </vt:variant>
      <vt:variant>
        <vt:i4>0</vt:i4>
      </vt:variant>
      <vt:variant>
        <vt:i4>5</vt:i4>
      </vt:variant>
      <vt:variant>
        <vt:lpwstr>https://www.remembereveryname.ca/</vt:lpwstr>
      </vt:variant>
      <vt:variant>
        <vt:lpwstr/>
      </vt:variant>
      <vt:variant>
        <vt:i4>2687034</vt:i4>
      </vt:variant>
      <vt:variant>
        <vt:i4>171</vt:i4>
      </vt:variant>
      <vt:variant>
        <vt:i4>0</vt:i4>
      </vt:variant>
      <vt:variant>
        <vt:i4>5</vt:i4>
      </vt:variant>
      <vt:variant>
        <vt:lpwstr>https://inclusioncanada.ca/</vt:lpwstr>
      </vt:variant>
      <vt:variant>
        <vt:lpwstr/>
      </vt:variant>
      <vt:variant>
        <vt:i4>262148</vt:i4>
      </vt:variant>
      <vt:variant>
        <vt:i4>168</vt:i4>
      </vt:variant>
      <vt:variant>
        <vt:i4>0</vt:i4>
      </vt:variant>
      <vt:variant>
        <vt:i4>5</vt:i4>
      </vt:variant>
      <vt:variant>
        <vt:lpwstr>https://www.cihi.ca/</vt:lpwstr>
      </vt:variant>
      <vt:variant>
        <vt:lpwstr/>
      </vt:variant>
      <vt:variant>
        <vt:i4>6750324</vt:i4>
      </vt:variant>
      <vt:variant>
        <vt:i4>165</vt:i4>
      </vt:variant>
      <vt:variant>
        <vt:i4>0</vt:i4>
      </vt:variant>
      <vt:variant>
        <vt:i4>5</vt:i4>
      </vt:variant>
      <vt:variant>
        <vt:lpwstr>https://www.publicsafety.gc.ca/</vt:lpwstr>
      </vt:variant>
      <vt:variant>
        <vt:lpwstr/>
      </vt:variant>
      <vt:variant>
        <vt:i4>6422639</vt:i4>
      </vt:variant>
      <vt:variant>
        <vt:i4>162</vt:i4>
      </vt:variant>
      <vt:variant>
        <vt:i4>0</vt:i4>
      </vt:variant>
      <vt:variant>
        <vt:i4>5</vt:i4>
      </vt:variant>
      <vt:variant>
        <vt:lpwstr>https://www.oci-bec.gc.ca/</vt:lpwstr>
      </vt:variant>
      <vt:variant>
        <vt:lpwstr/>
      </vt:variant>
      <vt:variant>
        <vt:i4>7798807</vt:i4>
      </vt:variant>
      <vt:variant>
        <vt:i4>159</vt:i4>
      </vt:variant>
      <vt:variant>
        <vt:i4>0</vt:i4>
      </vt:variant>
      <vt:variant>
        <vt:i4>5</vt:i4>
      </vt:variant>
      <vt:variant>
        <vt:lpwstr>https://sencanada.ca/content/sen/committee/421/RIDR/Reports/RIDR_Report_Prisioners_e.pdf</vt:lpwstr>
      </vt:variant>
      <vt:variant>
        <vt:lpwstr/>
      </vt:variant>
      <vt:variant>
        <vt:i4>327746</vt:i4>
      </vt:variant>
      <vt:variant>
        <vt:i4>156</vt:i4>
      </vt:variant>
      <vt:variant>
        <vt:i4>0</vt:i4>
      </vt:variant>
      <vt:variant>
        <vt:i4>5</vt:i4>
      </vt:variant>
      <vt:variant>
        <vt:lpwstr>https://sencanada.ca/en/info-page/parl-43-2/ridr-federally-sentenced-persons/</vt:lpwstr>
      </vt:variant>
      <vt:variant>
        <vt:lpwstr/>
      </vt:variant>
      <vt:variant>
        <vt:i4>2293883</vt:i4>
      </vt:variant>
      <vt:variant>
        <vt:i4>153</vt:i4>
      </vt:variant>
      <vt:variant>
        <vt:i4>0</vt:i4>
      </vt:variant>
      <vt:variant>
        <vt:i4>5</vt:i4>
      </vt:variant>
      <vt:variant>
        <vt:lpwstr>https://oci-bec.gc.ca/en/content/office-correctional-investigator-annual-report-2020-2021</vt:lpwstr>
      </vt:variant>
      <vt:variant>
        <vt:lpwstr>s4</vt:lpwstr>
      </vt:variant>
      <vt:variant>
        <vt:i4>5767175</vt:i4>
      </vt:variant>
      <vt:variant>
        <vt:i4>150</vt:i4>
      </vt:variant>
      <vt:variant>
        <vt:i4>0</vt:i4>
      </vt:variant>
      <vt:variant>
        <vt:i4>5</vt:i4>
      </vt:variant>
      <vt:variant>
        <vt:lpwstr>https://www.publicsafety.gc.ca/cnt/rsrcs/pblctns/ccrso-2022/index-en.aspx</vt:lpwstr>
      </vt:variant>
      <vt:variant>
        <vt:lpwstr>sec-c</vt:lpwstr>
      </vt:variant>
      <vt:variant>
        <vt:i4>262231</vt:i4>
      </vt:variant>
      <vt:variant>
        <vt:i4>147</vt:i4>
      </vt:variant>
      <vt:variant>
        <vt:i4>0</vt:i4>
      </vt:variant>
      <vt:variant>
        <vt:i4>5</vt:i4>
      </vt:variant>
      <vt:variant>
        <vt:lpwstr>https://www150.statcan.gc.ca/n1/pub/89-657-x/89-657-x2024005-eng.htm</vt:lpwstr>
      </vt:variant>
      <vt:variant>
        <vt:lpwstr/>
      </vt:variant>
      <vt:variant>
        <vt:i4>5767175</vt:i4>
      </vt:variant>
      <vt:variant>
        <vt:i4>144</vt:i4>
      </vt:variant>
      <vt:variant>
        <vt:i4>0</vt:i4>
      </vt:variant>
      <vt:variant>
        <vt:i4>5</vt:i4>
      </vt:variant>
      <vt:variant>
        <vt:lpwstr>https://www.publicsafety.gc.ca/cnt/rsrcs/pblctns/ccrso-2022/index-en.aspx</vt:lpwstr>
      </vt:variant>
      <vt:variant>
        <vt:lpwstr>sec-c</vt:lpwstr>
      </vt:variant>
      <vt:variant>
        <vt:i4>4194331</vt:i4>
      </vt:variant>
      <vt:variant>
        <vt:i4>141</vt:i4>
      </vt:variant>
      <vt:variant>
        <vt:i4>0</vt:i4>
      </vt:variant>
      <vt:variant>
        <vt:i4>5</vt:i4>
      </vt:variant>
      <vt:variant>
        <vt:lpwstr>https://oci-bec.gc.ca/en/content/ten-years-spirit-matters-roadmap-reform-indigenous-corrections-canada</vt:lpwstr>
      </vt:variant>
      <vt:variant>
        <vt:lpwstr>fn5-rf</vt:lpwstr>
      </vt:variant>
      <vt:variant>
        <vt:i4>4194331</vt:i4>
      </vt:variant>
      <vt:variant>
        <vt:i4>138</vt:i4>
      </vt:variant>
      <vt:variant>
        <vt:i4>0</vt:i4>
      </vt:variant>
      <vt:variant>
        <vt:i4>5</vt:i4>
      </vt:variant>
      <vt:variant>
        <vt:lpwstr>https://oci-bec.gc.ca/en/content/ten-years-spirit-matters-roadmap-reform-indigenous-corrections-canada</vt:lpwstr>
      </vt:variant>
      <vt:variant>
        <vt:lpwstr>fn5-rf</vt:lpwstr>
      </vt:variant>
      <vt:variant>
        <vt:i4>196715</vt:i4>
      </vt:variant>
      <vt:variant>
        <vt:i4>135</vt:i4>
      </vt:variant>
      <vt:variant>
        <vt:i4>0</vt:i4>
      </vt:variant>
      <vt:variant>
        <vt:i4>5</vt:i4>
      </vt:variant>
      <vt:variant>
        <vt:lpwstr>https://www.justice.gc.ca/eng/cj-jp/cbjs-scjn/transformative-transformateur/pdf/CS-24-110-CBJS-GV-DA_06-25-24-EN.pdf</vt:lpwstr>
      </vt:variant>
      <vt:variant>
        <vt:lpwstr/>
      </vt:variant>
      <vt:variant>
        <vt:i4>7929908</vt:i4>
      </vt:variant>
      <vt:variant>
        <vt:i4>132</vt:i4>
      </vt:variant>
      <vt:variant>
        <vt:i4>0</vt:i4>
      </vt:variant>
      <vt:variant>
        <vt:i4>5</vt:i4>
      </vt:variant>
      <vt:variant>
        <vt:lpwstr>https://ciaj-icaj.ca/wp-content/uploads/page/2019/02/r83_preliminary-report_jury-representation-in-canada.pdf</vt:lpwstr>
      </vt:variant>
      <vt:variant>
        <vt:lpwstr/>
      </vt:variant>
      <vt:variant>
        <vt:i4>5701644</vt:i4>
      </vt:variant>
      <vt:variant>
        <vt:i4>129</vt:i4>
      </vt:variant>
      <vt:variant>
        <vt:i4>0</vt:i4>
      </vt:variant>
      <vt:variant>
        <vt:i4>5</vt:i4>
      </vt:variant>
      <vt:variant>
        <vt:lpwstr>https://ccdi.ca/media/2020/20180125-report-power-privilege-and-inequities-in-the-legal-profession.pdf</vt:lpwstr>
      </vt:variant>
      <vt:variant>
        <vt:lpwstr/>
      </vt:variant>
      <vt:variant>
        <vt:i4>4522039</vt:i4>
      </vt:variant>
      <vt:variant>
        <vt:i4>126</vt:i4>
      </vt:variant>
      <vt:variant>
        <vt:i4>0</vt:i4>
      </vt:variant>
      <vt:variant>
        <vt:i4>5</vt:i4>
      </vt:variant>
      <vt:variant>
        <vt:lpwstr>https://www.justice.gc.ca/eng/rp-pr/jr/eiffjs-efasjf/p4.html</vt:lpwstr>
      </vt:variant>
      <vt:variant>
        <vt:lpwstr>s2_1</vt:lpwstr>
      </vt:variant>
      <vt:variant>
        <vt:i4>4391007</vt:i4>
      </vt:variant>
      <vt:variant>
        <vt:i4>123</vt:i4>
      </vt:variant>
      <vt:variant>
        <vt:i4>0</vt:i4>
      </vt:variant>
      <vt:variant>
        <vt:i4>5</vt:i4>
      </vt:variant>
      <vt:variant>
        <vt:lpwstr>https://trackinginjustice.ca/analysis-increase-in-deaths-and-racial-disparities/</vt:lpwstr>
      </vt:variant>
      <vt:variant>
        <vt:lpwstr/>
      </vt:variant>
      <vt:variant>
        <vt:i4>6488113</vt:i4>
      </vt:variant>
      <vt:variant>
        <vt:i4>120</vt:i4>
      </vt:variant>
      <vt:variant>
        <vt:i4>0</vt:i4>
      </vt:variant>
      <vt:variant>
        <vt:i4>5</vt:i4>
      </vt:variant>
      <vt:variant>
        <vt:lpwstr>https://afn.ca/all-news/press-releases/assembly-of-first-nations-afn-calls-for-a-national-inquiry-into-systemic-racism-in-policing/</vt:lpwstr>
      </vt:variant>
      <vt:variant>
        <vt:lpwstr/>
      </vt:variant>
      <vt:variant>
        <vt:i4>6357036</vt:i4>
      </vt:variant>
      <vt:variant>
        <vt:i4>117</vt:i4>
      </vt:variant>
      <vt:variant>
        <vt:i4>0</vt:i4>
      </vt:variant>
      <vt:variant>
        <vt:i4>5</vt:i4>
      </vt:variant>
      <vt:variant>
        <vt:lpwstr>https://www.afn.ca/</vt:lpwstr>
      </vt:variant>
      <vt:variant>
        <vt:lpwstr/>
      </vt:variant>
      <vt:variant>
        <vt:i4>6488190</vt:i4>
      </vt:variant>
      <vt:variant>
        <vt:i4>114</vt:i4>
      </vt:variant>
      <vt:variant>
        <vt:i4>0</vt:i4>
      </vt:variant>
      <vt:variant>
        <vt:i4>5</vt:i4>
      </vt:variant>
      <vt:variant>
        <vt:lpwstr>https://www.ohrc.on.ca/</vt:lpwstr>
      </vt:variant>
      <vt:variant>
        <vt:lpwstr/>
      </vt:variant>
      <vt:variant>
        <vt:i4>8257659</vt:i4>
      </vt:variant>
      <vt:variant>
        <vt:i4>111</vt:i4>
      </vt:variant>
      <vt:variant>
        <vt:i4>0</vt:i4>
      </vt:variant>
      <vt:variant>
        <vt:i4>5</vt:i4>
      </vt:variant>
      <vt:variant>
        <vt:lpwstr>https://humanrights.novascotia.ca/</vt:lpwstr>
      </vt:variant>
      <vt:variant>
        <vt:lpwstr/>
      </vt:variant>
      <vt:variant>
        <vt:i4>4784135</vt:i4>
      </vt:variant>
      <vt:variant>
        <vt:i4>108</vt:i4>
      </vt:variant>
      <vt:variant>
        <vt:i4>0</vt:i4>
      </vt:variant>
      <vt:variant>
        <vt:i4>5</vt:i4>
      </vt:variant>
      <vt:variant>
        <vt:lpwstr>https://www.cdpdj.qc.ca/</vt:lpwstr>
      </vt:variant>
      <vt:variant>
        <vt:lpwstr/>
      </vt:variant>
      <vt:variant>
        <vt:i4>4522055</vt:i4>
      </vt:variant>
      <vt:variant>
        <vt:i4>105</vt:i4>
      </vt:variant>
      <vt:variant>
        <vt:i4>0</vt:i4>
      </vt:variant>
      <vt:variant>
        <vt:i4>5</vt:i4>
      </vt:variant>
      <vt:variant>
        <vt:lpwstr>https://www.chrc-ccdp.gc.ca/</vt:lpwstr>
      </vt:variant>
      <vt:variant>
        <vt:lpwstr/>
      </vt:variant>
      <vt:variant>
        <vt:i4>6488190</vt:i4>
      </vt:variant>
      <vt:variant>
        <vt:i4>102</vt:i4>
      </vt:variant>
      <vt:variant>
        <vt:i4>0</vt:i4>
      </vt:variant>
      <vt:variant>
        <vt:i4>5</vt:i4>
      </vt:variant>
      <vt:variant>
        <vt:lpwstr>https://www.ourcommons.ca/</vt:lpwstr>
      </vt:variant>
      <vt:variant>
        <vt:lpwstr/>
      </vt:variant>
      <vt:variant>
        <vt:i4>5374047</vt:i4>
      </vt:variant>
      <vt:variant>
        <vt:i4>99</vt:i4>
      </vt:variant>
      <vt:variant>
        <vt:i4>0</vt:i4>
      </vt:variant>
      <vt:variant>
        <vt:i4>5</vt:i4>
      </vt:variant>
      <vt:variant>
        <vt:lpwstr>https://sencanada.ca/</vt:lpwstr>
      </vt:variant>
      <vt:variant>
        <vt:lpwstr/>
      </vt:variant>
      <vt:variant>
        <vt:i4>6488097</vt:i4>
      </vt:variant>
      <vt:variant>
        <vt:i4>96</vt:i4>
      </vt:variant>
      <vt:variant>
        <vt:i4>0</vt:i4>
      </vt:variant>
      <vt:variant>
        <vt:i4>5</vt:i4>
      </vt:variant>
      <vt:variant>
        <vt:lpwstr>https://www.chrc-ccdp.gc.ca/en/resources/independent-indigenous-human-rights-system-overdue</vt:lpwstr>
      </vt:variant>
      <vt:variant>
        <vt:lpwstr/>
      </vt:variant>
      <vt:variant>
        <vt:i4>3997795</vt:i4>
      </vt:variant>
      <vt:variant>
        <vt:i4>93</vt:i4>
      </vt:variant>
      <vt:variant>
        <vt:i4>0</vt:i4>
      </vt:variant>
      <vt:variant>
        <vt:i4>5</vt:i4>
      </vt:variant>
      <vt:variant>
        <vt:lpwstr>https://www.rcaanc-cirnac.gc.ca/eng/1717103903695/1717103981609</vt:lpwstr>
      </vt:variant>
      <vt:variant>
        <vt:lpwstr/>
      </vt:variant>
      <vt:variant>
        <vt:i4>65619</vt:i4>
      </vt:variant>
      <vt:variant>
        <vt:i4>90</vt:i4>
      </vt:variant>
      <vt:variant>
        <vt:i4>0</vt:i4>
      </vt:variant>
      <vt:variant>
        <vt:i4>5</vt:i4>
      </vt:variant>
      <vt:variant>
        <vt:lpwstr>https://www.bcafn.ca/news/kill-bill-first-nations-call-bc-government-immediately-withdraw-bill-14-and-bill-15</vt:lpwstr>
      </vt:variant>
      <vt:variant>
        <vt:lpwstr/>
      </vt:variant>
      <vt:variant>
        <vt:i4>1376338</vt:i4>
      </vt:variant>
      <vt:variant>
        <vt:i4>87</vt:i4>
      </vt:variant>
      <vt:variant>
        <vt:i4>0</vt:i4>
      </vt:variant>
      <vt:variant>
        <vt:i4>5</vt:i4>
      </vt:variant>
      <vt:variant>
        <vt:lpwstr>https://chiefs-of-ontario.org/chiefs-of-ontario-issue-urgent-warning-on-bill-c-5-the-one-canadian-economy-act-and-will-rally-on-parliament-hill/</vt:lpwstr>
      </vt:variant>
      <vt:variant>
        <vt:lpwstr/>
      </vt:variant>
      <vt:variant>
        <vt:i4>1376338</vt:i4>
      </vt:variant>
      <vt:variant>
        <vt:i4>84</vt:i4>
      </vt:variant>
      <vt:variant>
        <vt:i4>0</vt:i4>
      </vt:variant>
      <vt:variant>
        <vt:i4>5</vt:i4>
      </vt:variant>
      <vt:variant>
        <vt:lpwstr>https://chiefs-of-ontario.org/chiefs-of-ontario-issue-urgent-warning-on-bill-c-5-the-one-canadian-economy-act-and-will-rally-on-parliament-hill/</vt:lpwstr>
      </vt:variant>
      <vt:variant>
        <vt:lpwstr/>
      </vt:variant>
      <vt:variant>
        <vt:i4>2097186</vt:i4>
      </vt:variant>
      <vt:variant>
        <vt:i4>81</vt:i4>
      </vt:variant>
      <vt:variant>
        <vt:i4>0</vt:i4>
      </vt:variant>
      <vt:variant>
        <vt:i4>5</vt:i4>
      </vt:variant>
      <vt:variant>
        <vt:lpwstr>https://afn.ca/all-news/press-releases/statement-from-national-chief-regarding-building-canada-act-enormous-responsibility-rests-on-mps-and-senators-to-uphold-the-honour-of-the-crown/</vt:lpwstr>
      </vt:variant>
      <vt:variant>
        <vt:lpwstr/>
      </vt:variant>
      <vt:variant>
        <vt:i4>7209001</vt:i4>
      </vt:variant>
      <vt:variant>
        <vt:i4>78</vt:i4>
      </vt:variant>
      <vt:variant>
        <vt:i4>0</vt:i4>
      </vt:variant>
      <vt:variant>
        <vt:i4>5</vt:i4>
      </vt:variant>
      <vt:variant>
        <vt:lpwstr>https://www.bcafn.ca/news/federal-government-rushes-bill-c-5-through-parliament-violating-first-nations-rights-its-own</vt:lpwstr>
      </vt:variant>
      <vt:variant>
        <vt:lpwstr/>
      </vt:variant>
      <vt:variant>
        <vt:i4>5701663</vt:i4>
      </vt:variant>
      <vt:variant>
        <vt:i4>75</vt:i4>
      </vt:variant>
      <vt:variant>
        <vt:i4>0</vt:i4>
      </vt:variant>
      <vt:variant>
        <vt:i4>5</vt:i4>
      </vt:variant>
      <vt:variant>
        <vt:lpwstr>https://senatorboyer.ca/wp-content/uploads/2021/09/Tubal-Ligation-in-the-Saskatoon-Health-Region-the-Lived-Experience-of-Aboriginal-Women-Boyer-and-Bartlett-July-11-2017.pdf</vt:lpwstr>
      </vt:variant>
      <vt:variant>
        <vt:lpwstr/>
      </vt:variant>
      <vt:variant>
        <vt:i4>5374047</vt:i4>
      </vt:variant>
      <vt:variant>
        <vt:i4>72</vt:i4>
      </vt:variant>
      <vt:variant>
        <vt:i4>0</vt:i4>
      </vt:variant>
      <vt:variant>
        <vt:i4>5</vt:i4>
      </vt:variant>
      <vt:variant>
        <vt:lpwstr>https://sencanada.ca/</vt:lpwstr>
      </vt:variant>
      <vt:variant>
        <vt:lpwstr/>
      </vt:variant>
      <vt:variant>
        <vt:i4>4325442</vt:i4>
      </vt:variant>
      <vt:variant>
        <vt:i4>69</vt:i4>
      </vt:variant>
      <vt:variant>
        <vt:i4>0</vt:i4>
      </vt:variant>
      <vt:variant>
        <vt:i4>5</vt:i4>
      </vt:variant>
      <vt:variant>
        <vt:lpwstr>https://www.cbc.ca/news/politics/families-reactivate-enfranchisement-litigation-1.7273638</vt:lpwstr>
      </vt:variant>
      <vt:variant>
        <vt:lpwstr/>
      </vt:variant>
      <vt:variant>
        <vt:i4>4063243</vt:i4>
      </vt:variant>
      <vt:variant>
        <vt:i4>66</vt:i4>
      </vt:variant>
      <vt:variant>
        <vt:i4>0</vt:i4>
      </vt:variant>
      <vt:variant>
        <vt:i4>5</vt:i4>
      </vt:variant>
      <vt:variant>
        <vt:lpwstr>https://tbinternet.ohchr.org/_layouts/15/treatybodyexternal/Download.aspx?symbolno=CEDAW%2fC%2f81%2fD%2f68%2f2014&amp;Lang=en</vt:lpwstr>
      </vt:variant>
      <vt:variant>
        <vt:lpwstr/>
      </vt:variant>
      <vt:variant>
        <vt:i4>5963862</vt:i4>
      </vt:variant>
      <vt:variant>
        <vt:i4>63</vt:i4>
      </vt:variant>
      <vt:variant>
        <vt:i4>0</vt:i4>
      </vt:variant>
      <vt:variant>
        <vt:i4>5</vt:i4>
      </vt:variant>
      <vt:variant>
        <vt:lpwstr>https://www.parl.ca/DocumentViewer/en/45-1/bill/S-2/first-reading</vt:lpwstr>
      </vt:variant>
      <vt:variant>
        <vt:lpwstr/>
      </vt:variant>
      <vt:variant>
        <vt:i4>3276864</vt:i4>
      </vt:variant>
      <vt:variant>
        <vt:i4>60</vt:i4>
      </vt:variant>
      <vt:variant>
        <vt:i4>0</vt:i4>
      </vt:variant>
      <vt:variant>
        <vt:i4>5</vt:i4>
      </vt:variant>
      <vt:variant>
        <vt:lpwstr>https://sencanada.ca/content/sen/committee/441/APPA/Reports/2022-06-27_APPA_S-3_Report_e_FINAL.pdf</vt:lpwstr>
      </vt:variant>
      <vt:variant>
        <vt:lpwstr/>
      </vt:variant>
      <vt:variant>
        <vt:i4>5177362</vt:i4>
      </vt:variant>
      <vt:variant>
        <vt:i4>57</vt:i4>
      </vt:variant>
      <vt:variant>
        <vt:i4>0</vt:i4>
      </vt:variant>
      <vt:variant>
        <vt:i4>5</vt:i4>
      </vt:variant>
      <vt:variant>
        <vt:lpwstr>https://canlii.ca/t/k3fj4</vt:lpwstr>
      </vt:variant>
      <vt:variant>
        <vt:lpwstr/>
      </vt:variant>
      <vt:variant>
        <vt:i4>917578</vt:i4>
      </vt:variant>
      <vt:variant>
        <vt:i4>54</vt:i4>
      </vt:variant>
      <vt:variant>
        <vt:i4>0</vt:i4>
      </vt:variant>
      <vt:variant>
        <vt:i4>5</vt:i4>
      </vt:variant>
      <vt:variant>
        <vt:lpwstr>https://canlii.ca/t/gn2vg</vt:lpwstr>
      </vt:variant>
      <vt:variant>
        <vt:lpwstr/>
      </vt:variant>
      <vt:variant>
        <vt:i4>393283</vt:i4>
      </vt:variant>
      <vt:variant>
        <vt:i4>51</vt:i4>
      </vt:variant>
      <vt:variant>
        <vt:i4>0</vt:i4>
      </vt:variant>
      <vt:variant>
        <vt:i4>5</vt:i4>
      </vt:variant>
      <vt:variant>
        <vt:lpwstr>https://canlii.ca/t/kc7s3</vt:lpwstr>
      </vt:variant>
      <vt:variant>
        <vt:lpwstr/>
      </vt:variant>
      <vt:variant>
        <vt:i4>24</vt:i4>
      </vt:variant>
      <vt:variant>
        <vt:i4>48</vt:i4>
      </vt:variant>
      <vt:variant>
        <vt:i4>0</vt:i4>
      </vt:variant>
      <vt:variant>
        <vt:i4>5</vt:i4>
      </vt:variant>
      <vt:variant>
        <vt:lpwstr>https://nctr.ca/about/about-the-nctr/our-mandate/</vt:lpwstr>
      </vt:variant>
      <vt:variant>
        <vt:lpwstr/>
      </vt:variant>
      <vt:variant>
        <vt:i4>589837</vt:i4>
      </vt:variant>
      <vt:variant>
        <vt:i4>45</vt:i4>
      </vt:variant>
      <vt:variant>
        <vt:i4>0</vt:i4>
      </vt:variant>
      <vt:variant>
        <vt:i4>5</vt:i4>
      </vt:variant>
      <vt:variant>
        <vt:lpwstr>https://www.parl.ca/</vt:lpwstr>
      </vt:variant>
      <vt:variant>
        <vt:lpwstr/>
      </vt:variant>
      <vt:variant>
        <vt:i4>720922</vt:i4>
      </vt:variant>
      <vt:variant>
        <vt:i4>42</vt:i4>
      </vt:variant>
      <vt:variant>
        <vt:i4>0</vt:i4>
      </vt:variant>
      <vt:variant>
        <vt:i4>5</vt:i4>
      </vt:variant>
      <vt:variant>
        <vt:lpwstr>https://www.chrc-ccdp.gc.ca/resources/publications/fast-talk-environmental-racism-canada</vt:lpwstr>
      </vt:variant>
      <vt:variant>
        <vt:lpwstr/>
      </vt:variant>
      <vt:variant>
        <vt:i4>5832774</vt:i4>
      </vt:variant>
      <vt:variant>
        <vt:i4>39</vt:i4>
      </vt:variant>
      <vt:variant>
        <vt:i4>0</vt:i4>
      </vt:variant>
      <vt:variant>
        <vt:i4>5</vt:i4>
      </vt:variant>
      <vt:variant>
        <vt:lpwstr>https://nccdh.ca/</vt:lpwstr>
      </vt:variant>
      <vt:variant>
        <vt:lpwstr/>
      </vt:variant>
      <vt:variant>
        <vt:i4>6619171</vt:i4>
      </vt:variant>
      <vt:variant>
        <vt:i4>36</vt:i4>
      </vt:variant>
      <vt:variant>
        <vt:i4>0</vt:i4>
      </vt:variant>
      <vt:variant>
        <vt:i4>5</vt:i4>
      </vt:variant>
      <vt:variant>
        <vt:lpwstr>https://www.enrichproject.org/wp-content/uploads/2016/10/Final-Environmental-Racism-Report.pdf</vt:lpwstr>
      </vt:variant>
      <vt:variant>
        <vt:lpwstr/>
      </vt:variant>
      <vt:variant>
        <vt:i4>3276837</vt:i4>
      </vt:variant>
      <vt:variant>
        <vt:i4>33</vt:i4>
      </vt:variant>
      <vt:variant>
        <vt:i4>0</vt:i4>
      </vt:variant>
      <vt:variant>
        <vt:i4>5</vt:i4>
      </vt:variant>
      <vt:variant>
        <vt:lpwstr>https://baseline.bchumanrights.ca/wp-content/uploads/2024/08/BCOHRC_Aug2024_Rights-in-focus.pdf</vt:lpwstr>
      </vt:variant>
      <vt:variant>
        <vt:lpwstr/>
      </vt:variant>
      <vt:variant>
        <vt:i4>1966166</vt:i4>
      </vt:variant>
      <vt:variant>
        <vt:i4>30</vt:i4>
      </vt:variant>
      <vt:variant>
        <vt:i4>0</vt:i4>
      </vt:variant>
      <vt:variant>
        <vt:i4>5</vt:i4>
      </vt:variant>
      <vt:variant>
        <vt:lpwstr>https://www.hrw.org/news/2021/10/05/canada-disastrous-impact-extreme-heat</vt:lpwstr>
      </vt:variant>
      <vt:variant>
        <vt:lpwstr>:~:text=People%20interviewed%20by%20Human%20Rights%20Watch%20described%20symptoms%20of%20heat,%2C%20breathing%20difficulties%2C%20and%20weakness</vt:lpwstr>
      </vt:variant>
      <vt:variant>
        <vt:i4>4522010</vt:i4>
      </vt:variant>
      <vt:variant>
        <vt:i4>27</vt:i4>
      </vt:variant>
      <vt:variant>
        <vt:i4>0</vt:i4>
      </vt:variant>
      <vt:variant>
        <vt:i4>5</vt:i4>
      </vt:variant>
      <vt:variant>
        <vt:lpwstr>https://www.ciel.org/</vt:lpwstr>
      </vt:variant>
      <vt:variant>
        <vt:lpwstr/>
      </vt:variant>
      <vt:variant>
        <vt:i4>589837</vt:i4>
      </vt:variant>
      <vt:variant>
        <vt:i4>24</vt:i4>
      </vt:variant>
      <vt:variant>
        <vt:i4>0</vt:i4>
      </vt:variant>
      <vt:variant>
        <vt:i4>5</vt:i4>
      </vt:variant>
      <vt:variant>
        <vt:lpwstr>https://www.parl.ca/</vt:lpwstr>
      </vt:variant>
      <vt:variant>
        <vt:lpwstr/>
      </vt:variant>
      <vt:variant>
        <vt:i4>4849759</vt:i4>
      </vt:variant>
      <vt:variant>
        <vt:i4>21</vt:i4>
      </vt:variant>
      <vt:variant>
        <vt:i4>0</vt:i4>
      </vt:variant>
      <vt:variant>
        <vt:i4>5</vt:i4>
      </vt:variant>
      <vt:variant>
        <vt:lpwstr>https://make-the-shift.org/wp-content/uploads/2020/08/A-National-Protocol-for-Homeless-Encampments-in-Canada.pdf</vt:lpwstr>
      </vt:variant>
      <vt:variant>
        <vt:lpwstr/>
      </vt:variant>
      <vt:variant>
        <vt:i4>6422561</vt:i4>
      </vt:variant>
      <vt:variant>
        <vt:i4>18</vt:i4>
      </vt:variant>
      <vt:variant>
        <vt:i4>0</vt:i4>
      </vt:variant>
      <vt:variant>
        <vt:i4>5</vt:i4>
      </vt:variant>
      <vt:variant>
        <vt:lpwstr>https://housing-infrastructure.canada.ca/housing-logement/encampments-campements/index-eng.html</vt:lpwstr>
      </vt:variant>
      <vt:variant>
        <vt:lpwstr/>
      </vt:variant>
      <vt:variant>
        <vt:i4>2162730</vt:i4>
      </vt:variant>
      <vt:variant>
        <vt:i4>15</vt:i4>
      </vt:variant>
      <vt:variant>
        <vt:i4>0</vt:i4>
      </vt:variant>
      <vt:variant>
        <vt:i4>5</vt:i4>
      </vt:variant>
      <vt:variant>
        <vt:lpwstr>https://www.cp24.com/local/toronto/2025/02/09/absolutely-horrific-the-median-age-of-death-for-unhoused-women-in-toronto-is-now-36/</vt:lpwstr>
      </vt:variant>
      <vt:variant>
        <vt:lpwstr/>
      </vt:variant>
      <vt:variant>
        <vt:i4>7798908</vt:i4>
      </vt:variant>
      <vt:variant>
        <vt:i4>12</vt:i4>
      </vt:variant>
      <vt:variant>
        <vt:i4>0</vt:i4>
      </vt:variant>
      <vt:variant>
        <vt:i4>5</vt:i4>
      </vt:variant>
      <vt:variant>
        <vt:lpwstr>https://www.cbc.ca/news/canada/british-columbia/homeless-deaths-2023-1.7477742</vt:lpwstr>
      </vt:variant>
      <vt:variant>
        <vt:lpwstr/>
      </vt:variant>
      <vt:variant>
        <vt:i4>7864332</vt:i4>
      </vt:variant>
      <vt:variant>
        <vt:i4>9</vt:i4>
      </vt:variant>
      <vt:variant>
        <vt:i4>0</vt:i4>
      </vt:variant>
      <vt:variant>
        <vt:i4>5</vt:i4>
      </vt:variant>
      <vt:variant>
        <vt:lpwstr>https://www2.gnb.ca/content/gnb/en/news/news_release.2024.04.0163.html</vt:lpwstr>
      </vt:variant>
      <vt:variant>
        <vt:lpwstr/>
      </vt:variant>
      <vt:variant>
        <vt:i4>3276837</vt:i4>
      </vt:variant>
      <vt:variant>
        <vt:i4>6</vt:i4>
      </vt:variant>
      <vt:variant>
        <vt:i4>0</vt:i4>
      </vt:variant>
      <vt:variant>
        <vt:i4>5</vt:i4>
      </vt:variant>
      <vt:variant>
        <vt:lpwstr>https://baseline.bchumanrights.ca/wp-content/uploads/2024/08/BCOHRC_Aug2024_Rights-in-focus.pdf</vt:lpwstr>
      </vt:variant>
      <vt:variant>
        <vt:lpwstr/>
      </vt:variant>
      <vt:variant>
        <vt:i4>7274595</vt:i4>
      </vt:variant>
      <vt:variant>
        <vt:i4>3</vt:i4>
      </vt:variant>
      <vt:variant>
        <vt:i4>0</vt:i4>
      </vt:variant>
      <vt:variant>
        <vt:i4>5</vt:i4>
      </vt:variant>
      <vt:variant>
        <vt:lpwstr>https://www.chrc-ccdp.gc.ca/sites/default/files/documents/Submission-to-the-Committee-on-Rights-of-Persons-with-Disabilities-on-the-occasion-of-Canada-2nd-and-3rd-Periodic-Review.pdf</vt:lpwstr>
      </vt:variant>
      <vt:variant>
        <vt:lpwstr/>
      </vt:variant>
      <vt:variant>
        <vt:i4>6422655</vt:i4>
      </vt:variant>
      <vt:variant>
        <vt:i4>0</vt:i4>
      </vt:variant>
      <vt:variant>
        <vt:i4>0</vt:i4>
      </vt:variant>
      <vt:variant>
        <vt:i4>5</vt:i4>
      </vt:variant>
      <vt:variant>
        <vt:lpwstr>http://laws-lois.justice.gc.ca/PDF/H-6.pdf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Swinburne</dc:creator>
  <cp:keywords/>
  <dc:description/>
  <cp:lastModifiedBy>Dhaliwal, Kimberly (CHRC/CCDP)</cp:lastModifiedBy>
  <cp:revision>2</cp:revision>
  <dcterms:created xsi:type="dcterms:W3CDTF">2026-01-30T20:49:00Z</dcterms:created>
  <dcterms:modified xsi:type="dcterms:W3CDTF">2026-01-30T20:49:00Z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 AutoSave">
    <vt:lpwstr/>
  </property>
  <property fmtid="{D5CDD505-2E9C-101B-9397-08002B2CF9AE}" pid="3" name="MSIP_Label_b2f93b39-c9ab-4865-a1f8-f9321ea423d2_Enabled">
    <vt:lpwstr>true</vt:lpwstr>
  </property>
  <property fmtid="{D5CDD505-2E9C-101B-9397-08002B2CF9AE}" pid="4" name="MSIP_Label_b2f93b39-c9ab-4865-a1f8-f9321ea423d2_SetDate">
    <vt:lpwstr>2025-06-16T21:29:41Z</vt:lpwstr>
  </property>
  <property fmtid="{D5CDD505-2E9C-101B-9397-08002B2CF9AE}" pid="5" name="MSIP_Label_b2f93b39-c9ab-4865-a1f8-f9321ea423d2_Method">
    <vt:lpwstr>Standard</vt:lpwstr>
  </property>
  <property fmtid="{D5CDD505-2E9C-101B-9397-08002B2CF9AE}" pid="6" name="MSIP_Label_b2f93b39-c9ab-4865-a1f8-f9321ea423d2_Name">
    <vt:lpwstr>UNCLASSIFIED</vt:lpwstr>
  </property>
  <property fmtid="{D5CDD505-2E9C-101B-9397-08002B2CF9AE}" pid="7" name="MSIP_Label_b2f93b39-c9ab-4865-a1f8-f9321ea423d2_SiteId">
    <vt:lpwstr>7ec5cbe9-f901-4e73-a7ce-2104e3789491</vt:lpwstr>
  </property>
  <property fmtid="{D5CDD505-2E9C-101B-9397-08002B2CF9AE}" pid="8" name="MSIP_Label_b2f93b39-c9ab-4865-a1f8-f9321ea423d2_ActionId">
    <vt:lpwstr>65fb58e8-6bd9-4a35-bf78-a78c63861742</vt:lpwstr>
  </property>
  <property fmtid="{D5CDD505-2E9C-101B-9397-08002B2CF9AE}" pid="9" name="MSIP_Label_b2f93b39-c9ab-4865-a1f8-f9321ea423d2_ContentBits">
    <vt:lpwstr>0</vt:lpwstr>
  </property>
  <property fmtid="{D5CDD505-2E9C-101B-9397-08002B2CF9AE}" pid="10" name="MSIP_Label_b2f93b39-c9ab-4865-a1f8-f9321ea423d2_Tag">
    <vt:lpwstr>10, 3, 0, 1</vt:lpwstr>
  </property>
</Properties>
</file>