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B6C" w:rsidRDefault="001A6B6C">
      <w:r>
        <w:t>Document 18</w:t>
      </w:r>
    </w:p>
    <w:p w:rsidR="001A6B6C" w:rsidRDefault="001A6B6C">
      <w:r>
        <w:t xml:space="preserve">Annual report for 2015 from Norway’s National Institution for Human Rights </w:t>
      </w:r>
    </w:p>
    <w:p w:rsidR="001A6B6C" w:rsidRDefault="001A6B6C">
      <w:r>
        <w:t>Submitted to the Storting on 1 April 2016</w:t>
      </w:r>
    </w:p>
    <w:p w:rsidR="001A6B6C" w:rsidRDefault="001A6B6C"/>
    <w:p w:rsidR="00AA21D1" w:rsidRDefault="009F3323">
      <w:r>
        <w:t xml:space="preserve">2. Isolation in police custody facilities and remand in custody </w:t>
      </w:r>
    </w:p>
    <w:p w:rsidR="00AA21D1" w:rsidRDefault="009F3323">
      <w:r>
        <w:t xml:space="preserve">2.1. Summary </w:t>
      </w:r>
    </w:p>
    <w:p w:rsidR="00AA21D1" w:rsidRDefault="009F3323">
      <w:r>
        <w:t xml:space="preserve">2.1.1. In general: </w:t>
      </w:r>
    </w:p>
    <w:p w:rsidR="00AA21D1" w:rsidRDefault="009F3323">
      <w:r>
        <w:t xml:space="preserve">Isolation is one of the most invasive coercive measures used by society. It is a fundamental human rights principle that isolation should never be used more than </w:t>
      </w:r>
      <w:proofErr w:type="gramStart"/>
      <w:r>
        <w:t>absolutely necessary</w:t>
      </w:r>
      <w:proofErr w:type="gramEnd"/>
      <w:r>
        <w:t xml:space="preserve">. The Norwegian authorities are obliged to prevent unnecessary use of isolation. </w:t>
      </w:r>
    </w:p>
    <w:p w:rsidR="00AA21D1" w:rsidRDefault="009F3323">
      <w:r>
        <w:t xml:space="preserve">A person who </w:t>
      </w:r>
      <w:proofErr w:type="gramStart"/>
      <w:r>
        <w:t>is detained by the police and placed in a police custody facility</w:t>
      </w:r>
      <w:proofErr w:type="gramEnd"/>
      <w:r>
        <w:t xml:space="preserve"> will normally remain in isolation for the duration of his or her detainment. The person </w:t>
      </w:r>
      <w:proofErr w:type="gramStart"/>
      <w:r>
        <w:t>will be excluded</w:t>
      </w:r>
      <w:proofErr w:type="gramEnd"/>
      <w:r>
        <w:t xml:space="preserve"> from the company of the other detainees. Pursuant to the current regulations, the Regulations relating to police custody facilities Section 3.1, the detainee </w:t>
      </w:r>
      <w:proofErr w:type="gramStart"/>
      <w:r>
        <w:t>shall be transferred</w:t>
      </w:r>
      <w:proofErr w:type="gramEnd"/>
      <w:r>
        <w:t xml:space="preserve"> to prison within 48 hours of being detained, unless this is not possible for practical reasons. </w:t>
      </w:r>
    </w:p>
    <w:p w:rsidR="00AA21D1" w:rsidRDefault="009F3323">
      <w:r>
        <w:t xml:space="preserve">A court decision for remand in custody is required if the police wish to detain a person on remand for a longer period. The detainee </w:t>
      </w:r>
      <w:proofErr w:type="gramStart"/>
      <w:r>
        <w:lastRenderedPageBreak/>
        <w:t>shall be brought</w:t>
      </w:r>
      <w:proofErr w:type="gramEnd"/>
      <w:r>
        <w:t xml:space="preserve"> before the courts as soon as possible after detainment, cf. Article 94 of the Norwegian Constitution. Pursuant to Section 183 of the Criminal Procedure Act, he or she </w:t>
      </w:r>
      <w:proofErr w:type="gramStart"/>
      <w:r>
        <w:t>shall be brought</w:t>
      </w:r>
      <w:proofErr w:type="gramEnd"/>
      <w:r>
        <w:t xml:space="preserve"> before the courts no later than on the third day after the arrest. It follows from Article 9 of the International Covenant on Civil and Political Rights that the detainee </w:t>
      </w:r>
      <w:proofErr w:type="gramStart"/>
      <w:r>
        <w:t>shall normally be brought</w:t>
      </w:r>
      <w:proofErr w:type="gramEnd"/>
      <w:r>
        <w:t xml:space="preserve"> before the courts within 48 hours. There is therefore a difference in the time limit pursuant to current Norwegian law and international </w:t>
      </w:r>
      <w:r w:rsidR="00212144">
        <w:t>obligations</w:t>
      </w:r>
      <w:bookmarkStart w:id="0" w:name="_GoBack"/>
      <w:bookmarkEnd w:id="0"/>
      <w:r>
        <w:t xml:space="preserve">. </w:t>
      </w:r>
    </w:p>
    <w:p w:rsidR="00AA21D1" w:rsidRDefault="009F3323">
      <w:r>
        <w:t xml:space="preserve">In cases of remand in custody, the courts can decide to order both partial isolation pursuant to the Criminal Procedure Act Section 186 and complete isolation pursuant to the Criminal Procedure Act Section 186 (a). During partial isolation, the detainee </w:t>
      </w:r>
      <w:proofErr w:type="gramStart"/>
      <w:r>
        <w:t>shall be excluded</w:t>
      </w:r>
      <w:proofErr w:type="gramEnd"/>
      <w:r>
        <w:t xml:space="preserve"> from the company of other specified prisoners. During complete isolation, the detainee </w:t>
      </w:r>
      <w:proofErr w:type="gramStart"/>
      <w:r>
        <w:t>shall be excluded</w:t>
      </w:r>
      <w:proofErr w:type="gramEnd"/>
      <w:r>
        <w:t xml:space="preserve"> from the company of all other prisoners. </w:t>
      </w:r>
    </w:p>
    <w:p w:rsidR="00AA21D1" w:rsidRDefault="009F3323">
      <w:r>
        <w:t xml:space="preserve">The use of isolation raises human rights issues in several areas. This report provides a brief summary of these issues. The challenges relating to isolation in connection with detention in police custody facilities (police custody cells) and complete isolation during remand in custody </w:t>
      </w:r>
      <w:proofErr w:type="gramStart"/>
      <w:r>
        <w:t>are thoroughly discussed</w:t>
      </w:r>
      <w:proofErr w:type="gramEnd"/>
      <w:r>
        <w:t xml:space="preserve"> in the report, and several amendments to the current regulations are proposed in these areas. </w:t>
      </w:r>
    </w:p>
    <w:p w:rsidR="00AA21D1" w:rsidRDefault="009F3323">
      <w:r>
        <w:t xml:space="preserve">2.1.2. Police custody facilities (police custody cells):  </w:t>
      </w:r>
    </w:p>
    <w:p w:rsidR="00AA21D1" w:rsidRDefault="009F3323">
      <w:r>
        <w:lastRenderedPageBreak/>
        <w:t xml:space="preserve">In police </w:t>
      </w:r>
      <w:proofErr w:type="gramStart"/>
      <w:r>
        <w:t>custody</w:t>
      </w:r>
      <w:proofErr w:type="gramEnd"/>
      <w:r>
        <w:t xml:space="preserve"> facilities (police custody cells), isolation is used systematically for all detainees, because the custody facilities are normally designed so that detainees have no contact with each other. This means that, in many cases, detainees </w:t>
      </w:r>
      <w:proofErr w:type="gramStart"/>
      <w:r>
        <w:t>are placed</w:t>
      </w:r>
      <w:proofErr w:type="gramEnd"/>
      <w:r>
        <w:t xml:space="preserve"> in isolation without this being deemed necessary for reasons relating to the investigation. This can entail a violation of the European Convention on Human Rights (ECHR) Article 8 concerning the right to respect for private and family life. To avoid violations of this kind, the National Institution recommends the following in the report:  </w:t>
      </w:r>
    </w:p>
    <w:p w:rsidR="00AA21D1" w:rsidRDefault="009F3323">
      <w:r>
        <w:t xml:space="preserve">- The police </w:t>
      </w:r>
      <w:r>
        <w:rPr>
          <w:i/>
        </w:rPr>
        <w:t>must always assess whether it is necessary</w:t>
      </w:r>
      <w:r>
        <w:t xml:space="preserve"> to isolate an individual detainee or not. </w:t>
      </w:r>
    </w:p>
    <w:p w:rsidR="00AA21D1" w:rsidRDefault="009F3323">
      <w:r>
        <w:t xml:space="preserve">- If there is no need for isolation, the individual detainee </w:t>
      </w:r>
      <w:proofErr w:type="gramStart"/>
      <w:r>
        <w:t>should be given</w:t>
      </w:r>
      <w:proofErr w:type="gramEnd"/>
      <w:r>
        <w:t xml:space="preserve"> </w:t>
      </w:r>
      <w:r>
        <w:rPr>
          <w:i/>
        </w:rPr>
        <w:t>access to the company of others</w:t>
      </w:r>
      <w:r>
        <w:t xml:space="preserve"> and to receive </w:t>
      </w:r>
      <w:r>
        <w:rPr>
          <w:i/>
        </w:rPr>
        <w:t>visitors</w:t>
      </w:r>
      <w:r>
        <w:t xml:space="preserve">. To facilitate the company of others and visits, </w:t>
      </w:r>
      <w:r>
        <w:rPr>
          <w:i/>
        </w:rPr>
        <w:t xml:space="preserve">a communal room </w:t>
      </w:r>
      <w:proofErr w:type="gramStart"/>
      <w:r>
        <w:rPr>
          <w:i/>
        </w:rPr>
        <w:t>should be established</w:t>
      </w:r>
      <w:proofErr w:type="gramEnd"/>
      <w:r>
        <w:t xml:space="preserve"> in all police custody facilities. </w:t>
      </w:r>
    </w:p>
    <w:p w:rsidR="00AA21D1" w:rsidRDefault="009F3323">
      <w:r>
        <w:t xml:space="preserve">- The time limit for bringing a detainee before the courts for remand in custody and the time limit for transfer from a police custody facility to prison should be </w:t>
      </w:r>
      <w:r>
        <w:rPr>
          <w:i/>
        </w:rPr>
        <w:t>harmonised</w:t>
      </w:r>
      <w:r>
        <w:t xml:space="preserve">. </w:t>
      </w:r>
    </w:p>
    <w:p w:rsidR="00AA21D1" w:rsidRDefault="009F3323">
      <w:r>
        <w:t xml:space="preserve">- The time limit set out in </w:t>
      </w:r>
      <w:r>
        <w:rPr>
          <w:i/>
        </w:rPr>
        <w:t xml:space="preserve">the Criminal Procedure Act Section 183 for bringing a detainee before the courts for remand in custody </w:t>
      </w:r>
      <w:proofErr w:type="gramStart"/>
      <w:r>
        <w:rPr>
          <w:i/>
        </w:rPr>
        <w:t>should be changed</w:t>
      </w:r>
      <w:proofErr w:type="gramEnd"/>
      <w:r>
        <w:t xml:space="preserve"> so that it is in accordance with the time limit in Article 9 of the International Covenant on Civil and Political Rights. </w:t>
      </w:r>
      <w:r>
        <w:lastRenderedPageBreak/>
        <w:t xml:space="preserve">This means that the time limit shall be </w:t>
      </w:r>
      <w:r>
        <w:rPr>
          <w:i/>
          <w:u w:val="single"/>
        </w:rPr>
        <w:t>a maximum of 48 hours</w:t>
      </w:r>
      <w:r>
        <w:t xml:space="preserve">. Exceptions shall only be possible in </w:t>
      </w:r>
      <w:proofErr w:type="gramStart"/>
      <w:r>
        <w:t>absolutely exceptional</w:t>
      </w:r>
      <w:proofErr w:type="gramEnd"/>
      <w:r>
        <w:t xml:space="preserve"> circumstances.</w:t>
      </w:r>
    </w:p>
    <w:p w:rsidR="00933F3E" w:rsidRDefault="009F3323">
      <w:r>
        <w:t xml:space="preserve">- Correspondingly, the 48-hour time limit for transfer from a police custody facility to prison </w:t>
      </w:r>
      <w:proofErr w:type="gramStart"/>
      <w:r>
        <w:rPr>
          <w:i/>
        </w:rPr>
        <w:t>should be made</w:t>
      </w:r>
      <w:proofErr w:type="gramEnd"/>
      <w:r>
        <w:rPr>
          <w:i/>
        </w:rPr>
        <w:t xml:space="preserve"> absolute</w:t>
      </w:r>
      <w:r>
        <w:t xml:space="preserve">. The Regulations relating to police custody facilities Section 3.1 </w:t>
      </w:r>
      <w:proofErr w:type="gramStart"/>
      <w:r>
        <w:t>should therefore be changed</w:t>
      </w:r>
      <w:proofErr w:type="gramEnd"/>
      <w:r>
        <w:t xml:space="preserve">. </w:t>
      </w:r>
    </w:p>
    <w:p w:rsidR="00933F3E" w:rsidRDefault="009F3323">
      <w:r>
        <w:t xml:space="preserve">- A separate assessment </w:t>
      </w:r>
      <w:proofErr w:type="gramStart"/>
      <w:r>
        <w:t>should be carried</w:t>
      </w:r>
      <w:proofErr w:type="gramEnd"/>
      <w:r>
        <w:t xml:space="preserve"> out of the Regulations relating to police custody facilities with respect to the justifiability of placing </w:t>
      </w:r>
      <w:r w:rsidR="001C708A">
        <w:rPr>
          <w:i/>
        </w:rPr>
        <w:t>mentally ill people</w:t>
      </w:r>
      <w:r>
        <w:t xml:space="preserve"> in police custody facilities. In this context,</w:t>
      </w:r>
      <w:r w:rsidR="001C708A">
        <w:t xml:space="preserve"> it is natural to consider the </w:t>
      </w:r>
      <w:r>
        <w:t xml:space="preserve">division of responsibility between the police and mental health services.  </w:t>
      </w:r>
    </w:p>
    <w:p w:rsidR="00933F3E" w:rsidRDefault="009F3323">
      <w:r>
        <w:t xml:space="preserve">2.1.3. A court decision made on isolation while on remand (isolation to prevent interference with evidence): </w:t>
      </w:r>
    </w:p>
    <w:p w:rsidR="00933F3E" w:rsidRDefault="009F3323">
      <w:r>
        <w:t xml:space="preserve">In cases where a person is remanded in custody by the courts </w:t>
      </w:r>
      <w:proofErr w:type="gramStart"/>
      <w:r>
        <w:t>on the grounds that</w:t>
      </w:r>
      <w:proofErr w:type="gramEnd"/>
      <w:r>
        <w:t xml:space="preserve"> there is a risk of evidence being interfered with, the courts can also decide that the detainee shall be held in partial or complete isolation. Partial isolation, where the detainee </w:t>
      </w:r>
      <w:proofErr w:type="gramStart"/>
      <w:r>
        <w:t>shall be excluded</w:t>
      </w:r>
      <w:proofErr w:type="gramEnd"/>
      <w:r>
        <w:t xml:space="preserve"> from the comp</w:t>
      </w:r>
      <w:r w:rsidR="00C43BD1">
        <w:t>any of other specified prisoners</w:t>
      </w:r>
      <w:r>
        <w:t xml:space="preserve">, may be necessary if several people are remanded in custody in the same case. This makes it possible to prevent contact between them. Complete isolation, exclusion from the company of all </w:t>
      </w:r>
      <w:r w:rsidR="00C43BD1">
        <w:t>prisoners</w:t>
      </w:r>
      <w:r>
        <w:t xml:space="preserve">, </w:t>
      </w:r>
      <w:proofErr w:type="gramStart"/>
      <w:r>
        <w:lastRenderedPageBreak/>
        <w:t>can be used</w:t>
      </w:r>
      <w:proofErr w:type="gramEnd"/>
      <w:r>
        <w:t xml:space="preserve"> if there is an imminent risk that the detainee will interfere with evidence by removing clues or influencing witnesses or accomplices if he/she is not held in isolation.</w:t>
      </w:r>
      <w:r>
        <w:rPr>
          <w:rStyle w:val="Fotnotereferanse"/>
        </w:rPr>
        <w:footnoteReference w:id="1"/>
      </w:r>
    </w:p>
    <w:p w:rsidR="00933F3E" w:rsidRDefault="009F3323">
      <w:r>
        <w:t xml:space="preserve">The current wording of the Act allows for a high degree of discretionary assessment. Although the threshold for violation of the prohibition on inhuman and degrading treatment is high, the wording of the Act may lead to the overall use of isolation being excessive, and to violations of the conventions in some cases. Norway </w:t>
      </w:r>
      <w:proofErr w:type="gramStart"/>
      <w:r>
        <w:t>has</w:t>
      </w:r>
      <w:r w:rsidR="00C43BD1">
        <w:t>,</w:t>
      </w:r>
      <w:r>
        <w:t xml:space="preserve"> for a long time</w:t>
      </w:r>
      <w:r w:rsidR="00C43BD1">
        <w:t>,</w:t>
      </w:r>
      <w:r>
        <w:t xml:space="preserve"> been</w:t>
      </w:r>
      <w:proofErr w:type="gramEnd"/>
      <w:r>
        <w:t xml:space="preserve"> subject to persistent criticism from human rights monitoring bodies for its use of isolation. The criticism </w:t>
      </w:r>
      <w:proofErr w:type="gramStart"/>
      <w:r>
        <w:t>should be taken</w:t>
      </w:r>
      <w:proofErr w:type="gramEnd"/>
      <w:r>
        <w:t xml:space="preserve"> seriously in order to support and show respect for the international role of different human rights monitoring bodies. On this basis, the National Institution urges that consideration </w:t>
      </w:r>
      <w:proofErr w:type="gramStart"/>
      <w:r>
        <w:t>be given</w:t>
      </w:r>
      <w:proofErr w:type="gramEnd"/>
      <w:r>
        <w:t xml:space="preserve"> to amending the legislation relating to complete isolation on remand. In the National Institution's view: </w:t>
      </w:r>
    </w:p>
    <w:p w:rsidR="00933F3E" w:rsidRDefault="009F3323">
      <w:r>
        <w:t xml:space="preserve">- The law should more clearly express the legislator's assessments of principle, and less </w:t>
      </w:r>
      <w:proofErr w:type="gramStart"/>
      <w:r>
        <w:t>should be left</w:t>
      </w:r>
      <w:proofErr w:type="gramEnd"/>
      <w:r>
        <w:t xml:space="preserve"> to the judge's discretion. </w:t>
      </w:r>
    </w:p>
    <w:p w:rsidR="00933F3E" w:rsidRDefault="009F3323">
      <w:r>
        <w:t xml:space="preserve">- The assessments of principle should take account of the importance of loyally supporting the work of human rights monitoring bodies. </w:t>
      </w:r>
    </w:p>
    <w:p w:rsidR="00933F3E" w:rsidRDefault="009F3323">
      <w:r>
        <w:lastRenderedPageBreak/>
        <w:t xml:space="preserve">- The law should reflect the fundamental human rights principle that isolation shall only be used when </w:t>
      </w:r>
      <w:proofErr w:type="gramStart"/>
      <w:r>
        <w:t>absolutely necessary</w:t>
      </w:r>
      <w:proofErr w:type="gramEnd"/>
      <w:r>
        <w:t xml:space="preserve">. </w:t>
      </w:r>
    </w:p>
    <w:p w:rsidR="00933F3E" w:rsidRDefault="009F3323">
      <w:r>
        <w:t xml:space="preserve">- The wording of the law regarding the risk of evidence </w:t>
      </w:r>
      <w:proofErr w:type="gramStart"/>
      <w:r>
        <w:t>being interfered with</w:t>
      </w:r>
      <w:proofErr w:type="gramEnd"/>
      <w:r>
        <w:t xml:space="preserve"> should be further assessed. </w:t>
      </w:r>
    </w:p>
    <w:p w:rsidR="00933F3E" w:rsidRDefault="009F3323">
      <w:r>
        <w:t xml:space="preserve">As mentioned, isolation </w:t>
      </w:r>
      <w:proofErr w:type="gramStart"/>
      <w:r>
        <w:t>is also used</w:t>
      </w:r>
      <w:proofErr w:type="gramEnd"/>
      <w:r>
        <w:t xml:space="preserve"> in man</w:t>
      </w:r>
      <w:r w:rsidR="001C708A">
        <w:t>y other areas. In the National I</w:t>
      </w:r>
      <w:r>
        <w:t xml:space="preserve">nstitution's assessment, there is a clear need to review the use of isolation in all of these areas, as discussed in more detail in the report. </w:t>
      </w:r>
    </w:p>
    <w:p w:rsidR="009F3323" w:rsidRPr="005C644A" w:rsidRDefault="009F3323"/>
    <w:sectPr w:rsidR="009F3323" w:rsidRPr="005C644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216" w:rsidRDefault="00375216" w:rsidP="007A27A3">
      <w:pPr>
        <w:spacing w:after="0" w:line="240" w:lineRule="auto"/>
      </w:pPr>
      <w:r>
        <w:separator/>
      </w:r>
    </w:p>
  </w:endnote>
  <w:endnote w:type="continuationSeparator" w:id="0">
    <w:p w:rsidR="00375216" w:rsidRDefault="00375216" w:rsidP="007A2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216" w:rsidRDefault="00375216" w:rsidP="007A27A3">
      <w:pPr>
        <w:spacing w:after="0" w:line="240" w:lineRule="auto"/>
      </w:pPr>
      <w:r>
        <w:separator/>
      </w:r>
    </w:p>
  </w:footnote>
  <w:footnote w:type="continuationSeparator" w:id="0">
    <w:p w:rsidR="00375216" w:rsidRDefault="00375216" w:rsidP="007A27A3">
      <w:pPr>
        <w:spacing w:after="0" w:line="240" w:lineRule="auto"/>
      </w:pPr>
      <w:r>
        <w:continuationSeparator/>
      </w:r>
    </w:p>
  </w:footnote>
  <w:footnote w:id="1">
    <w:p w:rsidR="00933F3E" w:rsidRDefault="00933F3E">
      <w:pPr>
        <w:pStyle w:val="Fotnotetekst"/>
      </w:pPr>
      <w:r>
        <w:rPr>
          <w:rStyle w:val="Fotnotereferanse"/>
        </w:rPr>
        <w:footnoteRef/>
      </w:r>
      <w:r>
        <w:t xml:space="preserve"> The Criminal Procedure</w:t>
      </w:r>
      <w:r w:rsidR="001C708A">
        <w:t xml:space="preserve"> Act Sections 186, 186 (a) cf. </w:t>
      </w:r>
      <w:r>
        <w:t>Section 171 first paragraph (2)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323"/>
    <w:rsid w:val="00063369"/>
    <w:rsid w:val="00076534"/>
    <w:rsid w:val="0017543C"/>
    <w:rsid w:val="00196A64"/>
    <w:rsid w:val="001A6B6C"/>
    <w:rsid w:val="001C708A"/>
    <w:rsid w:val="00212144"/>
    <w:rsid w:val="0024284C"/>
    <w:rsid w:val="00375216"/>
    <w:rsid w:val="005A0894"/>
    <w:rsid w:val="005C644A"/>
    <w:rsid w:val="00664242"/>
    <w:rsid w:val="006A2799"/>
    <w:rsid w:val="006A74BE"/>
    <w:rsid w:val="006A797C"/>
    <w:rsid w:val="0073366B"/>
    <w:rsid w:val="007A27A3"/>
    <w:rsid w:val="0091638D"/>
    <w:rsid w:val="00933F3E"/>
    <w:rsid w:val="009945EA"/>
    <w:rsid w:val="009F3323"/>
    <w:rsid w:val="00A21987"/>
    <w:rsid w:val="00AA21D1"/>
    <w:rsid w:val="00B846CC"/>
    <w:rsid w:val="00BA4BE4"/>
    <w:rsid w:val="00C43BD1"/>
    <w:rsid w:val="00E3112B"/>
    <w:rsid w:val="00E371D6"/>
    <w:rsid w:val="00FA45A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3FED7A-5B4F-4780-BD6D-E5A054C2A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Fotnotetekst">
    <w:name w:val="footnote text"/>
    <w:basedOn w:val="Normal"/>
    <w:link w:val="FotnotetekstTegn"/>
    <w:uiPriority w:val="99"/>
    <w:semiHidden/>
    <w:unhideWhenUsed/>
    <w:rsid w:val="007A27A3"/>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7A27A3"/>
    <w:rPr>
      <w:sz w:val="20"/>
      <w:szCs w:val="20"/>
    </w:rPr>
  </w:style>
  <w:style w:type="character" w:styleId="Fotnotereferanse">
    <w:name w:val="footnote reference"/>
    <w:basedOn w:val="Standardskriftforavsnitt"/>
    <w:uiPriority w:val="99"/>
    <w:semiHidden/>
    <w:unhideWhenUsed/>
    <w:rsid w:val="007A27A3"/>
    <w:rPr>
      <w:vertAlign w:val="superscript"/>
    </w:rPr>
  </w:style>
  <w:style w:type="paragraph" w:styleId="Bobletekst">
    <w:name w:val="Balloon Text"/>
    <w:basedOn w:val="Normal"/>
    <w:link w:val="BobletekstTegn"/>
    <w:uiPriority w:val="99"/>
    <w:semiHidden/>
    <w:unhideWhenUsed/>
    <w:rsid w:val="001C708A"/>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1C70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3499FF-9B0B-43E0-AC2E-8853C30CE41D}"/>
</file>

<file path=customXml/itemProps2.xml><?xml version="1.0" encoding="utf-8"?>
<ds:datastoreItem xmlns:ds="http://schemas.openxmlformats.org/officeDocument/2006/customXml" ds:itemID="{D1F9F7C6-4719-43BC-BE6C-88705189D77E}"/>
</file>

<file path=customXml/itemProps3.xml><?xml version="1.0" encoding="utf-8"?>
<ds:datastoreItem xmlns:ds="http://schemas.openxmlformats.org/officeDocument/2006/customXml" ds:itemID="{A19FC2D0-7D2B-497E-9878-3B414A3C6160}"/>
</file>

<file path=customXml/itemProps4.xml><?xml version="1.0" encoding="utf-8"?>
<ds:datastoreItem xmlns:ds="http://schemas.openxmlformats.org/officeDocument/2006/customXml" ds:itemID="{ED9ED838-D02B-467C-9CE3-11183C7AE51C}"/>
</file>

<file path=docProps/app.xml><?xml version="1.0" encoding="utf-8"?>
<Properties xmlns="http://schemas.openxmlformats.org/officeDocument/2006/extended-properties" xmlns:vt="http://schemas.openxmlformats.org/officeDocument/2006/docPropsVTypes">
  <Template>Normal</Template>
  <TotalTime>3</TotalTime>
  <Pages>3</Pages>
  <Words>1098</Words>
  <Characters>5823</Characters>
  <Application>Microsoft Office Word</Application>
  <DocSecurity>0</DocSecurity>
  <Lines>48</Lines>
  <Paragraphs>13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Pernille Meum</dc:creator>
  <cp:keywords/>
  <dc:description/>
  <cp:lastModifiedBy>Petter Wille</cp:lastModifiedBy>
  <cp:revision>3</cp:revision>
  <cp:lastPrinted>2016-05-24T08:39:00Z</cp:lastPrinted>
  <dcterms:created xsi:type="dcterms:W3CDTF">2016-05-27T13:09:00Z</dcterms:created>
  <dcterms:modified xsi:type="dcterms:W3CDTF">2016-05-27T13:11:00Z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