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50" w:type="dxa"/>
        <w:tblLayout w:type="fixed"/>
        <w:tblCellMar>
          <w:left w:w="0" w:type="dxa"/>
          <w:right w:w="0" w:type="dxa"/>
        </w:tblCellMar>
        <w:tblLook w:val="0000" w:firstRow="0" w:lastRow="0" w:firstColumn="0" w:lastColumn="0" w:noHBand="0" w:noVBand="0"/>
      </w:tblPr>
      <w:tblGrid>
        <w:gridCol w:w="1922"/>
        <w:gridCol w:w="7928"/>
      </w:tblGrid>
      <w:tr w:rsidR="00812B1B" w:rsidRPr="004B7DF5" w14:paraId="62E04582" w14:textId="77777777" w:rsidTr="00CF08C9">
        <w:trPr>
          <w:trHeight w:hRule="exact" w:val="1270"/>
        </w:trPr>
        <w:tc>
          <w:tcPr>
            <w:tcW w:w="1267" w:type="dxa"/>
            <w:tcBorders>
              <w:top w:val="single" w:sz="4" w:space="0" w:color="auto"/>
              <w:bottom w:val="single" w:sz="12" w:space="0" w:color="auto"/>
            </w:tcBorders>
          </w:tcPr>
          <w:p w14:paraId="32728AB3" w14:textId="77777777" w:rsidR="00812B1B" w:rsidRPr="004B7DF5" w:rsidRDefault="00812B1B" w:rsidP="000A007F">
            <w:pPr>
              <w:tabs>
                <w:tab w:val="center" w:pos="4320"/>
                <w:tab w:val="right" w:pos="8640"/>
              </w:tabs>
              <w:spacing w:after="0" w:line="240" w:lineRule="auto"/>
              <w:jc w:val="both"/>
              <w:rPr>
                <w:rFonts w:ascii="Times New Roman" w:hAnsi="Times New Roman" w:cs="Times New Roman"/>
                <w:noProof/>
                <w:kern w:val="0"/>
                <w:sz w:val="40"/>
                <w:szCs w:val="40"/>
                <w14:ligatures w14:val="none"/>
              </w:rPr>
            </w:pPr>
            <w:r w:rsidRPr="004B7DF5">
              <w:rPr>
                <w:rFonts w:ascii="Times New Roman" w:hAnsi="Times New Roman" w:cs="Times New Roman"/>
                <w:noProof/>
                <w:kern w:val="0"/>
                <w:sz w:val="40"/>
                <w:szCs w:val="40"/>
                <w14:ligatures w14:val="none"/>
              </w:rPr>
              <w:drawing>
                <wp:inline distT="0" distB="0" distL="0" distR="0" wp14:anchorId="4829C7C4" wp14:editId="05E185D8">
                  <wp:extent cx="713232" cy="597103"/>
                  <wp:effectExtent l="0" t="0" r="0" b="0"/>
                  <wp:docPr id="1876030578" name="Picture 1"/>
                  <wp:cNvGraphicFramePr/>
                  <a:graphic xmlns:a="http://schemas.openxmlformats.org/drawingml/2006/main">
                    <a:graphicData uri="http://schemas.openxmlformats.org/drawingml/2006/picture">
                      <pic:pic xmlns:pic="http://schemas.openxmlformats.org/drawingml/2006/picture">
                        <pic:nvPicPr>
                          <pic:cNvPr id="950618084"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tcBorders>
              <w:top w:val="single" w:sz="4" w:space="0" w:color="auto"/>
              <w:bottom w:val="single" w:sz="12" w:space="0" w:color="auto"/>
            </w:tcBorders>
          </w:tcPr>
          <w:p w14:paraId="6F3FBFBA"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center"/>
              <w:outlineLvl w:val="0"/>
              <w:rPr>
                <w:rFonts w:ascii="Times New Roman" w:hAnsi="Times New Roman" w:cs="Times New Roman"/>
                <w:b/>
                <w:spacing w:val="-4"/>
                <w:w w:val="98"/>
                <w:kern w:val="14"/>
                <w:sz w:val="40"/>
                <w:szCs w:val="40"/>
                <w:lang w:val="en-GB"/>
                <w14:ligatures w14:val="none"/>
              </w:rPr>
            </w:pPr>
            <w:r w:rsidRPr="004B7DF5">
              <w:rPr>
                <w:rFonts w:ascii="Times New Roman" w:hAnsi="Times New Roman" w:cs="Times New Roman"/>
                <w:b/>
                <w:spacing w:val="-4"/>
                <w:w w:val="98"/>
                <w:kern w:val="14"/>
                <w:sz w:val="40"/>
                <w:szCs w:val="40"/>
                <w:lang w:val="en-GB"/>
                <w14:ligatures w14:val="none"/>
              </w:rPr>
              <w:t>Convention on the Elimination</w:t>
            </w:r>
            <w:r w:rsidRPr="004B7DF5">
              <w:rPr>
                <w:rFonts w:ascii="Times New Roman" w:hAnsi="Times New Roman" w:cs="Times New Roman"/>
                <w:b/>
                <w:spacing w:val="-4"/>
                <w:w w:val="98"/>
                <w:kern w:val="14"/>
                <w:sz w:val="40"/>
                <w:szCs w:val="40"/>
                <w:lang w:val="en-GB"/>
                <w14:ligatures w14:val="none"/>
              </w:rPr>
              <w:br/>
              <w:t>of All Forms of Discrimination against Women</w:t>
            </w:r>
          </w:p>
          <w:p w14:paraId="7BAB4671"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74BA5143"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2ACC6D0E"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7F807358"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7DD5FF2F"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15ABB6F9"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77971C89"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7B2EA8CE"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480EDC8C"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7D2FCE7B"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2E114CE8"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68C01C72" w14:textId="77777777" w:rsidR="00812B1B" w:rsidRPr="00440EC3"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p w14:paraId="2D103C26" w14:textId="77777777" w:rsidR="00812B1B" w:rsidRPr="004B7DF5" w:rsidRDefault="00812B1B" w:rsidP="000A0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jc w:val="both"/>
              <w:outlineLvl w:val="0"/>
              <w:rPr>
                <w:rFonts w:ascii="Times New Roman" w:hAnsi="Times New Roman" w:cs="Times New Roman"/>
                <w:b/>
                <w:spacing w:val="-4"/>
                <w:w w:val="98"/>
                <w:kern w:val="14"/>
                <w:sz w:val="40"/>
                <w:szCs w:val="40"/>
                <w:lang w:val="en-GB"/>
                <w14:ligatures w14:val="none"/>
              </w:rPr>
            </w:pPr>
          </w:p>
        </w:tc>
      </w:tr>
    </w:tbl>
    <w:p w14:paraId="50D785E9" w14:textId="77777777" w:rsidR="00812B1B" w:rsidRDefault="00812B1B" w:rsidP="000A007F">
      <w:pPr>
        <w:spacing w:after="0" w:line="240" w:lineRule="auto"/>
        <w:jc w:val="both"/>
        <w:rPr>
          <w:rFonts w:ascii="Times New Roman" w:eastAsia="Aptos" w:hAnsi="Times New Roman" w:cs="Times New Roman"/>
          <w:b/>
          <w:bCs/>
          <w:lang w:val="en-GB"/>
        </w:rPr>
      </w:pPr>
    </w:p>
    <w:p w14:paraId="773914E2" w14:textId="77777777" w:rsidR="00812B1B" w:rsidRPr="00A4029E" w:rsidRDefault="00812B1B" w:rsidP="000A007F">
      <w:pPr>
        <w:spacing w:after="0" w:line="240" w:lineRule="auto"/>
        <w:jc w:val="center"/>
        <w:rPr>
          <w:rFonts w:ascii="Times New Roman" w:eastAsia="Aptos" w:hAnsi="Times New Roman" w:cs="Times New Roman"/>
          <w:b/>
          <w:bCs/>
          <w:sz w:val="32"/>
          <w:szCs w:val="32"/>
          <w:lang w:val="en-GB"/>
        </w:rPr>
      </w:pPr>
      <w:r w:rsidRPr="00A4029E">
        <w:rPr>
          <w:rFonts w:ascii="Times New Roman" w:eastAsia="Aptos" w:hAnsi="Times New Roman" w:cs="Times New Roman"/>
          <w:b/>
          <w:bCs/>
          <w:sz w:val="32"/>
          <w:szCs w:val="32"/>
          <w:lang w:val="en-GB"/>
        </w:rPr>
        <w:t>JOINT SOGIESC SUBMISSION TO THE UN COMMITTEE ON THE ELIMINATION OF DISCRIMINATION AGAINST WOMEN</w:t>
      </w:r>
      <w:r>
        <w:rPr>
          <w:rFonts w:ascii="Times New Roman" w:eastAsia="Aptos" w:hAnsi="Times New Roman" w:cs="Times New Roman"/>
          <w:b/>
          <w:bCs/>
          <w:sz w:val="32"/>
          <w:szCs w:val="32"/>
          <w:lang w:val="en-GB"/>
        </w:rPr>
        <w:t xml:space="preserve"> (CEDAW)</w:t>
      </w:r>
    </w:p>
    <w:p w14:paraId="63E308C0" w14:textId="77777777" w:rsidR="00812B1B" w:rsidRPr="00A4029E" w:rsidRDefault="00812B1B" w:rsidP="000A007F">
      <w:pPr>
        <w:spacing w:after="0" w:line="240" w:lineRule="auto"/>
        <w:jc w:val="center"/>
        <w:rPr>
          <w:rFonts w:ascii="Times New Roman" w:eastAsia="Aptos" w:hAnsi="Times New Roman" w:cs="Times New Roman"/>
          <w:b/>
          <w:bCs/>
          <w:sz w:val="32"/>
          <w:szCs w:val="32"/>
          <w:lang w:val="en-GB"/>
        </w:rPr>
      </w:pPr>
    </w:p>
    <w:p w14:paraId="17D3A843" w14:textId="77777777" w:rsidR="00812B1B" w:rsidRPr="00A4029E" w:rsidRDefault="00812B1B" w:rsidP="000A007F">
      <w:pPr>
        <w:spacing w:after="0" w:line="240" w:lineRule="auto"/>
        <w:jc w:val="center"/>
        <w:rPr>
          <w:rFonts w:ascii="Times New Roman" w:eastAsia="Aptos" w:hAnsi="Times New Roman" w:cs="Times New Roman"/>
          <w:b/>
          <w:bCs/>
          <w:sz w:val="32"/>
          <w:szCs w:val="32"/>
          <w:lang w:val="en-GB"/>
        </w:rPr>
      </w:pPr>
      <w:r w:rsidRPr="00A4029E">
        <w:rPr>
          <w:rFonts w:ascii="Times New Roman" w:eastAsia="Aptos" w:hAnsi="Times New Roman" w:cs="Times New Roman"/>
          <w:b/>
          <w:bCs/>
          <w:sz w:val="32"/>
          <w:szCs w:val="32"/>
          <w:lang w:val="en-GB"/>
        </w:rPr>
        <w:t>WRITTEN SUPPLEMENTARY SUBMISSION REGARGDING THE 9</w:t>
      </w:r>
      <w:r w:rsidRPr="00A4029E">
        <w:rPr>
          <w:rFonts w:ascii="Times New Roman" w:eastAsia="Aptos" w:hAnsi="Times New Roman" w:cs="Times New Roman"/>
          <w:b/>
          <w:bCs/>
          <w:sz w:val="32"/>
          <w:szCs w:val="32"/>
          <w:vertAlign w:val="superscript"/>
          <w:lang w:val="en-GB"/>
        </w:rPr>
        <w:t>TH</w:t>
      </w:r>
      <w:r w:rsidRPr="00A4029E">
        <w:rPr>
          <w:rFonts w:ascii="Times New Roman" w:eastAsia="Aptos" w:hAnsi="Times New Roman" w:cs="Times New Roman"/>
          <w:b/>
          <w:bCs/>
          <w:sz w:val="32"/>
          <w:szCs w:val="32"/>
          <w:lang w:val="en-GB"/>
        </w:rPr>
        <w:t xml:space="preserve"> PERIODIC REPORT FOR KENYA</w:t>
      </w:r>
    </w:p>
    <w:p w14:paraId="2DEAC525" w14:textId="300DF621" w:rsidR="00812B1B" w:rsidRPr="00A4029E" w:rsidRDefault="00812B1B" w:rsidP="000A007F">
      <w:pPr>
        <w:spacing w:after="0" w:line="240" w:lineRule="auto"/>
        <w:jc w:val="center"/>
        <w:rPr>
          <w:rFonts w:ascii="Times New Roman" w:eastAsia="Aptos" w:hAnsi="Times New Roman" w:cs="Times New Roman"/>
          <w:b/>
          <w:bCs/>
          <w:sz w:val="32"/>
          <w:szCs w:val="32"/>
          <w:lang w:val="en-GB"/>
        </w:rPr>
      </w:pPr>
      <w:r w:rsidRPr="00A4029E">
        <w:rPr>
          <w:rFonts w:ascii="Times New Roman" w:eastAsia="Aptos" w:hAnsi="Times New Roman" w:cs="Times New Roman"/>
          <w:b/>
          <w:bCs/>
          <w:sz w:val="32"/>
          <w:szCs w:val="32"/>
          <w:lang w:val="en-GB"/>
        </w:rPr>
        <w:t>PRE-SESSION WORKING GROUP FOR THE 9</w:t>
      </w:r>
      <w:r w:rsidR="000A007F">
        <w:rPr>
          <w:rFonts w:ascii="Times New Roman" w:eastAsia="Aptos" w:hAnsi="Times New Roman" w:cs="Times New Roman"/>
          <w:b/>
          <w:bCs/>
          <w:sz w:val="32"/>
          <w:szCs w:val="32"/>
          <w:lang w:val="en-GB"/>
        </w:rPr>
        <w:t>3</w:t>
      </w:r>
      <w:r w:rsidR="000A007F">
        <w:rPr>
          <w:rFonts w:ascii="Times New Roman" w:eastAsia="Aptos" w:hAnsi="Times New Roman" w:cs="Times New Roman"/>
          <w:b/>
          <w:bCs/>
          <w:sz w:val="32"/>
          <w:szCs w:val="32"/>
          <w:vertAlign w:val="superscript"/>
          <w:lang w:val="en-GB"/>
        </w:rPr>
        <w:t>RD</w:t>
      </w:r>
      <w:r w:rsidRPr="00A4029E">
        <w:rPr>
          <w:rFonts w:ascii="Times New Roman" w:eastAsia="Aptos" w:hAnsi="Times New Roman" w:cs="Times New Roman"/>
          <w:b/>
          <w:bCs/>
          <w:sz w:val="32"/>
          <w:szCs w:val="32"/>
          <w:lang w:val="en-GB"/>
        </w:rPr>
        <w:t xml:space="preserve"> SESSION</w:t>
      </w:r>
    </w:p>
    <w:p w14:paraId="5FE28EDB" w14:textId="77777777" w:rsidR="00812B1B" w:rsidRPr="00A4029E" w:rsidRDefault="00812B1B" w:rsidP="000A007F">
      <w:pPr>
        <w:spacing w:after="0" w:line="240" w:lineRule="auto"/>
        <w:jc w:val="center"/>
        <w:rPr>
          <w:rFonts w:ascii="Times New Roman" w:eastAsia="Aptos" w:hAnsi="Times New Roman" w:cs="Times New Roman"/>
          <w:b/>
          <w:bCs/>
          <w:sz w:val="32"/>
          <w:szCs w:val="32"/>
          <w:lang w:val="en-GB"/>
        </w:rPr>
      </w:pPr>
    </w:p>
    <w:p w14:paraId="118F5303" w14:textId="77777777" w:rsidR="00812B1B" w:rsidRPr="00A4029E" w:rsidRDefault="00812B1B" w:rsidP="000A007F">
      <w:pPr>
        <w:spacing w:after="0" w:line="240" w:lineRule="auto"/>
        <w:jc w:val="center"/>
        <w:rPr>
          <w:rFonts w:ascii="Times New Roman" w:eastAsia="Aptos" w:hAnsi="Times New Roman" w:cs="Times New Roman"/>
          <w:b/>
          <w:bCs/>
          <w:sz w:val="32"/>
          <w:szCs w:val="32"/>
          <w:lang w:val="en-GB"/>
        </w:rPr>
      </w:pPr>
      <w:r w:rsidRPr="00A4029E">
        <w:rPr>
          <w:rFonts w:ascii="Times New Roman" w:eastAsia="Aptos" w:hAnsi="Times New Roman" w:cs="Times New Roman"/>
          <w:b/>
          <w:bCs/>
          <w:sz w:val="32"/>
          <w:szCs w:val="32"/>
          <w:lang w:val="en-GB"/>
        </w:rPr>
        <w:t>SUBMITTED BY THE KENYA HUMAN RIGHTS PLATFORM (KHRP)</w:t>
      </w:r>
    </w:p>
    <w:p w14:paraId="42705057" w14:textId="77777777" w:rsidR="00812B1B" w:rsidRPr="00A4029E" w:rsidRDefault="00812B1B" w:rsidP="000A007F">
      <w:pPr>
        <w:spacing w:after="0" w:line="240" w:lineRule="auto"/>
        <w:jc w:val="center"/>
        <w:rPr>
          <w:rFonts w:ascii="Times New Roman" w:eastAsia="Aptos" w:hAnsi="Times New Roman" w:cs="Times New Roman"/>
          <w:b/>
          <w:bCs/>
          <w:sz w:val="32"/>
          <w:szCs w:val="32"/>
          <w:lang w:val="en-GB"/>
        </w:rPr>
      </w:pPr>
    </w:p>
    <w:p w14:paraId="69C6E08F"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bookmarkStart w:id="0" w:name="_Hlk211285866"/>
      <w:r w:rsidRPr="00A4029E">
        <w:rPr>
          <w:rFonts w:ascii="Times New Roman" w:eastAsia="Aptos" w:hAnsi="Times New Roman" w:cs="Times New Roman"/>
          <w:b/>
          <w:bCs/>
          <w:sz w:val="28"/>
          <w:szCs w:val="28"/>
          <w:lang w:val="en-GB"/>
        </w:rPr>
        <w:t>Trans*Alliance Kenya (TAK)</w:t>
      </w:r>
    </w:p>
    <w:p w14:paraId="0DA1CEAE"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Western Kenya LBQ Feminist Forum (WKLFF)</w:t>
      </w:r>
    </w:p>
    <w:p w14:paraId="13829EF0"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Lake Region Womxn Health &amp; Equal Rights (LARWHER)</w:t>
      </w:r>
    </w:p>
    <w:p w14:paraId="151819BC"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GALCK+</w:t>
      </w:r>
    </w:p>
    <w:p w14:paraId="589FEBC8"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National Gay &amp; Lesbian Human Rights Commission (NGLHRC)</w:t>
      </w:r>
    </w:p>
    <w:p w14:paraId="0A253120" w14:textId="3583F42E"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Kenya Legal and Ethical Issuers Network on HIV and AIDS (KELIN)</w:t>
      </w:r>
    </w:p>
    <w:p w14:paraId="4FDA4774"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National Transgender Advocacy Network of Kenya (NTAN)</w:t>
      </w:r>
    </w:p>
    <w:p w14:paraId="03F41B24"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Coast Trans Network (CTN)</w:t>
      </w:r>
    </w:p>
    <w:p w14:paraId="46C1DA11" w14:textId="77777777" w:rsidR="00812B1B" w:rsidRPr="00A4029E" w:rsidRDefault="00812B1B" w:rsidP="000A007F">
      <w:pPr>
        <w:spacing w:after="0" w:line="240" w:lineRule="auto"/>
        <w:jc w:val="center"/>
        <w:rPr>
          <w:rFonts w:ascii="Times New Roman" w:eastAsia="Aptos" w:hAnsi="Times New Roman" w:cs="Times New Roman"/>
          <w:b/>
          <w:bCs/>
          <w:sz w:val="28"/>
          <w:szCs w:val="28"/>
        </w:rPr>
      </w:pPr>
      <w:r w:rsidRPr="00A4029E">
        <w:rPr>
          <w:rFonts w:ascii="Times New Roman" w:eastAsia="Aptos" w:hAnsi="Times New Roman" w:cs="Times New Roman"/>
          <w:b/>
          <w:bCs/>
          <w:sz w:val="28"/>
          <w:szCs w:val="28"/>
        </w:rPr>
        <w:t>United Nations Development Programme (UNDP) Kenya</w:t>
      </w:r>
    </w:p>
    <w:p w14:paraId="15D79B8A" w14:textId="77777777" w:rsidR="00812B1B" w:rsidRPr="00A4029E" w:rsidRDefault="00812B1B" w:rsidP="000A007F">
      <w:pPr>
        <w:spacing w:after="0" w:line="240" w:lineRule="auto"/>
        <w:jc w:val="center"/>
        <w:rPr>
          <w:rFonts w:ascii="Times New Roman" w:eastAsia="Aptos" w:hAnsi="Times New Roman" w:cs="Times New Roman"/>
          <w:b/>
          <w:bCs/>
          <w:sz w:val="28"/>
          <w:szCs w:val="28"/>
        </w:rPr>
      </w:pPr>
      <w:r w:rsidRPr="00A4029E">
        <w:rPr>
          <w:rFonts w:ascii="Times New Roman" w:eastAsia="Aptos" w:hAnsi="Times New Roman" w:cs="Times New Roman"/>
          <w:b/>
          <w:bCs/>
          <w:sz w:val="28"/>
          <w:szCs w:val="28"/>
        </w:rPr>
        <w:t>Intersex Persons Consortium of Kenya (IPCK)</w:t>
      </w:r>
    </w:p>
    <w:p w14:paraId="0B76BD0D" w14:textId="77777777" w:rsidR="00812B1B" w:rsidRPr="00A4029E" w:rsidRDefault="00812B1B" w:rsidP="000A007F">
      <w:pPr>
        <w:spacing w:after="0" w:line="240" w:lineRule="auto"/>
        <w:jc w:val="center"/>
        <w:rPr>
          <w:rFonts w:ascii="Times New Roman" w:eastAsia="Aptos" w:hAnsi="Times New Roman" w:cs="Times New Roman"/>
          <w:b/>
          <w:bCs/>
          <w:sz w:val="28"/>
          <w:szCs w:val="28"/>
        </w:rPr>
      </w:pPr>
      <w:r w:rsidRPr="00A4029E">
        <w:rPr>
          <w:rFonts w:ascii="Times New Roman" w:eastAsia="Aptos" w:hAnsi="Times New Roman" w:cs="Times New Roman"/>
          <w:b/>
          <w:bCs/>
          <w:sz w:val="28"/>
          <w:szCs w:val="28"/>
        </w:rPr>
        <w:t>Jinsiangu Kenya</w:t>
      </w:r>
    </w:p>
    <w:p w14:paraId="653F4CE0" w14:textId="77777777" w:rsidR="00812B1B" w:rsidRPr="00A4029E" w:rsidRDefault="00812B1B" w:rsidP="000A007F">
      <w:pPr>
        <w:spacing w:after="0" w:line="240" w:lineRule="auto"/>
        <w:jc w:val="center"/>
        <w:rPr>
          <w:rFonts w:ascii="Times New Roman" w:eastAsia="Aptos" w:hAnsi="Times New Roman" w:cs="Times New Roman"/>
          <w:b/>
          <w:bCs/>
          <w:sz w:val="28"/>
          <w:szCs w:val="28"/>
        </w:rPr>
      </w:pPr>
      <w:r w:rsidRPr="00A4029E">
        <w:rPr>
          <w:rFonts w:ascii="Times New Roman" w:eastAsia="Aptos" w:hAnsi="Times New Roman" w:cs="Times New Roman"/>
          <w:b/>
          <w:bCs/>
          <w:sz w:val="28"/>
          <w:szCs w:val="28"/>
        </w:rPr>
        <w:t>Intersex Persons Consortium of Kenya (IPCK)</w:t>
      </w:r>
    </w:p>
    <w:p w14:paraId="48750D35"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Western Kenya LBQ Organizations Collective (WKLOC)</w:t>
      </w:r>
    </w:p>
    <w:p w14:paraId="4D88904E" w14:textId="223B530B"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Kisumu Elite Learners &amp; Brain Stormers (KISLEB)</w:t>
      </w:r>
    </w:p>
    <w:p w14:paraId="0B14E950"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LBQ Education Health &amp; Advocacy (LEHA)</w:t>
      </w:r>
    </w:p>
    <w:p w14:paraId="3C4767E5"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African Sex Workers Alliance (ASWA)</w:t>
      </w:r>
    </w:p>
    <w:p w14:paraId="1A69A11F"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r w:rsidRPr="00A4029E">
        <w:rPr>
          <w:rFonts w:ascii="Times New Roman" w:eastAsia="Aptos" w:hAnsi="Times New Roman" w:cs="Times New Roman"/>
          <w:b/>
          <w:bCs/>
          <w:sz w:val="28"/>
          <w:szCs w:val="28"/>
          <w:lang w:val="en-GB"/>
        </w:rPr>
        <w:t>Kenya Sex Workers Alliance (KESWA)</w:t>
      </w:r>
    </w:p>
    <w:p w14:paraId="6156EF70" w14:textId="77777777" w:rsidR="00812B1B" w:rsidRPr="00A4029E" w:rsidRDefault="00812B1B" w:rsidP="000A007F">
      <w:pPr>
        <w:spacing w:after="0" w:line="240" w:lineRule="auto"/>
        <w:jc w:val="center"/>
        <w:rPr>
          <w:rFonts w:ascii="Times New Roman" w:eastAsia="Aptos" w:hAnsi="Times New Roman" w:cs="Times New Roman"/>
          <w:b/>
          <w:bCs/>
          <w:sz w:val="28"/>
          <w:szCs w:val="28"/>
          <w:lang w:val="en-GB"/>
        </w:rPr>
      </w:pPr>
      <w:proofErr w:type="spellStart"/>
      <w:r w:rsidRPr="00A4029E">
        <w:rPr>
          <w:rFonts w:ascii="Times New Roman" w:eastAsia="Aptos" w:hAnsi="Times New Roman" w:cs="Times New Roman"/>
          <w:b/>
          <w:bCs/>
          <w:sz w:val="28"/>
          <w:szCs w:val="28"/>
          <w:lang w:val="en-GB"/>
        </w:rPr>
        <w:t>Usawa</w:t>
      </w:r>
      <w:proofErr w:type="spellEnd"/>
      <w:r w:rsidRPr="00A4029E">
        <w:rPr>
          <w:rFonts w:ascii="Times New Roman" w:eastAsia="Aptos" w:hAnsi="Times New Roman" w:cs="Times New Roman"/>
          <w:b/>
          <w:bCs/>
          <w:sz w:val="28"/>
          <w:szCs w:val="28"/>
          <w:lang w:val="en-GB"/>
        </w:rPr>
        <w:t xml:space="preserve"> Jamii</w:t>
      </w:r>
    </w:p>
    <w:p w14:paraId="5F2C78F9" w14:textId="6022A753" w:rsidR="00812B1B" w:rsidRDefault="00812B1B" w:rsidP="000A007F">
      <w:pPr>
        <w:spacing w:after="0" w:line="240" w:lineRule="auto"/>
        <w:jc w:val="center"/>
        <w:rPr>
          <w:rFonts w:ascii="Times New Roman" w:eastAsia="Aptos" w:hAnsi="Times New Roman" w:cs="Times New Roman"/>
          <w:b/>
          <w:bCs/>
          <w:sz w:val="28"/>
          <w:szCs w:val="28"/>
          <w:lang w:val="en-GB"/>
        </w:rPr>
      </w:pPr>
      <w:proofErr w:type="spellStart"/>
      <w:r w:rsidRPr="00A4029E">
        <w:rPr>
          <w:rFonts w:ascii="Times New Roman" w:eastAsia="Aptos" w:hAnsi="Times New Roman" w:cs="Times New Roman"/>
          <w:b/>
          <w:bCs/>
          <w:sz w:val="28"/>
          <w:szCs w:val="28"/>
          <w:lang w:val="en-GB"/>
        </w:rPr>
        <w:t>Udada</w:t>
      </w:r>
      <w:proofErr w:type="spellEnd"/>
      <w:r w:rsidRPr="00A4029E">
        <w:rPr>
          <w:rFonts w:ascii="Times New Roman" w:eastAsia="Aptos" w:hAnsi="Times New Roman" w:cs="Times New Roman"/>
          <w:b/>
          <w:bCs/>
          <w:sz w:val="28"/>
          <w:szCs w:val="28"/>
          <w:lang w:val="en-GB"/>
        </w:rPr>
        <w:t xml:space="preserve"> </w:t>
      </w:r>
      <w:proofErr w:type="spellStart"/>
      <w:r w:rsidRPr="00A4029E">
        <w:rPr>
          <w:rFonts w:ascii="Times New Roman" w:eastAsia="Aptos" w:hAnsi="Times New Roman" w:cs="Times New Roman"/>
          <w:b/>
          <w:bCs/>
          <w:sz w:val="28"/>
          <w:szCs w:val="28"/>
          <w:lang w:val="en-GB"/>
        </w:rPr>
        <w:t>Imara</w:t>
      </w:r>
      <w:proofErr w:type="spellEnd"/>
    </w:p>
    <w:p w14:paraId="2C7A1630" w14:textId="77777777" w:rsidR="00812B1B" w:rsidRPr="00A4029E" w:rsidRDefault="00812B1B" w:rsidP="000A007F">
      <w:pPr>
        <w:spacing w:after="0" w:line="240" w:lineRule="auto"/>
        <w:jc w:val="both"/>
        <w:rPr>
          <w:rFonts w:ascii="Times New Roman" w:eastAsia="Aptos" w:hAnsi="Times New Roman" w:cs="Times New Roman"/>
          <w:b/>
          <w:bCs/>
          <w:sz w:val="28"/>
          <w:szCs w:val="28"/>
          <w:lang w:val="en-GB"/>
        </w:rPr>
      </w:pPr>
    </w:p>
    <w:bookmarkEnd w:id="0"/>
    <w:p w14:paraId="26BB8E50" w14:textId="1A48DE76" w:rsidR="000A007F" w:rsidRDefault="000A007F" w:rsidP="000A007F">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p>
    <w:p w14:paraId="7531FDE6" w14:textId="02AB7FA5" w:rsidR="000A007F" w:rsidRDefault="000A007F" w:rsidP="000A007F">
      <w:pPr>
        <w:spacing w:after="0" w:line="360" w:lineRule="auto"/>
        <w:jc w:val="both"/>
        <w:outlineLvl w:val="1"/>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lastRenderedPageBreak/>
        <w:t>INTRODUCTION</w:t>
      </w:r>
    </w:p>
    <w:p w14:paraId="084C80C3" w14:textId="77777777" w:rsidR="000A007F" w:rsidRPr="000A007F" w:rsidRDefault="000A007F" w:rsidP="000A007F">
      <w:pPr>
        <w:spacing w:after="0" w:line="360" w:lineRule="auto"/>
        <w:jc w:val="both"/>
        <w:outlineLvl w:val="1"/>
        <w:rPr>
          <w:rFonts w:ascii="Times New Roman" w:eastAsia="Times New Roman" w:hAnsi="Times New Roman" w:cs="Times New Roman"/>
          <w:b/>
          <w:bCs/>
          <w:kern w:val="0"/>
          <w14:ligatures w14:val="none"/>
        </w:rPr>
      </w:pPr>
    </w:p>
    <w:p w14:paraId="19E6663B" w14:textId="79F46592"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This Shadow Report is submitted jointly by the </w:t>
      </w:r>
      <w:r w:rsidRPr="000A007F">
        <w:rPr>
          <w:rFonts w:ascii="Times New Roman" w:eastAsia="Times New Roman" w:hAnsi="Times New Roman" w:cs="Times New Roman"/>
          <w:b/>
          <w:bCs/>
          <w:kern w:val="0"/>
          <w14:ligatures w14:val="none"/>
        </w:rPr>
        <w:t>Kenya Human Rights Platform (KHRP)</w:t>
      </w:r>
      <w:r w:rsidRPr="000A007F">
        <w:rPr>
          <w:rFonts w:ascii="Times New Roman" w:eastAsia="Times New Roman" w:hAnsi="Times New Roman" w:cs="Times New Roman"/>
          <w:kern w:val="0"/>
          <w14:ligatures w14:val="none"/>
        </w:rPr>
        <w:t xml:space="preserve"> and a coalition of </w:t>
      </w:r>
      <w:r w:rsidRPr="000A007F">
        <w:rPr>
          <w:rFonts w:ascii="Times New Roman" w:eastAsia="Times New Roman" w:hAnsi="Times New Roman" w:cs="Times New Roman"/>
          <w:b/>
          <w:bCs/>
          <w:kern w:val="0"/>
          <w14:ligatures w14:val="none"/>
        </w:rPr>
        <w:t>19 Lesbian, Bisexual, Queer, Trans, and Intersex (LBQTI) women's, Sex Workers', and National Human Rights organizations in Kenya</w:t>
      </w:r>
      <w:r w:rsidRPr="000A007F">
        <w:rPr>
          <w:rFonts w:ascii="Times New Roman" w:eastAsia="Times New Roman" w:hAnsi="Times New Roman" w:cs="Times New Roman"/>
          <w:kern w:val="0"/>
          <w14:ligatures w14:val="none"/>
        </w:rPr>
        <w:t>. Presented ahead of Kenya’s periodic review, it complements the State Party's official report by providing an alternative, evidence-based analysis of the implementation of the Convention on the Elimination of All Forms of Discrimination against Women (CEDAW) from August 2016 to August 2021 and subsequent developments up to 2026.</w:t>
      </w:r>
    </w:p>
    <w:p w14:paraId="2FE993BB"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36EC9AB5" w14:textId="2ED547AC"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While acknowledging progress made by the Government of Kenya in specific sectors, this report highlights pervasive, unacknowledged, and intersecting forms of discrimination faced by women and girls based on </w:t>
      </w:r>
      <w:r w:rsidRPr="000A007F">
        <w:rPr>
          <w:rFonts w:ascii="Times New Roman" w:eastAsia="Times New Roman" w:hAnsi="Times New Roman" w:cs="Times New Roman"/>
          <w:b/>
          <w:bCs/>
          <w:kern w:val="0"/>
          <w14:ligatures w14:val="none"/>
        </w:rPr>
        <w:t>Sexual Orientation, Gender Identity, Expression, and Sex Characteristics (SOGIESC)</w:t>
      </w:r>
      <w:r w:rsidRPr="000A007F">
        <w:rPr>
          <w:rFonts w:ascii="Times New Roman" w:eastAsia="Times New Roman" w:hAnsi="Times New Roman" w:cs="Times New Roman"/>
          <w:kern w:val="0"/>
          <w14:ligatures w14:val="none"/>
        </w:rPr>
        <w:t>. We assert that discrimination against LBQTI women, girls, and sex workers constitutes a grave human rights violation intrinsically linked to the State Party’s core obligations under CEDAW, particularly concerning Equality and Non-Discrimination (Articles 1 &amp; 2), Protection from Violence, and Access to Justice, Health, Education, and Employment (Articles 10, 11, 12, 15, and 16).</w:t>
      </w:r>
    </w:p>
    <w:p w14:paraId="472B6A0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2DF7F137" w14:textId="67904305"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Our analysis focuses on Kenya's Eighth Review Cycle (2016–2021) and the run-up to the 93rd Session, leveraging key recommendations from </w:t>
      </w:r>
      <w:r w:rsidRPr="000A007F">
        <w:rPr>
          <w:rFonts w:ascii="Times New Roman" w:eastAsia="Times New Roman" w:hAnsi="Times New Roman" w:cs="Times New Roman"/>
          <w:b/>
          <w:bCs/>
          <w:kern w:val="0"/>
          <w14:ligatures w14:val="none"/>
        </w:rPr>
        <w:t>CEDAW/C/KEN/CO/8</w:t>
      </w:r>
      <w:r w:rsidRPr="000A007F">
        <w:rPr>
          <w:rFonts w:ascii="Times New Roman" w:eastAsia="Times New Roman" w:hAnsi="Times New Roman" w:cs="Times New Roman"/>
          <w:kern w:val="0"/>
          <w14:ligatures w14:val="none"/>
        </w:rPr>
        <w:t>. Our goal is to ensure the Committee urges the State Party to address structural failures—legislative barriers, systemic prejudice, and social stigma—to guarantee that future anti-discrimination efforts are fully inclusive of all women, without exception.</w:t>
      </w:r>
    </w:p>
    <w:p w14:paraId="24680FE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1BED8E32" w14:textId="59FED36F" w:rsidR="000A007F" w:rsidRPr="000A007F" w:rsidRDefault="000A007F" w:rsidP="000A007F">
      <w:pPr>
        <w:pStyle w:val="ListParagraph"/>
        <w:numPr>
          <w:ilvl w:val="1"/>
          <w:numId w:val="37"/>
        </w:numPr>
        <w:spacing w:after="0" w:line="360" w:lineRule="auto"/>
        <w:jc w:val="both"/>
        <w:outlineLvl w:val="1"/>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CONSTITUTIONAL, LEGAL, AND ADMINISTRATIVE FRAMEWORK</w:t>
      </w:r>
    </w:p>
    <w:p w14:paraId="1E270530" w14:textId="77777777" w:rsidR="000A007F" w:rsidRPr="000A007F" w:rsidRDefault="000A007F" w:rsidP="000A007F">
      <w:pPr>
        <w:pStyle w:val="ListParagraph"/>
        <w:spacing w:after="0" w:line="360" w:lineRule="auto"/>
        <w:ind w:left="360"/>
        <w:jc w:val="both"/>
        <w:outlineLvl w:val="1"/>
        <w:rPr>
          <w:rFonts w:ascii="Times New Roman" w:eastAsia="Times New Roman" w:hAnsi="Times New Roman" w:cs="Times New Roman"/>
          <w:b/>
          <w:bCs/>
          <w:kern w:val="0"/>
          <w14:ligatures w14:val="none"/>
        </w:rPr>
      </w:pPr>
    </w:p>
    <w:p w14:paraId="0374C505" w14:textId="073C0B04" w:rsidR="000A007F" w:rsidRPr="000A007F" w:rsidRDefault="000A007F" w:rsidP="000A007F">
      <w:pPr>
        <w:pStyle w:val="ListParagraph"/>
        <w:numPr>
          <w:ilvl w:val="1"/>
          <w:numId w:val="38"/>
        </w:num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Article 1: Definition of Discrimination</w:t>
      </w:r>
    </w:p>
    <w:p w14:paraId="7D2172BF" w14:textId="77777777" w:rsidR="000A007F" w:rsidRPr="000A007F" w:rsidRDefault="000A007F" w:rsidP="000A007F">
      <w:pPr>
        <w:pStyle w:val="ListParagraph"/>
        <w:spacing w:after="0" w:line="360" w:lineRule="auto"/>
        <w:ind w:left="360"/>
        <w:jc w:val="both"/>
        <w:outlineLvl w:val="2"/>
        <w:rPr>
          <w:rFonts w:ascii="Times New Roman" w:eastAsia="Times New Roman" w:hAnsi="Times New Roman" w:cs="Times New Roman"/>
          <w:b/>
          <w:bCs/>
          <w:kern w:val="0"/>
          <w14:ligatures w14:val="none"/>
        </w:rPr>
      </w:pPr>
    </w:p>
    <w:p w14:paraId="31B714C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1.1.1 </w:t>
      </w:r>
      <w:r w:rsidRPr="000A007F">
        <w:rPr>
          <w:rFonts w:ascii="Times New Roman" w:eastAsia="Times New Roman" w:hAnsi="Times New Roman" w:cs="Times New Roman"/>
          <w:b/>
          <w:bCs/>
          <w:kern w:val="0"/>
          <w14:ligatures w14:val="none"/>
        </w:rPr>
        <w:t>Article 2(6)</w:t>
      </w:r>
      <w:r w:rsidRPr="000A007F">
        <w:rPr>
          <w:rFonts w:ascii="Times New Roman" w:eastAsia="Times New Roman" w:hAnsi="Times New Roman" w:cs="Times New Roman"/>
          <w:kern w:val="0"/>
          <w14:ligatures w14:val="none"/>
        </w:rPr>
        <w:t xml:space="preserve"> of the Constitution of Kenya (CoK) provides that any treaty ratified by Kenya forms part of domestic law. Kenya ratified CEDAW in 1984.</w:t>
      </w:r>
    </w:p>
    <w:p w14:paraId="57A4E677" w14:textId="1D9123B2"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 xml:space="preserve">1.1.2 </w:t>
      </w:r>
      <w:r w:rsidRPr="000A007F">
        <w:rPr>
          <w:rFonts w:ascii="Times New Roman" w:eastAsia="Times New Roman" w:hAnsi="Times New Roman" w:cs="Times New Roman"/>
          <w:b/>
          <w:bCs/>
          <w:kern w:val="0"/>
          <w14:ligatures w14:val="none"/>
        </w:rPr>
        <w:t>Article 27</w:t>
      </w:r>
      <w:r w:rsidRPr="000A007F">
        <w:rPr>
          <w:rFonts w:ascii="Times New Roman" w:eastAsia="Times New Roman" w:hAnsi="Times New Roman" w:cs="Times New Roman"/>
          <w:kern w:val="0"/>
          <w14:ligatures w14:val="none"/>
        </w:rPr>
        <w:t xml:space="preserve"> prohibits discrimination on grounds of race, sex, pregnancy, marital status, health status, ethnic/social origin, </w:t>
      </w:r>
      <w:r w:rsidRPr="000A007F">
        <w:rPr>
          <w:rFonts w:ascii="Times New Roman" w:eastAsia="Times New Roman" w:hAnsi="Times New Roman" w:cs="Times New Roman"/>
          <w:kern w:val="0"/>
          <w14:ligatures w14:val="none"/>
        </w:rPr>
        <w:t>color</w:t>
      </w:r>
      <w:r w:rsidRPr="000A007F">
        <w:rPr>
          <w:rFonts w:ascii="Times New Roman" w:eastAsia="Times New Roman" w:hAnsi="Times New Roman" w:cs="Times New Roman"/>
          <w:kern w:val="0"/>
          <w14:ligatures w14:val="none"/>
        </w:rPr>
        <w:t>, age, disability, religion, conscience, belief, culture, dress, language, or birth.</w:t>
      </w:r>
    </w:p>
    <w:p w14:paraId="64132E2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6C2A4AB4" w14:textId="4EDE0A0C"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1.1.3 While Kenya accepts CEDAW’s definition, it lacks a comprehensive anti-discrimination statute. Customary and statutory practices permit gender-based bias—especially in inheritance and marital property rights—undermining CEDAW’s core definition.</w:t>
      </w:r>
    </w:p>
    <w:p w14:paraId="3734489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2D80D5AD" w14:textId="599BEEC4"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1.1.4 The </w:t>
      </w:r>
      <w:r w:rsidRPr="000A007F">
        <w:rPr>
          <w:rFonts w:ascii="Times New Roman" w:eastAsia="Times New Roman" w:hAnsi="Times New Roman" w:cs="Times New Roman"/>
          <w:b/>
          <w:bCs/>
          <w:kern w:val="0"/>
          <w14:ligatures w14:val="none"/>
        </w:rPr>
        <w:t>National Gender and Equality Commission (NGEC) Act, 2011</w:t>
      </w:r>
      <w:r w:rsidRPr="000A007F">
        <w:rPr>
          <w:rFonts w:ascii="Times New Roman" w:eastAsia="Times New Roman" w:hAnsi="Times New Roman" w:cs="Times New Roman"/>
          <w:kern w:val="0"/>
          <w14:ligatures w14:val="none"/>
        </w:rPr>
        <w:t xml:space="preserve"> (Sections 7 &amp; 8) fails to integrate a SOGIESC-sensitive approach into its definition of beneficiaries, creating structural gaps in monitoring intersectional abuses.</w:t>
      </w:r>
    </w:p>
    <w:p w14:paraId="4E23CBF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4292121C"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1.2 Article 2: Immediate and Effective Measures</w:t>
      </w:r>
    </w:p>
    <w:p w14:paraId="78CD81DA" w14:textId="4E5498BF"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1.2.1 In 2017, the CEDAW Committee expressly recommended that Kenya adopt comprehensive legislation explicitly prohibiting intersectional discrimination, specifically protecting lesbian, bisexual, transgender, and intersex women [64].</w:t>
      </w:r>
    </w:p>
    <w:p w14:paraId="1E74C54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EFB858C" w14:textId="00C22D16"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1.2.2 The </w:t>
      </w:r>
      <w:r w:rsidRPr="000A007F">
        <w:rPr>
          <w:rFonts w:ascii="Times New Roman" w:eastAsia="Times New Roman" w:hAnsi="Times New Roman" w:cs="Times New Roman"/>
          <w:b/>
          <w:bCs/>
          <w:kern w:val="0"/>
          <w14:ligatures w14:val="none"/>
        </w:rPr>
        <w:t>Penal Code (Cap. 63)</w:t>
      </w:r>
      <w:r w:rsidRPr="000A007F">
        <w:rPr>
          <w:rFonts w:ascii="Times New Roman" w:eastAsia="Times New Roman" w:hAnsi="Times New Roman" w:cs="Times New Roman"/>
          <w:kern w:val="0"/>
          <w14:ligatures w14:val="none"/>
        </w:rPr>
        <w:t xml:space="preserve"> retains discriminatory provisions under Sections 153, 154, 156, 162, 163, 165, and 182 [16]. These provisions are weaponized by state and non-state actors to target women in marginalized trades and gender non-conforming individuals.</w:t>
      </w:r>
    </w:p>
    <w:p w14:paraId="3448601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123F47B8" w14:textId="579BF813"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1.2.3 Attempts to pass legislative reforms, including the </w:t>
      </w:r>
      <w:r w:rsidRPr="000A007F">
        <w:rPr>
          <w:rFonts w:ascii="Times New Roman" w:eastAsia="Times New Roman" w:hAnsi="Times New Roman" w:cs="Times New Roman"/>
          <w:b/>
          <w:bCs/>
          <w:kern w:val="0"/>
          <w14:ligatures w14:val="none"/>
        </w:rPr>
        <w:t>Penal Code Amendment Bill No. 56 of 2022</w:t>
      </w:r>
      <w:r w:rsidRPr="000A007F">
        <w:rPr>
          <w:rFonts w:ascii="Times New Roman" w:eastAsia="Times New Roman" w:hAnsi="Times New Roman" w:cs="Times New Roman"/>
          <w:kern w:val="0"/>
          <w14:ligatures w14:val="none"/>
        </w:rPr>
        <w:t>, which sought to decriminalize sex work, stalled due to intense political and religious pressure.</w:t>
      </w:r>
    </w:p>
    <w:p w14:paraId="1588D77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20AF1B10" w14:textId="3DBDE6D0"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1.2.4 NGEC’s National Action Plan for CEDAW lacks a SOGIESC focus. Although the Kenya National Commission on Human Rights (KNCHR) disaggregates some data on SOGIESC discrimination, it is underutilized for high-level advocacy.</w:t>
      </w:r>
    </w:p>
    <w:p w14:paraId="394C8E75"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8ADF7A5"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1.2.5 Implementation of the two-thirds gender rule remains partial, utilizing a rigid binary framework that excludes SOGIESC and other special interest groups from political participation.</w:t>
      </w:r>
    </w:p>
    <w:p w14:paraId="4502760B" w14:textId="4901F0A0"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lastRenderedPageBreak/>
        <w:t>1.3 Article 3: Elimination of Stereotypes</w:t>
      </w:r>
    </w:p>
    <w:p w14:paraId="6A7906F5"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0A775CA4" w14:textId="400CE73B"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1.3.1 </w:t>
      </w:r>
      <w:r w:rsidRPr="000A007F">
        <w:rPr>
          <w:rFonts w:ascii="Times New Roman" w:eastAsia="Times New Roman" w:hAnsi="Times New Roman" w:cs="Times New Roman"/>
          <w:b/>
          <w:bCs/>
          <w:kern w:val="0"/>
          <w14:ligatures w14:val="none"/>
        </w:rPr>
        <w:t>CoK Articles 21(3) and 43</w:t>
      </w:r>
      <w:r w:rsidRPr="000A007F">
        <w:rPr>
          <w:rFonts w:ascii="Times New Roman" w:eastAsia="Times New Roman" w:hAnsi="Times New Roman" w:cs="Times New Roman"/>
          <w:kern w:val="0"/>
          <w14:ligatures w14:val="none"/>
        </w:rPr>
        <w:t xml:space="preserve"> provide for affirmative action and socio-economic rights.</w:t>
      </w:r>
    </w:p>
    <w:p w14:paraId="4A0F906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2029AE7C" w14:textId="5224CF89"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1.3.2 The </w:t>
      </w:r>
      <w:r w:rsidRPr="000A007F">
        <w:rPr>
          <w:rFonts w:ascii="Times New Roman" w:eastAsia="Times New Roman" w:hAnsi="Times New Roman" w:cs="Times New Roman"/>
          <w:b/>
          <w:bCs/>
          <w:kern w:val="0"/>
          <w14:ligatures w14:val="none"/>
        </w:rPr>
        <w:t>Public Procurement and Asset Disposal Act (2015)</w:t>
      </w:r>
      <w:r w:rsidRPr="000A007F">
        <w:rPr>
          <w:rFonts w:ascii="Times New Roman" w:eastAsia="Times New Roman" w:hAnsi="Times New Roman" w:cs="Times New Roman"/>
          <w:kern w:val="0"/>
          <w14:ligatures w14:val="none"/>
        </w:rPr>
        <w:t xml:space="preserve"> allocates 30% of government procurement opportunities to women, youth, and persons with disabilities, though it lacks SOGIESC-inclusive targets [13].</w:t>
      </w:r>
    </w:p>
    <w:p w14:paraId="693A931C"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A1799A5" w14:textId="072A78EF"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1.3.3 The </w:t>
      </w:r>
      <w:r w:rsidRPr="000A007F">
        <w:rPr>
          <w:rFonts w:ascii="Times New Roman" w:eastAsia="Times New Roman" w:hAnsi="Times New Roman" w:cs="Times New Roman"/>
          <w:b/>
          <w:bCs/>
          <w:kern w:val="0"/>
          <w14:ligatures w14:val="none"/>
        </w:rPr>
        <w:t>National Gender Policy (Revised 2019)</w:t>
      </w:r>
      <w:r w:rsidRPr="000A007F">
        <w:rPr>
          <w:rFonts w:ascii="Times New Roman" w:eastAsia="Times New Roman" w:hAnsi="Times New Roman" w:cs="Times New Roman"/>
          <w:kern w:val="0"/>
          <w14:ligatures w14:val="none"/>
        </w:rPr>
        <w:t xml:space="preserve"> provides a framework for gender mainstreaming but excludes SOGIESC minorities.</w:t>
      </w:r>
    </w:p>
    <w:p w14:paraId="036E218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66E3D88" w14:textId="3309BE98"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1.3.4 Persistent cultural and gender stereotypes reinforce women's subordinate roles, violating obligations to promote gender equality through social transformation.</w:t>
      </w:r>
    </w:p>
    <w:p w14:paraId="17E192A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E3B8E80" w14:textId="43C4DF4C"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1.3.5 The Media Council of Kenya, the Communications Authority of Kenya, and the National Cohesion and Integration Commission (NCIC) lack regulatory codes addressing hate speech targeting SOGIESC communities. Religious doctrines continue to reinforce harmful gender norms in school curricula and public life.</w:t>
      </w:r>
    </w:p>
    <w:p w14:paraId="72B7486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4DD6CDB1" w14:textId="7C60FFBD"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1.4 Article 4: Temporary Special Measures</w:t>
      </w:r>
    </w:p>
    <w:p w14:paraId="303FE694"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449DEF9E" w14:textId="1E7D8B6B"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1.4.1 </w:t>
      </w:r>
      <w:r w:rsidRPr="000A007F">
        <w:rPr>
          <w:rFonts w:ascii="Times New Roman" w:eastAsia="Times New Roman" w:hAnsi="Times New Roman" w:cs="Times New Roman"/>
          <w:b/>
          <w:bCs/>
          <w:kern w:val="0"/>
          <w14:ligatures w14:val="none"/>
        </w:rPr>
        <w:t>CoK Articles 27(6) and 56</w:t>
      </w:r>
      <w:r w:rsidRPr="000A007F">
        <w:rPr>
          <w:rFonts w:ascii="Times New Roman" w:eastAsia="Times New Roman" w:hAnsi="Times New Roman" w:cs="Times New Roman"/>
          <w:kern w:val="0"/>
          <w14:ligatures w14:val="none"/>
        </w:rPr>
        <w:t xml:space="preserve"> allow for affirmative action framed around gender, youth, marginalized communities, and disabilities, omitting explicit inclusion of SOGIESC persons.</w:t>
      </w:r>
    </w:p>
    <w:p w14:paraId="515A3E91"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9FE64F3" w14:textId="0E1F3172"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1.4.2 National affirmative action funds (Uwezo Fund, Women Enterprise Fund, National Government Affirmative Action Fund) lack SOGIESC-inclusive eligibility criteria.</w:t>
      </w:r>
    </w:p>
    <w:p w14:paraId="5DB8A40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2F73B557" w14:textId="0F7A6510"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1.4.3 Educational policies lack targeted interventions for the inclusion, retention, and protection of SOGIESC learners [80].</w:t>
      </w:r>
    </w:p>
    <w:p w14:paraId="6583BE39"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05009636"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1.5 Article 5: Social and Cultural Patterns</w:t>
      </w:r>
    </w:p>
    <w:p w14:paraId="028F53A9" w14:textId="0A257F61"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 xml:space="preserve">1.5.1 While the </w:t>
      </w:r>
      <w:r w:rsidRPr="000A007F">
        <w:rPr>
          <w:rFonts w:ascii="Times New Roman" w:eastAsia="Times New Roman" w:hAnsi="Times New Roman" w:cs="Times New Roman"/>
          <w:b/>
          <w:bCs/>
          <w:kern w:val="0"/>
          <w14:ligatures w14:val="none"/>
        </w:rPr>
        <w:t>Children Act (2022)</w:t>
      </w:r>
      <w:r w:rsidRPr="000A007F">
        <w:rPr>
          <w:rFonts w:ascii="Times New Roman" w:eastAsia="Times New Roman" w:hAnsi="Times New Roman" w:cs="Times New Roman"/>
          <w:kern w:val="0"/>
          <w14:ligatures w14:val="none"/>
        </w:rPr>
        <w:t xml:space="preserve"> recognizes intersex children’s rights, it fails to recognize diverse family structures (e.g., children raised by same-sex or transgender parents) and lacks provisions protecting SOGIESC youth from harmful gender norms [46].</w:t>
      </w:r>
    </w:p>
    <w:p w14:paraId="5B946A9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4F893D28"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1.5.2 No legal framework explicitly bans or penalizes "conversion therapy" or harmful practices rooted in religious and cultural beliefs intended to "correct" sexual orientation or gender identity.</w:t>
      </w:r>
    </w:p>
    <w:p w14:paraId="5EFBFB4D" w14:textId="67C98E66"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1.5.3 Harmful practices such as forced wife inheritance, polygamy, and denial of equal property rights persist despite statutory prohibitions, reflecting entrenched control over women's autonomy.</w:t>
      </w:r>
    </w:p>
    <w:p w14:paraId="3A68C8B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03E4ACAA" w14:textId="60E87F93"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1.6 Article 6: Trafficking and Exploitation</w:t>
      </w:r>
    </w:p>
    <w:p w14:paraId="5273109B"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76C0BA9D" w14:textId="2350DADC"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1.6.1 The </w:t>
      </w:r>
      <w:r w:rsidRPr="000A007F">
        <w:rPr>
          <w:rFonts w:ascii="Times New Roman" w:eastAsia="Times New Roman" w:hAnsi="Times New Roman" w:cs="Times New Roman"/>
          <w:b/>
          <w:bCs/>
          <w:kern w:val="0"/>
          <w14:ligatures w14:val="none"/>
        </w:rPr>
        <w:t>Counter-Trafficking in Persons Act (2010)</w:t>
      </w:r>
      <w:r w:rsidRPr="000A007F">
        <w:rPr>
          <w:rFonts w:ascii="Times New Roman" w:eastAsia="Times New Roman" w:hAnsi="Times New Roman" w:cs="Times New Roman"/>
          <w:kern w:val="0"/>
          <w14:ligatures w14:val="none"/>
        </w:rPr>
        <w:t xml:space="preserve"> criminalizes human trafficking and supports survivors, but lacks explicit protections or intersectional vulnerability assessments for SOGIESC persons. Shelters and victim support services frequently exhibit hostility toward SOGIESC survivors.</w:t>
      </w:r>
    </w:p>
    <w:p w14:paraId="6FE8E78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5AC41677" w14:textId="55067244"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1.6.2 State services under the </w:t>
      </w:r>
      <w:r w:rsidRPr="000A007F">
        <w:rPr>
          <w:rFonts w:ascii="Times New Roman" w:eastAsia="Times New Roman" w:hAnsi="Times New Roman" w:cs="Times New Roman"/>
          <w:b/>
          <w:bCs/>
          <w:kern w:val="0"/>
          <w14:ligatures w14:val="none"/>
        </w:rPr>
        <w:t>Victim Protection Act (2013)</w:t>
      </w:r>
      <w:r w:rsidRPr="000A007F">
        <w:rPr>
          <w:rFonts w:ascii="Times New Roman" w:eastAsia="Times New Roman" w:hAnsi="Times New Roman" w:cs="Times New Roman"/>
          <w:kern w:val="0"/>
          <w14:ligatures w14:val="none"/>
        </w:rPr>
        <w:t xml:space="preserve"> are culturally unequipped to support trans, intersex, or non-binary survivors. Sex workers and SOGIESC trafficking victims are routinely denied safe housing and counseling.</w:t>
      </w:r>
    </w:p>
    <w:p w14:paraId="735A8745"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2F9EAFC5" w14:textId="730469D5"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1.6.3 The criminalization of sex work exacerbates intersecting vulnerabilities to exploitation [25].</w:t>
      </w:r>
    </w:p>
    <w:p w14:paraId="0B5D15A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5C9D88D" w14:textId="0D156D16"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1.7 Article 7: Political Participation</w:t>
      </w:r>
    </w:p>
    <w:p w14:paraId="0A06934D"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5B859E12" w14:textId="394DAE31"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1.7.1 The </w:t>
      </w:r>
      <w:r w:rsidRPr="000A007F">
        <w:rPr>
          <w:rFonts w:ascii="Times New Roman" w:eastAsia="Times New Roman" w:hAnsi="Times New Roman" w:cs="Times New Roman"/>
          <w:b/>
          <w:bCs/>
          <w:kern w:val="0"/>
          <w14:ligatures w14:val="none"/>
        </w:rPr>
        <w:t>Elections Act (2011)</w:t>
      </w:r>
      <w:r w:rsidRPr="000A007F">
        <w:rPr>
          <w:rFonts w:ascii="Times New Roman" w:eastAsia="Times New Roman" w:hAnsi="Times New Roman" w:cs="Times New Roman"/>
          <w:kern w:val="0"/>
          <w14:ligatures w14:val="none"/>
        </w:rPr>
        <w:t xml:space="preserve"> and </w:t>
      </w:r>
      <w:r w:rsidRPr="000A007F">
        <w:rPr>
          <w:rFonts w:ascii="Times New Roman" w:eastAsia="Times New Roman" w:hAnsi="Times New Roman" w:cs="Times New Roman"/>
          <w:b/>
          <w:bCs/>
          <w:kern w:val="0"/>
          <w14:ligatures w14:val="none"/>
        </w:rPr>
        <w:t>Political Parties Act (2011)</w:t>
      </w:r>
      <w:r w:rsidRPr="000A007F">
        <w:rPr>
          <w:rFonts w:ascii="Times New Roman" w:eastAsia="Times New Roman" w:hAnsi="Times New Roman" w:cs="Times New Roman"/>
          <w:kern w:val="0"/>
          <w14:ligatures w14:val="none"/>
        </w:rPr>
        <w:t xml:space="preserve"> promote women's political participation, yet the two-thirds gender rule remains unimplemented across national and county levels.</w:t>
      </w:r>
    </w:p>
    <w:p w14:paraId="742050A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300DF45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1.7.2 Political party structures lack protections against SOGIESC-based discrimination. Electoral and civic bodies (IEBC, NCIC, NGEC, Ministry of Gender) do not include SOGIESC persons in empowerment targets.</w:t>
      </w:r>
    </w:p>
    <w:p w14:paraId="2263018D" w14:textId="16C257F5"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 xml:space="preserve">1.7.3 The </w:t>
      </w:r>
      <w:r w:rsidRPr="000A007F">
        <w:rPr>
          <w:rFonts w:ascii="Times New Roman" w:eastAsia="Times New Roman" w:hAnsi="Times New Roman" w:cs="Times New Roman"/>
          <w:b/>
          <w:bCs/>
          <w:kern w:val="0"/>
          <w14:ligatures w14:val="none"/>
        </w:rPr>
        <w:t>Election Offences Act (2016)</w:t>
      </w:r>
      <w:r w:rsidRPr="000A007F">
        <w:rPr>
          <w:rFonts w:ascii="Times New Roman" w:eastAsia="Times New Roman" w:hAnsi="Times New Roman" w:cs="Times New Roman"/>
          <w:kern w:val="0"/>
          <w14:ligatures w14:val="none"/>
        </w:rPr>
        <w:t xml:space="preserve"> fails to systematically document disaggregated data on gendered political violence targeting marginalized groups.</w:t>
      </w:r>
    </w:p>
    <w:p w14:paraId="38B50448"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4B3F3931" w14:textId="1372136D"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1.8 Article 8: Participation in International and Public Life</w:t>
      </w:r>
    </w:p>
    <w:p w14:paraId="1A600B33"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5381E4C4" w14:textId="719A6BC1"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1.8.1 State diplomatic appointments reflect nominal gender quotas, but the </w:t>
      </w:r>
      <w:r w:rsidRPr="000A007F">
        <w:rPr>
          <w:rFonts w:ascii="Times New Roman" w:eastAsia="Times New Roman" w:hAnsi="Times New Roman" w:cs="Times New Roman"/>
          <w:b/>
          <w:bCs/>
          <w:kern w:val="0"/>
          <w14:ligatures w14:val="none"/>
        </w:rPr>
        <w:t>Public Service Commission (PSC) Act</w:t>
      </w:r>
      <w:r w:rsidRPr="000A007F">
        <w:rPr>
          <w:rFonts w:ascii="Times New Roman" w:eastAsia="Times New Roman" w:hAnsi="Times New Roman" w:cs="Times New Roman"/>
          <w:kern w:val="0"/>
          <w14:ligatures w14:val="none"/>
        </w:rPr>
        <w:t xml:space="preserve"> does not explicitly prohibit SOGIESC-based discrimination in public appointments.</w:t>
      </w:r>
    </w:p>
    <w:p w14:paraId="4C24CF36"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3932167C" w14:textId="3B2E2D73"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1.8.2 Although Kenya ratified CEDAW, weak domestic implementation limits the meaningful participation of marginalized subgroups in public life.</w:t>
      </w:r>
    </w:p>
    <w:p w14:paraId="75925EA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5195605F" w14:textId="0B46309F"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1.9 Article 9: Nationality and Statelessness</w:t>
      </w:r>
    </w:p>
    <w:p w14:paraId="1EC3F24B"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6A9F07BB" w14:textId="5E32F95E"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1.9.1 </w:t>
      </w:r>
      <w:r w:rsidRPr="000A007F">
        <w:rPr>
          <w:rFonts w:ascii="Times New Roman" w:eastAsia="Times New Roman" w:hAnsi="Times New Roman" w:cs="Times New Roman"/>
          <w:b/>
          <w:bCs/>
          <w:kern w:val="0"/>
          <w14:ligatures w14:val="none"/>
        </w:rPr>
        <w:t>CoK Articles 14 and 16</w:t>
      </w:r>
      <w:r w:rsidRPr="000A007F">
        <w:rPr>
          <w:rFonts w:ascii="Times New Roman" w:eastAsia="Times New Roman" w:hAnsi="Times New Roman" w:cs="Times New Roman"/>
          <w:kern w:val="0"/>
          <w14:ligatures w14:val="none"/>
        </w:rPr>
        <w:t xml:space="preserve"> guarantee equal rights to acquire and pass on nationality.</w:t>
      </w:r>
    </w:p>
    <w:p w14:paraId="649567FC"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1F88E5C" w14:textId="52C30A68"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1.9.2 The </w:t>
      </w:r>
      <w:r w:rsidRPr="000A007F">
        <w:rPr>
          <w:rFonts w:ascii="Times New Roman" w:eastAsia="Times New Roman" w:hAnsi="Times New Roman" w:cs="Times New Roman"/>
          <w:b/>
          <w:bCs/>
          <w:kern w:val="0"/>
          <w14:ligatures w14:val="none"/>
        </w:rPr>
        <w:t>Registration of Persons Act</w:t>
      </w:r>
      <w:r w:rsidRPr="000A007F">
        <w:rPr>
          <w:rFonts w:ascii="Times New Roman" w:eastAsia="Times New Roman" w:hAnsi="Times New Roman" w:cs="Times New Roman"/>
          <w:kern w:val="0"/>
          <w14:ligatures w14:val="none"/>
        </w:rPr>
        <w:t xml:space="preserve"> and </w:t>
      </w:r>
      <w:r w:rsidRPr="000A007F">
        <w:rPr>
          <w:rFonts w:ascii="Times New Roman" w:eastAsia="Times New Roman" w:hAnsi="Times New Roman" w:cs="Times New Roman"/>
          <w:b/>
          <w:bCs/>
          <w:kern w:val="0"/>
          <w14:ligatures w14:val="none"/>
        </w:rPr>
        <w:t>Kenya Citizenship and Immigration Act</w:t>
      </w:r>
      <w:r w:rsidRPr="000A007F">
        <w:rPr>
          <w:rFonts w:ascii="Times New Roman" w:eastAsia="Times New Roman" w:hAnsi="Times New Roman" w:cs="Times New Roman"/>
          <w:kern w:val="0"/>
          <w14:ligatures w14:val="none"/>
        </w:rPr>
        <w:t xml:space="preserve"> lack anti-discrimination protections for transgender and gender-diverse persons.</w:t>
      </w:r>
    </w:p>
    <w:p w14:paraId="1F732C26"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677A622B" w14:textId="207164A8"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1.9.3 The </w:t>
      </w:r>
      <w:r w:rsidRPr="000A007F">
        <w:rPr>
          <w:rFonts w:ascii="Times New Roman" w:eastAsia="Times New Roman" w:hAnsi="Times New Roman" w:cs="Times New Roman"/>
          <w:b/>
          <w:bCs/>
          <w:kern w:val="0"/>
          <w14:ligatures w14:val="none"/>
        </w:rPr>
        <w:t>Refugees Act (2021)</w:t>
      </w:r>
      <w:r w:rsidRPr="000A007F">
        <w:rPr>
          <w:rFonts w:ascii="Times New Roman" w:eastAsia="Times New Roman" w:hAnsi="Times New Roman" w:cs="Times New Roman"/>
          <w:kern w:val="0"/>
          <w14:ligatures w14:val="none"/>
        </w:rPr>
        <w:t xml:space="preserve"> fails to explicitly recognize SOGIESC orientation or sex work as grounds for asylum protection [47].</w:t>
      </w:r>
    </w:p>
    <w:p w14:paraId="392F330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5D150A79" w14:textId="62C4B37C"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1.9.4 While administrative name changes via deed poll are permitted, Kenyan law lacks a statutory basis to alter gender markers on official identity documents for trans and gender-diverse persons.</w:t>
      </w:r>
    </w:p>
    <w:p w14:paraId="2F267B2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0B3FB1A8" w14:textId="724E8E15"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1.10 Article 10: Education</w:t>
      </w:r>
    </w:p>
    <w:p w14:paraId="4AADA773"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258F2A83" w14:textId="02FDCF4E"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1.10.1 The </w:t>
      </w:r>
      <w:r w:rsidRPr="000A007F">
        <w:rPr>
          <w:rFonts w:ascii="Times New Roman" w:eastAsia="Times New Roman" w:hAnsi="Times New Roman" w:cs="Times New Roman"/>
          <w:b/>
          <w:bCs/>
          <w:kern w:val="0"/>
          <w14:ligatures w14:val="none"/>
        </w:rPr>
        <w:t>Basic Education Act (2013)</w:t>
      </w:r>
      <w:r w:rsidRPr="000A007F">
        <w:rPr>
          <w:rFonts w:ascii="Times New Roman" w:eastAsia="Times New Roman" w:hAnsi="Times New Roman" w:cs="Times New Roman"/>
          <w:kern w:val="0"/>
          <w14:ligatures w14:val="none"/>
        </w:rPr>
        <w:t xml:space="preserve"> guarantees free, compulsory education and prohibits discrimination, but omits SOGIESC as a protected category.</w:t>
      </w:r>
    </w:p>
    <w:p w14:paraId="5E06A5B9"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005EAB13" w14:textId="40108180"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1.10.2 The Kenya Institute of Curriculum Development (KICD) framework fails to provide comprehensive, inclusive sexuality education (CSE).</w:t>
      </w:r>
    </w:p>
    <w:p w14:paraId="5444ED6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4AD5B651" w14:textId="73557E4F"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1.10.3 The Basic Education Act and Children Act (2022) are commended for supporting equal educational access for boys, girls, and intersex children [46].</w:t>
      </w:r>
    </w:p>
    <w:p w14:paraId="31DB856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03C02709" w14:textId="4D988446"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1.10.4 The </w:t>
      </w:r>
      <w:r w:rsidRPr="000A007F">
        <w:rPr>
          <w:rFonts w:ascii="Times New Roman" w:eastAsia="Times New Roman" w:hAnsi="Times New Roman" w:cs="Times New Roman"/>
          <w:b/>
          <w:bCs/>
          <w:kern w:val="0"/>
          <w14:ligatures w14:val="none"/>
        </w:rPr>
        <w:t>Kenya School Health Policy (2018)</w:t>
      </w:r>
      <w:r w:rsidRPr="000A007F">
        <w:rPr>
          <w:rFonts w:ascii="Times New Roman" w:eastAsia="Times New Roman" w:hAnsi="Times New Roman" w:cs="Times New Roman"/>
          <w:kern w:val="0"/>
          <w14:ligatures w14:val="none"/>
        </w:rPr>
        <w:t xml:space="preserve"> supports re-entry policies for adolescent mothers and menstrual hygiene management, though socio-cultural barriers persist [80].</w:t>
      </w:r>
    </w:p>
    <w:p w14:paraId="6F17477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7DA62B74" w14:textId="6B1CCE55"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1.11 Article 11: Employment and Economic Life</w:t>
      </w:r>
    </w:p>
    <w:p w14:paraId="4B247EB3"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6ADE0144" w14:textId="521D818D"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1.11.1 Kenya's </w:t>
      </w:r>
      <w:r w:rsidRPr="000A007F">
        <w:rPr>
          <w:rFonts w:ascii="Times New Roman" w:eastAsia="Times New Roman" w:hAnsi="Times New Roman" w:cs="Times New Roman"/>
          <w:b/>
          <w:bCs/>
          <w:kern w:val="0"/>
          <w14:ligatures w14:val="none"/>
        </w:rPr>
        <w:t>Employment Act (2007)</w:t>
      </w:r>
      <w:r w:rsidRPr="000A007F">
        <w:rPr>
          <w:rFonts w:ascii="Times New Roman" w:eastAsia="Times New Roman" w:hAnsi="Times New Roman" w:cs="Times New Roman"/>
          <w:kern w:val="0"/>
          <w14:ligatures w14:val="none"/>
        </w:rPr>
        <w:t xml:space="preserve"> prohibits sex-based discrimination but omits sexual orientation and gender identity, leaving SOGIESC minorities vulnerable to workplace abuse and wrongful dismissal without legal recourse [42].</w:t>
      </w:r>
    </w:p>
    <w:p w14:paraId="50FFE6F9"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61E37EEB" w14:textId="044CB5C1"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1.11.2 Kenya has not ratified </w:t>
      </w:r>
      <w:r w:rsidRPr="000A007F">
        <w:rPr>
          <w:rFonts w:ascii="Times New Roman" w:eastAsia="Times New Roman" w:hAnsi="Times New Roman" w:cs="Times New Roman"/>
          <w:b/>
          <w:bCs/>
          <w:kern w:val="0"/>
          <w14:ligatures w14:val="none"/>
        </w:rPr>
        <w:t>ILO Convention No. 190</w:t>
      </w:r>
      <w:r w:rsidRPr="000A007F">
        <w:rPr>
          <w:rFonts w:ascii="Times New Roman" w:eastAsia="Times New Roman" w:hAnsi="Times New Roman" w:cs="Times New Roman"/>
          <w:kern w:val="0"/>
          <w14:ligatures w14:val="none"/>
        </w:rPr>
        <w:t xml:space="preserve"> (Violence and Harassment Convention, 2019), perpetuating systemic workplace violence and structural impunity against SOGIESC populations.</w:t>
      </w:r>
    </w:p>
    <w:p w14:paraId="0DE551A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6F88E8E4" w14:textId="317B4C44"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1.12 Article 12: Health and Family Planning</w:t>
      </w:r>
    </w:p>
    <w:p w14:paraId="62298E30"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725B65C4" w14:textId="6F40BE32"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1.12.1 The </w:t>
      </w:r>
      <w:r w:rsidRPr="000A007F">
        <w:rPr>
          <w:rFonts w:ascii="Times New Roman" w:eastAsia="Times New Roman" w:hAnsi="Times New Roman" w:cs="Times New Roman"/>
          <w:b/>
          <w:bCs/>
          <w:kern w:val="0"/>
          <w14:ligatures w14:val="none"/>
        </w:rPr>
        <w:t>Health Act (2017)</w:t>
      </w:r>
      <w:r w:rsidRPr="000A007F">
        <w:rPr>
          <w:rFonts w:ascii="Times New Roman" w:eastAsia="Times New Roman" w:hAnsi="Times New Roman" w:cs="Times New Roman"/>
          <w:kern w:val="0"/>
          <w14:ligatures w14:val="none"/>
        </w:rPr>
        <w:t xml:space="preserve"> enshrines reproductive health rights and mandates gender-sensitive services, but fails to explicitly protect SOGIESC persons or sex workers, resulting in systemic healthcare exclusion [31].</w:t>
      </w:r>
    </w:p>
    <w:p w14:paraId="21CD808C"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375C029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1.12.2 The implementation of the </w:t>
      </w:r>
      <w:r w:rsidRPr="000A007F">
        <w:rPr>
          <w:rFonts w:ascii="Times New Roman" w:eastAsia="Times New Roman" w:hAnsi="Times New Roman" w:cs="Times New Roman"/>
          <w:b/>
          <w:bCs/>
          <w:kern w:val="0"/>
          <w14:ligatures w14:val="none"/>
        </w:rPr>
        <w:t>Social Health Authority (SHA)</w:t>
      </w:r>
      <w:r w:rsidRPr="000A007F">
        <w:rPr>
          <w:rFonts w:ascii="Times New Roman" w:eastAsia="Times New Roman" w:hAnsi="Times New Roman" w:cs="Times New Roman"/>
          <w:kern w:val="0"/>
          <w14:ligatures w14:val="none"/>
        </w:rPr>
        <w:t xml:space="preserve"> creates severe barriers for transgender and gender-diverse (TGD) persons due to mandatory national ID verification linked to a rigid binary gender system. Furthermore, primary healthcare facilities lack SOGIESC-sensitive training, and informal economy workers face structural hurdles complying with mandatory contribution models.</w:t>
      </w:r>
    </w:p>
    <w:p w14:paraId="5FDD4F53" w14:textId="63C9426A"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 xml:space="preserve">1.12.3 The pending </w:t>
      </w:r>
      <w:r w:rsidRPr="000A007F">
        <w:rPr>
          <w:rFonts w:ascii="Times New Roman" w:eastAsia="Times New Roman" w:hAnsi="Times New Roman" w:cs="Times New Roman"/>
          <w:b/>
          <w:bCs/>
          <w:kern w:val="0"/>
          <w14:ligatures w14:val="none"/>
        </w:rPr>
        <w:t>Reproductive Healthcare Bill (2019)</w:t>
      </w:r>
      <w:r w:rsidRPr="000A007F">
        <w:rPr>
          <w:rFonts w:ascii="Times New Roman" w:eastAsia="Times New Roman" w:hAnsi="Times New Roman" w:cs="Times New Roman"/>
          <w:kern w:val="0"/>
          <w14:ligatures w14:val="none"/>
        </w:rPr>
        <w:t xml:space="preserve"> and the </w:t>
      </w:r>
      <w:r w:rsidRPr="000A007F">
        <w:rPr>
          <w:rFonts w:ascii="Times New Roman" w:eastAsia="Times New Roman" w:hAnsi="Times New Roman" w:cs="Times New Roman"/>
          <w:b/>
          <w:bCs/>
          <w:kern w:val="0"/>
          <w14:ligatures w14:val="none"/>
        </w:rPr>
        <w:t>Assisted Reproductive Technology (ART) Bill (2022)</w:t>
      </w:r>
      <w:r w:rsidRPr="000A007F">
        <w:rPr>
          <w:rFonts w:ascii="Times New Roman" w:eastAsia="Times New Roman" w:hAnsi="Times New Roman" w:cs="Times New Roman"/>
          <w:kern w:val="0"/>
          <w14:ligatures w14:val="none"/>
        </w:rPr>
        <w:t xml:space="preserve"> utilize heteronormative definitions of "family" and "couple," structurally excluding LBQTI+ persons and sex workers from family formation rights.</w:t>
      </w:r>
    </w:p>
    <w:p w14:paraId="3B05C841"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4838FA85" w14:textId="7F5933CC"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1.12.4 National Family Planning 2030 commitments suffer from chronic financing shortfalls and commodity stockouts.</w:t>
      </w:r>
    </w:p>
    <w:p w14:paraId="1C250D8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4CEF9236" w14:textId="54859830"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1.12.5 The </w:t>
      </w:r>
      <w:r w:rsidRPr="000A007F">
        <w:rPr>
          <w:rFonts w:ascii="Times New Roman" w:eastAsia="Times New Roman" w:hAnsi="Times New Roman" w:cs="Times New Roman"/>
          <w:b/>
          <w:bCs/>
          <w:kern w:val="0"/>
          <w14:ligatures w14:val="none"/>
        </w:rPr>
        <w:t>HIV and AIDS Prevention and Control Act (2006)</w:t>
      </w:r>
      <w:r w:rsidRPr="000A007F">
        <w:rPr>
          <w:rFonts w:ascii="Times New Roman" w:eastAsia="Times New Roman" w:hAnsi="Times New Roman" w:cs="Times New Roman"/>
          <w:kern w:val="0"/>
          <w14:ligatures w14:val="none"/>
        </w:rPr>
        <w:t xml:space="preserve"> protects individuals based on HIV status, but implementation is inconsistent. Ministry of Health Key Population guidelines recognize men who have sex with men and transgender individuals from a public health lens, but LBQ women and intersex persons remain largely omitted from frameworks such as the Kenya AIDS Strategic Framework (KASF II) [19, 20].</w:t>
      </w:r>
    </w:p>
    <w:p w14:paraId="242C4B98"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1DC90FEA" w14:textId="525CDE1C"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1.13 Article 13: Economic and Social Life</w:t>
      </w:r>
    </w:p>
    <w:p w14:paraId="4FC1B47C"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457445DF" w14:textId="5535CA7E"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1.13.1 State-run economic empowerment initiatives—including AGPO, the Youth, Women and Persons with Disabilities Fund, the Social Protection Policy, and the Inua Jamii Programme—are not SOGIESC-inclusive.</w:t>
      </w:r>
    </w:p>
    <w:p w14:paraId="0BA62EA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18A948E4" w14:textId="0157645B"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1.13.2 The </w:t>
      </w:r>
      <w:r w:rsidRPr="000A007F">
        <w:rPr>
          <w:rFonts w:ascii="Times New Roman" w:eastAsia="Times New Roman" w:hAnsi="Times New Roman" w:cs="Times New Roman"/>
          <w:b/>
          <w:bCs/>
          <w:kern w:val="0"/>
          <w14:ligatures w14:val="none"/>
        </w:rPr>
        <w:t>Public Finance Management Act (2012)</w:t>
      </w:r>
      <w:r w:rsidRPr="000A007F">
        <w:rPr>
          <w:rFonts w:ascii="Times New Roman" w:eastAsia="Times New Roman" w:hAnsi="Times New Roman" w:cs="Times New Roman"/>
          <w:kern w:val="0"/>
          <w14:ligatures w14:val="none"/>
        </w:rPr>
        <w:t xml:space="preserve"> promotes gender-responsive budgeting, yet budgetary allocations fail to account for SOGIESC minorities.</w:t>
      </w:r>
    </w:p>
    <w:p w14:paraId="10B19B5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315E143E" w14:textId="08A095B3"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1.14 Article 14: Rural Women</w:t>
      </w:r>
    </w:p>
    <w:p w14:paraId="139BAB24"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013B57F5" w14:textId="56013B43"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1.14.1 Under Universal Health Coverage (UHC) and the </w:t>
      </w:r>
      <w:r w:rsidRPr="000A007F">
        <w:rPr>
          <w:rFonts w:ascii="Times New Roman" w:eastAsia="Times New Roman" w:hAnsi="Times New Roman" w:cs="Times New Roman"/>
          <w:b/>
          <w:bCs/>
          <w:kern w:val="0"/>
          <w14:ligatures w14:val="none"/>
        </w:rPr>
        <w:t>Community Health Policy (2020–2030)</w:t>
      </w:r>
      <w:r w:rsidRPr="000A007F">
        <w:rPr>
          <w:rFonts w:ascii="Times New Roman" w:eastAsia="Times New Roman" w:hAnsi="Times New Roman" w:cs="Times New Roman"/>
          <w:kern w:val="0"/>
          <w14:ligatures w14:val="none"/>
        </w:rPr>
        <w:t>, rural healthcare workers frequently display discriminatory attitudes, resulting in the denial of services to SOGIESC individuals.</w:t>
      </w:r>
    </w:p>
    <w:p w14:paraId="084B5DDC"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5CAA05C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1.14.2 The </w:t>
      </w:r>
      <w:r w:rsidRPr="000A007F">
        <w:rPr>
          <w:rFonts w:ascii="Times New Roman" w:eastAsia="Times New Roman" w:hAnsi="Times New Roman" w:cs="Times New Roman"/>
          <w:b/>
          <w:bCs/>
          <w:kern w:val="0"/>
          <w14:ligatures w14:val="none"/>
        </w:rPr>
        <w:t>Agricultural Sector Transformation and Growth Strategy (ASTGS, 2019–2029)</w:t>
      </w:r>
      <w:r w:rsidRPr="000A007F">
        <w:rPr>
          <w:rFonts w:ascii="Times New Roman" w:eastAsia="Times New Roman" w:hAnsi="Times New Roman" w:cs="Times New Roman"/>
          <w:kern w:val="0"/>
          <w14:ligatures w14:val="none"/>
        </w:rPr>
        <w:t xml:space="preserve"> focuses on women's inclusion but excludes SOGIESC rural workers.</w:t>
      </w:r>
    </w:p>
    <w:p w14:paraId="01AC90D8" w14:textId="4E5C7AEA"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1.14.3 Statutory land laws (Land Act 2012, Law of Succession Act Cap 160, Matrimonial Property Act 2013) operate on heteronormative assumptions, while patriarchal customary practices dominate rural land ownership, compounding marginalization for gender-diverse persons.</w:t>
      </w:r>
    </w:p>
    <w:p w14:paraId="4CE4537A"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543D5C79" w14:textId="6E633B72" w:rsid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1.15 Article 15: Equality Before the Law</w:t>
      </w:r>
    </w:p>
    <w:p w14:paraId="6FEC733B"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p w14:paraId="51117C07" w14:textId="5D0D9126"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1.15.1 </w:t>
      </w:r>
      <w:r w:rsidRPr="000A007F">
        <w:rPr>
          <w:rFonts w:ascii="Times New Roman" w:eastAsia="Times New Roman" w:hAnsi="Times New Roman" w:cs="Times New Roman"/>
          <w:b/>
          <w:bCs/>
          <w:kern w:val="0"/>
          <w14:ligatures w14:val="none"/>
        </w:rPr>
        <w:t>CoK Article 27</w:t>
      </w:r>
      <w:r w:rsidRPr="000A007F">
        <w:rPr>
          <w:rFonts w:ascii="Times New Roman" w:eastAsia="Times New Roman" w:hAnsi="Times New Roman" w:cs="Times New Roman"/>
          <w:kern w:val="0"/>
          <w14:ligatures w14:val="none"/>
        </w:rPr>
        <w:t xml:space="preserve"> establishes the fundamental right to equality and freedom from discrimination. While Article 27(4) contains an open-ended non-discrimination clause utilized by courts to advance SOGIESC rights, systemic barriers—criminalization, social vetting, and economic exclusion—severely impair access to justice under Article 48.</w:t>
      </w:r>
    </w:p>
    <w:p w14:paraId="6C863C3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p>
    <w:p w14:paraId="26D002DE" w14:textId="54692790"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1.15.2 The </w:t>
      </w:r>
      <w:r w:rsidRPr="000A007F">
        <w:rPr>
          <w:rFonts w:ascii="Times New Roman" w:eastAsia="Times New Roman" w:hAnsi="Times New Roman" w:cs="Times New Roman"/>
          <w:b/>
          <w:bCs/>
          <w:kern w:val="0"/>
          <w14:ligatures w14:val="none"/>
        </w:rPr>
        <w:t>Legal Aid Act (2016)</w:t>
      </w:r>
      <w:r w:rsidRPr="000A007F">
        <w:rPr>
          <w:rFonts w:ascii="Times New Roman" w:eastAsia="Times New Roman" w:hAnsi="Times New Roman" w:cs="Times New Roman"/>
          <w:kern w:val="0"/>
          <w14:ligatures w14:val="none"/>
        </w:rPr>
        <w:t xml:space="preserve"> ensures representation for vulnerable groups, but fails to formally categorize SOGIESC minorities as eligible beneficiaries.</w:t>
      </w:r>
    </w:p>
    <w:p w14:paraId="611FA6B6" w14:textId="77777777" w:rsidR="0060348A" w:rsidRPr="000A007F" w:rsidRDefault="0060348A" w:rsidP="000A007F">
      <w:pPr>
        <w:spacing w:after="0" w:line="360" w:lineRule="auto"/>
        <w:jc w:val="both"/>
        <w:rPr>
          <w:rFonts w:ascii="Times New Roman" w:eastAsia="Times New Roman" w:hAnsi="Times New Roman" w:cs="Times New Roman"/>
          <w:kern w:val="0"/>
          <w14:ligatures w14:val="none"/>
        </w:rPr>
      </w:pPr>
    </w:p>
    <w:p w14:paraId="150ACED3" w14:textId="164B876F"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1.15.3 The </w:t>
      </w:r>
      <w:r w:rsidRPr="000A007F">
        <w:rPr>
          <w:rFonts w:ascii="Times New Roman" w:eastAsia="Times New Roman" w:hAnsi="Times New Roman" w:cs="Times New Roman"/>
          <w:b/>
          <w:bCs/>
          <w:kern w:val="0"/>
          <w14:ligatures w14:val="none"/>
        </w:rPr>
        <w:t>Sexual Offences Act (2006)</w:t>
      </w:r>
      <w:r w:rsidRPr="000A007F">
        <w:rPr>
          <w:rFonts w:ascii="Times New Roman" w:eastAsia="Times New Roman" w:hAnsi="Times New Roman" w:cs="Times New Roman"/>
          <w:kern w:val="0"/>
          <w14:ligatures w14:val="none"/>
        </w:rPr>
        <w:t xml:space="preserve"> provides remedies for sexual violence survivors, but its application remains skewed by intersecting prejudices.</w:t>
      </w:r>
    </w:p>
    <w:p w14:paraId="6A9775B4" w14:textId="77777777" w:rsidR="0060348A" w:rsidRPr="000A007F" w:rsidRDefault="0060348A" w:rsidP="000A007F">
      <w:pPr>
        <w:spacing w:after="0" w:line="360" w:lineRule="auto"/>
        <w:jc w:val="both"/>
        <w:rPr>
          <w:rFonts w:ascii="Times New Roman" w:eastAsia="Times New Roman" w:hAnsi="Times New Roman" w:cs="Times New Roman"/>
          <w:kern w:val="0"/>
          <w14:ligatures w14:val="none"/>
        </w:rPr>
      </w:pPr>
    </w:p>
    <w:p w14:paraId="5AAD35C4"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1.16 Article 16: Marriage and Family Life</w:t>
      </w:r>
    </w:p>
    <w:p w14:paraId="41F4741F" w14:textId="4F8B6610" w:rsid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1.16.1 The </w:t>
      </w:r>
      <w:r w:rsidRPr="000A007F">
        <w:rPr>
          <w:rFonts w:ascii="Times New Roman" w:eastAsia="Times New Roman" w:hAnsi="Times New Roman" w:cs="Times New Roman"/>
          <w:b/>
          <w:bCs/>
          <w:kern w:val="0"/>
          <w14:ligatures w14:val="none"/>
        </w:rPr>
        <w:t>Matrimonial Property Act (2013)</w:t>
      </w:r>
      <w:r w:rsidRPr="000A007F">
        <w:rPr>
          <w:rFonts w:ascii="Times New Roman" w:eastAsia="Times New Roman" w:hAnsi="Times New Roman" w:cs="Times New Roman"/>
          <w:kern w:val="0"/>
          <w14:ligatures w14:val="none"/>
        </w:rPr>
        <w:t xml:space="preserve"> recognizes non-monetary contributions but excludes ancestral land. Heteronormative customary marriages and the absence of legal recognition for same-sex unions violate CEDAW mandates, denying SOGIESC persons rights to family life, inheritance, and social security.</w:t>
      </w:r>
    </w:p>
    <w:p w14:paraId="31D74E54" w14:textId="77777777" w:rsidR="0060348A" w:rsidRPr="000A007F" w:rsidRDefault="0060348A" w:rsidP="000A007F">
      <w:pPr>
        <w:spacing w:after="0" w:line="360" w:lineRule="auto"/>
        <w:jc w:val="both"/>
        <w:rPr>
          <w:rFonts w:ascii="Times New Roman" w:eastAsia="Times New Roman" w:hAnsi="Times New Roman" w:cs="Times New Roman"/>
          <w:kern w:val="0"/>
          <w14:ligatures w14:val="none"/>
        </w:rPr>
      </w:pPr>
    </w:p>
    <w:p w14:paraId="5A17B3E2" w14:textId="766009AF" w:rsidR="000A007F" w:rsidRPr="0060348A" w:rsidRDefault="000A007F" w:rsidP="0060348A">
      <w:pPr>
        <w:pStyle w:val="ListParagraph"/>
        <w:numPr>
          <w:ilvl w:val="1"/>
          <w:numId w:val="38"/>
        </w:numPr>
        <w:spacing w:after="0" w:line="360" w:lineRule="auto"/>
        <w:jc w:val="both"/>
        <w:outlineLvl w:val="1"/>
        <w:rPr>
          <w:rFonts w:ascii="Times New Roman" w:eastAsia="Times New Roman" w:hAnsi="Times New Roman" w:cs="Times New Roman"/>
          <w:b/>
          <w:bCs/>
          <w:kern w:val="0"/>
          <w14:ligatures w14:val="none"/>
        </w:rPr>
      </w:pPr>
      <w:r w:rsidRPr="0060348A">
        <w:rPr>
          <w:rFonts w:ascii="Times New Roman" w:eastAsia="Times New Roman" w:hAnsi="Times New Roman" w:cs="Times New Roman"/>
          <w:b/>
          <w:bCs/>
          <w:kern w:val="0"/>
          <w14:ligatures w14:val="none"/>
        </w:rPr>
        <w:t>RECOMMENDATIONS TO THE STATE PARTY</w:t>
      </w:r>
    </w:p>
    <w:p w14:paraId="7F478902" w14:textId="77777777" w:rsidR="0060348A" w:rsidRPr="0060348A" w:rsidRDefault="0060348A" w:rsidP="0060348A">
      <w:pPr>
        <w:pStyle w:val="ListParagraph"/>
        <w:spacing w:after="0" w:line="360" w:lineRule="auto"/>
        <w:ind w:left="360"/>
        <w:jc w:val="both"/>
        <w:outlineLvl w:val="1"/>
        <w:rPr>
          <w:rFonts w:ascii="Times New Roman" w:eastAsia="Times New Roman" w:hAnsi="Times New Roman" w:cs="Times New Roman"/>
          <w:b/>
          <w:bCs/>
          <w:kern w:val="0"/>
          <w14:ligatures w14:val="none"/>
        </w:rPr>
      </w:pPr>
    </w:p>
    <w:p w14:paraId="5A5CD126" w14:textId="38176298" w:rsidR="000A007F" w:rsidRPr="0060348A" w:rsidRDefault="000A007F" w:rsidP="0060348A">
      <w:pPr>
        <w:pStyle w:val="ListParagraph"/>
        <w:numPr>
          <w:ilvl w:val="0"/>
          <w:numId w:val="39"/>
        </w:numPr>
        <w:spacing w:after="0" w:line="360" w:lineRule="auto"/>
        <w:jc w:val="both"/>
        <w:outlineLvl w:val="2"/>
        <w:rPr>
          <w:rFonts w:ascii="Times New Roman" w:eastAsia="Times New Roman" w:hAnsi="Times New Roman" w:cs="Times New Roman"/>
          <w:b/>
          <w:bCs/>
          <w:kern w:val="0"/>
          <w14:ligatures w14:val="none"/>
        </w:rPr>
      </w:pPr>
      <w:r w:rsidRPr="0060348A">
        <w:rPr>
          <w:rFonts w:ascii="Times New Roman" w:eastAsia="Times New Roman" w:hAnsi="Times New Roman" w:cs="Times New Roman"/>
          <w:b/>
          <w:bCs/>
          <w:kern w:val="0"/>
          <w14:ligatures w14:val="none"/>
        </w:rPr>
        <w:t>Legal Reform</w:t>
      </w:r>
    </w:p>
    <w:p w14:paraId="2AA93307" w14:textId="77777777" w:rsidR="0060348A" w:rsidRPr="0060348A" w:rsidRDefault="0060348A" w:rsidP="0060348A">
      <w:pPr>
        <w:pStyle w:val="ListParagraph"/>
        <w:spacing w:after="0" w:line="360" w:lineRule="auto"/>
        <w:jc w:val="both"/>
        <w:outlineLvl w:val="2"/>
        <w:rPr>
          <w:rFonts w:ascii="Times New Roman" w:eastAsia="Times New Roman" w:hAnsi="Times New Roman" w:cs="Times New Roman"/>
          <w:b/>
          <w:bCs/>
          <w:kern w:val="0"/>
          <w14:ligatures w14:val="none"/>
        </w:rPr>
      </w:pPr>
    </w:p>
    <w:p w14:paraId="35D075CC" w14:textId="77777777" w:rsidR="000A007F" w:rsidRPr="000A007F" w:rsidRDefault="000A007F" w:rsidP="000A007F">
      <w:pPr>
        <w:numPr>
          <w:ilvl w:val="0"/>
          <w:numId w:val="31"/>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Decolonization of Penal Statutes:</w:t>
      </w:r>
      <w:r w:rsidRPr="000A007F">
        <w:rPr>
          <w:rFonts w:ascii="Times New Roman" w:eastAsia="Times New Roman" w:hAnsi="Times New Roman" w:cs="Times New Roman"/>
          <w:kern w:val="0"/>
          <w14:ligatures w14:val="none"/>
        </w:rPr>
        <w:t xml:space="preserve"> Repeal or substantially amend Sections 153, 154, 156, 162, 163, 165, and 182 of the Penal Code to eliminate gender-based discrimination, halt police harassment, and align national laws with international human rights obligations [16].</w:t>
      </w:r>
    </w:p>
    <w:p w14:paraId="1943E888" w14:textId="334C2D96" w:rsidR="000A007F" w:rsidRDefault="000A007F" w:rsidP="000A007F">
      <w:pPr>
        <w:numPr>
          <w:ilvl w:val="0"/>
          <w:numId w:val="31"/>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lastRenderedPageBreak/>
        <w:t>Comprehensive Anti-Discrimination Legislation:</w:t>
      </w:r>
      <w:r w:rsidRPr="000A007F">
        <w:rPr>
          <w:rFonts w:ascii="Times New Roman" w:eastAsia="Times New Roman" w:hAnsi="Times New Roman" w:cs="Times New Roman"/>
          <w:kern w:val="0"/>
          <w14:ligatures w14:val="none"/>
        </w:rPr>
        <w:t xml:space="preserve"> Enact evidence-based legislation explicitly prohibiting intersectional discrimination against all persons across all settings, with specific protections for LBQTI women and sex workers [64].</w:t>
      </w:r>
    </w:p>
    <w:p w14:paraId="0C7DB307"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5D3C5F94" w14:textId="4D49DDB9" w:rsidR="000A007F" w:rsidRDefault="000A007F" w:rsidP="000A007F">
      <w:pPr>
        <w:numPr>
          <w:ilvl w:val="0"/>
          <w:numId w:val="31"/>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Legal Gender Recognition (LGR):</w:t>
      </w:r>
      <w:r w:rsidRPr="000A007F">
        <w:rPr>
          <w:rFonts w:ascii="Times New Roman" w:eastAsia="Times New Roman" w:hAnsi="Times New Roman" w:cs="Times New Roman"/>
          <w:kern w:val="0"/>
          <w14:ligatures w14:val="none"/>
        </w:rPr>
        <w:t xml:space="preserve"> Reform civil registration and vital statistics (CRVS) processes under the Births and Deaths Registration Act and Registration of Persons Act to establish accessible administrative procedures for legal gender recognition for transgender and intersex individuals [4].</w:t>
      </w:r>
    </w:p>
    <w:p w14:paraId="25CBD54E"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702B971D" w14:textId="288BF423" w:rsidR="000A007F" w:rsidRDefault="000A007F" w:rsidP="000A007F">
      <w:pPr>
        <w:numPr>
          <w:ilvl w:val="0"/>
          <w:numId w:val="31"/>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Recognition of Diverse Partnerships:</w:t>
      </w:r>
      <w:r w:rsidRPr="000A007F">
        <w:rPr>
          <w:rFonts w:ascii="Times New Roman" w:eastAsia="Times New Roman" w:hAnsi="Times New Roman" w:cs="Times New Roman"/>
          <w:kern w:val="0"/>
          <w14:ligatures w14:val="none"/>
        </w:rPr>
        <w:t xml:space="preserve"> Amend the Marriage Act and immigration statutes to recognize non-binary and same-sex partnerships, guaranteeing equal legal protections regarding inheritance, property, and shared parenthood.</w:t>
      </w:r>
    </w:p>
    <w:p w14:paraId="1C21B597"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53513862" w14:textId="38E3F689" w:rsidR="000A007F" w:rsidRDefault="000A007F" w:rsidP="000A007F">
      <w:pPr>
        <w:numPr>
          <w:ilvl w:val="0"/>
          <w:numId w:val="31"/>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Civic Space Protection:</w:t>
      </w:r>
      <w:r w:rsidRPr="000A007F">
        <w:rPr>
          <w:rFonts w:ascii="Times New Roman" w:eastAsia="Times New Roman" w:hAnsi="Times New Roman" w:cs="Times New Roman"/>
          <w:kern w:val="0"/>
          <w14:ligatures w14:val="none"/>
        </w:rPr>
        <w:t xml:space="preserve"> Protect the rights to freedom of association, assembly, and expression for civil society organizations and human rights defenders working on SOGIESC issues.</w:t>
      </w:r>
    </w:p>
    <w:p w14:paraId="1C75B785"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6DECE363" w14:textId="52358513" w:rsidR="000A007F" w:rsidRPr="0060348A" w:rsidRDefault="000A007F" w:rsidP="0060348A">
      <w:pPr>
        <w:pStyle w:val="ListParagraph"/>
        <w:numPr>
          <w:ilvl w:val="0"/>
          <w:numId w:val="39"/>
        </w:numPr>
        <w:spacing w:after="0" w:line="360" w:lineRule="auto"/>
        <w:jc w:val="both"/>
        <w:outlineLvl w:val="2"/>
        <w:rPr>
          <w:rFonts w:ascii="Times New Roman" w:eastAsia="Times New Roman" w:hAnsi="Times New Roman" w:cs="Times New Roman"/>
          <w:b/>
          <w:bCs/>
          <w:kern w:val="0"/>
          <w14:ligatures w14:val="none"/>
        </w:rPr>
      </w:pPr>
      <w:r w:rsidRPr="0060348A">
        <w:rPr>
          <w:rFonts w:ascii="Times New Roman" w:eastAsia="Times New Roman" w:hAnsi="Times New Roman" w:cs="Times New Roman"/>
          <w:b/>
          <w:bCs/>
          <w:kern w:val="0"/>
          <w14:ligatures w14:val="none"/>
        </w:rPr>
        <w:t>Institutional and Policy Measures</w:t>
      </w:r>
    </w:p>
    <w:p w14:paraId="3B8E03D3" w14:textId="77777777" w:rsidR="0060348A" w:rsidRPr="0060348A" w:rsidRDefault="0060348A" w:rsidP="0060348A">
      <w:pPr>
        <w:pStyle w:val="ListParagraph"/>
        <w:spacing w:after="0" w:line="360" w:lineRule="auto"/>
        <w:jc w:val="both"/>
        <w:outlineLvl w:val="2"/>
        <w:rPr>
          <w:rFonts w:ascii="Times New Roman" w:eastAsia="Times New Roman" w:hAnsi="Times New Roman" w:cs="Times New Roman"/>
          <w:b/>
          <w:bCs/>
          <w:kern w:val="0"/>
          <w14:ligatures w14:val="none"/>
        </w:rPr>
      </w:pPr>
    </w:p>
    <w:p w14:paraId="33DC3A5C" w14:textId="0F35239D" w:rsidR="000A007F" w:rsidRDefault="000A007F" w:rsidP="000A007F">
      <w:pPr>
        <w:numPr>
          <w:ilvl w:val="0"/>
          <w:numId w:val="32"/>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Disaggregated Data Collection:</w:t>
      </w:r>
      <w:r w:rsidRPr="000A007F">
        <w:rPr>
          <w:rFonts w:ascii="Times New Roman" w:eastAsia="Times New Roman" w:hAnsi="Times New Roman" w:cs="Times New Roman"/>
          <w:kern w:val="0"/>
          <w14:ligatures w14:val="none"/>
        </w:rPr>
        <w:t xml:space="preserve"> Mandate the collection of high-quality, disaggregated data across health, education, and social protection sectors to accurately reflect the lived realities of LBQTI women, intersex persons, and sex workers.</w:t>
      </w:r>
    </w:p>
    <w:p w14:paraId="04A4031F"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22B7BCC1" w14:textId="231881DF" w:rsidR="000A007F" w:rsidRDefault="000A007F" w:rsidP="000A007F">
      <w:pPr>
        <w:numPr>
          <w:ilvl w:val="0"/>
          <w:numId w:val="32"/>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Public Sector Capacity Building:</w:t>
      </w:r>
      <w:r w:rsidRPr="000A007F">
        <w:rPr>
          <w:rFonts w:ascii="Times New Roman" w:eastAsia="Times New Roman" w:hAnsi="Times New Roman" w:cs="Times New Roman"/>
          <w:kern w:val="0"/>
          <w14:ligatures w14:val="none"/>
        </w:rPr>
        <w:t xml:space="preserve"> Develop and institutionalize mandatory training programs for judicial officers, law enforcement personnel, healthcare providers, and public administrators on SOGIESC-inclusive, rights-based governance.</w:t>
      </w:r>
    </w:p>
    <w:p w14:paraId="7E3B1808"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7DD11013" w14:textId="2FDDE370" w:rsidR="000A007F" w:rsidRDefault="000A007F" w:rsidP="000A007F">
      <w:pPr>
        <w:numPr>
          <w:ilvl w:val="0"/>
          <w:numId w:val="32"/>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Inclusive Social Protection:</w:t>
      </w:r>
      <w:r w:rsidRPr="000A007F">
        <w:rPr>
          <w:rFonts w:ascii="Times New Roman" w:eastAsia="Times New Roman" w:hAnsi="Times New Roman" w:cs="Times New Roman"/>
          <w:kern w:val="0"/>
          <w14:ligatures w14:val="none"/>
        </w:rPr>
        <w:t xml:space="preserve"> Integrate SOGIESC-diverse individuals into national social protection frameworks, economic funds (AGPO, Women Enterprise Fund), and universal health coverage schemes.</w:t>
      </w:r>
    </w:p>
    <w:p w14:paraId="1B71DC3B" w14:textId="77777777" w:rsidR="0060348A" w:rsidRDefault="0060348A" w:rsidP="0060348A">
      <w:pPr>
        <w:pStyle w:val="ListParagraph"/>
        <w:rPr>
          <w:rFonts w:ascii="Times New Roman" w:eastAsia="Times New Roman" w:hAnsi="Times New Roman" w:cs="Times New Roman"/>
          <w:kern w:val="0"/>
          <w14:ligatures w14:val="none"/>
        </w:rPr>
      </w:pPr>
    </w:p>
    <w:p w14:paraId="6E6B0A2A"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5862B28B" w14:textId="18E36A29" w:rsidR="000A007F" w:rsidRPr="0060348A" w:rsidRDefault="000A007F" w:rsidP="0060348A">
      <w:pPr>
        <w:pStyle w:val="ListParagraph"/>
        <w:numPr>
          <w:ilvl w:val="0"/>
          <w:numId w:val="39"/>
        </w:numPr>
        <w:spacing w:after="0" w:line="360" w:lineRule="auto"/>
        <w:jc w:val="both"/>
        <w:outlineLvl w:val="2"/>
        <w:rPr>
          <w:rFonts w:ascii="Times New Roman" w:eastAsia="Times New Roman" w:hAnsi="Times New Roman" w:cs="Times New Roman"/>
          <w:b/>
          <w:bCs/>
          <w:kern w:val="0"/>
          <w14:ligatures w14:val="none"/>
        </w:rPr>
      </w:pPr>
      <w:r w:rsidRPr="0060348A">
        <w:rPr>
          <w:rFonts w:ascii="Times New Roman" w:eastAsia="Times New Roman" w:hAnsi="Times New Roman" w:cs="Times New Roman"/>
          <w:b/>
          <w:bCs/>
          <w:kern w:val="0"/>
          <w14:ligatures w14:val="none"/>
        </w:rPr>
        <w:t>Protection and Redress</w:t>
      </w:r>
    </w:p>
    <w:p w14:paraId="6461D98A" w14:textId="77777777" w:rsidR="0060348A" w:rsidRPr="0060348A" w:rsidRDefault="0060348A" w:rsidP="0060348A">
      <w:pPr>
        <w:pStyle w:val="ListParagraph"/>
        <w:spacing w:after="0" w:line="360" w:lineRule="auto"/>
        <w:jc w:val="both"/>
        <w:outlineLvl w:val="2"/>
        <w:rPr>
          <w:rFonts w:ascii="Times New Roman" w:eastAsia="Times New Roman" w:hAnsi="Times New Roman" w:cs="Times New Roman"/>
          <w:b/>
          <w:bCs/>
          <w:kern w:val="0"/>
          <w14:ligatures w14:val="none"/>
        </w:rPr>
      </w:pPr>
    </w:p>
    <w:p w14:paraId="5D687242" w14:textId="06B0A77F" w:rsidR="000A007F" w:rsidRDefault="000A007F" w:rsidP="000A007F">
      <w:pPr>
        <w:numPr>
          <w:ilvl w:val="0"/>
          <w:numId w:val="33"/>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Elimination of Gender-Based Violence:</w:t>
      </w:r>
      <w:r w:rsidRPr="000A007F">
        <w:rPr>
          <w:rFonts w:ascii="Times New Roman" w:eastAsia="Times New Roman" w:hAnsi="Times New Roman" w:cs="Times New Roman"/>
          <w:kern w:val="0"/>
          <w14:ligatures w14:val="none"/>
        </w:rPr>
        <w:t xml:space="preserve"> Enforce legal safeguards against hate crimes, femicide, and police brutality targeting marginalized women and girls, ensuring independent investigations and impartial prosecutions.</w:t>
      </w:r>
    </w:p>
    <w:p w14:paraId="42166A52" w14:textId="77777777" w:rsidR="0060348A" w:rsidRPr="000A007F" w:rsidRDefault="0060348A" w:rsidP="0060348A">
      <w:pPr>
        <w:spacing w:after="0" w:line="360" w:lineRule="auto"/>
        <w:ind w:left="360"/>
        <w:jc w:val="both"/>
        <w:rPr>
          <w:rFonts w:ascii="Times New Roman" w:eastAsia="Times New Roman" w:hAnsi="Times New Roman" w:cs="Times New Roman"/>
          <w:kern w:val="0"/>
          <w14:ligatures w14:val="none"/>
        </w:rPr>
      </w:pPr>
    </w:p>
    <w:p w14:paraId="0AF4402C" w14:textId="70F9B04D" w:rsidR="000A007F" w:rsidRDefault="000A007F" w:rsidP="000A007F">
      <w:pPr>
        <w:numPr>
          <w:ilvl w:val="0"/>
          <w:numId w:val="33"/>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Specialized Support Services:</w:t>
      </w:r>
      <w:r w:rsidRPr="000A007F">
        <w:rPr>
          <w:rFonts w:ascii="Times New Roman" w:eastAsia="Times New Roman" w:hAnsi="Times New Roman" w:cs="Times New Roman"/>
          <w:kern w:val="0"/>
          <w14:ligatures w14:val="none"/>
        </w:rPr>
        <w:t xml:space="preserve"> Establish specialized legal aid clinics, accessible psychosocial support, and safe housing for LBQTI survivors of violence, human trafficking, and discrimination.</w:t>
      </w:r>
    </w:p>
    <w:p w14:paraId="35ED80B2"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574E8491" w14:textId="0EC4B9B1" w:rsidR="000A007F" w:rsidRPr="0060348A" w:rsidRDefault="000A007F" w:rsidP="0060348A">
      <w:pPr>
        <w:pStyle w:val="ListParagraph"/>
        <w:numPr>
          <w:ilvl w:val="1"/>
          <w:numId w:val="38"/>
        </w:numPr>
        <w:spacing w:after="0" w:line="360" w:lineRule="auto"/>
        <w:jc w:val="both"/>
        <w:outlineLvl w:val="1"/>
        <w:rPr>
          <w:rFonts w:ascii="Times New Roman" w:eastAsia="Times New Roman" w:hAnsi="Times New Roman" w:cs="Times New Roman"/>
          <w:b/>
          <w:bCs/>
          <w:kern w:val="0"/>
          <w14:ligatures w14:val="none"/>
        </w:rPr>
      </w:pPr>
      <w:r w:rsidRPr="0060348A">
        <w:rPr>
          <w:rFonts w:ascii="Times New Roman" w:eastAsia="Times New Roman" w:hAnsi="Times New Roman" w:cs="Times New Roman"/>
          <w:b/>
          <w:bCs/>
          <w:kern w:val="0"/>
          <w14:ligatures w14:val="none"/>
        </w:rPr>
        <w:t>PROGRESS MADE IN ENSURING ENJOYMENT OF THE CONVENTION</w:t>
      </w:r>
    </w:p>
    <w:p w14:paraId="35D6DC0D" w14:textId="77777777" w:rsidR="0060348A" w:rsidRPr="0060348A" w:rsidRDefault="0060348A" w:rsidP="0060348A">
      <w:pPr>
        <w:pStyle w:val="ListParagraph"/>
        <w:spacing w:after="0" w:line="360" w:lineRule="auto"/>
        <w:ind w:left="360"/>
        <w:jc w:val="both"/>
        <w:outlineLvl w:val="1"/>
        <w:rPr>
          <w:rFonts w:ascii="Times New Roman" w:eastAsia="Times New Roman" w:hAnsi="Times New Roman" w:cs="Times New Roman"/>
          <w:b/>
          <w:bCs/>
          <w:kern w:val="0"/>
          <w14:ligatures w14:val="none"/>
        </w:rPr>
      </w:pPr>
    </w:p>
    <w:p w14:paraId="7A408B6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The Kenyan Judiciary has been a primary driver of progress in advancing SOGIESC rights, addressing legislative gaps regarding non-discrimination (Article 2) and access to justice (Article 15):</w:t>
      </w:r>
    </w:p>
    <w:p w14:paraId="19321C95" w14:textId="17C270E3" w:rsidR="000A007F" w:rsidRDefault="000A007F" w:rsidP="000A007F">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Legal Name Recognition:</w:t>
      </w:r>
      <w:r w:rsidRPr="000A007F">
        <w:rPr>
          <w:rFonts w:ascii="Times New Roman" w:eastAsia="Times New Roman" w:hAnsi="Times New Roman" w:cs="Times New Roman"/>
          <w:kern w:val="0"/>
          <w14:ligatures w14:val="none"/>
        </w:rPr>
        <w:t xml:space="preserve"> Landmark court rulings compelled the Kenya National Examinations Council (KNEC) and civil registries to recognize transgender persons' rights to alter their names via deed poll, partially restoring legal capacity (Article 15) and removing barriers to education (Article 10) and employment (Article 11).</w:t>
      </w:r>
    </w:p>
    <w:p w14:paraId="19716625"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327F5254" w14:textId="2E685D54" w:rsidR="000A007F" w:rsidRDefault="000A007F" w:rsidP="000A007F">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Intersex Rights and Bodily Integrity:</w:t>
      </w:r>
      <w:r w:rsidRPr="000A007F">
        <w:rPr>
          <w:rFonts w:ascii="Times New Roman" w:eastAsia="Times New Roman" w:hAnsi="Times New Roman" w:cs="Times New Roman"/>
          <w:kern w:val="0"/>
          <w14:ligatures w14:val="none"/>
        </w:rPr>
        <w:t xml:space="preserve"> Following the 2019 national census inclusion of intersex persons, judicial rulings and the </w:t>
      </w:r>
      <w:r w:rsidRPr="000A007F">
        <w:rPr>
          <w:rFonts w:ascii="Times New Roman" w:eastAsia="Times New Roman" w:hAnsi="Times New Roman" w:cs="Times New Roman"/>
          <w:b/>
          <w:bCs/>
          <w:kern w:val="0"/>
          <w14:ligatures w14:val="none"/>
        </w:rPr>
        <w:t>Children Act (2022)</w:t>
      </w:r>
      <w:r w:rsidRPr="000A007F">
        <w:rPr>
          <w:rFonts w:ascii="Times New Roman" w:eastAsia="Times New Roman" w:hAnsi="Times New Roman" w:cs="Times New Roman"/>
          <w:kern w:val="0"/>
          <w14:ligatures w14:val="none"/>
        </w:rPr>
        <w:t xml:space="preserve"> officially recognized intersex children with an "I" marker, mandated dignified treatment, and sought to prohibit non-consensual "normalizing" surgeries [46]. KNCHR has been instrumental in advancing these policy reforms.</w:t>
      </w:r>
    </w:p>
    <w:p w14:paraId="74D128B8"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59861DF5" w14:textId="77777777" w:rsidR="000A007F" w:rsidRPr="000A007F" w:rsidRDefault="000A007F" w:rsidP="000A007F">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Freedom of Association:</w:t>
      </w:r>
      <w:r w:rsidRPr="000A007F">
        <w:rPr>
          <w:rFonts w:ascii="Times New Roman" w:eastAsia="Times New Roman" w:hAnsi="Times New Roman" w:cs="Times New Roman"/>
          <w:kern w:val="0"/>
          <w14:ligatures w14:val="none"/>
        </w:rPr>
        <w:t xml:space="preserve"> The Supreme Court upheld the constitutional right to freedom of association for the </w:t>
      </w:r>
      <w:r w:rsidRPr="000A007F">
        <w:rPr>
          <w:rFonts w:ascii="Times New Roman" w:eastAsia="Times New Roman" w:hAnsi="Times New Roman" w:cs="Times New Roman"/>
          <w:b/>
          <w:bCs/>
          <w:kern w:val="0"/>
          <w14:ligatures w14:val="none"/>
        </w:rPr>
        <w:t>National Gay and Lesbian Human Rights Commission (NGLHRC)</w:t>
      </w:r>
      <w:r w:rsidRPr="000A007F">
        <w:rPr>
          <w:rFonts w:ascii="Times New Roman" w:eastAsia="Times New Roman" w:hAnsi="Times New Roman" w:cs="Times New Roman"/>
          <w:kern w:val="0"/>
          <w14:ligatures w14:val="none"/>
        </w:rPr>
        <w:t>, ruling that Article 27 protects sexual orientation against discrimination [7].</w:t>
      </w:r>
    </w:p>
    <w:p w14:paraId="40E5E55D" w14:textId="75DBD34E" w:rsidR="0060348A" w:rsidRDefault="000A007F" w:rsidP="0060348A">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lastRenderedPageBreak/>
        <w:t>Prohibition of Forced Anal Examinations:</w:t>
      </w:r>
      <w:r w:rsidRPr="000A007F">
        <w:rPr>
          <w:rFonts w:ascii="Times New Roman" w:eastAsia="Times New Roman" w:hAnsi="Times New Roman" w:cs="Times New Roman"/>
          <w:kern w:val="0"/>
          <w14:ligatures w14:val="none"/>
        </w:rPr>
        <w:t xml:space="preserve"> Courts declared forced anal examinations unconstitutional, affirming bodily autonomy and freedom from torture [9].</w:t>
      </w:r>
    </w:p>
    <w:p w14:paraId="0D465B4A"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47F3C8C3" w14:textId="5F28D469" w:rsidR="000A007F" w:rsidRDefault="000A007F" w:rsidP="000A007F">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Protection from Incitement:</w:t>
      </w:r>
      <w:r w:rsidRPr="000A007F">
        <w:rPr>
          <w:rFonts w:ascii="Times New Roman" w:eastAsia="Times New Roman" w:hAnsi="Times New Roman" w:cs="Times New Roman"/>
          <w:kern w:val="0"/>
          <w14:ligatures w14:val="none"/>
        </w:rPr>
        <w:t xml:space="preserve"> The Mombasa High Court issued interim orders restraining anti-LGBTQ+ groups from inciting violence, lynching, or forced conversions.</w:t>
      </w:r>
    </w:p>
    <w:p w14:paraId="3C69B8A1"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6E69BA87" w14:textId="38F0AD04" w:rsidR="000A007F" w:rsidRDefault="000A007F" w:rsidP="000A007F">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HIV Non-Discrimination:</w:t>
      </w:r>
      <w:r w:rsidRPr="000A007F">
        <w:rPr>
          <w:rFonts w:ascii="Times New Roman" w:eastAsia="Times New Roman" w:hAnsi="Times New Roman" w:cs="Times New Roman"/>
          <w:kern w:val="0"/>
          <w14:ligatures w14:val="none"/>
        </w:rPr>
        <w:t xml:space="preserve"> In Petition E028 of 2022, the High Court ruled that dismissing a military recruit based solely on HIV status was unconstitutional, strengthening health-status protections for marginalized groups [11].</w:t>
      </w:r>
    </w:p>
    <w:p w14:paraId="042A4075"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6925B724" w14:textId="28DD780A" w:rsidR="000A007F" w:rsidRDefault="000A007F" w:rsidP="000A007F">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Data Protection:</w:t>
      </w:r>
      <w:r w:rsidRPr="000A007F">
        <w:rPr>
          <w:rFonts w:ascii="Times New Roman" w:eastAsia="Times New Roman" w:hAnsi="Times New Roman" w:cs="Times New Roman"/>
          <w:kern w:val="0"/>
          <w14:ligatures w14:val="none"/>
        </w:rPr>
        <w:t xml:space="preserve"> The </w:t>
      </w:r>
      <w:r w:rsidRPr="000A007F">
        <w:rPr>
          <w:rFonts w:ascii="Times New Roman" w:eastAsia="Times New Roman" w:hAnsi="Times New Roman" w:cs="Times New Roman"/>
          <w:b/>
          <w:bCs/>
          <w:kern w:val="0"/>
          <w14:ligatures w14:val="none"/>
        </w:rPr>
        <w:t>Data Protection Act (2019)</w:t>
      </w:r>
      <w:r w:rsidRPr="000A007F">
        <w:rPr>
          <w:rFonts w:ascii="Times New Roman" w:eastAsia="Times New Roman" w:hAnsi="Times New Roman" w:cs="Times New Roman"/>
          <w:kern w:val="0"/>
          <w14:ligatures w14:val="none"/>
        </w:rPr>
        <w:t xml:space="preserve"> classifies sexual orientation as "sensitive personal data," establishing strict handling standards [40].</w:t>
      </w:r>
    </w:p>
    <w:p w14:paraId="5352D107"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66EFC1B5" w14:textId="7F685F38" w:rsidR="000A007F" w:rsidRDefault="000A007F" w:rsidP="000A007F">
      <w:pPr>
        <w:numPr>
          <w:ilvl w:val="0"/>
          <w:numId w:val="34"/>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Public Health Integration:</w:t>
      </w:r>
      <w:r w:rsidRPr="000A007F">
        <w:rPr>
          <w:rFonts w:ascii="Times New Roman" w:eastAsia="Times New Roman" w:hAnsi="Times New Roman" w:cs="Times New Roman"/>
          <w:kern w:val="0"/>
          <w14:ligatures w14:val="none"/>
        </w:rPr>
        <w:t xml:space="preserve"> The Ministry of Health and NSDCC through KASF II recognize female sex workers (FSW) and transgender persons as key populations, implementing targeted HIV interventions and conducting Population Size Estimates (PSE) [19, 21]. However, critical data gaps persist regarding LBQI women.</w:t>
      </w:r>
    </w:p>
    <w:p w14:paraId="6219D32A"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16E73099" w14:textId="738B27D4" w:rsidR="000A007F" w:rsidRPr="0060348A" w:rsidRDefault="000A007F" w:rsidP="0060348A">
      <w:pPr>
        <w:pStyle w:val="ListParagraph"/>
        <w:numPr>
          <w:ilvl w:val="1"/>
          <w:numId w:val="38"/>
        </w:numPr>
        <w:spacing w:after="0" w:line="360" w:lineRule="auto"/>
        <w:jc w:val="both"/>
        <w:outlineLvl w:val="1"/>
        <w:rPr>
          <w:rFonts w:ascii="Times New Roman" w:eastAsia="Times New Roman" w:hAnsi="Times New Roman" w:cs="Times New Roman"/>
          <w:b/>
          <w:bCs/>
          <w:kern w:val="0"/>
          <w14:ligatures w14:val="none"/>
        </w:rPr>
      </w:pPr>
      <w:r w:rsidRPr="0060348A">
        <w:rPr>
          <w:rFonts w:ascii="Times New Roman" w:eastAsia="Times New Roman" w:hAnsi="Times New Roman" w:cs="Times New Roman"/>
          <w:b/>
          <w:bCs/>
          <w:kern w:val="0"/>
          <w14:ligatures w14:val="none"/>
        </w:rPr>
        <w:t>RESTRICTIONS AND LIMITATIONS IMPOSED BY LAW, PRACTICE, OR TRADITION</w:t>
      </w:r>
    </w:p>
    <w:p w14:paraId="53295412" w14:textId="77777777" w:rsidR="0060348A" w:rsidRPr="0060348A" w:rsidRDefault="0060348A" w:rsidP="0060348A">
      <w:pPr>
        <w:pStyle w:val="ListParagraph"/>
        <w:spacing w:after="0" w:line="360" w:lineRule="auto"/>
        <w:ind w:left="360"/>
        <w:jc w:val="both"/>
        <w:outlineLvl w:val="1"/>
        <w:rPr>
          <w:rFonts w:ascii="Times New Roman" w:eastAsia="Times New Roman" w:hAnsi="Times New Roman" w:cs="Times New Roman"/>
          <w:b/>
          <w:bCs/>
          <w:kern w:val="0"/>
          <w14:ligatures w14:val="none"/>
        </w:rPr>
      </w:pPr>
    </w:p>
    <w:p w14:paraId="3E400A04" w14:textId="0BF9CD27" w:rsidR="000A007F" w:rsidRDefault="000A007F" w:rsidP="000A007F">
      <w:pPr>
        <w:numPr>
          <w:ilvl w:val="0"/>
          <w:numId w:val="35"/>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Criminalization and Harassment:</w:t>
      </w:r>
      <w:r w:rsidRPr="000A007F">
        <w:rPr>
          <w:rFonts w:ascii="Times New Roman" w:eastAsia="Times New Roman" w:hAnsi="Times New Roman" w:cs="Times New Roman"/>
          <w:kern w:val="0"/>
          <w14:ligatures w14:val="none"/>
        </w:rPr>
        <w:t xml:space="preserve"> Penal Code provisions criminalizing same-sex conduct (Sections 162–165) and sex work (Sections 151–156) institutionalize state-sanctioned extortion, arbitrary detention, and police abuse [16].</w:t>
      </w:r>
    </w:p>
    <w:p w14:paraId="09401A14"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39CD0A47" w14:textId="7B351A9F" w:rsidR="000A007F" w:rsidRDefault="000A007F" w:rsidP="000A007F">
      <w:pPr>
        <w:numPr>
          <w:ilvl w:val="0"/>
          <w:numId w:val="35"/>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Administrative Barriers to Identity:</w:t>
      </w:r>
      <w:r w:rsidRPr="000A007F">
        <w:rPr>
          <w:rFonts w:ascii="Times New Roman" w:eastAsia="Times New Roman" w:hAnsi="Times New Roman" w:cs="Times New Roman"/>
          <w:kern w:val="0"/>
          <w14:ligatures w14:val="none"/>
        </w:rPr>
        <w:t xml:space="preserve"> The rigid binary structures of the Births and Deaths Registration Act, Registration of Persons Act, and Immigration Act deny TGD persons legal gender recognition, exposing them to daily harassment and administrative exclusion.</w:t>
      </w:r>
    </w:p>
    <w:p w14:paraId="474ED4E4" w14:textId="77777777" w:rsidR="0060348A" w:rsidRDefault="0060348A" w:rsidP="0060348A">
      <w:pPr>
        <w:pStyle w:val="ListParagraph"/>
        <w:rPr>
          <w:rFonts w:ascii="Times New Roman" w:eastAsia="Times New Roman" w:hAnsi="Times New Roman" w:cs="Times New Roman"/>
          <w:kern w:val="0"/>
          <w14:ligatures w14:val="none"/>
        </w:rPr>
      </w:pPr>
    </w:p>
    <w:p w14:paraId="3F4B5028"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0A1022EF" w14:textId="3649F7CF" w:rsidR="000A007F" w:rsidRDefault="000A007F" w:rsidP="000A007F">
      <w:pPr>
        <w:numPr>
          <w:ilvl w:val="0"/>
          <w:numId w:val="35"/>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lastRenderedPageBreak/>
        <w:t>Healthcare Exclusion:</w:t>
      </w:r>
      <w:r w:rsidRPr="000A007F">
        <w:rPr>
          <w:rFonts w:ascii="Times New Roman" w:eastAsia="Times New Roman" w:hAnsi="Times New Roman" w:cs="Times New Roman"/>
          <w:kern w:val="0"/>
          <w14:ligatures w14:val="none"/>
        </w:rPr>
        <w:t xml:space="preserve"> While the Health Act (2017) guarantees general healthcare, the lack of explicit SOGIESC protections, combined with SHA mandatory ID verification hurdles and provider stigma, deters utilization of sexual and reproductive health (SRHR) services.</w:t>
      </w:r>
    </w:p>
    <w:p w14:paraId="4EB496E4" w14:textId="77777777" w:rsidR="0060348A" w:rsidRPr="000A007F" w:rsidRDefault="0060348A" w:rsidP="0060348A">
      <w:pPr>
        <w:spacing w:after="0" w:line="360" w:lineRule="auto"/>
        <w:ind w:left="720"/>
        <w:jc w:val="both"/>
        <w:rPr>
          <w:rFonts w:ascii="Times New Roman" w:eastAsia="Times New Roman" w:hAnsi="Times New Roman" w:cs="Times New Roman"/>
          <w:kern w:val="0"/>
          <w14:ligatures w14:val="none"/>
        </w:rPr>
      </w:pPr>
    </w:p>
    <w:p w14:paraId="2818D5D6" w14:textId="010D88BE" w:rsidR="000A007F" w:rsidRDefault="000A007F" w:rsidP="000A007F">
      <w:pPr>
        <w:numPr>
          <w:ilvl w:val="0"/>
          <w:numId w:val="35"/>
        </w:num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b/>
          <w:bCs/>
          <w:kern w:val="0"/>
          <w14:ligatures w14:val="none"/>
        </w:rPr>
        <w:t>Family Law Obstacles:</w:t>
      </w:r>
      <w:r w:rsidRPr="000A007F">
        <w:rPr>
          <w:rFonts w:ascii="Times New Roman" w:eastAsia="Times New Roman" w:hAnsi="Times New Roman" w:cs="Times New Roman"/>
          <w:kern w:val="0"/>
          <w14:ligatures w14:val="none"/>
        </w:rPr>
        <w:t xml:space="preserve"> Statutory definitions restrict marriage and surrogacy (via the proposed ART Bill) to heterosexual couples, barring LBQTI persons from equal family formation rights.</w:t>
      </w:r>
    </w:p>
    <w:p w14:paraId="7F438150" w14:textId="77777777" w:rsidR="0060348A" w:rsidRPr="000A007F" w:rsidRDefault="0060348A" w:rsidP="0060348A">
      <w:pPr>
        <w:spacing w:after="0" w:line="360" w:lineRule="auto"/>
        <w:jc w:val="both"/>
        <w:rPr>
          <w:rFonts w:ascii="Times New Roman" w:eastAsia="Times New Roman" w:hAnsi="Times New Roman" w:cs="Times New Roman"/>
          <w:kern w:val="0"/>
          <w14:ligatures w14:val="none"/>
        </w:rPr>
      </w:pPr>
    </w:p>
    <w:p w14:paraId="5BD03042" w14:textId="77777777" w:rsidR="000A007F" w:rsidRPr="000A007F" w:rsidRDefault="000A007F" w:rsidP="000A007F">
      <w:pPr>
        <w:spacing w:after="0" w:line="360" w:lineRule="auto"/>
        <w:jc w:val="both"/>
        <w:outlineLvl w:val="1"/>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t>1.5 SITUATION OF NGOS AND WOMEN’S ASSOCIATIONS</w:t>
      </w:r>
    </w:p>
    <w:p w14:paraId="4C7B77DE" w14:textId="51D4CE6C" w:rsidR="005104B5"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Civil society organizations (CSOs) play a vital role in monitoring CEDAW implementation but face systemic constraints:</w:t>
      </w:r>
    </w:p>
    <w:p w14:paraId="6BFFF866" w14:textId="77777777" w:rsidR="005104B5" w:rsidRPr="000A007F" w:rsidRDefault="005104B5" w:rsidP="000A007F">
      <w:pPr>
        <w:spacing w:after="0" w:line="360" w:lineRule="auto"/>
        <w:jc w:val="both"/>
        <w:rPr>
          <w:rFonts w:ascii="Times New Roman" w:eastAsia="Times New Roman" w:hAnsi="Times New Roman" w:cs="Times New Roman"/>
          <w:kern w:val="0"/>
          <w14:ligatures w14:val="none"/>
        </w:rPr>
      </w:pPr>
    </w:p>
    <w:p w14:paraId="7D2D2CC6" w14:textId="732668A0" w:rsidR="0060348A" w:rsidRDefault="000A007F" w:rsidP="0060348A">
      <w:pPr>
        <w:pStyle w:val="ListParagraph"/>
        <w:numPr>
          <w:ilvl w:val="2"/>
          <w:numId w:val="40"/>
        </w:numPr>
        <w:spacing w:after="0" w:line="360" w:lineRule="auto"/>
        <w:jc w:val="both"/>
        <w:rPr>
          <w:rFonts w:ascii="Times New Roman" w:eastAsia="Times New Roman" w:hAnsi="Times New Roman" w:cs="Times New Roman"/>
          <w:kern w:val="0"/>
          <w14:ligatures w14:val="none"/>
        </w:rPr>
      </w:pPr>
      <w:r w:rsidRPr="0060348A">
        <w:rPr>
          <w:rFonts w:ascii="Times New Roman" w:eastAsia="Times New Roman" w:hAnsi="Times New Roman" w:cs="Times New Roman"/>
          <w:b/>
          <w:bCs/>
          <w:kern w:val="0"/>
          <w14:ligatures w14:val="none"/>
        </w:rPr>
        <w:t>Legal and Social Retaliation:</w:t>
      </w:r>
      <w:r w:rsidRPr="0060348A">
        <w:rPr>
          <w:rFonts w:ascii="Times New Roman" w:eastAsia="Times New Roman" w:hAnsi="Times New Roman" w:cs="Times New Roman"/>
          <w:kern w:val="0"/>
          <w14:ligatures w14:val="none"/>
        </w:rPr>
        <w:t xml:space="preserve"> Anti-SOGIESC rhetoric framed around "foreign agendas" is frequently weaponized by political and religious leaders to restrict civic space and justify discrimination [53].</w:t>
      </w:r>
    </w:p>
    <w:p w14:paraId="2388C8C6" w14:textId="77777777" w:rsidR="0060348A" w:rsidRDefault="0060348A" w:rsidP="0060348A">
      <w:pPr>
        <w:pStyle w:val="ListParagraph"/>
        <w:spacing w:after="0" w:line="360" w:lineRule="auto"/>
        <w:jc w:val="both"/>
        <w:rPr>
          <w:rFonts w:ascii="Times New Roman" w:eastAsia="Times New Roman" w:hAnsi="Times New Roman" w:cs="Times New Roman"/>
          <w:kern w:val="0"/>
          <w14:ligatures w14:val="none"/>
        </w:rPr>
      </w:pPr>
    </w:p>
    <w:p w14:paraId="27368F5B" w14:textId="518B1724" w:rsidR="0060348A" w:rsidRDefault="000A007F" w:rsidP="0060348A">
      <w:pPr>
        <w:pStyle w:val="ListParagraph"/>
        <w:numPr>
          <w:ilvl w:val="2"/>
          <w:numId w:val="40"/>
        </w:numPr>
        <w:spacing w:after="0" w:line="360" w:lineRule="auto"/>
        <w:jc w:val="both"/>
        <w:rPr>
          <w:rFonts w:ascii="Times New Roman" w:eastAsia="Times New Roman" w:hAnsi="Times New Roman" w:cs="Times New Roman"/>
          <w:kern w:val="0"/>
          <w14:ligatures w14:val="none"/>
        </w:rPr>
      </w:pPr>
      <w:r w:rsidRPr="0060348A">
        <w:rPr>
          <w:rFonts w:ascii="Times New Roman" w:eastAsia="Times New Roman" w:hAnsi="Times New Roman" w:cs="Times New Roman"/>
          <w:b/>
          <w:bCs/>
          <w:kern w:val="0"/>
          <w14:ligatures w14:val="none"/>
        </w:rPr>
        <w:t>Funding and Administrative Hurdles:</w:t>
      </w:r>
      <w:r w:rsidRPr="0060348A">
        <w:rPr>
          <w:rFonts w:ascii="Times New Roman" w:eastAsia="Times New Roman" w:hAnsi="Times New Roman" w:cs="Times New Roman"/>
          <w:kern w:val="0"/>
          <w14:ligatures w14:val="none"/>
        </w:rPr>
        <w:t xml:space="preserve"> Smaller SOGIESC and sex worker-led CSOs face high administrative barriers and are often excluded from mainstream donor funding streams.</w:t>
      </w:r>
    </w:p>
    <w:p w14:paraId="6003974B" w14:textId="77777777" w:rsidR="0060348A" w:rsidRPr="0060348A" w:rsidRDefault="0060348A" w:rsidP="0060348A">
      <w:pPr>
        <w:spacing w:after="0" w:line="360" w:lineRule="auto"/>
        <w:jc w:val="both"/>
        <w:rPr>
          <w:rFonts w:ascii="Times New Roman" w:eastAsia="Times New Roman" w:hAnsi="Times New Roman" w:cs="Times New Roman"/>
          <w:kern w:val="0"/>
          <w14:ligatures w14:val="none"/>
        </w:rPr>
      </w:pPr>
    </w:p>
    <w:p w14:paraId="6FD4C602" w14:textId="2098F688" w:rsidR="000A007F" w:rsidRPr="0060348A" w:rsidRDefault="000A007F" w:rsidP="0060348A">
      <w:pPr>
        <w:pStyle w:val="ListParagraph"/>
        <w:numPr>
          <w:ilvl w:val="2"/>
          <w:numId w:val="40"/>
        </w:numPr>
        <w:spacing w:after="0" w:line="360" w:lineRule="auto"/>
        <w:jc w:val="both"/>
        <w:rPr>
          <w:rFonts w:ascii="Times New Roman" w:eastAsia="Times New Roman" w:hAnsi="Times New Roman" w:cs="Times New Roman"/>
          <w:kern w:val="0"/>
          <w14:ligatures w14:val="none"/>
        </w:rPr>
      </w:pPr>
      <w:r w:rsidRPr="0060348A">
        <w:rPr>
          <w:rFonts w:ascii="Times New Roman" w:eastAsia="Times New Roman" w:hAnsi="Times New Roman" w:cs="Times New Roman"/>
          <w:b/>
          <w:bCs/>
          <w:kern w:val="0"/>
          <w14:ligatures w14:val="none"/>
        </w:rPr>
        <w:t>Mainstream CSOs Reluctance:</w:t>
      </w:r>
      <w:r w:rsidRPr="0060348A">
        <w:rPr>
          <w:rFonts w:ascii="Times New Roman" w:eastAsia="Times New Roman" w:hAnsi="Times New Roman" w:cs="Times New Roman"/>
          <w:kern w:val="0"/>
          <w14:ligatures w14:val="none"/>
        </w:rPr>
        <w:t xml:space="preserve"> Mainstream women’s rights organizations frequently hesitate to collaborate with LBQTI and sex worker groups due to fears of religious or cultural backlash, fragmenting the national women's movement.</w:t>
      </w:r>
    </w:p>
    <w:p w14:paraId="26DD7126" w14:textId="77777777" w:rsidR="0060348A" w:rsidRDefault="0060348A" w:rsidP="000A007F">
      <w:pPr>
        <w:spacing w:after="0" w:line="360" w:lineRule="auto"/>
        <w:jc w:val="both"/>
        <w:outlineLvl w:val="1"/>
        <w:rPr>
          <w:rFonts w:ascii="Times New Roman" w:eastAsia="Times New Roman" w:hAnsi="Times New Roman" w:cs="Times New Roman"/>
          <w:b/>
          <w:bCs/>
          <w:kern w:val="0"/>
          <w14:ligatures w14:val="none"/>
        </w:rPr>
      </w:pPr>
    </w:p>
    <w:p w14:paraId="7C4577DC" w14:textId="77777777" w:rsidR="0060348A" w:rsidRDefault="0060348A" w:rsidP="000A007F">
      <w:pPr>
        <w:spacing w:after="0" w:line="360" w:lineRule="auto"/>
        <w:jc w:val="both"/>
        <w:outlineLvl w:val="1"/>
        <w:rPr>
          <w:rFonts w:ascii="Times New Roman" w:eastAsia="Times New Roman" w:hAnsi="Times New Roman" w:cs="Times New Roman"/>
          <w:b/>
          <w:bCs/>
          <w:kern w:val="0"/>
          <w14:ligatures w14:val="none"/>
        </w:rPr>
      </w:pPr>
    </w:p>
    <w:p w14:paraId="6E738CFA" w14:textId="77777777" w:rsidR="0060348A" w:rsidRDefault="0060348A" w:rsidP="000A007F">
      <w:pPr>
        <w:spacing w:after="0" w:line="360" w:lineRule="auto"/>
        <w:jc w:val="both"/>
        <w:outlineLvl w:val="1"/>
        <w:rPr>
          <w:rFonts w:ascii="Times New Roman" w:eastAsia="Times New Roman" w:hAnsi="Times New Roman" w:cs="Times New Roman"/>
          <w:b/>
          <w:bCs/>
          <w:kern w:val="0"/>
          <w14:ligatures w14:val="none"/>
        </w:rPr>
      </w:pPr>
    </w:p>
    <w:p w14:paraId="748F4572" w14:textId="77777777" w:rsidR="0060348A" w:rsidRDefault="0060348A" w:rsidP="000A007F">
      <w:pPr>
        <w:spacing w:after="0" w:line="360" w:lineRule="auto"/>
        <w:jc w:val="both"/>
        <w:outlineLvl w:val="1"/>
        <w:rPr>
          <w:rFonts w:ascii="Times New Roman" w:eastAsia="Times New Roman" w:hAnsi="Times New Roman" w:cs="Times New Roman"/>
          <w:b/>
          <w:bCs/>
          <w:kern w:val="0"/>
          <w14:ligatures w14:val="none"/>
        </w:rPr>
      </w:pPr>
    </w:p>
    <w:p w14:paraId="2E8D9087" w14:textId="77777777" w:rsidR="0060348A" w:rsidRDefault="0060348A" w:rsidP="000A007F">
      <w:pPr>
        <w:spacing w:after="0" w:line="360" w:lineRule="auto"/>
        <w:jc w:val="both"/>
        <w:outlineLvl w:val="1"/>
        <w:rPr>
          <w:rFonts w:ascii="Times New Roman" w:eastAsia="Times New Roman" w:hAnsi="Times New Roman" w:cs="Times New Roman"/>
          <w:b/>
          <w:bCs/>
          <w:kern w:val="0"/>
          <w14:ligatures w14:val="none"/>
        </w:rPr>
      </w:pPr>
    </w:p>
    <w:p w14:paraId="5DC6B91C" w14:textId="77777777" w:rsidR="0060348A" w:rsidRDefault="0060348A" w:rsidP="000A007F">
      <w:pPr>
        <w:spacing w:after="0" w:line="360" w:lineRule="auto"/>
        <w:jc w:val="both"/>
        <w:outlineLvl w:val="1"/>
        <w:rPr>
          <w:rFonts w:ascii="Times New Roman" w:eastAsia="Times New Roman" w:hAnsi="Times New Roman" w:cs="Times New Roman"/>
          <w:b/>
          <w:bCs/>
          <w:kern w:val="0"/>
          <w14:ligatures w14:val="none"/>
        </w:rPr>
      </w:pPr>
    </w:p>
    <w:p w14:paraId="5ABC128E" w14:textId="77777777" w:rsidR="0060348A" w:rsidRDefault="0060348A" w:rsidP="000A007F">
      <w:pPr>
        <w:spacing w:after="0" w:line="360" w:lineRule="auto"/>
        <w:jc w:val="both"/>
        <w:outlineLvl w:val="1"/>
        <w:rPr>
          <w:rFonts w:ascii="Times New Roman" w:eastAsia="Times New Roman" w:hAnsi="Times New Roman" w:cs="Times New Roman"/>
          <w:b/>
          <w:bCs/>
          <w:kern w:val="0"/>
          <w14:ligatures w14:val="none"/>
        </w:rPr>
      </w:pPr>
    </w:p>
    <w:p w14:paraId="50BD3C0D" w14:textId="55E941DC" w:rsidR="000A007F" w:rsidRDefault="000A007F" w:rsidP="000A007F">
      <w:pPr>
        <w:spacing w:after="0" w:line="360" w:lineRule="auto"/>
        <w:jc w:val="both"/>
        <w:outlineLvl w:val="1"/>
        <w:rPr>
          <w:rFonts w:ascii="Times New Roman" w:eastAsia="Times New Roman" w:hAnsi="Times New Roman" w:cs="Times New Roman"/>
          <w:b/>
          <w:bCs/>
          <w:kern w:val="0"/>
          <w14:ligatures w14:val="none"/>
        </w:rPr>
      </w:pPr>
      <w:r w:rsidRPr="000A007F">
        <w:rPr>
          <w:rFonts w:ascii="Times New Roman" w:eastAsia="Times New Roman" w:hAnsi="Times New Roman" w:cs="Times New Roman"/>
          <w:b/>
          <w:bCs/>
          <w:kern w:val="0"/>
          <w14:ligatures w14:val="none"/>
        </w:rPr>
        <w:lastRenderedPageBreak/>
        <w:t>REFERENCES</w:t>
      </w:r>
    </w:p>
    <w:p w14:paraId="709088D5" w14:textId="77777777" w:rsidR="005104B5" w:rsidRPr="000A007F" w:rsidRDefault="005104B5" w:rsidP="000A007F">
      <w:pPr>
        <w:spacing w:after="0" w:line="360" w:lineRule="auto"/>
        <w:jc w:val="both"/>
        <w:outlineLvl w:val="1"/>
        <w:rPr>
          <w:rFonts w:ascii="Times New Roman" w:eastAsia="Times New Roman" w:hAnsi="Times New Roman" w:cs="Times New Roman"/>
          <w:b/>
          <w:bCs/>
          <w:kern w:val="0"/>
          <w14:ligatures w14:val="none"/>
        </w:rPr>
      </w:pPr>
    </w:p>
    <w:p w14:paraId="06B5AC59"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 Washington Blade. (2025). Outcome of transgender rights case in Kenya remains uncertain.</w:t>
      </w:r>
    </w:p>
    <w:p w14:paraId="02A17BD9"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[2] Kenya National Commission on Human Rights. (2019). Report on intersex persons.</w:t>
      </w:r>
    </w:p>
    <w:p w14:paraId="0818D91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 Kenya National Commission on Human Rights. (2024). Intersex persons bill, January 2024.</w:t>
      </w:r>
    </w:p>
    <w:p w14:paraId="3C4C6BF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 Births and Deaths Registration Act, Cap 149 (2022). Kenya Law.</w:t>
      </w:r>
    </w:p>
    <w:p w14:paraId="5AD5FCAB"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[5] Kenya National Commission on Human Rights. Commissioners.</w:t>
      </w:r>
    </w:p>
    <w:p w14:paraId="5E4B0DE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 Intersex Persons Consortium. (2022). Intersex children under the Children Act 2022.</w:t>
      </w:r>
    </w:p>
    <w:p w14:paraId="00613256"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 National Gay and Lesbian Human Rights Commission. (2023). Supreme Court affirms NGLHRC's right to register as an NGO in Kenya.</w:t>
      </w:r>
    </w:p>
    <w:p w14:paraId="2BD4B16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 NTV Kenya. High court orders govt to change female minor's name after male attributes became apparent.</w:t>
      </w:r>
    </w:p>
    <w:p w14:paraId="19A7BEE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 Kenya Legal and Ethical Issues Network on HIV and AIDS. The burden of proof: Kenya's decision to uphold anal testing.</w:t>
      </w:r>
    </w:p>
    <w:p w14:paraId="53536208"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[10] </w:t>
      </w:r>
      <w:proofErr w:type="spellStart"/>
      <w:r w:rsidRPr="000A007F">
        <w:rPr>
          <w:rFonts w:ascii="Times New Roman" w:eastAsia="Times New Roman" w:hAnsi="Times New Roman" w:cs="Times New Roman"/>
          <w:kern w:val="0"/>
          <w14:ligatures w14:val="none"/>
        </w:rPr>
        <w:t>Civicus</w:t>
      </w:r>
      <w:proofErr w:type="spellEnd"/>
      <w:r w:rsidRPr="000A007F">
        <w:rPr>
          <w:rFonts w:ascii="Times New Roman" w:eastAsia="Times New Roman" w:hAnsi="Times New Roman" w:cs="Times New Roman"/>
          <w:kern w:val="0"/>
          <w14:ligatures w14:val="none"/>
        </w:rPr>
        <w:t>. (2023). Kenya: The court sent a message that LGBTQI people are human beings.</w:t>
      </w:r>
    </w:p>
    <w:p w14:paraId="40E4BD0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[11] Health Business. KELIN wins landmark HIV discrimination case against KDF.</w:t>
      </w:r>
    </w:p>
    <w:p w14:paraId="223378A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[12]-[13] International State Crime Initiative &amp; Legal Action for Women. (2024). Republic v Joshua </w:t>
      </w:r>
      <w:proofErr w:type="spellStart"/>
      <w:r w:rsidRPr="000A007F">
        <w:rPr>
          <w:rFonts w:ascii="Times New Roman" w:eastAsia="Times New Roman" w:hAnsi="Times New Roman" w:cs="Times New Roman"/>
          <w:kern w:val="0"/>
          <w14:ligatures w14:val="none"/>
        </w:rPr>
        <w:t>Gichuki</w:t>
      </w:r>
      <w:proofErr w:type="spellEnd"/>
      <w:r w:rsidRPr="000A007F">
        <w:rPr>
          <w:rFonts w:ascii="Times New Roman" w:eastAsia="Times New Roman" w:hAnsi="Times New Roman" w:cs="Times New Roman"/>
          <w:kern w:val="0"/>
          <w14:ligatures w14:val="none"/>
        </w:rPr>
        <w:t xml:space="preserve"> Mwangi.</w:t>
      </w:r>
    </w:p>
    <w:p w14:paraId="2BA8555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[14] </w:t>
      </w:r>
      <w:proofErr w:type="spellStart"/>
      <w:r w:rsidRPr="000A007F">
        <w:rPr>
          <w:rFonts w:ascii="Times New Roman" w:eastAsia="Times New Roman" w:hAnsi="Times New Roman" w:cs="Times New Roman"/>
          <w:kern w:val="0"/>
          <w14:ligatures w14:val="none"/>
        </w:rPr>
        <w:t>KICTANet</w:t>
      </w:r>
      <w:proofErr w:type="spellEnd"/>
      <w:r w:rsidRPr="000A007F">
        <w:rPr>
          <w:rFonts w:ascii="Times New Roman" w:eastAsia="Times New Roman" w:hAnsi="Times New Roman" w:cs="Times New Roman"/>
          <w:kern w:val="0"/>
          <w14:ligatures w14:val="none"/>
        </w:rPr>
        <w:t xml:space="preserve">. </w:t>
      </w:r>
      <w:proofErr w:type="spellStart"/>
      <w:r w:rsidRPr="000A007F">
        <w:rPr>
          <w:rFonts w:ascii="Times New Roman" w:eastAsia="Times New Roman" w:hAnsi="Times New Roman" w:cs="Times New Roman"/>
          <w:kern w:val="0"/>
          <w14:ligatures w14:val="none"/>
        </w:rPr>
        <w:t>KICTANet</w:t>
      </w:r>
      <w:proofErr w:type="spellEnd"/>
      <w:r w:rsidRPr="000A007F">
        <w:rPr>
          <w:rFonts w:ascii="Times New Roman" w:eastAsia="Times New Roman" w:hAnsi="Times New Roman" w:cs="Times New Roman"/>
          <w:kern w:val="0"/>
          <w14:ligatures w14:val="none"/>
        </w:rPr>
        <w:t xml:space="preserve"> guidebook on data protection and privacy from a gender perspective.</w:t>
      </w:r>
    </w:p>
    <w:p w14:paraId="73DFC18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[15] </w:t>
      </w:r>
      <w:proofErr w:type="spellStart"/>
      <w:r w:rsidRPr="000A007F">
        <w:rPr>
          <w:rFonts w:ascii="Times New Roman" w:eastAsia="Times New Roman" w:hAnsi="Times New Roman" w:cs="Times New Roman"/>
          <w:kern w:val="0"/>
          <w14:ligatures w14:val="none"/>
        </w:rPr>
        <w:t>SheriaPlex</w:t>
      </w:r>
      <w:proofErr w:type="spellEnd"/>
      <w:r w:rsidRPr="000A007F">
        <w:rPr>
          <w:rFonts w:ascii="Times New Roman" w:eastAsia="Times New Roman" w:hAnsi="Times New Roman" w:cs="Times New Roman"/>
          <w:kern w:val="0"/>
          <w14:ligatures w14:val="none"/>
        </w:rPr>
        <w:t>. Section 154 of Penal Code Cap 63.</w:t>
      </w:r>
    </w:p>
    <w:p w14:paraId="6A112639"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[16] Human Dignity Trust. Kenya country profile.</w:t>
      </w:r>
    </w:p>
    <w:p w14:paraId="2EF4370B"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[17] United Nations Development Programme. (2023). UNDP and IGI Kenya baseline report.</w:t>
      </w:r>
    </w:p>
    <w:p w14:paraId="69F06EC5"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[18] </w:t>
      </w:r>
      <w:proofErr w:type="spellStart"/>
      <w:r w:rsidRPr="000A007F">
        <w:rPr>
          <w:rFonts w:ascii="Times New Roman" w:eastAsia="Times New Roman" w:hAnsi="Times New Roman" w:cs="Times New Roman"/>
          <w:kern w:val="0"/>
          <w14:ligatures w14:val="none"/>
        </w:rPr>
        <w:t>Civicus</w:t>
      </w:r>
      <w:proofErr w:type="spellEnd"/>
      <w:r w:rsidRPr="000A007F">
        <w:rPr>
          <w:rFonts w:ascii="Times New Roman" w:eastAsia="Times New Roman" w:hAnsi="Times New Roman" w:cs="Times New Roman"/>
          <w:kern w:val="0"/>
          <w14:ligatures w14:val="none"/>
        </w:rPr>
        <w:t xml:space="preserve"> Lens. (2023). The Family Protection Bill threatens to escalate violence against LGBTQI people.</w:t>
      </w:r>
    </w:p>
    <w:p w14:paraId="47D66A3C"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[19]-[20] National Syndemic Disease Control Council. Kenya AIDS Strategic Framework (KASF II) &amp; Key Populations Size Estimates.</w:t>
      </w:r>
    </w:p>
    <w:p w14:paraId="07B66481"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[21]-[23] National AIDS and STI Control Programme. (2024–2025). KPSE Report, KHIS Data, and Bio-behavioral Survey. Ministry of Health, Kenya.</w:t>
      </w:r>
    </w:p>
    <w:p w14:paraId="7B3A612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[24] Equal Rights Trust. (2015). Submission to the UN Human Rights Council.</w:t>
      </w:r>
    </w:p>
    <w:p w14:paraId="09AD3F01"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[25] Next Gen Lawyers. Impact of the legal environment on sex work-related violence in Kenya.</w:t>
      </w:r>
    </w:p>
    <w:p w14:paraId="5656C155"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[26] Kenya Legal and Ethical Issues Network on HIV and AIDS. (2016). Punitive laws affecting persons who use drugs.</w:t>
      </w:r>
    </w:p>
    <w:p w14:paraId="5943CE0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[27]-[29] Laws of Kenya: Births and Deaths Registration Act (Cap 149), Registration of Persons Act (Cap 107), Kenya Citizenship and Immigration Act (No. 12 of 2011).</w:t>
      </w:r>
    </w:p>
    <w:p w14:paraId="19435E2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[30] Department of Immigration Services. Permit or pass. eCitizen Kenya.</w:t>
      </w:r>
    </w:p>
    <w:p w14:paraId="487EAFF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[31] Health Act, No. 21 of 2017. Laws of Kenya.</w:t>
      </w:r>
    </w:p>
    <w:p w14:paraId="3F31755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[32] UK Home Office. (2025). Country policy and information note: Sexual orientation and gender identity and expression, Kenya.</w:t>
      </w:r>
    </w:p>
    <w:p w14:paraId="67705A6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[33] Kenya Institute for Public Policy Research and Analysis. National Reproductive Health Policy repository.</w:t>
      </w:r>
    </w:p>
    <w:p w14:paraId="5C4A328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[34]-[35] Assisted Reproductive Technology Bill, 2022. Parliament of Kenya.</w:t>
      </w:r>
    </w:p>
    <w:p w14:paraId="25808B6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[36] Constitution of Kenya, 2010.</w:t>
      </w:r>
    </w:p>
    <w:p w14:paraId="4F71CB8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[37] Petrie-</w:t>
      </w:r>
      <w:proofErr w:type="spellStart"/>
      <w:r w:rsidRPr="000A007F">
        <w:rPr>
          <w:rFonts w:ascii="Times New Roman" w:eastAsia="Times New Roman" w:hAnsi="Times New Roman" w:cs="Times New Roman"/>
          <w:kern w:val="0"/>
          <w14:ligatures w14:val="none"/>
        </w:rPr>
        <w:t>Flom</w:t>
      </w:r>
      <w:proofErr w:type="spellEnd"/>
      <w:r w:rsidRPr="000A007F">
        <w:rPr>
          <w:rFonts w:ascii="Times New Roman" w:eastAsia="Times New Roman" w:hAnsi="Times New Roman" w:cs="Times New Roman"/>
          <w:kern w:val="0"/>
          <w14:ligatures w14:val="none"/>
        </w:rPr>
        <w:t xml:space="preserve"> Center. (2024). Two years on from a landmark abortion decision in Kenya. Harvard Law School.</w:t>
      </w:r>
    </w:p>
    <w:p w14:paraId="5B991E2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[38] Human Rights Watch. (2015). The issue is violence: Attacks on LGBT people on Kenya’s coast.</w:t>
      </w:r>
    </w:p>
    <w:p w14:paraId="1C27B06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[39] PubMed Central. (2018). Intersecting legal and social dynamics affecting abortion access.</w:t>
      </w:r>
    </w:p>
    <w:p w14:paraId="39A6B276"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[40] Data Protection Act, No. 24 of 2019. Laws of Kenya.</w:t>
      </w:r>
    </w:p>
    <w:p w14:paraId="4B19334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[41] Watermark Online. (2022). Kenya bill seeks to ban gays from having children via surrogate.</w:t>
      </w:r>
    </w:p>
    <w:p w14:paraId="20D21A65"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[42] Employment Act, No. 11 of 2007. Laws of Kenya.</w:t>
      </w:r>
    </w:p>
    <w:p w14:paraId="374B4D1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[43] Network of Sex Work Projects. (2022). Kenya legal case study.</w:t>
      </w:r>
    </w:p>
    <w:p w14:paraId="5EDA22C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[44]-[45] UK Home Office &amp; Human Rights Watch. Reports on SOGIESC in Kenya.</w:t>
      </w:r>
    </w:p>
    <w:p w14:paraId="7174426B"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[46] Children Act, No. 29 of 2022. Laws of Kenya.</w:t>
      </w:r>
    </w:p>
    <w:p w14:paraId="1424E9D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[47] Refugees Act, No. 10 of 2021. Laws of Kenya.</w:t>
      </w:r>
    </w:p>
    <w:p w14:paraId="672B0D4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[48]-[50] Strategic Plans: KNCHR (2018–2023), NGEC (2019–2024), Office of the Attorney General (2020).</w:t>
      </w:r>
    </w:p>
    <w:p w14:paraId="79AA586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[51] UNDP &amp; IGI Kenya Baseline Report (2023).</w:t>
      </w:r>
    </w:p>
    <w:p w14:paraId="170D626C"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[52] Lewis, D. (2011). Representing African sexualities. </w:t>
      </w:r>
      <w:proofErr w:type="spellStart"/>
      <w:r w:rsidRPr="000A007F">
        <w:rPr>
          <w:rFonts w:ascii="Times New Roman" w:eastAsia="Times New Roman" w:hAnsi="Times New Roman" w:cs="Times New Roman"/>
          <w:kern w:val="0"/>
          <w14:ligatures w14:val="none"/>
        </w:rPr>
        <w:t>Pambazuka</w:t>
      </w:r>
      <w:proofErr w:type="spellEnd"/>
      <w:r w:rsidRPr="000A007F">
        <w:rPr>
          <w:rFonts w:ascii="Times New Roman" w:eastAsia="Times New Roman" w:hAnsi="Times New Roman" w:cs="Times New Roman"/>
          <w:kern w:val="0"/>
          <w14:ligatures w14:val="none"/>
        </w:rPr>
        <w:t xml:space="preserve"> Press.</w:t>
      </w:r>
    </w:p>
    <w:p w14:paraId="77859356"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[53] Disinfo Africa. (2023). Anti-LGBTQIA hate increases in Kenya after court ruling.</w:t>
      </w:r>
    </w:p>
    <w:p w14:paraId="5A723CBB"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[54] Political Research Associates. Globalizing the culture wars.</w:t>
      </w:r>
    </w:p>
    <w:p w14:paraId="6B90C0C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[55] UK Home Office. (2025). Country policy and information note, Kenya.</w:t>
      </w:r>
    </w:p>
    <w:p w14:paraId="2B3F786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[56]-[61] US Department of State. (2023–2024). Trafficking in Persons Report: Kenya.</w:t>
      </w:r>
    </w:p>
    <w:p w14:paraId="3CFA6AD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[62] Williams Institute. Trans voter ID impact. UCLA School of Law.</w:t>
      </w:r>
    </w:p>
    <w:p w14:paraId="6DE2BEFB"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[63] Article 19. Kenya: LGBTQI rights must be championed by civil society.</w:t>
      </w:r>
    </w:p>
    <w:p w14:paraId="2EC5987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[64] UN CEDAW Committee. (2017). Concluding observations on the eighth periodic report of Kenya (CEDAW/C/KEN/CO/8).</w:t>
      </w:r>
    </w:p>
    <w:p w14:paraId="6D763197"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[65] UK Home Office. (2025). Country policy and information note, Kenya.</w:t>
      </w:r>
    </w:p>
    <w:p w14:paraId="6A59687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[66] Kenya Human Rights Platform. (2024). Joint Kenya SOGIESC submissions.</w:t>
      </w:r>
    </w:p>
    <w:p w14:paraId="030870D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[67] Human Rights Watch. (2022). African Commission’s rejection of observer status applications.</w:t>
      </w:r>
    </w:p>
    <w:p w14:paraId="75DD03D9"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[68]-[69] KHRP &amp; GIGA Focus. Reports on shrinking civic space in Africa.</w:t>
      </w:r>
    </w:p>
    <w:p w14:paraId="3AE99AB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[70] UNDP &amp; IGI Kenya baseline report (2023).</w:t>
      </w:r>
    </w:p>
    <w:p w14:paraId="2EE03046"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[71]-[73] Kenya Law Reporting &amp; UNSD. Legal gender recognition and vital statistics frameworks.</w:t>
      </w:r>
    </w:p>
    <w:p w14:paraId="69A8BB3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[74] ICJ-Kenya. Intersex persons accredited as election observers.</w:t>
      </w:r>
    </w:p>
    <w:p w14:paraId="0922A89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[75]-[76] KNCHR. Intersex advocacy and Intersex Persons Bill (2023).</w:t>
      </w:r>
    </w:p>
    <w:p w14:paraId="11A95AA8"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[77] APHRC. School-related gender-based violence in Kenya.</w:t>
      </w:r>
    </w:p>
    <w:p w14:paraId="2907974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[78] Nduta, S., et al. (2020). NTDS: A baseline study of transgender persons in Kenya. Epsilon Publishers.</w:t>
      </w:r>
    </w:p>
    <w:p w14:paraId="23444EA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[79] NGLHRC. Strategic litigation.</w:t>
      </w:r>
    </w:p>
    <w:p w14:paraId="0E8907F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[80] Taylor &amp; Francis Online. (2025). Educational barriers and SOGIESC inclusion in East Africa.</w:t>
      </w:r>
    </w:p>
    <w:p w14:paraId="3A02B51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[81] ResearchGate. (2013). School dropout among the urban poor in Nairobi.</w:t>
      </w:r>
    </w:p>
    <w:p w14:paraId="14EB107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[82]-[83] UK Home Office. (2025). Country policy and information notes, Kenya.</w:t>
      </w:r>
    </w:p>
    <w:p w14:paraId="18E2C95F"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[84] Solidarity Finland. Nothing about us without us.</w:t>
      </w:r>
    </w:p>
    <w:p w14:paraId="4F5400D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[85] ILGA World. CEDAW and LGBTI persons database.</w:t>
      </w:r>
    </w:p>
    <w:p w14:paraId="64B08B26"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[86] KNCHR. Intersex taskforce report.</w:t>
      </w:r>
    </w:p>
    <w:p w14:paraId="63D70B3E"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[87] Amnesty International Kenya. (2024). Annual impact report.</w:t>
      </w:r>
    </w:p>
    <w:p w14:paraId="4BD72C9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[88] Taylor &amp; Francis Online. (2023). Unsafe abortion and post-abortion care among vulnerable populations.</w:t>
      </w:r>
    </w:p>
    <w:p w14:paraId="18D6088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[89]-[91] UN CEDAW Committee. (2023). Concluding observations (86th Session).</w:t>
      </w:r>
    </w:p>
    <w:p w14:paraId="6612DA71"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[92] KESWA &amp; NSWP. CEDAW shadow report.</w:t>
      </w:r>
    </w:p>
    <w:p w14:paraId="7C531D5A"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[93] UNHCR Help. Marriage and divorce in Kenya.</w:t>
      </w:r>
    </w:p>
    <w:p w14:paraId="1B9A130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lastRenderedPageBreak/>
        <w:t>[94] Kenya Sex Workers Alliance. CEDAW shadow report.</w:t>
      </w:r>
    </w:p>
    <w:p w14:paraId="00D823C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[95] Parliament of Kenya. The Constitution of Kenya, 2010.</w:t>
      </w:r>
    </w:p>
    <w:p w14:paraId="7EE01F1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[96] Human Rights Watch. (2019). Kenya court upholds archaic anti-homosexuality laws.</w:t>
      </w:r>
    </w:p>
    <w:p w14:paraId="7714B05B"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[97] KELIN. (2010). Documenting human rights violations of sex workers.</w:t>
      </w:r>
    </w:p>
    <w:p w14:paraId="6FBE8F10"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[98] Human Rights Watch. (2016). "Walking through a minefield": Anxious lives of LGBT people in Kenya.</w:t>
      </w:r>
    </w:p>
    <w:p w14:paraId="7C834A53"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[99] Advocates for Human Rights. Kenya ACHPR LGBTI rights shadow report.</w:t>
      </w:r>
    </w:p>
    <w:p w14:paraId="53C7598C"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[100] Kenya Human Rights Platform. (2023). Research on protections on grounds of SOGIESC in Kenya.</w:t>
      </w:r>
    </w:p>
    <w:p w14:paraId="21C33264"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[101] UNICEF Data. The Marriage Act, 2014 of Kenya.</w:t>
      </w:r>
    </w:p>
    <w:p w14:paraId="5870FAB2"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[102] Children Act, No. 29 of 2022. Laws of Kenya.</w:t>
      </w:r>
    </w:p>
    <w:p w14:paraId="014E6CBD" w14:textId="77777777" w:rsidR="000A007F" w:rsidRPr="000A007F" w:rsidRDefault="000A007F" w:rsidP="000A007F">
      <w:pPr>
        <w:spacing w:after="0" w:line="360" w:lineRule="auto"/>
        <w:jc w:val="both"/>
        <w:rPr>
          <w:rFonts w:ascii="Times New Roman" w:eastAsia="Times New Roman" w:hAnsi="Times New Roman" w:cs="Times New Roman"/>
          <w:kern w:val="0"/>
          <w14:ligatures w14:val="none"/>
        </w:rPr>
      </w:pPr>
      <w:r w:rsidRPr="000A007F">
        <w:rPr>
          <w:rFonts w:ascii="Times New Roman" w:eastAsia="Times New Roman" w:hAnsi="Times New Roman" w:cs="Times New Roman"/>
          <w:kern w:val="0"/>
          <w14:ligatures w14:val="none"/>
        </w:rPr>
        <w:t xml:space="preserve">[103] York University. Legal frameworks and parental rights for marginalized groups in Kenya. </w:t>
      </w:r>
      <w:proofErr w:type="spellStart"/>
      <w:r w:rsidRPr="000A007F">
        <w:rPr>
          <w:rFonts w:ascii="Times New Roman" w:eastAsia="Times New Roman" w:hAnsi="Times New Roman" w:cs="Times New Roman"/>
          <w:kern w:val="0"/>
          <w14:ligatures w14:val="none"/>
        </w:rPr>
        <w:t>Osgoode</w:t>
      </w:r>
      <w:proofErr w:type="spellEnd"/>
      <w:r w:rsidRPr="000A007F">
        <w:rPr>
          <w:rFonts w:ascii="Times New Roman" w:eastAsia="Times New Roman" w:hAnsi="Times New Roman" w:cs="Times New Roman"/>
          <w:kern w:val="0"/>
          <w14:ligatures w14:val="none"/>
        </w:rPr>
        <w:t xml:space="preserve"> Digital Commons.</w:t>
      </w:r>
    </w:p>
    <w:p w14:paraId="38AE3B9E" w14:textId="77777777" w:rsidR="000A007F" w:rsidRPr="000A007F" w:rsidRDefault="000A007F" w:rsidP="000A007F">
      <w:pPr>
        <w:spacing w:after="0" w:line="360" w:lineRule="auto"/>
        <w:jc w:val="both"/>
        <w:rPr>
          <w:rFonts w:ascii="Times New Roman" w:hAnsi="Times New Roman" w:cs="Times New Roman"/>
          <w:kern w:val="0"/>
          <w14:ligatures w14:val="none"/>
        </w:rPr>
      </w:pPr>
    </w:p>
    <w:p w14:paraId="788B215E" w14:textId="77777777" w:rsidR="000A007F" w:rsidRPr="000A007F" w:rsidRDefault="000A007F" w:rsidP="000A007F">
      <w:pPr>
        <w:spacing w:after="0" w:line="360" w:lineRule="auto"/>
        <w:jc w:val="both"/>
        <w:outlineLvl w:val="2"/>
        <w:rPr>
          <w:rFonts w:ascii="Times New Roman" w:eastAsia="Times New Roman" w:hAnsi="Times New Roman" w:cs="Times New Roman"/>
          <w:b/>
          <w:bCs/>
          <w:kern w:val="0"/>
          <w14:ligatures w14:val="none"/>
        </w:rPr>
      </w:pPr>
    </w:p>
    <w:sectPr w:rsidR="000A007F" w:rsidRPr="000A00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5D57"/>
    <w:multiLevelType w:val="multilevel"/>
    <w:tmpl w:val="3730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44F02"/>
    <w:multiLevelType w:val="multilevel"/>
    <w:tmpl w:val="8648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D71AA"/>
    <w:multiLevelType w:val="multilevel"/>
    <w:tmpl w:val="89EC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236D0"/>
    <w:multiLevelType w:val="multilevel"/>
    <w:tmpl w:val="2FEE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36786"/>
    <w:multiLevelType w:val="multilevel"/>
    <w:tmpl w:val="9C52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E5D12"/>
    <w:multiLevelType w:val="multilevel"/>
    <w:tmpl w:val="7964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460CC4"/>
    <w:multiLevelType w:val="multilevel"/>
    <w:tmpl w:val="BEAA09D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FC6611"/>
    <w:multiLevelType w:val="multilevel"/>
    <w:tmpl w:val="F2F2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AB101C"/>
    <w:multiLevelType w:val="multilevel"/>
    <w:tmpl w:val="6CEAA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891776"/>
    <w:multiLevelType w:val="multilevel"/>
    <w:tmpl w:val="633A2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0E6B08"/>
    <w:multiLevelType w:val="multilevel"/>
    <w:tmpl w:val="A6BE4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708DD"/>
    <w:multiLevelType w:val="multilevel"/>
    <w:tmpl w:val="7346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9A7437"/>
    <w:multiLevelType w:val="multilevel"/>
    <w:tmpl w:val="5B0C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02AEA"/>
    <w:multiLevelType w:val="multilevel"/>
    <w:tmpl w:val="3BAC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781DF7"/>
    <w:multiLevelType w:val="multilevel"/>
    <w:tmpl w:val="8880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010F13"/>
    <w:multiLevelType w:val="multilevel"/>
    <w:tmpl w:val="232CD4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2A43871"/>
    <w:multiLevelType w:val="multilevel"/>
    <w:tmpl w:val="0106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E61A2F"/>
    <w:multiLevelType w:val="multilevel"/>
    <w:tmpl w:val="4DA8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7F20F4"/>
    <w:multiLevelType w:val="multilevel"/>
    <w:tmpl w:val="F104B6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A13123"/>
    <w:multiLevelType w:val="multilevel"/>
    <w:tmpl w:val="B5E6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F253F2"/>
    <w:multiLevelType w:val="multilevel"/>
    <w:tmpl w:val="6ED6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380600"/>
    <w:multiLevelType w:val="multilevel"/>
    <w:tmpl w:val="DC92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8302E1"/>
    <w:multiLevelType w:val="multilevel"/>
    <w:tmpl w:val="2870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CC6B88"/>
    <w:multiLevelType w:val="multilevel"/>
    <w:tmpl w:val="00A6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D00C1A"/>
    <w:multiLevelType w:val="multilevel"/>
    <w:tmpl w:val="05BC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2E4C1D"/>
    <w:multiLevelType w:val="multilevel"/>
    <w:tmpl w:val="7A76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B167E6"/>
    <w:multiLevelType w:val="multilevel"/>
    <w:tmpl w:val="7F20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0D0AF7"/>
    <w:multiLevelType w:val="multilevel"/>
    <w:tmpl w:val="C54E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5D230F"/>
    <w:multiLevelType w:val="multilevel"/>
    <w:tmpl w:val="6762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D76142"/>
    <w:multiLevelType w:val="multilevel"/>
    <w:tmpl w:val="C35424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27B128D"/>
    <w:multiLevelType w:val="multilevel"/>
    <w:tmpl w:val="DA84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920005"/>
    <w:multiLevelType w:val="multilevel"/>
    <w:tmpl w:val="EDB2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8D70F7"/>
    <w:multiLevelType w:val="multilevel"/>
    <w:tmpl w:val="0368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2F756E"/>
    <w:multiLevelType w:val="multilevel"/>
    <w:tmpl w:val="B494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B631B5"/>
    <w:multiLevelType w:val="multilevel"/>
    <w:tmpl w:val="6444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494ACC"/>
    <w:multiLevelType w:val="multilevel"/>
    <w:tmpl w:val="7092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9968EF"/>
    <w:multiLevelType w:val="multilevel"/>
    <w:tmpl w:val="C5C0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B83A15"/>
    <w:multiLevelType w:val="multilevel"/>
    <w:tmpl w:val="1390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2D2A7C"/>
    <w:multiLevelType w:val="hybridMultilevel"/>
    <w:tmpl w:val="DD78C5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6A55D9"/>
    <w:multiLevelType w:val="multilevel"/>
    <w:tmpl w:val="4948A9CA"/>
    <w:lvl w:ilvl="0">
      <w:start w:val="1"/>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22"/>
  </w:num>
  <w:num w:numId="3">
    <w:abstractNumId w:val="7"/>
  </w:num>
  <w:num w:numId="4">
    <w:abstractNumId w:val="25"/>
  </w:num>
  <w:num w:numId="5">
    <w:abstractNumId w:val="12"/>
  </w:num>
  <w:num w:numId="6">
    <w:abstractNumId w:val="14"/>
  </w:num>
  <w:num w:numId="7">
    <w:abstractNumId w:val="26"/>
  </w:num>
  <w:num w:numId="8">
    <w:abstractNumId w:val="20"/>
  </w:num>
  <w:num w:numId="9">
    <w:abstractNumId w:val="24"/>
  </w:num>
  <w:num w:numId="10">
    <w:abstractNumId w:val="35"/>
  </w:num>
  <w:num w:numId="11">
    <w:abstractNumId w:val="33"/>
  </w:num>
  <w:num w:numId="12">
    <w:abstractNumId w:val="27"/>
  </w:num>
  <w:num w:numId="13">
    <w:abstractNumId w:val="11"/>
  </w:num>
  <w:num w:numId="14">
    <w:abstractNumId w:val="28"/>
  </w:num>
  <w:num w:numId="15">
    <w:abstractNumId w:val="17"/>
  </w:num>
  <w:num w:numId="16">
    <w:abstractNumId w:val="30"/>
  </w:num>
  <w:num w:numId="17">
    <w:abstractNumId w:val="34"/>
  </w:num>
  <w:num w:numId="18">
    <w:abstractNumId w:val="31"/>
  </w:num>
  <w:num w:numId="19">
    <w:abstractNumId w:val="13"/>
  </w:num>
  <w:num w:numId="20">
    <w:abstractNumId w:val="2"/>
  </w:num>
  <w:num w:numId="21">
    <w:abstractNumId w:val="23"/>
  </w:num>
  <w:num w:numId="22">
    <w:abstractNumId w:val="37"/>
  </w:num>
  <w:num w:numId="23">
    <w:abstractNumId w:val="5"/>
  </w:num>
  <w:num w:numId="24">
    <w:abstractNumId w:val="10"/>
  </w:num>
  <w:num w:numId="25">
    <w:abstractNumId w:val="1"/>
  </w:num>
  <w:num w:numId="26">
    <w:abstractNumId w:val="4"/>
  </w:num>
  <w:num w:numId="27">
    <w:abstractNumId w:val="21"/>
  </w:num>
  <w:num w:numId="28">
    <w:abstractNumId w:val="9"/>
  </w:num>
  <w:num w:numId="29">
    <w:abstractNumId w:val="36"/>
  </w:num>
  <w:num w:numId="30">
    <w:abstractNumId w:val="3"/>
  </w:num>
  <w:num w:numId="31">
    <w:abstractNumId w:val="8"/>
  </w:num>
  <w:num w:numId="32">
    <w:abstractNumId w:val="29"/>
  </w:num>
  <w:num w:numId="33">
    <w:abstractNumId w:val="6"/>
  </w:num>
  <w:num w:numId="34">
    <w:abstractNumId w:val="32"/>
  </w:num>
  <w:num w:numId="35">
    <w:abstractNumId w:val="16"/>
  </w:num>
  <w:num w:numId="36">
    <w:abstractNumId w:val="19"/>
  </w:num>
  <w:num w:numId="37">
    <w:abstractNumId w:val="15"/>
  </w:num>
  <w:num w:numId="38">
    <w:abstractNumId w:val="18"/>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B1B"/>
    <w:rsid w:val="000203E3"/>
    <w:rsid w:val="000A007F"/>
    <w:rsid w:val="003D1E79"/>
    <w:rsid w:val="005104B5"/>
    <w:rsid w:val="0060348A"/>
    <w:rsid w:val="00676DDE"/>
    <w:rsid w:val="006B1D06"/>
    <w:rsid w:val="00812B1B"/>
    <w:rsid w:val="00DC0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D9818"/>
  <w15:chartTrackingRefBased/>
  <w15:docId w15:val="{5DFB88D6-051B-42D2-9902-4541D7B72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B1B"/>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0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3418">
      <w:bodyDiv w:val="1"/>
      <w:marLeft w:val="0"/>
      <w:marRight w:val="0"/>
      <w:marTop w:val="0"/>
      <w:marBottom w:val="0"/>
      <w:divBdr>
        <w:top w:val="none" w:sz="0" w:space="0" w:color="auto"/>
        <w:left w:val="none" w:sz="0" w:space="0" w:color="auto"/>
        <w:bottom w:val="none" w:sz="0" w:space="0" w:color="auto"/>
        <w:right w:val="none" w:sz="0" w:space="0" w:color="auto"/>
      </w:divBdr>
    </w:div>
    <w:div w:id="904298095">
      <w:bodyDiv w:val="1"/>
      <w:marLeft w:val="0"/>
      <w:marRight w:val="0"/>
      <w:marTop w:val="0"/>
      <w:marBottom w:val="0"/>
      <w:divBdr>
        <w:top w:val="none" w:sz="0" w:space="0" w:color="auto"/>
        <w:left w:val="none" w:sz="0" w:space="0" w:color="auto"/>
        <w:bottom w:val="none" w:sz="0" w:space="0" w:color="auto"/>
        <w:right w:val="none" w:sz="0" w:space="0" w:color="auto"/>
      </w:divBdr>
    </w:div>
    <w:div w:id="1133057901">
      <w:bodyDiv w:val="1"/>
      <w:marLeft w:val="0"/>
      <w:marRight w:val="0"/>
      <w:marTop w:val="0"/>
      <w:marBottom w:val="0"/>
      <w:divBdr>
        <w:top w:val="none" w:sz="0" w:space="0" w:color="auto"/>
        <w:left w:val="none" w:sz="0" w:space="0" w:color="auto"/>
        <w:bottom w:val="none" w:sz="0" w:space="0" w:color="auto"/>
        <w:right w:val="none" w:sz="0" w:space="0" w:color="auto"/>
      </w:divBdr>
      <w:divsChild>
        <w:div w:id="642662753">
          <w:marLeft w:val="0"/>
          <w:marRight w:val="0"/>
          <w:marTop w:val="0"/>
          <w:marBottom w:val="0"/>
          <w:divBdr>
            <w:top w:val="none" w:sz="0" w:space="0" w:color="auto"/>
            <w:left w:val="none" w:sz="0" w:space="0" w:color="auto"/>
            <w:bottom w:val="none" w:sz="0" w:space="0" w:color="auto"/>
            <w:right w:val="none" w:sz="0" w:space="0" w:color="auto"/>
          </w:divBdr>
          <w:divsChild>
            <w:div w:id="518155533">
              <w:marLeft w:val="0"/>
              <w:marRight w:val="0"/>
              <w:marTop w:val="0"/>
              <w:marBottom w:val="0"/>
              <w:divBdr>
                <w:top w:val="none" w:sz="0" w:space="0" w:color="auto"/>
                <w:left w:val="none" w:sz="0" w:space="0" w:color="auto"/>
                <w:bottom w:val="none" w:sz="0" w:space="0" w:color="auto"/>
                <w:right w:val="none" w:sz="0" w:space="0" w:color="auto"/>
              </w:divBdr>
              <w:divsChild>
                <w:div w:id="1854763027">
                  <w:marLeft w:val="0"/>
                  <w:marRight w:val="0"/>
                  <w:marTop w:val="0"/>
                  <w:marBottom w:val="0"/>
                  <w:divBdr>
                    <w:top w:val="none" w:sz="0" w:space="0" w:color="auto"/>
                    <w:left w:val="none" w:sz="0" w:space="0" w:color="auto"/>
                    <w:bottom w:val="none" w:sz="0" w:space="0" w:color="auto"/>
                    <w:right w:val="none" w:sz="0" w:space="0" w:color="auto"/>
                  </w:divBdr>
                  <w:divsChild>
                    <w:div w:id="107193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68154-CB4F-4699-91B5-3F1378A01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3694</Words>
  <Characters>23280</Characters>
  <Application>Microsoft Office Word</Application>
  <DocSecurity>0</DocSecurity>
  <Lines>521</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Seanny Odero</dc:creator>
  <cp:keywords/>
  <dc:description/>
  <cp:lastModifiedBy>Seanny Odero</cp:lastModifiedBy>
  <cp:revision>2</cp:revision>
  <dcterms:created xsi:type="dcterms:W3CDTF">2026-07-28T08:13:00Z</dcterms:created>
  <dcterms:modified xsi:type="dcterms:W3CDTF">2026-07-28T08:13:00Z</dcterms:modified>
</cp:coreProperties>
</file>