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87D97F" w14:textId="77777777" w:rsidR="0058510B" w:rsidRPr="00330E62" w:rsidRDefault="0058510B" w:rsidP="0058510B">
      <w:pPr>
        <w:pStyle w:val="ICCPheaderleft"/>
        <w:spacing w:after="80"/>
      </w:pPr>
      <w:r w:rsidRPr="008128A4">
        <w:t xml:space="preserve">United States Compliance with the </w:t>
      </w:r>
      <w:r w:rsidRPr="008128A4">
        <w:br/>
      </w:r>
      <w:r w:rsidRPr="00330E62">
        <w:t xml:space="preserve">International Convention on Elimination of All Forms of Racial Discrimination </w:t>
      </w:r>
      <w:r w:rsidRPr="00330E62">
        <w:br/>
        <w:t xml:space="preserve">Meiklejohn Civil Liberties Institute </w:t>
      </w:r>
      <w:r w:rsidRPr="00330E62">
        <w:br/>
        <w:t xml:space="preserve">Suggested List of Issues to Country Report Task Force on the United States </w:t>
      </w:r>
    </w:p>
    <w:p w14:paraId="44AFA8AA" w14:textId="3A2B4893" w:rsidR="0058510B" w:rsidRPr="008128A4" w:rsidRDefault="0058510B" w:rsidP="0058510B">
      <w:pPr>
        <w:pStyle w:val="ICCPheaderleft"/>
        <w:jc w:val="center"/>
      </w:pPr>
      <w:r>
        <w:t xml:space="preserve">June </w:t>
      </w:r>
      <w:r w:rsidR="00FD2EAF">
        <w:t>30</w:t>
      </w:r>
      <w:r w:rsidRPr="008128A4">
        <w:t>, 2014</w:t>
      </w:r>
    </w:p>
    <w:p w14:paraId="21E65F32" w14:textId="77777777" w:rsidR="0058510B" w:rsidRPr="0058510B" w:rsidRDefault="0058510B" w:rsidP="0058510B">
      <w:pPr>
        <w:pStyle w:val="ICCPRheaderright"/>
        <w:rPr>
          <w:b w:val="0"/>
        </w:rPr>
      </w:pPr>
      <w:r w:rsidRPr="0058510B">
        <w:rPr>
          <w:b w:val="0"/>
        </w:rPr>
        <w:t>Meiklejohn Civil Liberties Institute</w:t>
      </w:r>
      <w:r w:rsidRPr="0058510B">
        <w:rPr>
          <w:b w:val="0"/>
        </w:rPr>
        <w:br/>
        <w:t>P.O. Box 673, Berkeley, California 94701-0673</w:t>
      </w:r>
      <w:r w:rsidRPr="0058510B">
        <w:rPr>
          <w:b w:val="0"/>
        </w:rPr>
        <w:br/>
      </w:r>
      <w:bookmarkStart w:id="0" w:name="_GoBack"/>
      <w:bookmarkEnd w:id="0"/>
      <w:r w:rsidRPr="0058510B">
        <w:rPr>
          <w:b w:val="0"/>
        </w:rPr>
        <w:t xml:space="preserve">Phone: (510) 418-5773 </w:t>
      </w:r>
      <w:r w:rsidRPr="0058510B">
        <w:rPr>
          <w:b w:val="0"/>
        </w:rPr>
        <w:br/>
        <w:t xml:space="preserve">mcli@mcli.org </w:t>
      </w:r>
    </w:p>
    <w:p w14:paraId="1DDEC80C" w14:textId="77777777" w:rsidR="0058510B" w:rsidRPr="005A556A" w:rsidRDefault="0058510B" w:rsidP="00EB76C6">
      <w:pPr>
        <w:pStyle w:val="Heading3nonital"/>
      </w:pPr>
      <w:r>
        <w:t>I</w:t>
      </w:r>
      <w:r w:rsidRPr="005A556A">
        <w:t xml:space="preserve">: </w:t>
      </w:r>
      <w:r>
        <w:t>REPORT ON ABORTION</w:t>
      </w:r>
    </w:p>
    <w:p w14:paraId="06AD47C2" w14:textId="77777777" w:rsidR="0058510B" w:rsidRDefault="0058510B" w:rsidP="00EB76C6">
      <w:pPr>
        <w:pStyle w:val="Heading3nonital"/>
        <w:rPr>
          <w:rFonts w:ascii="Helvetica" w:hAnsi="Helvetica" w:cs="Helvetica"/>
          <w:szCs w:val="24"/>
        </w:rPr>
      </w:pPr>
      <w:r>
        <w:t>II.</w:t>
      </w:r>
      <w:r>
        <w:rPr>
          <w:rFonts w:ascii="Arial" w:hAnsi="Arial"/>
        </w:rPr>
        <w:t xml:space="preserve"> </w:t>
      </w:r>
      <w:r w:rsidR="00D017EF">
        <w:t>REPORTING ORGANIZATION</w:t>
      </w:r>
    </w:p>
    <w:p w14:paraId="40A69752" w14:textId="78066C8F" w:rsidR="0006690E" w:rsidRPr="005A556A" w:rsidRDefault="00FD2EAF" w:rsidP="00FD2EAF">
      <w:pPr>
        <w:pStyle w:val="AListParagraph"/>
      </w:pPr>
      <w:r>
        <w:t>1.</w:t>
      </w:r>
      <w:r>
        <w:tab/>
      </w:r>
      <w:r w:rsidR="0006690E" w:rsidRPr="005A556A">
        <w:t>Meiklejohn Civil Liberties Institute (MCLI) is a national interracial organization of activists, academics, and lawyers using its booklets and display poster</w:t>
      </w:r>
      <w:r w:rsidR="00065724">
        <w:t>s</w:t>
      </w:r>
      <w:r w:rsidR="0006690E" w:rsidRPr="005A556A">
        <w:t xml:space="preserve"> in human rights and peace law training sessions since 1965, and listening to people’s problems, filing complaints, and making reports based on the U.S. Constitution, Bill of Rights, and treaties ratified and signed by the U.S. </w:t>
      </w:r>
    </w:p>
    <w:p w14:paraId="52080752" w14:textId="09F4A017" w:rsidR="0058510B" w:rsidRPr="00330E62" w:rsidRDefault="0058510B" w:rsidP="00EB76C6">
      <w:pPr>
        <w:pStyle w:val="Heading3nonital"/>
      </w:pPr>
      <w:r w:rsidRPr="00330E62">
        <w:t>II</w:t>
      </w:r>
      <w:r w:rsidR="00CB70FA">
        <w:t>I</w:t>
      </w:r>
      <w:r w:rsidRPr="00330E62">
        <w:t xml:space="preserve">. </w:t>
      </w:r>
      <w:r>
        <w:t>INTRODUCTION AND ISSUE SUMMARY</w:t>
      </w:r>
      <w:r w:rsidR="00D017EF">
        <w:rPr>
          <w:rStyle w:val="FootnoteReference"/>
        </w:rPr>
        <w:footnoteReference w:id="1"/>
      </w:r>
      <w:r w:rsidRPr="00330E62">
        <w:tab/>
      </w:r>
    </w:p>
    <w:p w14:paraId="190DA929" w14:textId="6550AE0D" w:rsidR="0058510B" w:rsidRDefault="00FD2EAF" w:rsidP="00FD2EAF">
      <w:pPr>
        <w:pStyle w:val="AListParagraph"/>
        <w:rPr>
          <w:rFonts w:eastAsia="Times New Roman"/>
          <w:color w:val="222222"/>
        </w:rPr>
      </w:pPr>
      <w:r>
        <w:t>2.</w:t>
      </w:r>
      <w:r>
        <w:tab/>
      </w:r>
      <w:r w:rsidR="00184E6C" w:rsidRPr="00182026">
        <w:t xml:space="preserve">In the United States, women make up 50.9%, percent, or just over half of the U.S. total population. The 2010 U.S. Census reports that there are 61,481,000 women between the ages of 15 and 44, considered of childbearing age. According to </w:t>
      </w:r>
      <w:r w:rsidR="00065724">
        <w:t xml:space="preserve">the </w:t>
      </w:r>
      <w:r w:rsidR="00184E6C" w:rsidRPr="00182026">
        <w:t xml:space="preserve">Guttmacher Institute, nearly half of pregnancies among U.S. women are </w:t>
      </w:r>
      <w:r w:rsidR="006438DD">
        <w:t>not planned</w:t>
      </w:r>
      <w:r w:rsidR="00184E6C" w:rsidRPr="00182026">
        <w:t>.</w:t>
      </w:r>
      <w:r w:rsidR="00D017EF">
        <w:rPr>
          <w:rStyle w:val="FootnoteReference"/>
        </w:rPr>
        <w:footnoteReference w:id="2"/>
      </w:r>
      <w:r w:rsidR="00184E6C" w:rsidRPr="00182026">
        <w:t xml:space="preserve"> Unintended pregnancies can result in poorer maternal mental health, increased risk of physical violence during pregnancy, reduced likelihood of breastfeeding, and decreased maternal bonding. Unintended pregnancies also can threaten the economic viability of the family. Access to </w:t>
      </w:r>
      <w:r w:rsidR="006438DD">
        <w:t>re</w:t>
      </w:r>
      <w:r w:rsidR="00184E6C" w:rsidRPr="00182026">
        <w:t xml:space="preserve">productive healthcare directly affects the lives of women of childbearing age, but it also has wider implications on the stability of society, gender equality, and the livelihood of the family. There are also linkages between reproductive rights and levels of poverty, crimes, and the state of the welfare system. </w:t>
      </w:r>
    </w:p>
    <w:p w14:paraId="3C1F519A" w14:textId="633202DC" w:rsidR="00EB76C6" w:rsidRDefault="00FD2EAF" w:rsidP="00FD2EAF">
      <w:pPr>
        <w:pStyle w:val="AListParagraph"/>
      </w:pPr>
      <w:r>
        <w:t>3.</w:t>
      </w:r>
      <w:r>
        <w:tab/>
      </w:r>
      <w:r w:rsidR="00184E6C" w:rsidRPr="00182026">
        <w:t>This report will present facts indicating that the U.S. Government is not meeting its full obligations under ICERD</w:t>
      </w:r>
      <w:r w:rsidR="00D017EF">
        <w:t xml:space="preserve"> Articles</w:t>
      </w:r>
      <w:r w:rsidR="00184E6C" w:rsidRPr="00182026">
        <w:t xml:space="preserve"> 5a, 5b, and 5e(iv)</w:t>
      </w:r>
      <w:r w:rsidR="00D56702" w:rsidRPr="00182026">
        <w:t xml:space="preserve">: Right to equal treatment from all justice administrators; Right to security from bodily </w:t>
      </w:r>
      <w:r w:rsidR="00D56702" w:rsidRPr="00182026">
        <w:lastRenderedPageBreak/>
        <w:t>harm; Right to public health, medical care, social security, and social services;</w:t>
      </w:r>
      <w:r w:rsidR="00184E6C" w:rsidRPr="00182026">
        <w:t xml:space="preserve"> and </w:t>
      </w:r>
      <w:r w:rsidR="00DA7E6C" w:rsidRPr="00182026">
        <w:t>ICCPR</w:t>
      </w:r>
      <w:r w:rsidR="00D017EF">
        <w:t xml:space="preserve"> Articles</w:t>
      </w:r>
      <w:r w:rsidR="00DA7E6C" w:rsidRPr="00182026">
        <w:t xml:space="preserve"> 3</w:t>
      </w:r>
      <w:r w:rsidR="00184E6C" w:rsidRPr="00182026">
        <w:t>, 6i, 7</w:t>
      </w:r>
      <w:r w:rsidR="00D56702" w:rsidRPr="00182026">
        <w:t>, and 17: Equal rights of men and women; Right to life; Freedom from arbitrary interferences with privacy, family, and home; Freedom from torture and cruel, inhu</w:t>
      </w:r>
      <w:r w:rsidR="0058510B">
        <w:t xml:space="preserve">man, and degrading treatment. </w:t>
      </w:r>
    </w:p>
    <w:p w14:paraId="188A5445" w14:textId="7C5CA06A" w:rsidR="00EB76C6" w:rsidRPr="00EB76C6" w:rsidRDefault="007C0435" w:rsidP="00EB76C6">
      <w:pPr>
        <w:pStyle w:val="Heading3nonital"/>
      </w:pPr>
      <w:r w:rsidRPr="00EB76C6">
        <w:t>I</w:t>
      </w:r>
      <w:r>
        <w:t>V</w:t>
      </w:r>
      <w:r w:rsidR="00EB76C6" w:rsidRPr="00EB76C6">
        <w:t xml:space="preserve">. THE PROBLEM </w:t>
      </w:r>
    </w:p>
    <w:p w14:paraId="0DCF8DF2" w14:textId="10A49F78" w:rsidR="00D56702" w:rsidRPr="00182026" w:rsidRDefault="00FD2EAF" w:rsidP="00FD2EAF">
      <w:pPr>
        <w:pStyle w:val="AListParagraph"/>
      </w:pPr>
      <w:r>
        <w:t>4.</w:t>
      </w:r>
      <w:r>
        <w:tab/>
      </w:r>
      <w:r w:rsidR="00D56702" w:rsidRPr="00182026">
        <w:t>The ICERD does not include the proposition that the right to life is protected as stated in Article 6 of I</w:t>
      </w:r>
      <w:r w:rsidR="00564281">
        <w:t>CCPR extending to prenatal life.</w:t>
      </w:r>
      <w:r w:rsidR="00D56702" w:rsidRPr="00182026">
        <w:t xml:space="preserve"> </w:t>
      </w:r>
      <w:r w:rsidR="00564281">
        <w:t>H</w:t>
      </w:r>
      <w:r w:rsidR="00D56702" w:rsidRPr="00182026">
        <w:t xml:space="preserve">owever it does provide the right to public health, medical care, social security, and social services [Article 5e(iv)]. Article 5a and 5b of the ICERD supports Article 7 of ICCPR, which guarantees every person freedom from torture and cruel, inhuman, or degrading treatment, by enforcing the right to equal treatment before tribunals and all other organs administering justice, and the right to security of a person from violence or bodily harm. </w:t>
      </w:r>
    </w:p>
    <w:p w14:paraId="6E853D33" w14:textId="16868780" w:rsidR="00D56702" w:rsidRPr="00182026" w:rsidRDefault="00FD2EAF" w:rsidP="00FD2EAF">
      <w:pPr>
        <w:pStyle w:val="AListParagraph"/>
      </w:pPr>
      <w:r>
        <w:t>5.</w:t>
      </w:r>
      <w:r>
        <w:tab/>
      </w:r>
      <w:r w:rsidR="00D56702" w:rsidRPr="00182026">
        <w:t xml:space="preserve">The U.S. Supreme Court made a landmark decision in the case of </w:t>
      </w:r>
      <w:r w:rsidR="00D56702" w:rsidRPr="00182026">
        <w:rPr>
          <w:i/>
        </w:rPr>
        <w:t>Roe v. Wade</w:t>
      </w:r>
      <w:r w:rsidR="00D017EF">
        <w:rPr>
          <w:i/>
        </w:rPr>
        <w:t xml:space="preserve">, </w:t>
      </w:r>
      <w:r w:rsidR="00D017EF" w:rsidRPr="00D017EF">
        <w:t>410 U.S. 113</w:t>
      </w:r>
      <w:r w:rsidR="00D56702" w:rsidRPr="00182026">
        <w:t xml:space="preserve"> (1973), ruling that a right to privacy guaranteed under the due process clause of the 14</w:t>
      </w:r>
      <w:r w:rsidR="00D56702" w:rsidRPr="00182026">
        <w:rPr>
          <w:vertAlign w:val="superscript"/>
        </w:rPr>
        <w:t>th</w:t>
      </w:r>
      <w:r w:rsidR="00D56702" w:rsidRPr="00182026">
        <w:t xml:space="preserve"> Amendment encompasses a woman’s decision to have an abortion. The Court concluded that the decision to abort must be left to the mother and her physician. The U.S. Supreme Court has explicitly rejected the claim that “a fetus is a ‘person’ within the language and meaning” of the U.S. Constitution. </w:t>
      </w:r>
    </w:p>
    <w:p w14:paraId="0889C7E4" w14:textId="6FB3B3BC" w:rsidR="00D56702" w:rsidRPr="00182026" w:rsidRDefault="00FD2EAF" w:rsidP="00FD2EAF">
      <w:pPr>
        <w:pStyle w:val="AListParagraph"/>
      </w:pPr>
      <w:r>
        <w:t>6.</w:t>
      </w:r>
      <w:r>
        <w:tab/>
      </w:r>
      <w:r w:rsidR="00D56702" w:rsidRPr="00182026">
        <w:t xml:space="preserve">Legislators in the state of Georgia have drafted legislation that would declare that life begins at the point of fertilization. This highly controversial bill, cited as the ‘Sanctity of Human Life Act’, would grant legal “personhood” rights to unborn fetuses. If this legislation </w:t>
      </w:r>
      <w:r w:rsidR="006438DD">
        <w:t>w</w:t>
      </w:r>
      <w:r w:rsidR="00065724">
        <w:t>ere</w:t>
      </w:r>
      <w:r w:rsidR="006438DD">
        <w:t xml:space="preserve"> </w:t>
      </w:r>
      <w:r w:rsidR="00D56702" w:rsidRPr="00182026">
        <w:t>passed, it would ban abortions and restrict in vitro fertilization, in violation of the ICERD. Mississippi attempted a similar restriction through Initiative 26, known as the ‘Life Begins at the Moment of Fertilization Amendment</w:t>
      </w:r>
      <w:r w:rsidR="004232BB" w:rsidRPr="00182026">
        <w:t xml:space="preserve">’, which was on the November 8, 2011 general election ballot. Initiative 26 was defeated by 57.63% voting against the initiative, and 42.37% voting in favor. The debate on Initiative 26 did not include any discussion of its violating ICERD Article 5e(iv), or the right to public health and social services. </w:t>
      </w:r>
    </w:p>
    <w:p w14:paraId="28C61AC5" w14:textId="3646E6AF" w:rsidR="004232BB" w:rsidRPr="00182026" w:rsidRDefault="00FD2EAF" w:rsidP="00FD2EAF">
      <w:pPr>
        <w:pStyle w:val="AListParagraph"/>
      </w:pPr>
      <w:r>
        <w:t>7.</w:t>
      </w:r>
      <w:r>
        <w:tab/>
      </w:r>
      <w:r w:rsidR="004232BB" w:rsidRPr="00182026">
        <w:t>In June 2011, the Ohio House of Representatives passed proposed Bill 125 to “prohibit any abortion of an unborn human individual with a detectable fetal heartbeat.” A fetal heartbeat can be detected as early as six weeks</w:t>
      </w:r>
      <w:r w:rsidR="00F46215">
        <w:t>,</w:t>
      </w:r>
      <w:r w:rsidR="004232BB" w:rsidRPr="00182026">
        <w:t xml:space="preserve"> before many women even are aware that they are pregnant. The discussions of these bills did not mention that these various restrictions on abortions </w:t>
      </w:r>
      <w:r w:rsidR="00F46215">
        <w:t xml:space="preserve">would </w:t>
      </w:r>
      <w:r w:rsidR="004232BB" w:rsidRPr="00182026">
        <w:t>violate ICERD Articles 5a, 5b, and 5e (iv).</w:t>
      </w:r>
    </w:p>
    <w:p w14:paraId="6BBF5253" w14:textId="08830FE7" w:rsidR="008217DF" w:rsidRPr="00182026" w:rsidRDefault="00FD2EAF" w:rsidP="00FD2EAF">
      <w:pPr>
        <w:pStyle w:val="AListParagraph"/>
      </w:pPr>
      <w:r>
        <w:t>8.</w:t>
      </w:r>
      <w:r>
        <w:tab/>
      </w:r>
      <w:r w:rsidR="008217DF" w:rsidRPr="00FD2EAF">
        <w:rPr>
          <w:b/>
        </w:rPr>
        <w:t>Access to Contraception</w:t>
      </w:r>
      <w:r>
        <w:br/>
      </w:r>
      <w:r>
        <w:tab/>
      </w:r>
      <w:r w:rsidR="008217DF" w:rsidRPr="00182026">
        <w:t xml:space="preserve">In the 1965 decision in </w:t>
      </w:r>
      <w:r w:rsidR="008217DF" w:rsidRPr="00182026">
        <w:rPr>
          <w:i/>
          <w:iCs/>
        </w:rPr>
        <w:t>Griswold v. Connecticut</w:t>
      </w:r>
      <w:r w:rsidR="008217DF" w:rsidRPr="00182026">
        <w:t xml:space="preserve">, </w:t>
      </w:r>
      <w:r w:rsidR="00D017EF">
        <w:t xml:space="preserve">381 U.S. 479 (1965), </w:t>
      </w:r>
      <w:r w:rsidR="008217DF" w:rsidRPr="00182026">
        <w:t xml:space="preserve">the Supreme Court held that the right to privacy extends to marital relations, and </w:t>
      </w:r>
      <w:r w:rsidR="00065724">
        <w:t xml:space="preserve">that </w:t>
      </w:r>
      <w:r w:rsidR="008217DF" w:rsidRPr="00182026">
        <w:t>couples seeking contraception cannot be denied access.</w:t>
      </w:r>
      <w:r w:rsidR="008879EB">
        <w:rPr>
          <w:rStyle w:val="FootnoteReference"/>
        </w:rPr>
        <w:footnoteReference w:id="3"/>
      </w:r>
      <w:r w:rsidR="00182026" w:rsidRPr="00182026">
        <w:t xml:space="preserve"> </w:t>
      </w:r>
      <w:r w:rsidR="008217DF" w:rsidRPr="00182026">
        <w:t xml:space="preserve">This decision recognizes that the constitutional right to privacy should ensure access to birth control and related healthcare counseling. However, access to contraception that was upheld under the right to privacy in </w:t>
      </w:r>
      <w:r w:rsidR="008217DF" w:rsidRPr="00182026">
        <w:rPr>
          <w:i/>
          <w:iCs/>
        </w:rPr>
        <w:t>Griswold v. Connecticut</w:t>
      </w:r>
      <w:r w:rsidR="008879EB">
        <w:rPr>
          <w:rStyle w:val="FootnoteReference"/>
          <w:i/>
          <w:iCs/>
        </w:rPr>
        <w:footnoteReference w:id="4"/>
      </w:r>
      <w:r w:rsidR="008217DF" w:rsidRPr="00182026">
        <w:rPr>
          <w:i/>
          <w:iCs/>
        </w:rPr>
        <w:t xml:space="preserve"> </w:t>
      </w:r>
      <w:r w:rsidR="008217DF" w:rsidRPr="00182026">
        <w:t xml:space="preserve">has recently been tested with new legislation limiting access to birth control under the “conscience clauses.” </w:t>
      </w:r>
    </w:p>
    <w:p w14:paraId="25C632CA" w14:textId="062876E4" w:rsidR="008217DF" w:rsidRPr="00182026" w:rsidRDefault="00FD2EAF" w:rsidP="00FD2EAF">
      <w:pPr>
        <w:pStyle w:val="AListParagraph"/>
      </w:pPr>
      <w:r>
        <w:t>9.</w:t>
      </w:r>
      <w:r>
        <w:tab/>
      </w:r>
      <w:r w:rsidR="008217DF" w:rsidRPr="00182026">
        <w:t xml:space="preserve">Several states have laws or regulations that allow physicians, pharmacists, and/or individual providers the ability to refuse services under “conscience clauses,” which permits pharmacists, physicians, and other medical professionals to refuse to perform certain services or provide contraception. These regulations allow pharmacists or other healthcare providers to refuse to provide services for reasons of religion or conscience. Some of the pharmacists’ objections stem from the belief that contraception, specifically emergency contraception, known as the “morning after” or “Plan B” pill, is an abortifacient, a drug that would destroy a fertilized egg and induce an abortion. Although the majority of the medical community has debunked these claims that emergency contraception is the “abortion pill”, the controversies over these types of contraception have further fueled public opinion for more stringent regulations of contraception. </w:t>
      </w:r>
    </w:p>
    <w:p w14:paraId="3F9733F1" w14:textId="4C35EF01" w:rsidR="008217DF" w:rsidRPr="00182026" w:rsidRDefault="00FD2EAF" w:rsidP="00FD2EAF">
      <w:pPr>
        <w:pStyle w:val="AListParagraph"/>
      </w:pPr>
      <w:r>
        <w:t>10.</w:t>
      </w:r>
      <w:r>
        <w:tab/>
      </w:r>
      <w:r w:rsidR="008217DF" w:rsidRPr="00182026">
        <w:t>Several states have enacted legislation evoking the “conscience clause” to permit medical professionals and facilities to refuse to provide reproductive health services. One primary example is Georgia Admin. Code § 480-5-.03. The “Refusal to Fill Prescription” clause states that, “it shall not be considered unprofessional conduct for any pharmacist to refuse to fill any prescription based on his/her professional judgment or ethical or moral beliefs</w:t>
      </w:r>
      <w:r w:rsidR="00D017EF">
        <w:t>.</w:t>
      </w:r>
      <w:r w:rsidR="008217DF" w:rsidRPr="00182026">
        <w:t xml:space="preserve"> </w:t>
      </w:r>
      <w:hyperlink r:id="rId8" w:history="1">
        <w:r w:rsidR="008217DF" w:rsidRPr="00182026">
          <w:t>Mississippi Code Ann. § 41-41-215</w:t>
        </w:r>
      </w:hyperlink>
      <w:r w:rsidR="008217DF" w:rsidRPr="00182026">
        <w:t xml:space="preserve"> permits healthcare providers, including but not limited to pharmacists, counselors, social workers, healthcare facilities, “to refuse to provide [any] medical services, including counseling and referral, on religious or ethnical grounds.”</w:t>
      </w:r>
      <w:r w:rsidR="008879EB">
        <w:rPr>
          <w:rStyle w:val="FootnoteReference"/>
        </w:rPr>
        <w:footnoteReference w:id="5"/>
      </w:r>
    </w:p>
    <w:p w14:paraId="26B0861C" w14:textId="2705BB1B" w:rsidR="00EB76C6" w:rsidRDefault="00EB76C6" w:rsidP="00EB76C6">
      <w:pPr>
        <w:pStyle w:val="Heading3nonital"/>
      </w:pPr>
      <w:r>
        <w:t>V</w:t>
      </w:r>
      <w:r w:rsidR="007C0435">
        <w:t>I</w:t>
      </w:r>
      <w:r>
        <w:t>.</w:t>
      </w:r>
      <w:r>
        <w:rPr>
          <w:rFonts w:ascii="Arial" w:hAnsi="Arial"/>
        </w:rPr>
        <w:t xml:space="preserve"> </w:t>
      </w:r>
      <w:r w:rsidRPr="008C2886">
        <w:t>SUGGESTIONS FOR COMMITTEE ACTION</w:t>
      </w:r>
    </w:p>
    <w:p w14:paraId="5D15A6AE" w14:textId="4C1ED214" w:rsidR="008217DF" w:rsidRPr="00182026" w:rsidRDefault="00FD2EAF" w:rsidP="00FD2EAF">
      <w:pPr>
        <w:pStyle w:val="AListParagraph"/>
      </w:pPr>
      <w:r>
        <w:t>11.</w:t>
      </w:r>
      <w:r>
        <w:tab/>
      </w:r>
      <w:r w:rsidR="008217DF" w:rsidRPr="00182026">
        <w:t>The Committee may want to mention that the U.S. federal government could encourage more states to take the effective measures taken by some states to provide greater accessibility to contraception. In Illinois, Governor Rod Blagojevich</w:t>
      </w:r>
      <w:r w:rsidR="00065724">
        <w:t xml:space="preserve"> </w:t>
      </w:r>
      <w:r w:rsidR="002A16DD">
        <w:t>(being out since 2009)</w:t>
      </w:r>
      <w:r w:rsidR="008217DF" w:rsidRPr="00182026">
        <w:t xml:space="preserve"> issued emergency rules that “require pharmacies to dispense FDA-approved contraceptives.” Although only a temporary emergency ruling, the Illinois legislature may make this permanent through the normal rulemaking process.</w:t>
      </w:r>
    </w:p>
    <w:p w14:paraId="22A83821" w14:textId="556E2580" w:rsidR="008217DF" w:rsidRPr="00182026" w:rsidRDefault="00FD2EAF" w:rsidP="00FD2EAF">
      <w:pPr>
        <w:pStyle w:val="AListParagraph"/>
      </w:pPr>
      <w:r>
        <w:t>12.</w:t>
      </w:r>
      <w:r>
        <w:tab/>
      </w:r>
      <w:r w:rsidR="008217DF" w:rsidRPr="00182026">
        <w:t xml:space="preserve">In its Concluding Observations on the U.S. Report, the Committee can set forth how many of the state statutes described above violate the ICERD and the U.S. Constitution by denying women and their doctors and pharmacists rights essential to their exercise of the rights to privacy and health care. </w:t>
      </w:r>
    </w:p>
    <w:p w14:paraId="2A7E1871" w14:textId="7DA19057" w:rsidR="004232BB" w:rsidRPr="008879EB" w:rsidRDefault="00FD2EAF" w:rsidP="00FD2EAF">
      <w:pPr>
        <w:pStyle w:val="AListParagraph"/>
      </w:pPr>
      <w:r>
        <w:t>13.</w:t>
      </w:r>
      <w:r>
        <w:tab/>
      </w:r>
      <w:r w:rsidR="008217DF" w:rsidRPr="00182026">
        <w:t>The Concluding Observations can remind the U.S. federal government of its duty to publicize the text of the ICERD at the federal and local levels so that state legislators and state supreme court justices become aware that their decisions on health care and women’s rights issues must not violate the rights set forth in the ICERD, a treaty ratified by the U.S., making it part of the “supreme law of the land” under the U.S. Consti</w:t>
      </w:r>
      <w:r w:rsidR="008879EB">
        <w:t>tution, Article 6 clause 2.</w:t>
      </w:r>
    </w:p>
    <w:sectPr w:rsidR="004232BB" w:rsidRPr="008879EB" w:rsidSect="0058510B">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D3167F" w14:textId="77777777" w:rsidR="0056738C" w:rsidRDefault="0056738C" w:rsidP="004232BB">
      <w:pPr>
        <w:spacing w:after="0" w:line="240" w:lineRule="auto"/>
      </w:pPr>
      <w:r>
        <w:separator/>
      </w:r>
    </w:p>
  </w:endnote>
  <w:endnote w:type="continuationSeparator" w:id="0">
    <w:p w14:paraId="1008DD7D" w14:textId="77777777" w:rsidR="0056738C" w:rsidRDefault="0056738C" w:rsidP="00423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Neue">
    <w:altName w:val="Malgun Gothic"/>
    <w:charset w:val="00"/>
    <w:family w:val="auto"/>
    <w:pitch w:val="variable"/>
    <w:sig w:usb0="00000003" w:usb1="00000000" w:usb2="00000000" w:usb3="00000000" w:csb0="00000001" w:csb1="00000000"/>
  </w:font>
  <w:font w:name="Optima">
    <w:altName w:val="Bell MT"/>
    <w:charset w:val="00"/>
    <w:family w:val="auto"/>
    <w:pitch w:val="variable"/>
    <w:sig w:usb0="00000003" w:usb1="00000000" w:usb2="00000000" w:usb3="00000000" w:csb0="00000001" w:csb1="00000000"/>
  </w:font>
  <w:font w:name="Palatino">
    <w:altName w:val="Book Antiqua"/>
    <w:charset w:val="00"/>
    <w:family w:val="auto"/>
    <w:pitch w:val="variable"/>
    <w:sig w:usb0="03000000"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FB34C4" w14:textId="77777777" w:rsidR="0058510B" w:rsidRPr="0058510B" w:rsidRDefault="0058510B" w:rsidP="0058510B">
    <w:pPr>
      <w:pStyle w:val="Footer"/>
      <w:pBdr>
        <w:top w:val="single" w:sz="4" w:space="8" w:color="auto"/>
      </w:pBdr>
      <w:tabs>
        <w:tab w:val="clear" w:pos="8640"/>
        <w:tab w:val="right" w:pos="9360"/>
      </w:tabs>
      <w:rPr>
        <w:rFonts w:ascii="Palatino Linotype" w:hAnsi="Palatino Linotype"/>
      </w:rPr>
    </w:pPr>
    <w:r w:rsidRPr="007F26CF">
      <w:rPr>
        <w:rFonts w:ascii="Palatino Linotype" w:hAnsi="Palatino Linotype"/>
      </w:rPr>
      <w:t>Reports/1.</w:t>
    </w:r>
    <w:r>
      <w:rPr>
        <w:rFonts w:ascii="Palatino Linotype" w:hAnsi="Palatino Linotype"/>
      </w:rPr>
      <w:t>Shadow Reports/2014_HRN</w:t>
    </w:r>
    <w:r w:rsidRPr="007F26CF">
      <w:rPr>
        <w:rFonts w:ascii="Palatino Linotype" w:hAnsi="Palatino Linotype"/>
      </w:rPr>
      <w:t>/</w:t>
    </w:r>
    <w:r w:rsidRPr="0058510B">
      <w:t xml:space="preserve"> </w:t>
    </w:r>
    <w:proofErr w:type="spellStart"/>
    <w:r w:rsidRPr="0058510B">
      <w:rPr>
        <w:rFonts w:ascii="Palatino Linotype" w:hAnsi="Palatino Linotype"/>
      </w:rPr>
      <w:t>MCLI_Abortion</w:t>
    </w:r>
    <w:proofErr w:type="spellEnd"/>
    <w:r w:rsidRPr="0058510B">
      <w:rPr>
        <w:rFonts w:ascii="Palatino Linotype" w:hAnsi="Palatino Linotype"/>
      </w:rPr>
      <w:t xml:space="preserve"> ICERD</w:t>
    </w:r>
    <w:r>
      <w:rPr>
        <w:rFonts w:ascii="Palatino Linotype" w:hAnsi="Palatino Linotype"/>
      </w:rPr>
      <w:t>.docx</w:t>
    </w:r>
    <w:r w:rsidRPr="007F26CF">
      <w:rPr>
        <w:rFonts w:ascii="Palatino Linotype" w:hAnsi="Palatino Linotype"/>
      </w:rPr>
      <w:tab/>
      <w:t xml:space="preserve">Page </w:t>
    </w:r>
    <w:r w:rsidR="007A349E" w:rsidRPr="007F26CF">
      <w:rPr>
        <w:rFonts w:ascii="Palatino Linotype" w:hAnsi="Palatino Linotype"/>
      </w:rPr>
      <w:fldChar w:fldCharType="begin"/>
    </w:r>
    <w:r w:rsidRPr="007F26CF">
      <w:rPr>
        <w:rFonts w:ascii="Palatino Linotype" w:hAnsi="Palatino Linotype"/>
      </w:rPr>
      <w:instrText xml:space="preserve"> PAGE </w:instrText>
    </w:r>
    <w:r w:rsidR="007A349E" w:rsidRPr="007F26CF">
      <w:rPr>
        <w:rFonts w:ascii="Palatino Linotype" w:hAnsi="Palatino Linotype"/>
      </w:rPr>
      <w:fldChar w:fldCharType="separate"/>
    </w:r>
    <w:r w:rsidR="00FC5A11">
      <w:rPr>
        <w:rFonts w:ascii="Palatino Linotype" w:hAnsi="Palatino Linotype"/>
        <w:noProof/>
      </w:rPr>
      <w:t>1</w:t>
    </w:r>
    <w:r w:rsidR="007A349E" w:rsidRPr="007F26CF">
      <w:rPr>
        <w:rFonts w:ascii="Palatino Linotype" w:hAnsi="Palatino Linotype"/>
      </w:rPr>
      <w:fldChar w:fldCharType="end"/>
    </w:r>
    <w:r w:rsidRPr="007F26CF">
      <w:rPr>
        <w:rFonts w:ascii="Palatino Linotype" w:hAnsi="Palatino Linotype"/>
      </w:rPr>
      <w:t xml:space="preserve"> of </w:t>
    </w:r>
    <w:r w:rsidR="007A349E" w:rsidRPr="007F26CF">
      <w:rPr>
        <w:rFonts w:ascii="Palatino Linotype" w:hAnsi="Palatino Linotype"/>
      </w:rPr>
      <w:fldChar w:fldCharType="begin"/>
    </w:r>
    <w:r w:rsidRPr="007F26CF">
      <w:rPr>
        <w:rFonts w:ascii="Palatino Linotype" w:hAnsi="Palatino Linotype"/>
      </w:rPr>
      <w:instrText xml:space="preserve"> NUMPAGES </w:instrText>
    </w:r>
    <w:r w:rsidR="007A349E" w:rsidRPr="007F26CF">
      <w:rPr>
        <w:rFonts w:ascii="Palatino Linotype" w:hAnsi="Palatino Linotype"/>
      </w:rPr>
      <w:fldChar w:fldCharType="separate"/>
    </w:r>
    <w:r w:rsidR="00FC5A11">
      <w:rPr>
        <w:rFonts w:ascii="Palatino Linotype" w:hAnsi="Palatino Linotype"/>
        <w:noProof/>
      </w:rPr>
      <w:t>4</w:t>
    </w:r>
    <w:r w:rsidR="007A349E" w:rsidRPr="007F26CF">
      <w:rPr>
        <w:rFonts w:ascii="Palatino Linotype" w:hAnsi="Palatino Linotyp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7C6158" w14:textId="77777777" w:rsidR="0056738C" w:rsidRDefault="0056738C" w:rsidP="004232BB">
      <w:pPr>
        <w:spacing w:after="0" w:line="240" w:lineRule="auto"/>
      </w:pPr>
      <w:r>
        <w:separator/>
      </w:r>
    </w:p>
  </w:footnote>
  <w:footnote w:type="continuationSeparator" w:id="0">
    <w:p w14:paraId="390DEFEC" w14:textId="77777777" w:rsidR="0056738C" w:rsidRDefault="0056738C" w:rsidP="004232BB">
      <w:pPr>
        <w:spacing w:after="0" w:line="240" w:lineRule="auto"/>
      </w:pPr>
      <w:r>
        <w:continuationSeparator/>
      </w:r>
    </w:p>
  </w:footnote>
  <w:footnote w:id="1">
    <w:p w14:paraId="7CBD74D3" w14:textId="77777777" w:rsidR="00D017EF" w:rsidRDefault="00D017EF" w:rsidP="00AE047E">
      <w:pPr>
        <w:pStyle w:val="Footnotetext0"/>
      </w:pPr>
      <w:r>
        <w:rPr>
          <w:rStyle w:val="FootnoteReference"/>
        </w:rPr>
        <w:footnoteRef/>
      </w:r>
      <w:r>
        <w:t xml:space="preserve"> </w:t>
      </w:r>
      <w:r>
        <w:tab/>
        <w:t xml:space="preserve">This report was prepared by Ann Fagan Ginger, </w:t>
      </w:r>
      <w:r w:rsidR="00534A26">
        <w:t xml:space="preserve">retired attorney, </w:t>
      </w:r>
      <w:r w:rsidRPr="00D017EF">
        <w:t>Meiklejohn Civil Liberties Institute</w:t>
      </w:r>
    </w:p>
  </w:footnote>
  <w:footnote w:id="2">
    <w:p w14:paraId="0B37BC57" w14:textId="77777777" w:rsidR="00D017EF" w:rsidRDefault="00D017EF" w:rsidP="00AE047E">
      <w:pPr>
        <w:pStyle w:val="Footnotetext0"/>
      </w:pPr>
      <w:r>
        <w:rPr>
          <w:rStyle w:val="FootnoteReference"/>
        </w:rPr>
        <w:footnoteRef/>
      </w:r>
      <w:r>
        <w:t xml:space="preserve"> </w:t>
      </w:r>
      <w:r>
        <w:tab/>
      </w:r>
      <w:proofErr w:type="gramStart"/>
      <w:r w:rsidRPr="006C6544">
        <w:t xml:space="preserve">“Facts on Induced Abortion in the United States,” </w:t>
      </w:r>
      <w:r w:rsidRPr="006C6544">
        <w:rPr>
          <w:i/>
        </w:rPr>
        <w:t>Guttmacher Institute,</w:t>
      </w:r>
      <w:r w:rsidRPr="006C6544">
        <w:t xml:space="preserve"> August 2011, http://www.guttmacher.org/pubs/fb_induced_abortion.html.</w:t>
      </w:r>
      <w:proofErr w:type="gramEnd"/>
    </w:p>
    <w:p w14:paraId="7441087B" w14:textId="77777777" w:rsidR="00D017EF" w:rsidRDefault="00D017EF">
      <w:pPr>
        <w:pStyle w:val="FootnoteText"/>
      </w:pPr>
    </w:p>
  </w:footnote>
  <w:footnote w:id="3">
    <w:p w14:paraId="7DEF3D55" w14:textId="77777777" w:rsidR="008879EB" w:rsidRDefault="008879EB" w:rsidP="00B5733A">
      <w:pPr>
        <w:pStyle w:val="Footnotetext0"/>
      </w:pPr>
      <w:r>
        <w:rPr>
          <w:rStyle w:val="FootnoteReference"/>
        </w:rPr>
        <w:footnoteRef/>
      </w:r>
      <w:r>
        <w:t xml:space="preserve"> </w:t>
      </w:r>
      <w:r>
        <w:tab/>
      </w:r>
      <w:proofErr w:type="gramStart"/>
      <w:r w:rsidRPr="006C6544">
        <w:t xml:space="preserve">“Facts on Induced Abortion in the United States,” </w:t>
      </w:r>
      <w:r w:rsidRPr="006C6544">
        <w:rPr>
          <w:i/>
        </w:rPr>
        <w:t>Guttmacher Institute,</w:t>
      </w:r>
      <w:r w:rsidRPr="006C6544">
        <w:t xml:space="preserve"> August 2011, http://www.guttmacher.org/pubs/fb_induced_abortion.html.</w:t>
      </w:r>
      <w:proofErr w:type="gramEnd"/>
    </w:p>
  </w:footnote>
  <w:footnote w:id="4">
    <w:p w14:paraId="5E10E063" w14:textId="77777777" w:rsidR="008879EB" w:rsidRDefault="008879EB" w:rsidP="00AE047E">
      <w:pPr>
        <w:pStyle w:val="Footnotetext0"/>
      </w:pPr>
      <w:r>
        <w:rPr>
          <w:rStyle w:val="FootnoteReference"/>
        </w:rPr>
        <w:footnoteRef/>
      </w:r>
      <w:r>
        <w:t xml:space="preserve"> </w:t>
      </w:r>
      <w:r>
        <w:tab/>
      </w:r>
      <w:r w:rsidRPr="008879EB">
        <w:t>Griswold vs. Conn</w:t>
      </w:r>
      <w:r>
        <w:t>ecticut, US Supreme Court, 1965</w:t>
      </w:r>
    </w:p>
  </w:footnote>
  <w:footnote w:id="5">
    <w:p w14:paraId="487D0F34" w14:textId="77777777" w:rsidR="008879EB" w:rsidRDefault="008879EB" w:rsidP="00AE047E">
      <w:pPr>
        <w:pStyle w:val="Footnotetext0"/>
      </w:pPr>
      <w:r>
        <w:rPr>
          <w:rStyle w:val="FootnoteReference"/>
        </w:rPr>
        <w:footnoteRef/>
      </w:r>
      <w:r>
        <w:t xml:space="preserve"> </w:t>
      </w:r>
      <w:r>
        <w:tab/>
      </w:r>
      <w:r w:rsidRPr="006C6544">
        <w:t>National Conference of State Legislatures, “Pharmacist Conscious clauses:  Laws and Information,” May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964AEE" w14:textId="77777777" w:rsidR="0058510B" w:rsidRPr="0058510B" w:rsidRDefault="0058510B" w:rsidP="0058510B">
    <w:pPr>
      <w:pStyle w:val="Header"/>
      <w:rPr>
        <w:rFonts w:ascii="Palatino Linotype" w:hAnsi="Palatino Linotype"/>
        <w:szCs w:val="20"/>
      </w:rPr>
    </w:pPr>
    <w:r w:rsidRPr="0058510B">
      <w:rPr>
        <w:rFonts w:ascii="Palatino Linotype" w:hAnsi="Palatino Linotype"/>
        <w:szCs w:val="20"/>
      </w:rPr>
      <w:t>ICERD Shadow Report: Report on Abortion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22FC5"/>
    <w:multiLevelType w:val="hybridMultilevel"/>
    <w:tmpl w:val="DCBA5E6E"/>
    <w:lvl w:ilvl="0" w:tplc="5E80AA78">
      <w:start w:val="1"/>
      <w:numFmt w:val="bullet"/>
      <w:lvlText w:val=""/>
      <w:lvlJc w:val="left"/>
      <w:pPr>
        <w:ind w:left="1498" w:hanging="360"/>
      </w:pPr>
      <w:rPr>
        <w:rFonts w:ascii="Wingdings" w:hAnsi="Wingdings"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C7303958">
      <w:start w:val="1"/>
      <w:numFmt w:val="bullet"/>
      <w:pStyle w:val="citationssub"/>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
    <w:nsid w:val="24266FD0"/>
    <w:multiLevelType w:val="hybridMultilevel"/>
    <w:tmpl w:val="0686AF7E"/>
    <w:lvl w:ilvl="0" w:tplc="EF70225C">
      <w:start w:val="1"/>
      <w:numFmt w:val="decimal"/>
      <w:pStyle w:val="Heading3num"/>
      <w:lvlText w:val="R%1."/>
      <w:lvlJc w:val="left"/>
      <w:pPr>
        <w:ind w:left="108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840A4B"/>
    <w:multiLevelType w:val="hybridMultilevel"/>
    <w:tmpl w:val="994EC3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581291"/>
    <w:multiLevelType w:val="hybridMultilevel"/>
    <w:tmpl w:val="0002AEAE"/>
    <w:lvl w:ilvl="0" w:tplc="41AE28A4">
      <w:start w:val="1"/>
      <w:numFmt w:val="decimal"/>
      <w:pStyle w:val="1Listparagraph"/>
      <w:lvlText w:val="%1."/>
      <w:lvlJc w:val="left"/>
      <w:pPr>
        <w:tabs>
          <w:tab w:val="num" w:pos="1080"/>
        </w:tabs>
        <w:ind w:left="1080" w:hanging="360"/>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4387AF8"/>
    <w:multiLevelType w:val="hybridMultilevel"/>
    <w:tmpl w:val="FD02D778"/>
    <w:lvl w:ilvl="0" w:tplc="3A88F95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EF01EBE"/>
    <w:multiLevelType w:val="hybridMultilevel"/>
    <w:tmpl w:val="0A1C4D60"/>
    <w:lvl w:ilvl="0" w:tplc="7DE897DC">
      <w:start w:val="1"/>
      <w:numFmt w:val="decimal"/>
      <w:pStyle w:val="Listwithcitation"/>
      <w:lvlText w:val="%1."/>
      <w:lvlJc w:val="left"/>
      <w:pPr>
        <w:tabs>
          <w:tab w:val="num" w:pos="720"/>
        </w:tabs>
        <w:ind w:left="720" w:hanging="360"/>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077"/>
    <w:rsid w:val="00004F45"/>
    <w:rsid w:val="00011A9A"/>
    <w:rsid w:val="000460F5"/>
    <w:rsid w:val="00065724"/>
    <w:rsid w:val="0006690E"/>
    <w:rsid w:val="00182026"/>
    <w:rsid w:val="00184E6C"/>
    <w:rsid w:val="002A16DD"/>
    <w:rsid w:val="002A33E8"/>
    <w:rsid w:val="00396167"/>
    <w:rsid w:val="003C6909"/>
    <w:rsid w:val="003D1C03"/>
    <w:rsid w:val="004232BB"/>
    <w:rsid w:val="00465CF1"/>
    <w:rsid w:val="004939A7"/>
    <w:rsid w:val="00534A26"/>
    <w:rsid w:val="00564281"/>
    <w:rsid w:val="0056738C"/>
    <w:rsid w:val="0058510B"/>
    <w:rsid w:val="005925BA"/>
    <w:rsid w:val="0059470D"/>
    <w:rsid w:val="005B68E1"/>
    <w:rsid w:val="006438DD"/>
    <w:rsid w:val="006C6544"/>
    <w:rsid w:val="007A349E"/>
    <w:rsid w:val="007C0435"/>
    <w:rsid w:val="008217DF"/>
    <w:rsid w:val="00875BB0"/>
    <w:rsid w:val="008879EB"/>
    <w:rsid w:val="008F1CE8"/>
    <w:rsid w:val="009C6C7D"/>
    <w:rsid w:val="00A23FB2"/>
    <w:rsid w:val="00AE047E"/>
    <w:rsid w:val="00B5733A"/>
    <w:rsid w:val="00B93EEF"/>
    <w:rsid w:val="00B97F70"/>
    <w:rsid w:val="00C96196"/>
    <w:rsid w:val="00CB70FA"/>
    <w:rsid w:val="00CE2479"/>
    <w:rsid w:val="00D017EF"/>
    <w:rsid w:val="00D33C1A"/>
    <w:rsid w:val="00D56702"/>
    <w:rsid w:val="00D57621"/>
    <w:rsid w:val="00D830E2"/>
    <w:rsid w:val="00DA7E6C"/>
    <w:rsid w:val="00EB76C6"/>
    <w:rsid w:val="00EC5077"/>
    <w:rsid w:val="00F46215"/>
    <w:rsid w:val="00F56361"/>
    <w:rsid w:val="00FC34F1"/>
    <w:rsid w:val="00FC5A11"/>
    <w:rsid w:val="00FD2E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5EF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Title" w:semiHidden="0" w:uiPriority="10" w:unhideWhenUsed="0" w:qFormat="1"/>
    <w:lsdException w:name="Closing" w:uiPriority="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qFormat="1"/>
    <w:lsdException w:name="TOC Heading" w:uiPriority="39" w:qFormat="1"/>
  </w:latentStyles>
  <w:style w:type="paragraph" w:default="1" w:styleId="Normal">
    <w:name w:val="Normal"/>
    <w:rsid w:val="0058510B"/>
    <w:pPr>
      <w:tabs>
        <w:tab w:val="left" w:pos="720"/>
        <w:tab w:val="left" w:pos="960"/>
        <w:tab w:val="right" w:leader="dot" w:pos="9360"/>
      </w:tabs>
      <w:spacing w:after="80" w:line="280" w:lineRule="atLeast"/>
      <w:ind w:left="720" w:hanging="720"/>
    </w:pPr>
    <w:rPr>
      <w:rFonts w:ascii="Palatino Linotype" w:eastAsia="Cambria" w:hAnsi="Palatino Linotype" w:cs="Times New Roman"/>
      <w:sz w:val="24"/>
    </w:rPr>
  </w:style>
  <w:style w:type="paragraph" w:styleId="Heading1">
    <w:name w:val="heading 1"/>
    <w:basedOn w:val="Normal"/>
    <w:next w:val="Normal"/>
    <w:link w:val="Heading1Char"/>
    <w:qFormat/>
    <w:rsid w:val="0058510B"/>
    <w:pPr>
      <w:spacing w:before="160" w:after="160"/>
      <w:jc w:val="center"/>
      <w:outlineLvl w:val="0"/>
    </w:pPr>
    <w:rPr>
      <w:b/>
      <w:bCs/>
      <w:sz w:val="56"/>
    </w:rPr>
  </w:style>
  <w:style w:type="paragraph" w:styleId="Heading2">
    <w:name w:val="heading 2"/>
    <w:basedOn w:val="Normal"/>
    <w:next w:val="Normal"/>
    <w:link w:val="Heading2Char"/>
    <w:qFormat/>
    <w:rsid w:val="0058510B"/>
    <w:pPr>
      <w:jc w:val="center"/>
      <w:outlineLvl w:val="1"/>
    </w:pPr>
    <w:rPr>
      <w:bCs/>
      <w:sz w:val="48"/>
    </w:rPr>
  </w:style>
  <w:style w:type="paragraph" w:styleId="Heading3">
    <w:name w:val="heading 3"/>
    <w:link w:val="Heading3Char"/>
    <w:qFormat/>
    <w:rsid w:val="0058510B"/>
    <w:pPr>
      <w:keepNext/>
      <w:spacing w:before="240" w:line="280" w:lineRule="atLeast"/>
      <w:jc w:val="center"/>
      <w:outlineLvl w:val="2"/>
    </w:pPr>
    <w:rPr>
      <w:rFonts w:ascii="Palatino Linotype" w:eastAsia="Cambria" w:hAnsi="Palatino Linotype" w:cs="Arial"/>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Bodyflush"/>
    <w:uiPriority w:val="34"/>
    <w:qFormat/>
    <w:rsid w:val="0058510B"/>
    <w:pPr>
      <w:tabs>
        <w:tab w:val="clear" w:pos="9360"/>
      </w:tabs>
    </w:pPr>
    <w:rPr>
      <w:rFonts w:ascii="Cambria" w:hAnsi="Cambria"/>
    </w:rPr>
  </w:style>
  <w:style w:type="paragraph" w:styleId="Header">
    <w:name w:val="header"/>
    <w:link w:val="HeaderChar"/>
    <w:unhideWhenUsed/>
    <w:qFormat/>
    <w:rsid w:val="0058510B"/>
    <w:pPr>
      <w:pBdr>
        <w:bottom w:val="single" w:sz="4" w:space="8" w:color="auto"/>
      </w:pBdr>
      <w:tabs>
        <w:tab w:val="right" w:pos="9360"/>
      </w:tabs>
      <w:spacing w:after="0" w:line="240" w:lineRule="auto"/>
    </w:pPr>
    <w:rPr>
      <w:rFonts w:ascii="Helvetica Neue" w:eastAsia="Cambria" w:hAnsi="Helvetica Neue" w:cs="Times New Roman"/>
      <w:bCs/>
      <w:sz w:val="20"/>
      <w:szCs w:val="28"/>
    </w:rPr>
  </w:style>
  <w:style w:type="character" w:customStyle="1" w:styleId="HeaderChar">
    <w:name w:val="Header Char"/>
    <w:basedOn w:val="DefaultParagraphFont"/>
    <w:link w:val="Header"/>
    <w:rsid w:val="0058510B"/>
    <w:rPr>
      <w:rFonts w:ascii="Helvetica Neue" w:eastAsia="Cambria" w:hAnsi="Helvetica Neue" w:cs="Times New Roman"/>
      <w:bCs/>
      <w:sz w:val="20"/>
      <w:szCs w:val="28"/>
    </w:rPr>
  </w:style>
  <w:style w:type="paragraph" w:styleId="Footer">
    <w:name w:val="footer"/>
    <w:link w:val="FooterChar"/>
    <w:qFormat/>
    <w:rsid w:val="0058510B"/>
    <w:pPr>
      <w:tabs>
        <w:tab w:val="right" w:pos="8640"/>
      </w:tabs>
      <w:spacing w:after="0" w:line="240" w:lineRule="auto"/>
    </w:pPr>
    <w:rPr>
      <w:rFonts w:ascii="Helvetica Neue" w:eastAsia="Cambria" w:hAnsi="Helvetica Neue" w:cs="Times New Roman"/>
      <w:sz w:val="20"/>
      <w:szCs w:val="18"/>
    </w:rPr>
  </w:style>
  <w:style w:type="character" w:customStyle="1" w:styleId="FooterChar">
    <w:name w:val="Footer Char"/>
    <w:basedOn w:val="DefaultParagraphFont"/>
    <w:link w:val="Footer"/>
    <w:rsid w:val="0058510B"/>
    <w:rPr>
      <w:rFonts w:ascii="Helvetica Neue" w:eastAsia="Cambria" w:hAnsi="Helvetica Neue" w:cs="Times New Roman"/>
      <w:sz w:val="20"/>
      <w:szCs w:val="18"/>
    </w:rPr>
  </w:style>
  <w:style w:type="character" w:styleId="Hyperlink">
    <w:name w:val="Hyperlink"/>
    <w:basedOn w:val="DefaultParagraphFont"/>
    <w:uiPriority w:val="99"/>
    <w:unhideWhenUsed/>
    <w:rsid w:val="0058510B"/>
    <w:rPr>
      <w:color w:val="0000FF"/>
      <w:u w:val="single"/>
    </w:rPr>
  </w:style>
  <w:style w:type="paragraph" w:customStyle="1" w:styleId="1Listparagraph">
    <w:name w:val="1List_paragraph"/>
    <w:qFormat/>
    <w:rsid w:val="0058510B"/>
    <w:pPr>
      <w:numPr>
        <w:numId w:val="3"/>
      </w:numPr>
      <w:tabs>
        <w:tab w:val="left" w:pos="720"/>
      </w:tabs>
      <w:spacing w:after="0" w:line="240" w:lineRule="auto"/>
    </w:pPr>
    <w:rPr>
      <w:rFonts w:ascii="Palatino Linotype" w:eastAsia="Cambria" w:hAnsi="Palatino Linotype" w:cs="Times New Roman"/>
      <w:sz w:val="24"/>
      <w:szCs w:val="24"/>
    </w:rPr>
  </w:style>
  <w:style w:type="paragraph" w:customStyle="1" w:styleId="AListParagraph">
    <w:name w:val="AList Paragraph"/>
    <w:autoRedefine/>
    <w:qFormat/>
    <w:rsid w:val="00FD2EAF"/>
    <w:pPr>
      <w:spacing w:after="80" w:line="260" w:lineRule="atLeast"/>
      <w:ind w:left="1080" w:hanging="720"/>
    </w:pPr>
    <w:rPr>
      <w:rFonts w:ascii="Palatino Linotype" w:eastAsia="Cambria" w:hAnsi="Palatino Linotype" w:cs="Times New Roman"/>
      <w:sz w:val="24"/>
      <w:szCs w:val="24"/>
    </w:rPr>
  </w:style>
  <w:style w:type="paragraph" w:styleId="Bibliography">
    <w:name w:val="Bibliography"/>
    <w:basedOn w:val="Normal"/>
    <w:next w:val="Normal"/>
    <w:qFormat/>
    <w:rsid w:val="0058510B"/>
    <w:rPr>
      <w:szCs w:val="24"/>
    </w:rPr>
  </w:style>
  <w:style w:type="paragraph" w:customStyle="1" w:styleId="BODbox">
    <w:name w:val="BOD_box"/>
    <w:qFormat/>
    <w:rsid w:val="0058510B"/>
    <w:pPr>
      <w:widowControl w:val="0"/>
      <w:autoSpaceDE w:val="0"/>
      <w:autoSpaceDN w:val="0"/>
      <w:adjustRightInd w:val="0"/>
      <w:spacing w:after="160" w:line="240" w:lineRule="atLeast"/>
    </w:pPr>
    <w:rPr>
      <w:rFonts w:ascii="Optima" w:eastAsia="Calibri" w:hAnsi="Optima" w:cs="Times New Roman"/>
      <w:b/>
      <w:bCs/>
      <w:color w:val="663300"/>
      <w:sz w:val="20"/>
      <w:szCs w:val="20"/>
      <w:lang w:eastAsia="ja-JP"/>
    </w:rPr>
  </w:style>
  <w:style w:type="paragraph" w:styleId="BodyText">
    <w:name w:val="Body Text"/>
    <w:basedOn w:val="Normal"/>
    <w:link w:val="BodyTextChar"/>
    <w:qFormat/>
    <w:rsid w:val="0058510B"/>
    <w:pPr>
      <w:spacing w:after="120"/>
    </w:pPr>
    <w:rPr>
      <w:szCs w:val="24"/>
    </w:rPr>
  </w:style>
  <w:style w:type="character" w:customStyle="1" w:styleId="BodyTextChar">
    <w:name w:val="Body Text Char"/>
    <w:basedOn w:val="DefaultParagraphFont"/>
    <w:link w:val="BodyText"/>
    <w:rsid w:val="0058510B"/>
    <w:rPr>
      <w:rFonts w:ascii="Palatino Linotype" w:eastAsia="Cambria" w:hAnsi="Palatino Linotype"/>
      <w:sz w:val="24"/>
      <w:szCs w:val="24"/>
    </w:rPr>
  </w:style>
  <w:style w:type="paragraph" w:customStyle="1" w:styleId="Bodyflush">
    <w:name w:val="Body_flush"/>
    <w:next w:val="Normal"/>
    <w:qFormat/>
    <w:rsid w:val="0058510B"/>
    <w:pPr>
      <w:tabs>
        <w:tab w:val="right" w:leader="dot" w:pos="9360"/>
      </w:tabs>
      <w:spacing w:after="80" w:line="260" w:lineRule="atLeast"/>
    </w:pPr>
    <w:rPr>
      <w:rFonts w:ascii="Palatino Linotype" w:eastAsia="Cambria" w:hAnsi="Palatino Linotype" w:cs="Times New Roman"/>
      <w:sz w:val="24"/>
      <w:szCs w:val="24"/>
    </w:rPr>
  </w:style>
  <w:style w:type="paragraph" w:customStyle="1" w:styleId="Bodyindent">
    <w:name w:val="Body_indent"/>
    <w:qFormat/>
    <w:rsid w:val="0058510B"/>
    <w:pPr>
      <w:spacing w:after="0" w:line="240" w:lineRule="auto"/>
      <w:ind w:firstLine="360"/>
    </w:pPr>
    <w:rPr>
      <w:rFonts w:ascii="Palatino Linotype" w:eastAsia="Cambria" w:hAnsi="Palatino Linotype" w:cs="Times New Roman"/>
      <w:sz w:val="24"/>
      <w:szCs w:val="24"/>
    </w:rPr>
  </w:style>
  <w:style w:type="paragraph" w:customStyle="1" w:styleId="Bodyoutdent">
    <w:name w:val="Body_outdent"/>
    <w:next w:val="Normal"/>
    <w:qFormat/>
    <w:rsid w:val="0058510B"/>
    <w:pPr>
      <w:spacing w:after="0" w:line="240" w:lineRule="auto"/>
      <w:ind w:left="600" w:hanging="360"/>
    </w:pPr>
    <w:rPr>
      <w:rFonts w:ascii="Palatino Linotype" w:eastAsia="Cambria" w:hAnsi="Palatino Linotype" w:cs="Times New Roman"/>
      <w:sz w:val="24"/>
      <w:szCs w:val="24"/>
    </w:rPr>
  </w:style>
  <w:style w:type="paragraph" w:customStyle="1" w:styleId="citationsub">
    <w:name w:val="citation_sub"/>
    <w:next w:val="Normal"/>
    <w:qFormat/>
    <w:rsid w:val="0058510B"/>
    <w:pPr>
      <w:spacing w:after="40" w:line="240" w:lineRule="atLeast"/>
    </w:pPr>
    <w:rPr>
      <w:rFonts w:ascii="Palatino" w:eastAsiaTheme="minorEastAsia" w:hAnsi="Palatino" w:cs="Times New Roman"/>
      <w:bCs/>
      <w:szCs w:val="28"/>
      <w:lang w:eastAsia="ja-JP"/>
    </w:rPr>
  </w:style>
  <w:style w:type="paragraph" w:customStyle="1" w:styleId="citationsub2">
    <w:name w:val="citation_sub2"/>
    <w:next w:val="citationsub"/>
    <w:qFormat/>
    <w:rsid w:val="0058510B"/>
    <w:pPr>
      <w:tabs>
        <w:tab w:val="left" w:pos="2520"/>
      </w:tabs>
      <w:spacing w:after="0" w:line="240" w:lineRule="auto"/>
      <w:ind w:left="2520" w:hanging="360"/>
    </w:pPr>
    <w:rPr>
      <w:rFonts w:ascii="Palatino" w:eastAsiaTheme="minorEastAsia" w:hAnsi="Palatino" w:cs="Times New Roman"/>
      <w:bCs/>
      <w:szCs w:val="28"/>
      <w:lang w:eastAsia="ja-JP"/>
    </w:rPr>
  </w:style>
  <w:style w:type="paragraph" w:customStyle="1" w:styleId="citations">
    <w:name w:val="citations"/>
    <w:next w:val="Normal"/>
    <w:qFormat/>
    <w:rsid w:val="0058510B"/>
    <w:pPr>
      <w:tabs>
        <w:tab w:val="left" w:pos="900"/>
      </w:tabs>
      <w:spacing w:after="80" w:line="260" w:lineRule="atLeast"/>
      <w:ind w:left="900" w:hanging="180"/>
    </w:pPr>
    <w:rPr>
      <w:rFonts w:ascii="Helvetica Neue" w:eastAsia="Cambria" w:hAnsi="Helvetica Neue" w:cs="Times New Roman"/>
      <w:szCs w:val="28"/>
    </w:rPr>
  </w:style>
  <w:style w:type="paragraph" w:customStyle="1" w:styleId="citationssub">
    <w:name w:val="citations_sub"/>
    <w:next w:val="Normal"/>
    <w:qFormat/>
    <w:rsid w:val="0058510B"/>
    <w:pPr>
      <w:numPr>
        <w:ilvl w:val="1"/>
        <w:numId w:val="4"/>
      </w:numPr>
      <w:spacing w:after="40" w:line="240" w:lineRule="atLeast"/>
    </w:pPr>
    <w:rPr>
      <w:rFonts w:ascii="Helvetica Neue" w:eastAsia="Cambria" w:hAnsi="Helvetica Neue" w:cs="Times New Roman"/>
      <w:bCs/>
      <w:szCs w:val="28"/>
    </w:rPr>
  </w:style>
  <w:style w:type="paragraph" w:customStyle="1" w:styleId="citationssub2">
    <w:name w:val="citations_sub2"/>
    <w:next w:val="citationssub"/>
    <w:qFormat/>
    <w:rsid w:val="0058510B"/>
    <w:pPr>
      <w:tabs>
        <w:tab w:val="left" w:pos="2520"/>
      </w:tabs>
      <w:spacing w:after="0" w:line="240" w:lineRule="auto"/>
      <w:ind w:left="2520" w:hanging="360"/>
    </w:pPr>
    <w:rPr>
      <w:rFonts w:ascii="Helvetica Neue" w:eastAsia="Cambria" w:hAnsi="Helvetica Neue" w:cs="Times New Roman"/>
      <w:bCs/>
      <w:szCs w:val="28"/>
    </w:rPr>
  </w:style>
  <w:style w:type="paragraph" w:styleId="Closing">
    <w:name w:val="Closing"/>
    <w:link w:val="ClosingChar"/>
    <w:qFormat/>
    <w:rsid w:val="0058510B"/>
    <w:pPr>
      <w:spacing w:after="0" w:line="240" w:lineRule="auto"/>
      <w:ind w:left="4320"/>
    </w:pPr>
    <w:rPr>
      <w:rFonts w:ascii="Palatino Linotype" w:eastAsia="Cambria" w:hAnsi="Palatino Linotype" w:cs="Times New Roman"/>
      <w:sz w:val="24"/>
    </w:rPr>
  </w:style>
  <w:style w:type="character" w:customStyle="1" w:styleId="ClosingChar">
    <w:name w:val="Closing Char"/>
    <w:basedOn w:val="DefaultParagraphFont"/>
    <w:link w:val="Closing"/>
    <w:rsid w:val="0058510B"/>
    <w:rPr>
      <w:rFonts w:ascii="Palatino Linotype" w:eastAsia="Cambria" w:hAnsi="Palatino Linotype" w:cs="Times New Roman"/>
      <w:sz w:val="24"/>
    </w:rPr>
  </w:style>
  <w:style w:type="paragraph" w:customStyle="1" w:styleId="Date1">
    <w:name w:val="Date1"/>
    <w:basedOn w:val="Bodyflush"/>
    <w:qFormat/>
    <w:rsid w:val="0058510B"/>
    <w:pPr>
      <w:spacing w:before="100" w:after="200"/>
      <w:jc w:val="right"/>
    </w:pPr>
    <w:rPr>
      <w:i/>
    </w:rPr>
  </w:style>
  <w:style w:type="character" w:styleId="FollowedHyperlink">
    <w:name w:val="FollowedHyperlink"/>
    <w:basedOn w:val="DefaultParagraphFont"/>
    <w:uiPriority w:val="99"/>
    <w:semiHidden/>
    <w:unhideWhenUsed/>
    <w:rsid w:val="0058510B"/>
    <w:rPr>
      <w:color w:val="800080"/>
      <w:u w:val="single"/>
    </w:rPr>
  </w:style>
  <w:style w:type="character" w:styleId="FootnoteReference">
    <w:name w:val="footnote reference"/>
    <w:semiHidden/>
    <w:rsid w:val="0058510B"/>
    <w:rPr>
      <w:rFonts w:cs="Times New Roman"/>
      <w:vertAlign w:val="superscript"/>
    </w:rPr>
  </w:style>
  <w:style w:type="paragraph" w:styleId="FootnoteText">
    <w:name w:val="footnote text"/>
    <w:link w:val="FootnoteTextChar"/>
    <w:autoRedefine/>
    <w:semiHidden/>
    <w:rsid w:val="0058510B"/>
    <w:pPr>
      <w:tabs>
        <w:tab w:val="left" w:pos="360"/>
      </w:tabs>
      <w:spacing w:after="40" w:line="220" w:lineRule="atLeast"/>
      <w:ind w:left="360" w:hanging="360"/>
    </w:pPr>
    <w:rPr>
      <w:rFonts w:ascii="Times New Roman" w:eastAsia="MS Mincho" w:hAnsi="Times New Roman" w:cs="Arial"/>
      <w:bCs/>
      <w:sz w:val="24"/>
      <w:szCs w:val="24"/>
      <w:vertAlign w:val="superscript"/>
    </w:rPr>
  </w:style>
  <w:style w:type="character" w:customStyle="1" w:styleId="FootnoteTextChar">
    <w:name w:val="Footnote Text Char"/>
    <w:link w:val="FootnoteText"/>
    <w:semiHidden/>
    <w:rsid w:val="0058510B"/>
    <w:rPr>
      <w:rFonts w:ascii="Times New Roman" w:eastAsia="MS Mincho" w:hAnsi="Times New Roman" w:cs="Arial"/>
      <w:bCs/>
      <w:sz w:val="24"/>
      <w:szCs w:val="24"/>
      <w:vertAlign w:val="superscript"/>
    </w:rPr>
  </w:style>
  <w:style w:type="paragraph" w:customStyle="1" w:styleId="Footnotetext0">
    <w:name w:val="Footnote_text"/>
    <w:qFormat/>
    <w:rsid w:val="0058510B"/>
    <w:pPr>
      <w:keepLines/>
      <w:suppressLineNumbers/>
      <w:tabs>
        <w:tab w:val="left" w:pos="360"/>
      </w:tabs>
      <w:suppressAutoHyphens/>
      <w:spacing w:after="20" w:line="220" w:lineRule="atLeast"/>
      <w:ind w:left="360" w:hanging="360"/>
    </w:pPr>
    <w:rPr>
      <w:rFonts w:ascii="Palatino Linotype" w:eastAsia="Cambria" w:hAnsi="Palatino Linotype" w:cs="Times New Roman"/>
      <w:iCs/>
      <w:sz w:val="18"/>
    </w:rPr>
  </w:style>
  <w:style w:type="character" w:customStyle="1" w:styleId="Heading1Char">
    <w:name w:val="Heading 1 Char"/>
    <w:basedOn w:val="DefaultParagraphFont"/>
    <w:link w:val="Heading1"/>
    <w:rsid w:val="0058510B"/>
    <w:rPr>
      <w:rFonts w:ascii="Palatino Linotype" w:eastAsia="Cambria" w:hAnsi="Palatino Linotype" w:cs="Times New Roman"/>
      <w:b/>
      <w:bCs/>
      <w:sz w:val="56"/>
    </w:rPr>
  </w:style>
  <w:style w:type="character" w:customStyle="1" w:styleId="Heading2Char">
    <w:name w:val="Heading 2 Char"/>
    <w:basedOn w:val="DefaultParagraphFont"/>
    <w:link w:val="Heading2"/>
    <w:rsid w:val="0058510B"/>
    <w:rPr>
      <w:rFonts w:ascii="Palatino Linotype" w:eastAsia="Cambria" w:hAnsi="Palatino Linotype" w:cs="Times New Roman"/>
      <w:bCs/>
      <w:sz w:val="48"/>
    </w:rPr>
  </w:style>
  <w:style w:type="character" w:customStyle="1" w:styleId="Heading3Char">
    <w:name w:val="Heading 3 Char"/>
    <w:basedOn w:val="DefaultParagraphFont"/>
    <w:link w:val="Heading3"/>
    <w:rsid w:val="0058510B"/>
    <w:rPr>
      <w:rFonts w:ascii="Palatino Linotype" w:eastAsia="Cambria" w:hAnsi="Palatino Linotype" w:cs="Arial"/>
      <w:b/>
      <w:bCs/>
      <w:sz w:val="24"/>
      <w:szCs w:val="26"/>
    </w:rPr>
  </w:style>
  <w:style w:type="paragraph" w:customStyle="1" w:styleId="Heading3ital">
    <w:name w:val="Heading3_ital"/>
    <w:next w:val="Bodyflush"/>
    <w:autoRedefine/>
    <w:qFormat/>
    <w:rsid w:val="0058510B"/>
    <w:pPr>
      <w:keepNext/>
      <w:spacing w:after="0" w:line="240" w:lineRule="auto"/>
    </w:pPr>
    <w:rPr>
      <w:rFonts w:ascii="Palatino Linotype" w:eastAsia="Cambria" w:hAnsi="Palatino Linotype" w:cs="Arial"/>
      <w:b/>
      <w:i/>
      <w:iCs/>
      <w:sz w:val="24"/>
      <w:szCs w:val="26"/>
    </w:rPr>
  </w:style>
  <w:style w:type="paragraph" w:customStyle="1" w:styleId="Heading3num">
    <w:name w:val="Heading3_num"/>
    <w:basedOn w:val="Heading3ital"/>
    <w:next w:val="Bodyflush"/>
    <w:autoRedefine/>
    <w:qFormat/>
    <w:rsid w:val="0058510B"/>
    <w:pPr>
      <w:keepLines/>
      <w:widowControl w:val="0"/>
      <w:numPr>
        <w:numId w:val="5"/>
      </w:numPr>
      <w:tabs>
        <w:tab w:val="left" w:pos="540"/>
      </w:tabs>
      <w:spacing w:after="40" w:line="260" w:lineRule="atLeast"/>
    </w:pPr>
    <w:rPr>
      <w:rFonts w:cs="Times New Roman"/>
      <w:bCs/>
      <w:i w:val="0"/>
      <w:szCs w:val="28"/>
    </w:rPr>
  </w:style>
  <w:style w:type="paragraph" w:customStyle="1" w:styleId="Heading3nonital">
    <w:name w:val="Heading3_nonital"/>
    <w:basedOn w:val="Heading3num"/>
    <w:next w:val="AListParagraph"/>
    <w:autoRedefine/>
    <w:qFormat/>
    <w:rsid w:val="00EB76C6"/>
    <w:pPr>
      <w:numPr>
        <w:numId w:val="0"/>
      </w:numPr>
      <w:spacing w:before="160"/>
    </w:pPr>
  </w:style>
  <w:style w:type="paragraph" w:customStyle="1" w:styleId="ICCPheaderleft">
    <w:name w:val="ICCP_header_left"/>
    <w:qFormat/>
    <w:rsid w:val="0058510B"/>
    <w:pPr>
      <w:spacing w:after="40" w:line="280" w:lineRule="atLeast"/>
    </w:pPr>
    <w:rPr>
      <w:rFonts w:ascii="Palatino Linotype" w:eastAsia="Cambria" w:hAnsi="Palatino Linotype" w:cs="Times New Roman"/>
      <w:b/>
      <w:bCs/>
      <w:smallCaps/>
    </w:rPr>
  </w:style>
  <w:style w:type="paragraph" w:customStyle="1" w:styleId="ICCPRheaderright">
    <w:name w:val="ICCPR_header_right"/>
    <w:basedOn w:val="ICCPheaderleft"/>
    <w:next w:val="Heading3nonital"/>
    <w:qFormat/>
    <w:rsid w:val="0058510B"/>
    <w:pPr>
      <w:jc w:val="right"/>
    </w:pPr>
  </w:style>
  <w:style w:type="paragraph" w:customStyle="1" w:styleId="lettersignature">
    <w:name w:val="letter_signature"/>
    <w:basedOn w:val="Bodyflush"/>
    <w:autoRedefine/>
    <w:rsid w:val="0058510B"/>
    <w:pPr>
      <w:spacing w:before="800" w:after="200"/>
    </w:pPr>
  </w:style>
  <w:style w:type="paragraph" w:customStyle="1" w:styleId="Listbullets">
    <w:name w:val="List bullets"/>
    <w:rsid w:val="0058510B"/>
    <w:pPr>
      <w:spacing w:after="0" w:line="240" w:lineRule="auto"/>
    </w:pPr>
    <w:rPr>
      <w:rFonts w:ascii="Cambria" w:eastAsia="Cambria" w:hAnsi="Cambria" w:cs="Times New Roman"/>
      <w:bCs/>
      <w:sz w:val="24"/>
    </w:rPr>
  </w:style>
  <w:style w:type="paragraph" w:customStyle="1" w:styleId="Listwithcitation">
    <w:name w:val="List with citation"/>
    <w:next w:val="citations"/>
    <w:rsid w:val="0058510B"/>
    <w:pPr>
      <w:keepNext/>
      <w:keepLines/>
      <w:numPr>
        <w:numId w:val="6"/>
      </w:numPr>
      <w:spacing w:after="0" w:line="240" w:lineRule="auto"/>
    </w:pPr>
    <w:rPr>
      <w:rFonts w:ascii="Cambria" w:eastAsia="Cambria" w:hAnsi="Cambria" w:cs="Times New Roman"/>
      <w:sz w:val="24"/>
      <w:szCs w:val="27"/>
    </w:rPr>
  </w:style>
  <w:style w:type="paragraph" w:customStyle="1" w:styleId="Listnonumbers">
    <w:name w:val="List_no_numbers"/>
    <w:basedOn w:val="ListParagraph"/>
    <w:rsid w:val="0058510B"/>
  </w:style>
  <w:style w:type="paragraph" w:customStyle="1" w:styleId="Ltraddress">
    <w:name w:val="Ltr_address"/>
    <w:autoRedefine/>
    <w:qFormat/>
    <w:rsid w:val="0058510B"/>
    <w:pPr>
      <w:spacing w:after="0" w:line="240" w:lineRule="auto"/>
    </w:pPr>
    <w:rPr>
      <w:rFonts w:ascii="Times New Roman" w:eastAsia="Times New Roman" w:hAnsi="Times New Roman" w:cs="Times New Roman"/>
      <w:bCs/>
      <w:sz w:val="24"/>
      <w:szCs w:val="28"/>
      <w:lang w:eastAsia="ja-JP" w:bidi="en-US"/>
    </w:rPr>
  </w:style>
  <w:style w:type="paragraph" w:customStyle="1" w:styleId="LtrCityStateZip">
    <w:name w:val="Ltr_CityStateZip"/>
    <w:basedOn w:val="Ltraddress"/>
    <w:next w:val="Date1"/>
    <w:qFormat/>
    <w:rsid w:val="0058510B"/>
    <w:pPr>
      <w:spacing w:after="160" w:line="240" w:lineRule="atLeast"/>
    </w:pPr>
  </w:style>
  <w:style w:type="paragraph" w:customStyle="1" w:styleId="Ltrsignature">
    <w:name w:val="Ltr_signature"/>
    <w:basedOn w:val="Normal"/>
    <w:rsid w:val="0058510B"/>
    <w:pPr>
      <w:tabs>
        <w:tab w:val="left" w:pos="-120"/>
      </w:tabs>
      <w:spacing w:before="800" w:line="260" w:lineRule="atLeast"/>
    </w:pPr>
    <w:rPr>
      <w:rFonts w:ascii="Times New Roman" w:eastAsia="Times New Roman" w:hAnsi="Times New Roman"/>
      <w:bCs/>
      <w:szCs w:val="28"/>
    </w:rPr>
  </w:style>
  <w:style w:type="paragraph" w:customStyle="1" w:styleId="tablesmall">
    <w:name w:val="table_small"/>
    <w:qFormat/>
    <w:rsid w:val="0058510B"/>
    <w:pPr>
      <w:tabs>
        <w:tab w:val="left" w:pos="342"/>
      </w:tabs>
      <w:spacing w:after="20" w:line="240" w:lineRule="atLeast"/>
      <w:ind w:left="345" w:hanging="187"/>
    </w:pPr>
    <w:rPr>
      <w:rFonts w:ascii="Helvetica Neue" w:eastAsia="Times New Roman" w:hAnsi="Helvetica Neue" w:cs="Times New Roman"/>
      <w:sz w:val="20"/>
    </w:rPr>
  </w:style>
  <w:style w:type="paragraph" w:customStyle="1" w:styleId="tablesmallleft">
    <w:name w:val="table_small_left"/>
    <w:qFormat/>
    <w:rsid w:val="0058510B"/>
    <w:pPr>
      <w:tabs>
        <w:tab w:val="left" w:pos="342"/>
      </w:tabs>
      <w:spacing w:after="20" w:line="240" w:lineRule="atLeast"/>
      <w:ind w:left="345" w:hanging="187"/>
    </w:pPr>
    <w:rPr>
      <w:rFonts w:ascii="Helvetica Neue" w:eastAsia="Times New Roman" w:hAnsi="Helvetica Neue" w:cs="Times New Roman"/>
      <w:sz w:val="20"/>
    </w:rPr>
  </w:style>
  <w:style w:type="paragraph" w:customStyle="1" w:styleId="tablesmallright">
    <w:name w:val="table_small_right"/>
    <w:qFormat/>
    <w:rsid w:val="0058510B"/>
    <w:pPr>
      <w:spacing w:after="0" w:line="240" w:lineRule="auto"/>
      <w:jc w:val="right"/>
    </w:pPr>
    <w:rPr>
      <w:rFonts w:ascii="Helvetica Neue" w:eastAsia="Calibri" w:hAnsi="Helvetica Neue" w:cs="Times New Roman"/>
      <w:sz w:val="20"/>
    </w:rPr>
  </w:style>
  <w:style w:type="paragraph" w:customStyle="1" w:styleId="TOC1">
    <w:name w:val="TOC1"/>
    <w:basedOn w:val="Normal"/>
    <w:next w:val="Normal"/>
    <w:qFormat/>
    <w:rsid w:val="0058510B"/>
    <w:pPr>
      <w:spacing w:line="260" w:lineRule="atLeast"/>
    </w:pPr>
    <w:rPr>
      <w:sz w:val="22"/>
    </w:rPr>
  </w:style>
  <w:style w:type="paragraph" w:customStyle="1" w:styleId="TOC2">
    <w:name w:val="TOC2"/>
    <w:basedOn w:val="TOC1"/>
    <w:qFormat/>
    <w:rsid w:val="0058510B"/>
    <w:pPr>
      <w:tabs>
        <w:tab w:val="clear" w:pos="720"/>
      </w:tabs>
      <w:ind w:firstLine="0"/>
    </w:pPr>
    <w:rPr>
      <w:bCs/>
    </w:rPr>
  </w:style>
  <w:style w:type="paragraph" w:styleId="BalloonText">
    <w:name w:val="Balloon Text"/>
    <w:basedOn w:val="Normal"/>
    <w:link w:val="BalloonTextChar"/>
    <w:uiPriority w:val="99"/>
    <w:semiHidden/>
    <w:unhideWhenUsed/>
    <w:rsid w:val="002A33E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A33E8"/>
    <w:rPr>
      <w:rFonts w:ascii="Lucida Grande" w:eastAsia="Cambria"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Title" w:semiHidden="0" w:uiPriority="10" w:unhideWhenUsed="0" w:qFormat="1"/>
    <w:lsdException w:name="Closing" w:uiPriority="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qFormat="1"/>
    <w:lsdException w:name="TOC Heading" w:uiPriority="39" w:qFormat="1"/>
  </w:latentStyles>
  <w:style w:type="paragraph" w:default="1" w:styleId="Normal">
    <w:name w:val="Normal"/>
    <w:rsid w:val="0058510B"/>
    <w:pPr>
      <w:tabs>
        <w:tab w:val="left" w:pos="720"/>
        <w:tab w:val="left" w:pos="960"/>
        <w:tab w:val="right" w:leader="dot" w:pos="9360"/>
      </w:tabs>
      <w:spacing w:after="80" w:line="280" w:lineRule="atLeast"/>
      <w:ind w:left="720" w:hanging="720"/>
    </w:pPr>
    <w:rPr>
      <w:rFonts w:ascii="Palatino Linotype" w:eastAsia="Cambria" w:hAnsi="Palatino Linotype" w:cs="Times New Roman"/>
      <w:sz w:val="24"/>
    </w:rPr>
  </w:style>
  <w:style w:type="paragraph" w:styleId="Heading1">
    <w:name w:val="heading 1"/>
    <w:basedOn w:val="Normal"/>
    <w:next w:val="Normal"/>
    <w:link w:val="Heading1Char"/>
    <w:qFormat/>
    <w:rsid w:val="0058510B"/>
    <w:pPr>
      <w:spacing w:before="160" w:after="160"/>
      <w:jc w:val="center"/>
      <w:outlineLvl w:val="0"/>
    </w:pPr>
    <w:rPr>
      <w:b/>
      <w:bCs/>
      <w:sz w:val="56"/>
    </w:rPr>
  </w:style>
  <w:style w:type="paragraph" w:styleId="Heading2">
    <w:name w:val="heading 2"/>
    <w:basedOn w:val="Normal"/>
    <w:next w:val="Normal"/>
    <w:link w:val="Heading2Char"/>
    <w:qFormat/>
    <w:rsid w:val="0058510B"/>
    <w:pPr>
      <w:jc w:val="center"/>
      <w:outlineLvl w:val="1"/>
    </w:pPr>
    <w:rPr>
      <w:bCs/>
      <w:sz w:val="48"/>
    </w:rPr>
  </w:style>
  <w:style w:type="paragraph" w:styleId="Heading3">
    <w:name w:val="heading 3"/>
    <w:link w:val="Heading3Char"/>
    <w:qFormat/>
    <w:rsid w:val="0058510B"/>
    <w:pPr>
      <w:keepNext/>
      <w:spacing w:before="240" w:line="280" w:lineRule="atLeast"/>
      <w:jc w:val="center"/>
      <w:outlineLvl w:val="2"/>
    </w:pPr>
    <w:rPr>
      <w:rFonts w:ascii="Palatino Linotype" w:eastAsia="Cambria" w:hAnsi="Palatino Linotype" w:cs="Arial"/>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Bodyflush"/>
    <w:uiPriority w:val="34"/>
    <w:qFormat/>
    <w:rsid w:val="0058510B"/>
    <w:pPr>
      <w:tabs>
        <w:tab w:val="clear" w:pos="9360"/>
      </w:tabs>
    </w:pPr>
    <w:rPr>
      <w:rFonts w:ascii="Cambria" w:hAnsi="Cambria"/>
    </w:rPr>
  </w:style>
  <w:style w:type="paragraph" w:styleId="Header">
    <w:name w:val="header"/>
    <w:link w:val="HeaderChar"/>
    <w:unhideWhenUsed/>
    <w:qFormat/>
    <w:rsid w:val="0058510B"/>
    <w:pPr>
      <w:pBdr>
        <w:bottom w:val="single" w:sz="4" w:space="8" w:color="auto"/>
      </w:pBdr>
      <w:tabs>
        <w:tab w:val="right" w:pos="9360"/>
      </w:tabs>
      <w:spacing w:after="0" w:line="240" w:lineRule="auto"/>
    </w:pPr>
    <w:rPr>
      <w:rFonts w:ascii="Helvetica Neue" w:eastAsia="Cambria" w:hAnsi="Helvetica Neue" w:cs="Times New Roman"/>
      <w:bCs/>
      <w:sz w:val="20"/>
      <w:szCs w:val="28"/>
    </w:rPr>
  </w:style>
  <w:style w:type="character" w:customStyle="1" w:styleId="HeaderChar">
    <w:name w:val="Header Char"/>
    <w:basedOn w:val="DefaultParagraphFont"/>
    <w:link w:val="Header"/>
    <w:rsid w:val="0058510B"/>
    <w:rPr>
      <w:rFonts w:ascii="Helvetica Neue" w:eastAsia="Cambria" w:hAnsi="Helvetica Neue" w:cs="Times New Roman"/>
      <w:bCs/>
      <w:sz w:val="20"/>
      <w:szCs w:val="28"/>
    </w:rPr>
  </w:style>
  <w:style w:type="paragraph" w:styleId="Footer">
    <w:name w:val="footer"/>
    <w:link w:val="FooterChar"/>
    <w:qFormat/>
    <w:rsid w:val="0058510B"/>
    <w:pPr>
      <w:tabs>
        <w:tab w:val="right" w:pos="8640"/>
      </w:tabs>
      <w:spacing w:after="0" w:line="240" w:lineRule="auto"/>
    </w:pPr>
    <w:rPr>
      <w:rFonts w:ascii="Helvetica Neue" w:eastAsia="Cambria" w:hAnsi="Helvetica Neue" w:cs="Times New Roman"/>
      <w:sz w:val="20"/>
      <w:szCs w:val="18"/>
    </w:rPr>
  </w:style>
  <w:style w:type="character" w:customStyle="1" w:styleId="FooterChar">
    <w:name w:val="Footer Char"/>
    <w:basedOn w:val="DefaultParagraphFont"/>
    <w:link w:val="Footer"/>
    <w:rsid w:val="0058510B"/>
    <w:rPr>
      <w:rFonts w:ascii="Helvetica Neue" w:eastAsia="Cambria" w:hAnsi="Helvetica Neue" w:cs="Times New Roman"/>
      <w:sz w:val="20"/>
      <w:szCs w:val="18"/>
    </w:rPr>
  </w:style>
  <w:style w:type="character" w:styleId="Hyperlink">
    <w:name w:val="Hyperlink"/>
    <w:basedOn w:val="DefaultParagraphFont"/>
    <w:uiPriority w:val="99"/>
    <w:unhideWhenUsed/>
    <w:rsid w:val="0058510B"/>
    <w:rPr>
      <w:color w:val="0000FF"/>
      <w:u w:val="single"/>
    </w:rPr>
  </w:style>
  <w:style w:type="paragraph" w:customStyle="1" w:styleId="1Listparagraph">
    <w:name w:val="1List_paragraph"/>
    <w:qFormat/>
    <w:rsid w:val="0058510B"/>
    <w:pPr>
      <w:numPr>
        <w:numId w:val="3"/>
      </w:numPr>
      <w:tabs>
        <w:tab w:val="left" w:pos="720"/>
      </w:tabs>
      <w:spacing w:after="0" w:line="240" w:lineRule="auto"/>
    </w:pPr>
    <w:rPr>
      <w:rFonts w:ascii="Palatino Linotype" w:eastAsia="Cambria" w:hAnsi="Palatino Linotype" w:cs="Times New Roman"/>
      <w:sz w:val="24"/>
      <w:szCs w:val="24"/>
    </w:rPr>
  </w:style>
  <w:style w:type="paragraph" w:customStyle="1" w:styleId="AListParagraph">
    <w:name w:val="AList Paragraph"/>
    <w:autoRedefine/>
    <w:qFormat/>
    <w:rsid w:val="00FD2EAF"/>
    <w:pPr>
      <w:spacing w:after="80" w:line="260" w:lineRule="atLeast"/>
      <w:ind w:left="1080" w:hanging="720"/>
    </w:pPr>
    <w:rPr>
      <w:rFonts w:ascii="Palatino Linotype" w:eastAsia="Cambria" w:hAnsi="Palatino Linotype" w:cs="Times New Roman"/>
      <w:sz w:val="24"/>
      <w:szCs w:val="24"/>
    </w:rPr>
  </w:style>
  <w:style w:type="paragraph" w:styleId="Bibliography">
    <w:name w:val="Bibliography"/>
    <w:basedOn w:val="Normal"/>
    <w:next w:val="Normal"/>
    <w:qFormat/>
    <w:rsid w:val="0058510B"/>
    <w:rPr>
      <w:szCs w:val="24"/>
    </w:rPr>
  </w:style>
  <w:style w:type="paragraph" w:customStyle="1" w:styleId="BODbox">
    <w:name w:val="BOD_box"/>
    <w:qFormat/>
    <w:rsid w:val="0058510B"/>
    <w:pPr>
      <w:widowControl w:val="0"/>
      <w:autoSpaceDE w:val="0"/>
      <w:autoSpaceDN w:val="0"/>
      <w:adjustRightInd w:val="0"/>
      <w:spacing w:after="160" w:line="240" w:lineRule="atLeast"/>
    </w:pPr>
    <w:rPr>
      <w:rFonts w:ascii="Optima" w:eastAsia="Calibri" w:hAnsi="Optima" w:cs="Times New Roman"/>
      <w:b/>
      <w:bCs/>
      <w:color w:val="663300"/>
      <w:sz w:val="20"/>
      <w:szCs w:val="20"/>
      <w:lang w:eastAsia="ja-JP"/>
    </w:rPr>
  </w:style>
  <w:style w:type="paragraph" w:styleId="BodyText">
    <w:name w:val="Body Text"/>
    <w:basedOn w:val="Normal"/>
    <w:link w:val="BodyTextChar"/>
    <w:qFormat/>
    <w:rsid w:val="0058510B"/>
    <w:pPr>
      <w:spacing w:after="120"/>
    </w:pPr>
    <w:rPr>
      <w:szCs w:val="24"/>
    </w:rPr>
  </w:style>
  <w:style w:type="character" w:customStyle="1" w:styleId="BodyTextChar">
    <w:name w:val="Body Text Char"/>
    <w:basedOn w:val="DefaultParagraphFont"/>
    <w:link w:val="BodyText"/>
    <w:rsid w:val="0058510B"/>
    <w:rPr>
      <w:rFonts w:ascii="Palatino Linotype" w:eastAsia="Cambria" w:hAnsi="Palatino Linotype"/>
      <w:sz w:val="24"/>
      <w:szCs w:val="24"/>
    </w:rPr>
  </w:style>
  <w:style w:type="paragraph" w:customStyle="1" w:styleId="Bodyflush">
    <w:name w:val="Body_flush"/>
    <w:next w:val="Normal"/>
    <w:qFormat/>
    <w:rsid w:val="0058510B"/>
    <w:pPr>
      <w:tabs>
        <w:tab w:val="right" w:leader="dot" w:pos="9360"/>
      </w:tabs>
      <w:spacing w:after="80" w:line="260" w:lineRule="atLeast"/>
    </w:pPr>
    <w:rPr>
      <w:rFonts w:ascii="Palatino Linotype" w:eastAsia="Cambria" w:hAnsi="Palatino Linotype" w:cs="Times New Roman"/>
      <w:sz w:val="24"/>
      <w:szCs w:val="24"/>
    </w:rPr>
  </w:style>
  <w:style w:type="paragraph" w:customStyle="1" w:styleId="Bodyindent">
    <w:name w:val="Body_indent"/>
    <w:qFormat/>
    <w:rsid w:val="0058510B"/>
    <w:pPr>
      <w:spacing w:after="0" w:line="240" w:lineRule="auto"/>
      <w:ind w:firstLine="360"/>
    </w:pPr>
    <w:rPr>
      <w:rFonts w:ascii="Palatino Linotype" w:eastAsia="Cambria" w:hAnsi="Palatino Linotype" w:cs="Times New Roman"/>
      <w:sz w:val="24"/>
      <w:szCs w:val="24"/>
    </w:rPr>
  </w:style>
  <w:style w:type="paragraph" w:customStyle="1" w:styleId="Bodyoutdent">
    <w:name w:val="Body_outdent"/>
    <w:next w:val="Normal"/>
    <w:qFormat/>
    <w:rsid w:val="0058510B"/>
    <w:pPr>
      <w:spacing w:after="0" w:line="240" w:lineRule="auto"/>
      <w:ind w:left="600" w:hanging="360"/>
    </w:pPr>
    <w:rPr>
      <w:rFonts w:ascii="Palatino Linotype" w:eastAsia="Cambria" w:hAnsi="Palatino Linotype" w:cs="Times New Roman"/>
      <w:sz w:val="24"/>
      <w:szCs w:val="24"/>
    </w:rPr>
  </w:style>
  <w:style w:type="paragraph" w:customStyle="1" w:styleId="citationsub">
    <w:name w:val="citation_sub"/>
    <w:next w:val="Normal"/>
    <w:qFormat/>
    <w:rsid w:val="0058510B"/>
    <w:pPr>
      <w:spacing w:after="40" w:line="240" w:lineRule="atLeast"/>
    </w:pPr>
    <w:rPr>
      <w:rFonts w:ascii="Palatino" w:eastAsiaTheme="minorEastAsia" w:hAnsi="Palatino" w:cs="Times New Roman"/>
      <w:bCs/>
      <w:szCs w:val="28"/>
      <w:lang w:eastAsia="ja-JP"/>
    </w:rPr>
  </w:style>
  <w:style w:type="paragraph" w:customStyle="1" w:styleId="citationsub2">
    <w:name w:val="citation_sub2"/>
    <w:next w:val="citationsub"/>
    <w:qFormat/>
    <w:rsid w:val="0058510B"/>
    <w:pPr>
      <w:tabs>
        <w:tab w:val="left" w:pos="2520"/>
      </w:tabs>
      <w:spacing w:after="0" w:line="240" w:lineRule="auto"/>
      <w:ind w:left="2520" w:hanging="360"/>
    </w:pPr>
    <w:rPr>
      <w:rFonts w:ascii="Palatino" w:eastAsiaTheme="minorEastAsia" w:hAnsi="Palatino" w:cs="Times New Roman"/>
      <w:bCs/>
      <w:szCs w:val="28"/>
      <w:lang w:eastAsia="ja-JP"/>
    </w:rPr>
  </w:style>
  <w:style w:type="paragraph" w:customStyle="1" w:styleId="citations">
    <w:name w:val="citations"/>
    <w:next w:val="Normal"/>
    <w:qFormat/>
    <w:rsid w:val="0058510B"/>
    <w:pPr>
      <w:tabs>
        <w:tab w:val="left" w:pos="900"/>
      </w:tabs>
      <w:spacing w:after="80" w:line="260" w:lineRule="atLeast"/>
      <w:ind w:left="900" w:hanging="180"/>
    </w:pPr>
    <w:rPr>
      <w:rFonts w:ascii="Helvetica Neue" w:eastAsia="Cambria" w:hAnsi="Helvetica Neue" w:cs="Times New Roman"/>
      <w:szCs w:val="28"/>
    </w:rPr>
  </w:style>
  <w:style w:type="paragraph" w:customStyle="1" w:styleId="citationssub">
    <w:name w:val="citations_sub"/>
    <w:next w:val="Normal"/>
    <w:qFormat/>
    <w:rsid w:val="0058510B"/>
    <w:pPr>
      <w:numPr>
        <w:ilvl w:val="1"/>
        <w:numId w:val="4"/>
      </w:numPr>
      <w:spacing w:after="40" w:line="240" w:lineRule="atLeast"/>
    </w:pPr>
    <w:rPr>
      <w:rFonts w:ascii="Helvetica Neue" w:eastAsia="Cambria" w:hAnsi="Helvetica Neue" w:cs="Times New Roman"/>
      <w:bCs/>
      <w:szCs w:val="28"/>
    </w:rPr>
  </w:style>
  <w:style w:type="paragraph" w:customStyle="1" w:styleId="citationssub2">
    <w:name w:val="citations_sub2"/>
    <w:next w:val="citationssub"/>
    <w:qFormat/>
    <w:rsid w:val="0058510B"/>
    <w:pPr>
      <w:tabs>
        <w:tab w:val="left" w:pos="2520"/>
      </w:tabs>
      <w:spacing w:after="0" w:line="240" w:lineRule="auto"/>
      <w:ind w:left="2520" w:hanging="360"/>
    </w:pPr>
    <w:rPr>
      <w:rFonts w:ascii="Helvetica Neue" w:eastAsia="Cambria" w:hAnsi="Helvetica Neue" w:cs="Times New Roman"/>
      <w:bCs/>
      <w:szCs w:val="28"/>
    </w:rPr>
  </w:style>
  <w:style w:type="paragraph" w:styleId="Closing">
    <w:name w:val="Closing"/>
    <w:link w:val="ClosingChar"/>
    <w:qFormat/>
    <w:rsid w:val="0058510B"/>
    <w:pPr>
      <w:spacing w:after="0" w:line="240" w:lineRule="auto"/>
      <w:ind w:left="4320"/>
    </w:pPr>
    <w:rPr>
      <w:rFonts w:ascii="Palatino Linotype" w:eastAsia="Cambria" w:hAnsi="Palatino Linotype" w:cs="Times New Roman"/>
      <w:sz w:val="24"/>
    </w:rPr>
  </w:style>
  <w:style w:type="character" w:customStyle="1" w:styleId="ClosingChar">
    <w:name w:val="Closing Char"/>
    <w:basedOn w:val="DefaultParagraphFont"/>
    <w:link w:val="Closing"/>
    <w:rsid w:val="0058510B"/>
    <w:rPr>
      <w:rFonts w:ascii="Palatino Linotype" w:eastAsia="Cambria" w:hAnsi="Palatino Linotype" w:cs="Times New Roman"/>
      <w:sz w:val="24"/>
    </w:rPr>
  </w:style>
  <w:style w:type="paragraph" w:customStyle="1" w:styleId="Date1">
    <w:name w:val="Date1"/>
    <w:basedOn w:val="Bodyflush"/>
    <w:qFormat/>
    <w:rsid w:val="0058510B"/>
    <w:pPr>
      <w:spacing w:before="100" w:after="200"/>
      <w:jc w:val="right"/>
    </w:pPr>
    <w:rPr>
      <w:i/>
    </w:rPr>
  </w:style>
  <w:style w:type="character" w:styleId="FollowedHyperlink">
    <w:name w:val="FollowedHyperlink"/>
    <w:basedOn w:val="DefaultParagraphFont"/>
    <w:uiPriority w:val="99"/>
    <w:semiHidden/>
    <w:unhideWhenUsed/>
    <w:rsid w:val="0058510B"/>
    <w:rPr>
      <w:color w:val="800080"/>
      <w:u w:val="single"/>
    </w:rPr>
  </w:style>
  <w:style w:type="character" w:styleId="FootnoteReference">
    <w:name w:val="footnote reference"/>
    <w:semiHidden/>
    <w:rsid w:val="0058510B"/>
    <w:rPr>
      <w:rFonts w:cs="Times New Roman"/>
      <w:vertAlign w:val="superscript"/>
    </w:rPr>
  </w:style>
  <w:style w:type="paragraph" w:styleId="FootnoteText">
    <w:name w:val="footnote text"/>
    <w:link w:val="FootnoteTextChar"/>
    <w:autoRedefine/>
    <w:semiHidden/>
    <w:rsid w:val="0058510B"/>
    <w:pPr>
      <w:tabs>
        <w:tab w:val="left" w:pos="360"/>
      </w:tabs>
      <w:spacing w:after="40" w:line="220" w:lineRule="atLeast"/>
      <w:ind w:left="360" w:hanging="360"/>
    </w:pPr>
    <w:rPr>
      <w:rFonts w:ascii="Times New Roman" w:eastAsia="MS Mincho" w:hAnsi="Times New Roman" w:cs="Arial"/>
      <w:bCs/>
      <w:sz w:val="24"/>
      <w:szCs w:val="24"/>
      <w:vertAlign w:val="superscript"/>
    </w:rPr>
  </w:style>
  <w:style w:type="character" w:customStyle="1" w:styleId="FootnoteTextChar">
    <w:name w:val="Footnote Text Char"/>
    <w:link w:val="FootnoteText"/>
    <w:semiHidden/>
    <w:rsid w:val="0058510B"/>
    <w:rPr>
      <w:rFonts w:ascii="Times New Roman" w:eastAsia="MS Mincho" w:hAnsi="Times New Roman" w:cs="Arial"/>
      <w:bCs/>
      <w:sz w:val="24"/>
      <w:szCs w:val="24"/>
      <w:vertAlign w:val="superscript"/>
    </w:rPr>
  </w:style>
  <w:style w:type="paragraph" w:customStyle="1" w:styleId="Footnotetext0">
    <w:name w:val="Footnote_text"/>
    <w:qFormat/>
    <w:rsid w:val="0058510B"/>
    <w:pPr>
      <w:keepLines/>
      <w:suppressLineNumbers/>
      <w:tabs>
        <w:tab w:val="left" w:pos="360"/>
      </w:tabs>
      <w:suppressAutoHyphens/>
      <w:spacing w:after="20" w:line="220" w:lineRule="atLeast"/>
      <w:ind w:left="360" w:hanging="360"/>
    </w:pPr>
    <w:rPr>
      <w:rFonts w:ascii="Palatino Linotype" w:eastAsia="Cambria" w:hAnsi="Palatino Linotype" w:cs="Times New Roman"/>
      <w:iCs/>
      <w:sz w:val="18"/>
    </w:rPr>
  </w:style>
  <w:style w:type="character" w:customStyle="1" w:styleId="Heading1Char">
    <w:name w:val="Heading 1 Char"/>
    <w:basedOn w:val="DefaultParagraphFont"/>
    <w:link w:val="Heading1"/>
    <w:rsid w:val="0058510B"/>
    <w:rPr>
      <w:rFonts w:ascii="Palatino Linotype" w:eastAsia="Cambria" w:hAnsi="Palatino Linotype" w:cs="Times New Roman"/>
      <w:b/>
      <w:bCs/>
      <w:sz w:val="56"/>
    </w:rPr>
  </w:style>
  <w:style w:type="character" w:customStyle="1" w:styleId="Heading2Char">
    <w:name w:val="Heading 2 Char"/>
    <w:basedOn w:val="DefaultParagraphFont"/>
    <w:link w:val="Heading2"/>
    <w:rsid w:val="0058510B"/>
    <w:rPr>
      <w:rFonts w:ascii="Palatino Linotype" w:eastAsia="Cambria" w:hAnsi="Palatino Linotype" w:cs="Times New Roman"/>
      <w:bCs/>
      <w:sz w:val="48"/>
    </w:rPr>
  </w:style>
  <w:style w:type="character" w:customStyle="1" w:styleId="Heading3Char">
    <w:name w:val="Heading 3 Char"/>
    <w:basedOn w:val="DefaultParagraphFont"/>
    <w:link w:val="Heading3"/>
    <w:rsid w:val="0058510B"/>
    <w:rPr>
      <w:rFonts w:ascii="Palatino Linotype" w:eastAsia="Cambria" w:hAnsi="Palatino Linotype" w:cs="Arial"/>
      <w:b/>
      <w:bCs/>
      <w:sz w:val="24"/>
      <w:szCs w:val="26"/>
    </w:rPr>
  </w:style>
  <w:style w:type="paragraph" w:customStyle="1" w:styleId="Heading3ital">
    <w:name w:val="Heading3_ital"/>
    <w:next w:val="Bodyflush"/>
    <w:autoRedefine/>
    <w:qFormat/>
    <w:rsid w:val="0058510B"/>
    <w:pPr>
      <w:keepNext/>
      <w:spacing w:after="0" w:line="240" w:lineRule="auto"/>
    </w:pPr>
    <w:rPr>
      <w:rFonts w:ascii="Palatino Linotype" w:eastAsia="Cambria" w:hAnsi="Palatino Linotype" w:cs="Arial"/>
      <w:b/>
      <w:i/>
      <w:iCs/>
      <w:sz w:val="24"/>
      <w:szCs w:val="26"/>
    </w:rPr>
  </w:style>
  <w:style w:type="paragraph" w:customStyle="1" w:styleId="Heading3num">
    <w:name w:val="Heading3_num"/>
    <w:basedOn w:val="Heading3ital"/>
    <w:next w:val="Bodyflush"/>
    <w:autoRedefine/>
    <w:qFormat/>
    <w:rsid w:val="0058510B"/>
    <w:pPr>
      <w:keepLines/>
      <w:widowControl w:val="0"/>
      <w:numPr>
        <w:numId w:val="5"/>
      </w:numPr>
      <w:tabs>
        <w:tab w:val="left" w:pos="540"/>
      </w:tabs>
      <w:spacing w:after="40" w:line="260" w:lineRule="atLeast"/>
    </w:pPr>
    <w:rPr>
      <w:rFonts w:cs="Times New Roman"/>
      <w:bCs/>
      <w:i w:val="0"/>
      <w:szCs w:val="28"/>
    </w:rPr>
  </w:style>
  <w:style w:type="paragraph" w:customStyle="1" w:styleId="Heading3nonital">
    <w:name w:val="Heading3_nonital"/>
    <w:basedOn w:val="Heading3num"/>
    <w:next w:val="AListParagraph"/>
    <w:autoRedefine/>
    <w:qFormat/>
    <w:rsid w:val="00EB76C6"/>
    <w:pPr>
      <w:numPr>
        <w:numId w:val="0"/>
      </w:numPr>
      <w:spacing w:before="160"/>
    </w:pPr>
  </w:style>
  <w:style w:type="paragraph" w:customStyle="1" w:styleId="ICCPheaderleft">
    <w:name w:val="ICCP_header_left"/>
    <w:qFormat/>
    <w:rsid w:val="0058510B"/>
    <w:pPr>
      <w:spacing w:after="40" w:line="280" w:lineRule="atLeast"/>
    </w:pPr>
    <w:rPr>
      <w:rFonts w:ascii="Palatino Linotype" w:eastAsia="Cambria" w:hAnsi="Palatino Linotype" w:cs="Times New Roman"/>
      <w:b/>
      <w:bCs/>
      <w:smallCaps/>
    </w:rPr>
  </w:style>
  <w:style w:type="paragraph" w:customStyle="1" w:styleId="ICCPRheaderright">
    <w:name w:val="ICCPR_header_right"/>
    <w:basedOn w:val="ICCPheaderleft"/>
    <w:next w:val="Heading3nonital"/>
    <w:qFormat/>
    <w:rsid w:val="0058510B"/>
    <w:pPr>
      <w:jc w:val="right"/>
    </w:pPr>
  </w:style>
  <w:style w:type="paragraph" w:customStyle="1" w:styleId="lettersignature">
    <w:name w:val="letter_signature"/>
    <w:basedOn w:val="Bodyflush"/>
    <w:autoRedefine/>
    <w:rsid w:val="0058510B"/>
    <w:pPr>
      <w:spacing w:before="800" w:after="200"/>
    </w:pPr>
  </w:style>
  <w:style w:type="paragraph" w:customStyle="1" w:styleId="Listbullets">
    <w:name w:val="List bullets"/>
    <w:rsid w:val="0058510B"/>
    <w:pPr>
      <w:spacing w:after="0" w:line="240" w:lineRule="auto"/>
    </w:pPr>
    <w:rPr>
      <w:rFonts w:ascii="Cambria" w:eastAsia="Cambria" w:hAnsi="Cambria" w:cs="Times New Roman"/>
      <w:bCs/>
      <w:sz w:val="24"/>
    </w:rPr>
  </w:style>
  <w:style w:type="paragraph" w:customStyle="1" w:styleId="Listwithcitation">
    <w:name w:val="List with citation"/>
    <w:next w:val="citations"/>
    <w:rsid w:val="0058510B"/>
    <w:pPr>
      <w:keepNext/>
      <w:keepLines/>
      <w:numPr>
        <w:numId w:val="6"/>
      </w:numPr>
      <w:spacing w:after="0" w:line="240" w:lineRule="auto"/>
    </w:pPr>
    <w:rPr>
      <w:rFonts w:ascii="Cambria" w:eastAsia="Cambria" w:hAnsi="Cambria" w:cs="Times New Roman"/>
      <w:sz w:val="24"/>
      <w:szCs w:val="27"/>
    </w:rPr>
  </w:style>
  <w:style w:type="paragraph" w:customStyle="1" w:styleId="Listnonumbers">
    <w:name w:val="List_no_numbers"/>
    <w:basedOn w:val="ListParagraph"/>
    <w:rsid w:val="0058510B"/>
  </w:style>
  <w:style w:type="paragraph" w:customStyle="1" w:styleId="Ltraddress">
    <w:name w:val="Ltr_address"/>
    <w:autoRedefine/>
    <w:qFormat/>
    <w:rsid w:val="0058510B"/>
    <w:pPr>
      <w:spacing w:after="0" w:line="240" w:lineRule="auto"/>
    </w:pPr>
    <w:rPr>
      <w:rFonts w:ascii="Times New Roman" w:eastAsia="Times New Roman" w:hAnsi="Times New Roman" w:cs="Times New Roman"/>
      <w:bCs/>
      <w:sz w:val="24"/>
      <w:szCs w:val="28"/>
      <w:lang w:eastAsia="ja-JP" w:bidi="en-US"/>
    </w:rPr>
  </w:style>
  <w:style w:type="paragraph" w:customStyle="1" w:styleId="LtrCityStateZip">
    <w:name w:val="Ltr_CityStateZip"/>
    <w:basedOn w:val="Ltraddress"/>
    <w:next w:val="Date1"/>
    <w:qFormat/>
    <w:rsid w:val="0058510B"/>
    <w:pPr>
      <w:spacing w:after="160" w:line="240" w:lineRule="atLeast"/>
    </w:pPr>
  </w:style>
  <w:style w:type="paragraph" w:customStyle="1" w:styleId="Ltrsignature">
    <w:name w:val="Ltr_signature"/>
    <w:basedOn w:val="Normal"/>
    <w:rsid w:val="0058510B"/>
    <w:pPr>
      <w:tabs>
        <w:tab w:val="left" w:pos="-120"/>
      </w:tabs>
      <w:spacing w:before="800" w:line="260" w:lineRule="atLeast"/>
    </w:pPr>
    <w:rPr>
      <w:rFonts w:ascii="Times New Roman" w:eastAsia="Times New Roman" w:hAnsi="Times New Roman"/>
      <w:bCs/>
      <w:szCs w:val="28"/>
    </w:rPr>
  </w:style>
  <w:style w:type="paragraph" w:customStyle="1" w:styleId="tablesmall">
    <w:name w:val="table_small"/>
    <w:qFormat/>
    <w:rsid w:val="0058510B"/>
    <w:pPr>
      <w:tabs>
        <w:tab w:val="left" w:pos="342"/>
      </w:tabs>
      <w:spacing w:after="20" w:line="240" w:lineRule="atLeast"/>
      <w:ind w:left="345" w:hanging="187"/>
    </w:pPr>
    <w:rPr>
      <w:rFonts w:ascii="Helvetica Neue" w:eastAsia="Times New Roman" w:hAnsi="Helvetica Neue" w:cs="Times New Roman"/>
      <w:sz w:val="20"/>
    </w:rPr>
  </w:style>
  <w:style w:type="paragraph" w:customStyle="1" w:styleId="tablesmallleft">
    <w:name w:val="table_small_left"/>
    <w:qFormat/>
    <w:rsid w:val="0058510B"/>
    <w:pPr>
      <w:tabs>
        <w:tab w:val="left" w:pos="342"/>
      </w:tabs>
      <w:spacing w:after="20" w:line="240" w:lineRule="atLeast"/>
      <w:ind w:left="345" w:hanging="187"/>
    </w:pPr>
    <w:rPr>
      <w:rFonts w:ascii="Helvetica Neue" w:eastAsia="Times New Roman" w:hAnsi="Helvetica Neue" w:cs="Times New Roman"/>
      <w:sz w:val="20"/>
    </w:rPr>
  </w:style>
  <w:style w:type="paragraph" w:customStyle="1" w:styleId="tablesmallright">
    <w:name w:val="table_small_right"/>
    <w:qFormat/>
    <w:rsid w:val="0058510B"/>
    <w:pPr>
      <w:spacing w:after="0" w:line="240" w:lineRule="auto"/>
      <w:jc w:val="right"/>
    </w:pPr>
    <w:rPr>
      <w:rFonts w:ascii="Helvetica Neue" w:eastAsia="Calibri" w:hAnsi="Helvetica Neue" w:cs="Times New Roman"/>
      <w:sz w:val="20"/>
    </w:rPr>
  </w:style>
  <w:style w:type="paragraph" w:customStyle="1" w:styleId="TOC1">
    <w:name w:val="TOC1"/>
    <w:basedOn w:val="Normal"/>
    <w:next w:val="Normal"/>
    <w:qFormat/>
    <w:rsid w:val="0058510B"/>
    <w:pPr>
      <w:spacing w:line="260" w:lineRule="atLeast"/>
    </w:pPr>
    <w:rPr>
      <w:sz w:val="22"/>
    </w:rPr>
  </w:style>
  <w:style w:type="paragraph" w:customStyle="1" w:styleId="TOC2">
    <w:name w:val="TOC2"/>
    <w:basedOn w:val="TOC1"/>
    <w:qFormat/>
    <w:rsid w:val="0058510B"/>
    <w:pPr>
      <w:tabs>
        <w:tab w:val="clear" w:pos="720"/>
      </w:tabs>
      <w:ind w:firstLine="0"/>
    </w:pPr>
    <w:rPr>
      <w:bCs/>
    </w:rPr>
  </w:style>
  <w:style w:type="paragraph" w:styleId="BalloonText">
    <w:name w:val="Balloon Text"/>
    <w:basedOn w:val="Normal"/>
    <w:link w:val="BalloonTextChar"/>
    <w:uiPriority w:val="99"/>
    <w:semiHidden/>
    <w:unhideWhenUsed/>
    <w:rsid w:val="002A33E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A33E8"/>
    <w:rPr>
      <w:rFonts w:ascii="Lucida Grande" w:eastAsia="Cambria"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727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98.187.128.12/mississippi/lpext.dll?f=templates&amp;fn=fs-main.htm&amp;2.0" TargetMode="Externa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AF2431-F221-499A-9447-68FAC928E341}"/>
</file>

<file path=customXml/itemProps2.xml><?xml version="1.0" encoding="utf-8"?>
<ds:datastoreItem xmlns:ds="http://schemas.openxmlformats.org/officeDocument/2006/customXml" ds:itemID="{04A90CA1-7166-4FC2-9BBF-77C4A99D8083}"/>
</file>

<file path=customXml/itemProps3.xml><?xml version="1.0" encoding="utf-8"?>
<ds:datastoreItem xmlns:ds="http://schemas.openxmlformats.org/officeDocument/2006/customXml" ds:itemID="{166EA3F7-AD60-4714-ABD9-E049456CC14D}"/>
</file>

<file path=docProps/app.xml><?xml version="1.0" encoding="utf-8"?>
<Properties xmlns="http://schemas.openxmlformats.org/officeDocument/2006/extended-properties" xmlns:vt="http://schemas.openxmlformats.org/officeDocument/2006/docPropsVTypes">
  <Template>Normal.dotm</Template>
  <TotalTime>1</TotalTime>
  <Pages>4</Pages>
  <Words>1238</Words>
  <Characters>7059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Priya</dc:creator>
  <cp:lastModifiedBy>Kalpana Singh</cp:lastModifiedBy>
  <cp:revision>2</cp:revision>
  <cp:lastPrinted>2014-06-30T23:06:00Z</cp:lastPrinted>
  <dcterms:created xsi:type="dcterms:W3CDTF">2014-07-22T12:55:00Z</dcterms:created>
  <dcterms:modified xsi:type="dcterms:W3CDTF">2014-07-22T12:55:00Z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