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9900" w:type="dxa"/>
        <w:tblInd w:w="108" w:type="dxa"/>
        <w:tblLook w:val="04A0"/>
      </w:tblPr>
      <w:tblGrid>
        <w:gridCol w:w="9900"/>
      </w:tblGrid>
      <w:tr w:rsidR="009B4256" w:rsidTr="009B4256">
        <w:tc>
          <w:tcPr>
            <w:tcW w:w="9900" w:type="dxa"/>
          </w:tcPr>
          <w:p w:rsidR="009B4256" w:rsidRDefault="009B4256" w:rsidP="001213ED">
            <w:pPr>
              <w:spacing w:after="120" w:line="276" w:lineRule="auto"/>
              <w:jc w:val="center"/>
              <w:rPr>
                <w:b/>
                <w:bCs/>
                <w:sz w:val="25"/>
                <w:szCs w:val="25"/>
                <w:u w:val="single"/>
                <w:lang w:val="en-CA"/>
              </w:rPr>
            </w:pPr>
          </w:p>
          <w:p w:rsidR="009B4256" w:rsidRPr="00815C73" w:rsidRDefault="009B4256" w:rsidP="001213ED">
            <w:pPr>
              <w:spacing w:after="120" w:line="276" w:lineRule="auto"/>
              <w:jc w:val="center"/>
              <w:rPr>
                <w:b/>
                <w:bCs/>
                <w:sz w:val="25"/>
                <w:szCs w:val="25"/>
                <w:u w:val="single"/>
                <w:lang w:val="en-CA"/>
              </w:rPr>
            </w:pPr>
            <w:r w:rsidRPr="00815C73">
              <w:rPr>
                <w:b/>
                <w:bCs/>
                <w:sz w:val="25"/>
                <w:szCs w:val="25"/>
                <w:u w:val="single"/>
                <w:lang w:val="en-CA"/>
              </w:rPr>
              <w:t xml:space="preserve">SUBMISSION TO THE UN COMMITTEE ON </w:t>
            </w:r>
            <w:r>
              <w:rPr>
                <w:b/>
                <w:bCs/>
                <w:sz w:val="25"/>
                <w:szCs w:val="25"/>
                <w:u w:val="single"/>
                <w:lang w:val="en-CA"/>
              </w:rPr>
              <w:t>HUMAN</w:t>
            </w:r>
            <w:r w:rsidRPr="00815C73">
              <w:rPr>
                <w:b/>
                <w:bCs/>
                <w:sz w:val="25"/>
                <w:szCs w:val="25"/>
                <w:u w:val="single"/>
                <w:lang w:val="en-CA"/>
              </w:rPr>
              <w:t xml:space="preserve"> RIGHTS</w:t>
            </w:r>
          </w:p>
          <w:p w:rsidR="009B4256" w:rsidRPr="00815C73" w:rsidRDefault="009B4256" w:rsidP="001213ED">
            <w:pPr>
              <w:spacing w:after="120" w:line="276" w:lineRule="auto"/>
              <w:jc w:val="center"/>
              <w:rPr>
                <w:b/>
                <w:bCs/>
                <w:sz w:val="25"/>
                <w:szCs w:val="25"/>
                <w:u w:val="single"/>
                <w:lang w:val="en-CA"/>
              </w:rPr>
            </w:pPr>
            <w:r w:rsidRPr="00815C73">
              <w:rPr>
                <w:b/>
                <w:bCs/>
                <w:sz w:val="25"/>
                <w:szCs w:val="25"/>
                <w:u w:val="single"/>
                <w:lang w:val="en-CA"/>
              </w:rPr>
              <w:t>for the review of Canada in March 2026</w:t>
            </w:r>
            <w:r>
              <w:rPr>
                <w:b/>
                <w:bCs/>
                <w:sz w:val="25"/>
                <w:szCs w:val="25"/>
                <w:u w:val="single"/>
                <w:lang w:val="en-CA"/>
              </w:rPr>
              <w:t xml:space="preserve"> (during CCPR session 145)</w:t>
            </w:r>
            <w:r w:rsidRPr="00815C73">
              <w:rPr>
                <w:b/>
                <w:bCs/>
                <w:sz w:val="25"/>
                <w:szCs w:val="25"/>
                <w:u w:val="single"/>
                <w:lang w:val="en-CA"/>
              </w:rPr>
              <w:t xml:space="preserve"> </w:t>
            </w:r>
          </w:p>
          <w:p w:rsidR="009B4256" w:rsidRDefault="009B4256" w:rsidP="001213ED">
            <w:pPr>
              <w:spacing w:after="120" w:line="276" w:lineRule="auto"/>
              <w:jc w:val="center"/>
              <w:rPr>
                <w:b/>
                <w:bCs/>
                <w:sz w:val="25"/>
                <w:szCs w:val="25"/>
                <w:u w:val="single"/>
                <w:lang w:val="en-CA"/>
              </w:rPr>
            </w:pPr>
            <w:r>
              <w:rPr>
                <w:b/>
                <w:bCs/>
                <w:sz w:val="25"/>
                <w:szCs w:val="25"/>
                <w:u w:val="single"/>
                <w:lang w:val="en-CA"/>
              </w:rPr>
              <w:t>for its compliance with the International Covenant on Civil and Political Rights</w:t>
            </w:r>
          </w:p>
          <w:p w:rsidR="009B4256" w:rsidRDefault="009B4256" w:rsidP="001213ED">
            <w:pPr>
              <w:spacing w:after="120" w:line="276" w:lineRule="auto"/>
              <w:jc w:val="center"/>
              <w:rPr>
                <w:b/>
                <w:bCs/>
                <w:sz w:val="25"/>
                <w:szCs w:val="25"/>
                <w:u w:val="single"/>
                <w:lang w:val="en-CA"/>
              </w:rPr>
            </w:pPr>
          </w:p>
        </w:tc>
      </w:tr>
    </w:tbl>
    <w:p w:rsidR="009B4256" w:rsidRDefault="009B4256" w:rsidP="009B4256">
      <w:pPr>
        <w:spacing w:after="120" w:line="276" w:lineRule="auto"/>
        <w:rPr>
          <w:b/>
          <w:bCs/>
          <w:iCs/>
          <w:sz w:val="25"/>
          <w:szCs w:val="25"/>
          <w:lang w:val="en-CA"/>
        </w:rPr>
      </w:pPr>
    </w:p>
    <w:p w:rsidR="009B4256" w:rsidRPr="00C2440C" w:rsidRDefault="009B4256" w:rsidP="009B4256">
      <w:pPr>
        <w:spacing w:after="120" w:line="276" w:lineRule="auto"/>
        <w:jc w:val="center"/>
        <w:rPr>
          <w:bCs/>
          <w:iCs/>
          <w:sz w:val="25"/>
          <w:szCs w:val="25"/>
          <w:u w:val="single"/>
          <w:lang w:val="en-CA"/>
        </w:rPr>
      </w:pPr>
      <w:r w:rsidRPr="00C2440C">
        <w:rPr>
          <w:bCs/>
          <w:iCs/>
          <w:sz w:val="25"/>
          <w:szCs w:val="25"/>
          <w:u w:val="single"/>
          <w:lang w:val="en-CA"/>
        </w:rPr>
        <w:t xml:space="preserve">About the International Commission of Jurists </w:t>
      </w:r>
      <w:r>
        <w:rPr>
          <w:bCs/>
          <w:iCs/>
          <w:sz w:val="25"/>
          <w:szCs w:val="25"/>
          <w:u w:val="single"/>
          <w:lang w:val="en-CA"/>
        </w:rPr>
        <w:t>–</w:t>
      </w:r>
      <w:r w:rsidRPr="00C2440C">
        <w:rPr>
          <w:bCs/>
          <w:iCs/>
          <w:sz w:val="25"/>
          <w:szCs w:val="25"/>
          <w:u w:val="single"/>
          <w:lang w:val="en-CA"/>
        </w:rPr>
        <w:t xml:space="preserve"> Canada</w:t>
      </w:r>
    </w:p>
    <w:p w:rsidR="009B4256" w:rsidRPr="00C2440C" w:rsidRDefault="009B4256" w:rsidP="009B4256">
      <w:pPr>
        <w:spacing w:after="120" w:line="276" w:lineRule="auto"/>
        <w:jc w:val="both"/>
        <w:rPr>
          <w:bCs/>
          <w:iCs/>
          <w:sz w:val="25"/>
          <w:szCs w:val="25"/>
          <w:lang w:val="en-CA"/>
        </w:rPr>
      </w:pPr>
      <w:r>
        <w:rPr>
          <w:bCs/>
          <w:iCs/>
          <w:sz w:val="25"/>
          <w:szCs w:val="25"/>
          <w:lang w:val="en-CA"/>
        </w:rPr>
        <w:t>The International Commission of Jurists – Canada (</w:t>
      </w:r>
      <w:r w:rsidRPr="00C2440C">
        <w:rPr>
          <w:bCs/>
          <w:iCs/>
          <w:sz w:val="25"/>
          <w:szCs w:val="25"/>
          <w:lang w:val="en-CA"/>
        </w:rPr>
        <w:t>ICJ Canada</w:t>
      </w:r>
      <w:r>
        <w:rPr>
          <w:bCs/>
          <w:iCs/>
          <w:sz w:val="25"/>
          <w:szCs w:val="25"/>
          <w:lang w:val="en-CA"/>
        </w:rPr>
        <w:t>)</w:t>
      </w:r>
      <w:r w:rsidRPr="00C2440C">
        <w:rPr>
          <w:bCs/>
          <w:iCs/>
          <w:sz w:val="25"/>
          <w:szCs w:val="25"/>
          <w:lang w:val="en-CA"/>
        </w:rPr>
        <w:t xml:space="preserve"> was established in 1958 as a national section of the Inte</w:t>
      </w:r>
      <w:r>
        <w:rPr>
          <w:bCs/>
          <w:iCs/>
          <w:sz w:val="25"/>
          <w:szCs w:val="25"/>
          <w:lang w:val="en-CA"/>
        </w:rPr>
        <w:t>rnational Commission of Jurists w</w:t>
      </w:r>
      <w:r w:rsidRPr="00C2440C">
        <w:rPr>
          <w:bCs/>
          <w:iCs/>
          <w:sz w:val="25"/>
          <w:szCs w:val="25"/>
          <w:lang w:val="en-CA"/>
        </w:rPr>
        <w:t xml:space="preserve">ith the </w:t>
      </w:r>
      <w:r>
        <w:rPr>
          <w:bCs/>
          <w:iCs/>
          <w:sz w:val="25"/>
          <w:szCs w:val="25"/>
          <w:lang w:val="en-CA"/>
        </w:rPr>
        <w:t xml:space="preserve">objective to promote </w:t>
      </w:r>
      <w:r w:rsidRPr="00C2440C">
        <w:rPr>
          <w:bCs/>
          <w:iCs/>
          <w:sz w:val="25"/>
          <w:szCs w:val="25"/>
          <w:lang w:val="en-CA"/>
        </w:rPr>
        <w:t>human rights and freedoms, the rule of law, and</w:t>
      </w:r>
      <w:r>
        <w:rPr>
          <w:bCs/>
          <w:iCs/>
          <w:sz w:val="25"/>
          <w:szCs w:val="25"/>
          <w:lang w:val="en-CA"/>
        </w:rPr>
        <w:t xml:space="preserve"> the</w:t>
      </w:r>
      <w:r w:rsidRPr="00C2440C">
        <w:rPr>
          <w:bCs/>
          <w:iCs/>
          <w:sz w:val="25"/>
          <w:szCs w:val="25"/>
          <w:lang w:val="en-CA"/>
        </w:rPr>
        <w:t xml:space="preserve"> independence of the judiciary. ICJ Canada </w:t>
      </w:r>
      <w:r>
        <w:rPr>
          <w:bCs/>
          <w:iCs/>
          <w:sz w:val="25"/>
          <w:szCs w:val="25"/>
          <w:lang w:val="en-CA"/>
        </w:rPr>
        <w:t>is</w:t>
      </w:r>
      <w:r w:rsidRPr="00C2440C">
        <w:rPr>
          <w:bCs/>
          <w:iCs/>
          <w:sz w:val="25"/>
          <w:szCs w:val="25"/>
          <w:lang w:val="en-CA"/>
        </w:rPr>
        <w:t xml:space="preserve"> an independent, non-governmental, non-partisan organization, and a registered Canadian charity. </w:t>
      </w:r>
    </w:p>
    <w:p w:rsidR="009B4256" w:rsidRPr="00C2440C" w:rsidRDefault="009B4256" w:rsidP="009B4256">
      <w:pPr>
        <w:spacing w:after="120" w:line="276" w:lineRule="auto"/>
        <w:jc w:val="both"/>
        <w:rPr>
          <w:bCs/>
          <w:iCs/>
          <w:sz w:val="25"/>
          <w:szCs w:val="25"/>
          <w:lang w:val="en-CA"/>
        </w:rPr>
      </w:pPr>
      <w:r w:rsidRPr="00C2440C">
        <w:rPr>
          <w:bCs/>
          <w:iCs/>
          <w:sz w:val="25"/>
          <w:szCs w:val="25"/>
          <w:lang w:val="en-CA"/>
        </w:rPr>
        <w:t>ICJ</w:t>
      </w:r>
      <w:r>
        <w:rPr>
          <w:bCs/>
          <w:iCs/>
          <w:sz w:val="25"/>
          <w:szCs w:val="25"/>
          <w:lang w:val="en-CA"/>
        </w:rPr>
        <w:t xml:space="preserve"> Canada</w:t>
      </w:r>
      <w:r w:rsidRPr="00C2440C">
        <w:rPr>
          <w:bCs/>
          <w:iCs/>
          <w:sz w:val="25"/>
          <w:szCs w:val="25"/>
          <w:lang w:val="en-CA"/>
        </w:rPr>
        <w:t xml:space="preserve"> provides legal expertise </w:t>
      </w:r>
      <w:r>
        <w:rPr>
          <w:bCs/>
          <w:iCs/>
          <w:sz w:val="25"/>
          <w:szCs w:val="25"/>
          <w:lang w:val="en-CA"/>
        </w:rPr>
        <w:t xml:space="preserve">and undertakes actions </w:t>
      </w:r>
      <w:r w:rsidRPr="00C2440C">
        <w:rPr>
          <w:bCs/>
          <w:iCs/>
          <w:sz w:val="25"/>
          <w:szCs w:val="25"/>
          <w:lang w:val="en-CA"/>
        </w:rPr>
        <w:t>at both the international and national levels to ensure that developments in international law adhere to human rights principles, and to ensure that international standards are implemented at the national level.</w:t>
      </w:r>
      <w:r>
        <w:rPr>
          <w:bCs/>
          <w:iCs/>
          <w:sz w:val="25"/>
          <w:szCs w:val="25"/>
          <w:lang w:val="en-CA"/>
        </w:rPr>
        <w:t xml:space="preserve"> </w:t>
      </w:r>
      <w:r w:rsidRPr="00C2440C">
        <w:rPr>
          <w:bCs/>
          <w:iCs/>
          <w:sz w:val="25"/>
          <w:szCs w:val="25"/>
          <w:lang w:val="en-CA"/>
        </w:rPr>
        <w:t xml:space="preserve">We </w:t>
      </w:r>
      <w:r>
        <w:rPr>
          <w:bCs/>
          <w:iCs/>
          <w:sz w:val="25"/>
          <w:szCs w:val="25"/>
          <w:lang w:val="en-CA"/>
        </w:rPr>
        <w:t>work</w:t>
      </w:r>
      <w:r w:rsidRPr="00C2440C">
        <w:rPr>
          <w:bCs/>
          <w:iCs/>
          <w:sz w:val="25"/>
          <w:szCs w:val="25"/>
          <w:lang w:val="en-CA"/>
        </w:rPr>
        <w:t xml:space="preserve"> to foster a culture of respect for human rights among members of the legal profession, and in Canadian society more broadly.</w:t>
      </w:r>
    </w:p>
    <w:p w:rsidR="009B4256" w:rsidRPr="00C2440C" w:rsidRDefault="009B4256" w:rsidP="009B4256">
      <w:pPr>
        <w:spacing w:after="120" w:line="276" w:lineRule="auto"/>
        <w:jc w:val="center"/>
        <w:rPr>
          <w:bCs/>
          <w:iCs/>
          <w:sz w:val="25"/>
          <w:szCs w:val="25"/>
          <w:u w:val="single"/>
          <w:lang w:val="en-CA"/>
        </w:rPr>
      </w:pPr>
      <w:r w:rsidRPr="00C2440C">
        <w:rPr>
          <w:bCs/>
          <w:iCs/>
          <w:sz w:val="25"/>
          <w:szCs w:val="25"/>
          <w:u w:val="single"/>
          <w:lang w:val="en-CA"/>
        </w:rPr>
        <w:t>The Submission</w:t>
      </w:r>
    </w:p>
    <w:p w:rsidR="009B4256" w:rsidRDefault="009B4256" w:rsidP="009B4256">
      <w:pPr>
        <w:spacing w:after="120" w:line="276" w:lineRule="auto"/>
        <w:jc w:val="both"/>
        <w:rPr>
          <w:bCs/>
          <w:iCs/>
          <w:sz w:val="25"/>
          <w:szCs w:val="25"/>
          <w:lang w:val="en-CA"/>
        </w:rPr>
      </w:pPr>
      <w:r>
        <w:rPr>
          <w:bCs/>
          <w:iCs/>
          <w:sz w:val="25"/>
          <w:szCs w:val="25"/>
          <w:lang w:val="en-CA"/>
        </w:rPr>
        <w:t>Since Canada’s last reporting to the UN Committee on Civil and Political Rights under the International Covenant on Civil and Political Rights (ICCPR), several important human rights deteriorations have occurred in Canada, with direct and serious implications for the rule of law and the human rights regime, including civil and political rights.</w:t>
      </w:r>
    </w:p>
    <w:p w:rsidR="003527EC" w:rsidRDefault="003527EC" w:rsidP="009B4256">
      <w:pPr>
        <w:spacing w:after="120" w:line="276" w:lineRule="auto"/>
        <w:jc w:val="both"/>
        <w:rPr>
          <w:bCs/>
          <w:iCs/>
          <w:sz w:val="25"/>
          <w:szCs w:val="25"/>
          <w:lang w:val="en-CA"/>
        </w:rPr>
      </w:pPr>
    </w:p>
    <w:tbl>
      <w:tblPr>
        <w:tblStyle w:val="TableGrid"/>
        <w:tblW w:w="0" w:type="auto"/>
        <w:tblLook w:val="04A0"/>
      </w:tblPr>
      <w:tblGrid>
        <w:gridCol w:w="10116"/>
      </w:tblGrid>
      <w:tr w:rsidR="009B4256" w:rsidRPr="00143B7C" w:rsidTr="009B4256">
        <w:tc>
          <w:tcPr>
            <w:tcW w:w="10368" w:type="dxa"/>
          </w:tcPr>
          <w:p w:rsidR="009B4256" w:rsidRPr="00DA5E0B" w:rsidRDefault="009B4256" w:rsidP="001213ED">
            <w:pPr>
              <w:spacing w:after="120" w:line="276" w:lineRule="auto"/>
              <w:jc w:val="center"/>
              <w:rPr>
                <w:b/>
                <w:bCs/>
                <w:iCs/>
                <w:sz w:val="25"/>
                <w:szCs w:val="25"/>
                <w:lang w:val="en-CA"/>
              </w:rPr>
            </w:pPr>
            <w:r w:rsidRPr="00815C73">
              <w:rPr>
                <w:bCs/>
                <w:iCs/>
                <w:sz w:val="25"/>
                <w:szCs w:val="25"/>
                <w:lang w:val="en-CA"/>
              </w:rPr>
              <w:t xml:space="preserve">    </w:t>
            </w:r>
            <w:r w:rsidRPr="00DA5E0B">
              <w:rPr>
                <w:b/>
                <w:bCs/>
                <w:iCs/>
                <w:sz w:val="25"/>
                <w:szCs w:val="25"/>
                <w:lang w:val="en-CA"/>
              </w:rPr>
              <w:t>-1-</w:t>
            </w:r>
          </w:p>
          <w:p w:rsidR="009B4256" w:rsidRDefault="009B4256" w:rsidP="001213ED">
            <w:pPr>
              <w:spacing w:after="120" w:line="276" w:lineRule="auto"/>
              <w:jc w:val="center"/>
              <w:rPr>
                <w:bCs/>
                <w:iCs/>
                <w:sz w:val="25"/>
                <w:szCs w:val="25"/>
                <w:lang w:val="en-CA"/>
              </w:rPr>
            </w:pPr>
            <w:r w:rsidRPr="00815C73">
              <w:rPr>
                <w:b/>
                <w:bCs/>
                <w:iCs/>
                <w:sz w:val="25"/>
                <w:szCs w:val="25"/>
                <w:lang w:val="en-CA"/>
              </w:rPr>
              <w:t xml:space="preserve">With relevance to </w:t>
            </w:r>
            <w:r w:rsidRPr="00815C73">
              <w:rPr>
                <w:b/>
                <w:bCs/>
                <w:iCs/>
                <w:sz w:val="25"/>
                <w:szCs w:val="25"/>
                <w:u w:val="single"/>
                <w:lang w:val="en-CA"/>
              </w:rPr>
              <w:t>section</w:t>
            </w:r>
            <w:r w:rsidRPr="001022F7">
              <w:rPr>
                <w:b/>
                <w:bCs/>
                <w:iCs/>
                <w:sz w:val="25"/>
                <w:szCs w:val="25"/>
                <w:u w:val="single"/>
                <w:lang w:val="en-CA"/>
              </w:rPr>
              <w:t xml:space="preserve"> A</w:t>
            </w:r>
            <w:r w:rsidRPr="00815C73">
              <w:rPr>
                <w:b/>
                <w:bCs/>
                <w:iCs/>
                <w:sz w:val="25"/>
                <w:szCs w:val="25"/>
                <w:lang w:val="en-CA"/>
              </w:rPr>
              <w:t xml:space="preserve"> (</w:t>
            </w:r>
            <w:r w:rsidRPr="00815C73">
              <w:rPr>
                <w:b/>
                <w:bCs/>
                <w:i/>
                <w:iCs/>
                <w:sz w:val="25"/>
                <w:szCs w:val="25"/>
                <w:lang w:val="en-CA"/>
              </w:rPr>
              <w:t>General information on the national human rights situation, including new measures and developments relating to the implementation of the Covenant</w:t>
            </w:r>
            <w:r w:rsidRPr="00815C73">
              <w:rPr>
                <w:b/>
                <w:bCs/>
                <w:iCs/>
                <w:sz w:val="25"/>
                <w:szCs w:val="25"/>
                <w:lang w:val="en-CA"/>
              </w:rPr>
              <w:t xml:space="preserve">) and </w:t>
            </w:r>
            <w:r w:rsidRPr="00815C73">
              <w:rPr>
                <w:b/>
                <w:bCs/>
                <w:iCs/>
                <w:sz w:val="25"/>
                <w:szCs w:val="25"/>
                <w:u w:val="single"/>
                <w:lang w:val="en-CA"/>
              </w:rPr>
              <w:t>section B, subsection</w:t>
            </w:r>
            <w:r w:rsidRPr="00815C73">
              <w:rPr>
                <w:b/>
                <w:bCs/>
                <w:iCs/>
                <w:sz w:val="25"/>
                <w:szCs w:val="25"/>
                <w:lang w:val="en-CA"/>
              </w:rPr>
              <w:t xml:space="preserve"> </w:t>
            </w:r>
            <w:r w:rsidRPr="00815C73">
              <w:rPr>
                <w:b/>
                <w:bCs/>
                <w:i/>
                <w:iCs/>
                <w:sz w:val="25"/>
                <w:szCs w:val="25"/>
                <w:lang w:val="en-CA"/>
              </w:rPr>
              <w:t>Constitutional and legal framework within which the Covenant is implemented (art. 2)</w:t>
            </w:r>
            <w:r w:rsidRPr="00815C73">
              <w:rPr>
                <w:b/>
                <w:bCs/>
                <w:iCs/>
                <w:sz w:val="25"/>
                <w:szCs w:val="25"/>
                <w:lang w:val="en-CA"/>
              </w:rPr>
              <w:t xml:space="preserve"> from the approved List of </w:t>
            </w:r>
            <w:r>
              <w:rPr>
                <w:b/>
                <w:bCs/>
                <w:iCs/>
                <w:sz w:val="25"/>
                <w:szCs w:val="25"/>
                <w:lang w:val="en-CA"/>
              </w:rPr>
              <w:t>I</w:t>
            </w:r>
            <w:r w:rsidRPr="00815C73">
              <w:rPr>
                <w:b/>
                <w:bCs/>
                <w:iCs/>
                <w:sz w:val="25"/>
                <w:szCs w:val="25"/>
                <w:lang w:val="en-CA"/>
              </w:rPr>
              <w:t>ssues prior to submission of the se</w:t>
            </w:r>
            <w:r>
              <w:rPr>
                <w:b/>
                <w:bCs/>
                <w:iCs/>
                <w:sz w:val="25"/>
                <w:szCs w:val="25"/>
                <w:lang w:val="en-CA"/>
              </w:rPr>
              <w:t>venth periodic report of Canada</w:t>
            </w:r>
          </w:p>
        </w:tc>
      </w:tr>
    </w:tbl>
    <w:p w:rsidR="009B4256" w:rsidRDefault="009B4256" w:rsidP="009B4256">
      <w:pPr>
        <w:spacing w:after="120" w:line="276" w:lineRule="auto"/>
        <w:rPr>
          <w:bCs/>
          <w:iCs/>
          <w:sz w:val="25"/>
          <w:szCs w:val="25"/>
          <w:lang w:val="en-CA"/>
        </w:rPr>
      </w:pPr>
    </w:p>
    <w:p w:rsidR="009B4256" w:rsidRPr="0021724E" w:rsidRDefault="009B4256" w:rsidP="009B4256">
      <w:pPr>
        <w:spacing w:after="120" w:line="276" w:lineRule="auto"/>
        <w:jc w:val="center"/>
        <w:rPr>
          <w:bCs/>
          <w:iCs/>
          <w:sz w:val="25"/>
          <w:szCs w:val="25"/>
          <w:u w:val="single"/>
          <w:lang w:val="en-CA"/>
        </w:rPr>
      </w:pPr>
      <w:r w:rsidRPr="00F700FC">
        <w:rPr>
          <w:bCs/>
          <w:iCs/>
          <w:sz w:val="25"/>
          <w:szCs w:val="25"/>
          <w:u w:val="single"/>
          <w:lang w:val="en-CA"/>
        </w:rPr>
        <w:t xml:space="preserve">The Canadian Charter </w:t>
      </w:r>
      <w:r>
        <w:rPr>
          <w:bCs/>
          <w:iCs/>
          <w:sz w:val="25"/>
          <w:szCs w:val="25"/>
          <w:u w:val="single"/>
          <w:lang w:val="en-CA"/>
        </w:rPr>
        <w:t xml:space="preserve">of Rights and Freedoms </w:t>
      </w:r>
      <w:r w:rsidRPr="00F700FC">
        <w:rPr>
          <w:bCs/>
          <w:iCs/>
          <w:sz w:val="25"/>
          <w:szCs w:val="25"/>
          <w:u w:val="single"/>
          <w:lang w:val="en-CA"/>
        </w:rPr>
        <w:t>“Notwithstanding” Clause</w:t>
      </w:r>
    </w:p>
    <w:p w:rsidR="009B4256" w:rsidRDefault="009B4256" w:rsidP="009B4256">
      <w:pPr>
        <w:spacing w:after="120" w:line="276" w:lineRule="auto"/>
        <w:rPr>
          <w:bCs/>
          <w:iCs/>
          <w:sz w:val="25"/>
          <w:szCs w:val="25"/>
          <w:lang w:val="en-CA"/>
        </w:rPr>
      </w:pPr>
    </w:p>
    <w:p w:rsidR="009B4256" w:rsidRDefault="009B4256" w:rsidP="009B4256">
      <w:pPr>
        <w:spacing w:after="120" w:line="276" w:lineRule="auto"/>
        <w:jc w:val="both"/>
        <w:rPr>
          <w:bCs/>
          <w:iCs/>
          <w:sz w:val="25"/>
          <w:szCs w:val="25"/>
          <w:lang w:val="en-CA"/>
        </w:rPr>
      </w:pPr>
      <w:r>
        <w:rPr>
          <w:bCs/>
          <w:iCs/>
          <w:sz w:val="25"/>
          <w:szCs w:val="25"/>
          <w:lang w:val="en-CA"/>
        </w:rPr>
        <w:t>The Canadian Charter of Rights and Freedoms</w:t>
      </w:r>
      <w:r>
        <w:rPr>
          <w:rStyle w:val="FootnoteReference"/>
          <w:bCs/>
          <w:iCs/>
          <w:sz w:val="25"/>
          <w:szCs w:val="25"/>
          <w:lang w:val="en-CA"/>
        </w:rPr>
        <w:footnoteReference w:id="1"/>
      </w:r>
      <w:r>
        <w:rPr>
          <w:bCs/>
          <w:iCs/>
          <w:sz w:val="25"/>
          <w:szCs w:val="25"/>
          <w:lang w:val="en-CA"/>
        </w:rPr>
        <w:t xml:space="preserve"> – which is part of the Canadian Constitution and the main Canadian law on human rights at the federal level– includes a provision (Section 33), which </w:t>
      </w:r>
      <w:r w:rsidRPr="00754231">
        <w:rPr>
          <w:b/>
          <w:bCs/>
          <w:iCs/>
          <w:sz w:val="25"/>
          <w:szCs w:val="25"/>
          <w:lang w:val="en-CA"/>
        </w:rPr>
        <w:t>lately</w:t>
      </w:r>
      <w:r>
        <w:rPr>
          <w:bCs/>
          <w:iCs/>
          <w:sz w:val="25"/>
          <w:szCs w:val="25"/>
          <w:lang w:val="en-CA"/>
        </w:rPr>
        <w:t xml:space="preserve"> became the main source of human rights concerns. Section 33 of the Charter reads as follows</w:t>
      </w:r>
      <w:r>
        <w:rPr>
          <w:bCs/>
          <w:iCs/>
          <w:sz w:val="25"/>
          <w:szCs w:val="25"/>
        </w:rPr>
        <w:t>:</w:t>
      </w:r>
      <w:r>
        <w:rPr>
          <w:bCs/>
          <w:iCs/>
          <w:sz w:val="25"/>
          <w:szCs w:val="25"/>
          <w:lang w:val="en-CA"/>
        </w:rPr>
        <w:t xml:space="preserve">   </w:t>
      </w:r>
    </w:p>
    <w:p w:rsidR="009B4256" w:rsidRPr="00864F7F" w:rsidRDefault="009B4256" w:rsidP="009B4256">
      <w:pPr>
        <w:spacing w:after="120" w:line="276" w:lineRule="auto"/>
        <w:ind w:left="270" w:right="360"/>
        <w:jc w:val="both"/>
        <w:rPr>
          <w:b/>
          <w:bCs/>
          <w:i/>
          <w:iCs/>
          <w:sz w:val="25"/>
          <w:szCs w:val="25"/>
          <w:lang w:val="en-CA"/>
        </w:rPr>
      </w:pPr>
      <w:r w:rsidRPr="00864F7F">
        <w:rPr>
          <w:b/>
          <w:bCs/>
          <w:i/>
          <w:iCs/>
          <w:sz w:val="25"/>
          <w:szCs w:val="25"/>
          <w:lang w:val="en-CA"/>
        </w:rPr>
        <w:t>Exception where express declaration</w:t>
      </w:r>
    </w:p>
    <w:p w:rsidR="009B4256" w:rsidRPr="00864F7F" w:rsidRDefault="009B4256" w:rsidP="009B4256">
      <w:pPr>
        <w:spacing w:after="120" w:line="276" w:lineRule="auto"/>
        <w:ind w:left="270" w:right="360"/>
        <w:jc w:val="both"/>
        <w:rPr>
          <w:bCs/>
          <w:i/>
          <w:iCs/>
          <w:sz w:val="25"/>
          <w:szCs w:val="25"/>
          <w:lang w:val="en-CA"/>
        </w:rPr>
      </w:pPr>
      <w:r w:rsidRPr="00864F7F">
        <w:rPr>
          <w:b/>
          <w:bCs/>
          <w:i/>
          <w:iCs/>
          <w:sz w:val="25"/>
          <w:szCs w:val="25"/>
          <w:lang w:val="en-CA"/>
        </w:rPr>
        <w:t>33 (1)</w:t>
      </w:r>
      <w:r w:rsidRPr="00864F7F">
        <w:rPr>
          <w:bCs/>
          <w:i/>
          <w:iCs/>
          <w:sz w:val="25"/>
          <w:szCs w:val="25"/>
          <w:lang w:val="en-CA"/>
        </w:rPr>
        <w:t xml:space="preserve"> Parliament or the legislature of a province may expressly declare in an Act of Parliament or of the legislature, as the case may be, that the Act or a provision thereof shall operate notwithstanding a provision included in section 2 or sections 7 to 15 of this Charter.</w:t>
      </w:r>
    </w:p>
    <w:p w:rsidR="009B4256" w:rsidRPr="00864F7F" w:rsidRDefault="009B4256" w:rsidP="009B4256">
      <w:pPr>
        <w:spacing w:after="120" w:line="276" w:lineRule="auto"/>
        <w:ind w:left="270" w:right="360"/>
        <w:jc w:val="both"/>
        <w:rPr>
          <w:b/>
          <w:bCs/>
          <w:i/>
          <w:iCs/>
          <w:sz w:val="25"/>
          <w:szCs w:val="25"/>
          <w:lang w:val="en-CA"/>
        </w:rPr>
      </w:pPr>
      <w:r w:rsidRPr="00864F7F">
        <w:rPr>
          <w:b/>
          <w:bCs/>
          <w:i/>
          <w:iCs/>
          <w:sz w:val="25"/>
          <w:szCs w:val="25"/>
          <w:lang w:val="en-CA"/>
        </w:rPr>
        <w:t>Operation of exception</w:t>
      </w:r>
    </w:p>
    <w:p w:rsidR="009B4256" w:rsidRPr="00864F7F" w:rsidRDefault="009B4256" w:rsidP="009B4256">
      <w:pPr>
        <w:spacing w:after="120" w:line="276" w:lineRule="auto"/>
        <w:ind w:left="270" w:right="360"/>
        <w:jc w:val="both"/>
        <w:rPr>
          <w:bCs/>
          <w:i/>
          <w:iCs/>
          <w:sz w:val="25"/>
          <w:szCs w:val="25"/>
          <w:lang w:val="en-CA"/>
        </w:rPr>
      </w:pPr>
      <w:r w:rsidRPr="00864F7F">
        <w:rPr>
          <w:b/>
          <w:bCs/>
          <w:i/>
          <w:iCs/>
          <w:sz w:val="25"/>
          <w:szCs w:val="25"/>
          <w:lang w:val="en-CA"/>
        </w:rPr>
        <w:t>(2)</w:t>
      </w:r>
      <w:r w:rsidRPr="00864F7F">
        <w:rPr>
          <w:bCs/>
          <w:i/>
          <w:iCs/>
          <w:sz w:val="25"/>
          <w:szCs w:val="25"/>
          <w:lang w:val="en-CA"/>
        </w:rPr>
        <w:t xml:space="preserve"> An Act or a provision of an Act in respect of which a declaration made under this section is in effect shall have such operation as it would have but for the provision of this Charter referred to in the declaration.</w:t>
      </w:r>
    </w:p>
    <w:p w:rsidR="009B4256" w:rsidRPr="00864F7F" w:rsidRDefault="009B4256" w:rsidP="009B4256">
      <w:pPr>
        <w:spacing w:after="120" w:line="276" w:lineRule="auto"/>
        <w:ind w:left="270" w:right="360"/>
        <w:jc w:val="both"/>
        <w:rPr>
          <w:b/>
          <w:bCs/>
          <w:i/>
          <w:iCs/>
          <w:sz w:val="25"/>
          <w:szCs w:val="25"/>
          <w:lang w:val="en-CA"/>
        </w:rPr>
      </w:pPr>
      <w:r w:rsidRPr="00864F7F">
        <w:rPr>
          <w:b/>
          <w:bCs/>
          <w:i/>
          <w:iCs/>
          <w:sz w:val="25"/>
          <w:szCs w:val="25"/>
          <w:lang w:val="en-CA"/>
        </w:rPr>
        <w:t>Five year limitation</w:t>
      </w:r>
    </w:p>
    <w:p w:rsidR="009B4256" w:rsidRPr="00864F7F" w:rsidRDefault="009B4256" w:rsidP="009B4256">
      <w:pPr>
        <w:spacing w:after="120" w:line="276" w:lineRule="auto"/>
        <w:ind w:left="270" w:right="360"/>
        <w:jc w:val="both"/>
        <w:rPr>
          <w:bCs/>
          <w:i/>
          <w:iCs/>
          <w:sz w:val="25"/>
          <w:szCs w:val="25"/>
          <w:lang w:val="en-CA"/>
        </w:rPr>
      </w:pPr>
      <w:r w:rsidRPr="00864F7F">
        <w:rPr>
          <w:b/>
          <w:bCs/>
          <w:i/>
          <w:iCs/>
          <w:sz w:val="25"/>
          <w:szCs w:val="25"/>
          <w:lang w:val="en-CA"/>
        </w:rPr>
        <w:t>(3)</w:t>
      </w:r>
      <w:r w:rsidRPr="00864F7F">
        <w:rPr>
          <w:bCs/>
          <w:i/>
          <w:iCs/>
          <w:sz w:val="25"/>
          <w:szCs w:val="25"/>
          <w:lang w:val="en-CA"/>
        </w:rPr>
        <w:t xml:space="preserve"> A declaration made under subsection (1) shall cease to have effect five years after it comes into force or on such earlier date as may be specified in the declaration.</w:t>
      </w:r>
    </w:p>
    <w:p w:rsidR="009B4256" w:rsidRPr="00864F7F" w:rsidRDefault="009B4256" w:rsidP="009B4256">
      <w:pPr>
        <w:spacing w:after="120" w:line="276" w:lineRule="auto"/>
        <w:ind w:left="270" w:right="360"/>
        <w:jc w:val="both"/>
        <w:rPr>
          <w:b/>
          <w:bCs/>
          <w:i/>
          <w:iCs/>
          <w:sz w:val="25"/>
          <w:szCs w:val="25"/>
          <w:lang w:val="en-CA"/>
        </w:rPr>
      </w:pPr>
      <w:r w:rsidRPr="00864F7F">
        <w:rPr>
          <w:b/>
          <w:bCs/>
          <w:i/>
          <w:iCs/>
          <w:sz w:val="25"/>
          <w:szCs w:val="25"/>
          <w:lang w:val="en-CA"/>
        </w:rPr>
        <w:t>Re-enactment</w:t>
      </w:r>
    </w:p>
    <w:p w:rsidR="009B4256" w:rsidRPr="00864F7F" w:rsidRDefault="009B4256" w:rsidP="009B4256">
      <w:pPr>
        <w:spacing w:after="120" w:line="276" w:lineRule="auto"/>
        <w:ind w:left="270" w:right="360"/>
        <w:jc w:val="both"/>
        <w:rPr>
          <w:bCs/>
          <w:i/>
          <w:iCs/>
          <w:sz w:val="25"/>
          <w:szCs w:val="25"/>
          <w:lang w:val="en-CA"/>
        </w:rPr>
      </w:pPr>
      <w:r w:rsidRPr="00864F7F">
        <w:rPr>
          <w:b/>
          <w:bCs/>
          <w:i/>
          <w:iCs/>
          <w:sz w:val="25"/>
          <w:szCs w:val="25"/>
          <w:lang w:val="en-CA"/>
        </w:rPr>
        <w:t>(4)</w:t>
      </w:r>
      <w:r w:rsidRPr="00864F7F">
        <w:rPr>
          <w:bCs/>
          <w:i/>
          <w:iCs/>
          <w:sz w:val="25"/>
          <w:szCs w:val="25"/>
          <w:lang w:val="en-CA"/>
        </w:rPr>
        <w:t xml:space="preserve"> Parliament or the legislature of a province may re-enact a declaration made under subsection (1).</w:t>
      </w:r>
    </w:p>
    <w:p w:rsidR="009B4256" w:rsidRPr="00864F7F" w:rsidRDefault="009B4256" w:rsidP="009B4256">
      <w:pPr>
        <w:spacing w:after="120" w:line="276" w:lineRule="auto"/>
        <w:ind w:left="270" w:right="360"/>
        <w:jc w:val="both"/>
        <w:rPr>
          <w:b/>
          <w:bCs/>
          <w:i/>
          <w:iCs/>
          <w:sz w:val="25"/>
          <w:szCs w:val="25"/>
          <w:lang w:val="en-CA"/>
        </w:rPr>
      </w:pPr>
      <w:r w:rsidRPr="00864F7F">
        <w:rPr>
          <w:b/>
          <w:bCs/>
          <w:i/>
          <w:iCs/>
          <w:sz w:val="25"/>
          <w:szCs w:val="25"/>
          <w:lang w:val="en-CA"/>
        </w:rPr>
        <w:t>Five year limitation</w:t>
      </w:r>
    </w:p>
    <w:p w:rsidR="009B4256" w:rsidRDefault="009B4256" w:rsidP="009B4256">
      <w:pPr>
        <w:spacing w:after="120" w:line="276" w:lineRule="auto"/>
        <w:ind w:left="270" w:right="360"/>
        <w:jc w:val="both"/>
        <w:rPr>
          <w:bCs/>
          <w:iCs/>
          <w:sz w:val="25"/>
          <w:szCs w:val="25"/>
          <w:lang w:val="en-CA"/>
        </w:rPr>
      </w:pPr>
      <w:r w:rsidRPr="00864F7F">
        <w:rPr>
          <w:b/>
          <w:bCs/>
          <w:i/>
          <w:iCs/>
          <w:sz w:val="25"/>
          <w:szCs w:val="25"/>
          <w:lang w:val="en-CA"/>
        </w:rPr>
        <w:t>(5)</w:t>
      </w:r>
      <w:r w:rsidRPr="00864F7F">
        <w:rPr>
          <w:bCs/>
          <w:i/>
          <w:iCs/>
          <w:sz w:val="25"/>
          <w:szCs w:val="25"/>
          <w:lang w:val="en-CA"/>
        </w:rPr>
        <w:t xml:space="preserve"> Subsection (3) applies in respect of a re-enactment made under subsection (4).</w:t>
      </w:r>
    </w:p>
    <w:p w:rsidR="009B4256" w:rsidRDefault="009B4256" w:rsidP="009B4256">
      <w:pPr>
        <w:spacing w:after="120" w:line="276" w:lineRule="auto"/>
        <w:jc w:val="both"/>
        <w:rPr>
          <w:bCs/>
          <w:iCs/>
          <w:sz w:val="25"/>
          <w:szCs w:val="25"/>
          <w:lang w:val="en-CA"/>
        </w:rPr>
      </w:pPr>
      <w:r>
        <w:rPr>
          <w:bCs/>
          <w:iCs/>
          <w:sz w:val="25"/>
          <w:szCs w:val="25"/>
          <w:lang w:val="en-CA"/>
        </w:rPr>
        <w:t xml:space="preserve">To summarize, Section 33 of the Canadian Charter of Rights and Freedoms allows the Canadian federal Parliament and the provincial legislatures to effectively override (to derogate from) human </w:t>
      </w:r>
      <w:r>
        <w:rPr>
          <w:bCs/>
          <w:iCs/>
          <w:sz w:val="25"/>
          <w:szCs w:val="25"/>
          <w:lang w:val="en-CA"/>
        </w:rPr>
        <w:lastRenderedPageBreak/>
        <w:t>rights enshrined in Sections 2 and 7-15 of the Charter. The rights and freedoms subject to such overriding are:</w:t>
      </w:r>
    </w:p>
    <w:p w:rsidR="009B4256" w:rsidRPr="004E5244" w:rsidRDefault="009B4256" w:rsidP="009B4256">
      <w:pPr>
        <w:spacing w:after="120" w:line="276" w:lineRule="auto"/>
        <w:ind w:left="270" w:right="360"/>
        <w:jc w:val="both"/>
        <w:rPr>
          <w:b/>
          <w:bCs/>
          <w:i/>
          <w:iCs/>
          <w:sz w:val="25"/>
          <w:szCs w:val="25"/>
          <w:lang w:val="en-CA"/>
        </w:rPr>
      </w:pPr>
      <w:r w:rsidRPr="004E5244">
        <w:rPr>
          <w:b/>
          <w:bCs/>
          <w:i/>
          <w:iCs/>
          <w:sz w:val="25"/>
          <w:szCs w:val="25"/>
          <w:lang w:val="en-CA"/>
        </w:rPr>
        <w:t>Fundamental freedoms</w:t>
      </w:r>
    </w:p>
    <w:p w:rsidR="009B4256" w:rsidRPr="004E5244" w:rsidRDefault="009B4256" w:rsidP="009B4256">
      <w:pPr>
        <w:spacing w:after="120" w:line="276" w:lineRule="auto"/>
        <w:ind w:left="270" w:right="360"/>
        <w:jc w:val="both"/>
        <w:rPr>
          <w:bCs/>
          <w:i/>
          <w:iCs/>
          <w:sz w:val="25"/>
          <w:szCs w:val="25"/>
          <w:lang w:val="en-CA"/>
        </w:rPr>
      </w:pPr>
      <w:r w:rsidRPr="004E5244">
        <w:rPr>
          <w:b/>
          <w:bCs/>
          <w:i/>
          <w:iCs/>
          <w:sz w:val="25"/>
          <w:szCs w:val="25"/>
          <w:lang w:val="en-CA"/>
        </w:rPr>
        <w:t>2</w:t>
      </w:r>
      <w:r w:rsidRPr="004E5244">
        <w:rPr>
          <w:bCs/>
          <w:i/>
          <w:iCs/>
          <w:sz w:val="25"/>
          <w:szCs w:val="25"/>
          <w:lang w:val="en-CA"/>
        </w:rPr>
        <w:t xml:space="preserve"> Everyone has the following fundamental freedoms:</w:t>
      </w:r>
    </w:p>
    <w:p w:rsidR="009B4256" w:rsidRPr="004E5244" w:rsidRDefault="009B4256" w:rsidP="009B4256">
      <w:pPr>
        <w:spacing w:after="120" w:line="276" w:lineRule="auto"/>
        <w:ind w:left="270" w:right="360"/>
        <w:jc w:val="both"/>
        <w:rPr>
          <w:bCs/>
          <w:i/>
          <w:iCs/>
          <w:sz w:val="25"/>
          <w:szCs w:val="25"/>
          <w:lang w:val="en-CA"/>
        </w:rPr>
      </w:pPr>
      <w:r w:rsidRPr="004E5244">
        <w:rPr>
          <w:bCs/>
          <w:i/>
          <w:iCs/>
          <w:sz w:val="25"/>
          <w:szCs w:val="25"/>
          <w:lang w:val="en-CA"/>
        </w:rPr>
        <w:t xml:space="preserve"> (a) </w:t>
      </w:r>
      <w:proofErr w:type="gramStart"/>
      <w:r w:rsidRPr="004E5244">
        <w:rPr>
          <w:bCs/>
          <w:i/>
          <w:iCs/>
          <w:sz w:val="25"/>
          <w:szCs w:val="25"/>
          <w:lang w:val="en-CA"/>
        </w:rPr>
        <w:t>freedom</w:t>
      </w:r>
      <w:proofErr w:type="gramEnd"/>
      <w:r w:rsidRPr="004E5244">
        <w:rPr>
          <w:bCs/>
          <w:i/>
          <w:iCs/>
          <w:sz w:val="25"/>
          <w:szCs w:val="25"/>
          <w:lang w:val="en-CA"/>
        </w:rPr>
        <w:t xml:space="preserve"> of conscience and religion;</w:t>
      </w:r>
    </w:p>
    <w:p w:rsidR="009B4256" w:rsidRPr="004E5244" w:rsidRDefault="009B4256" w:rsidP="009B4256">
      <w:pPr>
        <w:spacing w:after="120" w:line="276" w:lineRule="auto"/>
        <w:ind w:left="270" w:right="360"/>
        <w:jc w:val="both"/>
        <w:rPr>
          <w:bCs/>
          <w:i/>
          <w:iCs/>
          <w:sz w:val="25"/>
          <w:szCs w:val="25"/>
          <w:lang w:val="en-CA"/>
        </w:rPr>
      </w:pPr>
      <w:r w:rsidRPr="004E5244">
        <w:rPr>
          <w:bCs/>
          <w:i/>
          <w:iCs/>
          <w:sz w:val="25"/>
          <w:szCs w:val="25"/>
          <w:lang w:val="en-CA"/>
        </w:rPr>
        <w:t xml:space="preserve"> (b) </w:t>
      </w:r>
      <w:proofErr w:type="gramStart"/>
      <w:r w:rsidRPr="004E5244">
        <w:rPr>
          <w:bCs/>
          <w:i/>
          <w:iCs/>
          <w:sz w:val="25"/>
          <w:szCs w:val="25"/>
          <w:lang w:val="en-CA"/>
        </w:rPr>
        <w:t>freedom</w:t>
      </w:r>
      <w:proofErr w:type="gramEnd"/>
      <w:r w:rsidRPr="004E5244">
        <w:rPr>
          <w:bCs/>
          <w:i/>
          <w:iCs/>
          <w:sz w:val="25"/>
          <w:szCs w:val="25"/>
          <w:lang w:val="en-CA"/>
        </w:rPr>
        <w:t xml:space="preserve"> of thought, belief, opinion and expression, including freedom of the press and other media of communication;</w:t>
      </w:r>
    </w:p>
    <w:p w:rsidR="009B4256" w:rsidRPr="004E5244" w:rsidRDefault="009B4256" w:rsidP="009B4256">
      <w:pPr>
        <w:spacing w:after="120" w:line="276" w:lineRule="auto"/>
        <w:ind w:left="270" w:right="360"/>
        <w:jc w:val="both"/>
        <w:rPr>
          <w:bCs/>
          <w:i/>
          <w:iCs/>
          <w:sz w:val="25"/>
          <w:szCs w:val="25"/>
          <w:lang w:val="en-CA"/>
        </w:rPr>
      </w:pPr>
      <w:r w:rsidRPr="004E5244">
        <w:rPr>
          <w:bCs/>
          <w:i/>
          <w:iCs/>
          <w:sz w:val="25"/>
          <w:szCs w:val="25"/>
          <w:lang w:val="en-CA"/>
        </w:rPr>
        <w:t xml:space="preserve"> (c) </w:t>
      </w:r>
      <w:proofErr w:type="gramStart"/>
      <w:r w:rsidRPr="004E5244">
        <w:rPr>
          <w:bCs/>
          <w:i/>
          <w:iCs/>
          <w:sz w:val="25"/>
          <w:szCs w:val="25"/>
          <w:lang w:val="en-CA"/>
        </w:rPr>
        <w:t>freedom</w:t>
      </w:r>
      <w:proofErr w:type="gramEnd"/>
      <w:r w:rsidRPr="004E5244">
        <w:rPr>
          <w:bCs/>
          <w:i/>
          <w:iCs/>
          <w:sz w:val="25"/>
          <w:szCs w:val="25"/>
          <w:lang w:val="en-CA"/>
        </w:rPr>
        <w:t xml:space="preserve"> of peaceful assembly; and</w:t>
      </w:r>
    </w:p>
    <w:p w:rsidR="009B4256" w:rsidRPr="004E5244" w:rsidRDefault="009B4256" w:rsidP="009B4256">
      <w:pPr>
        <w:spacing w:after="120" w:line="276" w:lineRule="auto"/>
        <w:ind w:left="270" w:right="360"/>
        <w:jc w:val="both"/>
        <w:rPr>
          <w:bCs/>
          <w:i/>
          <w:iCs/>
          <w:sz w:val="25"/>
          <w:szCs w:val="25"/>
          <w:lang w:val="en-CA"/>
        </w:rPr>
      </w:pPr>
      <w:r w:rsidRPr="004E5244">
        <w:rPr>
          <w:bCs/>
          <w:i/>
          <w:iCs/>
          <w:sz w:val="25"/>
          <w:szCs w:val="25"/>
          <w:lang w:val="en-CA"/>
        </w:rPr>
        <w:t xml:space="preserve"> (d) </w:t>
      </w:r>
      <w:proofErr w:type="gramStart"/>
      <w:r w:rsidRPr="004E5244">
        <w:rPr>
          <w:bCs/>
          <w:i/>
          <w:iCs/>
          <w:sz w:val="25"/>
          <w:szCs w:val="25"/>
          <w:lang w:val="en-CA"/>
        </w:rPr>
        <w:t>freedom</w:t>
      </w:r>
      <w:proofErr w:type="gramEnd"/>
      <w:r w:rsidRPr="004E5244">
        <w:rPr>
          <w:bCs/>
          <w:i/>
          <w:iCs/>
          <w:sz w:val="25"/>
          <w:szCs w:val="25"/>
          <w:lang w:val="en-CA"/>
        </w:rPr>
        <w:t xml:space="preserve"> of association. </w:t>
      </w:r>
    </w:p>
    <w:p w:rsidR="009B4256" w:rsidRPr="004E5244" w:rsidRDefault="009B4256" w:rsidP="009B4256">
      <w:pPr>
        <w:spacing w:after="120" w:line="276" w:lineRule="auto"/>
        <w:ind w:left="270" w:right="360"/>
        <w:jc w:val="both"/>
        <w:rPr>
          <w:b/>
          <w:bCs/>
          <w:i/>
          <w:iCs/>
          <w:sz w:val="25"/>
          <w:szCs w:val="25"/>
          <w:lang w:val="en-CA"/>
        </w:rPr>
      </w:pPr>
      <w:r w:rsidRPr="004E5244">
        <w:rPr>
          <w:b/>
          <w:bCs/>
          <w:i/>
          <w:iCs/>
          <w:sz w:val="25"/>
          <w:szCs w:val="25"/>
          <w:lang w:val="en-CA"/>
        </w:rPr>
        <w:t>Life, liberty and security of person</w:t>
      </w:r>
    </w:p>
    <w:p w:rsidR="009B4256" w:rsidRPr="004E5244" w:rsidRDefault="009B4256" w:rsidP="009B4256">
      <w:pPr>
        <w:spacing w:after="120" w:line="276" w:lineRule="auto"/>
        <w:ind w:left="270" w:right="360"/>
        <w:jc w:val="both"/>
        <w:rPr>
          <w:bCs/>
          <w:i/>
          <w:iCs/>
          <w:sz w:val="25"/>
          <w:szCs w:val="25"/>
          <w:lang w:val="en-CA"/>
        </w:rPr>
      </w:pPr>
      <w:r w:rsidRPr="004E5244">
        <w:rPr>
          <w:b/>
          <w:bCs/>
          <w:i/>
          <w:iCs/>
          <w:sz w:val="25"/>
          <w:szCs w:val="25"/>
          <w:lang w:val="en-CA"/>
        </w:rPr>
        <w:t>7</w:t>
      </w:r>
      <w:r w:rsidRPr="004E5244">
        <w:rPr>
          <w:bCs/>
          <w:i/>
          <w:iCs/>
          <w:sz w:val="25"/>
          <w:szCs w:val="25"/>
          <w:lang w:val="en-CA"/>
        </w:rPr>
        <w:t xml:space="preserve"> Everyone has the right to life, liberty and security of the person and the right not to be deprived thereof except in accordance with the principles of fundamental justice.</w:t>
      </w:r>
    </w:p>
    <w:p w:rsidR="009B4256" w:rsidRPr="004E5244" w:rsidRDefault="009B4256" w:rsidP="009B4256">
      <w:pPr>
        <w:spacing w:after="120" w:line="276" w:lineRule="auto"/>
        <w:ind w:left="270" w:right="360"/>
        <w:jc w:val="both"/>
        <w:rPr>
          <w:b/>
          <w:bCs/>
          <w:i/>
          <w:iCs/>
          <w:sz w:val="25"/>
          <w:szCs w:val="25"/>
          <w:lang w:val="en-CA"/>
        </w:rPr>
      </w:pPr>
      <w:r w:rsidRPr="004E5244">
        <w:rPr>
          <w:b/>
          <w:bCs/>
          <w:i/>
          <w:iCs/>
          <w:sz w:val="25"/>
          <w:szCs w:val="25"/>
          <w:lang w:val="en-CA"/>
        </w:rPr>
        <w:t>Search or seizure</w:t>
      </w:r>
    </w:p>
    <w:p w:rsidR="009B4256" w:rsidRPr="004E5244" w:rsidRDefault="009B4256" w:rsidP="009B4256">
      <w:pPr>
        <w:spacing w:after="120" w:line="276" w:lineRule="auto"/>
        <w:ind w:left="270" w:right="360"/>
        <w:jc w:val="both"/>
        <w:rPr>
          <w:bCs/>
          <w:i/>
          <w:iCs/>
          <w:sz w:val="25"/>
          <w:szCs w:val="25"/>
          <w:lang w:val="en-CA"/>
        </w:rPr>
      </w:pPr>
      <w:r w:rsidRPr="004E5244">
        <w:rPr>
          <w:b/>
          <w:bCs/>
          <w:i/>
          <w:iCs/>
          <w:sz w:val="25"/>
          <w:szCs w:val="25"/>
          <w:lang w:val="en-CA"/>
        </w:rPr>
        <w:t>8</w:t>
      </w:r>
      <w:r w:rsidRPr="004E5244">
        <w:rPr>
          <w:bCs/>
          <w:i/>
          <w:iCs/>
          <w:sz w:val="25"/>
          <w:szCs w:val="25"/>
          <w:lang w:val="en-CA"/>
        </w:rPr>
        <w:t xml:space="preserve"> Everyone has the right to be secure against unreasonable search or seizure.</w:t>
      </w:r>
    </w:p>
    <w:p w:rsidR="009B4256" w:rsidRPr="004E5244" w:rsidRDefault="009B4256" w:rsidP="009B4256">
      <w:pPr>
        <w:spacing w:after="120" w:line="276" w:lineRule="auto"/>
        <w:ind w:left="270" w:right="360"/>
        <w:jc w:val="both"/>
        <w:rPr>
          <w:b/>
          <w:bCs/>
          <w:i/>
          <w:iCs/>
          <w:sz w:val="25"/>
          <w:szCs w:val="25"/>
          <w:lang w:val="en-CA"/>
        </w:rPr>
      </w:pPr>
      <w:r w:rsidRPr="004E5244">
        <w:rPr>
          <w:b/>
          <w:bCs/>
          <w:i/>
          <w:iCs/>
          <w:sz w:val="25"/>
          <w:szCs w:val="25"/>
          <w:lang w:val="en-CA"/>
        </w:rPr>
        <w:t>Detention or imprisonment</w:t>
      </w:r>
    </w:p>
    <w:p w:rsidR="009B4256" w:rsidRPr="004E5244" w:rsidRDefault="009B4256" w:rsidP="009B4256">
      <w:pPr>
        <w:spacing w:after="120" w:line="276" w:lineRule="auto"/>
        <w:ind w:left="270" w:right="360"/>
        <w:jc w:val="both"/>
        <w:rPr>
          <w:bCs/>
          <w:i/>
          <w:iCs/>
          <w:sz w:val="25"/>
          <w:szCs w:val="25"/>
          <w:lang w:val="en-CA"/>
        </w:rPr>
      </w:pPr>
      <w:r w:rsidRPr="004E5244">
        <w:rPr>
          <w:b/>
          <w:bCs/>
          <w:i/>
          <w:iCs/>
          <w:sz w:val="25"/>
          <w:szCs w:val="25"/>
          <w:lang w:val="en-CA"/>
        </w:rPr>
        <w:t>9</w:t>
      </w:r>
      <w:r w:rsidRPr="004E5244">
        <w:rPr>
          <w:bCs/>
          <w:i/>
          <w:iCs/>
          <w:sz w:val="25"/>
          <w:szCs w:val="25"/>
          <w:lang w:val="en-CA"/>
        </w:rPr>
        <w:t xml:space="preserve"> Everyone has the right not to be arbitrarily detained or imprisoned.</w:t>
      </w:r>
    </w:p>
    <w:p w:rsidR="009B4256" w:rsidRPr="004E5244" w:rsidRDefault="009B4256" w:rsidP="009B4256">
      <w:pPr>
        <w:spacing w:after="120" w:line="276" w:lineRule="auto"/>
        <w:ind w:left="270" w:right="360"/>
        <w:jc w:val="both"/>
        <w:rPr>
          <w:b/>
          <w:bCs/>
          <w:i/>
          <w:iCs/>
          <w:sz w:val="25"/>
          <w:szCs w:val="25"/>
          <w:lang w:val="en-CA"/>
        </w:rPr>
      </w:pPr>
      <w:r w:rsidRPr="004E5244">
        <w:rPr>
          <w:b/>
          <w:bCs/>
          <w:i/>
          <w:iCs/>
          <w:sz w:val="25"/>
          <w:szCs w:val="25"/>
          <w:lang w:val="en-CA"/>
        </w:rPr>
        <w:t>Arrest or detention</w:t>
      </w:r>
    </w:p>
    <w:p w:rsidR="009B4256" w:rsidRPr="004E5244" w:rsidRDefault="009B4256" w:rsidP="009B4256">
      <w:pPr>
        <w:spacing w:after="120" w:line="276" w:lineRule="auto"/>
        <w:ind w:left="270" w:right="360"/>
        <w:jc w:val="both"/>
        <w:rPr>
          <w:bCs/>
          <w:i/>
          <w:iCs/>
          <w:sz w:val="25"/>
          <w:szCs w:val="25"/>
          <w:lang w:val="en-CA"/>
        </w:rPr>
      </w:pPr>
      <w:r w:rsidRPr="004E5244">
        <w:rPr>
          <w:b/>
          <w:bCs/>
          <w:i/>
          <w:iCs/>
          <w:sz w:val="25"/>
          <w:szCs w:val="25"/>
          <w:lang w:val="en-CA"/>
        </w:rPr>
        <w:t>10</w:t>
      </w:r>
      <w:r w:rsidRPr="004E5244">
        <w:rPr>
          <w:bCs/>
          <w:i/>
          <w:iCs/>
          <w:sz w:val="25"/>
          <w:szCs w:val="25"/>
          <w:lang w:val="en-CA"/>
        </w:rPr>
        <w:t xml:space="preserve"> Everyone has the right on arrest or detention</w:t>
      </w:r>
    </w:p>
    <w:p w:rsidR="009B4256" w:rsidRPr="004E5244" w:rsidRDefault="009B4256" w:rsidP="009B4256">
      <w:pPr>
        <w:spacing w:after="120" w:line="276" w:lineRule="auto"/>
        <w:ind w:left="270" w:right="360"/>
        <w:jc w:val="both"/>
        <w:rPr>
          <w:bCs/>
          <w:i/>
          <w:iCs/>
          <w:sz w:val="25"/>
          <w:szCs w:val="25"/>
          <w:lang w:val="en-CA"/>
        </w:rPr>
      </w:pPr>
      <w:r w:rsidRPr="004E5244">
        <w:rPr>
          <w:bCs/>
          <w:i/>
          <w:iCs/>
          <w:sz w:val="25"/>
          <w:szCs w:val="25"/>
          <w:lang w:val="en-CA"/>
        </w:rPr>
        <w:t xml:space="preserve"> (a) </w:t>
      </w:r>
      <w:proofErr w:type="gramStart"/>
      <w:r w:rsidRPr="004E5244">
        <w:rPr>
          <w:bCs/>
          <w:i/>
          <w:iCs/>
          <w:sz w:val="25"/>
          <w:szCs w:val="25"/>
          <w:lang w:val="en-CA"/>
        </w:rPr>
        <w:t>to</w:t>
      </w:r>
      <w:proofErr w:type="gramEnd"/>
      <w:r w:rsidRPr="004E5244">
        <w:rPr>
          <w:bCs/>
          <w:i/>
          <w:iCs/>
          <w:sz w:val="25"/>
          <w:szCs w:val="25"/>
          <w:lang w:val="en-CA"/>
        </w:rPr>
        <w:t xml:space="preserve"> be informed promptly of the reasons </w:t>
      </w:r>
      <w:proofErr w:type="spellStart"/>
      <w:r w:rsidRPr="004E5244">
        <w:rPr>
          <w:bCs/>
          <w:i/>
          <w:iCs/>
          <w:sz w:val="25"/>
          <w:szCs w:val="25"/>
          <w:lang w:val="en-CA"/>
        </w:rPr>
        <w:t>therefor</w:t>
      </w:r>
      <w:proofErr w:type="spellEnd"/>
      <w:r w:rsidRPr="004E5244">
        <w:rPr>
          <w:bCs/>
          <w:i/>
          <w:iCs/>
          <w:sz w:val="25"/>
          <w:szCs w:val="25"/>
          <w:lang w:val="en-CA"/>
        </w:rPr>
        <w:t>;</w:t>
      </w:r>
    </w:p>
    <w:p w:rsidR="009B4256" w:rsidRPr="004E5244" w:rsidRDefault="009B4256" w:rsidP="009B4256">
      <w:pPr>
        <w:spacing w:after="120" w:line="276" w:lineRule="auto"/>
        <w:ind w:left="270" w:right="360"/>
        <w:jc w:val="both"/>
        <w:rPr>
          <w:bCs/>
          <w:i/>
          <w:iCs/>
          <w:sz w:val="25"/>
          <w:szCs w:val="25"/>
          <w:lang w:val="en-CA"/>
        </w:rPr>
      </w:pPr>
      <w:r w:rsidRPr="004E5244">
        <w:rPr>
          <w:bCs/>
          <w:i/>
          <w:iCs/>
          <w:sz w:val="25"/>
          <w:szCs w:val="25"/>
          <w:lang w:val="en-CA"/>
        </w:rPr>
        <w:t xml:space="preserve"> (b) </w:t>
      </w:r>
      <w:proofErr w:type="gramStart"/>
      <w:r w:rsidRPr="004E5244">
        <w:rPr>
          <w:bCs/>
          <w:i/>
          <w:iCs/>
          <w:sz w:val="25"/>
          <w:szCs w:val="25"/>
          <w:lang w:val="en-CA"/>
        </w:rPr>
        <w:t>to</w:t>
      </w:r>
      <w:proofErr w:type="gramEnd"/>
      <w:r w:rsidRPr="004E5244">
        <w:rPr>
          <w:bCs/>
          <w:i/>
          <w:iCs/>
          <w:sz w:val="25"/>
          <w:szCs w:val="25"/>
          <w:lang w:val="en-CA"/>
        </w:rPr>
        <w:t xml:space="preserve"> retain and instruct counsel without delay and to be informed of that right; and</w:t>
      </w:r>
    </w:p>
    <w:p w:rsidR="009B4256" w:rsidRPr="004E5244" w:rsidRDefault="009B4256" w:rsidP="009B4256">
      <w:pPr>
        <w:spacing w:after="120" w:line="276" w:lineRule="auto"/>
        <w:ind w:left="270" w:right="360"/>
        <w:jc w:val="both"/>
        <w:rPr>
          <w:bCs/>
          <w:i/>
          <w:iCs/>
          <w:sz w:val="25"/>
          <w:szCs w:val="25"/>
          <w:lang w:val="en-CA"/>
        </w:rPr>
      </w:pPr>
      <w:r w:rsidRPr="004E5244">
        <w:rPr>
          <w:bCs/>
          <w:i/>
          <w:iCs/>
          <w:sz w:val="25"/>
          <w:szCs w:val="25"/>
          <w:lang w:val="en-CA"/>
        </w:rPr>
        <w:t xml:space="preserve"> (c) </w:t>
      </w:r>
      <w:proofErr w:type="gramStart"/>
      <w:r w:rsidRPr="004E5244">
        <w:rPr>
          <w:bCs/>
          <w:i/>
          <w:iCs/>
          <w:sz w:val="25"/>
          <w:szCs w:val="25"/>
          <w:lang w:val="en-CA"/>
        </w:rPr>
        <w:t>to</w:t>
      </w:r>
      <w:proofErr w:type="gramEnd"/>
      <w:r w:rsidRPr="004E5244">
        <w:rPr>
          <w:bCs/>
          <w:i/>
          <w:iCs/>
          <w:sz w:val="25"/>
          <w:szCs w:val="25"/>
          <w:lang w:val="en-CA"/>
        </w:rPr>
        <w:t xml:space="preserve"> have the validity of the detention determined by way of habeas corpus and to be released if the detention is not lawful.</w:t>
      </w:r>
    </w:p>
    <w:p w:rsidR="009B4256" w:rsidRPr="004E5244" w:rsidRDefault="009B4256" w:rsidP="009B4256">
      <w:pPr>
        <w:spacing w:after="120" w:line="276" w:lineRule="auto"/>
        <w:ind w:left="270" w:right="360"/>
        <w:jc w:val="both"/>
        <w:rPr>
          <w:b/>
          <w:bCs/>
          <w:i/>
          <w:iCs/>
          <w:sz w:val="25"/>
          <w:szCs w:val="25"/>
          <w:lang w:val="en-CA"/>
        </w:rPr>
      </w:pPr>
      <w:r w:rsidRPr="004E5244">
        <w:rPr>
          <w:b/>
          <w:bCs/>
          <w:i/>
          <w:iCs/>
          <w:sz w:val="25"/>
          <w:szCs w:val="25"/>
          <w:lang w:val="en-CA"/>
        </w:rPr>
        <w:t>Proceedings in criminal and penal matters</w:t>
      </w:r>
    </w:p>
    <w:p w:rsidR="009B4256" w:rsidRPr="004E5244" w:rsidRDefault="009B4256" w:rsidP="009B4256">
      <w:pPr>
        <w:spacing w:after="120" w:line="276" w:lineRule="auto"/>
        <w:ind w:left="270" w:right="360"/>
        <w:jc w:val="both"/>
        <w:rPr>
          <w:bCs/>
          <w:i/>
          <w:iCs/>
          <w:sz w:val="25"/>
          <w:szCs w:val="25"/>
          <w:lang w:val="en-CA"/>
        </w:rPr>
      </w:pPr>
      <w:r w:rsidRPr="004E5244">
        <w:rPr>
          <w:b/>
          <w:bCs/>
          <w:i/>
          <w:iCs/>
          <w:sz w:val="25"/>
          <w:szCs w:val="25"/>
          <w:lang w:val="en-CA"/>
        </w:rPr>
        <w:t xml:space="preserve">11 </w:t>
      </w:r>
      <w:r w:rsidRPr="004E5244">
        <w:rPr>
          <w:bCs/>
          <w:i/>
          <w:iCs/>
          <w:sz w:val="25"/>
          <w:szCs w:val="25"/>
          <w:lang w:val="en-CA"/>
        </w:rPr>
        <w:t>Any person charged with an offence has the right</w:t>
      </w:r>
    </w:p>
    <w:p w:rsidR="009B4256" w:rsidRPr="004E5244" w:rsidRDefault="009B4256" w:rsidP="009B4256">
      <w:pPr>
        <w:spacing w:after="120" w:line="276" w:lineRule="auto"/>
        <w:ind w:left="270" w:right="360"/>
        <w:jc w:val="both"/>
        <w:rPr>
          <w:bCs/>
          <w:i/>
          <w:iCs/>
          <w:sz w:val="25"/>
          <w:szCs w:val="25"/>
          <w:lang w:val="en-CA"/>
        </w:rPr>
      </w:pPr>
      <w:r w:rsidRPr="004E5244">
        <w:rPr>
          <w:bCs/>
          <w:i/>
          <w:iCs/>
          <w:sz w:val="25"/>
          <w:szCs w:val="25"/>
          <w:lang w:val="en-CA"/>
        </w:rPr>
        <w:t xml:space="preserve"> (a) </w:t>
      </w:r>
      <w:proofErr w:type="gramStart"/>
      <w:r w:rsidRPr="004E5244">
        <w:rPr>
          <w:bCs/>
          <w:i/>
          <w:iCs/>
          <w:sz w:val="25"/>
          <w:szCs w:val="25"/>
          <w:lang w:val="en-CA"/>
        </w:rPr>
        <w:t>to</w:t>
      </w:r>
      <w:proofErr w:type="gramEnd"/>
      <w:r w:rsidRPr="004E5244">
        <w:rPr>
          <w:bCs/>
          <w:i/>
          <w:iCs/>
          <w:sz w:val="25"/>
          <w:szCs w:val="25"/>
          <w:lang w:val="en-CA"/>
        </w:rPr>
        <w:t xml:space="preserve"> be informed without unreasonable delay of the specific offence;</w:t>
      </w:r>
    </w:p>
    <w:p w:rsidR="009B4256" w:rsidRPr="004E5244" w:rsidRDefault="009B4256" w:rsidP="009B4256">
      <w:pPr>
        <w:spacing w:after="120" w:line="276" w:lineRule="auto"/>
        <w:ind w:left="270" w:right="360"/>
        <w:jc w:val="both"/>
        <w:rPr>
          <w:bCs/>
          <w:i/>
          <w:iCs/>
          <w:sz w:val="25"/>
          <w:szCs w:val="25"/>
          <w:lang w:val="en-CA"/>
        </w:rPr>
      </w:pPr>
      <w:r w:rsidRPr="004E5244">
        <w:rPr>
          <w:bCs/>
          <w:i/>
          <w:iCs/>
          <w:sz w:val="25"/>
          <w:szCs w:val="25"/>
          <w:lang w:val="en-CA"/>
        </w:rPr>
        <w:t xml:space="preserve"> (b) </w:t>
      </w:r>
      <w:proofErr w:type="gramStart"/>
      <w:r w:rsidRPr="004E5244">
        <w:rPr>
          <w:bCs/>
          <w:i/>
          <w:iCs/>
          <w:sz w:val="25"/>
          <w:szCs w:val="25"/>
          <w:lang w:val="en-CA"/>
        </w:rPr>
        <w:t>to</w:t>
      </w:r>
      <w:proofErr w:type="gramEnd"/>
      <w:r w:rsidRPr="004E5244">
        <w:rPr>
          <w:bCs/>
          <w:i/>
          <w:iCs/>
          <w:sz w:val="25"/>
          <w:szCs w:val="25"/>
          <w:lang w:val="en-CA"/>
        </w:rPr>
        <w:t xml:space="preserve"> be tried within a reasonable time;</w:t>
      </w:r>
    </w:p>
    <w:p w:rsidR="009B4256" w:rsidRPr="004E5244" w:rsidRDefault="009B4256" w:rsidP="009B4256">
      <w:pPr>
        <w:spacing w:after="120" w:line="276" w:lineRule="auto"/>
        <w:ind w:left="270" w:right="360"/>
        <w:jc w:val="both"/>
        <w:rPr>
          <w:bCs/>
          <w:i/>
          <w:iCs/>
          <w:sz w:val="25"/>
          <w:szCs w:val="25"/>
          <w:lang w:val="en-CA"/>
        </w:rPr>
      </w:pPr>
      <w:r w:rsidRPr="004E5244">
        <w:rPr>
          <w:bCs/>
          <w:i/>
          <w:iCs/>
          <w:sz w:val="25"/>
          <w:szCs w:val="25"/>
          <w:lang w:val="en-CA"/>
        </w:rPr>
        <w:lastRenderedPageBreak/>
        <w:t xml:space="preserve"> (c) </w:t>
      </w:r>
      <w:proofErr w:type="gramStart"/>
      <w:r w:rsidRPr="004E5244">
        <w:rPr>
          <w:bCs/>
          <w:i/>
          <w:iCs/>
          <w:sz w:val="25"/>
          <w:szCs w:val="25"/>
          <w:lang w:val="en-CA"/>
        </w:rPr>
        <w:t>not</w:t>
      </w:r>
      <w:proofErr w:type="gramEnd"/>
      <w:r w:rsidRPr="004E5244">
        <w:rPr>
          <w:bCs/>
          <w:i/>
          <w:iCs/>
          <w:sz w:val="25"/>
          <w:szCs w:val="25"/>
          <w:lang w:val="en-CA"/>
        </w:rPr>
        <w:t xml:space="preserve"> to be compelled to be a witness in proceedings against that person in respect of the offence;</w:t>
      </w:r>
    </w:p>
    <w:p w:rsidR="009B4256" w:rsidRPr="004E5244" w:rsidRDefault="009B4256" w:rsidP="009B4256">
      <w:pPr>
        <w:spacing w:after="120" w:line="276" w:lineRule="auto"/>
        <w:ind w:left="270" w:right="360"/>
        <w:jc w:val="both"/>
        <w:rPr>
          <w:bCs/>
          <w:i/>
          <w:iCs/>
          <w:sz w:val="25"/>
          <w:szCs w:val="25"/>
          <w:lang w:val="en-CA"/>
        </w:rPr>
      </w:pPr>
      <w:r w:rsidRPr="004E5244">
        <w:rPr>
          <w:bCs/>
          <w:i/>
          <w:iCs/>
          <w:sz w:val="25"/>
          <w:szCs w:val="25"/>
          <w:lang w:val="en-CA"/>
        </w:rPr>
        <w:t xml:space="preserve"> (d) </w:t>
      </w:r>
      <w:proofErr w:type="gramStart"/>
      <w:r w:rsidRPr="004E5244">
        <w:rPr>
          <w:bCs/>
          <w:i/>
          <w:iCs/>
          <w:sz w:val="25"/>
          <w:szCs w:val="25"/>
          <w:lang w:val="en-CA"/>
        </w:rPr>
        <w:t>to</w:t>
      </w:r>
      <w:proofErr w:type="gramEnd"/>
      <w:r w:rsidRPr="004E5244">
        <w:rPr>
          <w:bCs/>
          <w:i/>
          <w:iCs/>
          <w:sz w:val="25"/>
          <w:szCs w:val="25"/>
          <w:lang w:val="en-CA"/>
        </w:rPr>
        <w:t xml:space="preserve"> be presumed innocent until proven guilty according to law in a fair and public hearing by an independent and impartial tribunal;</w:t>
      </w:r>
    </w:p>
    <w:p w:rsidR="009B4256" w:rsidRPr="004E5244" w:rsidRDefault="009B4256" w:rsidP="009B4256">
      <w:pPr>
        <w:spacing w:after="120" w:line="276" w:lineRule="auto"/>
        <w:ind w:left="270" w:right="360"/>
        <w:jc w:val="both"/>
        <w:rPr>
          <w:bCs/>
          <w:i/>
          <w:iCs/>
          <w:sz w:val="25"/>
          <w:szCs w:val="25"/>
          <w:lang w:val="en-CA"/>
        </w:rPr>
      </w:pPr>
      <w:r w:rsidRPr="004E5244">
        <w:rPr>
          <w:bCs/>
          <w:i/>
          <w:iCs/>
          <w:sz w:val="25"/>
          <w:szCs w:val="25"/>
          <w:lang w:val="en-CA"/>
        </w:rPr>
        <w:t xml:space="preserve"> (e) </w:t>
      </w:r>
      <w:proofErr w:type="gramStart"/>
      <w:r w:rsidRPr="004E5244">
        <w:rPr>
          <w:bCs/>
          <w:i/>
          <w:iCs/>
          <w:sz w:val="25"/>
          <w:szCs w:val="25"/>
          <w:lang w:val="en-CA"/>
        </w:rPr>
        <w:t>not</w:t>
      </w:r>
      <w:proofErr w:type="gramEnd"/>
      <w:r w:rsidRPr="004E5244">
        <w:rPr>
          <w:bCs/>
          <w:i/>
          <w:iCs/>
          <w:sz w:val="25"/>
          <w:szCs w:val="25"/>
          <w:lang w:val="en-CA"/>
        </w:rPr>
        <w:t xml:space="preserve"> to be denied reasonable bail without just cause;</w:t>
      </w:r>
    </w:p>
    <w:p w:rsidR="009B4256" w:rsidRPr="004E5244" w:rsidRDefault="009B4256" w:rsidP="009B4256">
      <w:pPr>
        <w:spacing w:after="120" w:line="276" w:lineRule="auto"/>
        <w:ind w:left="270" w:right="360"/>
        <w:jc w:val="both"/>
        <w:rPr>
          <w:bCs/>
          <w:i/>
          <w:iCs/>
          <w:sz w:val="25"/>
          <w:szCs w:val="25"/>
          <w:lang w:val="en-CA"/>
        </w:rPr>
      </w:pPr>
      <w:r w:rsidRPr="004E5244">
        <w:rPr>
          <w:bCs/>
          <w:i/>
          <w:iCs/>
          <w:sz w:val="25"/>
          <w:szCs w:val="25"/>
          <w:lang w:val="en-CA"/>
        </w:rPr>
        <w:t xml:space="preserve"> (f) except in the case of an offence under military law tried before a military tribunal, to the benefit of trial by jury where the maximum punishment for the offence is imprisonment for five years or a more severe punishment;</w:t>
      </w:r>
    </w:p>
    <w:p w:rsidR="009B4256" w:rsidRPr="004E5244" w:rsidRDefault="009B4256" w:rsidP="009B4256">
      <w:pPr>
        <w:spacing w:after="120" w:line="276" w:lineRule="auto"/>
        <w:ind w:left="270" w:right="360"/>
        <w:jc w:val="both"/>
        <w:rPr>
          <w:bCs/>
          <w:i/>
          <w:iCs/>
          <w:sz w:val="25"/>
          <w:szCs w:val="25"/>
          <w:lang w:val="en-CA"/>
        </w:rPr>
      </w:pPr>
      <w:r w:rsidRPr="004E5244">
        <w:rPr>
          <w:bCs/>
          <w:i/>
          <w:iCs/>
          <w:sz w:val="25"/>
          <w:szCs w:val="25"/>
          <w:lang w:val="en-CA"/>
        </w:rPr>
        <w:t xml:space="preserve"> (g) not to be found guilty on account of any act or omission unless, at the time of the act or omission, it constituted an offence under Canadian or international law or was criminal according to the general principles of law recognized by the community of nations;</w:t>
      </w:r>
    </w:p>
    <w:p w:rsidR="009B4256" w:rsidRPr="004E5244" w:rsidRDefault="009B4256" w:rsidP="009B4256">
      <w:pPr>
        <w:spacing w:after="120" w:line="276" w:lineRule="auto"/>
        <w:ind w:left="270" w:right="360"/>
        <w:jc w:val="both"/>
        <w:rPr>
          <w:bCs/>
          <w:i/>
          <w:iCs/>
          <w:sz w:val="25"/>
          <w:szCs w:val="25"/>
          <w:lang w:val="en-CA"/>
        </w:rPr>
      </w:pPr>
      <w:r w:rsidRPr="004E5244">
        <w:rPr>
          <w:bCs/>
          <w:i/>
          <w:iCs/>
          <w:sz w:val="25"/>
          <w:szCs w:val="25"/>
          <w:lang w:val="en-CA"/>
        </w:rPr>
        <w:t xml:space="preserve"> (h) if finally acquitted of the offence, not to be tried for it again and, if finally found guilty and punished for the offence, not to be tried or punished for it again; and</w:t>
      </w:r>
    </w:p>
    <w:p w:rsidR="009B4256" w:rsidRPr="004E5244" w:rsidRDefault="009B4256" w:rsidP="009B4256">
      <w:pPr>
        <w:spacing w:after="120" w:line="276" w:lineRule="auto"/>
        <w:ind w:left="270" w:right="360"/>
        <w:jc w:val="both"/>
        <w:rPr>
          <w:bCs/>
          <w:i/>
          <w:iCs/>
          <w:sz w:val="25"/>
          <w:szCs w:val="25"/>
          <w:lang w:val="en-CA"/>
        </w:rPr>
      </w:pPr>
      <w:r w:rsidRPr="004E5244">
        <w:rPr>
          <w:bCs/>
          <w:i/>
          <w:iCs/>
          <w:sz w:val="25"/>
          <w:szCs w:val="25"/>
          <w:lang w:val="en-CA"/>
        </w:rPr>
        <w:t xml:space="preserve"> (</w:t>
      </w:r>
      <w:proofErr w:type="spellStart"/>
      <w:r w:rsidRPr="004E5244">
        <w:rPr>
          <w:bCs/>
          <w:i/>
          <w:iCs/>
          <w:sz w:val="25"/>
          <w:szCs w:val="25"/>
          <w:lang w:val="en-CA"/>
        </w:rPr>
        <w:t>i</w:t>
      </w:r>
      <w:proofErr w:type="spellEnd"/>
      <w:r w:rsidRPr="004E5244">
        <w:rPr>
          <w:bCs/>
          <w:i/>
          <w:iCs/>
          <w:sz w:val="25"/>
          <w:szCs w:val="25"/>
          <w:lang w:val="en-CA"/>
        </w:rPr>
        <w:t xml:space="preserve">) </w:t>
      </w:r>
      <w:proofErr w:type="gramStart"/>
      <w:r w:rsidRPr="004E5244">
        <w:rPr>
          <w:bCs/>
          <w:i/>
          <w:iCs/>
          <w:sz w:val="25"/>
          <w:szCs w:val="25"/>
          <w:lang w:val="en-CA"/>
        </w:rPr>
        <w:t>if</w:t>
      </w:r>
      <w:proofErr w:type="gramEnd"/>
      <w:r w:rsidRPr="004E5244">
        <w:rPr>
          <w:bCs/>
          <w:i/>
          <w:iCs/>
          <w:sz w:val="25"/>
          <w:szCs w:val="25"/>
          <w:lang w:val="en-CA"/>
        </w:rPr>
        <w:t xml:space="preserve"> found guilty of the offence and if the punishment for the offence has been varied between the time of commission and the time of sentencing, to the benefit of the lesser punishment.</w:t>
      </w:r>
    </w:p>
    <w:p w:rsidR="009B4256" w:rsidRPr="004E5244" w:rsidRDefault="009B4256" w:rsidP="009B4256">
      <w:pPr>
        <w:spacing w:after="120" w:line="276" w:lineRule="auto"/>
        <w:ind w:left="270" w:right="360"/>
        <w:jc w:val="both"/>
        <w:rPr>
          <w:b/>
          <w:bCs/>
          <w:i/>
          <w:iCs/>
          <w:sz w:val="25"/>
          <w:szCs w:val="25"/>
          <w:lang w:val="en-CA"/>
        </w:rPr>
      </w:pPr>
      <w:r w:rsidRPr="004E5244">
        <w:rPr>
          <w:b/>
          <w:bCs/>
          <w:i/>
          <w:iCs/>
          <w:sz w:val="25"/>
          <w:szCs w:val="25"/>
          <w:lang w:val="en-CA"/>
        </w:rPr>
        <w:t>Treatment or punishment</w:t>
      </w:r>
    </w:p>
    <w:p w:rsidR="009B4256" w:rsidRPr="004E5244" w:rsidRDefault="009B4256" w:rsidP="009B4256">
      <w:pPr>
        <w:spacing w:after="120" w:line="276" w:lineRule="auto"/>
        <w:ind w:left="270" w:right="360"/>
        <w:jc w:val="both"/>
        <w:rPr>
          <w:bCs/>
          <w:i/>
          <w:iCs/>
          <w:sz w:val="25"/>
          <w:szCs w:val="25"/>
          <w:lang w:val="en-CA"/>
        </w:rPr>
      </w:pPr>
      <w:r w:rsidRPr="004E5244">
        <w:rPr>
          <w:b/>
          <w:bCs/>
          <w:i/>
          <w:iCs/>
          <w:sz w:val="25"/>
          <w:szCs w:val="25"/>
          <w:lang w:val="en-CA"/>
        </w:rPr>
        <w:t>12</w:t>
      </w:r>
      <w:r w:rsidRPr="004E5244">
        <w:rPr>
          <w:bCs/>
          <w:i/>
          <w:iCs/>
          <w:sz w:val="25"/>
          <w:szCs w:val="25"/>
          <w:lang w:val="en-CA"/>
        </w:rPr>
        <w:t xml:space="preserve"> Everyone has the right not to be subjected to any cruel and unusual treatment or punishment.</w:t>
      </w:r>
    </w:p>
    <w:p w:rsidR="009B4256" w:rsidRPr="004E5244" w:rsidRDefault="009B4256" w:rsidP="009B4256">
      <w:pPr>
        <w:spacing w:after="120" w:line="276" w:lineRule="auto"/>
        <w:ind w:left="270" w:right="360"/>
        <w:jc w:val="both"/>
        <w:rPr>
          <w:b/>
          <w:bCs/>
          <w:i/>
          <w:iCs/>
          <w:sz w:val="25"/>
          <w:szCs w:val="25"/>
          <w:lang w:val="en-CA"/>
        </w:rPr>
      </w:pPr>
      <w:r w:rsidRPr="004E5244">
        <w:rPr>
          <w:b/>
          <w:bCs/>
          <w:i/>
          <w:iCs/>
          <w:sz w:val="25"/>
          <w:szCs w:val="25"/>
          <w:lang w:val="en-CA"/>
        </w:rPr>
        <w:t>Self-crimination</w:t>
      </w:r>
    </w:p>
    <w:p w:rsidR="009B4256" w:rsidRPr="004E5244" w:rsidRDefault="009B4256" w:rsidP="009B4256">
      <w:pPr>
        <w:spacing w:after="120" w:line="276" w:lineRule="auto"/>
        <w:ind w:left="270" w:right="360"/>
        <w:jc w:val="both"/>
        <w:rPr>
          <w:bCs/>
          <w:i/>
          <w:iCs/>
          <w:sz w:val="25"/>
          <w:szCs w:val="25"/>
          <w:lang w:val="en-CA"/>
        </w:rPr>
      </w:pPr>
      <w:r w:rsidRPr="004E5244">
        <w:rPr>
          <w:b/>
          <w:bCs/>
          <w:i/>
          <w:iCs/>
          <w:sz w:val="25"/>
          <w:szCs w:val="25"/>
          <w:lang w:val="en-CA"/>
        </w:rPr>
        <w:t xml:space="preserve">13 </w:t>
      </w:r>
      <w:r w:rsidRPr="004E5244">
        <w:rPr>
          <w:bCs/>
          <w:i/>
          <w:iCs/>
          <w:sz w:val="25"/>
          <w:szCs w:val="25"/>
          <w:lang w:val="en-CA"/>
        </w:rPr>
        <w:t>A witness who testifies in any proceedings has the right not to have any incriminating evidence so given used to incriminate that witness in any other proceedings, except in a prosecution for perjury or for the giving of contradictory evidence.</w:t>
      </w:r>
    </w:p>
    <w:p w:rsidR="009B4256" w:rsidRPr="004E5244" w:rsidRDefault="009B4256" w:rsidP="009B4256">
      <w:pPr>
        <w:spacing w:after="120" w:line="276" w:lineRule="auto"/>
        <w:ind w:left="270" w:right="360"/>
        <w:jc w:val="both"/>
        <w:rPr>
          <w:b/>
          <w:bCs/>
          <w:i/>
          <w:iCs/>
          <w:sz w:val="25"/>
          <w:szCs w:val="25"/>
          <w:lang w:val="en-CA"/>
        </w:rPr>
      </w:pPr>
      <w:r w:rsidRPr="004E5244">
        <w:rPr>
          <w:b/>
          <w:bCs/>
          <w:i/>
          <w:iCs/>
          <w:sz w:val="25"/>
          <w:szCs w:val="25"/>
          <w:lang w:val="en-CA"/>
        </w:rPr>
        <w:t>Interpreter</w:t>
      </w:r>
    </w:p>
    <w:p w:rsidR="009B4256" w:rsidRPr="004E5244" w:rsidRDefault="009B4256" w:rsidP="009B4256">
      <w:pPr>
        <w:spacing w:after="120" w:line="276" w:lineRule="auto"/>
        <w:ind w:left="270" w:right="360"/>
        <w:jc w:val="both"/>
        <w:rPr>
          <w:bCs/>
          <w:i/>
          <w:iCs/>
          <w:sz w:val="25"/>
          <w:szCs w:val="25"/>
          <w:lang w:val="en-CA"/>
        </w:rPr>
      </w:pPr>
      <w:r w:rsidRPr="004E5244">
        <w:rPr>
          <w:b/>
          <w:bCs/>
          <w:i/>
          <w:iCs/>
          <w:sz w:val="25"/>
          <w:szCs w:val="25"/>
          <w:lang w:val="en-CA"/>
        </w:rPr>
        <w:t xml:space="preserve">14 </w:t>
      </w:r>
      <w:r w:rsidRPr="004E5244">
        <w:rPr>
          <w:bCs/>
          <w:i/>
          <w:iCs/>
          <w:sz w:val="25"/>
          <w:szCs w:val="25"/>
          <w:lang w:val="en-CA"/>
        </w:rPr>
        <w:t xml:space="preserve">A party or witness in any </w:t>
      </w:r>
      <w:proofErr w:type="gramStart"/>
      <w:r w:rsidRPr="004E5244">
        <w:rPr>
          <w:bCs/>
          <w:i/>
          <w:iCs/>
          <w:sz w:val="25"/>
          <w:szCs w:val="25"/>
          <w:lang w:val="en-CA"/>
        </w:rPr>
        <w:t>proceedings</w:t>
      </w:r>
      <w:proofErr w:type="gramEnd"/>
      <w:r w:rsidRPr="004E5244">
        <w:rPr>
          <w:bCs/>
          <w:i/>
          <w:iCs/>
          <w:sz w:val="25"/>
          <w:szCs w:val="25"/>
          <w:lang w:val="en-CA"/>
        </w:rPr>
        <w:t xml:space="preserve"> who does not understand or speak the language in which the proceedings are conducted or who is deaf has the right to the assistance of an interpreter.</w:t>
      </w:r>
    </w:p>
    <w:p w:rsidR="009B4256" w:rsidRPr="004E5244" w:rsidRDefault="009B4256" w:rsidP="009B4256">
      <w:pPr>
        <w:spacing w:after="120" w:line="276" w:lineRule="auto"/>
        <w:ind w:left="270" w:right="360"/>
        <w:jc w:val="both"/>
        <w:rPr>
          <w:b/>
          <w:bCs/>
          <w:i/>
          <w:iCs/>
          <w:sz w:val="25"/>
          <w:szCs w:val="25"/>
          <w:lang w:val="en-CA"/>
        </w:rPr>
      </w:pPr>
      <w:r w:rsidRPr="004E5244">
        <w:rPr>
          <w:b/>
          <w:bCs/>
          <w:i/>
          <w:iCs/>
          <w:sz w:val="25"/>
          <w:szCs w:val="25"/>
          <w:lang w:val="en-CA"/>
        </w:rPr>
        <w:t>Equality before and under law and equal protection and benefit of law</w:t>
      </w:r>
    </w:p>
    <w:p w:rsidR="009B4256" w:rsidRPr="004E5244" w:rsidRDefault="009B4256" w:rsidP="009B4256">
      <w:pPr>
        <w:spacing w:after="120" w:line="276" w:lineRule="auto"/>
        <w:ind w:left="270" w:right="360"/>
        <w:jc w:val="both"/>
        <w:rPr>
          <w:bCs/>
          <w:i/>
          <w:iCs/>
          <w:sz w:val="25"/>
          <w:szCs w:val="25"/>
          <w:lang w:val="en-CA"/>
        </w:rPr>
      </w:pPr>
      <w:r w:rsidRPr="004E5244">
        <w:rPr>
          <w:b/>
          <w:bCs/>
          <w:i/>
          <w:iCs/>
          <w:sz w:val="25"/>
          <w:szCs w:val="25"/>
          <w:lang w:val="en-CA"/>
        </w:rPr>
        <w:lastRenderedPageBreak/>
        <w:t>15 (1)</w:t>
      </w:r>
      <w:r w:rsidRPr="004E5244">
        <w:rPr>
          <w:bCs/>
          <w:i/>
          <w:iCs/>
          <w:sz w:val="25"/>
          <w:szCs w:val="25"/>
          <w:lang w:val="en-CA"/>
        </w:rPr>
        <w:t xml:space="preserve"> Every individual is equal before and under the law and has the right to the equal protection and equal benefit of the law without discrimination and, in particular, without discrimination based on race, national or ethnic origin, colour, religion, sex, age or mental or physical disability.</w:t>
      </w:r>
    </w:p>
    <w:p w:rsidR="009B4256" w:rsidRPr="004E5244" w:rsidRDefault="009B4256" w:rsidP="009B4256">
      <w:pPr>
        <w:spacing w:after="120" w:line="276" w:lineRule="auto"/>
        <w:ind w:left="270" w:right="360"/>
        <w:jc w:val="both"/>
        <w:rPr>
          <w:b/>
          <w:bCs/>
          <w:i/>
          <w:iCs/>
          <w:sz w:val="25"/>
          <w:szCs w:val="25"/>
          <w:lang w:val="en-CA"/>
        </w:rPr>
      </w:pPr>
      <w:r w:rsidRPr="004E5244">
        <w:rPr>
          <w:b/>
          <w:bCs/>
          <w:i/>
          <w:iCs/>
          <w:sz w:val="25"/>
          <w:szCs w:val="25"/>
          <w:lang w:val="en-CA"/>
        </w:rPr>
        <w:t>Affirmative action programs</w:t>
      </w:r>
    </w:p>
    <w:p w:rsidR="009B4256" w:rsidRPr="004E5244" w:rsidRDefault="009B4256" w:rsidP="009B4256">
      <w:pPr>
        <w:spacing w:after="120" w:line="276" w:lineRule="auto"/>
        <w:ind w:left="270" w:right="360"/>
        <w:jc w:val="both"/>
        <w:rPr>
          <w:bCs/>
          <w:i/>
          <w:iCs/>
          <w:sz w:val="25"/>
          <w:szCs w:val="25"/>
          <w:lang w:val="en-CA"/>
        </w:rPr>
      </w:pPr>
      <w:r w:rsidRPr="004E5244">
        <w:rPr>
          <w:b/>
          <w:bCs/>
          <w:i/>
          <w:iCs/>
          <w:sz w:val="25"/>
          <w:szCs w:val="25"/>
          <w:lang w:val="en-CA"/>
        </w:rPr>
        <w:t xml:space="preserve"> (2)</w:t>
      </w:r>
      <w:r w:rsidRPr="004E5244">
        <w:rPr>
          <w:bCs/>
          <w:i/>
          <w:iCs/>
          <w:sz w:val="25"/>
          <w:szCs w:val="25"/>
          <w:lang w:val="en-CA"/>
        </w:rPr>
        <w:t xml:space="preserve"> Subsection (1) does not preclude any law, program or activity that has as its object the amelioration of conditions of disadvantaged individuals or groups including those that are disadvantaged because of race, national or ethnic origin, colour, religion, sex, age or mental or physical disability.</w:t>
      </w:r>
    </w:p>
    <w:p w:rsidR="009B4256" w:rsidRPr="004E5244" w:rsidRDefault="009B4256" w:rsidP="009B4256">
      <w:pPr>
        <w:spacing w:after="120" w:line="276" w:lineRule="auto"/>
        <w:jc w:val="both"/>
        <w:rPr>
          <w:bCs/>
          <w:iCs/>
          <w:sz w:val="25"/>
          <w:szCs w:val="25"/>
          <w:lang w:val="en-CA"/>
        </w:rPr>
      </w:pPr>
      <w:r w:rsidRPr="0063612B">
        <w:rPr>
          <w:bCs/>
          <w:iCs/>
          <w:sz w:val="25"/>
          <w:szCs w:val="25"/>
          <w:lang w:val="en-CA"/>
        </w:rPr>
        <w:t xml:space="preserve">The prevailing interpretation of this Charter provision in effect limits judicial review of the “notwithstanding” clause invocations to only </w:t>
      </w:r>
      <w:r w:rsidRPr="0063612B">
        <w:rPr>
          <w:b/>
          <w:bCs/>
          <w:i/>
          <w:iCs/>
          <w:sz w:val="25"/>
          <w:szCs w:val="25"/>
          <w:lang w:val="en-CA"/>
        </w:rPr>
        <w:t>procedural</w:t>
      </w:r>
      <w:r w:rsidRPr="0063612B">
        <w:rPr>
          <w:bCs/>
          <w:iCs/>
          <w:sz w:val="25"/>
          <w:szCs w:val="25"/>
          <w:lang w:val="en-CA"/>
        </w:rPr>
        <w:t xml:space="preserve"> aspects. The Canadian Ministry of Justice explains this as follows:</w:t>
      </w:r>
      <w:r>
        <w:rPr>
          <w:bCs/>
          <w:iCs/>
          <w:sz w:val="25"/>
          <w:szCs w:val="25"/>
          <w:lang w:val="en-CA"/>
        </w:rPr>
        <w:t xml:space="preserve"> </w:t>
      </w:r>
    </w:p>
    <w:p w:rsidR="009B4256" w:rsidRPr="004E5244" w:rsidRDefault="009B4256" w:rsidP="009B4256">
      <w:pPr>
        <w:spacing w:after="120" w:line="276" w:lineRule="auto"/>
        <w:ind w:left="270" w:right="360"/>
        <w:jc w:val="both"/>
        <w:rPr>
          <w:bCs/>
          <w:iCs/>
          <w:sz w:val="25"/>
          <w:szCs w:val="25"/>
          <w:lang w:val="en-CA"/>
        </w:rPr>
      </w:pPr>
      <w:r w:rsidRPr="004E5244">
        <w:rPr>
          <w:bCs/>
          <w:iCs/>
          <w:sz w:val="25"/>
          <w:szCs w:val="25"/>
          <w:lang w:val="en-CA"/>
        </w:rPr>
        <w:t>Once invoked, the notwithstanding clause prevents a court from declaring that legislation covered by a section 33 declaration is of no force or effect, despite any inconsistency in the legislation with the rights or freedoms under the listed Charter sections. A section 33 declaration is only valid for 5 years. After this time period, it ceases to have any effect unless it is re-enacted.</w:t>
      </w:r>
    </w:p>
    <w:p w:rsidR="009B4256" w:rsidRPr="004E5244" w:rsidRDefault="009B4256" w:rsidP="009B4256">
      <w:pPr>
        <w:spacing w:after="120" w:line="276" w:lineRule="auto"/>
        <w:ind w:left="270" w:right="360"/>
        <w:jc w:val="both"/>
        <w:rPr>
          <w:bCs/>
          <w:iCs/>
          <w:sz w:val="25"/>
          <w:szCs w:val="25"/>
          <w:lang w:val="en-CA"/>
        </w:rPr>
      </w:pPr>
      <w:r w:rsidRPr="004E5244">
        <w:rPr>
          <w:bCs/>
          <w:iCs/>
          <w:sz w:val="25"/>
          <w:szCs w:val="25"/>
          <w:lang w:val="en-CA"/>
        </w:rPr>
        <w:t>Section 33 lays down a requirement of form only. In invoking section 33, the legislature does not need to identify the provisions of the Act in question which might otherwise infringe specified guaranteed rights and/or freedoms, nor does the legislature need to provide a substantive justification for using the override (</w:t>
      </w:r>
      <w:r w:rsidRPr="004E5244">
        <w:rPr>
          <w:bCs/>
          <w:i/>
          <w:iCs/>
          <w:sz w:val="25"/>
          <w:szCs w:val="25"/>
          <w:lang w:val="en-CA"/>
        </w:rPr>
        <w:t>Ford v. Quebec (Attorney General)</w:t>
      </w:r>
      <w:r w:rsidRPr="004E5244">
        <w:rPr>
          <w:bCs/>
          <w:iCs/>
          <w:sz w:val="25"/>
          <w:szCs w:val="25"/>
          <w:lang w:val="en-CA"/>
        </w:rPr>
        <w:t>, [1988] 2 S.C.R. 712, at paragraph 33).</w:t>
      </w:r>
    </w:p>
    <w:p w:rsidR="009B4256" w:rsidRPr="004E5244" w:rsidRDefault="009B4256" w:rsidP="009B4256">
      <w:pPr>
        <w:spacing w:after="120" w:line="276" w:lineRule="auto"/>
        <w:ind w:left="270" w:right="360"/>
        <w:jc w:val="both"/>
        <w:rPr>
          <w:bCs/>
          <w:iCs/>
          <w:sz w:val="25"/>
          <w:szCs w:val="25"/>
          <w:lang w:val="en-CA"/>
        </w:rPr>
      </w:pPr>
      <w:r w:rsidRPr="004E5244">
        <w:rPr>
          <w:bCs/>
          <w:iCs/>
          <w:sz w:val="25"/>
          <w:szCs w:val="25"/>
          <w:lang w:val="en-CA"/>
        </w:rPr>
        <w:t>A declaration under section 33 is valid if it generally names all of sections 2 and 7 to 15, without specifying the possible provisions to which the override may apply. Omnibus legislation will not affect the validity of the declaration (</w:t>
      </w:r>
      <w:r w:rsidRPr="004E5244">
        <w:rPr>
          <w:bCs/>
          <w:i/>
          <w:iCs/>
          <w:sz w:val="25"/>
          <w:szCs w:val="25"/>
          <w:lang w:val="en-CA"/>
        </w:rPr>
        <w:t>Ford</w:t>
      </w:r>
      <w:r w:rsidRPr="004E5244">
        <w:rPr>
          <w:bCs/>
          <w:iCs/>
          <w:sz w:val="25"/>
          <w:szCs w:val="25"/>
          <w:lang w:val="en-CA"/>
        </w:rPr>
        <w:t>, supra).</w:t>
      </w:r>
    </w:p>
    <w:p w:rsidR="009B4256" w:rsidRPr="004E5244" w:rsidRDefault="009B4256" w:rsidP="009B4256">
      <w:pPr>
        <w:spacing w:after="120" w:line="276" w:lineRule="auto"/>
        <w:ind w:left="270" w:right="360"/>
        <w:jc w:val="both"/>
        <w:rPr>
          <w:bCs/>
          <w:iCs/>
          <w:sz w:val="25"/>
          <w:szCs w:val="25"/>
          <w:lang w:val="en-CA"/>
        </w:rPr>
      </w:pPr>
      <w:r w:rsidRPr="004E5244">
        <w:rPr>
          <w:bCs/>
          <w:iCs/>
          <w:sz w:val="25"/>
          <w:szCs w:val="25"/>
          <w:lang w:val="en-CA"/>
        </w:rPr>
        <w:t>Where the legislative intent is to override only part of the provision or provisions contained in a section, subsection or paragraph of the Charter, there must be a sufficient reference in words to the part to be overridden (</w:t>
      </w:r>
      <w:r w:rsidRPr="004E5244">
        <w:rPr>
          <w:bCs/>
          <w:i/>
          <w:iCs/>
          <w:sz w:val="25"/>
          <w:szCs w:val="25"/>
          <w:lang w:val="en-CA"/>
        </w:rPr>
        <w:t>Ford</w:t>
      </w:r>
      <w:r w:rsidRPr="004E5244">
        <w:rPr>
          <w:bCs/>
          <w:iCs/>
          <w:sz w:val="25"/>
          <w:szCs w:val="25"/>
          <w:lang w:val="en-CA"/>
        </w:rPr>
        <w:t>, supra).</w:t>
      </w:r>
    </w:p>
    <w:p w:rsidR="009B4256" w:rsidRDefault="009B4256" w:rsidP="009B4256">
      <w:pPr>
        <w:spacing w:after="120" w:line="276" w:lineRule="auto"/>
        <w:ind w:left="270" w:right="360"/>
        <w:jc w:val="both"/>
        <w:rPr>
          <w:bCs/>
          <w:iCs/>
          <w:sz w:val="25"/>
          <w:szCs w:val="25"/>
          <w:lang w:val="en-CA"/>
        </w:rPr>
      </w:pPr>
      <w:r w:rsidRPr="004E5244">
        <w:rPr>
          <w:bCs/>
          <w:iCs/>
          <w:sz w:val="25"/>
          <w:szCs w:val="25"/>
          <w:lang w:val="en-CA"/>
        </w:rPr>
        <w:t xml:space="preserve">The general rule of interpretation against retroactive and retrospective operation applies to section 33 of the Charter: section 33 has been interpreted by the Supreme Court as permitting prospective derogation only. If enacting legislation purports to give retrospective </w:t>
      </w:r>
      <w:r w:rsidRPr="004E5244">
        <w:rPr>
          <w:bCs/>
          <w:iCs/>
          <w:sz w:val="25"/>
          <w:szCs w:val="25"/>
          <w:lang w:val="en-CA"/>
        </w:rPr>
        <w:lastRenderedPageBreak/>
        <w:t xml:space="preserve">effect to an override of the Charter, the legislation is, to that extent, of no force or effect. </w:t>
      </w:r>
      <w:proofErr w:type="gramStart"/>
      <w:r w:rsidRPr="004E5244">
        <w:rPr>
          <w:bCs/>
          <w:iCs/>
          <w:sz w:val="25"/>
          <w:szCs w:val="25"/>
          <w:lang w:val="en-CA"/>
        </w:rPr>
        <w:t>(</w:t>
      </w:r>
      <w:r w:rsidRPr="001022F7">
        <w:rPr>
          <w:bCs/>
          <w:i/>
          <w:iCs/>
          <w:sz w:val="25"/>
          <w:szCs w:val="25"/>
          <w:lang w:val="en-CA"/>
        </w:rPr>
        <w:t>Ford</w:t>
      </w:r>
      <w:r w:rsidRPr="004E5244">
        <w:rPr>
          <w:bCs/>
          <w:iCs/>
          <w:sz w:val="25"/>
          <w:szCs w:val="25"/>
          <w:lang w:val="en-CA"/>
        </w:rPr>
        <w:t xml:space="preserve">, supra; </w:t>
      </w:r>
      <w:r w:rsidRPr="001022F7">
        <w:rPr>
          <w:bCs/>
          <w:i/>
          <w:iCs/>
          <w:sz w:val="25"/>
          <w:szCs w:val="25"/>
          <w:lang w:val="en-CA"/>
        </w:rPr>
        <w:t>Irwin Toy Ltd. v. Quebec (Attorney General)</w:t>
      </w:r>
      <w:r w:rsidRPr="004E5244">
        <w:rPr>
          <w:bCs/>
          <w:iCs/>
          <w:sz w:val="25"/>
          <w:szCs w:val="25"/>
          <w:lang w:val="en-CA"/>
        </w:rPr>
        <w:t>, [1989] 1 S.C.R. 927).</w:t>
      </w:r>
      <w:proofErr w:type="gramEnd"/>
      <w:r>
        <w:rPr>
          <w:rStyle w:val="FootnoteReference"/>
          <w:bCs/>
          <w:iCs/>
          <w:sz w:val="25"/>
          <w:szCs w:val="25"/>
          <w:lang w:val="en-CA"/>
        </w:rPr>
        <w:footnoteReference w:id="2"/>
      </w:r>
    </w:p>
    <w:p w:rsidR="009B4256" w:rsidRDefault="009B4256" w:rsidP="009B4256">
      <w:pPr>
        <w:spacing w:after="120" w:line="276" w:lineRule="auto"/>
        <w:jc w:val="both"/>
        <w:rPr>
          <w:bCs/>
          <w:iCs/>
          <w:sz w:val="25"/>
          <w:szCs w:val="25"/>
          <w:lang w:val="en-CA"/>
        </w:rPr>
      </w:pPr>
      <w:r w:rsidRPr="0063612B">
        <w:rPr>
          <w:bCs/>
          <w:iCs/>
          <w:sz w:val="25"/>
          <w:szCs w:val="25"/>
          <w:lang w:val="en-CA"/>
        </w:rPr>
        <w:t xml:space="preserve">This “procedural” judicial review approach is clearly contrary to the human rights requirements of a </w:t>
      </w:r>
      <w:r w:rsidRPr="0063612B">
        <w:rPr>
          <w:b/>
          <w:bCs/>
          <w:i/>
          <w:iCs/>
          <w:sz w:val="25"/>
          <w:szCs w:val="25"/>
          <w:lang w:val="en-CA"/>
        </w:rPr>
        <w:t>substantive</w:t>
      </w:r>
      <w:r w:rsidRPr="0063612B">
        <w:rPr>
          <w:bCs/>
          <w:iCs/>
          <w:sz w:val="25"/>
          <w:szCs w:val="25"/>
          <w:lang w:val="en-CA"/>
        </w:rPr>
        <w:t xml:space="preserve"> judicial review of potential human rights violations.</w:t>
      </w:r>
      <w:r>
        <w:rPr>
          <w:bCs/>
          <w:iCs/>
          <w:sz w:val="25"/>
          <w:szCs w:val="25"/>
          <w:lang w:val="en-CA"/>
        </w:rPr>
        <w:t xml:space="preserve">    </w:t>
      </w:r>
    </w:p>
    <w:p w:rsidR="009B4256" w:rsidRDefault="009B4256" w:rsidP="009B4256">
      <w:pPr>
        <w:spacing w:after="120" w:line="276" w:lineRule="auto"/>
        <w:jc w:val="both"/>
        <w:rPr>
          <w:bCs/>
          <w:iCs/>
          <w:sz w:val="25"/>
          <w:szCs w:val="25"/>
          <w:lang w:val="en-CA"/>
        </w:rPr>
      </w:pPr>
      <w:r>
        <w:rPr>
          <w:bCs/>
          <w:iCs/>
          <w:sz w:val="25"/>
          <w:szCs w:val="25"/>
          <w:lang w:val="en-CA"/>
        </w:rPr>
        <w:t xml:space="preserve">The Canadian Charter Section 33 “notwithstanding” clause was used rarely during the previous decades. Surprisingly, given the “exceptional” nature of the clause, over the past several years it has been used or threatened to be used routinely by provincial governments in Quebec, Ontario, Saskatchewan, and Alberta. This marks a turn towards an effective dismantling of the human rights regime in Canada.      </w:t>
      </w:r>
    </w:p>
    <w:p w:rsidR="009B4256" w:rsidRPr="00C71B6D" w:rsidRDefault="009B4256" w:rsidP="009B4256">
      <w:pPr>
        <w:spacing w:after="120" w:line="276" w:lineRule="auto"/>
        <w:jc w:val="both"/>
        <w:rPr>
          <w:bCs/>
          <w:iCs/>
          <w:sz w:val="25"/>
          <w:szCs w:val="25"/>
          <w:lang w:val="en-CA"/>
        </w:rPr>
      </w:pPr>
      <w:r w:rsidRPr="00C71B6D">
        <w:rPr>
          <w:bCs/>
          <w:iCs/>
          <w:sz w:val="25"/>
          <w:szCs w:val="25"/>
          <w:lang w:val="en-CA"/>
        </w:rPr>
        <w:t>In recent years, provincial governments</w:t>
      </w:r>
      <w:r>
        <w:rPr>
          <w:bCs/>
          <w:iCs/>
          <w:sz w:val="25"/>
          <w:szCs w:val="25"/>
          <w:lang w:val="en-CA"/>
        </w:rPr>
        <w:t xml:space="preserve"> in Canada</w:t>
      </w:r>
      <w:r w:rsidRPr="00C71B6D">
        <w:rPr>
          <w:bCs/>
          <w:iCs/>
          <w:sz w:val="25"/>
          <w:szCs w:val="25"/>
          <w:lang w:val="en-CA"/>
        </w:rPr>
        <w:t xml:space="preserve"> have used or attempted to use the clause to:</w:t>
      </w:r>
    </w:p>
    <w:p w:rsidR="009B4256" w:rsidRDefault="009B4256" w:rsidP="009B4256">
      <w:pPr>
        <w:pStyle w:val="ListParagraph"/>
        <w:numPr>
          <w:ilvl w:val="0"/>
          <w:numId w:val="5"/>
        </w:numPr>
        <w:spacing w:after="120"/>
        <w:contextualSpacing w:val="0"/>
        <w:jc w:val="both"/>
        <w:rPr>
          <w:rFonts w:ascii="Times New Roman" w:eastAsia="Times New Roman" w:hAnsi="Times New Roman"/>
          <w:bCs/>
          <w:iCs/>
          <w:sz w:val="25"/>
          <w:szCs w:val="25"/>
        </w:rPr>
      </w:pPr>
      <w:r>
        <w:rPr>
          <w:rFonts w:ascii="Times New Roman" w:eastAsia="Times New Roman" w:hAnsi="Times New Roman"/>
          <w:bCs/>
          <w:iCs/>
          <w:sz w:val="25"/>
          <w:szCs w:val="25"/>
        </w:rPr>
        <w:t>enforce discriminatory provisions increasing barriers to education for English speaking minority and Indigenous peoples in Quebec;</w:t>
      </w:r>
    </w:p>
    <w:p w:rsidR="009B4256" w:rsidRPr="00C71B6D" w:rsidRDefault="009B4256" w:rsidP="009B4256">
      <w:pPr>
        <w:pStyle w:val="ListParagraph"/>
        <w:numPr>
          <w:ilvl w:val="0"/>
          <w:numId w:val="5"/>
        </w:numPr>
        <w:spacing w:after="120"/>
        <w:contextualSpacing w:val="0"/>
        <w:jc w:val="both"/>
        <w:rPr>
          <w:rFonts w:ascii="Times New Roman" w:eastAsia="Times New Roman" w:hAnsi="Times New Roman"/>
          <w:bCs/>
          <w:iCs/>
          <w:sz w:val="25"/>
          <w:szCs w:val="25"/>
        </w:rPr>
      </w:pPr>
      <w:r w:rsidRPr="00C71B6D">
        <w:rPr>
          <w:rFonts w:ascii="Times New Roman" w:eastAsia="Times New Roman" w:hAnsi="Times New Roman"/>
          <w:bCs/>
          <w:iCs/>
          <w:sz w:val="25"/>
          <w:szCs w:val="25"/>
        </w:rPr>
        <w:t>prevent education workers from striking;</w:t>
      </w:r>
    </w:p>
    <w:p w:rsidR="009B4256" w:rsidRPr="00C71B6D" w:rsidRDefault="009B4256" w:rsidP="009B4256">
      <w:pPr>
        <w:pStyle w:val="ListParagraph"/>
        <w:numPr>
          <w:ilvl w:val="0"/>
          <w:numId w:val="5"/>
        </w:numPr>
        <w:spacing w:after="120"/>
        <w:contextualSpacing w:val="0"/>
        <w:jc w:val="both"/>
        <w:rPr>
          <w:rFonts w:ascii="Times New Roman" w:eastAsia="Times New Roman" w:hAnsi="Times New Roman"/>
          <w:bCs/>
          <w:iCs/>
          <w:sz w:val="25"/>
          <w:szCs w:val="25"/>
        </w:rPr>
      </w:pPr>
      <w:r w:rsidRPr="00C71B6D">
        <w:rPr>
          <w:rFonts w:ascii="Times New Roman" w:eastAsia="Times New Roman" w:hAnsi="Times New Roman"/>
          <w:bCs/>
          <w:iCs/>
          <w:sz w:val="25"/>
          <w:szCs w:val="25"/>
        </w:rPr>
        <w:t xml:space="preserve">ban </w:t>
      </w:r>
      <w:r>
        <w:rPr>
          <w:rFonts w:ascii="Times New Roman" w:eastAsia="Times New Roman" w:hAnsi="Times New Roman"/>
          <w:bCs/>
          <w:iCs/>
          <w:sz w:val="25"/>
          <w:szCs w:val="25"/>
        </w:rPr>
        <w:t xml:space="preserve">teachers, </w:t>
      </w:r>
      <w:r w:rsidRPr="00C71B6D">
        <w:rPr>
          <w:rFonts w:ascii="Times New Roman" w:eastAsia="Times New Roman" w:hAnsi="Times New Roman"/>
          <w:bCs/>
          <w:iCs/>
          <w:sz w:val="25"/>
          <w:szCs w:val="25"/>
        </w:rPr>
        <w:t xml:space="preserve">provincial government employees </w:t>
      </w:r>
      <w:r>
        <w:rPr>
          <w:rFonts w:ascii="Times New Roman" w:eastAsia="Times New Roman" w:hAnsi="Times New Roman"/>
          <w:bCs/>
          <w:iCs/>
          <w:sz w:val="25"/>
          <w:szCs w:val="25"/>
        </w:rPr>
        <w:t xml:space="preserve">and childcare givers </w:t>
      </w:r>
      <w:r w:rsidRPr="00C71B6D">
        <w:rPr>
          <w:rFonts w:ascii="Times New Roman" w:eastAsia="Times New Roman" w:hAnsi="Times New Roman"/>
          <w:bCs/>
          <w:iCs/>
          <w:sz w:val="25"/>
          <w:szCs w:val="25"/>
        </w:rPr>
        <w:t>from wearing religious symbols</w:t>
      </w:r>
      <w:r>
        <w:rPr>
          <w:rFonts w:ascii="Times New Roman" w:eastAsia="Times New Roman" w:hAnsi="Times New Roman"/>
          <w:bCs/>
          <w:iCs/>
          <w:sz w:val="25"/>
          <w:szCs w:val="25"/>
        </w:rPr>
        <w:t>, even when services are provided within minority communities;</w:t>
      </w:r>
    </w:p>
    <w:p w:rsidR="009B4256" w:rsidRPr="00C71B6D" w:rsidRDefault="009B4256" w:rsidP="009B4256">
      <w:pPr>
        <w:pStyle w:val="ListParagraph"/>
        <w:numPr>
          <w:ilvl w:val="0"/>
          <w:numId w:val="5"/>
        </w:numPr>
        <w:spacing w:after="120"/>
        <w:contextualSpacing w:val="0"/>
        <w:jc w:val="both"/>
        <w:rPr>
          <w:rFonts w:ascii="Times New Roman" w:eastAsia="Times New Roman" w:hAnsi="Times New Roman"/>
          <w:bCs/>
          <w:iCs/>
          <w:sz w:val="25"/>
          <w:szCs w:val="25"/>
        </w:rPr>
      </w:pPr>
      <w:r w:rsidRPr="00C71B6D">
        <w:rPr>
          <w:rFonts w:ascii="Times New Roman" w:eastAsia="Times New Roman" w:hAnsi="Times New Roman"/>
          <w:bCs/>
          <w:iCs/>
          <w:sz w:val="25"/>
          <w:szCs w:val="25"/>
        </w:rPr>
        <w:t>prevent trans youth from using their chosen names and pronouns in schools; and</w:t>
      </w:r>
    </w:p>
    <w:p w:rsidR="009B4256" w:rsidRPr="00C71B6D" w:rsidRDefault="009B4256" w:rsidP="009B4256">
      <w:pPr>
        <w:pStyle w:val="ListParagraph"/>
        <w:numPr>
          <w:ilvl w:val="0"/>
          <w:numId w:val="5"/>
        </w:numPr>
        <w:spacing w:after="120"/>
        <w:contextualSpacing w:val="0"/>
        <w:jc w:val="both"/>
        <w:rPr>
          <w:rFonts w:ascii="Times New Roman" w:eastAsia="Times New Roman" w:hAnsi="Times New Roman"/>
          <w:bCs/>
          <w:iCs/>
          <w:sz w:val="25"/>
          <w:szCs w:val="25"/>
        </w:rPr>
      </w:pPr>
      <w:proofErr w:type="gramStart"/>
      <w:r w:rsidRPr="00C71B6D">
        <w:rPr>
          <w:rFonts w:ascii="Times New Roman" w:eastAsia="Times New Roman" w:hAnsi="Times New Roman"/>
          <w:bCs/>
          <w:iCs/>
          <w:sz w:val="25"/>
          <w:szCs w:val="25"/>
        </w:rPr>
        <w:t>limit</w:t>
      </w:r>
      <w:proofErr w:type="gramEnd"/>
      <w:r w:rsidRPr="00C71B6D">
        <w:rPr>
          <w:rFonts w:ascii="Times New Roman" w:eastAsia="Times New Roman" w:hAnsi="Times New Roman"/>
          <w:bCs/>
          <w:iCs/>
          <w:sz w:val="25"/>
          <w:szCs w:val="25"/>
        </w:rPr>
        <w:t xml:space="preserve"> third party political spending ahead of elections.</w:t>
      </w:r>
    </w:p>
    <w:p w:rsidR="009B4256" w:rsidRDefault="009B4256" w:rsidP="009B4256">
      <w:pPr>
        <w:spacing w:after="120" w:line="276" w:lineRule="auto"/>
        <w:jc w:val="both"/>
        <w:rPr>
          <w:bCs/>
          <w:iCs/>
          <w:sz w:val="25"/>
          <w:szCs w:val="25"/>
          <w:lang w:val="en-CA"/>
        </w:rPr>
      </w:pPr>
      <w:r>
        <w:rPr>
          <w:bCs/>
          <w:iCs/>
          <w:sz w:val="25"/>
          <w:szCs w:val="25"/>
          <w:lang w:val="en-CA"/>
        </w:rPr>
        <w:t>Below is a more detailed list of the recent “notwithstanding” clause uses in Canada:</w:t>
      </w:r>
      <w:r>
        <w:rPr>
          <w:rStyle w:val="FootnoteReference"/>
          <w:bCs/>
          <w:iCs/>
          <w:sz w:val="25"/>
          <w:szCs w:val="25"/>
          <w:lang w:val="en-CA"/>
        </w:rPr>
        <w:footnoteReference w:id="3"/>
      </w:r>
    </w:p>
    <w:p w:rsidR="009B4256" w:rsidRPr="00C71B6D" w:rsidRDefault="009B4256" w:rsidP="009B4256">
      <w:pPr>
        <w:spacing w:after="120" w:line="276" w:lineRule="auto"/>
        <w:jc w:val="both"/>
        <w:rPr>
          <w:bCs/>
          <w:iCs/>
          <w:sz w:val="25"/>
          <w:szCs w:val="25"/>
          <w:lang w:val="en-CA"/>
        </w:rPr>
      </w:pPr>
      <w:r w:rsidRPr="0092511F">
        <w:rPr>
          <w:bCs/>
          <w:iCs/>
          <w:sz w:val="25"/>
          <w:szCs w:val="25"/>
          <w:lang w:val="en-CA"/>
        </w:rPr>
        <w:t xml:space="preserve">In 2019, the </w:t>
      </w:r>
      <w:r>
        <w:rPr>
          <w:bCs/>
          <w:iCs/>
          <w:sz w:val="25"/>
          <w:szCs w:val="25"/>
          <w:lang w:val="en-CA"/>
        </w:rPr>
        <w:t>G</w:t>
      </w:r>
      <w:r w:rsidRPr="0092511F">
        <w:rPr>
          <w:bCs/>
          <w:iCs/>
          <w:sz w:val="25"/>
          <w:szCs w:val="25"/>
          <w:lang w:val="en-CA"/>
        </w:rPr>
        <w:t xml:space="preserve">overnment </w:t>
      </w:r>
      <w:r>
        <w:rPr>
          <w:bCs/>
          <w:iCs/>
          <w:sz w:val="25"/>
          <w:szCs w:val="25"/>
          <w:lang w:val="en-CA"/>
        </w:rPr>
        <w:t xml:space="preserve">of Quebec </w:t>
      </w:r>
      <w:r w:rsidRPr="0092511F">
        <w:rPr>
          <w:bCs/>
          <w:iCs/>
          <w:sz w:val="25"/>
          <w:szCs w:val="25"/>
          <w:lang w:val="en-CA"/>
        </w:rPr>
        <w:t xml:space="preserve">used the </w:t>
      </w:r>
      <w:r>
        <w:rPr>
          <w:bCs/>
          <w:iCs/>
          <w:sz w:val="25"/>
          <w:szCs w:val="25"/>
          <w:lang w:val="en-CA"/>
        </w:rPr>
        <w:t xml:space="preserve">“notwithstanding” clause </w:t>
      </w:r>
      <w:r w:rsidRPr="0092511F">
        <w:rPr>
          <w:bCs/>
          <w:iCs/>
          <w:sz w:val="25"/>
          <w:szCs w:val="25"/>
          <w:lang w:val="en-CA"/>
        </w:rPr>
        <w:t>pre</w:t>
      </w:r>
      <w:r>
        <w:rPr>
          <w:bCs/>
          <w:iCs/>
          <w:sz w:val="25"/>
          <w:szCs w:val="25"/>
          <w:lang w:val="en-CA"/>
        </w:rPr>
        <w:t>-</w:t>
      </w:r>
      <w:r w:rsidRPr="0092511F">
        <w:rPr>
          <w:bCs/>
          <w:iCs/>
          <w:sz w:val="25"/>
          <w:szCs w:val="25"/>
          <w:lang w:val="en-CA"/>
        </w:rPr>
        <w:t>emptively to pass Bill 21, a law that prohibited certain public sector workers</w:t>
      </w:r>
      <w:r>
        <w:rPr>
          <w:bCs/>
          <w:iCs/>
          <w:sz w:val="25"/>
          <w:szCs w:val="25"/>
          <w:lang w:val="en-CA"/>
        </w:rPr>
        <w:t xml:space="preserve"> – such as</w:t>
      </w:r>
      <w:r w:rsidRPr="0092511F">
        <w:rPr>
          <w:bCs/>
          <w:iCs/>
          <w:sz w:val="25"/>
          <w:szCs w:val="25"/>
          <w:lang w:val="en-CA"/>
        </w:rPr>
        <w:t xml:space="preserve"> </w:t>
      </w:r>
      <w:r w:rsidRPr="00C71B6D">
        <w:rPr>
          <w:bCs/>
          <w:iCs/>
          <w:sz w:val="25"/>
          <w:szCs w:val="25"/>
          <w:lang w:val="en-CA"/>
        </w:rPr>
        <w:t>teachers, lawyers, and police officers</w:t>
      </w:r>
      <w:r>
        <w:rPr>
          <w:bCs/>
          <w:iCs/>
          <w:sz w:val="25"/>
          <w:szCs w:val="25"/>
          <w:lang w:val="en-CA"/>
        </w:rPr>
        <w:t xml:space="preserve"> – </w:t>
      </w:r>
      <w:r w:rsidRPr="0092511F">
        <w:rPr>
          <w:bCs/>
          <w:iCs/>
          <w:sz w:val="25"/>
          <w:szCs w:val="25"/>
          <w:lang w:val="en-CA"/>
        </w:rPr>
        <w:t>from</w:t>
      </w:r>
      <w:r>
        <w:rPr>
          <w:bCs/>
          <w:iCs/>
          <w:sz w:val="25"/>
          <w:szCs w:val="25"/>
          <w:lang w:val="en-CA"/>
        </w:rPr>
        <w:t xml:space="preserve"> </w:t>
      </w:r>
      <w:r w:rsidRPr="0092511F">
        <w:rPr>
          <w:bCs/>
          <w:iCs/>
          <w:sz w:val="25"/>
          <w:szCs w:val="25"/>
          <w:lang w:val="en-CA"/>
        </w:rPr>
        <w:t>wearing religious symbols in their workplaces.</w:t>
      </w:r>
      <w:r>
        <w:rPr>
          <w:bCs/>
          <w:iCs/>
          <w:sz w:val="25"/>
          <w:szCs w:val="25"/>
          <w:lang w:val="en-CA"/>
        </w:rPr>
        <w:t xml:space="preserve"> This law </w:t>
      </w:r>
      <w:r w:rsidRPr="00C71B6D">
        <w:rPr>
          <w:bCs/>
          <w:iCs/>
          <w:sz w:val="25"/>
          <w:szCs w:val="25"/>
          <w:lang w:val="en-CA"/>
        </w:rPr>
        <w:t>applies</w:t>
      </w:r>
      <w:r>
        <w:rPr>
          <w:bCs/>
          <w:iCs/>
          <w:sz w:val="25"/>
          <w:szCs w:val="25"/>
          <w:lang w:val="en-CA"/>
        </w:rPr>
        <w:t xml:space="preserve"> inclusively </w:t>
      </w:r>
      <w:r w:rsidRPr="00C71B6D">
        <w:rPr>
          <w:bCs/>
          <w:iCs/>
          <w:sz w:val="25"/>
          <w:szCs w:val="25"/>
          <w:lang w:val="en-CA"/>
        </w:rPr>
        <w:t xml:space="preserve">to symbols which might appear on jewelry, such as the crucifix and the Star of David, as well as to garments essential to religious observance, such as </w:t>
      </w:r>
      <w:proofErr w:type="spellStart"/>
      <w:r w:rsidRPr="00C71B6D">
        <w:rPr>
          <w:bCs/>
          <w:iCs/>
          <w:sz w:val="25"/>
          <w:szCs w:val="25"/>
          <w:lang w:val="en-CA"/>
        </w:rPr>
        <w:t>hijabs</w:t>
      </w:r>
      <w:proofErr w:type="spellEnd"/>
      <w:r w:rsidRPr="00C71B6D">
        <w:rPr>
          <w:bCs/>
          <w:iCs/>
          <w:sz w:val="25"/>
          <w:szCs w:val="25"/>
          <w:lang w:val="en-CA"/>
        </w:rPr>
        <w:t>, turbans, and yarmulkes.</w:t>
      </w:r>
    </w:p>
    <w:p w:rsidR="009B4256" w:rsidRPr="0092511F" w:rsidRDefault="009B4256" w:rsidP="009B4256">
      <w:pPr>
        <w:spacing w:after="120" w:line="276" w:lineRule="auto"/>
        <w:jc w:val="both"/>
        <w:rPr>
          <w:bCs/>
          <w:iCs/>
          <w:sz w:val="25"/>
          <w:szCs w:val="25"/>
          <w:lang w:val="en-CA"/>
        </w:rPr>
      </w:pPr>
      <w:r w:rsidRPr="0092511F">
        <w:rPr>
          <w:bCs/>
          <w:iCs/>
          <w:sz w:val="25"/>
          <w:szCs w:val="25"/>
          <w:lang w:val="en-CA"/>
        </w:rPr>
        <w:t xml:space="preserve">In 2021, the </w:t>
      </w:r>
      <w:r>
        <w:rPr>
          <w:bCs/>
          <w:iCs/>
          <w:sz w:val="25"/>
          <w:szCs w:val="25"/>
          <w:lang w:val="en-CA"/>
        </w:rPr>
        <w:t>G</w:t>
      </w:r>
      <w:r w:rsidRPr="0092511F">
        <w:rPr>
          <w:bCs/>
          <w:iCs/>
          <w:sz w:val="25"/>
          <w:szCs w:val="25"/>
          <w:lang w:val="en-CA"/>
        </w:rPr>
        <w:t xml:space="preserve">overnment </w:t>
      </w:r>
      <w:r>
        <w:rPr>
          <w:bCs/>
          <w:iCs/>
          <w:sz w:val="25"/>
          <w:szCs w:val="25"/>
          <w:lang w:val="en-CA"/>
        </w:rPr>
        <w:t xml:space="preserve">of Quebec </w:t>
      </w:r>
      <w:r w:rsidRPr="0092511F">
        <w:rPr>
          <w:bCs/>
          <w:iCs/>
          <w:sz w:val="25"/>
          <w:szCs w:val="25"/>
          <w:lang w:val="en-CA"/>
        </w:rPr>
        <w:t>used the clause pre</w:t>
      </w:r>
      <w:r>
        <w:rPr>
          <w:bCs/>
          <w:iCs/>
          <w:sz w:val="25"/>
          <w:szCs w:val="25"/>
          <w:lang w:val="en-CA"/>
        </w:rPr>
        <w:t>-</w:t>
      </w:r>
      <w:r w:rsidRPr="0092511F">
        <w:rPr>
          <w:bCs/>
          <w:iCs/>
          <w:sz w:val="25"/>
          <w:szCs w:val="25"/>
          <w:lang w:val="en-CA"/>
        </w:rPr>
        <w:t xml:space="preserve">emptively </w:t>
      </w:r>
      <w:r>
        <w:rPr>
          <w:bCs/>
          <w:iCs/>
          <w:sz w:val="25"/>
          <w:szCs w:val="25"/>
          <w:lang w:val="en-CA"/>
        </w:rPr>
        <w:t>once again</w:t>
      </w:r>
      <w:r w:rsidRPr="0092511F">
        <w:rPr>
          <w:bCs/>
          <w:iCs/>
          <w:sz w:val="25"/>
          <w:szCs w:val="25"/>
          <w:lang w:val="en-CA"/>
        </w:rPr>
        <w:t xml:space="preserve"> to pass Bill 96, a law that included amendments to Quebec's Charter of the French Language, e.g. </w:t>
      </w:r>
      <w:r>
        <w:rPr>
          <w:bCs/>
          <w:iCs/>
          <w:sz w:val="25"/>
          <w:szCs w:val="25"/>
          <w:lang w:val="en-CA"/>
        </w:rPr>
        <w:t xml:space="preserve">providing for </w:t>
      </w:r>
      <w:r w:rsidRPr="0092511F">
        <w:rPr>
          <w:bCs/>
          <w:iCs/>
          <w:sz w:val="25"/>
          <w:szCs w:val="25"/>
          <w:lang w:val="en-CA"/>
        </w:rPr>
        <w:t>the expansion of the investigative powers of Quebec's language office.</w:t>
      </w:r>
    </w:p>
    <w:p w:rsidR="009B4256" w:rsidRDefault="009B4256" w:rsidP="009B4256">
      <w:pPr>
        <w:spacing w:after="120" w:line="276" w:lineRule="auto"/>
        <w:jc w:val="both"/>
        <w:rPr>
          <w:bCs/>
          <w:iCs/>
          <w:sz w:val="25"/>
          <w:szCs w:val="25"/>
          <w:lang w:val="en-CA"/>
        </w:rPr>
      </w:pPr>
      <w:r>
        <w:rPr>
          <w:bCs/>
          <w:iCs/>
          <w:sz w:val="25"/>
          <w:szCs w:val="25"/>
          <w:lang w:val="en-CA"/>
        </w:rPr>
        <w:lastRenderedPageBreak/>
        <w:t xml:space="preserve">Also in </w:t>
      </w:r>
      <w:r w:rsidRPr="00C71B6D">
        <w:rPr>
          <w:bCs/>
          <w:iCs/>
          <w:sz w:val="25"/>
          <w:szCs w:val="25"/>
          <w:lang w:val="en-CA"/>
        </w:rPr>
        <w:t>2021, the Government of Ontario</w:t>
      </w:r>
      <w:r>
        <w:rPr>
          <w:bCs/>
          <w:iCs/>
          <w:sz w:val="25"/>
          <w:szCs w:val="25"/>
          <w:lang w:val="en-CA"/>
        </w:rPr>
        <w:t xml:space="preserve"> </w:t>
      </w:r>
      <w:r w:rsidRPr="00C71B6D">
        <w:rPr>
          <w:bCs/>
          <w:iCs/>
          <w:sz w:val="25"/>
          <w:szCs w:val="25"/>
          <w:lang w:val="en-CA"/>
        </w:rPr>
        <w:t xml:space="preserve">used the </w:t>
      </w:r>
      <w:r>
        <w:rPr>
          <w:bCs/>
          <w:iCs/>
          <w:sz w:val="25"/>
          <w:szCs w:val="25"/>
          <w:lang w:val="en-CA"/>
        </w:rPr>
        <w:t>“</w:t>
      </w:r>
      <w:r w:rsidRPr="00C71B6D">
        <w:rPr>
          <w:bCs/>
          <w:iCs/>
          <w:sz w:val="25"/>
          <w:szCs w:val="25"/>
          <w:lang w:val="en-CA"/>
        </w:rPr>
        <w:t>notwithstanding</w:t>
      </w:r>
      <w:r>
        <w:rPr>
          <w:bCs/>
          <w:iCs/>
          <w:sz w:val="25"/>
          <w:szCs w:val="25"/>
          <w:lang w:val="en-CA"/>
        </w:rPr>
        <w:t>”</w:t>
      </w:r>
      <w:r w:rsidRPr="00C71B6D">
        <w:rPr>
          <w:bCs/>
          <w:iCs/>
          <w:sz w:val="25"/>
          <w:szCs w:val="25"/>
          <w:lang w:val="en-CA"/>
        </w:rPr>
        <w:t xml:space="preserve"> clause to revive a law that was </w:t>
      </w:r>
      <w:r>
        <w:rPr>
          <w:bCs/>
          <w:iCs/>
          <w:sz w:val="25"/>
          <w:szCs w:val="25"/>
          <w:lang w:val="en-CA"/>
        </w:rPr>
        <w:t xml:space="preserve">previously </w:t>
      </w:r>
      <w:r w:rsidRPr="00C71B6D">
        <w:rPr>
          <w:bCs/>
          <w:iCs/>
          <w:sz w:val="25"/>
          <w:szCs w:val="25"/>
          <w:lang w:val="en-CA"/>
        </w:rPr>
        <w:t>struck down by the Ontario Superior Court on free expression grounds</w:t>
      </w:r>
      <w:r w:rsidRPr="008F782B">
        <w:rPr>
          <w:bCs/>
          <w:iCs/>
          <w:sz w:val="25"/>
          <w:szCs w:val="25"/>
          <w:lang w:val="en-CA"/>
        </w:rPr>
        <w:t xml:space="preserve"> </w:t>
      </w:r>
      <w:r>
        <w:rPr>
          <w:bCs/>
          <w:iCs/>
          <w:sz w:val="25"/>
          <w:szCs w:val="25"/>
          <w:lang w:val="en-CA"/>
        </w:rPr>
        <w:t>(the</w:t>
      </w:r>
      <w:r w:rsidRPr="00C71B6D">
        <w:rPr>
          <w:bCs/>
          <w:iCs/>
          <w:sz w:val="25"/>
          <w:szCs w:val="25"/>
          <w:lang w:val="en-CA"/>
        </w:rPr>
        <w:t xml:space="preserve"> limit</w:t>
      </w:r>
      <w:r>
        <w:rPr>
          <w:bCs/>
          <w:iCs/>
          <w:sz w:val="25"/>
          <w:szCs w:val="25"/>
          <w:lang w:val="en-CA"/>
        </w:rPr>
        <w:t xml:space="preserve">ation </w:t>
      </w:r>
      <w:r w:rsidRPr="00C71B6D">
        <w:rPr>
          <w:bCs/>
          <w:iCs/>
          <w:sz w:val="25"/>
          <w:szCs w:val="25"/>
          <w:lang w:val="en-CA"/>
        </w:rPr>
        <w:t>was struck down as an unjustifiable infrin</w:t>
      </w:r>
      <w:r>
        <w:rPr>
          <w:bCs/>
          <w:iCs/>
          <w:sz w:val="25"/>
          <w:szCs w:val="25"/>
          <w:lang w:val="en-CA"/>
        </w:rPr>
        <w:t>gement on freedom of expression)</w:t>
      </w:r>
      <w:r w:rsidRPr="00C71B6D">
        <w:rPr>
          <w:bCs/>
          <w:iCs/>
          <w:sz w:val="25"/>
          <w:szCs w:val="25"/>
          <w:lang w:val="en-CA"/>
        </w:rPr>
        <w:t>. The law placed a $600,000 limit on expenditures for third party political advertising that applied for a full-year before the beginning of an official election campaign</w:t>
      </w:r>
      <w:r>
        <w:rPr>
          <w:bCs/>
          <w:iCs/>
          <w:sz w:val="25"/>
          <w:szCs w:val="25"/>
          <w:lang w:val="en-CA"/>
        </w:rPr>
        <w:t>.</w:t>
      </w:r>
      <w:r w:rsidRPr="008F782B">
        <w:rPr>
          <w:bCs/>
          <w:iCs/>
          <w:sz w:val="25"/>
          <w:szCs w:val="25"/>
          <w:lang w:val="en-CA"/>
        </w:rPr>
        <w:t xml:space="preserve"> </w:t>
      </w:r>
      <w:r>
        <w:rPr>
          <w:bCs/>
          <w:iCs/>
          <w:sz w:val="25"/>
          <w:szCs w:val="25"/>
          <w:lang w:val="en-CA"/>
        </w:rPr>
        <w:t>Thus, t</w:t>
      </w:r>
      <w:r w:rsidRPr="00C71B6D">
        <w:rPr>
          <w:bCs/>
          <w:iCs/>
          <w:sz w:val="25"/>
          <w:szCs w:val="25"/>
          <w:lang w:val="en-CA"/>
        </w:rPr>
        <w:t xml:space="preserve">he Government of Ontario used the Charter override to maintain the restriction </w:t>
      </w:r>
      <w:r>
        <w:rPr>
          <w:bCs/>
          <w:iCs/>
          <w:sz w:val="25"/>
          <w:szCs w:val="25"/>
          <w:lang w:val="en-CA"/>
        </w:rPr>
        <w:t>on the freedom of expression</w:t>
      </w:r>
      <w:r w:rsidRPr="00C71B6D">
        <w:rPr>
          <w:bCs/>
          <w:iCs/>
          <w:sz w:val="25"/>
          <w:szCs w:val="25"/>
          <w:lang w:val="en-CA"/>
        </w:rPr>
        <w:t>.</w:t>
      </w:r>
    </w:p>
    <w:p w:rsidR="009B4256" w:rsidRPr="00C71B6D" w:rsidRDefault="009B4256" w:rsidP="009B4256">
      <w:pPr>
        <w:spacing w:after="120" w:line="276" w:lineRule="auto"/>
        <w:jc w:val="both"/>
        <w:rPr>
          <w:bCs/>
          <w:iCs/>
          <w:sz w:val="25"/>
          <w:szCs w:val="25"/>
          <w:lang w:val="en-CA"/>
        </w:rPr>
      </w:pPr>
      <w:r>
        <w:rPr>
          <w:bCs/>
          <w:iCs/>
          <w:sz w:val="25"/>
          <w:szCs w:val="25"/>
          <w:lang w:val="en-CA"/>
        </w:rPr>
        <w:t>The province of Ontario</w:t>
      </w:r>
      <w:r w:rsidRPr="00C71B6D">
        <w:rPr>
          <w:bCs/>
          <w:iCs/>
          <w:sz w:val="25"/>
          <w:szCs w:val="25"/>
          <w:lang w:val="en-CA"/>
        </w:rPr>
        <w:t xml:space="preserve"> used the Charter override again in 2022 to prohibit education workers from striking, even though courts have determined that freedom of association includes the right to strike and the right to collective bargaining. </w:t>
      </w:r>
      <w:r>
        <w:rPr>
          <w:bCs/>
          <w:iCs/>
          <w:sz w:val="25"/>
          <w:szCs w:val="25"/>
          <w:lang w:val="en-CA"/>
        </w:rPr>
        <w:t xml:space="preserve">Following </w:t>
      </w:r>
      <w:r w:rsidRPr="00C71B6D">
        <w:rPr>
          <w:bCs/>
          <w:iCs/>
          <w:sz w:val="25"/>
          <w:szCs w:val="25"/>
          <w:lang w:val="en-CA"/>
        </w:rPr>
        <w:t xml:space="preserve">a wave of </w:t>
      </w:r>
      <w:r>
        <w:rPr>
          <w:bCs/>
          <w:iCs/>
          <w:sz w:val="25"/>
          <w:szCs w:val="25"/>
          <w:lang w:val="en-CA"/>
        </w:rPr>
        <w:t>public</w:t>
      </w:r>
      <w:r w:rsidRPr="00C71B6D">
        <w:rPr>
          <w:bCs/>
          <w:iCs/>
          <w:sz w:val="25"/>
          <w:szCs w:val="25"/>
          <w:lang w:val="en-CA"/>
        </w:rPr>
        <w:t xml:space="preserve"> discontent, the Ontario government repealed this controversial bill.</w:t>
      </w:r>
    </w:p>
    <w:p w:rsidR="009B4256" w:rsidRPr="00C71B6D" w:rsidRDefault="009B4256" w:rsidP="009B4256">
      <w:pPr>
        <w:spacing w:after="120" w:line="276" w:lineRule="auto"/>
        <w:jc w:val="both"/>
        <w:rPr>
          <w:bCs/>
          <w:iCs/>
          <w:sz w:val="25"/>
          <w:szCs w:val="25"/>
          <w:lang w:val="en-CA"/>
        </w:rPr>
      </w:pPr>
      <w:r>
        <w:rPr>
          <w:bCs/>
          <w:iCs/>
          <w:sz w:val="25"/>
          <w:szCs w:val="25"/>
          <w:lang w:val="en-CA"/>
        </w:rPr>
        <w:t xml:space="preserve">The province of </w:t>
      </w:r>
      <w:r w:rsidRPr="00C71B6D">
        <w:rPr>
          <w:bCs/>
          <w:iCs/>
          <w:sz w:val="25"/>
          <w:szCs w:val="25"/>
          <w:lang w:val="en-CA"/>
        </w:rPr>
        <w:t>Saskatchewan added the clause to protect strike-ending legislation in 1986. The government used the clause because they thought the law forcing strikers back to work would violate freedom of association. However, the clause was removed when the Supreme Court said that the law would not affect Charter rights.</w:t>
      </w:r>
    </w:p>
    <w:p w:rsidR="009B4256" w:rsidRDefault="009B4256" w:rsidP="009B4256">
      <w:pPr>
        <w:spacing w:after="120" w:line="276" w:lineRule="auto"/>
        <w:jc w:val="both"/>
        <w:rPr>
          <w:bCs/>
          <w:iCs/>
          <w:sz w:val="25"/>
          <w:szCs w:val="25"/>
          <w:lang w:val="en-CA"/>
        </w:rPr>
      </w:pPr>
      <w:r w:rsidRPr="00C71B6D">
        <w:rPr>
          <w:bCs/>
          <w:iCs/>
          <w:sz w:val="25"/>
          <w:szCs w:val="25"/>
          <w:lang w:val="en-CA"/>
        </w:rPr>
        <w:t xml:space="preserve">In 2023 Saskatchewan used the </w:t>
      </w:r>
      <w:r>
        <w:rPr>
          <w:bCs/>
          <w:iCs/>
          <w:sz w:val="25"/>
          <w:szCs w:val="25"/>
          <w:lang w:val="en-CA"/>
        </w:rPr>
        <w:t>“</w:t>
      </w:r>
      <w:r w:rsidRPr="00C71B6D">
        <w:rPr>
          <w:bCs/>
          <w:iCs/>
          <w:sz w:val="25"/>
          <w:szCs w:val="25"/>
          <w:lang w:val="en-CA"/>
        </w:rPr>
        <w:t>notwithstanding</w:t>
      </w:r>
      <w:r>
        <w:rPr>
          <w:bCs/>
          <w:iCs/>
          <w:sz w:val="25"/>
          <w:szCs w:val="25"/>
          <w:lang w:val="en-CA"/>
        </w:rPr>
        <w:t>”</w:t>
      </w:r>
      <w:r w:rsidRPr="00C71B6D">
        <w:rPr>
          <w:bCs/>
          <w:iCs/>
          <w:sz w:val="25"/>
          <w:szCs w:val="25"/>
          <w:lang w:val="en-CA"/>
        </w:rPr>
        <w:t xml:space="preserve"> clause override to ban transgender students from using their chosen names and pronouns in schools without formal parental permission. This </w:t>
      </w:r>
      <w:r>
        <w:rPr>
          <w:bCs/>
          <w:iCs/>
          <w:sz w:val="25"/>
          <w:szCs w:val="25"/>
          <w:lang w:val="en-CA"/>
        </w:rPr>
        <w:t>may lead to an i</w:t>
      </w:r>
      <w:r w:rsidRPr="00C71B6D">
        <w:rPr>
          <w:bCs/>
          <w:iCs/>
          <w:sz w:val="25"/>
          <w:szCs w:val="25"/>
          <w:lang w:val="en-CA"/>
        </w:rPr>
        <w:t xml:space="preserve">rreparable harm </w:t>
      </w:r>
      <w:r>
        <w:rPr>
          <w:bCs/>
          <w:iCs/>
          <w:sz w:val="25"/>
          <w:szCs w:val="25"/>
          <w:lang w:val="en-CA"/>
        </w:rPr>
        <w:t>for</w:t>
      </w:r>
      <w:r w:rsidRPr="00C71B6D">
        <w:rPr>
          <w:bCs/>
          <w:iCs/>
          <w:sz w:val="25"/>
          <w:szCs w:val="25"/>
          <w:lang w:val="en-CA"/>
        </w:rPr>
        <w:t xml:space="preserve"> vulnerable students – young people who may not be in a position to get support from their families.</w:t>
      </w:r>
    </w:p>
    <w:p w:rsidR="003527EC" w:rsidRDefault="003527EC" w:rsidP="009B4256">
      <w:pPr>
        <w:spacing w:after="120" w:line="276" w:lineRule="auto"/>
        <w:jc w:val="both"/>
        <w:rPr>
          <w:b/>
          <w:bCs/>
          <w:iCs/>
          <w:sz w:val="25"/>
          <w:szCs w:val="25"/>
          <w:lang w:val="en-CA"/>
        </w:rPr>
      </w:pPr>
    </w:p>
    <w:p w:rsidR="003527EC" w:rsidRDefault="009B4256" w:rsidP="009B4256">
      <w:pPr>
        <w:spacing w:after="120" w:line="276" w:lineRule="auto"/>
        <w:jc w:val="both"/>
        <w:rPr>
          <w:b/>
          <w:bCs/>
          <w:iCs/>
          <w:sz w:val="25"/>
          <w:szCs w:val="25"/>
          <w:lang w:val="en-CA"/>
        </w:rPr>
      </w:pPr>
      <w:r w:rsidRPr="00413C20">
        <w:rPr>
          <w:b/>
          <w:bCs/>
          <w:iCs/>
          <w:sz w:val="25"/>
          <w:szCs w:val="25"/>
          <w:lang w:val="en-CA"/>
        </w:rPr>
        <w:t xml:space="preserve">The content and practice of the Canadian Charter </w:t>
      </w:r>
      <w:r>
        <w:rPr>
          <w:b/>
          <w:bCs/>
          <w:iCs/>
          <w:sz w:val="25"/>
          <w:szCs w:val="25"/>
          <w:lang w:val="en-CA"/>
        </w:rPr>
        <w:t>S</w:t>
      </w:r>
      <w:r w:rsidRPr="00413C20">
        <w:rPr>
          <w:b/>
          <w:bCs/>
          <w:iCs/>
          <w:sz w:val="25"/>
          <w:szCs w:val="25"/>
          <w:lang w:val="en-CA"/>
        </w:rPr>
        <w:t xml:space="preserve">ection 33 “notwithstanding” clause present a direct and explicit violation of the foundational principle of the human rights system – inalienability of human rights. The multiple uses of the “notwithstanding” clause to shield the adopted legislation from </w:t>
      </w:r>
      <w:r>
        <w:rPr>
          <w:b/>
          <w:bCs/>
          <w:iCs/>
          <w:sz w:val="25"/>
          <w:szCs w:val="25"/>
          <w:lang w:val="en-CA"/>
        </w:rPr>
        <w:t>substantive judicial review also amount to a denial of an effective remedy for the violation</w:t>
      </w:r>
      <w:r w:rsidRPr="00413C20">
        <w:rPr>
          <w:b/>
          <w:bCs/>
          <w:iCs/>
          <w:sz w:val="25"/>
          <w:szCs w:val="25"/>
          <w:lang w:val="en-CA"/>
        </w:rPr>
        <w:t xml:space="preserve"> of human rights. Altogether</w:t>
      </w:r>
      <w:r>
        <w:rPr>
          <w:b/>
          <w:bCs/>
          <w:iCs/>
          <w:sz w:val="25"/>
          <w:szCs w:val="25"/>
          <w:lang w:val="en-CA"/>
        </w:rPr>
        <w:t>,</w:t>
      </w:r>
      <w:r w:rsidRPr="00413C20">
        <w:rPr>
          <w:b/>
          <w:bCs/>
          <w:iCs/>
          <w:sz w:val="25"/>
          <w:szCs w:val="25"/>
          <w:lang w:val="en-CA"/>
        </w:rPr>
        <w:t xml:space="preserve"> the Canadian Charter </w:t>
      </w:r>
      <w:r>
        <w:rPr>
          <w:b/>
          <w:bCs/>
          <w:iCs/>
          <w:sz w:val="25"/>
          <w:szCs w:val="25"/>
          <w:lang w:val="en-CA"/>
        </w:rPr>
        <w:t>S</w:t>
      </w:r>
      <w:r w:rsidRPr="00413C20">
        <w:rPr>
          <w:b/>
          <w:bCs/>
          <w:iCs/>
          <w:sz w:val="25"/>
          <w:szCs w:val="25"/>
          <w:lang w:val="en-CA"/>
        </w:rPr>
        <w:t>ection 33 “notwithstanding” clause</w:t>
      </w:r>
      <w:r>
        <w:rPr>
          <w:b/>
          <w:bCs/>
          <w:iCs/>
          <w:sz w:val="25"/>
          <w:szCs w:val="25"/>
          <w:lang w:val="en-CA"/>
        </w:rPr>
        <w:t>,</w:t>
      </w:r>
      <w:r w:rsidRPr="00413C20">
        <w:rPr>
          <w:b/>
          <w:bCs/>
          <w:iCs/>
          <w:sz w:val="25"/>
          <w:szCs w:val="25"/>
          <w:lang w:val="en-CA"/>
        </w:rPr>
        <w:t xml:space="preserve"> through its legal </w:t>
      </w:r>
      <w:r>
        <w:rPr>
          <w:b/>
          <w:bCs/>
          <w:iCs/>
          <w:sz w:val="25"/>
          <w:szCs w:val="25"/>
          <w:lang w:val="en-CA"/>
        </w:rPr>
        <w:t xml:space="preserve">content </w:t>
      </w:r>
      <w:r w:rsidRPr="00413C20">
        <w:rPr>
          <w:b/>
          <w:bCs/>
          <w:iCs/>
          <w:sz w:val="25"/>
          <w:szCs w:val="25"/>
          <w:lang w:val="en-CA"/>
        </w:rPr>
        <w:t>and its practice</w:t>
      </w:r>
      <w:r>
        <w:rPr>
          <w:b/>
          <w:bCs/>
          <w:iCs/>
          <w:sz w:val="25"/>
          <w:szCs w:val="25"/>
          <w:lang w:val="en-CA"/>
        </w:rPr>
        <w:t>,</w:t>
      </w:r>
      <w:r w:rsidRPr="00413C20">
        <w:rPr>
          <w:b/>
          <w:bCs/>
          <w:iCs/>
          <w:sz w:val="25"/>
          <w:szCs w:val="25"/>
          <w:lang w:val="en-CA"/>
        </w:rPr>
        <w:t xml:space="preserve"> presents a fundamental and grave threat to the human rights regime in Canada, which must be addressed with urgency and determination.  </w:t>
      </w:r>
    </w:p>
    <w:p w:rsidR="003527EC" w:rsidRDefault="003527EC">
      <w:pPr>
        <w:spacing w:after="160" w:line="259" w:lineRule="auto"/>
        <w:rPr>
          <w:b/>
          <w:bCs/>
          <w:iCs/>
          <w:sz w:val="25"/>
          <w:szCs w:val="25"/>
          <w:lang w:val="en-CA"/>
        </w:rPr>
      </w:pPr>
      <w:r>
        <w:rPr>
          <w:b/>
          <w:bCs/>
          <w:iCs/>
          <w:sz w:val="25"/>
          <w:szCs w:val="25"/>
          <w:lang w:val="en-CA"/>
        </w:rPr>
        <w:br w:type="page"/>
      </w:r>
    </w:p>
    <w:p w:rsidR="009B4256" w:rsidRPr="00815C73" w:rsidRDefault="009B4256" w:rsidP="009B4256">
      <w:pPr>
        <w:spacing w:after="120" w:line="276" w:lineRule="auto"/>
        <w:jc w:val="center"/>
        <w:rPr>
          <w:bCs/>
          <w:iCs/>
          <w:sz w:val="25"/>
          <w:szCs w:val="25"/>
          <w:u w:val="single"/>
          <w:lang w:val="en-CA"/>
        </w:rPr>
      </w:pPr>
      <w:r w:rsidRPr="00815C73">
        <w:rPr>
          <w:bCs/>
          <w:iCs/>
          <w:sz w:val="25"/>
          <w:szCs w:val="25"/>
          <w:u w:val="single"/>
          <w:lang w:val="en-CA"/>
        </w:rPr>
        <w:lastRenderedPageBreak/>
        <w:t xml:space="preserve">Government of Quebec’s </w:t>
      </w:r>
      <w:r w:rsidRPr="00815C73">
        <w:rPr>
          <w:sz w:val="25"/>
          <w:szCs w:val="25"/>
          <w:u w:val="single"/>
          <w:lang w:val="en-CA"/>
        </w:rPr>
        <w:t xml:space="preserve">Bill 1 - </w:t>
      </w:r>
      <w:proofErr w:type="gramStart"/>
      <w:r w:rsidRPr="00815C73">
        <w:rPr>
          <w:i/>
          <w:sz w:val="25"/>
          <w:szCs w:val="25"/>
          <w:u w:val="single"/>
          <w:lang w:val="en-CA"/>
        </w:rPr>
        <w:t>T</w:t>
      </w:r>
      <w:r w:rsidRPr="00815C73">
        <w:rPr>
          <w:i/>
          <w:iCs/>
          <w:sz w:val="25"/>
          <w:szCs w:val="25"/>
          <w:u w:val="single"/>
          <w:lang w:val="en-CA"/>
        </w:rPr>
        <w:t>he</w:t>
      </w:r>
      <w:proofErr w:type="gramEnd"/>
      <w:r w:rsidRPr="00815C73">
        <w:rPr>
          <w:i/>
          <w:iCs/>
          <w:sz w:val="25"/>
          <w:szCs w:val="25"/>
          <w:u w:val="single"/>
          <w:lang w:val="en-CA"/>
        </w:rPr>
        <w:t xml:space="preserve"> </w:t>
      </w:r>
      <w:r>
        <w:rPr>
          <w:i/>
          <w:iCs/>
          <w:sz w:val="25"/>
          <w:szCs w:val="25"/>
          <w:u w:val="single"/>
          <w:lang w:val="en-CA"/>
        </w:rPr>
        <w:t xml:space="preserve">2025 </w:t>
      </w:r>
      <w:r w:rsidRPr="00815C73">
        <w:rPr>
          <w:i/>
          <w:iCs/>
          <w:sz w:val="25"/>
          <w:szCs w:val="25"/>
          <w:u w:val="single"/>
          <w:lang w:val="en-CA"/>
        </w:rPr>
        <w:t>Quebec Constitution Act</w:t>
      </w:r>
    </w:p>
    <w:p w:rsidR="009B4256" w:rsidRDefault="009B4256" w:rsidP="009B4256">
      <w:pPr>
        <w:spacing w:after="120" w:line="276" w:lineRule="auto"/>
        <w:jc w:val="both"/>
        <w:rPr>
          <w:sz w:val="25"/>
          <w:szCs w:val="25"/>
          <w:lang w:val="en-CA"/>
        </w:rPr>
      </w:pPr>
    </w:p>
    <w:p w:rsidR="009B4256" w:rsidRPr="00815C73" w:rsidRDefault="009B4256" w:rsidP="009B4256">
      <w:pPr>
        <w:spacing w:after="120" w:line="276" w:lineRule="auto"/>
        <w:jc w:val="both"/>
        <w:rPr>
          <w:sz w:val="25"/>
          <w:szCs w:val="25"/>
          <w:lang w:val="en-CA"/>
        </w:rPr>
      </w:pPr>
      <w:r w:rsidRPr="00815C73">
        <w:rPr>
          <w:sz w:val="25"/>
          <w:szCs w:val="25"/>
          <w:lang w:val="en-CA"/>
        </w:rPr>
        <w:t xml:space="preserve">On October 9, 2025, the Government of Quebec introduced Bill 1, </w:t>
      </w:r>
      <w:r w:rsidRPr="00815C73">
        <w:rPr>
          <w:i/>
          <w:iCs/>
          <w:sz w:val="25"/>
          <w:szCs w:val="25"/>
          <w:lang w:val="en-CA"/>
        </w:rPr>
        <w:t>the Quebec Constitution Act</w:t>
      </w:r>
      <w:r w:rsidRPr="00815C73">
        <w:rPr>
          <w:sz w:val="25"/>
          <w:szCs w:val="25"/>
          <w:lang w:val="en-CA"/>
        </w:rPr>
        <w:t>,</w:t>
      </w:r>
      <w:r w:rsidRPr="00815C73">
        <w:rPr>
          <w:i/>
          <w:iCs/>
          <w:sz w:val="25"/>
          <w:szCs w:val="25"/>
          <w:lang w:val="en-CA"/>
        </w:rPr>
        <w:t xml:space="preserve"> 2025 </w:t>
      </w:r>
      <w:r w:rsidRPr="00815C73">
        <w:rPr>
          <w:sz w:val="25"/>
          <w:szCs w:val="25"/>
          <w:lang w:val="en-CA"/>
        </w:rPr>
        <w:t>(“Bill 1”), into the legislature (</w:t>
      </w:r>
      <w:r>
        <w:rPr>
          <w:sz w:val="25"/>
          <w:szCs w:val="25"/>
          <w:lang w:val="en-CA"/>
        </w:rPr>
        <w:t>i.e.</w:t>
      </w:r>
      <w:r w:rsidRPr="00815C73">
        <w:rPr>
          <w:sz w:val="25"/>
          <w:szCs w:val="25"/>
          <w:lang w:val="en-CA"/>
        </w:rPr>
        <w:t xml:space="preserve"> National Assembly) of Quebec</w:t>
      </w:r>
      <w:r>
        <w:rPr>
          <w:sz w:val="25"/>
          <w:szCs w:val="25"/>
          <w:lang w:val="en-CA"/>
        </w:rPr>
        <w:t>. This Bill establishes</w:t>
      </w:r>
      <w:r w:rsidRPr="00815C73">
        <w:rPr>
          <w:sz w:val="25"/>
          <w:szCs w:val="25"/>
          <w:lang w:val="en-CA"/>
        </w:rPr>
        <w:t xml:space="preserve"> the “Constitution of Quebec” as the supreme law of the “Quebec nation.” It includes numerous provisions that infringe upon universal rights and standards guaranteed by, among others, the </w:t>
      </w:r>
      <w:r w:rsidRPr="00815C73">
        <w:rPr>
          <w:i/>
          <w:iCs/>
          <w:sz w:val="25"/>
          <w:szCs w:val="25"/>
          <w:lang w:val="en-CA"/>
        </w:rPr>
        <w:t>Universal Declaration of Human Rights (UDHR)</w:t>
      </w:r>
      <w:r w:rsidRPr="00815C73">
        <w:rPr>
          <w:iCs/>
          <w:sz w:val="25"/>
          <w:szCs w:val="25"/>
          <w:lang w:val="en-CA"/>
        </w:rPr>
        <w:t xml:space="preserve">, the </w:t>
      </w:r>
      <w:r w:rsidRPr="00815C73">
        <w:rPr>
          <w:i/>
          <w:iCs/>
          <w:sz w:val="25"/>
          <w:szCs w:val="25"/>
          <w:lang w:val="en-CA"/>
        </w:rPr>
        <w:t xml:space="preserve">International Covenant on Civil and Political Rights </w:t>
      </w:r>
      <w:sdt>
        <w:sdtPr>
          <w:rPr>
            <w:sz w:val="25"/>
            <w:szCs w:val="25"/>
          </w:rPr>
          <w:tag w:val="goog_rdk_2"/>
          <w:id w:val="2057061038"/>
        </w:sdtPr>
        <w:sdtContent>
          <w:r w:rsidRPr="00815C73">
            <w:rPr>
              <w:i/>
              <w:iCs/>
              <w:sz w:val="25"/>
              <w:szCs w:val="25"/>
              <w:lang w:val="en-CA"/>
            </w:rPr>
            <w:t>(ICCPR)</w:t>
          </w:r>
          <w:r w:rsidRPr="00815C73">
            <w:rPr>
              <w:iCs/>
              <w:sz w:val="25"/>
              <w:szCs w:val="25"/>
              <w:lang w:val="en-CA"/>
            </w:rPr>
            <w:t xml:space="preserve">, </w:t>
          </w:r>
        </w:sdtContent>
      </w:sdt>
      <w:r w:rsidRPr="00815C73">
        <w:rPr>
          <w:iCs/>
          <w:sz w:val="25"/>
          <w:szCs w:val="25"/>
          <w:lang w:val="en-CA"/>
        </w:rPr>
        <w:t xml:space="preserve">the </w:t>
      </w:r>
      <w:r w:rsidRPr="00815C73">
        <w:rPr>
          <w:i/>
          <w:iCs/>
          <w:sz w:val="25"/>
          <w:szCs w:val="25"/>
          <w:lang w:val="en-CA"/>
        </w:rPr>
        <w:t xml:space="preserve">International Covenant on Economic, Social and Cultural Rights </w:t>
      </w:r>
      <w:sdt>
        <w:sdtPr>
          <w:rPr>
            <w:sz w:val="25"/>
            <w:szCs w:val="25"/>
          </w:rPr>
          <w:tag w:val="goog_rdk_3"/>
          <w:id w:val="-464164304"/>
        </w:sdtPr>
        <w:sdtContent>
          <w:r w:rsidRPr="00815C73">
            <w:rPr>
              <w:i/>
              <w:iCs/>
              <w:sz w:val="25"/>
              <w:szCs w:val="25"/>
              <w:lang w:val="en-CA"/>
            </w:rPr>
            <w:t>(ICESCR)</w:t>
          </w:r>
          <w:r w:rsidRPr="00815C73">
            <w:rPr>
              <w:iCs/>
              <w:sz w:val="25"/>
              <w:szCs w:val="25"/>
              <w:lang w:val="en-CA"/>
            </w:rPr>
            <w:t xml:space="preserve">, </w:t>
          </w:r>
        </w:sdtContent>
      </w:sdt>
      <w:r w:rsidRPr="00815C73">
        <w:rPr>
          <w:iCs/>
          <w:sz w:val="25"/>
          <w:szCs w:val="25"/>
          <w:lang w:val="en-CA"/>
        </w:rPr>
        <w:t xml:space="preserve">the </w:t>
      </w:r>
      <w:r w:rsidRPr="00815C73">
        <w:rPr>
          <w:i/>
          <w:iCs/>
          <w:sz w:val="25"/>
          <w:szCs w:val="25"/>
          <w:lang w:val="en-CA"/>
        </w:rPr>
        <w:t>Convention on the Rights of the Child</w:t>
      </w:r>
      <w:r w:rsidRPr="00815C73">
        <w:rPr>
          <w:iCs/>
          <w:sz w:val="25"/>
          <w:szCs w:val="25"/>
          <w:lang w:val="en-CA"/>
        </w:rPr>
        <w:t xml:space="preserve">, the </w:t>
      </w:r>
      <w:r w:rsidRPr="00815C73">
        <w:rPr>
          <w:i/>
          <w:iCs/>
          <w:sz w:val="25"/>
          <w:szCs w:val="25"/>
          <w:lang w:val="en-CA"/>
        </w:rPr>
        <w:t xml:space="preserve">United Nations Declaration on the Rights of Indigenous Peoples </w:t>
      </w:r>
      <w:sdt>
        <w:sdtPr>
          <w:rPr>
            <w:sz w:val="25"/>
            <w:szCs w:val="25"/>
          </w:rPr>
          <w:tag w:val="goog_rdk_4"/>
          <w:id w:val="-60355171"/>
        </w:sdtPr>
        <w:sdtContent>
          <w:r w:rsidRPr="00815C73">
            <w:rPr>
              <w:i/>
              <w:iCs/>
              <w:sz w:val="25"/>
              <w:szCs w:val="25"/>
              <w:lang w:val="en-CA"/>
            </w:rPr>
            <w:t>(UNDRIP)</w:t>
          </w:r>
          <w:r w:rsidRPr="00815C73">
            <w:rPr>
              <w:iCs/>
              <w:sz w:val="25"/>
              <w:szCs w:val="25"/>
              <w:lang w:val="en-CA"/>
            </w:rPr>
            <w:t xml:space="preserve">, and </w:t>
          </w:r>
        </w:sdtContent>
      </w:sdt>
      <w:r w:rsidRPr="00815C73">
        <w:rPr>
          <w:iCs/>
          <w:sz w:val="25"/>
          <w:szCs w:val="25"/>
          <w:lang w:val="en-CA"/>
        </w:rPr>
        <w:t xml:space="preserve">the </w:t>
      </w:r>
      <w:r w:rsidRPr="00815C73">
        <w:rPr>
          <w:i/>
          <w:iCs/>
          <w:sz w:val="25"/>
          <w:szCs w:val="25"/>
          <w:lang w:val="en-CA"/>
        </w:rPr>
        <w:t xml:space="preserve">United Nations Declaration on the Rights of Persons Belonging to National or Ethnic, Religious and Linguistic Minorities. </w:t>
      </w:r>
      <w:r w:rsidRPr="00754231">
        <w:rPr>
          <w:sz w:val="25"/>
          <w:szCs w:val="25"/>
          <w:lang w:val="en-CA"/>
        </w:rPr>
        <w:t>Both</w:t>
      </w:r>
      <w:r>
        <w:rPr>
          <w:i/>
          <w:iCs/>
          <w:sz w:val="25"/>
          <w:szCs w:val="25"/>
          <w:lang w:val="en-CA"/>
        </w:rPr>
        <w:t xml:space="preserve"> </w:t>
      </w:r>
      <w:r w:rsidRPr="00815C73">
        <w:rPr>
          <w:iCs/>
          <w:sz w:val="25"/>
          <w:szCs w:val="25"/>
          <w:lang w:val="en-CA"/>
        </w:rPr>
        <w:t>Canada and Quebec are bound by these instruments.</w:t>
      </w:r>
    </w:p>
    <w:p w:rsidR="009B4256" w:rsidRPr="00815C73" w:rsidRDefault="009B4256" w:rsidP="009B4256">
      <w:pPr>
        <w:spacing w:after="120" w:line="276" w:lineRule="auto"/>
        <w:jc w:val="both"/>
        <w:rPr>
          <w:sz w:val="25"/>
          <w:szCs w:val="25"/>
          <w:lang w:val="en-CA"/>
        </w:rPr>
      </w:pPr>
      <w:r w:rsidRPr="00815C73">
        <w:rPr>
          <w:sz w:val="25"/>
          <w:szCs w:val="25"/>
          <w:lang w:val="en-CA"/>
        </w:rPr>
        <w:t>Canada is a federation of 10 provinces and 3 territories. The province of Quebec is home to a wide variety of cultural, linguistic, religious, and ethnic minorities, as well as 11 Indigenous Nations, including 10 First Nations and the Inuit. In addition, Quebec is located on the traditional territory of the Innu First Nation (</w:t>
      </w:r>
      <w:proofErr w:type="spellStart"/>
      <w:r w:rsidRPr="00815C73">
        <w:rPr>
          <w:sz w:val="25"/>
          <w:szCs w:val="25"/>
          <w:lang w:val="en-CA"/>
        </w:rPr>
        <w:t>Nitassinan</w:t>
      </w:r>
      <w:proofErr w:type="spellEnd"/>
      <w:r w:rsidRPr="00815C73">
        <w:rPr>
          <w:sz w:val="25"/>
          <w:szCs w:val="25"/>
          <w:lang w:val="en-CA"/>
        </w:rPr>
        <w:t xml:space="preserve">), which includes the community of </w:t>
      </w:r>
      <w:proofErr w:type="spellStart"/>
      <w:r w:rsidRPr="00815C73">
        <w:rPr>
          <w:sz w:val="25"/>
          <w:szCs w:val="25"/>
          <w:lang w:val="en-CA"/>
        </w:rPr>
        <w:t>Ekuanitshit</w:t>
      </w:r>
      <w:proofErr w:type="spellEnd"/>
      <w:r w:rsidRPr="00815C73">
        <w:rPr>
          <w:sz w:val="25"/>
          <w:szCs w:val="25"/>
          <w:lang w:val="en-CA"/>
        </w:rPr>
        <w:t xml:space="preserve">. An integral part of this territory is the Magpie River, which itself has rights having been recognized as enjoying legal personality. Quebec is also located on the traditional territory of the Atikamekw community of </w:t>
      </w:r>
      <w:proofErr w:type="spellStart"/>
      <w:r w:rsidRPr="00815C73">
        <w:rPr>
          <w:sz w:val="25"/>
          <w:szCs w:val="25"/>
          <w:lang w:val="en-CA"/>
        </w:rPr>
        <w:t>Manawan</w:t>
      </w:r>
      <w:proofErr w:type="spellEnd"/>
      <w:r w:rsidRPr="00815C73">
        <w:rPr>
          <w:sz w:val="25"/>
          <w:szCs w:val="25"/>
          <w:lang w:val="en-CA"/>
        </w:rPr>
        <w:t xml:space="preserve">, the Atikamekw </w:t>
      </w:r>
      <w:proofErr w:type="spellStart"/>
      <w:r w:rsidRPr="00815C73">
        <w:rPr>
          <w:sz w:val="25"/>
          <w:szCs w:val="25"/>
          <w:lang w:val="en-CA"/>
        </w:rPr>
        <w:t>Nitaskinan</w:t>
      </w:r>
      <w:proofErr w:type="spellEnd"/>
      <w:r w:rsidRPr="00815C73">
        <w:rPr>
          <w:sz w:val="25"/>
          <w:szCs w:val="25"/>
          <w:lang w:val="en-CA"/>
        </w:rPr>
        <w:t>.</w:t>
      </w:r>
    </w:p>
    <w:p w:rsidR="009B4256" w:rsidRPr="00815C73" w:rsidRDefault="009B4256" w:rsidP="009B4256">
      <w:pPr>
        <w:spacing w:after="120" w:line="276" w:lineRule="auto"/>
        <w:jc w:val="both"/>
        <w:rPr>
          <w:sz w:val="25"/>
          <w:szCs w:val="25"/>
          <w:lang w:val="en-CA"/>
        </w:rPr>
      </w:pPr>
      <w:r w:rsidRPr="00815C73">
        <w:rPr>
          <w:sz w:val="25"/>
          <w:szCs w:val="25"/>
          <w:lang w:val="en-CA"/>
        </w:rPr>
        <w:t xml:space="preserve">Canada and its provinces, including Quebec, are </w:t>
      </w:r>
      <w:r>
        <w:rPr>
          <w:sz w:val="25"/>
          <w:szCs w:val="25"/>
          <w:lang w:val="en-CA"/>
        </w:rPr>
        <w:t xml:space="preserve">recognized as </w:t>
      </w:r>
      <w:r w:rsidRPr="00815C73">
        <w:rPr>
          <w:sz w:val="25"/>
          <w:szCs w:val="25"/>
          <w:lang w:val="en-CA"/>
        </w:rPr>
        <w:t xml:space="preserve">reference jurisdictions on the international </w:t>
      </w:r>
      <w:r>
        <w:rPr>
          <w:sz w:val="25"/>
          <w:szCs w:val="25"/>
          <w:lang w:val="en-CA"/>
        </w:rPr>
        <w:t>stag</w:t>
      </w:r>
      <w:r w:rsidRPr="00815C73">
        <w:rPr>
          <w:sz w:val="25"/>
          <w:szCs w:val="25"/>
          <w:lang w:val="en-CA"/>
        </w:rPr>
        <w:t xml:space="preserve">e, </w:t>
      </w:r>
      <w:r>
        <w:rPr>
          <w:sz w:val="25"/>
          <w:szCs w:val="25"/>
          <w:lang w:val="en-CA"/>
        </w:rPr>
        <w:t>known</w:t>
      </w:r>
      <w:r w:rsidRPr="00815C73">
        <w:rPr>
          <w:sz w:val="25"/>
          <w:szCs w:val="25"/>
          <w:lang w:val="en-CA"/>
        </w:rPr>
        <w:t xml:space="preserve"> for their respect for the rule of law. This is incompatible with the “hierarchy of rights” underlying Bill 1, which determines which rights are inferior to others and </w:t>
      </w:r>
      <w:r w:rsidRPr="00815C73">
        <w:rPr>
          <w:b/>
          <w:sz w:val="25"/>
          <w:szCs w:val="25"/>
          <w:lang w:val="en-CA"/>
        </w:rPr>
        <w:t>must always yield to the collective rights of what are referred to as “Quebecers</w:t>
      </w:r>
      <w:r w:rsidRPr="00815C73">
        <w:rPr>
          <w:sz w:val="25"/>
          <w:szCs w:val="25"/>
          <w:lang w:val="en-CA"/>
        </w:rPr>
        <w:t>.</w:t>
      </w:r>
      <w:r w:rsidRPr="00815C73">
        <w:rPr>
          <w:b/>
          <w:sz w:val="25"/>
          <w:szCs w:val="25"/>
          <w:lang w:val="en-CA"/>
        </w:rPr>
        <w:t>”</w:t>
      </w:r>
      <w:r w:rsidRPr="00815C73">
        <w:rPr>
          <w:sz w:val="25"/>
          <w:szCs w:val="25"/>
          <w:lang w:val="en-CA"/>
        </w:rPr>
        <w:t xml:space="preserve"> If the history of the 20th century has taught us anything, it is that this slippery slope can lead to highly dangerous situations. </w:t>
      </w:r>
      <w:r w:rsidRPr="00815C73">
        <w:rPr>
          <w:b/>
          <w:sz w:val="25"/>
          <w:szCs w:val="25"/>
          <w:lang w:val="en-CA"/>
        </w:rPr>
        <w:t xml:space="preserve">Bill 1 is </w:t>
      </w:r>
      <w:r>
        <w:rPr>
          <w:b/>
          <w:sz w:val="25"/>
          <w:szCs w:val="25"/>
          <w:lang w:val="en-CA"/>
        </w:rPr>
        <w:t>sets a dangerous precedent</w:t>
      </w:r>
      <w:r w:rsidRPr="00815C73">
        <w:rPr>
          <w:b/>
          <w:sz w:val="25"/>
          <w:szCs w:val="25"/>
          <w:lang w:val="en-CA"/>
        </w:rPr>
        <w:t xml:space="preserve"> and must be resolutely denounced.</w:t>
      </w:r>
    </w:p>
    <w:p w:rsidR="009B4256" w:rsidRPr="00815C73" w:rsidRDefault="009B4256" w:rsidP="009B4256">
      <w:pPr>
        <w:pBdr>
          <w:top w:val="nil"/>
          <w:left w:val="nil"/>
          <w:bottom w:val="nil"/>
          <w:right w:val="nil"/>
          <w:between w:val="nil"/>
        </w:pBdr>
        <w:spacing w:after="120" w:line="276" w:lineRule="auto"/>
        <w:jc w:val="both"/>
        <w:rPr>
          <w:sz w:val="25"/>
          <w:szCs w:val="25"/>
          <w:lang w:val="en-CA"/>
        </w:rPr>
      </w:pPr>
      <w:r w:rsidRPr="00815C73">
        <w:rPr>
          <w:rFonts w:eastAsia="Roboto"/>
          <w:sz w:val="25"/>
          <w:szCs w:val="25"/>
          <w:lang w:val="en-CA"/>
        </w:rPr>
        <w:t>One of our deepest concerns is</w:t>
      </w:r>
      <w:r w:rsidRPr="00143B7C">
        <w:rPr>
          <w:sz w:val="25"/>
          <w:szCs w:val="25"/>
          <w:lang w:val="en-GB"/>
        </w:rPr>
        <w:t xml:space="preserve"> </w:t>
      </w:r>
      <w:sdt>
        <w:sdtPr>
          <w:rPr>
            <w:sz w:val="25"/>
            <w:szCs w:val="25"/>
          </w:rPr>
          <w:tag w:val="goog_rdk_22"/>
          <w:id w:val="-634446200"/>
        </w:sdtPr>
        <w:sdtContent>
          <w:r w:rsidRPr="00815C73">
            <w:rPr>
              <w:rFonts w:eastAsia="Roboto"/>
              <w:b/>
              <w:sz w:val="25"/>
              <w:szCs w:val="25"/>
              <w:lang w:val="en-CA"/>
            </w:rPr>
            <w:t>the provisions concerning the collective rights of the “Quebec nation</w:t>
          </w:r>
          <w:r>
            <w:rPr>
              <w:rFonts w:eastAsia="Roboto"/>
              <w:b/>
              <w:sz w:val="25"/>
              <w:szCs w:val="25"/>
              <w:lang w:val="en-CA"/>
            </w:rPr>
            <w:t>,</w:t>
          </w:r>
          <w:r w:rsidRPr="00815C73">
            <w:rPr>
              <w:rFonts w:eastAsia="Roboto"/>
              <w:b/>
              <w:sz w:val="25"/>
              <w:szCs w:val="25"/>
              <w:lang w:val="en-CA"/>
            </w:rPr>
            <w:t xml:space="preserve">” </w:t>
          </w:r>
          <w:r w:rsidRPr="00815C73">
            <w:rPr>
              <w:rFonts w:eastAsia="Roboto"/>
              <w:sz w:val="25"/>
              <w:szCs w:val="25"/>
              <w:lang w:val="en-CA"/>
            </w:rPr>
            <w:t xml:space="preserve">and how </w:t>
          </w:r>
          <w:r>
            <w:rPr>
              <w:rFonts w:eastAsia="Roboto"/>
              <w:sz w:val="25"/>
              <w:szCs w:val="25"/>
              <w:lang w:val="en-CA"/>
            </w:rPr>
            <w:t>they</w:t>
          </w:r>
          <w:r w:rsidRPr="00815C73">
            <w:rPr>
              <w:rFonts w:eastAsia="Roboto"/>
              <w:sz w:val="25"/>
              <w:szCs w:val="25"/>
              <w:lang w:val="en-CA"/>
            </w:rPr>
            <w:t xml:space="preserve"> abrogate </w:t>
          </w:r>
          <w:r>
            <w:rPr>
              <w:rFonts w:eastAsia="Roboto"/>
              <w:sz w:val="25"/>
              <w:szCs w:val="25"/>
              <w:lang w:val="en-CA"/>
            </w:rPr>
            <w:t>the</w:t>
          </w:r>
          <w:r w:rsidRPr="00815C73">
            <w:rPr>
              <w:rFonts w:eastAsia="Roboto"/>
              <w:sz w:val="25"/>
              <w:szCs w:val="25"/>
              <w:lang w:val="en-CA"/>
            </w:rPr>
            <w:t xml:space="preserve"> rights of individuals and peoples living in Quebec. Human rights are inherent and inalienable.</w:t>
          </w:r>
          <w:r>
            <w:rPr>
              <w:rFonts w:eastAsia="Roboto"/>
              <w:sz w:val="25"/>
              <w:szCs w:val="25"/>
              <w:lang w:val="en-CA"/>
            </w:rPr>
            <w:t xml:space="preserve"> </w:t>
          </w:r>
          <w:r w:rsidRPr="00815C73">
            <w:rPr>
              <w:rFonts w:eastAsia="Roboto"/>
              <w:sz w:val="25"/>
              <w:szCs w:val="25"/>
              <w:lang w:val="en-CA"/>
            </w:rPr>
            <w:t>They were established precisely to</w:t>
          </w:r>
          <w:r>
            <w:rPr>
              <w:rFonts w:eastAsia="Roboto"/>
              <w:sz w:val="25"/>
              <w:szCs w:val="25"/>
              <w:lang w:val="en-CA"/>
            </w:rPr>
            <w:t xml:space="preserve"> </w:t>
          </w:r>
          <w:r w:rsidRPr="00815C73">
            <w:rPr>
              <w:sz w:val="25"/>
              <w:szCs w:val="25"/>
              <w:lang w:val="en-CA"/>
            </w:rPr>
            <w:t>protect vulnerable individuals and groups (most often minorities or colonized Indigenous nations) from the coercive actions</w:t>
          </w:r>
          <w:r w:rsidRPr="00815C73">
            <w:rPr>
              <w:rFonts w:eastAsia="Roboto"/>
              <w:sz w:val="25"/>
              <w:szCs w:val="25"/>
              <w:lang w:val="en-CA"/>
            </w:rPr>
            <w:t xml:space="preserve"> of dominant groups. While it is true that nations and national groups are entitled to certain rights under international law, </w:t>
          </w:r>
          <w:r w:rsidRPr="00815C73">
            <w:rPr>
              <w:rFonts w:eastAsia="Roboto"/>
              <w:b/>
              <w:sz w:val="25"/>
              <w:szCs w:val="25"/>
              <w:lang w:val="en-CA"/>
            </w:rPr>
            <w:t xml:space="preserve">those “collective rights” cannot override fundamental individual rights or supersede the collective rights of minorities living in the province or </w:t>
          </w:r>
          <w:r w:rsidRPr="00815C73">
            <w:rPr>
              <w:rFonts w:eastAsia="Roboto"/>
              <w:b/>
              <w:sz w:val="25"/>
              <w:szCs w:val="25"/>
              <w:lang w:val="en-CA"/>
            </w:rPr>
            <w:lastRenderedPageBreak/>
            <w:t>First Nations who have rights that pre-exist those of Quebec</w:t>
          </w:r>
          <w:r w:rsidRPr="00815C73">
            <w:rPr>
              <w:rFonts w:eastAsia="Roboto"/>
              <w:sz w:val="25"/>
              <w:szCs w:val="25"/>
              <w:lang w:val="en-CA"/>
            </w:rPr>
            <w:t>.</w:t>
          </w:r>
        </w:sdtContent>
      </w:sdt>
      <w:sdt>
        <w:sdtPr>
          <w:rPr>
            <w:sz w:val="25"/>
            <w:szCs w:val="25"/>
          </w:rPr>
          <w:tag w:val="goog_rdk_23"/>
          <w:id w:val="-2008703879"/>
          <w:showingPlcHdr/>
        </w:sdtPr>
        <w:sdtContent>
          <w:r>
            <w:rPr>
              <w:sz w:val="25"/>
              <w:szCs w:val="25"/>
            </w:rPr>
            <w:t xml:space="preserve">     </w:t>
          </w:r>
        </w:sdtContent>
      </w:sdt>
      <w:sdt>
        <w:sdtPr>
          <w:rPr>
            <w:sz w:val="25"/>
            <w:szCs w:val="25"/>
          </w:rPr>
          <w:tag w:val="goog_rdk_24"/>
          <w:id w:val="633067199"/>
        </w:sdtPr>
        <w:sdtContent>
          <w:r w:rsidRPr="00815C73">
            <w:rPr>
              <w:rFonts w:eastAsia="Roboto"/>
              <w:sz w:val="25"/>
              <w:szCs w:val="25"/>
              <w:lang w:val="en-CA"/>
            </w:rPr>
            <w:t xml:space="preserve">Placing collective rights – even those of a majority of the population – above the rights of individuals, minorities, and Indigenous peoples amounts to denying the foundations of universal human rights and Article 1 of the Universal Declaration of Human Rights. </w:t>
          </w:r>
        </w:sdtContent>
      </w:sdt>
      <w:sdt>
        <w:sdtPr>
          <w:rPr>
            <w:sz w:val="25"/>
            <w:szCs w:val="25"/>
          </w:rPr>
          <w:tag w:val="goog_rdk_28"/>
          <w:id w:val="-1264725379"/>
        </w:sdtPr>
        <w:sdtContent>
          <w:r w:rsidRPr="00815C73">
            <w:rPr>
              <w:rFonts w:eastAsia="Roboto"/>
              <w:sz w:val="25"/>
              <w:szCs w:val="25"/>
              <w:lang w:val="en-CA"/>
            </w:rPr>
            <w:t xml:space="preserve">Any provision giving the dominant/majority group the right to override the rights of individuals, minorities, and Indigenous peoples is </w:t>
          </w:r>
        </w:sdtContent>
      </w:sdt>
      <w:sdt>
        <w:sdtPr>
          <w:rPr>
            <w:sz w:val="25"/>
            <w:szCs w:val="25"/>
          </w:rPr>
          <w:tag w:val="goog_rdk_30"/>
          <w:id w:val="-723250739"/>
        </w:sdtPr>
        <w:sdtContent>
          <w:r w:rsidRPr="00815C73">
            <w:rPr>
              <w:rFonts w:eastAsia="Roboto"/>
              <w:sz w:val="25"/>
              <w:szCs w:val="25"/>
              <w:lang w:val="en-CA"/>
            </w:rPr>
            <w:t xml:space="preserve">contrary to the very idea of </w:t>
          </w:r>
          <w:r>
            <w:rPr>
              <w:rFonts w:eastAsia="Roboto"/>
              <w:sz w:val="25"/>
              <w:szCs w:val="25"/>
              <w:lang w:val="en-CA"/>
            </w:rPr>
            <w:t xml:space="preserve">human </w:t>
          </w:r>
          <w:r w:rsidRPr="00815C73">
            <w:rPr>
              <w:rFonts w:eastAsia="Roboto"/>
              <w:sz w:val="25"/>
              <w:szCs w:val="25"/>
              <w:lang w:val="en-CA"/>
            </w:rPr>
            <w:t>dignity and human rights.</w:t>
          </w:r>
        </w:sdtContent>
      </w:sdt>
    </w:p>
    <w:p w:rsidR="009B4256" w:rsidRPr="00815C73" w:rsidRDefault="009B4256" w:rsidP="009B4256">
      <w:pPr>
        <w:spacing w:after="120" w:line="276" w:lineRule="auto"/>
        <w:jc w:val="both"/>
        <w:rPr>
          <w:sz w:val="25"/>
          <w:szCs w:val="25"/>
          <w:lang w:val="en-CA"/>
        </w:rPr>
      </w:pPr>
      <w:r w:rsidRPr="00815C73">
        <w:rPr>
          <w:bCs/>
          <w:sz w:val="25"/>
          <w:szCs w:val="25"/>
          <w:lang w:val="en-CA"/>
        </w:rPr>
        <w:t>Bill 1 severely violates the “</w:t>
      </w:r>
      <w:r w:rsidRPr="00815C73">
        <w:rPr>
          <w:sz w:val="25"/>
          <w:szCs w:val="25"/>
          <w:u w:val="single"/>
          <w:lang w:val="en-CA"/>
        </w:rPr>
        <w:t xml:space="preserve">right to an effective remedy by the </w:t>
      </w:r>
      <w:r w:rsidRPr="00754231">
        <w:rPr>
          <w:sz w:val="25"/>
          <w:szCs w:val="25"/>
          <w:u w:val="single"/>
          <w:lang w:val="en-CA"/>
        </w:rPr>
        <w:t>competent national</w:t>
      </w:r>
      <w:r w:rsidRPr="00815C73">
        <w:rPr>
          <w:sz w:val="25"/>
          <w:szCs w:val="25"/>
          <w:lang w:val="en-CA"/>
        </w:rPr>
        <w:t xml:space="preserve"> </w:t>
      </w:r>
      <w:r w:rsidRPr="00815C73">
        <w:rPr>
          <w:sz w:val="25"/>
          <w:szCs w:val="25"/>
          <w:u w:val="single"/>
          <w:lang w:val="en-CA"/>
        </w:rPr>
        <w:t>tribunals</w:t>
      </w:r>
      <w:r w:rsidRPr="00815C73">
        <w:rPr>
          <w:sz w:val="25"/>
          <w:szCs w:val="25"/>
          <w:lang w:val="en-CA"/>
        </w:rPr>
        <w:t xml:space="preserve"> for acts violating the fundamental rights granted him by the constitution or by law” (section 8 of the UDHR; section 2 of the ICCPR) as well as the principle of the inalienability of human rights (section 1 of the UDHR). Two sections of Bill 1 are particularly problematic:</w:t>
      </w:r>
    </w:p>
    <w:p w:rsidR="009B4256" w:rsidRPr="00815C73" w:rsidRDefault="009B4256" w:rsidP="009B4256">
      <w:pPr>
        <w:spacing w:after="120" w:line="276" w:lineRule="auto"/>
        <w:jc w:val="both"/>
        <w:rPr>
          <w:bCs/>
          <w:sz w:val="25"/>
          <w:szCs w:val="25"/>
          <w:lang w:val="en-CA"/>
        </w:rPr>
      </w:pPr>
      <w:r w:rsidRPr="00815C73">
        <w:rPr>
          <w:bCs/>
          <w:sz w:val="25"/>
          <w:szCs w:val="25"/>
          <w:lang w:val="en-CA"/>
        </w:rPr>
        <w:t>(</w:t>
      </w:r>
      <w:proofErr w:type="spellStart"/>
      <w:r w:rsidRPr="00815C73">
        <w:rPr>
          <w:bCs/>
          <w:sz w:val="25"/>
          <w:szCs w:val="25"/>
          <w:lang w:val="en-CA"/>
        </w:rPr>
        <w:t>i</w:t>
      </w:r>
      <w:proofErr w:type="spellEnd"/>
      <w:r w:rsidRPr="00815C73">
        <w:rPr>
          <w:bCs/>
          <w:sz w:val="25"/>
          <w:szCs w:val="25"/>
          <w:lang w:val="en-CA"/>
        </w:rPr>
        <w:t xml:space="preserve">) Section 9, Part II, provides that “[t]he Parliament of Quebec may, </w:t>
      </w:r>
      <w:r w:rsidRPr="00143B7C">
        <w:rPr>
          <w:bCs/>
          <w:sz w:val="25"/>
          <w:szCs w:val="25"/>
          <w:lang w:val="en-GB"/>
        </w:rPr>
        <w:t>if it considers it advisable, include a parliamentary sovereignty provision [</w:t>
      </w:r>
      <w:r w:rsidRPr="00143B7C">
        <w:rPr>
          <w:bCs/>
          <w:sz w:val="25"/>
          <w:szCs w:val="25"/>
          <w:u w:val="single"/>
          <w:lang w:val="en-GB"/>
        </w:rPr>
        <w:t>derogation clause</w:t>
      </w:r>
      <w:r w:rsidRPr="00143B7C">
        <w:rPr>
          <w:bCs/>
          <w:sz w:val="25"/>
          <w:szCs w:val="25"/>
          <w:lang w:val="en-GB"/>
        </w:rPr>
        <w:t>],</w:t>
      </w:r>
      <w:r w:rsidRPr="00815C73">
        <w:rPr>
          <w:bCs/>
          <w:sz w:val="25"/>
          <w:szCs w:val="25"/>
          <w:lang w:val="en-CA"/>
        </w:rPr>
        <w:t xml:space="preserve"> </w:t>
      </w:r>
      <w:r w:rsidRPr="00143B7C">
        <w:rPr>
          <w:bCs/>
          <w:sz w:val="25"/>
          <w:szCs w:val="25"/>
          <w:lang w:val="en-GB"/>
        </w:rPr>
        <w:t xml:space="preserve">on its own initiative or in response to a judicial decision, </w:t>
      </w:r>
      <w:r w:rsidRPr="00143B7C">
        <w:rPr>
          <w:bCs/>
          <w:sz w:val="25"/>
          <w:szCs w:val="25"/>
          <w:u w:val="single"/>
          <w:lang w:val="en-GB"/>
        </w:rPr>
        <w:t>in any Act it enacts, without any requirement to contextualize or justify the provision</w:t>
      </w:r>
      <w:r w:rsidRPr="00143B7C">
        <w:rPr>
          <w:bCs/>
          <w:sz w:val="25"/>
          <w:szCs w:val="25"/>
          <w:lang w:val="en-GB"/>
        </w:rPr>
        <w:t xml:space="preserve">. </w:t>
      </w:r>
      <w:r w:rsidRPr="00143B7C">
        <w:rPr>
          <w:bCs/>
          <w:sz w:val="25"/>
          <w:szCs w:val="25"/>
          <w:u w:val="single"/>
          <w:lang w:val="en-GB"/>
        </w:rPr>
        <w:t>No application for judicial review, based on a right or freedom referred to</w:t>
      </w:r>
      <w:r w:rsidRPr="00143B7C">
        <w:rPr>
          <w:bCs/>
          <w:sz w:val="25"/>
          <w:szCs w:val="25"/>
          <w:lang w:val="en-GB"/>
        </w:rPr>
        <w:t xml:space="preserve"> in such a parliamentary sovereignty provision, may be brought in order to have the Act or provision referred to in the parliamentary sovereignty provision declared inoperative.</w:t>
      </w:r>
      <w:r w:rsidRPr="00815C73">
        <w:rPr>
          <w:bCs/>
          <w:sz w:val="25"/>
          <w:szCs w:val="25"/>
          <w:lang w:val="en-CA"/>
        </w:rPr>
        <w:t xml:space="preserve">” </w:t>
      </w:r>
    </w:p>
    <w:p w:rsidR="009B4256" w:rsidRPr="00815C73" w:rsidRDefault="009B4256" w:rsidP="009B4256">
      <w:pPr>
        <w:spacing w:after="120" w:line="276" w:lineRule="auto"/>
        <w:jc w:val="both"/>
        <w:rPr>
          <w:bCs/>
          <w:sz w:val="25"/>
          <w:szCs w:val="25"/>
          <w:lang w:val="en-CA"/>
        </w:rPr>
      </w:pPr>
      <w:r w:rsidRPr="00815C73">
        <w:rPr>
          <w:bCs/>
          <w:sz w:val="25"/>
          <w:szCs w:val="25"/>
          <w:lang w:val="en-CA"/>
        </w:rPr>
        <w:t xml:space="preserve">(ii) According to </w:t>
      </w:r>
      <w:r>
        <w:rPr>
          <w:bCs/>
          <w:sz w:val="25"/>
          <w:szCs w:val="25"/>
          <w:lang w:val="en-CA"/>
        </w:rPr>
        <w:t>S</w:t>
      </w:r>
      <w:r w:rsidRPr="00815C73">
        <w:rPr>
          <w:bCs/>
          <w:sz w:val="25"/>
          <w:szCs w:val="25"/>
          <w:lang w:val="en-CA"/>
        </w:rPr>
        <w:t xml:space="preserve">ection 5, Part II, “[t]he </w:t>
      </w:r>
      <w:r w:rsidRPr="00143B7C">
        <w:rPr>
          <w:bCs/>
          <w:sz w:val="25"/>
          <w:szCs w:val="25"/>
          <w:lang w:val="en-GB"/>
        </w:rPr>
        <w:t>Parliament of Québec may declare in an Act that the Act or a provision of the Act protects the Québec nation as well as the constitutional autonomy and fundamental characteristics of Québec</w:t>
      </w:r>
      <w:r w:rsidRPr="00815C73">
        <w:rPr>
          <w:bCs/>
          <w:sz w:val="25"/>
          <w:szCs w:val="25"/>
          <w:lang w:val="en-CA"/>
        </w:rPr>
        <w:t xml:space="preserve">. </w:t>
      </w:r>
      <w:r w:rsidRPr="00815C73">
        <w:rPr>
          <w:bCs/>
          <w:sz w:val="25"/>
          <w:szCs w:val="25"/>
          <w:u w:val="single"/>
          <w:lang w:val="en-CA"/>
        </w:rPr>
        <w:t>No body may</w:t>
      </w:r>
      <w:r w:rsidRPr="00815C73">
        <w:rPr>
          <w:bCs/>
          <w:sz w:val="25"/>
          <w:szCs w:val="25"/>
          <w:lang w:val="en-CA"/>
        </w:rPr>
        <w:t xml:space="preserve">, by means of [public funds], </w:t>
      </w:r>
      <w:r w:rsidRPr="00143B7C">
        <w:rPr>
          <w:bCs/>
          <w:sz w:val="25"/>
          <w:szCs w:val="25"/>
          <w:u w:val="single"/>
          <w:lang w:val="en-GB"/>
        </w:rPr>
        <w:t>contest</w:t>
      </w:r>
      <w:r w:rsidRPr="00815C73">
        <w:rPr>
          <w:bCs/>
          <w:sz w:val="25"/>
          <w:szCs w:val="25"/>
          <w:lang w:val="en-CA"/>
        </w:rPr>
        <w:t xml:space="preserve"> [the constitutionality] </w:t>
      </w:r>
      <w:r w:rsidRPr="00143B7C">
        <w:rPr>
          <w:bCs/>
          <w:sz w:val="25"/>
          <w:szCs w:val="25"/>
          <w:lang w:val="en-GB"/>
        </w:rPr>
        <w:t xml:space="preserve">of a provision regarding which a declaration is made under the first paragraph </w:t>
      </w:r>
      <w:r w:rsidRPr="00143B7C">
        <w:rPr>
          <w:bCs/>
          <w:sz w:val="25"/>
          <w:szCs w:val="25"/>
          <w:u w:val="single"/>
          <w:lang w:val="en-GB"/>
        </w:rPr>
        <w:t>or otherwise contribute to such a contestation</w:t>
      </w:r>
      <w:r w:rsidRPr="00815C73">
        <w:rPr>
          <w:bCs/>
          <w:sz w:val="25"/>
          <w:szCs w:val="25"/>
          <w:lang w:val="en-CA"/>
        </w:rPr>
        <w:t xml:space="preserve">.” The provision even </w:t>
      </w:r>
      <w:r w:rsidRPr="00815C73">
        <w:rPr>
          <w:bCs/>
          <w:sz w:val="25"/>
          <w:szCs w:val="25"/>
          <w:u w:val="single"/>
          <w:lang w:val="en-CA"/>
        </w:rPr>
        <w:t>threatens</w:t>
      </w:r>
      <w:r w:rsidRPr="00815C73">
        <w:rPr>
          <w:bCs/>
          <w:sz w:val="25"/>
          <w:szCs w:val="25"/>
          <w:lang w:val="en-CA"/>
        </w:rPr>
        <w:t xml:space="preserve"> “</w:t>
      </w:r>
      <w:r w:rsidRPr="00815C73">
        <w:rPr>
          <w:sz w:val="25"/>
          <w:szCs w:val="25"/>
          <w:lang w:val="en-CA"/>
        </w:rPr>
        <w:t>[t]</w:t>
      </w:r>
      <w:r w:rsidRPr="00143B7C">
        <w:rPr>
          <w:bCs/>
          <w:sz w:val="25"/>
          <w:szCs w:val="25"/>
          <w:lang w:val="en-GB"/>
        </w:rPr>
        <w:t xml:space="preserve">he members or directors of a body having approved the allocation of a sum contrary to this section </w:t>
      </w:r>
      <w:r w:rsidRPr="00143B7C">
        <w:rPr>
          <w:bCs/>
          <w:sz w:val="25"/>
          <w:szCs w:val="25"/>
          <w:u w:val="single"/>
          <w:lang w:val="en-GB"/>
        </w:rPr>
        <w:t xml:space="preserve">are held </w:t>
      </w:r>
      <w:proofErr w:type="spellStart"/>
      <w:r w:rsidRPr="00143B7C">
        <w:rPr>
          <w:bCs/>
          <w:sz w:val="25"/>
          <w:szCs w:val="25"/>
          <w:u w:val="single"/>
          <w:lang w:val="en-GB"/>
        </w:rPr>
        <w:t>solidarily</w:t>
      </w:r>
      <w:proofErr w:type="spellEnd"/>
      <w:r w:rsidRPr="00143B7C">
        <w:rPr>
          <w:bCs/>
          <w:sz w:val="25"/>
          <w:szCs w:val="25"/>
          <w:u w:val="single"/>
          <w:lang w:val="en-GB"/>
        </w:rPr>
        <w:t xml:space="preserve"> liable</w:t>
      </w:r>
      <w:r w:rsidRPr="00143B7C">
        <w:rPr>
          <w:bCs/>
          <w:sz w:val="25"/>
          <w:szCs w:val="25"/>
          <w:lang w:val="en-GB"/>
        </w:rPr>
        <w:t xml:space="preserve"> for the restitution</w:t>
      </w:r>
      <w:r w:rsidRPr="00815C73">
        <w:rPr>
          <w:bCs/>
          <w:sz w:val="25"/>
          <w:szCs w:val="25"/>
          <w:lang w:val="en-CA"/>
        </w:rPr>
        <w:t>” of the sums.</w:t>
      </w:r>
    </w:p>
    <w:p w:rsidR="009B4256" w:rsidRPr="00815C73" w:rsidRDefault="009B4256" w:rsidP="009B4256">
      <w:pPr>
        <w:spacing w:after="120" w:line="276" w:lineRule="auto"/>
        <w:jc w:val="both"/>
        <w:rPr>
          <w:bCs/>
          <w:sz w:val="25"/>
          <w:szCs w:val="25"/>
          <w:lang w:val="en-CA"/>
        </w:rPr>
      </w:pPr>
      <w:r w:rsidRPr="00815C73">
        <w:rPr>
          <w:bCs/>
          <w:sz w:val="25"/>
          <w:szCs w:val="25"/>
          <w:lang w:val="en-CA"/>
        </w:rPr>
        <w:t xml:space="preserve">The process by which this draft constitution is being imposed </w:t>
      </w:r>
      <w:r w:rsidRPr="00815C73">
        <w:rPr>
          <w:bCs/>
          <w:sz w:val="25"/>
          <w:szCs w:val="25"/>
          <w:u w:val="single"/>
          <w:lang w:val="en-CA"/>
        </w:rPr>
        <w:t>violates the standards for the adoption of a legitimate constitution</w:t>
      </w:r>
      <w:r w:rsidRPr="00815C73">
        <w:rPr>
          <w:bCs/>
          <w:sz w:val="25"/>
          <w:szCs w:val="25"/>
          <w:lang w:val="en-CA"/>
        </w:rPr>
        <w:t xml:space="preserve">, in particular those established by the United Nations High Commissioner for Human Rights. This Bill was drafted behind closed doors </w:t>
      </w:r>
      <w:r w:rsidRPr="00815C73">
        <w:rPr>
          <w:bCs/>
          <w:sz w:val="25"/>
          <w:szCs w:val="25"/>
          <w:u w:val="single"/>
          <w:lang w:val="en-CA"/>
        </w:rPr>
        <w:t>without any prior public consultation</w:t>
      </w:r>
      <w:r w:rsidRPr="00815C73">
        <w:rPr>
          <w:sz w:val="25"/>
          <w:szCs w:val="25"/>
          <w:lang w:val="en-CA"/>
        </w:rPr>
        <w:t xml:space="preserve">. </w:t>
      </w:r>
      <w:r w:rsidRPr="00815C73">
        <w:rPr>
          <w:bCs/>
          <w:sz w:val="25"/>
          <w:szCs w:val="25"/>
          <w:lang w:val="en-CA"/>
        </w:rPr>
        <w:t>However, a constitution-making process “</w:t>
      </w:r>
      <w:r w:rsidRPr="00815C73">
        <w:rPr>
          <w:sz w:val="25"/>
          <w:szCs w:val="25"/>
          <w:lang w:val="en-CA"/>
        </w:rPr>
        <w:t xml:space="preserve">promises valid results if it is based on broad participation by all segments of society. […] It is important that their views [be] taken into account in clearly defined procedures...” </w:t>
      </w:r>
      <w:proofErr w:type="gramStart"/>
      <w:r w:rsidRPr="00815C73">
        <w:rPr>
          <w:sz w:val="25"/>
          <w:szCs w:val="25"/>
          <w:lang w:val="en-CA"/>
        </w:rPr>
        <w:t>(</w:t>
      </w:r>
      <w:r w:rsidRPr="00815C73">
        <w:rPr>
          <w:i/>
          <w:iCs/>
          <w:sz w:val="25"/>
          <w:szCs w:val="25"/>
          <w:lang w:val="en-CA"/>
        </w:rPr>
        <w:t>Human Rights and Constitution-Making</w:t>
      </w:r>
      <w:r w:rsidRPr="00815C73">
        <w:rPr>
          <w:sz w:val="25"/>
          <w:szCs w:val="25"/>
          <w:lang w:val="en-CA"/>
        </w:rPr>
        <w:t>, OHCHR, 2018, p. 3).</w:t>
      </w:r>
      <w:proofErr w:type="gramEnd"/>
    </w:p>
    <w:p w:rsidR="009B4256" w:rsidRPr="00815C73" w:rsidRDefault="009B4256" w:rsidP="009B4256">
      <w:pPr>
        <w:spacing w:after="120" w:line="276" w:lineRule="auto"/>
        <w:jc w:val="both"/>
        <w:rPr>
          <w:b/>
          <w:iCs/>
          <w:color w:val="000000"/>
          <w:sz w:val="25"/>
          <w:szCs w:val="25"/>
          <w:lang w:val="en-CA"/>
        </w:rPr>
      </w:pPr>
      <w:r w:rsidRPr="00815C73">
        <w:rPr>
          <w:b/>
          <w:iCs/>
          <w:color w:val="000000"/>
          <w:sz w:val="25"/>
          <w:szCs w:val="25"/>
          <w:lang w:val="en-CA"/>
        </w:rPr>
        <w:lastRenderedPageBreak/>
        <w:t xml:space="preserve">The blatant disregard for these international rights and standards requires the intervention of the United Nations </w:t>
      </w:r>
      <w:r>
        <w:rPr>
          <w:b/>
          <w:iCs/>
          <w:color w:val="000000"/>
          <w:sz w:val="25"/>
          <w:szCs w:val="25"/>
          <w:lang w:val="en-CA"/>
        </w:rPr>
        <w:t>Human Rights Committee</w:t>
      </w:r>
      <w:r w:rsidRPr="00815C73">
        <w:rPr>
          <w:b/>
          <w:iCs/>
          <w:color w:val="000000"/>
          <w:sz w:val="25"/>
          <w:szCs w:val="25"/>
          <w:lang w:val="en-CA"/>
        </w:rPr>
        <w:t xml:space="preserve"> to recognize the human rights violations and call on the authorities to withdraw Bill 1.</w:t>
      </w:r>
    </w:p>
    <w:p w:rsidR="009B4256" w:rsidRDefault="009B4256" w:rsidP="009B4256">
      <w:pPr>
        <w:pBdr>
          <w:top w:val="nil"/>
          <w:left w:val="nil"/>
          <w:bottom w:val="nil"/>
          <w:right w:val="nil"/>
          <w:between w:val="nil"/>
        </w:pBdr>
        <w:spacing w:after="120" w:line="276" w:lineRule="auto"/>
        <w:jc w:val="both"/>
        <w:rPr>
          <w:sz w:val="25"/>
          <w:szCs w:val="25"/>
          <w:lang w:val="en-CA"/>
        </w:rPr>
      </w:pPr>
    </w:p>
    <w:tbl>
      <w:tblPr>
        <w:tblStyle w:val="TableGrid"/>
        <w:tblW w:w="0" w:type="auto"/>
        <w:tblInd w:w="108" w:type="dxa"/>
        <w:tblLook w:val="04A0"/>
      </w:tblPr>
      <w:tblGrid>
        <w:gridCol w:w="9900"/>
      </w:tblGrid>
      <w:tr w:rsidR="009B4256" w:rsidTr="003527EC">
        <w:tc>
          <w:tcPr>
            <w:tcW w:w="9900" w:type="dxa"/>
          </w:tcPr>
          <w:p w:rsidR="009B4256" w:rsidRPr="00DA5E0B" w:rsidRDefault="009B4256" w:rsidP="001213ED">
            <w:pPr>
              <w:pBdr>
                <w:top w:val="nil"/>
                <w:left w:val="nil"/>
                <w:bottom w:val="nil"/>
                <w:right w:val="nil"/>
                <w:between w:val="nil"/>
              </w:pBdr>
              <w:spacing w:after="120" w:line="276" w:lineRule="auto"/>
              <w:jc w:val="center"/>
              <w:rPr>
                <w:b/>
                <w:sz w:val="25"/>
                <w:szCs w:val="25"/>
                <w:lang w:val="en-CA"/>
              </w:rPr>
            </w:pPr>
            <w:r w:rsidRPr="00DA5E0B">
              <w:rPr>
                <w:b/>
                <w:sz w:val="25"/>
                <w:szCs w:val="25"/>
                <w:lang w:val="en-CA"/>
              </w:rPr>
              <w:t>-2-</w:t>
            </w:r>
          </w:p>
          <w:p w:rsidR="009B4256" w:rsidRDefault="009B4256" w:rsidP="001213ED">
            <w:pPr>
              <w:pBdr>
                <w:top w:val="nil"/>
                <w:left w:val="nil"/>
                <w:bottom w:val="nil"/>
                <w:right w:val="nil"/>
                <w:between w:val="nil"/>
              </w:pBdr>
              <w:spacing w:after="120" w:line="276" w:lineRule="auto"/>
              <w:jc w:val="center"/>
              <w:rPr>
                <w:sz w:val="25"/>
                <w:szCs w:val="25"/>
                <w:lang w:val="en-CA"/>
              </w:rPr>
            </w:pPr>
            <w:r w:rsidRPr="00815C73">
              <w:rPr>
                <w:b/>
                <w:bCs/>
                <w:iCs/>
                <w:sz w:val="25"/>
                <w:szCs w:val="25"/>
                <w:lang w:val="en-CA"/>
              </w:rPr>
              <w:t xml:space="preserve">With relevance to </w:t>
            </w:r>
            <w:r w:rsidRPr="00815C73">
              <w:rPr>
                <w:b/>
                <w:bCs/>
                <w:iCs/>
                <w:sz w:val="25"/>
                <w:szCs w:val="25"/>
                <w:u w:val="single"/>
                <w:lang w:val="en-CA"/>
              </w:rPr>
              <w:t>section</w:t>
            </w:r>
            <w:r w:rsidRPr="001022F7">
              <w:rPr>
                <w:b/>
                <w:bCs/>
                <w:iCs/>
                <w:sz w:val="25"/>
                <w:szCs w:val="25"/>
                <w:u w:val="single"/>
                <w:lang w:val="en-CA"/>
              </w:rPr>
              <w:t xml:space="preserve"> </w:t>
            </w:r>
            <w:r>
              <w:rPr>
                <w:b/>
                <w:bCs/>
                <w:iCs/>
                <w:sz w:val="25"/>
                <w:szCs w:val="25"/>
                <w:u w:val="single"/>
                <w:lang w:val="en-CA"/>
              </w:rPr>
              <w:t>B, subsections</w:t>
            </w:r>
            <w:r>
              <w:rPr>
                <w:bCs/>
                <w:iCs/>
                <w:sz w:val="25"/>
                <w:szCs w:val="25"/>
                <w:lang w:val="en-CA"/>
              </w:rPr>
              <w:t xml:space="preserve"> </w:t>
            </w:r>
            <w:r>
              <w:rPr>
                <w:sz w:val="25"/>
                <w:szCs w:val="25"/>
                <w:lang w:val="en-CA"/>
              </w:rPr>
              <w:tab/>
            </w:r>
            <w:r w:rsidRPr="00DA5E0B">
              <w:rPr>
                <w:b/>
                <w:i/>
                <w:sz w:val="25"/>
                <w:szCs w:val="25"/>
                <w:lang w:val="en-CA"/>
              </w:rPr>
              <w:t>Non-discrimination (arts. 2, 3, 6, 9, 25 and 26)</w:t>
            </w:r>
            <w:r w:rsidRPr="00DA5E0B">
              <w:rPr>
                <w:b/>
                <w:sz w:val="25"/>
                <w:szCs w:val="25"/>
                <w:lang w:val="en-CA"/>
              </w:rPr>
              <w:t xml:space="preserve"> and </w:t>
            </w:r>
            <w:r w:rsidRPr="00DA5E0B">
              <w:rPr>
                <w:b/>
                <w:i/>
                <w:sz w:val="25"/>
                <w:szCs w:val="25"/>
                <w:lang w:val="en-CA"/>
              </w:rPr>
              <w:t>Rights of minorities and indigenous peoples (arts. 2 and 25–27)</w:t>
            </w:r>
            <w:r>
              <w:rPr>
                <w:b/>
                <w:i/>
                <w:sz w:val="25"/>
                <w:szCs w:val="25"/>
                <w:lang w:val="en-CA"/>
              </w:rPr>
              <w:t xml:space="preserve"> </w:t>
            </w:r>
            <w:r w:rsidRPr="00815C73">
              <w:rPr>
                <w:b/>
                <w:bCs/>
                <w:iCs/>
                <w:sz w:val="25"/>
                <w:szCs w:val="25"/>
                <w:lang w:val="en-CA"/>
              </w:rPr>
              <w:t xml:space="preserve">from the approved List of </w:t>
            </w:r>
            <w:r>
              <w:rPr>
                <w:b/>
                <w:bCs/>
                <w:iCs/>
                <w:sz w:val="25"/>
                <w:szCs w:val="25"/>
                <w:lang w:val="en-CA"/>
              </w:rPr>
              <w:t>I</w:t>
            </w:r>
            <w:r w:rsidRPr="00815C73">
              <w:rPr>
                <w:b/>
                <w:bCs/>
                <w:iCs/>
                <w:sz w:val="25"/>
                <w:szCs w:val="25"/>
                <w:lang w:val="en-CA"/>
              </w:rPr>
              <w:t>ssues prior to submission of the se</w:t>
            </w:r>
            <w:r>
              <w:rPr>
                <w:b/>
                <w:bCs/>
                <w:iCs/>
                <w:sz w:val="25"/>
                <w:szCs w:val="25"/>
                <w:lang w:val="en-CA"/>
              </w:rPr>
              <w:t>venth periodic report of Canada</w:t>
            </w:r>
          </w:p>
        </w:tc>
      </w:tr>
    </w:tbl>
    <w:p w:rsidR="009B4256" w:rsidRPr="00413C20" w:rsidRDefault="009B4256" w:rsidP="009B4256">
      <w:pPr>
        <w:pBdr>
          <w:top w:val="nil"/>
          <w:left w:val="nil"/>
          <w:bottom w:val="nil"/>
          <w:right w:val="nil"/>
          <w:between w:val="nil"/>
        </w:pBdr>
        <w:spacing w:after="120" w:line="276" w:lineRule="auto"/>
        <w:jc w:val="both"/>
        <w:rPr>
          <w:sz w:val="16"/>
          <w:szCs w:val="16"/>
          <w:lang w:val="en-CA"/>
        </w:rPr>
      </w:pPr>
    </w:p>
    <w:p w:rsidR="009B4256" w:rsidRPr="00815C73" w:rsidRDefault="009B4256" w:rsidP="009B4256">
      <w:pPr>
        <w:spacing w:after="120" w:line="276" w:lineRule="auto"/>
        <w:jc w:val="both"/>
        <w:rPr>
          <w:sz w:val="25"/>
          <w:szCs w:val="25"/>
          <w:lang w:val="en-CA"/>
        </w:rPr>
      </w:pPr>
      <w:r w:rsidRPr="00815C73">
        <w:rPr>
          <w:b/>
          <w:bCs/>
          <w:sz w:val="25"/>
          <w:szCs w:val="25"/>
          <w:lang w:val="en-CA"/>
        </w:rPr>
        <w:t xml:space="preserve">(1) Minority rights (general) – </w:t>
      </w:r>
      <w:r w:rsidRPr="00815C73">
        <w:rPr>
          <w:sz w:val="25"/>
          <w:szCs w:val="25"/>
          <w:lang w:val="en-CA"/>
        </w:rPr>
        <w:t>Bill 1</w:t>
      </w:r>
      <w:r>
        <w:rPr>
          <w:sz w:val="25"/>
          <w:szCs w:val="25"/>
          <w:lang w:val="en-CA"/>
        </w:rPr>
        <w:t xml:space="preserve"> (on Quebec Constitution) before the Quebec National Assembly</w:t>
      </w:r>
      <w:r w:rsidRPr="00815C73">
        <w:rPr>
          <w:sz w:val="25"/>
          <w:szCs w:val="25"/>
          <w:lang w:val="en-CA"/>
        </w:rPr>
        <w:t xml:space="preserve"> proclaims that all persons living in Quebec are Quebecers and form only “</w:t>
      </w:r>
      <w:r w:rsidRPr="00815C73">
        <w:rPr>
          <w:sz w:val="25"/>
          <w:szCs w:val="25"/>
          <w:u w:val="single"/>
          <w:lang w:val="en-CA"/>
        </w:rPr>
        <w:t>one nation</w:t>
      </w:r>
      <w:r w:rsidRPr="00815C73">
        <w:rPr>
          <w:sz w:val="25"/>
          <w:szCs w:val="25"/>
          <w:lang w:val="en-CA"/>
        </w:rPr>
        <w:t>” (paragraph I, section 3). The identity of the Quebec nation and all Quebecers is said to be rooted in only one “common language of the nation (French)” and a single culture (Part I, section 5). An approach known as “</w:t>
      </w:r>
      <w:r w:rsidRPr="00815C73">
        <w:rPr>
          <w:sz w:val="25"/>
          <w:szCs w:val="25"/>
          <w:u w:val="single"/>
          <w:lang w:val="en-CA"/>
        </w:rPr>
        <w:t>national integration</w:t>
      </w:r>
      <w:r w:rsidRPr="00815C73">
        <w:rPr>
          <w:sz w:val="25"/>
          <w:szCs w:val="25"/>
          <w:lang w:val="en-CA"/>
        </w:rPr>
        <w:t xml:space="preserve">” is also expressly established to </w:t>
      </w:r>
      <w:r w:rsidRPr="00815C73">
        <w:rPr>
          <w:i/>
          <w:sz w:val="25"/>
          <w:szCs w:val="25"/>
          <w:lang w:val="en-CA"/>
        </w:rPr>
        <w:t xml:space="preserve">integrate </w:t>
      </w:r>
      <w:r w:rsidRPr="00815C73">
        <w:rPr>
          <w:sz w:val="25"/>
          <w:szCs w:val="25"/>
          <w:lang w:val="en-CA"/>
        </w:rPr>
        <w:t>minorities into the Quebec nation (Part I, section 30; see paragraph 3 below).</w:t>
      </w:r>
    </w:p>
    <w:p w:rsidR="009B4256" w:rsidRPr="00815C73" w:rsidRDefault="009B4256" w:rsidP="009B4256">
      <w:pPr>
        <w:spacing w:after="120" w:line="276" w:lineRule="auto"/>
        <w:jc w:val="both"/>
        <w:rPr>
          <w:sz w:val="25"/>
          <w:szCs w:val="25"/>
          <w:lang w:val="en-CA"/>
        </w:rPr>
      </w:pPr>
      <w:r w:rsidRPr="00815C73">
        <w:rPr>
          <w:sz w:val="25"/>
          <w:szCs w:val="25"/>
          <w:lang w:val="en-CA"/>
        </w:rPr>
        <w:t xml:space="preserve">The Bill denies Quebec residents (whether or not they have Canadian citizenship) the right to self-identify as anything other than “Quebecers.” The Bill establishes a direct link between </w:t>
      </w:r>
      <w:r>
        <w:rPr>
          <w:sz w:val="25"/>
          <w:szCs w:val="25"/>
          <w:lang w:val="en-CA"/>
        </w:rPr>
        <w:t>“</w:t>
      </w:r>
      <w:r w:rsidRPr="00815C73">
        <w:rPr>
          <w:sz w:val="25"/>
          <w:szCs w:val="25"/>
          <w:lang w:val="en-CA"/>
        </w:rPr>
        <w:t>being Quebecer</w:t>
      </w:r>
      <w:r>
        <w:rPr>
          <w:sz w:val="25"/>
          <w:szCs w:val="25"/>
          <w:lang w:val="en-CA"/>
        </w:rPr>
        <w:t>”</w:t>
      </w:r>
      <w:r w:rsidRPr="00815C73">
        <w:rPr>
          <w:sz w:val="25"/>
          <w:szCs w:val="25"/>
          <w:lang w:val="en-CA"/>
        </w:rPr>
        <w:t xml:space="preserve"> with French as the “common” and “unifying” language of identity for the group. These provisions violate the minority rights principles of free choice of linguistic, cultural and national identity, as well as the free and voluntary self-identification with a national, ethnic or linguistic group. According to the 2021 Canadian census, </w:t>
      </w:r>
      <w:r>
        <w:rPr>
          <w:sz w:val="25"/>
          <w:szCs w:val="25"/>
          <w:lang w:val="en-CA"/>
        </w:rPr>
        <w:t>among</w:t>
      </w:r>
      <w:r w:rsidRPr="00815C73">
        <w:rPr>
          <w:sz w:val="25"/>
          <w:szCs w:val="25"/>
          <w:lang w:val="en-CA"/>
        </w:rPr>
        <w:t xml:space="preserve"> Quebec residents: 29% identify as “Canadian,” 21% as “French,</w:t>
      </w:r>
      <w:r>
        <w:rPr>
          <w:sz w:val="25"/>
          <w:szCs w:val="25"/>
          <w:lang w:val="en-CA"/>
        </w:rPr>
        <w:t>”</w:t>
      </w:r>
      <w:r w:rsidRPr="00815C73">
        <w:rPr>
          <w:sz w:val="25"/>
          <w:szCs w:val="25"/>
          <w:lang w:val="en-CA"/>
        </w:rPr>
        <w:t xml:space="preserve"> 11% as “Quebecer,” 7% as “French Canadians,” nearly 5% as “Irish,” nearly 4% as “Italian,” and circa 1.7% as “First Nations.”</w:t>
      </w:r>
      <w:r w:rsidRPr="00815C73">
        <w:rPr>
          <w:sz w:val="25"/>
          <w:szCs w:val="25"/>
          <w:vertAlign w:val="superscript"/>
        </w:rPr>
        <w:footnoteReference w:id="4"/>
      </w:r>
      <w:r w:rsidRPr="00815C73">
        <w:rPr>
          <w:sz w:val="25"/>
          <w:szCs w:val="25"/>
          <w:lang w:val="en-CA"/>
        </w:rPr>
        <w:t xml:space="preserve"> Thus</w:t>
      </w:r>
      <w:r>
        <w:rPr>
          <w:sz w:val="25"/>
          <w:szCs w:val="25"/>
          <w:lang w:val="en-CA"/>
        </w:rPr>
        <w:t>,</w:t>
      </w:r>
      <w:r w:rsidRPr="00815C73">
        <w:rPr>
          <w:sz w:val="25"/>
          <w:szCs w:val="25"/>
          <w:lang w:val="en-CA"/>
        </w:rPr>
        <w:t xml:space="preserve"> Bill 1 </w:t>
      </w:r>
      <w:r w:rsidRPr="00815C73">
        <w:rPr>
          <w:sz w:val="25"/>
          <w:szCs w:val="25"/>
          <w:u w:val="single"/>
          <w:lang w:val="en-CA"/>
        </w:rPr>
        <w:t>aims to override the free and voluntary self-identification of the population in Quebec</w:t>
      </w:r>
      <w:r w:rsidRPr="00815C73">
        <w:rPr>
          <w:sz w:val="25"/>
          <w:szCs w:val="25"/>
          <w:lang w:val="en-CA"/>
        </w:rPr>
        <w:t xml:space="preserve">, where </w:t>
      </w:r>
      <w:r w:rsidRPr="00815C73">
        <w:rPr>
          <w:sz w:val="25"/>
          <w:szCs w:val="25"/>
          <w:u w:val="single"/>
          <w:lang w:val="en-CA"/>
        </w:rPr>
        <w:t>only 11% identified as “Quebecer</w:t>
      </w:r>
      <w:r w:rsidRPr="00815C73">
        <w:rPr>
          <w:sz w:val="25"/>
          <w:szCs w:val="25"/>
          <w:lang w:val="en-CA"/>
        </w:rPr>
        <w:t xml:space="preserve">.”  </w:t>
      </w:r>
    </w:p>
    <w:p w:rsidR="009B4256" w:rsidRPr="00815C73" w:rsidRDefault="009B4256" w:rsidP="009B4256">
      <w:pPr>
        <w:spacing w:after="120" w:line="276" w:lineRule="auto"/>
        <w:jc w:val="both"/>
        <w:rPr>
          <w:sz w:val="25"/>
          <w:szCs w:val="25"/>
          <w:lang w:val="en-CA"/>
        </w:rPr>
      </w:pPr>
      <w:r w:rsidRPr="00815C73">
        <w:rPr>
          <w:b/>
          <w:bCs/>
          <w:sz w:val="25"/>
          <w:szCs w:val="25"/>
          <w:lang w:val="en-CA"/>
        </w:rPr>
        <w:t xml:space="preserve">(2) </w:t>
      </w:r>
      <w:sdt>
        <w:sdtPr>
          <w:rPr>
            <w:sz w:val="25"/>
            <w:szCs w:val="25"/>
          </w:rPr>
          <w:tag w:val="goog_rdk_44"/>
          <w:id w:val="428452209"/>
        </w:sdtPr>
        <w:sdtContent>
          <w:r w:rsidRPr="00815C73">
            <w:rPr>
              <w:b/>
              <w:bCs/>
              <w:sz w:val="25"/>
              <w:szCs w:val="25"/>
              <w:lang w:val="en-CA"/>
            </w:rPr>
            <w:t>Cultural rights of minorities</w:t>
          </w:r>
        </w:sdtContent>
      </w:sdt>
      <w:r w:rsidRPr="00815C73">
        <w:rPr>
          <w:b/>
          <w:sz w:val="25"/>
          <w:szCs w:val="25"/>
          <w:lang w:val="en-CA"/>
        </w:rPr>
        <w:t xml:space="preserve"> (languages) </w:t>
      </w:r>
      <w:r w:rsidRPr="00815C73">
        <w:rPr>
          <w:sz w:val="25"/>
          <w:szCs w:val="25"/>
          <w:lang w:val="en-CA"/>
        </w:rPr>
        <w:t>– The integration policy and the imposition of a single language and culture, as described in paragraph 1, infringe on the right of persons belonging to ethnic, religious, or linguistic minorities “</w:t>
      </w:r>
      <w:r w:rsidRPr="00815C73">
        <w:rPr>
          <w:sz w:val="25"/>
          <w:szCs w:val="25"/>
          <w:u w:val="single"/>
          <w:lang w:val="en-CA"/>
        </w:rPr>
        <w:t>in community with the other members of their group</w:t>
      </w:r>
      <w:r w:rsidRPr="00815C73">
        <w:rPr>
          <w:sz w:val="25"/>
          <w:szCs w:val="25"/>
          <w:lang w:val="en-CA"/>
        </w:rPr>
        <w:t xml:space="preserve">, </w:t>
      </w:r>
      <w:r w:rsidRPr="00815C73">
        <w:rPr>
          <w:sz w:val="25"/>
          <w:szCs w:val="25"/>
          <w:u w:val="single"/>
          <w:lang w:val="en-CA"/>
        </w:rPr>
        <w:t>to enjoy their own culture, to profess and practice their own religion, or to use their own language</w:t>
      </w:r>
      <w:r w:rsidRPr="00815C73">
        <w:rPr>
          <w:sz w:val="25"/>
          <w:szCs w:val="25"/>
          <w:lang w:val="en-CA"/>
        </w:rPr>
        <w:t xml:space="preserve">” </w:t>
      </w:r>
      <w:r w:rsidRPr="00815C73">
        <w:rPr>
          <w:sz w:val="25"/>
          <w:szCs w:val="25"/>
          <w:lang w:val="en-CA"/>
        </w:rPr>
        <w:lastRenderedPageBreak/>
        <w:t xml:space="preserve">(Article 27 of the ICCPR and Article 30 of the </w:t>
      </w:r>
      <w:r w:rsidRPr="00815C73">
        <w:rPr>
          <w:i/>
          <w:iCs/>
          <w:sz w:val="25"/>
          <w:szCs w:val="25"/>
          <w:lang w:val="en-CA"/>
        </w:rPr>
        <w:t>Convention on the Rights of the Child</w:t>
      </w:r>
      <w:r w:rsidRPr="00815C73">
        <w:rPr>
          <w:iCs/>
          <w:sz w:val="25"/>
          <w:szCs w:val="25"/>
          <w:lang w:val="en-CA"/>
        </w:rPr>
        <w:t xml:space="preserve">). </w:t>
      </w:r>
      <w:r w:rsidRPr="00815C73">
        <w:rPr>
          <w:sz w:val="25"/>
          <w:szCs w:val="25"/>
          <w:lang w:val="en-CA"/>
        </w:rPr>
        <w:t>Linguistic minorities in Quebec must be guaranteed the right to use languages other than French as their common language.</w:t>
      </w:r>
    </w:p>
    <w:p w:rsidR="009B4256" w:rsidRPr="00815C73" w:rsidRDefault="009B4256" w:rsidP="009B4256">
      <w:pPr>
        <w:spacing w:after="120" w:line="276" w:lineRule="auto"/>
        <w:jc w:val="both"/>
        <w:rPr>
          <w:sz w:val="25"/>
          <w:szCs w:val="25"/>
          <w:lang w:val="en-CA"/>
        </w:rPr>
      </w:pPr>
      <w:r w:rsidRPr="00815C73">
        <w:rPr>
          <w:sz w:val="25"/>
          <w:szCs w:val="25"/>
          <w:lang w:val="en-CA"/>
        </w:rPr>
        <w:t>While public authorities are entitled to establish and pr</w:t>
      </w:r>
      <w:r>
        <w:rPr>
          <w:sz w:val="25"/>
          <w:szCs w:val="25"/>
          <w:lang w:val="en-CA"/>
        </w:rPr>
        <w:t>omote a national language, they may not</w:t>
      </w:r>
      <w:r w:rsidRPr="00815C73">
        <w:rPr>
          <w:sz w:val="25"/>
          <w:szCs w:val="25"/>
          <w:lang w:val="en-CA"/>
        </w:rPr>
        <w:t xml:space="preserve"> impose a national language as the </w:t>
      </w:r>
      <w:r>
        <w:rPr>
          <w:sz w:val="25"/>
          <w:szCs w:val="25"/>
          <w:lang w:val="en-CA"/>
        </w:rPr>
        <w:t xml:space="preserve">sole </w:t>
      </w:r>
      <w:r w:rsidRPr="00815C73">
        <w:rPr>
          <w:sz w:val="25"/>
          <w:szCs w:val="25"/>
          <w:lang w:val="en-CA"/>
        </w:rPr>
        <w:t>identity language on minority groups (Article 27 of the ICCPR</w:t>
      </w:r>
      <w:sdt>
        <w:sdtPr>
          <w:rPr>
            <w:sz w:val="25"/>
            <w:szCs w:val="25"/>
          </w:rPr>
          <w:tag w:val="goog_rdk_54"/>
          <w:id w:val="-1229834951"/>
        </w:sdtPr>
        <w:sdtContent>
          <w:r w:rsidRPr="00815C73">
            <w:rPr>
              <w:sz w:val="25"/>
              <w:szCs w:val="25"/>
              <w:lang w:val="en-CA"/>
            </w:rPr>
            <w:t xml:space="preserve">, </w:t>
          </w:r>
          <w:sdt>
            <w:sdtPr>
              <w:rPr>
                <w:sz w:val="25"/>
                <w:szCs w:val="25"/>
              </w:rPr>
              <w:tag w:val="goog_rdk_55"/>
              <w:id w:val="1185299778"/>
            </w:sdtPr>
            <w:sdtContent>
              <w:r w:rsidRPr="00815C73">
                <w:rPr>
                  <w:sz w:val="25"/>
                  <w:szCs w:val="25"/>
                  <w:lang w:val="en-CA"/>
                </w:rPr>
                <w:t>Article</w:t>
              </w:r>
            </w:sdtContent>
          </w:sdt>
          <w:r w:rsidRPr="00815C73">
            <w:rPr>
              <w:sz w:val="25"/>
              <w:szCs w:val="25"/>
              <w:lang w:val="en-CA"/>
            </w:rPr>
            <w:t xml:space="preserve"> 15 of the ICESCR and Article 27 of the UDHR). </w:t>
          </w:r>
        </w:sdtContent>
      </w:sdt>
    </w:p>
    <w:p w:rsidR="009B4256" w:rsidRPr="00815C73" w:rsidRDefault="009B4256" w:rsidP="009B4256">
      <w:pPr>
        <w:spacing w:after="120" w:line="276" w:lineRule="auto"/>
        <w:jc w:val="both"/>
        <w:rPr>
          <w:sz w:val="25"/>
          <w:szCs w:val="25"/>
          <w:lang w:val="en-CA"/>
        </w:rPr>
      </w:pPr>
      <w:r w:rsidRPr="00815C73">
        <w:rPr>
          <w:sz w:val="25"/>
          <w:szCs w:val="25"/>
          <w:lang w:val="en-CA"/>
        </w:rPr>
        <w:t xml:space="preserve">According to the 2021 Canadian census, </w:t>
      </w:r>
      <w:r>
        <w:rPr>
          <w:sz w:val="25"/>
          <w:szCs w:val="25"/>
          <w:lang w:val="en-CA"/>
        </w:rPr>
        <w:t>8.5 million individuals, or 23.2% of the population, had a mother tongue other than English or French.</w:t>
      </w:r>
      <w:r w:rsidRPr="00815C73">
        <w:rPr>
          <w:sz w:val="25"/>
          <w:szCs w:val="25"/>
          <w:vertAlign w:val="superscript"/>
        </w:rPr>
        <w:footnoteReference w:id="5"/>
      </w:r>
      <w:r w:rsidRPr="00815C73">
        <w:rPr>
          <w:sz w:val="25"/>
          <w:szCs w:val="25"/>
          <w:lang w:val="en-CA"/>
        </w:rPr>
        <w:t xml:space="preserve"> In Quebec, approximately </w:t>
      </w:r>
      <w:r w:rsidRPr="00815C73">
        <w:rPr>
          <w:sz w:val="25"/>
          <w:szCs w:val="25"/>
          <w:u w:val="single"/>
          <w:lang w:val="en-CA"/>
        </w:rPr>
        <w:t>1.17 million people reported that their mother tongue was a language other than English or French</w:t>
      </w:r>
      <w:r w:rsidRPr="00815C73">
        <w:rPr>
          <w:sz w:val="25"/>
          <w:szCs w:val="25"/>
          <w:lang w:val="en-CA"/>
        </w:rPr>
        <w:t xml:space="preserve"> (as a single answer), i.e. over 14% of Quebec’s total population (in Montreal, this proportion reaches nearly 24%).</w:t>
      </w:r>
      <w:r w:rsidRPr="00815C73">
        <w:rPr>
          <w:sz w:val="25"/>
          <w:szCs w:val="25"/>
          <w:vertAlign w:val="superscript"/>
        </w:rPr>
        <w:footnoteReference w:id="6"/>
      </w:r>
      <w:r w:rsidRPr="00815C73">
        <w:rPr>
          <w:sz w:val="25"/>
          <w:szCs w:val="25"/>
          <w:lang w:val="en-CA"/>
        </w:rPr>
        <w:t xml:space="preserve"> </w:t>
      </w:r>
    </w:p>
    <w:p w:rsidR="009B4256" w:rsidRPr="00815C73" w:rsidRDefault="009B4256" w:rsidP="009B4256">
      <w:pPr>
        <w:spacing w:after="120" w:line="276" w:lineRule="auto"/>
        <w:jc w:val="both"/>
        <w:rPr>
          <w:sz w:val="25"/>
          <w:szCs w:val="25"/>
          <w:lang w:val="en-CA"/>
        </w:rPr>
      </w:pPr>
      <w:r w:rsidRPr="00815C73">
        <w:rPr>
          <w:b/>
          <w:bCs/>
          <w:sz w:val="25"/>
          <w:szCs w:val="25"/>
          <w:lang w:val="en-CA"/>
        </w:rPr>
        <w:t xml:space="preserve">(3) </w:t>
      </w:r>
      <w:sdt>
        <w:sdtPr>
          <w:rPr>
            <w:sz w:val="25"/>
            <w:szCs w:val="25"/>
          </w:rPr>
          <w:tag w:val="goog_rdk_44"/>
          <w:id w:val="682087218"/>
        </w:sdtPr>
        <w:sdtContent>
          <w:r w:rsidRPr="00815C73">
            <w:rPr>
              <w:b/>
              <w:bCs/>
              <w:sz w:val="25"/>
              <w:szCs w:val="25"/>
              <w:lang w:val="en-CA"/>
            </w:rPr>
            <w:t xml:space="preserve">Cultural rights of minorities </w:t>
          </w:r>
        </w:sdtContent>
      </w:sdt>
      <w:r w:rsidRPr="00815C73">
        <w:rPr>
          <w:b/>
          <w:sz w:val="25"/>
          <w:szCs w:val="25"/>
          <w:lang w:val="en-CA"/>
        </w:rPr>
        <w:t xml:space="preserve">(policy of “national integration”) </w:t>
      </w:r>
      <w:r w:rsidRPr="00815C73">
        <w:rPr>
          <w:sz w:val="25"/>
          <w:szCs w:val="25"/>
          <w:lang w:val="en-CA"/>
        </w:rPr>
        <w:t xml:space="preserve">The </w:t>
      </w:r>
      <w:r>
        <w:rPr>
          <w:sz w:val="25"/>
          <w:szCs w:val="25"/>
          <w:lang w:val="en-CA"/>
        </w:rPr>
        <w:t>B</w:t>
      </w:r>
      <w:r w:rsidRPr="00815C73">
        <w:rPr>
          <w:sz w:val="25"/>
          <w:szCs w:val="25"/>
          <w:lang w:val="en-CA"/>
        </w:rPr>
        <w:t>ill provides that the “integration model of [Quebec] is that for integration into the Quebec nation, designated as ‘national integration’” (Part I, section 30), with the “Quebec nation” defined as having one single dominant language and one single dominant culture. Thus</w:t>
      </w:r>
      <w:r>
        <w:rPr>
          <w:sz w:val="25"/>
          <w:szCs w:val="25"/>
          <w:lang w:val="en-CA"/>
        </w:rPr>
        <w:t>,</w:t>
      </w:r>
      <w:r w:rsidRPr="00815C73">
        <w:rPr>
          <w:sz w:val="25"/>
          <w:szCs w:val="25"/>
          <w:lang w:val="en-CA"/>
        </w:rPr>
        <w:t xml:space="preserve"> this “national integration” aims to enforce the French language as the language of identity and the Quebec dominant culture as the culture of identity on all those undergoing “integration.” This model, in essence, </w:t>
      </w:r>
      <w:r>
        <w:rPr>
          <w:sz w:val="25"/>
          <w:szCs w:val="25"/>
          <w:u w:val="single"/>
          <w:lang w:val="en-CA"/>
        </w:rPr>
        <w:t>promotes assimilation, i.e.</w:t>
      </w:r>
      <w:r w:rsidRPr="00815C73">
        <w:rPr>
          <w:sz w:val="25"/>
          <w:szCs w:val="25"/>
          <w:u w:val="single"/>
          <w:lang w:val="en-CA"/>
        </w:rPr>
        <w:t xml:space="preserve"> the induced adoption of a dominant language and culture</w:t>
      </w:r>
      <w:r w:rsidRPr="00815C73">
        <w:rPr>
          <w:sz w:val="25"/>
          <w:szCs w:val="25"/>
          <w:lang w:val="en-CA"/>
        </w:rPr>
        <w:t>. Involuntary assimilation in all its forms – “hard” and “soft” – is prohibited by universal human rights standards and general international law.</w:t>
      </w:r>
    </w:p>
    <w:p w:rsidR="009B4256" w:rsidRPr="00815C73" w:rsidRDefault="009B4256" w:rsidP="009B4256">
      <w:pPr>
        <w:spacing w:after="120" w:line="276" w:lineRule="auto"/>
        <w:jc w:val="both"/>
        <w:rPr>
          <w:sz w:val="25"/>
          <w:szCs w:val="25"/>
          <w:lang w:val="en-CA"/>
        </w:rPr>
      </w:pPr>
      <w:r w:rsidRPr="00815C73">
        <w:rPr>
          <w:sz w:val="25"/>
          <w:szCs w:val="25"/>
          <w:lang w:val="en-CA"/>
        </w:rPr>
        <w:t xml:space="preserve">Paragraph 6.2 of the ICCPR </w:t>
      </w:r>
      <w:r w:rsidRPr="00815C73">
        <w:rPr>
          <w:i/>
          <w:iCs/>
          <w:sz w:val="25"/>
          <w:szCs w:val="25"/>
          <w:lang w:val="en-CA"/>
        </w:rPr>
        <w:t xml:space="preserve">General Comment No. 23: Article 27 (Rights of minorities) </w:t>
      </w:r>
      <w:r w:rsidRPr="00815C73">
        <w:rPr>
          <w:sz w:val="25"/>
          <w:szCs w:val="25"/>
          <w:lang w:val="en-CA"/>
        </w:rPr>
        <w:t>explains that “positive measures by States may also be necessary to protect the identity of a minority and the rights of its members to enjoy and develop their culture and language and to practice their religion, in community with other members of the group,” meaning that all public authorities must protect the identity of linguistic and cultural minorities, and not try to “melt” or dissolve them into the majority linguistic and cultural identity (see, to the same effect, paragraph 9 of the ICCPR General Comment No. 23: Article 27).</w:t>
      </w:r>
    </w:p>
    <w:p w:rsidR="009B4256" w:rsidRPr="00815C73" w:rsidRDefault="009B4256" w:rsidP="009B4256">
      <w:pPr>
        <w:spacing w:after="120" w:line="276" w:lineRule="auto"/>
        <w:jc w:val="both"/>
        <w:rPr>
          <w:sz w:val="25"/>
          <w:szCs w:val="25"/>
          <w:lang w:val="en-CA"/>
        </w:rPr>
      </w:pPr>
      <w:r w:rsidRPr="00815C73">
        <w:rPr>
          <w:rStyle w:val="rynqvb"/>
          <w:sz w:val="25"/>
          <w:szCs w:val="25"/>
          <w:lang w:val="en-CA"/>
        </w:rPr>
        <w:t xml:space="preserve">The integration model imposed by Bill 1 is </w:t>
      </w:r>
      <w:proofErr w:type="spellStart"/>
      <w:r w:rsidRPr="00815C73">
        <w:rPr>
          <w:rStyle w:val="rynqvb"/>
          <w:sz w:val="25"/>
          <w:szCs w:val="25"/>
          <w:u w:val="single"/>
          <w:lang w:val="en-CA"/>
        </w:rPr>
        <w:t>assimilationist</w:t>
      </w:r>
      <w:proofErr w:type="spellEnd"/>
      <w:r w:rsidRPr="00815C73">
        <w:rPr>
          <w:rStyle w:val="rynqvb"/>
          <w:sz w:val="25"/>
          <w:szCs w:val="25"/>
          <w:lang w:val="en-CA"/>
        </w:rPr>
        <w:t xml:space="preserve">, as it aims to impose a set of “distinct social values” on all Quebecers. It is deeply troubling to determine, through legislation, the values </w:t>
      </w:r>
      <w:r w:rsidRPr="00815C73">
        <w:rPr>
          <w:rStyle w:val="rynqvb"/>
          <w:sz w:val="25"/>
          <w:szCs w:val="25"/>
          <w:lang w:val="en-CA"/>
        </w:rPr>
        <w:lastRenderedPageBreak/>
        <w:t xml:space="preserve">to which people must adhere. This constitutes a serious infringement on the right to equality and the freedoms of conscience and expression. </w:t>
      </w:r>
    </w:p>
    <w:p w:rsidR="009B4256" w:rsidRPr="00815C73" w:rsidRDefault="009B4256" w:rsidP="009B4256">
      <w:pPr>
        <w:spacing w:after="120" w:line="276" w:lineRule="auto"/>
        <w:jc w:val="both"/>
        <w:rPr>
          <w:sz w:val="25"/>
          <w:szCs w:val="25"/>
          <w:lang w:val="en-CA" w:eastAsia="fr-CA"/>
        </w:rPr>
      </w:pPr>
      <w:r w:rsidRPr="00815C73">
        <w:rPr>
          <w:b/>
          <w:sz w:val="25"/>
          <w:szCs w:val="25"/>
          <w:lang w:val="en-CA"/>
        </w:rPr>
        <w:t xml:space="preserve">(4) </w:t>
      </w:r>
      <w:r w:rsidRPr="00815C73">
        <w:rPr>
          <w:b/>
          <w:bCs/>
          <w:sz w:val="25"/>
          <w:szCs w:val="25"/>
          <w:lang w:val="en-CA"/>
        </w:rPr>
        <w:t xml:space="preserve">Right to equality and </w:t>
      </w:r>
      <w:r w:rsidRPr="00815C73">
        <w:rPr>
          <w:b/>
          <w:sz w:val="25"/>
          <w:szCs w:val="25"/>
          <w:lang w:val="en-CA"/>
        </w:rPr>
        <w:t xml:space="preserve">gender discrimination </w:t>
      </w:r>
      <w:r w:rsidRPr="00815C73">
        <w:rPr>
          <w:sz w:val="25"/>
          <w:szCs w:val="25"/>
          <w:lang w:val="en-CA"/>
        </w:rPr>
        <w:t xml:space="preserve">– Section 28 of Bill 1 (Part I) states that “the State protects the equality of women and men.” By failing to recognize gender diversity and excluding </w:t>
      </w:r>
      <w:r w:rsidRPr="00815C73">
        <w:rPr>
          <w:i/>
          <w:iCs/>
          <w:sz w:val="25"/>
          <w:szCs w:val="25"/>
          <w:lang w:val="en-CA"/>
        </w:rPr>
        <w:t>de facto</w:t>
      </w:r>
      <w:r w:rsidRPr="00815C73">
        <w:rPr>
          <w:sz w:val="25"/>
          <w:szCs w:val="25"/>
          <w:lang w:val="en-CA"/>
        </w:rPr>
        <w:t xml:space="preserve"> non-binary, </w:t>
      </w:r>
      <w:proofErr w:type="gramStart"/>
      <w:r w:rsidRPr="00815C73">
        <w:rPr>
          <w:sz w:val="25"/>
          <w:szCs w:val="25"/>
          <w:lang w:val="en-CA"/>
        </w:rPr>
        <w:t>trans</w:t>
      </w:r>
      <w:proofErr w:type="gramEnd"/>
      <w:r w:rsidRPr="00815C73">
        <w:rPr>
          <w:sz w:val="25"/>
          <w:szCs w:val="25"/>
          <w:lang w:val="en-CA"/>
        </w:rPr>
        <w:t xml:space="preserve">, and two-spirits individuals from the scope of this section, it violates article 2 of </w:t>
      </w:r>
      <w:r w:rsidRPr="00815C73">
        <w:rPr>
          <w:iCs/>
          <w:sz w:val="25"/>
          <w:szCs w:val="25"/>
          <w:lang w:val="en-CA"/>
        </w:rPr>
        <w:t xml:space="preserve">the ICCPR, article 2 of the ICESCR </w:t>
      </w:r>
      <w:r w:rsidRPr="00815C73">
        <w:rPr>
          <w:sz w:val="25"/>
          <w:szCs w:val="25"/>
          <w:lang w:val="en-CA" w:eastAsia="fr-CA"/>
        </w:rPr>
        <w:t>and article 2 of the UDHR.</w:t>
      </w:r>
    </w:p>
    <w:p w:rsidR="009B4256" w:rsidRPr="00815C73" w:rsidRDefault="009B4256" w:rsidP="009B4256">
      <w:pPr>
        <w:spacing w:after="120" w:line="276" w:lineRule="auto"/>
        <w:jc w:val="both"/>
        <w:rPr>
          <w:sz w:val="25"/>
          <w:szCs w:val="25"/>
          <w:lang w:val="en-CA"/>
        </w:rPr>
      </w:pPr>
      <w:r w:rsidRPr="00815C73">
        <w:rPr>
          <w:b/>
          <w:bCs/>
          <w:sz w:val="25"/>
          <w:szCs w:val="25"/>
          <w:lang w:val="en-CA"/>
        </w:rPr>
        <w:t xml:space="preserve">(5) General derogation from minority rights – </w:t>
      </w:r>
      <w:r w:rsidRPr="00815C73">
        <w:rPr>
          <w:sz w:val="25"/>
          <w:szCs w:val="25"/>
          <w:lang w:val="en-CA"/>
        </w:rPr>
        <w:t>Section 9 (Part II) of Bill 1 provides that “the Parliament of Quebec may</w:t>
      </w:r>
      <w:r w:rsidRPr="00815C73">
        <w:rPr>
          <w:color w:val="000000"/>
          <w:sz w:val="25"/>
          <w:szCs w:val="25"/>
          <w:lang w:val="en-CA"/>
        </w:rPr>
        <w:t xml:space="preserve">, if it considers advisable, include a parliamentary sovereignty provision (...) in any Act it enacts, </w:t>
      </w:r>
      <w:r w:rsidRPr="00815C73">
        <w:rPr>
          <w:color w:val="000000"/>
          <w:sz w:val="25"/>
          <w:szCs w:val="25"/>
          <w:u w:val="single"/>
          <w:lang w:val="en-CA"/>
        </w:rPr>
        <w:t>without any requirement to contextualize or justify the provision</w:t>
      </w:r>
      <w:r w:rsidRPr="00815C73">
        <w:rPr>
          <w:color w:val="000000"/>
          <w:sz w:val="25"/>
          <w:szCs w:val="25"/>
          <w:lang w:val="en-CA"/>
        </w:rPr>
        <w:t xml:space="preserve">.” </w:t>
      </w:r>
      <w:r w:rsidRPr="00815C73">
        <w:rPr>
          <w:color w:val="000000"/>
          <w:sz w:val="25"/>
          <w:szCs w:val="25"/>
          <w:u w:val="single"/>
          <w:lang w:val="en-CA"/>
        </w:rPr>
        <w:t>This provision thus allows for overriding without any justification minority rights to assert the primacy of the collective rights of the “Quebec nation</w:t>
      </w:r>
      <w:r>
        <w:rPr>
          <w:color w:val="000000"/>
          <w:sz w:val="25"/>
          <w:szCs w:val="25"/>
          <w:u w:val="single"/>
          <w:lang w:val="en-CA"/>
        </w:rPr>
        <w:t>,</w:t>
      </w:r>
      <w:r w:rsidRPr="00815C73">
        <w:rPr>
          <w:color w:val="000000"/>
          <w:sz w:val="25"/>
          <w:szCs w:val="25"/>
          <w:u w:val="single"/>
          <w:lang w:val="en-CA"/>
        </w:rPr>
        <w:t>” translated from the political majority choice</w:t>
      </w:r>
      <w:r w:rsidRPr="00815C73">
        <w:rPr>
          <w:color w:val="000000"/>
          <w:sz w:val="25"/>
          <w:szCs w:val="25"/>
          <w:lang w:val="en-CA"/>
        </w:rPr>
        <w:t xml:space="preserve">. </w:t>
      </w:r>
      <w:r w:rsidRPr="00815C73">
        <w:rPr>
          <w:sz w:val="25"/>
          <w:szCs w:val="25"/>
          <w:lang w:val="en-CA"/>
        </w:rPr>
        <w:t>This reading of collective rights is in flagrant breach of the universally recognized human and minority rights enshrined in international instruments, as ratified by Canada and endorsed by Quebec.</w:t>
      </w:r>
    </w:p>
    <w:p w:rsidR="009B4256" w:rsidRPr="00815C73" w:rsidRDefault="009B4256" w:rsidP="009B4256">
      <w:pPr>
        <w:spacing w:after="120" w:line="276" w:lineRule="auto"/>
        <w:jc w:val="both"/>
        <w:rPr>
          <w:sz w:val="25"/>
          <w:szCs w:val="25"/>
          <w:lang w:val="en-CA" w:eastAsia="fr-CA"/>
        </w:rPr>
      </w:pPr>
      <w:r w:rsidRPr="00815C73">
        <w:rPr>
          <w:sz w:val="25"/>
          <w:szCs w:val="25"/>
          <w:lang w:val="en-CA"/>
        </w:rPr>
        <w:t xml:space="preserve">Bill 1 corresponds to what was raised in 2007 by </w:t>
      </w:r>
      <w:proofErr w:type="spellStart"/>
      <w:r w:rsidRPr="00815C73">
        <w:rPr>
          <w:sz w:val="25"/>
          <w:szCs w:val="25"/>
          <w:lang w:val="en-CA"/>
        </w:rPr>
        <w:t>Doudou</w:t>
      </w:r>
      <w:proofErr w:type="spellEnd"/>
      <w:r w:rsidRPr="00815C73">
        <w:rPr>
          <w:sz w:val="25"/>
          <w:szCs w:val="25"/>
          <w:lang w:val="en-CA"/>
        </w:rPr>
        <w:t xml:space="preserve"> </w:t>
      </w:r>
      <w:proofErr w:type="spellStart"/>
      <w:r w:rsidRPr="00815C73">
        <w:rPr>
          <w:sz w:val="25"/>
          <w:szCs w:val="25"/>
          <w:lang w:val="en-CA"/>
        </w:rPr>
        <w:t>Diène</w:t>
      </w:r>
      <w:proofErr w:type="spellEnd"/>
      <w:r w:rsidRPr="00815C73">
        <w:rPr>
          <w:sz w:val="25"/>
          <w:szCs w:val="25"/>
          <w:lang w:val="en-CA"/>
        </w:rPr>
        <w:t xml:space="preserve">, then </w:t>
      </w:r>
      <w:r w:rsidRPr="00815C73">
        <w:rPr>
          <w:i/>
          <w:iCs/>
          <w:sz w:val="25"/>
          <w:szCs w:val="25"/>
          <w:lang w:val="en-CA"/>
        </w:rPr>
        <w:t xml:space="preserve">Special </w:t>
      </w:r>
      <w:proofErr w:type="spellStart"/>
      <w:r w:rsidRPr="00815C73">
        <w:rPr>
          <w:i/>
          <w:iCs/>
          <w:sz w:val="25"/>
          <w:szCs w:val="25"/>
          <w:lang w:val="en-CA"/>
        </w:rPr>
        <w:t>Rapporteur</w:t>
      </w:r>
      <w:proofErr w:type="spellEnd"/>
      <w:r w:rsidRPr="00815C73">
        <w:rPr>
          <w:i/>
          <w:iCs/>
          <w:sz w:val="25"/>
          <w:szCs w:val="25"/>
          <w:lang w:val="en-CA"/>
        </w:rPr>
        <w:t xml:space="preserve"> on contemporary forms of racism, racial discrimination, xenophobia and related intolerance</w:t>
      </w:r>
      <w:r w:rsidRPr="00815C73">
        <w:rPr>
          <w:sz w:val="25"/>
          <w:szCs w:val="25"/>
          <w:lang w:val="en-CA"/>
        </w:rPr>
        <w:t xml:space="preserve">: “The legal </w:t>
      </w:r>
      <w:proofErr w:type="spellStart"/>
      <w:r w:rsidRPr="00815C73">
        <w:rPr>
          <w:sz w:val="25"/>
          <w:szCs w:val="25"/>
          <w:lang w:val="en-CA"/>
        </w:rPr>
        <w:t>instrumentalization</w:t>
      </w:r>
      <w:proofErr w:type="spellEnd"/>
      <w:r w:rsidRPr="00815C73">
        <w:rPr>
          <w:sz w:val="25"/>
          <w:szCs w:val="25"/>
          <w:lang w:val="en-CA"/>
        </w:rPr>
        <w:t xml:space="preserve"> of the rejection of diversity manifests itself, among other things, through a hierarchical and political interpretation of human rights and fundamental freedoms. </w:t>
      </w:r>
      <w:r w:rsidRPr="00815C73">
        <w:rPr>
          <w:sz w:val="25"/>
          <w:szCs w:val="25"/>
          <w:u w:val="single"/>
          <w:lang w:val="en-CA"/>
        </w:rPr>
        <w:t>Racist and xenophobic platforms are thus revealingly structured around the rhetoric of ‘defending national identity and national values’</w:t>
      </w:r>
      <w:r w:rsidRPr="00815C73">
        <w:rPr>
          <w:sz w:val="25"/>
          <w:szCs w:val="25"/>
          <w:lang w:val="en-CA"/>
        </w:rPr>
        <w:t xml:space="preserve">.” </w:t>
      </w:r>
    </w:p>
    <w:p w:rsidR="009B4256" w:rsidRPr="00815C73" w:rsidRDefault="009B4256" w:rsidP="009B4256">
      <w:pPr>
        <w:spacing w:after="120" w:line="276" w:lineRule="auto"/>
        <w:jc w:val="both"/>
        <w:rPr>
          <w:spacing w:val="-4"/>
          <w:sz w:val="25"/>
          <w:szCs w:val="25"/>
          <w:lang w:val="en-CA"/>
        </w:rPr>
      </w:pPr>
      <w:r w:rsidRPr="00815C73">
        <w:rPr>
          <w:b/>
          <w:bCs/>
          <w:spacing w:val="-4"/>
          <w:sz w:val="25"/>
          <w:szCs w:val="25"/>
          <w:lang w:val="en-CA"/>
        </w:rPr>
        <w:t xml:space="preserve">(6) </w:t>
      </w:r>
      <w:r w:rsidRPr="00815C73">
        <w:rPr>
          <w:b/>
          <w:spacing w:val="-4"/>
          <w:sz w:val="25"/>
          <w:szCs w:val="25"/>
          <w:lang w:val="en-CA"/>
        </w:rPr>
        <w:t xml:space="preserve">Indigenous peoples’ rights (general) </w:t>
      </w:r>
      <w:r w:rsidRPr="00815C73">
        <w:rPr>
          <w:spacing w:val="-4"/>
          <w:sz w:val="25"/>
          <w:szCs w:val="25"/>
          <w:lang w:val="en-CA"/>
        </w:rPr>
        <w:t xml:space="preserve">– Bill 1 directly and seriously violates the UNDRIP, transposed into Canadian domestic law by the </w:t>
      </w:r>
      <w:r w:rsidRPr="00815C73">
        <w:rPr>
          <w:i/>
          <w:iCs/>
          <w:spacing w:val="-4"/>
          <w:sz w:val="25"/>
          <w:szCs w:val="25"/>
          <w:lang w:val="en-CA"/>
        </w:rPr>
        <w:t>United Nations Declaration on the Rights of Indigenous Peoples Act</w:t>
      </w:r>
      <w:r w:rsidRPr="00815C73">
        <w:rPr>
          <w:iCs/>
          <w:spacing w:val="-4"/>
          <w:sz w:val="25"/>
          <w:szCs w:val="25"/>
          <w:lang w:val="en-CA"/>
        </w:rPr>
        <w:t>,</w:t>
      </w:r>
      <w:r w:rsidRPr="00815C73">
        <w:rPr>
          <w:spacing w:val="-4"/>
          <w:sz w:val="25"/>
          <w:szCs w:val="25"/>
          <w:lang w:val="en-CA"/>
        </w:rPr>
        <w:t xml:space="preserve"> 2021 (the “Canadian Act”) and Article 1 common to </w:t>
      </w:r>
      <w:r w:rsidRPr="00815C73">
        <w:rPr>
          <w:iCs/>
          <w:spacing w:val="-4"/>
          <w:sz w:val="25"/>
          <w:szCs w:val="25"/>
          <w:lang w:val="en-CA"/>
        </w:rPr>
        <w:t xml:space="preserve">the ICCPR </w:t>
      </w:r>
      <w:r w:rsidRPr="00815C73">
        <w:rPr>
          <w:spacing w:val="-4"/>
          <w:sz w:val="25"/>
          <w:szCs w:val="25"/>
          <w:lang w:val="en-CA"/>
        </w:rPr>
        <w:t xml:space="preserve">and </w:t>
      </w:r>
      <w:r w:rsidRPr="00815C73">
        <w:rPr>
          <w:iCs/>
          <w:spacing w:val="-4"/>
          <w:sz w:val="25"/>
          <w:szCs w:val="25"/>
          <w:lang w:val="en-CA"/>
        </w:rPr>
        <w:t>ICESCR</w:t>
      </w:r>
      <w:r w:rsidRPr="00815C73">
        <w:rPr>
          <w:i/>
          <w:iCs/>
          <w:spacing w:val="-4"/>
          <w:sz w:val="25"/>
          <w:szCs w:val="25"/>
          <w:lang w:val="en-CA"/>
        </w:rPr>
        <w:t>.</w:t>
      </w:r>
      <w:r w:rsidRPr="00815C73">
        <w:rPr>
          <w:sz w:val="25"/>
          <w:szCs w:val="25"/>
          <w:lang w:val="en-CA"/>
        </w:rPr>
        <w:t xml:space="preserve"> The UNDRIP has been universally applicable since 2010 and applies to Quebec, a province of Canada. Canada officially adopted the UNDRIP and enacted </w:t>
      </w:r>
      <w:r w:rsidRPr="00815C73">
        <w:rPr>
          <w:iCs/>
          <w:sz w:val="25"/>
          <w:szCs w:val="25"/>
          <w:lang w:val="en-CA"/>
        </w:rPr>
        <w:t>the Canadian Act,</w:t>
      </w:r>
      <w:r w:rsidRPr="00815C73">
        <w:rPr>
          <w:sz w:val="25"/>
          <w:szCs w:val="25"/>
          <w:lang w:val="en-CA"/>
        </w:rPr>
        <w:t xml:space="preserve"> 2021, which “(a) affirm[s] the Declaration as a universal international human rights instrument applicable in Canadian law; and (b) provide[s] a framework for the Government of Canada’s implementation of the Declaration” (section 4). However, Bill 1 </w:t>
      </w:r>
      <w:r w:rsidRPr="00815C73">
        <w:rPr>
          <w:sz w:val="25"/>
          <w:szCs w:val="25"/>
          <w:u w:val="single"/>
          <w:lang w:val="en-CA"/>
        </w:rPr>
        <w:t xml:space="preserve">denies any legal responsibility of Quebec with respect to Canada’s international commitments </w:t>
      </w:r>
      <w:r w:rsidRPr="00815C73">
        <w:rPr>
          <w:sz w:val="25"/>
          <w:szCs w:val="25"/>
          <w:lang w:val="en-CA"/>
        </w:rPr>
        <w:t>(section 25, Part II), which is a flagrant violation of international law.</w:t>
      </w:r>
      <w:r w:rsidRPr="00815C73">
        <w:rPr>
          <w:i/>
          <w:iCs/>
          <w:spacing w:val="-4"/>
          <w:sz w:val="25"/>
          <w:szCs w:val="25"/>
          <w:lang w:val="en-CA"/>
        </w:rPr>
        <w:t xml:space="preserve"> </w:t>
      </w:r>
    </w:p>
    <w:p w:rsidR="009B4256" w:rsidRPr="00815C73" w:rsidRDefault="009B4256" w:rsidP="009B4256">
      <w:pPr>
        <w:spacing w:after="120" w:line="276" w:lineRule="auto"/>
        <w:jc w:val="both"/>
        <w:rPr>
          <w:sz w:val="25"/>
          <w:szCs w:val="25"/>
          <w:lang w:val="en-CA"/>
        </w:rPr>
      </w:pPr>
      <w:r w:rsidRPr="00815C73">
        <w:rPr>
          <w:b/>
          <w:sz w:val="25"/>
          <w:szCs w:val="25"/>
          <w:lang w:val="en-CA"/>
        </w:rPr>
        <w:t xml:space="preserve">Bill 1 denies that the 10 First Nations, including the </w:t>
      </w:r>
      <w:proofErr w:type="spellStart"/>
      <w:r w:rsidRPr="00815C73">
        <w:rPr>
          <w:b/>
          <w:sz w:val="25"/>
          <w:szCs w:val="25"/>
          <w:lang w:val="en-CA"/>
        </w:rPr>
        <w:t>Ekuanitshit</w:t>
      </w:r>
      <w:proofErr w:type="spellEnd"/>
      <w:r w:rsidRPr="00815C73">
        <w:rPr>
          <w:b/>
          <w:sz w:val="25"/>
          <w:szCs w:val="25"/>
          <w:lang w:val="en-CA"/>
        </w:rPr>
        <w:t xml:space="preserve"> community of the Innu Nation and the </w:t>
      </w:r>
      <w:proofErr w:type="spellStart"/>
      <w:r w:rsidRPr="00815C73">
        <w:rPr>
          <w:b/>
          <w:sz w:val="25"/>
          <w:szCs w:val="25"/>
          <w:lang w:val="en-CA"/>
        </w:rPr>
        <w:t>Manawan</w:t>
      </w:r>
      <w:proofErr w:type="spellEnd"/>
      <w:r w:rsidRPr="00815C73">
        <w:rPr>
          <w:b/>
          <w:sz w:val="25"/>
          <w:szCs w:val="25"/>
          <w:lang w:val="en-CA"/>
        </w:rPr>
        <w:t xml:space="preserve"> community of the Atikamekw Nation, and the Inuit (11 Indigenous nations) affected are even “peoples</w:t>
      </w:r>
      <w:r w:rsidRPr="00815C73">
        <w:rPr>
          <w:sz w:val="25"/>
          <w:szCs w:val="25"/>
          <w:lang w:val="en-CA"/>
        </w:rPr>
        <w:t>.</w:t>
      </w:r>
      <w:r w:rsidRPr="00815C73">
        <w:rPr>
          <w:b/>
          <w:sz w:val="25"/>
          <w:szCs w:val="25"/>
          <w:lang w:val="en-CA"/>
        </w:rPr>
        <w:t>”</w:t>
      </w:r>
      <w:r w:rsidRPr="00815C73">
        <w:rPr>
          <w:sz w:val="25"/>
          <w:szCs w:val="25"/>
          <w:lang w:val="en-CA"/>
        </w:rPr>
        <w:t xml:space="preserve"> Instead, the </w:t>
      </w:r>
      <w:r>
        <w:rPr>
          <w:sz w:val="25"/>
          <w:szCs w:val="25"/>
          <w:lang w:val="en-CA"/>
        </w:rPr>
        <w:t>B</w:t>
      </w:r>
      <w:r w:rsidRPr="00815C73">
        <w:rPr>
          <w:sz w:val="25"/>
          <w:szCs w:val="25"/>
          <w:lang w:val="en-CA"/>
        </w:rPr>
        <w:t xml:space="preserve">ill defines them as </w:t>
      </w:r>
      <w:r w:rsidRPr="00815C73">
        <w:rPr>
          <w:sz w:val="25"/>
          <w:szCs w:val="25"/>
          <w:u w:val="single"/>
          <w:lang w:val="en-CA"/>
        </w:rPr>
        <w:t xml:space="preserve">mere “descendants of the </w:t>
      </w:r>
      <w:r w:rsidRPr="00815C73">
        <w:rPr>
          <w:sz w:val="25"/>
          <w:szCs w:val="25"/>
          <w:u w:val="single"/>
          <w:lang w:val="en-CA"/>
        </w:rPr>
        <w:lastRenderedPageBreak/>
        <w:t>first inhabitants</w:t>
      </w:r>
      <w:r w:rsidRPr="00815C73">
        <w:rPr>
          <w:sz w:val="25"/>
          <w:szCs w:val="25"/>
          <w:lang w:val="en-CA"/>
        </w:rPr>
        <w:t xml:space="preserve">” of Quebec (preamble) and </w:t>
      </w:r>
      <w:r w:rsidRPr="00815C73">
        <w:rPr>
          <w:i/>
          <w:iCs/>
          <w:sz w:val="25"/>
          <w:szCs w:val="25"/>
          <w:lang w:val="en-CA"/>
        </w:rPr>
        <w:t xml:space="preserve">integrates </w:t>
      </w:r>
      <w:r w:rsidRPr="00815C73">
        <w:rPr>
          <w:sz w:val="25"/>
          <w:szCs w:val="25"/>
          <w:lang w:val="en-CA"/>
        </w:rPr>
        <w:t xml:space="preserve">them into the “Quebec nation”. It flagrantly violates section 7 of the UNDRIP, which states that “Indigenous peoples have the collective right to live in freedom, peace and security as </w:t>
      </w:r>
      <w:r w:rsidRPr="00815C73">
        <w:rPr>
          <w:sz w:val="25"/>
          <w:szCs w:val="25"/>
          <w:u w:val="single"/>
          <w:lang w:val="en-CA"/>
        </w:rPr>
        <w:t>distinct peoples</w:t>
      </w:r>
      <w:r w:rsidRPr="00815C73">
        <w:rPr>
          <w:sz w:val="25"/>
          <w:szCs w:val="25"/>
          <w:lang w:val="en-CA"/>
        </w:rPr>
        <w:t>”. Section 3 (Part I) of the bill integrates the entire “people of Quebec”</w:t>
      </w:r>
      <w:r w:rsidRPr="00815C73">
        <w:rPr>
          <w:spacing w:val="-4"/>
          <w:sz w:val="25"/>
          <w:szCs w:val="25"/>
          <w:lang w:val="en-CA"/>
        </w:rPr>
        <w:t>—</w:t>
      </w:r>
      <w:r w:rsidRPr="00815C73">
        <w:rPr>
          <w:sz w:val="25"/>
          <w:szCs w:val="25"/>
          <w:lang w:val="en-CA"/>
        </w:rPr>
        <w:t>described as “composed of all Quebecers”</w:t>
      </w:r>
      <w:r w:rsidRPr="00815C73">
        <w:rPr>
          <w:spacing w:val="-4"/>
          <w:sz w:val="25"/>
          <w:szCs w:val="25"/>
          <w:lang w:val="en-CA"/>
        </w:rPr>
        <w:t>—</w:t>
      </w:r>
      <w:r w:rsidRPr="00815C73">
        <w:rPr>
          <w:sz w:val="25"/>
          <w:szCs w:val="25"/>
          <w:lang w:val="en-CA"/>
        </w:rPr>
        <w:t xml:space="preserve">into the Quebec “nation”, explicitly violating the right of Indigenous peoples to self-determination.     </w:t>
      </w:r>
    </w:p>
    <w:p w:rsidR="009B4256" w:rsidRPr="00815C73" w:rsidRDefault="009B4256" w:rsidP="009B4256">
      <w:pPr>
        <w:spacing w:after="120" w:line="276" w:lineRule="auto"/>
        <w:jc w:val="both"/>
        <w:rPr>
          <w:sz w:val="25"/>
          <w:szCs w:val="25"/>
          <w:lang w:val="en-CA"/>
        </w:rPr>
      </w:pPr>
      <w:r w:rsidRPr="00815C73">
        <w:rPr>
          <w:sz w:val="25"/>
          <w:szCs w:val="25"/>
          <w:lang w:val="en-CA"/>
        </w:rPr>
        <w:t xml:space="preserve">The UNDRIP explicitly protects the rights of Indigenous peoples and individuals “not to be subjected to forced assimilation or destruction of their culture” (section 8) and “to belong to an Indigenous community or nation, in accordance with the traditions and customs of the community or nation concerned” (section 9). The fact that Bill 1 automatically enrolls all residents of Quebec as “Quebecers” forming a single nation with a single language is a flagrant violation of these provisions. Bill 1 is even very explicit about its intention of “integration”, stating that it aims to implement a policy of </w:t>
      </w:r>
      <w:r>
        <w:rPr>
          <w:sz w:val="25"/>
          <w:szCs w:val="25"/>
          <w:lang w:val="en-CA"/>
        </w:rPr>
        <w:t>“</w:t>
      </w:r>
      <w:r w:rsidRPr="00815C73">
        <w:rPr>
          <w:sz w:val="25"/>
          <w:szCs w:val="25"/>
          <w:lang w:val="en-CA"/>
        </w:rPr>
        <w:t>integration into the Quebec nation, referred to as the ‘national integration’ approach” (Part I, section 30).</w:t>
      </w:r>
    </w:p>
    <w:p w:rsidR="009B4256" w:rsidRPr="00815C73" w:rsidRDefault="009B4256" w:rsidP="009B4256">
      <w:pPr>
        <w:spacing w:after="120" w:line="276" w:lineRule="auto"/>
        <w:jc w:val="both"/>
        <w:rPr>
          <w:sz w:val="25"/>
          <w:szCs w:val="25"/>
          <w:lang w:val="en-CA"/>
        </w:rPr>
      </w:pPr>
      <w:r w:rsidRPr="00815C73">
        <w:rPr>
          <w:b/>
          <w:bCs/>
          <w:sz w:val="25"/>
          <w:szCs w:val="25"/>
          <w:lang w:val="en-CA"/>
        </w:rPr>
        <w:t xml:space="preserve">(7) </w:t>
      </w:r>
      <w:r w:rsidRPr="00815C73">
        <w:rPr>
          <w:b/>
          <w:sz w:val="25"/>
          <w:szCs w:val="25"/>
          <w:lang w:val="en-CA"/>
        </w:rPr>
        <w:t xml:space="preserve">Cultural and linguistic rights </w:t>
      </w:r>
      <w:r w:rsidRPr="00815C73">
        <w:rPr>
          <w:sz w:val="25"/>
          <w:szCs w:val="25"/>
          <w:lang w:val="en-CA"/>
        </w:rPr>
        <w:t xml:space="preserve">– Bill 1 provides that for all persons in Quebec, there would be </w:t>
      </w:r>
      <w:r w:rsidRPr="00815C73">
        <w:rPr>
          <w:sz w:val="25"/>
          <w:szCs w:val="25"/>
          <w:u w:val="single"/>
          <w:lang w:val="en-CA"/>
        </w:rPr>
        <w:t>only one</w:t>
      </w:r>
      <w:r w:rsidRPr="00815C73">
        <w:rPr>
          <w:sz w:val="25"/>
          <w:szCs w:val="25"/>
          <w:lang w:val="en-CA"/>
        </w:rPr>
        <w:t xml:space="preserve"> official and </w:t>
      </w:r>
      <w:r w:rsidRPr="00815C73">
        <w:rPr>
          <w:i/>
          <w:sz w:val="25"/>
          <w:szCs w:val="25"/>
          <w:lang w:val="en-CA"/>
        </w:rPr>
        <w:t xml:space="preserve">integration </w:t>
      </w:r>
      <w:r w:rsidRPr="00815C73">
        <w:rPr>
          <w:sz w:val="25"/>
          <w:szCs w:val="25"/>
          <w:u w:val="single"/>
          <w:lang w:val="en-CA"/>
        </w:rPr>
        <w:t>language</w:t>
      </w:r>
      <w:r w:rsidRPr="00815C73">
        <w:rPr>
          <w:sz w:val="25"/>
          <w:szCs w:val="25"/>
          <w:lang w:val="en-CA"/>
        </w:rPr>
        <w:t xml:space="preserve">, French, and that the </w:t>
      </w:r>
      <w:r w:rsidRPr="00815C73">
        <w:rPr>
          <w:sz w:val="25"/>
          <w:szCs w:val="25"/>
          <w:u w:val="single"/>
          <w:lang w:val="en-CA"/>
        </w:rPr>
        <w:t>only recognized heritage</w:t>
      </w:r>
      <w:r w:rsidRPr="00815C73">
        <w:rPr>
          <w:sz w:val="25"/>
          <w:szCs w:val="25"/>
          <w:lang w:val="en-CA"/>
        </w:rPr>
        <w:t xml:space="preserve"> is that of Quebec identity. This imposition of a form of Quebec “cultural sovereignty” clearly violates the right to cultural identity and the right to participate in cultural life guaranteed by the ICCPR and the ICESCR. In addition, 11 distinct Indigenous languages are spoken in Quebec. Indigenous languages and cultures—linked to ancestral territories and the pre-existing sovereignty of Indigenous Nations—take various forms and must be respected in their plurality. In particular, the Innu language (</w:t>
      </w:r>
      <w:proofErr w:type="spellStart"/>
      <w:r w:rsidRPr="00815C73">
        <w:rPr>
          <w:sz w:val="25"/>
          <w:szCs w:val="25"/>
          <w:lang w:val="en-CA"/>
        </w:rPr>
        <w:t>innu</w:t>
      </w:r>
      <w:proofErr w:type="spellEnd"/>
      <w:r w:rsidRPr="00815C73">
        <w:rPr>
          <w:sz w:val="25"/>
          <w:szCs w:val="25"/>
          <w:lang w:val="en-CA"/>
        </w:rPr>
        <w:t xml:space="preserve"> </w:t>
      </w:r>
      <w:proofErr w:type="spellStart"/>
      <w:r w:rsidRPr="00815C73">
        <w:rPr>
          <w:sz w:val="25"/>
          <w:szCs w:val="25"/>
          <w:lang w:val="en-CA"/>
        </w:rPr>
        <w:t>aimun</w:t>
      </w:r>
      <w:proofErr w:type="spellEnd"/>
      <w:r w:rsidRPr="00815C73">
        <w:rPr>
          <w:sz w:val="25"/>
          <w:szCs w:val="25"/>
          <w:lang w:val="en-CA"/>
        </w:rPr>
        <w:t xml:space="preserve">) spoken by the community of </w:t>
      </w:r>
      <w:proofErr w:type="spellStart"/>
      <w:r w:rsidRPr="00815C73">
        <w:rPr>
          <w:sz w:val="25"/>
          <w:szCs w:val="25"/>
          <w:lang w:val="en-CA"/>
        </w:rPr>
        <w:t>Ekuanitshit</w:t>
      </w:r>
      <w:proofErr w:type="spellEnd"/>
      <w:r w:rsidRPr="00815C73">
        <w:rPr>
          <w:sz w:val="25"/>
          <w:szCs w:val="25"/>
          <w:lang w:val="en-CA"/>
        </w:rPr>
        <w:t xml:space="preserve"> and the Atikamekw language (</w:t>
      </w:r>
      <w:proofErr w:type="spellStart"/>
      <w:r w:rsidRPr="00143B7C">
        <w:rPr>
          <w:sz w:val="25"/>
          <w:szCs w:val="25"/>
          <w:lang w:val="en-GB"/>
        </w:rPr>
        <w:t>nehiromowin</w:t>
      </w:r>
      <w:proofErr w:type="spellEnd"/>
      <w:r w:rsidRPr="00143B7C">
        <w:rPr>
          <w:sz w:val="25"/>
          <w:szCs w:val="25"/>
          <w:lang w:val="en-GB"/>
        </w:rPr>
        <w:t xml:space="preserve">) </w:t>
      </w:r>
      <w:r w:rsidRPr="00815C73">
        <w:rPr>
          <w:sz w:val="25"/>
          <w:szCs w:val="25"/>
          <w:lang w:val="en-CA"/>
        </w:rPr>
        <w:t xml:space="preserve">spoken by the community of </w:t>
      </w:r>
      <w:proofErr w:type="spellStart"/>
      <w:r w:rsidRPr="00815C73">
        <w:rPr>
          <w:sz w:val="25"/>
          <w:szCs w:val="25"/>
          <w:lang w:val="en-CA"/>
        </w:rPr>
        <w:t>Manawan</w:t>
      </w:r>
      <w:proofErr w:type="spellEnd"/>
      <w:r w:rsidRPr="00815C73">
        <w:rPr>
          <w:sz w:val="25"/>
          <w:szCs w:val="25"/>
          <w:lang w:val="en-CA"/>
        </w:rPr>
        <w:t xml:space="preserve"> are very much alive—albeit in a fragile situation—and cannot be subject to “integration” into the French language and Quebec culture.</w:t>
      </w:r>
    </w:p>
    <w:p w:rsidR="009B4256" w:rsidRPr="00815C73" w:rsidRDefault="009B4256" w:rsidP="009B4256">
      <w:pPr>
        <w:spacing w:after="120" w:line="276" w:lineRule="auto"/>
        <w:jc w:val="both"/>
        <w:rPr>
          <w:spacing w:val="-4"/>
          <w:sz w:val="25"/>
          <w:szCs w:val="25"/>
          <w:lang w:val="en-CA"/>
        </w:rPr>
      </w:pPr>
      <w:r w:rsidRPr="00815C73">
        <w:rPr>
          <w:spacing w:val="-4"/>
          <w:sz w:val="25"/>
          <w:szCs w:val="25"/>
          <w:lang w:val="en-CA"/>
        </w:rPr>
        <w:t>Indeed, Bill 1 provides, among other things, that: (</w:t>
      </w:r>
      <w:proofErr w:type="spellStart"/>
      <w:r w:rsidRPr="00815C73">
        <w:rPr>
          <w:spacing w:val="-4"/>
          <w:sz w:val="25"/>
          <w:szCs w:val="25"/>
          <w:lang w:val="en-CA"/>
        </w:rPr>
        <w:t>i</w:t>
      </w:r>
      <w:proofErr w:type="spellEnd"/>
      <w:r w:rsidRPr="00815C73">
        <w:rPr>
          <w:spacing w:val="-4"/>
          <w:sz w:val="25"/>
          <w:szCs w:val="25"/>
          <w:lang w:val="en-CA"/>
        </w:rPr>
        <w:t xml:space="preserve">) “French is the </w:t>
      </w:r>
      <w:r w:rsidRPr="00815C73">
        <w:rPr>
          <w:spacing w:val="-4"/>
          <w:sz w:val="25"/>
          <w:szCs w:val="25"/>
          <w:u w:val="single"/>
          <w:lang w:val="en-CA"/>
        </w:rPr>
        <w:t>only</w:t>
      </w:r>
      <w:r w:rsidRPr="00815C73">
        <w:rPr>
          <w:spacing w:val="-4"/>
          <w:sz w:val="25"/>
          <w:szCs w:val="25"/>
          <w:lang w:val="en-CA"/>
        </w:rPr>
        <w:t xml:space="preserve"> common </w:t>
      </w:r>
      <w:r w:rsidRPr="00815C73">
        <w:rPr>
          <w:spacing w:val="-4"/>
          <w:sz w:val="25"/>
          <w:szCs w:val="25"/>
          <w:u w:val="single"/>
          <w:lang w:val="en-CA"/>
        </w:rPr>
        <w:t>language</w:t>
      </w:r>
      <w:r w:rsidRPr="00A62183">
        <w:rPr>
          <w:spacing w:val="-4"/>
          <w:sz w:val="25"/>
          <w:szCs w:val="25"/>
          <w:lang w:val="en-CA"/>
        </w:rPr>
        <w:t xml:space="preserve"> </w:t>
      </w:r>
      <w:r w:rsidRPr="00815C73">
        <w:rPr>
          <w:spacing w:val="-4"/>
          <w:sz w:val="25"/>
          <w:szCs w:val="25"/>
          <w:lang w:val="en-CA"/>
        </w:rPr>
        <w:t xml:space="preserve">of the nation. It is one of the foundations of the distinct identity and culture of the nation” (Part I, section 5); (ii) “The nation has the right to live and develop in French” (Part I, section 7); (iii)  “The nation has its own institutions, particularly in the political, cultural, economic, educational, and social spheres” (Part I, section 5); (iv) “The only official language of Quebec is French” (Article 21); (v) “The State protects and ensures the cultural sovereignty of Quebec. It has the right and the capacity to act to preserve and promote the French language and Quebec culture, including in the digital environment” (Article 25); (vi) “1° the following fundamental characteristics of Quebec: the French language, the civil law tradition, the secular nature of the State, and the model of integration into the Quebec nation ; </w:t>
      </w:r>
      <w:r w:rsidRPr="00815C73">
        <w:rPr>
          <w:spacing w:val="-4"/>
          <w:sz w:val="25"/>
          <w:szCs w:val="25"/>
          <w:lang w:val="en-CA"/>
        </w:rPr>
        <w:lastRenderedPageBreak/>
        <w:t>2° the collective rights of the Quebec nation; 3° the common heritage of the Quebec nation, including Quebec culture; 4° the integrity of Québec’s territory and the full application of Quebec’s laws; 5° Quebec’s autonomy and constitutional powers; 6° Quebec's historical claims; 7° French within the Canadian federal union” (Part II, section 14).</w:t>
      </w:r>
    </w:p>
    <w:p w:rsidR="009B4256" w:rsidRPr="00815C73" w:rsidRDefault="009B4256" w:rsidP="009B4256">
      <w:pPr>
        <w:spacing w:after="120" w:line="276" w:lineRule="auto"/>
        <w:jc w:val="both"/>
        <w:rPr>
          <w:sz w:val="25"/>
          <w:szCs w:val="25"/>
        </w:rPr>
      </w:pPr>
      <w:r w:rsidRPr="00815C73">
        <w:rPr>
          <w:sz w:val="25"/>
          <w:szCs w:val="25"/>
          <w:lang w:val="en-CA"/>
        </w:rPr>
        <w:t xml:space="preserve">These provisions constitute violations of international law protecting the rights of Indigenous peoples to freely enjoy their own culture, to use their own language in their own way and according to their own systems (sections 11, 12, 13, 14, 15, 16, and 31 of the UNDRIP). They also violate section 27 of the ICCPR (applicable to Indigenous peoples since General Comment No. 23 of the CCPR, </w:t>
      </w:r>
      <w:proofErr w:type="spellStart"/>
      <w:r w:rsidRPr="00815C73">
        <w:rPr>
          <w:sz w:val="25"/>
          <w:szCs w:val="25"/>
          <w:lang w:val="en-CA"/>
        </w:rPr>
        <w:t>para</w:t>
      </w:r>
      <w:proofErr w:type="spellEnd"/>
      <w:r w:rsidRPr="00815C73">
        <w:rPr>
          <w:sz w:val="25"/>
          <w:szCs w:val="25"/>
          <w:lang w:val="en-CA"/>
        </w:rPr>
        <w:t xml:space="preserve">. 7), section 15 of the ICESCR (applicable to Indigenous peoples with General Comment No. 21 of the CESCR, </w:t>
      </w:r>
      <w:proofErr w:type="spellStart"/>
      <w:r w:rsidRPr="00815C73">
        <w:rPr>
          <w:sz w:val="25"/>
          <w:szCs w:val="25"/>
          <w:lang w:val="en-CA"/>
        </w:rPr>
        <w:t>para</w:t>
      </w:r>
      <w:proofErr w:type="spellEnd"/>
      <w:r w:rsidRPr="00815C73">
        <w:rPr>
          <w:sz w:val="25"/>
          <w:szCs w:val="25"/>
          <w:lang w:val="en-CA"/>
        </w:rPr>
        <w:t xml:space="preserve">. 7) and section 27 of the UDHR. </w:t>
      </w:r>
      <w:r w:rsidRPr="00815C73">
        <w:rPr>
          <w:sz w:val="25"/>
          <w:szCs w:val="25"/>
        </w:rPr>
        <w:t xml:space="preserve">During his visit to Canada in 2023, the </w:t>
      </w:r>
      <w:r w:rsidRPr="00815C73">
        <w:rPr>
          <w:sz w:val="25"/>
          <w:szCs w:val="25"/>
          <w:u w:val="single"/>
        </w:rPr>
        <w:t xml:space="preserve">Special </w:t>
      </w:r>
      <w:proofErr w:type="spellStart"/>
      <w:r w:rsidRPr="00815C73">
        <w:rPr>
          <w:sz w:val="25"/>
          <w:szCs w:val="25"/>
          <w:u w:val="single"/>
        </w:rPr>
        <w:t>Rapporteur</w:t>
      </w:r>
      <w:proofErr w:type="spellEnd"/>
      <w:r w:rsidRPr="00815C73">
        <w:rPr>
          <w:sz w:val="25"/>
          <w:szCs w:val="25"/>
          <w:u w:val="single"/>
        </w:rPr>
        <w:t xml:space="preserve"> on the rights of Indigenous peoples</w:t>
      </w:r>
      <w:r w:rsidRPr="00815C73">
        <w:rPr>
          <w:sz w:val="25"/>
          <w:szCs w:val="25"/>
        </w:rPr>
        <w:t xml:space="preserve"> drew attention to the </w:t>
      </w:r>
      <w:r w:rsidRPr="00815C73">
        <w:rPr>
          <w:sz w:val="25"/>
          <w:szCs w:val="25"/>
          <w:u w:val="single"/>
        </w:rPr>
        <w:t>potentially discriminatory effects</w:t>
      </w:r>
      <w:r w:rsidRPr="00815C73">
        <w:rPr>
          <w:sz w:val="25"/>
          <w:szCs w:val="25"/>
        </w:rPr>
        <w:t xml:space="preserve"> of certain provisions of Quebec legislation on indigenous students who are not fluent in French (</w:t>
      </w:r>
      <w:r w:rsidRPr="00815C73">
        <w:rPr>
          <w:i/>
          <w:iCs/>
          <w:sz w:val="25"/>
          <w:szCs w:val="25"/>
        </w:rPr>
        <w:t xml:space="preserve">Visit to Canada - Report of the Special </w:t>
      </w:r>
      <w:proofErr w:type="spellStart"/>
      <w:r w:rsidRPr="00815C73">
        <w:rPr>
          <w:i/>
          <w:iCs/>
          <w:sz w:val="25"/>
          <w:szCs w:val="25"/>
        </w:rPr>
        <w:t>Rapporteur</w:t>
      </w:r>
      <w:proofErr w:type="spellEnd"/>
      <w:r w:rsidRPr="00815C73">
        <w:rPr>
          <w:i/>
          <w:iCs/>
          <w:sz w:val="25"/>
          <w:szCs w:val="25"/>
        </w:rPr>
        <w:t xml:space="preserve"> on the rights of Indigenous Peoples</w:t>
      </w:r>
      <w:r w:rsidRPr="00815C73">
        <w:rPr>
          <w:sz w:val="25"/>
          <w:szCs w:val="25"/>
        </w:rPr>
        <w:t>, Doc off UN A/HRC/54/31/Add.2 (2023) par 84).</w:t>
      </w:r>
    </w:p>
    <w:p w:rsidR="009B4256" w:rsidRPr="00815C73" w:rsidRDefault="009B4256" w:rsidP="009B4256">
      <w:pPr>
        <w:spacing w:after="120" w:line="276" w:lineRule="auto"/>
        <w:jc w:val="both"/>
        <w:rPr>
          <w:sz w:val="25"/>
          <w:szCs w:val="25"/>
          <w:lang w:val="en-CA"/>
        </w:rPr>
      </w:pPr>
      <w:sdt>
        <w:sdtPr>
          <w:rPr>
            <w:sz w:val="25"/>
            <w:szCs w:val="25"/>
            <w:lang w:val="en-CA"/>
          </w:rPr>
          <w:tag w:val="goog_rdk_64"/>
          <w:id w:val="-1820849310"/>
        </w:sdtPr>
        <w:sdtContent>
          <w:r w:rsidRPr="00815C73">
            <w:rPr>
              <w:b/>
              <w:bCs/>
              <w:sz w:val="25"/>
              <w:szCs w:val="25"/>
              <w:lang w:val="en-CA"/>
            </w:rPr>
            <w:t xml:space="preserve">(8) </w:t>
          </w:r>
        </w:sdtContent>
      </w:sdt>
      <w:r w:rsidRPr="00815C73">
        <w:rPr>
          <w:b/>
          <w:sz w:val="25"/>
          <w:szCs w:val="25"/>
          <w:lang w:val="en-CA"/>
        </w:rPr>
        <w:t xml:space="preserve">Rights related to territories </w:t>
      </w:r>
      <w:r w:rsidRPr="00815C73">
        <w:rPr>
          <w:sz w:val="25"/>
          <w:szCs w:val="25"/>
          <w:lang w:val="en-CA"/>
        </w:rPr>
        <w:t xml:space="preserve">– The </w:t>
      </w:r>
      <w:r>
        <w:rPr>
          <w:sz w:val="25"/>
          <w:szCs w:val="25"/>
          <w:lang w:val="en-CA"/>
        </w:rPr>
        <w:t>B</w:t>
      </w:r>
      <w:r w:rsidRPr="00815C73">
        <w:rPr>
          <w:sz w:val="25"/>
          <w:szCs w:val="25"/>
          <w:lang w:val="en-CA"/>
        </w:rPr>
        <w:t xml:space="preserve">ill emphasizes </w:t>
      </w:r>
      <w:r w:rsidRPr="00815C73">
        <w:rPr>
          <w:sz w:val="25"/>
          <w:szCs w:val="25"/>
          <w:u w:val="single"/>
          <w:lang w:val="en-CA"/>
        </w:rPr>
        <w:t>the “indivisibility”</w:t>
      </w:r>
      <w:r w:rsidRPr="00815C73">
        <w:rPr>
          <w:sz w:val="25"/>
          <w:szCs w:val="25"/>
          <w:lang w:val="en-CA"/>
        </w:rPr>
        <w:t xml:space="preserve"> (Part I, section 23) and </w:t>
      </w:r>
      <w:r w:rsidRPr="00815C73">
        <w:rPr>
          <w:sz w:val="25"/>
          <w:szCs w:val="25"/>
          <w:u w:val="single"/>
          <w:lang w:val="en-CA"/>
        </w:rPr>
        <w:t>“integrity” of the “territory of Quebec”</w:t>
      </w:r>
      <w:r w:rsidRPr="00815C73">
        <w:rPr>
          <w:sz w:val="25"/>
          <w:szCs w:val="25"/>
          <w:lang w:val="en-CA"/>
        </w:rPr>
        <w:t xml:space="preserve"> (Part I, section 9; Part II, section 14(4) and Chapter 4 “The Territorial Integrity of the Territory of Quebec”) as well as </w:t>
      </w:r>
      <w:r w:rsidRPr="00815C73">
        <w:rPr>
          <w:sz w:val="25"/>
          <w:szCs w:val="25"/>
          <w:u w:val="single"/>
          <w:lang w:val="en-CA"/>
        </w:rPr>
        <w:t xml:space="preserve">the “sovereignty” of the Quebec nation </w:t>
      </w:r>
      <w:r w:rsidRPr="00815C73">
        <w:rPr>
          <w:sz w:val="25"/>
          <w:szCs w:val="25"/>
          <w:lang w:val="en-CA"/>
        </w:rPr>
        <w:t xml:space="preserve">(Part I, sections 25, 35, 40; Part II, sections 1, 9, 10). Furthermore, it defines the “territory of Quebec” as the “common heritage” of the Quebec nation </w:t>
      </w:r>
      <w:r w:rsidRPr="00815C73">
        <w:rPr>
          <w:i/>
          <w:iCs/>
          <w:sz w:val="25"/>
          <w:szCs w:val="25"/>
          <w:lang w:val="en-CA"/>
        </w:rPr>
        <w:t xml:space="preserve">alone </w:t>
      </w:r>
      <w:r w:rsidRPr="00815C73">
        <w:rPr>
          <w:sz w:val="25"/>
          <w:szCs w:val="25"/>
          <w:lang w:val="en-CA"/>
        </w:rPr>
        <w:t>and provides that waters are a resource included in this Quebec heritage (Part I, sections 4 and 20).</w:t>
      </w:r>
    </w:p>
    <w:p w:rsidR="009B4256" w:rsidRPr="00815C73" w:rsidRDefault="009B4256" w:rsidP="009B4256">
      <w:pPr>
        <w:spacing w:after="120" w:line="276" w:lineRule="auto"/>
        <w:jc w:val="both"/>
        <w:rPr>
          <w:sz w:val="25"/>
          <w:szCs w:val="25"/>
          <w:lang w:val="en-CA"/>
        </w:rPr>
      </w:pPr>
      <w:r w:rsidRPr="00815C73">
        <w:rPr>
          <w:sz w:val="25"/>
          <w:szCs w:val="25"/>
          <w:lang w:val="en-CA"/>
        </w:rPr>
        <w:t xml:space="preserve">This imposition of Quebec’s “sovereignty” blatantly denies all the guarantees of the UNDRIP relating to territorial rights and the rights to self-determination and self-government. Indigenous peoples have the right to their lands, territories, and resources that they traditionally occupy (section 26 of the UNDRIP). Their territories cannot be grouped into </w:t>
      </w:r>
      <w:r w:rsidRPr="00815C73">
        <w:rPr>
          <w:i/>
          <w:iCs/>
          <w:sz w:val="25"/>
          <w:szCs w:val="25"/>
          <w:lang w:val="en-CA"/>
        </w:rPr>
        <w:t xml:space="preserve">a single </w:t>
      </w:r>
      <w:r w:rsidRPr="00815C73">
        <w:rPr>
          <w:sz w:val="25"/>
          <w:szCs w:val="25"/>
          <w:lang w:val="en-CA"/>
        </w:rPr>
        <w:t xml:space="preserve">“Quebec” territory. Furthermore, the </w:t>
      </w:r>
      <w:proofErr w:type="spellStart"/>
      <w:r w:rsidRPr="00815C73">
        <w:rPr>
          <w:sz w:val="25"/>
          <w:szCs w:val="25"/>
          <w:lang w:val="en-CA"/>
        </w:rPr>
        <w:t>Ekuanitshit</w:t>
      </w:r>
      <w:proofErr w:type="spellEnd"/>
      <w:r w:rsidRPr="00815C73">
        <w:rPr>
          <w:sz w:val="25"/>
          <w:szCs w:val="25"/>
          <w:lang w:val="en-CA"/>
        </w:rPr>
        <w:t xml:space="preserve"> community of the Innu Nation has pre-existing rights to </w:t>
      </w:r>
      <w:proofErr w:type="spellStart"/>
      <w:r w:rsidRPr="00815C73">
        <w:rPr>
          <w:sz w:val="25"/>
          <w:szCs w:val="25"/>
          <w:lang w:val="en-CA"/>
        </w:rPr>
        <w:t>Nutshimit</w:t>
      </w:r>
      <w:proofErr w:type="spellEnd"/>
      <w:r w:rsidRPr="00815C73">
        <w:rPr>
          <w:sz w:val="25"/>
          <w:szCs w:val="25"/>
          <w:lang w:val="en-CA"/>
        </w:rPr>
        <w:t xml:space="preserve"> (including the Magpie River, which has legal personality), and the </w:t>
      </w:r>
      <w:proofErr w:type="spellStart"/>
      <w:r w:rsidRPr="00815C73">
        <w:rPr>
          <w:sz w:val="25"/>
          <w:szCs w:val="25"/>
          <w:lang w:val="en-CA"/>
        </w:rPr>
        <w:t>Manawan</w:t>
      </w:r>
      <w:proofErr w:type="spellEnd"/>
      <w:r w:rsidRPr="00815C73">
        <w:rPr>
          <w:sz w:val="25"/>
          <w:szCs w:val="25"/>
          <w:lang w:val="en-CA"/>
        </w:rPr>
        <w:t xml:space="preserve"> community of the Atikamekw Nation also has such rights to Atikamekw </w:t>
      </w:r>
      <w:proofErr w:type="spellStart"/>
      <w:r w:rsidRPr="00815C73">
        <w:rPr>
          <w:sz w:val="25"/>
          <w:szCs w:val="25"/>
          <w:lang w:val="en-CA"/>
        </w:rPr>
        <w:t>Nitaskinan</w:t>
      </w:r>
      <w:proofErr w:type="spellEnd"/>
      <w:r w:rsidRPr="00815C73">
        <w:rPr>
          <w:sz w:val="25"/>
          <w:szCs w:val="25"/>
          <w:lang w:val="en-CA"/>
        </w:rPr>
        <w:t xml:space="preserve">, its traditional territory. Bill 1 seriously violates sections 26, 27, 28, 29, 30, and 32 of the UNDRIP. </w:t>
      </w:r>
    </w:p>
    <w:p w:rsidR="009B4256" w:rsidRPr="00815C73" w:rsidRDefault="009B4256" w:rsidP="009B4256">
      <w:pPr>
        <w:spacing w:after="120" w:line="276" w:lineRule="auto"/>
        <w:jc w:val="both"/>
        <w:rPr>
          <w:sz w:val="25"/>
          <w:szCs w:val="25"/>
          <w:lang w:val="en-CA"/>
        </w:rPr>
      </w:pPr>
      <w:r w:rsidRPr="00815C73">
        <w:rPr>
          <w:sz w:val="25"/>
          <w:szCs w:val="25"/>
          <w:lang w:val="en-CA"/>
        </w:rPr>
        <w:t xml:space="preserve">In addition, Bill 1 gives </w:t>
      </w:r>
      <w:r w:rsidRPr="00815C73">
        <w:rPr>
          <w:sz w:val="25"/>
          <w:szCs w:val="25"/>
          <w:u w:val="single"/>
          <w:lang w:val="en-CA"/>
        </w:rPr>
        <w:t>the Quebec government veto power over the expansion of reserve lands</w:t>
      </w:r>
      <w:r w:rsidRPr="00754231">
        <w:rPr>
          <w:sz w:val="25"/>
          <w:szCs w:val="25"/>
          <w:lang w:val="en-CA"/>
        </w:rPr>
        <w:t xml:space="preserve"> </w:t>
      </w:r>
      <w:r w:rsidRPr="00815C73">
        <w:rPr>
          <w:sz w:val="25"/>
          <w:szCs w:val="25"/>
          <w:lang w:val="en-CA"/>
        </w:rPr>
        <w:t xml:space="preserve">dedicated exclusively to the use of First Nations under the </w:t>
      </w:r>
      <w:r w:rsidRPr="00815C73">
        <w:rPr>
          <w:i/>
          <w:sz w:val="25"/>
          <w:szCs w:val="25"/>
          <w:lang w:val="en-CA"/>
        </w:rPr>
        <w:t>Indian Act</w:t>
      </w:r>
      <w:r w:rsidRPr="00815C73">
        <w:rPr>
          <w:sz w:val="25"/>
          <w:szCs w:val="25"/>
          <w:lang w:val="en-CA"/>
        </w:rPr>
        <w:t xml:space="preserve">, a law that falls under federal (Canadian) jurisdiction rather than provincial (Quebec) jurisdiction. In fact, sections 18, 19, and 20 (Chapter II) of Bill 1 ensure that the Quebec government could block the expansion of any </w:t>
      </w:r>
      <w:r w:rsidRPr="00815C73">
        <w:rPr>
          <w:sz w:val="25"/>
          <w:szCs w:val="25"/>
          <w:lang w:val="en-CA"/>
        </w:rPr>
        <w:lastRenderedPageBreak/>
        <w:t>reserve land in Quebec granted by the Canadian government for the purpose of reconciliation, for example, and declare “the act concluded [null and void]” (section 20).</w:t>
      </w:r>
    </w:p>
    <w:p w:rsidR="009B4256" w:rsidRPr="00815C73" w:rsidRDefault="009B4256" w:rsidP="009B4256">
      <w:pPr>
        <w:spacing w:after="120" w:line="276" w:lineRule="auto"/>
        <w:jc w:val="both"/>
        <w:rPr>
          <w:sz w:val="25"/>
          <w:szCs w:val="25"/>
          <w:lang w:val="en-CA"/>
        </w:rPr>
      </w:pPr>
      <w:r w:rsidRPr="00815C73">
        <w:rPr>
          <w:sz w:val="25"/>
          <w:szCs w:val="25"/>
          <w:lang w:val="en-CA"/>
        </w:rPr>
        <w:t xml:space="preserve">First Nations may even be </w:t>
      </w:r>
      <w:r w:rsidRPr="00815C73">
        <w:rPr>
          <w:sz w:val="25"/>
          <w:szCs w:val="25"/>
          <w:u w:val="single"/>
          <w:lang w:val="en-CA"/>
        </w:rPr>
        <w:t>barred from any fundamental legal recourse</w:t>
      </w:r>
      <w:r w:rsidRPr="00815C73">
        <w:rPr>
          <w:sz w:val="25"/>
          <w:szCs w:val="25"/>
          <w:lang w:val="en-CA"/>
        </w:rPr>
        <w:t xml:space="preserve"> to challenge the constitutionality of laws that the Quebec government, through its parliamentary majority, has declared to protect “</w:t>
      </w:r>
      <w:r w:rsidRPr="00815C73">
        <w:rPr>
          <w:bCs/>
          <w:sz w:val="25"/>
          <w:szCs w:val="25"/>
          <w:lang w:val="en-CA"/>
        </w:rPr>
        <w:t xml:space="preserve">the Quebec nation” (Part II, section 5; see paragraph 11 below). This prohibition may apply to any “organization” that has received “public funds” from Quebec, including band councils </w:t>
      </w:r>
      <w:r w:rsidRPr="00815C73">
        <w:rPr>
          <w:sz w:val="25"/>
          <w:szCs w:val="25"/>
          <w:lang w:val="en-CA"/>
        </w:rPr>
        <w:t>and other Indigenous organizations.</w:t>
      </w:r>
    </w:p>
    <w:p w:rsidR="009B4256" w:rsidRDefault="009B4256" w:rsidP="009B4256">
      <w:pPr>
        <w:spacing w:after="120" w:line="276" w:lineRule="auto"/>
        <w:jc w:val="both"/>
        <w:rPr>
          <w:sz w:val="25"/>
          <w:szCs w:val="25"/>
          <w:lang w:val="en-CA"/>
        </w:rPr>
      </w:pPr>
      <w:sdt>
        <w:sdtPr>
          <w:rPr>
            <w:sz w:val="25"/>
            <w:szCs w:val="25"/>
            <w:lang w:val="en-CA"/>
          </w:rPr>
          <w:tag w:val="goog_rdk_65"/>
          <w:id w:val="-1463062721"/>
        </w:sdtPr>
        <w:sdtContent>
          <w:r w:rsidRPr="00815C73">
            <w:rPr>
              <w:b/>
              <w:bCs/>
              <w:sz w:val="25"/>
              <w:szCs w:val="25"/>
              <w:lang w:val="en-CA"/>
            </w:rPr>
            <w:t xml:space="preserve">(9) </w:t>
          </w:r>
        </w:sdtContent>
      </w:sdt>
      <w:r w:rsidRPr="00815C73">
        <w:rPr>
          <w:b/>
          <w:sz w:val="25"/>
          <w:szCs w:val="25"/>
          <w:lang w:val="en-CA"/>
        </w:rPr>
        <w:t xml:space="preserve">Participation of Indigenous peoples in decision-making </w:t>
      </w:r>
      <w:r w:rsidRPr="00815C73">
        <w:rPr>
          <w:sz w:val="25"/>
          <w:szCs w:val="25"/>
          <w:lang w:val="en-CA"/>
        </w:rPr>
        <w:t xml:space="preserve">– Bill 1 </w:t>
      </w:r>
      <w:r w:rsidRPr="00815C73">
        <w:rPr>
          <w:i/>
          <w:iCs/>
          <w:sz w:val="25"/>
          <w:szCs w:val="25"/>
          <w:lang w:val="en-CA"/>
        </w:rPr>
        <w:t xml:space="preserve">imposes </w:t>
      </w:r>
      <w:r w:rsidRPr="00815C73">
        <w:rPr>
          <w:sz w:val="25"/>
          <w:szCs w:val="25"/>
          <w:lang w:val="en-CA"/>
        </w:rPr>
        <w:t xml:space="preserve">a new constitution on Indigenous peoples without any </w:t>
      </w:r>
      <w:r w:rsidRPr="00815C73">
        <w:rPr>
          <w:i/>
          <w:iCs/>
          <w:sz w:val="25"/>
          <w:szCs w:val="25"/>
          <w:lang w:val="en-CA"/>
        </w:rPr>
        <w:t>prior</w:t>
      </w:r>
      <w:r w:rsidRPr="00815C73">
        <w:rPr>
          <w:sz w:val="25"/>
          <w:szCs w:val="25"/>
          <w:lang w:val="en-CA"/>
        </w:rPr>
        <w:t xml:space="preserve"> consultation, in flagrant violation of </w:t>
      </w:r>
      <w:r>
        <w:rPr>
          <w:sz w:val="25"/>
          <w:szCs w:val="25"/>
          <w:lang w:val="en-CA"/>
        </w:rPr>
        <w:t>S</w:t>
      </w:r>
      <w:r w:rsidRPr="00815C73">
        <w:rPr>
          <w:sz w:val="25"/>
          <w:szCs w:val="25"/>
          <w:lang w:val="en-CA"/>
        </w:rPr>
        <w:t>ections 18, 19, 32, and 38 of the UNDRIP. In accordance with these rights and their right to participate in cultural life (</w:t>
      </w:r>
      <w:r>
        <w:rPr>
          <w:sz w:val="25"/>
          <w:szCs w:val="25"/>
          <w:lang w:val="en-CA"/>
        </w:rPr>
        <w:t>S</w:t>
      </w:r>
      <w:r w:rsidRPr="00815C73">
        <w:rPr>
          <w:sz w:val="25"/>
          <w:szCs w:val="25"/>
          <w:lang w:val="en-CA"/>
        </w:rPr>
        <w:t xml:space="preserve">ection 15 of </w:t>
      </w:r>
      <w:r w:rsidRPr="00815C73">
        <w:rPr>
          <w:iCs/>
          <w:sz w:val="25"/>
          <w:szCs w:val="25"/>
          <w:lang w:val="en-CA"/>
        </w:rPr>
        <w:t>the ICESCR)</w:t>
      </w:r>
      <w:r w:rsidRPr="00815C73">
        <w:rPr>
          <w:sz w:val="25"/>
          <w:szCs w:val="25"/>
          <w:lang w:val="en-CA"/>
        </w:rPr>
        <w:t xml:space="preserve">, Indigenous peoples must be consulted and involved in any measure that may affect their territory, and their right to </w:t>
      </w:r>
      <w:r w:rsidRPr="00815C73">
        <w:rPr>
          <w:sz w:val="25"/>
          <w:szCs w:val="25"/>
          <w:u w:val="single"/>
          <w:lang w:val="en-CA"/>
        </w:rPr>
        <w:t>free, prior, and informed consent</w:t>
      </w:r>
      <w:r w:rsidRPr="00815C73">
        <w:rPr>
          <w:sz w:val="25"/>
          <w:szCs w:val="25"/>
          <w:lang w:val="en-CA"/>
        </w:rPr>
        <w:t xml:space="preserve"> must be respected. This right applies all the more to the drafting of a Constitution, which has a serious impact on their rights—especially since most of these territories are “</w:t>
      </w:r>
      <w:proofErr w:type="spellStart"/>
      <w:r w:rsidRPr="00815C73">
        <w:rPr>
          <w:sz w:val="25"/>
          <w:szCs w:val="25"/>
          <w:lang w:val="en-CA"/>
        </w:rPr>
        <w:t>unceded</w:t>
      </w:r>
      <w:proofErr w:type="spellEnd"/>
      <w:r w:rsidRPr="00815C73">
        <w:rPr>
          <w:sz w:val="25"/>
          <w:szCs w:val="25"/>
          <w:lang w:val="en-CA"/>
        </w:rPr>
        <w:t xml:space="preserve"> territories”, meaning they have never been legally ceded by treaty to Canada or the Province of Quebec by Indigenous peoples (including the Innu Nation/</w:t>
      </w:r>
      <w:proofErr w:type="spellStart"/>
      <w:r w:rsidRPr="00815C73">
        <w:rPr>
          <w:sz w:val="25"/>
          <w:szCs w:val="25"/>
          <w:lang w:val="en-CA"/>
        </w:rPr>
        <w:t>Ekuanitshit</w:t>
      </w:r>
      <w:proofErr w:type="spellEnd"/>
      <w:r w:rsidRPr="00815C73">
        <w:rPr>
          <w:sz w:val="25"/>
          <w:szCs w:val="25"/>
          <w:lang w:val="en-CA"/>
        </w:rPr>
        <w:t xml:space="preserve"> community and the Atikamekw Nation/</w:t>
      </w:r>
      <w:proofErr w:type="spellStart"/>
      <w:r w:rsidRPr="00815C73">
        <w:rPr>
          <w:sz w:val="25"/>
          <w:szCs w:val="25"/>
          <w:lang w:val="en-CA"/>
        </w:rPr>
        <w:t>Manawan</w:t>
      </w:r>
      <w:proofErr w:type="spellEnd"/>
      <w:r w:rsidRPr="00815C73">
        <w:rPr>
          <w:sz w:val="25"/>
          <w:szCs w:val="25"/>
          <w:lang w:val="en-CA"/>
        </w:rPr>
        <w:t xml:space="preserve"> community).</w:t>
      </w:r>
    </w:p>
    <w:p w:rsidR="009B4256" w:rsidRPr="007D7AD8" w:rsidRDefault="009B4256" w:rsidP="009B4256">
      <w:pPr>
        <w:spacing w:after="120" w:line="276" w:lineRule="auto"/>
        <w:jc w:val="both"/>
        <w:rPr>
          <w:b/>
          <w:iCs/>
          <w:color w:val="000000"/>
          <w:sz w:val="25"/>
          <w:szCs w:val="25"/>
          <w:lang w:val="en-CA"/>
        </w:rPr>
      </w:pPr>
      <w:r w:rsidRPr="007D7AD8">
        <w:rPr>
          <w:b/>
          <w:sz w:val="25"/>
          <w:szCs w:val="25"/>
          <w:lang w:val="en-CA"/>
        </w:rPr>
        <w:t>We reiterate that</w:t>
      </w:r>
      <w:r>
        <w:rPr>
          <w:sz w:val="25"/>
          <w:szCs w:val="25"/>
          <w:lang w:val="en-CA"/>
        </w:rPr>
        <w:t xml:space="preserve"> </w:t>
      </w:r>
      <w:r>
        <w:rPr>
          <w:b/>
          <w:iCs/>
          <w:color w:val="000000"/>
          <w:sz w:val="25"/>
          <w:szCs w:val="25"/>
          <w:lang w:val="en-CA"/>
        </w:rPr>
        <w:t>t</w:t>
      </w:r>
      <w:r w:rsidRPr="00815C73">
        <w:rPr>
          <w:b/>
          <w:iCs/>
          <w:color w:val="000000"/>
          <w:sz w:val="25"/>
          <w:szCs w:val="25"/>
          <w:lang w:val="en-CA"/>
        </w:rPr>
        <w:t xml:space="preserve">he blatant disregard for these international rights and standards requires the intervention of the United Nations </w:t>
      </w:r>
      <w:r>
        <w:rPr>
          <w:b/>
          <w:iCs/>
          <w:color w:val="000000"/>
          <w:sz w:val="25"/>
          <w:szCs w:val="25"/>
          <w:lang w:val="en-CA"/>
        </w:rPr>
        <w:t>Human Rights Committee</w:t>
      </w:r>
      <w:r w:rsidRPr="00815C73">
        <w:rPr>
          <w:b/>
          <w:iCs/>
          <w:color w:val="000000"/>
          <w:sz w:val="25"/>
          <w:szCs w:val="25"/>
          <w:lang w:val="en-CA"/>
        </w:rPr>
        <w:t xml:space="preserve"> to recognize the human rights violations and call on the authorities to withdraw Bill 1.</w:t>
      </w:r>
    </w:p>
    <w:p w:rsidR="00041C36" w:rsidRPr="00502EEA" w:rsidRDefault="00041C36" w:rsidP="0065520E">
      <w:pPr>
        <w:pStyle w:val="Default"/>
        <w:rPr>
          <w:b/>
          <w:bCs/>
          <w:u w:val="single"/>
          <w:lang w:val="en-US"/>
        </w:rPr>
      </w:pPr>
    </w:p>
    <w:sectPr w:rsidR="00041C36" w:rsidRPr="00502EEA" w:rsidSect="009B4256">
      <w:headerReference w:type="default" r:id="rId8"/>
      <w:footerReference w:type="default" r:id="rId9"/>
      <w:pgSz w:w="12240" w:h="15840"/>
      <w:pgMar w:top="720" w:right="1080" w:bottom="720" w:left="1260" w:header="540" w:footer="59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3A09" w:rsidRDefault="00403A09">
      <w:r>
        <w:separator/>
      </w:r>
    </w:p>
  </w:endnote>
  <w:endnote w:type="continuationSeparator" w:id="0">
    <w:p w:rsidR="00403A09" w:rsidRDefault="00403A0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Roboto">
    <w:charset w:val="00"/>
    <w:family w:val="auto"/>
    <w:pitch w:val="variable"/>
    <w:sig w:usb0="E0000AFF" w:usb1="5000217F" w:usb2="00000021"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23181486"/>
      <w:docPartObj>
        <w:docPartGallery w:val="Page Numbers (Bottom of Page)"/>
        <w:docPartUnique/>
      </w:docPartObj>
    </w:sdtPr>
    <w:sdtEndPr>
      <w:rPr>
        <w:noProof/>
      </w:rPr>
    </w:sdtEndPr>
    <w:sdtContent>
      <w:p w:rsidR="00041C36" w:rsidRDefault="00E43CF5">
        <w:pPr>
          <w:pStyle w:val="Footer"/>
          <w:jc w:val="center"/>
        </w:pPr>
        <w:r>
          <w:fldChar w:fldCharType="begin"/>
        </w:r>
        <w:r w:rsidR="00041C36">
          <w:instrText xml:space="preserve"> PAGE   \* MERGEFORMAT </w:instrText>
        </w:r>
        <w:r>
          <w:fldChar w:fldCharType="separate"/>
        </w:r>
        <w:r w:rsidR="003527EC">
          <w:rPr>
            <w:noProof/>
          </w:rPr>
          <w:t>15</w:t>
        </w:r>
        <w:r>
          <w:rPr>
            <w:noProof/>
          </w:rPr>
          <w:fldChar w:fldCharType="end"/>
        </w:r>
      </w:p>
    </w:sdtContent>
  </w:sdt>
  <w:p w:rsidR="005A2BC9" w:rsidRDefault="005A2BC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3A09" w:rsidRDefault="00403A09">
      <w:r>
        <w:separator/>
      </w:r>
    </w:p>
  </w:footnote>
  <w:footnote w:type="continuationSeparator" w:id="0">
    <w:p w:rsidR="00403A09" w:rsidRDefault="00403A09">
      <w:r>
        <w:continuationSeparator/>
      </w:r>
    </w:p>
  </w:footnote>
  <w:footnote w:id="1">
    <w:p w:rsidR="009B4256" w:rsidRPr="00C2440C" w:rsidRDefault="009B4256" w:rsidP="009B4256">
      <w:pPr>
        <w:pStyle w:val="FootnoteText"/>
        <w:rPr>
          <w:lang w:val="en-US"/>
        </w:rPr>
      </w:pPr>
      <w:r>
        <w:rPr>
          <w:rStyle w:val="FootnoteReference"/>
        </w:rPr>
        <w:footnoteRef/>
      </w:r>
      <w:r>
        <w:t xml:space="preserve"> </w:t>
      </w:r>
      <w:hyperlink r:id="rId1" w:history="1">
        <w:r w:rsidRPr="00FB7A62">
          <w:rPr>
            <w:rStyle w:val="Hyperlink"/>
          </w:rPr>
          <w:t>https://www.canlii.org/en/ca/laws/stat/schedule-b-to-the-canada-act-1982-uk-1982-c-11/latest/schedule-b-to-the-canada-act-1982-uk-1982-c-11.html</w:t>
        </w:r>
      </w:hyperlink>
      <w:r>
        <w:t xml:space="preserve"> </w:t>
      </w:r>
    </w:p>
  </w:footnote>
  <w:footnote w:id="2">
    <w:p w:rsidR="009B4256" w:rsidRPr="001022F7" w:rsidRDefault="009B4256" w:rsidP="009B4256">
      <w:pPr>
        <w:pStyle w:val="FootnoteText"/>
        <w:rPr>
          <w:lang w:val="en-US"/>
        </w:rPr>
      </w:pPr>
      <w:r>
        <w:rPr>
          <w:rStyle w:val="FootnoteReference"/>
        </w:rPr>
        <w:footnoteRef/>
      </w:r>
      <w:r>
        <w:t xml:space="preserve"> </w:t>
      </w:r>
      <w:hyperlink r:id="rId2" w:history="1">
        <w:r w:rsidRPr="008D1D13">
          <w:rPr>
            <w:rStyle w:val="Hyperlink"/>
          </w:rPr>
          <w:t>https://www.justice.gc.ca/eng/csj-sjc/rfc-dlc/ccrf-ccdl/check/art33.html</w:t>
        </w:r>
      </w:hyperlink>
      <w:r>
        <w:t xml:space="preserve"> </w:t>
      </w:r>
    </w:p>
  </w:footnote>
  <w:footnote w:id="3">
    <w:p w:rsidR="009B4256" w:rsidRPr="00C71B6D" w:rsidRDefault="009B4256" w:rsidP="009B4256">
      <w:pPr>
        <w:pStyle w:val="FootnoteText"/>
        <w:rPr>
          <w:lang w:val="en-US"/>
        </w:rPr>
      </w:pPr>
      <w:r>
        <w:rPr>
          <w:rStyle w:val="FootnoteReference"/>
        </w:rPr>
        <w:footnoteRef/>
      </w:r>
      <w:r w:rsidRPr="00143B7C">
        <w:rPr>
          <w:lang w:val="en-US"/>
        </w:rPr>
        <w:t xml:space="preserve"> </w:t>
      </w:r>
      <w:hyperlink r:id="rId3" w:history="1">
        <w:r w:rsidRPr="00143B7C">
          <w:rPr>
            <w:rStyle w:val="Hyperlink"/>
            <w:lang w:val="en-US"/>
          </w:rPr>
          <w:t>https://www.constitutionalstudies.ca/2019/07/notwithstanding-clause-2/</w:t>
        </w:r>
      </w:hyperlink>
      <w:r w:rsidRPr="00143B7C">
        <w:rPr>
          <w:lang w:val="en-US"/>
        </w:rPr>
        <w:t xml:space="preserve">  &amp; </w:t>
      </w:r>
      <w:hyperlink r:id="rId4" w:history="1">
        <w:r w:rsidRPr="00143B7C">
          <w:rPr>
            <w:rStyle w:val="Hyperlink"/>
            <w:lang w:val="en-US"/>
          </w:rPr>
          <w:t>https://ccla.org/major-cases-and-reports/notwithstanding-clause/</w:t>
        </w:r>
      </w:hyperlink>
      <w:r w:rsidRPr="00143B7C">
        <w:rPr>
          <w:lang w:val="en-US"/>
        </w:rPr>
        <w:t xml:space="preserve"> </w:t>
      </w:r>
    </w:p>
  </w:footnote>
  <w:footnote w:id="4">
    <w:p w:rsidR="009B4256" w:rsidRPr="00143B7C" w:rsidRDefault="009B4256" w:rsidP="009B4256">
      <w:pPr>
        <w:pBdr>
          <w:top w:val="nil"/>
          <w:left w:val="nil"/>
          <w:bottom w:val="nil"/>
          <w:right w:val="nil"/>
          <w:between w:val="nil"/>
        </w:pBdr>
        <w:rPr>
          <w:color w:val="000000"/>
          <w:sz w:val="18"/>
          <w:szCs w:val="18"/>
        </w:rPr>
      </w:pPr>
      <w:r w:rsidRPr="00E5079B">
        <w:rPr>
          <w:rStyle w:val="FootnoteReference"/>
          <w:sz w:val="18"/>
          <w:szCs w:val="18"/>
        </w:rPr>
        <w:footnoteRef/>
      </w:r>
      <w:hyperlink r:id="rId5" w:history="1">
        <w:r w:rsidRPr="00EA1A57">
          <w:rPr>
            <w:rStyle w:val="Hyperlink"/>
            <w:sz w:val="18"/>
            <w:szCs w:val="18"/>
          </w:rPr>
          <w:t>https://www12.statcan.gc.ca/census-recensement/2021/dp-pd/sip/details/page.cfm?Lang=E&amp;PoiId=2&amp;TId=12&amp;FocusId=1&amp;AgeId=1&amp;Dguid=2021A000224#sipTable</w:t>
        </w:r>
      </w:hyperlink>
      <w:r>
        <w:rPr>
          <w:color w:val="000000"/>
          <w:sz w:val="18"/>
          <w:szCs w:val="18"/>
        </w:rPr>
        <w:t xml:space="preserve"> </w:t>
      </w:r>
      <w:r w:rsidRPr="00143B7C">
        <w:rPr>
          <w:color w:val="000000"/>
          <w:sz w:val="18"/>
          <w:szCs w:val="18"/>
        </w:rPr>
        <w:t xml:space="preserve"> </w:t>
      </w:r>
    </w:p>
  </w:footnote>
  <w:footnote w:id="5">
    <w:p w:rsidR="009B4256" w:rsidRPr="00143B7C" w:rsidRDefault="009B4256" w:rsidP="009B4256">
      <w:pPr>
        <w:pBdr>
          <w:top w:val="nil"/>
          <w:left w:val="nil"/>
          <w:bottom w:val="nil"/>
          <w:right w:val="nil"/>
          <w:between w:val="nil"/>
        </w:pBdr>
        <w:rPr>
          <w:color w:val="000000"/>
          <w:sz w:val="18"/>
          <w:szCs w:val="18"/>
        </w:rPr>
      </w:pPr>
      <w:r w:rsidRPr="00E5079B">
        <w:rPr>
          <w:rStyle w:val="FootnoteReference"/>
          <w:sz w:val="18"/>
          <w:szCs w:val="18"/>
        </w:rPr>
        <w:footnoteRef/>
      </w:r>
      <w:hyperlink r:id="rId6">
        <w:r w:rsidRPr="00143B7C">
          <w:rPr>
            <w:color w:val="0563C1"/>
            <w:sz w:val="18"/>
            <w:szCs w:val="18"/>
            <w:u w:val="single"/>
          </w:rPr>
          <w:t xml:space="preserve"> https://www150.statcan.gc.ca/n1/daily-quotidien/250122/dq250122b-eng.htm </w:t>
        </w:r>
      </w:hyperlink>
    </w:p>
  </w:footnote>
  <w:footnote w:id="6">
    <w:p w:rsidR="009B4256" w:rsidRPr="00143B7C" w:rsidRDefault="009B4256" w:rsidP="009B4256">
      <w:pPr>
        <w:pBdr>
          <w:top w:val="nil"/>
          <w:left w:val="nil"/>
          <w:bottom w:val="nil"/>
          <w:right w:val="nil"/>
          <w:between w:val="nil"/>
        </w:pBdr>
        <w:rPr>
          <w:color w:val="000000"/>
          <w:sz w:val="18"/>
          <w:szCs w:val="18"/>
        </w:rPr>
      </w:pPr>
      <w:r w:rsidRPr="00E5079B">
        <w:rPr>
          <w:rStyle w:val="FootnoteReference"/>
          <w:sz w:val="18"/>
          <w:szCs w:val="18"/>
        </w:rPr>
        <w:footnoteRef/>
      </w:r>
      <w:hyperlink r:id="rId7">
        <w:r w:rsidRPr="00143B7C">
          <w:rPr>
            <w:color w:val="0563C1"/>
            <w:sz w:val="18"/>
            <w:szCs w:val="18"/>
            <w:u w:val="single"/>
          </w:rPr>
          <w:t xml:space="preserve"> https://www150.statcan.gc.ca/t1/tbl1/en/tv.action?pid=9810036401 </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2BC9" w:rsidRDefault="00627736" w:rsidP="009B4256">
    <w:pPr>
      <w:pStyle w:val="Header"/>
      <w:ind w:left="-270" w:right="-180"/>
      <w:jc w:val="center"/>
    </w:pPr>
    <w:r>
      <w:rPr>
        <w:noProof/>
      </w:rPr>
      <w:drawing>
        <wp:inline distT="0" distB="0" distL="0" distR="0">
          <wp:extent cx="6743700" cy="16891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9524"/>
                  <a:stretch/>
                </pic:blipFill>
                <pic:spPr bwMode="auto">
                  <a:xfrm>
                    <a:off x="0" y="0"/>
                    <a:ext cx="6743700" cy="1689100"/>
                  </a:xfrm>
                  <a:prstGeom prst="rect">
                    <a:avLst/>
                  </a:prstGeom>
                  <a:noFill/>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A03CFE" w:rsidRDefault="00A03CFE">
    <w:pPr>
      <w:pStyle w:val="Header"/>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7D7880"/>
    <w:multiLevelType w:val="hybridMultilevel"/>
    <w:tmpl w:val="E0B8A5D0"/>
    <w:lvl w:ilvl="0" w:tplc="14F8B18A">
      <w:start w:val="1"/>
      <w:numFmt w:val="decimal"/>
      <w:lvlText w:val="%1."/>
      <w:lvlJc w:val="left"/>
      <w:pPr>
        <w:ind w:left="540" w:hanging="360"/>
      </w:pPr>
      <w:rPr>
        <w:rFonts w:hint="default"/>
      </w:rPr>
    </w:lvl>
    <w:lvl w:ilvl="1" w:tplc="10090019">
      <w:start w:val="1"/>
      <w:numFmt w:val="lowerLetter"/>
      <w:lvlText w:val="%2."/>
      <w:lvlJc w:val="left"/>
      <w:pPr>
        <w:ind w:left="1260" w:hanging="360"/>
      </w:pPr>
    </w:lvl>
    <w:lvl w:ilvl="2" w:tplc="1009001B">
      <w:start w:val="1"/>
      <w:numFmt w:val="lowerRoman"/>
      <w:lvlText w:val="%3."/>
      <w:lvlJc w:val="right"/>
      <w:pPr>
        <w:ind w:left="1980" w:hanging="180"/>
      </w:pPr>
    </w:lvl>
    <w:lvl w:ilvl="3" w:tplc="1009000F">
      <w:start w:val="1"/>
      <w:numFmt w:val="decimal"/>
      <w:lvlText w:val="%4."/>
      <w:lvlJc w:val="left"/>
      <w:pPr>
        <w:ind w:left="2700" w:hanging="360"/>
      </w:pPr>
    </w:lvl>
    <w:lvl w:ilvl="4" w:tplc="10090019" w:tentative="1">
      <w:start w:val="1"/>
      <w:numFmt w:val="lowerLetter"/>
      <w:lvlText w:val="%5."/>
      <w:lvlJc w:val="left"/>
      <w:pPr>
        <w:ind w:left="3420" w:hanging="360"/>
      </w:pPr>
    </w:lvl>
    <w:lvl w:ilvl="5" w:tplc="1009001B" w:tentative="1">
      <w:start w:val="1"/>
      <w:numFmt w:val="lowerRoman"/>
      <w:lvlText w:val="%6."/>
      <w:lvlJc w:val="right"/>
      <w:pPr>
        <w:ind w:left="4140" w:hanging="180"/>
      </w:pPr>
    </w:lvl>
    <w:lvl w:ilvl="6" w:tplc="1009000F" w:tentative="1">
      <w:start w:val="1"/>
      <w:numFmt w:val="decimal"/>
      <w:lvlText w:val="%7."/>
      <w:lvlJc w:val="left"/>
      <w:pPr>
        <w:ind w:left="4860" w:hanging="360"/>
      </w:pPr>
    </w:lvl>
    <w:lvl w:ilvl="7" w:tplc="10090019" w:tentative="1">
      <w:start w:val="1"/>
      <w:numFmt w:val="lowerLetter"/>
      <w:lvlText w:val="%8."/>
      <w:lvlJc w:val="left"/>
      <w:pPr>
        <w:ind w:left="5580" w:hanging="360"/>
      </w:pPr>
    </w:lvl>
    <w:lvl w:ilvl="8" w:tplc="1009001B" w:tentative="1">
      <w:start w:val="1"/>
      <w:numFmt w:val="lowerRoman"/>
      <w:lvlText w:val="%9."/>
      <w:lvlJc w:val="right"/>
      <w:pPr>
        <w:ind w:left="6300" w:hanging="180"/>
      </w:pPr>
    </w:lvl>
  </w:abstractNum>
  <w:abstractNum w:abstractNumId="1">
    <w:nsid w:val="1C743868"/>
    <w:multiLevelType w:val="multilevel"/>
    <w:tmpl w:val="350EE1E0"/>
    <w:lvl w:ilvl="0">
      <w:start w:val="1"/>
      <w:numFmt w:val="decimal"/>
      <w:lvlText w:val="%1."/>
      <w:lvlJc w:val="left"/>
      <w:pPr>
        <w:ind w:left="540" w:hanging="360"/>
      </w:pPr>
    </w:lvl>
    <w:lvl w:ilvl="1">
      <w:start w:val="1"/>
      <w:numFmt w:val="lowerLetter"/>
      <w:lvlText w:val="%2."/>
      <w:lvlJc w:val="left"/>
      <w:pPr>
        <w:ind w:left="1260" w:hanging="360"/>
      </w:pPr>
    </w:lvl>
    <w:lvl w:ilvl="2">
      <w:start w:val="1"/>
      <w:numFmt w:val="lowerRoman"/>
      <w:lvlText w:val="%3."/>
      <w:lvlJc w:val="right"/>
      <w:pPr>
        <w:ind w:left="1980" w:hanging="180"/>
      </w:pPr>
    </w:lvl>
    <w:lvl w:ilvl="3">
      <w:start w:val="1"/>
      <w:numFmt w:val="decimal"/>
      <w:lvlText w:val="%4."/>
      <w:lvlJc w:val="left"/>
      <w:pPr>
        <w:ind w:left="2700" w:hanging="360"/>
      </w:pPr>
    </w:lvl>
    <w:lvl w:ilvl="4">
      <w:start w:val="1"/>
      <w:numFmt w:val="lowerLetter"/>
      <w:lvlText w:val="%5."/>
      <w:lvlJc w:val="left"/>
      <w:pPr>
        <w:ind w:left="3420" w:hanging="360"/>
      </w:pPr>
    </w:lvl>
    <w:lvl w:ilvl="5">
      <w:start w:val="1"/>
      <w:numFmt w:val="lowerRoman"/>
      <w:lvlText w:val="%6."/>
      <w:lvlJc w:val="right"/>
      <w:pPr>
        <w:ind w:left="4140" w:hanging="180"/>
      </w:pPr>
    </w:lvl>
    <w:lvl w:ilvl="6">
      <w:start w:val="1"/>
      <w:numFmt w:val="decimal"/>
      <w:lvlText w:val="%7."/>
      <w:lvlJc w:val="left"/>
      <w:pPr>
        <w:ind w:left="4860" w:hanging="360"/>
      </w:pPr>
    </w:lvl>
    <w:lvl w:ilvl="7">
      <w:start w:val="1"/>
      <w:numFmt w:val="lowerLetter"/>
      <w:lvlText w:val="%8."/>
      <w:lvlJc w:val="left"/>
      <w:pPr>
        <w:ind w:left="5580" w:hanging="360"/>
      </w:pPr>
    </w:lvl>
    <w:lvl w:ilvl="8">
      <w:start w:val="1"/>
      <w:numFmt w:val="lowerRoman"/>
      <w:lvlText w:val="%9."/>
      <w:lvlJc w:val="right"/>
      <w:pPr>
        <w:ind w:left="6300" w:hanging="180"/>
      </w:pPr>
    </w:lvl>
  </w:abstractNum>
  <w:abstractNum w:abstractNumId="2">
    <w:nsid w:val="370E4FB8"/>
    <w:multiLevelType w:val="hybridMultilevel"/>
    <w:tmpl w:val="27C4E9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B40324E"/>
    <w:multiLevelType w:val="hybridMultilevel"/>
    <w:tmpl w:val="27788A3E"/>
    <w:lvl w:ilvl="0" w:tplc="DFEE7146">
      <w:start w:val="3"/>
      <w:numFmt w:val="bullet"/>
      <w:lvlText w:val="-"/>
      <w:lvlJc w:val="left"/>
      <w:pPr>
        <w:ind w:left="540" w:hanging="360"/>
      </w:pPr>
      <w:rPr>
        <w:rFonts w:ascii="Arial" w:eastAsia="Times New Roman" w:hAnsi="Arial" w:cs="Aria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4">
    <w:nsid w:val="7D713A6C"/>
    <w:multiLevelType w:val="multilevel"/>
    <w:tmpl w:val="083C36A4"/>
    <w:lvl w:ilvl="0">
      <w:start w:val="1"/>
      <w:numFmt w:val="decimal"/>
      <w:lvlText w:val="%1."/>
      <w:lvlJc w:val="left"/>
      <w:pPr>
        <w:ind w:left="540" w:hanging="360"/>
      </w:pPr>
    </w:lvl>
    <w:lvl w:ilvl="1">
      <w:start w:val="1"/>
      <w:numFmt w:val="lowerLetter"/>
      <w:lvlText w:val="%2."/>
      <w:lvlJc w:val="left"/>
      <w:pPr>
        <w:ind w:left="1260" w:hanging="360"/>
      </w:pPr>
    </w:lvl>
    <w:lvl w:ilvl="2">
      <w:start w:val="1"/>
      <w:numFmt w:val="lowerRoman"/>
      <w:lvlText w:val="%3."/>
      <w:lvlJc w:val="right"/>
      <w:pPr>
        <w:ind w:left="1980" w:hanging="180"/>
      </w:pPr>
    </w:lvl>
    <w:lvl w:ilvl="3">
      <w:start w:val="1"/>
      <w:numFmt w:val="decimal"/>
      <w:lvlText w:val="%4."/>
      <w:lvlJc w:val="left"/>
      <w:pPr>
        <w:ind w:left="2700" w:hanging="360"/>
      </w:pPr>
    </w:lvl>
    <w:lvl w:ilvl="4">
      <w:start w:val="1"/>
      <w:numFmt w:val="lowerLetter"/>
      <w:lvlText w:val="%5."/>
      <w:lvlJc w:val="left"/>
      <w:pPr>
        <w:ind w:left="3420" w:hanging="360"/>
      </w:pPr>
    </w:lvl>
    <w:lvl w:ilvl="5">
      <w:start w:val="1"/>
      <w:numFmt w:val="lowerRoman"/>
      <w:lvlText w:val="%6."/>
      <w:lvlJc w:val="right"/>
      <w:pPr>
        <w:ind w:left="4140" w:hanging="180"/>
      </w:pPr>
    </w:lvl>
    <w:lvl w:ilvl="6">
      <w:start w:val="1"/>
      <w:numFmt w:val="decimal"/>
      <w:lvlText w:val="%7."/>
      <w:lvlJc w:val="left"/>
      <w:pPr>
        <w:ind w:left="4860" w:hanging="360"/>
      </w:pPr>
    </w:lvl>
    <w:lvl w:ilvl="7">
      <w:start w:val="1"/>
      <w:numFmt w:val="lowerLetter"/>
      <w:lvlText w:val="%8."/>
      <w:lvlJc w:val="left"/>
      <w:pPr>
        <w:ind w:left="5580" w:hanging="360"/>
      </w:pPr>
    </w:lvl>
    <w:lvl w:ilvl="8">
      <w:start w:val="1"/>
      <w:numFmt w:val="lowerRoman"/>
      <w:lvlText w:val="%9."/>
      <w:lvlJc w:val="right"/>
      <w:pPr>
        <w:ind w:left="6300" w:hanging="180"/>
      </w:p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footnotePr>
    <w:footnote w:id="-1"/>
    <w:footnote w:id="0"/>
  </w:footnotePr>
  <w:endnotePr>
    <w:endnote w:id="-1"/>
    <w:endnote w:id="0"/>
  </w:endnotePr>
  <w:compat/>
  <w:rsids>
    <w:rsidRoot w:val="00627736"/>
    <w:rsid w:val="00003159"/>
    <w:rsid w:val="00017341"/>
    <w:rsid w:val="0003752C"/>
    <w:rsid w:val="00041C36"/>
    <w:rsid w:val="0005213E"/>
    <w:rsid w:val="00065F2B"/>
    <w:rsid w:val="000726CB"/>
    <w:rsid w:val="000915D8"/>
    <w:rsid w:val="0009500F"/>
    <w:rsid w:val="00097197"/>
    <w:rsid w:val="000A3AD3"/>
    <w:rsid w:val="000B724F"/>
    <w:rsid w:val="000C408B"/>
    <w:rsid w:val="000C54F3"/>
    <w:rsid w:val="000D4C54"/>
    <w:rsid w:val="000F5D94"/>
    <w:rsid w:val="001245DC"/>
    <w:rsid w:val="00135916"/>
    <w:rsid w:val="00143994"/>
    <w:rsid w:val="00153968"/>
    <w:rsid w:val="0015495D"/>
    <w:rsid w:val="00176735"/>
    <w:rsid w:val="0017774E"/>
    <w:rsid w:val="00181C97"/>
    <w:rsid w:val="001901CD"/>
    <w:rsid w:val="00197B5E"/>
    <w:rsid w:val="001A1092"/>
    <w:rsid w:val="001A500A"/>
    <w:rsid w:val="001B25D7"/>
    <w:rsid w:val="001B283B"/>
    <w:rsid w:val="001B4051"/>
    <w:rsid w:val="001B6E21"/>
    <w:rsid w:val="001C0ADA"/>
    <w:rsid w:val="001D1F11"/>
    <w:rsid w:val="001E5DDF"/>
    <w:rsid w:val="001F23D2"/>
    <w:rsid w:val="00212CDF"/>
    <w:rsid w:val="00237443"/>
    <w:rsid w:val="00244745"/>
    <w:rsid w:val="00250CEA"/>
    <w:rsid w:val="00264951"/>
    <w:rsid w:val="00291598"/>
    <w:rsid w:val="00296C30"/>
    <w:rsid w:val="002B391A"/>
    <w:rsid w:val="002B3DB7"/>
    <w:rsid w:val="002B459C"/>
    <w:rsid w:val="002B67F0"/>
    <w:rsid w:val="002C32AE"/>
    <w:rsid w:val="002D41A0"/>
    <w:rsid w:val="002E0DD5"/>
    <w:rsid w:val="002F4EC9"/>
    <w:rsid w:val="00307289"/>
    <w:rsid w:val="00317CE5"/>
    <w:rsid w:val="00320A21"/>
    <w:rsid w:val="003310D5"/>
    <w:rsid w:val="00345F04"/>
    <w:rsid w:val="003527EC"/>
    <w:rsid w:val="00363E66"/>
    <w:rsid w:val="00391FDA"/>
    <w:rsid w:val="00393CCC"/>
    <w:rsid w:val="003967FE"/>
    <w:rsid w:val="003975C7"/>
    <w:rsid w:val="003A4BEF"/>
    <w:rsid w:val="003D1DC2"/>
    <w:rsid w:val="003D3A92"/>
    <w:rsid w:val="003F172A"/>
    <w:rsid w:val="003F6E2E"/>
    <w:rsid w:val="004002A9"/>
    <w:rsid w:val="00403A09"/>
    <w:rsid w:val="00410AFD"/>
    <w:rsid w:val="00412A4F"/>
    <w:rsid w:val="004239C5"/>
    <w:rsid w:val="00423CC3"/>
    <w:rsid w:val="00423EEE"/>
    <w:rsid w:val="00434BB6"/>
    <w:rsid w:val="00436257"/>
    <w:rsid w:val="0045478A"/>
    <w:rsid w:val="00467C0D"/>
    <w:rsid w:val="004724AB"/>
    <w:rsid w:val="00481364"/>
    <w:rsid w:val="00484DCF"/>
    <w:rsid w:val="00494E1E"/>
    <w:rsid w:val="004A1703"/>
    <w:rsid w:val="004A72EA"/>
    <w:rsid w:val="004C1F6C"/>
    <w:rsid w:val="004C6116"/>
    <w:rsid w:val="004D64E5"/>
    <w:rsid w:val="004E51CB"/>
    <w:rsid w:val="004E5735"/>
    <w:rsid w:val="004E7711"/>
    <w:rsid w:val="004E7F46"/>
    <w:rsid w:val="004F596C"/>
    <w:rsid w:val="00502EEA"/>
    <w:rsid w:val="00506B5B"/>
    <w:rsid w:val="00510C54"/>
    <w:rsid w:val="00524228"/>
    <w:rsid w:val="005366B1"/>
    <w:rsid w:val="005409C9"/>
    <w:rsid w:val="00546613"/>
    <w:rsid w:val="005554E5"/>
    <w:rsid w:val="00570A76"/>
    <w:rsid w:val="00572B71"/>
    <w:rsid w:val="00582607"/>
    <w:rsid w:val="005836D9"/>
    <w:rsid w:val="005960F4"/>
    <w:rsid w:val="005A2BC9"/>
    <w:rsid w:val="005B0604"/>
    <w:rsid w:val="005B6D75"/>
    <w:rsid w:val="005D16BE"/>
    <w:rsid w:val="005D1CB7"/>
    <w:rsid w:val="005E34CB"/>
    <w:rsid w:val="005F3075"/>
    <w:rsid w:val="006024D7"/>
    <w:rsid w:val="00602668"/>
    <w:rsid w:val="0060343F"/>
    <w:rsid w:val="00610279"/>
    <w:rsid w:val="00623C88"/>
    <w:rsid w:val="00627736"/>
    <w:rsid w:val="00637F92"/>
    <w:rsid w:val="00641BDE"/>
    <w:rsid w:val="0065520E"/>
    <w:rsid w:val="006649B8"/>
    <w:rsid w:val="006A0BE6"/>
    <w:rsid w:val="006B0786"/>
    <w:rsid w:val="006B315A"/>
    <w:rsid w:val="006B78FD"/>
    <w:rsid w:val="006C4958"/>
    <w:rsid w:val="006E183F"/>
    <w:rsid w:val="006E1D21"/>
    <w:rsid w:val="006E2BDD"/>
    <w:rsid w:val="00711688"/>
    <w:rsid w:val="00712CD8"/>
    <w:rsid w:val="007332E3"/>
    <w:rsid w:val="00755C54"/>
    <w:rsid w:val="00765ABA"/>
    <w:rsid w:val="0077090A"/>
    <w:rsid w:val="0077537E"/>
    <w:rsid w:val="00796442"/>
    <w:rsid w:val="007B1C61"/>
    <w:rsid w:val="007C0C27"/>
    <w:rsid w:val="007C245E"/>
    <w:rsid w:val="007C4C65"/>
    <w:rsid w:val="007C4F81"/>
    <w:rsid w:val="007C52F6"/>
    <w:rsid w:val="007D35B3"/>
    <w:rsid w:val="007D3F71"/>
    <w:rsid w:val="007E125B"/>
    <w:rsid w:val="007F6099"/>
    <w:rsid w:val="00801762"/>
    <w:rsid w:val="00803557"/>
    <w:rsid w:val="008057DD"/>
    <w:rsid w:val="0081538B"/>
    <w:rsid w:val="0082204B"/>
    <w:rsid w:val="00822B49"/>
    <w:rsid w:val="00826DA7"/>
    <w:rsid w:val="00827C61"/>
    <w:rsid w:val="0083030E"/>
    <w:rsid w:val="00844DAF"/>
    <w:rsid w:val="00861C15"/>
    <w:rsid w:val="008659FC"/>
    <w:rsid w:val="008678FD"/>
    <w:rsid w:val="00875D50"/>
    <w:rsid w:val="00885262"/>
    <w:rsid w:val="0088586F"/>
    <w:rsid w:val="008876EE"/>
    <w:rsid w:val="00892943"/>
    <w:rsid w:val="008A0ED7"/>
    <w:rsid w:val="008A2D39"/>
    <w:rsid w:val="008A40E9"/>
    <w:rsid w:val="008A7369"/>
    <w:rsid w:val="008B1594"/>
    <w:rsid w:val="008C3A8B"/>
    <w:rsid w:val="008D5DEF"/>
    <w:rsid w:val="008E397B"/>
    <w:rsid w:val="008F2680"/>
    <w:rsid w:val="009136BB"/>
    <w:rsid w:val="00914115"/>
    <w:rsid w:val="00917E3D"/>
    <w:rsid w:val="0092251F"/>
    <w:rsid w:val="00943925"/>
    <w:rsid w:val="00946600"/>
    <w:rsid w:val="0095212E"/>
    <w:rsid w:val="00964F2C"/>
    <w:rsid w:val="009874CC"/>
    <w:rsid w:val="00994696"/>
    <w:rsid w:val="00995208"/>
    <w:rsid w:val="00997C9B"/>
    <w:rsid w:val="009A5E44"/>
    <w:rsid w:val="009A6628"/>
    <w:rsid w:val="009B4256"/>
    <w:rsid w:val="009C01A9"/>
    <w:rsid w:val="009C2EA0"/>
    <w:rsid w:val="009D240B"/>
    <w:rsid w:val="009D4522"/>
    <w:rsid w:val="009E7B6A"/>
    <w:rsid w:val="009F504D"/>
    <w:rsid w:val="009F541D"/>
    <w:rsid w:val="00A03592"/>
    <w:rsid w:val="00A03CFE"/>
    <w:rsid w:val="00A13118"/>
    <w:rsid w:val="00A134CF"/>
    <w:rsid w:val="00A250E5"/>
    <w:rsid w:val="00A352FF"/>
    <w:rsid w:val="00A546D6"/>
    <w:rsid w:val="00A54B56"/>
    <w:rsid w:val="00A63578"/>
    <w:rsid w:val="00A65CE1"/>
    <w:rsid w:val="00A76477"/>
    <w:rsid w:val="00A77791"/>
    <w:rsid w:val="00A84608"/>
    <w:rsid w:val="00A90E71"/>
    <w:rsid w:val="00AA0B55"/>
    <w:rsid w:val="00AA176F"/>
    <w:rsid w:val="00AA4661"/>
    <w:rsid w:val="00AB12D6"/>
    <w:rsid w:val="00AC030C"/>
    <w:rsid w:val="00AD38AE"/>
    <w:rsid w:val="00AF29DD"/>
    <w:rsid w:val="00AF3014"/>
    <w:rsid w:val="00B026C7"/>
    <w:rsid w:val="00B1304F"/>
    <w:rsid w:val="00B1594A"/>
    <w:rsid w:val="00B229CE"/>
    <w:rsid w:val="00B4628E"/>
    <w:rsid w:val="00B50497"/>
    <w:rsid w:val="00B53B71"/>
    <w:rsid w:val="00B67EF5"/>
    <w:rsid w:val="00B82C87"/>
    <w:rsid w:val="00B949CA"/>
    <w:rsid w:val="00B96836"/>
    <w:rsid w:val="00BA7416"/>
    <w:rsid w:val="00BC666B"/>
    <w:rsid w:val="00BD27E1"/>
    <w:rsid w:val="00BE53CB"/>
    <w:rsid w:val="00BF049A"/>
    <w:rsid w:val="00C01CD0"/>
    <w:rsid w:val="00C14C1A"/>
    <w:rsid w:val="00C230CA"/>
    <w:rsid w:val="00C240D7"/>
    <w:rsid w:val="00C30F45"/>
    <w:rsid w:val="00C32D72"/>
    <w:rsid w:val="00C37B2F"/>
    <w:rsid w:val="00C50E00"/>
    <w:rsid w:val="00C52B7C"/>
    <w:rsid w:val="00C5563D"/>
    <w:rsid w:val="00C66E4B"/>
    <w:rsid w:val="00C83F5B"/>
    <w:rsid w:val="00CB1BEF"/>
    <w:rsid w:val="00CC2625"/>
    <w:rsid w:val="00CC2C46"/>
    <w:rsid w:val="00CC334D"/>
    <w:rsid w:val="00CC4036"/>
    <w:rsid w:val="00CD58B1"/>
    <w:rsid w:val="00CE28F1"/>
    <w:rsid w:val="00CF4E4F"/>
    <w:rsid w:val="00D01CDF"/>
    <w:rsid w:val="00D03069"/>
    <w:rsid w:val="00D03390"/>
    <w:rsid w:val="00D11693"/>
    <w:rsid w:val="00D277FE"/>
    <w:rsid w:val="00D279BD"/>
    <w:rsid w:val="00D43017"/>
    <w:rsid w:val="00D671DD"/>
    <w:rsid w:val="00D87621"/>
    <w:rsid w:val="00D972D4"/>
    <w:rsid w:val="00D973DC"/>
    <w:rsid w:val="00DB0094"/>
    <w:rsid w:val="00DC547E"/>
    <w:rsid w:val="00DE3685"/>
    <w:rsid w:val="00DE5A2A"/>
    <w:rsid w:val="00DE7FF6"/>
    <w:rsid w:val="00DF33AC"/>
    <w:rsid w:val="00DF6FC9"/>
    <w:rsid w:val="00DF76D8"/>
    <w:rsid w:val="00E02B00"/>
    <w:rsid w:val="00E17564"/>
    <w:rsid w:val="00E223D8"/>
    <w:rsid w:val="00E43CF5"/>
    <w:rsid w:val="00E4409D"/>
    <w:rsid w:val="00E54859"/>
    <w:rsid w:val="00E57E71"/>
    <w:rsid w:val="00E73389"/>
    <w:rsid w:val="00E81B96"/>
    <w:rsid w:val="00E81C86"/>
    <w:rsid w:val="00E82D4C"/>
    <w:rsid w:val="00E84ECD"/>
    <w:rsid w:val="00E8619F"/>
    <w:rsid w:val="00E86C03"/>
    <w:rsid w:val="00EA463E"/>
    <w:rsid w:val="00ED6DCC"/>
    <w:rsid w:val="00EE2DC5"/>
    <w:rsid w:val="00EE415C"/>
    <w:rsid w:val="00EE4641"/>
    <w:rsid w:val="00EE6D53"/>
    <w:rsid w:val="00EE78D0"/>
    <w:rsid w:val="00EF204D"/>
    <w:rsid w:val="00EF7682"/>
    <w:rsid w:val="00F0780D"/>
    <w:rsid w:val="00F1371B"/>
    <w:rsid w:val="00F31A21"/>
    <w:rsid w:val="00F66446"/>
    <w:rsid w:val="00F85ABF"/>
    <w:rsid w:val="00F90B40"/>
    <w:rsid w:val="00F93057"/>
    <w:rsid w:val="00FA15B3"/>
    <w:rsid w:val="00FA4872"/>
    <w:rsid w:val="00FB7169"/>
    <w:rsid w:val="00FC4241"/>
    <w:rsid w:val="00FC5244"/>
    <w:rsid w:val="00FD694E"/>
    <w:rsid w:val="00FF6DE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7736"/>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27736"/>
    <w:pPr>
      <w:tabs>
        <w:tab w:val="center" w:pos="4320"/>
        <w:tab w:val="right" w:pos="8640"/>
      </w:tabs>
    </w:pPr>
  </w:style>
  <w:style w:type="character" w:customStyle="1" w:styleId="HeaderChar">
    <w:name w:val="Header Char"/>
    <w:basedOn w:val="DefaultParagraphFont"/>
    <w:link w:val="Header"/>
    <w:semiHidden/>
    <w:rsid w:val="00627736"/>
    <w:rPr>
      <w:rFonts w:ascii="Times New Roman" w:eastAsia="Times New Roman" w:hAnsi="Times New Roman" w:cs="Times New Roman"/>
      <w:sz w:val="24"/>
      <w:szCs w:val="24"/>
      <w:lang w:val="en-US"/>
    </w:rPr>
  </w:style>
  <w:style w:type="paragraph" w:styleId="Footer">
    <w:name w:val="footer"/>
    <w:basedOn w:val="Normal"/>
    <w:link w:val="FooterChar"/>
    <w:uiPriority w:val="99"/>
    <w:rsid w:val="00627736"/>
    <w:pPr>
      <w:tabs>
        <w:tab w:val="center" w:pos="4320"/>
        <w:tab w:val="right" w:pos="8640"/>
      </w:tabs>
    </w:pPr>
  </w:style>
  <w:style w:type="character" w:customStyle="1" w:styleId="FooterChar">
    <w:name w:val="Footer Char"/>
    <w:basedOn w:val="DefaultParagraphFont"/>
    <w:link w:val="Footer"/>
    <w:uiPriority w:val="99"/>
    <w:rsid w:val="00627736"/>
    <w:rPr>
      <w:rFonts w:ascii="Times New Roman" w:eastAsia="Times New Roman" w:hAnsi="Times New Roman" w:cs="Times New Roman"/>
      <w:sz w:val="24"/>
      <w:szCs w:val="24"/>
      <w:lang w:val="en-US"/>
    </w:rPr>
  </w:style>
  <w:style w:type="paragraph" w:customStyle="1" w:styleId="Default">
    <w:name w:val="Default"/>
    <w:rsid w:val="00627736"/>
    <w:pPr>
      <w:autoSpaceDE w:val="0"/>
      <w:autoSpaceDN w:val="0"/>
      <w:adjustRightInd w:val="0"/>
      <w:spacing w:after="0" w:line="240" w:lineRule="auto"/>
    </w:pPr>
    <w:rPr>
      <w:rFonts w:ascii="Arial" w:eastAsia="Times New Roman" w:hAnsi="Arial" w:cs="Arial"/>
      <w:color w:val="000000"/>
      <w:sz w:val="24"/>
      <w:szCs w:val="24"/>
      <w:lang w:eastAsia="en-CA"/>
    </w:rPr>
  </w:style>
  <w:style w:type="paragraph" w:styleId="ListParagraph">
    <w:name w:val="List Paragraph"/>
    <w:basedOn w:val="Normal"/>
    <w:uiPriority w:val="34"/>
    <w:qFormat/>
    <w:rsid w:val="00627736"/>
    <w:pPr>
      <w:spacing w:after="200" w:line="276" w:lineRule="auto"/>
      <w:ind w:left="720"/>
      <w:contextualSpacing/>
    </w:pPr>
    <w:rPr>
      <w:rFonts w:ascii="Calibri" w:eastAsia="Calibri" w:hAnsi="Calibri"/>
      <w:sz w:val="22"/>
      <w:szCs w:val="22"/>
      <w:lang w:val="en-CA"/>
    </w:rPr>
  </w:style>
  <w:style w:type="character" w:styleId="Hyperlink">
    <w:name w:val="Hyperlink"/>
    <w:basedOn w:val="DefaultParagraphFont"/>
    <w:uiPriority w:val="99"/>
    <w:unhideWhenUsed/>
    <w:rsid w:val="009C2EA0"/>
    <w:rPr>
      <w:color w:val="0563C1" w:themeColor="hyperlink"/>
      <w:u w:val="single"/>
    </w:rPr>
  </w:style>
  <w:style w:type="character" w:customStyle="1" w:styleId="UnresolvedMention1">
    <w:name w:val="Unresolved Mention1"/>
    <w:basedOn w:val="DefaultParagraphFont"/>
    <w:uiPriority w:val="99"/>
    <w:semiHidden/>
    <w:unhideWhenUsed/>
    <w:rsid w:val="009C2EA0"/>
    <w:rPr>
      <w:color w:val="605E5C"/>
      <w:shd w:val="clear" w:color="auto" w:fill="E1DFDD"/>
    </w:rPr>
  </w:style>
  <w:style w:type="paragraph" w:styleId="Revision">
    <w:name w:val="Revision"/>
    <w:hidden/>
    <w:uiPriority w:val="99"/>
    <w:semiHidden/>
    <w:rsid w:val="00391FDA"/>
    <w:pPr>
      <w:spacing w:after="0" w:line="240" w:lineRule="auto"/>
    </w:pPr>
    <w:rPr>
      <w:rFonts w:ascii="Times New Roman" w:eastAsia="Times New Roman" w:hAnsi="Times New Roman" w:cs="Times New Roman"/>
      <w:sz w:val="24"/>
      <w:szCs w:val="24"/>
      <w:lang w:val="en-US"/>
    </w:rPr>
  </w:style>
  <w:style w:type="character" w:customStyle="1" w:styleId="UnresolvedMention2">
    <w:name w:val="Unresolved Mention2"/>
    <w:basedOn w:val="DefaultParagraphFont"/>
    <w:uiPriority w:val="99"/>
    <w:semiHidden/>
    <w:unhideWhenUsed/>
    <w:rsid w:val="00943925"/>
    <w:rPr>
      <w:color w:val="605E5C"/>
      <w:shd w:val="clear" w:color="auto" w:fill="E1DFDD"/>
    </w:rPr>
  </w:style>
  <w:style w:type="paragraph" w:styleId="BalloonText">
    <w:name w:val="Balloon Text"/>
    <w:basedOn w:val="Normal"/>
    <w:link w:val="BalloonTextChar"/>
    <w:uiPriority w:val="99"/>
    <w:semiHidden/>
    <w:unhideWhenUsed/>
    <w:rsid w:val="00C30F45"/>
    <w:rPr>
      <w:rFonts w:ascii="Tahoma" w:hAnsi="Tahoma" w:cs="Tahoma"/>
      <w:sz w:val="16"/>
      <w:szCs w:val="16"/>
    </w:rPr>
  </w:style>
  <w:style w:type="character" w:customStyle="1" w:styleId="BalloonTextChar">
    <w:name w:val="Balloon Text Char"/>
    <w:basedOn w:val="DefaultParagraphFont"/>
    <w:link w:val="BalloonText"/>
    <w:uiPriority w:val="99"/>
    <w:semiHidden/>
    <w:rsid w:val="00C30F45"/>
    <w:rPr>
      <w:rFonts w:ascii="Tahoma" w:eastAsia="Times New Roman" w:hAnsi="Tahoma" w:cs="Tahoma"/>
      <w:sz w:val="16"/>
      <w:szCs w:val="16"/>
      <w:lang w:val="en-US"/>
    </w:rPr>
  </w:style>
  <w:style w:type="character" w:customStyle="1" w:styleId="UnresolvedMention">
    <w:name w:val="Unresolved Mention"/>
    <w:basedOn w:val="DefaultParagraphFont"/>
    <w:uiPriority w:val="99"/>
    <w:semiHidden/>
    <w:unhideWhenUsed/>
    <w:rsid w:val="00861C15"/>
    <w:rPr>
      <w:color w:val="605E5C"/>
      <w:shd w:val="clear" w:color="auto" w:fill="E1DFDD"/>
    </w:rPr>
  </w:style>
  <w:style w:type="paragraph" w:styleId="FootnoteText">
    <w:name w:val="footnote text"/>
    <w:basedOn w:val="Normal"/>
    <w:link w:val="FootnoteTextChar"/>
    <w:uiPriority w:val="99"/>
    <w:semiHidden/>
    <w:unhideWhenUsed/>
    <w:rsid w:val="009B4256"/>
    <w:rPr>
      <w:rFonts w:ascii="Calibri" w:eastAsia="Calibri" w:hAnsi="Calibri" w:cs="Calibri"/>
      <w:sz w:val="20"/>
      <w:szCs w:val="20"/>
      <w:lang w:val="fr-CA" w:eastAsia="en-GB"/>
    </w:rPr>
  </w:style>
  <w:style w:type="character" w:customStyle="1" w:styleId="FootnoteTextChar">
    <w:name w:val="Footnote Text Char"/>
    <w:basedOn w:val="DefaultParagraphFont"/>
    <w:link w:val="FootnoteText"/>
    <w:uiPriority w:val="99"/>
    <w:semiHidden/>
    <w:rsid w:val="009B4256"/>
    <w:rPr>
      <w:rFonts w:ascii="Calibri" w:eastAsia="Calibri" w:hAnsi="Calibri" w:cs="Calibri"/>
      <w:sz w:val="20"/>
      <w:szCs w:val="20"/>
      <w:lang w:val="fr-CA" w:eastAsia="en-GB"/>
    </w:rPr>
  </w:style>
  <w:style w:type="character" w:styleId="FootnoteReference">
    <w:name w:val="footnote reference"/>
    <w:basedOn w:val="DefaultParagraphFont"/>
    <w:uiPriority w:val="99"/>
    <w:semiHidden/>
    <w:unhideWhenUsed/>
    <w:rsid w:val="009B4256"/>
    <w:rPr>
      <w:vertAlign w:val="superscript"/>
    </w:rPr>
  </w:style>
  <w:style w:type="character" w:customStyle="1" w:styleId="rynqvb">
    <w:name w:val="rynqvb"/>
    <w:basedOn w:val="DefaultParagraphFont"/>
    <w:rsid w:val="009B4256"/>
  </w:style>
  <w:style w:type="table" w:styleId="TableGrid">
    <w:name w:val="Table Grid"/>
    <w:basedOn w:val="TableNormal"/>
    <w:uiPriority w:val="39"/>
    <w:rsid w:val="009B4256"/>
    <w:pPr>
      <w:spacing w:after="0" w:line="240" w:lineRule="auto"/>
    </w:pPr>
    <w:rPr>
      <w:rFonts w:ascii="Calibri" w:eastAsia="Calibri" w:hAnsi="Calibri" w:cs="Calibri"/>
      <w:lang w:val="fr-CA"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075081550">
      <w:bodyDiv w:val="1"/>
      <w:marLeft w:val="0"/>
      <w:marRight w:val="0"/>
      <w:marTop w:val="0"/>
      <w:marBottom w:val="0"/>
      <w:divBdr>
        <w:top w:val="none" w:sz="0" w:space="0" w:color="auto"/>
        <w:left w:val="none" w:sz="0" w:space="0" w:color="auto"/>
        <w:bottom w:val="none" w:sz="0" w:space="0" w:color="auto"/>
        <w:right w:val="none" w:sz="0" w:space="0" w:color="auto"/>
      </w:divBdr>
    </w:div>
    <w:div w:id="1122962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constitutionalstudies.ca/2019/07/notwithstanding-clause-2/" TargetMode="External"/><Relationship Id="rId7" Type="http://schemas.openxmlformats.org/officeDocument/2006/relationships/hyperlink" Target="https://www150.statcan.gc.ca/t1/tbl1/en/tv.action?pid=9810036401" TargetMode="External"/><Relationship Id="rId2" Type="http://schemas.openxmlformats.org/officeDocument/2006/relationships/hyperlink" Target="https://www.justice.gc.ca/eng/csj-sjc/rfc-dlc/ccrf-ccdl/check/art33.html" TargetMode="External"/><Relationship Id="rId1" Type="http://schemas.openxmlformats.org/officeDocument/2006/relationships/hyperlink" Target="https://www.canlii.org/en/ca/laws/stat/schedule-b-to-the-canada-act-1982-uk-1982-c-11/latest/schedule-b-to-the-canada-act-1982-uk-1982-c-11.html" TargetMode="External"/><Relationship Id="rId6" Type="http://schemas.openxmlformats.org/officeDocument/2006/relationships/hyperlink" Target="https://www150.statcan.gc.ca/n1/daily-quotidien/250122/dq250122b-eng.htm" TargetMode="External"/><Relationship Id="rId5" Type="http://schemas.openxmlformats.org/officeDocument/2006/relationships/hyperlink" Target="https://www12.statcan.gc.ca/census-recensement/2021/dp-pd/sip/details/page.cfm?Lang=E&amp;PoiId=2&amp;TId=12&amp;FocusId=1&amp;AgeId=1&amp;Dguid=2021A000224#sipTable" TargetMode="External"/><Relationship Id="rId4" Type="http://schemas.openxmlformats.org/officeDocument/2006/relationships/hyperlink" Target="https://ccla.org/major-cases-and-reports/notwithstanding-claus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D6C3B5-B8FB-443B-B266-3ABB875EC9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5098</Words>
  <Characters>29060</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Hebb</dc:creator>
  <cp:lastModifiedBy>User</cp:lastModifiedBy>
  <cp:revision>2</cp:revision>
  <dcterms:created xsi:type="dcterms:W3CDTF">2026-01-27T00:59:00Z</dcterms:created>
  <dcterms:modified xsi:type="dcterms:W3CDTF">2026-01-27T00:59:00Z</dcterms:modified>
</cp:coreProperties>
</file>