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54A04" w:rsidRDefault="006C1217">
      <w:pPr>
        <w:pBdr>
          <w:top w:val="nil"/>
          <w:left w:val="nil"/>
          <w:bottom w:val="nil"/>
          <w:right w:val="nil"/>
          <w:between w:val="nil"/>
        </w:pBdr>
      </w:pPr>
      <w:r>
        <w:t>This report seeks to inform the United Nations Committee on Economic, Social and Cultural Rights (CESCR) on measures necessary to ensure access to justice for economic, social, cultural and environmental rights (ESCER) of the International Covenant on Econ</w:t>
      </w:r>
      <w:r>
        <w:t xml:space="preserve">omic, Social, and Cultural </w:t>
      </w:r>
      <w:r>
        <w:t>Rights</w:t>
      </w:r>
      <w:r>
        <w:t xml:space="preserve"> (ICESCR) in Brazil, in accordance with Articles 2 and 3 of the treaty. We request that the Committee consider the points raised in this shadow report in its interactive dialogue with the State, written procedures and final</w:t>
      </w:r>
      <w:r>
        <w:t xml:space="preserve"> observations in the context of its review of Brazil during the session starting in September 2023.</w:t>
      </w:r>
    </w:p>
    <w:p w14:paraId="00000002" w14:textId="77777777" w:rsidR="00154A04" w:rsidRDefault="00154A04">
      <w:pPr>
        <w:pBdr>
          <w:top w:val="nil"/>
          <w:left w:val="nil"/>
          <w:bottom w:val="nil"/>
          <w:right w:val="nil"/>
          <w:between w:val="nil"/>
        </w:pBdr>
      </w:pPr>
    </w:p>
    <w:p w14:paraId="00000003" w14:textId="77777777" w:rsidR="00154A04" w:rsidRDefault="006C1217">
      <w:r>
        <w:t>This report was prepared by Justiça Global, Plataforma Dhesca, and Terra de Direitos, in collaboration with ESCR-Net- International Network for Economic, S</w:t>
      </w:r>
      <w:r>
        <w:t>ocial and Cultural Rights.</w:t>
      </w:r>
    </w:p>
    <w:p w14:paraId="00000004" w14:textId="77777777" w:rsidR="00154A04" w:rsidRDefault="006C1217">
      <w:pPr>
        <w:pStyle w:val="Heading1"/>
        <w:rPr>
          <w:b w:val="0"/>
        </w:rPr>
      </w:pPr>
      <w:bookmarkStart w:id="0" w:name="_5wvsclddi9o7" w:colFirst="0" w:colLast="0"/>
      <w:bookmarkEnd w:id="0"/>
      <w:r>
        <w:t>Access to justice as a fundamental way to implement ESCER</w:t>
      </w:r>
    </w:p>
    <w:p w14:paraId="00000005" w14:textId="77777777" w:rsidR="00154A04" w:rsidRDefault="006C1217">
      <w:r>
        <w:t>States parties to the International Covenant on Economic, Social and Cultural Rights (ICESCR) have a duty under the treaty to provide effective remedies, guaranteed withou</w:t>
      </w:r>
      <w:r>
        <w:t>t discrimination, for violations of the rights under the instrument, including, as appropriate, through judicial and other adjudication mechanisms. This duty stems from Articles 2(a), 2(b) and 3 of the ICESCR and also from the guarantees of effective remed</w:t>
      </w:r>
      <w:r>
        <w:t>ies arising in conjunction with the International Covenant on Civil and Political Rights (ICCPR). Accordingly, States must demonstrate in their periodic reviews before CESCR that there is effective access to justice in relation to ESCER violations.</w:t>
      </w:r>
    </w:p>
    <w:p w14:paraId="00000006" w14:textId="77777777" w:rsidR="00154A04" w:rsidRDefault="00154A04"/>
    <w:p w14:paraId="00000007" w14:textId="77777777" w:rsidR="00154A04" w:rsidRDefault="006C1217">
      <w:r>
        <w:t>Access</w:t>
      </w:r>
      <w:r>
        <w:t xml:space="preserve"> to justice implies effective and just procedural and substantive adjudication, based on the existence of independent, competent and impartial tribunals that uphold the guarantees of due process of law, anchored in equality and proactive in addressing the </w:t>
      </w:r>
      <w:r>
        <w:t>structural causes of violations, including through systematic application of the right to equality and non-discrimination. Judicial remedies must be available, accessible and effective, which means they must exist in law and in practice; must have the nece</w:t>
      </w:r>
      <w:r>
        <w:t>ssary legal assistance and other supports to enable redress to be sought; and corresponding decisions claiming rights must be monitored and enforced. As CESCR explains:</w:t>
      </w:r>
    </w:p>
    <w:p w14:paraId="00000008" w14:textId="77777777" w:rsidR="00154A04" w:rsidRDefault="00154A04"/>
    <w:p w14:paraId="00000009" w14:textId="77777777" w:rsidR="00154A04" w:rsidRDefault="006C1217">
      <w:pPr>
        <w:ind w:left="720"/>
      </w:pPr>
      <w:r>
        <w:t>Covenant norms must be recognized in appropriate ways within the domestic legal order,</w:t>
      </w:r>
      <w:r>
        <w:t xml:space="preserve"> appropriate means of redress, or remedies, must be available to any aggrieved individual or group, and appropriate means of ensuring governmental accountability must be put in place. </w:t>
      </w:r>
      <w:r>
        <w:rPr>
          <w:vertAlign w:val="superscript"/>
        </w:rPr>
        <w:footnoteReference w:id="1"/>
      </w:r>
    </w:p>
    <w:p w14:paraId="0000000A" w14:textId="77777777" w:rsidR="00154A04" w:rsidRDefault="00154A04"/>
    <w:p w14:paraId="0000000B" w14:textId="77777777" w:rsidR="00154A04" w:rsidRDefault="006C1217">
      <w:r>
        <w:t>Also according to the Committee:</w:t>
      </w:r>
    </w:p>
    <w:p w14:paraId="0000000C" w14:textId="77777777" w:rsidR="00154A04" w:rsidRDefault="00154A04">
      <w:pPr>
        <w:ind w:left="720"/>
      </w:pPr>
    </w:p>
    <w:p w14:paraId="0000000D" w14:textId="77777777" w:rsidR="00154A04" w:rsidRDefault="006C1217">
      <w:pPr>
        <w:ind w:left="720"/>
      </w:pPr>
      <w:r>
        <w:t>[t]he means which should be used i</w:t>
      </w:r>
      <w:r>
        <w:t>n order to satisfy the obligation to take steps are stated in article 2 (1) to be “all appropriate means, including particularly the adoption of legislative measures”… Among the measures which might be considered appropriate, in addition to legislation, is</w:t>
      </w:r>
      <w:r>
        <w:t xml:space="preserve"> the provision of judicial remedies with respect to rights which may, in accordance with the national legal system, be considered justiciable. The </w:t>
      </w:r>
      <w:r>
        <w:lastRenderedPageBreak/>
        <w:t>Committee notes, for example, that the enjoyment of the rights recognized, without discrimination, will often</w:t>
      </w:r>
      <w:r>
        <w:t xml:space="preserve"> be appropriately promoted, in part, through the provision of judicial or other effective remedies. Indeed, those States parties which are also parties to the International Covenant on Civil and Political Rights are already obligated (by virtue of articles</w:t>
      </w:r>
      <w:r>
        <w:t xml:space="preserve"> 2 (paras. 1 and 3), 3 and 26) of that Covenant to ensure that any person whose rights or freedoms (including the right to equality and non-discrimination) recognized in that Covenant are violated, “shall have an effective remedy” (art. 2 (3) (a))....</w:t>
      </w:r>
      <w:r>
        <w:rPr>
          <w:vertAlign w:val="superscript"/>
        </w:rPr>
        <w:footnoteReference w:id="2"/>
      </w:r>
    </w:p>
    <w:p w14:paraId="0000000E" w14:textId="77777777" w:rsidR="00154A04" w:rsidRDefault="00154A04"/>
    <w:p w14:paraId="0000000F" w14:textId="77777777" w:rsidR="00154A04" w:rsidRDefault="006C1217">
      <w:pPr>
        <w:ind w:right="-720"/>
      </w:pPr>
      <w:r>
        <w:t>T</w:t>
      </w:r>
      <w:r>
        <w:t>he Committee clarifies that “there is no Covenant right which could not, in the great majority of systems, be considered to possess at least some significant justiciable dimensions.”</w:t>
      </w:r>
      <w:r>
        <w:rPr>
          <w:vertAlign w:val="superscript"/>
        </w:rPr>
        <w:footnoteReference w:id="3"/>
      </w:r>
    </w:p>
    <w:p w14:paraId="00000010" w14:textId="77777777" w:rsidR="00154A04" w:rsidRDefault="00154A04"/>
    <w:p w14:paraId="00000011" w14:textId="77777777" w:rsidR="00154A04" w:rsidRDefault="006C1217">
      <w:r>
        <w:t xml:space="preserve">Within the scope of these guarantees, this report presents matters in </w:t>
      </w:r>
      <w:r>
        <w:t>which the Brazilian State has failed to comply with its duty to provide effective access to justice in relation to ESCER, specifically with regard to:</w:t>
      </w:r>
    </w:p>
    <w:p w14:paraId="00000012" w14:textId="77777777" w:rsidR="00154A04" w:rsidRDefault="00154A04">
      <w:pPr>
        <w:ind w:left="720"/>
      </w:pPr>
    </w:p>
    <w:p w14:paraId="00000013" w14:textId="77777777" w:rsidR="00154A04" w:rsidRDefault="006C1217">
      <w:pPr>
        <w:ind w:left="720"/>
      </w:pPr>
      <w:r>
        <w:t>A) racism and sexism in the justice system;</w:t>
      </w:r>
    </w:p>
    <w:p w14:paraId="00000014" w14:textId="77777777" w:rsidR="00154A04" w:rsidRDefault="006C1217">
      <w:pPr>
        <w:ind w:left="720"/>
      </w:pPr>
      <w:r>
        <w:t>B) violations arising from violent police incursions into the favelas, contrary to an express decision of the Federal Supreme Tribunal (STF); and</w:t>
      </w:r>
    </w:p>
    <w:p w14:paraId="00000015" w14:textId="77777777" w:rsidR="00154A04" w:rsidRDefault="006C1217">
      <w:pPr>
        <w:ind w:left="720"/>
        <w:rPr>
          <w:b/>
        </w:rPr>
      </w:pPr>
      <w:r>
        <w:t>C) rights of Indigenous Peoples to their ancestral territories threatened by the temporal framework argument (</w:t>
      </w:r>
      <w:r>
        <w:rPr>
          <w:i/>
        </w:rPr>
        <w:t>tese do marco temporal</w:t>
      </w:r>
      <w:r>
        <w:t>) currently being evaluated by the STF.</w:t>
      </w:r>
    </w:p>
    <w:p w14:paraId="00000016" w14:textId="77777777" w:rsidR="00154A04" w:rsidRDefault="006C1217">
      <w:pPr>
        <w:pStyle w:val="Heading1"/>
      </w:pPr>
      <w:bookmarkStart w:id="1" w:name="_aubik7rjo8ia" w:colFirst="0" w:colLast="0"/>
      <w:bookmarkEnd w:id="1"/>
      <w:r>
        <w:t>Racism and sexism in the justice system</w:t>
      </w:r>
    </w:p>
    <w:p w14:paraId="00000017" w14:textId="77777777" w:rsidR="00154A04" w:rsidRDefault="006C1217">
      <w:pPr>
        <w:pBdr>
          <w:top w:val="nil"/>
          <w:left w:val="nil"/>
          <w:bottom w:val="nil"/>
          <w:right w:val="nil"/>
          <w:between w:val="nil"/>
        </w:pBdr>
      </w:pPr>
      <w:r>
        <w:t>Access to justice in Brazil cannot be understood without considering the interconnection between formal equality and existing social disparities. This ana</w:t>
      </w:r>
      <w:r>
        <w:t>lysis aims to highlight the empirical barriers that hinder black people in their search for justice and the affirmation of their rights.</w:t>
      </w:r>
    </w:p>
    <w:p w14:paraId="00000018" w14:textId="77777777" w:rsidR="00154A04" w:rsidRDefault="00154A04">
      <w:pPr>
        <w:pBdr>
          <w:top w:val="nil"/>
          <w:left w:val="nil"/>
          <w:bottom w:val="nil"/>
          <w:right w:val="nil"/>
          <w:between w:val="nil"/>
        </w:pBdr>
      </w:pPr>
    </w:p>
    <w:p w14:paraId="00000019" w14:textId="77777777" w:rsidR="00154A04" w:rsidRDefault="006C1217">
      <w:pPr>
        <w:pBdr>
          <w:top w:val="nil"/>
          <w:left w:val="nil"/>
          <w:bottom w:val="nil"/>
          <w:right w:val="nil"/>
          <w:between w:val="nil"/>
        </w:pBdr>
      </w:pPr>
      <w:r>
        <w:t>Although black, brown and Indigenous communities represent a significant majority--about 57.3% of the Brazilian popula</w:t>
      </w:r>
      <w:r>
        <w:t>tion</w:t>
      </w:r>
      <w:r>
        <w:rPr>
          <w:vertAlign w:val="superscript"/>
        </w:rPr>
        <w:footnoteReference w:id="4"/>
      </w:r>
      <w:r>
        <w:t>--they are often treated politically as minorities. This situation directly reflects the social marginalization to which they are subjected. The designation of "minority" is intrinsically linked to dependence on more privileged groups and the structu</w:t>
      </w:r>
      <w:r>
        <w:t>ral and institutional consequences of racism, perpetuating inequalities that cross all spheres of society.</w:t>
      </w:r>
    </w:p>
    <w:p w14:paraId="0000001A" w14:textId="77777777" w:rsidR="00154A04" w:rsidRDefault="00154A04">
      <w:pPr>
        <w:pBdr>
          <w:top w:val="nil"/>
          <w:left w:val="nil"/>
          <w:bottom w:val="nil"/>
          <w:right w:val="nil"/>
          <w:between w:val="nil"/>
        </w:pBdr>
      </w:pPr>
    </w:p>
    <w:p w14:paraId="0000001B" w14:textId="77777777" w:rsidR="00154A04" w:rsidRDefault="006C1217">
      <w:pPr>
        <w:pBdr>
          <w:top w:val="nil"/>
          <w:left w:val="nil"/>
          <w:bottom w:val="nil"/>
          <w:right w:val="nil"/>
          <w:between w:val="nil"/>
        </w:pBdr>
      </w:pPr>
      <w:r>
        <w:t>Understanding the complexities of institutional racism is crucial to analyzing the role of the Brazilian justice system, which reflects and reinforc</w:t>
      </w:r>
      <w:r>
        <w:t>es institutional policies that generate substantial inequalities between different socio-racial groups.</w:t>
      </w:r>
    </w:p>
    <w:p w14:paraId="0000001C" w14:textId="77777777" w:rsidR="00154A04" w:rsidRDefault="00154A04">
      <w:pPr>
        <w:pBdr>
          <w:top w:val="nil"/>
          <w:left w:val="nil"/>
          <w:bottom w:val="nil"/>
          <w:right w:val="nil"/>
          <w:between w:val="nil"/>
        </w:pBdr>
      </w:pPr>
    </w:p>
    <w:p w14:paraId="0000001D" w14:textId="77777777" w:rsidR="00154A04" w:rsidRDefault="006C1217">
      <w:pPr>
        <w:pBdr>
          <w:top w:val="nil"/>
          <w:left w:val="nil"/>
          <w:bottom w:val="nil"/>
          <w:right w:val="nil"/>
          <w:between w:val="nil"/>
        </w:pBdr>
      </w:pPr>
      <w:r>
        <w:t>The Brazilian legal and regulatory framework contains a set of instruments aimed at ensuring equity in access to justice. The Brazilian Constitution of</w:t>
      </w:r>
      <w:r>
        <w:t xml:space="preserve"> 1988, a fundamental milestone, enshrines equality and non-discrimination as fundamental principles. The Statute of Racial </w:t>
      </w:r>
      <w:r>
        <w:lastRenderedPageBreak/>
        <w:t>Equality, in turn, reinforces this agenda by seeking to regulate the promotion of racial equality and the fight against racism. Cruci</w:t>
      </w:r>
      <w:r>
        <w:t>al laws, such as the Maria da Penha Law and the Child and Adolescent Statute, focus on protecting victims of gender-based violence and vulnerable children.</w:t>
      </w:r>
    </w:p>
    <w:p w14:paraId="0000001E" w14:textId="77777777" w:rsidR="00154A04" w:rsidRDefault="00154A04">
      <w:pPr>
        <w:pBdr>
          <w:top w:val="nil"/>
          <w:left w:val="nil"/>
          <w:bottom w:val="nil"/>
          <w:right w:val="nil"/>
          <w:between w:val="nil"/>
        </w:pBdr>
      </w:pPr>
    </w:p>
    <w:p w14:paraId="0000001F" w14:textId="77777777" w:rsidR="00154A04" w:rsidRDefault="006C1217">
      <w:pPr>
        <w:pBdr>
          <w:top w:val="nil"/>
          <w:left w:val="nil"/>
          <w:bottom w:val="nil"/>
          <w:right w:val="nil"/>
          <w:between w:val="nil"/>
        </w:pBdr>
      </w:pPr>
      <w:r>
        <w:t xml:space="preserve">Despite continued regulatory advances, full implementation faces significant challenges. Obstacles </w:t>
      </w:r>
      <w:r>
        <w:t>such as lack of education, insufficient resources and judicial slowness have hindered the implementation of these principles. The Brazilian penal system, instead of guaranteeing the rights of vulnerable and marginalized groups, often fails to provide prote</w:t>
      </w:r>
      <w:r>
        <w:t>ction, imposing barriers that exacerbate their vulnerabilities.</w:t>
      </w:r>
    </w:p>
    <w:p w14:paraId="00000020" w14:textId="77777777" w:rsidR="00154A04" w:rsidRDefault="00154A04">
      <w:pPr>
        <w:pBdr>
          <w:top w:val="nil"/>
          <w:left w:val="nil"/>
          <w:bottom w:val="nil"/>
          <w:right w:val="nil"/>
          <w:between w:val="nil"/>
        </w:pBdr>
      </w:pPr>
    </w:p>
    <w:p w14:paraId="00000021" w14:textId="77777777" w:rsidR="00154A04" w:rsidRDefault="006C1217">
      <w:pPr>
        <w:pBdr>
          <w:top w:val="nil"/>
          <w:left w:val="nil"/>
          <w:bottom w:val="nil"/>
          <w:right w:val="nil"/>
          <w:between w:val="nil"/>
        </w:pBdr>
      </w:pPr>
      <w:r>
        <w:t>The Access to Justice Index (IAJ)</w:t>
      </w:r>
      <w:r>
        <w:rPr>
          <w:vertAlign w:val="superscript"/>
        </w:rPr>
        <w:footnoteReference w:id="5"/>
      </w:r>
      <w:r>
        <w:t xml:space="preserve">, launched by the National Council of Justice (CNJ) in collaboration with the United Nations Development Program (UNDP), highlights a worrying reality. The </w:t>
      </w:r>
      <w:r>
        <w:t>states with the lowest access rates are predominantly concentrated in the North and Northeast regions, evidencing the significant impact of regional inequality on access to justice.</w:t>
      </w:r>
    </w:p>
    <w:p w14:paraId="00000022" w14:textId="77777777" w:rsidR="00154A04" w:rsidRDefault="00154A04">
      <w:pPr>
        <w:pBdr>
          <w:top w:val="nil"/>
          <w:left w:val="nil"/>
          <w:bottom w:val="nil"/>
          <w:right w:val="nil"/>
          <w:between w:val="nil"/>
        </w:pBdr>
      </w:pPr>
    </w:p>
    <w:p w14:paraId="00000023" w14:textId="77777777" w:rsidR="00154A04" w:rsidRDefault="006C1217">
      <w:r>
        <w:t>The systematic discrimination and selectivity of the justice system in Br</w:t>
      </w:r>
      <w:r>
        <w:t>azil is clearly illustrated by the excessive criminalization of people of black origin and low income, with special emphasis on women, which proves to be an inexhaustible source of violations of human rights, in direct affront to constitutional precepts.</w:t>
      </w:r>
    </w:p>
    <w:p w14:paraId="00000024" w14:textId="77777777" w:rsidR="00154A04" w:rsidRDefault="00154A04">
      <w:pPr>
        <w:pBdr>
          <w:top w:val="nil"/>
          <w:left w:val="nil"/>
          <w:bottom w:val="nil"/>
          <w:right w:val="nil"/>
          <w:between w:val="nil"/>
        </w:pBdr>
      </w:pPr>
    </w:p>
    <w:p w14:paraId="00000025" w14:textId="77777777" w:rsidR="00154A04" w:rsidRDefault="006C1217">
      <w:r>
        <w:t>Brazil unfortunately occupies third place in the ranking of countries with the largest global prison population. In this sad scenario, the majority of detainees are young black individuals, many from poor communities with low educational levels. The phenom</w:t>
      </w:r>
      <w:r>
        <w:t>enon of mass incarceration in the country is deeply rooted in the context of structural racism, which is perpetuated by public security strategies based on the so-called "war on drugs."</w:t>
      </w:r>
    </w:p>
    <w:p w14:paraId="00000026" w14:textId="77777777" w:rsidR="00154A04" w:rsidRDefault="00154A04">
      <w:pPr>
        <w:pBdr>
          <w:top w:val="nil"/>
          <w:left w:val="nil"/>
          <w:bottom w:val="nil"/>
          <w:right w:val="nil"/>
          <w:between w:val="nil"/>
        </w:pBdr>
      </w:pPr>
    </w:p>
    <w:p w14:paraId="00000027" w14:textId="77777777" w:rsidR="00154A04" w:rsidRDefault="006C1217">
      <w:pPr>
        <w:pBdr>
          <w:top w:val="nil"/>
          <w:left w:val="nil"/>
          <w:bottom w:val="nil"/>
          <w:right w:val="nil"/>
          <w:between w:val="nil"/>
        </w:pBdr>
      </w:pPr>
      <w:r>
        <w:t xml:space="preserve">The legal representation of those investigated or accused, conducted </w:t>
      </w:r>
      <w:r>
        <w:t>by lawyers or public defenders, must be guaranteed throughout the entire process, starting with the police investigation, however, this does not always occur. A striking disparity is observed in the frequency and quality of defense offered between rich and</w:t>
      </w:r>
      <w:r>
        <w:t xml:space="preserve"> poor defendants, between whites and blacks, and this is also one of the causes of disparities and racial bias that we find in the prison population. Regarding this subject, it is important to point out that, according to data from the National Survey of t</w:t>
      </w:r>
      <w:r>
        <w:t>he Public Defender's Office</w:t>
      </w:r>
      <w:r>
        <w:rPr>
          <w:vertAlign w:val="superscript"/>
        </w:rPr>
        <w:footnoteReference w:id="6"/>
      </w:r>
      <w:r>
        <w:t>, around 56,395,387 citizens do not have access to legal assistance provided by the Public Defender's Office within the scope of State Justice. This happens in a context where, in relation to the 2021 budget, the resources allo</w:t>
      </w:r>
      <w:r>
        <w:t>cated to the Public Defender's Office are 313.0% less than those allocated to the Public Ministry, and 1,575.4% less compared to the Judiciary.</w:t>
      </w:r>
    </w:p>
    <w:p w14:paraId="00000028" w14:textId="77777777" w:rsidR="00154A04" w:rsidRDefault="00154A04">
      <w:pPr>
        <w:pBdr>
          <w:top w:val="nil"/>
          <w:left w:val="nil"/>
          <w:bottom w:val="nil"/>
          <w:right w:val="nil"/>
          <w:between w:val="nil"/>
        </w:pBdr>
      </w:pPr>
    </w:p>
    <w:p w14:paraId="00000029" w14:textId="77777777" w:rsidR="00154A04" w:rsidRDefault="006C1217">
      <w:pPr>
        <w:pBdr>
          <w:top w:val="nil"/>
          <w:left w:val="nil"/>
          <w:bottom w:val="nil"/>
          <w:right w:val="nil"/>
          <w:between w:val="nil"/>
        </w:pBdr>
      </w:pPr>
      <w:r>
        <w:t xml:space="preserve">The selectivity of the penal system is undeniable. In the period from 2005 to 2022, there was a 215% increase in the white incarcerated population, causing its proportion in the total number of </w:t>
      </w:r>
      <w:r>
        <w:lastRenderedPageBreak/>
        <w:t>white prisoners to decrease from 39.8% to 30.4% in the most re</w:t>
      </w:r>
      <w:r>
        <w:t>cent year. On the other hand, the black population showed an alarming increase of 381.3% in the same period. In 2005, black individuals constituted 58.4% of the prison population, a number that rose to 68.2% in 2022,</w:t>
      </w:r>
      <w:r>
        <w:rPr>
          <w:vertAlign w:val="superscript"/>
        </w:rPr>
        <w:footnoteReference w:id="7"/>
      </w:r>
      <w:r>
        <w:t xml:space="preserve"> representing the highest level in the</w:t>
      </w:r>
      <w:r>
        <w:t xml:space="preserve"> historical series available. In sum, the Brazilian prison system increasingly highlights the racism that permeates Brazilian society.</w:t>
      </w:r>
    </w:p>
    <w:p w14:paraId="0000002A" w14:textId="77777777" w:rsidR="00154A04" w:rsidRDefault="00154A04">
      <w:pPr>
        <w:pBdr>
          <w:top w:val="nil"/>
          <w:left w:val="nil"/>
          <w:bottom w:val="nil"/>
          <w:right w:val="nil"/>
          <w:between w:val="nil"/>
        </w:pBdr>
      </w:pPr>
    </w:p>
    <w:p w14:paraId="0000002B" w14:textId="77777777" w:rsidR="00154A04" w:rsidRDefault="006C1217">
      <w:pPr>
        <w:pBdr>
          <w:top w:val="nil"/>
          <w:left w:val="nil"/>
          <w:bottom w:val="nil"/>
          <w:right w:val="nil"/>
          <w:between w:val="nil"/>
        </w:pBdr>
      </w:pPr>
      <w:r>
        <w:t>Selective female incarceration, which is even more pronounced than male, significantly reinforces the social exclusion o</w:t>
      </w:r>
      <w:r>
        <w:t>f these women and the children who depend on them. In addition, structural machismo, deeply rooted in all levels of society, is a powerful factor making women a vulnerable target of the "war on drugs" policies.</w:t>
      </w:r>
    </w:p>
    <w:p w14:paraId="0000002C" w14:textId="77777777" w:rsidR="00154A04" w:rsidRDefault="00154A04">
      <w:pPr>
        <w:pBdr>
          <w:top w:val="nil"/>
          <w:left w:val="nil"/>
          <w:bottom w:val="nil"/>
          <w:right w:val="nil"/>
          <w:between w:val="nil"/>
        </w:pBdr>
      </w:pPr>
    </w:p>
    <w:p w14:paraId="0000002D" w14:textId="77777777" w:rsidR="00154A04" w:rsidRDefault="006C1217">
      <w:pPr>
        <w:pBdr>
          <w:top w:val="nil"/>
          <w:left w:val="nil"/>
          <w:bottom w:val="nil"/>
          <w:right w:val="nil"/>
          <w:between w:val="nil"/>
        </w:pBdr>
      </w:pPr>
      <w:r>
        <w:t>Even when they are not directly the target o</w:t>
      </w:r>
      <w:r>
        <w:t>f criminal proceedings, women's bodies become subjects of control and repression by the penal system. The degrading practice of humiliating strip searches, regrettably still present in the daily life of detention institutions in Brazil, especially forces w</w:t>
      </w:r>
      <w:r>
        <w:t>omen - mothers, wives, companions and daughters- to undress, expose and have their genitals searched, as a condition for visiting the prison and person with whom they maintain an affective and family bond. Each week, thousands of people, predominantly wome</w:t>
      </w:r>
      <w:r>
        <w:t>n and children, who seek to visit an incarcerated relative, are searched naked and without proper hygiene conditions through the vexatious search. This is despite the existence of state and national laws that explicitly prohibit the practice, as well as th</w:t>
      </w:r>
      <w:r>
        <w:t>e implementation of body scanners. Unfortunately, strip searches persist as a sad reality in Brazilian prisons.</w:t>
      </w:r>
    </w:p>
    <w:p w14:paraId="0000002E" w14:textId="77777777" w:rsidR="00154A04" w:rsidRDefault="00154A04">
      <w:pPr>
        <w:pBdr>
          <w:top w:val="nil"/>
          <w:left w:val="nil"/>
          <w:bottom w:val="nil"/>
          <w:right w:val="nil"/>
          <w:between w:val="nil"/>
        </w:pBdr>
      </w:pPr>
    </w:p>
    <w:p w14:paraId="0000002F" w14:textId="77777777" w:rsidR="00154A04" w:rsidRDefault="006C1217">
      <w:pPr>
        <w:pBdr>
          <w:top w:val="nil"/>
          <w:left w:val="nil"/>
          <w:bottom w:val="nil"/>
          <w:right w:val="nil"/>
          <w:between w:val="nil"/>
        </w:pBdr>
      </w:pPr>
      <w:r>
        <w:t>With the purpose of exposing the consequences resulting from this practice, seven civil society organizations joined efforts to launch the repo</w:t>
      </w:r>
      <w:r>
        <w:t>rt entitled “Revista Vexatória: uma prática constante.”</w:t>
      </w:r>
      <w:r>
        <w:rPr>
          <w:vertAlign w:val="superscript"/>
        </w:rPr>
        <w:footnoteReference w:id="8"/>
      </w:r>
      <w:r>
        <w:t xml:space="preserve"> In this publication, testimonies of relatives of incarcerated individuals are shared, revealing the profile of these victims. A notable finding is that the overwhelming majority of family members ar</w:t>
      </w:r>
      <w:r>
        <w:t>e women, of whom 68.1% are black, a proportion that parallels the prison population itself, in which 55.4% of prisoners are also black (according to Infopen, 2017).</w:t>
      </w:r>
    </w:p>
    <w:p w14:paraId="00000030" w14:textId="77777777" w:rsidR="00154A04" w:rsidRDefault="00154A04">
      <w:pPr>
        <w:pBdr>
          <w:top w:val="nil"/>
          <w:left w:val="nil"/>
          <w:bottom w:val="nil"/>
          <w:right w:val="nil"/>
          <w:between w:val="nil"/>
        </w:pBdr>
      </w:pPr>
    </w:p>
    <w:p w14:paraId="00000031" w14:textId="77777777" w:rsidR="00154A04" w:rsidRDefault="006C1217">
      <w:pPr>
        <w:pBdr>
          <w:top w:val="nil"/>
          <w:left w:val="nil"/>
          <w:bottom w:val="nil"/>
          <w:right w:val="nil"/>
          <w:between w:val="nil"/>
        </w:pBdr>
      </w:pPr>
      <w:r>
        <w:t>Female incarceration in Brazil is a reality that reflects the complex intersection of soci</w:t>
      </w:r>
      <w:r>
        <w:t>al, economic, racial and gender factors. The intersectionality approach, developed by Kimberlé Crenshaw, is crucial to understanding the situations of invisibility faced by black women in this context. Intersectionality recognizes that social categories su</w:t>
      </w:r>
      <w:r>
        <w:t>ch as gender, race, class and sexual orientation do not operate in isolation, but overlap and interact to create unique and often marginalized experiences. In the case of female incarceration in Brazil, intersectionality allows a deeper analysis of the con</w:t>
      </w:r>
      <w:r>
        <w:t>ditions of black women, revealing how racial and gender discrimination combine to aggravate their situation.</w:t>
      </w:r>
    </w:p>
    <w:p w14:paraId="00000032" w14:textId="77777777" w:rsidR="00154A04" w:rsidRDefault="00154A04">
      <w:pPr>
        <w:pBdr>
          <w:top w:val="nil"/>
          <w:left w:val="nil"/>
          <w:bottom w:val="nil"/>
          <w:right w:val="nil"/>
          <w:between w:val="nil"/>
        </w:pBdr>
      </w:pPr>
    </w:p>
    <w:p w14:paraId="00000033" w14:textId="77777777" w:rsidR="00154A04" w:rsidRDefault="006C1217">
      <w:pPr>
        <w:pBdr>
          <w:top w:val="nil"/>
          <w:left w:val="nil"/>
          <w:bottom w:val="nil"/>
          <w:right w:val="nil"/>
          <w:between w:val="nil"/>
        </w:pBdr>
      </w:pPr>
      <w:r>
        <w:t>Black women are disproportionately affected by incarceration relative to white women. The intersection of racism and sexism creates an environment</w:t>
      </w:r>
      <w:r>
        <w:t xml:space="preserve"> that places them in a more vulnerable </w:t>
      </w:r>
      <w:r>
        <w:lastRenderedPageBreak/>
        <w:t xml:space="preserve">position within the criminal justice system. They are often the target of more aggressive police approaches, resulting in arrests </w:t>
      </w:r>
      <w:r>
        <w:rPr>
          <w:i/>
        </w:rPr>
        <w:t>in flagrante</w:t>
      </w:r>
      <w:r>
        <w:t xml:space="preserve"> and disproportionate convictions.</w:t>
      </w:r>
      <w:r>
        <w:rPr>
          <w:vertAlign w:val="superscript"/>
        </w:rPr>
        <w:footnoteReference w:id="9"/>
      </w:r>
    </w:p>
    <w:p w14:paraId="00000034" w14:textId="77777777" w:rsidR="00154A04" w:rsidRDefault="00154A04">
      <w:pPr>
        <w:pBdr>
          <w:top w:val="nil"/>
          <w:left w:val="nil"/>
          <w:bottom w:val="nil"/>
          <w:right w:val="nil"/>
          <w:between w:val="nil"/>
        </w:pBdr>
      </w:pPr>
    </w:p>
    <w:p w14:paraId="00000035" w14:textId="77777777" w:rsidR="00154A04" w:rsidRDefault="006C1217">
      <w:pPr>
        <w:pBdr>
          <w:top w:val="nil"/>
          <w:left w:val="nil"/>
          <w:bottom w:val="nil"/>
          <w:right w:val="nil"/>
          <w:between w:val="nil"/>
        </w:pBdr>
      </w:pPr>
      <w:r>
        <w:t>Another element of analysis on access</w:t>
      </w:r>
      <w:r>
        <w:t xml:space="preserve"> to justice in Brazil is the institution of custody hearings, which are procedures in which the person arrested </w:t>
      </w:r>
      <w:r>
        <w:rPr>
          <w:i/>
        </w:rPr>
        <w:t>in</w:t>
      </w:r>
      <w:r>
        <w:t xml:space="preserve"> </w:t>
      </w:r>
      <w:r>
        <w:rPr>
          <w:i/>
        </w:rPr>
        <w:t>flagrante delicto</w:t>
      </w:r>
      <w:r>
        <w:t>, or by warrant, is taken to the presence of a judicial authority within 24 hours. During the hearing, the judge assesses whether the arrest is legal and whether there is a need to continue it, in addition to checking whether there was ill-treatment or pol</w:t>
      </w:r>
      <w:r>
        <w:t>ice abuse during the arrest.</w:t>
      </w:r>
    </w:p>
    <w:p w14:paraId="00000036" w14:textId="77777777" w:rsidR="00154A04" w:rsidRDefault="00154A04">
      <w:pPr>
        <w:pBdr>
          <w:top w:val="nil"/>
          <w:left w:val="nil"/>
          <w:bottom w:val="nil"/>
          <w:right w:val="nil"/>
          <w:between w:val="nil"/>
        </w:pBdr>
      </w:pPr>
    </w:p>
    <w:p w14:paraId="00000037" w14:textId="77777777" w:rsidR="00154A04" w:rsidRDefault="006C1217">
      <w:pPr>
        <w:pBdr>
          <w:top w:val="nil"/>
          <w:left w:val="nil"/>
          <w:bottom w:val="nil"/>
          <w:right w:val="nil"/>
          <w:between w:val="nil"/>
        </w:pBdr>
      </w:pPr>
      <w:r>
        <w:t>The Rede de Justiça Criminal's report, titled "Erro no Sistema de Justiça: O Desmonte das Audiências de Custódia,"</w:t>
      </w:r>
      <w:r>
        <w:rPr>
          <w:vertAlign w:val="superscript"/>
        </w:rPr>
        <w:footnoteReference w:id="10"/>
      </w:r>
      <w:r>
        <w:t xml:space="preserve"> highlights the suspension or reduction of custody hearing in various parts of Brazil, especially during the C</w:t>
      </w:r>
      <w:r>
        <w:t>OVID-19 pandemic. The suspension of custody hearings directly affects the rights of persons deprived of liberty, especially those at greater vulnerability, such as black, poor and residents of the peripheries, as it prevents them from having access to a ju</w:t>
      </w:r>
      <w:r>
        <w:t>dge within 24 hours of arrest, which can lead to illegal and prolonged imprisonment. In addition, the suspension of custody hearings may increase the risk of ill-treatment and torture during imprisonment, as there is no immediate assessment of the person's</w:t>
      </w:r>
      <w:r>
        <w:t xml:space="preserve"> situation, in addition to contributing to prison overcrowding and the expenses arising from maintenance. of improperly provisional detainees. One of the highlighted challenges is the adoption of virtualization of custody hearings through videoconferencing</w:t>
      </w:r>
      <w:r>
        <w:t xml:space="preserve">, an approach that undermines the primary purpose of these hearings: preventing and combating torture resulting from police abuse and other irregularities in arrests </w:t>
      </w:r>
      <w:r>
        <w:rPr>
          <w:i/>
        </w:rPr>
        <w:t>in flagrante delicto</w:t>
      </w:r>
      <w:r>
        <w:t>. The Rede de Justiça Criminal report notes that the virtualization of</w:t>
      </w:r>
      <w:r>
        <w:t xml:space="preserve"> custody hearings has been implemented on the basis of common sense, without proper financial or social impact assessment. Another problematic aspect identified is holding custody hearings in police stations, environments that are not ideal for this purpos</w:t>
      </w:r>
      <w:r>
        <w:t>e and have faced challenges related to connections and work overload.</w:t>
      </w:r>
    </w:p>
    <w:p w14:paraId="00000038" w14:textId="77777777" w:rsidR="00154A04" w:rsidRDefault="00154A04">
      <w:pPr>
        <w:pBdr>
          <w:top w:val="nil"/>
          <w:left w:val="nil"/>
          <w:bottom w:val="nil"/>
          <w:right w:val="nil"/>
          <w:between w:val="nil"/>
        </w:pBdr>
      </w:pPr>
    </w:p>
    <w:p w14:paraId="00000039" w14:textId="77777777" w:rsidR="00154A04" w:rsidRDefault="006C1217">
      <w:pPr>
        <w:pBdr>
          <w:top w:val="nil"/>
          <w:left w:val="nil"/>
          <w:bottom w:val="nil"/>
          <w:right w:val="nil"/>
          <w:between w:val="nil"/>
        </w:pBdr>
        <w:rPr>
          <w:color w:val="FF0000"/>
        </w:rPr>
      </w:pPr>
      <w:r>
        <w:t>In conclusion, access to justice in Brazil is intrinsically linked to existing racial and social disparities. Institutional racism permeates the judicial system, reinforcing inequalitie</w:t>
      </w:r>
      <w:r>
        <w:t>s and hindering the search for justice. Despite regulatory advances, effective implementation encounters significant obstacles. The issue of mass incarceration and the lack of equal access to justice--with significant negative repercussions on the ESCER of</w:t>
      </w:r>
      <w:r>
        <w:t xml:space="preserve"> populations disproportionately affected by the State's repressive apparatus--shows the urgent need for structural reforms to promote a more inclusive and egalitarian justice system.</w:t>
      </w:r>
    </w:p>
    <w:p w14:paraId="0000003A" w14:textId="77777777" w:rsidR="00154A04" w:rsidRDefault="006C1217">
      <w:pPr>
        <w:pStyle w:val="Heading1"/>
      </w:pPr>
      <w:bookmarkStart w:id="2" w:name="_gzttjt2xnrmn" w:colFirst="0" w:colLast="0"/>
      <w:bookmarkEnd w:id="2"/>
      <w:r>
        <w:t>Violent police incursions in favelas, contrary to an express judicial dec</w:t>
      </w:r>
      <w:r>
        <w:t>ision</w:t>
      </w:r>
    </w:p>
    <w:p w14:paraId="0000003B" w14:textId="77777777" w:rsidR="00154A04" w:rsidRDefault="006C1217">
      <w:pPr>
        <w:spacing w:before="240" w:after="240"/>
        <w:jc w:val="both"/>
      </w:pPr>
      <w:r>
        <w:t>Police violence continues to be a source of serious violations of human rights in the country, including the rights to life, personal integrity and privacy, as well as the range of ESCER, such as the rights to housing, among others. One of the most visible</w:t>
      </w:r>
      <w:r>
        <w:t xml:space="preserve"> examples is revealed in the violent </w:t>
      </w:r>
      <w:r>
        <w:lastRenderedPageBreak/>
        <w:t>and invasive police operations in the favelas. Despite an express judicial decision imposing limits on such violent police invasions, they continued to be carried out, contrary to the order of the STF.</w:t>
      </w:r>
    </w:p>
    <w:p w14:paraId="0000003C" w14:textId="77777777" w:rsidR="00154A04" w:rsidRDefault="006C1217">
      <w:pPr>
        <w:spacing w:before="240" w:after="240"/>
        <w:jc w:val="both"/>
      </w:pPr>
      <w:r>
        <w:t>The issue of poli</w:t>
      </w:r>
      <w:r>
        <w:t>ce lethality emerges as a serious problem that compromises human rights in Brazil, especially affecting more vulnerable groups, such as the black population, low-income individuals and residents of favelas. As indicated by the 17th Brazilian Public Securit</w:t>
      </w:r>
      <w:r>
        <w:t>y Yearbook, in the year 2022, the context of police interventions resulted in the deaths of 6,429 people in Brazil. It is alarming to realize that Bahia and Rio de Janeiro stand out as the Brazilian states with the highest rates of police fatality, with 10</w:t>
      </w:r>
      <w:r>
        <w:t>.4 deaths per 100,000 inhabitants and 8.3 deaths per 100,000 inhabitants, respectively. It is worth noting that the São Paulo police have also had a history marked by high lethality rates.</w:t>
      </w:r>
    </w:p>
    <w:p w14:paraId="0000003D" w14:textId="77777777" w:rsidR="00154A04" w:rsidRDefault="006C1217">
      <w:pPr>
        <w:spacing w:before="240" w:after="240"/>
        <w:jc w:val="both"/>
      </w:pPr>
      <w:r>
        <w:t>This contemporary scenario opposes the principles established in th</w:t>
      </w:r>
      <w:r>
        <w:t>e Federal Constitution of 1988. In article 5, both the caput and item XLVII reaffirm the inviolability of the right to life and prohibit the death penalty, except in situations of armed conflict. Additionally, the American Convention on Human Rights impose</w:t>
      </w:r>
      <w:r>
        <w:t>s obligations regarding the safeguarding of the right to life and integrity of all people, highlighting the duty to promote equity and eliminate discrimination in all spheres of action.</w:t>
      </w:r>
    </w:p>
    <w:p w14:paraId="0000003E" w14:textId="77777777" w:rsidR="00154A04" w:rsidRDefault="006C1217">
      <w:pPr>
        <w:spacing w:before="240" w:after="240"/>
        <w:jc w:val="both"/>
      </w:pPr>
      <w:r>
        <w:t>The guidelines outlined in the Minnesota Protocol, presented by the UN</w:t>
      </w:r>
      <w:r>
        <w:t xml:space="preserve"> in 1991 and revised in 2016, address investigations of homicides perpetrated by security agents, recommending that such processes be prompt, effective and thorough. In addition, the need for independence, impartiality and transparency in these investigati</w:t>
      </w:r>
      <w:r>
        <w:t>ons is emphasized.</w:t>
      </w:r>
    </w:p>
    <w:p w14:paraId="0000003F" w14:textId="77777777" w:rsidR="00154A04" w:rsidRDefault="006C1217">
      <w:pPr>
        <w:spacing w:before="240" w:after="240"/>
        <w:jc w:val="both"/>
      </w:pPr>
      <w:r>
        <w:t xml:space="preserve">Within this context, the Third National Human Rights Program (PNDH-3), originated from the deliberations of the 11th National Conference on Human Rights, established through Decree No. 7037 of December 21, 2009 and updated by Decree No. </w:t>
      </w:r>
      <w:r>
        <w:t>of 2010, aims to guarantee, through its Guideline 14, in Guiding Axis IV, the fight against institutional violence, with emphasis on the eradication of torture and the reduction of lethality rates in the police and prison spheres.</w:t>
      </w:r>
    </w:p>
    <w:p w14:paraId="00000040" w14:textId="77777777" w:rsidR="00154A04" w:rsidRDefault="006C1217">
      <w:pPr>
        <w:spacing w:before="240" w:after="240"/>
        <w:jc w:val="both"/>
      </w:pPr>
      <w:r>
        <w:t>We must also consider the</w:t>
      </w:r>
      <w:r>
        <w:t xml:space="preserve"> factual and legal premises consolidated by the STF during the evaluation of Arguição de Descumprimento de Preceito Fundamental (ADPF) nº 635, which discussed the exceptional nature of police operations during the coronavirus pandemic.</w:t>
      </w:r>
    </w:p>
    <w:p w14:paraId="00000041" w14:textId="77777777" w:rsidR="00154A04" w:rsidRDefault="006C1217">
      <w:pPr>
        <w:spacing w:before="240" w:after="240"/>
        <w:jc w:val="both"/>
      </w:pPr>
      <w:r>
        <w:t>The ADPF 635 is a la</w:t>
      </w:r>
      <w:r>
        <w:t>wsuit that was filed by the Brazilian Socialist Party (PSB) in the STF in November 2019, with the objective of questioning the public security policy of the State of Rio de Janeiro, which results in a significant increase in deaths by police action. The ca</w:t>
      </w:r>
      <w:r>
        <w:t>se asks the STF to determine measures to reduce police lethality and guarantee the fundamental rights of residents of communities affected by the violence.</w:t>
      </w:r>
    </w:p>
    <w:p w14:paraId="00000042" w14:textId="77777777" w:rsidR="00154A04" w:rsidRDefault="006C1217">
      <w:pPr>
        <w:spacing w:before="240" w:after="240"/>
        <w:jc w:val="both"/>
      </w:pPr>
      <w:r>
        <w:t>In June 2020, the STF determined, in a provisional incidental relief decision, that during the Covid</w:t>
      </w:r>
      <w:r>
        <w:t>-19 pandemic, police operations in Rio de Janeiro could only be carried out in exceptional cases and with prior communication to the Public Prosecutor’s Office. The decision caused a historic drop in the number of deaths caused by the police in the Metropo</w:t>
      </w:r>
      <w:r>
        <w:t xml:space="preserve">litan Region of Rio de Janeiro. While the measure was complied with, between June and September 2020, the monthly average </w:t>
      </w:r>
      <w:r>
        <w:lastRenderedPageBreak/>
        <w:t>of victims was 37.5, lower than the monthly average of 2020 (90.1) and the average for the period between 2007 and 2020 (74.2), points</w:t>
      </w:r>
      <w:r>
        <w:t xml:space="preserve"> out a survey by the Grupo de Estudos Novos Ilegalismos (GENI-UFF).</w:t>
      </w:r>
    </w:p>
    <w:p w14:paraId="00000043" w14:textId="77777777" w:rsidR="00154A04" w:rsidRDefault="006C1217">
      <w:pPr>
        <w:spacing w:before="240" w:after="240"/>
        <w:jc w:val="both"/>
      </w:pPr>
      <w:r>
        <w:t>However, the decision began to be systematically disregarded as of October 2020.</w:t>
      </w:r>
    </w:p>
    <w:p w14:paraId="00000044" w14:textId="77777777" w:rsidR="00154A04" w:rsidRDefault="006C1217">
      <w:pPr>
        <w:spacing w:before="240" w:after="240"/>
        <w:jc w:val="both"/>
      </w:pPr>
      <w:r>
        <w:t>As civil society organizations that defend human rights, we support ADPF nº 635 and hope that the STF recog</w:t>
      </w:r>
      <w:r>
        <w:t xml:space="preserve">nizes the unconstitutionality of the public security policy in Rio de Janeiro, which violates the principles of human dignity, proportionality, reasonableness and of protection of life. We also demand that the State adopt effective measures to prevent and </w:t>
      </w:r>
      <w:r>
        <w:t>combat violence, guaranteeing the right to public security with respect for human rights.</w:t>
      </w:r>
    </w:p>
    <w:p w14:paraId="00000045" w14:textId="77777777" w:rsidR="00154A04" w:rsidRDefault="006C1217">
      <w:pPr>
        <w:spacing w:before="240" w:after="240"/>
        <w:jc w:val="both"/>
      </w:pPr>
      <w:r>
        <w:t>Since the implementation of body cameras, along with other measures aimed at mitigating the number of deaths and abuses resulting from police actions, a significant d</w:t>
      </w:r>
      <w:r>
        <w:t>ecline in deaths has been observed, estimated at 61% during the first two years of application of these initiatives. However, a recent event highlights the persistence of the challenge: on July 28, 2023, an operation conducted by the São Paulo Military Pol</w:t>
      </w:r>
      <w:r>
        <w:t>ice in the city of Guarujá unfortunately resulted in the death of 14 people as a result of police actions.</w:t>
      </w:r>
    </w:p>
    <w:p w14:paraId="00000046" w14:textId="77777777" w:rsidR="00154A04" w:rsidRDefault="006C1217">
      <w:pPr>
        <w:spacing w:before="240" w:after="240"/>
        <w:jc w:val="both"/>
      </w:pPr>
      <w:r>
        <w:t xml:space="preserve">In addition to the tragedy that occurred in Guarujá, other massacres have shaken the national scene. Vila Cruzeiro, in Rio de Janeiro, witnessed the </w:t>
      </w:r>
      <w:r>
        <w:t>loss of 10 lives, while cities like Salvador, Itatim and Camaçari face respectively 4, 8 and 7 deaths in similar contexts. It is frightening to note that such tragedies often emerge after episodes involving the deaths of police officers, an equally regrett</w:t>
      </w:r>
      <w:r>
        <w:t>able sequence. Police actions motivated by revenge are absolutely contrary to the precepts of Justice and cannot happen under any circumstances.</w:t>
      </w:r>
    </w:p>
    <w:p w14:paraId="00000047" w14:textId="77777777" w:rsidR="00154A04" w:rsidRDefault="006C1217">
      <w:pPr>
        <w:spacing w:before="240" w:after="240"/>
        <w:jc w:val="both"/>
      </w:pPr>
      <w:r>
        <w:t>It should be noted that the majority of victims in these massacres share a common characteristic: black skin co</w:t>
      </w:r>
      <w:r>
        <w:t>lor. This blatantly exposes the institutional and systemic racism that permeates the criminalization of territories and communities where these incidents occur.</w:t>
      </w:r>
    </w:p>
    <w:p w14:paraId="00000048" w14:textId="77777777" w:rsidR="00154A04" w:rsidRDefault="006C1217">
      <w:pPr>
        <w:spacing w:before="240" w:after="240"/>
        <w:jc w:val="both"/>
      </w:pPr>
      <w:r>
        <w:t>In a statement issued by the Office of the United Nations High Commissioner for Human Rights on</w:t>
      </w:r>
      <w:r>
        <w:t xml:space="preserve"> August 3, 2023, it was expressed that the prior week had unfortunately stood out as one of the bloodiest in Brazil. Representatives of the organization expressed deep shock at the high number of homicides recorded in different parts of the country during </w:t>
      </w:r>
      <w:r>
        <w:t>police operations, totaling at least 45 fatalities. This reinforces the urgency of adopting concrete measures to reverse this scenario and guarantee the security and rights of all citizens.</w:t>
      </w:r>
    </w:p>
    <w:p w14:paraId="00000049" w14:textId="77777777" w:rsidR="00154A04" w:rsidRDefault="006C1217">
      <w:pPr>
        <w:spacing w:before="240" w:after="240"/>
        <w:jc w:val="both"/>
      </w:pPr>
      <w:r>
        <w:t>This context demands a serious and urgent reassessment of police p</w:t>
      </w:r>
      <w:r>
        <w:t>ractices, with a view to guaranteeing the protection of human rights, justice and equity in all actions aimed at public security.</w:t>
      </w:r>
    </w:p>
    <w:p w14:paraId="0000004A" w14:textId="77777777" w:rsidR="00154A04" w:rsidRDefault="00154A04"/>
    <w:p w14:paraId="0000004B" w14:textId="77777777" w:rsidR="00154A04" w:rsidRDefault="006C1217">
      <w:pPr>
        <w:pStyle w:val="Heading1"/>
      </w:pPr>
      <w:bookmarkStart w:id="3" w:name="_dy4bhng90p2a" w:colFirst="0" w:colLast="0"/>
      <w:bookmarkEnd w:id="3"/>
      <w:r>
        <w:lastRenderedPageBreak/>
        <w:t>Judicial duty defender Indigenous Peoples’ rights by rejecting the temporal landmark (</w:t>
      </w:r>
      <w:r>
        <w:rPr>
          <w:i/>
        </w:rPr>
        <w:t>marco temporal</w:t>
      </w:r>
      <w:r>
        <w:t>) argument</w:t>
      </w:r>
    </w:p>
    <w:p w14:paraId="0000004C" w14:textId="77777777" w:rsidR="00154A04" w:rsidRDefault="006C1217">
      <w:pPr>
        <w:spacing w:before="240" w:after="240"/>
        <w:jc w:val="both"/>
        <w:rPr>
          <w:color w:val="1155CC"/>
          <w:u w:val="single"/>
        </w:rPr>
      </w:pPr>
      <w:r>
        <w:t>The temporal l</w:t>
      </w:r>
      <w:r>
        <w:t>andmark thesis, defended by the rural business interests and followed, since 2017, by the Solicitor General of the Union,</w:t>
      </w:r>
      <w:r>
        <w:rPr>
          <w:vertAlign w:val="superscript"/>
        </w:rPr>
        <w:footnoteReference w:id="11"/>
      </w:r>
      <w:r>
        <w:t xml:space="preserve"> posits that land rights be linked to those indigenous people who were or claimed land until October 5, 1988, when the Federal Consti</w:t>
      </w:r>
      <w:r>
        <w:t xml:space="preserve">tution was enacted. If applied, </w:t>
      </w:r>
      <w:r>
        <w:rPr>
          <w:i/>
        </w:rPr>
        <w:t>the thesis of the temporal landmark will prevent the recognition of indigenous territories of peoples who suffered genocide and resisted until today. In addition, it can make the demarcation of indigenous lands more difficul</w:t>
      </w:r>
      <w:r>
        <w:rPr>
          <w:i/>
        </w:rPr>
        <w:t>t, as it would require compensation from the owners, which would require considerable financial resources.</w:t>
      </w:r>
      <w:r>
        <w:t>”.</w:t>
      </w:r>
      <w:r>
        <w:rPr>
          <w:vertAlign w:val="superscript"/>
        </w:rPr>
        <w:footnoteReference w:id="12"/>
      </w:r>
    </w:p>
    <w:p w14:paraId="0000004D" w14:textId="77777777" w:rsidR="00154A04" w:rsidRDefault="006C1217">
      <w:pPr>
        <w:spacing w:before="240" w:after="240"/>
        <w:jc w:val="both"/>
      </w:pPr>
      <w:r>
        <w:t>The existence and application of this thesis has been pointed out by indigenous peoples and indigenist organizations as one of the greatest obsta</w:t>
      </w:r>
      <w:r>
        <w:t>cles to the protection of the territorial rights of indigenous peoples in Brazil.</w:t>
      </w:r>
    </w:p>
    <w:p w14:paraId="0000004E" w14:textId="77777777" w:rsidR="00154A04" w:rsidRDefault="006C1217">
      <w:pPr>
        <w:spacing w:before="240" w:after="240"/>
        <w:jc w:val="both"/>
      </w:pPr>
      <w:r>
        <w:t>The (un)constitutionality of this thesis is the subject of Extraordinary Appeal (Recurso Extraordinário) No. 1017365/SC,</w:t>
      </w:r>
      <w:r>
        <w:rPr>
          <w:vertAlign w:val="superscript"/>
        </w:rPr>
        <w:footnoteReference w:id="13"/>
      </w:r>
      <w:r>
        <w:t xml:space="preserve"> whose trial began in June 2021 and remains underway</w:t>
      </w:r>
      <w:r>
        <w:t>. This is one of the most important judgments on indigenous matters for decades to come.</w:t>
      </w:r>
    </w:p>
    <w:p w14:paraId="0000004F" w14:textId="77777777" w:rsidR="00154A04" w:rsidRDefault="006C1217">
      <w:pPr>
        <w:spacing w:before="240" w:after="240"/>
        <w:jc w:val="both"/>
      </w:pPr>
      <w:r>
        <w:t xml:space="preserve">Regarding the relationship between the application of the temporal landmark thesis and the competition for natural resources within indigenous territories, an excerpt </w:t>
      </w:r>
      <w:r>
        <w:t>from the 1988 publication “Justiça e o Marco Temporal de 1988: As Teses Jurídicas em Disputa no STF sobre Terras Indígenas” states:</w:t>
      </w:r>
    </w:p>
    <w:p w14:paraId="00000050" w14:textId="77777777" w:rsidR="00154A04" w:rsidRDefault="006C1217">
      <w:pPr>
        <w:spacing w:before="120" w:after="120"/>
        <w:ind w:left="720"/>
        <w:jc w:val="both"/>
      </w:pPr>
      <w:r>
        <w:t xml:space="preserve">In 2018, the United Nations Special Rapporteur on the Rights of Indigenous Peoples drew attention to what she called </w:t>
      </w:r>
      <w:r>
        <w:rPr>
          <w:b/>
        </w:rPr>
        <w:t>an inte</w:t>
      </w:r>
      <w:r>
        <w:rPr>
          <w:b/>
        </w:rPr>
        <w:t>nsification of competition for natural resources led by private companies, often with the complicity of governments, which places indigenous peoples who seek to protect their traditional lands as targets of persecution, attacks, murders and criminalization</w:t>
      </w:r>
      <w:r>
        <w:rPr>
          <w:b/>
        </w:rPr>
        <w:t xml:space="preserve"> (A/HRC/39/17, paragraph 24)</w:t>
      </w:r>
      <w:r>
        <w:t>. One of the determining causes in this context of intensifying attacks against indigenous peoples is the lack of respect for the collective rights of indigenous peoples to land and the failure of the State to guarantee security</w:t>
      </w:r>
      <w:r>
        <w:t xml:space="preserve"> of tenure and titling of territories. In turn, the ability of indigenous peoples to defend their lands, territories and resources from harm is greatly impaired (A/HRC/39/17, para. 30).</w:t>
      </w:r>
    </w:p>
    <w:p w14:paraId="00000051" w14:textId="77777777" w:rsidR="00154A04" w:rsidRDefault="006C1217">
      <w:pPr>
        <w:spacing w:before="120" w:after="120"/>
        <w:ind w:left="720"/>
        <w:jc w:val="both"/>
      </w:pPr>
      <w:r>
        <w:t xml:space="preserve">The Rapporteur also pointed out that </w:t>
      </w:r>
      <w:r>
        <w:rPr>
          <w:b/>
        </w:rPr>
        <w:t>disrespect for the indigenous rig</w:t>
      </w:r>
      <w:r>
        <w:rPr>
          <w:b/>
        </w:rPr>
        <w:t>ht to their traditional lands generates tensions, violence and criminalization as indigenous peoples are transformed into invaders or illegal occupants of their own lands</w:t>
      </w:r>
      <w:r>
        <w:t xml:space="preserve">. </w:t>
      </w:r>
      <w:r>
        <w:lastRenderedPageBreak/>
        <w:t>Consequently, they are subject to criminal proceedings, such as possession disposses</w:t>
      </w:r>
      <w:r>
        <w:t>sion, and exposed to evictions and forced removals from the lands where they develop their means of subsistence, social and cultural cohesion and spiritual traditions. The escalation of the militarization process, in turn, places the activism of indigenous</w:t>
      </w:r>
      <w:r>
        <w:t xml:space="preserve"> peoples in the defense of their territories in the sights of the application of the national security law, anti-terrorism law, and preferential targets of abusive surveillance schemes by the State in relation to civil society .</w:t>
      </w:r>
      <w:r>
        <w:rPr>
          <w:b/>
        </w:rPr>
        <w:t>The application of the timef</w:t>
      </w:r>
      <w:r>
        <w:rPr>
          <w:b/>
        </w:rPr>
        <w:t>rame, by limiting the rights of indigenous peoples to the restitution of their territories, restricts their ability to organize and resist the predatory processes of dispossession and exploitation of land and natural resources and, consequently, exposes in</w:t>
      </w:r>
      <w:r>
        <w:rPr>
          <w:b/>
        </w:rPr>
        <w:t>digenous men, women and children to violence in a context of growing persecution and intensified attacks</w:t>
      </w:r>
      <w:r>
        <w:t xml:space="preserve"> (A/HRC/39/17, paragraph 32).</w:t>
      </w:r>
      <w:r>
        <w:rPr>
          <w:vertAlign w:val="superscript"/>
        </w:rPr>
        <w:footnoteReference w:id="14"/>
      </w:r>
    </w:p>
    <w:p w14:paraId="00000052" w14:textId="77777777" w:rsidR="00154A04" w:rsidRDefault="006C1217">
      <w:pPr>
        <w:spacing w:before="240" w:after="240" w:line="360" w:lineRule="auto"/>
        <w:jc w:val="both"/>
      </w:pPr>
      <w:r>
        <w:t>The Inter-American Commission on Human Rights highlighted, in its report on the visit to Brazil, that “</w:t>
      </w:r>
      <w:r>
        <w:rPr>
          <w:i/>
        </w:rPr>
        <w:t xml:space="preserve">the temporal landmark thesis disregards the innumerable cases in which indigenous peoples were violently evicted from the territories they traditionally </w:t>
      </w:r>
      <w:r>
        <w:rPr>
          <w:i/>
        </w:rPr>
        <w:t>occupied and, for that reason only, were not occupying them in 1988.</w:t>
      </w:r>
      <w:r>
        <w:t>”</w:t>
      </w:r>
      <w:r>
        <w:rPr>
          <w:vertAlign w:val="superscript"/>
        </w:rPr>
        <w:footnoteReference w:id="15"/>
      </w:r>
      <w:r>
        <w:t xml:space="preserve">  Thus, it recommended the State to “</w:t>
      </w:r>
      <w:r>
        <w:rPr>
          <w:i/>
        </w:rPr>
        <w:t>[a]dopt whatever measures are needed to revise and amend provisions, court orders, and guidelines (including the Timeframe and Suspension of Security [Marco Temporal e Suspensão da Segurança] thesis) that are incompatible with international standards and o</w:t>
      </w:r>
      <w:r>
        <w:rPr>
          <w:i/>
        </w:rPr>
        <w:t>bligations regarding the rights of indigenous peoples to their lands, territories, and natural resources, as well as other human rights of indigenous peoples.”</w:t>
      </w:r>
      <w:r>
        <w:rPr>
          <w:vertAlign w:val="superscript"/>
        </w:rPr>
        <w:footnoteReference w:id="16"/>
      </w:r>
    </w:p>
    <w:p w14:paraId="00000053" w14:textId="77777777" w:rsidR="00154A04" w:rsidRDefault="006C1217">
      <w:pPr>
        <w:pStyle w:val="Heading1"/>
      </w:pPr>
      <w:bookmarkStart w:id="4" w:name="_qlruv0aao76q" w:colFirst="0" w:colLast="0"/>
      <w:bookmarkEnd w:id="4"/>
      <w:r>
        <w:t>Proposed questions to the Brazilian State:</w:t>
      </w:r>
    </w:p>
    <w:p w14:paraId="00000054" w14:textId="77777777" w:rsidR="00154A04" w:rsidRDefault="006C1217">
      <w:pPr>
        <w:numPr>
          <w:ilvl w:val="0"/>
          <w:numId w:val="1"/>
        </w:numPr>
        <w:pBdr>
          <w:top w:val="nil"/>
          <w:left w:val="nil"/>
          <w:bottom w:val="nil"/>
          <w:right w:val="nil"/>
          <w:between w:val="nil"/>
        </w:pBdr>
      </w:pPr>
      <w:r>
        <w:t>What concrete measures is the Brazilian State adopt</w:t>
      </w:r>
      <w:r>
        <w:t>ing to guarantee equal access to justice, considering racial and socioeconomic inequalities, especially for black women and low-income people?</w:t>
      </w:r>
    </w:p>
    <w:p w14:paraId="00000055" w14:textId="77777777" w:rsidR="00154A04" w:rsidRDefault="006C1217">
      <w:pPr>
        <w:numPr>
          <w:ilvl w:val="0"/>
          <w:numId w:val="1"/>
        </w:numPr>
      </w:pPr>
      <w:r>
        <w:t>How is the Brazilian State ensuring that custody hearings are held in person and respect the human rights of deta</w:t>
      </w:r>
      <w:r>
        <w:t>inees, especially in relation to the prevention of torture, inhuman and degrading treatment?</w:t>
      </w:r>
    </w:p>
    <w:p w14:paraId="00000056" w14:textId="77777777" w:rsidR="00154A04" w:rsidRDefault="006C1217">
      <w:pPr>
        <w:numPr>
          <w:ilvl w:val="0"/>
          <w:numId w:val="1"/>
        </w:numPr>
      </w:pPr>
      <w:r>
        <w:t xml:space="preserve">How is the Brazilian State facing the problem of police lethality and violations of the rights to housing and privacy, among others, related to police operations, </w:t>
      </w:r>
      <w:r>
        <w:t>particularly in communities in the periphery, and what measures are being taken to ensure compliance with human rights in this context ?</w:t>
      </w:r>
    </w:p>
    <w:p w14:paraId="00000057" w14:textId="77777777" w:rsidR="00154A04" w:rsidRDefault="006C1217">
      <w:pPr>
        <w:numPr>
          <w:ilvl w:val="0"/>
          <w:numId w:val="1"/>
        </w:numPr>
      </w:pPr>
      <w:r>
        <w:t>What steps has the Brazilian State taken to ensure the judicial rejection of the temporal landmark thesis (</w:t>
      </w:r>
      <w:r>
        <w:rPr>
          <w:i/>
        </w:rPr>
        <w:t>tese do marc</w:t>
      </w:r>
      <w:r>
        <w:rPr>
          <w:i/>
        </w:rPr>
        <w:t>o temporal</w:t>
      </w:r>
      <w:r>
        <w:t xml:space="preserve">) as incompatible with the human rights of </w:t>
      </w:r>
      <w:r>
        <w:lastRenderedPageBreak/>
        <w:t>Indigenous Peoples, including by providing for a revision of the prior legal positions taken by the Office of the Solicitor General of the Union (Advocacia Geral da União)?</w:t>
      </w:r>
    </w:p>
    <w:sectPr w:rsidR="00154A04">
      <w:headerReference w:type="default" r:id="rId7"/>
      <w:footerReference w:type="default" r:id="rId8"/>
      <w:footerReference w:type="firs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E288B" w14:textId="77777777" w:rsidR="00000000" w:rsidRDefault="006C1217">
      <w:pPr>
        <w:spacing w:line="240" w:lineRule="auto"/>
      </w:pPr>
      <w:r>
        <w:separator/>
      </w:r>
    </w:p>
  </w:endnote>
  <w:endnote w:type="continuationSeparator" w:id="0">
    <w:p w14:paraId="531AEDC0" w14:textId="77777777" w:rsidR="00000000" w:rsidRDefault="006C12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415CC8A8" w:rsidR="00154A04" w:rsidRDefault="006C1217">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154A04" w:rsidRDefault="006C1217">
    <w:pP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F63D1" w14:textId="77777777" w:rsidR="00000000" w:rsidRDefault="006C1217">
      <w:pPr>
        <w:spacing w:line="240" w:lineRule="auto"/>
      </w:pPr>
      <w:r>
        <w:separator/>
      </w:r>
    </w:p>
  </w:footnote>
  <w:footnote w:type="continuationSeparator" w:id="0">
    <w:p w14:paraId="0EDC4CB0" w14:textId="77777777" w:rsidR="00000000" w:rsidRDefault="006C1217">
      <w:pPr>
        <w:spacing w:line="240" w:lineRule="auto"/>
      </w:pPr>
      <w:r>
        <w:continuationSeparator/>
      </w:r>
    </w:p>
  </w:footnote>
  <w:footnote w:id="1">
    <w:p w14:paraId="00000062" w14:textId="77777777" w:rsidR="00154A04" w:rsidRDefault="006C1217">
      <w:pPr>
        <w:spacing w:line="240" w:lineRule="auto"/>
        <w:rPr>
          <w:sz w:val="18"/>
          <w:szCs w:val="18"/>
        </w:rPr>
      </w:pPr>
      <w:r>
        <w:rPr>
          <w:vertAlign w:val="superscript"/>
        </w:rPr>
        <w:footnoteRef/>
      </w:r>
      <w:r>
        <w:rPr>
          <w:sz w:val="18"/>
          <w:szCs w:val="18"/>
        </w:rPr>
        <w:t xml:space="preserve"> United Nations C</w:t>
      </w:r>
      <w:r>
        <w:rPr>
          <w:sz w:val="18"/>
          <w:szCs w:val="18"/>
        </w:rPr>
        <w:t>ommittee on Economic, Social and Cultural Rights, General Comment No. 9, para. 2.</w:t>
      </w:r>
    </w:p>
  </w:footnote>
  <w:footnote w:id="2">
    <w:p w14:paraId="00000063" w14:textId="77777777" w:rsidR="00154A04" w:rsidRDefault="006C1217">
      <w:pPr>
        <w:spacing w:line="240" w:lineRule="auto"/>
        <w:rPr>
          <w:sz w:val="18"/>
          <w:szCs w:val="18"/>
        </w:rPr>
      </w:pPr>
      <w:r>
        <w:rPr>
          <w:vertAlign w:val="superscript"/>
        </w:rPr>
        <w:footnoteRef/>
      </w:r>
      <w:r>
        <w:rPr>
          <w:sz w:val="18"/>
          <w:szCs w:val="18"/>
        </w:rPr>
        <w:t xml:space="preserve"> United Nations Committee on Economic, Social and Cultural Rights, General Comment No. 3, para. 3, 5.</w:t>
      </w:r>
    </w:p>
  </w:footnote>
  <w:footnote w:id="3">
    <w:p w14:paraId="00000064" w14:textId="77777777" w:rsidR="00154A04" w:rsidRDefault="006C1217">
      <w:pPr>
        <w:spacing w:line="240" w:lineRule="auto"/>
        <w:rPr>
          <w:sz w:val="18"/>
          <w:szCs w:val="18"/>
        </w:rPr>
      </w:pPr>
      <w:r>
        <w:rPr>
          <w:vertAlign w:val="superscript"/>
        </w:rPr>
        <w:footnoteRef/>
      </w:r>
      <w:r>
        <w:rPr>
          <w:sz w:val="18"/>
          <w:szCs w:val="18"/>
        </w:rPr>
        <w:t xml:space="preserve"> United Nations Committee on Economic, Social and Cultural Rights, Gen</w:t>
      </w:r>
      <w:r>
        <w:rPr>
          <w:sz w:val="18"/>
          <w:szCs w:val="18"/>
        </w:rPr>
        <w:t>eral Comment No. 9, para. 10.</w:t>
      </w:r>
    </w:p>
  </w:footnote>
  <w:footnote w:id="4">
    <w:p w14:paraId="0000005B" w14:textId="77777777" w:rsidR="00154A04" w:rsidRDefault="006C1217">
      <w:pPr>
        <w:spacing w:line="240" w:lineRule="auto"/>
        <w:rPr>
          <w:sz w:val="18"/>
          <w:szCs w:val="18"/>
        </w:rPr>
      </w:pPr>
      <w:r>
        <w:rPr>
          <w:vertAlign w:val="superscript"/>
        </w:rPr>
        <w:footnoteRef/>
      </w:r>
      <w:r>
        <w:rPr>
          <w:sz w:val="18"/>
          <w:szCs w:val="18"/>
        </w:rPr>
        <w:t xml:space="preserve"> Instituto Brasileiro de Geografia e Estatística. Pesquisa Nacional por Amostra de Domicílios C</w:t>
      </w:r>
      <w:r>
        <w:rPr>
          <w:sz w:val="18"/>
          <w:szCs w:val="18"/>
        </w:rPr>
        <w:t>ontínua, 2022.</w:t>
      </w:r>
    </w:p>
  </w:footnote>
  <w:footnote w:id="5">
    <w:p w14:paraId="0000005C" w14:textId="77777777" w:rsidR="00154A04" w:rsidRDefault="006C1217">
      <w:pPr>
        <w:spacing w:line="240" w:lineRule="auto"/>
        <w:rPr>
          <w:sz w:val="18"/>
          <w:szCs w:val="18"/>
        </w:rPr>
      </w:pPr>
      <w:r>
        <w:rPr>
          <w:vertAlign w:val="superscript"/>
        </w:rPr>
        <w:footnoteRef/>
      </w:r>
      <w:r>
        <w:rPr>
          <w:sz w:val="18"/>
          <w:szCs w:val="18"/>
        </w:rPr>
        <w:t xml:space="preserve"> Relatório: Incide de Acesso à Justiça. Conselho Nacional de Justiça. 2021: </w:t>
      </w:r>
      <w:hyperlink r:id="rId1">
        <w:r>
          <w:rPr>
            <w:color w:val="0000FF"/>
            <w:sz w:val="18"/>
            <w:szCs w:val="18"/>
            <w:u w:val="single"/>
          </w:rPr>
          <w:t>Relatorio_Indice-de-Acesso-a-Justica_L</w:t>
        </w:r>
        <w:r>
          <w:rPr>
            <w:color w:val="0000FF"/>
            <w:sz w:val="18"/>
            <w:szCs w:val="18"/>
            <w:u w:val="single"/>
          </w:rPr>
          <w:t>IODS_05-3-2021-1.pdf (cnj.jus.br)</w:t>
        </w:r>
      </w:hyperlink>
      <w:r>
        <w:rPr>
          <w:sz w:val="18"/>
          <w:szCs w:val="18"/>
        </w:rPr>
        <w:t>.</w:t>
      </w:r>
    </w:p>
  </w:footnote>
  <w:footnote w:id="6">
    <w:p w14:paraId="0000005D" w14:textId="77777777" w:rsidR="00154A04" w:rsidRDefault="006C1217">
      <w:pPr>
        <w:spacing w:line="240" w:lineRule="auto"/>
        <w:rPr>
          <w:sz w:val="18"/>
          <w:szCs w:val="18"/>
        </w:rPr>
      </w:pPr>
      <w:r>
        <w:rPr>
          <w:vertAlign w:val="superscript"/>
        </w:rPr>
        <w:footnoteRef/>
      </w:r>
      <w:r>
        <w:rPr>
          <w:sz w:val="18"/>
          <w:szCs w:val="18"/>
        </w:rPr>
        <w:t xml:space="preserve"> Defensoria Pública. Pesquisa Nacional da Defensoria Pública. 2021: </w:t>
      </w:r>
      <w:hyperlink r:id="rId2">
        <w:r>
          <w:rPr>
            <w:color w:val="1155CC"/>
            <w:sz w:val="18"/>
            <w:szCs w:val="18"/>
            <w:u w:val="single"/>
          </w:rPr>
          <w:t>https://pesquisanacionaldefensoria.com.br/</w:t>
        </w:r>
      </w:hyperlink>
    </w:p>
  </w:footnote>
  <w:footnote w:id="7">
    <w:p w14:paraId="0000005E" w14:textId="77777777" w:rsidR="00154A04" w:rsidRDefault="006C1217">
      <w:pPr>
        <w:spacing w:line="240" w:lineRule="auto"/>
        <w:rPr>
          <w:sz w:val="18"/>
          <w:szCs w:val="18"/>
        </w:rPr>
      </w:pPr>
      <w:r>
        <w:rPr>
          <w:vertAlign w:val="superscript"/>
        </w:rPr>
        <w:footnoteRef/>
      </w:r>
      <w:r>
        <w:rPr>
          <w:sz w:val="18"/>
          <w:szCs w:val="18"/>
        </w:rPr>
        <w:t xml:space="preserve"> Anuário Brasileiro de Segurança Pública 2023. Organizadores: Fórum Brasileiro de Segurança Pública: </w:t>
      </w:r>
      <w:hyperlink r:id="rId3">
        <w:r>
          <w:rPr>
            <w:color w:val="1155CC"/>
            <w:sz w:val="18"/>
            <w:szCs w:val="18"/>
            <w:u w:val="single"/>
          </w:rPr>
          <w:t>https://forumseguranca.org.br/anuario-brasileir</w:t>
        </w:r>
        <w:r>
          <w:rPr>
            <w:color w:val="1155CC"/>
            <w:sz w:val="18"/>
            <w:szCs w:val="18"/>
            <w:u w:val="single"/>
          </w:rPr>
          <w:t>o-seguranca-publica/</w:t>
        </w:r>
      </w:hyperlink>
      <w:r>
        <w:rPr>
          <w:sz w:val="18"/>
          <w:szCs w:val="18"/>
        </w:rPr>
        <w:t xml:space="preserve"> </w:t>
      </w:r>
    </w:p>
  </w:footnote>
  <w:footnote w:id="8">
    <w:p w14:paraId="0000005F" w14:textId="77777777" w:rsidR="00154A04" w:rsidRDefault="006C1217">
      <w:pPr>
        <w:spacing w:line="240" w:lineRule="auto"/>
        <w:rPr>
          <w:sz w:val="18"/>
          <w:szCs w:val="18"/>
        </w:rPr>
      </w:pPr>
      <w:r>
        <w:rPr>
          <w:vertAlign w:val="superscript"/>
        </w:rPr>
        <w:footnoteRef/>
      </w:r>
      <w:r>
        <w:rPr>
          <w:sz w:val="18"/>
          <w:szCs w:val="18"/>
        </w:rPr>
        <w:t xml:space="preserve"> Revista Vexatória: uma prática constante, 2021: </w:t>
      </w:r>
      <w:hyperlink r:id="rId4">
        <w:r>
          <w:rPr>
            <w:color w:val="1155CC"/>
            <w:sz w:val="18"/>
            <w:szCs w:val="18"/>
            <w:u w:val="single"/>
          </w:rPr>
          <w:t>https://redejusticacriminal.org/website/wp-content/uploads/2022/03/Relato%CC%81rio-revista-vexato%CC%8</w:t>
        </w:r>
        <w:r>
          <w:rPr>
            <w:color w:val="1155CC"/>
            <w:sz w:val="18"/>
            <w:szCs w:val="18"/>
            <w:u w:val="single"/>
          </w:rPr>
          <w:t>1ria-u%CC%81ltima-versa%CC%83o-2.pdf</w:t>
        </w:r>
      </w:hyperlink>
      <w:r>
        <w:rPr>
          <w:sz w:val="18"/>
          <w:szCs w:val="18"/>
        </w:rPr>
        <w:t>.</w:t>
      </w:r>
    </w:p>
  </w:footnote>
  <w:footnote w:id="9">
    <w:p w14:paraId="00000060" w14:textId="77777777" w:rsidR="00154A04" w:rsidRDefault="006C1217">
      <w:pPr>
        <w:spacing w:line="240" w:lineRule="auto"/>
        <w:rPr>
          <w:sz w:val="18"/>
          <w:szCs w:val="18"/>
        </w:rPr>
      </w:pPr>
      <w:r>
        <w:rPr>
          <w:vertAlign w:val="superscript"/>
        </w:rPr>
        <w:footnoteRef/>
      </w:r>
      <w:r>
        <w:rPr>
          <w:sz w:val="18"/>
          <w:szCs w:val="18"/>
        </w:rPr>
        <w:t xml:space="preserve"> Discriminação de Genero na Justiça Penal, Rede de Justiça Criminal, 2016.</w:t>
      </w:r>
    </w:p>
  </w:footnote>
  <w:footnote w:id="10">
    <w:p w14:paraId="00000061" w14:textId="77777777" w:rsidR="00154A04" w:rsidRDefault="006C1217">
      <w:pPr>
        <w:spacing w:line="240" w:lineRule="auto"/>
        <w:jc w:val="both"/>
        <w:rPr>
          <w:sz w:val="18"/>
          <w:szCs w:val="18"/>
        </w:rPr>
      </w:pPr>
      <w:r>
        <w:rPr>
          <w:vertAlign w:val="superscript"/>
        </w:rPr>
        <w:footnoteRef/>
      </w:r>
      <w:r>
        <w:rPr>
          <w:sz w:val="18"/>
          <w:szCs w:val="18"/>
        </w:rPr>
        <w:t xml:space="preserve"> Erro no Sistema de Justiça: O desmonte das audiências de custódia, Rede de Justiça Criminal.2021: </w:t>
      </w:r>
      <w:hyperlink r:id="rId5">
        <w:r>
          <w:rPr>
            <w:color w:val="1155CC"/>
            <w:sz w:val="18"/>
            <w:szCs w:val="18"/>
            <w:u w:val="single"/>
          </w:rPr>
          <w:t>https://redejusticacriminal.org/website/wp-content/uploads/2021/11/RELATORIO-erronosistema.pdf</w:t>
        </w:r>
      </w:hyperlink>
      <w:r>
        <w:rPr>
          <w:sz w:val="18"/>
          <w:szCs w:val="18"/>
        </w:rPr>
        <w:t xml:space="preserve">. </w:t>
      </w:r>
    </w:p>
  </w:footnote>
  <w:footnote w:id="11">
    <w:p w14:paraId="00000065" w14:textId="77777777" w:rsidR="00154A04" w:rsidRDefault="006C1217">
      <w:pPr>
        <w:spacing w:line="240" w:lineRule="auto"/>
        <w:rPr>
          <w:sz w:val="18"/>
          <w:szCs w:val="18"/>
        </w:rPr>
      </w:pPr>
      <w:r>
        <w:rPr>
          <w:vertAlign w:val="superscript"/>
        </w:rPr>
        <w:footnoteRef/>
      </w:r>
      <w:r>
        <w:rPr>
          <w:sz w:val="18"/>
          <w:szCs w:val="18"/>
        </w:rPr>
        <w:t xml:space="preserve"> </w:t>
      </w:r>
      <w:r>
        <w:rPr>
          <w:i/>
          <w:sz w:val="18"/>
          <w:szCs w:val="18"/>
        </w:rPr>
        <w:t>Opinion No. 001/2017/GAB/CGU/AGU</w:t>
      </w:r>
      <w:r>
        <w:rPr>
          <w:sz w:val="18"/>
          <w:szCs w:val="18"/>
        </w:rPr>
        <w:t xml:space="preserve"> which imposed the application of the thesis of the temporal framework by the Public Administration.</w:t>
      </w:r>
    </w:p>
  </w:footnote>
  <w:footnote w:id="12">
    <w:p w14:paraId="00000066" w14:textId="77777777" w:rsidR="00154A04" w:rsidRDefault="006C1217">
      <w:pPr>
        <w:spacing w:line="240" w:lineRule="auto"/>
        <w:rPr>
          <w:sz w:val="18"/>
          <w:szCs w:val="18"/>
        </w:rPr>
      </w:pPr>
      <w:r>
        <w:rPr>
          <w:vertAlign w:val="superscript"/>
        </w:rPr>
        <w:footnoteRef/>
      </w:r>
      <w:r>
        <w:rPr>
          <w:sz w:val="18"/>
          <w:szCs w:val="18"/>
        </w:rPr>
        <w:t xml:space="preserve"> Justiça e o marco temporal de 1988 : as teses jurídicas em disputa no STF sobre terras in</w:t>
      </w:r>
      <w:r>
        <w:rPr>
          <w:sz w:val="18"/>
          <w:szCs w:val="18"/>
        </w:rPr>
        <w:t>dígenas / Auricelia dos Anjos...[et al.] ; contribuição Franciele Petry Schramm, José Lucas Odeveza, Lizely Borges. -- 1. ed. -- Curitiba, PR: Terra de Direitos, 2022:</w:t>
      </w:r>
      <w:hyperlink r:id="rId6">
        <w:r>
          <w:rPr>
            <w:sz w:val="18"/>
            <w:szCs w:val="18"/>
          </w:rPr>
          <w:t xml:space="preserve"> </w:t>
        </w:r>
      </w:hyperlink>
      <w:hyperlink r:id="rId7">
        <w:r>
          <w:rPr>
            <w:color w:val="1155CC"/>
            <w:sz w:val="18"/>
            <w:szCs w:val="18"/>
            <w:u w:val="single"/>
          </w:rPr>
          <w:t>https://terradedireitos.org.br/uploads/arquivos/Justica-e-o-marco-Temporal-de-1988---</w:t>
        </w:r>
        <w:r>
          <w:rPr>
            <w:color w:val="1155CC"/>
            <w:sz w:val="18"/>
            <w:szCs w:val="18"/>
            <w:u w:val="single"/>
          </w:rPr>
          <w:t>FINAL.pdf</w:t>
        </w:r>
      </w:hyperlink>
      <w:r>
        <w:rPr>
          <w:sz w:val="18"/>
          <w:szCs w:val="18"/>
        </w:rPr>
        <w:t>.</w:t>
      </w:r>
    </w:p>
  </w:footnote>
  <w:footnote w:id="13">
    <w:p w14:paraId="00000067" w14:textId="77777777" w:rsidR="00154A04" w:rsidRDefault="006C1217">
      <w:pPr>
        <w:spacing w:line="240" w:lineRule="auto"/>
        <w:rPr>
          <w:sz w:val="18"/>
          <w:szCs w:val="18"/>
        </w:rPr>
      </w:pPr>
      <w:r>
        <w:rPr>
          <w:vertAlign w:val="superscript"/>
        </w:rPr>
        <w:footnoteRef/>
      </w:r>
      <w:r>
        <w:rPr>
          <w:sz w:val="18"/>
          <w:szCs w:val="18"/>
        </w:rPr>
        <w:t xml:space="preserve"> </w:t>
      </w:r>
      <w:r>
        <w:rPr>
          <w:i/>
          <w:sz w:val="18"/>
          <w:szCs w:val="18"/>
        </w:rPr>
        <w:t>Leading case</w:t>
      </w:r>
      <w:r>
        <w:rPr>
          <w:sz w:val="18"/>
          <w:szCs w:val="18"/>
        </w:rPr>
        <w:t xml:space="preserve"> on the subject, whose decision will pass and be applied broadly and obligatorily within the justice system and public administration.</w:t>
      </w:r>
    </w:p>
  </w:footnote>
  <w:footnote w:id="14">
    <w:p w14:paraId="00000068" w14:textId="77777777" w:rsidR="00154A04" w:rsidRDefault="006C1217">
      <w:pPr>
        <w:spacing w:line="240" w:lineRule="auto"/>
        <w:rPr>
          <w:sz w:val="18"/>
          <w:szCs w:val="18"/>
        </w:rPr>
      </w:pPr>
      <w:r>
        <w:rPr>
          <w:vertAlign w:val="superscript"/>
        </w:rPr>
        <w:footnoteRef/>
      </w:r>
      <w:r>
        <w:rPr>
          <w:sz w:val="18"/>
          <w:szCs w:val="18"/>
        </w:rPr>
        <w:t xml:space="preserve"> Justiça e o Marco Temporal de 1988: As Teses Jurídicas em </w:t>
      </w:r>
      <w:r>
        <w:rPr>
          <w:sz w:val="18"/>
          <w:szCs w:val="18"/>
        </w:rPr>
        <w:t>Disputa no STF sobre Terras Indígenas, p. 7.</w:t>
      </w:r>
    </w:p>
  </w:footnote>
  <w:footnote w:id="15">
    <w:p w14:paraId="0000006A" w14:textId="77777777" w:rsidR="00154A04" w:rsidRDefault="006C1217">
      <w:pPr>
        <w:spacing w:line="240" w:lineRule="auto"/>
        <w:rPr>
          <w:sz w:val="18"/>
          <w:szCs w:val="18"/>
        </w:rPr>
      </w:pPr>
      <w:r>
        <w:rPr>
          <w:vertAlign w:val="superscript"/>
        </w:rPr>
        <w:footnoteRef/>
      </w:r>
      <w:r>
        <w:rPr>
          <w:sz w:val="18"/>
          <w:szCs w:val="18"/>
        </w:rPr>
        <w:t xml:space="preserve"> Inter-American Commission on Human Rights, Situation of Human Rights in Brazil, 12 February 2021, p</w:t>
      </w:r>
      <w:r>
        <w:rPr>
          <w:sz w:val="18"/>
          <w:szCs w:val="18"/>
        </w:rPr>
        <w:t>ara. 66.</w:t>
      </w:r>
    </w:p>
  </w:footnote>
  <w:footnote w:id="16">
    <w:p w14:paraId="00000069" w14:textId="77777777" w:rsidR="00154A04" w:rsidRDefault="006C1217">
      <w:pPr>
        <w:spacing w:line="240" w:lineRule="auto"/>
        <w:rPr>
          <w:sz w:val="18"/>
          <w:szCs w:val="18"/>
        </w:rPr>
      </w:pPr>
      <w:r>
        <w:rPr>
          <w:vertAlign w:val="superscript"/>
        </w:rPr>
        <w:footnoteRef/>
      </w:r>
      <w:r>
        <w:rPr>
          <w:sz w:val="18"/>
          <w:szCs w:val="18"/>
        </w:rPr>
        <w:t xml:space="preserve"> Inter-American Commission on Human Rights, Situation of Human Rights in Brazil, 12 February 2021, para.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77777777" w:rsidR="00154A04" w:rsidRDefault="006C1217">
    <w:pPr>
      <w:jc w:val="center"/>
      <w:rPr>
        <w:b/>
      </w:rPr>
    </w:pPr>
    <w:r>
      <w:rPr>
        <w:b/>
      </w:rPr>
      <w:t>Shadow Report for the Review of the State of Brazil by the United Nations Committee on Economic, Social and Cultural Rights in September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E45F5"/>
    <w:multiLevelType w:val="multilevel"/>
    <w:tmpl w:val="0A1058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20587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A04"/>
    <w:rsid w:val="00154A04"/>
    <w:rsid w:val="006C12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F5695E-71E0-43AF-B607-F23C4AD1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forumseguranca.org.br/anuario-brasileiro-seguranca-publica/" TargetMode="External"/><Relationship Id="rId7" Type="http://schemas.openxmlformats.org/officeDocument/2006/relationships/hyperlink" Target="https://terradedireitos.org.br/uploads/arquivos/Justica-e-o-marco-Temporal-de-1988---FINAL.pdf" TargetMode="External"/><Relationship Id="rId2" Type="http://schemas.openxmlformats.org/officeDocument/2006/relationships/hyperlink" Target="https://pesquisanacionaldefensoria.com.br/" TargetMode="External"/><Relationship Id="rId1" Type="http://schemas.openxmlformats.org/officeDocument/2006/relationships/hyperlink" Target="https://www.cnj.jus.br/wp-content/uploads/2021/03/Relatorio_Indice-de-Acesso-a-Justica_LIODS_05-3-2021-1.pdf" TargetMode="External"/><Relationship Id="rId6" Type="http://schemas.openxmlformats.org/officeDocument/2006/relationships/hyperlink" Target="https://terradedireitos.org.br/uploads/arquivos/Justica-e-o-marco-Temporal-de-1988---FINAL.pdf" TargetMode="External"/><Relationship Id="rId5" Type="http://schemas.openxmlformats.org/officeDocument/2006/relationships/hyperlink" Target="https://redejusticacriminal.org/website/wp-content/uploads/2021/11/RELATORIO-erronosistema.pdf" TargetMode="External"/><Relationship Id="rId4" Type="http://schemas.openxmlformats.org/officeDocument/2006/relationships/hyperlink" Target="https://redejusticacriminal.org/website/wp-content/uploads/2022/03/Relato%CC%81rio-revista-vexato%CC%81ria-u%CC%81ltima-versa%CC%83o-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4034</Words>
  <Characters>22755</Characters>
  <Application>Microsoft Office Word</Application>
  <DocSecurity>0</DocSecurity>
  <Lines>339</Lines>
  <Paragraphs>71</Paragraphs>
  <ScaleCrop>false</ScaleCrop>
  <Company>OHCHR</Company>
  <LinksUpToDate>false</LinksUpToDate>
  <CharactersWithSpaces>26718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2023-08-29T14:19:00Z</dcterms:created>
  <dcterms:modified xsi:type="dcterms:W3CDTF">2023-08-29T14:19:00Z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558c96e7b1b2adcc5badd247c1e2c93e3036564236bcd2758304c27ccb22f88e</vt:lpwstr>
  </property>
</Properties>
</file>