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27F2" w14:textId="4887859E" w:rsidR="0083533E" w:rsidRDefault="00BA482D" w:rsidP="002B1275">
      <w:pPr>
        <w:pStyle w:val="TitlePageHeading"/>
        <w:spacing w:after="240"/>
      </w:pPr>
      <w:r>
        <w:t>India</w:t>
      </w:r>
      <w:r w:rsidR="004B1E4E">
        <w:t xml:space="preserve">’s Compliance with </w:t>
      </w:r>
      <w:r>
        <w:t>the Convention on the Elimination of All Forms of Discrimination Against Women</w:t>
      </w:r>
    </w:p>
    <w:p w14:paraId="43F13231" w14:textId="59CA402C" w:rsidR="004B1E4E" w:rsidRPr="003244CB" w:rsidRDefault="0083533E" w:rsidP="002B1275">
      <w:pPr>
        <w:pStyle w:val="TitlePageHeading"/>
        <w:spacing w:after="240"/>
      </w:pPr>
      <w:r>
        <w:t>Suggested List of Issues Prior to Reporting Relating to</w:t>
      </w:r>
      <w:r w:rsidR="00BA482D">
        <w:t xml:space="preserve"> 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0465D52A" w14:textId="7A65D1D5" w:rsidR="007D7CF0" w:rsidRPr="00BD003F" w:rsidRDefault="004B1E4E" w:rsidP="00BA482D">
      <w:pPr>
        <w:pStyle w:val="TitlePageSubheading"/>
        <w:spacing w:after="240"/>
      </w:pPr>
      <w:r w:rsidRPr="004B1E4E">
        <w:t>a non-governmental organization in special consultative status with ECOSOC</w:t>
      </w:r>
      <w:r w:rsidR="00624A10">
        <w:t xml:space="preserve"> since 1996</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24E688AE" w14:textId="6582A4E1" w:rsidR="004B1E4E" w:rsidRPr="002140BA" w:rsidRDefault="004B1E4E" w:rsidP="003244CB">
      <w:pPr>
        <w:pStyle w:val="TitlePageHeading"/>
      </w:pPr>
      <w:r w:rsidRPr="002140BA">
        <w:t xml:space="preserve">for the </w:t>
      </w:r>
      <w:r w:rsidR="00AC4B17" w:rsidRPr="002140BA">
        <w:t>94</w:t>
      </w:r>
      <w:r w:rsidR="00AC4B17" w:rsidRPr="002140BA">
        <w:rPr>
          <w:vertAlign w:val="superscript"/>
        </w:rPr>
        <w:t>th</w:t>
      </w:r>
      <w:r w:rsidR="00AC4B17" w:rsidRPr="002140BA">
        <w:t xml:space="preserve"> </w:t>
      </w:r>
      <w:r w:rsidRPr="002140BA">
        <w:t xml:space="preserve">Session of the </w:t>
      </w:r>
      <w:r w:rsidR="00BA482D" w:rsidRPr="002140BA">
        <w:t xml:space="preserve">Committee on the Elimination of All Forms of Discrimination Against Women </w:t>
      </w:r>
      <w:r w:rsidR="003439C7" w:rsidRPr="002140BA">
        <w:t>(Pre-Sessional Working Group)</w:t>
      </w:r>
    </w:p>
    <w:p w14:paraId="3B163C2D" w14:textId="7FA7B387" w:rsidR="004B1E4E" w:rsidRPr="002140BA" w:rsidRDefault="00AC4B17" w:rsidP="002B1275">
      <w:pPr>
        <w:pStyle w:val="TitlePageHeading"/>
        <w:spacing w:after="240"/>
      </w:pPr>
      <w:r w:rsidRPr="002140BA">
        <w:t>27</w:t>
      </w:r>
      <w:r w:rsidR="004B1E4E" w:rsidRPr="002140BA">
        <w:t>–</w:t>
      </w:r>
      <w:r w:rsidRPr="002140BA">
        <w:t>31 Oct 2025</w:t>
      </w:r>
    </w:p>
    <w:p w14:paraId="3D93E372" w14:textId="454629C6" w:rsidR="00C214BA" w:rsidRPr="002140BA" w:rsidRDefault="00C214BA" w:rsidP="002B1275">
      <w:pPr>
        <w:pStyle w:val="TitlePageHeading"/>
        <w:spacing w:after="240"/>
      </w:pPr>
      <w:r w:rsidRPr="002140BA">
        <w:t xml:space="preserve">Submitted </w:t>
      </w:r>
      <w:r w:rsidR="00411973">
        <w:t>29 September</w:t>
      </w:r>
      <w:r w:rsidR="008977B7" w:rsidRPr="002140BA">
        <w:t xml:space="preserve">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519B8ECD"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t>committed to strengthen</w:t>
      </w:r>
      <w:r w:rsidR="007D7CF0">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BD003F">
      <w:pPr>
        <w:pStyle w:val="ExecutiveSummary"/>
        <w:spacing w:after="240"/>
      </w:pPr>
      <w:r>
        <w:br w:type="page"/>
      </w:r>
      <w:r w:rsidRPr="004B1E4E">
        <w:lastRenderedPageBreak/>
        <w:t>Executive Summary</w:t>
      </w:r>
    </w:p>
    <w:p w14:paraId="00B34968" w14:textId="34F51585" w:rsidR="000A431F" w:rsidRDefault="000A431F" w:rsidP="000A431F">
      <w:pPr>
        <w:pStyle w:val="Paragraph"/>
      </w:pPr>
      <w:r w:rsidRPr="00B47660">
        <w:t xml:space="preserve">The Committee last reviewed </w:t>
      </w:r>
      <w:r>
        <w:t>India’s</w:t>
      </w:r>
      <w:r w:rsidRPr="00B47660">
        <w:t xml:space="preserve"> compliance with the Convention on the Elimination of All Forms of Discrimination against Women</w:t>
      </w:r>
      <w:r>
        <w:t xml:space="preserve"> </w:t>
      </w:r>
      <w:r w:rsidRPr="00B47660">
        <w:t xml:space="preserve">in </w:t>
      </w:r>
      <w:r>
        <w:t>2014</w:t>
      </w:r>
      <w:r w:rsidRPr="00B47660">
        <w:t xml:space="preserve">. This report addresses </w:t>
      </w:r>
      <w:r>
        <w:t xml:space="preserve">India’s </w:t>
      </w:r>
      <w:r w:rsidRPr="00B47660">
        <w:t>compliance with the Convention as it pertains to issues related to the death penalty, which the Committee</w:t>
      </w:r>
      <w:r>
        <w:t xml:space="preserve"> did not specifically address</w:t>
      </w:r>
      <w:r w:rsidRPr="00B47660">
        <w:t xml:space="preserve"> in its </w:t>
      </w:r>
      <w:r>
        <w:t>2014 Concluding Observations</w:t>
      </w:r>
      <w:r w:rsidRPr="00B47660">
        <w:t>.</w:t>
      </w:r>
    </w:p>
    <w:p w14:paraId="7ED56F7A" w14:textId="3B36C910" w:rsidR="00686581" w:rsidRDefault="00D3118D" w:rsidP="00234644">
      <w:pPr>
        <w:pStyle w:val="Paragraph"/>
      </w:pPr>
      <w:r>
        <w:t>India</w:t>
      </w:r>
      <w:r w:rsidRPr="00D3118D">
        <w:t xml:space="preserve"> has not abolished the death penalty</w:t>
      </w:r>
      <w:r w:rsidR="009C5E15">
        <w:t>,</w:t>
      </w:r>
      <w:r w:rsidR="00985AB8">
        <w:t xml:space="preserve"> and </w:t>
      </w:r>
      <w:r w:rsidR="003352E8">
        <w:t xml:space="preserve">it does not reserve the </w:t>
      </w:r>
      <w:r w:rsidR="00985AB8">
        <w:t xml:space="preserve">death penalty for </w:t>
      </w:r>
      <w:r w:rsidR="003352E8">
        <w:t xml:space="preserve">only </w:t>
      </w:r>
      <w:r w:rsidR="00985AB8">
        <w:t xml:space="preserve">the </w:t>
      </w:r>
      <w:r w:rsidR="009C5E15">
        <w:t>most serious crimes</w:t>
      </w:r>
      <w:r w:rsidR="00E54C03">
        <w:t>.</w:t>
      </w:r>
      <w:r w:rsidR="009C5E15">
        <w:t xml:space="preserve"> </w:t>
      </w:r>
      <w:r w:rsidR="003352E8">
        <w:t xml:space="preserve">In recently enacted amendments to its penal code, </w:t>
      </w:r>
      <w:r w:rsidR="00BA5832">
        <w:t xml:space="preserve">India </w:t>
      </w:r>
      <w:r w:rsidR="008C77FD">
        <w:t>expanded</w:t>
      </w:r>
      <w:r w:rsidR="00BA5832">
        <w:t xml:space="preserve"> the scope of offenses for which the death penalty may be imposed from 15 to 18, </w:t>
      </w:r>
      <w:r w:rsidR="005335B9">
        <w:t>including for offenses not entailing an intentional killing.</w:t>
      </w:r>
      <w:r w:rsidR="005335B9">
        <w:rPr>
          <w:rStyle w:val="FootnoteReference"/>
        </w:rPr>
        <w:footnoteReference w:id="2"/>
      </w:r>
      <w:r w:rsidR="00E54C03">
        <w:t xml:space="preserve"> </w:t>
      </w:r>
      <w:r w:rsidR="004F213A">
        <w:t>As of December 2024, 17 women are on death row</w:t>
      </w:r>
      <w:r w:rsidR="00D61697">
        <w:t xml:space="preserve">, </w:t>
      </w:r>
      <w:r w:rsidR="00C17207">
        <w:t>with</w:t>
      </w:r>
      <w:r w:rsidR="004F213A">
        <w:t xml:space="preserve"> </w:t>
      </w:r>
      <w:r w:rsidR="00663E4D">
        <w:t xml:space="preserve">courts handing down </w:t>
      </w:r>
      <w:r w:rsidR="004870D8">
        <w:t>eight</w:t>
      </w:r>
      <w:r w:rsidR="004F213A">
        <w:t xml:space="preserve"> death sentences</w:t>
      </w:r>
      <w:r w:rsidR="00265FF4">
        <w:t xml:space="preserve"> for women</w:t>
      </w:r>
      <w:r w:rsidR="004F213A">
        <w:t xml:space="preserve"> </w:t>
      </w:r>
      <w:r w:rsidR="00C17207">
        <w:t>during</w:t>
      </w:r>
      <w:r w:rsidR="004F213A">
        <w:t xml:space="preserve"> 2024 alon</w:t>
      </w:r>
      <w:r w:rsidR="00D61697">
        <w:t>e</w:t>
      </w:r>
      <w:r w:rsidR="00F11477">
        <w:t>.</w:t>
      </w:r>
      <w:r w:rsidR="007F302D">
        <w:rPr>
          <w:rStyle w:val="FootnoteReference"/>
        </w:rPr>
        <w:footnoteReference w:id="3"/>
      </w:r>
      <w:r w:rsidR="00C17207">
        <w:t xml:space="preserve"> </w:t>
      </w:r>
      <w:r w:rsidR="00F11477">
        <w:t xml:space="preserve">This </w:t>
      </w:r>
      <w:r w:rsidR="00265FF4">
        <w:t xml:space="preserve">trend demonstrates </w:t>
      </w:r>
      <w:r w:rsidR="00FC7C6D">
        <w:t xml:space="preserve">a sharp increase in the number </w:t>
      </w:r>
      <w:r w:rsidR="00C17207">
        <w:t xml:space="preserve">of death sentences </w:t>
      </w:r>
      <w:r w:rsidR="00265FF4">
        <w:t xml:space="preserve">Indian courts have </w:t>
      </w:r>
      <w:r w:rsidR="00C17207">
        <w:t>imposed on women since 2016.</w:t>
      </w:r>
      <w:r w:rsidR="00C17207">
        <w:rPr>
          <w:rStyle w:val="FootnoteReference"/>
        </w:rPr>
        <w:footnoteReference w:id="4"/>
      </w:r>
    </w:p>
    <w:p w14:paraId="6CD9AC33" w14:textId="17FA3EC3" w:rsidR="004B1E4E" w:rsidRDefault="00686581" w:rsidP="00234644">
      <w:pPr>
        <w:pStyle w:val="Paragraph"/>
      </w:pPr>
      <w:r>
        <w:t>The Committee previously highlighted a number of issues concerning violence against women, gender-based discrimination</w:t>
      </w:r>
      <w:r w:rsidR="00445544">
        <w:t>, e</w:t>
      </w:r>
      <w:r w:rsidR="00445544" w:rsidRPr="00445544">
        <w:t>arly and forced marriages, and lack of equality in marriage and family relations in Indi</w:t>
      </w:r>
      <w:r w:rsidR="00445544">
        <w:t>a.</w:t>
      </w:r>
      <w:r w:rsidR="00445544">
        <w:rPr>
          <w:rStyle w:val="FootnoteReference"/>
        </w:rPr>
        <w:footnoteReference w:id="5"/>
      </w:r>
      <w:r w:rsidR="00445544">
        <w:t xml:space="preserve"> </w:t>
      </w:r>
      <w:r w:rsidR="00445544" w:rsidRPr="00445544">
        <w:t xml:space="preserve">Despite </w:t>
      </w:r>
      <w:r w:rsidR="006B39D9">
        <w:t xml:space="preserve">the Committee’s </w:t>
      </w:r>
      <w:r w:rsidR="00445544" w:rsidRPr="00445544">
        <w:t>recommendations to implement the Justice Verma Committee recommendations</w:t>
      </w:r>
      <w:r w:rsidR="002140BA">
        <w:t>,</w:t>
      </w:r>
      <w:r w:rsidR="00445544">
        <w:rPr>
          <w:rStyle w:val="FootnoteReference"/>
        </w:rPr>
        <w:footnoteReference w:id="6"/>
      </w:r>
      <w:r w:rsidR="00445544" w:rsidRPr="00445544">
        <w:t xml:space="preserve"> </w:t>
      </w:r>
      <w:r w:rsidR="002140BA">
        <w:t>which had rejected further application of the death penalty for sexual violence</w:t>
      </w:r>
      <w:r w:rsidR="00445544" w:rsidRPr="00445544">
        <w:t>,</w:t>
      </w:r>
      <w:r w:rsidR="00445544">
        <w:rPr>
          <w:rStyle w:val="FootnoteReference"/>
        </w:rPr>
        <w:footnoteReference w:id="7"/>
      </w:r>
      <w:r w:rsidR="00445544">
        <w:t xml:space="preserve"> </w:t>
      </w:r>
      <w:r w:rsidR="00445544" w:rsidRPr="00445544">
        <w:t>India has proceeded instead to expand the scope of death penalty</w:t>
      </w:r>
      <w:r w:rsidR="007A7707">
        <w:t>,</w:t>
      </w:r>
      <w:r w:rsidR="00445544" w:rsidRPr="00445544">
        <w:t xml:space="preserve"> including for crimes of sexual violence</w:t>
      </w:r>
      <w:r w:rsidR="00445544">
        <w:t>.</w:t>
      </w:r>
      <w:r w:rsidR="00445544">
        <w:rPr>
          <w:rStyle w:val="FootnoteReference"/>
        </w:rPr>
        <w:footnoteReference w:id="8"/>
      </w:r>
      <w:r w:rsidR="00445544">
        <w:t xml:space="preserve"> </w:t>
      </w:r>
      <w:r w:rsidR="00445544" w:rsidRPr="00445544">
        <w:t xml:space="preserve">Persistent discrimination against women </w:t>
      </w:r>
      <w:r w:rsidR="002140BA">
        <w:t xml:space="preserve">also </w:t>
      </w:r>
      <w:r w:rsidR="00445544" w:rsidRPr="00445544">
        <w:t>potentially leaves women vulnerable to adverse treatment in criminal proceedings and violations of fair trial rights</w:t>
      </w:r>
      <w:r w:rsidR="002140BA">
        <w:t>.</w:t>
      </w:r>
      <w:r w:rsidR="00445544">
        <w:rPr>
          <w:rStyle w:val="FootnoteReference"/>
        </w:rPr>
        <w:footnoteReference w:id="9"/>
      </w:r>
    </w:p>
    <w:p w14:paraId="572AA2B1" w14:textId="52D56F92" w:rsidR="00E74085" w:rsidRDefault="00EF074A" w:rsidP="00234644">
      <w:pPr>
        <w:pStyle w:val="Paragraph"/>
      </w:pPr>
      <w:r>
        <w:t>This report discusses</w:t>
      </w:r>
      <w:r w:rsidR="006353C6">
        <w:t xml:space="preserve"> </w:t>
      </w:r>
      <w:r w:rsidR="00F62882">
        <w:t xml:space="preserve">India’s </w:t>
      </w:r>
      <w:r w:rsidR="006353C6">
        <w:t>continued use of the death penalty and</w:t>
      </w:r>
      <w:r>
        <w:t xml:space="preserve"> the following issues </w:t>
      </w:r>
      <w:r w:rsidR="00DB3C63">
        <w:t xml:space="preserve">regarding </w:t>
      </w:r>
      <w:r w:rsidR="00EF33B0">
        <w:t>discrimination against women in</w:t>
      </w:r>
      <w:r w:rsidR="00703D02">
        <w:t xml:space="preserve"> </w:t>
      </w:r>
      <w:r w:rsidR="00EF33B0">
        <w:t>the context of the imposition of death penalty</w:t>
      </w:r>
      <w:r w:rsidR="00B3020A">
        <w:t>, including</w:t>
      </w:r>
      <w:r w:rsidR="00EF33B0">
        <w:t xml:space="preserve"> </w:t>
      </w:r>
      <w:r w:rsidR="007B19E0">
        <w:t>India’s f</w:t>
      </w:r>
      <w:r w:rsidR="00B95866">
        <w:t>ailure to address g</w:t>
      </w:r>
      <w:r w:rsidR="006268D1">
        <w:t>ender-based violence</w:t>
      </w:r>
      <w:r w:rsidR="00BA5832">
        <w:t>, which</w:t>
      </w:r>
      <w:r w:rsidR="006268D1">
        <w:t xml:space="preserve"> </w:t>
      </w:r>
      <w:r w:rsidR="007B19E0">
        <w:t>increases women’s risk</w:t>
      </w:r>
      <w:r w:rsidR="006D64F8">
        <w:t xml:space="preserve"> of coming into conflict with the law and </w:t>
      </w:r>
      <w:r w:rsidR="007B19E0">
        <w:t>facing death penalty</w:t>
      </w:r>
      <w:r w:rsidR="00BA5832">
        <w:t xml:space="preserve">, persistent </w:t>
      </w:r>
      <w:r w:rsidR="00EF33B0">
        <w:t>d</w:t>
      </w:r>
      <w:r w:rsidR="00826F36" w:rsidRPr="00826F36">
        <w:t>iscriminat</w:t>
      </w:r>
      <w:r w:rsidR="00F41250">
        <w:t xml:space="preserve">ory practices </w:t>
      </w:r>
      <w:r w:rsidR="00BA5832">
        <w:t xml:space="preserve">and </w:t>
      </w:r>
      <w:r w:rsidR="00F41250">
        <w:t>gender biases and stereotypes against women</w:t>
      </w:r>
      <w:r w:rsidR="00BA5832">
        <w:t xml:space="preserve"> </w:t>
      </w:r>
      <w:r w:rsidR="00A2471C">
        <w:t xml:space="preserve">that increase vulnerabilities of women in the </w:t>
      </w:r>
      <w:r w:rsidR="006D64F8">
        <w:t xml:space="preserve">criminal legal system </w:t>
      </w:r>
      <w:r w:rsidR="00A2471C">
        <w:t>and adversely impact their rights in legal proceedings</w:t>
      </w:r>
      <w:r w:rsidR="00BA5832">
        <w:t>,</w:t>
      </w:r>
      <w:r w:rsidR="00EF33B0">
        <w:t xml:space="preserve"> and </w:t>
      </w:r>
      <w:r w:rsidR="00436E40">
        <w:t>d</w:t>
      </w:r>
      <w:r w:rsidR="00436E40" w:rsidRPr="00436E40">
        <w:t xml:space="preserve">etention conditions for women </w:t>
      </w:r>
      <w:r w:rsidR="00DE1570">
        <w:t xml:space="preserve">that </w:t>
      </w:r>
      <w:r w:rsidR="00436E40" w:rsidRPr="00436E40">
        <w:t>do not comply with international human rights standards.</w:t>
      </w:r>
    </w:p>
    <w:p w14:paraId="75B00959" w14:textId="3D10C984" w:rsidR="008F2F99" w:rsidRDefault="003439C7" w:rsidP="007268C7">
      <w:pPr>
        <w:pStyle w:val="SectionSummary"/>
        <w:keepNext/>
      </w:pPr>
      <w:r>
        <w:lastRenderedPageBreak/>
        <w:t>India</w:t>
      </w:r>
      <w:r w:rsidR="008F2F99" w:rsidRPr="008F2F99">
        <w:t xml:space="preserve"> fails to uphold its obligations under the </w:t>
      </w:r>
      <w:r w:rsidR="009B4239">
        <w:t>Convention of the Elimination of All Forms of Discrimination Against Women</w:t>
      </w:r>
    </w:p>
    <w:p w14:paraId="304E01CE" w14:textId="6126142C" w:rsidR="008F14F9" w:rsidRDefault="000A431F" w:rsidP="0053444C">
      <w:pPr>
        <w:pStyle w:val="SectionHeading"/>
        <w:keepNext/>
        <w:jc w:val="both"/>
      </w:pPr>
      <w:r>
        <w:t xml:space="preserve">India is a retentionist state that continues to </w:t>
      </w:r>
      <w:r w:rsidR="00EC59A6">
        <w:rPr>
          <w:rFonts w:cs="Times New Roman"/>
          <w:szCs w:val="24"/>
        </w:rPr>
        <w:t>impose death</w:t>
      </w:r>
      <w:r w:rsidR="000F246A">
        <w:rPr>
          <w:rFonts w:cs="Times New Roman"/>
          <w:szCs w:val="24"/>
        </w:rPr>
        <w:t xml:space="preserve"> sentences, including against</w:t>
      </w:r>
      <w:r w:rsidR="00EC59A6">
        <w:rPr>
          <w:rFonts w:cs="Times New Roman"/>
          <w:szCs w:val="24"/>
        </w:rPr>
        <w:t xml:space="preserve"> </w:t>
      </w:r>
      <w:r>
        <w:rPr>
          <w:rFonts w:cs="Times New Roman"/>
          <w:szCs w:val="24"/>
        </w:rPr>
        <w:t>women</w:t>
      </w:r>
      <w:r w:rsidR="00AC6E24">
        <w:rPr>
          <w:rFonts w:cs="Times New Roman"/>
          <w:szCs w:val="24"/>
        </w:rPr>
        <w:t>,</w:t>
      </w:r>
      <w:r>
        <w:rPr>
          <w:rFonts w:cs="Times New Roman"/>
          <w:szCs w:val="24"/>
        </w:rPr>
        <w:t xml:space="preserve"> for crimes that are not the “most serious” under international law</w:t>
      </w:r>
      <w:r w:rsidR="00DE1570">
        <w:rPr>
          <w:rFonts w:cs="Times New Roman"/>
          <w:szCs w:val="24"/>
        </w:rPr>
        <w:t>.</w:t>
      </w:r>
    </w:p>
    <w:p w14:paraId="0304E038" w14:textId="6E97BEE8" w:rsidR="00783DA7" w:rsidRDefault="008C77FD" w:rsidP="00741091">
      <w:pPr>
        <w:pStyle w:val="Paragraph"/>
      </w:pPr>
      <w:r>
        <w:t>India takes the position,</w:t>
      </w:r>
      <w:r w:rsidR="007D204B">
        <w:t xml:space="preserve"> </w:t>
      </w:r>
      <w:r w:rsidR="00783DA7">
        <w:t xml:space="preserve">as a procedural matter, </w:t>
      </w:r>
      <w:r>
        <w:t xml:space="preserve">that </w:t>
      </w:r>
      <w:r w:rsidR="00783DA7">
        <w:t>courts need “</w:t>
      </w:r>
      <w:r w:rsidR="00783DA7" w:rsidRPr="00D04681">
        <w:t>to provide special reasons to impose a death sentence</w:t>
      </w:r>
      <w:r w:rsidR="00491B63">
        <w:t>,</w:t>
      </w:r>
      <w:r w:rsidR="00783DA7">
        <w:t xml:space="preserve">” </w:t>
      </w:r>
      <w:r w:rsidR="00491B63">
        <w:t xml:space="preserve">and </w:t>
      </w:r>
      <w:r w:rsidR="0002542E">
        <w:t xml:space="preserve">the </w:t>
      </w:r>
      <w:r w:rsidR="00491B63">
        <w:t>Supreme Court of India laid out a</w:t>
      </w:r>
      <w:r w:rsidR="00783DA7">
        <w:t xml:space="preserve"> framework for determining whether there are such special reasons in </w:t>
      </w:r>
      <w:r w:rsidR="00783DA7" w:rsidRPr="00783DA7">
        <w:rPr>
          <w:i/>
          <w:iCs/>
        </w:rPr>
        <w:t>Bachan Singh v. State of Punjab</w:t>
      </w:r>
      <w:r w:rsidR="00783DA7" w:rsidRPr="00D04681">
        <w:t xml:space="preserve"> (1980)</w:t>
      </w:r>
      <w:r w:rsidR="00783DA7">
        <w:t>.</w:t>
      </w:r>
      <w:r w:rsidR="00783DA7">
        <w:rPr>
          <w:rStyle w:val="FootnoteReference"/>
        </w:rPr>
        <w:footnoteReference w:id="10"/>
      </w:r>
      <w:r w:rsidR="00783DA7">
        <w:t xml:space="preserve"> The Court in </w:t>
      </w:r>
      <w:r w:rsidR="00783DA7" w:rsidRPr="00783DA7">
        <w:rPr>
          <w:i/>
          <w:iCs/>
        </w:rPr>
        <w:t>Bachan Singh</w:t>
      </w:r>
      <w:r w:rsidR="00D640D9">
        <w:t xml:space="preserve"> </w:t>
      </w:r>
      <w:r w:rsidR="00794CE0">
        <w:t xml:space="preserve">noted that </w:t>
      </w:r>
      <w:r w:rsidR="003B37A8">
        <w:t xml:space="preserve">courts should sentence people to </w:t>
      </w:r>
      <w:r w:rsidR="00794CE0">
        <w:t xml:space="preserve">death </w:t>
      </w:r>
      <w:r w:rsidR="003D1F69">
        <w:t>only</w:t>
      </w:r>
      <w:r w:rsidR="00794CE0">
        <w:t xml:space="preserve"> “</w:t>
      </w:r>
      <w:r w:rsidR="00544AB0">
        <w:t>i</w:t>
      </w:r>
      <w:r w:rsidR="00544AB0" w:rsidRPr="00544AB0">
        <w:t>n the rarest of rare cases when the alternative option is unquestionably foreclosed</w:t>
      </w:r>
      <w:r w:rsidR="00B5351B">
        <w:t>.</w:t>
      </w:r>
      <w:r w:rsidR="00544AB0">
        <w:t>”</w:t>
      </w:r>
      <w:r w:rsidR="00333047">
        <w:rPr>
          <w:rStyle w:val="FootnoteReference"/>
        </w:rPr>
        <w:footnoteReference w:id="11"/>
      </w:r>
    </w:p>
    <w:p w14:paraId="5D9925CF" w14:textId="31101681" w:rsidR="00B3020A" w:rsidRDefault="00A2471C" w:rsidP="00741091">
      <w:pPr>
        <w:pStyle w:val="Paragraph"/>
      </w:pPr>
      <w:r>
        <w:t>Despite</w:t>
      </w:r>
      <w:r w:rsidR="00544AB0">
        <w:t xml:space="preserve"> these </w:t>
      </w:r>
      <w:r w:rsidR="00FC7C6D">
        <w:t xml:space="preserve">legal and </w:t>
      </w:r>
      <w:r w:rsidR="00544AB0">
        <w:t xml:space="preserve">historical precedents, </w:t>
      </w:r>
      <w:r w:rsidR="00794CE0">
        <w:t xml:space="preserve">India has maintained the death penalty and </w:t>
      </w:r>
      <w:r w:rsidR="003B37A8">
        <w:t xml:space="preserve">courts continue </w:t>
      </w:r>
      <w:r w:rsidR="00794CE0">
        <w:t>to impose</w:t>
      </w:r>
      <w:r>
        <w:t xml:space="preserve"> </w:t>
      </w:r>
      <w:r w:rsidR="00794CE0">
        <w:t>death sentences for a broad range of offenses. T</w:t>
      </w:r>
      <w:r w:rsidR="001479FB">
        <w:t xml:space="preserve">he </w:t>
      </w:r>
      <w:r w:rsidR="00794CE0">
        <w:t>scope</w:t>
      </w:r>
      <w:r w:rsidR="001479FB">
        <w:t xml:space="preserve"> of crimes for which </w:t>
      </w:r>
      <w:r w:rsidR="00747012">
        <w:t xml:space="preserve">courts may impose the </w:t>
      </w:r>
      <w:r w:rsidR="001479FB">
        <w:t xml:space="preserve">death </w:t>
      </w:r>
      <w:r w:rsidR="00747012">
        <w:t xml:space="preserve">penalty </w:t>
      </w:r>
      <w:r w:rsidR="00DE7D13">
        <w:t>includ</w:t>
      </w:r>
      <w:r w:rsidR="00794CE0">
        <w:t>es</w:t>
      </w:r>
      <w:r w:rsidR="002C2DD1">
        <w:t xml:space="preserve"> murder, kidnapping with murder, armed robbery with murder, sexual offences, and terror offenses</w:t>
      </w:r>
      <w:r w:rsidR="00544AB0">
        <w:rPr>
          <w:rStyle w:val="FootnoteReference"/>
        </w:rPr>
        <w:footnoteReference w:id="12"/>
      </w:r>
      <w:r w:rsidR="00794CE0">
        <w:t>—which</w:t>
      </w:r>
      <w:r w:rsidR="00544AB0">
        <w:t xml:space="preserve"> </w:t>
      </w:r>
      <w:r w:rsidR="00A31FBC">
        <w:t xml:space="preserve">the Special Rapporteur on executions </w:t>
      </w:r>
      <w:r w:rsidR="00544AB0">
        <w:t>has observed to be “</w:t>
      </w:r>
      <w:r w:rsidR="00544AB0" w:rsidRPr="00544AB0">
        <w:t>much wider than the one provided for under international law</w:t>
      </w:r>
      <w:r w:rsidR="00DE7D13">
        <w:t>.</w:t>
      </w:r>
      <w:r w:rsidR="00544AB0">
        <w:t>”</w:t>
      </w:r>
      <w:r w:rsidR="00DE7D13">
        <w:rPr>
          <w:rStyle w:val="FootnoteReference"/>
        </w:rPr>
        <w:footnoteReference w:id="13"/>
      </w:r>
    </w:p>
    <w:p w14:paraId="5FB1E20D" w14:textId="5F85F04F" w:rsidR="008C77FD" w:rsidRDefault="00E6163C" w:rsidP="00C05D23">
      <w:pPr>
        <w:pStyle w:val="Paragraph"/>
      </w:pPr>
      <w:r>
        <w:t xml:space="preserve">India has </w:t>
      </w:r>
      <w:r w:rsidR="00681A78">
        <w:t xml:space="preserve">expanded </w:t>
      </w:r>
      <w:r w:rsidR="008C77FD">
        <w:t xml:space="preserve">the scope of the death penalty. In 2023, India replaced the Indian Penal Code, 1860 with the </w:t>
      </w:r>
      <w:r w:rsidR="008C77FD" w:rsidRPr="004E028C">
        <w:t>Bharatiya Nyaya Sanhita</w:t>
      </w:r>
      <w:r w:rsidR="008C77FD">
        <w:t xml:space="preserve">, </w:t>
      </w:r>
      <w:r w:rsidR="00681A78">
        <w:t xml:space="preserve">expanding </w:t>
      </w:r>
      <w:r w:rsidR="008C77FD">
        <w:t xml:space="preserve">the number of </w:t>
      </w:r>
      <w:r w:rsidR="00681A78">
        <w:t xml:space="preserve">capital </w:t>
      </w:r>
      <w:r w:rsidR="008C77FD">
        <w:t xml:space="preserve">offenses </w:t>
      </w:r>
      <w:r w:rsidR="00923AE0">
        <w:t xml:space="preserve">to </w:t>
      </w:r>
      <w:r w:rsidR="008C77FD">
        <w:t>includ</w:t>
      </w:r>
      <w:r w:rsidR="00923AE0">
        <w:t>e</w:t>
      </w:r>
      <w:r w:rsidR="008C77FD">
        <w:t xml:space="preserve"> “</w:t>
      </w:r>
      <w:r w:rsidR="008C77FD" w:rsidRPr="006810C7">
        <w:t>organised crime, terrorist act, and murder committed by a life convict</w:t>
      </w:r>
      <w:r w:rsidR="00DA4AE1">
        <w:t>.</w:t>
      </w:r>
      <w:r w:rsidR="008C77FD">
        <w:t>”</w:t>
      </w:r>
      <w:r w:rsidR="008C77FD">
        <w:rPr>
          <w:rStyle w:val="FootnoteReference"/>
        </w:rPr>
        <w:footnoteReference w:id="14"/>
      </w:r>
    </w:p>
    <w:p w14:paraId="5032FE6F" w14:textId="52858641" w:rsidR="00491B63" w:rsidRDefault="00546258" w:rsidP="00C05D23">
      <w:pPr>
        <w:pStyle w:val="Paragraph"/>
      </w:pPr>
      <w:r>
        <w:t xml:space="preserve">Courts have continued to hand </w:t>
      </w:r>
      <w:r w:rsidR="003B6C0D">
        <w:t xml:space="preserve">down </w:t>
      </w:r>
      <w:r>
        <w:t>death sentences, resulting in “</w:t>
      </w:r>
      <w:r w:rsidRPr="00EC5FC5">
        <w:t>a continuing and unabated increase in the death row population</w:t>
      </w:r>
      <w:r w:rsidR="00926BBA">
        <w:t>.</w:t>
      </w:r>
      <w:r>
        <w:t>”</w:t>
      </w:r>
      <w:r>
        <w:rPr>
          <w:rStyle w:val="FootnoteReference"/>
        </w:rPr>
        <w:footnoteReference w:id="15"/>
      </w:r>
      <w:r>
        <w:t xml:space="preserve"> Trial courts sentenced 139 people to death in 2024, and at the end of the year there</w:t>
      </w:r>
      <w:r w:rsidR="00A2471C">
        <w:t xml:space="preserve"> were</w:t>
      </w:r>
      <w:r>
        <w:t xml:space="preserve"> 564 </w:t>
      </w:r>
      <w:r w:rsidR="004A714E">
        <w:t xml:space="preserve">people </w:t>
      </w:r>
      <w:r w:rsidR="00A2471C">
        <w:t>on death row</w:t>
      </w:r>
      <w:r>
        <w:t>.</w:t>
      </w:r>
      <w:r>
        <w:rPr>
          <w:rStyle w:val="FootnoteReference"/>
        </w:rPr>
        <w:footnoteReference w:id="16"/>
      </w:r>
      <w:r>
        <w:t xml:space="preserve"> </w:t>
      </w:r>
      <w:r w:rsidR="004A714E">
        <w:t>Courts imposed e</w:t>
      </w:r>
      <w:r w:rsidR="000A431F">
        <w:t>ight</w:t>
      </w:r>
      <w:r>
        <w:t xml:space="preserve"> of these</w:t>
      </w:r>
      <w:r w:rsidR="000A431F">
        <w:t xml:space="preserve"> death sentences on women, marking a sharp increase in the number of women sentenced to death since 2016.</w:t>
      </w:r>
      <w:r w:rsidR="000A431F">
        <w:rPr>
          <w:rStyle w:val="FootnoteReference"/>
        </w:rPr>
        <w:footnoteReference w:id="17"/>
      </w:r>
      <w:r w:rsidR="000A431F">
        <w:t xml:space="preserve"> </w:t>
      </w:r>
      <w:r>
        <w:t xml:space="preserve">At the end of 2024, </w:t>
      </w:r>
      <w:r w:rsidR="00C21E83">
        <w:t xml:space="preserve">17 women </w:t>
      </w:r>
      <w:r w:rsidR="004A714E">
        <w:t xml:space="preserve">were under sentence of </w:t>
      </w:r>
      <w:r w:rsidR="00C21E83">
        <w:t>death.</w:t>
      </w:r>
      <w:r w:rsidR="00C21E83">
        <w:rPr>
          <w:rStyle w:val="FootnoteReference"/>
        </w:rPr>
        <w:footnoteReference w:id="18"/>
      </w:r>
    </w:p>
    <w:p w14:paraId="34FA6A45" w14:textId="72389F96" w:rsidR="000A431F" w:rsidRDefault="004A714E" w:rsidP="00C05D23">
      <w:pPr>
        <w:pStyle w:val="Paragraph"/>
      </w:pPr>
      <w:r>
        <w:lastRenderedPageBreak/>
        <w:t>O</w:t>
      </w:r>
      <w:r w:rsidR="00546258">
        <w:t>bservers have noted that “India carries out few executions</w:t>
      </w:r>
      <w:r>
        <w:t>,</w:t>
      </w:r>
      <w:r w:rsidR="00546258">
        <w:t>”</w:t>
      </w:r>
      <w:r w:rsidR="00546258">
        <w:rPr>
          <w:rStyle w:val="FootnoteReference"/>
        </w:rPr>
        <w:footnoteReference w:id="19"/>
      </w:r>
      <w:r w:rsidR="00546258">
        <w:t xml:space="preserve"> </w:t>
      </w:r>
      <w:r>
        <w:t xml:space="preserve">but </w:t>
      </w:r>
      <w:r w:rsidR="00491B63">
        <w:t xml:space="preserve">the large number of death sentences </w:t>
      </w:r>
      <w:r w:rsidR="00B3080D">
        <w:t xml:space="preserve">means that a growing number of people—including women—are </w:t>
      </w:r>
      <w:r w:rsidR="006D1C28">
        <w:t>at risk of being executed</w:t>
      </w:r>
      <w:r w:rsidR="00546258">
        <w:t>.</w:t>
      </w:r>
    </w:p>
    <w:p w14:paraId="71FF20C1" w14:textId="74DAB4C7" w:rsidR="004B1E4E" w:rsidRDefault="00E35A10" w:rsidP="0053444C">
      <w:pPr>
        <w:pStyle w:val="SectionHeading"/>
        <w:keepNext/>
        <w:jc w:val="both"/>
      </w:pPr>
      <w:r>
        <w:t>India’s fa</w:t>
      </w:r>
      <w:r w:rsidR="0085080B">
        <w:t xml:space="preserve">ilure to </w:t>
      </w:r>
      <w:r w:rsidR="00A2471C">
        <w:t xml:space="preserve">comprehensively </w:t>
      </w:r>
      <w:r w:rsidR="0085080B">
        <w:t xml:space="preserve">address </w:t>
      </w:r>
      <w:r w:rsidR="006D7398">
        <w:t xml:space="preserve">gender-based violence </w:t>
      </w:r>
      <w:r w:rsidR="00A2471C">
        <w:t xml:space="preserve">has </w:t>
      </w:r>
      <w:r w:rsidR="00137F85">
        <w:t xml:space="preserve">contributed to women coming into conflict with the law, placing them at </w:t>
      </w:r>
      <w:r w:rsidR="006F28C7">
        <w:t xml:space="preserve">risk of facing </w:t>
      </w:r>
      <w:r w:rsidR="00137F85">
        <w:t xml:space="preserve">the </w:t>
      </w:r>
      <w:r w:rsidR="006F28C7">
        <w:t>death penalty (</w:t>
      </w:r>
      <w:r w:rsidR="000A5725">
        <w:t>Concluding Observations Para</w:t>
      </w:r>
      <w:r w:rsidR="00EC1F7A">
        <w:t>graphs</w:t>
      </w:r>
      <w:r w:rsidR="000A5725">
        <w:t xml:space="preserve"> </w:t>
      </w:r>
      <w:r w:rsidR="00AC61A9">
        <w:t xml:space="preserve">10–11, 22–23, </w:t>
      </w:r>
      <w:r w:rsidR="001C506C">
        <w:t xml:space="preserve">34–35, </w:t>
      </w:r>
      <w:r w:rsidR="00813F5B">
        <w:t>38–41</w:t>
      </w:r>
      <w:r w:rsidR="006F28C7">
        <w:t>)</w:t>
      </w:r>
      <w:r w:rsidR="00384EC1">
        <w:t>.</w:t>
      </w:r>
    </w:p>
    <w:p w14:paraId="4995E03B" w14:textId="12E69C48" w:rsidR="000B60ED" w:rsidRDefault="00B157C7" w:rsidP="00C05D23">
      <w:pPr>
        <w:pStyle w:val="Paragraph"/>
      </w:pPr>
      <w:r>
        <w:t xml:space="preserve">In </w:t>
      </w:r>
      <w:r w:rsidR="00384EC1">
        <w:t xml:space="preserve">its </w:t>
      </w:r>
      <w:r w:rsidR="000A3FC6">
        <w:t xml:space="preserve">2014 Concluding Observations, the </w:t>
      </w:r>
      <w:r w:rsidRPr="00B157C7">
        <w:t xml:space="preserve">Committee </w:t>
      </w:r>
      <w:r w:rsidR="00384EC1">
        <w:t xml:space="preserve">recognized </w:t>
      </w:r>
      <w:r w:rsidR="000B60ED">
        <w:t>“</w:t>
      </w:r>
      <w:r w:rsidRPr="00B157C7">
        <w:t>the State party’s efforts to enact a legal framework to prevent and respond to violence against women, including women from the marginalized castes and communities</w:t>
      </w:r>
      <w:r w:rsidR="000B60ED">
        <w:t xml:space="preserve">” </w:t>
      </w:r>
      <w:r w:rsidRPr="00B157C7">
        <w:t xml:space="preserve">and </w:t>
      </w:r>
      <w:r w:rsidR="000B60ED">
        <w:t>“</w:t>
      </w:r>
      <w:r w:rsidRPr="00B157C7">
        <w:t>the establishment in 2013 of the Justice Verma Committee on Amendments to Criminal Law to review existing normative gaps</w:t>
      </w:r>
      <w:r w:rsidR="000A431F">
        <w:t>,</w:t>
      </w:r>
      <w:r w:rsidR="000B60ED">
        <w:t>”</w:t>
      </w:r>
      <w:r w:rsidR="000A431F">
        <w:t xml:space="preserve"> yet at the same time </w:t>
      </w:r>
      <w:r w:rsidR="00546258">
        <w:t>it</w:t>
      </w:r>
      <w:r w:rsidR="000A431F">
        <w:t xml:space="preserve"> expressed </w:t>
      </w:r>
      <w:r w:rsidR="000B60ED">
        <w:t>multiple concerns regarding continuing issues of</w:t>
      </w:r>
      <w:r w:rsidRPr="00B157C7">
        <w:t xml:space="preserve"> </w:t>
      </w:r>
      <w:r w:rsidR="000B60ED">
        <w:t>violen</w:t>
      </w:r>
      <w:r w:rsidR="00491B63">
        <w:t>t</w:t>
      </w:r>
      <w:r w:rsidRPr="00B157C7">
        <w:t xml:space="preserve"> crimes against women, </w:t>
      </w:r>
      <w:r w:rsidR="00491B63">
        <w:t>including</w:t>
      </w:r>
      <w:r w:rsidRPr="00B157C7">
        <w:t xml:space="preserve"> rape and abduction</w:t>
      </w:r>
      <w:r w:rsidR="000A431F">
        <w:t>.</w:t>
      </w:r>
      <w:r w:rsidR="00E44C33">
        <w:rPr>
          <w:rStyle w:val="FootnoteReference"/>
        </w:rPr>
        <w:footnoteReference w:id="20"/>
      </w:r>
    </w:p>
    <w:p w14:paraId="3BF397F0" w14:textId="0FC1FA58" w:rsidR="00B157C7" w:rsidRDefault="000A431F" w:rsidP="00C05D23">
      <w:pPr>
        <w:pStyle w:val="Paragraph"/>
      </w:pPr>
      <w:r>
        <w:t>In particular,</w:t>
      </w:r>
      <w:r w:rsidR="00E44C33">
        <w:t xml:space="preserve"> the Committed noted</w:t>
      </w:r>
      <w:r w:rsidR="00C22630">
        <w:t>:</w:t>
      </w:r>
      <w:r w:rsidR="00E44C33">
        <w:t xml:space="preserve"> a significant increase in violent crimes against women</w:t>
      </w:r>
      <w:r w:rsidR="00491B63">
        <w:t>;</w:t>
      </w:r>
      <w:r w:rsidR="00E44C33">
        <w:t xml:space="preserve"> various issues that affect women in domestic circumstances including a h</w:t>
      </w:r>
      <w:r w:rsidR="00E44C33" w:rsidRPr="00B157C7">
        <w:t>igh number of dowry-related deaths</w:t>
      </w:r>
      <w:r w:rsidR="00E44C33">
        <w:t>, the “persistence of so-called ‘honour crimes’ perpetrated by family members against women and girls</w:t>
      </w:r>
      <w:r w:rsidR="00156E8D">
        <w:t>,</w:t>
      </w:r>
      <w:r w:rsidR="00E44C33">
        <w:t>” and</w:t>
      </w:r>
      <w:r w:rsidR="002F48BF">
        <w:t xml:space="preserve"> </w:t>
      </w:r>
      <w:r w:rsidR="00E44C33">
        <w:t>the continuing</w:t>
      </w:r>
      <w:r w:rsidR="00B157C7" w:rsidRPr="00B157C7">
        <w:t xml:space="preserve"> exemption from punishment </w:t>
      </w:r>
      <w:r w:rsidR="00E44C33">
        <w:t>for</w:t>
      </w:r>
      <w:r w:rsidR="00B157C7" w:rsidRPr="00B157C7">
        <w:t xml:space="preserve"> </w:t>
      </w:r>
      <w:r w:rsidR="00E44C33">
        <w:t xml:space="preserve">rape when </w:t>
      </w:r>
      <w:r w:rsidR="00CE012A">
        <w:t xml:space="preserve">the perpetrator is </w:t>
      </w:r>
      <w:r w:rsidR="00E44C33">
        <w:t>the victim’s</w:t>
      </w:r>
      <w:r w:rsidR="00E44C33" w:rsidRPr="00B157C7">
        <w:t xml:space="preserve"> husband </w:t>
      </w:r>
      <w:r w:rsidR="00E44C33">
        <w:t xml:space="preserve">if the victim </w:t>
      </w:r>
      <w:r w:rsidR="00CE012A">
        <w:t xml:space="preserve">is </w:t>
      </w:r>
      <w:r w:rsidR="00E44C33">
        <w:t xml:space="preserve">over </w:t>
      </w:r>
      <w:r w:rsidR="00B157C7" w:rsidRPr="00B157C7">
        <w:t>15 years of age</w:t>
      </w:r>
      <w:r w:rsidR="00491B63">
        <w:t>;</w:t>
      </w:r>
      <w:r w:rsidR="00E44C33">
        <w:t xml:space="preserve"> and</w:t>
      </w:r>
      <w:r w:rsidR="002F48BF">
        <w:t xml:space="preserve"> th</w:t>
      </w:r>
      <w:r w:rsidR="002F48BF" w:rsidRPr="00E44C33">
        <w:t>e escalation</w:t>
      </w:r>
      <w:r w:rsidR="00B157C7" w:rsidRPr="00E44C33">
        <w:t xml:space="preserve"> of caste-based violence</w:t>
      </w:r>
      <w:r w:rsidR="00E44C33" w:rsidRPr="00E44C33">
        <w:t xml:space="preserve"> together with</w:t>
      </w:r>
      <w:r w:rsidR="00B157C7" w:rsidRPr="00E44C33">
        <w:t xml:space="preserve"> </w:t>
      </w:r>
      <w:r w:rsidR="0008452E" w:rsidRPr="00E44C33">
        <w:t>the</w:t>
      </w:r>
      <w:r w:rsidR="00E44C33" w:rsidRPr="00E44C33">
        <w:t xml:space="preserve"> “</w:t>
      </w:r>
      <w:r w:rsidR="00EB4D2C" w:rsidRPr="00E44C33">
        <w:t>p</w:t>
      </w:r>
      <w:r w:rsidR="00B157C7" w:rsidRPr="00E44C33">
        <w:t>oor implementation</w:t>
      </w:r>
      <w:r w:rsidR="00E44C33" w:rsidRPr="00E44C33">
        <w:t>” of laws meant to protect women in minority groups</w:t>
      </w:r>
      <w:r w:rsidR="00EC1F7A" w:rsidRPr="00E44C33">
        <w:t>.</w:t>
      </w:r>
      <w:r w:rsidR="00E44C33" w:rsidRPr="00E44C33">
        <w:rPr>
          <w:rStyle w:val="FootnoteReference"/>
        </w:rPr>
        <w:footnoteReference w:id="21"/>
      </w:r>
      <w:r w:rsidR="00E44C33" w:rsidRPr="00E44C33">
        <w:t xml:space="preserve"> The Committee specifically noted concern with “the downplaying by key State officials of the grave criminal nature of sexual violence against women and girls.”</w:t>
      </w:r>
      <w:r w:rsidR="00E44C33" w:rsidRPr="00E44C33">
        <w:rPr>
          <w:rStyle w:val="FootnoteReference"/>
        </w:rPr>
        <w:footnoteReference w:id="22"/>
      </w:r>
      <w:r w:rsidR="001D6D0A">
        <w:t xml:space="preserve"> </w:t>
      </w:r>
    </w:p>
    <w:p w14:paraId="1A0D4A57" w14:textId="074EA8DA" w:rsidR="001A6175" w:rsidRDefault="00287028" w:rsidP="00C05D23">
      <w:pPr>
        <w:pStyle w:val="Paragraph"/>
      </w:pPr>
      <w:r>
        <w:t>T</w:t>
      </w:r>
      <w:r w:rsidR="001A6175">
        <w:t xml:space="preserve">he Committee </w:t>
      </w:r>
      <w:r>
        <w:t xml:space="preserve">therefore </w:t>
      </w:r>
      <w:r w:rsidR="001A6175">
        <w:t xml:space="preserve">recommended </w:t>
      </w:r>
      <w:r w:rsidR="00C21556">
        <w:t xml:space="preserve">that India implement </w:t>
      </w:r>
      <w:r w:rsidR="001A6175">
        <w:t>specific laws to afford greater protection for women from violent crimes including “</w:t>
      </w:r>
      <w:r w:rsidR="001A6175" w:rsidRPr="001A6175">
        <w:t>ensuring that marital rape is defined as a criminal offence, as requested by the Committee in its previous concluding observations</w:t>
      </w:r>
      <w:r w:rsidR="00491B63">
        <w:t>,</w:t>
      </w:r>
      <w:r w:rsidR="001A6175">
        <w:t>” improve</w:t>
      </w:r>
      <w:r w:rsidR="00491B63">
        <w:t>ments to</w:t>
      </w:r>
      <w:r w:rsidR="001A6175">
        <w:t xml:space="preserve"> law enforcement efficiency, accountability, and training, </w:t>
      </w:r>
      <w:r w:rsidR="00491B63">
        <w:t>and the establishment of</w:t>
      </w:r>
      <w:r w:rsidR="001A6175">
        <w:t xml:space="preserve"> “one-stop crisis centres” for medical and legal aid as well as other support services.</w:t>
      </w:r>
      <w:r w:rsidR="001A6175" w:rsidRPr="00E44C33">
        <w:rPr>
          <w:rStyle w:val="FootnoteReference"/>
        </w:rPr>
        <w:footnoteReference w:id="23"/>
      </w:r>
      <w:r w:rsidR="001A6175">
        <w:t xml:space="preserve"> </w:t>
      </w:r>
      <w:r w:rsidR="00342C79">
        <w:t>The Committee also recommended that India “</w:t>
      </w:r>
      <w:r w:rsidR="00342C79" w:rsidRPr="00342C79">
        <w:t>implement the recommendations of the Justice Verma Committee regarding violence against women</w:t>
      </w:r>
      <w:r w:rsidR="00342C79">
        <w:t>.”</w:t>
      </w:r>
      <w:r w:rsidR="00342C79" w:rsidRPr="00E44C33">
        <w:rPr>
          <w:rStyle w:val="FootnoteReference"/>
        </w:rPr>
        <w:footnoteReference w:id="24"/>
      </w:r>
    </w:p>
    <w:p w14:paraId="5A5C36EF" w14:textId="359AD08B" w:rsidR="001D6D0A" w:rsidRDefault="001D6D0A" w:rsidP="00C05D23">
      <w:pPr>
        <w:pStyle w:val="Paragraph"/>
      </w:pPr>
      <w:r>
        <w:t>The Committee</w:t>
      </w:r>
      <w:r w:rsidR="00C21556">
        <w:t xml:space="preserve"> also recognized the </w:t>
      </w:r>
      <w:r>
        <w:t>“high prevalence” of</w:t>
      </w:r>
      <w:r w:rsidR="00546258">
        <w:t xml:space="preserve"> early </w:t>
      </w:r>
      <w:r>
        <w:t>and forced marriage</w:t>
      </w:r>
      <w:r w:rsidR="00546258">
        <w:t>s</w:t>
      </w:r>
      <w:r>
        <w:t xml:space="preserve"> despite</w:t>
      </w:r>
      <w:r w:rsidR="00546258">
        <w:t xml:space="preserve"> a decline in the number of these cases </w:t>
      </w:r>
      <w:r>
        <w:t xml:space="preserve">after </w:t>
      </w:r>
      <w:r w:rsidR="00903194">
        <w:t xml:space="preserve">India adopted </w:t>
      </w:r>
      <w:r>
        <w:t xml:space="preserve">the Prohibition of Child Marriage Act, </w:t>
      </w:r>
      <w:r w:rsidR="00903194">
        <w:t xml:space="preserve">acknowledging </w:t>
      </w:r>
      <w:r>
        <w:t>that “victims of child marriage must file a petition with a court to void the marriage within two years after reaching the age of majority.”</w:t>
      </w:r>
      <w:r w:rsidRPr="00E44C33">
        <w:rPr>
          <w:rStyle w:val="FootnoteReference"/>
        </w:rPr>
        <w:footnoteReference w:id="25"/>
      </w:r>
      <w:r>
        <w:t xml:space="preserve"> </w:t>
      </w:r>
      <w:r w:rsidR="008314B7">
        <w:t>The</w:t>
      </w:r>
      <w:r>
        <w:t xml:space="preserve"> Committee recommended </w:t>
      </w:r>
      <w:r w:rsidR="008314B7">
        <w:t xml:space="preserve">that </w:t>
      </w:r>
      <w:r>
        <w:t>India undertake several measures “</w:t>
      </w:r>
      <w:r w:rsidRPr="001D6D0A">
        <w:t>to ensure equality between women and men in marriage and family relations</w:t>
      </w:r>
      <w:r w:rsidR="00DA4AE1">
        <w:t>.</w:t>
      </w:r>
      <w:r>
        <w:t>”</w:t>
      </w:r>
      <w:r w:rsidRPr="00E44C33">
        <w:rPr>
          <w:rStyle w:val="FootnoteReference"/>
        </w:rPr>
        <w:footnoteReference w:id="26"/>
      </w:r>
    </w:p>
    <w:p w14:paraId="755F9978" w14:textId="5CA252AB" w:rsidR="00546258" w:rsidRDefault="005031AB" w:rsidP="00C21678">
      <w:pPr>
        <w:pStyle w:val="Paragraph"/>
        <w:rPr>
          <w:rStyle w:val="ParagraphChar"/>
        </w:rPr>
      </w:pPr>
      <w:r>
        <w:rPr>
          <w:rStyle w:val="ParagraphChar"/>
        </w:rPr>
        <w:lastRenderedPageBreak/>
        <w:t>India has demonstrated</w:t>
      </w:r>
      <w:r w:rsidR="00B35158" w:rsidRPr="002C28A0">
        <w:rPr>
          <w:rStyle w:val="ParagraphChar"/>
        </w:rPr>
        <w:t xml:space="preserve"> continued reliance on </w:t>
      </w:r>
      <w:r w:rsidR="006C1DF6">
        <w:rPr>
          <w:rStyle w:val="ParagraphChar"/>
        </w:rPr>
        <w:t xml:space="preserve">ratcheting up criminal penalties for </w:t>
      </w:r>
      <w:r w:rsidR="00B35158">
        <w:rPr>
          <w:rStyle w:val="ParagraphChar"/>
        </w:rPr>
        <w:t>sexual offenses</w:t>
      </w:r>
      <w:r w:rsidR="00B35158" w:rsidRPr="002C28A0">
        <w:rPr>
          <w:rStyle w:val="ParagraphChar"/>
        </w:rPr>
        <w:t xml:space="preserve">—including the </w:t>
      </w:r>
      <w:r w:rsidR="00B35158">
        <w:rPr>
          <w:rStyle w:val="ParagraphChar"/>
        </w:rPr>
        <w:t>imposition</w:t>
      </w:r>
      <w:r w:rsidR="00B35158" w:rsidRPr="002C28A0">
        <w:rPr>
          <w:rStyle w:val="ParagraphChar"/>
        </w:rPr>
        <w:t xml:space="preserve"> of the death penalty for </w:t>
      </w:r>
      <w:r w:rsidR="00B35158">
        <w:rPr>
          <w:rStyle w:val="ParagraphChar"/>
        </w:rPr>
        <w:t xml:space="preserve">certain </w:t>
      </w:r>
      <w:r w:rsidR="00B35158" w:rsidRPr="002C28A0">
        <w:rPr>
          <w:rStyle w:val="ParagraphChar"/>
        </w:rPr>
        <w:t xml:space="preserve">sexual </w:t>
      </w:r>
      <w:r w:rsidR="00B35158">
        <w:rPr>
          <w:rStyle w:val="ParagraphChar"/>
        </w:rPr>
        <w:t>crimes</w:t>
      </w:r>
      <w:r w:rsidR="00B35158" w:rsidRPr="002C28A0">
        <w:rPr>
          <w:rStyle w:val="ParagraphChar"/>
        </w:rPr>
        <w:t>—</w:t>
      </w:r>
      <w:r w:rsidR="001A4E9F">
        <w:rPr>
          <w:rStyle w:val="ParagraphChar"/>
        </w:rPr>
        <w:t xml:space="preserve">while failing to address </w:t>
      </w:r>
      <w:r w:rsidR="00B35158" w:rsidRPr="002C28A0">
        <w:rPr>
          <w:rStyle w:val="ParagraphChar"/>
        </w:rPr>
        <w:t>the structural causes of violence against women</w:t>
      </w:r>
      <w:r w:rsidR="005658CF">
        <w:rPr>
          <w:rStyle w:val="ParagraphChar"/>
        </w:rPr>
        <w:t>.</w:t>
      </w:r>
      <w:r w:rsidR="00B35158" w:rsidRPr="002C28A0">
        <w:rPr>
          <w:rStyle w:val="ParagraphChar"/>
        </w:rPr>
        <w:t xml:space="preserve"> </w:t>
      </w:r>
      <w:r w:rsidR="001A4E9F">
        <w:rPr>
          <w:rStyle w:val="ParagraphChar"/>
        </w:rPr>
        <w:t>For example, India</w:t>
      </w:r>
      <w:r w:rsidR="004453C3">
        <w:rPr>
          <w:rStyle w:val="ParagraphChar"/>
        </w:rPr>
        <w:t xml:space="preserve"> has failed to implement </w:t>
      </w:r>
      <w:r w:rsidR="00546258">
        <w:rPr>
          <w:rStyle w:val="ParagraphChar"/>
        </w:rPr>
        <w:t xml:space="preserve">the </w:t>
      </w:r>
      <w:r w:rsidR="00546258" w:rsidRPr="00342C79">
        <w:t>Justice Verma Committee</w:t>
      </w:r>
      <w:r w:rsidR="00546258">
        <w:t>’s recommendations</w:t>
      </w:r>
      <w:r w:rsidR="005658CF">
        <w:t xml:space="preserve"> </w:t>
      </w:r>
      <w:r w:rsidR="001E3B74">
        <w:t>regarding violence against women</w:t>
      </w:r>
      <w:r w:rsidR="00262475">
        <w:t>,</w:t>
      </w:r>
      <w:r w:rsidR="00096B11" w:rsidRPr="00E44C33">
        <w:rPr>
          <w:rStyle w:val="FootnoteReference"/>
        </w:rPr>
        <w:footnoteReference w:id="27"/>
      </w:r>
      <w:r w:rsidR="00262475">
        <w:t xml:space="preserve"> </w:t>
      </w:r>
      <w:r w:rsidR="004453C3">
        <w:t xml:space="preserve">particularly its recommendations against authorizing the death penalty for </w:t>
      </w:r>
      <w:r w:rsidR="00262475">
        <w:t xml:space="preserve">crimes of </w:t>
      </w:r>
      <w:r w:rsidR="00096B11">
        <w:t>sexual</w:t>
      </w:r>
      <w:r w:rsidR="00262475">
        <w:t xml:space="preserve"> violence against women.</w:t>
      </w:r>
      <w:r w:rsidR="005A3F5A">
        <w:rPr>
          <w:rStyle w:val="FootnoteReference"/>
        </w:rPr>
        <w:footnoteReference w:id="28"/>
      </w:r>
    </w:p>
    <w:p w14:paraId="419A1C96" w14:textId="4DDB8852" w:rsidR="00B35158" w:rsidRDefault="00B35158" w:rsidP="00A2471C">
      <w:pPr>
        <w:numPr>
          <w:ilvl w:val="0"/>
          <w:numId w:val="7"/>
        </w:numPr>
        <w:spacing w:after="120"/>
        <w:ind w:left="360"/>
        <w:jc w:val="both"/>
      </w:pPr>
      <w:r w:rsidRPr="005B65E9">
        <w:rPr>
          <w:rStyle w:val="ParagraphChar"/>
        </w:rPr>
        <w:t xml:space="preserve">The Justice Verma Committee, </w:t>
      </w:r>
      <w:r w:rsidR="0053444C">
        <w:rPr>
          <w:rStyle w:val="ParagraphChar"/>
        </w:rPr>
        <w:t>formed</w:t>
      </w:r>
      <w:r w:rsidRPr="005B65E9">
        <w:rPr>
          <w:rStyle w:val="ParagraphChar"/>
        </w:rPr>
        <w:t xml:space="preserve"> after the Delhi gang rape case</w:t>
      </w:r>
      <w:r w:rsidR="00004618">
        <w:rPr>
          <w:rStyle w:val="ParagraphChar"/>
        </w:rPr>
        <w:t xml:space="preserve"> in December 20</w:t>
      </w:r>
      <w:r w:rsidR="0053444C">
        <w:rPr>
          <w:rStyle w:val="ParagraphChar"/>
        </w:rPr>
        <w:t>12</w:t>
      </w:r>
      <w:r w:rsidR="00004618">
        <w:rPr>
          <w:rStyle w:val="ParagraphChar"/>
        </w:rPr>
        <w:t xml:space="preserve"> to assess potential modification</w:t>
      </w:r>
      <w:r w:rsidR="001943D1">
        <w:rPr>
          <w:rStyle w:val="ParagraphChar"/>
        </w:rPr>
        <w:t>s</w:t>
      </w:r>
      <w:r w:rsidR="00004618">
        <w:rPr>
          <w:rStyle w:val="ParagraphChar"/>
        </w:rPr>
        <w:t xml:space="preserve"> to criminal law regarding sexual violence against women,</w:t>
      </w:r>
      <w:r w:rsidR="00004618">
        <w:rPr>
          <w:rStyle w:val="FootnoteReference"/>
        </w:rPr>
        <w:footnoteReference w:id="29"/>
      </w:r>
      <w:r w:rsidRPr="005B65E9">
        <w:rPr>
          <w:rStyle w:val="ParagraphChar"/>
        </w:rPr>
        <w:t xml:space="preserve"> categorically rejected the introduction of the death penalty for sexual violence</w:t>
      </w:r>
      <w:r w:rsidR="005204D3">
        <w:rPr>
          <w:rStyle w:val="ParagraphChar"/>
        </w:rPr>
        <w:t xml:space="preserve"> including rape,</w:t>
      </w:r>
      <w:r w:rsidRPr="005B65E9">
        <w:rPr>
          <w:rStyle w:val="ParagraphChar"/>
        </w:rPr>
        <w:t xml:space="preserve"> emphasizing that harsh punishments do not act as deterrents.</w:t>
      </w:r>
      <w:r w:rsidR="005204D3">
        <w:rPr>
          <w:rStyle w:val="FootnoteReference"/>
        </w:rPr>
        <w:footnoteReference w:id="30"/>
      </w:r>
      <w:r w:rsidR="00A2471C">
        <w:rPr>
          <w:rStyle w:val="ParagraphChar"/>
        </w:rPr>
        <w:t xml:space="preserve"> </w:t>
      </w:r>
      <w:r w:rsidR="00DC09BD">
        <w:rPr>
          <w:rStyle w:val="ParagraphChar"/>
        </w:rPr>
        <w:t>Despite this conclusion</w:t>
      </w:r>
      <w:r w:rsidR="00C21E83">
        <w:rPr>
          <w:rStyle w:val="ParagraphChar"/>
        </w:rPr>
        <w:t xml:space="preserve">, </w:t>
      </w:r>
      <w:r w:rsidR="00004618">
        <w:rPr>
          <w:rStyle w:val="ParagraphChar"/>
        </w:rPr>
        <w:t xml:space="preserve">India’s </w:t>
      </w:r>
      <w:r w:rsidR="004C350E">
        <w:rPr>
          <w:rStyle w:val="ParagraphChar"/>
        </w:rPr>
        <w:t xml:space="preserve">comprehensive </w:t>
      </w:r>
      <w:r w:rsidR="00004618">
        <w:rPr>
          <w:rStyle w:val="ParagraphChar"/>
        </w:rPr>
        <w:t xml:space="preserve">replacement to the Indian Penal Code, 1860—the </w:t>
      </w:r>
      <w:r w:rsidR="00C21E83" w:rsidRPr="00C21E83">
        <w:rPr>
          <w:rStyle w:val="ParagraphChar"/>
        </w:rPr>
        <w:t>Bharatiya Nyaya Sanhita, 2023</w:t>
      </w:r>
      <w:r w:rsidR="00004618">
        <w:rPr>
          <w:rStyle w:val="ParagraphChar"/>
        </w:rPr>
        <w:t>—</w:t>
      </w:r>
      <w:r w:rsidR="00DC09BD">
        <w:rPr>
          <w:rStyle w:val="ParagraphChar"/>
        </w:rPr>
        <w:t xml:space="preserve">introduced the </w:t>
      </w:r>
      <w:r w:rsidR="00004618">
        <w:rPr>
          <w:rStyle w:val="ParagraphChar"/>
        </w:rPr>
        <w:t xml:space="preserve">death penalty </w:t>
      </w:r>
      <w:r w:rsidR="00DC09BD">
        <w:rPr>
          <w:rStyle w:val="ParagraphChar"/>
        </w:rPr>
        <w:t xml:space="preserve">for </w:t>
      </w:r>
      <w:r w:rsidR="00FA143D">
        <w:rPr>
          <w:rStyle w:val="ParagraphChar"/>
        </w:rPr>
        <w:t xml:space="preserve">three </w:t>
      </w:r>
      <w:r w:rsidR="00004618">
        <w:rPr>
          <w:rStyle w:val="ParagraphChar"/>
        </w:rPr>
        <w:t>new offenses</w:t>
      </w:r>
      <w:r w:rsidR="00C21E83">
        <w:rPr>
          <w:rStyle w:val="ParagraphChar"/>
        </w:rPr>
        <w:t>.</w:t>
      </w:r>
      <w:r w:rsidR="00C21E83">
        <w:rPr>
          <w:rStyle w:val="FootnoteReference"/>
        </w:rPr>
        <w:footnoteReference w:id="31"/>
      </w:r>
      <w:r w:rsidR="00C21E83">
        <w:rPr>
          <w:rStyle w:val="ParagraphChar"/>
        </w:rPr>
        <w:t xml:space="preserve"> </w:t>
      </w:r>
      <w:r w:rsidR="0053444C">
        <w:rPr>
          <w:rStyle w:val="ParagraphChar"/>
        </w:rPr>
        <w:t>Furthermore</w:t>
      </w:r>
      <w:r w:rsidR="00004618">
        <w:rPr>
          <w:rStyle w:val="ParagraphChar"/>
        </w:rPr>
        <w:t>,</w:t>
      </w:r>
      <w:r w:rsidR="00C21E83">
        <w:rPr>
          <w:rStyle w:val="ParagraphChar"/>
        </w:rPr>
        <w:t xml:space="preserve"> “</w:t>
      </w:r>
      <w:r w:rsidR="00C21E83">
        <w:t>[s]</w:t>
      </w:r>
      <w:r w:rsidR="00C21E83" w:rsidRPr="007F1E53">
        <w:t>ince 2019, sexual offences have comprised the majority of death sentences imposed in India, accounting for over 50% of all death penalty cases at trial courts in each calendar year since then</w:t>
      </w:r>
      <w:r w:rsidR="003817A3">
        <w:t>.</w:t>
      </w:r>
      <w:r w:rsidR="00C21E83">
        <w:t>”</w:t>
      </w:r>
      <w:r w:rsidR="00004618">
        <w:rPr>
          <w:rStyle w:val="FootnoteReference"/>
        </w:rPr>
        <w:footnoteReference w:id="32"/>
      </w:r>
      <w:r w:rsidR="00C21E83">
        <w:t xml:space="preserve"> </w:t>
      </w:r>
      <w:r w:rsidR="00004618">
        <w:t>N</w:t>
      </w:r>
      <w:r w:rsidR="00C21E83">
        <w:t>otably</w:t>
      </w:r>
      <w:r w:rsidR="00004618">
        <w:t>,</w:t>
      </w:r>
      <w:r w:rsidR="00C21E83">
        <w:t xml:space="preserve"> 2024 was the first</w:t>
      </w:r>
      <w:r w:rsidR="00004618">
        <w:t xml:space="preserve"> year since 2019</w:t>
      </w:r>
      <w:r w:rsidR="00C21E83">
        <w:t xml:space="preserve"> in which sexual offenses </w:t>
      </w:r>
      <w:r w:rsidR="00004618">
        <w:t xml:space="preserve">actually </w:t>
      </w:r>
      <w:r w:rsidR="00C21E83">
        <w:t xml:space="preserve">did not result in the majority of death sentences, </w:t>
      </w:r>
      <w:r w:rsidR="00306572">
        <w:t xml:space="preserve">amounting </w:t>
      </w:r>
      <w:r w:rsidR="00004618">
        <w:t>to</w:t>
      </w:r>
      <w:r w:rsidR="00C21E83">
        <w:t xml:space="preserve"> only </w:t>
      </w:r>
      <w:r w:rsidR="00C21E83" w:rsidRPr="007F1E53">
        <w:t>26.62%</w:t>
      </w:r>
      <w:r w:rsidR="00C21E83">
        <w:t xml:space="preserve"> of the total</w:t>
      </w:r>
      <w:r w:rsidR="00004618">
        <w:t xml:space="preserve"> </w:t>
      </w:r>
      <w:r w:rsidR="003817A3">
        <w:t xml:space="preserve">sentences </w:t>
      </w:r>
      <w:r w:rsidR="00004618">
        <w:t>for that year</w:t>
      </w:r>
      <w:r w:rsidR="00C21E83">
        <w:t>.</w:t>
      </w:r>
      <w:r w:rsidR="00C21E83">
        <w:rPr>
          <w:rStyle w:val="FootnoteReference"/>
        </w:rPr>
        <w:footnoteReference w:id="33"/>
      </w:r>
    </w:p>
    <w:p w14:paraId="7BCDBC43" w14:textId="3A37E71B" w:rsidR="005031AB" w:rsidRDefault="00820347" w:rsidP="005031AB">
      <w:pPr>
        <w:pStyle w:val="Paragraph"/>
      </w:pPr>
      <w:r>
        <w:t>Lawmakers continue to contemplate f</w:t>
      </w:r>
      <w:r w:rsidR="008C77FD">
        <w:t xml:space="preserve">urther expansion of the death penalty </w:t>
      </w:r>
      <w:r w:rsidR="00004618">
        <w:t>in</w:t>
      </w:r>
      <w:r w:rsidR="008C77FD">
        <w:t xml:space="preserve"> reaction to sexual offenses against women.</w:t>
      </w:r>
      <w:r w:rsidR="005F098C">
        <w:t xml:space="preserve"> In 2024, f</w:t>
      </w:r>
      <w:r w:rsidR="008C77FD">
        <w:t xml:space="preserve">ollowing the rape and murder of a female doctor in Kolkata, the </w:t>
      </w:r>
      <w:r w:rsidR="008C77FD" w:rsidRPr="006810C7">
        <w:t>West Bengal State Legislative Assembly</w:t>
      </w:r>
      <w:r w:rsidR="008C77FD">
        <w:t xml:space="preserve"> </w:t>
      </w:r>
      <w:r w:rsidR="005031AB">
        <w:t>passed</w:t>
      </w:r>
      <w:r w:rsidR="00004618">
        <w:t xml:space="preserve"> the </w:t>
      </w:r>
      <w:r w:rsidR="00004618" w:rsidRPr="009B51C3">
        <w:rPr>
          <w:rStyle w:val="ParagraphChar"/>
        </w:rPr>
        <w:t>Aparajita (Women and Child) Protection Bill</w:t>
      </w:r>
      <w:r w:rsidR="00004618">
        <w:rPr>
          <w:rStyle w:val="ParagraphChar"/>
        </w:rPr>
        <w:t>, which</w:t>
      </w:r>
      <w:r w:rsidR="008C77FD">
        <w:t xml:space="preserve"> “</w:t>
      </w:r>
      <w:r w:rsidR="008C77FD" w:rsidRPr="006810C7">
        <w:t>introduces the death penalty for a variety of sexual offences</w:t>
      </w:r>
      <w:r w:rsidR="008C77FD">
        <w:t>” as well as “</w:t>
      </w:r>
      <w:r w:rsidR="008C77FD" w:rsidRPr="006810C7">
        <w:t>a mandatory sentence of death for rape resulting in death or persistent vegetative state</w:t>
      </w:r>
      <w:r w:rsidR="008C77FD">
        <w:t>” under the applicable penal code provisions.</w:t>
      </w:r>
      <w:r w:rsidR="008C77FD">
        <w:rPr>
          <w:rStyle w:val="FootnoteReference"/>
        </w:rPr>
        <w:footnoteReference w:id="34"/>
      </w:r>
      <w:r w:rsidR="008C77FD">
        <w:t xml:space="preserve"> </w:t>
      </w:r>
      <w:r w:rsidR="0053444C">
        <w:t>The</w:t>
      </w:r>
      <w:r w:rsidR="008C77FD">
        <w:t xml:space="preserve"> </w:t>
      </w:r>
      <w:r w:rsidR="000D3848">
        <w:t xml:space="preserve">governor of West Bengal recently returned the </w:t>
      </w:r>
      <w:r w:rsidR="008C77FD">
        <w:t xml:space="preserve">bill to </w:t>
      </w:r>
      <w:r w:rsidR="000D3848">
        <w:t xml:space="preserve">lawmakers </w:t>
      </w:r>
      <w:r w:rsidR="008C77FD">
        <w:t>“for further consideration” based on concerns with respect to the death penalty provisions.</w:t>
      </w:r>
      <w:r w:rsidR="008C77FD">
        <w:rPr>
          <w:rStyle w:val="FootnoteReference"/>
        </w:rPr>
        <w:footnoteReference w:id="35"/>
      </w:r>
      <w:r w:rsidR="008C77FD">
        <w:t xml:space="preserve"> </w:t>
      </w:r>
      <w:r w:rsidR="00515500">
        <w:t>T</w:t>
      </w:r>
      <w:r w:rsidR="0053444C">
        <w:t>his legislative action</w:t>
      </w:r>
      <w:r w:rsidR="00293390">
        <w:t xml:space="preserve"> </w:t>
      </w:r>
      <w:r w:rsidR="0053444C">
        <w:t>reflects</w:t>
      </w:r>
      <w:r w:rsidR="008C77FD">
        <w:t xml:space="preserve"> </w:t>
      </w:r>
      <w:r w:rsidR="00583B2A">
        <w:t xml:space="preserve">a </w:t>
      </w:r>
      <w:r w:rsidR="008C77FD">
        <w:t xml:space="preserve">tendency </w:t>
      </w:r>
      <w:r w:rsidR="00515500">
        <w:t xml:space="preserve">among elected officials </w:t>
      </w:r>
      <w:r w:rsidR="008C77FD">
        <w:t xml:space="preserve">to resort to </w:t>
      </w:r>
      <w:r w:rsidR="0053444C">
        <w:t xml:space="preserve">expanding the scope of </w:t>
      </w:r>
      <w:r w:rsidR="008C77FD">
        <w:t>the death penalty for certain offenses</w:t>
      </w:r>
      <w:r w:rsidR="00293390">
        <w:t xml:space="preserve"> against women</w:t>
      </w:r>
      <w:r w:rsidR="008C77FD">
        <w:t xml:space="preserve"> </w:t>
      </w:r>
      <w:r w:rsidR="00365E27">
        <w:t xml:space="preserve">in an effort to </w:t>
      </w:r>
      <w:r w:rsidR="00365E27">
        <w:lastRenderedPageBreak/>
        <w:t xml:space="preserve">seem “tough on </w:t>
      </w:r>
      <w:r w:rsidR="0053444C">
        <w:t>violence against women</w:t>
      </w:r>
      <w:r w:rsidR="00293390">
        <w:t>,</w:t>
      </w:r>
      <w:r w:rsidR="00365E27">
        <w:t>”</w:t>
      </w:r>
      <w:r w:rsidR="008C77FD">
        <w:t xml:space="preserve"> </w:t>
      </w:r>
      <w:r w:rsidR="00365E27">
        <w:t xml:space="preserve">while failing to </w:t>
      </w:r>
      <w:r w:rsidR="00922C5F">
        <w:t xml:space="preserve">address </w:t>
      </w:r>
      <w:r w:rsidR="00583B2A">
        <w:t xml:space="preserve">the </w:t>
      </w:r>
      <w:r w:rsidR="008C77FD">
        <w:t>root causes of</w:t>
      </w:r>
      <w:r w:rsidR="00293390">
        <w:t xml:space="preserve"> such</w:t>
      </w:r>
      <w:r w:rsidR="008C77FD">
        <w:t xml:space="preserve"> violence</w:t>
      </w:r>
      <w:r w:rsidR="005031AB">
        <w:t>.</w:t>
      </w:r>
      <w:r w:rsidR="005031AB" w:rsidRPr="00E44C33">
        <w:rPr>
          <w:rStyle w:val="FootnoteReference"/>
        </w:rPr>
        <w:footnoteReference w:id="36"/>
      </w:r>
    </w:p>
    <w:p w14:paraId="6B5525AB" w14:textId="5E32058D" w:rsidR="00B62586" w:rsidRDefault="00B62586" w:rsidP="005031AB">
      <w:pPr>
        <w:pStyle w:val="Paragraph"/>
      </w:pPr>
      <w:r>
        <w:t xml:space="preserve">This approach is particularly concerning because </w:t>
      </w:r>
      <w:r w:rsidR="00600517">
        <w:t xml:space="preserve">Indian courts are handing down death sentences for rape and other forms of sexual assault at a high rate. In 2021, courts sentenced 48 people to death </w:t>
      </w:r>
      <w:r w:rsidR="00C611B0">
        <w:t>for rape, accounting for 33% of all death sentences that year.</w:t>
      </w:r>
      <w:r w:rsidR="00C611B0">
        <w:rPr>
          <w:rStyle w:val="FootnoteReference"/>
        </w:rPr>
        <w:footnoteReference w:id="37"/>
      </w:r>
      <w:r w:rsidR="00E479DE">
        <w:t xml:space="preserve"> These data reflect a regional trend, as reflected in a report called </w:t>
      </w:r>
      <w:r w:rsidR="00184FFA">
        <w:rPr>
          <w:i/>
          <w:iCs/>
        </w:rPr>
        <w:t xml:space="preserve">A Deadly Distraction: </w:t>
      </w:r>
      <w:r w:rsidR="00E479DE">
        <w:rPr>
          <w:i/>
          <w:iCs/>
        </w:rPr>
        <w:t xml:space="preserve">Why the Death Penalty </w:t>
      </w:r>
      <w:r w:rsidR="00184FFA">
        <w:rPr>
          <w:i/>
          <w:iCs/>
        </w:rPr>
        <w:t>I</w:t>
      </w:r>
      <w:r w:rsidR="00E479DE">
        <w:rPr>
          <w:i/>
          <w:iCs/>
        </w:rPr>
        <w:t xml:space="preserve">s Not </w:t>
      </w:r>
      <w:r w:rsidR="00184FFA">
        <w:rPr>
          <w:i/>
          <w:iCs/>
        </w:rPr>
        <w:t xml:space="preserve">the </w:t>
      </w:r>
      <w:r w:rsidR="00E479DE">
        <w:rPr>
          <w:i/>
          <w:iCs/>
        </w:rPr>
        <w:t>Answer to Rape in South Asia</w:t>
      </w:r>
      <w:r w:rsidR="00E479DE">
        <w:t xml:space="preserve"> by Eleos Justice, Monash University, the Anti Death Penalty Asia Network (ADPAN), and the SAME Network.</w:t>
      </w:r>
      <w:r w:rsidR="003B4916">
        <w:rPr>
          <w:rStyle w:val="FootnoteReference"/>
        </w:rPr>
        <w:footnoteReference w:id="38"/>
      </w:r>
      <w:r w:rsidR="001312CF">
        <w:t xml:space="preserve"> The report found that the death penalty for </w:t>
      </w:r>
      <w:r w:rsidR="002D4B04">
        <w:t>rape deters victims from reporting crimes, fails to prevent sexual violence, diverts resources from addressing root causes, and ignores survivors’ real needs for support, justice, and societal change.</w:t>
      </w:r>
      <w:r w:rsidR="00CB453D">
        <w:rPr>
          <w:rStyle w:val="FootnoteReference"/>
        </w:rPr>
        <w:footnoteReference w:id="39"/>
      </w:r>
    </w:p>
    <w:p w14:paraId="59C179E4" w14:textId="7FE162F4" w:rsidR="00770453" w:rsidRDefault="00770453" w:rsidP="00CA32E4">
      <w:pPr>
        <w:pStyle w:val="Paragraph"/>
      </w:pPr>
      <w:r>
        <w:t>Impunity for gender-based violence</w:t>
      </w:r>
      <w:r w:rsidR="004E52B7">
        <w:t>, particularly for w</w:t>
      </w:r>
      <w:r>
        <w:t>omen belonging to marginalized groups</w:t>
      </w:r>
      <w:r w:rsidR="004E52B7">
        <w:t xml:space="preserve">, may create the perception that </w:t>
      </w:r>
      <w:r w:rsidR="00184A5F">
        <w:t xml:space="preserve">authorities </w:t>
      </w:r>
      <w:r w:rsidR="003F0833">
        <w:t xml:space="preserve">will not protect women and </w:t>
      </w:r>
      <w:r w:rsidR="00184A5F">
        <w:t>that</w:t>
      </w:r>
      <w:r w:rsidR="00B10E43">
        <w:t xml:space="preserve"> women who turn to authorities to seek </w:t>
      </w:r>
      <w:r w:rsidR="00184A5F">
        <w:t xml:space="preserve">justice </w:t>
      </w:r>
      <w:r w:rsidR="003F0833">
        <w:t xml:space="preserve">may </w:t>
      </w:r>
      <w:r w:rsidR="00B10E43">
        <w:t>be placing themselves in danger</w:t>
      </w:r>
      <w:r w:rsidR="003F0833">
        <w:t xml:space="preserve">. </w:t>
      </w:r>
      <w:r>
        <w:t xml:space="preserve">Last year between January and September, “[t]he </w:t>
      </w:r>
      <w:r w:rsidRPr="004961F6">
        <w:t>media reported 33 incidents of sexual and physical violence against Dalit women</w:t>
      </w:r>
      <w:r>
        <w:t>,”</w:t>
      </w:r>
      <w:r>
        <w:rPr>
          <w:rStyle w:val="FootnoteReference"/>
        </w:rPr>
        <w:footnoteReference w:id="40"/>
      </w:r>
      <w:r>
        <w:t xml:space="preserve"> and in one incident, a young Dalit woman “</w:t>
      </w:r>
      <w:r w:rsidRPr="004961F6">
        <w:t xml:space="preserve">was burned to death after </w:t>
      </w:r>
      <w:r>
        <w:t>filing</w:t>
      </w:r>
      <w:r w:rsidRPr="004961F6">
        <w:t xml:space="preserve"> a complaint </w:t>
      </w:r>
      <w:r w:rsidR="00895E86">
        <w:t xml:space="preserve">[with the police] </w:t>
      </w:r>
      <w:r w:rsidRPr="004961F6">
        <w:t>that she had been sexually harassed</w:t>
      </w:r>
      <w:r w:rsidR="007910D7">
        <w:t>.</w:t>
      </w:r>
      <w:r>
        <w:t xml:space="preserve">” </w:t>
      </w:r>
      <w:r w:rsidR="007910D7">
        <w:t>T</w:t>
      </w:r>
      <w:r>
        <w:t xml:space="preserve">he perpetrator was the son of the man that was the subject of the </w:t>
      </w:r>
      <w:r w:rsidR="007910D7">
        <w:t xml:space="preserve">woman’s </w:t>
      </w:r>
      <w:r>
        <w:t>complaint.</w:t>
      </w:r>
      <w:r w:rsidRPr="008F14F9">
        <w:rPr>
          <w:rStyle w:val="FootnoteReference"/>
        </w:rPr>
        <w:t xml:space="preserve"> </w:t>
      </w:r>
      <w:r>
        <w:rPr>
          <w:rStyle w:val="FootnoteReference"/>
        </w:rPr>
        <w:footnoteReference w:id="41"/>
      </w:r>
      <w:r>
        <w:t xml:space="preserve"> </w:t>
      </w:r>
    </w:p>
    <w:p w14:paraId="639881D3" w14:textId="7D065BFD" w:rsidR="00757A1C" w:rsidRPr="00893237" w:rsidRDefault="008C77FD" w:rsidP="00C05D23">
      <w:pPr>
        <w:pStyle w:val="Paragraph"/>
      </w:pPr>
      <w:r>
        <w:t>G</w:t>
      </w:r>
      <w:r w:rsidR="00B73423">
        <w:t>ender-based violence and discrimination against women</w:t>
      </w:r>
      <w:r>
        <w:t xml:space="preserve"> </w:t>
      </w:r>
      <w:r w:rsidR="00922C5F">
        <w:t>can also lead to women coming into conflict with the law</w:t>
      </w:r>
      <w:r>
        <w:t>.</w:t>
      </w:r>
      <w:r w:rsidR="00FC7018">
        <w:t xml:space="preserve"> </w:t>
      </w:r>
      <w:r w:rsidR="00293390">
        <w:t>Certain</w:t>
      </w:r>
      <w:r w:rsidR="007231A2">
        <w:t xml:space="preserve"> women on death row </w:t>
      </w:r>
      <w:r w:rsidR="00FD1BAA">
        <w:t xml:space="preserve">were </w:t>
      </w:r>
      <w:r w:rsidR="00C63319">
        <w:t xml:space="preserve">convicted of </w:t>
      </w:r>
      <w:r w:rsidR="00FC7018">
        <w:t xml:space="preserve">capital </w:t>
      </w:r>
      <w:r w:rsidR="00C63319">
        <w:t xml:space="preserve">crimes </w:t>
      </w:r>
      <w:r w:rsidR="00B142E6">
        <w:t xml:space="preserve">that arose in part out of </w:t>
      </w:r>
      <w:r w:rsidR="00E675C9">
        <w:t>restrictive marriage practices and family pressures</w:t>
      </w:r>
      <w:r w:rsidR="00B142E6">
        <w:t>. I</w:t>
      </w:r>
      <w:r w:rsidR="005020AB">
        <w:t xml:space="preserve">n </w:t>
      </w:r>
      <w:r w:rsidR="00B142E6">
        <w:t xml:space="preserve">a groundbreaking </w:t>
      </w:r>
      <w:r w:rsidR="005020AB">
        <w:t xml:space="preserve">2018 </w:t>
      </w:r>
      <w:r w:rsidR="00B142E6">
        <w:t xml:space="preserve">report, </w:t>
      </w:r>
      <w:r w:rsidR="005020AB">
        <w:t xml:space="preserve">the </w:t>
      </w:r>
      <w:r w:rsidR="00C65842">
        <w:t xml:space="preserve">Cornell </w:t>
      </w:r>
      <w:r w:rsidR="00127562">
        <w:t>Center on the Death Penalty Worldwide</w:t>
      </w:r>
      <w:r w:rsidR="005020AB">
        <w:t xml:space="preserve"> observed that “[a]</w:t>
      </w:r>
      <w:r w:rsidR="005020AB" w:rsidRPr="005020AB">
        <w:t xml:space="preserve">lthough officially banned, the caste system and its attendant marriage rules formed the background of at least three of the killings for which </w:t>
      </w:r>
      <w:r w:rsidR="005020AB" w:rsidRPr="00893237">
        <w:t>women received a death sentence” as the date of th</w:t>
      </w:r>
      <w:r w:rsidR="00D8606E">
        <w:t xml:space="preserve">e </w:t>
      </w:r>
      <w:r w:rsidR="005020AB" w:rsidRPr="00893237">
        <w:t>study.</w:t>
      </w:r>
      <w:r w:rsidR="004D51DD" w:rsidRPr="00893237">
        <w:rPr>
          <w:rStyle w:val="FootnoteReference"/>
        </w:rPr>
        <w:footnoteReference w:id="42"/>
      </w:r>
      <w:r w:rsidR="00B73423" w:rsidRPr="00893237">
        <w:t xml:space="preserve"> </w:t>
      </w:r>
    </w:p>
    <w:p w14:paraId="6BCB9A46" w14:textId="1E007CA5" w:rsidR="00F16374" w:rsidRPr="00893237" w:rsidRDefault="00D8606E" w:rsidP="00F16374">
      <w:pPr>
        <w:numPr>
          <w:ilvl w:val="0"/>
          <w:numId w:val="7"/>
        </w:numPr>
        <w:spacing w:after="120"/>
        <w:ind w:left="360"/>
        <w:jc w:val="both"/>
        <w:rPr>
          <w:rStyle w:val="ParagraphChar"/>
        </w:rPr>
      </w:pPr>
      <w:r>
        <w:rPr>
          <w:rStyle w:val="ParagraphChar"/>
        </w:rPr>
        <w:t>C</w:t>
      </w:r>
      <w:r w:rsidR="00392276" w:rsidRPr="00893237">
        <w:rPr>
          <w:rStyle w:val="ParagraphChar"/>
        </w:rPr>
        <w:t xml:space="preserve">ourts have </w:t>
      </w:r>
      <w:r w:rsidR="00E452E8">
        <w:rPr>
          <w:rStyle w:val="ParagraphChar"/>
        </w:rPr>
        <w:t xml:space="preserve">on occasion </w:t>
      </w:r>
      <w:r w:rsidR="00893237" w:rsidRPr="00893237">
        <w:rPr>
          <w:rStyle w:val="ParagraphChar"/>
        </w:rPr>
        <w:t>“</w:t>
      </w:r>
      <w:r w:rsidR="00392276" w:rsidRPr="00893237">
        <w:rPr>
          <w:rStyle w:val="ParagraphChar"/>
        </w:rPr>
        <w:t xml:space="preserve">recognized </w:t>
      </w:r>
      <w:r w:rsidR="00893237" w:rsidRPr="00893237">
        <w:rPr>
          <w:rStyle w:val="ParagraphChar"/>
        </w:rPr>
        <w:t>‘</w:t>
      </w:r>
      <w:r w:rsidR="00392276" w:rsidRPr="00893237">
        <w:rPr>
          <w:rStyle w:val="ParagraphChar"/>
        </w:rPr>
        <w:t>sustained provocation</w:t>
      </w:r>
      <w:r w:rsidR="00893237" w:rsidRPr="00893237">
        <w:rPr>
          <w:rStyle w:val="ParagraphChar"/>
        </w:rPr>
        <w:t>’</w:t>
      </w:r>
      <w:r w:rsidR="00392276" w:rsidRPr="00893237">
        <w:rPr>
          <w:rStyle w:val="ParagraphChar"/>
        </w:rPr>
        <w:t xml:space="preserve"> as a defense to murder</w:t>
      </w:r>
      <w:r w:rsidR="00E452E8">
        <w:rPr>
          <w:rStyle w:val="ParagraphChar"/>
        </w:rPr>
        <w:t>,</w:t>
      </w:r>
      <w:r w:rsidR="00893237" w:rsidRPr="00893237">
        <w:rPr>
          <w:rStyle w:val="ParagraphChar"/>
        </w:rPr>
        <w:t>”</w:t>
      </w:r>
      <w:r w:rsidR="00512829" w:rsidRPr="00893237">
        <w:rPr>
          <w:rStyle w:val="ParagraphChar"/>
        </w:rPr>
        <w:t xml:space="preserve"> </w:t>
      </w:r>
      <w:r w:rsidR="00A36E83">
        <w:rPr>
          <w:rStyle w:val="ParagraphChar"/>
        </w:rPr>
        <w:t xml:space="preserve">recognizing that </w:t>
      </w:r>
      <w:r w:rsidR="004D23BE" w:rsidRPr="00893237">
        <w:rPr>
          <w:rStyle w:val="ParagraphChar"/>
        </w:rPr>
        <w:t>women</w:t>
      </w:r>
      <w:r w:rsidR="00B86D8A" w:rsidRPr="00893237">
        <w:rPr>
          <w:rStyle w:val="ParagraphChar"/>
        </w:rPr>
        <w:t xml:space="preserve"> </w:t>
      </w:r>
      <w:r w:rsidR="00A36E83">
        <w:rPr>
          <w:rStyle w:val="ParagraphChar"/>
        </w:rPr>
        <w:t xml:space="preserve">have </w:t>
      </w:r>
      <w:r w:rsidR="00B86D8A" w:rsidRPr="00893237">
        <w:rPr>
          <w:rStyle w:val="ParagraphChar"/>
        </w:rPr>
        <w:t>the right to</w:t>
      </w:r>
      <w:r w:rsidR="004D23BE" w:rsidRPr="00893237">
        <w:rPr>
          <w:rStyle w:val="ParagraphChar"/>
        </w:rPr>
        <w:t xml:space="preserve"> self-defense when they </w:t>
      </w:r>
      <w:r w:rsidR="006318E0" w:rsidRPr="00893237">
        <w:rPr>
          <w:rStyle w:val="ParagraphChar"/>
        </w:rPr>
        <w:t>murder</w:t>
      </w:r>
      <w:r w:rsidR="004D23BE" w:rsidRPr="00893237">
        <w:rPr>
          <w:rStyle w:val="ParagraphChar"/>
        </w:rPr>
        <w:t xml:space="preserve"> </w:t>
      </w:r>
      <w:r w:rsidR="00893237" w:rsidRPr="00893237">
        <w:rPr>
          <w:rStyle w:val="ParagraphChar"/>
        </w:rPr>
        <w:t>a</w:t>
      </w:r>
      <w:r w:rsidR="00A36E83">
        <w:rPr>
          <w:rStyle w:val="ParagraphChar"/>
        </w:rPr>
        <w:t>n abusive</w:t>
      </w:r>
      <w:r w:rsidR="00893237" w:rsidRPr="00893237">
        <w:rPr>
          <w:rStyle w:val="ParagraphChar"/>
        </w:rPr>
        <w:t xml:space="preserve"> family </w:t>
      </w:r>
      <w:r w:rsidR="00A36E83">
        <w:rPr>
          <w:rStyle w:val="ParagraphChar"/>
        </w:rPr>
        <w:t>member</w:t>
      </w:r>
      <w:r w:rsidR="005F3C76" w:rsidRPr="00893237">
        <w:rPr>
          <w:rStyle w:val="ParagraphChar"/>
        </w:rPr>
        <w:t xml:space="preserve">, </w:t>
      </w:r>
      <w:r w:rsidR="00E452E8">
        <w:rPr>
          <w:rStyle w:val="ParagraphChar"/>
        </w:rPr>
        <w:t xml:space="preserve">but </w:t>
      </w:r>
      <w:r w:rsidR="005A6AAF" w:rsidRPr="00893237">
        <w:rPr>
          <w:rStyle w:val="ParagraphChar"/>
        </w:rPr>
        <w:t xml:space="preserve">courts do not have formal sentencing guidelines for </w:t>
      </w:r>
      <w:r w:rsidR="00221421" w:rsidRPr="00893237">
        <w:rPr>
          <w:rStyle w:val="ParagraphChar"/>
        </w:rPr>
        <w:t>women who have experienced protracted intimate-partner violence</w:t>
      </w:r>
      <w:r w:rsidR="001F3787" w:rsidRPr="00893237">
        <w:rPr>
          <w:rStyle w:val="ParagraphChar"/>
        </w:rPr>
        <w:t>,</w:t>
      </w:r>
      <w:r w:rsidR="00380120" w:rsidRPr="00893237">
        <w:rPr>
          <w:rStyle w:val="ParagraphChar"/>
        </w:rPr>
        <w:t xml:space="preserve"> </w:t>
      </w:r>
      <w:r w:rsidR="00221421" w:rsidRPr="00893237">
        <w:rPr>
          <w:rStyle w:val="ParagraphChar"/>
        </w:rPr>
        <w:t>leaving</w:t>
      </w:r>
      <w:r w:rsidR="001F3787" w:rsidRPr="00893237">
        <w:rPr>
          <w:rStyle w:val="ParagraphChar"/>
        </w:rPr>
        <w:t xml:space="preserve"> </w:t>
      </w:r>
      <w:r w:rsidR="003D2817">
        <w:rPr>
          <w:rStyle w:val="ParagraphChar"/>
        </w:rPr>
        <w:t xml:space="preserve">to the discretion of the court whether to consider any </w:t>
      </w:r>
      <w:r w:rsidR="00380120" w:rsidRPr="00893237">
        <w:rPr>
          <w:rStyle w:val="ParagraphChar"/>
        </w:rPr>
        <w:t>histor</w:t>
      </w:r>
      <w:r w:rsidR="003D2817">
        <w:rPr>
          <w:rStyle w:val="ParagraphChar"/>
        </w:rPr>
        <w:t>y</w:t>
      </w:r>
      <w:r w:rsidR="00380120" w:rsidRPr="00893237">
        <w:rPr>
          <w:rStyle w:val="ParagraphChar"/>
        </w:rPr>
        <w:t xml:space="preserve"> of abuse </w:t>
      </w:r>
      <w:r w:rsidR="002811C1" w:rsidRPr="00893237">
        <w:rPr>
          <w:rStyle w:val="ParagraphChar"/>
        </w:rPr>
        <w:t xml:space="preserve">and </w:t>
      </w:r>
      <w:r w:rsidR="0053444C">
        <w:rPr>
          <w:rStyle w:val="ParagraphChar"/>
        </w:rPr>
        <w:t>corresponding</w:t>
      </w:r>
      <w:r w:rsidR="002811C1" w:rsidRPr="00893237">
        <w:rPr>
          <w:rStyle w:val="ParagraphChar"/>
        </w:rPr>
        <w:t xml:space="preserve"> mitigating circumstances</w:t>
      </w:r>
      <w:r w:rsidR="00E9550E" w:rsidRPr="00893237">
        <w:rPr>
          <w:rStyle w:val="ParagraphChar"/>
        </w:rPr>
        <w:t>.</w:t>
      </w:r>
      <w:r w:rsidR="007C7CCE" w:rsidRPr="00893237">
        <w:rPr>
          <w:rStyle w:val="FootnoteReference"/>
        </w:rPr>
        <w:footnoteReference w:id="43"/>
      </w:r>
    </w:p>
    <w:p w14:paraId="5BEBA889" w14:textId="32A635B7" w:rsidR="00546258" w:rsidRPr="00F16374" w:rsidRDefault="005020AB" w:rsidP="005020AB">
      <w:pPr>
        <w:pStyle w:val="Paragraph"/>
      </w:pPr>
      <w:r w:rsidRPr="00893237">
        <w:t xml:space="preserve">In addition, </w:t>
      </w:r>
      <w:r w:rsidR="008F6504">
        <w:t xml:space="preserve">the </w:t>
      </w:r>
      <w:r w:rsidR="002F146F">
        <w:t>2023</w:t>
      </w:r>
      <w:r w:rsidR="00E96106">
        <w:t xml:space="preserve"> revisions to the </w:t>
      </w:r>
      <w:r w:rsidR="008F6504">
        <w:t xml:space="preserve">penal code do not fully criminalize </w:t>
      </w:r>
      <w:r w:rsidRPr="00893237">
        <w:t>m</w:t>
      </w:r>
      <w:r w:rsidR="00546258" w:rsidRPr="00893237">
        <w:t>arital rape</w:t>
      </w:r>
      <w:r w:rsidR="008F6504">
        <w:t>, establishing</w:t>
      </w:r>
      <w:r w:rsidR="00546258" w:rsidRPr="00893237">
        <w:t xml:space="preserve"> </w:t>
      </w:r>
      <w:r w:rsidR="0053444C">
        <w:t>an</w:t>
      </w:r>
      <w:r w:rsidR="00546258" w:rsidRPr="00893237">
        <w:t xml:space="preserve"> exception </w:t>
      </w:r>
      <w:r w:rsidR="0053444C">
        <w:t xml:space="preserve">to the crime </w:t>
      </w:r>
      <w:r w:rsidR="008F6504">
        <w:t xml:space="preserve">when the perpetrator is the victim’s husband as long as </w:t>
      </w:r>
      <w:r w:rsidR="008F6504">
        <w:lastRenderedPageBreak/>
        <w:t>the victim is at least 18 years of age</w:t>
      </w:r>
      <w:r w:rsidR="00546258">
        <w:t>.</w:t>
      </w:r>
      <w:r w:rsidR="00546258">
        <w:rPr>
          <w:rStyle w:val="FootnoteReference"/>
        </w:rPr>
        <w:footnoteReference w:id="44"/>
      </w:r>
      <w:r w:rsidR="00546258">
        <w:t xml:space="preserve"> This exemption </w:t>
      </w:r>
      <w:r w:rsidR="002D1FEC">
        <w:t>creates impunity for some of the most extreme forms of domestic violence</w:t>
      </w:r>
      <w:r w:rsidR="00546258">
        <w:t>. The Indian government even formally opposed petitions</w:t>
      </w:r>
      <w:r w:rsidR="008304A9">
        <w:t xml:space="preserve"> to the Supreme Court</w:t>
      </w:r>
      <w:r w:rsidR="00546258">
        <w:t xml:space="preserve"> to criminalize marital rape, arguing that criminalizing martial rape can be “excessively harsh.”</w:t>
      </w:r>
      <w:r w:rsidR="00546258">
        <w:rPr>
          <w:rStyle w:val="FootnoteReference"/>
        </w:rPr>
        <w:footnoteReference w:id="45"/>
      </w:r>
      <w:r>
        <w:t xml:space="preserve"> </w:t>
      </w:r>
      <w:r w:rsidR="005031AB">
        <w:t xml:space="preserve">As noted above, </w:t>
      </w:r>
      <w:r w:rsidR="004E4992">
        <w:t xml:space="preserve">impunity for domestic violence can lead </w:t>
      </w:r>
      <w:r w:rsidR="0095591B">
        <w:t xml:space="preserve">survivors of such violence </w:t>
      </w:r>
      <w:r w:rsidR="004E4992">
        <w:t>into conflict with the law, risking that they will be charged with capital crimes</w:t>
      </w:r>
      <w:r w:rsidR="0095591B">
        <w:t xml:space="preserve">. Moreover, this approach to marital rape fails to address some of the </w:t>
      </w:r>
      <w:r w:rsidR="005031AB">
        <w:t>root causes of violence against women</w:t>
      </w:r>
      <w:r w:rsidR="0095591B">
        <w:t xml:space="preserve">, all while lawmakers continue to pursue expansion of the death penalty for </w:t>
      </w:r>
      <w:r w:rsidR="00BC07EF">
        <w:t xml:space="preserve">other </w:t>
      </w:r>
      <w:r w:rsidR="005031AB">
        <w:t>crimes of violence against women.</w:t>
      </w:r>
    </w:p>
    <w:p w14:paraId="53F06C3E" w14:textId="0C6528E7" w:rsidR="004B1E4E" w:rsidRPr="004B1E4E" w:rsidRDefault="00BC0C34" w:rsidP="0053444C">
      <w:pPr>
        <w:pStyle w:val="SectionHeading"/>
        <w:keepNext/>
        <w:jc w:val="both"/>
      </w:pPr>
      <w:bookmarkStart w:id="0" w:name="_Hlk204616827"/>
      <w:r>
        <w:t>Discrimination against women, including</w:t>
      </w:r>
      <w:r w:rsidR="000A3F34">
        <w:t xml:space="preserve"> systemic and structural discriminatory practices, entrenched</w:t>
      </w:r>
      <w:r>
        <w:t xml:space="preserve"> </w:t>
      </w:r>
      <w:r w:rsidR="00CC6A6C">
        <w:t xml:space="preserve">gender biases and </w:t>
      </w:r>
      <w:r w:rsidR="000A3F34">
        <w:t xml:space="preserve">gender </w:t>
      </w:r>
      <w:r w:rsidR="00CC6A6C">
        <w:t xml:space="preserve">stereotypes, </w:t>
      </w:r>
      <w:r w:rsidR="00921C15">
        <w:t xml:space="preserve">violates women’s </w:t>
      </w:r>
      <w:r w:rsidR="003C1CB8">
        <w:t>fair trial rights</w:t>
      </w:r>
      <w:r w:rsidR="00921C15">
        <w:t xml:space="preserve"> </w:t>
      </w:r>
      <w:r w:rsidR="00E04B2C">
        <w:t>and increases their vulnerability to coercion and exploitation during investigation</w:t>
      </w:r>
      <w:r w:rsidR="00615663">
        <w:t>s</w:t>
      </w:r>
      <w:bookmarkEnd w:id="0"/>
      <w:r w:rsidR="00011DA7">
        <w:t xml:space="preserve"> (Concluding Observations Para</w:t>
      </w:r>
      <w:r w:rsidR="00086CD8">
        <w:t>graphs</w:t>
      </w:r>
      <w:r w:rsidR="00011DA7">
        <w:t xml:space="preserve"> 20–21, </w:t>
      </w:r>
      <w:r w:rsidR="001D6D0A">
        <w:t>34</w:t>
      </w:r>
      <w:r w:rsidR="001752F0">
        <w:t>–</w:t>
      </w:r>
      <w:r w:rsidR="001D6D0A">
        <w:t>35</w:t>
      </w:r>
      <w:r w:rsidR="00011DA7">
        <w:t xml:space="preserve"> and 38</w:t>
      </w:r>
      <w:r w:rsidR="001752F0">
        <w:t>–</w:t>
      </w:r>
      <w:r w:rsidR="00011DA7">
        <w:t>41)</w:t>
      </w:r>
      <w:r w:rsidR="00615663">
        <w:t xml:space="preserve">. </w:t>
      </w:r>
    </w:p>
    <w:p w14:paraId="3B9B6167" w14:textId="5177FBC6" w:rsidR="001D6D0A" w:rsidRDefault="00FC4E63" w:rsidP="001D6D0A">
      <w:pPr>
        <w:pStyle w:val="Paragraph"/>
      </w:pPr>
      <w:r>
        <w:t xml:space="preserve">In </w:t>
      </w:r>
      <w:r w:rsidR="009A5A43">
        <w:t>its</w:t>
      </w:r>
      <w:r>
        <w:t xml:space="preserve"> 2014 Concluding Observations, the Committee express</w:t>
      </w:r>
      <w:r w:rsidR="00A252AE">
        <w:t>ed</w:t>
      </w:r>
      <w:r>
        <w:t xml:space="preserve"> </w:t>
      </w:r>
      <w:r w:rsidR="001752F0">
        <w:t xml:space="preserve">concern about </w:t>
      </w:r>
      <w:r>
        <w:t xml:space="preserve">the persistence of deep-seated, systemic discrimination against women. </w:t>
      </w:r>
      <w:r w:rsidR="004B0F45">
        <w:t>In particular, the Committee noted the “persistence of patriarchal attitudes and deep-rooted stereotypes entrenched in the social, cultural, economic and political institutions and structures of Indian society and in the media that discriminate against women</w:t>
      </w:r>
      <w:r w:rsidR="004C64F9">
        <w:t>,</w:t>
      </w:r>
      <w:r w:rsidR="004B0F45">
        <w:t>” “the persistence of harmful traditional practices” including “child marriage, the dowry system, so-called ‘honour killings’, sex-selective abortion, sati, devadasi and accusing women of witchcraft</w:t>
      </w:r>
      <w:r w:rsidR="004C64F9">
        <w:t>,</w:t>
      </w:r>
      <w:r w:rsidR="004B0F45">
        <w:t>” and that India had “not taken sufficient sustained and systematic action to modify or eliminate stereotypes and harmful practices.”</w:t>
      </w:r>
      <w:r w:rsidR="004B0F45" w:rsidRPr="00E44C33">
        <w:rPr>
          <w:rStyle w:val="FootnoteReference"/>
        </w:rPr>
        <w:footnoteReference w:id="46"/>
      </w:r>
      <w:r w:rsidR="004B0F45">
        <w:t xml:space="preserve"> The Committee specifically recommended that India implement “a </w:t>
      </w:r>
      <w:r w:rsidR="004B0F45" w:rsidRPr="004B0F45">
        <w:t>comprehensive national campaign and strategy, with specific goals and timelines, to eliminate patriarchal attitudes and stereotypes that discriminate against women</w:t>
      </w:r>
      <w:r w:rsidR="004B0F45">
        <w:t>.”</w:t>
      </w:r>
      <w:r w:rsidR="004B0F45">
        <w:rPr>
          <w:rStyle w:val="FootnoteReference"/>
        </w:rPr>
        <w:footnoteReference w:id="47"/>
      </w:r>
    </w:p>
    <w:p w14:paraId="65BC3D60" w14:textId="4A683347" w:rsidR="001D6D0A" w:rsidRDefault="001D6D0A" w:rsidP="003B0356">
      <w:pPr>
        <w:pStyle w:val="Paragraph"/>
      </w:pPr>
      <w:r>
        <w:t xml:space="preserve">With respect to women </w:t>
      </w:r>
      <w:r w:rsidR="0036065A">
        <w:t xml:space="preserve">who are members of </w:t>
      </w:r>
      <w:r>
        <w:t>minority groups, the Committee expressed concern that “</w:t>
      </w:r>
      <w:r w:rsidRPr="001D6D0A">
        <w:t>Dalit women and women from scheduled tribes face multiple barriers in gaining access to justice, owing to legal illiteracy, lack of awareness of their rights and limited accessibility of legal aid</w:t>
      </w:r>
      <w:r w:rsidR="00E45546">
        <w:t>,</w:t>
      </w:r>
      <w:r w:rsidRPr="001D6D0A">
        <w:t xml:space="preserve">” </w:t>
      </w:r>
      <w:r w:rsidR="00662431">
        <w:t xml:space="preserve">and </w:t>
      </w:r>
      <w:r w:rsidR="00494FC9">
        <w:t xml:space="preserve">recommended </w:t>
      </w:r>
      <w:r w:rsidR="008561E1">
        <w:t xml:space="preserve">that </w:t>
      </w:r>
      <w:r w:rsidR="004C350E">
        <w:t>India</w:t>
      </w:r>
      <w:r w:rsidR="005908A0">
        <w:t xml:space="preserve"> </w:t>
      </w:r>
      <w:r w:rsidR="001A7724">
        <w:t xml:space="preserve">“[m]onitor the availability </w:t>
      </w:r>
      <w:r w:rsidR="006067DB" w:rsidRPr="006067DB">
        <w:t>and efficiency of the legal services authorities, implement legal literacy programmes, raise the awareness of Dalit women and women and girls from scheduled tribes of all legal remedies available to them and monitor the results of such efforts</w:t>
      </w:r>
      <w:r w:rsidRPr="001D6D0A">
        <w:t>.”</w:t>
      </w:r>
      <w:r w:rsidRPr="00E44C33">
        <w:rPr>
          <w:rStyle w:val="FootnoteReference"/>
        </w:rPr>
        <w:footnoteReference w:id="48"/>
      </w:r>
      <w:r w:rsidR="003B0356">
        <w:t xml:space="preserve"> </w:t>
      </w:r>
      <w:r>
        <w:t xml:space="preserve">With respect to marriage and family relations, the Committee </w:t>
      </w:r>
      <w:r w:rsidR="00BC756D">
        <w:t xml:space="preserve">expressed concern </w:t>
      </w:r>
      <w:r>
        <w:t>“about the coexistence of multiple legal systems” in India “applying to the various religious groups, which results in deep and persistent discrimination against women</w:t>
      </w:r>
      <w:r w:rsidR="0026758C">
        <w:t>,</w:t>
      </w:r>
      <w:r w:rsidR="000872B7">
        <w:t>” together with India’s “</w:t>
      </w:r>
      <w:r>
        <w:t>continuing reluctance to review its policy of non-interference in the personal affairs of communities without their initiative and consent</w:t>
      </w:r>
      <w:r w:rsidR="000872B7">
        <w:t>.”</w:t>
      </w:r>
      <w:r w:rsidR="000872B7" w:rsidRPr="00E44C33">
        <w:rPr>
          <w:rStyle w:val="FootnoteReference"/>
        </w:rPr>
        <w:footnoteReference w:id="49"/>
      </w:r>
    </w:p>
    <w:p w14:paraId="3FFC87E8" w14:textId="4DF10B9A" w:rsidR="000E4EEC" w:rsidRPr="00F3797A" w:rsidRDefault="000E4EEC" w:rsidP="001D6D0A">
      <w:pPr>
        <w:pStyle w:val="Paragraph"/>
      </w:pPr>
      <w:r>
        <w:lastRenderedPageBreak/>
        <w:t xml:space="preserve">The Committee </w:t>
      </w:r>
      <w:r w:rsidR="0026758C">
        <w:t xml:space="preserve">also expressed </w:t>
      </w:r>
      <w:r>
        <w:t xml:space="preserve">concern that India </w:t>
      </w:r>
      <w:r w:rsidR="0053444C">
        <w:t xml:space="preserve">had </w:t>
      </w:r>
      <w:r>
        <w:t>“</w:t>
      </w:r>
      <w:r w:rsidRPr="000E4EEC">
        <w:t>maintained its declarations regarding articles 5 (a</w:t>
      </w:r>
      <w:r w:rsidRPr="00F3797A">
        <w:t xml:space="preserve">) and 16 (1) and (2) of the Convention” and </w:t>
      </w:r>
      <w:r w:rsidR="005942DC">
        <w:t xml:space="preserve">the Committee stated </w:t>
      </w:r>
      <w:r w:rsidRPr="00F3797A">
        <w:t>that “this is incompatible with the State party’s constitutional guarantees of equality and non-discrimination.”</w:t>
      </w:r>
      <w:r w:rsidRPr="00F3797A">
        <w:rPr>
          <w:rStyle w:val="FootnoteReference"/>
        </w:rPr>
        <w:t xml:space="preserve"> </w:t>
      </w:r>
      <w:r w:rsidRPr="00F3797A">
        <w:rPr>
          <w:rStyle w:val="FootnoteReference"/>
        </w:rPr>
        <w:footnoteReference w:id="50"/>
      </w:r>
      <w:r w:rsidRPr="00F3797A">
        <w:t xml:space="preserve"> </w:t>
      </w:r>
      <w:r w:rsidR="005031AB" w:rsidRPr="00F3797A">
        <w:t xml:space="preserve">These </w:t>
      </w:r>
      <w:r w:rsidRPr="00F3797A">
        <w:t xml:space="preserve">declarations </w:t>
      </w:r>
      <w:r w:rsidR="005031AB" w:rsidRPr="00F3797A">
        <w:t>appear to remain in place</w:t>
      </w:r>
      <w:r w:rsidRPr="00F3797A">
        <w:t xml:space="preserve">, </w:t>
      </w:r>
      <w:r w:rsidR="005031AB" w:rsidRPr="00F3797A">
        <w:t>including India’s</w:t>
      </w:r>
      <w:r w:rsidR="00342C79" w:rsidRPr="00F3797A">
        <w:t xml:space="preserve"> </w:t>
      </w:r>
      <w:r w:rsidR="005031AB" w:rsidRPr="00F3797A">
        <w:t>“</w:t>
      </w:r>
      <w:r w:rsidR="00342C79" w:rsidRPr="00F3797A">
        <w:t>policy of non-interference in the personal affairs of any Community without its initiative and consent.”</w:t>
      </w:r>
      <w:r w:rsidR="00342C79" w:rsidRPr="00F3797A">
        <w:rPr>
          <w:rStyle w:val="FootnoteReference"/>
        </w:rPr>
        <w:footnoteReference w:id="51"/>
      </w:r>
    </w:p>
    <w:p w14:paraId="497559EB" w14:textId="43985956" w:rsidR="00085935" w:rsidRPr="00F3797A" w:rsidRDefault="005F098C" w:rsidP="001D6D0A">
      <w:pPr>
        <w:pStyle w:val="Paragraph"/>
      </w:pPr>
      <w:r>
        <w:t>Since 2014, w</w:t>
      </w:r>
      <w:r w:rsidR="00343CAC" w:rsidRPr="00F3797A">
        <w:t>omen</w:t>
      </w:r>
      <w:r w:rsidR="00A73C25" w:rsidRPr="00F3797A">
        <w:t xml:space="preserve"> </w:t>
      </w:r>
      <w:r w:rsidR="0045655B">
        <w:t xml:space="preserve">in conflict with the law </w:t>
      </w:r>
      <w:r>
        <w:t xml:space="preserve">continue to </w:t>
      </w:r>
      <w:r w:rsidR="0045655B">
        <w:t xml:space="preserve">face </w:t>
      </w:r>
      <w:r w:rsidR="00A73C25" w:rsidRPr="00F3797A">
        <w:t xml:space="preserve">discrimination </w:t>
      </w:r>
      <w:r w:rsidR="0045655B">
        <w:t xml:space="preserve">arising out of </w:t>
      </w:r>
      <w:r w:rsidR="00C46FD6" w:rsidRPr="00F3797A">
        <w:t xml:space="preserve">gender biases and stereotypes </w:t>
      </w:r>
      <w:r w:rsidR="00A73C25" w:rsidRPr="00F3797A">
        <w:t xml:space="preserve">in the criminal legal system. </w:t>
      </w:r>
      <w:r w:rsidR="00343CAC" w:rsidRPr="00F3797A">
        <w:t xml:space="preserve">Trials </w:t>
      </w:r>
      <w:r w:rsidR="00784D70">
        <w:t xml:space="preserve">in which a woman is at risk of being sentenced to death </w:t>
      </w:r>
      <w:r w:rsidR="00A73C25" w:rsidRPr="00F3797A">
        <w:t xml:space="preserve">are </w:t>
      </w:r>
      <w:r w:rsidR="00343CAC" w:rsidRPr="00F3797A">
        <w:t xml:space="preserve">often </w:t>
      </w:r>
      <w:r w:rsidR="00A73C25" w:rsidRPr="00F3797A">
        <w:t xml:space="preserve">permeated with </w:t>
      </w:r>
      <w:r w:rsidR="00C46FD6" w:rsidRPr="00F3797A">
        <w:t>explicitly</w:t>
      </w:r>
      <w:r w:rsidR="00A73C25" w:rsidRPr="00F3797A">
        <w:t xml:space="preserve"> sexist language.</w:t>
      </w:r>
      <w:r w:rsidR="003B0356" w:rsidRPr="00F3797A">
        <w:rPr>
          <w:rStyle w:val="FootnoteReference"/>
        </w:rPr>
        <w:footnoteReference w:id="52"/>
      </w:r>
      <w:r w:rsidR="00A73C25" w:rsidRPr="00F3797A">
        <w:t xml:space="preserve"> For example, </w:t>
      </w:r>
      <w:r w:rsidR="003B0356" w:rsidRPr="00F3797A">
        <w:t xml:space="preserve">in a case involving a married woman who had engaged in an affair, in which both the woman and the person with whom she was having an affair were charged with killing with the woman’s </w:t>
      </w:r>
      <w:r w:rsidR="00A73C25" w:rsidRPr="00F3797A">
        <w:t>husband</w:t>
      </w:r>
      <w:r w:rsidR="003B0356" w:rsidRPr="00F3797A">
        <w:t>, the court described the accused</w:t>
      </w:r>
      <w:r w:rsidR="00A73C25" w:rsidRPr="00F3797A">
        <w:t xml:space="preserve"> </w:t>
      </w:r>
      <w:r w:rsidR="003B0356" w:rsidRPr="00F3797A">
        <w:t>“</w:t>
      </w:r>
      <w:r w:rsidR="00A73C25" w:rsidRPr="00F3797A">
        <w:t xml:space="preserve">as the </w:t>
      </w:r>
      <w:r w:rsidR="003B0356" w:rsidRPr="00F3797A">
        <w:t>‘</w:t>
      </w:r>
      <w:r w:rsidR="00A73C25" w:rsidRPr="00F3797A">
        <w:t>kind of woman</w:t>
      </w:r>
      <w:r w:rsidR="003B0356" w:rsidRPr="00F3797A">
        <w:t>’</w:t>
      </w:r>
      <w:r w:rsidR="00A73C25" w:rsidRPr="00F3797A">
        <w:t xml:space="preserve"> who brings </w:t>
      </w:r>
      <w:r w:rsidR="003B0356" w:rsidRPr="00F3797A">
        <w:t>‘</w:t>
      </w:r>
      <w:r w:rsidR="00A73C25" w:rsidRPr="00F3797A">
        <w:t>shame</w:t>
      </w:r>
      <w:r w:rsidR="003B0356" w:rsidRPr="00F3797A">
        <w:t>’</w:t>
      </w:r>
      <w:r w:rsidR="00A73C25" w:rsidRPr="00F3797A">
        <w:t xml:space="preserve"> upon her family, village, and society and who represents a threat to women and men alike</w:t>
      </w:r>
      <w:r w:rsidR="001B3FD9">
        <w:t>,</w:t>
      </w:r>
      <w:r w:rsidR="003B0356" w:rsidRPr="00F3797A">
        <w:t xml:space="preserve">” and </w:t>
      </w:r>
      <w:r w:rsidR="001B3FD9">
        <w:t xml:space="preserve">the court stated </w:t>
      </w:r>
      <w:r w:rsidR="003B0356" w:rsidRPr="00F3797A">
        <w:t>that “</w:t>
      </w:r>
      <w:r w:rsidR="00614150" w:rsidRPr="00F3797A">
        <w:t>a lady of such character deserves no leniency.”</w:t>
      </w:r>
      <w:r w:rsidR="00614150" w:rsidRPr="00F3797A">
        <w:rPr>
          <w:rStyle w:val="FootnoteReference"/>
        </w:rPr>
        <w:footnoteReference w:id="53"/>
      </w:r>
      <w:r w:rsidR="00614150" w:rsidRPr="00F3797A">
        <w:t xml:space="preserve"> </w:t>
      </w:r>
      <w:r w:rsidR="00666BD4" w:rsidRPr="00F3797A">
        <w:t xml:space="preserve">Similarly, </w:t>
      </w:r>
      <w:r w:rsidR="003B0356" w:rsidRPr="00F3797A">
        <w:t xml:space="preserve">“[i]n a case involving a woman convicted of killing several members of her family, the Supreme Court </w:t>
      </w:r>
      <w:r w:rsidR="00653EA8">
        <w:t xml:space="preserve">. . . </w:t>
      </w:r>
      <w:r w:rsidR="003B0356" w:rsidRPr="00F3797A">
        <w:t xml:space="preserve"> stated that as a daughter, she had violated her gender role as </w:t>
      </w:r>
      <w:r w:rsidR="00C706DF" w:rsidRPr="00F3797A">
        <w:t>‘</w:t>
      </w:r>
      <w:r w:rsidR="003B0356" w:rsidRPr="00F3797A">
        <w:t>the caregiver</w:t>
      </w:r>
      <w:r w:rsidR="00C706DF" w:rsidRPr="00F3797A">
        <w:t>’</w:t>
      </w:r>
      <w:r w:rsidR="003B0356" w:rsidRPr="00F3797A">
        <w:t xml:space="preserve"> for her parents.”</w:t>
      </w:r>
      <w:r w:rsidR="00100ED2" w:rsidRPr="00F3797A">
        <w:rPr>
          <w:rStyle w:val="FootnoteReference"/>
        </w:rPr>
        <w:footnoteReference w:id="54"/>
      </w:r>
      <w:r w:rsidR="00666BD4" w:rsidRPr="00F3797A">
        <w:t xml:space="preserve"> </w:t>
      </w:r>
    </w:p>
    <w:p w14:paraId="014F912B" w14:textId="58D32A49" w:rsidR="002061C3" w:rsidRDefault="00C706DF" w:rsidP="00217824">
      <w:pPr>
        <w:pStyle w:val="Paragraph"/>
      </w:pPr>
      <w:r w:rsidRPr="00F3797A">
        <w:t>Fair trial concerns</w:t>
      </w:r>
      <w:r w:rsidR="00E32DAB">
        <w:t xml:space="preserve"> for women </w:t>
      </w:r>
      <w:r w:rsidR="005A4ACE">
        <w:t xml:space="preserve">charged with capital crimes </w:t>
      </w:r>
      <w:r w:rsidRPr="00F3797A">
        <w:t xml:space="preserve">are heightened by the fact that </w:t>
      </w:r>
      <w:r w:rsidR="00C07618">
        <w:t xml:space="preserve">courts frequently hand down death sentences </w:t>
      </w:r>
      <w:r w:rsidR="00E17EDB">
        <w:t xml:space="preserve">soon after handing down a conviction, with </w:t>
      </w:r>
      <w:r w:rsidR="002061C3" w:rsidRPr="00F3797A">
        <w:t xml:space="preserve">minimal additional time or consideration </w:t>
      </w:r>
      <w:r w:rsidR="00E17EDB">
        <w:t>of mitigating circumstances</w:t>
      </w:r>
      <w:r w:rsidR="00E32DAB">
        <w:t>, including gender-related mitigation</w:t>
      </w:r>
      <w:r w:rsidR="00E17EDB">
        <w:t xml:space="preserve">. Trial courts routinely fail </w:t>
      </w:r>
      <w:r w:rsidR="002061C3" w:rsidRPr="00F3797A">
        <w:t xml:space="preserve">to undertake the procedural steps </w:t>
      </w:r>
      <w:r w:rsidR="00A87287">
        <w:t xml:space="preserve">that the Supreme Court has </w:t>
      </w:r>
      <w:r w:rsidR="002061C3" w:rsidRPr="00F3797A">
        <w:t>promulgated. In 2024, “sentences were imposed on the same day, or within one day of conviction, in at least 31.87% of death penalty cases at the trial courts” and “59.10% (66 out of 139 death sentences) in 39 cases were imposed within 2</w:t>
      </w:r>
      <w:r w:rsidR="00A12AC3" w:rsidRPr="00A12AC3">
        <w:t>–</w:t>
      </w:r>
      <w:r w:rsidR="002061C3" w:rsidRPr="00F3797A">
        <w:t>7 days from conviction.”</w:t>
      </w:r>
      <w:r w:rsidR="002061C3" w:rsidRPr="00F3797A">
        <w:rPr>
          <w:rStyle w:val="FootnoteReference"/>
        </w:rPr>
        <w:footnoteReference w:id="55"/>
      </w:r>
      <w:r w:rsidR="002061C3" w:rsidRPr="00F3797A">
        <w:t xml:space="preserve"> Also, “[i]n contravention</w:t>
      </w:r>
      <w:r w:rsidR="002061C3" w:rsidRPr="00D04681">
        <w:t xml:space="preserve"> of the Supreme Court’s decision in </w:t>
      </w:r>
      <w:r w:rsidR="002061C3" w:rsidRPr="00C21E83">
        <w:rPr>
          <w:i/>
          <w:iCs/>
        </w:rPr>
        <w:t>Manoj v. State of Madhya Pradesh</w:t>
      </w:r>
      <w:r w:rsidR="002061C3" w:rsidRPr="00D04681">
        <w:t xml:space="preserve"> (2022), trial courts failed to seek reports on both mental health evaluations and jail conduct of the accused in all but 6 out of the 66 death penalty cases (7.60%)</w:t>
      </w:r>
      <w:r w:rsidR="002061C3">
        <w:t>.”</w:t>
      </w:r>
      <w:r w:rsidR="002061C3">
        <w:rPr>
          <w:rStyle w:val="FootnoteReference"/>
        </w:rPr>
        <w:footnoteReference w:id="56"/>
      </w:r>
    </w:p>
    <w:p w14:paraId="15798633" w14:textId="77777777" w:rsidR="00E32DAB" w:rsidRPr="00F3797A" w:rsidRDefault="00E32DAB" w:rsidP="00E32DAB">
      <w:pPr>
        <w:pStyle w:val="Paragraph"/>
      </w:pPr>
      <w:r w:rsidRPr="00F3797A">
        <w:t>Th</w:t>
      </w:r>
      <w:r>
        <w:t>e</w:t>
      </w:r>
      <w:r w:rsidRPr="00F3797A">
        <w:t xml:space="preserve"> gender gap in literacy highlights persistent </w:t>
      </w:r>
      <w:r>
        <w:t xml:space="preserve">gender </w:t>
      </w:r>
      <w:r w:rsidRPr="00F3797A">
        <w:t xml:space="preserve">inequalities in access to education, and </w:t>
      </w:r>
      <w:r>
        <w:t>education</w:t>
      </w:r>
      <w:r w:rsidRPr="00F3797A">
        <w:t xml:space="preserve"> can significantly affect women’s ability to understand and participate in their own defense, making them particularly vulnerable to coercion and the risk of false confession.</w:t>
      </w:r>
      <w:r w:rsidRPr="00F3797A">
        <w:rPr>
          <w:rStyle w:val="FootnoteReference"/>
        </w:rPr>
        <w:footnoteReference w:id="57"/>
      </w:r>
      <w:r>
        <w:t xml:space="preserve"> </w:t>
      </w:r>
      <w:r w:rsidRPr="00F3797A">
        <w:t xml:space="preserve">In 2015, six of the twelve women who were on death row </w:t>
      </w:r>
      <w:r>
        <w:t xml:space="preserve">at the time </w:t>
      </w:r>
      <w:r w:rsidRPr="00F3797A">
        <w:t>“had never attended school at all, and only two had advanced beyond secondary school.”</w:t>
      </w:r>
      <w:r w:rsidRPr="00F3797A">
        <w:rPr>
          <w:rStyle w:val="FootnoteReference"/>
        </w:rPr>
        <w:footnoteReference w:id="58"/>
      </w:r>
      <w:r w:rsidRPr="00F3797A">
        <w:t xml:space="preserve"> This </w:t>
      </w:r>
      <w:r>
        <w:t xml:space="preserve">information </w:t>
      </w:r>
      <w:r w:rsidRPr="00F3797A">
        <w:t xml:space="preserve">corresponds with </w:t>
      </w:r>
      <w:r>
        <w:t>the overall death row population—as of</w:t>
      </w:r>
      <w:r w:rsidRPr="00F3797A">
        <w:t xml:space="preserve"> 2015, 23% of death row population had never </w:t>
      </w:r>
      <w:r w:rsidRPr="00F3797A">
        <w:lastRenderedPageBreak/>
        <w:t xml:space="preserve">been to school at all, 9.6% had not finished </w:t>
      </w:r>
      <w:r>
        <w:t xml:space="preserve">their </w:t>
      </w:r>
      <w:r w:rsidRPr="00F3797A">
        <w:t xml:space="preserve">primary education, and 61.6% </w:t>
      </w:r>
      <w:r>
        <w:t xml:space="preserve">had </w:t>
      </w:r>
      <w:r w:rsidRPr="00F3797A">
        <w:t>not finish</w:t>
      </w:r>
      <w:r>
        <w:t>ed their</w:t>
      </w:r>
      <w:r w:rsidRPr="00F3797A">
        <w:t xml:space="preserve"> secondary education.</w:t>
      </w:r>
      <w:r w:rsidRPr="00F3797A">
        <w:rPr>
          <w:rStyle w:val="FootnoteReference"/>
        </w:rPr>
        <w:footnoteReference w:id="59"/>
      </w:r>
      <w:r>
        <w:t xml:space="preserve"> </w:t>
      </w:r>
    </w:p>
    <w:p w14:paraId="04004E25" w14:textId="3563DCE5" w:rsidR="00A54A95" w:rsidRDefault="00397E9D" w:rsidP="00217824">
      <w:pPr>
        <w:pStyle w:val="Paragraph"/>
      </w:pPr>
      <w:r>
        <w:t xml:space="preserve">In addition, </w:t>
      </w:r>
      <w:r w:rsidR="00C17207">
        <w:t>w</w:t>
      </w:r>
      <w:r w:rsidR="00A54A95">
        <w:t xml:space="preserve">omen </w:t>
      </w:r>
      <w:r w:rsidR="005F098C">
        <w:t xml:space="preserve">continue to be </w:t>
      </w:r>
      <w:r w:rsidR="00A54A95">
        <w:t>more likely than men to be economically vulnerable</w:t>
      </w:r>
      <w:r w:rsidR="00826F36">
        <w:t xml:space="preserve"> and dependent</w:t>
      </w:r>
      <w:r w:rsidR="00410C12">
        <w:t xml:space="preserve">, which may </w:t>
      </w:r>
      <w:r w:rsidR="00C30604">
        <w:t xml:space="preserve">restrict </w:t>
      </w:r>
      <w:r w:rsidR="00826F36">
        <w:t>their</w:t>
      </w:r>
      <w:r w:rsidR="00C30604">
        <w:t xml:space="preserve"> access to quality legal representation</w:t>
      </w:r>
      <w:r w:rsidR="006A5D33">
        <w:t xml:space="preserve"> and may leave them particularly susceptible to death sentences. According to the </w:t>
      </w:r>
      <w:r w:rsidR="006A5D33" w:rsidRPr="006A5D33">
        <w:t>National Law University Delhi</w:t>
      </w:r>
      <w:r w:rsidR="006A5D33">
        <w:t xml:space="preserve">, all of the </w:t>
      </w:r>
      <w:r w:rsidR="00E62CA6">
        <w:t xml:space="preserve">women </w:t>
      </w:r>
      <w:r w:rsidR="006A5D33">
        <w:t xml:space="preserve">who were </w:t>
      </w:r>
      <w:r w:rsidR="00E62CA6">
        <w:t>on death row</w:t>
      </w:r>
      <w:r w:rsidR="006A5D33">
        <w:t xml:space="preserve"> </w:t>
      </w:r>
      <w:r w:rsidR="00E62CA6">
        <w:t xml:space="preserve">in </w:t>
      </w:r>
      <w:r w:rsidR="00050735">
        <w:t>2015</w:t>
      </w:r>
      <w:r w:rsidR="006A5D33">
        <w:t xml:space="preserve"> </w:t>
      </w:r>
      <w:r w:rsidR="00E62CA6">
        <w:t xml:space="preserve">were </w:t>
      </w:r>
      <w:r w:rsidR="009B50F2">
        <w:t>“</w:t>
      </w:r>
      <w:r w:rsidR="00E62CA6">
        <w:t>economically vulnerable</w:t>
      </w:r>
      <w:r w:rsidR="004B0638">
        <w:t>.</w:t>
      </w:r>
      <w:r w:rsidR="009B50F2">
        <w:t>”</w:t>
      </w:r>
      <w:r w:rsidR="005A1D4F">
        <w:rPr>
          <w:rStyle w:val="FootnoteReference"/>
        </w:rPr>
        <w:footnoteReference w:id="60"/>
      </w:r>
      <w:r w:rsidR="00E62CA6">
        <w:t xml:space="preserve"> </w:t>
      </w:r>
      <w:r w:rsidR="00C36DED">
        <w:t>Nine of the twelve</w:t>
      </w:r>
      <w:r w:rsidR="0048144E">
        <w:t xml:space="preserve"> </w:t>
      </w:r>
      <w:r w:rsidR="005A1D4F">
        <w:t>were unemployed</w:t>
      </w:r>
      <w:r w:rsidR="001A71BB">
        <w:t xml:space="preserve"> prior to arrest</w:t>
      </w:r>
      <w:r w:rsidR="005A1D4F">
        <w:t>.</w:t>
      </w:r>
      <w:r w:rsidR="008D2F77">
        <w:rPr>
          <w:rStyle w:val="FootnoteReference"/>
        </w:rPr>
        <w:footnoteReference w:id="61"/>
      </w:r>
    </w:p>
    <w:p w14:paraId="1163EB7E" w14:textId="531E0A11" w:rsidR="000D41E5" w:rsidRPr="004B1E4E" w:rsidRDefault="00C54ED8" w:rsidP="0053444C">
      <w:pPr>
        <w:pStyle w:val="SectionHeading"/>
        <w:keepNext/>
        <w:jc w:val="both"/>
      </w:pPr>
      <w:bookmarkStart w:id="1" w:name="_Hlk204616981"/>
      <w:r>
        <w:t>Detention c</w:t>
      </w:r>
      <w:r w:rsidR="00615663">
        <w:t xml:space="preserve">onditions </w:t>
      </w:r>
      <w:r>
        <w:t xml:space="preserve">for women on death row do not </w:t>
      </w:r>
      <w:r w:rsidR="00870256">
        <w:t>comply with international human rights standards.</w:t>
      </w:r>
      <w:bookmarkEnd w:id="1"/>
    </w:p>
    <w:p w14:paraId="5728C0B7" w14:textId="2AA79E3C" w:rsidR="000D41E5" w:rsidRDefault="00116B25" w:rsidP="00F234F2">
      <w:pPr>
        <w:pStyle w:val="Paragraph"/>
      </w:pPr>
      <w:r w:rsidRPr="00116B25">
        <w:t xml:space="preserve">Detention conditions </w:t>
      </w:r>
      <w:r w:rsidR="00050BCB">
        <w:t xml:space="preserve">for </w:t>
      </w:r>
      <w:r w:rsidR="00833324">
        <w:t xml:space="preserve">women </w:t>
      </w:r>
      <w:r w:rsidRPr="00116B25">
        <w:t>reflect gender-based discrimination.</w:t>
      </w:r>
      <w:r w:rsidR="00E9550E">
        <w:t xml:space="preserve"> </w:t>
      </w:r>
      <w:r w:rsidR="007B722E">
        <w:t xml:space="preserve">These conditions </w:t>
      </w:r>
      <w:r w:rsidR="00121E94">
        <w:t xml:space="preserve">are markedly different than conditions for men, and have been described as </w:t>
      </w:r>
      <w:r w:rsidR="00D41AB8" w:rsidRPr="00D41AB8">
        <w:t>“muted,” “contained</w:t>
      </w:r>
      <w:r w:rsidR="00F44403">
        <w:t>,</w:t>
      </w:r>
      <w:r w:rsidR="00121E94">
        <w:t xml:space="preserve">” and </w:t>
      </w:r>
      <w:r w:rsidR="00D41AB8" w:rsidRPr="00D41AB8">
        <w:t>“restrictive</w:t>
      </w:r>
      <w:r w:rsidR="004B0638">
        <w:t>.</w:t>
      </w:r>
      <w:r w:rsidR="00D41AB8" w:rsidRPr="00D41AB8">
        <w:t>”</w:t>
      </w:r>
      <w:r w:rsidR="008B6371">
        <w:rPr>
          <w:rStyle w:val="FootnoteReference"/>
        </w:rPr>
        <w:footnoteReference w:id="62"/>
      </w:r>
      <w:r w:rsidR="00D41AB8" w:rsidRPr="00D41AB8">
        <w:t xml:space="preserve"> </w:t>
      </w:r>
      <w:r w:rsidR="00156553">
        <w:t>Detention f</w:t>
      </w:r>
      <w:r w:rsidR="00121E94">
        <w:t xml:space="preserve">acilities for women often have </w:t>
      </w:r>
      <w:r w:rsidR="00156553">
        <w:t xml:space="preserve">only </w:t>
      </w:r>
      <w:r w:rsidR="00121E94">
        <w:t>“small clinics” as opposed to hospitals with operating rooms that are available in facilities where men are detained</w:t>
      </w:r>
      <w:r w:rsidR="00BD4260">
        <w:t>.</w:t>
      </w:r>
      <w:r>
        <w:rPr>
          <w:rStyle w:val="FootnoteReference"/>
        </w:rPr>
        <w:footnoteReference w:id="63"/>
      </w:r>
      <w:r w:rsidR="00121E94">
        <w:t xml:space="preserve"> Women who are imprisoned generally “do not have access to libraries or sports” and therefore</w:t>
      </w:r>
      <w:r w:rsidR="00B5566B">
        <w:t>,</w:t>
      </w:r>
      <w:r w:rsidR="00121E94">
        <w:t xml:space="preserve"> “</w:t>
      </w:r>
      <w:r w:rsidR="00121E94" w:rsidRPr="00121E94">
        <w:t xml:space="preserve">unlike their male counterparts, </w:t>
      </w:r>
      <w:r w:rsidR="00121E94">
        <w:t xml:space="preserve">[they] </w:t>
      </w:r>
      <w:r w:rsidR="00121E94" w:rsidRPr="00121E94">
        <w:t>must rely upon prison wardens to retrieve books, and have fewer options for physical exercise</w:t>
      </w:r>
      <w:r w:rsidR="00121E94">
        <w:t>.”</w:t>
      </w:r>
      <w:r w:rsidR="00121E94" w:rsidRPr="00121E94">
        <w:rPr>
          <w:rStyle w:val="FootnoteReference"/>
        </w:rPr>
        <w:t xml:space="preserve"> </w:t>
      </w:r>
      <w:r w:rsidR="00121E94">
        <w:rPr>
          <w:rStyle w:val="FootnoteReference"/>
        </w:rPr>
        <w:footnoteReference w:id="64"/>
      </w:r>
      <w:r w:rsidR="009252B9">
        <w:t xml:space="preserve"> While male wards have access to physical labor and income-generating jobs such as factory work, women are limited to activities like embroidery and tailoring.</w:t>
      </w:r>
      <w:r w:rsidR="009252B9">
        <w:rPr>
          <w:rStyle w:val="FootnoteReference"/>
        </w:rPr>
        <w:footnoteReference w:id="65"/>
      </w:r>
    </w:p>
    <w:p w14:paraId="3D80E854" w14:textId="77777777" w:rsidR="004D2F42" w:rsidRPr="00EA0EEB" w:rsidRDefault="004D2F42" w:rsidP="004D2F42">
      <w:pPr>
        <w:pStyle w:val="Paragraph"/>
      </w:pPr>
      <w:r>
        <w:t>These conditions are contrary to principles of international law that provide for non-discrimination including on the basis of gender and the need for “</w:t>
      </w:r>
      <w:r w:rsidRPr="00DA1638">
        <w:t>substantial gender equality</w:t>
      </w:r>
      <w:r>
        <w:t>” in imprisonment.</w:t>
      </w:r>
      <w:r>
        <w:rPr>
          <w:rStyle w:val="FootnoteReference"/>
        </w:rPr>
        <w:footnoteReference w:id="66"/>
      </w:r>
      <w:r>
        <w:t xml:space="preserve"> In particular, detention facilities must provide at least one hour of “suitable exercise,” weather permitting, for any detained person “not employed in outdoor work,” and “[e]</w:t>
      </w:r>
      <w:r w:rsidRPr="00094A69">
        <w:t xml:space="preserve">very prison shall have in place a health-care service tasked with evaluating, promoting, protecting and improving the physical and mental health of prisoners, paying particular </w:t>
      </w:r>
      <w:r w:rsidRPr="00094A69">
        <w:lastRenderedPageBreak/>
        <w:t>attention to prisoners with special health-care needs or with health issues that hamper their rehabilitation</w:t>
      </w:r>
      <w:r>
        <w:t>.”</w:t>
      </w:r>
      <w:r>
        <w:rPr>
          <w:rStyle w:val="FootnoteReference"/>
        </w:rPr>
        <w:footnoteReference w:id="67"/>
      </w:r>
    </w:p>
    <w:p w14:paraId="7163DFA4" w14:textId="51F4D7FC" w:rsidR="00121E94" w:rsidRDefault="00121E94" w:rsidP="000E5D87">
      <w:pPr>
        <w:pStyle w:val="Paragraph"/>
      </w:pPr>
      <w:r>
        <w:t xml:space="preserve">Prison facilities </w:t>
      </w:r>
      <w:r w:rsidR="005F098C">
        <w:t xml:space="preserve">remain </w:t>
      </w:r>
      <w:r>
        <w:t xml:space="preserve">overcrowded. </w:t>
      </w:r>
      <w:r w:rsidR="00084E71">
        <w:t>T</w:t>
      </w:r>
      <w:r w:rsidR="000E5D87">
        <w:t xml:space="preserve">he </w:t>
      </w:r>
      <w:r w:rsidRPr="005F1C91">
        <w:t>Tihar Jail</w:t>
      </w:r>
      <w:r w:rsidR="000E5D87">
        <w:t xml:space="preserve">, </w:t>
      </w:r>
      <w:r w:rsidR="007A3CBB">
        <w:t xml:space="preserve">which houses women under sentence of death, is at double </w:t>
      </w:r>
      <w:r w:rsidR="000E5D87">
        <w:t>its official capacity.</w:t>
      </w:r>
      <w:r>
        <w:rPr>
          <w:rStyle w:val="FootnoteReference"/>
        </w:rPr>
        <w:footnoteReference w:id="68"/>
      </w:r>
    </w:p>
    <w:p w14:paraId="0270DF9E" w14:textId="13807366" w:rsidR="000629DA" w:rsidRDefault="00C43EAB" w:rsidP="00F234F2">
      <w:pPr>
        <w:pStyle w:val="Paragraph"/>
      </w:pPr>
      <w:r>
        <w:t xml:space="preserve">The 2016 Model Prison Manual imposes </w:t>
      </w:r>
      <w:r w:rsidR="003B2AE6">
        <w:t>traditional expectations upon</w:t>
      </w:r>
      <w:r>
        <w:t xml:space="preserve"> women </w:t>
      </w:r>
      <w:r w:rsidR="00734137">
        <w:t>through gender-biased restrictions</w:t>
      </w:r>
      <w:r w:rsidR="00C10A1D">
        <w:t xml:space="preserve">, including </w:t>
      </w:r>
      <w:r w:rsidR="000400E8">
        <w:t xml:space="preserve">a requirement that </w:t>
      </w:r>
      <w:r w:rsidR="00BD4260">
        <w:t>all</w:t>
      </w:r>
      <w:r w:rsidR="002461DE">
        <w:t xml:space="preserve"> </w:t>
      </w:r>
      <w:r w:rsidR="00437169">
        <w:t xml:space="preserve">women in detention </w:t>
      </w:r>
      <w:r w:rsidR="000400E8">
        <w:t xml:space="preserve">must </w:t>
      </w:r>
      <w:r w:rsidR="002461DE">
        <w:t xml:space="preserve">wear </w:t>
      </w:r>
      <w:r w:rsidR="006C0870">
        <w:t xml:space="preserve">traditional Indian attire for </w:t>
      </w:r>
      <w:r w:rsidR="003C3FE9">
        <w:t>their gender</w:t>
      </w:r>
      <w:r w:rsidR="006C0870">
        <w:t>.</w:t>
      </w:r>
      <w:r w:rsidR="00BD4260">
        <w:rPr>
          <w:rStyle w:val="FootnoteReference"/>
        </w:rPr>
        <w:footnoteReference w:id="69"/>
      </w:r>
    </w:p>
    <w:p w14:paraId="5BA5FD26" w14:textId="61F7BC81" w:rsidR="00085935" w:rsidRPr="00262845" w:rsidRDefault="00111994" w:rsidP="00040BA1">
      <w:pPr>
        <w:pStyle w:val="SectionHeading"/>
        <w:keepNext/>
      </w:pPr>
      <w:r w:rsidRPr="00262845">
        <w:t xml:space="preserve">Suggested </w:t>
      </w:r>
      <w:r w:rsidR="00EA0EEB" w:rsidRPr="00262845">
        <w:t>questions</w:t>
      </w:r>
      <w:r w:rsidR="00255789" w:rsidRPr="00262845">
        <w:t xml:space="preserve"> for</w:t>
      </w:r>
      <w:r w:rsidR="000A66B8" w:rsidRPr="00262845">
        <w:t xml:space="preserve"> the Government of </w:t>
      </w:r>
      <w:r w:rsidR="00F10000">
        <w:t>India</w:t>
      </w:r>
    </w:p>
    <w:p w14:paraId="09ED740C" w14:textId="4BBA5864" w:rsidR="00111994" w:rsidRDefault="0031194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pose the following questions to the Government of </w:t>
      </w:r>
      <w:r w:rsidR="001C506C">
        <w:rPr>
          <w:rStyle w:val="ParagraphChar"/>
        </w:rPr>
        <w:t>India</w:t>
      </w:r>
      <w:r w:rsidR="00255789">
        <w:t>:</w:t>
      </w:r>
    </w:p>
    <w:p w14:paraId="0F7A5B08" w14:textId="72A4A4FA" w:rsidR="00AD2FA7" w:rsidRDefault="00AD2FA7" w:rsidP="001A0800">
      <w:pPr>
        <w:pStyle w:val="BulletRecommendationsQuestions"/>
      </w:pPr>
      <w:r>
        <w:t xml:space="preserve">Provide </w:t>
      </w:r>
      <w:r w:rsidR="00DD53BB">
        <w:t xml:space="preserve">comprehensive </w:t>
      </w:r>
      <w:r>
        <w:t xml:space="preserve">data about women sentenced to death during the reporting period, disaggregated by </w:t>
      </w:r>
      <w:r w:rsidR="00AD4955">
        <w:t xml:space="preserve">age and occupation at the time of arrest, </w:t>
      </w:r>
      <w:r w:rsidR="006B636B">
        <w:t>religion and community affiliation,</w:t>
      </w:r>
      <w:r w:rsidR="00474A3F">
        <w:t xml:space="preserve"> marital status, age at</w:t>
      </w:r>
      <w:r w:rsidR="00CE1D5A">
        <w:t xml:space="preserve"> time of marriage (if applicable),</w:t>
      </w:r>
      <w:r w:rsidR="006B636B">
        <w:t xml:space="preserve"> </w:t>
      </w:r>
      <w:r w:rsidR="00AD4955">
        <w:t>highest level of educational attainment, crime of conviction, relationship to any codefendants or victims</w:t>
      </w:r>
      <w:r w:rsidR="00E5750A">
        <w:t>, status of any appeals or requests for pardon or clemency</w:t>
      </w:r>
      <w:r w:rsidR="006D462D">
        <w:t>, and current sentence</w:t>
      </w:r>
      <w:r w:rsidR="00E5750A">
        <w:t xml:space="preserve">. </w:t>
      </w:r>
    </w:p>
    <w:p w14:paraId="50121806" w14:textId="092808DD" w:rsidR="0077221A" w:rsidRDefault="0077221A" w:rsidP="001A0800">
      <w:pPr>
        <w:pStyle w:val="BulletRecommendationsQuestions"/>
      </w:pPr>
      <w:r>
        <w:t xml:space="preserve">Provide an update on any efforts to implement recommendations from the </w:t>
      </w:r>
      <w:r w:rsidRPr="005B65E9">
        <w:rPr>
          <w:rStyle w:val="ParagraphChar"/>
        </w:rPr>
        <w:t>Justice Verma Committee</w:t>
      </w:r>
      <w:r>
        <w:rPr>
          <w:rStyle w:val="ParagraphChar"/>
        </w:rPr>
        <w:t>.</w:t>
      </w:r>
    </w:p>
    <w:p w14:paraId="7589B0A5" w14:textId="4BE9AA1A" w:rsidR="00255789" w:rsidRDefault="00D76BBA" w:rsidP="001A0800">
      <w:pPr>
        <w:pStyle w:val="BulletRecommendationsQuestions"/>
      </w:pPr>
      <w:r>
        <w:t>Describe any efforts to undertake a national dialogue about the death penalty and its alternatives</w:t>
      </w:r>
      <w:r w:rsidR="00B67C49">
        <w:t>, including examination of the possibility of a formal moratorium on executions.</w:t>
      </w:r>
    </w:p>
    <w:p w14:paraId="2474F24A" w14:textId="7A6DB003" w:rsidR="002545F9" w:rsidRDefault="00D14FA3" w:rsidP="002545F9">
      <w:pPr>
        <w:pStyle w:val="BulletRecommendationsQuestions"/>
      </w:pPr>
      <w:r>
        <w:t>To what extent do courts take into consideration gender-specific defenses</w:t>
      </w:r>
      <w:r w:rsidR="007B506C">
        <w:t xml:space="preserve"> and gender-specific mitigation when women are tried for capital crimes, including </w:t>
      </w:r>
      <w:r w:rsidR="00D34909">
        <w:t>gender discrimin</w:t>
      </w:r>
      <w:r w:rsidR="009E57BE">
        <w:t>ation and</w:t>
      </w:r>
      <w:r w:rsidR="002545F9">
        <w:t xml:space="preserve"> gender-based violence against women, coercive control, and dependency. What steps,</w:t>
      </w:r>
      <w:r w:rsidR="002545F9" w:rsidRPr="002545F9">
        <w:t xml:space="preserve"> </w:t>
      </w:r>
      <w:r w:rsidR="002545F9">
        <w:t>if any, has the State Party taken to codify such gender-specific defenses and mitigation</w:t>
      </w:r>
      <w:r w:rsidR="00E148E3">
        <w:t>?</w:t>
      </w:r>
    </w:p>
    <w:p w14:paraId="1AB89CE1" w14:textId="3EF5CD8D" w:rsidR="002545F9" w:rsidRDefault="00E148E3" w:rsidP="002545F9">
      <w:pPr>
        <w:pStyle w:val="BulletRecommendationsQuestions"/>
        <w:rPr>
          <w:rStyle w:val="ParagraphChar"/>
        </w:rPr>
      </w:pPr>
      <w:r>
        <w:t>What steps</w:t>
      </w:r>
      <w:r w:rsidR="004C2D3B">
        <w:t xml:space="preserve"> </w:t>
      </w:r>
      <w:r>
        <w:t>has</w:t>
      </w:r>
      <w:r w:rsidR="002545F9">
        <w:t xml:space="preserve"> the </w:t>
      </w:r>
      <w:r>
        <w:t xml:space="preserve">State Party taken to codify sentencing guidance </w:t>
      </w:r>
      <w:r>
        <w:rPr>
          <w:rStyle w:val="ParagraphChar"/>
        </w:rPr>
        <w:t>for women who have experienced protracted intimate-partner violence in the context of “sustained provocation”</w:t>
      </w:r>
      <w:r w:rsidR="007B2822">
        <w:rPr>
          <w:rStyle w:val="ParagraphChar"/>
        </w:rPr>
        <w:t>?</w:t>
      </w:r>
    </w:p>
    <w:p w14:paraId="59F2BA03" w14:textId="77777777" w:rsidR="005F098C" w:rsidRDefault="009A5D1A" w:rsidP="001C3345">
      <w:pPr>
        <w:pStyle w:val="BulletRecommendationsQuestions"/>
      </w:pPr>
      <w:r>
        <w:t>What measures has the State Party taken to address ge</w:t>
      </w:r>
      <w:r w:rsidR="00E454AB">
        <w:t xml:space="preserve">nder discriminatory practices </w:t>
      </w:r>
      <w:r w:rsidR="00190345">
        <w:t>involving social norms and caste systems</w:t>
      </w:r>
      <w:r w:rsidR="009B78FD">
        <w:t>?</w:t>
      </w:r>
      <w:r w:rsidR="00190345">
        <w:t xml:space="preserve"> </w:t>
      </w:r>
    </w:p>
    <w:p w14:paraId="778EF46C" w14:textId="7451A323" w:rsidR="009A5D1A" w:rsidRDefault="009B78FD" w:rsidP="001C3345">
      <w:pPr>
        <w:pStyle w:val="BulletRecommendationsQuestions"/>
      </w:pPr>
      <w:r>
        <w:lastRenderedPageBreak/>
        <w:t xml:space="preserve">What measures has the State Party taken to </w:t>
      </w:r>
      <w:r w:rsidR="00DB4BEE">
        <w:t>encourage</w:t>
      </w:r>
      <w:r w:rsidR="007D4088">
        <w:t xml:space="preserve"> women to file police reports </w:t>
      </w:r>
      <w:r w:rsidR="00F46AA4">
        <w:t xml:space="preserve">about </w:t>
      </w:r>
      <w:r w:rsidR="00E454AB">
        <w:t>gender-based violence</w:t>
      </w:r>
      <w:r w:rsidR="00DB4BEE">
        <w:t>, including sexual assault and rape</w:t>
      </w:r>
      <w:r w:rsidR="002061C3">
        <w:t xml:space="preserve">, and to </w:t>
      </w:r>
      <w:r w:rsidR="00F46AA4">
        <w:t xml:space="preserve">protect </w:t>
      </w:r>
      <w:r w:rsidR="002061C3">
        <w:t xml:space="preserve">complainants </w:t>
      </w:r>
      <w:r w:rsidR="00F46AA4">
        <w:t xml:space="preserve">from </w:t>
      </w:r>
      <w:r w:rsidR="002061C3">
        <w:t>retribution or other adverse consequences</w:t>
      </w:r>
      <w:r w:rsidR="00DB4BEE">
        <w:t>?</w:t>
      </w:r>
    </w:p>
    <w:p w14:paraId="44DDAF54" w14:textId="257A5E76" w:rsidR="005F098C" w:rsidRDefault="001C3345" w:rsidP="001C3345">
      <w:pPr>
        <w:pStyle w:val="BulletRecommendationsQuestions"/>
      </w:pPr>
      <w:r>
        <w:t xml:space="preserve">What measures has the State Party implemented to ensure that all </w:t>
      </w:r>
      <w:r w:rsidR="000F0115">
        <w:t>judges</w:t>
      </w:r>
      <w:r>
        <w:t xml:space="preserve"> responsible for sentencing in capital cases receive comprehensive training on gender-based discrimination, domestic violence, and tactics of coercive control that may influence or prompt a woman to commit a death-eligible offense</w:t>
      </w:r>
      <w:r w:rsidR="004C350E">
        <w:t xml:space="preserve">, and </w:t>
      </w:r>
      <w:r w:rsidR="00125B7A">
        <w:t>to</w:t>
      </w:r>
      <w:r w:rsidR="006A57BB">
        <w:t xml:space="preserve"> ensure that women in conflict with the law do not face </w:t>
      </w:r>
      <w:r w:rsidR="004C350E">
        <w:t xml:space="preserve">gender stereotypes </w:t>
      </w:r>
      <w:r w:rsidR="006A57BB">
        <w:t xml:space="preserve">from </w:t>
      </w:r>
      <w:r w:rsidR="0026149F">
        <w:t xml:space="preserve">judges or prosecutors </w:t>
      </w:r>
      <w:r w:rsidR="006A57BB">
        <w:t xml:space="preserve">at trial or </w:t>
      </w:r>
      <w:r w:rsidR="0026149F">
        <w:t xml:space="preserve">during </w:t>
      </w:r>
      <w:r w:rsidR="006A57BB">
        <w:t>sentencing</w:t>
      </w:r>
      <w:r>
        <w:t>?</w:t>
      </w:r>
      <w:r w:rsidR="0039554C">
        <w:t xml:space="preserve"> </w:t>
      </w:r>
    </w:p>
    <w:p w14:paraId="66FA50B1" w14:textId="77777777" w:rsidR="00535630" w:rsidRDefault="00535630" w:rsidP="00535630">
      <w:pPr>
        <w:pStyle w:val="BulletRecommendationsQuestions"/>
      </w:pPr>
      <w:r>
        <w:t>To what extent do law enforcement, prosecutors, or defense counsel in capital cases receive training on gender sensitivity as it intersects with criminal procedure and sentencing outcomes?</w:t>
      </w:r>
    </w:p>
    <w:p w14:paraId="01BF6770" w14:textId="6534A09B" w:rsidR="00E148E3" w:rsidRDefault="00C84F1D" w:rsidP="002545F9">
      <w:pPr>
        <w:pStyle w:val="BulletRecommendationsQuestions"/>
      </w:pPr>
      <w:r>
        <w:t>What steps</w:t>
      </w:r>
      <w:r w:rsidR="0026149F">
        <w:t xml:space="preserve"> </w:t>
      </w:r>
      <w:r>
        <w:t xml:space="preserve">has the State Party taken to amend </w:t>
      </w:r>
      <w:r w:rsidR="00C82B1F">
        <w:t xml:space="preserve">its penal code to </w:t>
      </w:r>
      <w:r w:rsidR="0026149F">
        <w:t xml:space="preserve">ensure that </w:t>
      </w:r>
      <w:r w:rsidR="00C82B1F">
        <w:t xml:space="preserve">marital rape </w:t>
      </w:r>
      <w:r w:rsidR="004A20F4">
        <w:t xml:space="preserve">is </w:t>
      </w:r>
      <w:r w:rsidR="00C82B1F">
        <w:t>a criminal offense</w:t>
      </w:r>
      <w:r w:rsidR="004A20F4">
        <w:t xml:space="preserve"> regardless of the victim’s age</w:t>
      </w:r>
      <w:r w:rsidR="00B82AB3">
        <w:t>?</w:t>
      </w:r>
    </w:p>
    <w:p w14:paraId="73DAC7C7" w14:textId="674F6534" w:rsidR="00142C15" w:rsidRDefault="00142C15" w:rsidP="002545F9">
      <w:pPr>
        <w:pStyle w:val="BulletRecommendationsQuestions"/>
      </w:pPr>
      <w:r>
        <w:t>How do authorities ensure that all women accused of capital crimes have access to free and effective legal representation by attorneys who specialize in capital cases, that such women have access to counsel at all times, from the start of the investigation through any appeals, and that the defense team has sufficient funding to conduct a thorough investigation and to secure relevant expert witnesses, particularly regarding gender-specific defenses?</w:t>
      </w:r>
    </w:p>
    <w:p w14:paraId="6A90142C" w14:textId="1E558666" w:rsidR="00E50921" w:rsidRDefault="00E50921" w:rsidP="002545F9">
      <w:pPr>
        <w:pStyle w:val="BulletRecommendationsQuestions"/>
      </w:pPr>
      <w:r>
        <w:t>What training does the Government provide to defense counsel who take on capital cases regarding gender-specific mitigation and how to raise</w:t>
      </w:r>
      <w:r w:rsidR="00B4186E">
        <w:t xml:space="preserve"> issues relating to</w:t>
      </w:r>
      <w:r>
        <w:t xml:space="preserve"> discrimination against </w:t>
      </w:r>
      <w:r w:rsidR="00B4186E">
        <w:t>women</w:t>
      </w:r>
      <w:r>
        <w:t>, when appropriate?</w:t>
      </w:r>
    </w:p>
    <w:p w14:paraId="5B1E7A9F" w14:textId="7676BE95" w:rsidR="00E60490" w:rsidRDefault="00C01E14" w:rsidP="002545F9">
      <w:pPr>
        <w:pStyle w:val="BulletRecommendationsQuestions"/>
      </w:pPr>
      <w:r>
        <w:t xml:space="preserve">What steps is the State Party taking to ensure that women in detention have access to </w:t>
      </w:r>
      <w:r w:rsidR="008C284E">
        <w:t>recreation, exercise,</w:t>
      </w:r>
      <w:r w:rsidR="001E30F5">
        <w:t xml:space="preserve"> reading material,</w:t>
      </w:r>
      <w:r w:rsidR="008C284E">
        <w:t xml:space="preserve"> and health care on an equal footing with men</w:t>
      </w:r>
      <w:r w:rsidR="001E30F5">
        <w:t>?</w:t>
      </w:r>
    </w:p>
    <w:p w14:paraId="29BAA357" w14:textId="1C174E03" w:rsidR="00D04261" w:rsidRDefault="00D04261" w:rsidP="002545F9">
      <w:pPr>
        <w:pStyle w:val="BulletRecommendationsQuestions"/>
      </w:pPr>
      <w:r>
        <w:t xml:space="preserve">What measures has the State Party implemented to ensure that all prison authorities adopt gender-sensitive policies in relation to women’s detention, based on the </w:t>
      </w:r>
      <w:r w:rsidR="00094A69">
        <w:t>principles of international law including the Bangkok Rules</w:t>
      </w:r>
      <w:r>
        <w:t>, ensuring women’s safety and security pre-trial, during admission to any detention facility, and while incarcerated?</w:t>
      </w:r>
    </w:p>
    <w:p w14:paraId="0C5D401F" w14:textId="015AEFA3" w:rsidR="009041EB" w:rsidRDefault="009041EB" w:rsidP="002545F9">
      <w:pPr>
        <w:pStyle w:val="BulletRecommendationsQuestions"/>
      </w:pPr>
      <w:r>
        <w:t xml:space="preserve">To what extent may women in detention facilities wear </w:t>
      </w:r>
      <w:r w:rsidR="00CB5468">
        <w:t>clothing that is appropriate for their own culture and religion?</w:t>
      </w:r>
    </w:p>
    <w:p w14:paraId="3E4AA44D" w14:textId="6716AB89" w:rsidR="00F51AFD" w:rsidRPr="00E114C5" w:rsidRDefault="00D04261" w:rsidP="002061C3">
      <w:pPr>
        <w:pStyle w:val="BulletRecommendationsQuestions"/>
      </w:pPr>
      <w:r>
        <w:t>Can civil society organizations conduct unannounced, independent visits to all detention facilities where women under sentence of death are living to monitor detention conditions?</w:t>
      </w:r>
    </w:p>
    <w:sectPr w:rsidR="00F51AFD" w:rsidRPr="00E114C5" w:rsidSect="002D67A9">
      <w:headerReference w:type="default" r:id="rId11"/>
      <w:footerReference w:type="default" r:id="rId12"/>
      <w:headerReference w:type="first" r:id="rId13"/>
      <w:footerReference w:type="first" r:id="rId14"/>
      <w:pgSz w:w="12240" w:h="15840" w:code="1"/>
      <w:pgMar w:top="1440" w:right="1440" w:bottom="1440" w:left="1440" w:header="72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645AD" w14:textId="77777777" w:rsidR="005D7913" w:rsidRDefault="005D7913">
      <w:r>
        <w:separator/>
      </w:r>
    </w:p>
  </w:endnote>
  <w:endnote w:type="continuationSeparator" w:id="0">
    <w:p w14:paraId="04CA82B7" w14:textId="77777777" w:rsidR="005D7913" w:rsidRDefault="005D7913">
      <w:r>
        <w:continuationSeparator/>
      </w:r>
    </w:p>
  </w:endnote>
  <w:endnote w:type="continuationNotice" w:id="1">
    <w:p w14:paraId="2EC38FE9" w14:textId="77777777" w:rsidR="005D7913" w:rsidRDefault="005D79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F958" w14:textId="75749196" w:rsidR="00804604" w:rsidRPr="002D67A9" w:rsidRDefault="00804604" w:rsidP="002D67A9">
    <w:pPr>
      <w:pStyle w:val="Footer"/>
      <w:jc w:val="center"/>
    </w:pPr>
    <w:r>
      <w:fldChar w:fldCharType="begin"/>
    </w:r>
    <w:r>
      <w:instrText xml:space="preserve"> PAGE   \* MERGEFORMAT </w:instrText>
    </w:r>
    <w:r>
      <w:fldChar w:fldCharType="separate"/>
    </w:r>
    <w:r w:rsidR="00DD3996">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41E70"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E372C" w14:textId="77777777" w:rsidR="005D7913" w:rsidRDefault="005D7913">
      <w:r>
        <w:separator/>
      </w:r>
    </w:p>
  </w:footnote>
  <w:footnote w:type="continuationSeparator" w:id="0">
    <w:p w14:paraId="1602C765" w14:textId="77777777" w:rsidR="005D7913" w:rsidRDefault="005D7913">
      <w:r>
        <w:continuationSeparator/>
      </w:r>
    </w:p>
  </w:footnote>
  <w:footnote w:type="continuationNotice" w:id="1">
    <w:p w14:paraId="68460FAA" w14:textId="77777777" w:rsidR="005D7913" w:rsidRDefault="005D7913"/>
  </w:footnote>
  <w:footnote w:id="2">
    <w:p w14:paraId="64FA50ED" w14:textId="1EFB2889" w:rsidR="005335B9" w:rsidRPr="00273F93" w:rsidRDefault="005335B9" w:rsidP="008D206A">
      <w:pPr>
        <w:pStyle w:val="FootnoteText"/>
        <w:rPr>
          <w:sz w:val="20"/>
          <w:szCs w:val="20"/>
        </w:rPr>
      </w:pPr>
      <w:r w:rsidRPr="00273F93">
        <w:rPr>
          <w:rStyle w:val="FootnoteReference"/>
          <w:sz w:val="20"/>
          <w:szCs w:val="20"/>
        </w:rPr>
        <w:footnoteRef/>
      </w:r>
      <w:r w:rsidRPr="00273F93">
        <w:rPr>
          <w:sz w:val="20"/>
          <w:szCs w:val="20"/>
        </w:rPr>
        <w:t xml:space="preserve"> </w:t>
      </w:r>
      <w:r w:rsidR="00BA5832" w:rsidRPr="00273F93">
        <w:rPr>
          <w:sz w:val="20"/>
          <w:szCs w:val="20"/>
        </w:rPr>
        <w:t xml:space="preserve">Project39A, National Law University, Delhi, Death Penalty in India - Annual Statistics Report 2024 (2025) at 6 (2024); </w:t>
      </w:r>
      <w:r w:rsidR="00BA5832" w:rsidRPr="00273F93">
        <w:rPr>
          <w:i/>
          <w:iCs/>
          <w:sz w:val="20"/>
          <w:szCs w:val="20"/>
        </w:rPr>
        <w:t>see also</w:t>
      </w:r>
      <w:r w:rsidRPr="00273F93">
        <w:rPr>
          <w:sz w:val="20"/>
          <w:szCs w:val="20"/>
        </w:rPr>
        <w:t xml:space="preserve"> Bharatiya Nyaya Sanhita, 2023.</w:t>
      </w:r>
    </w:p>
  </w:footnote>
  <w:footnote w:id="3">
    <w:p w14:paraId="200B8EC2" w14:textId="016502DC" w:rsidR="007F302D" w:rsidRPr="00273F93" w:rsidRDefault="007F302D" w:rsidP="008D206A">
      <w:pPr>
        <w:pStyle w:val="FootnoteText"/>
        <w:rPr>
          <w:sz w:val="20"/>
          <w:szCs w:val="20"/>
        </w:rPr>
      </w:pPr>
      <w:r w:rsidRPr="00273F93">
        <w:rPr>
          <w:rStyle w:val="FootnoteReference"/>
          <w:sz w:val="20"/>
          <w:szCs w:val="20"/>
        </w:rPr>
        <w:footnoteRef/>
      </w:r>
      <w:r w:rsidRPr="00273F93">
        <w:rPr>
          <w:sz w:val="20"/>
          <w:szCs w:val="20"/>
        </w:rPr>
        <w:t xml:space="preserve"> </w:t>
      </w:r>
      <w:r w:rsidR="00ED7392">
        <w:rPr>
          <w:sz w:val="20"/>
          <w:szCs w:val="20"/>
        </w:rPr>
        <w:t>Ibid.</w:t>
      </w:r>
    </w:p>
  </w:footnote>
  <w:footnote w:id="4">
    <w:p w14:paraId="3129D8C9" w14:textId="6845C99A" w:rsidR="00C17207" w:rsidRPr="00273F93" w:rsidRDefault="00C17207" w:rsidP="008D206A">
      <w:pPr>
        <w:pStyle w:val="FootnoteText"/>
        <w:rPr>
          <w:sz w:val="20"/>
          <w:szCs w:val="20"/>
        </w:rPr>
      </w:pPr>
      <w:r w:rsidRPr="00273F93">
        <w:rPr>
          <w:rStyle w:val="FootnoteReference"/>
          <w:sz w:val="20"/>
          <w:szCs w:val="20"/>
        </w:rPr>
        <w:footnoteRef/>
      </w:r>
      <w:r w:rsidRPr="00273F93">
        <w:rPr>
          <w:sz w:val="20"/>
          <w:szCs w:val="20"/>
        </w:rPr>
        <w:t xml:space="preserve"> </w:t>
      </w:r>
      <w:r w:rsidR="00ED7392">
        <w:rPr>
          <w:sz w:val="20"/>
          <w:szCs w:val="20"/>
        </w:rPr>
        <w:t>Ibid.</w:t>
      </w:r>
    </w:p>
  </w:footnote>
  <w:footnote w:id="5">
    <w:p w14:paraId="3D1E2FB8" w14:textId="5853F6B8" w:rsidR="00445544" w:rsidRPr="00273F93" w:rsidRDefault="00445544" w:rsidP="008D206A">
      <w:pPr>
        <w:pStyle w:val="FootnoteText"/>
        <w:rPr>
          <w:sz w:val="20"/>
          <w:szCs w:val="20"/>
        </w:rPr>
      </w:pPr>
      <w:r w:rsidRPr="00273F93">
        <w:rPr>
          <w:rStyle w:val="FootnoteReference"/>
          <w:sz w:val="20"/>
          <w:szCs w:val="20"/>
        </w:rPr>
        <w:footnoteRef/>
      </w:r>
      <w:r w:rsidRPr="00273F93">
        <w:rPr>
          <w:sz w:val="20"/>
          <w:szCs w:val="20"/>
        </w:rPr>
        <w:t xml:space="preserve"> Committee on the Elimination of Discrimination against Women, </w:t>
      </w:r>
      <w:r w:rsidRPr="00273F93">
        <w:rPr>
          <w:i/>
          <w:iCs/>
          <w:sz w:val="20"/>
          <w:szCs w:val="20"/>
        </w:rPr>
        <w:t>Concluding observations on the combined fourth and fifth periodic reports of India</w:t>
      </w:r>
      <w:r w:rsidRPr="00273F93">
        <w:rPr>
          <w:sz w:val="20"/>
          <w:szCs w:val="20"/>
        </w:rPr>
        <w:t>, UN Doc. No. CEDAW/C/IND/CO/4-5, ¶¶ 10, 38 (Jul. 24, 2014).</w:t>
      </w:r>
    </w:p>
  </w:footnote>
  <w:footnote w:id="6">
    <w:p w14:paraId="475275E8" w14:textId="2CA5A1FE" w:rsidR="00445544" w:rsidRPr="00273F93" w:rsidRDefault="00445544" w:rsidP="008D206A">
      <w:pPr>
        <w:pStyle w:val="FootnoteText"/>
        <w:rPr>
          <w:sz w:val="20"/>
          <w:szCs w:val="20"/>
        </w:rPr>
      </w:pPr>
      <w:r w:rsidRPr="00273F93">
        <w:rPr>
          <w:rStyle w:val="FootnoteReference"/>
          <w:sz w:val="20"/>
          <w:szCs w:val="20"/>
        </w:rPr>
        <w:footnoteRef/>
      </w:r>
      <w:r w:rsidRPr="00273F93">
        <w:rPr>
          <w:sz w:val="20"/>
          <w:szCs w:val="20"/>
        </w:rPr>
        <w:t xml:space="preserve"> </w:t>
      </w:r>
      <w:r w:rsidR="00EB4F0F">
        <w:rPr>
          <w:i/>
          <w:iCs/>
          <w:sz w:val="20"/>
          <w:szCs w:val="20"/>
        </w:rPr>
        <w:t>Id.</w:t>
      </w:r>
      <w:r w:rsidR="00EB4F0F">
        <w:rPr>
          <w:sz w:val="20"/>
          <w:szCs w:val="20"/>
        </w:rPr>
        <w:t xml:space="preserve"> </w:t>
      </w:r>
      <w:r w:rsidRPr="00273F93">
        <w:rPr>
          <w:sz w:val="20"/>
          <w:szCs w:val="20"/>
        </w:rPr>
        <w:t>¶ 11</w:t>
      </w:r>
      <w:r w:rsidR="009A3827" w:rsidRPr="00273F93">
        <w:rPr>
          <w:sz w:val="20"/>
          <w:szCs w:val="20"/>
        </w:rPr>
        <w:t>.</w:t>
      </w:r>
    </w:p>
  </w:footnote>
  <w:footnote w:id="7">
    <w:p w14:paraId="1A7C5427" w14:textId="69445487" w:rsidR="00445544" w:rsidRPr="00273F93" w:rsidRDefault="00445544" w:rsidP="008D206A">
      <w:pPr>
        <w:pStyle w:val="FootnoteText"/>
        <w:rPr>
          <w:sz w:val="20"/>
          <w:szCs w:val="20"/>
        </w:rPr>
      </w:pPr>
      <w:r w:rsidRPr="00273F93">
        <w:rPr>
          <w:rStyle w:val="FootnoteReference"/>
          <w:sz w:val="20"/>
          <w:szCs w:val="20"/>
        </w:rPr>
        <w:footnoteRef/>
      </w:r>
      <w:r w:rsidRPr="00273F93">
        <w:rPr>
          <w:sz w:val="20"/>
          <w:szCs w:val="20"/>
        </w:rPr>
        <w:t xml:space="preserve"> Committee on Amendments to Criminal Law (Justice J.S. Verma, Chairman), Report of the Committee on Amendments to Criminal Law (Jan. 23, 2013) at 245-2540, </w:t>
      </w:r>
      <w:r w:rsidRPr="00273F93">
        <w:rPr>
          <w:i/>
          <w:iCs/>
          <w:sz w:val="20"/>
          <w:szCs w:val="20"/>
        </w:rPr>
        <w:t xml:space="preserve">available at </w:t>
      </w:r>
      <w:r w:rsidR="009A3827" w:rsidRPr="00273F93">
        <w:rPr>
          <w:sz w:val="20"/>
          <w:szCs w:val="20"/>
        </w:rPr>
        <w:t>https://adrindia.org/sites/default/files/</w:t>
      </w:r>
      <w:r w:rsidR="009A3827" w:rsidRPr="00273F93">
        <w:rPr>
          <w:sz w:val="20"/>
          <w:szCs w:val="20"/>
        </w:rPr>
        <w:br/>
        <w:t>Justice_Verma_Amendmenttocriminallaw_Jan2013.pdf.</w:t>
      </w:r>
    </w:p>
  </w:footnote>
  <w:footnote w:id="8">
    <w:p w14:paraId="5DC69F4A" w14:textId="7D6BB547" w:rsidR="00445544" w:rsidRPr="00273F93" w:rsidRDefault="00445544" w:rsidP="008D206A">
      <w:pPr>
        <w:pStyle w:val="FootnoteText"/>
        <w:rPr>
          <w:sz w:val="20"/>
          <w:szCs w:val="20"/>
        </w:rPr>
      </w:pPr>
      <w:r w:rsidRPr="00273F93">
        <w:rPr>
          <w:rStyle w:val="FootnoteReference"/>
          <w:sz w:val="20"/>
          <w:szCs w:val="20"/>
        </w:rPr>
        <w:footnoteRef/>
      </w:r>
      <w:r w:rsidRPr="00273F93">
        <w:rPr>
          <w:sz w:val="20"/>
          <w:szCs w:val="20"/>
        </w:rPr>
        <w:t xml:space="preserve"> Project39A, National Law University, Delhi, Death Penalty in India - Annual Statistics Report 2024 (2025) at 8, 19, 78</w:t>
      </w:r>
      <w:r w:rsidR="009A3827" w:rsidRPr="00273F93">
        <w:rPr>
          <w:sz w:val="20"/>
          <w:szCs w:val="20"/>
        </w:rPr>
        <w:t>.</w:t>
      </w:r>
    </w:p>
  </w:footnote>
  <w:footnote w:id="9">
    <w:p w14:paraId="0DA71329" w14:textId="281656C3" w:rsidR="00445544" w:rsidRPr="00273F93" w:rsidRDefault="00445544"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4, 7, </w:t>
      </w:r>
      <w:r w:rsidRPr="00273F93">
        <w:rPr>
          <w:i/>
          <w:iCs/>
          <w:sz w:val="20"/>
          <w:szCs w:val="20"/>
        </w:rPr>
        <w:t>available at</w:t>
      </w:r>
      <w:r w:rsidRPr="00273F93">
        <w:rPr>
          <w:sz w:val="20"/>
          <w:szCs w:val="20"/>
        </w:rPr>
        <w:t xml:space="preserve"> https://dpw.lawschool.cornell.edu/wp-content/uploads/2019/12/Judged-More-Than-Her-Crime.pdf</w:t>
      </w:r>
      <w:r w:rsidR="009A3827" w:rsidRPr="00273F93">
        <w:rPr>
          <w:sz w:val="20"/>
          <w:szCs w:val="20"/>
        </w:rPr>
        <w:t>.</w:t>
      </w:r>
    </w:p>
  </w:footnote>
  <w:footnote w:id="10">
    <w:p w14:paraId="74B8CDF7" w14:textId="7C0B34F4" w:rsidR="00783DA7" w:rsidRPr="00273F93" w:rsidRDefault="00783DA7" w:rsidP="008D206A">
      <w:pPr>
        <w:pStyle w:val="FootnoteText"/>
        <w:rPr>
          <w:sz w:val="20"/>
          <w:szCs w:val="20"/>
        </w:rPr>
      </w:pPr>
      <w:r w:rsidRPr="00273F93">
        <w:rPr>
          <w:rStyle w:val="FootnoteReference"/>
          <w:sz w:val="20"/>
          <w:szCs w:val="20"/>
        </w:rPr>
        <w:footnoteRef/>
      </w:r>
      <w:r w:rsidRPr="00273F93">
        <w:rPr>
          <w:sz w:val="20"/>
          <w:szCs w:val="20"/>
        </w:rPr>
        <w:t xml:space="preserve"> Project39A, National Law University, Delhi, Death Penalty in India - Annual Statistics Report 2024 (2025) at 6</w:t>
      </w:r>
      <w:r w:rsidR="00486C60" w:rsidRPr="00273F93">
        <w:rPr>
          <w:sz w:val="20"/>
          <w:szCs w:val="20"/>
        </w:rPr>
        <w:t>.</w:t>
      </w:r>
    </w:p>
  </w:footnote>
  <w:footnote w:id="11">
    <w:p w14:paraId="5697E31F" w14:textId="54FB64BB" w:rsidR="00333047" w:rsidRPr="00273F93" w:rsidRDefault="00333047" w:rsidP="008D206A">
      <w:pPr>
        <w:pStyle w:val="FootnoteText"/>
        <w:rPr>
          <w:sz w:val="20"/>
          <w:szCs w:val="20"/>
        </w:rPr>
      </w:pPr>
      <w:r w:rsidRPr="00273F93">
        <w:rPr>
          <w:rStyle w:val="FootnoteReference"/>
          <w:sz w:val="20"/>
          <w:szCs w:val="20"/>
        </w:rPr>
        <w:footnoteRef/>
      </w:r>
      <w:r w:rsidRPr="00273F93">
        <w:rPr>
          <w:sz w:val="20"/>
          <w:szCs w:val="20"/>
        </w:rPr>
        <w:t xml:space="preserve"> </w:t>
      </w:r>
      <w:r w:rsidR="003E58A6" w:rsidRPr="00273F93">
        <w:rPr>
          <w:sz w:val="20"/>
          <w:szCs w:val="20"/>
        </w:rPr>
        <w:t>Bachan Singh v. State of Punjab (1980) 2 SCC 684</w:t>
      </w:r>
      <w:r w:rsidR="00783DA7" w:rsidRPr="00273F93">
        <w:rPr>
          <w:sz w:val="20"/>
          <w:szCs w:val="20"/>
        </w:rPr>
        <w:t xml:space="preserve"> (May 9, 1980)</w:t>
      </w:r>
      <w:r w:rsidR="00544AB0" w:rsidRPr="00273F93">
        <w:rPr>
          <w:sz w:val="20"/>
          <w:szCs w:val="20"/>
        </w:rPr>
        <w:t xml:space="preserve"> ¶ 224, </w:t>
      </w:r>
      <w:r w:rsidR="00544AB0" w:rsidRPr="00273F93">
        <w:rPr>
          <w:i/>
          <w:iCs/>
          <w:sz w:val="20"/>
          <w:szCs w:val="20"/>
        </w:rPr>
        <w:t xml:space="preserve">available at </w:t>
      </w:r>
      <w:r w:rsidR="00544AB0" w:rsidRPr="00273F93">
        <w:rPr>
          <w:sz w:val="20"/>
          <w:szCs w:val="20"/>
        </w:rPr>
        <w:t>https://indiankanoon.org/doc/1235094/</w:t>
      </w:r>
      <w:r w:rsidR="00CC7B2B" w:rsidRPr="00273F93">
        <w:rPr>
          <w:sz w:val="20"/>
          <w:szCs w:val="20"/>
        </w:rPr>
        <w:t>.</w:t>
      </w:r>
    </w:p>
  </w:footnote>
  <w:footnote w:id="12">
    <w:p w14:paraId="440FA4FD" w14:textId="4B544FF2" w:rsidR="00544AB0" w:rsidRPr="00273F93" w:rsidRDefault="00544AB0"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24, </w:t>
      </w:r>
      <w:r w:rsidRPr="00273F93">
        <w:rPr>
          <w:i/>
          <w:iCs/>
          <w:sz w:val="20"/>
          <w:szCs w:val="20"/>
        </w:rPr>
        <w:t>available at</w:t>
      </w:r>
      <w:r w:rsidRPr="00273F93">
        <w:rPr>
          <w:sz w:val="20"/>
          <w:szCs w:val="20"/>
        </w:rPr>
        <w:t xml:space="preserve"> https://dpw.lawschool.cornell.edu/wp-content/uploads/2019/12/Judged-More-Than-Her-Crime.pdf (observing that “[a] wide range of offenses are punishable by death, including murder, kidnapping with murder, armed robbery with murder, sexual offences, and terror offense.”)</w:t>
      </w:r>
      <w:r w:rsidR="00CC7B2B" w:rsidRPr="00273F93">
        <w:rPr>
          <w:sz w:val="20"/>
          <w:szCs w:val="20"/>
        </w:rPr>
        <w:t>.</w:t>
      </w:r>
    </w:p>
  </w:footnote>
  <w:footnote w:id="13">
    <w:p w14:paraId="3EBFCF51" w14:textId="7C8BD3F9" w:rsidR="00DE7D13" w:rsidRPr="00273F93" w:rsidRDefault="00DE7D13" w:rsidP="008D206A">
      <w:pPr>
        <w:pStyle w:val="FootnoteText"/>
        <w:rPr>
          <w:sz w:val="20"/>
          <w:szCs w:val="20"/>
        </w:rPr>
      </w:pPr>
      <w:r w:rsidRPr="00273F93">
        <w:rPr>
          <w:rStyle w:val="FootnoteReference"/>
          <w:sz w:val="20"/>
          <w:szCs w:val="20"/>
        </w:rPr>
        <w:footnoteRef/>
      </w:r>
      <w:r w:rsidRPr="00273F93">
        <w:rPr>
          <w:sz w:val="20"/>
          <w:szCs w:val="20"/>
        </w:rPr>
        <w:t xml:space="preserve"> </w:t>
      </w:r>
      <w:r w:rsidR="00544AB0" w:rsidRPr="00273F93">
        <w:rPr>
          <w:sz w:val="20"/>
          <w:szCs w:val="20"/>
        </w:rPr>
        <w:t xml:space="preserve">Committee on Amendments to Criminal Law (Justice J.S. Verma, Chairman), Report of the Committee on Amendments to Criminal Law (Jan. 23, 2013) at 249-250, </w:t>
      </w:r>
      <w:r w:rsidR="00544AB0" w:rsidRPr="00273F93">
        <w:rPr>
          <w:i/>
          <w:iCs/>
          <w:sz w:val="20"/>
          <w:szCs w:val="20"/>
        </w:rPr>
        <w:t xml:space="preserve">available at </w:t>
      </w:r>
      <w:r w:rsidR="009A3827" w:rsidRPr="00273F93">
        <w:rPr>
          <w:sz w:val="20"/>
          <w:szCs w:val="20"/>
        </w:rPr>
        <w:t>https://adrindia.org/sites/default/</w:t>
      </w:r>
      <w:r w:rsidR="009A3827" w:rsidRPr="00273F93">
        <w:rPr>
          <w:sz w:val="20"/>
          <w:szCs w:val="20"/>
        </w:rPr>
        <w:br/>
        <w:t>files/Justice_Verma_Amendmenttocriminallaw_Jan2013.pdf</w:t>
      </w:r>
      <w:r w:rsidR="00544AB0" w:rsidRPr="00273F93">
        <w:rPr>
          <w:sz w:val="20"/>
          <w:szCs w:val="20"/>
        </w:rPr>
        <w:t xml:space="preserve"> (referring to a report of the UN Special Rapporteur on Extrajudicial, Summary or Arbitrary Executions with reference a 2012 mission to India).</w:t>
      </w:r>
    </w:p>
  </w:footnote>
  <w:footnote w:id="14">
    <w:p w14:paraId="6B3DBD1F" w14:textId="1B4FE83A" w:rsidR="008C77FD" w:rsidRPr="00273F93" w:rsidRDefault="008C77FD" w:rsidP="008D206A">
      <w:pPr>
        <w:pStyle w:val="FootnoteText"/>
        <w:rPr>
          <w:sz w:val="20"/>
          <w:szCs w:val="20"/>
        </w:rPr>
      </w:pPr>
      <w:r w:rsidRPr="00273F93">
        <w:rPr>
          <w:rStyle w:val="FootnoteReference"/>
          <w:sz w:val="20"/>
          <w:szCs w:val="20"/>
        </w:rPr>
        <w:footnoteRef/>
      </w:r>
      <w:r w:rsidRPr="00273F93">
        <w:rPr>
          <w:sz w:val="20"/>
          <w:szCs w:val="20"/>
        </w:rPr>
        <w:t xml:space="preserve"> </w:t>
      </w:r>
      <w:r w:rsidR="002061C3" w:rsidRPr="00273F93">
        <w:rPr>
          <w:sz w:val="20"/>
          <w:szCs w:val="20"/>
        </w:rPr>
        <w:t xml:space="preserve">Project39A, National Law University, Delhi, Death Penalty in India - Annual Statistics Report 2024 </w:t>
      </w:r>
      <w:r w:rsidRPr="00273F93">
        <w:rPr>
          <w:sz w:val="20"/>
          <w:szCs w:val="20"/>
        </w:rPr>
        <w:t>(2025) at 8, 77</w:t>
      </w:r>
      <w:r w:rsidR="00CC7B2B" w:rsidRPr="00273F93">
        <w:rPr>
          <w:sz w:val="20"/>
          <w:szCs w:val="20"/>
        </w:rPr>
        <w:t>.</w:t>
      </w:r>
      <w:r w:rsidR="00923AE0" w:rsidRPr="00273F93">
        <w:rPr>
          <w:sz w:val="20"/>
          <w:szCs w:val="20"/>
        </w:rPr>
        <w:t xml:space="preserve"> Note that together with other laws that came into effect in 2024, this resulted in “four new offences which have been made punishable with death.” </w:t>
      </w:r>
      <w:r w:rsidR="00923AE0" w:rsidRPr="00273F93">
        <w:rPr>
          <w:i/>
          <w:iCs/>
          <w:sz w:val="20"/>
          <w:szCs w:val="20"/>
        </w:rPr>
        <w:t>Id</w:t>
      </w:r>
      <w:r w:rsidR="00923AE0" w:rsidRPr="00273F93">
        <w:rPr>
          <w:sz w:val="20"/>
          <w:szCs w:val="20"/>
        </w:rPr>
        <w:t>.</w:t>
      </w:r>
    </w:p>
  </w:footnote>
  <w:footnote w:id="15">
    <w:p w14:paraId="387215CD" w14:textId="28E66FF6" w:rsidR="00546258" w:rsidRPr="00273F93" w:rsidRDefault="00546258"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i/>
          <w:iCs/>
          <w:sz w:val="20"/>
          <w:szCs w:val="20"/>
        </w:rPr>
        <w:t>Id.</w:t>
      </w:r>
      <w:r w:rsidR="00AA7417">
        <w:rPr>
          <w:sz w:val="20"/>
          <w:szCs w:val="20"/>
        </w:rPr>
        <w:t xml:space="preserve"> </w:t>
      </w:r>
      <w:r w:rsidRPr="00273F93">
        <w:rPr>
          <w:sz w:val="20"/>
          <w:szCs w:val="20"/>
        </w:rPr>
        <w:t>at 4</w:t>
      </w:r>
      <w:r w:rsidR="00CC7B2B" w:rsidRPr="00273F93">
        <w:rPr>
          <w:sz w:val="20"/>
          <w:szCs w:val="20"/>
        </w:rPr>
        <w:t>.</w:t>
      </w:r>
    </w:p>
  </w:footnote>
  <w:footnote w:id="16">
    <w:p w14:paraId="3760BEDB" w14:textId="6279591A" w:rsidR="00546258" w:rsidRPr="00273F93" w:rsidRDefault="00546258"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sz w:val="20"/>
          <w:szCs w:val="20"/>
        </w:rPr>
        <w:t>Ibid.</w:t>
      </w:r>
    </w:p>
  </w:footnote>
  <w:footnote w:id="17">
    <w:p w14:paraId="709B96F8" w14:textId="3EE43F44" w:rsidR="000A431F" w:rsidRPr="00273F93" w:rsidRDefault="000A431F"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i/>
          <w:iCs/>
          <w:sz w:val="20"/>
          <w:szCs w:val="20"/>
        </w:rPr>
        <w:t>Id.</w:t>
      </w:r>
      <w:r w:rsidR="00AA7417">
        <w:rPr>
          <w:sz w:val="20"/>
          <w:szCs w:val="20"/>
        </w:rPr>
        <w:t xml:space="preserve"> </w:t>
      </w:r>
      <w:r w:rsidR="002061C3" w:rsidRPr="00273F93">
        <w:rPr>
          <w:sz w:val="20"/>
          <w:szCs w:val="20"/>
        </w:rPr>
        <w:t>at</w:t>
      </w:r>
      <w:r w:rsidRPr="00273F93">
        <w:rPr>
          <w:sz w:val="20"/>
          <w:szCs w:val="20"/>
        </w:rPr>
        <w:t xml:space="preserve"> 6</w:t>
      </w:r>
      <w:r w:rsidR="00CC7B2B" w:rsidRPr="00273F93">
        <w:rPr>
          <w:sz w:val="20"/>
          <w:szCs w:val="20"/>
        </w:rPr>
        <w:t>.</w:t>
      </w:r>
    </w:p>
  </w:footnote>
  <w:footnote w:id="18">
    <w:p w14:paraId="2A65A248" w14:textId="585B036D" w:rsidR="00C21E83" w:rsidRPr="00273F93" w:rsidRDefault="00C21E83"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sz w:val="20"/>
          <w:szCs w:val="20"/>
        </w:rPr>
        <w:t>Ibid.</w:t>
      </w:r>
    </w:p>
  </w:footnote>
  <w:footnote w:id="19">
    <w:p w14:paraId="5C77E6FD" w14:textId="369F41F1" w:rsidR="00546258" w:rsidRPr="00273F93" w:rsidRDefault="00546258"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24, </w:t>
      </w:r>
      <w:r w:rsidRPr="00273F93">
        <w:rPr>
          <w:i/>
          <w:iCs/>
          <w:sz w:val="20"/>
          <w:szCs w:val="20"/>
        </w:rPr>
        <w:t>available at</w:t>
      </w:r>
      <w:r w:rsidRPr="00273F93">
        <w:rPr>
          <w:sz w:val="20"/>
          <w:szCs w:val="20"/>
        </w:rPr>
        <w:t xml:space="preserve"> https://dpw.lawschool.cornell.edu/wp-content/uploads/2019/12/Judged-More-Than-Her-Crime.pdf</w:t>
      </w:r>
      <w:r w:rsidR="00CC7B2B" w:rsidRPr="00273F93">
        <w:rPr>
          <w:sz w:val="20"/>
          <w:szCs w:val="20"/>
        </w:rPr>
        <w:t>.</w:t>
      </w:r>
    </w:p>
  </w:footnote>
  <w:footnote w:id="20">
    <w:p w14:paraId="1205F743" w14:textId="16B1901F" w:rsidR="00E44C33" w:rsidRPr="00273F93" w:rsidRDefault="00E44C33" w:rsidP="008D206A">
      <w:pPr>
        <w:pStyle w:val="FootnoteText"/>
        <w:rPr>
          <w:sz w:val="20"/>
          <w:szCs w:val="20"/>
        </w:rPr>
      </w:pPr>
      <w:r w:rsidRPr="00273F93">
        <w:rPr>
          <w:rStyle w:val="FootnoteReference"/>
          <w:sz w:val="20"/>
          <w:szCs w:val="20"/>
        </w:rPr>
        <w:footnoteRef/>
      </w:r>
      <w:r w:rsidR="00273F93">
        <w:rPr>
          <w:sz w:val="20"/>
          <w:szCs w:val="20"/>
        </w:rPr>
        <w:t xml:space="preserve"> </w:t>
      </w:r>
      <w:r w:rsidRPr="00273F93">
        <w:rPr>
          <w:sz w:val="20"/>
          <w:szCs w:val="20"/>
        </w:rPr>
        <w:t xml:space="preserve">Committee on the Elimination of Discrimination against Women, </w:t>
      </w:r>
      <w:r w:rsidRPr="00273F93">
        <w:rPr>
          <w:i/>
          <w:iCs/>
          <w:sz w:val="20"/>
          <w:szCs w:val="20"/>
        </w:rPr>
        <w:t>Concluding observations on the combined fourth and fifth periodic reports of India</w:t>
      </w:r>
      <w:r w:rsidRPr="00273F93">
        <w:rPr>
          <w:sz w:val="20"/>
          <w:szCs w:val="20"/>
        </w:rPr>
        <w:t>, UN Doc. No. CEDAW/C/IND/CO/4-5, ¶ 10 (Jul. 24, 2014).</w:t>
      </w:r>
    </w:p>
  </w:footnote>
  <w:footnote w:id="21">
    <w:p w14:paraId="6A8FFF07" w14:textId="3EB2BC4E" w:rsidR="00E44C33" w:rsidRPr="00273F93" w:rsidRDefault="00E44C33"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sz w:val="20"/>
          <w:szCs w:val="20"/>
        </w:rPr>
        <w:t>Ibid.</w:t>
      </w:r>
    </w:p>
  </w:footnote>
  <w:footnote w:id="22">
    <w:p w14:paraId="0BEE2191" w14:textId="4F024CD7" w:rsidR="00E44C33" w:rsidRPr="00273F93" w:rsidRDefault="00E44C33"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sz w:val="20"/>
          <w:szCs w:val="20"/>
        </w:rPr>
        <w:t>Ibid.</w:t>
      </w:r>
    </w:p>
  </w:footnote>
  <w:footnote w:id="23">
    <w:p w14:paraId="3FD5B5E7" w14:textId="4E4B4EB1" w:rsidR="001A6175" w:rsidRPr="00273F93" w:rsidRDefault="001A6175"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i/>
          <w:iCs/>
          <w:sz w:val="20"/>
          <w:szCs w:val="20"/>
        </w:rPr>
        <w:t>Id.</w:t>
      </w:r>
      <w:r w:rsidR="00AA7417">
        <w:rPr>
          <w:sz w:val="20"/>
          <w:szCs w:val="20"/>
        </w:rPr>
        <w:t xml:space="preserve"> </w:t>
      </w:r>
      <w:r w:rsidRPr="00273F93">
        <w:rPr>
          <w:sz w:val="20"/>
          <w:szCs w:val="20"/>
        </w:rPr>
        <w:t>¶ 11.</w:t>
      </w:r>
    </w:p>
  </w:footnote>
  <w:footnote w:id="24">
    <w:p w14:paraId="2AB10C08" w14:textId="28D27C26" w:rsidR="00342C79" w:rsidRPr="00273F93" w:rsidRDefault="00342C79"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sz w:val="20"/>
          <w:szCs w:val="20"/>
        </w:rPr>
        <w:t>Ibid.</w:t>
      </w:r>
    </w:p>
  </w:footnote>
  <w:footnote w:id="25">
    <w:p w14:paraId="0679A63E" w14:textId="2E74AF46" w:rsidR="001D6D0A" w:rsidRPr="00273F93" w:rsidRDefault="001D6D0A" w:rsidP="008D206A">
      <w:pPr>
        <w:pStyle w:val="FootnoteText"/>
        <w:rPr>
          <w:sz w:val="20"/>
          <w:szCs w:val="20"/>
        </w:rPr>
      </w:pPr>
      <w:r w:rsidRPr="00273F93">
        <w:rPr>
          <w:rStyle w:val="FootnoteReference"/>
          <w:sz w:val="20"/>
          <w:szCs w:val="20"/>
        </w:rPr>
        <w:footnoteRef/>
      </w:r>
      <w:r w:rsidRPr="00273F93">
        <w:rPr>
          <w:sz w:val="20"/>
          <w:szCs w:val="20"/>
        </w:rPr>
        <w:t xml:space="preserve"> </w:t>
      </w:r>
      <w:r w:rsidR="00AA7417">
        <w:rPr>
          <w:i/>
          <w:iCs/>
          <w:sz w:val="20"/>
          <w:szCs w:val="20"/>
        </w:rPr>
        <w:t>Id.</w:t>
      </w:r>
      <w:r w:rsidR="00AA7417">
        <w:rPr>
          <w:sz w:val="20"/>
          <w:szCs w:val="20"/>
        </w:rPr>
        <w:t xml:space="preserve"> </w:t>
      </w:r>
      <w:r w:rsidRPr="00273F93">
        <w:rPr>
          <w:sz w:val="20"/>
          <w:szCs w:val="20"/>
        </w:rPr>
        <w:t>¶ 38.</w:t>
      </w:r>
    </w:p>
  </w:footnote>
  <w:footnote w:id="26">
    <w:p w14:paraId="2118B9D5" w14:textId="1C343BDA" w:rsidR="001D6D0A" w:rsidRPr="00273F93" w:rsidRDefault="001D6D0A" w:rsidP="008D206A">
      <w:pPr>
        <w:pStyle w:val="FootnoteText"/>
        <w:rPr>
          <w:sz w:val="20"/>
          <w:szCs w:val="20"/>
        </w:rPr>
      </w:pPr>
      <w:r w:rsidRPr="00273F93">
        <w:rPr>
          <w:rStyle w:val="FootnoteReference"/>
          <w:sz w:val="20"/>
          <w:szCs w:val="20"/>
        </w:rPr>
        <w:footnoteRef/>
      </w:r>
      <w:r w:rsidRPr="00273F93">
        <w:rPr>
          <w:sz w:val="20"/>
          <w:szCs w:val="20"/>
        </w:rPr>
        <w:t xml:space="preserve"> </w:t>
      </w:r>
      <w:r w:rsidR="004A2149">
        <w:rPr>
          <w:i/>
          <w:iCs/>
          <w:sz w:val="20"/>
          <w:szCs w:val="20"/>
        </w:rPr>
        <w:t>Id.</w:t>
      </w:r>
      <w:r w:rsidR="004A2149">
        <w:rPr>
          <w:sz w:val="20"/>
          <w:szCs w:val="20"/>
        </w:rPr>
        <w:t xml:space="preserve"> </w:t>
      </w:r>
      <w:r w:rsidRPr="00273F93">
        <w:rPr>
          <w:sz w:val="20"/>
          <w:szCs w:val="20"/>
        </w:rPr>
        <w:t>¶</w:t>
      </w:r>
      <w:r w:rsidR="004A2149" w:rsidRPr="00273F93">
        <w:rPr>
          <w:sz w:val="20"/>
          <w:szCs w:val="20"/>
        </w:rPr>
        <w:t>¶</w:t>
      </w:r>
      <w:r w:rsidRPr="00273F93">
        <w:rPr>
          <w:sz w:val="20"/>
          <w:szCs w:val="20"/>
        </w:rPr>
        <w:t xml:space="preserve"> 40-41.</w:t>
      </w:r>
    </w:p>
  </w:footnote>
  <w:footnote w:id="27">
    <w:p w14:paraId="5912D32B" w14:textId="31D14C8F" w:rsidR="00096B11" w:rsidRPr="00273F93" w:rsidRDefault="00096B11" w:rsidP="008D206A">
      <w:pPr>
        <w:pStyle w:val="FootnoteText"/>
        <w:rPr>
          <w:sz w:val="20"/>
          <w:szCs w:val="20"/>
        </w:rPr>
      </w:pPr>
      <w:r w:rsidRPr="00273F93">
        <w:rPr>
          <w:rStyle w:val="FootnoteReference"/>
          <w:sz w:val="20"/>
          <w:szCs w:val="20"/>
        </w:rPr>
        <w:footnoteRef/>
      </w:r>
      <w:r w:rsidRPr="00273F93">
        <w:rPr>
          <w:sz w:val="20"/>
          <w:szCs w:val="20"/>
        </w:rPr>
        <w:t xml:space="preserve"> </w:t>
      </w:r>
      <w:r w:rsidR="004A2149">
        <w:rPr>
          <w:i/>
          <w:iCs/>
          <w:sz w:val="20"/>
          <w:szCs w:val="20"/>
        </w:rPr>
        <w:t>Id.</w:t>
      </w:r>
      <w:r w:rsidR="004A2149">
        <w:rPr>
          <w:sz w:val="20"/>
          <w:szCs w:val="20"/>
        </w:rPr>
        <w:t xml:space="preserve"> </w:t>
      </w:r>
      <w:r w:rsidRPr="00273F93">
        <w:rPr>
          <w:sz w:val="20"/>
          <w:szCs w:val="20"/>
        </w:rPr>
        <w:t>¶ 11.</w:t>
      </w:r>
    </w:p>
  </w:footnote>
  <w:footnote w:id="28">
    <w:p w14:paraId="64956CDB" w14:textId="4572E549" w:rsidR="005A3F5A" w:rsidRPr="00273F93" w:rsidRDefault="005A3F5A" w:rsidP="008D206A">
      <w:pPr>
        <w:pStyle w:val="FootnoteText"/>
        <w:rPr>
          <w:sz w:val="20"/>
          <w:szCs w:val="20"/>
        </w:rPr>
      </w:pPr>
      <w:r w:rsidRPr="00273F93">
        <w:rPr>
          <w:rStyle w:val="FootnoteReference"/>
          <w:sz w:val="20"/>
          <w:szCs w:val="20"/>
        </w:rPr>
        <w:footnoteRef/>
      </w:r>
      <w:r w:rsidRPr="00273F93">
        <w:rPr>
          <w:sz w:val="20"/>
          <w:szCs w:val="20"/>
        </w:rPr>
        <w:t xml:space="preserve"> </w:t>
      </w:r>
      <w:r w:rsidR="00896146" w:rsidRPr="00273F93">
        <w:rPr>
          <w:sz w:val="20"/>
          <w:szCs w:val="20"/>
        </w:rPr>
        <w:t xml:space="preserve">Committee on Amendments to Criminal Law (Justice J.S. Verma, Chairman), Report of the Committee on Amendments to Criminal Law (Jan. 23, 2013) at </w:t>
      </w:r>
      <w:r w:rsidR="0033344B" w:rsidRPr="00273F93">
        <w:rPr>
          <w:sz w:val="20"/>
          <w:szCs w:val="20"/>
        </w:rPr>
        <w:t>245-246</w:t>
      </w:r>
      <w:r w:rsidR="00896146" w:rsidRPr="00273F93">
        <w:rPr>
          <w:sz w:val="20"/>
          <w:szCs w:val="20"/>
        </w:rPr>
        <w:t xml:space="preserve">, </w:t>
      </w:r>
      <w:r w:rsidR="00896146" w:rsidRPr="00273F93">
        <w:rPr>
          <w:i/>
          <w:iCs/>
          <w:sz w:val="20"/>
          <w:szCs w:val="20"/>
        </w:rPr>
        <w:t xml:space="preserve">available at </w:t>
      </w:r>
      <w:r w:rsidR="009A3827" w:rsidRPr="00273F93">
        <w:rPr>
          <w:sz w:val="20"/>
          <w:szCs w:val="20"/>
        </w:rPr>
        <w:t>https://adrindia.org/sites/default/</w:t>
      </w:r>
      <w:r w:rsidR="009A3827" w:rsidRPr="00273F93">
        <w:rPr>
          <w:sz w:val="20"/>
          <w:szCs w:val="20"/>
        </w:rPr>
        <w:br/>
        <w:t>files/Justice_Verma_Amendmenttocriminallaw_Jan2013.pdf</w:t>
      </w:r>
      <w:r w:rsidR="00896146" w:rsidRPr="00273F93">
        <w:rPr>
          <w:sz w:val="20"/>
          <w:szCs w:val="20"/>
        </w:rPr>
        <w:t xml:space="preserve">; </w:t>
      </w:r>
      <w:r w:rsidR="00896146" w:rsidRPr="00273F93">
        <w:rPr>
          <w:i/>
          <w:iCs/>
          <w:sz w:val="20"/>
          <w:szCs w:val="20"/>
        </w:rPr>
        <w:t>see also Full text of Justice Verma's report (PDF)</w:t>
      </w:r>
      <w:r w:rsidR="00896146" w:rsidRPr="00273F93">
        <w:rPr>
          <w:sz w:val="20"/>
          <w:szCs w:val="20"/>
        </w:rPr>
        <w:t>, The Hindu (Dec. 4, 2021; 11:18 pm IST), https://www.thehindu.com/news/resources/full-text-of-justice-vermas-report-pdf/article4339457.ece (accessed Aug. 1, 2025)</w:t>
      </w:r>
      <w:r w:rsidR="009A3827" w:rsidRPr="00273F93">
        <w:rPr>
          <w:sz w:val="20"/>
          <w:szCs w:val="20"/>
        </w:rPr>
        <w:t>.</w:t>
      </w:r>
    </w:p>
  </w:footnote>
  <w:footnote w:id="29">
    <w:p w14:paraId="73108850" w14:textId="4D4A6937" w:rsidR="00004618" w:rsidRPr="00273F93" w:rsidRDefault="00004618" w:rsidP="008D206A">
      <w:pPr>
        <w:pStyle w:val="FootnoteText"/>
        <w:rPr>
          <w:sz w:val="20"/>
          <w:szCs w:val="20"/>
        </w:rPr>
      </w:pPr>
      <w:r w:rsidRPr="00273F93">
        <w:rPr>
          <w:rStyle w:val="FootnoteReference"/>
          <w:sz w:val="20"/>
          <w:szCs w:val="20"/>
        </w:rPr>
        <w:footnoteRef/>
      </w:r>
      <w:r w:rsidRPr="00273F93">
        <w:rPr>
          <w:sz w:val="20"/>
          <w:szCs w:val="20"/>
        </w:rPr>
        <w:t xml:space="preserve"> </w:t>
      </w:r>
      <w:r w:rsidR="00905E04">
        <w:rPr>
          <w:i/>
          <w:iCs/>
          <w:sz w:val="20"/>
          <w:szCs w:val="20"/>
        </w:rPr>
        <w:t>Id.</w:t>
      </w:r>
      <w:r w:rsidR="00905E04">
        <w:rPr>
          <w:sz w:val="20"/>
          <w:szCs w:val="20"/>
        </w:rPr>
        <w:t xml:space="preserve"> </w:t>
      </w:r>
      <w:r w:rsidRPr="00273F93">
        <w:rPr>
          <w:sz w:val="20"/>
          <w:szCs w:val="20"/>
        </w:rPr>
        <w:t xml:space="preserve">at i; </w:t>
      </w:r>
      <w:r w:rsidR="00091EC8" w:rsidRPr="00273F93">
        <w:rPr>
          <w:i/>
          <w:iCs/>
          <w:sz w:val="20"/>
          <w:szCs w:val="20"/>
        </w:rPr>
        <w:t xml:space="preserve">see also </w:t>
      </w:r>
      <w:r w:rsidRPr="00273F93">
        <w:rPr>
          <w:i/>
          <w:iCs/>
          <w:sz w:val="20"/>
          <w:szCs w:val="20"/>
        </w:rPr>
        <w:t>Full text of Justice Verma's report (PDF)</w:t>
      </w:r>
      <w:r w:rsidRPr="00273F93">
        <w:rPr>
          <w:sz w:val="20"/>
          <w:szCs w:val="20"/>
        </w:rPr>
        <w:t>, The Hindu (Dec. 4, 2021; 11:18 pm IST), https://www.thehindu.com/news/resources/full-text-of-justice-vermas-report-pdf/article4339457.ece (accessed Aug. 1, 2025)</w:t>
      </w:r>
      <w:r w:rsidR="009A3827" w:rsidRPr="00273F93">
        <w:rPr>
          <w:sz w:val="20"/>
          <w:szCs w:val="20"/>
        </w:rPr>
        <w:t>.</w:t>
      </w:r>
    </w:p>
  </w:footnote>
  <w:footnote w:id="30">
    <w:p w14:paraId="5217A5C8" w14:textId="3AB349EF" w:rsidR="005204D3" w:rsidRPr="00273F93" w:rsidRDefault="005204D3" w:rsidP="008D206A">
      <w:pPr>
        <w:pStyle w:val="FootnoteText"/>
        <w:rPr>
          <w:sz w:val="20"/>
          <w:szCs w:val="20"/>
        </w:rPr>
      </w:pPr>
      <w:r w:rsidRPr="00273F93">
        <w:rPr>
          <w:rStyle w:val="FootnoteReference"/>
          <w:sz w:val="20"/>
          <w:szCs w:val="20"/>
        </w:rPr>
        <w:footnoteRef/>
      </w:r>
      <w:r w:rsidRPr="00273F93">
        <w:rPr>
          <w:sz w:val="20"/>
          <w:szCs w:val="20"/>
        </w:rPr>
        <w:t xml:space="preserve"> Committee on Amendments to Criminal Law (Justice J.S. Verma, Chairman), Report of the Committee on Amendments to Criminal Law (Jan. 23, 2013) at 245-</w:t>
      </w:r>
      <w:r w:rsidR="00004618" w:rsidRPr="00273F93">
        <w:rPr>
          <w:sz w:val="20"/>
          <w:szCs w:val="20"/>
        </w:rPr>
        <w:t>2540</w:t>
      </w:r>
      <w:r w:rsidRPr="00273F93">
        <w:rPr>
          <w:sz w:val="20"/>
          <w:szCs w:val="20"/>
        </w:rPr>
        <w:t xml:space="preserve">, </w:t>
      </w:r>
      <w:r w:rsidRPr="00273F93">
        <w:rPr>
          <w:i/>
          <w:iCs/>
          <w:sz w:val="20"/>
          <w:szCs w:val="20"/>
        </w:rPr>
        <w:t xml:space="preserve">available at </w:t>
      </w:r>
      <w:r w:rsidR="009A3827" w:rsidRPr="00273F93">
        <w:rPr>
          <w:sz w:val="20"/>
          <w:szCs w:val="20"/>
        </w:rPr>
        <w:t>https://adrindia.org/sites/default/</w:t>
      </w:r>
      <w:r w:rsidR="009A3827" w:rsidRPr="00273F93">
        <w:rPr>
          <w:sz w:val="20"/>
          <w:szCs w:val="20"/>
        </w:rPr>
        <w:br/>
        <w:t>files/Justice_Verma_Amendmenttocriminallaw_Jan2013.pdf</w:t>
      </w:r>
      <w:r w:rsidRPr="00273F93">
        <w:rPr>
          <w:sz w:val="20"/>
          <w:szCs w:val="20"/>
        </w:rPr>
        <w:t xml:space="preserve"> (observing that “seeking of death penalty would be a regressive step in the field of sentencing and reformation” and </w:t>
      </w:r>
      <w:r w:rsidR="00004618" w:rsidRPr="00273F93">
        <w:rPr>
          <w:sz w:val="20"/>
          <w:szCs w:val="20"/>
        </w:rPr>
        <w:t>“there is considerable evidence that the deterrent effect of death penalty on serious crimes is actually a myth.”)</w:t>
      </w:r>
      <w:r w:rsidR="009A3827" w:rsidRPr="00273F93">
        <w:rPr>
          <w:sz w:val="20"/>
          <w:szCs w:val="20"/>
        </w:rPr>
        <w:t>.</w:t>
      </w:r>
    </w:p>
  </w:footnote>
  <w:footnote w:id="31">
    <w:p w14:paraId="5A7EE319" w14:textId="0B281F55" w:rsidR="00C21E83" w:rsidRPr="00273F93" w:rsidRDefault="00C21E83" w:rsidP="008D206A">
      <w:pPr>
        <w:pStyle w:val="FootnoteText"/>
        <w:rPr>
          <w:sz w:val="20"/>
          <w:szCs w:val="20"/>
        </w:rPr>
      </w:pPr>
      <w:r w:rsidRPr="00273F93">
        <w:rPr>
          <w:rStyle w:val="FootnoteReference"/>
          <w:sz w:val="20"/>
          <w:szCs w:val="20"/>
        </w:rPr>
        <w:footnoteRef/>
      </w:r>
      <w:r w:rsidRPr="00273F93">
        <w:rPr>
          <w:sz w:val="20"/>
          <w:szCs w:val="20"/>
        </w:rPr>
        <w:t xml:space="preserve"> </w:t>
      </w:r>
      <w:r w:rsidR="002061C3" w:rsidRPr="00273F93">
        <w:rPr>
          <w:sz w:val="20"/>
          <w:szCs w:val="20"/>
        </w:rPr>
        <w:t>Project39A, National Law University, Delhi, Death Penalty in India - Annual Statistics Report 2024 (2025)</w:t>
      </w:r>
      <w:r w:rsidRPr="00273F93">
        <w:rPr>
          <w:sz w:val="20"/>
          <w:szCs w:val="20"/>
        </w:rPr>
        <w:t xml:space="preserve"> at </w:t>
      </w:r>
      <w:r w:rsidR="00923AE0" w:rsidRPr="00273F93">
        <w:rPr>
          <w:sz w:val="20"/>
          <w:szCs w:val="20"/>
        </w:rPr>
        <w:t xml:space="preserve">8, </w:t>
      </w:r>
      <w:r w:rsidR="0071682E" w:rsidRPr="00273F93">
        <w:rPr>
          <w:sz w:val="20"/>
          <w:szCs w:val="20"/>
        </w:rPr>
        <w:t>77</w:t>
      </w:r>
      <w:r w:rsidR="009A3827" w:rsidRPr="00273F93">
        <w:rPr>
          <w:sz w:val="20"/>
          <w:szCs w:val="20"/>
        </w:rPr>
        <w:t>.</w:t>
      </w:r>
      <w:r w:rsidR="00923AE0" w:rsidRPr="00273F93">
        <w:rPr>
          <w:sz w:val="20"/>
          <w:szCs w:val="20"/>
        </w:rPr>
        <w:t xml:space="preserve"> Together with other laws that came into effect in 2024, this resulted in “four new offences which have been made punishable with death.” </w:t>
      </w:r>
      <w:r w:rsidR="00923AE0" w:rsidRPr="00273F93">
        <w:rPr>
          <w:i/>
          <w:iCs/>
          <w:sz w:val="20"/>
          <w:szCs w:val="20"/>
        </w:rPr>
        <w:t>Id</w:t>
      </w:r>
      <w:r w:rsidR="00923AE0" w:rsidRPr="00273F93">
        <w:rPr>
          <w:sz w:val="20"/>
          <w:szCs w:val="20"/>
        </w:rPr>
        <w:t>.</w:t>
      </w:r>
    </w:p>
  </w:footnote>
  <w:footnote w:id="32">
    <w:p w14:paraId="209C4982" w14:textId="3D724F30" w:rsidR="00004618" w:rsidRPr="00273F93" w:rsidRDefault="00004618" w:rsidP="008D206A">
      <w:pPr>
        <w:pStyle w:val="FootnoteText"/>
        <w:rPr>
          <w:sz w:val="20"/>
          <w:szCs w:val="20"/>
        </w:rPr>
      </w:pPr>
      <w:r w:rsidRPr="00273F93">
        <w:rPr>
          <w:rStyle w:val="FootnoteReference"/>
          <w:sz w:val="20"/>
          <w:szCs w:val="20"/>
        </w:rPr>
        <w:footnoteRef/>
      </w:r>
      <w:r w:rsidRPr="00273F93">
        <w:rPr>
          <w:sz w:val="20"/>
          <w:szCs w:val="20"/>
        </w:rPr>
        <w:t xml:space="preserve"> </w:t>
      </w:r>
      <w:r w:rsidR="00670223">
        <w:rPr>
          <w:i/>
          <w:iCs/>
          <w:sz w:val="20"/>
          <w:szCs w:val="20"/>
        </w:rPr>
        <w:t>Id.</w:t>
      </w:r>
      <w:r w:rsidR="00670223">
        <w:rPr>
          <w:sz w:val="20"/>
          <w:szCs w:val="20"/>
        </w:rPr>
        <w:t xml:space="preserve"> </w:t>
      </w:r>
      <w:r w:rsidR="002061C3" w:rsidRPr="00273F93">
        <w:rPr>
          <w:sz w:val="20"/>
          <w:szCs w:val="20"/>
        </w:rPr>
        <w:t>at</w:t>
      </w:r>
      <w:r w:rsidRPr="00273F93">
        <w:rPr>
          <w:sz w:val="20"/>
          <w:szCs w:val="20"/>
        </w:rPr>
        <w:t xml:space="preserve"> 19</w:t>
      </w:r>
      <w:r w:rsidR="009A3827" w:rsidRPr="00273F93">
        <w:rPr>
          <w:sz w:val="20"/>
          <w:szCs w:val="20"/>
        </w:rPr>
        <w:t>.</w:t>
      </w:r>
    </w:p>
  </w:footnote>
  <w:footnote w:id="33">
    <w:p w14:paraId="2676211B" w14:textId="55202E2D" w:rsidR="00C21E83" w:rsidRPr="00273F93" w:rsidRDefault="00C21E83" w:rsidP="008D206A">
      <w:pPr>
        <w:pStyle w:val="FootnoteText"/>
        <w:rPr>
          <w:sz w:val="20"/>
          <w:szCs w:val="20"/>
        </w:rPr>
      </w:pPr>
      <w:r w:rsidRPr="00273F93">
        <w:rPr>
          <w:rStyle w:val="FootnoteReference"/>
          <w:sz w:val="20"/>
          <w:szCs w:val="20"/>
        </w:rPr>
        <w:footnoteRef/>
      </w:r>
      <w:r w:rsidRPr="00273F93">
        <w:rPr>
          <w:sz w:val="20"/>
          <w:szCs w:val="20"/>
        </w:rPr>
        <w:t xml:space="preserve"> </w:t>
      </w:r>
      <w:r w:rsidR="00670223">
        <w:rPr>
          <w:sz w:val="20"/>
          <w:szCs w:val="20"/>
        </w:rPr>
        <w:t>Ibid.</w:t>
      </w:r>
    </w:p>
  </w:footnote>
  <w:footnote w:id="34">
    <w:p w14:paraId="1B1EF2EF" w14:textId="43867E69" w:rsidR="008C77FD" w:rsidRPr="00273F93" w:rsidRDefault="008C77FD" w:rsidP="008D206A">
      <w:pPr>
        <w:pStyle w:val="FootnoteText"/>
        <w:rPr>
          <w:sz w:val="20"/>
          <w:szCs w:val="20"/>
        </w:rPr>
      </w:pPr>
      <w:r w:rsidRPr="00273F93">
        <w:rPr>
          <w:rStyle w:val="FootnoteReference"/>
          <w:sz w:val="20"/>
          <w:szCs w:val="20"/>
        </w:rPr>
        <w:footnoteRef/>
      </w:r>
      <w:r w:rsidRPr="00273F93">
        <w:rPr>
          <w:sz w:val="20"/>
          <w:szCs w:val="20"/>
        </w:rPr>
        <w:t xml:space="preserve"> </w:t>
      </w:r>
      <w:r w:rsidR="00670223">
        <w:rPr>
          <w:i/>
          <w:iCs/>
          <w:sz w:val="20"/>
          <w:szCs w:val="20"/>
        </w:rPr>
        <w:t>Id.</w:t>
      </w:r>
      <w:r w:rsidR="00670223">
        <w:rPr>
          <w:sz w:val="20"/>
          <w:szCs w:val="20"/>
        </w:rPr>
        <w:t xml:space="preserve"> </w:t>
      </w:r>
      <w:r w:rsidRPr="00273F93">
        <w:rPr>
          <w:sz w:val="20"/>
          <w:szCs w:val="20"/>
        </w:rPr>
        <w:t>at 78</w:t>
      </w:r>
      <w:r w:rsidR="009A3827" w:rsidRPr="00273F93">
        <w:rPr>
          <w:sz w:val="20"/>
          <w:szCs w:val="20"/>
        </w:rPr>
        <w:t>.</w:t>
      </w:r>
    </w:p>
  </w:footnote>
  <w:footnote w:id="35">
    <w:p w14:paraId="0D5A8C6D" w14:textId="19AC6B0C" w:rsidR="008C77FD" w:rsidRPr="00273F93" w:rsidRDefault="008C77FD" w:rsidP="008D206A">
      <w:pPr>
        <w:pStyle w:val="FootnoteText"/>
        <w:rPr>
          <w:sz w:val="20"/>
          <w:szCs w:val="20"/>
        </w:rPr>
      </w:pPr>
      <w:r w:rsidRPr="00273F93">
        <w:rPr>
          <w:rStyle w:val="FootnoteReference"/>
          <w:sz w:val="20"/>
          <w:szCs w:val="20"/>
        </w:rPr>
        <w:footnoteRef/>
      </w:r>
      <w:r w:rsidRPr="00273F93">
        <w:rPr>
          <w:sz w:val="20"/>
          <w:szCs w:val="20"/>
        </w:rPr>
        <w:t xml:space="preserve"> Shiv Sahay Singh, </w:t>
      </w:r>
      <w:r w:rsidRPr="00273F93">
        <w:rPr>
          <w:i/>
          <w:iCs/>
          <w:sz w:val="20"/>
          <w:szCs w:val="20"/>
        </w:rPr>
        <w:t>West Bengal Governor returns Aparajita Bill to State govt. for reconsideration</w:t>
      </w:r>
      <w:r w:rsidRPr="00273F93">
        <w:rPr>
          <w:sz w:val="20"/>
          <w:szCs w:val="20"/>
        </w:rPr>
        <w:t>, The Hindu (Jul. 25, 2025 08:25 pm IST), https://www.thehindu.com/news/national/west-bengal/west-bengal-governor-returns-aparajita-bill-to-state-govt-for-reconsideration/article69855000.ece (accessed Aug. 1,2025)</w:t>
      </w:r>
      <w:r w:rsidR="009A3827" w:rsidRPr="00273F93">
        <w:rPr>
          <w:sz w:val="20"/>
          <w:szCs w:val="20"/>
        </w:rPr>
        <w:t>.</w:t>
      </w:r>
    </w:p>
  </w:footnote>
  <w:footnote w:id="36">
    <w:p w14:paraId="47656893" w14:textId="06936A3A" w:rsidR="005031AB" w:rsidRPr="00273F93" w:rsidRDefault="005031AB" w:rsidP="008D206A">
      <w:pPr>
        <w:pStyle w:val="FootnoteText"/>
        <w:rPr>
          <w:sz w:val="20"/>
          <w:szCs w:val="20"/>
        </w:rPr>
      </w:pPr>
      <w:r w:rsidRPr="00273F93">
        <w:rPr>
          <w:rStyle w:val="FootnoteReference"/>
          <w:sz w:val="20"/>
          <w:szCs w:val="20"/>
        </w:rPr>
        <w:footnoteRef/>
      </w:r>
      <w:r w:rsidRPr="00273F93">
        <w:rPr>
          <w:sz w:val="20"/>
          <w:szCs w:val="20"/>
        </w:rPr>
        <w:t xml:space="preserve"> Committee on the Elimination of Discrimination against Women, </w:t>
      </w:r>
      <w:r w:rsidRPr="00273F93">
        <w:rPr>
          <w:i/>
          <w:iCs/>
          <w:sz w:val="20"/>
          <w:szCs w:val="20"/>
        </w:rPr>
        <w:t>Concluding observations on the combined fourth and fifth periodic reports of India</w:t>
      </w:r>
      <w:r w:rsidRPr="00273F93">
        <w:rPr>
          <w:sz w:val="20"/>
          <w:szCs w:val="20"/>
        </w:rPr>
        <w:t>, UN Doc. No. CEDAW/C/IND/CO/4-5, ¶¶ 11, 40-41 (Jul. 24, 2014).</w:t>
      </w:r>
    </w:p>
  </w:footnote>
  <w:footnote w:id="37">
    <w:p w14:paraId="04380F57" w14:textId="4204B6AB" w:rsidR="00C611B0" w:rsidRPr="008D206A" w:rsidRDefault="00C611B0">
      <w:pPr>
        <w:pStyle w:val="FootnoteText"/>
        <w:rPr>
          <w:sz w:val="20"/>
          <w:szCs w:val="20"/>
        </w:rPr>
      </w:pPr>
      <w:r w:rsidRPr="008D206A">
        <w:rPr>
          <w:rStyle w:val="FootnoteReference"/>
          <w:sz w:val="20"/>
          <w:szCs w:val="20"/>
        </w:rPr>
        <w:footnoteRef/>
      </w:r>
      <w:r w:rsidRPr="008D206A">
        <w:rPr>
          <w:sz w:val="20"/>
          <w:szCs w:val="20"/>
        </w:rPr>
        <w:t xml:space="preserve"> </w:t>
      </w:r>
      <w:r w:rsidR="00595899" w:rsidRPr="00273F93">
        <w:rPr>
          <w:sz w:val="20"/>
          <w:szCs w:val="20"/>
        </w:rPr>
        <w:t>Project 39A, Death Penalty in India: Annual Statistics Report 2021 (Report, January 2022), at 19.</w:t>
      </w:r>
    </w:p>
  </w:footnote>
  <w:footnote w:id="38">
    <w:p w14:paraId="6228D0A4" w14:textId="406EA32D" w:rsidR="003B4916" w:rsidRPr="008D206A" w:rsidRDefault="003B4916">
      <w:pPr>
        <w:pStyle w:val="FootnoteText"/>
        <w:rPr>
          <w:sz w:val="20"/>
          <w:szCs w:val="20"/>
        </w:rPr>
      </w:pPr>
      <w:r w:rsidRPr="008D206A">
        <w:rPr>
          <w:rStyle w:val="FootnoteReference"/>
          <w:sz w:val="20"/>
          <w:szCs w:val="20"/>
        </w:rPr>
        <w:footnoteRef/>
      </w:r>
      <w:r w:rsidRPr="008D206A">
        <w:rPr>
          <w:sz w:val="20"/>
          <w:szCs w:val="20"/>
        </w:rPr>
        <w:t xml:space="preserve"> </w:t>
      </w:r>
      <w:r w:rsidR="001312CF" w:rsidRPr="00273F93">
        <w:rPr>
          <w:sz w:val="20"/>
          <w:szCs w:val="20"/>
        </w:rPr>
        <w:t xml:space="preserve">Eleos Justice, Monash University, Anti Death Penalty Asia Network (ADPAN) and the SAME Network, </w:t>
      </w:r>
      <w:hyperlink r:id="rId1" w:history="1">
        <w:r w:rsidR="001312CF" w:rsidRPr="00273F93">
          <w:rPr>
            <w:sz w:val="20"/>
            <w:szCs w:val="20"/>
          </w:rPr>
          <w:t>A Deadly Distraction: Why the Death Penalty is Not the Answer to Rape in South Asia</w:t>
        </w:r>
      </w:hyperlink>
      <w:r w:rsidR="001312CF" w:rsidRPr="00273F93">
        <w:rPr>
          <w:i/>
          <w:iCs/>
          <w:sz w:val="20"/>
          <w:szCs w:val="20"/>
        </w:rPr>
        <w:t xml:space="preserve"> </w:t>
      </w:r>
      <w:r w:rsidR="001312CF" w:rsidRPr="00273F93">
        <w:rPr>
          <w:sz w:val="20"/>
          <w:szCs w:val="20"/>
        </w:rPr>
        <w:t xml:space="preserve">(2022),  available at: </w:t>
      </w:r>
      <w:hyperlink r:id="rId2" w:history="1">
        <w:r w:rsidR="001312CF" w:rsidRPr="00273F93">
          <w:rPr>
            <w:sz w:val="20"/>
            <w:szCs w:val="20"/>
          </w:rPr>
          <w:t>adpan.org/wp-content/uploads/2022/05/A-deadly-Distraction-2.pdf</w:t>
        </w:r>
      </w:hyperlink>
      <w:r w:rsidR="001312CF" w:rsidRPr="00273F93">
        <w:rPr>
          <w:sz w:val="20"/>
          <w:szCs w:val="20"/>
        </w:rPr>
        <w:t>.</w:t>
      </w:r>
    </w:p>
  </w:footnote>
  <w:footnote w:id="39">
    <w:p w14:paraId="6A71E56D" w14:textId="1B660955" w:rsidR="00CB453D" w:rsidRPr="008D206A" w:rsidRDefault="00CB453D">
      <w:pPr>
        <w:pStyle w:val="FootnoteText"/>
        <w:rPr>
          <w:sz w:val="20"/>
          <w:szCs w:val="20"/>
        </w:rPr>
      </w:pPr>
      <w:r w:rsidRPr="008D206A">
        <w:rPr>
          <w:rStyle w:val="FootnoteReference"/>
          <w:sz w:val="20"/>
          <w:szCs w:val="20"/>
        </w:rPr>
        <w:footnoteRef/>
      </w:r>
      <w:r w:rsidRPr="008D206A">
        <w:rPr>
          <w:sz w:val="20"/>
          <w:szCs w:val="20"/>
        </w:rPr>
        <w:t xml:space="preserve"> </w:t>
      </w:r>
      <w:r w:rsidRPr="008D206A">
        <w:rPr>
          <w:i/>
          <w:iCs/>
          <w:sz w:val="20"/>
          <w:szCs w:val="20"/>
        </w:rPr>
        <w:t>Id.</w:t>
      </w:r>
      <w:r w:rsidRPr="008D206A">
        <w:rPr>
          <w:sz w:val="20"/>
          <w:szCs w:val="20"/>
        </w:rPr>
        <w:t xml:space="preserve"> at </w:t>
      </w:r>
      <w:r w:rsidR="00907C0D" w:rsidRPr="008D206A">
        <w:rPr>
          <w:sz w:val="20"/>
          <w:szCs w:val="20"/>
        </w:rPr>
        <w:t>8-9</w:t>
      </w:r>
      <w:r w:rsidR="005E1D0C" w:rsidRPr="008D206A">
        <w:rPr>
          <w:sz w:val="20"/>
          <w:szCs w:val="20"/>
        </w:rPr>
        <w:t>, 59-61.</w:t>
      </w:r>
    </w:p>
  </w:footnote>
  <w:footnote w:id="40">
    <w:p w14:paraId="16D4AC73" w14:textId="605EF5C1" w:rsidR="00770453" w:rsidRPr="00273F93" w:rsidRDefault="00770453" w:rsidP="008D206A">
      <w:pPr>
        <w:pStyle w:val="FootnoteText"/>
        <w:rPr>
          <w:sz w:val="20"/>
          <w:szCs w:val="20"/>
        </w:rPr>
      </w:pPr>
      <w:r w:rsidRPr="00273F93">
        <w:rPr>
          <w:rStyle w:val="FootnoteReference"/>
          <w:sz w:val="20"/>
          <w:szCs w:val="20"/>
        </w:rPr>
        <w:footnoteRef/>
      </w:r>
      <w:r w:rsidRPr="00273F93">
        <w:rPr>
          <w:sz w:val="20"/>
          <w:szCs w:val="20"/>
        </w:rPr>
        <w:t xml:space="preserve"> The State of the World’s Human Rights, Amnesty International (2025) at 194, </w:t>
      </w:r>
      <w:r w:rsidRPr="00273F93">
        <w:rPr>
          <w:i/>
          <w:iCs/>
          <w:sz w:val="20"/>
          <w:szCs w:val="20"/>
        </w:rPr>
        <w:t>available at</w:t>
      </w:r>
      <w:r w:rsidRPr="00273F93">
        <w:rPr>
          <w:sz w:val="20"/>
          <w:szCs w:val="20"/>
        </w:rPr>
        <w:t xml:space="preserve"> https://</w:t>
      </w:r>
      <w:r w:rsidRPr="00273F93">
        <w:rPr>
          <w:sz w:val="20"/>
          <w:szCs w:val="20"/>
        </w:rPr>
        <w:br/>
        <w:t xml:space="preserve">www.amnesty.org/en/documents/pol10/8515/2025/en/. </w:t>
      </w:r>
    </w:p>
  </w:footnote>
  <w:footnote w:id="41">
    <w:p w14:paraId="77E880D4" w14:textId="759BA2E6" w:rsidR="00770453" w:rsidRPr="00273F93" w:rsidRDefault="00770453" w:rsidP="008D206A">
      <w:pPr>
        <w:pStyle w:val="FootnoteText"/>
        <w:rPr>
          <w:sz w:val="20"/>
          <w:szCs w:val="20"/>
        </w:rPr>
      </w:pPr>
      <w:r w:rsidRPr="00273F93">
        <w:rPr>
          <w:rStyle w:val="FootnoteReference"/>
          <w:sz w:val="20"/>
          <w:szCs w:val="20"/>
        </w:rPr>
        <w:footnoteRef/>
      </w:r>
      <w:r w:rsidRPr="00273F93">
        <w:rPr>
          <w:sz w:val="20"/>
          <w:szCs w:val="20"/>
        </w:rPr>
        <w:t xml:space="preserve"> </w:t>
      </w:r>
      <w:r w:rsidR="00670223">
        <w:rPr>
          <w:sz w:val="20"/>
          <w:szCs w:val="20"/>
        </w:rPr>
        <w:t>Ibid.</w:t>
      </w:r>
      <w:r w:rsidRPr="00273F93">
        <w:rPr>
          <w:sz w:val="20"/>
          <w:szCs w:val="20"/>
        </w:rPr>
        <w:t xml:space="preserve"> </w:t>
      </w:r>
    </w:p>
  </w:footnote>
  <w:footnote w:id="42">
    <w:p w14:paraId="0857E500" w14:textId="6EC5429E" w:rsidR="004D51DD" w:rsidRPr="00273F93" w:rsidRDefault="004D51DD" w:rsidP="008D206A">
      <w:pPr>
        <w:pStyle w:val="FootnoteText"/>
        <w:rPr>
          <w:sz w:val="20"/>
          <w:szCs w:val="20"/>
        </w:rPr>
      </w:pPr>
      <w:r w:rsidRPr="00273F93">
        <w:rPr>
          <w:rStyle w:val="FootnoteReference"/>
          <w:sz w:val="20"/>
          <w:szCs w:val="20"/>
        </w:rPr>
        <w:footnoteRef/>
      </w:r>
      <w:r w:rsidR="20EBB8F7" w:rsidRPr="00273F93">
        <w:rPr>
          <w:sz w:val="20"/>
          <w:szCs w:val="20"/>
        </w:rPr>
        <w:t xml:space="preserve"> </w:t>
      </w:r>
      <w:r w:rsidR="00707D36" w:rsidRPr="00273F93">
        <w:rPr>
          <w:sz w:val="20"/>
          <w:szCs w:val="20"/>
        </w:rPr>
        <w:t xml:space="preserve">Cornell Center on the Death Penalty Worldwide, Judged for More Than Her Crime: A Global Overview of Women Facing the Death Penalty (September 2018), at 25, </w:t>
      </w:r>
      <w:r w:rsidR="00707D36" w:rsidRPr="00273F93">
        <w:rPr>
          <w:i/>
          <w:iCs/>
          <w:sz w:val="20"/>
          <w:szCs w:val="20"/>
        </w:rPr>
        <w:t>available at</w:t>
      </w:r>
      <w:r w:rsidR="00707D36" w:rsidRPr="00273F93">
        <w:rPr>
          <w:sz w:val="20"/>
          <w:szCs w:val="20"/>
        </w:rPr>
        <w:t xml:space="preserve"> </w:t>
      </w:r>
      <w:r w:rsidR="006A5D33" w:rsidRPr="00273F93">
        <w:rPr>
          <w:sz w:val="20"/>
          <w:szCs w:val="20"/>
        </w:rPr>
        <w:t>https://dpw.lawschool.cornell.edu/wp-content/uploads/2019/12/Judged-More-Than-Her-Crime.pdf</w:t>
      </w:r>
      <w:r w:rsidR="009A3827" w:rsidRPr="00273F93">
        <w:rPr>
          <w:sz w:val="20"/>
          <w:szCs w:val="20"/>
        </w:rPr>
        <w:t>.</w:t>
      </w:r>
    </w:p>
  </w:footnote>
  <w:footnote w:id="43">
    <w:p w14:paraId="2EF8D68A" w14:textId="11F9FF37" w:rsidR="007C7CCE" w:rsidRPr="00273F93" w:rsidRDefault="007C7CCE" w:rsidP="008D206A">
      <w:pPr>
        <w:pStyle w:val="FootnoteText"/>
        <w:rPr>
          <w:sz w:val="20"/>
          <w:szCs w:val="20"/>
        </w:rPr>
      </w:pPr>
      <w:r w:rsidRPr="00273F93">
        <w:rPr>
          <w:rStyle w:val="FootnoteReference"/>
          <w:sz w:val="20"/>
          <w:szCs w:val="20"/>
        </w:rPr>
        <w:footnoteRef/>
      </w:r>
      <w:r w:rsidRPr="00273F93">
        <w:rPr>
          <w:sz w:val="20"/>
          <w:szCs w:val="20"/>
        </w:rPr>
        <w:t xml:space="preserve"> </w:t>
      </w:r>
      <w:r w:rsidR="00670223">
        <w:rPr>
          <w:sz w:val="20"/>
          <w:szCs w:val="20"/>
        </w:rPr>
        <w:t>Ibid.</w:t>
      </w:r>
    </w:p>
  </w:footnote>
  <w:footnote w:id="44">
    <w:p w14:paraId="6A714F11" w14:textId="3EC09AAD" w:rsidR="00546258" w:rsidRPr="00273F93" w:rsidRDefault="00546258" w:rsidP="008D206A">
      <w:pPr>
        <w:pStyle w:val="FootnoteText"/>
        <w:rPr>
          <w:sz w:val="20"/>
          <w:szCs w:val="20"/>
        </w:rPr>
      </w:pPr>
      <w:r w:rsidRPr="00273F93">
        <w:rPr>
          <w:rStyle w:val="FootnoteReference"/>
          <w:sz w:val="20"/>
          <w:szCs w:val="20"/>
        </w:rPr>
        <w:footnoteRef/>
      </w:r>
      <w:r w:rsidRPr="00273F93">
        <w:rPr>
          <w:sz w:val="20"/>
          <w:szCs w:val="20"/>
        </w:rPr>
        <w:t xml:space="preserve"> The Bharatiya Nyaya Sanhita, 2023, ch. V, sec. 63.</w:t>
      </w:r>
    </w:p>
  </w:footnote>
  <w:footnote w:id="45">
    <w:p w14:paraId="17F31D83" w14:textId="7DFAB370" w:rsidR="00546258" w:rsidRPr="00273F93" w:rsidRDefault="00546258" w:rsidP="008D206A">
      <w:pPr>
        <w:pStyle w:val="FootnoteText"/>
        <w:rPr>
          <w:sz w:val="20"/>
          <w:szCs w:val="20"/>
        </w:rPr>
      </w:pPr>
      <w:r w:rsidRPr="00273F93">
        <w:rPr>
          <w:rStyle w:val="FootnoteReference"/>
          <w:sz w:val="20"/>
          <w:szCs w:val="20"/>
        </w:rPr>
        <w:footnoteRef/>
      </w:r>
      <w:r w:rsidRPr="00273F93">
        <w:rPr>
          <w:sz w:val="20"/>
          <w:szCs w:val="20"/>
        </w:rPr>
        <w:t xml:space="preserve"> Arshad R. Rargar, </w:t>
      </w:r>
      <w:r w:rsidRPr="00273F93">
        <w:rPr>
          <w:i/>
          <w:iCs/>
          <w:sz w:val="20"/>
          <w:szCs w:val="20"/>
        </w:rPr>
        <w:t>India's government formally opposes bid to criminalize marital rape</w:t>
      </w:r>
      <w:r w:rsidRPr="00273F93">
        <w:rPr>
          <w:sz w:val="20"/>
          <w:szCs w:val="20"/>
        </w:rPr>
        <w:t>, CBS NEWS</w:t>
      </w:r>
      <w:r w:rsidR="00445544" w:rsidRPr="00273F93">
        <w:rPr>
          <w:sz w:val="20"/>
          <w:szCs w:val="20"/>
        </w:rPr>
        <w:t xml:space="preserve"> (</w:t>
      </w:r>
      <w:r w:rsidRPr="00273F93">
        <w:rPr>
          <w:sz w:val="20"/>
          <w:szCs w:val="20"/>
        </w:rPr>
        <w:t>Oct. 24, 2024</w:t>
      </w:r>
      <w:r w:rsidR="00445544" w:rsidRPr="00273F93">
        <w:rPr>
          <w:sz w:val="20"/>
          <w:szCs w:val="20"/>
        </w:rPr>
        <w:t>)</w:t>
      </w:r>
      <w:r w:rsidRPr="00273F93">
        <w:rPr>
          <w:sz w:val="20"/>
          <w:szCs w:val="20"/>
        </w:rPr>
        <w:t xml:space="preserve">, </w:t>
      </w:r>
      <w:r w:rsidR="00445544" w:rsidRPr="00273F93">
        <w:rPr>
          <w:sz w:val="20"/>
          <w:szCs w:val="20"/>
        </w:rPr>
        <w:t>https://www.cbsnews.com/news/india-rape-in-marriage-government-opposes-update-law/</w:t>
      </w:r>
      <w:r w:rsidR="009A3827" w:rsidRPr="00273F93">
        <w:rPr>
          <w:sz w:val="20"/>
          <w:szCs w:val="20"/>
        </w:rPr>
        <w:t>.</w:t>
      </w:r>
    </w:p>
  </w:footnote>
  <w:footnote w:id="46">
    <w:p w14:paraId="27C2F0A4" w14:textId="15C2D2AA" w:rsidR="004B0F45" w:rsidRPr="00273F93" w:rsidRDefault="004B0F45" w:rsidP="008D206A">
      <w:pPr>
        <w:pStyle w:val="FootnoteText"/>
        <w:rPr>
          <w:sz w:val="20"/>
          <w:szCs w:val="20"/>
        </w:rPr>
      </w:pPr>
      <w:r w:rsidRPr="00273F93">
        <w:rPr>
          <w:rStyle w:val="FootnoteReference"/>
          <w:sz w:val="20"/>
          <w:szCs w:val="20"/>
        </w:rPr>
        <w:footnoteRef/>
      </w:r>
      <w:r w:rsidRPr="00273F93">
        <w:rPr>
          <w:sz w:val="20"/>
          <w:szCs w:val="20"/>
        </w:rPr>
        <w:t xml:space="preserve"> Committee on the Elimination of Discrimination against Women, </w:t>
      </w:r>
      <w:r w:rsidRPr="00273F93">
        <w:rPr>
          <w:i/>
          <w:iCs/>
          <w:sz w:val="20"/>
          <w:szCs w:val="20"/>
        </w:rPr>
        <w:t>Concluding observations on the combined fourth and fifth periodic reports of India</w:t>
      </w:r>
      <w:r w:rsidRPr="00273F93">
        <w:rPr>
          <w:sz w:val="20"/>
          <w:szCs w:val="20"/>
        </w:rPr>
        <w:t>, UN Doc. No. CEDAW/C/IND/CO/4-5, ¶ 20 (Jul. 24, 2014).</w:t>
      </w:r>
    </w:p>
  </w:footnote>
  <w:footnote w:id="47">
    <w:p w14:paraId="3997FCCA" w14:textId="17AE5A8E" w:rsidR="004B0F45" w:rsidRPr="00273F93" w:rsidRDefault="004B0F45" w:rsidP="008D206A">
      <w:pPr>
        <w:pStyle w:val="FootnoteText"/>
        <w:rPr>
          <w:sz w:val="20"/>
          <w:szCs w:val="20"/>
        </w:rPr>
      </w:pPr>
      <w:r w:rsidRPr="00273F93">
        <w:rPr>
          <w:rStyle w:val="FootnoteReference"/>
          <w:sz w:val="20"/>
          <w:szCs w:val="20"/>
        </w:rPr>
        <w:footnoteRef/>
      </w:r>
      <w:r w:rsidRPr="00273F93">
        <w:rPr>
          <w:sz w:val="20"/>
          <w:szCs w:val="20"/>
        </w:rPr>
        <w:t xml:space="preserve"> </w:t>
      </w:r>
      <w:r w:rsidR="00A64D7F">
        <w:rPr>
          <w:i/>
          <w:iCs/>
          <w:sz w:val="20"/>
          <w:szCs w:val="20"/>
        </w:rPr>
        <w:t>Id.</w:t>
      </w:r>
      <w:r w:rsidR="00A64D7F">
        <w:rPr>
          <w:sz w:val="20"/>
          <w:szCs w:val="20"/>
        </w:rPr>
        <w:t xml:space="preserve"> </w:t>
      </w:r>
      <w:r w:rsidRPr="00273F93">
        <w:rPr>
          <w:sz w:val="20"/>
          <w:szCs w:val="20"/>
        </w:rPr>
        <w:t>¶ 21.</w:t>
      </w:r>
    </w:p>
  </w:footnote>
  <w:footnote w:id="48">
    <w:p w14:paraId="3A31C867" w14:textId="7197B850" w:rsidR="001D6D0A" w:rsidRPr="00273F93" w:rsidRDefault="001D6D0A" w:rsidP="008D206A">
      <w:pPr>
        <w:pStyle w:val="FootnoteText"/>
        <w:rPr>
          <w:sz w:val="20"/>
          <w:szCs w:val="20"/>
        </w:rPr>
      </w:pPr>
      <w:r w:rsidRPr="00273F93">
        <w:rPr>
          <w:rStyle w:val="FootnoteReference"/>
          <w:sz w:val="20"/>
          <w:szCs w:val="20"/>
        </w:rPr>
        <w:footnoteRef/>
      </w:r>
      <w:r w:rsidRPr="00273F93">
        <w:rPr>
          <w:sz w:val="20"/>
          <w:szCs w:val="20"/>
        </w:rPr>
        <w:t xml:space="preserve"> </w:t>
      </w:r>
      <w:r w:rsidR="00A64D7F">
        <w:rPr>
          <w:i/>
          <w:iCs/>
          <w:sz w:val="20"/>
          <w:szCs w:val="20"/>
        </w:rPr>
        <w:t>Id.</w:t>
      </w:r>
      <w:r w:rsidR="00A64D7F">
        <w:rPr>
          <w:sz w:val="20"/>
          <w:szCs w:val="20"/>
        </w:rPr>
        <w:t xml:space="preserve"> </w:t>
      </w:r>
      <w:r w:rsidRPr="00273F93">
        <w:rPr>
          <w:sz w:val="20"/>
          <w:szCs w:val="20"/>
        </w:rPr>
        <w:t>¶</w:t>
      </w:r>
      <w:r w:rsidR="00A64D7F" w:rsidRPr="00273F93">
        <w:rPr>
          <w:sz w:val="20"/>
          <w:szCs w:val="20"/>
        </w:rPr>
        <w:t>¶</w:t>
      </w:r>
      <w:r w:rsidRPr="00273F93">
        <w:rPr>
          <w:sz w:val="20"/>
          <w:szCs w:val="20"/>
        </w:rPr>
        <w:t xml:space="preserve"> 34-35.</w:t>
      </w:r>
    </w:p>
  </w:footnote>
  <w:footnote w:id="49">
    <w:p w14:paraId="0C89FCFE" w14:textId="7664C7AD" w:rsidR="000872B7" w:rsidRPr="00273F93" w:rsidRDefault="000872B7" w:rsidP="008D206A">
      <w:pPr>
        <w:pStyle w:val="FootnoteText"/>
        <w:rPr>
          <w:sz w:val="20"/>
          <w:szCs w:val="20"/>
        </w:rPr>
      </w:pPr>
      <w:r w:rsidRPr="00273F93">
        <w:rPr>
          <w:rStyle w:val="FootnoteReference"/>
          <w:sz w:val="20"/>
          <w:szCs w:val="20"/>
        </w:rPr>
        <w:footnoteRef/>
      </w:r>
      <w:r w:rsidRPr="00273F93">
        <w:rPr>
          <w:sz w:val="20"/>
          <w:szCs w:val="20"/>
        </w:rPr>
        <w:t xml:space="preserve"> </w:t>
      </w:r>
      <w:r w:rsidR="00A64D7F">
        <w:rPr>
          <w:i/>
          <w:iCs/>
          <w:sz w:val="20"/>
          <w:szCs w:val="20"/>
        </w:rPr>
        <w:t>Id.</w:t>
      </w:r>
      <w:r w:rsidR="00A64D7F">
        <w:rPr>
          <w:sz w:val="20"/>
          <w:szCs w:val="20"/>
        </w:rPr>
        <w:t xml:space="preserve"> </w:t>
      </w:r>
      <w:r w:rsidRPr="00273F93">
        <w:rPr>
          <w:sz w:val="20"/>
          <w:szCs w:val="20"/>
        </w:rPr>
        <w:t>¶ 4</w:t>
      </w:r>
      <w:r w:rsidR="00B3020A" w:rsidRPr="00273F93">
        <w:rPr>
          <w:sz w:val="20"/>
          <w:szCs w:val="20"/>
        </w:rPr>
        <w:t>0</w:t>
      </w:r>
      <w:r w:rsidRPr="00273F93">
        <w:rPr>
          <w:sz w:val="20"/>
          <w:szCs w:val="20"/>
        </w:rPr>
        <w:t>.</w:t>
      </w:r>
    </w:p>
  </w:footnote>
  <w:footnote w:id="50">
    <w:p w14:paraId="5C4576B3" w14:textId="0033FEA0" w:rsidR="000E4EEC" w:rsidRPr="00273F93" w:rsidRDefault="000E4EEC" w:rsidP="008D206A">
      <w:pPr>
        <w:pStyle w:val="FootnoteText"/>
        <w:rPr>
          <w:sz w:val="20"/>
          <w:szCs w:val="20"/>
        </w:rPr>
      </w:pPr>
      <w:r w:rsidRPr="00273F93">
        <w:rPr>
          <w:rStyle w:val="FootnoteReference"/>
          <w:sz w:val="20"/>
          <w:szCs w:val="20"/>
        </w:rPr>
        <w:footnoteRef/>
      </w:r>
      <w:r w:rsidRPr="00273F93">
        <w:rPr>
          <w:sz w:val="20"/>
          <w:szCs w:val="20"/>
        </w:rPr>
        <w:t xml:space="preserve"> </w:t>
      </w:r>
      <w:r w:rsidR="00A64D7F">
        <w:rPr>
          <w:i/>
          <w:iCs/>
          <w:sz w:val="20"/>
          <w:szCs w:val="20"/>
        </w:rPr>
        <w:t>Id.</w:t>
      </w:r>
      <w:r w:rsidR="00A64D7F">
        <w:rPr>
          <w:sz w:val="20"/>
          <w:szCs w:val="20"/>
        </w:rPr>
        <w:t xml:space="preserve"> </w:t>
      </w:r>
      <w:r w:rsidRPr="00273F93">
        <w:rPr>
          <w:sz w:val="20"/>
          <w:szCs w:val="20"/>
        </w:rPr>
        <w:t>¶ 20.</w:t>
      </w:r>
    </w:p>
  </w:footnote>
  <w:footnote w:id="51">
    <w:p w14:paraId="300CAA21" w14:textId="65BBE54A" w:rsidR="00342C79" w:rsidRPr="00273F93" w:rsidRDefault="00342C79" w:rsidP="008D206A">
      <w:pPr>
        <w:pStyle w:val="FootnoteText"/>
        <w:rPr>
          <w:sz w:val="20"/>
          <w:szCs w:val="20"/>
        </w:rPr>
      </w:pPr>
      <w:r w:rsidRPr="00273F93">
        <w:rPr>
          <w:rStyle w:val="FootnoteReference"/>
          <w:sz w:val="20"/>
          <w:szCs w:val="20"/>
        </w:rPr>
        <w:footnoteRef/>
      </w:r>
      <w:r w:rsidRPr="00273F93">
        <w:rPr>
          <w:sz w:val="20"/>
          <w:szCs w:val="20"/>
        </w:rPr>
        <w:t xml:space="preserve"> United Nations Treaty Collection, Chapter IV, Human Rights, 8. Convention on the Elimination of All Forms of Discrimination against Women, UN, </w:t>
      </w:r>
      <w:r w:rsidR="009A3827" w:rsidRPr="00273F93">
        <w:rPr>
          <w:sz w:val="20"/>
          <w:szCs w:val="20"/>
        </w:rPr>
        <w:t>https://treaties.un.org/Pages/ ViewDetails.aspx?src=TREATY&amp;mtdsg_</w:t>
      </w:r>
      <w:r w:rsidR="009A3827" w:rsidRPr="00273F93">
        <w:rPr>
          <w:sz w:val="20"/>
          <w:szCs w:val="20"/>
        </w:rPr>
        <w:br/>
        <w:t>no=IV-8&amp;chapter=4&amp;clang=_en#EndDec</w:t>
      </w:r>
      <w:r w:rsidRPr="00273F93">
        <w:rPr>
          <w:sz w:val="20"/>
          <w:szCs w:val="20"/>
        </w:rPr>
        <w:t xml:space="preserve"> (Status as at Aug 1, 2025, 09:16:04 EDT).</w:t>
      </w:r>
    </w:p>
  </w:footnote>
  <w:footnote w:id="52">
    <w:p w14:paraId="29A4E74A" w14:textId="745830D1" w:rsidR="003B0356" w:rsidRPr="00273F93" w:rsidRDefault="003B0356"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7, </w:t>
      </w:r>
      <w:r w:rsidRPr="00273F93">
        <w:rPr>
          <w:i/>
          <w:iCs/>
          <w:sz w:val="20"/>
          <w:szCs w:val="20"/>
        </w:rPr>
        <w:t>available a</w:t>
      </w:r>
      <w:r w:rsidR="00445544" w:rsidRPr="00273F93">
        <w:rPr>
          <w:i/>
          <w:iCs/>
          <w:sz w:val="20"/>
          <w:szCs w:val="20"/>
        </w:rPr>
        <w:t>t</w:t>
      </w:r>
      <w:r w:rsidRPr="00273F93">
        <w:rPr>
          <w:sz w:val="20"/>
          <w:szCs w:val="20"/>
        </w:rPr>
        <w:t xml:space="preserve"> </w:t>
      </w:r>
      <w:r w:rsidR="006A5D33" w:rsidRPr="00273F93">
        <w:rPr>
          <w:sz w:val="20"/>
          <w:szCs w:val="20"/>
        </w:rPr>
        <w:t>https://dpw.lawschool.cornell.edu/wp-content/uploads/2019/12/Judged-More-Than-Her-Crime.pdf</w:t>
      </w:r>
      <w:r w:rsidR="00486C60" w:rsidRPr="008D206A">
        <w:rPr>
          <w:sz w:val="20"/>
          <w:szCs w:val="20"/>
        </w:rPr>
        <w:t>.</w:t>
      </w:r>
    </w:p>
  </w:footnote>
  <w:footnote w:id="53">
    <w:p w14:paraId="55CC1203" w14:textId="2AD38A71" w:rsidR="00614150" w:rsidRPr="00273F93" w:rsidRDefault="00614150" w:rsidP="008D206A">
      <w:pPr>
        <w:pStyle w:val="FootnoteText"/>
        <w:rPr>
          <w:sz w:val="20"/>
          <w:szCs w:val="20"/>
        </w:rPr>
      </w:pPr>
      <w:r w:rsidRPr="00273F93">
        <w:rPr>
          <w:rStyle w:val="FootnoteReference"/>
          <w:sz w:val="20"/>
          <w:szCs w:val="20"/>
        </w:rPr>
        <w:footnoteRef/>
      </w:r>
      <w:r w:rsidRPr="00273F93">
        <w:rPr>
          <w:sz w:val="20"/>
          <w:szCs w:val="20"/>
        </w:rPr>
        <w:t xml:space="preserve"> </w:t>
      </w:r>
      <w:r w:rsidR="00100C00">
        <w:rPr>
          <w:sz w:val="20"/>
          <w:szCs w:val="20"/>
        </w:rPr>
        <w:t>Ibid.</w:t>
      </w:r>
    </w:p>
  </w:footnote>
  <w:footnote w:id="54">
    <w:p w14:paraId="53EAE282" w14:textId="40E8DAA0" w:rsidR="00100ED2" w:rsidRPr="00273F93" w:rsidRDefault="00100ED2" w:rsidP="008D206A">
      <w:pPr>
        <w:pStyle w:val="FootnoteText"/>
        <w:rPr>
          <w:sz w:val="20"/>
          <w:szCs w:val="20"/>
        </w:rPr>
      </w:pPr>
      <w:r w:rsidRPr="00273F93">
        <w:rPr>
          <w:rStyle w:val="FootnoteReference"/>
          <w:sz w:val="20"/>
          <w:szCs w:val="20"/>
        </w:rPr>
        <w:footnoteRef/>
      </w:r>
      <w:r w:rsidRPr="00273F93">
        <w:rPr>
          <w:sz w:val="20"/>
          <w:szCs w:val="20"/>
        </w:rPr>
        <w:t xml:space="preserve"> </w:t>
      </w:r>
      <w:r w:rsidR="00100C00">
        <w:rPr>
          <w:sz w:val="20"/>
          <w:szCs w:val="20"/>
        </w:rPr>
        <w:t>Ibid.</w:t>
      </w:r>
    </w:p>
  </w:footnote>
  <w:footnote w:id="55">
    <w:p w14:paraId="2517CE4A" w14:textId="4017FD33" w:rsidR="002061C3" w:rsidRPr="00273F93" w:rsidRDefault="002061C3" w:rsidP="008D206A">
      <w:pPr>
        <w:pStyle w:val="FootnoteText"/>
        <w:rPr>
          <w:sz w:val="20"/>
          <w:szCs w:val="20"/>
        </w:rPr>
      </w:pPr>
      <w:r w:rsidRPr="00273F93">
        <w:rPr>
          <w:rStyle w:val="FootnoteReference"/>
          <w:sz w:val="20"/>
          <w:szCs w:val="20"/>
        </w:rPr>
        <w:footnoteRef/>
      </w:r>
      <w:r w:rsidRPr="00273F93">
        <w:rPr>
          <w:sz w:val="20"/>
          <w:szCs w:val="20"/>
        </w:rPr>
        <w:t xml:space="preserve"> Project39A, National Law University, Delhi, Death Penalty in India - Annual Statistics Report 2024 (2025) at 22</w:t>
      </w:r>
      <w:r w:rsidR="009A3827" w:rsidRPr="00273F93">
        <w:rPr>
          <w:sz w:val="20"/>
          <w:szCs w:val="20"/>
        </w:rPr>
        <w:t>.</w:t>
      </w:r>
    </w:p>
  </w:footnote>
  <w:footnote w:id="56">
    <w:p w14:paraId="1D51C347" w14:textId="4533319A" w:rsidR="002061C3" w:rsidRPr="00273F93" w:rsidRDefault="002061C3" w:rsidP="008D206A">
      <w:pPr>
        <w:pStyle w:val="FootnoteText"/>
        <w:rPr>
          <w:sz w:val="20"/>
          <w:szCs w:val="20"/>
        </w:rPr>
      </w:pPr>
      <w:r w:rsidRPr="00273F93">
        <w:rPr>
          <w:rStyle w:val="FootnoteReference"/>
          <w:sz w:val="20"/>
          <w:szCs w:val="20"/>
        </w:rPr>
        <w:footnoteRef/>
      </w:r>
      <w:r w:rsidRPr="00273F93">
        <w:rPr>
          <w:sz w:val="20"/>
          <w:szCs w:val="20"/>
        </w:rPr>
        <w:t xml:space="preserve"> </w:t>
      </w:r>
      <w:r w:rsidR="00100C00">
        <w:rPr>
          <w:i/>
          <w:iCs/>
          <w:sz w:val="20"/>
          <w:szCs w:val="20"/>
        </w:rPr>
        <w:t>Id.</w:t>
      </w:r>
      <w:r w:rsidR="00100C00">
        <w:rPr>
          <w:sz w:val="20"/>
          <w:szCs w:val="20"/>
        </w:rPr>
        <w:t xml:space="preserve"> </w:t>
      </w:r>
      <w:r w:rsidRPr="00273F93">
        <w:rPr>
          <w:sz w:val="20"/>
          <w:szCs w:val="20"/>
        </w:rPr>
        <w:t>at 23</w:t>
      </w:r>
      <w:r w:rsidR="009A3827" w:rsidRPr="00273F93">
        <w:rPr>
          <w:sz w:val="20"/>
          <w:szCs w:val="20"/>
        </w:rPr>
        <w:t>.</w:t>
      </w:r>
    </w:p>
  </w:footnote>
  <w:footnote w:id="57">
    <w:p w14:paraId="721E11D7" w14:textId="5802A9B3" w:rsidR="00E32DAB" w:rsidRPr="00273F93" w:rsidRDefault="00E32DAB"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18, </w:t>
      </w:r>
      <w:r w:rsidRPr="00273F93">
        <w:rPr>
          <w:i/>
          <w:iCs/>
          <w:sz w:val="20"/>
          <w:szCs w:val="20"/>
        </w:rPr>
        <w:t>available at</w:t>
      </w:r>
      <w:r w:rsidRPr="00273F93">
        <w:rPr>
          <w:sz w:val="20"/>
          <w:szCs w:val="20"/>
        </w:rPr>
        <w:t xml:space="preserve"> https://dpw.lawschool.cornell.edu/wp-content/uploads/2019/12/Judged-More-Than-Her-Crime.pdf.</w:t>
      </w:r>
    </w:p>
  </w:footnote>
  <w:footnote w:id="58">
    <w:p w14:paraId="069F519B" w14:textId="4218BB89" w:rsidR="00E32DAB" w:rsidRPr="00273F93" w:rsidRDefault="00E32DAB" w:rsidP="008D206A">
      <w:pPr>
        <w:pStyle w:val="FootnoteText"/>
        <w:rPr>
          <w:sz w:val="20"/>
          <w:szCs w:val="20"/>
        </w:rPr>
      </w:pPr>
      <w:r w:rsidRPr="00273F93">
        <w:rPr>
          <w:rStyle w:val="FootnoteReference"/>
          <w:sz w:val="20"/>
          <w:szCs w:val="20"/>
        </w:rPr>
        <w:footnoteRef/>
      </w:r>
      <w:r w:rsidRPr="00273F93">
        <w:rPr>
          <w:sz w:val="20"/>
          <w:szCs w:val="20"/>
        </w:rPr>
        <w:t xml:space="preserve"> </w:t>
      </w:r>
      <w:r w:rsidR="00100C00">
        <w:rPr>
          <w:i/>
          <w:iCs/>
          <w:sz w:val="20"/>
          <w:szCs w:val="20"/>
        </w:rPr>
        <w:t>Id.</w:t>
      </w:r>
      <w:r w:rsidR="00100C00">
        <w:rPr>
          <w:sz w:val="20"/>
          <w:szCs w:val="20"/>
        </w:rPr>
        <w:t xml:space="preserve"> at 25.</w:t>
      </w:r>
    </w:p>
  </w:footnote>
  <w:footnote w:id="59">
    <w:p w14:paraId="290A5B63" w14:textId="49DF504F" w:rsidR="00E32DAB" w:rsidRPr="00273F93" w:rsidRDefault="00E32DAB" w:rsidP="008D206A">
      <w:pPr>
        <w:pStyle w:val="FootnoteText"/>
        <w:rPr>
          <w:sz w:val="20"/>
          <w:szCs w:val="20"/>
        </w:rPr>
      </w:pPr>
      <w:r w:rsidRPr="00273F93">
        <w:rPr>
          <w:rStyle w:val="FootnoteReference"/>
          <w:sz w:val="20"/>
          <w:szCs w:val="20"/>
        </w:rPr>
        <w:footnoteRef/>
      </w:r>
      <w:r w:rsidRPr="00273F93">
        <w:rPr>
          <w:sz w:val="20"/>
          <w:szCs w:val="20"/>
        </w:rPr>
        <w:t xml:space="preserve"> Centre on the Death Penalty National Law University, Delhi, Death Penalty India Report Summary (2016) at 20, 42, </w:t>
      </w:r>
      <w:r w:rsidRPr="00273F93">
        <w:rPr>
          <w:i/>
          <w:iCs/>
          <w:sz w:val="20"/>
          <w:szCs w:val="20"/>
        </w:rPr>
        <w:t xml:space="preserve">available at </w:t>
      </w:r>
      <w:r w:rsidRPr="00273F93">
        <w:rPr>
          <w:sz w:val="20"/>
          <w:szCs w:val="20"/>
        </w:rPr>
        <w:t>https://static1.squarespace.com/static/5a843a9a9f07f5ccd61685f3/t/5b4ced7b1ae6cfe4db49</w:t>
      </w:r>
      <w:r w:rsidRPr="00273F93">
        <w:rPr>
          <w:sz w:val="20"/>
          <w:szCs w:val="20"/>
        </w:rPr>
        <w:br/>
        <w:t>4040/1531768280079/Death+Penalty+India+Report_Summary.pdf.</w:t>
      </w:r>
    </w:p>
  </w:footnote>
  <w:footnote w:id="60">
    <w:p w14:paraId="02C1D874" w14:textId="1718C2DD" w:rsidR="005A1D4F" w:rsidRPr="00273F93" w:rsidRDefault="005A1D4F" w:rsidP="008D206A">
      <w:pPr>
        <w:pStyle w:val="FootnoteText"/>
        <w:rPr>
          <w:sz w:val="20"/>
          <w:szCs w:val="20"/>
        </w:rPr>
      </w:pPr>
      <w:r w:rsidRPr="00273F93">
        <w:rPr>
          <w:rStyle w:val="FootnoteReference"/>
          <w:sz w:val="20"/>
          <w:szCs w:val="20"/>
        </w:rPr>
        <w:footnoteRef/>
      </w:r>
      <w:r w:rsidRPr="00273F93">
        <w:rPr>
          <w:sz w:val="20"/>
          <w:szCs w:val="20"/>
        </w:rPr>
        <w:t xml:space="preserve"> </w:t>
      </w:r>
      <w:r w:rsidR="006A5D33" w:rsidRPr="00273F93">
        <w:rPr>
          <w:sz w:val="20"/>
          <w:szCs w:val="20"/>
        </w:rPr>
        <w:t xml:space="preserve">Cornell Center on the Death Penalty Worldwide, Judged for More Than Her Crime: A Global Overview of Women Facing the Death Penalty (September 2018), at 25, </w:t>
      </w:r>
      <w:r w:rsidR="006A5D33" w:rsidRPr="00273F93">
        <w:rPr>
          <w:i/>
          <w:iCs/>
          <w:sz w:val="20"/>
          <w:szCs w:val="20"/>
        </w:rPr>
        <w:t>available at</w:t>
      </w:r>
      <w:r w:rsidR="006A5D33" w:rsidRPr="00273F93">
        <w:rPr>
          <w:sz w:val="20"/>
          <w:szCs w:val="20"/>
        </w:rPr>
        <w:t xml:space="preserve"> https://dpw.lawschool.cornell.edu/wp-content/uploads/2019/12/Judged-More-Than-Her-Crime.pdf</w:t>
      </w:r>
      <w:r w:rsidR="009A3827" w:rsidRPr="00273F93">
        <w:rPr>
          <w:sz w:val="20"/>
          <w:szCs w:val="20"/>
        </w:rPr>
        <w:t>.</w:t>
      </w:r>
    </w:p>
  </w:footnote>
  <w:footnote w:id="61">
    <w:p w14:paraId="3FAFCE38" w14:textId="18DC86BC" w:rsidR="008D2F77" w:rsidRPr="00273F93" w:rsidRDefault="008D2F77" w:rsidP="008D206A">
      <w:pPr>
        <w:pStyle w:val="FootnoteText"/>
        <w:rPr>
          <w:sz w:val="20"/>
          <w:szCs w:val="20"/>
        </w:rPr>
      </w:pPr>
      <w:r w:rsidRPr="00273F93">
        <w:rPr>
          <w:rStyle w:val="FootnoteReference"/>
          <w:sz w:val="20"/>
          <w:szCs w:val="20"/>
        </w:rPr>
        <w:footnoteRef/>
      </w:r>
      <w:r w:rsidRPr="00273F93">
        <w:rPr>
          <w:sz w:val="20"/>
          <w:szCs w:val="20"/>
        </w:rPr>
        <w:t xml:space="preserve"> </w:t>
      </w:r>
      <w:r w:rsidR="00A93662">
        <w:rPr>
          <w:sz w:val="20"/>
          <w:szCs w:val="20"/>
        </w:rPr>
        <w:t>Ibid.</w:t>
      </w:r>
    </w:p>
  </w:footnote>
  <w:footnote w:id="62">
    <w:p w14:paraId="144C5EA9" w14:textId="5F29A466" w:rsidR="008B6371" w:rsidRPr="00273F93" w:rsidRDefault="008B6371" w:rsidP="008D206A">
      <w:pPr>
        <w:pStyle w:val="FootnoteText"/>
        <w:rPr>
          <w:sz w:val="20"/>
          <w:szCs w:val="20"/>
        </w:rPr>
      </w:pPr>
      <w:r w:rsidRPr="00273F93">
        <w:rPr>
          <w:rStyle w:val="FootnoteReference"/>
          <w:sz w:val="20"/>
          <w:szCs w:val="20"/>
        </w:rPr>
        <w:footnoteRef/>
      </w:r>
      <w:r w:rsidRPr="00273F93">
        <w:rPr>
          <w:sz w:val="20"/>
          <w:szCs w:val="20"/>
        </w:rPr>
        <w:t xml:space="preserve"> National Law University Delhi Project 39A, Research Report to the Cornell Center on the Death Penalty, Nov. 8, 2017.</w:t>
      </w:r>
    </w:p>
  </w:footnote>
  <w:footnote w:id="63">
    <w:p w14:paraId="5457ECF5" w14:textId="5B94CF8B" w:rsidR="00116B25" w:rsidRPr="00273F93" w:rsidRDefault="00116B25"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25, </w:t>
      </w:r>
      <w:r w:rsidRPr="00273F93">
        <w:rPr>
          <w:i/>
          <w:iCs/>
          <w:sz w:val="20"/>
          <w:szCs w:val="20"/>
        </w:rPr>
        <w:t>available at</w:t>
      </w:r>
      <w:r w:rsidRPr="00273F93">
        <w:rPr>
          <w:sz w:val="20"/>
          <w:szCs w:val="20"/>
        </w:rPr>
        <w:t xml:space="preserve"> </w:t>
      </w:r>
      <w:r w:rsidR="00445544" w:rsidRPr="00273F93">
        <w:rPr>
          <w:sz w:val="20"/>
          <w:szCs w:val="20"/>
        </w:rPr>
        <w:t>https://dpw.lawschool.cornell.edu/wp-content/uploads/2019/12/Judged-More-Than-Her-Crime.pdf</w:t>
      </w:r>
      <w:r w:rsidR="009A3827" w:rsidRPr="00273F93">
        <w:rPr>
          <w:sz w:val="20"/>
          <w:szCs w:val="20"/>
        </w:rPr>
        <w:t>.</w:t>
      </w:r>
    </w:p>
  </w:footnote>
  <w:footnote w:id="64">
    <w:p w14:paraId="49158675" w14:textId="272F87D5" w:rsidR="00121E94" w:rsidRPr="00273F93" w:rsidRDefault="00121E94" w:rsidP="008D206A">
      <w:pPr>
        <w:pStyle w:val="FootnoteText"/>
        <w:rPr>
          <w:sz w:val="20"/>
          <w:szCs w:val="20"/>
        </w:rPr>
      </w:pPr>
      <w:r w:rsidRPr="00273F93">
        <w:rPr>
          <w:rStyle w:val="FootnoteReference"/>
          <w:sz w:val="20"/>
          <w:szCs w:val="20"/>
        </w:rPr>
        <w:footnoteRef/>
      </w:r>
      <w:r w:rsidRPr="00273F93">
        <w:rPr>
          <w:sz w:val="20"/>
          <w:szCs w:val="20"/>
        </w:rPr>
        <w:t xml:space="preserve"> </w:t>
      </w:r>
      <w:r w:rsidR="00A93662">
        <w:rPr>
          <w:sz w:val="20"/>
          <w:szCs w:val="20"/>
        </w:rPr>
        <w:t>Ibid.</w:t>
      </w:r>
    </w:p>
  </w:footnote>
  <w:footnote w:id="65">
    <w:p w14:paraId="7B6E1C37" w14:textId="4B90EFC1" w:rsidR="009252B9" w:rsidRDefault="009252B9">
      <w:pPr>
        <w:pStyle w:val="FootnoteText"/>
      </w:pPr>
      <w:r>
        <w:rPr>
          <w:rStyle w:val="FootnoteReference"/>
        </w:rPr>
        <w:footnoteRef/>
      </w:r>
      <w:r>
        <w:t xml:space="preserve"> </w:t>
      </w:r>
      <w:r w:rsidRPr="008D206A">
        <w:rPr>
          <w:sz w:val="20"/>
          <w:szCs w:val="20"/>
        </w:rPr>
        <w:t>Ibid.</w:t>
      </w:r>
    </w:p>
  </w:footnote>
  <w:footnote w:id="66">
    <w:p w14:paraId="155DC492" w14:textId="657AC3A1" w:rsidR="004D2F42" w:rsidRPr="00273F93" w:rsidRDefault="004D2F42" w:rsidP="008D206A">
      <w:pPr>
        <w:pStyle w:val="FootnoteText"/>
        <w:rPr>
          <w:sz w:val="20"/>
          <w:szCs w:val="20"/>
        </w:rPr>
      </w:pPr>
      <w:r w:rsidRPr="00273F93">
        <w:rPr>
          <w:rStyle w:val="FootnoteReference"/>
          <w:sz w:val="20"/>
          <w:szCs w:val="20"/>
        </w:rPr>
        <w:footnoteRef/>
      </w:r>
      <w:r w:rsidRPr="00273F93">
        <w:rPr>
          <w:sz w:val="20"/>
          <w:szCs w:val="20"/>
        </w:rPr>
        <w:t xml:space="preserve"> Resolution adopted by the General Assembly on 21 December 2010— 65/229. United Nations Rules for the Treatment of Women Prisoners and Non-custodial Measures for Women Offenders (the Bangkok Rules), UN Doc. No. A/RES/65/229 (Mar. 16, 2011) at 8 (Rule 1 (</w:t>
      </w:r>
      <w:r w:rsidRPr="00273F93">
        <w:rPr>
          <w:i/>
          <w:iCs/>
          <w:sz w:val="20"/>
          <w:szCs w:val="20"/>
        </w:rPr>
        <w:t>Basic principle</w:t>
      </w:r>
      <w:r w:rsidRPr="00273F93">
        <w:rPr>
          <w:sz w:val="20"/>
          <w:szCs w:val="20"/>
        </w:rPr>
        <w:t xml:space="preserve">)), </w:t>
      </w:r>
      <w:r w:rsidRPr="00273F93">
        <w:rPr>
          <w:i/>
          <w:iCs/>
          <w:sz w:val="20"/>
          <w:szCs w:val="20"/>
        </w:rPr>
        <w:t>available at</w:t>
      </w:r>
      <w:r w:rsidRPr="00273F93">
        <w:rPr>
          <w:sz w:val="20"/>
          <w:szCs w:val="20"/>
        </w:rPr>
        <w:t xml:space="preserve"> https://</w:t>
      </w:r>
      <w:r w:rsidRPr="00273F93">
        <w:rPr>
          <w:sz w:val="20"/>
          <w:szCs w:val="20"/>
        </w:rPr>
        <w:br/>
        <w:t xml:space="preserve">www.unodc.org/documents/justice-and-prison-reform/Bangkok_Rules_ENG_22032015.pdf; </w:t>
      </w:r>
      <w:r w:rsidRPr="00273F93">
        <w:rPr>
          <w:i/>
          <w:iCs/>
          <w:sz w:val="20"/>
          <w:szCs w:val="20"/>
        </w:rPr>
        <w:t xml:space="preserve">see also </w:t>
      </w:r>
      <w:r w:rsidRPr="00273F93">
        <w:rPr>
          <w:sz w:val="20"/>
          <w:szCs w:val="20"/>
        </w:rPr>
        <w:t xml:space="preserve">United Nations Standard Minimum Rules for the Treatment of Prisoners (the Nelson Mandela Rules), UN (2015), at 2, </w:t>
      </w:r>
      <w:r w:rsidRPr="00273F93">
        <w:rPr>
          <w:i/>
          <w:iCs/>
          <w:sz w:val="20"/>
          <w:szCs w:val="20"/>
        </w:rPr>
        <w:t>available at</w:t>
      </w:r>
      <w:r w:rsidRPr="00273F93">
        <w:rPr>
          <w:sz w:val="20"/>
          <w:szCs w:val="20"/>
        </w:rPr>
        <w:t xml:space="preserve"> https://www.unodc.org/documents/justice-and-prison-reform/Nelson_Mandela_Rules-E-ebook.pdf (Rule 2: “The present rules shall be applied impartially. There shall be no discrimination on the grounds of race, colour, sex, language, religion, political or other opinion, national or social origin, property, birth or any other status.”).</w:t>
      </w:r>
    </w:p>
  </w:footnote>
  <w:footnote w:id="67">
    <w:p w14:paraId="494AD7A6" w14:textId="31AFDBBE" w:rsidR="004D2F42" w:rsidRPr="00273F93" w:rsidRDefault="004D2F42" w:rsidP="008D206A">
      <w:pPr>
        <w:pStyle w:val="FootnoteText"/>
        <w:rPr>
          <w:sz w:val="20"/>
          <w:szCs w:val="20"/>
        </w:rPr>
      </w:pPr>
      <w:r w:rsidRPr="00273F93">
        <w:rPr>
          <w:rStyle w:val="FootnoteReference"/>
          <w:sz w:val="20"/>
          <w:szCs w:val="20"/>
        </w:rPr>
        <w:footnoteRef/>
      </w:r>
      <w:r w:rsidRPr="00273F93">
        <w:rPr>
          <w:sz w:val="20"/>
          <w:szCs w:val="20"/>
        </w:rPr>
        <w:t xml:space="preserve"> United Nations Standard Minimum Rules for the Treatment of Prisoners (the Nelson Mandela Rules), UN (2015), at 7-8, </w:t>
      </w:r>
      <w:r w:rsidRPr="00273F93">
        <w:rPr>
          <w:i/>
          <w:iCs/>
          <w:sz w:val="20"/>
          <w:szCs w:val="20"/>
        </w:rPr>
        <w:t>available at</w:t>
      </w:r>
      <w:r w:rsidRPr="00273F93">
        <w:rPr>
          <w:sz w:val="20"/>
          <w:szCs w:val="20"/>
        </w:rPr>
        <w:t xml:space="preserve"> https://www.unodc.org/documents/justice-and-prison-reform/Nelson_Mandela_Rules-E-ebook.pdf (Rule 23; Rule 24).</w:t>
      </w:r>
    </w:p>
  </w:footnote>
  <w:footnote w:id="68">
    <w:p w14:paraId="1DD9FA33" w14:textId="428DE336" w:rsidR="00121E94" w:rsidRPr="00273F93" w:rsidRDefault="00121E94" w:rsidP="008D206A">
      <w:pPr>
        <w:pStyle w:val="FootnoteText"/>
        <w:rPr>
          <w:sz w:val="20"/>
          <w:szCs w:val="20"/>
        </w:rPr>
      </w:pPr>
      <w:r w:rsidRPr="00273F93">
        <w:rPr>
          <w:rStyle w:val="FootnoteReference"/>
          <w:sz w:val="20"/>
          <w:szCs w:val="20"/>
        </w:rPr>
        <w:footnoteRef/>
      </w:r>
      <w:r w:rsidRPr="00273F93">
        <w:rPr>
          <w:sz w:val="20"/>
          <w:szCs w:val="20"/>
        </w:rPr>
        <w:t xml:space="preserve"> Cornell Center on the Death Penalty Worldwide, Judged for More Than Her Crime: A Global Overview of Women Facing the Death Penalty (September 2018), at 2</w:t>
      </w:r>
      <w:r w:rsidR="004C5B7E" w:rsidRPr="00273F93">
        <w:rPr>
          <w:sz w:val="20"/>
          <w:szCs w:val="20"/>
        </w:rPr>
        <w:t>1</w:t>
      </w:r>
      <w:r w:rsidRPr="00273F93">
        <w:rPr>
          <w:sz w:val="20"/>
          <w:szCs w:val="20"/>
        </w:rPr>
        <w:t xml:space="preserve">, </w:t>
      </w:r>
      <w:r w:rsidRPr="00273F93">
        <w:rPr>
          <w:i/>
          <w:iCs/>
          <w:sz w:val="20"/>
          <w:szCs w:val="20"/>
        </w:rPr>
        <w:t>available at</w:t>
      </w:r>
      <w:r w:rsidRPr="00273F93">
        <w:rPr>
          <w:sz w:val="20"/>
          <w:szCs w:val="20"/>
        </w:rPr>
        <w:t xml:space="preserve"> </w:t>
      </w:r>
      <w:r w:rsidR="00445544" w:rsidRPr="00273F93">
        <w:rPr>
          <w:sz w:val="20"/>
          <w:szCs w:val="20"/>
        </w:rPr>
        <w:t>https://dpw.lawschool.cornell.edu/wp-content/uploads/2019/12/Judged-More-Than-Her-Crime.pdf</w:t>
      </w:r>
      <w:r w:rsidR="009A3827" w:rsidRPr="00273F93">
        <w:rPr>
          <w:sz w:val="20"/>
          <w:szCs w:val="20"/>
        </w:rPr>
        <w:t>.</w:t>
      </w:r>
    </w:p>
  </w:footnote>
  <w:footnote w:id="69">
    <w:p w14:paraId="0ECEAF1E" w14:textId="6B04FD63" w:rsidR="00BD4260" w:rsidRPr="00273F93" w:rsidRDefault="00BD4260" w:rsidP="008D206A">
      <w:pPr>
        <w:pStyle w:val="FootnoteText"/>
        <w:rPr>
          <w:sz w:val="20"/>
          <w:szCs w:val="20"/>
        </w:rPr>
      </w:pPr>
      <w:r w:rsidRPr="00273F93">
        <w:rPr>
          <w:rStyle w:val="FootnoteReference"/>
          <w:sz w:val="20"/>
          <w:szCs w:val="20"/>
        </w:rPr>
        <w:footnoteRef/>
      </w:r>
      <w:r w:rsidRPr="00273F93">
        <w:rPr>
          <w:sz w:val="20"/>
          <w:szCs w:val="20"/>
        </w:rPr>
        <w:t xml:space="preserve"> </w:t>
      </w:r>
      <w:r w:rsidR="00A93662">
        <w:rPr>
          <w:i/>
          <w:iCs/>
          <w:sz w:val="20"/>
          <w:szCs w:val="20"/>
        </w:rPr>
        <w:t>Id.</w:t>
      </w:r>
      <w:r w:rsidR="00A93662">
        <w:rPr>
          <w:sz w:val="20"/>
          <w:szCs w:val="20"/>
        </w:rPr>
        <w:t xml:space="preserve"> at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C21A" w14:textId="77777777" w:rsidR="002000D5" w:rsidRDefault="00563DFB" w:rsidP="002000D5">
    <w:pPr>
      <w:pStyle w:val="Header"/>
      <w:tabs>
        <w:tab w:val="clear" w:pos="4320"/>
        <w:tab w:val="clear" w:pos="8640"/>
        <w:tab w:val="left" w:pos="3181"/>
      </w:tabs>
      <w:jc w:val="right"/>
      <w:rPr>
        <w:b/>
        <w:bCs/>
        <w:i/>
        <w:iCs/>
        <w:color w:val="FF0000"/>
      </w:rP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r w:rsidR="001222DB">
      <w:tab/>
    </w:r>
    <w:r w:rsidR="001222DB" w:rsidRPr="001222DB">
      <w:rPr>
        <w:b/>
        <w:bCs/>
        <w:i/>
        <w:iCs/>
        <w:color w:val="FF0000"/>
      </w:rPr>
      <w:t xml:space="preserve">Dechert LLP </w:t>
    </w:r>
  </w:p>
  <w:p w14:paraId="635AF375" w14:textId="77777777" w:rsidR="002000D5" w:rsidRDefault="002000D5" w:rsidP="002000D5">
    <w:pPr>
      <w:pStyle w:val="Header"/>
      <w:tabs>
        <w:tab w:val="clear" w:pos="4320"/>
        <w:tab w:val="clear" w:pos="8640"/>
        <w:tab w:val="left" w:pos="3181"/>
      </w:tabs>
      <w:jc w:val="right"/>
      <w:rPr>
        <w:b/>
        <w:bCs/>
        <w:i/>
        <w:iCs/>
        <w:color w:val="FF0000"/>
      </w:rPr>
    </w:pPr>
  </w:p>
  <w:p w14:paraId="6CC46389" w14:textId="77777777" w:rsidR="002000D5" w:rsidRDefault="002000D5" w:rsidP="002000D5">
    <w:pPr>
      <w:pStyle w:val="Header"/>
      <w:tabs>
        <w:tab w:val="clear" w:pos="4320"/>
        <w:tab w:val="clear" w:pos="8640"/>
        <w:tab w:val="left" w:pos="3181"/>
      </w:tabs>
      <w:jc w:val="right"/>
      <w:rPr>
        <w:b/>
        <w:bCs/>
        <w:i/>
        <w:iCs/>
        <w:color w:val="FF0000"/>
      </w:rPr>
    </w:pPr>
  </w:p>
  <w:p w14:paraId="2D4ECF43" w14:textId="77777777" w:rsidR="002000D5" w:rsidRDefault="002000D5" w:rsidP="002000D5">
    <w:pPr>
      <w:pStyle w:val="Header"/>
      <w:tabs>
        <w:tab w:val="clear" w:pos="4320"/>
        <w:tab w:val="clear" w:pos="8640"/>
        <w:tab w:val="left" w:pos="3181"/>
      </w:tabs>
      <w:jc w:val="right"/>
      <w:rPr>
        <w:b/>
        <w:bCs/>
        <w:i/>
        <w:iCs/>
        <w:color w:val="FF0000"/>
      </w:rPr>
    </w:pPr>
  </w:p>
  <w:p w14:paraId="63F7B087" w14:textId="35406A4E" w:rsidR="00804604" w:rsidRPr="001222DB" w:rsidRDefault="00804604" w:rsidP="002000D5">
    <w:pPr>
      <w:pStyle w:val="Header"/>
      <w:tabs>
        <w:tab w:val="clear" w:pos="4320"/>
        <w:tab w:val="clear" w:pos="8640"/>
        <w:tab w:val="left" w:pos="3181"/>
      </w:tabs>
      <w:jc w:val="right"/>
      <w:rPr>
        <w:b/>
        <w:bCs/>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0"/>
  </w:num>
  <w:num w:numId="9" w16cid:durableId="1023946614">
    <w:abstractNumId w:val="1"/>
  </w:num>
  <w:num w:numId="10" w16cid:durableId="191308430">
    <w:abstractNumId w:val="9"/>
  </w:num>
  <w:num w:numId="11" w16cid:durableId="1006522116">
    <w:abstractNumId w:val="9"/>
  </w:num>
  <w:num w:numId="12" w16cid:durableId="598371054">
    <w:abstractNumId w:val="9"/>
  </w:num>
  <w:num w:numId="13" w16cid:durableId="81998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8BE"/>
    <w:rsid w:val="00004618"/>
    <w:rsid w:val="00010A95"/>
    <w:rsid w:val="00011DA7"/>
    <w:rsid w:val="0001216B"/>
    <w:rsid w:val="00013382"/>
    <w:rsid w:val="00020381"/>
    <w:rsid w:val="00023377"/>
    <w:rsid w:val="0002542E"/>
    <w:rsid w:val="00030F59"/>
    <w:rsid w:val="000342B6"/>
    <w:rsid w:val="000400E8"/>
    <w:rsid w:val="000408B6"/>
    <w:rsid w:val="00040BA1"/>
    <w:rsid w:val="000436EA"/>
    <w:rsid w:val="00046377"/>
    <w:rsid w:val="00050735"/>
    <w:rsid w:val="000508AE"/>
    <w:rsid w:val="00050BCB"/>
    <w:rsid w:val="000568A6"/>
    <w:rsid w:val="00056CF5"/>
    <w:rsid w:val="000629DA"/>
    <w:rsid w:val="000734A4"/>
    <w:rsid w:val="00075454"/>
    <w:rsid w:val="0008238F"/>
    <w:rsid w:val="0008452E"/>
    <w:rsid w:val="00084E71"/>
    <w:rsid w:val="00085935"/>
    <w:rsid w:val="00086CD8"/>
    <w:rsid w:val="000872B7"/>
    <w:rsid w:val="000910FC"/>
    <w:rsid w:val="00091EC8"/>
    <w:rsid w:val="00094A69"/>
    <w:rsid w:val="0009644E"/>
    <w:rsid w:val="00096B11"/>
    <w:rsid w:val="00097CF8"/>
    <w:rsid w:val="000A09CF"/>
    <w:rsid w:val="000A1F17"/>
    <w:rsid w:val="000A3F34"/>
    <w:rsid w:val="000A3FC6"/>
    <w:rsid w:val="000A431F"/>
    <w:rsid w:val="000A5665"/>
    <w:rsid w:val="000A5725"/>
    <w:rsid w:val="000A66B8"/>
    <w:rsid w:val="000B042D"/>
    <w:rsid w:val="000B4DB3"/>
    <w:rsid w:val="000B60ED"/>
    <w:rsid w:val="000B64C8"/>
    <w:rsid w:val="000C0FA8"/>
    <w:rsid w:val="000C27F9"/>
    <w:rsid w:val="000C289C"/>
    <w:rsid w:val="000C6340"/>
    <w:rsid w:val="000C7873"/>
    <w:rsid w:val="000D0680"/>
    <w:rsid w:val="000D3848"/>
    <w:rsid w:val="000D39F3"/>
    <w:rsid w:val="000D41E5"/>
    <w:rsid w:val="000D547E"/>
    <w:rsid w:val="000E1DDC"/>
    <w:rsid w:val="000E3DFE"/>
    <w:rsid w:val="000E4EEC"/>
    <w:rsid w:val="000E5D87"/>
    <w:rsid w:val="000F0115"/>
    <w:rsid w:val="000F1E67"/>
    <w:rsid w:val="000F2346"/>
    <w:rsid w:val="000F246A"/>
    <w:rsid w:val="000F39D4"/>
    <w:rsid w:val="000F56E0"/>
    <w:rsid w:val="001008D1"/>
    <w:rsid w:val="00100C00"/>
    <w:rsid w:val="00100ED2"/>
    <w:rsid w:val="001017AD"/>
    <w:rsid w:val="001042BB"/>
    <w:rsid w:val="00104564"/>
    <w:rsid w:val="001100A0"/>
    <w:rsid w:val="0011138A"/>
    <w:rsid w:val="00111994"/>
    <w:rsid w:val="00116B25"/>
    <w:rsid w:val="00120CB9"/>
    <w:rsid w:val="001215B4"/>
    <w:rsid w:val="00121E94"/>
    <w:rsid w:val="001222DB"/>
    <w:rsid w:val="00124729"/>
    <w:rsid w:val="00125B7A"/>
    <w:rsid w:val="00127562"/>
    <w:rsid w:val="001312CF"/>
    <w:rsid w:val="00136514"/>
    <w:rsid w:val="00137229"/>
    <w:rsid w:val="00137F85"/>
    <w:rsid w:val="00142C15"/>
    <w:rsid w:val="00143423"/>
    <w:rsid w:val="001479FB"/>
    <w:rsid w:val="00147EA4"/>
    <w:rsid w:val="0015406F"/>
    <w:rsid w:val="00154145"/>
    <w:rsid w:val="00156553"/>
    <w:rsid w:val="001565F9"/>
    <w:rsid w:val="00156E8D"/>
    <w:rsid w:val="00157459"/>
    <w:rsid w:val="00160BDA"/>
    <w:rsid w:val="00160E15"/>
    <w:rsid w:val="00165CF9"/>
    <w:rsid w:val="001702B5"/>
    <w:rsid w:val="0017118B"/>
    <w:rsid w:val="001752F0"/>
    <w:rsid w:val="00176FAD"/>
    <w:rsid w:val="00181B2A"/>
    <w:rsid w:val="00181EF5"/>
    <w:rsid w:val="00184A5F"/>
    <w:rsid w:val="00184FFA"/>
    <w:rsid w:val="0018642B"/>
    <w:rsid w:val="001878DB"/>
    <w:rsid w:val="00190345"/>
    <w:rsid w:val="00191D40"/>
    <w:rsid w:val="00192B4A"/>
    <w:rsid w:val="001943D1"/>
    <w:rsid w:val="001A0800"/>
    <w:rsid w:val="001A34F4"/>
    <w:rsid w:val="001A4E9F"/>
    <w:rsid w:val="001A59C1"/>
    <w:rsid w:val="001A5ED5"/>
    <w:rsid w:val="001A6175"/>
    <w:rsid w:val="001A71BB"/>
    <w:rsid w:val="001A7724"/>
    <w:rsid w:val="001A7AF4"/>
    <w:rsid w:val="001B1AC4"/>
    <w:rsid w:val="001B27D7"/>
    <w:rsid w:val="001B3FD9"/>
    <w:rsid w:val="001B46C2"/>
    <w:rsid w:val="001B799A"/>
    <w:rsid w:val="001B7D91"/>
    <w:rsid w:val="001C2B20"/>
    <w:rsid w:val="001C3345"/>
    <w:rsid w:val="001C34F5"/>
    <w:rsid w:val="001C42EB"/>
    <w:rsid w:val="001C506C"/>
    <w:rsid w:val="001D6D0A"/>
    <w:rsid w:val="001E30F5"/>
    <w:rsid w:val="001E3B74"/>
    <w:rsid w:val="001E4BD2"/>
    <w:rsid w:val="001E531F"/>
    <w:rsid w:val="001E57C2"/>
    <w:rsid w:val="001F17A7"/>
    <w:rsid w:val="001F2BE4"/>
    <w:rsid w:val="001F3787"/>
    <w:rsid w:val="001F47F8"/>
    <w:rsid w:val="002000D5"/>
    <w:rsid w:val="002061C3"/>
    <w:rsid w:val="002102AB"/>
    <w:rsid w:val="00211315"/>
    <w:rsid w:val="002140BA"/>
    <w:rsid w:val="00217824"/>
    <w:rsid w:val="00220D48"/>
    <w:rsid w:val="00221421"/>
    <w:rsid w:val="00222DDB"/>
    <w:rsid w:val="00234644"/>
    <w:rsid w:val="00235695"/>
    <w:rsid w:val="002359A5"/>
    <w:rsid w:val="00237C8C"/>
    <w:rsid w:val="00242F64"/>
    <w:rsid w:val="002439A3"/>
    <w:rsid w:val="00243E14"/>
    <w:rsid w:val="00245140"/>
    <w:rsid w:val="002461DE"/>
    <w:rsid w:val="002468AD"/>
    <w:rsid w:val="00250EB4"/>
    <w:rsid w:val="00251CA3"/>
    <w:rsid w:val="00253D9F"/>
    <w:rsid w:val="002545F9"/>
    <w:rsid w:val="00255789"/>
    <w:rsid w:val="0026149F"/>
    <w:rsid w:val="00262475"/>
    <w:rsid w:val="00262845"/>
    <w:rsid w:val="0026498E"/>
    <w:rsid w:val="00265FF4"/>
    <w:rsid w:val="0026758C"/>
    <w:rsid w:val="00272519"/>
    <w:rsid w:val="002734D9"/>
    <w:rsid w:val="00273933"/>
    <w:rsid w:val="00273F93"/>
    <w:rsid w:val="002811C1"/>
    <w:rsid w:val="00282223"/>
    <w:rsid w:val="00287028"/>
    <w:rsid w:val="00291BE8"/>
    <w:rsid w:val="002920BC"/>
    <w:rsid w:val="00293251"/>
    <w:rsid w:val="00293390"/>
    <w:rsid w:val="002A0797"/>
    <w:rsid w:val="002A39B0"/>
    <w:rsid w:val="002A4838"/>
    <w:rsid w:val="002B1275"/>
    <w:rsid w:val="002B24A7"/>
    <w:rsid w:val="002B3041"/>
    <w:rsid w:val="002C28A0"/>
    <w:rsid w:val="002C2DD1"/>
    <w:rsid w:val="002C57BC"/>
    <w:rsid w:val="002D1FEC"/>
    <w:rsid w:val="002D36C6"/>
    <w:rsid w:val="002D4B04"/>
    <w:rsid w:val="002D67A9"/>
    <w:rsid w:val="002E34EA"/>
    <w:rsid w:val="002E46A1"/>
    <w:rsid w:val="002F146F"/>
    <w:rsid w:val="002F27D5"/>
    <w:rsid w:val="002F4360"/>
    <w:rsid w:val="002F48BF"/>
    <w:rsid w:val="002F7A11"/>
    <w:rsid w:val="00303F60"/>
    <w:rsid w:val="00306572"/>
    <w:rsid w:val="00310329"/>
    <w:rsid w:val="00310AD0"/>
    <w:rsid w:val="00311909"/>
    <w:rsid w:val="00311947"/>
    <w:rsid w:val="00315C53"/>
    <w:rsid w:val="0031762E"/>
    <w:rsid w:val="00322CB1"/>
    <w:rsid w:val="003235CB"/>
    <w:rsid w:val="003244CB"/>
    <w:rsid w:val="00333047"/>
    <w:rsid w:val="003330EF"/>
    <w:rsid w:val="0033344B"/>
    <w:rsid w:val="003352E8"/>
    <w:rsid w:val="0033567C"/>
    <w:rsid w:val="003369A6"/>
    <w:rsid w:val="00340484"/>
    <w:rsid w:val="003422AE"/>
    <w:rsid w:val="00342C79"/>
    <w:rsid w:val="003439C7"/>
    <w:rsid w:val="00343CAC"/>
    <w:rsid w:val="00344140"/>
    <w:rsid w:val="00344556"/>
    <w:rsid w:val="00345B90"/>
    <w:rsid w:val="00346846"/>
    <w:rsid w:val="0035378E"/>
    <w:rsid w:val="0035424D"/>
    <w:rsid w:val="003553AD"/>
    <w:rsid w:val="0035761C"/>
    <w:rsid w:val="0036065A"/>
    <w:rsid w:val="0036202F"/>
    <w:rsid w:val="00365E27"/>
    <w:rsid w:val="0037081A"/>
    <w:rsid w:val="00374FD8"/>
    <w:rsid w:val="00377FBD"/>
    <w:rsid w:val="00380120"/>
    <w:rsid w:val="003817A3"/>
    <w:rsid w:val="00384EC1"/>
    <w:rsid w:val="003878F1"/>
    <w:rsid w:val="00390AC3"/>
    <w:rsid w:val="00392276"/>
    <w:rsid w:val="003937C6"/>
    <w:rsid w:val="0039554C"/>
    <w:rsid w:val="00397E9D"/>
    <w:rsid w:val="003A0BC2"/>
    <w:rsid w:val="003A1D3E"/>
    <w:rsid w:val="003A1F75"/>
    <w:rsid w:val="003A662C"/>
    <w:rsid w:val="003A6F6D"/>
    <w:rsid w:val="003B0356"/>
    <w:rsid w:val="003B2162"/>
    <w:rsid w:val="003B2AE6"/>
    <w:rsid w:val="003B2B81"/>
    <w:rsid w:val="003B37A8"/>
    <w:rsid w:val="003B4916"/>
    <w:rsid w:val="003B4C24"/>
    <w:rsid w:val="003B6C0D"/>
    <w:rsid w:val="003C1CB8"/>
    <w:rsid w:val="003C1E49"/>
    <w:rsid w:val="003C2425"/>
    <w:rsid w:val="003C3FE9"/>
    <w:rsid w:val="003C60FE"/>
    <w:rsid w:val="003D001F"/>
    <w:rsid w:val="003D1F69"/>
    <w:rsid w:val="003D2817"/>
    <w:rsid w:val="003D608F"/>
    <w:rsid w:val="003E58A6"/>
    <w:rsid w:val="003E6A6D"/>
    <w:rsid w:val="003F0833"/>
    <w:rsid w:val="003F6B51"/>
    <w:rsid w:val="003F7B3A"/>
    <w:rsid w:val="004076CD"/>
    <w:rsid w:val="00407B46"/>
    <w:rsid w:val="004107E6"/>
    <w:rsid w:val="00410C12"/>
    <w:rsid w:val="00411973"/>
    <w:rsid w:val="0041679A"/>
    <w:rsid w:val="00417CE5"/>
    <w:rsid w:val="00423026"/>
    <w:rsid w:val="00430A63"/>
    <w:rsid w:val="00435107"/>
    <w:rsid w:val="00436E40"/>
    <w:rsid w:val="00436E6F"/>
    <w:rsid w:val="00437169"/>
    <w:rsid w:val="004377CC"/>
    <w:rsid w:val="004453C3"/>
    <w:rsid w:val="00445544"/>
    <w:rsid w:val="004474B2"/>
    <w:rsid w:val="00450118"/>
    <w:rsid w:val="00450405"/>
    <w:rsid w:val="00453314"/>
    <w:rsid w:val="0045581C"/>
    <w:rsid w:val="0045655B"/>
    <w:rsid w:val="00461AEE"/>
    <w:rsid w:val="00461B83"/>
    <w:rsid w:val="00461BD9"/>
    <w:rsid w:val="00462226"/>
    <w:rsid w:val="00462420"/>
    <w:rsid w:val="00474A3F"/>
    <w:rsid w:val="00476CC4"/>
    <w:rsid w:val="0048144E"/>
    <w:rsid w:val="00481A00"/>
    <w:rsid w:val="00483539"/>
    <w:rsid w:val="004866AE"/>
    <w:rsid w:val="00486C60"/>
    <w:rsid w:val="004870D8"/>
    <w:rsid w:val="00487F57"/>
    <w:rsid w:val="00491B63"/>
    <w:rsid w:val="00493951"/>
    <w:rsid w:val="00494FC9"/>
    <w:rsid w:val="00495EC3"/>
    <w:rsid w:val="00496C35"/>
    <w:rsid w:val="004A17D9"/>
    <w:rsid w:val="004A1BEC"/>
    <w:rsid w:val="004A20F4"/>
    <w:rsid w:val="004A2149"/>
    <w:rsid w:val="004A5B01"/>
    <w:rsid w:val="004A714E"/>
    <w:rsid w:val="004A7D93"/>
    <w:rsid w:val="004A7FF9"/>
    <w:rsid w:val="004B0638"/>
    <w:rsid w:val="004B0F45"/>
    <w:rsid w:val="004B1E4E"/>
    <w:rsid w:val="004B4CAF"/>
    <w:rsid w:val="004B62BC"/>
    <w:rsid w:val="004B73AF"/>
    <w:rsid w:val="004C2D3B"/>
    <w:rsid w:val="004C350E"/>
    <w:rsid w:val="004C5974"/>
    <w:rsid w:val="004C5B7E"/>
    <w:rsid w:val="004C64F9"/>
    <w:rsid w:val="004D23BE"/>
    <w:rsid w:val="004D2568"/>
    <w:rsid w:val="004D2F42"/>
    <w:rsid w:val="004D3EE9"/>
    <w:rsid w:val="004D51DD"/>
    <w:rsid w:val="004D5286"/>
    <w:rsid w:val="004D76C0"/>
    <w:rsid w:val="004E150B"/>
    <w:rsid w:val="004E2CD9"/>
    <w:rsid w:val="004E4992"/>
    <w:rsid w:val="004E52B7"/>
    <w:rsid w:val="004E6E09"/>
    <w:rsid w:val="004E7176"/>
    <w:rsid w:val="004E783D"/>
    <w:rsid w:val="004F116B"/>
    <w:rsid w:val="004F213A"/>
    <w:rsid w:val="004F2465"/>
    <w:rsid w:val="004F2845"/>
    <w:rsid w:val="004F34E5"/>
    <w:rsid w:val="005020AB"/>
    <w:rsid w:val="005031AB"/>
    <w:rsid w:val="00503B62"/>
    <w:rsid w:val="00503C12"/>
    <w:rsid w:val="00512829"/>
    <w:rsid w:val="005132BB"/>
    <w:rsid w:val="00514053"/>
    <w:rsid w:val="005145D8"/>
    <w:rsid w:val="00514778"/>
    <w:rsid w:val="0051494C"/>
    <w:rsid w:val="00514A2D"/>
    <w:rsid w:val="005151E6"/>
    <w:rsid w:val="00515500"/>
    <w:rsid w:val="005204D3"/>
    <w:rsid w:val="00524166"/>
    <w:rsid w:val="00524C18"/>
    <w:rsid w:val="00527271"/>
    <w:rsid w:val="005335B9"/>
    <w:rsid w:val="005336C2"/>
    <w:rsid w:val="0053444C"/>
    <w:rsid w:val="00534A6E"/>
    <w:rsid w:val="00535630"/>
    <w:rsid w:val="00535642"/>
    <w:rsid w:val="005403E3"/>
    <w:rsid w:val="00543056"/>
    <w:rsid w:val="00544AB0"/>
    <w:rsid w:val="00546258"/>
    <w:rsid w:val="00552B04"/>
    <w:rsid w:val="0055461C"/>
    <w:rsid w:val="0055646A"/>
    <w:rsid w:val="0056044D"/>
    <w:rsid w:val="00563DFB"/>
    <w:rsid w:val="005647AC"/>
    <w:rsid w:val="005658CF"/>
    <w:rsid w:val="0056603D"/>
    <w:rsid w:val="00567571"/>
    <w:rsid w:val="00567887"/>
    <w:rsid w:val="00567FD1"/>
    <w:rsid w:val="00571EF6"/>
    <w:rsid w:val="00574951"/>
    <w:rsid w:val="00583B2A"/>
    <w:rsid w:val="005908A0"/>
    <w:rsid w:val="005942DC"/>
    <w:rsid w:val="00595899"/>
    <w:rsid w:val="0059754B"/>
    <w:rsid w:val="005A1D4F"/>
    <w:rsid w:val="005A1F9E"/>
    <w:rsid w:val="005A3F5A"/>
    <w:rsid w:val="005A4ACE"/>
    <w:rsid w:val="005A5D69"/>
    <w:rsid w:val="005A6AAF"/>
    <w:rsid w:val="005B0C1B"/>
    <w:rsid w:val="005B2D86"/>
    <w:rsid w:val="005B65E9"/>
    <w:rsid w:val="005C15E8"/>
    <w:rsid w:val="005C183B"/>
    <w:rsid w:val="005C52F0"/>
    <w:rsid w:val="005C58B6"/>
    <w:rsid w:val="005C5BF7"/>
    <w:rsid w:val="005D0D98"/>
    <w:rsid w:val="005D4EE6"/>
    <w:rsid w:val="005D5F82"/>
    <w:rsid w:val="005D7913"/>
    <w:rsid w:val="005E1D0C"/>
    <w:rsid w:val="005F098C"/>
    <w:rsid w:val="005F127C"/>
    <w:rsid w:val="005F12F1"/>
    <w:rsid w:val="005F1C91"/>
    <w:rsid w:val="005F2A19"/>
    <w:rsid w:val="005F2FEB"/>
    <w:rsid w:val="005F3C76"/>
    <w:rsid w:val="005F6E41"/>
    <w:rsid w:val="00600517"/>
    <w:rsid w:val="00602913"/>
    <w:rsid w:val="0060568A"/>
    <w:rsid w:val="0060622C"/>
    <w:rsid w:val="006067DB"/>
    <w:rsid w:val="00614150"/>
    <w:rsid w:val="00614B89"/>
    <w:rsid w:val="00615663"/>
    <w:rsid w:val="0061778F"/>
    <w:rsid w:val="00624A10"/>
    <w:rsid w:val="006268D1"/>
    <w:rsid w:val="00626C39"/>
    <w:rsid w:val="006318E0"/>
    <w:rsid w:val="006353C6"/>
    <w:rsid w:val="00636A3F"/>
    <w:rsid w:val="00636B88"/>
    <w:rsid w:val="00643D7A"/>
    <w:rsid w:val="00646D29"/>
    <w:rsid w:val="00646DE9"/>
    <w:rsid w:val="00651332"/>
    <w:rsid w:val="00652094"/>
    <w:rsid w:val="00653EA8"/>
    <w:rsid w:val="00654C67"/>
    <w:rsid w:val="00655326"/>
    <w:rsid w:val="00662431"/>
    <w:rsid w:val="006627BA"/>
    <w:rsid w:val="0066318F"/>
    <w:rsid w:val="00663E4D"/>
    <w:rsid w:val="00666317"/>
    <w:rsid w:val="00666461"/>
    <w:rsid w:val="00666BD4"/>
    <w:rsid w:val="00670223"/>
    <w:rsid w:val="006761A7"/>
    <w:rsid w:val="00681A78"/>
    <w:rsid w:val="00684D79"/>
    <w:rsid w:val="006859DC"/>
    <w:rsid w:val="00686581"/>
    <w:rsid w:val="006927DD"/>
    <w:rsid w:val="00692CCF"/>
    <w:rsid w:val="006A362A"/>
    <w:rsid w:val="006A57BB"/>
    <w:rsid w:val="006A5D33"/>
    <w:rsid w:val="006B208B"/>
    <w:rsid w:val="006B39D9"/>
    <w:rsid w:val="006B3EA7"/>
    <w:rsid w:val="006B636B"/>
    <w:rsid w:val="006B7B89"/>
    <w:rsid w:val="006C0870"/>
    <w:rsid w:val="006C1DF6"/>
    <w:rsid w:val="006C4C2C"/>
    <w:rsid w:val="006D1C28"/>
    <w:rsid w:val="006D39C4"/>
    <w:rsid w:val="006D462D"/>
    <w:rsid w:val="006D64F8"/>
    <w:rsid w:val="006D7398"/>
    <w:rsid w:val="006E0467"/>
    <w:rsid w:val="006E7D5B"/>
    <w:rsid w:val="006F28C7"/>
    <w:rsid w:val="006F582F"/>
    <w:rsid w:val="00703D02"/>
    <w:rsid w:val="00704FF2"/>
    <w:rsid w:val="007064C2"/>
    <w:rsid w:val="0070771A"/>
    <w:rsid w:val="00707D36"/>
    <w:rsid w:val="007143B8"/>
    <w:rsid w:val="0071682E"/>
    <w:rsid w:val="007174BE"/>
    <w:rsid w:val="0072241B"/>
    <w:rsid w:val="007229BE"/>
    <w:rsid w:val="007231A2"/>
    <w:rsid w:val="0072542C"/>
    <w:rsid w:val="007268C7"/>
    <w:rsid w:val="007316AA"/>
    <w:rsid w:val="00734137"/>
    <w:rsid w:val="00740D15"/>
    <w:rsid w:val="00741091"/>
    <w:rsid w:val="00741B9C"/>
    <w:rsid w:val="00747012"/>
    <w:rsid w:val="00756DBD"/>
    <w:rsid w:val="00757A1C"/>
    <w:rsid w:val="007637D8"/>
    <w:rsid w:val="00765EBC"/>
    <w:rsid w:val="00767C18"/>
    <w:rsid w:val="00770453"/>
    <w:rsid w:val="00771607"/>
    <w:rsid w:val="0077221A"/>
    <w:rsid w:val="0077231B"/>
    <w:rsid w:val="00774643"/>
    <w:rsid w:val="00777D55"/>
    <w:rsid w:val="007838DE"/>
    <w:rsid w:val="00783DA7"/>
    <w:rsid w:val="00784D70"/>
    <w:rsid w:val="007910D7"/>
    <w:rsid w:val="007920C4"/>
    <w:rsid w:val="00794CE0"/>
    <w:rsid w:val="007A23AF"/>
    <w:rsid w:val="007A278F"/>
    <w:rsid w:val="007A3BBD"/>
    <w:rsid w:val="007A3CBB"/>
    <w:rsid w:val="007A7707"/>
    <w:rsid w:val="007A7C61"/>
    <w:rsid w:val="007B19E0"/>
    <w:rsid w:val="007B1D61"/>
    <w:rsid w:val="007B2822"/>
    <w:rsid w:val="007B46CD"/>
    <w:rsid w:val="007B506C"/>
    <w:rsid w:val="007B722E"/>
    <w:rsid w:val="007B7C99"/>
    <w:rsid w:val="007B7E43"/>
    <w:rsid w:val="007C0407"/>
    <w:rsid w:val="007C278A"/>
    <w:rsid w:val="007C4387"/>
    <w:rsid w:val="007C7CCE"/>
    <w:rsid w:val="007D18A7"/>
    <w:rsid w:val="007D204B"/>
    <w:rsid w:val="007D2BBA"/>
    <w:rsid w:val="007D2FB7"/>
    <w:rsid w:val="007D4088"/>
    <w:rsid w:val="007D67A5"/>
    <w:rsid w:val="007D7CF0"/>
    <w:rsid w:val="007E31E2"/>
    <w:rsid w:val="007E79C4"/>
    <w:rsid w:val="007F23A8"/>
    <w:rsid w:val="007F302D"/>
    <w:rsid w:val="007F705D"/>
    <w:rsid w:val="00804604"/>
    <w:rsid w:val="008117A2"/>
    <w:rsid w:val="0081221D"/>
    <w:rsid w:val="00813F5B"/>
    <w:rsid w:val="00820347"/>
    <w:rsid w:val="00826961"/>
    <w:rsid w:val="00826F36"/>
    <w:rsid w:val="008304A9"/>
    <w:rsid w:val="008314B7"/>
    <w:rsid w:val="00833324"/>
    <w:rsid w:val="0083533E"/>
    <w:rsid w:val="00836428"/>
    <w:rsid w:val="00845536"/>
    <w:rsid w:val="00847C78"/>
    <w:rsid w:val="008504A9"/>
    <w:rsid w:val="0085080B"/>
    <w:rsid w:val="00852B97"/>
    <w:rsid w:val="0085501A"/>
    <w:rsid w:val="008561E1"/>
    <w:rsid w:val="00865E33"/>
    <w:rsid w:val="00870256"/>
    <w:rsid w:val="00870521"/>
    <w:rsid w:val="00870C57"/>
    <w:rsid w:val="0087642D"/>
    <w:rsid w:val="00876F22"/>
    <w:rsid w:val="008806CE"/>
    <w:rsid w:val="008856D7"/>
    <w:rsid w:val="00890056"/>
    <w:rsid w:val="00893237"/>
    <w:rsid w:val="0089523C"/>
    <w:rsid w:val="00895E86"/>
    <w:rsid w:val="00896146"/>
    <w:rsid w:val="008977B7"/>
    <w:rsid w:val="008A3D53"/>
    <w:rsid w:val="008B01A3"/>
    <w:rsid w:val="008B302D"/>
    <w:rsid w:val="008B6371"/>
    <w:rsid w:val="008C0814"/>
    <w:rsid w:val="008C1B11"/>
    <w:rsid w:val="008C284E"/>
    <w:rsid w:val="008C3B9B"/>
    <w:rsid w:val="008C77FD"/>
    <w:rsid w:val="008C7B1F"/>
    <w:rsid w:val="008C7B63"/>
    <w:rsid w:val="008D206A"/>
    <w:rsid w:val="008D2F77"/>
    <w:rsid w:val="008E0859"/>
    <w:rsid w:val="008E4F40"/>
    <w:rsid w:val="008E6DA2"/>
    <w:rsid w:val="008F0BDD"/>
    <w:rsid w:val="008F14F9"/>
    <w:rsid w:val="008F2F99"/>
    <w:rsid w:val="008F6084"/>
    <w:rsid w:val="008F6504"/>
    <w:rsid w:val="00903194"/>
    <w:rsid w:val="009041EB"/>
    <w:rsid w:val="009057C8"/>
    <w:rsid w:val="00905E04"/>
    <w:rsid w:val="00907C0D"/>
    <w:rsid w:val="00921C15"/>
    <w:rsid w:val="00921D7A"/>
    <w:rsid w:val="00922C00"/>
    <w:rsid w:val="00922C5F"/>
    <w:rsid w:val="00923AE0"/>
    <w:rsid w:val="009252B9"/>
    <w:rsid w:val="00926BBA"/>
    <w:rsid w:val="009302F5"/>
    <w:rsid w:val="0093193B"/>
    <w:rsid w:val="00935F5A"/>
    <w:rsid w:val="00947170"/>
    <w:rsid w:val="00947B3D"/>
    <w:rsid w:val="00952819"/>
    <w:rsid w:val="0095591B"/>
    <w:rsid w:val="00956E94"/>
    <w:rsid w:val="00961247"/>
    <w:rsid w:val="00962312"/>
    <w:rsid w:val="009627A1"/>
    <w:rsid w:val="009712FE"/>
    <w:rsid w:val="00972B6D"/>
    <w:rsid w:val="00975083"/>
    <w:rsid w:val="009778FD"/>
    <w:rsid w:val="00980AB6"/>
    <w:rsid w:val="00985AB8"/>
    <w:rsid w:val="009875AD"/>
    <w:rsid w:val="009924AF"/>
    <w:rsid w:val="00994FC6"/>
    <w:rsid w:val="009A3827"/>
    <w:rsid w:val="009A5A43"/>
    <w:rsid w:val="009A5D1A"/>
    <w:rsid w:val="009A7F71"/>
    <w:rsid w:val="009B04FC"/>
    <w:rsid w:val="009B4239"/>
    <w:rsid w:val="009B50F2"/>
    <w:rsid w:val="009B51C3"/>
    <w:rsid w:val="009B51D7"/>
    <w:rsid w:val="009B78FD"/>
    <w:rsid w:val="009C5E15"/>
    <w:rsid w:val="009D35B3"/>
    <w:rsid w:val="009D3BEA"/>
    <w:rsid w:val="009D5161"/>
    <w:rsid w:val="009E086C"/>
    <w:rsid w:val="009E4D16"/>
    <w:rsid w:val="009E57BE"/>
    <w:rsid w:val="009F04C6"/>
    <w:rsid w:val="009F12E2"/>
    <w:rsid w:val="009F3358"/>
    <w:rsid w:val="009F478B"/>
    <w:rsid w:val="009F52EF"/>
    <w:rsid w:val="009F69C1"/>
    <w:rsid w:val="00A01476"/>
    <w:rsid w:val="00A046A3"/>
    <w:rsid w:val="00A07225"/>
    <w:rsid w:val="00A12AC3"/>
    <w:rsid w:val="00A14B35"/>
    <w:rsid w:val="00A16348"/>
    <w:rsid w:val="00A239C3"/>
    <w:rsid w:val="00A2471C"/>
    <w:rsid w:val="00A252AE"/>
    <w:rsid w:val="00A31FBC"/>
    <w:rsid w:val="00A36E83"/>
    <w:rsid w:val="00A37E6B"/>
    <w:rsid w:val="00A40EE1"/>
    <w:rsid w:val="00A423ED"/>
    <w:rsid w:val="00A52798"/>
    <w:rsid w:val="00A536F3"/>
    <w:rsid w:val="00A54A95"/>
    <w:rsid w:val="00A55FCD"/>
    <w:rsid w:val="00A60C58"/>
    <w:rsid w:val="00A64D7F"/>
    <w:rsid w:val="00A72103"/>
    <w:rsid w:val="00A72382"/>
    <w:rsid w:val="00A73C25"/>
    <w:rsid w:val="00A75C67"/>
    <w:rsid w:val="00A87287"/>
    <w:rsid w:val="00A91122"/>
    <w:rsid w:val="00A91D08"/>
    <w:rsid w:val="00A93662"/>
    <w:rsid w:val="00A94972"/>
    <w:rsid w:val="00A95161"/>
    <w:rsid w:val="00A975D1"/>
    <w:rsid w:val="00AA6318"/>
    <w:rsid w:val="00AA64A3"/>
    <w:rsid w:val="00AA7417"/>
    <w:rsid w:val="00AA7FCB"/>
    <w:rsid w:val="00AB54F8"/>
    <w:rsid w:val="00AB59AE"/>
    <w:rsid w:val="00AB5BD9"/>
    <w:rsid w:val="00AB6DD8"/>
    <w:rsid w:val="00AB763A"/>
    <w:rsid w:val="00AC034F"/>
    <w:rsid w:val="00AC040C"/>
    <w:rsid w:val="00AC4B17"/>
    <w:rsid w:val="00AC61A9"/>
    <w:rsid w:val="00AC6E24"/>
    <w:rsid w:val="00AD0AA1"/>
    <w:rsid w:val="00AD129C"/>
    <w:rsid w:val="00AD2FA7"/>
    <w:rsid w:val="00AD4955"/>
    <w:rsid w:val="00AD51C7"/>
    <w:rsid w:val="00AD67E3"/>
    <w:rsid w:val="00AD6DD2"/>
    <w:rsid w:val="00AE07A3"/>
    <w:rsid w:val="00AE372A"/>
    <w:rsid w:val="00AE450D"/>
    <w:rsid w:val="00AE5137"/>
    <w:rsid w:val="00AF7867"/>
    <w:rsid w:val="00B0359A"/>
    <w:rsid w:val="00B06870"/>
    <w:rsid w:val="00B10E43"/>
    <w:rsid w:val="00B11787"/>
    <w:rsid w:val="00B1390A"/>
    <w:rsid w:val="00B142E6"/>
    <w:rsid w:val="00B157C7"/>
    <w:rsid w:val="00B275A9"/>
    <w:rsid w:val="00B3020A"/>
    <w:rsid w:val="00B3080D"/>
    <w:rsid w:val="00B35158"/>
    <w:rsid w:val="00B37F77"/>
    <w:rsid w:val="00B40DBF"/>
    <w:rsid w:val="00B4186E"/>
    <w:rsid w:val="00B44231"/>
    <w:rsid w:val="00B457C4"/>
    <w:rsid w:val="00B5351B"/>
    <w:rsid w:val="00B54060"/>
    <w:rsid w:val="00B5566B"/>
    <w:rsid w:val="00B62586"/>
    <w:rsid w:val="00B67C49"/>
    <w:rsid w:val="00B71178"/>
    <w:rsid w:val="00B72AE1"/>
    <w:rsid w:val="00B73423"/>
    <w:rsid w:val="00B740C5"/>
    <w:rsid w:val="00B7417D"/>
    <w:rsid w:val="00B82AB3"/>
    <w:rsid w:val="00B843D6"/>
    <w:rsid w:val="00B86D8A"/>
    <w:rsid w:val="00B914A2"/>
    <w:rsid w:val="00B9541E"/>
    <w:rsid w:val="00B95866"/>
    <w:rsid w:val="00B97060"/>
    <w:rsid w:val="00BA00D4"/>
    <w:rsid w:val="00BA10E0"/>
    <w:rsid w:val="00BA482D"/>
    <w:rsid w:val="00BA4CDE"/>
    <w:rsid w:val="00BA5832"/>
    <w:rsid w:val="00BA5925"/>
    <w:rsid w:val="00BB0488"/>
    <w:rsid w:val="00BB3ED5"/>
    <w:rsid w:val="00BB4980"/>
    <w:rsid w:val="00BB4AB9"/>
    <w:rsid w:val="00BB64BA"/>
    <w:rsid w:val="00BB7020"/>
    <w:rsid w:val="00BC07C0"/>
    <w:rsid w:val="00BC07EF"/>
    <w:rsid w:val="00BC0C34"/>
    <w:rsid w:val="00BC756D"/>
    <w:rsid w:val="00BD003F"/>
    <w:rsid w:val="00BD3CFF"/>
    <w:rsid w:val="00BD4260"/>
    <w:rsid w:val="00BD4879"/>
    <w:rsid w:val="00BE2CD0"/>
    <w:rsid w:val="00BE59BD"/>
    <w:rsid w:val="00BE6176"/>
    <w:rsid w:val="00BF27B7"/>
    <w:rsid w:val="00C01013"/>
    <w:rsid w:val="00C0174A"/>
    <w:rsid w:val="00C01E14"/>
    <w:rsid w:val="00C02520"/>
    <w:rsid w:val="00C044EC"/>
    <w:rsid w:val="00C049F7"/>
    <w:rsid w:val="00C05D23"/>
    <w:rsid w:val="00C05D9B"/>
    <w:rsid w:val="00C06A1E"/>
    <w:rsid w:val="00C07618"/>
    <w:rsid w:val="00C10A1D"/>
    <w:rsid w:val="00C17207"/>
    <w:rsid w:val="00C17550"/>
    <w:rsid w:val="00C214BA"/>
    <w:rsid w:val="00C21556"/>
    <w:rsid w:val="00C21E83"/>
    <w:rsid w:val="00C22630"/>
    <w:rsid w:val="00C2494E"/>
    <w:rsid w:val="00C26130"/>
    <w:rsid w:val="00C26B28"/>
    <w:rsid w:val="00C26FB5"/>
    <w:rsid w:val="00C30604"/>
    <w:rsid w:val="00C315B6"/>
    <w:rsid w:val="00C32603"/>
    <w:rsid w:val="00C362D1"/>
    <w:rsid w:val="00C36DED"/>
    <w:rsid w:val="00C376F3"/>
    <w:rsid w:val="00C40844"/>
    <w:rsid w:val="00C40FC0"/>
    <w:rsid w:val="00C4132F"/>
    <w:rsid w:val="00C43EAB"/>
    <w:rsid w:val="00C463D2"/>
    <w:rsid w:val="00C46FD6"/>
    <w:rsid w:val="00C53DB5"/>
    <w:rsid w:val="00C54ED8"/>
    <w:rsid w:val="00C55FAD"/>
    <w:rsid w:val="00C611B0"/>
    <w:rsid w:val="00C618D4"/>
    <w:rsid w:val="00C62A44"/>
    <w:rsid w:val="00C63319"/>
    <w:rsid w:val="00C65842"/>
    <w:rsid w:val="00C706DF"/>
    <w:rsid w:val="00C76839"/>
    <w:rsid w:val="00C7706F"/>
    <w:rsid w:val="00C80A39"/>
    <w:rsid w:val="00C81936"/>
    <w:rsid w:val="00C82B1F"/>
    <w:rsid w:val="00C82CF4"/>
    <w:rsid w:val="00C84C4C"/>
    <w:rsid w:val="00C84F1D"/>
    <w:rsid w:val="00C967AB"/>
    <w:rsid w:val="00C96C0B"/>
    <w:rsid w:val="00CA1702"/>
    <w:rsid w:val="00CA48B6"/>
    <w:rsid w:val="00CA5CC2"/>
    <w:rsid w:val="00CA61AE"/>
    <w:rsid w:val="00CA7D78"/>
    <w:rsid w:val="00CA7E76"/>
    <w:rsid w:val="00CB453D"/>
    <w:rsid w:val="00CB5468"/>
    <w:rsid w:val="00CB631F"/>
    <w:rsid w:val="00CC2E68"/>
    <w:rsid w:val="00CC41CD"/>
    <w:rsid w:val="00CC5314"/>
    <w:rsid w:val="00CC6A6C"/>
    <w:rsid w:val="00CC7B2B"/>
    <w:rsid w:val="00CD1247"/>
    <w:rsid w:val="00CD21BA"/>
    <w:rsid w:val="00CE012A"/>
    <w:rsid w:val="00CE1D5A"/>
    <w:rsid w:val="00CF3759"/>
    <w:rsid w:val="00CF5003"/>
    <w:rsid w:val="00CF5099"/>
    <w:rsid w:val="00D0019C"/>
    <w:rsid w:val="00D04261"/>
    <w:rsid w:val="00D0633F"/>
    <w:rsid w:val="00D1199D"/>
    <w:rsid w:val="00D1207E"/>
    <w:rsid w:val="00D1338C"/>
    <w:rsid w:val="00D149FF"/>
    <w:rsid w:val="00D14FA3"/>
    <w:rsid w:val="00D1640F"/>
    <w:rsid w:val="00D17F80"/>
    <w:rsid w:val="00D2563C"/>
    <w:rsid w:val="00D27653"/>
    <w:rsid w:val="00D3118D"/>
    <w:rsid w:val="00D3182B"/>
    <w:rsid w:val="00D34909"/>
    <w:rsid w:val="00D41AB8"/>
    <w:rsid w:val="00D524FC"/>
    <w:rsid w:val="00D52AD6"/>
    <w:rsid w:val="00D61697"/>
    <w:rsid w:val="00D640D9"/>
    <w:rsid w:val="00D70671"/>
    <w:rsid w:val="00D7306F"/>
    <w:rsid w:val="00D76BBA"/>
    <w:rsid w:val="00D834E8"/>
    <w:rsid w:val="00D8606E"/>
    <w:rsid w:val="00D86181"/>
    <w:rsid w:val="00D861AF"/>
    <w:rsid w:val="00D861C1"/>
    <w:rsid w:val="00D86901"/>
    <w:rsid w:val="00D92835"/>
    <w:rsid w:val="00D94424"/>
    <w:rsid w:val="00D961CB"/>
    <w:rsid w:val="00D9643D"/>
    <w:rsid w:val="00D96A1B"/>
    <w:rsid w:val="00DA1638"/>
    <w:rsid w:val="00DA4AE1"/>
    <w:rsid w:val="00DA6DB6"/>
    <w:rsid w:val="00DB3C63"/>
    <w:rsid w:val="00DB4BEE"/>
    <w:rsid w:val="00DC09BD"/>
    <w:rsid w:val="00DC21BC"/>
    <w:rsid w:val="00DC41C9"/>
    <w:rsid w:val="00DC5473"/>
    <w:rsid w:val="00DC6A3F"/>
    <w:rsid w:val="00DD1D6B"/>
    <w:rsid w:val="00DD2F76"/>
    <w:rsid w:val="00DD3996"/>
    <w:rsid w:val="00DD53BB"/>
    <w:rsid w:val="00DD5CED"/>
    <w:rsid w:val="00DD7111"/>
    <w:rsid w:val="00DE1570"/>
    <w:rsid w:val="00DE3DD8"/>
    <w:rsid w:val="00DE50E4"/>
    <w:rsid w:val="00DE6482"/>
    <w:rsid w:val="00DE6FE8"/>
    <w:rsid w:val="00DE7D13"/>
    <w:rsid w:val="00DF56B6"/>
    <w:rsid w:val="00E034EE"/>
    <w:rsid w:val="00E04B2C"/>
    <w:rsid w:val="00E114C5"/>
    <w:rsid w:val="00E13008"/>
    <w:rsid w:val="00E13D93"/>
    <w:rsid w:val="00E148E3"/>
    <w:rsid w:val="00E15BBD"/>
    <w:rsid w:val="00E162F5"/>
    <w:rsid w:val="00E1750C"/>
    <w:rsid w:val="00E17EDB"/>
    <w:rsid w:val="00E21886"/>
    <w:rsid w:val="00E23990"/>
    <w:rsid w:val="00E307F3"/>
    <w:rsid w:val="00E3230E"/>
    <w:rsid w:val="00E3237A"/>
    <w:rsid w:val="00E32DAB"/>
    <w:rsid w:val="00E32F3E"/>
    <w:rsid w:val="00E33F18"/>
    <w:rsid w:val="00E35775"/>
    <w:rsid w:val="00E35A10"/>
    <w:rsid w:val="00E40902"/>
    <w:rsid w:val="00E42EAD"/>
    <w:rsid w:val="00E44C33"/>
    <w:rsid w:val="00E452E8"/>
    <w:rsid w:val="00E454AB"/>
    <w:rsid w:val="00E45546"/>
    <w:rsid w:val="00E479DE"/>
    <w:rsid w:val="00E50921"/>
    <w:rsid w:val="00E50A24"/>
    <w:rsid w:val="00E54C03"/>
    <w:rsid w:val="00E54CE1"/>
    <w:rsid w:val="00E5750A"/>
    <w:rsid w:val="00E60490"/>
    <w:rsid w:val="00E6163C"/>
    <w:rsid w:val="00E62CA6"/>
    <w:rsid w:val="00E675C9"/>
    <w:rsid w:val="00E70114"/>
    <w:rsid w:val="00E74085"/>
    <w:rsid w:val="00E826D1"/>
    <w:rsid w:val="00E86AEB"/>
    <w:rsid w:val="00E90A62"/>
    <w:rsid w:val="00E9550E"/>
    <w:rsid w:val="00E95670"/>
    <w:rsid w:val="00E95CF7"/>
    <w:rsid w:val="00E96106"/>
    <w:rsid w:val="00EA0EEB"/>
    <w:rsid w:val="00EA264A"/>
    <w:rsid w:val="00EA2A53"/>
    <w:rsid w:val="00EB2B4F"/>
    <w:rsid w:val="00EB4D2C"/>
    <w:rsid w:val="00EB4F0F"/>
    <w:rsid w:val="00EC1F7A"/>
    <w:rsid w:val="00EC59A6"/>
    <w:rsid w:val="00EC5EEF"/>
    <w:rsid w:val="00EC6EBF"/>
    <w:rsid w:val="00EC7E5E"/>
    <w:rsid w:val="00ED17CC"/>
    <w:rsid w:val="00ED2912"/>
    <w:rsid w:val="00ED2DCC"/>
    <w:rsid w:val="00ED3D38"/>
    <w:rsid w:val="00ED7392"/>
    <w:rsid w:val="00EF074A"/>
    <w:rsid w:val="00EF2BE5"/>
    <w:rsid w:val="00EF33B0"/>
    <w:rsid w:val="00EF4293"/>
    <w:rsid w:val="00F042FA"/>
    <w:rsid w:val="00F10000"/>
    <w:rsid w:val="00F11477"/>
    <w:rsid w:val="00F15C0C"/>
    <w:rsid w:val="00F16374"/>
    <w:rsid w:val="00F22813"/>
    <w:rsid w:val="00F234F2"/>
    <w:rsid w:val="00F23CD7"/>
    <w:rsid w:val="00F2442A"/>
    <w:rsid w:val="00F30926"/>
    <w:rsid w:val="00F3797A"/>
    <w:rsid w:val="00F4107A"/>
    <w:rsid w:val="00F41250"/>
    <w:rsid w:val="00F44403"/>
    <w:rsid w:val="00F44F18"/>
    <w:rsid w:val="00F46462"/>
    <w:rsid w:val="00F46AA4"/>
    <w:rsid w:val="00F51AFD"/>
    <w:rsid w:val="00F543AA"/>
    <w:rsid w:val="00F612FF"/>
    <w:rsid w:val="00F62882"/>
    <w:rsid w:val="00F63C28"/>
    <w:rsid w:val="00F6493F"/>
    <w:rsid w:val="00F66B7D"/>
    <w:rsid w:val="00F66C6A"/>
    <w:rsid w:val="00F73FB0"/>
    <w:rsid w:val="00F75663"/>
    <w:rsid w:val="00F811E7"/>
    <w:rsid w:val="00F9056C"/>
    <w:rsid w:val="00F927D8"/>
    <w:rsid w:val="00F92EF4"/>
    <w:rsid w:val="00F93EA7"/>
    <w:rsid w:val="00FA143D"/>
    <w:rsid w:val="00FA2927"/>
    <w:rsid w:val="00FA3F80"/>
    <w:rsid w:val="00FA4DAF"/>
    <w:rsid w:val="00FA54EC"/>
    <w:rsid w:val="00FB03FB"/>
    <w:rsid w:val="00FB4891"/>
    <w:rsid w:val="00FB7086"/>
    <w:rsid w:val="00FC4E63"/>
    <w:rsid w:val="00FC686F"/>
    <w:rsid w:val="00FC7018"/>
    <w:rsid w:val="00FC7C6D"/>
    <w:rsid w:val="00FC7FBE"/>
    <w:rsid w:val="00FD0EA2"/>
    <w:rsid w:val="00FD134C"/>
    <w:rsid w:val="00FD1BAA"/>
    <w:rsid w:val="00FD5238"/>
    <w:rsid w:val="00FD6580"/>
    <w:rsid w:val="00FE0378"/>
    <w:rsid w:val="00FE2347"/>
    <w:rsid w:val="00FE2FC2"/>
    <w:rsid w:val="00FF2DB9"/>
    <w:rsid w:val="00FF52E3"/>
    <w:rsid w:val="00FF5CB6"/>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84CFEA68-5D4E-49F1-BBA2-2F529DDA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character" w:styleId="UnresolvedMention">
    <w:name w:val="Unresolved Mention"/>
    <w:basedOn w:val="DefaultParagraphFont"/>
    <w:uiPriority w:val="99"/>
    <w:semiHidden/>
    <w:unhideWhenUsed/>
    <w:rsid w:val="007D67A5"/>
    <w:rPr>
      <w:color w:val="605E5C"/>
      <w:shd w:val="clear" w:color="auto" w:fill="E1DFDD"/>
    </w:rPr>
  </w:style>
  <w:style w:type="character" w:styleId="FollowedHyperlink">
    <w:name w:val="FollowedHyperlink"/>
    <w:basedOn w:val="DefaultParagraphFont"/>
    <w:rsid w:val="002B24A7"/>
    <w:rPr>
      <w:color w:val="954F72" w:themeColor="followedHyperlink"/>
      <w:u w:val="single"/>
    </w:rPr>
  </w:style>
  <w:style w:type="paragraph" w:styleId="Revision">
    <w:name w:val="Revision"/>
    <w:hidden/>
    <w:uiPriority w:val="99"/>
    <w:semiHidden/>
    <w:rsid w:val="003D0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11336">
      <w:bodyDiv w:val="1"/>
      <w:marLeft w:val="0"/>
      <w:marRight w:val="0"/>
      <w:marTop w:val="0"/>
      <w:marBottom w:val="0"/>
      <w:divBdr>
        <w:top w:val="none" w:sz="0" w:space="0" w:color="auto"/>
        <w:left w:val="none" w:sz="0" w:space="0" w:color="auto"/>
        <w:bottom w:val="none" w:sz="0" w:space="0" w:color="auto"/>
        <w:right w:val="none" w:sz="0" w:space="0" w:color="auto"/>
      </w:divBdr>
    </w:div>
    <w:div w:id="19997937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9376161">
      <w:bodyDiv w:val="1"/>
      <w:marLeft w:val="0"/>
      <w:marRight w:val="0"/>
      <w:marTop w:val="0"/>
      <w:marBottom w:val="0"/>
      <w:divBdr>
        <w:top w:val="none" w:sz="0" w:space="0" w:color="auto"/>
        <w:left w:val="none" w:sz="0" w:space="0" w:color="auto"/>
        <w:bottom w:val="none" w:sz="0" w:space="0" w:color="auto"/>
        <w:right w:val="none" w:sz="0" w:space="0" w:color="auto"/>
      </w:divBdr>
    </w:div>
    <w:div w:id="61729474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97820270">
      <w:bodyDiv w:val="1"/>
      <w:marLeft w:val="0"/>
      <w:marRight w:val="0"/>
      <w:marTop w:val="0"/>
      <w:marBottom w:val="0"/>
      <w:divBdr>
        <w:top w:val="none" w:sz="0" w:space="0" w:color="auto"/>
        <w:left w:val="none" w:sz="0" w:space="0" w:color="auto"/>
        <w:bottom w:val="none" w:sz="0" w:space="0" w:color="auto"/>
        <w:right w:val="none" w:sz="0" w:space="0" w:color="auto"/>
      </w:divBdr>
    </w:div>
    <w:div w:id="1433892220">
      <w:bodyDiv w:val="1"/>
      <w:marLeft w:val="0"/>
      <w:marRight w:val="0"/>
      <w:marTop w:val="0"/>
      <w:marBottom w:val="0"/>
      <w:divBdr>
        <w:top w:val="none" w:sz="0" w:space="0" w:color="auto"/>
        <w:left w:val="none" w:sz="0" w:space="0" w:color="auto"/>
        <w:bottom w:val="none" w:sz="0" w:space="0" w:color="auto"/>
        <w:right w:val="none" w:sz="0" w:space="0" w:color="auto"/>
      </w:divBdr>
    </w:div>
    <w:div w:id="1518695529">
      <w:bodyDiv w:val="1"/>
      <w:marLeft w:val="0"/>
      <w:marRight w:val="0"/>
      <w:marTop w:val="0"/>
      <w:marBottom w:val="0"/>
      <w:divBdr>
        <w:top w:val="none" w:sz="0" w:space="0" w:color="auto"/>
        <w:left w:val="none" w:sz="0" w:space="0" w:color="auto"/>
        <w:bottom w:val="none" w:sz="0" w:space="0" w:color="auto"/>
        <w:right w:val="none" w:sz="0" w:space="0" w:color="auto"/>
      </w:divBdr>
    </w:div>
    <w:div w:id="1589346284">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1346152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54480941">
      <w:bodyDiv w:val="1"/>
      <w:marLeft w:val="0"/>
      <w:marRight w:val="0"/>
      <w:marTop w:val="0"/>
      <w:marBottom w:val="0"/>
      <w:divBdr>
        <w:top w:val="none" w:sz="0" w:space="0" w:color="auto"/>
        <w:left w:val="none" w:sz="0" w:space="0" w:color="auto"/>
        <w:bottom w:val="none" w:sz="0" w:space="0" w:color="auto"/>
        <w:right w:val="none" w:sz="0" w:space="0" w:color="auto"/>
      </w:divBdr>
    </w:div>
    <w:div w:id="208699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adpan.org/wp-content/uploads/2022/05/A-deadly-Distraction-2.pdf" TargetMode="External"/><Relationship Id="rId1" Type="http://schemas.openxmlformats.org/officeDocument/2006/relationships/hyperlink" Target="https://adpan.org/wp-content/uploads/2022/05/A-deadly-Distraction-2.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D35A7-F774-45C5-9B7F-0BE601CE4A66}">
  <ds:schemaRefs>
    <ds:schemaRef ds:uri="http://schemas.microsoft.com/sharepoint/v3/contenttype/forms"/>
  </ds:schemaRefs>
</ds:datastoreItem>
</file>

<file path=customXml/itemProps2.xml><?xml version="1.0" encoding="utf-8"?>
<ds:datastoreItem xmlns:ds="http://schemas.openxmlformats.org/officeDocument/2006/customXml" ds:itemID="{941A347D-7B54-45AA-81D4-F6B765DEE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0BE404-9F8E-4444-8721-958AC955770E}">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E4C1A91D-212E-4B89-81F6-199D9676B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3733</Words>
  <Characters>22739</Characters>
  <Application>Microsoft Office Word</Application>
  <DocSecurity>0</DocSecurity>
  <Lines>473</Lines>
  <Paragraphs>230</Paragraphs>
  <ScaleCrop>false</ScaleCrop>
  <Company/>
  <LinksUpToDate>false</LinksUpToDate>
  <CharactersWithSpaces>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cp:lastPrinted>1900-01-01T06:00:00Z</cp:lastPrinted>
  <dcterms:created xsi:type="dcterms:W3CDTF">2025-09-29T15:59:00Z</dcterms:created>
  <dcterms:modified xsi:type="dcterms:W3CDTF">2025-09-29T15:59:00Z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