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B1AB3C" w14:textId="77777777" w:rsidR="0048524A" w:rsidRPr="007B14AC" w:rsidRDefault="0005424B" w:rsidP="006F62F1">
      <w:pPr>
        <w:spacing w:line="276" w:lineRule="auto"/>
        <w:rPr>
          <w:rFonts w:asciiTheme="majorBidi" w:hAnsiTheme="majorBidi" w:cstheme="majorBidi"/>
          <w:b/>
          <w:bCs/>
          <w:sz w:val="24"/>
          <w:szCs w:val="24"/>
        </w:rPr>
      </w:pPr>
      <w:r w:rsidRPr="007B14AC">
        <w:rPr>
          <w:rFonts w:asciiTheme="majorBidi" w:hAnsiTheme="majorBidi" w:cstheme="majorBidi"/>
          <w:b/>
          <w:bCs/>
          <w:sz w:val="24"/>
          <w:szCs w:val="24"/>
        </w:rPr>
        <w:t>Articles 15 &amp; 16</w:t>
      </w:r>
    </w:p>
    <w:p w14:paraId="2802F451" w14:textId="77777777" w:rsidR="0005424B" w:rsidRPr="007B14AC" w:rsidRDefault="002F6E6B" w:rsidP="002F6E6B">
      <w:pPr>
        <w:pStyle w:val="Loendilik"/>
        <w:numPr>
          <w:ilvl w:val="0"/>
          <w:numId w:val="2"/>
        </w:numPr>
        <w:spacing w:line="276" w:lineRule="auto"/>
        <w:rPr>
          <w:rFonts w:asciiTheme="majorBidi" w:hAnsiTheme="majorBidi" w:cstheme="majorBidi"/>
          <w:b/>
          <w:bCs/>
          <w:sz w:val="24"/>
          <w:szCs w:val="24"/>
        </w:rPr>
      </w:pPr>
      <w:r w:rsidRPr="007B14AC">
        <w:rPr>
          <w:rFonts w:asciiTheme="majorBidi" w:hAnsiTheme="majorBidi" w:cstheme="majorBidi"/>
          <w:b/>
          <w:bCs/>
          <w:sz w:val="24"/>
          <w:szCs w:val="24"/>
        </w:rPr>
        <w:t>In relation to article 15, the SP is congratulated for the legal aid that it provides women in civil matters and especially in family matters. I wish to ask in this re</w:t>
      </w:r>
      <w:r w:rsidR="00180324" w:rsidRPr="007B14AC">
        <w:rPr>
          <w:rFonts w:asciiTheme="majorBidi" w:hAnsiTheme="majorBidi" w:cstheme="majorBidi"/>
          <w:b/>
          <w:bCs/>
          <w:sz w:val="24"/>
          <w:szCs w:val="24"/>
        </w:rPr>
        <w:t>gard three</w:t>
      </w:r>
      <w:r w:rsidR="00EB1519" w:rsidRPr="007B14AC">
        <w:rPr>
          <w:rFonts w:asciiTheme="majorBidi" w:hAnsiTheme="majorBidi" w:cstheme="majorBidi"/>
          <w:b/>
          <w:bCs/>
          <w:sz w:val="24"/>
          <w:szCs w:val="24"/>
        </w:rPr>
        <w:t xml:space="preserve"> </w:t>
      </w:r>
      <w:r w:rsidRPr="007B14AC">
        <w:rPr>
          <w:rFonts w:asciiTheme="majorBidi" w:hAnsiTheme="majorBidi" w:cstheme="majorBidi"/>
          <w:b/>
          <w:bCs/>
          <w:sz w:val="24"/>
          <w:szCs w:val="24"/>
        </w:rPr>
        <w:t>questions:</w:t>
      </w:r>
    </w:p>
    <w:p w14:paraId="32BBDDC5" w14:textId="77777777" w:rsidR="001F2053" w:rsidRPr="001F2053" w:rsidRDefault="002F6E6B" w:rsidP="001F2053">
      <w:pPr>
        <w:pStyle w:val="Loendilik"/>
        <w:numPr>
          <w:ilvl w:val="0"/>
          <w:numId w:val="3"/>
        </w:numPr>
        <w:spacing w:line="276" w:lineRule="auto"/>
        <w:rPr>
          <w:rFonts w:asciiTheme="majorBidi" w:hAnsiTheme="majorBidi" w:cstheme="majorBidi"/>
          <w:sz w:val="24"/>
          <w:szCs w:val="24"/>
        </w:rPr>
      </w:pPr>
      <w:r w:rsidRPr="007B14AC">
        <w:rPr>
          <w:rFonts w:asciiTheme="majorBidi" w:hAnsiTheme="majorBidi" w:cstheme="majorBidi"/>
          <w:b/>
          <w:bCs/>
          <w:sz w:val="24"/>
          <w:szCs w:val="24"/>
        </w:rPr>
        <w:t>Do legal aid lawyers receive special training on DV?</w:t>
      </w:r>
      <w:r w:rsidR="00C74ED4" w:rsidRPr="008428DB">
        <w:rPr>
          <w:rFonts w:asciiTheme="majorBidi" w:hAnsiTheme="majorBidi" w:cstheme="majorBidi"/>
          <w:sz w:val="24"/>
          <w:szCs w:val="24"/>
        </w:rPr>
        <w:t xml:space="preserve"> </w:t>
      </w:r>
      <w:r w:rsidR="001F2053" w:rsidRPr="001F2053">
        <w:rPr>
          <w:rFonts w:asciiTheme="majorBidi" w:hAnsiTheme="majorBidi" w:cstheme="majorBidi"/>
          <w:sz w:val="24"/>
          <w:szCs w:val="24"/>
        </w:rPr>
        <w:t>Trainings on domestic violence are relevant to lawyers offering legal aid and they have participated on such trainings over the years. The trainings on DV are more popular among lawyers who are working with the family matters.</w:t>
      </w:r>
    </w:p>
    <w:p w14:paraId="146380E6" w14:textId="6C379C57" w:rsidR="0000110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Please see the information given below regarding specific trainings (in relation to Article 15, question c).</w:t>
      </w:r>
    </w:p>
    <w:p w14:paraId="2F8C2DB6" w14:textId="77777777" w:rsidR="001F2053" w:rsidRPr="001F2053" w:rsidRDefault="002F6E6B" w:rsidP="001F2053">
      <w:pPr>
        <w:pStyle w:val="Loendilik"/>
        <w:numPr>
          <w:ilvl w:val="0"/>
          <w:numId w:val="3"/>
        </w:numPr>
        <w:spacing w:line="276" w:lineRule="auto"/>
        <w:rPr>
          <w:rFonts w:asciiTheme="majorBidi" w:hAnsiTheme="majorBidi" w:cstheme="majorBidi"/>
          <w:sz w:val="24"/>
          <w:szCs w:val="24"/>
        </w:rPr>
      </w:pPr>
      <w:r w:rsidRPr="007B14AC">
        <w:rPr>
          <w:rFonts w:asciiTheme="majorBidi" w:hAnsiTheme="majorBidi" w:cstheme="majorBidi"/>
          <w:b/>
          <w:bCs/>
          <w:sz w:val="24"/>
          <w:szCs w:val="24"/>
        </w:rPr>
        <w:t xml:space="preserve">Why victims of sexual abuse do not receive separate legal </w:t>
      </w:r>
      <w:r w:rsidR="00001103" w:rsidRPr="007B14AC">
        <w:rPr>
          <w:rFonts w:asciiTheme="majorBidi" w:hAnsiTheme="majorBidi" w:cstheme="majorBidi"/>
          <w:b/>
          <w:bCs/>
          <w:sz w:val="24"/>
          <w:szCs w:val="24"/>
        </w:rPr>
        <w:t xml:space="preserve">counseling </w:t>
      </w:r>
      <w:r w:rsidR="00872807" w:rsidRPr="007B14AC">
        <w:rPr>
          <w:rFonts w:asciiTheme="majorBidi" w:hAnsiTheme="majorBidi" w:cstheme="majorBidi"/>
          <w:b/>
          <w:bCs/>
          <w:sz w:val="24"/>
          <w:szCs w:val="24"/>
        </w:rPr>
        <w:t>during</w:t>
      </w:r>
      <w:r w:rsidR="00001103" w:rsidRPr="007B14AC">
        <w:rPr>
          <w:rFonts w:asciiTheme="majorBidi" w:hAnsiTheme="majorBidi" w:cstheme="majorBidi"/>
          <w:b/>
          <w:bCs/>
          <w:sz w:val="24"/>
          <w:szCs w:val="24"/>
        </w:rPr>
        <w:t xml:space="preserve"> criminal cases</w:t>
      </w:r>
      <w:r w:rsidR="00872807" w:rsidRPr="007B14AC">
        <w:rPr>
          <w:rFonts w:asciiTheme="majorBidi" w:hAnsiTheme="majorBidi" w:cstheme="majorBidi"/>
          <w:b/>
          <w:bCs/>
          <w:sz w:val="24"/>
          <w:szCs w:val="24"/>
        </w:rPr>
        <w:t xml:space="preserve"> against the abuser</w:t>
      </w:r>
      <w:r w:rsidRPr="007B14AC">
        <w:rPr>
          <w:rFonts w:asciiTheme="majorBidi" w:hAnsiTheme="majorBidi" w:cstheme="majorBidi"/>
          <w:b/>
          <w:bCs/>
          <w:sz w:val="24"/>
          <w:szCs w:val="24"/>
        </w:rPr>
        <w:t>?</w:t>
      </w:r>
      <w:r w:rsidRPr="001F2053">
        <w:rPr>
          <w:rFonts w:asciiTheme="majorBidi" w:hAnsiTheme="majorBidi" w:cstheme="majorBidi"/>
          <w:sz w:val="24"/>
          <w:szCs w:val="24"/>
        </w:rPr>
        <w:t xml:space="preserve"> </w:t>
      </w:r>
      <w:r w:rsidR="001F2053" w:rsidRPr="001F2053">
        <w:rPr>
          <w:rFonts w:asciiTheme="majorBidi" w:hAnsiTheme="majorBidi" w:cstheme="majorBidi"/>
          <w:sz w:val="24"/>
          <w:szCs w:val="24"/>
        </w:rPr>
        <w:t>OÜ HUGO in cooperation with the Ministry of Justice offers 2 hours of free legal advice to people living in Estonia. Free legal advice is available to all people living in Estonia whose average gross income is up to 1,200 euros. The exception is family cases concerning the rights of the child, in which case the income limit is 2,000 euros per month. In addition to legal advice, OÜ HUGO lawyers answer legal questions in both Estonian and Russian on the juristtaitab.ee web forum. This support is applicable also to the victims of sexual abuse.</w:t>
      </w:r>
    </w:p>
    <w:p w14:paraId="284C9E2A" w14:textId="373F0662" w:rsidR="001F205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 xml:space="preserve">In addition, many NGO-s and shelters have their own lawyers/legal counsellors who provide legal counseling (both, in general as well as during criminal proceedings). </w:t>
      </w:r>
    </w:p>
    <w:p w14:paraId="1E5C852E" w14:textId="77777777" w:rsidR="001F205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 xml:space="preserve">Furthermore, our Victim Support Act § 21 describes the content of women’s support </w:t>
      </w:r>
      <w:proofErr w:type="spellStart"/>
      <w:r w:rsidRPr="001F2053">
        <w:rPr>
          <w:rFonts w:asciiTheme="majorBidi" w:hAnsiTheme="majorBidi" w:cstheme="majorBidi"/>
          <w:sz w:val="24"/>
          <w:szCs w:val="24"/>
        </w:rPr>
        <w:t>centre</w:t>
      </w:r>
      <w:proofErr w:type="spellEnd"/>
      <w:r w:rsidRPr="001F2053">
        <w:rPr>
          <w:rFonts w:asciiTheme="majorBidi" w:hAnsiTheme="majorBidi" w:cstheme="majorBidi"/>
          <w:sz w:val="24"/>
          <w:szCs w:val="24"/>
        </w:rPr>
        <w:t xml:space="preserve"> service and as you can see from the subsection (2) point 6, legal aid is mandatory part of the service:</w:t>
      </w:r>
    </w:p>
    <w:p w14:paraId="5E6DF9F8" w14:textId="77777777" w:rsidR="001F2053" w:rsidRPr="001F2053" w:rsidRDefault="001F2053" w:rsidP="001F2053">
      <w:pPr>
        <w:pStyle w:val="Loendilik"/>
        <w:spacing w:line="276" w:lineRule="auto"/>
        <w:ind w:left="1080"/>
        <w:rPr>
          <w:rFonts w:asciiTheme="majorBidi" w:hAnsiTheme="majorBidi" w:cstheme="majorBidi"/>
          <w:sz w:val="24"/>
          <w:szCs w:val="24"/>
        </w:rPr>
      </w:pPr>
    </w:p>
    <w:p w14:paraId="3C1B8B24"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21.  Purpose and content of women's support </w:t>
      </w:r>
      <w:proofErr w:type="spellStart"/>
      <w:r w:rsidRPr="001F2053">
        <w:rPr>
          <w:rFonts w:asciiTheme="majorBidi" w:hAnsiTheme="majorBidi" w:cstheme="majorBidi"/>
          <w:i/>
          <w:iCs/>
          <w:sz w:val="24"/>
          <w:szCs w:val="24"/>
        </w:rPr>
        <w:t>centre</w:t>
      </w:r>
      <w:proofErr w:type="spellEnd"/>
      <w:r w:rsidRPr="001F2053">
        <w:rPr>
          <w:rFonts w:asciiTheme="majorBidi" w:hAnsiTheme="majorBidi" w:cstheme="majorBidi"/>
          <w:i/>
          <w:iCs/>
          <w:sz w:val="24"/>
          <w:szCs w:val="24"/>
        </w:rPr>
        <w:t xml:space="preserve"> service</w:t>
      </w:r>
    </w:p>
    <w:p w14:paraId="07B5BB13"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(1) The purpose of the women's support </w:t>
      </w:r>
      <w:proofErr w:type="spellStart"/>
      <w:r w:rsidRPr="001F2053">
        <w:rPr>
          <w:rFonts w:asciiTheme="majorBidi" w:hAnsiTheme="majorBidi" w:cstheme="majorBidi"/>
          <w:i/>
          <w:iCs/>
          <w:sz w:val="24"/>
          <w:szCs w:val="24"/>
        </w:rPr>
        <w:t>centre</w:t>
      </w:r>
      <w:proofErr w:type="spellEnd"/>
      <w:r w:rsidRPr="001F2053">
        <w:rPr>
          <w:rFonts w:asciiTheme="majorBidi" w:hAnsiTheme="majorBidi" w:cstheme="majorBidi"/>
          <w:i/>
          <w:iCs/>
          <w:sz w:val="24"/>
          <w:szCs w:val="24"/>
        </w:rPr>
        <w:t xml:space="preserve"> service is to help a victim of violence against women to escape violence, increase security and achieve independent coping.</w:t>
      </w:r>
    </w:p>
    <w:p w14:paraId="61D676F5"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(2) The women's support </w:t>
      </w:r>
      <w:proofErr w:type="spellStart"/>
      <w:r w:rsidRPr="001F2053">
        <w:rPr>
          <w:rFonts w:asciiTheme="majorBidi" w:hAnsiTheme="majorBidi" w:cstheme="majorBidi"/>
          <w:i/>
          <w:iCs/>
          <w:sz w:val="24"/>
          <w:szCs w:val="24"/>
        </w:rPr>
        <w:t>centre</w:t>
      </w:r>
      <w:proofErr w:type="spellEnd"/>
      <w:r w:rsidRPr="001F2053">
        <w:rPr>
          <w:rFonts w:asciiTheme="majorBidi" w:hAnsiTheme="majorBidi" w:cstheme="majorBidi"/>
          <w:i/>
          <w:iCs/>
          <w:sz w:val="24"/>
          <w:szCs w:val="24"/>
        </w:rPr>
        <w:t xml:space="preserve"> service includes the following:</w:t>
      </w:r>
    </w:p>
    <w:p w14:paraId="7B9E7189"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1) readiness to provide 24-hour primary psychosocial support to a victim and their children;</w:t>
      </w:r>
    </w:p>
    <w:p w14:paraId="0876A17D"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2) assessment of a victim's need for support in order to decide on the need and volume of the service;</w:t>
      </w:r>
    </w:p>
    <w:p w14:paraId="4A1DF0AE"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3) counselling of a victim and ensuring psychosocial support;</w:t>
      </w:r>
    </w:p>
    <w:p w14:paraId="79A72CDB"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4) implementation of case management where a victim needs long-term and comprehensive support in order to achieve independent coping;</w:t>
      </w:r>
    </w:p>
    <w:p w14:paraId="1D70D21C"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5) psychological counselling or psychotherapy;</w:t>
      </w:r>
    </w:p>
    <w:p w14:paraId="0C393C17"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6) legal aid;</w:t>
      </w:r>
    </w:p>
    <w:p w14:paraId="0AC2EF83"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7) 24-hour safe temporary accommodation for a victim and their children.</w:t>
      </w:r>
    </w:p>
    <w:p w14:paraId="736B2E0F" w14:textId="77777777" w:rsidR="001F2053"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lastRenderedPageBreak/>
        <w:t xml:space="preserve"> (3) The service specified in clause 7 of subsection 2 of this section is provided during the term of up to six months.</w:t>
      </w:r>
    </w:p>
    <w:p w14:paraId="4854B73E" w14:textId="71D2DB80" w:rsidR="00180324" w:rsidRPr="001F2053" w:rsidRDefault="001F2053" w:rsidP="001F2053">
      <w:pPr>
        <w:pStyle w:val="Loendilik"/>
        <w:spacing w:line="276" w:lineRule="auto"/>
        <w:ind w:left="1080"/>
        <w:rPr>
          <w:rFonts w:asciiTheme="majorBidi" w:hAnsiTheme="majorBidi" w:cstheme="majorBidi"/>
          <w:i/>
          <w:iCs/>
          <w:sz w:val="24"/>
          <w:szCs w:val="24"/>
        </w:rPr>
      </w:pPr>
      <w:r w:rsidRPr="001F2053">
        <w:rPr>
          <w:rFonts w:asciiTheme="majorBidi" w:hAnsiTheme="majorBidi" w:cstheme="majorBidi"/>
          <w:i/>
          <w:iCs/>
          <w:sz w:val="24"/>
          <w:szCs w:val="24"/>
        </w:rPr>
        <w:t xml:space="preserve"> (4) The women's support </w:t>
      </w:r>
      <w:proofErr w:type="spellStart"/>
      <w:r w:rsidRPr="001F2053">
        <w:rPr>
          <w:rFonts w:asciiTheme="majorBidi" w:hAnsiTheme="majorBidi" w:cstheme="majorBidi"/>
          <w:i/>
          <w:iCs/>
          <w:sz w:val="24"/>
          <w:szCs w:val="24"/>
        </w:rPr>
        <w:t>centre</w:t>
      </w:r>
      <w:proofErr w:type="spellEnd"/>
      <w:r w:rsidRPr="001F2053">
        <w:rPr>
          <w:rFonts w:asciiTheme="majorBidi" w:hAnsiTheme="majorBidi" w:cstheme="majorBidi"/>
          <w:i/>
          <w:iCs/>
          <w:sz w:val="24"/>
          <w:szCs w:val="24"/>
        </w:rPr>
        <w:t xml:space="preserve"> service is provided by a team of specialists as a single service and it is available in each county.</w:t>
      </w:r>
    </w:p>
    <w:p w14:paraId="5A1BCA30" w14:textId="77777777" w:rsidR="001F2053" w:rsidRPr="001F2053" w:rsidRDefault="002F6E6B" w:rsidP="001F2053">
      <w:pPr>
        <w:pStyle w:val="Loendilik"/>
        <w:numPr>
          <w:ilvl w:val="0"/>
          <w:numId w:val="3"/>
        </w:numPr>
        <w:spacing w:line="276" w:lineRule="auto"/>
        <w:rPr>
          <w:rFonts w:asciiTheme="majorBidi" w:hAnsiTheme="majorBidi" w:cstheme="majorBidi"/>
          <w:sz w:val="24"/>
          <w:szCs w:val="24"/>
        </w:rPr>
      </w:pPr>
      <w:r w:rsidRPr="001F2053">
        <w:rPr>
          <w:rFonts w:asciiTheme="majorBidi" w:hAnsiTheme="majorBidi" w:cstheme="majorBidi"/>
          <w:b/>
          <w:bCs/>
          <w:sz w:val="24"/>
          <w:szCs w:val="24"/>
        </w:rPr>
        <w:t>And what</w:t>
      </w:r>
      <w:r w:rsidRPr="001F2053">
        <w:rPr>
          <w:rFonts w:asciiTheme="majorBidi" w:hAnsiTheme="majorBidi" w:cstheme="majorBidi"/>
          <w:b/>
          <w:bCs/>
          <w:sz w:val="24"/>
          <w:szCs w:val="24"/>
          <w:lang w:val="en-GB"/>
        </w:rPr>
        <w:t xml:space="preserve"> trauma-informed-care training lawyers who represent the state in sex abuse criminal cases receive</w:t>
      </w:r>
      <w:r w:rsidR="00001103" w:rsidRPr="001F2053">
        <w:rPr>
          <w:rFonts w:asciiTheme="majorBidi" w:hAnsiTheme="majorBidi" w:cstheme="majorBidi"/>
          <w:b/>
          <w:bCs/>
          <w:sz w:val="24"/>
          <w:szCs w:val="24"/>
          <w:lang w:val="en-GB"/>
        </w:rPr>
        <w:t xml:space="preserve"> and</w:t>
      </w:r>
      <w:r w:rsidR="00001103" w:rsidRPr="001F2053">
        <w:rPr>
          <w:rFonts w:asciiTheme="majorBidi" w:hAnsiTheme="majorBidi" w:cstheme="majorBidi"/>
          <w:b/>
          <w:bCs/>
          <w:sz w:val="24"/>
          <w:szCs w:val="24"/>
        </w:rPr>
        <w:t xml:space="preserve"> how do they make sure that victims are not re-victimized</w:t>
      </w:r>
      <w:r w:rsidR="00487691" w:rsidRPr="001F2053">
        <w:rPr>
          <w:rFonts w:asciiTheme="majorBidi" w:hAnsiTheme="majorBidi" w:cstheme="majorBidi"/>
          <w:b/>
          <w:bCs/>
          <w:sz w:val="24"/>
          <w:szCs w:val="24"/>
        </w:rPr>
        <w:t xml:space="preserve"> through the interrogations of defense layers</w:t>
      </w:r>
      <w:r w:rsidR="00001103" w:rsidRPr="001F2053">
        <w:rPr>
          <w:rFonts w:asciiTheme="majorBidi" w:hAnsiTheme="majorBidi" w:cstheme="majorBidi"/>
          <w:b/>
          <w:bCs/>
          <w:sz w:val="24"/>
          <w:szCs w:val="24"/>
        </w:rPr>
        <w:t>?</w:t>
      </w:r>
      <w:r w:rsidR="00001103" w:rsidRPr="001F2053">
        <w:rPr>
          <w:rFonts w:asciiTheme="majorBidi" w:hAnsiTheme="majorBidi" w:cstheme="majorBidi"/>
          <w:sz w:val="24"/>
          <w:szCs w:val="24"/>
        </w:rPr>
        <w:t xml:space="preserve"> </w:t>
      </w:r>
    </w:p>
    <w:p w14:paraId="4478E6DC" w14:textId="3A5B42BB" w:rsidR="001F2053" w:rsidRPr="00AF7D5A" w:rsidRDefault="001F2053" w:rsidP="001F2053">
      <w:pPr>
        <w:pStyle w:val="Loendilik"/>
        <w:spacing w:line="276" w:lineRule="auto"/>
        <w:ind w:left="1080"/>
        <w:rPr>
          <w:rFonts w:asciiTheme="majorBidi" w:hAnsiTheme="majorBidi" w:cstheme="majorBidi"/>
          <w:sz w:val="24"/>
          <w:szCs w:val="24"/>
          <w:u w:val="single"/>
        </w:rPr>
      </w:pPr>
      <w:r w:rsidRPr="00AF7D5A">
        <w:rPr>
          <w:rFonts w:asciiTheme="majorBidi" w:hAnsiTheme="majorBidi" w:cstheme="majorBidi"/>
          <w:sz w:val="24"/>
          <w:szCs w:val="24"/>
          <w:u w:val="single"/>
        </w:rPr>
        <w:t>Overview of trainings:</w:t>
      </w:r>
    </w:p>
    <w:p w14:paraId="6D3D4CBA" w14:textId="77777777" w:rsidR="001F205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The Social Insurance Board has developed an e-course on a trauma-informed approach aimed at all domestic violence professionals, including lawyers.</w:t>
      </w:r>
    </w:p>
    <w:p w14:paraId="63B56E5C" w14:textId="77777777" w:rsidR="001F205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The course consists of 10 academic hours and is divided into five modules:</w:t>
      </w:r>
    </w:p>
    <w:p w14:paraId="4257A3C0" w14:textId="77777777"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1) trauma-informed practice</w:t>
      </w:r>
    </w:p>
    <w:p w14:paraId="3731DEE8" w14:textId="77777777"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2) the comprehensive impact of psychological trauma</w:t>
      </w:r>
    </w:p>
    <w:p w14:paraId="0F41422D" w14:textId="77777777"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3) signs and symptoms of trauma</w:t>
      </w:r>
    </w:p>
    <w:p w14:paraId="55946E4C" w14:textId="77777777"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4) principles of trauma-informed care and the prevention of re-</w:t>
      </w:r>
      <w:proofErr w:type="spellStart"/>
      <w:r w:rsidRPr="001F2053">
        <w:rPr>
          <w:rFonts w:asciiTheme="majorBidi" w:hAnsiTheme="majorBidi" w:cstheme="majorBidi"/>
          <w:sz w:val="24"/>
          <w:szCs w:val="24"/>
        </w:rPr>
        <w:t>victimisation</w:t>
      </w:r>
      <w:proofErr w:type="spellEnd"/>
      <w:r w:rsidRPr="001F2053">
        <w:rPr>
          <w:rFonts w:asciiTheme="majorBidi" w:hAnsiTheme="majorBidi" w:cstheme="majorBidi"/>
          <w:sz w:val="24"/>
          <w:szCs w:val="24"/>
        </w:rPr>
        <w:t>.</w:t>
      </w:r>
    </w:p>
    <w:p w14:paraId="3A582B0F" w14:textId="77777777"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5) the cost of helping and building mental resilience.</w:t>
      </w:r>
    </w:p>
    <w:p w14:paraId="3739C9F7" w14:textId="77777777" w:rsidR="00AF7D5A" w:rsidRDefault="00AF7D5A" w:rsidP="001F2053">
      <w:pPr>
        <w:pStyle w:val="Loendilik"/>
        <w:spacing w:line="276" w:lineRule="auto"/>
        <w:ind w:left="1080"/>
        <w:rPr>
          <w:rFonts w:asciiTheme="majorBidi" w:hAnsiTheme="majorBidi" w:cstheme="majorBidi"/>
          <w:sz w:val="24"/>
          <w:szCs w:val="24"/>
        </w:rPr>
      </w:pPr>
    </w:p>
    <w:p w14:paraId="6378A2EF" w14:textId="003CCAB9" w:rsidR="001F205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Initial trainings for lawyers administered by Tartu University law faculty:</w:t>
      </w:r>
    </w:p>
    <w:p w14:paraId="260F856A" w14:textId="77777777"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 Intimate partner violence in today´s society (4 ECTS) is an elective undergraduate course for law students, course is offered since 2015/2016.</w:t>
      </w:r>
    </w:p>
    <w:p w14:paraId="488B5B42" w14:textId="79517C02"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 Additional training course “From norm-centered thinking to open and holistic approach of intimate partner violence (</w:t>
      </w:r>
      <w:proofErr w:type="spellStart"/>
      <w:r w:rsidRPr="006E32F0">
        <w:rPr>
          <w:rFonts w:asciiTheme="majorBidi" w:hAnsiTheme="majorBidi" w:cstheme="majorBidi"/>
          <w:i/>
          <w:iCs/>
          <w:sz w:val="24"/>
          <w:szCs w:val="24"/>
        </w:rPr>
        <w:t>Normikesksest</w:t>
      </w:r>
      <w:proofErr w:type="spellEnd"/>
      <w:r w:rsidRPr="006E32F0">
        <w:rPr>
          <w:rFonts w:asciiTheme="majorBidi" w:hAnsiTheme="majorBidi" w:cstheme="majorBidi"/>
          <w:i/>
          <w:iCs/>
          <w:sz w:val="24"/>
          <w:szCs w:val="24"/>
        </w:rPr>
        <w:t xml:space="preserve"> </w:t>
      </w:r>
      <w:proofErr w:type="spellStart"/>
      <w:r w:rsidRPr="006E32F0">
        <w:rPr>
          <w:rFonts w:asciiTheme="majorBidi" w:hAnsiTheme="majorBidi" w:cstheme="majorBidi"/>
          <w:i/>
          <w:iCs/>
          <w:sz w:val="24"/>
          <w:szCs w:val="24"/>
        </w:rPr>
        <w:t>mõtlemisest</w:t>
      </w:r>
      <w:proofErr w:type="spellEnd"/>
      <w:r w:rsidRPr="006E32F0">
        <w:rPr>
          <w:rFonts w:asciiTheme="majorBidi" w:hAnsiTheme="majorBidi" w:cstheme="majorBidi"/>
          <w:i/>
          <w:iCs/>
          <w:sz w:val="24"/>
          <w:szCs w:val="24"/>
        </w:rPr>
        <w:t xml:space="preserve"> </w:t>
      </w:r>
      <w:proofErr w:type="spellStart"/>
      <w:r w:rsidRPr="006E32F0">
        <w:rPr>
          <w:rFonts w:asciiTheme="majorBidi" w:hAnsiTheme="majorBidi" w:cstheme="majorBidi"/>
          <w:i/>
          <w:iCs/>
          <w:sz w:val="24"/>
          <w:szCs w:val="24"/>
        </w:rPr>
        <w:t>avatud</w:t>
      </w:r>
      <w:proofErr w:type="spellEnd"/>
      <w:r w:rsidRPr="006E32F0">
        <w:rPr>
          <w:rFonts w:asciiTheme="majorBidi" w:hAnsiTheme="majorBidi" w:cstheme="majorBidi"/>
          <w:i/>
          <w:iCs/>
          <w:sz w:val="24"/>
          <w:szCs w:val="24"/>
        </w:rPr>
        <w:t xml:space="preserve"> ja </w:t>
      </w:r>
      <w:proofErr w:type="spellStart"/>
      <w:r w:rsidRPr="006E32F0">
        <w:rPr>
          <w:rFonts w:asciiTheme="majorBidi" w:hAnsiTheme="majorBidi" w:cstheme="majorBidi"/>
          <w:i/>
          <w:iCs/>
          <w:sz w:val="24"/>
          <w:szCs w:val="24"/>
        </w:rPr>
        <w:t>süsteemse</w:t>
      </w:r>
      <w:proofErr w:type="spellEnd"/>
      <w:r w:rsidRPr="006E32F0">
        <w:rPr>
          <w:rFonts w:asciiTheme="majorBidi" w:hAnsiTheme="majorBidi" w:cstheme="majorBidi"/>
          <w:i/>
          <w:iCs/>
          <w:sz w:val="24"/>
          <w:szCs w:val="24"/>
        </w:rPr>
        <w:t xml:space="preserve"> </w:t>
      </w:r>
      <w:proofErr w:type="spellStart"/>
      <w:r w:rsidRPr="006E32F0">
        <w:rPr>
          <w:rFonts w:asciiTheme="majorBidi" w:hAnsiTheme="majorBidi" w:cstheme="majorBidi"/>
          <w:i/>
          <w:iCs/>
          <w:sz w:val="24"/>
          <w:szCs w:val="24"/>
        </w:rPr>
        <w:t>arusaamani</w:t>
      </w:r>
      <w:proofErr w:type="spellEnd"/>
      <w:r w:rsidRPr="006E32F0">
        <w:rPr>
          <w:rFonts w:asciiTheme="majorBidi" w:hAnsiTheme="majorBidi" w:cstheme="majorBidi"/>
          <w:i/>
          <w:iCs/>
          <w:sz w:val="24"/>
          <w:szCs w:val="24"/>
        </w:rPr>
        <w:t xml:space="preserve"> </w:t>
      </w:r>
      <w:proofErr w:type="spellStart"/>
      <w:r w:rsidRPr="006E32F0">
        <w:rPr>
          <w:rFonts w:asciiTheme="majorBidi" w:hAnsiTheme="majorBidi" w:cstheme="majorBidi"/>
          <w:i/>
          <w:iCs/>
          <w:sz w:val="24"/>
          <w:szCs w:val="24"/>
        </w:rPr>
        <w:t>lähisuhtevägivallas</w:t>
      </w:r>
      <w:proofErr w:type="spellEnd"/>
      <w:r w:rsidRPr="001F2053">
        <w:rPr>
          <w:rFonts w:asciiTheme="majorBidi" w:hAnsiTheme="majorBidi" w:cstheme="majorBidi"/>
          <w:sz w:val="24"/>
          <w:szCs w:val="24"/>
        </w:rPr>
        <w:t>)“ (4 ECTS) was carried out as an elective course in 2018/2019 for law students.</w:t>
      </w:r>
    </w:p>
    <w:p w14:paraId="2538C4F3" w14:textId="0AADEAB2" w:rsidR="001F2053" w:rsidRPr="001F2053" w:rsidRDefault="001F2053" w:rsidP="001F2053">
      <w:pPr>
        <w:pStyle w:val="Loendilik"/>
        <w:spacing w:line="276" w:lineRule="auto"/>
        <w:ind w:left="1440"/>
        <w:rPr>
          <w:rFonts w:asciiTheme="majorBidi" w:hAnsiTheme="majorBidi" w:cstheme="majorBidi"/>
          <w:sz w:val="24"/>
          <w:szCs w:val="24"/>
        </w:rPr>
      </w:pPr>
      <w:r w:rsidRPr="001F2053">
        <w:rPr>
          <w:rFonts w:asciiTheme="majorBidi" w:hAnsiTheme="majorBidi" w:cstheme="majorBidi"/>
          <w:sz w:val="24"/>
          <w:szCs w:val="24"/>
        </w:rPr>
        <w:t>•</w:t>
      </w:r>
      <w:r>
        <w:rPr>
          <w:rFonts w:asciiTheme="majorBidi" w:hAnsiTheme="majorBidi" w:cstheme="majorBidi"/>
          <w:sz w:val="24"/>
          <w:szCs w:val="24"/>
        </w:rPr>
        <w:t xml:space="preserve"> </w:t>
      </w:r>
      <w:r w:rsidRPr="001F2053">
        <w:rPr>
          <w:rFonts w:asciiTheme="majorBidi" w:hAnsiTheme="majorBidi" w:cstheme="majorBidi"/>
          <w:sz w:val="24"/>
          <w:szCs w:val="24"/>
        </w:rPr>
        <w:t>All-university elective course “Basics in sexuality education” (3ECTS), topics on dating and sexual violence are cover in 4 academic hours.</w:t>
      </w:r>
    </w:p>
    <w:p w14:paraId="341E0F46" w14:textId="77777777" w:rsidR="00AF7D5A" w:rsidRDefault="00AF7D5A" w:rsidP="001F2053">
      <w:pPr>
        <w:pStyle w:val="Loendilik"/>
        <w:spacing w:line="276" w:lineRule="auto"/>
        <w:ind w:left="1080"/>
        <w:rPr>
          <w:rFonts w:asciiTheme="majorBidi" w:hAnsiTheme="majorBidi" w:cstheme="majorBidi"/>
          <w:sz w:val="24"/>
          <w:szCs w:val="24"/>
        </w:rPr>
      </w:pPr>
    </w:p>
    <w:p w14:paraId="0DE86D2E" w14:textId="74D540A6" w:rsidR="001F2053" w:rsidRPr="001F2053" w:rsidRDefault="001F2053" w:rsidP="001F2053">
      <w:pPr>
        <w:pStyle w:val="Loendilik"/>
        <w:spacing w:line="276" w:lineRule="auto"/>
        <w:ind w:left="1080"/>
        <w:rPr>
          <w:rFonts w:asciiTheme="majorBidi" w:hAnsiTheme="majorBidi" w:cstheme="majorBidi"/>
          <w:sz w:val="24"/>
          <w:szCs w:val="24"/>
        </w:rPr>
      </w:pPr>
      <w:r w:rsidRPr="001F2053">
        <w:rPr>
          <w:rFonts w:asciiTheme="majorBidi" w:hAnsiTheme="majorBidi" w:cstheme="majorBidi"/>
          <w:sz w:val="24"/>
          <w:szCs w:val="24"/>
        </w:rPr>
        <w:t>In-service training of professionals:</w:t>
      </w:r>
    </w:p>
    <w:p w14:paraId="28B13B74" w14:textId="23A8DD84" w:rsidR="001F2053" w:rsidRPr="00AF7D5A" w:rsidRDefault="00AF7D5A" w:rsidP="00AF7D5A">
      <w:pPr>
        <w:pStyle w:val="Loendilik"/>
        <w:spacing w:line="276" w:lineRule="auto"/>
        <w:ind w:left="1440"/>
        <w:rPr>
          <w:rFonts w:asciiTheme="majorBidi" w:hAnsiTheme="majorBidi" w:cstheme="majorBidi"/>
          <w:sz w:val="24"/>
          <w:szCs w:val="24"/>
        </w:rPr>
      </w:pPr>
      <w:r w:rsidRPr="00AF7D5A">
        <w:rPr>
          <w:rFonts w:asciiTheme="majorBidi" w:hAnsiTheme="majorBidi" w:cstheme="majorBidi"/>
          <w:sz w:val="24"/>
          <w:szCs w:val="24"/>
        </w:rPr>
        <w:t xml:space="preserve">• </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 xml:space="preserve">The first roundtable for prosecutors </w:t>
      </w:r>
      <w:proofErr w:type="spellStart"/>
      <w:r w:rsidR="001F2053" w:rsidRPr="00AF7D5A">
        <w:rPr>
          <w:rFonts w:asciiTheme="majorBidi" w:hAnsiTheme="majorBidi" w:cstheme="majorBidi"/>
          <w:sz w:val="24"/>
          <w:szCs w:val="24"/>
        </w:rPr>
        <w:t>specialised</w:t>
      </w:r>
      <w:proofErr w:type="spellEnd"/>
      <w:r w:rsidR="001F2053" w:rsidRPr="00AF7D5A">
        <w:rPr>
          <w:rFonts w:asciiTheme="majorBidi" w:hAnsiTheme="majorBidi" w:cstheme="majorBidi"/>
          <w:sz w:val="24"/>
          <w:szCs w:val="24"/>
        </w:rPr>
        <w:t xml:space="preserve"> in domestic violence was </w:t>
      </w:r>
      <w:proofErr w:type="spellStart"/>
      <w:r w:rsidR="001F2053" w:rsidRPr="00AF7D5A">
        <w:rPr>
          <w:rFonts w:asciiTheme="majorBidi" w:hAnsiTheme="majorBidi" w:cstheme="majorBidi"/>
          <w:sz w:val="24"/>
          <w:szCs w:val="24"/>
        </w:rPr>
        <w:t>organised</w:t>
      </w:r>
      <w:proofErr w:type="spellEnd"/>
      <w:r w:rsidR="001F2053" w:rsidRPr="00AF7D5A">
        <w:rPr>
          <w:rFonts w:asciiTheme="majorBidi" w:hAnsiTheme="majorBidi" w:cstheme="majorBidi"/>
          <w:sz w:val="24"/>
          <w:szCs w:val="24"/>
        </w:rPr>
        <w:t xml:space="preserve"> and financed by Prosecutor´s Office in October 2020. 24 prosecutors and 9 representatives from partner </w:t>
      </w:r>
      <w:proofErr w:type="spellStart"/>
      <w:r w:rsidR="001F2053" w:rsidRPr="00AF7D5A">
        <w:rPr>
          <w:rFonts w:asciiTheme="majorBidi" w:hAnsiTheme="majorBidi" w:cstheme="majorBidi"/>
          <w:sz w:val="24"/>
          <w:szCs w:val="24"/>
        </w:rPr>
        <w:t>organisations</w:t>
      </w:r>
      <w:proofErr w:type="spellEnd"/>
      <w:r w:rsidR="001F2053" w:rsidRPr="00AF7D5A">
        <w:rPr>
          <w:rFonts w:asciiTheme="majorBidi" w:hAnsiTheme="majorBidi" w:cstheme="majorBidi"/>
          <w:sz w:val="24"/>
          <w:szCs w:val="24"/>
        </w:rPr>
        <w:t xml:space="preserve"> (Victim Support, Ministry of Justice, Police and Border Guard Board </w:t>
      </w:r>
      <w:proofErr w:type="spellStart"/>
      <w:r w:rsidR="001F2053" w:rsidRPr="00AF7D5A">
        <w:rPr>
          <w:rFonts w:asciiTheme="majorBidi" w:hAnsiTheme="majorBidi" w:cstheme="majorBidi"/>
          <w:sz w:val="24"/>
          <w:szCs w:val="24"/>
        </w:rPr>
        <w:t>etc</w:t>
      </w:r>
      <w:proofErr w:type="spellEnd"/>
      <w:r w:rsidR="001F2053" w:rsidRPr="00AF7D5A">
        <w:rPr>
          <w:rFonts w:asciiTheme="majorBidi" w:hAnsiTheme="majorBidi" w:cstheme="majorBidi"/>
          <w:sz w:val="24"/>
          <w:szCs w:val="24"/>
        </w:rPr>
        <w:t>) participated. Ever since, this roundtable has been (and will be) organized each year. Participation in roundtable is compulsory for prosecutors prosecuting domestic violence criminal cases. Prosecutors also participate actively in trainings and seminars organized by partners.</w:t>
      </w:r>
    </w:p>
    <w:p w14:paraId="32429E65" w14:textId="57DBCB42" w:rsidR="001F2053" w:rsidRPr="00AF7D5A" w:rsidRDefault="00AF7D5A" w:rsidP="00AF7D5A">
      <w:pPr>
        <w:pStyle w:val="Loendilik"/>
        <w:spacing w:line="276" w:lineRule="auto"/>
        <w:ind w:left="1440"/>
        <w:rPr>
          <w:rFonts w:asciiTheme="majorBidi" w:hAnsiTheme="majorBidi" w:cstheme="majorBidi"/>
          <w:sz w:val="24"/>
          <w:szCs w:val="24"/>
        </w:rPr>
      </w:pPr>
      <w:r w:rsidRPr="00AF7D5A">
        <w:rPr>
          <w:rFonts w:asciiTheme="majorBidi" w:hAnsiTheme="majorBidi" w:cstheme="majorBidi"/>
          <w:sz w:val="24"/>
          <w:szCs w:val="24"/>
        </w:rPr>
        <w:t xml:space="preserve">• </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 xml:space="preserve">Trainings for criminal justice system specialists related to protection of the rights and treatment of victims have been carried out supporting the implementation of EU Victim’s Directive. Multisectoral trainings for the police, </w:t>
      </w:r>
      <w:r w:rsidR="001F2053" w:rsidRPr="00AF7D5A">
        <w:rPr>
          <w:rFonts w:asciiTheme="majorBidi" w:hAnsiTheme="majorBidi" w:cstheme="majorBidi"/>
          <w:sz w:val="24"/>
          <w:szCs w:val="24"/>
        </w:rPr>
        <w:lastRenderedPageBreak/>
        <w:t xml:space="preserve">prosecutors, judges and victim support specialist were carried out over the period of 2016-2019. </w:t>
      </w:r>
    </w:p>
    <w:p w14:paraId="40C34695" w14:textId="0A4134D5" w:rsidR="001F2053" w:rsidRPr="00AF7D5A" w:rsidRDefault="00AF7D5A" w:rsidP="00AF7D5A">
      <w:pPr>
        <w:pStyle w:val="Loendilik"/>
        <w:spacing w:line="276" w:lineRule="auto"/>
        <w:ind w:left="1440"/>
        <w:rPr>
          <w:rFonts w:asciiTheme="majorBidi" w:hAnsiTheme="majorBidi" w:cstheme="majorBidi"/>
          <w:sz w:val="24"/>
          <w:szCs w:val="24"/>
        </w:rPr>
      </w:pPr>
      <w:r w:rsidRPr="00AF7D5A">
        <w:rPr>
          <w:rFonts w:asciiTheme="majorBidi" w:hAnsiTheme="majorBidi" w:cstheme="majorBidi"/>
          <w:sz w:val="24"/>
          <w:szCs w:val="24"/>
        </w:rPr>
        <w:t xml:space="preserve">• </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Judges are constantly updating their professional knowledge and skills. The Judicial Training Council is responsible for the training of judges. The training program is approved every year. The Supreme Court Training Department coordinates training for judges. For example, the following trainings have been organized:</w:t>
      </w:r>
    </w:p>
    <w:p w14:paraId="1E779D52" w14:textId="14FFCDA8" w:rsidR="001F2053" w:rsidRPr="00AF7D5A" w:rsidRDefault="00AF7D5A" w:rsidP="00AF7D5A">
      <w:pPr>
        <w:pStyle w:val="Loendilik"/>
        <w:spacing w:line="276" w:lineRule="auto"/>
        <w:ind w:left="2160"/>
        <w:rPr>
          <w:rFonts w:asciiTheme="majorBidi" w:hAnsiTheme="majorBidi" w:cstheme="majorBidi"/>
          <w:sz w:val="24"/>
          <w:szCs w:val="24"/>
        </w:rPr>
      </w:pPr>
      <w:r w:rsidRPr="00AF7D5A">
        <w:rPr>
          <w:rFonts w:asciiTheme="majorBidi" w:hAnsiTheme="majorBidi" w:cstheme="majorBidi"/>
          <w:sz w:val="24"/>
          <w:szCs w:val="24"/>
        </w:rPr>
        <w:t xml:space="preserve">• </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 xml:space="preserve">Intimate partner violence. One-day training, took place twice in 2016 (Tartu and Tallinn). Three topics: introduction to the theory of intimate partner violence (lecturer: Silvia </w:t>
      </w:r>
      <w:proofErr w:type="spellStart"/>
      <w:r w:rsidR="001F2053" w:rsidRPr="00AF7D5A">
        <w:rPr>
          <w:rFonts w:asciiTheme="majorBidi" w:hAnsiTheme="majorBidi" w:cstheme="majorBidi"/>
          <w:sz w:val="24"/>
          <w:szCs w:val="24"/>
        </w:rPr>
        <w:t>Kaugja</w:t>
      </w:r>
      <w:proofErr w:type="spellEnd"/>
      <w:r w:rsidR="001F2053" w:rsidRPr="00AF7D5A">
        <w:rPr>
          <w:rFonts w:asciiTheme="majorBidi" w:hAnsiTheme="majorBidi" w:cstheme="majorBidi"/>
          <w:sz w:val="24"/>
          <w:szCs w:val="24"/>
        </w:rPr>
        <w:t>, the University of Tartu, Faculty Law), psychological aspects of intimate partner violence (by Andres Sild) and relevant case law and case studies (lecturer: Sten Lind, Tallinn Circuit Court). Participated 38 judges and 69 judicial clerks.</w:t>
      </w:r>
    </w:p>
    <w:p w14:paraId="6DDB086F" w14:textId="06C0E0EE" w:rsidR="001F2053" w:rsidRPr="00AF7D5A" w:rsidRDefault="00AF7D5A" w:rsidP="00AF7D5A">
      <w:pPr>
        <w:pStyle w:val="Loendilik"/>
        <w:spacing w:line="276" w:lineRule="auto"/>
        <w:ind w:left="2160"/>
        <w:rPr>
          <w:rFonts w:asciiTheme="majorBidi" w:hAnsiTheme="majorBidi" w:cstheme="majorBidi"/>
          <w:sz w:val="24"/>
          <w:szCs w:val="24"/>
        </w:rPr>
      </w:pPr>
      <w:r w:rsidRPr="00AF7D5A">
        <w:rPr>
          <w:rFonts w:asciiTheme="majorBidi" w:hAnsiTheme="majorBidi" w:cstheme="majorBidi"/>
          <w:sz w:val="24"/>
          <w:szCs w:val="24"/>
        </w:rPr>
        <w:t>•</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Psychological aspects of intimate partner violence. One-day training, took place twice in 2017 (Tartu and Tallinn). Psychiatrist-psychotherapist Andres Sild clarified the concept of violence, intimate partner violence, impact on victim´s behavior, traumatic involvement and the impact of intimate partner violence on children. Participated 32 judges and 63 judicial clerks.</w:t>
      </w:r>
    </w:p>
    <w:p w14:paraId="06DF8CA1" w14:textId="1B1BFB6C" w:rsidR="001F2053" w:rsidRPr="00AF7D5A" w:rsidRDefault="00AF7D5A" w:rsidP="00AF7D5A">
      <w:pPr>
        <w:pStyle w:val="Loendilik"/>
        <w:spacing w:line="276" w:lineRule="auto"/>
        <w:ind w:left="2160"/>
        <w:rPr>
          <w:rFonts w:asciiTheme="majorBidi" w:hAnsiTheme="majorBidi" w:cstheme="majorBidi"/>
          <w:sz w:val="24"/>
          <w:szCs w:val="24"/>
        </w:rPr>
      </w:pPr>
      <w:r w:rsidRPr="00AF7D5A">
        <w:rPr>
          <w:rFonts w:asciiTheme="majorBidi" w:hAnsiTheme="majorBidi" w:cstheme="majorBidi"/>
          <w:sz w:val="24"/>
          <w:szCs w:val="24"/>
        </w:rPr>
        <w:t>•</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 xml:space="preserve">Violence against women and victims of sexual violence. One-day training, took place twice in 2018 (Tartu and Tallinn). Three topics: amendments of the Penal Code related to the ratification of Istanbul Convention (lecturer: Anne Kruusement, the Ministry of Justice), amendments of Victim Support Act and a comprehensive overview of trafficking in human beings (lecturer: Kristiina Luht, the Ministry of Social Affairs), and introduction about sexual violence nature and prevalence, the victim's </w:t>
      </w:r>
      <w:proofErr w:type="spellStart"/>
      <w:r w:rsidR="001F2053" w:rsidRPr="00AF7D5A">
        <w:rPr>
          <w:rFonts w:asciiTheme="majorBidi" w:hAnsiTheme="majorBidi" w:cstheme="majorBidi"/>
          <w:sz w:val="24"/>
          <w:szCs w:val="24"/>
        </w:rPr>
        <w:t>behaviour</w:t>
      </w:r>
      <w:proofErr w:type="spellEnd"/>
      <w:r w:rsidR="001F2053" w:rsidRPr="00AF7D5A">
        <w:rPr>
          <w:rFonts w:asciiTheme="majorBidi" w:hAnsiTheme="majorBidi" w:cstheme="majorBidi"/>
          <w:sz w:val="24"/>
          <w:szCs w:val="24"/>
        </w:rPr>
        <w:t xml:space="preserve"> at the time of sexual violence and in addition, the judges were provided with knowledge about counselling victims of sexual violence (lecturers: Kai Part and Made </w:t>
      </w:r>
      <w:proofErr w:type="spellStart"/>
      <w:r w:rsidR="001F2053" w:rsidRPr="00AF7D5A">
        <w:rPr>
          <w:rFonts w:asciiTheme="majorBidi" w:hAnsiTheme="majorBidi" w:cstheme="majorBidi"/>
          <w:sz w:val="24"/>
          <w:szCs w:val="24"/>
        </w:rPr>
        <w:t>Laanpere</w:t>
      </w:r>
      <w:proofErr w:type="spellEnd"/>
      <w:r w:rsidR="001F2053" w:rsidRPr="00AF7D5A">
        <w:rPr>
          <w:rFonts w:asciiTheme="majorBidi" w:hAnsiTheme="majorBidi" w:cstheme="majorBidi"/>
          <w:sz w:val="24"/>
          <w:szCs w:val="24"/>
        </w:rPr>
        <w:t>, the University of Tartu, Institute of Clinical medicine). Participated 19 judges and 45 judicial clerks.</w:t>
      </w:r>
    </w:p>
    <w:p w14:paraId="4922AB2B" w14:textId="1B89141C" w:rsidR="001F2053" w:rsidRPr="001F2053" w:rsidRDefault="00AF7D5A" w:rsidP="00AF7D5A">
      <w:pPr>
        <w:pStyle w:val="Loendilik"/>
        <w:spacing w:line="276" w:lineRule="auto"/>
        <w:ind w:left="2160"/>
        <w:rPr>
          <w:rFonts w:asciiTheme="majorBidi" w:hAnsiTheme="majorBidi" w:cstheme="majorBidi"/>
          <w:color w:val="FF0000"/>
          <w:sz w:val="24"/>
          <w:szCs w:val="24"/>
        </w:rPr>
      </w:pP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In addition, Estonian judges have participated in several foreign training events related to the application of fundamental rights, human rights and access to justice in the EU and EU gender equality law</w:t>
      </w:r>
      <w:r w:rsidR="001F2053" w:rsidRPr="001F2053">
        <w:rPr>
          <w:rFonts w:asciiTheme="majorBidi" w:hAnsiTheme="majorBidi" w:cstheme="majorBidi"/>
          <w:color w:val="FF0000"/>
          <w:sz w:val="24"/>
          <w:szCs w:val="24"/>
        </w:rPr>
        <w:t>.</w:t>
      </w:r>
    </w:p>
    <w:p w14:paraId="520D70AE" w14:textId="77777777" w:rsidR="001F2053" w:rsidRPr="001F2053" w:rsidRDefault="001F2053" w:rsidP="00AF7D5A">
      <w:pPr>
        <w:pStyle w:val="Loendilik"/>
        <w:spacing w:line="276" w:lineRule="auto"/>
        <w:ind w:left="1080"/>
        <w:rPr>
          <w:rFonts w:asciiTheme="majorBidi" w:hAnsiTheme="majorBidi" w:cstheme="majorBidi"/>
          <w:color w:val="FF0000"/>
          <w:sz w:val="24"/>
          <w:szCs w:val="24"/>
        </w:rPr>
      </w:pPr>
    </w:p>
    <w:p w14:paraId="68A897CE" w14:textId="5464276A" w:rsidR="001F2053" w:rsidRPr="00AF7D5A" w:rsidRDefault="00AF7D5A" w:rsidP="00AF7D5A">
      <w:pPr>
        <w:pStyle w:val="Loendilik"/>
        <w:spacing w:line="276" w:lineRule="auto"/>
        <w:ind w:left="1440"/>
        <w:rPr>
          <w:rFonts w:asciiTheme="majorBidi" w:hAnsiTheme="majorBidi" w:cstheme="majorBidi"/>
          <w:sz w:val="24"/>
          <w:szCs w:val="24"/>
        </w:rPr>
      </w:pPr>
      <w:r w:rsidRPr="00AF7D5A">
        <w:rPr>
          <w:rFonts w:asciiTheme="majorBidi" w:hAnsiTheme="majorBidi" w:cstheme="majorBidi"/>
          <w:sz w:val="24"/>
          <w:szCs w:val="24"/>
        </w:rPr>
        <w:t>•</w:t>
      </w: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 xml:space="preserve">Probation and prison service receive trainings mostly in the frame of intervention and social </w:t>
      </w:r>
      <w:proofErr w:type="spellStart"/>
      <w:r w:rsidR="001F2053" w:rsidRPr="00AF7D5A">
        <w:rPr>
          <w:rFonts w:asciiTheme="majorBidi" w:hAnsiTheme="majorBidi" w:cstheme="majorBidi"/>
          <w:sz w:val="24"/>
          <w:szCs w:val="24"/>
        </w:rPr>
        <w:t>programme</w:t>
      </w:r>
      <w:proofErr w:type="spellEnd"/>
      <w:r w:rsidR="001F2053" w:rsidRPr="00AF7D5A">
        <w:rPr>
          <w:rFonts w:asciiTheme="majorBidi" w:hAnsiTheme="majorBidi" w:cstheme="majorBidi"/>
          <w:sz w:val="24"/>
          <w:szCs w:val="24"/>
        </w:rPr>
        <w:t xml:space="preserve"> training. In addition, Ministry of Justice in cooperation with Prosecutor´s Office and victim support organized three domestic violence specific seminars for Harju, </w:t>
      </w:r>
      <w:proofErr w:type="spellStart"/>
      <w:r w:rsidR="001F2053" w:rsidRPr="00AF7D5A">
        <w:rPr>
          <w:rFonts w:asciiTheme="majorBidi" w:hAnsiTheme="majorBidi" w:cstheme="majorBidi"/>
          <w:sz w:val="24"/>
          <w:szCs w:val="24"/>
        </w:rPr>
        <w:t>Pärnu</w:t>
      </w:r>
      <w:proofErr w:type="spellEnd"/>
      <w:r w:rsidR="001F2053" w:rsidRPr="00AF7D5A">
        <w:rPr>
          <w:rFonts w:asciiTheme="majorBidi" w:hAnsiTheme="majorBidi" w:cstheme="majorBidi"/>
          <w:sz w:val="24"/>
          <w:szCs w:val="24"/>
        </w:rPr>
        <w:t xml:space="preserve"> and Viru probation officers in 2020.</w:t>
      </w:r>
    </w:p>
    <w:p w14:paraId="26D49673" w14:textId="2148DF55" w:rsidR="001F2053" w:rsidRPr="00AF7D5A" w:rsidRDefault="00AF7D5A" w:rsidP="00AF7D5A">
      <w:pPr>
        <w:pStyle w:val="Loendilik"/>
        <w:spacing w:line="276" w:lineRule="auto"/>
        <w:ind w:left="1080"/>
        <w:rPr>
          <w:rFonts w:asciiTheme="majorBidi" w:hAnsiTheme="majorBidi" w:cstheme="majorBidi"/>
          <w:sz w:val="24"/>
          <w:szCs w:val="24"/>
        </w:rPr>
      </w:pPr>
      <w:r w:rsidRPr="00AF7D5A">
        <w:rPr>
          <w:rFonts w:asciiTheme="majorBidi" w:hAnsiTheme="majorBidi" w:cstheme="majorBidi"/>
          <w:sz w:val="24"/>
          <w:szCs w:val="24"/>
        </w:rPr>
        <w:lastRenderedPageBreak/>
        <w:t xml:space="preserve">• </w:t>
      </w:r>
      <w:r w:rsidR="001F2053" w:rsidRPr="00AF7D5A">
        <w:rPr>
          <w:rFonts w:asciiTheme="majorBidi" w:hAnsiTheme="majorBidi" w:cstheme="majorBidi"/>
          <w:sz w:val="24"/>
          <w:szCs w:val="24"/>
        </w:rPr>
        <w:t xml:space="preserve">In parallel with developing sexual assault </w:t>
      </w:r>
      <w:proofErr w:type="spellStart"/>
      <w:r w:rsidR="001F2053" w:rsidRPr="00AF7D5A">
        <w:rPr>
          <w:rFonts w:asciiTheme="majorBidi" w:hAnsiTheme="majorBidi" w:cstheme="majorBidi"/>
          <w:sz w:val="24"/>
          <w:szCs w:val="24"/>
        </w:rPr>
        <w:t>centres</w:t>
      </w:r>
      <w:proofErr w:type="spellEnd"/>
      <w:r w:rsidR="001F2053" w:rsidRPr="00AF7D5A">
        <w:rPr>
          <w:rFonts w:asciiTheme="majorBidi" w:hAnsiTheme="majorBidi" w:cstheme="majorBidi"/>
          <w:sz w:val="24"/>
          <w:szCs w:val="24"/>
        </w:rPr>
        <w:t xml:space="preserve"> (SAC), 1-day courses have been offered since 2015 to different target groups of professionals, including topics of myths around sexual violence and violence against women, impact of sexual violence on health, survival and coping responses, standardized SAC model of support and empowerment, etc.</w:t>
      </w:r>
    </w:p>
    <w:p w14:paraId="449C80BC" w14:textId="6ACCC2A4" w:rsidR="001F2053" w:rsidRPr="00AF7D5A" w:rsidRDefault="00AF7D5A" w:rsidP="00AF7D5A">
      <w:pPr>
        <w:pStyle w:val="Loendilik"/>
        <w:spacing w:line="276" w:lineRule="auto"/>
        <w:ind w:left="1080"/>
        <w:rPr>
          <w:rFonts w:asciiTheme="majorBidi" w:hAnsiTheme="majorBidi" w:cstheme="majorBidi"/>
          <w:sz w:val="24"/>
          <w:szCs w:val="24"/>
        </w:rPr>
      </w:pPr>
      <w:r w:rsidRPr="00AF7D5A">
        <w:rPr>
          <w:rFonts w:asciiTheme="majorBidi" w:hAnsiTheme="majorBidi" w:cstheme="majorBidi"/>
          <w:sz w:val="24"/>
          <w:szCs w:val="24"/>
        </w:rPr>
        <w:t xml:space="preserve">• </w:t>
      </w:r>
      <w:r w:rsidRPr="00AF7D5A">
        <w:rPr>
          <w:rFonts w:asciiTheme="majorBidi" w:hAnsiTheme="majorBidi" w:cstheme="majorBidi"/>
          <w:sz w:val="24"/>
          <w:szCs w:val="24"/>
        </w:rPr>
        <w:t>T</w:t>
      </w:r>
      <w:r w:rsidR="001F2053" w:rsidRPr="00AF7D5A">
        <w:rPr>
          <w:rFonts w:asciiTheme="majorBidi" w:hAnsiTheme="majorBidi" w:cstheme="majorBidi"/>
          <w:sz w:val="24"/>
          <w:szCs w:val="24"/>
        </w:rPr>
        <w:t xml:space="preserve">raining through specialists’ networks. A factor positively influencing the implementation of policies to tackle gender-based violence, is the existence of </w:t>
      </w:r>
      <w:proofErr w:type="spellStart"/>
      <w:r w:rsidR="001F2053" w:rsidRPr="00AF7D5A">
        <w:rPr>
          <w:rFonts w:asciiTheme="majorBidi" w:hAnsiTheme="majorBidi" w:cstheme="majorBidi"/>
          <w:sz w:val="24"/>
          <w:szCs w:val="24"/>
        </w:rPr>
        <w:t>specialised</w:t>
      </w:r>
      <w:proofErr w:type="spellEnd"/>
      <w:r w:rsidR="001F2053" w:rsidRPr="00AF7D5A">
        <w:rPr>
          <w:rFonts w:asciiTheme="majorBidi" w:hAnsiTheme="majorBidi" w:cstheme="majorBidi"/>
          <w:sz w:val="24"/>
          <w:szCs w:val="24"/>
        </w:rPr>
        <w:t xml:space="preserve"> and active networks.</w:t>
      </w:r>
    </w:p>
    <w:p w14:paraId="430386A9" w14:textId="4C53F8E0" w:rsidR="001F2053" w:rsidRPr="00AF7D5A" w:rsidRDefault="00AF7D5A" w:rsidP="00AF7D5A">
      <w:pPr>
        <w:pStyle w:val="Loendilik"/>
        <w:spacing w:line="276" w:lineRule="auto"/>
        <w:ind w:left="1080"/>
        <w:rPr>
          <w:rFonts w:asciiTheme="majorBidi" w:hAnsiTheme="majorBidi" w:cstheme="majorBidi"/>
          <w:sz w:val="24"/>
          <w:szCs w:val="24"/>
        </w:rPr>
      </w:pPr>
      <w:r w:rsidRPr="00AF7D5A">
        <w:rPr>
          <w:rFonts w:asciiTheme="majorBidi" w:hAnsiTheme="majorBidi" w:cstheme="majorBidi"/>
          <w:sz w:val="24"/>
          <w:szCs w:val="24"/>
        </w:rPr>
        <w:t xml:space="preserve">• </w:t>
      </w:r>
      <w:r w:rsidR="001F2053" w:rsidRPr="00AF7D5A">
        <w:rPr>
          <w:rFonts w:asciiTheme="majorBidi" w:hAnsiTheme="majorBidi" w:cstheme="majorBidi"/>
          <w:sz w:val="24"/>
          <w:szCs w:val="24"/>
        </w:rPr>
        <w:t>In December 2017-March 2018, a pilot project was carried out to improve the protection of victims of domestic violence by an enhanced co-operation and improved everyday practices of law enforcement, social and child protection, women’s shelters and other relevant counterparts. The project aimed to test different approaches that ensure victim's security and empowerment, rapid intervention and case management, and effective need-based social and psychological support. For protecting all the victims, perpetrators were removed from the scene and victims were provided with support from National Victim Support system and women’s shelters. In order to fulfil the project's goal, coherence of co-operation and rapidness of information exchange were increased. Based on the results of the pilot project, changes in the organization, resources and legislation regarding law enforcement and social affairs, local government and victim support organizations were agreed by the Government. From 2019 to 2021, the new intervention approach is being gradually introduced via seminars throughout Estonia.</w:t>
      </w:r>
    </w:p>
    <w:p w14:paraId="7951DD7A" w14:textId="77777777" w:rsidR="001F2053" w:rsidRPr="001F2053" w:rsidRDefault="001F2053" w:rsidP="00AF7D5A">
      <w:pPr>
        <w:pStyle w:val="Loendilik"/>
        <w:spacing w:line="276" w:lineRule="auto"/>
        <w:ind w:left="1080"/>
        <w:rPr>
          <w:rFonts w:asciiTheme="majorBidi" w:hAnsiTheme="majorBidi" w:cstheme="majorBidi"/>
          <w:color w:val="FF0000"/>
          <w:sz w:val="24"/>
          <w:szCs w:val="24"/>
        </w:rPr>
      </w:pPr>
    </w:p>
    <w:p w14:paraId="54AA9A97" w14:textId="77777777" w:rsidR="001F2053" w:rsidRPr="00AF7D5A" w:rsidRDefault="001F2053" w:rsidP="00AF7D5A">
      <w:pPr>
        <w:pStyle w:val="Loendilik"/>
        <w:spacing w:line="276" w:lineRule="auto"/>
        <w:rPr>
          <w:rFonts w:asciiTheme="majorBidi" w:hAnsiTheme="majorBidi" w:cstheme="majorBidi"/>
          <w:sz w:val="24"/>
          <w:szCs w:val="24"/>
        </w:rPr>
      </w:pPr>
      <w:r w:rsidRPr="00AF7D5A">
        <w:rPr>
          <w:rFonts w:asciiTheme="majorBidi" w:hAnsiTheme="majorBidi" w:cstheme="majorBidi"/>
          <w:sz w:val="24"/>
          <w:szCs w:val="24"/>
        </w:rPr>
        <w:t xml:space="preserve">Code of Criminal Procedure Art 37-2 obliges the authority conducting the investigative act (including interrogations) to assess the </w:t>
      </w:r>
      <w:proofErr w:type="spellStart"/>
      <w:r w:rsidRPr="00AF7D5A">
        <w:rPr>
          <w:rFonts w:asciiTheme="majorBidi" w:hAnsiTheme="majorBidi" w:cstheme="majorBidi"/>
          <w:sz w:val="24"/>
          <w:szCs w:val="24"/>
        </w:rPr>
        <w:t>victims’s</w:t>
      </w:r>
      <w:proofErr w:type="spellEnd"/>
      <w:r w:rsidRPr="00AF7D5A">
        <w:rPr>
          <w:rFonts w:asciiTheme="majorBidi" w:hAnsiTheme="majorBidi" w:cstheme="majorBidi"/>
          <w:sz w:val="24"/>
          <w:szCs w:val="24"/>
        </w:rPr>
        <w:t xml:space="preserve"> need for special protection measures and to apply them if needed. It is therefore the states’ authorities’ (investigators, prosecutors, judges) obligation to ensure that victim is not re-victimized during the interrogation. </w:t>
      </w:r>
    </w:p>
    <w:p w14:paraId="2FF963B4" w14:textId="77777777" w:rsidR="001F2053" w:rsidRPr="00AF7D5A" w:rsidRDefault="001F2053" w:rsidP="00AF7D5A">
      <w:pPr>
        <w:pStyle w:val="Loendilik"/>
        <w:spacing w:line="276" w:lineRule="auto"/>
        <w:ind w:left="1080"/>
        <w:rPr>
          <w:rFonts w:asciiTheme="majorBidi" w:hAnsiTheme="majorBidi" w:cstheme="majorBidi"/>
          <w:i/>
          <w:iCs/>
          <w:sz w:val="24"/>
          <w:szCs w:val="24"/>
        </w:rPr>
      </w:pPr>
      <w:r w:rsidRPr="00AF7D5A">
        <w:rPr>
          <w:rFonts w:asciiTheme="majorBidi" w:hAnsiTheme="majorBidi" w:cstheme="majorBidi"/>
          <w:i/>
          <w:iCs/>
          <w:sz w:val="24"/>
          <w:szCs w:val="24"/>
        </w:rPr>
        <w:t>§ 37-2.  Assessment of specific protection needs of an individual victim</w:t>
      </w:r>
    </w:p>
    <w:p w14:paraId="0D72C9DC" w14:textId="77777777" w:rsidR="001F2053" w:rsidRPr="00AF7D5A" w:rsidRDefault="001F2053" w:rsidP="00AF7D5A">
      <w:pPr>
        <w:pStyle w:val="Loendilik"/>
        <w:spacing w:line="276" w:lineRule="auto"/>
        <w:ind w:left="1080"/>
        <w:rPr>
          <w:rFonts w:asciiTheme="majorBidi" w:hAnsiTheme="majorBidi" w:cstheme="majorBidi"/>
          <w:i/>
          <w:iCs/>
          <w:sz w:val="24"/>
          <w:szCs w:val="24"/>
        </w:rPr>
      </w:pPr>
      <w:r w:rsidRPr="00AF7D5A">
        <w:rPr>
          <w:rFonts w:asciiTheme="majorBidi" w:hAnsiTheme="majorBidi" w:cstheme="majorBidi"/>
          <w:i/>
          <w:iCs/>
          <w:sz w:val="24"/>
          <w:szCs w:val="24"/>
        </w:rPr>
        <w:t xml:space="preserve"> (1) The proceedings authority is obligated to assess whether any circumstances are present that amount to a reasonable cause to believe that the individual victim requires special treatment and protection – including victim support services – in the proceedings.</w:t>
      </w:r>
    </w:p>
    <w:p w14:paraId="07B6ABC1" w14:textId="77777777" w:rsidR="001F2053" w:rsidRPr="00AF7D5A" w:rsidRDefault="001F2053" w:rsidP="00AF7D5A">
      <w:pPr>
        <w:pStyle w:val="Loendilik"/>
        <w:spacing w:line="276" w:lineRule="auto"/>
        <w:ind w:left="1080"/>
        <w:rPr>
          <w:rFonts w:asciiTheme="majorBidi" w:hAnsiTheme="majorBidi" w:cstheme="majorBidi"/>
          <w:i/>
          <w:iCs/>
          <w:sz w:val="24"/>
          <w:szCs w:val="24"/>
        </w:rPr>
      </w:pPr>
      <w:r w:rsidRPr="00AF7D5A">
        <w:rPr>
          <w:rFonts w:asciiTheme="majorBidi" w:hAnsiTheme="majorBidi" w:cstheme="majorBidi"/>
          <w:i/>
          <w:iCs/>
          <w:sz w:val="24"/>
          <w:szCs w:val="24"/>
        </w:rPr>
        <w:t>(2) The assessment takes into consideration the victim's personality, the gravity and nature of the criminal offence, who the suspect is, the circumstances in which the criminal offence was committed and the harm caused to the victim. Any minor victims are presumed to require special treatment and protection in criminal proceedings.</w:t>
      </w:r>
    </w:p>
    <w:p w14:paraId="05E7D2C0" w14:textId="20A2787B" w:rsidR="001F2053" w:rsidRPr="001F2053" w:rsidRDefault="001F2053" w:rsidP="00AF7D5A">
      <w:pPr>
        <w:pStyle w:val="Loendilik"/>
        <w:spacing w:line="276" w:lineRule="auto"/>
        <w:ind w:left="1080"/>
        <w:rPr>
          <w:rFonts w:asciiTheme="majorBidi" w:hAnsiTheme="majorBidi" w:cstheme="majorBidi"/>
          <w:color w:val="FF0000"/>
          <w:sz w:val="24"/>
          <w:szCs w:val="24"/>
        </w:rPr>
      </w:pPr>
      <w:r w:rsidRPr="00AF7D5A">
        <w:rPr>
          <w:rFonts w:asciiTheme="majorBidi" w:hAnsiTheme="majorBidi" w:cstheme="majorBidi"/>
          <w:i/>
          <w:iCs/>
          <w:sz w:val="24"/>
          <w:szCs w:val="24"/>
        </w:rPr>
        <w:t xml:space="preserve">(3) As a result of the assessment, a decision is made concerning which of the means provided for by this Code for ensuring the safety of the victim it is possible to employ, as well as whether the interview with the victim should be conducted in premises </w:t>
      </w:r>
      <w:r w:rsidRPr="00AF7D5A">
        <w:rPr>
          <w:rFonts w:asciiTheme="majorBidi" w:hAnsiTheme="majorBidi" w:cstheme="majorBidi"/>
          <w:i/>
          <w:iCs/>
          <w:sz w:val="24"/>
          <w:szCs w:val="24"/>
        </w:rPr>
        <w:lastRenderedPageBreak/>
        <w:t>adapted for their special needs or by, or with the participation of, a specialist trained to interview victims with special protection needs or, if possible, by the same person throughout the proceedings or whether a victim who has special needs may require victim support services.</w:t>
      </w:r>
    </w:p>
    <w:p w14:paraId="7506AE7F" w14:textId="298CB5BE" w:rsidR="002F6E6B" w:rsidRPr="008428DB" w:rsidRDefault="002F6E6B" w:rsidP="00AF7D5A">
      <w:pPr>
        <w:pStyle w:val="Loendilik"/>
        <w:spacing w:line="276" w:lineRule="auto"/>
        <w:ind w:left="1080"/>
        <w:rPr>
          <w:rFonts w:asciiTheme="majorBidi" w:hAnsiTheme="majorBidi" w:cstheme="majorBidi"/>
          <w:sz w:val="24"/>
          <w:szCs w:val="24"/>
        </w:rPr>
      </w:pPr>
    </w:p>
    <w:p w14:paraId="1C612A56" w14:textId="77777777" w:rsidR="00CE1EAD" w:rsidRPr="007B14AC" w:rsidRDefault="002F6E6B" w:rsidP="002F6E6B">
      <w:pPr>
        <w:spacing w:line="276" w:lineRule="auto"/>
        <w:rPr>
          <w:rFonts w:asciiTheme="majorBidi" w:hAnsiTheme="majorBidi" w:cstheme="majorBidi"/>
          <w:b/>
          <w:bCs/>
          <w:sz w:val="24"/>
          <w:szCs w:val="24"/>
        </w:rPr>
      </w:pPr>
      <w:r w:rsidRPr="007B14AC">
        <w:rPr>
          <w:rFonts w:asciiTheme="majorBidi" w:hAnsiTheme="majorBidi" w:cstheme="majorBidi"/>
          <w:b/>
          <w:bCs/>
          <w:sz w:val="24"/>
          <w:szCs w:val="24"/>
        </w:rPr>
        <w:t>In relation to article 16, I wish to</w:t>
      </w:r>
      <w:r w:rsidR="00CE1EAD" w:rsidRPr="007B14AC">
        <w:rPr>
          <w:rFonts w:asciiTheme="majorBidi" w:hAnsiTheme="majorBidi" w:cstheme="majorBidi"/>
          <w:b/>
          <w:bCs/>
          <w:color w:val="202122"/>
          <w:sz w:val="24"/>
          <w:szCs w:val="24"/>
          <w:shd w:val="clear" w:color="auto" w:fill="FFFFFF"/>
        </w:rPr>
        <w:t xml:space="preserve"> </w:t>
      </w:r>
      <w:r w:rsidR="003310F8" w:rsidRPr="007B14AC">
        <w:rPr>
          <w:rFonts w:asciiTheme="majorBidi" w:hAnsiTheme="majorBidi" w:cstheme="majorBidi"/>
          <w:b/>
          <w:bCs/>
          <w:color w:val="202122"/>
          <w:sz w:val="24"/>
          <w:szCs w:val="24"/>
          <w:shd w:val="clear" w:color="auto" w:fill="FFFFFF"/>
        </w:rPr>
        <w:t>salute</w:t>
      </w:r>
      <w:r w:rsidR="00CE1EAD" w:rsidRPr="007B14AC">
        <w:rPr>
          <w:rFonts w:asciiTheme="majorBidi" w:hAnsiTheme="majorBidi" w:cstheme="majorBidi"/>
          <w:b/>
          <w:bCs/>
          <w:color w:val="202122"/>
          <w:sz w:val="24"/>
          <w:szCs w:val="24"/>
          <w:shd w:val="clear" w:color="auto" w:fill="FFFFFF"/>
        </w:rPr>
        <w:t xml:space="preserve"> the SP for being the first</w:t>
      </w:r>
      <w:r w:rsidR="003310F8" w:rsidRPr="007B14AC">
        <w:rPr>
          <w:rFonts w:asciiTheme="majorBidi" w:hAnsiTheme="majorBidi" w:cstheme="majorBidi"/>
          <w:b/>
          <w:bCs/>
          <w:color w:val="202122"/>
          <w:sz w:val="24"/>
          <w:szCs w:val="24"/>
          <w:shd w:val="clear" w:color="auto" w:fill="FFFFFF"/>
        </w:rPr>
        <w:t xml:space="preserve"> Baltic state t</w:t>
      </w:r>
      <w:r w:rsidR="00CE1EAD" w:rsidRPr="007B14AC">
        <w:rPr>
          <w:rFonts w:asciiTheme="majorBidi" w:hAnsiTheme="majorBidi" w:cstheme="majorBidi"/>
          <w:b/>
          <w:bCs/>
          <w:sz w:val="24"/>
          <w:szCs w:val="24"/>
        </w:rPr>
        <w:t>o reco</w:t>
      </w:r>
      <w:r w:rsidR="00487691" w:rsidRPr="007B14AC">
        <w:rPr>
          <w:rFonts w:asciiTheme="majorBidi" w:hAnsiTheme="majorBidi" w:cstheme="majorBidi"/>
          <w:b/>
          <w:bCs/>
          <w:sz w:val="24"/>
          <w:szCs w:val="24"/>
        </w:rPr>
        <w:t xml:space="preserve">gnize same sex marriage as of </w:t>
      </w:r>
      <w:r w:rsidRPr="007B14AC">
        <w:rPr>
          <w:rFonts w:asciiTheme="majorBidi" w:hAnsiTheme="majorBidi" w:cstheme="majorBidi"/>
          <w:b/>
          <w:bCs/>
          <w:sz w:val="24"/>
          <w:szCs w:val="24"/>
        </w:rPr>
        <w:t>January</w:t>
      </w:r>
      <w:r w:rsidR="00CE1EAD" w:rsidRPr="007B14AC">
        <w:rPr>
          <w:rFonts w:asciiTheme="majorBidi" w:hAnsiTheme="majorBidi" w:cstheme="majorBidi"/>
          <w:b/>
          <w:bCs/>
          <w:sz w:val="24"/>
          <w:szCs w:val="24"/>
        </w:rPr>
        <w:t xml:space="preserve"> </w:t>
      </w:r>
      <w:r w:rsidR="00487691" w:rsidRPr="007B14AC">
        <w:rPr>
          <w:rFonts w:asciiTheme="majorBidi" w:hAnsiTheme="majorBidi" w:cstheme="majorBidi"/>
          <w:b/>
          <w:bCs/>
          <w:sz w:val="24"/>
          <w:szCs w:val="24"/>
        </w:rPr>
        <w:t xml:space="preserve">1 of </w:t>
      </w:r>
      <w:r w:rsidR="00CE1EAD" w:rsidRPr="007B14AC">
        <w:rPr>
          <w:rFonts w:asciiTheme="majorBidi" w:hAnsiTheme="majorBidi" w:cstheme="majorBidi"/>
          <w:b/>
          <w:bCs/>
          <w:sz w:val="24"/>
          <w:szCs w:val="24"/>
        </w:rPr>
        <w:t xml:space="preserve">this year, promoting </w:t>
      </w:r>
      <w:r w:rsidR="003310F8" w:rsidRPr="007B14AC">
        <w:rPr>
          <w:rFonts w:asciiTheme="majorBidi" w:hAnsiTheme="majorBidi" w:cstheme="majorBidi"/>
          <w:b/>
          <w:bCs/>
          <w:sz w:val="24"/>
          <w:szCs w:val="24"/>
        </w:rPr>
        <w:t xml:space="preserve">humans and </w:t>
      </w:r>
      <w:r w:rsidR="00CE1EAD" w:rsidRPr="007B14AC">
        <w:rPr>
          <w:rFonts w:asciiTheme="majorBidi" w:hAnsiTheme="majorBidi" w:cstheme="majorBidi"/>
          <w:b/>
          <w:bCs/>
          <w:sz w:val="24"/>
          <w:szCs w:val="24"/>
        </w:rPr>
        <w:t xml:space="preserve">women’s </w:t>
      </w:r>
      <w:r w:rsidR="00487691" w:rsidRPr="007B14AC">
        <w:rPr>
          <w:rFonts w:asciiTheme="majorBidi" w:hAnsiTheme="majorBidi" w:cstheme="majorBidi"/>
          <w:b/>
          <w:bCs/>
          <w:sz w:val="24"/>
          <w:szCs w:val="24"/>
        </w:rPr>
        <w:t xml:space="preserve">equal </w:t>
      </w:r>
      <w:r w:rsidR="00CE1EAD" w:rsidRPr="007B14AC">
        <w:rPr>
          <w:rFonts w:asciiTheme="majorBidi" w:hAnsiTheme="majorBidi" w:cstheme="majorBidi"/>
          <w:b/>
          <w:bCs/>
          <w:sz w:val="24"/>
          <w:szCs w:val="24"/>
        </w:rPr>
        <w:t>right to shape their intimate and familial life regardless of their sexual preference and gender identity</w:t>
      </w:r>
      <w:r w:rsidRPr="007B14AC">
        <w:rPr>
          <w:rFonts w:asciiTheme="majorBidi" w:hAnsiTheme="majorBidi" w:cstheme="majorBidi"/>
          <w:b/>
          <w:bCs/>
          <w:sz w:val="24"/>
          <w:szCs w:val="24"/>
        </w:rPr>
        <w:t>.</w:t>
      </w:r>
    </w:p>
    <w:p w14:paraId="56A1E3CE" w14:textId="77777777" w:rsidR="0005424B" w:rsidRPr="007B14AC" w:rsidRDefault="0005424B" w:rsidP="006F62F1">
      <w:pPr>
        <w:spacing w:line="276" w:lineRule="auto"/>
        <w:rPr>
          <w:rFonts w:asciiTheme="majorBidi" w:hAnsiTheme="majorBidi" w:cstheme="majorBidi"/>
          <w:b/>
          <w:bCs/>
          <w:sz w:val="24"/>
          <w:szCs w:val="24"/>
        </w:rPr>
      </w:pPr>
      <w:r w:rsidRPr="007B14AC">
        <w:rPr>
          <w:rFonts w:asciiTheme="majorBidi" w:hAnsiTheme="majorBidi" w:cstheme="majorBidi"/>
          <w:b/>
          <w:bCs/>
          <w:sz w:val="24"/>
          <w:szCs w:val="24"/>
        </w:rPr>
        <w:t xml:space="preserve">I thank the SP for its detailed answers in relation to child marriage and to child support, in its report. </w:t>
      </w:r>
      <w:r w:rsidR="003310F8" w:rsidRPr="007B14AC">
        <w:rPr>
          <w:rFonts w:asciiTheme="majorBidi" w:hAnsiTheme="majorBidi" w:cstheme="majorBidi"/>
          <w:b/>
          <w:bCs/>
          <w:sz w:val="24"/>
          <w:szCs w:val="24"/>
        </w:rPr>
        <w:t>I have several questions:</w:t>
      </w:r>
    </w:p>
    <w:p w14:paraId="1BAD4961" w14:textId="77777777" w:rsidR="0005424B" w:rsidRPr="008428DB" w:rsidRDefault="006F62F1" w:rsidP="009049BC">
      <w:pPr>
        <w:pStyle w:val="Loendilik"/>
        <w:numPr>
          <w:ilvl w:val="0"/>
          <w:numId w:val="1"/>
        </w:numPr>
        <w:spacing w:line="276" w:lineRule="auto"/>
        <w:rPr>
          <w:rFonts w:asciiTheme="majorBidi" w:hAnsiTheme="majorBidi" w:cstheme="majorBidi"/>
          <w:color w:val="2E74B5" w:themeColor="accent1" w:themeShade="BF"/>
          <w:sz w:val="24"/>
          <w:szCs w:val="24"/>
        </w:rPr>
      </w:pPr>
      <w:r w:rsidRPr="007B14AC">
        <w:rPr>
          <w:rFonts w:asciiTheme="majorBidi" w:hAnsiTheme="majorBidi" w:cstheme="majorBidi"/>
          <w:b/>
          <w:bCs/>
          <w:sz w:val="24"/>
          <w:szCs w:val="24"/>
        </w:rPr>
        <w:t xml:space="preserve">What actions are taken by the SP to make sure that </w:t>
      </w:r>
      <w:r w:rsidR="0005424B" w:rsidRPr="007B14AC">
        <w:rPr>
          <w:rFonts w:asciiTheme="majorBidi" w:hAnsiTheme="majorBidi" w:cstheme="majorBidi"/>
          <w:b/>
          <w:bCs/>
          <w:sz w:val="24"/>
          <w:szCs w:val="24"/>
        </w:rPr>
        <w:t>the statistics provided on child and forced marriages reflect a reality of social acceptance of the new law and of proactive enforcement, rather than underground</w:t>
      </w:r>
      <w:r w:rsidRPr="007B14AC">
        <w:rPr>
          <w:rFonts w:asciiTheme="majorBidi" w:hAnsiTheme="majorBidi" w:cstheme="majorBidi"/>
          <w:b/>
          <w:bCs/>
          <w:sz w:val="24"/>
          <w:szCs w:val="24"/>
        </w:rPr>
        <w:t xml:space="preserve"> and informal</w:t>
      </w:r>
      <w:r w:rsidR="0005424B" w:rsidRPr="007B14AC">
        <w:rPr>
          <w:rFonts w:asciiTheme="majorBidi" w:hAnsiTheme="majorBidi" w:cstheme="majorBidi"/>
          <w:b/>
          <w:bCs/>
          <w:sz w:val="24"/>
          <w:szCs w:val="24"/>
        </w:rPr>
        <w:t xml:space="preserve"> </w:t>
      </w:r>
      <w:r w:rsidRPr="007B14AC">
        <w:rPr>
          <w:rFonts w:asciiTheme="majorBidi" w:hAnsiTheme="majorBidi" w:cstheme="majorBidi"/>
          <w:b/>
          <w:bCs/>
          <w:sz w:val="24"/>
          <w:szCs w:val="24"/>
        </w:rPr>
        <w:t xml:space="preserve">early age </w:t>
      </w:r>
      <w:r w:rsidR="0005424B" w:rsidRPr="007B14AC">
        <w:rPr>
          <w:rFonts w:asciiTheme="majorBidi" w:hAnsiTheme="majorBidi" w:cstheme="majorBidi"/>
          <w:b/>
          <w:bCs/>
          <w:sz w:val="24"/>
          <w:szCs w:val="24"/>
        </w:rPr>
        <w:t>unions</w:t>
      </w:r>
      <w:r w:rsidRPr="007B14AC">
        <w:rPr>
          <w:rFonts w:asciiTheme="majorBidi" w:hAnsiTheme="majorBidi" w:cstheme="majorBidi"/>
          <w:b/>
          <w:bCs/>
          <w:sz w:val="24"/>
          <w:szCs w:val="24"/>
        </w:rPr>
        <w:t>?</w:t>
      </w:r>
      <w:r w:rsidRPr="008428DB">
        <w:rPr>
          <w:rFonts w:asciiTheme="majorBidi" w:hAnsiTheme="majorBidi" w:cstheme="majorBidi"/>
          <w:sz w:val="24"/>
          <w:szCs w:val="24"/>
        </w:rPr>
        <w:t xml:space="preserve"> </w:t>
      </w:r>
      <w:r w:rsidR="003E63D2" w:rsidRPr="008428DB">
        <w:rPr>
          <w:rFonts w:asciiTheme="majorBidi" w:hAnsiTheme="majorBidi" w:cstheme="majorBidi"/>
          <w:color w:val="2E74B5" w:themeColor="accent1" w:themeShade="BF"/>
          <w:sz w:val="24"/>
          <w:szCs w:val="24"/>
        </w:rPr>
        <w:t>Answered</w:t>
      </w:r>
    </w:p>
    <w:p w14:paraId="61E4C529" w14:textId="77777777" w:rsidR="009049BC" w:rsidRPr="008428DB" w:rsidRDefault="009049BC" w:rsidP="009049BC">
      <w:pPr>
        <w:pStyle w:val="Loendilik"/>
        <w:spacing w:line="276" w:lineRule="auto"/>
        <w:rPr>
          <w:rFonts w:asciiTheme="majorBidi" w:hAnsiTheme="majorBidi" w:cstheme="majorBidi"/>
          <w:sz w:val="24"/>
          <w:szCs w:val="24"/>
        </w:rPr>
      </w:pPr>
    </w:p>
    <w:p w14:paraId="336BD2DA" w14:textId="77777777" w:rsidR="00987902" w:rsidRDefault="0005424B" w:rsidP="009049BC">
      <w:pPr>
        <w:pStyle w:val="Loendilik"/>
        <w:numPr>
          <w:ilvl w:val="0"/>
          <w:numId w:val="1"/>
        </w:numPr>
        <w:spacing w:after="0" w:line="276" w:lineRule="auto"/>
        <w:rPr>
          <w:rFonts w:asciiTheme="majorBidi" w:hAnsiTheme="majorBidi" w:cstheme="majorBidi"/>
          <w:sz w:val="24"/>
          <w:szCs w:val="24"/>
        </w:rPr>
      </w:pPr>
      <w:r w:rsidRPr="007B14AC">
        <w:rPr>
          <w:rFonts w:asciiTheme="majorBidi" w:hAnsiTheme="majorBidi" w:cstheme="majorBidi"/>
          <w:b/>
          <w:bCs/>
          <w:sz w:val="24"/>
          <w:szCs w:val="24"/>
        </w:rPr>
        <w:t>As to child support, I would ask the SP to provide data on poverty rates of divorced mothers compared to divorced fathers, 2, 5 and 10 years after the divorce.</w:t>
      </w:r>
      <w:r w:rsidR="003E63D2" w:rsidRPr="008428DB">
        <w:rPr>
          <w:rFonts w:asciiTheme="majorBidi" w:hAnsiTheme="majorBidi" w:cstheme="majorBidi"/>
          <w:sz w:val="24"/>
          <w:szCs w:val="24"/>
        </w:rPr>
        <w:t xml:space="preserve"> </w:t>
      </w:r>
    </w:p>
    <w:p w14:paraId="4A84C239" w14:textId="77777777" w:rsidR="00987902" w:rsidRPr="00987902" w:rsidRDefault="00987902" w:rsidP="00987902">
      <w:pPr>
        <w:pStyle w:val="Loendilik"/>
        <w:rPr>
          <w:rFonts w:asciiTheme="majorBidi" w:hAnsiTheme="majorBidi" w:cstheme="majorBidi"/>
          <w:sz w:val="24"/>
          <w:szCs w:val="24"/>
        </w:rPr>
      </w:pPr>
    </w:p>
    <w:p w14:paraId="255411A8" w14:textId="77777777" w:rsidR="00987902" w:rsidRDefault="00BB53BC" w:rsidP="00987902">
      <w:pPr>
        <w:pStyle w:val="Loendilik"/>
        <w:spacing w:line="276" w:lineRule="auto"/>
        <w:contextualSpacing w:val="0"/>
        <w:rPr>
          <w:rFonts w:asciiTheme="majorBidi" w:hAnsiTheme="majorBidi" w:cstheme="majorBidi"/>
          <w:sz w:val="24"/>
          <w:szCs w:val="24"/>
        </w:rPr>
      </w:pPr>
      <w:r w:rsidRPr="00BB53BC">
        <w:rPr>
          <w:rFonts w:asciiTheme="majorBidi" w:hAnsiTheme="majorBidi" w:cstheme="majorBidi"/>
          <w:sz w:val="24"/>
          <w:szCs w:val="24"/>
        </w:rPr>
        <w:t xml:space="preserve">There is no data comparing divorced mothers to fathers. Being married or divorced is not the best indicator in Estonia, since most children are born outside of marriage (in 2022, 53% of children were born outside of marriage). </w:t>
      </w:r>
    </w:p>
    <w:p w14:paraId="206C9535" w14:textId="44C06E4B" w:rsidR="009049BC" w:rsidRDefault="00BB53BC" w:rsidP="00987902">
      <w:pPr>
        <w:pStyle w:val="Loendilik"/>
        <w:spacing w:line="276" w:lineRule="auto"/>
        <w:contextualSpacing w:val="0"/>
        <w:rPr>
          <w:rFonts w:asciiTheme="majorBidi" w:hAnsiTheme="majorBidi" w:cstheme="majorBidi"/>
          <w:sz w:val="24"/>
          <w:szCs w:val="24"/>
        </w:rPr>
      </w:pPr>
      <w:r w:rsidRPr="00BB53BC">
        <w:rPr>
          <w:rFonts w:asciiTheme="majorBidi" w:hAnsiTheme="majorBidi" w:cstheme="majorBidi"/>
          <w:sz w:val="24"/>
          <w:szCs w:val="24"/>
        </w:rPr>
        <w:t>However, the situation of single parents and their children is monitored regularly. The data does not differentiate between single mothers and fathers. The Estonian Social Survey is used to calculate poverty indicators. The group of single fathers is too small to obtain a representative result from the sample survey. According to the 2021 Population and Housing Census, there are approximately 27,932 single-parent families with children under 18 years old, of which 2,560 are single-father families (meaning that approximately 91% of single parents are women).</w:t>
      </w:r>
    </w:p>
    <w:p w14:paraId="5E29284D" w14:textId="636ABFAD" w:rsidR="00CD19E6" w:rsidRDefault="00CD19E6" w:rsidP="00987902">
      <w:pPr>
        <w:pStyle w:val="Loendilik"/>
        <w:spacing w:line="276" w:lineRule="auto"/>
        <w:contextualSpacing w:val="0"/>
        <w:rPr>
          <w:rFonts w:asciiTheme="majorBidi" w:hAnsiTheme="majorBidi" w:cstheme="majorBidi"/>
          <w:sz w:val="24"/>
          <w:szCs w:val="24"/>
        </w:rPr>
      </w:pPr>
      <w:r>
        <w:rPr>
          <w:rFonts w:asciiTheme="majorBidi" w:hAnsiTheme="majorBidi" w:cstheme="majorBidi"/>
          <w:sz w:val="24"/>
          <w:szCs w:val="24"/>
        </w:rPr>
        <w:t>In the following</w:t>
      </w:r>
      <w:r>
        <w:rPr>
          <w:rFonts w:asciiTheme="majorBidi" w:hAnsiTheme="majorBidi" w:cstheme="majorBidi"/>
          <w:sz w:val="24"/>
          <w:szCs w:val="24"/>
        </w:rPr>
        <w:t xml:space="preserve"> table</w:t>
      </w:r>
      <w:r>
        <w:rPr>
          <w:rFonts w:asciiTheme="majorBidi" w:hAnsiTheme="majorBidi" w:cstheme="majorBidi"/>
          <w:sz w:val="24"/>
          <w:szCs w:val="24"/>
        </w:rPr>
        <w:t xml:space="preserve">, there are single parent households’ poverty rates. In 2022 in general population, the number of people who lived in the absolute poverty increased two and half times. </w:t>
      </w:r>
      <w:r w:rsidRPr="00CD19E6">
        <w:rPr>
          <w:rFonts w:asciiTheme="majorBidi" w:hAnsiTheme="majorBidi" w:cstheme="majorBidi"/>
          <w:sz w:val="24"/>
          <w:szCs w:val="24"/>
        </w:rPr>
        <w:t>The increase in the number of people living in absolute poverty in 2022 is due to the significant price rise, which raised the subsistence minimum more than ever before: by 30%</w:t>
      </w:r>
      <w:r w:rsidR="00DD7BB0">
        <w:rPr>
          <w:rFonts w:asciiTheme="majorBidi" w:hAnsiTheme="majorBidi" w:cstheme="majorBidi"/>
          <w:sz w:val="24"/>
          <w:szCs w:val="24"/>
        </w:rPr>
        <w:t>.</w:t>
      </w:r>
    </w:p>
    <w:p w14:paraId="0A5F3E25" w14:textId="02DFD75B" w:rsidR="00CD19E6" w:rsidRDefault="00CD19E6">
      <w:pPr>
        <w:rPr>
          <w:rFonts w:asciiTheme="majorBidi" w:hAnsiTheme="majorBidi" w:cstheme="majorBidi"/>
          <w:sz w:val="24"/>
          <w:szCs w:val="24"/>
        </w:rPr>
      </w:pPr>
      <w:r>
        <w:rPr>
          <w:rFonts w:asciiTheme="majorBidi" w:hAnsiTheme="majorBidi" w:cstheme="majorBidi"/>
          <w:sz w:val="24"/>
          <w:szCs w:val="24"/>
        </w:rPr>
        <w:br w:type="page"/>
      </w:r>
    </w:p>
    <w:p w14:paraId="60555D3A" w14:textId="274AD5FA" w:rsidR="00CD19E6" w:rsidRDefault="00CD19E6" w:rsidP="00987902">
      <w:pPr>
        <w:pStyle w:val="Loendilik"/>
        <w:spacing w:line="276" w:lineRule="auto"/>
        <w:contextualSpacing w:val="0"/>
        <w:rPr>
          <w:rFonts w:asciiTheme="majorBidi" w:hAnsiTheme="majorBidi" w:cstheme="majorBidi"/>
          <w:sz w:val="24"/>
          <w:szCs w:val="24"/>
        </w:rPr>
      </w:pPr>
      <w:r>
        <w:rPr>
          <w:rFonts w:asciiTheme="majorBidi" w:hAnsiTheme="majorBidi" w:cstheme="majorBidi"/>
          <w:sz w:val="24"/>
          <w:szCs w:val="24"/>
        </w:rPr>
        <w:lastRenderedPageBreak/>
        <w:t xml:space="preserve">Table 1: Single parents’ poverty rates. Statistics Estonia. </w:t>
      </w:r>
      <w:r w:rsidRPr="00CD19E6">
        <w:rPr>
          <w:rFonts w:asciiTheme="majorBidi" w:hAnsiTheme="majorBidi" w:cstheme="majorBidi"/>
          <w:sz w:val="24"/>
          <w:szCs w:val="24"/>
        </w:rPr>
        <w:t>LES03</w:t>
      </w:r>
    </w:p>
    <w:tbl>
      <w:tblPr>
        <w:tblStyle w:val="Kontuurtabel"/>
        <w:tblW w:w="0" w:type="auto"/>
        <w:tblInd w:w="720" w:type="dxa"/>
        <w:tblLook w:val="04A0" w:firstRow="1" w:lastRow="0" w:firstColumn="1" w:lastColumn="0" w:noHBand="0" w:noVBand="1"/>
        <w:tblCaption w:val="Table 1: Single parents' poverty rates. Statistics Estonia LES03"/>
      </w:tblPr>
      <w:tblGrid>
        <w:gridCol w:w="1123"/>
        <w:gridCol w:w="755"/>
        <w:gridCol w:w="756"/>
        <w:gridCol w:w="758"/>
        <w:gridCol w:w="757"/>
        <w:gridCol w:w="757"/>
        <w:gridCol w:w="757"/>
        <w:gridCol w:w="757"/>
        <w:gridCol w:w="757"/>
        <w:gridCol w:w="757"/>
        <w:gridCol w:w="696"/>
      </w:tblGrid>
      <w:tr w:rsidR="00987902" w14:paraId="46D656B1" w14:textId="403AE1A0" w:rsidTr="00CD19E6">
        <w:tc>
          <w:tcPr>
            <w:tcW w:w="1123" w:type="dxa"/>
          </w:tcPr>
          <w:p w14:paraId="6E5738E9" w14:textId="77777777" w:rsidR="00987902" w:rsidRDefault="00987902" w:rsidP="00987902">
            <w:pPr>
              <w:pStyle w:val="Loendilik"/>
              <w:spacing w:line="276" w:lineRule="auto"/>
              <w:ind w:left="0"/>
              <w:contextualSpacing w:val="0"/>
              <w:rPr>
                <w:rFonts w:asciiTheme="majorBidi" w:hAnsiTheme="majorBidi" w:cstheme="majorBidi"/>
                <w:sz w:val="24"/>
                <w:szCs w:val="24"/>
              </w:rPr>
            </w:pPr>
          </w:p>
        </w:tc>
        <w:tc>
          <w:tcPr>
            <w:tcW w:w="755" w:type="dxa"/>
          </w:tcPr>
          <w:p w14:paraId="232F29AC" w14:textId="55C880D4"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2013</w:t>
            </w:r>
          </w:p>
        </w:tc>
        <w:tc>
          <w:tcPr>
            <w:tcW w:w="756" w:type="dxa"/>
          </w:tcPr>
          <w:p w14:paraId="635E7C08" w14:textId="1AE08588"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2014</w:t>
            </w:r>
          </w:p>
        </w:tc>
        <w:tc>
          <w:tcPr>
            <w:tcW w:w="758" w:type="dxa"/>
          </w:tcPr>
          <w:p w14:paraId="3AC922DC" w14:textId="5FBCF743"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2015</w:t>
            </w:r>
          </w:p>
        </w:tc>
        <w:tc>
          <w:tcPr>
            <w:tcW w:w="757" w:type="dxa"/>
          </w:tcPr>
          <w:p w14:paraId="514B3799" w14:textId="04538636"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2016</w:t>
            </w:r>
          </w:p>
        </w:tc>
        <w:tc>
          <w:tcPr>
            <w:tcW w:w="757" w:type="dxa"/>
          </w:tcPr>
          <w:p w14:paraId="4DA0D514" w14:textId="2105BA53"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2017</w:t>
            </w:r>
          </w:p>
        </w:tc>
        <w:tc>
          <w:tcPr>
            <w:tcW w:w="757" w:type="dxa"/>
          </w:tcPr>
          <w:p w14:paraId="2E1B3AB5" w14:textId="3EF90B81"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2018</w:t>
            </w:r>
          </w:p>
        </w:tc>
        <w:tc>
          <w:tcPr>
            <w:tcW w:w="757" w:type="dxa"/>
          </w:tcPr>
          <w:p w14:paraId="65A7EE72" w14:textId="0CF539AB"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2019</w:t>
            </w:r>
          </w:p>
        </w:tc>
        <w:tc>
          <w:tcPr>
            <w:tcW w:w="757" w:type="dxa"/>
          </w:tcPr>
          <w:p w14:paraId="76736A32" w14:textId="309C957C"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2020</w:t>
            </w:r>
          </w:p>
        </w:tc>
        <w:tc>
          <w:tcPr>
            <w:tcW w:w="757" w:type="dxa"/>
          </w:tcPr>
          <w:p w14:paraId="44BDF7C0" w14:textId="0CC72757"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2021</w:t>
            </w:r>
          </w:p>
        </w:tc>
        <w:tc>
          <w:tcPr>
            <w:tcW w:w="696" w:type="dxa"/>
          </w:tcPr>
          <w:p w14:paraId="2DEE886C" w14:textId="10E502D1" w:rsidR="00987902" w:rsidRDefault="00987902"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2022</w:t>
            </w:r>
          </w:p>
        </w:tc>
      </w:tr>
      <w:tr w:rsidR="00987902" w14:paraId="09822BAE" w14:textId="32F47426" w:rsidTr="00CD19E6">
        <w:tc>
          <w:tcPr>
            <w:tcW w:w="1123" w:type="dxa"/>
          </w:tcPr>
          <w:p w14:paraId="27C8AB41" w14:textId="1FEABD7A" w:rsidR="00987902" w:rsidRDefault="00987902" w:rsidP="00987902">
            <w:pPr>
              <w:pStyle w:val="Loendilik"/>
              <w:spacing w:line="276" w:lineRule="auto"/>
              <w:ind w:left="0"/>
              <w:contextualSpacing w:val="0"/>
              <w:rPr>
                <w:rFonts w:asciiTheme="majorBidi" w:hAnsiTheme="majorBidi" w:cstheme="majorBidi"/>
                <w:sz w:val="24"/>
                <w:szCs w:val="24"/>
              </w:rPr>
            </w:pPr>
            <w:r w:rsidRPr="00987902">
              <w:rPr>
                <w:rFonts w:asciiTheme="majorBidi" w:hAnsiTheme="majorBidi" w:cstheme="majorBidi"/>
                <w:b/>
                <w:bCs/>
                <w:sz w:val="24"/>
                <w:szCs w:val="24"/>
              </w:rPr>
              <w:t>At-risk-of poverty rate, %</w:t>
            </w:r>
          </w:p>
        </w:tc>
        <w:tc>
          <w:tcPr>
            <w:tcW w:w="755" w:type="dxa"/>
          </w:tcPr>
          <w:p w14:paraId="585EA61E" w14:textId="26FB41F3"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37,2</w:t>
            </w:r>
          </w:p>
        </w:tc>
        <w:tc>
          <w:tcPr>
            <w:tcW w:w="756" w:type="dxa"/>
          </w:tcPr>
          <w:p w14:paraId="4217AE01" w14:textId="07CE72FE"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38,8</w:t>
            </w:r>
          </w:p>
        </w:tc>
        <w:tc>
          <w:tcPr>
            <w:tcW w:w="758" w:type="dxa"/>
          </w:tcPr>
          <w:p w14:paraId="217B45CA" w14:textId="161E371E"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35,8</w:t>
            </w:r>
          </w:p>
        </w:tc>
        <w:tc>
          <w:tcPr>
            <w:tcW w:w="757" w:type="dxa"/>
          </w:tcPr>
          <w:p w14:paraId="11311FAA" w14:textId="27E91193"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28,9</w:t>
            </w:r>
          </w:p>
        </w:tc>
        <w:tc>
          <w:tcPr>
            <w:tcW w:w="757" w:type="dxa"/>
          </w:tcPr>
          <w:p w14:paraId="249888F6" w14:textId="37D3534E"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39</w:t>
            </w:r>
          </w:p>
        </w:tc>
        <w:tc>
          <w:tcPr>
            <w:tcW w:w="757" w:type="dxa"/>
          </w:tcPr>
          <w:p w14:paraId="0ACB14CB" w14:textId="2283C45B"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35,1</w:t>
            </w:r>
          </w:p>
        </w:tc>
        <w:tc>
          <w:tcPr>
            <w:tcW w:w="757" w:type="dxa"/>
          </w:tcPr>
          <w:p w14:paraId="2BE977E7" w14:textId="6A943FB9"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27,3</w:t>
            </w:r>
          </w:p>
        </w:tc>
        <w:tc>
          <w:tcPr>
            <w:tcW w:w="757" w:type="dxa"/>
          </w:tcPr>
          <w:p w14:paraId="36A9AFB0" w14:textId="11643913"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36,6</w:t>
            </w:r>
          </w:p>
        </w:tc>
        <w:tc>
          <w:tcPr>
            <w:tcW w:w="757" w:type="dxa"/>
          </w:tcPr>
          <w:p w14:paraId="26C5B374" w14:textId="25045EB8"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33,1</w:t>
            </w:r>
          </w:p>
        </w:tc>
        <w:tc>
          <w:tcPr>
            <w:tcW w:w="696" w:type="dxa"/>
          </w:tcPr>
          <w:p w14:paraId="67189245" w14:textId="3DC4EEE6" w:rsidR="00987902" w:rsidRDefault="00CD19E6" w:rsidP="00987902">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34,8</w:t>
            </w:r>
          </w:p>
        </w:tc>
      </w:tr>
      <w:tr w:rsidR="00CD19E6" w14:paraId="2971E8F6" w14:textId="34B0514F" w:rsidTr="00CD19E6">
        <w:tc>
          <w:tcPr>
            <w:tcW w:w="1123" w:type="dxa"/>
          </w:tcPr>
          <w:p w14:paraId="61D27113" w14:textId="4FFF58A2" w:rsidR="00CD19E6" w:rsidRDefault="00CD19E6" w:rsidP="00CD19E6">
            <w:pPr>
              <w:pStyle w:val="Loendilik"/>
              <w:spacing w:line="276" w:lineRule="auto"/>
              <w:ind w:left="0"/>
              <w:contextualSpacing w:val="0"/>
              <w:rPr>
                <w:rFonts w:asciiTheme="majorBidi" w:hAnsiTheme="majorBidi" w:cstheme="majorBidi"/>
                <w:sz w:val="24"/>
                <w:szCs w:val="24"/>
              </w:rPr>
            </w:pPr>
            <w:r w:rsidRPr="00987902">
              <w:rPr>
                <w:rFonts w:asciiTheme="majorBidi" w:hAnsiTheme="majorBidi" w:cstheme="majorBidi"/>
                <w:b/>
                <w:bCs/>
                <w:sz w:val="24"/>
                <w:szCs w:val="24"/>
              </w:rPr>
              <w:t>Ab</w:t>
            </w:r>
            <w:r>
              <w:rPr>
                <w:rFonts w:asciiTheme="majorBidi" w:hAnsiTheme="majorBidi" w:cstheme="majorBidi"/>
                <w:b/>
                <w:bCs/>
                <w:sz w:val="24"/>
                <w:szCs w:val="24"/>
              </w:rPr>
              <w:t>s</w:t>
            </w:r>
            <w:r w:rsidRPr="00987902">
              <w:rPr>
                <w:rFonts w:asciiTheme="majorBidi" w:hAnsiTheme="majorBidi" w:cstheme="majorBidi"/>
                <w:b/>
                <w:bCs/>
                <w:sz w:val="24"/>
                <w:szCs w:val="24"/>
              </w:rPr>
              <w:t>olute poverty rate, %</w:t>
            </w:r>
          </w:p>
        </w:tc>
        <w:tc>
          <w:tcPr>
            <w:tcW w:w="755" w:type="dxa"/>
          </w:tcPr>
          <w:p w14:paraId="6148CEF3" w14:textId="518DA4E7"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17,2</w:t>
            </w:r>
          </w:p>
        </w:tc>
        <w:tc>
          <w:tcPr>
            <w:tcW w:w="756" w:type="dxa"/>
          </w:tcPr>
          <w:p w14:paraId="41383371" w14:textId="5D292E26"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15,6</w:t>
            </w:r>
          </w:p>
        </w:tc>
        <w:tc>
          <w:tcPr>
            <w:tcW w:w="758" w:type="dxa"/>
          </w:tcPr>
          <w:p w14:paraId="241A56DC" w14:textId="3A2781F0"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6,7</w:t>
            </w:r>
          </w:p>
        </w:tc>
        <w:tc>
          <w:tcPr>
            <w:tcW w:w="757" w:type="dxa"/>
          </w:tcPr>
          <w:p w14:paraId="2183037A" w14:textId="5DB9062F"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6,4</w:t>
            </w:r>
          </w:p>
        </w:tc>
        <w:tc>
          <w:tcPr>
            <w:tcW w:w="757" w:type="dxa"/>
          </w:tcPr>
          <w:p w14:paraId="3A2912B9" w14:textId="5ADF3C56"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7,8</w:t>
            </w:r>
          </w:p>
        </w:tc>
        <w:tc>
          <w:tcPr>
            <w:tcW w:w="757" w:type="dxa"/>
          </w:tcPr>
          <w:p w14:paraId="54C00DE9" w14:textId="313DA57C"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4,6</w:t>
            </w:r>
          </w:p>
        </w:tc>
        <w:tc>
          <w:tcPr>
            <w:tcW w:w="757" w:type="dxa"/>
          </w:tcPr>
          <w:p w14:paraId="66E28127" w14:textId="64EF129D"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5,3</w:t>
            </w:r>
          </w:p>
        </w:tc>
        <w:tc>
          <w:tcPr>
            <w:tcW w:w="757" w:type="dxa"/>
          </w:tcPr>
          <w:p w14:paraId="1A81A962" w14:textId="0C81BB18"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6,1</w:t>
            </w:r>
          </w:p>
        </w:tc>
        <w:tc>
          <w:tcPr>
            <w:tcW w:w="757" w:type="dxa"/>
          </w:tcPr>
          <w:p w14:paraId="7B4BE3DF" w14:textId="7791F196"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4,2</w:t>
            </w:r>
          </w:p>
        </w:tc>
        <w:tc>
          <w:tcPr>
            <w:tcW w:w="696" w:type="dxa"/>
          </w:tcPr>
          <w:p w14:paraId="6B2C2148" w14:textId="34EDF6FD" w:rsidR="00CD19E6" w:rsidRDefault="00CD19E6" w:rsidP="00CD19E6">
            <w:pPr>
              <w:pStyle w:val="Loendilik"/>
              <w:spacing w:line="276" w:lineRule="auto"/>
              <w:ind w:left="0"/>
              <w:contextualSpacing w:val="0"/>
              <w:rPr>
                <w:rFonts w:asciiTheme="majorBidi" w:hAnsiTheme="majorBidi" w:cstheme="majorBidi"/>
                <w:sz w:val="24"/>
                <w:szCs w:val="24"/>
              </w:rPr>
            </w:pPr>
            <w:r>
              <w:rPr>
                <w:rFonts w:asciiTheme="majorBidi" w:hAnsiTheme="majorBidi" w:cstheme="majorBidi"/>
                <w:sz w:val="24"/>
                <w:szCs w:val="24"/>
              </w:rPr>
              <w:t>12,7</w:t>
            </w:r>
          </w:p>
        </w:tc>
      </w:tr>
    </w:tbl>
    <w:p w14:paraId="614CEFDD" w14:textId="41D10F59" w:rsidR="00987902" w:rsidRPr="00CD19E6" w:rsidRDefault="00987902" w:rsidP="00CD19E6">
      <w:pPr>
        <w:spacing w:line="276" w:lineRule="auto"/>
        <w:rPr>
          <w:rFonts w:asciiTheme="majorBidi" w:hAnsiTheme="majorBidi" w:cstheme="majorBidi"/>
          <w:sz w:val="24"/>
          <w:szCs w:val="24"/>
        </w:rPr>
      </w:pPr>
    </w:p>
    <w:p w14:paraId="00A4C788" w14:textId="77777777" w:rsidR="009049BC" w:rsidRPr="008428DB" w:rsidRDefault="009049BC" w:rsidP="009049BC">
      <w:pPr>
        <w:pStyle w:val="Loendilik"/>
        <w:spacing w:after="0" w:line="276" w:lineRule="auto"/>
        <w:rPr>
          <w:rFonts w:asciiTheme="majorBidi" w:hAnsiTheme="majorBidi" w:cstheme="majorBidi"/>
          <w:sz w:val="24"/>
          <w:szCs w:val="24"/>
        </w:rPr>
      </w:pPr>
    </w:p>
    <w:p w14:paraId="4C876580" w14:textId="77777777" w:rsidR="009049BC" w:rsidRPr="008428DB" w:rsidRDefault="0005424B" w:rsidP="003E63D2">
      <w:pPr>
        <w:pStyle w:val="Loendilik"/>
        <w:numPr>
          <w:ilvl w:val="0"/>
          <w:numId w:val="1"/>
        </w:numPr>
        <w:spacing w:after="0" w:line="276" w:lineRule="auto"/>
        <w:rPr>
          <w:rFonts w:asciiTheme="majorBidi" w:hAnsiTheme="majorBidi" w:cstheme="majorBidi"/>
          <w:color w:val="2E74B5" w:themeColor="accent1" w:themeShade="BF"/>
          <w:sz w:val="24"/>
          <w:szCs w:val="24"/>
          <w:rtl/>
        </w:rPr>
      </w:pPr>
      <w:r w:rsidRPr="007B14AC">
        <w:rPr>
          <w:rFonts w:asciiTheme="majorBidi" w:hAnsiTheme="majorBidi" w:cstheme="majorBidi"/>
          <w:b/>
          <w:bCs/>
          <w:sz w:val="24"/>
          <w:szCs w:val="24"/>
        </w:rPr>
        <w:t>In light of the answers provided by the SP,</w:t>
      </w:r>
      <w:r w:rsidR="00EE14CF" w:rsidRPr="007B14AC">
        <w:rPr>
          <w:rFonts w:asciiTheme="majorBidi" w:hAnsiTheme="majorBidi" w:cstheme="majorBidi"/>
          <w:b/>
          <w:bCs/>
          <w:sz w:val="24"/>
          <w:szCs w:val="24"/>
        </w:rPr>
        <w:t xml:space="preserve"> and information provided by NGOs,</w:t>
      </w:r>
      <w:r w:rsidRPr="007B14AC">
        <w:rPr>
          <w:rFonts w:asciiTheme="majorBidi" w:hAnsiTheme="majorBidi" w:cstheme="majorBidi"/>
          <w:b/>
          <w:bCs/>
          <w:sz w:val="24"/>
          <w:szCs w:val="24"/>
        </w:rPr>
        <w:t xml:space="preserve"> I would like to know </w:t>
      </w:r>
      <w:r w:rsidR="00514B02" w:rsidRPr="007B14AC">
        <w:rPr>
          <w:rFonts w:asciiTheme="majorBidi" w:hAnsiTheme="majorBidi" w:cstheme="majorBidi"/>
          <w:b/>
          <w:bCs/>
          <w:sz w:val="24"/>
          <w:szCs w:val="24"/>
        </w:rPr>
        <w:t xml:space="preserve">how does the legal system </w:t>
      </w:r>
      <w:r w:rsidR="006F62F1" w:rsidRPr="007B14AC">
        <w:rPr>
          <w:rFonts w:asciiTheme="majorBidi" w:hAnsiTheme="majorBidi" w:cstheme="majorBidi"/>
          <w:b/>
          <w:bCs/>
          <w:sz w:val="24"/>
          <w:szCs w:val="24"/>
        </w:rPr>
        <w:t>en</w:t>
      </w:r>
      <w:r w:rsidR="00514B02" w:rsidRPr="007B14AC">
        <w:rPr>
          <w:rFonts w:asciiTheme="majorBidi" w:hAnsiTheme="majorBidi" w:cstheme="majorBidi"/>
          <w:b/>
          <w:bCs/>
          <w:sz w:val="24"/>
          <w:szCs w:val="24"/>
        </w:rPr>
        <w:t>sure that fathers do not ask for joint physical custody just to avoid paying child support?</w:t>
      </w:r>
      <w:r w:rsidR="003E63D2" w:rsidRPr="008428DB">
        <w:rPr>
          <w:rFonts w:asciiTheme="majorBidi" w:hAnsiTheme="majorBidi" w:cstheme="majorBidi"/>
          <w:sz w:val="24"/>
          <w:szCs w:val="24"/>
        </w:rPr>
        <w:t xml:space="preserve"> </w:t>
      </w:r>
      <w:r w:rsidR="003E63D2" w:rsidRPr="008428DB">
        <w:rPr>
          <w:rFonts w:asciiTheme="majorBidi" w:hAnsiTheme="majorBidi" w:cstheme="majorBidi"/>
          <w:color w:val="2E74B5" w:themeColor="accent1" w:themeShade="BF"/>
          <w:sz w:val="24"/>
          <w:szCs w:val="24"/>
        </w:rPr>
        <w:t>Answered</w:t>
      </w:r>
    </w:p>
    <w:p w14:paraId="014DC914" w14:textId="77777777" w:rsidR="00794270" w:rsidRPr="008428DB" w:rsidRDefault="00794270" w:rsidP="009049BC">
      <w:pPr>
        <w:pStyle w:val="Loendilik"/>
        <w:spacing w:line="276" w:lineRule="auto"/>
        <w:rPr>
          <w:rFonts w:asciiTheme="majorBidi" w:hAnsiTheme="majorBidi" w:cstheme="majorBidi"/>
          <w:sz w:val="24"/>
          <w:szCs w:val="24"/>
        </w:rPr>
      </w:pPr>
    </w:p>
    <w:p w14:paraId="2027C096" w14:textId="77777777" w:rsidR="003E63D2" w:rsidRPr="007B14AC" w:rsidRDefault="00514B02" w:rsidP="00C74ED4">
      <w:pPr>
        <w:pStyle w:val="Loendilik"/>
        <w:numPr>
          <w:ilvl w:val="0"/>
          <w:numId w:val="1"/>
        </w:numPr>
        <w:spacing w:line="276" w:lineRule="auto"/>
        <w:rPr>
          <w:rFonts w:asciiTheme="majorBidi" w:hAnsiTheme="majorBidi" w:cstheme="majorBidi"/>
          <w:b/>
          <w:bCs/>
          <w:sz w:val="24"/>
          <w:szCs w:val="24"/>
        </w:rPr>
      </w:pPr>
      <w:r w:rsidRPr="007B14AC">
        <w:rPr>
          <w:rFonts w:asciiTheme="majorBidi" w:hAnsiTheme="majorBidi" w:cstheme="majorBidi"/>
          <w:b/>
          <w:bCs/>
          <w:sz w:val="24"/>
          <w:szCs w:val="24"/>
        </w:rPr>
        <w:t>In light of information provided by NGOs, I would also li</w:t>
      </w:r>
      <w:r w:rsidR="006F62F1" w:rsidRPr="007B14AC">
        <w:rPr>
          <w:rFonts w:asciiTheme="majorBidi" w:hAnsiTheme="majorBidi" w:cstheme="majorBidi"/>
          <w:b/>
          <w:bCs/>
          <w:sz w:val="24"/>
          <w:szCs w:val="24"/>
        </w:rPr>
        <w:t>ke to know how does the SP en</w:t>
      </w:r>
      <w:r w:rsidRPr="007B14AC">
        <w:rPr>
          <w:rFonts w:asciiTheme="majorBidi" w:hAnsiTheme="majorBidi" w:cstheme="majorBidi"/>
          <w:b/>
          <w:bCs/>
          <w:sz w:val="24"/>
          <w:szCs w:val="24"/>
        </w:rPr>
        <w:t xml:space="preserve">sure that women and children who suffer from domestic violence are safe during and after divorce proceedings. </w:t>
      </w:r>
    </w:p>
    <w:p w14:paraId="3013F670" w14:textId="0D0A4BE6" w:rsidR="003E63D2" w:rsidRPr="00AF7D5A" w:rsidRDefault="00514B02" w:rsidP="003E63D2">
      <w:pPr>
        <w:pStyle w:val="Loendilik"/>
        <w:numPr>
          <w:ilvl w:val="0"/>
          <w:numId w:val="4"/>
        </w:numPr>
        <w:spacing w:line="276" w:lineRule="auto"/>
        <w:rPr>
          <w:rFonts w:asciiTheme="majorBidi" w:hAnsiTheme="majorBidi" w:cstheme="majorBidi"/>
          <w:sz w:val="24"/>
          <w:szCs w:val="24"/>
        </w:rPr>
      </w:pPr>
      <w:r w:rsidRPr="007B14AC">
        <w:rPr>
          <w:rFonts w:asciiTheme="majorBidi" w:hAnsiTheme="majorBidi" w:cstheme="majorBidi"/>
          <w:b/>
          <w:bCs/>
          <w:sz w:val="24"/>
          <w:szCs w:val="24"/>
        </w:rPr>
        <w:t>For example, do family judges undergo training on DV?</w:t>
      </w:r>
    </w:p>
    <w:p w14:paraId="48F4F055" w14:textId="4FFE9F03" w:rsidR="00AF7D5A" w:rsidRDefault="00AF7D5A" w:rsidP="00AF7D5A">
      <w:pPr>
        <w:pStyle w:val="Loendilik"/>
        <w:spacing w:line="276" w:lineRule="auto"/>
        <w:ind w:left="1080"/>
        <w:rPr>
          <w:rFonts w:asciiTheme="majorBidi" w:hAnsiTheme="majorBidi" w:cstheme="majorBidi"/>
          <w:sz w:val="24"/>
          <w:szCs w:val="24"/>
        </w:rPr>
      </w:pPr>
      <w:r w:rsidRPr="00AF7D5A">
        <w:rPr>
          <w:rFonts w:asciiTheme="majorBidi" w:hAnsiTheme="majorBidi" w:cstheme="majorBidi"/>
          <w:sz w:val="24"/>
          <w:szCs w:val="24"/>
        </w:rPr>
        <w:t>Please see the information given above regarding trainings (in relation to article 15, question c).</w:t>
      </w:r>
    </w:p>
    <w:p w14:paraId="09C11A27" w14:textId="77777777" w:rsid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In addition to that, the Social Insurance Board developed a contact training course "Trauma Awareness in Civil Cases involving Children" specifically for civil judges dealing with disputes involving children. The training took place over two days (at least 2 weeks between the two training days) and included pre-, mid-term and post-workshops. The training was deliberately more general, not specifically focused on violence against women (VAW), in order to make it more palatable to judges, but the training focused on trauma as a result of VAW. The training was carried out on two occasions in total, first as a pilot in the autumn of 2022 in the Viru County Court (participants were judges and judicial clerks, about 10 people in total) and in the spring of 2023 at the request of the Supreme Court (participants were about 6 judges).</w:t>
      </w:r>
    </w:p>
    <w:p w14:paraId="674F7186" w14:textId="12FCDD43" w:rsidR="00AF7D5A" w:rsidRP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 xml:space="preserve">Furthermore, one of the measures that helps to ensure that women and children who suffer from domestic violence are safe during and after divorce proceedings, is restraining order (different types). </w:t>
      </w:r>
    </w:p>
    <w:p w14:paraId="6DC315E4" w14:textId="77777777" w:rsidR="00AF7D5A" w:rsidRP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 xml:space="preserve">Restraining orders can apply to all victims of violence and can be introduced in subsequent legal proceedings. In order to protect the private life of a person or other personal rights, the civil court may apply a restraining order or other protection measures. Such measures may be applied with a term of up to three years. Where </w:t>
      </w:r>
      <w:r w:rsidRPr="00AF7D5A">
        <w:rPr>
          <w:rFonts w:asciiTheme="majorBidi" w:hAnsiTheme="majorBidi" w:cstheme="majorBidi"/>
          <w:sz w:val="24"/>
          <w:szCs w:val="24"/>
        </w:rPr>
        <w:lastRenderedPageBreak/>
        <w:t xml:space="preserve">necessary, the court may secure a petition for application of a restraining order or another measure for protection of personal rights or apply interim protection of a right by an order at its own initiative. </w:t>
      </w:r>
    </w:p>
    <w:p w14:paraId="702BC177" w14:textId="77777777" w:rsidR="00AF7D5A" w:rsidRP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The system of restraining orders in criminal proceedings was established for the protection of victims from violence in mid-2006. For protection of victims during the criminal proceedings, temporary restraining order may be requested by the Prosecutor’s Office and applied by court.</w:t>
      </w:r>
    </w:p>
    <w:p w14:paraId="3D3E3631" w14:textId="59A9D2F6" w:rsidR="00AF7D5A" w:rsidRPr="008428DB"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Since 2015 a court may apply a restraining order together with the electronic surveillance with the consent of the suspect or accused. The court may order electronic surveillance with the term of one to twelve months.</w:t>
      </w:r>
    </w:p>
    <w:p w14:paraId="339E1E83" w14:textId="77777777" w:rsidR="00AF7D5A" w:rsidRPr="00AF7D5A" w:rsidRDefault="00600E24" w:rsidP="00AF7D5A">
      <w:pPr>
        <w:pStyle w:val="Loendilik"/>
        <w:numPr>
          <w:ilvl w:val="0"/>
          <w:numId w:val="4"/>
        </w:numPr>
        <w:spacing w:line="276" w:lineRule="auto"/>
        <w:ind w:left="1077"/>
        <w:contextualSpacing w:val="0"/>
        <w:rPr>
          <w:rFonts w:asciiTheme="majorBidi" w:hAnsiTheme="majorBidi" w:cstheme="majorBidi"/>
          <w:sz w:val="24"/>
          <w:szCs w:val="24"/>
        </w:rPr>
      </w:pPr>
      <w:r w:rsidRPr="00AF7D5A">
        <w:rPr>
          <w:rFonts w:asciiTheme="majorBidi" w:hAnsiTheme="majorBidi" w:cstheme="majorBidi"/>
          <w:b/>
          <w:bCs/>
          <w:sz w:val="24"/>
          <w:szCs w:val="24"/>
        </w:rPr>
        <w:t>Is DV taken into consideration in child custody cases?</w:t>
      </w:r>
      <w:r w:rsidR="00514B02" w:rsidRPr="00AF7D5A">
        <w:rPr>
          <w:rFonts w:asciiTheme="majorBidi" w:hAnsiTheme="majorBidi" w:cstheme="majorBidi"/>
          <w:b/>
          <w:bCs/>
          <w:sz w:val="24"/>
          <w:szCs w:val="24"/>
        </w:rPr>
        <w:t xml:space="preserve"> </w:t>
      </w:r>
      <w:r w:rsidR="003E63D2" w:rsidRPr="00AF7D5A">
        <w:rPr>
          <w:rFonts w:asciiTheme="majorBidi" w:hAnsiTheme="majorBidi" w:cstheme="majorBidi"/>
          <w:b/>
          <w:bCs/>
          <w:sz w:val="24"/>
          <w:szCs w:val="24"/>
        </w:rPr>
        <w:t>P</w:t>
      </w:r>
      <w:r w:rsidR="00872807" w:rsidRPr="00AF7D5A">
        <w:rPr>
          <w:rFonts w:asciiTheme="majorBidi" w:hAnsiTheme="majorBidi" w:cstheme="majorBidi"/>
          <w:b/>
          <w:bCs/>
          <w:sz w:val="24"/>
          <w:szCs w:val="24"/>
        </w:rPr>
        <w:t>artially</w:t>
      </w:r>
      <w:r w:rsidR="003E63D2" w:rsidRPr="00AF7D5A">
        <w:rPr>
          <w:rFonts w:asciiTheme="majorBidi" w:hAnsiTheme="majorBidi" w:cstheme="majorBidi"/>
          <w:b/>
          <w:bCs/>
          <w:sz w:val="24"/>
          <w:szCs w:val="24"/>
        </w:rPr>
        <w:t xml:space="preserve"> answered – </w:t>
      </w:r>
      <w:r w:rsidR="00872807" w:rsidRPr="00AF7D5A">
        <w:rPr>
          <w:rFonts w:asciiTheme="majorBidi" w:hAnsiTheme="majorBidi" w:cstheme="majorBidi"/>
          <w:b/>
          <w:bCs/>
          <w:sz w:val="24"/>
          <w:szCs w:val="24"/>
        </w:rPr>
        <w:t xml:space="preserve">clarification: </w:t>
      </w:r>
      <w:r w:rsidR="003E63D2" w:rsidRPr="00AF7D5A">
        <w:rPr>
          <w:rFonts w:asciiTheme="majorBidi" w:hAnsiTheme="majorBidi" w:cstheme="majorBidi"/>
          <w:b/>
          <w:bCs/>
          <w:sz w:val="24"/>
          <w:szCs w:val="24"/>
        </w:rPr>
        <w:t>does DV against the mother impact</w:t>
      </w:r>
      <w:r w:rsidR="00872807" w:rsidRPr="00AF7D5A">
        <w:rPr>
          <w:rFonts w:asciiTheme="majorBidi" w:hAnsiTheme="majorBidi" w:cstheme="majorBidi"/>
          <w:b/>
          <w:bCs/>
          <w:sz w:val="24"/>
          <w:szCs w:val="24"/>
        </w:rPr>
        <w:t>s</w:t>
      </w:r>
      <w:r w:rsidR="003E63D2" w:rsidRPr="00AF7D5A">
        <w:rPr>
          <w:rFonts w:asciiTheme="majorBidi" w:hAnsiTheme="majorBidi" w:cstheme="majorBidi"/>
          <w:b/>
          <w:bCs/>
          <w:sz w:val="24"/>
          <w:szCs w:val="24"/>
        </w:rPr>
        <w:t xml:space="preserve"> </w:t>
      </w:r>
      <w:r w:rsidR="00872807" w:rsidRPr="00AF7D5A">
        <w:rPr>
          <w:rFonts w:asciiTheme="majorBidi" w:hAnsiTheme="majorBidi" w:cstheme="majorBidi"/>
          <w:b/>
          <w:bCs/>
          <w:sz w:val="24"/>
          <w:szCs w:val="24"/>
        </w:rPr>
        <w:t>custody</w:t>
      </w:r>
      <w:r w:rsidR="003E63D2" w:rsidRPr="00AF7D5A">
        <w:rPr>
          <w:rFonts w:asciiTheme="majorBidi" w:hAnsiTheme="majorBidi" w:cstheme="majorBidi"/>
          <w:b/>
          <w:bCs/>
          <w:sz w:val="24"/>
          <w:szCs w:val="24"/>
        </w:rPr>
        <w:t xml:space="preserve"> decisions and how?</w:t>
      </w:r>
      <w:r w:rsidR="00872807" w:rsidRPr="00AF7D5A">
        <w:rPr>
          <w:rFonts w:asciiTheme="majorBidi" w:hAnsiTheme="majorBidi" w:cstheme="majorBidi"/>
          <w:sz w:val="24"/>
          <w:szCs w:val="24"/>
        </w:rPr>
        <w:t xml:space="preserve"> </w:t>
      </w:r>
    </w:p>
    <w:p w14:paraId="59267A86" w14:textId="53B3CBCB" w:rsidR="00AF7D5A" w:rsidRP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 xml:space="preserve">In all child related cases that concern rights and obligations of parents (including child custody matters) the court shall make a decision primarily in the interests of the child, taking into account all the circumstances and the legitimate interest of the relevant persons (Family Law Act § 123 (1)). This means that court is bound to the research principle to find out all the important facts and based on the facts, the court decision must primarily take into account the welfare of the child. The court can apply relevant measures in the interests of the child. In the case the well-being of a child is endangered, a court may make decisions arising from legal custody in lieu of a parent, issue warnings and precepts and impose prohibitions and require the parents to observe the instructions of the agency specified by the court. A court may restrict physical custody or property guardianship by prohibiting the performance of certain acts or certain type of acts. Court may separate the child from family and deprive the parent of legal custody in full if damage to the interests of the child cannot be prevented by other supporting measures applied in the relationship between the parents and the child. A court may restrict the right of access to the child or order that a parent has access to a child in the presence of a suitable third person. </w:t>
      </w:r>
    </w:p>
    <w:p w14:paraId="34374F48" w14:textId="2EEE9434" w:rsidR="00AF7D5A" w:rsidRP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 xml:space="preserve">The impact on custody decisions may vary case by case and court must assess the risks of DV against the mother and its possible impact to the child’s wellbeing. The measures taken may vary substantially and court may give the right of custody only to the mother, if it is in the interest of the child. Laws provide to the courts different measures to be applied and it </w:t>
      </w:r>
      <w:r w:rsidRPr="00AF7D5A">
        <w:rPr>
          <w:rFonts w:asciiTheme="majorBidi" w:hAnsiTheme="majorBidi" w:cstheme="majorBidi"/>
          <w:sz w:val="24"/>
          <w:szCs w:val="24"/>
        </w:rPr>
        <w:t>is discretionary</w:t>
      </w:r>
      <w:r w:rsidRPr="00AF7D5A">
        <w:rPr>
          <w:rFonts w:asciiTheme="majorBidi" w:hAnsiTheme="majorBidi" w:cstheme="majorBidi"/>
          <w:sz w:val="24"/>
          <w:szCs w:val="24"/>
        </w:rPr>
        <w:t xml:space="preserve"> decision of the court.</w:t>
      </w:r>
    </w:p>
    <w:p w14:paraId="48E94683" w14:textId="77777777" w:rsidR="00AF7D5A" w:rsidRPr="00AF7D5A" w:rsidRDefault="00AF7D5A" w:rsidP="00AF7D5A">
      <w:pPr>
        <w:pStyle w:val="Loendilik"/>
        <w:spacing w:line="276" w:lineRule="auto"/>
        <w:ind w:left="1077"/>
        <w:contextualSpacing w:val="0"/>
        <w:rPr>
          <w:rFonts w:asciiTheme="majorBidi" w:hAnsiTheme="majorBidi" w:cstheme="majorBidi"/>
          <w:sz w:val="24"/>
          <w:szCs w:val="24"/>
        </w:rPr>
      </w:pPr>
      <w:r w:rsidRPr="00AF7D5A">
        <w:rPr>
          <w:rFonts w:asciiTheme="majorBidi" w:hAnsiTheme="majorBidi" w:cstheme="majorBidi"/>
          <w:sz w:val="24"/>
          <w:szCs w:val="24"/>
        </w:rPr>
        <w:t xml:space="preserve">In civil procedures there are some safeguards that specifically address cases with violence. For example: </w:t>
      </w:r>
    </w:p>
    <w:p w14:paraId="3842E2C3" w14:textId="73335547" w:rsidR="00AF7D5A" w:rsidRPr="00AF7D5A" w:rsidRDefault="00AF7D5A" w:rsidP="00AF7D5A">
      <w:pPr>
        <w:pStyle w:val="Loendilik"/>
        <w:spacing w:line="276" w:lineRule="auto"/>
        <w:ind w:left="1440"/>
        <w:contextualSpacing w:val="0"/>
        <w:rPr>
          <w:rFonts w:asciiTheme="majorBidi" w:hAnsiTheme="majorBidi" w:cstheme="majorBidi"/>
          <w:sz w:val="24"/>
          <w:szCs w:val="24"/>
        </w:rPr>
      </w:pPr>
      <w:r w:rsidRPr="00AF7D5A">
        <w:rPr>
          <w:rFonts w:asciiTheme="majorBidi" w:hAnsiTheme="majorBidi" w:cstheme="majorBidi"/>
          <w:sz w:val="24"/>
          <w:szCs w:val="24"/>
        </w:rPr>
        <w:t xml:space="preserve">• By law an order that grants the petition and does not prejudice the rights of any parties to proceedings does not need to include a statement of reasons, except </w:t>
      </w:r>
      <w:r w:rsidRPr="00AF7D5A">
        <w:rPr>
          <w:rFonts w:asciiTheme="majorBidi" w:hAnsiTheme="majorBidi" w:cstheme="majorBidi"/>
          <w:sz w:val="24"/>
          <w:szCs w:val="24"/>
        </w:rPr>
        <w:lastRenderedPageBreak/>
        <w:t xml:space="preserve">cases of determining a parent's rights in respect of, and arrangements of access to, the child in a situation where the parent has been violent to the child or to the other parent. </w:t>
      </w:r>
    </w:p>
    <w:p w14:paraId="79021E24" w14:textId="6E9DC609" w:rsidR="00AF7D5A" w:rsidRPr="00AF7D5A" w:rsidRDefault="00AF7D5A" w:rsidP="00AF7D5A">
      <w:pPr>
        <w:pStyle w:val="Loendilik"/>
        <w:spacing w:line="276" w:lineRule="auto"/>
        <w:ind w:left="1440"/>
        <w:contextualSpacing w:val="0"/>
        <w:rPr>
          <w:rFonts w:asciiTheme="majorBidi" w:hAnsiTheme="majorBidi" w:cstheme="majorBidi"/>
          <w:sz w:val="24"/>
          <w:szCs w:val="24"/>
        </w:rPr>
      </w:pPr>
      <w:r w:rsidRPr="00AF7D5A">
        <w:rPr>
          <w:rFonts w:asciiTheme="majorBidi" w:hAnsiTheme="majorBidi" w:cstheme="majorBidi"/>
          <w:sz w:val="24"/>
          <w:szCs w:val="24"/>
        </w:rPr>
        <w:t xml:space="preserve">• When the court applies a measure of interim relief under the rules for interim protection measures, it takes into consideration whether one parent has used violence in respect of the child or of the other parent. </w:t>
      </w:r>
    </w:p>
    <w:p w14:paraId="614B39F8" w14:textId="08AF7E0D" w:rsidR="00AF7D5A" w:rsidRPr="00AF7D5A" w:rsidRDefault="00AF7D5A" w:rsidP="00AF7D5A">
      <w:pPr>
        <w:pStyle w:val="Loendilik"/>
        <w:spacing w:line="276" w:lineRule="auto"/>
        <w:ind w:left="1440"/>
        <w:contextualSpacing w:val="0"/>
        <w:rPr>
          <w:rFonts w:asciiTheme="majorBidi" w:hAnsiTheme="majorBidi" w:cstheme="majorBidi"/>
          <w:sz w:val="24"/>
          <w:szCs w:val="24"/>
        </w:rPr>
      </w:pPr>
      <w:r w:rsidRPr="00AF7D5A">
        <w:rPr>
          <w:rFonts w:asciiTheme="majorBidi" w:hAnsiTheme="majorBidi" w:cstheme="majorBidi"/>
          <w:sz w:val="24"/>
          <w:szCs w:val="24"/>
        </w:rPr>
        <w:t>• Court has an obligation in a case concerning a child to hear the child, who is capable of holding their own opinions, at first hand unless otherwise provided by law. When making arrangements for hearing the child, the court takes into consideration whether one parent has used violence in respect of the child or the other parent. The same rule applies to hearing the parents - when arranging the hearing of the parents, the court takes into consideration whether one parent has used violence in respect of the child or the other parent.</w:t>
      </w:r>
    </w:p>
    <w:p w14:paraId="1DFBD8B4" w14:textId="6E94F361" w:rsidR="00AF7D5A" w:rsidRPr="00AF7D5A" w:rsidRDefault="00AF7D5A" w:rsidP="00AF7D5A">
      <w:pPr>
        <w:pStyle w:val="Loendilik"/>
        <w:spacing w:line="276" w:lineRule="auto"/>
        <w:ind w:left="1440"/>
        <w:contextualSpacing w:val="0"/>
        <w:rPr>
          <w:rFonts w:asciiTheme="majorBidi" w:hAnsiTheme="majorBidi" w:cstheme="majorBidi"/>
          <w:sz w:val="24"/>
          <w:szCs w:val="24"/>
        </w:rPr>
      </w:pPr>
      <w:r w:rsidRPr="00AF7D5A">
        <w:rPr>
          <w:rFonts w:asciiTheme="majorBidi" w:hAnsiTheme="majorBidi" w:cstheme="majorBidi"/>
          <w:sz w:val="24"/>
          <w:szCs w:val="24"/>
        </w:rPr>
        <w:t>• Mediation or conciliation proceedings are not required to be undertaken as a prerequisite for approaching the court for assistance where one parent has used violence in respect of the child or the other parent, or where another valid reason is present.</w:t>
      </w:r>
    </w:p>
    <w:p w14:paraId="08E1F1A8" w14:textId="041FAB6C" w:rsidR="003E63D2" w:rsidRPr="00AF7D5A" w:rsidRDefault="00AF7D5A" w:rsidP="00AF7D5A">
      <w:pPr>
        <w:pStyle w:val="Loendilik"/>
        <w:spacing w:line="276" w:lineRule="auto"/>
        <w:ind w:left="1440"/>
        <w:contextualSpacing w:val="0"/>
        <w:rPr>
          <w:rFonts w:asciiTheme="majorBidi" w:hAnsiTheme="majorBidi" w:cstheme="majorBidi"/>
          <w:sz w:val="24"/>
          <w:szCs w:val="24"/>
        </w:rPr>
      </w:pPr>
      <w:r w:rsidRPr="00AF7D5A">
        <w:rPr>
          <w:rFonts w:asciiTheme="majorBidi" w:hAnsiTheme="majorBidi" w:cstheme="majorBidi"/>
          <w:sz w:val="24"/>
          <w:szCs w:val="24"/>
        </w:rPr>
        <w:t>• When the court steers the persons to settle the case or draws their attention to the possibility of recourse to the assistance of a family counsellor, the court takes into consideration whether one parent has used violence in respect of the child or the other parent.</w:t>
      </w:r>
    </w:p>
    <w:p w14:paraId="5F007662" w14:textId="77777777" w:rsidR="00C74ED4" w:rsidRPr="008428DB" w:rsidRDefault="00DB3A42" w:rsidP="00710B6C">
      <w:pPr>
        <w:pStyle w:val="Loendilik"/>
        <w:numPr>
          <w:ilvl w:val="0"/>
          <w:numId w:val="4"/>
        </w:numPr>
        <w:spacing w:line="276" w:lineRule="auto"/>
        <w:rPr>
          <w:rFonts w:asciiTheme="majorBidi" w:hAnsiTheme="majorBidi" w:cstheme="majorBidi"/>
          <w:color w:val="2E74B5" w:themeColor="accent1" w:themeShade="BF"/>
          <w:sz w:val="24"/>
          <w:szCs w:val="24"/>
          <w:lang w:val="en-GB"/>
        </w:rPr>
      </w:pPr>
      <w:r w:rsidRPr="007B14AC">
        <w:rPr>
          <w:rFonts w:asciiTheme="majorBidi" w:hAnsiTheme="majorBidi" w:cstheme="majorBidi"/>
          <w:b/>
          <w:bCs/>
          <w:sz w:val="24"/>
          <w:szCs w:val="24"/>
        </w:rPr>
        <w:t xml:space="preserve">Is there an option for </w:t>
      </w:r>
      <w:r w:rsidR="00600E24" w:rsidRPr="007B14AC">
        <w:rPr>
          <w:rFonts w:asciiTheme="majorBidi" w:hAnsiTheme="majorBidi" w:cstheme="majorBidi"/>
          <w:b/>
          <w:bCs/>
          <w:sz w:val="24"/>
          <w:szCs w:val="24"/>
        </w:rPr>
        <w:t>electronic bracelets for men who violate restriction orders?</w:t>
      </w:r>
      <w:r w:rsidR="00600E24" w:rsidRPr="008428DB">
        <w:rPr>
          <w:rFonts w:asciiTheme="majorBidi" w:hAnsiTheme="majorBidi" w:cstheme="majorBidi"/>
          <w:sz w:val="24"/>
          <w:szCs w:val="24"/>
        </w:rPr>
        <w:t xml:space="preserve"> </w:t>
      </w:r>
      <w:r w:rsidR="00872807" w:rsidRPr="008428DB">
        <w:rPr>
          <w:rFonts w:asciiTheme="majorBidi" w:hAnsiTheme="majorBidi" w:cstheme="majorBidi"/>
          <w:color w:val="2E74B5" w:themeColor="accent1" w:themeShade="BF"/>
          <w:sz w:val="24"/>
          <w:szCs w:val="24"/>
        </w:rPr>
        <w:t>Answered</w:t>
      </w:r>
    </w:p>
    <w:p w14:paraId="7006C388" w14:textId="77777777" w:rsidR="00AF7D5A" w:rsidRPr="00AF7D5A" w:rsidRDefault="00C74ED4" w:rsidP="006E32F0">
      <w:pPr>
        <w:pStyle w:val="Loendilik"/>
        <w:numPr>
          <w:ilvl w:val="0"/>
          <w:numId w:val="1"/>
        </w:numPr>
        <w:spacing w:line="276" w:lineRule="auto"/>
        <w:contextualSpacing w:val="0"/>
        <w:rPr>
          <w:rFonts w:asciiTheme="majorBidi" w:hAnsiTheme="majorBidi" w:cstheme="majorBidi"/>
          <w:sz w:val="24"/>
          <w:szCs w:val="24"/>
        </w:rPr>
      </w:pPr>
      <w:r w:rsidRPr="007B14AC">
        <w:rPr>
          <w:rFonts w:asciiTheme="majorBidi" w:hAnsiTheme="majorBidi" w:cstheme="majorBidi"/>
          <w:b/>
          <w:bCs/>
          <w:color w:val="222222"/>
          <w:sz w:val="24"/>
          <w:szCs w:val="24"/>
          <w:lang w:val="en-GB"/>
        </w:rPr>
        <w:t>Finally, we were informed that a wome</w:t>
      </w:r>
      <w:r w:rsidR="002F6E6B" w:rsidRPr="007B14AC">
        <w:rPr>
          <w:rFonts w:asciiTheme="majorBidi" w:hAnsiTheme="majorBidi" w:cstheme="majorBidi"/>
          <w:b/>
          <w:bCs/>
          <w:color w:val="222222"/>
          <w:sz w:val="24"/>
          <w:szCs w:val="24"/>
          <w:lang w:val="en-GB"/>
        </w:rPr>
        <w:t>n cannot apply for social security when she hasn’t officially requested child maintenance</w:t>
      </w:r>
      <w:r w:rsidR="00EE14CF" w:rsidRPr="007B14AC">
        <w:rPr>
          <w:rFonts w:asciiTheme="majorBidi" w:hAnsiTheme="majorBidi" w:cstheme="majorBidi"/>
          <w:b/>
          <w:bCs/>
          <w:color w:val="222222"/>
          <w:sz w:val="24"/>
          <w:szCs w:val="24"/>
          <w:lang w:val="en-GB"/>
        </w:rPr>
        <w:t xml:space="preserve"> from the father</w:t>
      </w:r>
      <w:r w:rsidR="002F6E6B" w:rsidRPr="007B14AC">
        <w:rPr>
          <w:rFonts w:asciiTheme="majorBidi" w:hAnsiTheme="majorBidi" w:cstheme="majorBidi"/>
          <w:b/>
          <w:bCs/>
          <w:color w:val="222222"/>
          <w:sz w:val="24"/>
          <w:szCs w:val="24"/>
          <w:lang w:val="en-GB"/>
        </w:rPr>
        <w:t xml:space="preserve">. </w:t>
      </w:r>
      <w:r w:rsidRPr="007B14AC">
        <w:rPr>
          <w:rFonts w:asciiTheme="majorBidi" w:hAnsiTheme="majorBidi" w:cstheme="majorBidi"/>
          <w:b/>
          <w:bCs/>
          <w:color w:val="222222"/>
          <w:sz w:val="24"/>
          <w:szCs w:val="24"/>
          <w:lang w:val="en-GB"/>
        </w:rPr>
        <w:t xml:space="preserve">How does this policy protect women from </w:t>
      </w:r>
      <w:r w:rsidR="00060089" w:rsidRPr="007B14AC">
        <w:rPr>
          <w:rFonts w:asciiTheme="majorBidi" w:hAnsiTheme="majorBidi" w:cstheme="majorBidi"/>
          <w:b/>
          <w:bCs/>
          <w:color w:val="222222"/>
          <w:sz w:val="24"/>
          <w:szCs w:val="24"/>
          <w:lang w:val="en-GB"/>
        </w:rPr>
        <w:t>violent</w:t>
      </w:r>
      <w:r w:rsidRPr="007B14AC">
        <w:rPr>
          <w:rFonts w:asciiTheme="majorBidi" w:hAnsiTheme="majorBidi" w:cstheme="majorBidi"/>
          <w:b/>
          <w:bCs/>
          <w:color w:val="222222"/>
          <w:sz w:val="24"/>
          <w:szCs w:val="24"/>
          <w:lang w:val="en-GB"/>
        </w:rPr>
        <w:t xml:space="preserve"> ex-spouses?</w:t>
      </w:r>
      <w:r w:rsidRPr="008428DB">
        <w:rPr>
          <w:rFonts w:asciiTheme="majorBidi" w:hAnsiTheme="majorBidi" w:cstheme="majorBidi"/>
          <w:color w:val="222222"/>
          <w:sz w:val="24"/>
          <w:szCs w:val="24"/>
          <w:lang w:val="en-GB"/>
        </w:rPr>
        <w:t xml:space="preserve"> </w:t>
      </w:r>
    </w:p>
    <w:p w14:paraId="726D956B" w14:textId="0E934B9D" w:rsidR="006E32F0" w:rsidRDefault="006E32F0" w:rsidP="006E32F0">
      <w:pPr>
        <w:pStyle w:val="Loendilik"/>
        <w:spacing w:line="276" w:lineRule="auto"/>
        <w:contextualSpacing w:val="0"/>
        <w:rPr>
          <w:rFonts w:asciiTheme="majorBidi" w:hAnsiTheme="majorBidi" w:cstheme="majorBidi"/>
          <w:sz w:val="24"/>
          <w:szCs w:val="24"/>
        </w:rPr>
      </w:pPr>
      <w:r w:rsidRPr="006E32F0">
        <w:rPr>
          <w:rFonts w:asciiTheme="majorBidi" w:hAnsiTheme="majorBidi" w:cstheme="majorBidi"/>
          <w:sz w:val="24"/>
          <w:szCs w:val="24"/>
        </w:rPr>
        <w:t>Social security benefits such as child allowances or parental leave benefits do not depend on whether child maintenance has been requested and are paid universally. Subsistence benefits, however, are need-based and depend on income. The subsistence benefit can be decreased or refused if child maintenance has not been requested. This is at the discretion of the local government, which assesses the individual situation. If requesting child maintenance might harm the parent or the child, the municipality can choose not to apply this condition.</w:t>
      </w:r>
    </w:p>
    <w:p w14:paraId="05637847" w14:textId="5F7C1AC3" w:rsidR="006E32F0" w:rsidRDefault="006E32F0" w:rsidP="006E32F0">
      <w:pPr>
        <w:pStyle w:val="Loendilik"/>
        <w:contextualSpacing w:val="0"/>
        <w:rPr>
          <w:rFonts w:asciiTheme="majorBidi" w:hAnsiTheme="majorBidi" w:cstheme="majorBidi"/>
          <w:sz w:val="24"/>
          <w:szCs w:val="24"/>
        </w:rPr>
      </w:pPr>
      <w:r w:rsidRPr="006E32F0">
        <w:rPr>
          <w:rFonts w:asciiTheme="majorBidi" w:hAnsiTheme="majorBidi" w:cstheme="majorBidi"/>
          <w:sz w:val="24"/>
          <w:szCs w:val="24"/>
        </w:rPr>
        <w:t xml:space="preserve">Data from 2023 shows that this discretion was used 28 times by 6 local municipalities (22 of those cases were in Tallinn, one municipality used it twice, and four others used it once each). These numbers reflect cases, not households. In 2023, 4,807 single-parent </w:t>
      </w:r>
      <w:r w:rsidRPr="006E32F0">
        <w:rPr>
          <w:rFonts w:asciiTheme="majorBidi" w:hAnsiTheme="majorBidi" w:cstheme="majorBidi"/>
          <w:sz w:val="24"/>
          <w:szCs w:val="24"/>
        </w:rPr>
        <w:lastRenderedPageBreak/>
        <w:t>households were recipients of subsistence benefits</w:t>
      </w:r>
      <w:r>
        <w:rPr>
          <w:rFonts w:asciiTheme="majorBidi" w:hAnsiTheme="majorBidi" w:cstheme="majorBidi"/>
          <w:sz w:val="24"/>
          <w:szCs w:val="24"/>
        </w:rPr>
        <w:t xml:space="preserve"> (this number reflects </w:t>
      </w:r>
      <w:r w:rsidR="009D2241">
        <w:rPr>
          <w:rFonts w:asciiTheme="majorBidi" w:hAnsiTheme="majorBidi" w:cstheme="majorBidi"/>
          <w:sz w:val="24"/>
          <w:szCs w:val="24"/>
        </w:rPr>
        <w:t>households,</w:t>
      </w:r>
      <w:r>
        <w:rPr>
          <w:rFonts w:asciiTheme="majorBidi" w:hAnsiTheme="majorBidi" w:cstheme="majorBidi"/>
          <w:sz w:val="24"/>
          <w:szCs w:val="24"/>
        </w:rPr>
        <w:t xml:space="preserve"> and the number of cases is bigger).</w:t>
      </w:r>
    </w:p>
    <w:p w14:paraId="07998607" w14:textId="305D466C" w:rsidR="00794270" w:rsidRPr="006E32F0" w:rsidRDefault="006E32F0" w:rsidP="006E32F0">
      <w:pPr>
        <w:pStyle w:val="Loendilik"/>
        <w:contextualSpacing w:val="0"/>
        <w:rPr>
          <w:rFonts w:asciiTheme="majorBidi" w:hAnsiTheme="majorBidi" w:cstheme="majorBidi"/>
          <w:sz w:val="24"/>
          <w:szCs w:val="24"/>
        </w:rPr>
      </w:pPr>
      <w:r w:rsidRPr="006E32F0">
        <w:rPr>
          <w:rFonts w:asciiTheme="majorBidi" w:hAnsiTheme="majorBidi" w:cstheme="majorBidi"/>
          <w:sz w:val="24"/>
          <w:szCs w:val="24"/>
        </w:rPr>
        <w:t xml:space="preserve">Child maintenance allowance is </w:t>
      </w:r>
      <w:r w:rsidRPr="006E32F0">
        <w:rPr>
          <w:rFonts w:asciiTheme="majorBidi" w:hAnsiTheme="majorBidi" w:cstheme="majorBidi"/>
          <w:sz w:val="24"/>
          <w:szCs w:val="24"/>
        </w:rPr>
        <w:t>paid when</w:t>
      </w:r>
      <w:r w:rsidRPr="006E32F0">
        <w:rPr>
          <w:rFonts w:asciiTheme="majorBidi" w:hAnsiTheme="majorBidi" w:cstheme="majorBidi"/>
          <w:sz w:val="24"/>
          <w:szCs w:val="24"/>
        </w:rPr>
        <w:t xml:space="preserve"> parent or parents do not perform their</w:t>
      </w:r>
      <w:r>
        <w:rPr>
          <w:rFonts w:asciiTheme="majorBidi" w:hAnsiTheme="majorBidi" w:cstheme="majorBidi"/>
          <w:sz w:val="24"/>
          <w:szCs w:val="24"/>
        </w:rPr>
        <w:t xml:space="preserve"> </w:t>
      </w:r>
      <w:r w:rsidRPr="006E32F0">
        <w:rPr>
          <w:rFonts w:asciiTheme="majorBidi" w:hAnsiTheme="majorBidi" w:cstheme="majorBidi"/>
          <w:sz w:val="24"/>
          <w:szCs w:val="24"/>
        </w:rPr>
        <w:t xml:space="preserve">maintenance obligation. Maintenance allowance can be applied for during court, </w:t>
      </w:r>
      <w:r w:rsidRPr="006E32F0">
        <w:rPr>
          <w:rFonts w:asciiTheme="majorBidi" w:hAnsiTheme="majorBidi" w:cstheme="majorBidi"/>
          <w:sz w:val="24"/>
          <w:szCs w:val="24"/>
        </w:rPr>
        <w:t>enforcement,</w:t>
      </w:r>
      <w:r w:rsidRPr="006E32F0">
        <w:rPr>
          <w:rFonts w:asciiTheme="majorBidi" w:hAnsiTheme="majorBidi" w:cstheme="majorBidi"/>
          <w:sz w:val="24"/>
          <w:szCs w:val="24"/>
        </w:rPr>
        <w:t xml:space="preserve"> and bankruptcy proceedings. The right to maintenance allowance is held by an underage child living in Estonia or a child up to 21 years of age if the child is enrolled in school (up to 150 days during court proceedings).</w:t>
      </w:r>
      <w:r>
        <w:rPr>
          <w:rFonts w:asciiTheme="majorBidi" w:hAnsiTheme="majorBidi" w:cstheme="majorBidi"/>
          <w:sz w:val="24"/>
          <w:szCs w:val="24"/>
        </w:rPr>
        <w:t xml:space="preserve"> </w:t>
      </w:r>
      <w:r w:rsidRPr="006E32F0">
        <w:rPr>
          <w:rFonts w:asciiTheme="majorBidi" w:hAnsiTheme="majorBidi" w:cstheme="majorBidi"/>
          <w:sz w:val="24"/>
          <w:szCs w:val="24"/>
        </w:rPr>
        <w:t>Maintenance allowance is subject to reimbursement, therefore, paid maintenance allowance must be returned to the state, depending on the situation, either by the recipient of maintenance allowance or by the person obliged to provide maintenance.</w:t>
      </w:r>
    </w:p>
    <w:p w14:paraId="27B77F1B" w14:textId="77777777" w:rsidR="00794270" w:rsidRPr="00794270" w:rsidRDefault="00794270" w:rsidP="00794270">
      <w:pPr>
        <w:bidi/>
        <w:spacing w:line="276" w:lineRule="auto"/>
        <w:rPr>
          <w:rFonts w:asciiTheme="majorBidi" w:hAnsiTheme="majorBidi" w:cstheme="majorBidi"/>
          <w:sz w:val="24"/>
          <w:szCs w:val="24"/>
        </w:rPr>
      </w:pPr>
    </w:p>
    <w:sectPr w:rsidR="00794270" w:rsidRPr="007942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130BB4"/>
    <w:multiLevelType w:val="hybridMultilevel"/>
    <w:tmpl w:val="EA569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F43C26"/>
    <w:multiLevelType w:val="hybridMultilevel"/>
    <w:tmpl w:val="C01A312C"/>
    <w:lvl w:ilvl="0" w:tplc="4A7CDA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E483ED4"/>
    <w:multiLevelType w:val="hybridMultilevel"/>
    <w:tmpl w:val="4C469B7E"/>
    <w:lvl w:ilvl="0" w:tplc="AB64C22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39351C"/>
    <w:multiLevelType w:val="hybridMultilevel"/>
    <w:tmpl w:val="81D8D0D2"/>
    <w:lvl w:ilvl="0" w:tplc="C84C947A">
      <w:start w:val="201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82343383">
    <w:abstractNumId w:val="2"/>
  </w:num>
  <w:num w:numId="2" w16cid:durableId="102458505">
    <w:abstractNumId w:val="0"/>
  </w:num>
  <w:num w:numId="3" w16cid:durableId="334379573">
    <w:abstractNumId w:val="1"/>
  </w:num>
  <w:num w:numId="4" w16cid:durableId="328875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7C8"/>
    <w:rsid w:val="00001103"/>
    <w:rsid w:val="00030F65"/>
    <w:rsid w:val="0005424B"/>
    <w:rsid w:val="00060089"/>
    <w:rsid w:val="00180324"/>
    <w:rsid w:val="001F2053"/>
    <w:rsid w:val="002157C8"/>
    <w:rsid w:val="002F6E6B"/>
    <w:rsid w:val="00322CF3"/>
    <w:rsid w:val="003310F8"/>
    <w:rsid w:val="003E63D2"/>
    <w:rsid w:val="00481A78"/>
    <w:rsid w:val="0048524A"/>
    <w:rsid w:val="00487691"/>
    <w:rsid w:val="00514B02"/>
    <w:rsid w:val="00600E24"/>
    <w:rsid w:val="006D4F44"/>
    <w:rsid w:val="006E32F0"/>
    <w:rsid w:val="006F62F1"/>
    <w:rsid w:val="00794270"/>
    <w:rsid w:val="007B14AC"/>
    <w:rsid w:val="007C46EA"/>
    <w:rsid w:val="008428DB"/>
    <w:rsid w:val="008520D1"/>
    <w:rsid w:val="00872807"/>
    <w:rsid w:val="009049BC"/>
    <w:rsid w:val="00987902"/>
    <w:rsid w:val="009D2241"/>
    <w:rsid w:val="00AF7D5A"/>
    <w:rsid w:val="00B363B3"/>
    <w:rsid w:val="00BB53BC"/>
    <w:rsid w:val="00C74ED4"/>
    <w:rsid w:val="00CA28AB"/>
    <w:rsid w:val="00CC48FE"/>
    <w:rsid w:val="00CD19E6"/>
    <w:rsid w:val="00CE1EAD"/>
    <w:rsid w:val="00DB3A42"/>
    <w:rsid w:val="00DD7BB0"/>
    <w:rsid w:val="00EB1519"/>
    <w:rsid w:val="00EE14CF"/>
    <w:rsid w:val="00F3666D"/>
    <w:rsid w:val="00FC1B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B7EE"/>
  <w15:chartTrackingRefBased/>
  <w15:docId w15:val="{DCEE8012-E565-41A2-9F3F-25F474721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style>
  <w:style w:type="character" w:default="1" w:styleId="Liguvaikefont">
    <w:name w:val="Default Paragraph Font"/>
    <w:uiPriority w:val="1"/>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Loendilik">
    <w:name w:val="List Paragraph"/>
    <w:basedOn w:val="Normaallaad"/>
    <w:uiPriority w:val="34"/>
    <w:qFormat/>
    <w:rsid w:val="009049BC"/>
    <w:pPr>
      <w:ind w:left="720"/>
      <w:contextualSpacing/>
    </w:pPr>
  </w:style>
  <w:style w:type="character" w:styleId="Hperlink">
    <w:name w:val="Hyperlink"/>
    <w:basedOn w:val="Liguvaikefont"/>
    <w:uiPriority w:val="99"/>
    <w:semiHidden/>
    <w:unhideWhenUsed/>
    <w:rsid w:val="00CE1EAD"/>
    <w:rPr>
      <w:color w:val="0000FF"/>
      <w:u w:val="single"/>
    </w:rPr>
  </w:style>
  <w:style w:type="paragraph" w:styleId="Normaallaadveeb">
    <w:name w:val="Normal (Web)"/>
    <w:basedOn w:val="Normaallaad"/>
    <w:uiPriority w:val="99"/>
    <w:semiHidden/>
    <w:unhideWhenUsed/>
    <w:rsid w:val="002F6E6B"/>
    <w:pPr>
      <w:spacing w:before="100" w:beforeAutospacing="1" w:after="100" w:afterAutospacing="1" w:line="240" w:lineRule="auto"/>
    </w:pPr>
    <w:rPr>
      <w:rFonts w:ascii="Times New Roman" w:hAnsi="Times New Roman" w:cs="Times New Roman"/>
      <w:sz w:val="24"/>
      <w:szCs w:val="24"/>
    </w:rPr>
  </w:style>
  <w:style w:type="table" w:styleId="Kontuurtabel">
    <w:name w:val="Table Grid"/>
    <w:basedOn w:val="Normaaltabel"/>
    <w:uiPriority w:val="39"/>
    <w:rsid w:val="00987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2149">
      <w:bodyDiv w:val="1"/>
      <w:marLeft w:val="0"/>
      <w:marRight w:val="0"/>
      <w:marTop w:val="0"/>
      <w:marBottom w:val="0"/>
      <w:divBdr>
        <w:top w:val="none" w:sz="0" w:space="0" w:color="auto"/>
        <w:left w:val="none" w:sz="0" w:space="0" w:color="auto"/>
        <w:bottom w:val="none" w:sz="0" w:space="0" w:color="auto"/>
        <w:right w:val="none" w:sz="0" w:space="0" w:color="auto"/>
      </w:divBdr>
    </w:div>
    <w:div w:id="25646716">
      <w:bodyDiv w:val="1"/>
      <w:marLeft w:val="0"/>
      <w:marRight w:val="0"/>
      <w:marTop w:val="0"/>
      <w:marBottom w:val="0"/>
      <w:divBdr>
        <w:top w:val="none" w:sz="0" w:space="0" w:color="auto"/>
        <w:left w:val="none" w:sz="0" w:space="0" w:color="auto"/>
        <w:bottom w:val="none" w:sz="0" w:space="0" w:color="auto"/>
        <w:right w:val="none" w:sz="0" w:space="0" w:color="auto"/>
      </w:divBdr>
    </w:div>
    <w:div w:id="69160687">
      <w:bodyDiv w:val="1"/>
      <w:marLeft w:val="0"/>
      <w:marRight w:val="0"/>
      <w:marTop w:val="0"/>
      <w:marBottom w:val="0"/>
      <w:divBdr>
        <w:top w:val="none" w:sz="0" w:space="0" w:color="auto"/>
        <w:left w:val="none" w:sz="0" w:space="0" w:color="auto"/>
        <w:bottom w:val="none" w:sz="0" w:space="0" w:color="auto"/>
        <w:right w:val="none" w:sz="0" w:space="0" w:color="auto"/>
      </w:divBdr>
    </w:div>
    <w:div w:id="418209960">
      <w:bodyDiv w:val="1"/>
      <w:marLeft w:val="0"/>
      <w:marRight w:val="0"/>
      <w:marTop w:val="0"/>
      <w:marBottom w:val="0"/>
      <w:divBdr>
        <w:top w:val="none" w:sz="0" w:space="0" w:color="auto"/>
        <w:left w:val="none" w:sz="0" w:space="0" w:color="auto"/>
        <w:bottom w:val="none" w:sz="0" w:space="0" w:color="auto"/>
        <w:right w:val="none" w:sz="0" w:space="0" w:color="auto"/>
      </w:divBdr>
    </w:div>
    <w:div w:id="628442153">
      <w:bodyDiv w:val="1"/>
      <w:marLeft w:val="0"/>
      <w:marRight w:val="0"/>
      <w:marTop w:val="0"/>
      <w:marBottom w:val="0"/>
      <w:divBdr>
        <w:top w:val="none" w:sz="0" w:space="0" w:color="auto"/>
        <w:left w:val="none" w:sz="0" w:space="0" w:color="auto"/>
        <w:bottom w:val="none" w:sz="0" w:space="0" w:color="auto"/>
        <w:right w:val="none" w:sz="0" w:space="0" w:color="auto"/>
      </w:divBdr>
    </w:div>
    <w:div w:id="1428381308">
      <w:bodyDiv w:val="1"/>
      <w:marLeft w:val="0"/>
      <w:marRight w:val="0"/>
      <w:marTop w:val="0"/>
      <w:marBottom w:val="0"/>
      <w:divBdr>
        <w:top w:val="none" w:sz="0" w:space="0" w:color="auto"/>
        <w:left w:val="none" w:sz="0" w:space="0" w:color="auto"/>
        <w:bottom w:val="none" w:sz="0" w:space="0" w:color="auto"/>
        <w:right w:val="none" w:sz="0" w:space="0" w:color="auto"/>
      </w:divBdr>
    </w:div>
    <w:div w:id="1596327402">
      <w:bodyDiv w:val="1"/>
      <w:marLeft w:val="0"/>
      <w:marRight w:val="0"/>
      <w:marTop w:val="0"/>
      <w:marBottom w:val="0"/>
      <w:divBdr>
        <w:top w:val="none" w:sz="0" w:space="0" w:color="auto"/>
        <w:left w:val="none" w:sz="0" w:space="0" w:color="auto"/>
        <w:bottom w:val="none" w:sz="0" w:space="0" w:color="auto"/>
        <w:right w:val="none" w:sz="0" w:space="0" w:color="auto"/>
      </w:divBdr>
    </w:div>
    <w:div w:id="1725372700">
      <w:bodyDiv w:val="1"/>
      <w:marLeft w:val="0"/>
      <w:marRight w:val="0"/>
      <w:marTop w:val="0"/>
      <w:marBottom w:val="0"/>
      <w:divBdr>
        <w:top w:val="none" w:sz="0" w:space="0" w:color="auto"/>
        <w:left w:val="none" w:sz="0" w:space="0" w:color="auto"/>
        <w:bottom w:val="none" w:sz="0" w:space="0" w:color="auto"/>
        <w:right w:val="none" w:sz="0" w:space="0" w:color="auto"/>
      </w:divBdr>
    </w:div>
    <w:div w:id="198824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B1EE18-9BED-43D7-94DE-001D31D9FC1A}"/>
</file>

<file path=customXml/itemProps2.xml><?xml version="1.0" encoding="utf-8"?>
<ds:datastoreItem xmlns:ds="http://schemas.openxmlformats.org/officeDocument/2006/customXml" ds:itemID="{EE595C6B-6DF3-4A6E-84FB-71DBA746731A}"/>
</file>

<file path=docProps/app.xml><?xml version="1.0" encoding="utf-8"?>
<Properties xmlns="http://schemas.openxmlformats.org/officeDocument/2006/extended-properties" xmlns:vt="http://schemas.openxmlformats.org/officeDocument/2006/docPropsVTypes">
  <Template>Normal</Template>
  <TotalTime>2</TotalTime>
  <Pages>9</Pages>
  <Words>3097</Words>
  <Characters>17966</Characters>
  <Application>Microsoft Office Word</Application>
  <DocSecurity>0</DocSecurity>
  <Lines>149</Lines>
  <Paragraphs>42</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Daphna Hacker</dc:creator>
  <cp:keywords/>
  <dc:description/>
  <cp:lastModifiedBy>Eva Liina Kliiman</cp:lastModifiedBy>
  <cp:revision>3</cp:revision>
  <dcterms:created xsi:type="dcterms:W3CDTF">2024-05-20T13:44:00Z</dcterms:created>
  <dcterms:modified xsi:type="dcterms:W3CDTF">2024-05-20T13:44:00Z</dcterms:modified>
</cp:coreProperties>
</file>