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pPr>
      <w:r w:rsidDel="00000000" w:rsidR="00000000" w:rsidRPr="00000000">
        <w:rPr>
          <w:rtl w:val="0"/>
        </w:rPr>
      </w:r>
    </w:p>
    <w:p w:rsidR="00000000" w:rsidDel="00000000" w:rsidP="00000000" w:rsidRDefault="00000000" w:rsidRPr="00000000" w14:paraId="00000002">
      <w:pPr>
        <w:jc w:val="both"/>
        <w:rPr/>
      </w:pPr>
      <w:r w:rsidDel="00000000" w:rsidR="00000000" w:rsidRPr="00000000">
        <w:rPr>
          <w:rtl w:val="0"/>
        </w:rPr>
        <w:t xml:space="preserve">Trans Rights are Human Rights: How the Philippines can fulfill its obligations under CESCR on key themes for transgender people </w:t>
      </w:r>
    </w:p>
    <w:p w:rsidR="00000000" w:rsidDel="00000000" w:rsidP="00000000" w:rsidRDefault="00000000" w:rsidRPr="00000000" w14:paraId="00000003">
      <w:pPr>
        <w:jc w:val="both"/>
        <w:rPr/>
      </w:pPr>
      <w:r w:rsidDel="00000000" w:rsidR="00000000" w:rsidRPr="00000000">
        <w:rPr>
          <w:rtl w:val="0"/>
        </w:rPr>
      </w:r>
    </w:p>
    <w:p w:rsidR="00000000" w:rsidDel="00000000" w:rsidP="00000000" w:rsidRDefault="00000000" w:rsidRPr="00000000" w14:paraId="00000004">
      <w:pPr>
        <w:jc w:val="both"/>
        <w:rPr/>
      </w:pPr>
      <w:r w:rsidDel="00000000" w:rsidR="00000000" w:rsidRPr="00000000">
        <w:rPr>
          <w:rtl w:val="0"/>
        </w:rPr>
        <w:t xml:space="preserve">Written by Vashti Rebong</w:t>
      </w:r>
    </w:p>
    <w:p w:rsidR="00000000" w:rsidDel="00000000" w:rsidP="00000000" w:rsidRDefault="00000000" w:rsidRPr="00000000" w14:paraId="00000005">
      <w:pPr>
        <w:jc w:val="both"/>
        <w:rPr/>
      </w:pPr>
      <w:r w:rsidDel="00000000" w:rsidR="00000000" w:rsidRPr="00000000">
        <w:rPr>
          <w:rtl w:val="0"/>
        </w:rPr>
        <w:t xml:space="preserve">Society of Trans Women of the Philippines</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pPr>
      <w:r w:rsidDel="00000000" w:rsidR="00000000" w:rsidRPr="00000000">
        <w:rPr>
          <w:rtl w:val="0"/>
        </w:rPr>
      </w:r>
    </w:p>
    <w:p w:rsidR="00000000" w:rsidDel="00000000" w:rsidP="00000000" w:rsidRDefault="00000000" w:rsidRPr="00000000" w14:paraId="00000008">
      <w:pPr>
        <w:jc w:val="both"/>
        <w:rPr/>
      </w:pPr>
      <w:r w:rsidDel="00000000" w:rsidR="00000000" w:rsidRPr="00000000">
        <w:rPr>
          <w:rtl w:val="0"/>
        </w:rPr>
      </w:r>
    </w:p>
    <w:p w:rsidR="00000000" w:rsidDel="00000000" w:rsidP="00000000" w:rsidRDefault="00000000" w:rsidRPr="00000000" w14:paraId="00000009">
      <w:pPr>
        <w:jc w:val="both"/>
        <w:rPr/>
      </w:pPr>
      <w:r w:rsidDel="00000000" w:rsidR="00000000" w:rsidRPr="00000000">
        <w:rPr>
          <w:rtl w:val="0"/>
        </w:rPr>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both"/>
        <w:rPr/>
      </w:pPr>
      <w:r w:rsidDel="00000000" w:rsidR="00000000" w:rsidRPr="00000000">
        <w:rPr>
          <w:rtl w:val="0"/>
        </w:rPr>
      </w:r>
    </w:p>
    <w:p w:rsidR="00000000" w:rsidDel="00000000" w:rsidP="00000000" w:rsidRDefault="00000000" w:rsidRPr="00000000" w14:paraId="0000000C">
      <w:pPr>
        <w:jc w:val="both"/>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2157413</wp:posOffset>
            </wp:positionH>
            <wp:positionV relativeFrom="paragraph">
              <wp:posOffset>124062</wp:posOffset>
            </wp:positionV>
            <wp:extent cx="1624013" cy="1656755"/>
            <wp:effectExtent b="0" l="0" r="0" t="0"/>
            <wp:wrapNone/>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24013" cy="1656755"/>
                    </a:xfrm>
                    <a:prstGeom prst="rect"/>
                    <a:ln/>
                  </pic:spPr>
                </pic:pic>
              </a:graphicData>
            </a:graphic>
          </wp:anchor>
        </w:drawing>
      </w:r>
    </w:p>
    <w:p w:rsidR="00000000" w:rsidDel="00000000" w:rsidP="00000000" w:rsidRDefault="00000000" w:rsidRPr="00000000" w14:paraId="0000000D">
      <w:pPr>
        <w:jc w:val="both"/>
        <w:rPr/>
      </w:pPr>
      <w:r w:rsidDel="00000000" w:rsidR="00000000" w:rsidRPr="00000000">
        <w:rPr>
          <w:rtl w:val="0"/>
        </w:rPr>
      </w:r>
    </w:p>
    <w:p w:rsidR="00000000" w:rsidDel="00000000" w:rsidP="00000000" w:rsidRDefault="00000000" w:rsidRPr="00000000" w14:paraId="0000000E">
      <w:pPr>
        <w:jc w:val="both"/>
        <w:rPr/>
      </w:pPr>
      <w:r w:rsidDel="00000000" w:rsidR="00000000" w:rsidRPr="00000000">
        <w:rPr>
          <w:rtl w:val="0"/>
        </w:rPr>
      </w:r>
    </w:p>
    <w:p w:rsidR="00000000" w:rsidDel="00000000" w:rsidP="00000000" w:rsidRDefault="00000000" w:rsidRPr="00000000" w14:paraId="0000000F">
      <w:pPr>
        <w:jc w:val="both"/>
        <w:rPr/>
      </w:pPr>
      <w:r w:rsidDel="00000000" w:rsidR="00000000" w:rsidRPr="00000000">
        <w:rPr>
          <w:rtl w:val="0"/>
        </w:rPr>
      </w:r>
    </w:p>
    <w:p w:rsidR="00000000" w:rsidDel="00000000" w:rsidP="00000000" w:rsidRDefault="00000000" w:rsidRPr="00000000" w14:paraId="00000010">
      <w:pPr>
        <w:jc w:val="both"/>
        <w:rPr/>
      </w:pPr>
      <w:r w:rsidDel="00000000" w:rsidR="00000000" w:rsidRPr="00000000">
        <w:rPr>
          <w:rtl w:val="0"/>
        </w:rPr>
      </w:r>
    </w:p>
    <w:p w:rsidR="00000000" w:rsidDel="00000000" w:rsidP="00000000" w:rsidRDefault="00000000" w:rsidRPr="00000000" w14:paraId="00000011">
      <w:pPr>
        <w:jc w:val="both"/>
        <w:rPr/>
      </w:pPr>
      <w:r w:rsidDel="00000000" w:rsidR="00000000" w:rsidRPr="00000000">
        <w:rPr>
          <w:rtl w:val="0"/>
        </w:rPr>
      </w:r>
    </w:p>
    <w:p w:rsidR="00000000" w:rsidDel="00000000" w:rsidP="00000000" w:rsidRDefault="00000000" w:rsidRPr="00000000" w14:paraId="00000012">
      <w:pPr>
        <w:jc w:val="both"/>
        <w:rPr/>
      </w:pPr>
      <w:r w:rsidDel="00000000" w:rsidR="00000000" w:rsidRPr="00000000">
        <w:rPr>
          <w:rtl w:val="0"/>
        </w:rPr>
      </w:r>
    </w:p>
    <w:p w:rsidR="00000000" w:rsidDel="00000000" w:rsidP="00000000" w:rsidRDefault="00000000" w:rsidRPr="00000000" w14:paraId="00000013">
      <w:pPr>
        <w:jc w:val="both"/>
        <w:rPr/>
      </w:pPr>
      <w:r w:rsidDel="00000000" w:rsidR="00000000" w:rsidRPr="00000000">
        <w:rPr>
          <w:rtl w:val="0"/>
        </w:rPr>
      </w:r>
    </w:p>
    <w:p w:rsidR="00000000" w:rsidDel="00000000" w:rsidP="00000000" w:rsidRDefault="00000000" w:rsidRPr="00000000" w14:paraId="00000014">
      <w:pPr>
        <w:jc w:val="both"/>
        <w:rPr/>
      </w:pPr>
      <w:r w:rsidDel="00000000" w:rsidR="00000000" w:rsidRPr="00000000">
        <w:rPr>
          <w:rtl w:val="0"/>
        </w:rPr>
      </w:r>
    </w:p>
    <w:p w:rsidR="00000000" w:rsidDel="00000000" w:rsidP="00000000" w:rsidRDefault="00000000" w:rsidRPr="00000000" w14:paraId="00000015">
      <w:pPr>
        <w:jc w:val="both"/>
        <w:rPr/>
      </w:pPr>
      <w:r w:rsidDel="00000000" w:rsidR="00000000" w:rsidRPr="00000000">
        <w:rPr>
          <w:rtl w:val="0"/>
        </w:rPr>
      </w:r>
    </w:p>
    <w:p w:rsidR="00000000" w:rsidDel="00000000" w:rsidP="00000000" w:rsidRDefault="00000000" w:rsidRPr="00000000" w14:paraId="00000016">
      <w:pPr>
        <w:jc w:val="both"/>
        <w:rPr/>
      </w:pPr>
      <w:r w:rsidDel="00000000" w:rsidR="00000000" w:rsidRPr="00000000">
        <w:rPr>
          <w:rtl w:val="0"/>
        </w:rPr>
      </w:r>
    </w:p>
    <w:p w:rsidR="00000000" w:rsidDel="00000000" w:rsidP="00000000" w:rsidRDefault="00000000" w:rsidRPr="00000000" w14:paraId="00000017">
      <w:pPr>
        <w:jc w:val="both"/>
        <w:rPr/>
      </w:pPr>
      <w:r w:rsidDel="00000000" w:rsidR="00000000" w:rsidRPr="00000000">
        <w:rPr>
          <w:rtl w:val="0"/>
        </w:rPr>
      </w:r>
    </w:p>
    <w:p w:rsidR="00000000" w:rsidDel="00000000" w:rsidP="00000000" w:rsidRDefault="00000000" w:rsidRPr="00000000" w14:paraId="00000018">
      <w:pPr>
        <w:jc w:val="both"/>
        <w:rPr/>
      </w:pPr>
      <w:r w:rsidDel="00000000" w:rsidR="00000000" w:rsidRPr="00000000">
        <w:rPr>
          <w:rtl w:val="0"/>
        </w:rPr>
      </w:r>
    </w:p>
    <w:p w:rsidR="00000000" w:rsidDel="00000000" w:rsidP="00000000" w:rsidRDefault="00000000" w:rsidRPr="00000000" w14:paraId="00000019">
      <w:pPr>
        <w:jc w:val="both"/>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r>
    </w:p>
    <w:p w:rsidR="00000000" w:rsidDel="00000000" w:rsidP="00000000" w:rsidRDefault="00000000" w:rsidRPr="00000000" w14:paraId="0000001C">
      <w:pPr>
        <w:jc w:val="both"/>
        <w:rPr/>
      </w:pPr>
      <w:r w:rsidDel="00000000" w:rsidR="00000000" w:rsidRPr="00000000">
        <w:rPr>
          <w:rtl w:val="0"/>
        </w:rPr>
      </w:r>
    </w:p>
    <w:p w:rsidR="00000000" w:rsidDel="00000000" w:rsidP="00000000" w:rsidRDefault="00000000" w:rsidRPr="00000000" w14:paraId="0000001D">
      <w:pPr>
        <w:jc w:val="both"/>
        <w:rPr/>
      </w:pPr>
      <w:r w:rsidDel="00000000" w:rsidR="00000000" w:rsidRPr="00000000">
        <w:rPr>
          <w:rtl w:val="0"/>
        </w:rPr>
      </w:r>
    </w:p>
    <w:p w:rsidR="00000000" w:rsidDel="00000000" w:rsidP="00000000" w:rsidRDefault="00000000" w:rsidRPr="00000000" w14:paraId="0000001E">
      <w:pPr>
        <w:jc w:val="both"/>
        <w:rPr/>
      </w:pP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jc w:val="both"/>
        <w:rPr/>
      </w:pPr>
      <w:r w:rsidDel="00000000" w:rsidR="00000000" w:rsidRPr="00000000">
        <w:rPr>
          <w:rtl w:val="0"/>
        </w:rPr>
      </w:r>
    </w:p>
    <w:p w:rsidR="00000000" w:rsidDel="00000000" w:rsidP="00000000" w:rsidRDefault="00000000" w:rsidRPr="00000000" w14:paraId="00000022">
      <w:pPr>
        <w:jc w:val="both"/>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jc w:val="both"/>
        <w:rPr/>
      </w:pPr>
      <w:r w:rsidDel="00000000" w:rsidR="00000000" w:rsidRPr="00000000">
        <w:rPr>
          <w:rtl w:val="0"/>
        </w:rPr>
      </w:r>
    </w:p>
    <w:p w:rsidR="00000000" w:rsidDel="00000000" w:rsidP="00000000" w:rsidRDefault="00000000" w:rsidRPr="00000000" w14:paraId="00000026">
      <w:pPr>
        <w:jc w:val="both"/>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rtl w:val="0"/>
        </w:rPr>
      </w:r>
    </w:p>
    <w:p w:rsidR="00000000" w:rsidDel="00000000" w:rsidP="00000000" w:rsidRDefault="00000000" w:rsidRPr="00000000" w14:paraId="00000028">
      <w:pPr>
        <w:jc w:val="both"/>
        <w:rPr/>
      </w:pPr>
      <w:r w:rsidDel="00000000" w:rsidR="00000000" w:rsidRPr="00000000">
        <w:rPr>
          <w:rtl w:val="0"/>
        </w:rPr>
        <w:t xml:space="preserve">The Society of Trans Women of the Philippines (STRAP) is the pioneer support group and human rights advocacy organization of transpinays (Filipina trans women and transfeminine people) in the Philippines. This NGO report outlines key themes and rights claiming of transpinays under the Convention on the Economic, Social and Cultural Rights.</w:t>
      </w:r>
    </w:p>
    <w:p w:rsidR="00000000" w:rsidDel="00000000" w:rsidP="00000000" w:rsidRDefault="00000000" w:rsidRPr="00000000" w14:paraId="00000029">
      <w:pPr>
        <w:jc w:val="both"/>
        <w:rPr>
          <w:b w:val="1"/>
        </w:rPr>
      </w:pPr>
      <w:r w:rsidDel="00000000" w:rsidR="00000000" w:rsidRPr="00000000">
        <w:rPr>
          <w:b w:val="1"/>
          <w:rtl w:val="0"/>
        </w:rPr>
        <w:t xml:space="preserve">Transgender people have no avenue for Legal Gender Recognition</w:t>
      </w:r>
    </w:p>
    <w:p w:rsidR="00000000" w:rsidDel="00000000" w:rsidP="00000000" w:rsidRDefault="00000000" w:rsidRPr="00000000" w14:paraId="0000002A">
      <w:pPr>
        <w:jc w:val="both"/>
        <w:rPr/>
      </w:pPr>
      <w:r w:rsidDel="00000000" w:rsidR="00000000" w:rsidRPr="00000000">
        <w:rPr>
          <w:rtl w:val="0"/>
        </w:rPr>
      </w:r>
    </w:p>
    <w:p w:rsidR="00000000" w:rsidDel="00000000" w:rsidP="00000000" w:rsidRDefault="00000000" w:rsidRPr="00000000" w14:paraId="0000002B">
      <w:pPr>
        <w:jc w:val="both"/>
        <w:rPr/>
      </w:pPr>
      <w:r w:rsidDel="00000000" w:rsidR="00000000" w:rsidRPr="00000000">
        <w:rPr>
          <w:rtl w:val="0"/>
        </w:rPr>
        <w:t xml:space="preserve">Transgender people have an equal right to a dignified name and a gender that corresponds to our lived realities. However, for transgender Filipinos, this is not the case. In a 2007 Supreme Court decision known as the case of Silverio vs the Philippines</w:t>
      </w:r>
      <w:r w:rsidDel="00000000" w:rsidR="00000000" w:rsidRPr="00000000">
        <w:rPr>
          <w:vertAlign w:val="superscript"/>
        </w:rPr>
        <w:footnoteReference w:customMarkFollows="0" w:id="0"/>
      </w:r>
      <w:r w:rsidDel="00000000" w:rsidR="00000000" w:rsidRPr="00000000">
        <w:rPr>
          <w:rtl w:val="0"/>
        </w:rPr>
        <w:t xml:space="preserve">, the Supreme Court ruled that a transgender woman cannot legally change her name and sex on the basis of sex reassignment. The decision states that there are no laws in the Philippines that allows sex reassignment as grounds for the change of name and sex. It is also clear that the Supreme Court had gender and religion bias in its ruling, as it cites the bible in the beginning of its ruling that says, “</w:t>
      </w:r>
      <w:r w:rsidDel="00000000" w:rsidR="00000000" w:rsidRPr="00000000">
        <w:rPr>
          <w:i w:val="1"/>
          <w:rtl w:val="0"/>
        </w:rPr>
        <w:t xml:space="preserve">When God created man, He made him in the likeness of God; He created them male and female. (Genesis 5:1-2)</w:t>
      </w:r>
      <w:r w:rsidDel="00000000" w:rsidR="00000000" w:rsidRPr="00000000">
        <w:rPr>
          <w:rtl w:val="0"/>
        </w:rPr>
        <w:t xml:space="preserve">”. Unfortunately, the Supreme Court during this time is ill-informed on its international human rights obligations, as it has ratified most of the relevant Human Rights Treaty Bodies, including the Convention on Economic, Cultural and Social Rights where the right to self-determination is enshrined in Article 1 to “freely pursue their economic, social and cultural development”. </w:t>
      </w:r>
    </w:p>
    <w:p w:rsidR="00000000" w:rsidDel="00000000" w:rsidP="00000000" w:rsidRDefault="00000000" w:rsidRPr="00000000" w14:paraId="0000002C">
      <w:pPr>
        <w:jc w:val="both"/>
        <w:rPr/>
      </w:pPr>
      <w:r w:rsidDel="00000000" w:rsidR="00000000" w:rsidRPr="00000000">
        <w:rPr>
          <w:rtl w:val="0"/>
        </w:rPr>
      </w:r>
    </w:p>
    <w:p w:rsidR="00000000" w:rsidDel="00000000" w:rsidP="00000000" w:rsidRDefault="00000000" w:rsidRPr="00000000" w14:paraId="0000002D">
      <w:pPr>
        <w:jc w:val="both"/>
        <w:rPr/>
      </w:pPr>
      <w:r w:rsidDel="00000000" w:rsidR="00000000" w:rsidRPr="00000000">
        <w:rPr>
          <w:rtl w:val="0"/>
        </w:rPr>
        <w:t xml:space="preserve">Further, to add salt to injury, Republic Act 10172 also known as the Act to further authorizing the city or municipal civil registrar or the consul general to correct clerical or typographical errors was passed in 2012. One of its provision states that </w:t>
      </w:r>
    </w:p>
    <w:p w:rsidR="00000000" w:rsidDel="00000000" w:rsidP="00000000" w:rsidRDefault="00000000" w:rsidRPr="00000000" w14:paraId="0000002E">
      <w:pPr>
        <w:jc w:val="both"/>
        <w:rPr/>
      </w:pPr>
      <w:r w:rsidDel="00000000" w:rsidR="00000000" w:rsidRPr="00000000">
        <w:rPr>
          <w:rtl w:val="0"/>
        </w:rPr>
      </w:r>
    </w:p>
    <w:p w:rsidR="00000000" w:rsidDel="00000000" w:rsidP="00000000" w:rsidRDefault="00000000" w:rsidRPr="00000000" w14:paraId="0000002F">
      <w:pPr>
        <w:jc w:val="both"/>
        <w:rPr/>
      </w:pPr>
      <w:r w:rsidDel="00000000" w:rsidR="00000000" w:rsidRPr="00000000">
        <w:rPr>
          <w:rtl w:val="0"/>
        </w:rPr>
        <w:t xml:space="preserve">“</w:t>
      </w:r>
      <w:r w:rsidDel="00000000" w:rsidR="00000000" w:rsidRPr="00000000">
        <w:rPr>
          <w:i w:val="1"/>
          <w:rtl w:val="0"/>
        </w:rPr>
        <w:t xml:space="preserve">[i]n case of correction of sex, the petition shall be supported with a medical certification issued by an accredited government physician that the petitioner has not undergone sex change or sex transplant</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rtl w:val="0"/>
        </w:rPr>
        <w:t xml:space="preserve">.</w:t>
      </w:r>
    </w:p>
    <w:p w:rsidR="00000000" w:rsidDel="00000000" w:rsidP="00000000" w:rsidRDefault="00000000" w:rsidRPr="00000000" w14:paraId="00000030">
      <w:pPr>
        <w:jc w:val="both"/>
        <w:rPr/>
      </w:pPr>
      <w:r w:rsidDel="00000000" w:rsidR="00000000" w:rsidRPr="00000000">
        <w:rPr>
          <w:rtl w:val="0"/>
        </w:rPr>
      </w:r>
    </w:p>
    <w:p w:rsidR="00000000" w:rsidDel="00000000" w:rsidP="00000000" w:rsidRDefault="00000000" w:rsidRPr="00000000" w14:paraId="00000031">
      <w:pPr>
        <w:jc w:val="both"/>
        <w:rPr/>
      </w:pPr>
      <w:r w:rsidDel="00000000" w:rsidR="00000000" w:rsidRPr="00000000">
        <w:rPr>
          <w:rtl w:val="0"/>
        </w:rPr>
        <w:t xml:space="preserve">Despite these restrictions, the transgender community maintains the use of our gender and lived names in informal settings. The bad news is we have other laws that criminalise the use of a different name such as the Anti-alias Law (RA 6085), the Commonwealth Act no. 142 (also known as the Act to regulate aliases), and Article 178 of the Revised Penal Code which covers the improper use of names. This puts us in a cycle of restriction, exclusion and possibly higher risks of criminalisation just for being called by our names and gender. </w:t>
      </w:r>
    </w:p>
    <w:p w:rsidR="00000000" w:rsidDel="00000000" w:rsidP="00000000" w:rsidRDefault="00000000" w:rsidRPr="00000000" w14:paraId="00000032">
      <w:pPr>
        <w:jc w:val="both"/>
        <w:rPr/>
      </w:pPr>
      <w:r w:rsidDel="00000000" w:rsidR="00000000" w:rsidRPr="00000000">
        <w:rPr>
          <w:rtl w:val="0"/>
        </w:rPr>
      </w:r>
    </w:p>
    <w:p w:rsidR="00000000" w:rsidDel="00000000" w:rsidP="00000000" w:rsidRDefault="00000000" w:rsidRPr="00000000" w14:paraId="00000033">
      <w:pPr>
        <w:jc w:val="both"/>
        <w:rPr/>
      </w:pPr>
      <w:r w:rsidDel="00000000" w:rsidR="00000000" w:rsidRPr="00000000">
        <w:rPr>
          <w:rtl w:val="0"/>
        </w:rPr>
        <w:t xml:space="preserve">One of the impacts of this is identified in the UNDP report on the economic empowerment of LBTI women, where it found that among LBT women, transgender women spoke most clearly of economic insecurity in meeting basic needs, including housing and food</w:t>
      </w:r>
      <w:r w:rsidDel="00000000" w:rsidR="00000000" w:rsidRPr="00000000">
        <w:rPr>
          <w:vertAlign w:val="superscript"/>
        </w:rPr>
        <w:footnoteReference w:customMarkFollows="0" w:id="2"/>
      </w:r>
      <w:r w:rsidDel="00000000" w:rsidR="00000000" w:rsidRPr="00000000">
        <w:rPr>
          <w:rtl w:val="0"/>
        </w:rPr>
        <w:t xml:space="preserve">.</w:t>
      </w:r>
    </w:p>
    <w:p w:rsidR="00000000" w:rsidDel="00000000" w:rsidP="00000000" w:rsidRDefault="00000000" w:rsidRPr="00000000" w14:paraId="00000034">
      <w:pPr>
        <w:jc w:val="both"/>
        <w:rPr/>
      </w:pPr>
      <w:r w:rsidDel="00000000" w:rsidR="00000000" w:rsidRPr="00000000">
        <w:rPr>
          <w:rtl w:val="0"/>
        </w:rPr>
      </w:r>
    </w:p>
    <w:p w:rsidR="00000000" w:rsidDel="00000000" w:rsidP="00000000" w:rsidRDefault="00000000" w:rsidRPr="00000000" w14:paraId="00000035">
      <w:pPr>
        <w:jc w:val="both"/>
        <w:rPr/>
      </w:pPr>
      <w:r w:rsidDel="00000000" w:rsidR="00000000" w:rsidRPr="00000000">
        <w:rPr>
          <w:rtl w:val="0"/>
        </w:rPr>
        <w:t xml:space="preserve">We remind our government that Article 2 Section 2 of the 1987 Constitution states that international law form part of the law of the land, and that under article 27 of the Vienna Convention on the Law of Treaties (1969) states that “(a) party may not invoke the provisions of its internal law as justification for its failure to perform a treaty”. </w:t>
      </w:r>
    </w:p>
    <w:p w:rsidR="00000000" w:rsidDel="00000000" w:rsidP="00000000" w:rsidRDefault="00000000" w:rsidRPr="00000000" w14:paraId="00000036">
      <w:pPr>
        <w:jc w:val="both"/>
        <w:rPr/>
      </w:pPr>
      <w:r w:rsidDel="00000000" w:rsidR="00000000" w:rsidRPr="00000000">
        <w:rPr>
          <w:rtl w:val="0"/>
        </w:rPr>
      </w:r>
    </w:p>
    <w:p w:rsidR="00000000" w:rsidDel="00000000" w:rsidP="00000000" w:rsidRDefault="00000000" w:rsidRPr="00000000" w14:paraId="00000037">
      <w:pPr>
        <w:jc w:val="both"/>
        <w:rPr/>
      </w:pPr>
      <w:r w:rsidDel="00000000" w:rsidR="00000000" w:rsidRPr="00000000">
        <w:rPr>
          <w:rtl w:val="0"/>
        </w:rPr>
        <w:t xml:space="preserve">We note, however, the passage of more progressive legislation such as the Safe Spaces Act</w:t>
      </w:r>
      <w:r w:rsidDel="00000000" w:rsidR="00000000" w:rsidRPr="00000000">
        <w:rPr>
          <w:vertAlign w:val="superscript"/>
        </w:rPr>
        <w:footnoteReference w:customMarkFollows="0" w:id="3"/>
      </w:r>
      <w:r w:rsidDel="00000000" w:rsidR="00000000" w:rsidRPr="00000000">
        <w:rPr>
          <w:rtl w:val="0"/>
        </w:rPr>
        <w:t xml:space="preserve"> and the Philippine HIV and AIDS Policy Act</w:t>
      </w:r>
      <w:r w:rsidDel="00000000" w:rsidR="00000000" w:rsidRPr="00000000">
        <w:rPr>
          <w:vertAlign w:val="superscript"/>
        </w:rPr>
        <w:footnoteReference w:customMarkFollows="0" w:id="4"/>
      </w:r>
      <w:r w:rsidDel="00000000" w:rsidR="00000000" w:rsidRPr="00000000">
        <w:rPr>
          <w:rtl w:val="0"/>
        </w:rPr>
        <w:t xml:space="preserve"> where gender identity and gender expression are defined as</w:t>
      </w:r>
    </w:p>
    <w:p w:rsidR="00000000" w:rsidDel="00000000" w:rsidP="00000000" w:rsidRDefault="00000000" w:rsidRPr="00000000" w14:paraId="00000038">
      <w:pPr>
        <w:jc w:val="both"/>
        <w:rPr/>
      </w:pPr>
      <w:r w:rsidDel="00000000" w:rsidR="00000000" w:rsidRPr="00000000">
        <w:rPr>
          <w:rtl w:val="0"/>
        </w:rPr>
      </w:r>
    </w:p>
    <w:p w:rsidR="00000000" w:rsidDel="00000000" w:rsidP="00000000" w:rsidRDefault="00000000" w:rsidRPr="00000000" w14:paraId="00000039">
      <w:pPr>
        <w:jc w:val="both"/>
        <w:rPr/>
      </w:pPr>
      <w:r w:rsidDel="00000000" w:rsidR="00000000" w:rsidRPr="00000000">
        <w:rPr>
          <w:rtl w:val="0"/>
        </w:rPr>
        <w:t xml:space="preserve">“</w:t>
      </w:r>
      <w:r w:rsidDel="00000000" w:rsidR="00000000" w:rsidRPr="00000000">
        <w:rPr>
          <w:i w:val="1"/>
          <w:rtl w:val="0"/>
        </w:rPr>
        <w:t xml:space="preserve">personal sense of identity as characterized, among others, by manner of clothing, inclinations, and behavior in relation to masculine or feminine conventions. A person may have a male or female identity with physiological characteristics of the opposite sex in which case this person is considered transgender</w:t>
      </w:r>
      <w:r w:rsidDel="00000000" w:rsidR="00000000" w:rsidRPr="00000000">
        <w:rPr>
          <w:rtl w:val="0"/>
        </w:rPr>
        <w:t xml:space="preserve">”</w:t>
      </w:r>
    </w:p>
    <w:p w:rsidR="00000000" w:rsidDel="00000000" w:rsidP="00000000" w:rsidRDefault="00000000" w:rsidRPr="00000000" w14:paraId="0000003A">
      <w:pPr>
        <w:jc w:val="both"/>
        <w:rPr/>
      </w:pPr>
      <w:r w:rsidDel="00000000" w:rsidR="00000000" w:rsidRPr="00000000">
        <w:rPr>
          <w:rtl w:val="0"/>
        </w:rPr>
      </w:r>
    </w:p>
    <w:p w:rsidR="00000000" w:rsidDel="00000000" w:rsidP="00000000" w:rsidRDefault="00000000" w:rsidRPr="00000000" w14:paraId="0000003B">
      <w:pPr>
        <w:jc w:val="both"/>
        <w:rPr/>
      </w:pPr>
      <w:r w:rsidDel="00000000" w:rsidR="00000000" w:rsidRPr="00000000">
        <w:rPr>
          <w:rtl w:val="0"/>
        </w:rPr>
        <w:t xml:space="preserve">The Magna Carta of Women that defines discrimination against women as</w:t>
      </w:r>
    </w:p>
    <w:p w:rsidR="00000000" w:rsidDel="00000000" w:rsidP="00000000" w:rsidRDefault="00000000" w:rsidRPr="00000000" w14:paraId="0000003C">
      <w:pPr>
        <w:jc w:val="both"/>
        <w:rPr/>
      </w:pPr>
      <w:r w:rsidDel="00000000" w:rsidR="00000000" w:rsidRPr="00000000">
        <w:rPr>
          <w:rtl w:val="0"/>
        </w:rPr>
      </w:r>
    </w:p>
    <w:p w:rsidR="00000000" w:rsidDel="00000000" w:rsidP="00000000" w:rsidRDefault="00000000" w:rsidRPr="00000000" w14:paraId="0000003D">
      <w:pPr>
        <w:jc w:val="both"/>
        <w:rPr/>
      </w:pPr>
      <w:r w:rsidDel="00000000" w:rsidR="00000000" w:rsidRPr="00000000">
        <w:rPr>
          <w:rtl w:val="0"/>
        </w:rPr>
        <w:t xml:space="preserve">“</w:t>
      </w:r>
      <w:r w:rsidDel="00000000" w:rsidR="00000000" w:rsidRPr="00000000">
        <w:rPr>
          <w:i w:val="1"/>
          <w:rtl w:val="0"/>
        </w:rPr>
        <w:t xml:space="preserve">any </w:t>
      </w:r>
      <w:r w:rsidDel="00000000" w:rsidR="00000000" w:rsidRPr="00000000">
        <w:rPr>
          <w:b w:val="1"/>
          <w:i w:val="1"/>
          <w:rtl w:val="0"/>
        </w:rPr>
        <w:t xml:space="preserve">gender-based</w:t>
      </w:r>
      <w:r w:rsidDel="00000000" w:rsidR="00000000" w:rsidRPr="00000000">
        <w:rPr>
          <w:i w:val="1"/>
          <w:rtl w:val="0"/>
        </w:rPr>
        <w:t xml:space="preserve"> distinction, exclusion, or restriction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 [p]rovided, finally, that discrimination </w:t>
      </w:r>
      <w:r w:rsidDel="00000000" w:rsidR="00000000" w:rsidRPr="00000000">
        <w:rPr>
          <w:b w:val="1"/>
          <w:i w:val="1"/>
          <w:rtl w:val="0"/>
        </w:rPr>
        <w:t xml:space="preserve">compounded by or intersecting with other grounds, status, or condition</w:t>
      </w:r>
      <w:r w:rsidDel="00000000" w:rsidR="00000000" w:rsidRPr="00000000">
        <w:rPr>
          <w:i w:val="1"/>
          <w:rtl w:val="0"/>
        </w:rPr>
        <w:t xml:space="preserve">, such as ethnicity, age, poverty, or religion shall be considered discrimination against women under this Act</w:t>
      </w:r>
      <w:r w:rsidDel="00000000" w:rsidR="00000000" w:rsidRPr="00000000">
        <w:rPr>
          <w:vertAlign w:val="superscript"/>
        </w:rPr>
        <w:footnoteReference w:customMarkFollows="0" w:id="5"/>
      </w:r>
      <w:r w:rsidDel="00000000" w:rsidR="00000000" w:rsidRPr="00000000">
        <w:rPr>
          <w:rtl w:val="0"/>
        </w:rPr>
        <w:t xml:space="preserve">”</w:t>
      </w:r>
    </w:p>
    <w:p w:rsidR="00000000" w:rsidDel="00000000" w:rsidP="00000000" w:rsidRDefault="00000000" w:rsidRPr="00000000" w14:paraId="0000003E">
      <w:pPr>
        <w:jc w:val="both"/>
        <w:rPr/>
      </w:pPr>
      <w:r w:rsidDel="00000000" w:rsidR="00000000" w:rsidRPr="00000000">
        <w:rPr>
          <w:rtl w:val="0"/>
        </w:rPr>
      </w:r>
    </w:p>
    <w:p w:rsidR="00000000" w:rsidDel="00000000" w:rsidP="00000000" w:rsidRDefault="00000000" w:rsidRPr="00000000" w14:paraId="0000003F">
      <w:pPr>
        <w:jc w:val="both"/>
        <w:rPr/>
      </w:pPr>
      <w:r w:rsidDel="00000000" w:rsidR="00000000" w:rsidRPr="00000000">
        <w:rPr>
          <w:rtl w:val="0"/>
        </w:rPr>
        <w:t xml:space="preserve">And the Supreme Court recently issuing a guideline for gender fair language and Gender Fair Courtroom in the Philippines that instructs the Judiciary to “</w:t>
      </w:r>
      <w:r w:rsidDel="00000000" w:rsidR="00000000" w:rsidRPr="00000000">
        <w:rPr>
          <w:i w:val="1"/>
          <w:rtl w:val="0"/>
        </w:rPr>
        <w:t xml:space="preserve">eliminate language that excludes or render invisible persons of another gender and/or people with diverse sexual orientation, gender identity and expression, and sex characteristics (SOGIESC)”</w:t>
      </w:r>
      <w:r w:rsidDel="00000000" w:rsidR="00000000" w:rsidRPr="00000000">
        <w:rPr>
          <w:i w:val="1"/>
          <w:vertAlign w:val="superscript"/>
        </w:rPr>
        <w:footnoteReference w:customMarkFollows="0" w:id="6"/>
      </w:r>
      <w:r w:rsidDel="00000000" w:rsidR="00000000" w:rsidRPr="00000000">
        <w:rPr>
          <w:rtl w:val="0"/>
        </w:rPr>
        <w:t xml:space="preserve">. </w:t>
      </w:r>
    </w:p>
    <w:p w:rsidR="00000000" w:rsidDel="00000000" w:rsidP="00000000" w:rsidRDefault="00000000" w:rsidRPr="00000000" w14:paraId="00000040">
      <w:pPr>
        <w:jc w:val="both"/>
        <w:rPr/>
      </w:pPr>
      <w:r w:rsidDel="00000000" w:rsidR="00000000" w:rsidRPr="00000000">
        <w:rPr>
          <w:rtl w:val="0"/>
        </w:rPr>
      </w:r>
    </w:p>
    <w:p w:rsidR="00000000" w:rsidDel="00000000" w:rsidP="00000000" w:rsidRDefault="00000000" w:rsidRPr="00000000" w14:paraId="00000041">
      <w:pPr>
        <w:jc w:val="both"/>
        <w:rPr/>
      </w:pPr>
      <w:r w:rsidDel="00000000" w:rsidR="00000000" w:rsidRPr="00000000">
        <w:rPr>
          <w:rtl w:val="0"/>
        </w:rPr>
        <w:t xml:space="preserve">We urge the CESCR Committee Members to provide the following recommendation on the right of transgender Filipinos to legal gender recognition:</w:t>
      </w:r>
    </w:p>
    <w:p w:rsidR="00000000" w:rsidDel="00000000" w:rsidP="00000000" w:rsidRDefault="00000000" w:rsidRPr="00000000" w14:paraId="00000042">
      <w:pPr>
        <w:jc w:val="both"/>
        <w:rPr/>
      </w:pPr>
      <w:r w:rsidDel="00000000" w:rsidR="00000000" w:rsidRPr="00000000">
        <w:rPr>
          <w:rtl w:val="0"/>
        </w:rPr>
      </w:r>
    </w:p>
    <w:p w:rsidR="00000000" w:rsidDel="00000000" w:rsidP="00000000" w:rsidRDefault="00000000" w:rsidRPr="00000000" w14:paraId="00000043">
      <w:pPr>
        <w:jc w:val="both"/>
        <w:rPr>
          <w:b w:val="1"/>
        </w:rPr>
      </w:pPr>
      <w:r w:rsidDel="00000000" w:rsidR="00000000" w:rsidRPr="00000000">
        <w:rPr>
          <w:b w:val="1"/>
          <w:i w:val="1"/>
          <w:rtl w:val="0"/>
        </w:rPr>
        <w:t xml:space="preserve">Provide measures for legal gender recognition for trans, gender diverse and intersex people through a simple administrative procedure recognising and affirming our rights to dignity, self-determination and bodily autonomy.</w:t>
      </w:r>
      <w:r w:rsidDel="00000000" w:rsidR="00000000" w:rsidRPr="00000000">
        <w:rPr>
          <w:rtl w:val="0"/>
        </w:rPr>
      </w:r>
    </w:p>
    <w:p w:rsidR="00000000" w:rsidDel="00000000" w:rsidP="00000000" w:rsidRDefault="00000000" w:rsidRPr="00000000" w14:paraId="00000044">
      <w:pPr>
        <w:jc w:val="both"/>
        <w:rPr/>
      </w:pPr>
      <w:r w:rsidDel="00000000" w:rsidR="00000000" w:rsidRPr="00000000">
        <w:rPr>
          <w:rtl w:val="0"/>
        </w:rPr>
      </w:r>
    </w:p>
    <w:p w:rsidR="00000000" w:rsidDel="00000000" w:rsidP="00000000" w:rsidRDefault="00000000" w:rsidRPr="00000000" w14:paraId="00000045">
      <w:pPr>
        <w:jc w:val="both"/>
        <w:rPr/>
      </w:pPr>
      <w:r w:rsidDel="00000000" w:rsidR="00000000" w:rsidRPr="00000000">
        <w:rPr>
          <w:rtl w:val="0"/>
        </w:rPr>
      </w:r>
    </w:p>
    <w:p w:rsidR="00000000" w:rsidDel="00000000" w:rsidP="00000000" w:rsidRDefault="00000000" w:rsidRPr="00000000" w14:paraId="00000046">
      <w:pPr>
        <w:jc w:val="both"/>
        <w:rPr/>
      </w:pPr>
      <w:r w:rsidDel="00000000" w:rsidR="00000000" w:rsidRPr="00000000">
        <w:rPr>
          <w:rtl w:val="0"/>
        </w:rPr>
      </w:r>
    </w:p>
    <w:p w:rsidR="00000000" w:rsidDel="00000000" w:rsidP="00000000" w:rsidRDefault="00000000" w:rsidRPr="00000000" w14:paraId="00000047">
      <w:pPr>
        <w:jc w:val="both"/>
        <w:rPr>
          <w:b w:val="1"/>
        </w:rPr>
      </w:pPr>
      <w:r w:rsidDel="00000000" w:rsidR="00000000" w:rsidRPr="00000000">
        <w:rPr>
          <w:rtl w:val="0"/>
        </w:rPr>
      </w:r>
    </w:p>
    <w:p w:rsidR="00000000" w:rsidDel="00000000" w:rsidP="00000000" w:rsidRDefault="00000000" w:rsidRPr="00000000" w14:paraId="00000048">
      <w:pPr>
        <w:jc w:val="both"/>
        <w:rPr>
          <w:b w:val="1"/>
        </w:rPr>
      </w:pPr>
      <w:r w:rsidDel="00000000" w:rsidR="00000000" w:rsidRPr="00000000">
        <w:rPr>
          <w:rtl w:val="0"/>
        </w:rPr>
      </w:r>
    </w:p>
    <w:p w:rsidR="00000000" w:rsidDel="00000000" w:rsidP="00000000" w:rsidRDefault="00000000" w:rsidRPr="00000000" w14:paraId="00000049">
      <w:pPr>
        <w:jc w:val="both"/>
        <w:rPr>
          <w:b w:val="1"/>
        </w:rPr>
      </w:pPr>
      <w:r w:rsidDel="00000000" w:rsidR="00000000" w:rsidRPr="00000000">
        <w:rPr>
          <w:b w:val="1"/>
          <w:rtl w:val="0"/>
        </w:rPr>
        <w:t xml:space="preserve">Transgender-based Violence</w:t>
      </w:r>
    </w:p>
    <w:p w:rsidR="00000000" w:rsidDel="00000000" w:rsidP="00000000" w:rsidRDefault="00000000" w:rsidRPr="00000000" w14:paraId="0000004A">
      <w:pPr>
        <w:jc w:val="both"/>
        <w:rPr>
          <w:b w:val="1"/>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t xml:space="preserve">According to the Integrated HIV Behavioral and Serologic Surveillance (IHBSS) report in 2018</w:t>
      </w:r>
      <w:r w:rsidDel="00000000" w:rsidR="00000000" w:rsidRPr="00000000">
        <w:rPr>
          <w:vertAlign w:val="superscript"/>
        </w:rPr>
        <w:footnoteReference w:customMarkFollows="0" w:id="7"/>
      </w:r>
      <w:r w:rsidDel="00000000" w:rsidR="00000000" w:rsidRPr="00000000">
        <w:rPr>
          <w:rtl w:val="0"/>
        </w:rPr>
        <w:t xml:space="preserve">, </w:t>
      </w:r>
      <w:r w:rsidDel="00000000" w:rsidR="00000000" w:rsidRPr="00000000">
        <w:rPr>
          <w:b w:val="1"/>
          <w:rtl w:val="0"/>
        </w:rPr>
        <w:t xml:space="preserve">3 out of 10 transpinays experienced rape</w:t>
      </w:r>
      <w:r w:rsidDel="00000000" w:rsidR="00000000" w:rsidRPr="00000000">
        <w:rPr>
          <w:rtl w:val="0"/>
        </w:rPr>
        <w:t xml:space="preserve"> (forced sex). In the latest 2022 IHBSS report</w:t>
      </w:r>
      <w:r w:rsidDel="00000000" w:rsidR="00000000" w:rsidRPr="00000000">
        <w:rPr>
          <w:vertAlign w:val="superscript"/>
        </w:rPr>
        <w:footnoteReference w:customMarkFollows="0" w:id="8"/>
      </w:r>
      <w:r w:rsidDel="00000000" w:rsidR="00000000" w:rsidRPr="00000000">
        <w:rPr>
          <w:rtl w:val="0"/>
        </w:rPr>
        <w:t xml:space="preserve"> that was released in December 2024, it reported that </w:t>
      </w:r>
      <w:r w:rsidDel="00000000" w:rsidR="00000000" w:rsidRPr="00000000">
        <w:rPr>
          <w:b w:val="1"/>
          <w:rtl w:val="0"/>
        </w:rPr>
        <w:t xml:space="preserve">2-3 out of 10 transpinays still experience rape</w:t>
      </w:r>
      <w:r w:rsidDel="00000000" w:rsidR="00000000" w:rsidRPr="00000000">
        <w:rPr>
          <w:rtl w:val="0"/>
        </w:rPr>
        <w:t xml:space="preserve"> (forced sex). In UNDP’s report on the economic status of LBTI women, it revealed that there is widespread experience of different forms of violence against LBT women as adults and children, and that</w:t>
      </w:r>
      <w:r w:rsidDel="00000000" w:rsidR="00000000" w:rsidRPr="00000000">
        <w:rPr>
          <w:b w:val="1"/>
          <w:rtl w:val="0"/>
        </w:rPr>
        <w:t xml:space="preserve"> transgender women faced threats</w:t>
      </w:r>
      <w:r w:rsidDel="00000000" w:rsidR="00000000" w:rsidRPr="00000000">
        <w:rPr>
          <w:rtl w:val="0"/>
        </w:rPr>
        <w:t xml:space="preserve"> (at home, as well as at the workplace and the local community) more often than lesbian or bisexual women</w:t>
      </w:r>
      <w:r w:rsidDel="00000000" w:rsidR="00000000" w:rsidRPr="00000000">
        <w:rPr>
          <w:vertAlign w:val="superscript"/>
        </w:rPr>
        <w:footnoteReference w:customMarkFollows="0" w:id="9"/>
      </w:r>
      <w:r w:rsidDel="00000000" w:rsidR="00000000" w:rsidRPr="00000000">
        <w:rPr>
          <w:rtl w:val="0"/>
        </w:rPr>
        <w:t xml:space="preserve">. </w:t>
      </w:r>
    </w:p>
    <w:p w:rsidR="00000000" w:rsidDel="00000000" w:rsidP="00000000" w:rsidRDefault="00000000" w:rsidRPr="00000000" w14:paraId="0000004C">
      <w:pPr>
        <w:jc w:val="both"/>
        <w:rPr/>
      </w:pPr>
      <w:r w:rsidDel="00000000" w:rsidR="00000000" w:rsidRPr="00000000">
        <w:rPr>
          <w:rtl w:val="0"/>
        </w:rPr>
      </w:r>
    </w:p>
    <w:p w:rsidR="00000000" w:rsidDel="00000000" w:rsidP="00000000" w:rsidRDefault="00000000" w:rsidRPr="00000000" w14:paraId="0000004D">
      <w:pPr>
        <w:jc w:val="both"/>
        <w:rPr/>
      </w:pPr>
      <w:r w:rsidDel="00000000" w:rsidR="00000000" w:rsidRPr="00000000">
        <w:rPr>
          <w:rtl w:val="0"/>
        </w:rPr>
        <w:t xml:space="preserve">Under Philippine laws, women are protected against violence against women and their children (VAWC) under the Anti-Violence Against Women and Their Children Act of 2004 or RA9262. However, because there are no legal measures that recognise trans women as women, transpinays have not been using the law which constitutes de facto discrimination.  </w:t>
      </w:r>
    </w:p>
    <w:p w:rsidR="00000000" w:rsidDel="00000000" w:rsidP="00000000" w:rsidRDefault="00000000" w:rsidRPr="00000000" w14:paraId="0000004E">
      <w:pPr>
        <w:jc w:val="both"/>
        <w:rPr/>
      </w:pPr>
      <w:r w:rsidDel="00000000" w:rsidR="00000000" w:rsidRPr="00000000">
        <w:rPr>
          <w:rtl w:val="0"/>
        </w:rPr>
      </w:r>
    </w:p>
    <w:p w:rsidR="00000000" w:rsidDel="00000000" w:rsidP="00000000" w:rsidRDefault="00000000" w:rsidRPr="00000000" w14:paraId="0000004F">
      <w:pPr>
        <w:jc w:val="both"/>
        <w:rPr/>
      </w:pPr>
      <w:r w:rsidDel="00000000" w:rsidR="00000000" w:rsidRPr="00000000">
        <w:rPr>
          <w:rtl w:val="0"/>
        </w:rPr>
        <w:t xml:space="preserve">During STRAP’s participation in the 18-day campaign against violence against women in 2024, we recommended to:</w:t>
      </w:r>
    </w:p>
    <w:p w:rsidR="00000000" w:rsidDel="00000000" w:rsidP="00000000" w:rsidRDefault="00000000" w:rsidRPr="00000000" w14:paraId="00000050">
      <w:pPr>
        <w:jc w:val="both"/>
        <w:rPr/>
      </w:pPr>
      <w:r w:rsidDel="00000000" w:rsidR="00000000" w:rsidRPr="00000000">
        <w:rPr>
          <w:rtl w:val="0"/>
        </w:rPr>
      </w:r>
    </w:p>
    <w:p w:rsidR="00000000" w:rsidDel="00000000" w:rsidP="00000000" w:rsidRDefault="00000000" w:rsidRPr="00000000" w14:paraId="00000051">
      <w:pPr>
        <w:jc w:val="both"/>
        <w:rPr>
          <w:b w:val="1"/>
          <w:i w:val="1"/>
        </w:rPr>
      </w:pPr>
      <w:r w:rsidDel="00000000" w:rsidR="00000000" w:rsidRPr="00000000">
        <w:rPr>
          <w:b w:val="1"/>
          <w:i w:val="1"/>
          <w:rtl w:val="0"/>
        </w:rPr>
        <w:t xml:space="preserve">Expand the Anti-Violence against Women and their Children Act or RA9262 to cover transpinays. Women's desk and mental health hotlines should be inclusive and immediately respond to cases of gender based violence. They should not perpetuate harmful gender stereotypes.</w:t>
      </w:r>
    </w:p>
    <w:p w:rsidR="00000000" w:rsidDel="00000000" w:rsidP="00000000" w:rsidRDefault="00000000" w:rsidRPr="00000000" w14:paraId="00000052">
      <w:pPr>
        <w:jc w:val="both"/>
        <w:rPr/>
      </w:pPr>
      <w:r w:rsidDel="00000000" w:rsidR="00000000" w:rsidRPr="00000000">
        <w:rPr>
          <w:rtl w:val="0"/>
        </w:rPr>
      </w:r>
    </w:p>
    <w:p w:rsidR="00000000" w:rsidDel="00000000" w:rsidP="00000000" w:rsidRDefault="00000000" w:rsidRPr="00000000" w14:paraId="00000053">
      <w:pPr>
        <w:jc w:val="both"/>
        <w:rPr>
          <w:b w:val="1"/>
        </w:rPr>
      </w:pPr>
      <w:r w:rsidDel="00000000" w:rsidR="00000000" w:rsidRPr="00000000">
        <w:rPr>
          <w:b w:val="1"/>
          <w:rtl w:val="0"/>
        </w:rPr>
        <w:t xml:space="preserve">Unemployment</w:t>
      </w:r>
    </w:p>
    <w:p w:rsidR="00000000" w:rsidDel="00000000" w:rsidP="00000000" w:rsidRDefault="00000000" w:rsidRPr="00000000" w14:paraId="00000054">
      <w:pPr>
        <w:jc w:val="both"/>
        <w:rPr>
          <w:b w:val="1"/>
        </w:rPr>
      </w:pPr>
      <w:r w:rsidDel="00000000" w:rsidR="00000000" w:rsidRPr="00000000">
        <w:rPr>
          <w:rtl w:val="0"/>
        </w:rPr>
      </w:r>
    </w:p>
    <w:p w:rsidR="00000000" w:rsidDel="00000000" w:rsidP="00000000" w:rsidRDefault="00000000" w:rsidRPr="00000000" w14:paraId="00000055">
      <w:pPr>
        <w:jc w:val="both"/>
        <w:rPr/>
      </w:pPr>
      <w:r w:rsidDel="00000000" w:rsidR="00000000" w:rsidRPr="00000000">
        <w:rPr>
          <w:rtl w:val="0"/>
        </w:rPr>
        <w:t xml:space="preserve">LBT women are predominantly found in low-wage, precarious jobs in the Philippines. Transpinays and gender nonconforming women experience discrimination in employment based on their gender expression, where questions related to their genitalia/ assigned sex were asked during hiring and the need to comply with binary dress codes in the workplace.  This has led to LBT women taking up jobs that are informal and are less compensated.</w:t>
      </w:r>
    </w:p>
    <w:p w:rsidR="00000000" w:rsidDel="00000000" w:rsidP="00000000" w:rsidRDefault="00000000" w:rsidRPr="00000000" w14:paraId="00000056">
      <w:pPr>
        <w:jc w:val="both"/>
        <w:rPr/>
      </w:pPr>
      <w:r w:rsidDel="00000000" w:rsidR="00000000" w:rsidRPr="00000000">
        <w:rPr>
          <w:rtl w:val="0"/>
        </w:rPr>
      </w:r>
    </w:p>
    <w:p w:rsidR="00000000" w:rsidDel="00000000" w:rsidP="00000000" w:rsidRDefault="00000000" w:rsidRPr="00000000" w14:paraId="00000057">
      <w:pPr>
        <w:jc w:val="both"/>
        <w:rPr/>
      </w:pPr>
      <w:r w:rsidDel="00000000" w:rsidR="00000000" w:rsidRPr="00000000">
        <w:rPr>
          <w:rtl w:val="0"/>
        </w:rPr>
        <w:t xml:space="preserve">In the 2022 Integrated HIV Behavioral and Serologic Surveillance (IHBSS) report published in December 2024, it showed that </w:t>
      </w:r>
      <w:r w:rsidDel="00000000" w:rsidR="00000000" w:rsidRPr="00000000">
        <w:rPr>
          <w:b w:val="1"/>
          <w:rtl w:val="0"/>
        </w:rPr>
        <w:t xml:space="preserve">7 out of 10 transpinays are unemployed</w:t>
      </w:r>
      <w:r w:rsidDel="00000000" w:rsidR="00000000" w:rsidRPr="00000000">
        <w:rPr>
          <w:vertAlign w:val="superscript"/>
        </w:rPr>
        <w:footnoteReference w:customMarkFollows="0" w:id="10"/>
      </w:r>
      <w:r w:rsidDel="00000000" w:rsidR="00000000" w:rsidRPr="00000000">
        <w:rPr>
          <w:rtl w:val="0"/>
        </w:rPr>
        <w:t xml:space="preserve">. Thus, we recommend the following:</w:t>
      </w:r>
    </w:p>
    <w:p w:rsidR="00000000" w:rsidDel="00000000" w:rsidP="00000000" w:rsidRDefault="00000000" w:rsidRPr="00000000" w14:paraId="00000058">
      <w:pPr>
        <w:jc w:val="both"/>
        <w:rPr/>
      </w:pPr>
      <w:r w:rsidDel="00000000" w:rsidR="00000000" w:rsidRPr="00000000">
        <w:rPr>
          <w:rtl w:val="0"/>
        </w:rPr>
      </w:r>
    </w:p>
    <w:p w:rsidR="00000000" w:rsidDel="00000000" w:rsidP="00000000" w:rsidRDefault="00000000" w:rsidRPr="00000000" w14:paraId="00000059">
      <w:pPr>
        <w:spacing w:after="240" w:before="240" w:lineRule="auto"/>
        <w:jc w:val="both"/>
        <w:rPr>
          <w:b w:val="1"/>
          <w:i w:val="1"/>
        </w:rPr>
      </w:pPr>
      <w:r w:rsidDel="00000000" w:rsidR="00000000" w:rsidRPr="00000000">
        <w:rPr>
          <w:b w:val="1"/>
          <w:i w:val="1"/>
          <w:rtl w:val="0"/>
        </w:rPr>
        <w:t xml:space="preserve">Adopt a legislation protecting LBTI women and gender diverse people against SOGIESC-based discrimination in all workplace setting that is aligned with UN Guiding Principles on Business and Human Rights;</w:t>
      </w:r>
    </w:p>
    <w:p w:rsidR="00000000" w:rsidDel="00000000" w:rsidP="00000000" w:rsidRDefault="00000000" w:rsidRPr="00000000" w14:paraId="0000005A">
      <w:pPr>
        <w:spacing w:after="240" w:before="240" w:lineRule="auto"/>
        <w:jc w:val="both"/>
        <w:rPr>
          <w:b w:val="1"/>
          <w:i w:val="1"/>
        </w:rPr>
      </w:pPr>
      <w:r w:rsidDel="00000000" w:rsidR="00000000" w:rsidRPr="00000000">
        <w:rPr>
          <w:b w:val="1"/>
          <w:i w:val="1"/>
          <w:rtl w:val="0"/>
        </w:rPr>
        <w:t xml:space="preserve">Ensure SOGIESC-affirming employment programs including affirmative actions to LBTI women in the workplace;</w:t>
      </w:r>
    </w:p>
    <w:p w:rsidR="00000000" w:rsidDel="00000000" w:rsidP="00000000" w:rsidRDefault="00000000" w:rsidRPr="00000000" w14:paraId="0000005B">
      <w:pPr>
        <w:spacing w:after="240" w:before="240" w:lineRule="auto"/>
        <w:jc w:val="both"/>
        <w:rPr/>
      </w:pPr>
      <w:r w:rsidDel="00000000" w:rsidR="00000000" w:rsidRPr="00000000">
        <w:rPr>
          <w:b w:val="1"/>
          <w:i w:val="1"/>
          <w:rtl w:val="0"/>
        </w:rPr>
        <w:t xml:space="preserve">Establish employment retention schemes specifically targeted at promoting access by LGBTQIA+ ie LBTI women to formal employment.</w:t>
      </w:r>
      <w:r w:rsidDel="00000000" w:rsidR="00000000" w:rsidRPr="00000000">
        <w:rPr>
          <w:rtl w:val="0"/>
        </w:rPr>
      </w:r>
    </w:p>
    <w:p w:rsidR="00000000" w:rsidDel="00000000" w:rsidP="00000000" w:rsidRDefault="00000000" w:rsidRPr="00000000" w14:paraId="0000005C">
      <w:pPr>
        <w:jc w:val="both"/>
        <w:rPr>
          <w:b w:val="1"/>
        </w:rPr>
      </w:pPr>
      <w:r w:rsidDel="00000000" w:rsidR="00000000" w:rsidRPr="00000000">
        <w:rPr>
          <w:b w:val="1"/>
          <w:rtl w:val="0"/>
        </w:rPr>
        <w:t xml:space="preserve">Transgender Healthcare</w:t>
      </w:r>
    </w:p>
    <w:p w:rsidR="00000000" w:rsidDel="00000000" w:rsidP="00000000" w:rsidRDefault="00000000" w:rsidRPr="00000000" w14:paraId="0000005D">
      <w:pPr>
        <w:jc w:val="both"/>
        <w:rPr/>
      </w:pPr>
      <w:r w:rsidDel="00000000" w:rsidR="00000000" w:rsidRPr="00000000">
        <w:rPr>
          <w:rtl w:val="0"/>
        </w:rPr>
      </w:r>
    </w:p>
    <w:p w:rsidR="00000000" w:rsidDel="00000000" w:rsidP="00000000" w:rsidRDefault="00000000" w:rsidRPr="00000000" w14:paraId="0000005E">
      <w:pPr>
        <w:jc w:val="both"/>
        <w:rPr/>
      </w:pPr>
      <w:r w:rsidDel="00000000" w:rsidR="00000000" w:rsidRPr="00000000">
        <w:rPr>
          <w:rtl w:val="0"/>
        </w:rPr>
        <w:t xml:space="preserve">The trans community have been demanding for a transgender health package as documented in the 6th AIDS Medium Term Plan 2017-2022, the HIV Health Sector Plan 2020-2022 and with the recent 7th AIDS Medium Term Plan 2023-2028</w:t>
      </w:r>
      <w:r w:rsidDel="00000000" w:rsidR="00000000" w:rsidRPr="00000000">
        <w:rPr>
          <w:vertAlign w:val="superscript"/>
        </w:rPr>
        <w:footnoteReference w:customMarkFollows="0" w:id="11"/>
      </w:r>
      <w:r w:rsidDel="00000000" w:rsidR="00000000" w:rsidRPr="00000000">
        <w:rPr>
          <w:rtl w:val="0"/>
        </w:rPr>
        <w:t xml:space="preserve">. </w:t>
      </w:r>
    </w:p>
    <w:p w:rsidR="00000000" w:rsidDel="00000000" w:rsidP="00000000" w:rsidRDefault="00000000" w:rsidRPr="00000000" w14:paraId="0000005F">
      <w:pPr>
        <w:jc w:val="both"/>
        <w:rPr/>
      </w:pPr>
      <w:r w:rsidDel="00000000" w:rsidR="00000000" w:rsidRPr="00000000">
        <w:rPr>
          <w:rtl w:val="0"/>
        </w:rPr>
      </w:r>
    </w:p>
    <w:p w:rsidR="00000000" w:rsidDel="00000000" w:rsidP="00000000" w:rsidRDefault="00000000" w:rsidRPr="00000000" w14:paraId="00000060">
      <w:pPr>
        <w:jc w:val="both"/>
        <w:rPr/>
      </w:pPr>
      <w:r w:rsidDel="00000000" w:rsidR="00000000" w:rsidRPr="00000000">
        <w:rPr>
          <w:rtl w:val="0"/>
        </w:rPr>
        <w:t xml:space="preserve">Under the 11th edition of the International Statistical Classification of Diseases and Related Health Problems (ICD-11) and Diagnostic and Statistical Manual of Mental Disorders, Fifth Edition, (DSM-5) both identified gender incongruence and gender dysphoria as health challenges experienced by trans and gender diverse people that needs medical support. The World Professional Association on Transgender Health (WPATH) has published its Standard of Care, with its latest SOC ver 8</w:t>
      </w:r>
      <w:r w:rsidDel="00000000" w:rsidR="00000000" w:rsidRPr="00000000">
        <w:rPr>
          <w:vertAlign w:val="superscript"/>
        </w:rPr>
        <w:footnoteReference w:customMarkFollows="0" w:id="12"/>
      </w:r>
      <w:r w:rsidDel="00000000" w:rsidR="00000000" w:rsidRPr="00000000">
        <w:rPr>
          <w:rtl w:val="0"/>
        </w:rPr>
        <w:t xml:space="preserve"> to provide professional guidance in providing transgender healthcare. It is important to note that transgender health is central to the right to health of transgender people. </w:t>
      </w:r>
    </w:p>
    <w:p w:rsidR="00000000" w:rsidDel="00000000" w:rsidP="00000000" w:rsidRDefault="00000000" w:rsidRPr="00000000" w14:paraId="00000061">
      <w:pPr>
        <w:jc w:val="both"/>
        <w:rPr/>
      </w:pPr>
      <w:r w:rsidDel="00000000" w:rsidR="00000000" w:rsidRPr="00000000">
        <w:rPr>
          <w:rtl w:val="0"/>
        </w:rPr>
      </w:r>
    </w:p>
    <w:p w:rsidR="00000000" w:rsidDel="00000000" w:rsidP="00000000" w:rsidRDefault="00000000" w:rsidRPr="00000000" w14:paraId="00000062">
      <w:pPr>
        <w:jc w:val="both"/>
        <w:rPr/>
      </w:pPr>
      <w:r w:rsidDel="00000000" w:rsidR="00000000" w:rsidRPr="00000000">
        <w:rPr>
          <w:rtl w:val="0"/>
        </w:rPr>
        <w:t xml:space="preserve">However, despite having more than 400,000 transgender people in the Philippines, until today, transgender healthcare is nonexistent in the Philippine healthcare system. According to the 2022 IHBSS report on feminising hormones, hormone initiation among transpinays were mostly unsupervised by health professionals and sixty-four percent of transpinays consulted their friends instead. In 2021, a clinical guideline on transgender health was endorsed to the Department of Health by the WHO Philippines that is pending for approval until today. We recommend the following:</w:t>
      </w:r>
    </w:p>
    <w:p w:rsidR="00000000" w:rsidDel="00000000" w:rsidP="00000000" w:rsidRDefault="00000000" w:rsidRPr="00000000" w14:paraId="00000063">
      <w:pPr>
        <w:jc w:val="both"/>
        <w:rPr/>
      </w:pPr>
      <w:r w:rsidDel="00000000" w:rsidR="00000000" w:rsidRPr="00000000">
        <w:rPr>
          <w:rtl w:val="0"/>
        </w:rPr>
      </w:r>
    </w:p>
    <w:p w:rsidR="00000000" w:rsidDel="00000000" w:rsidP="00000000" w:rsidRDefault="00000000" w:rsidRPr="00000000" w14:paraId="00000064">
      <w:pPr>
        <w:jc w:val="both"/>
        <w:rPr>
          <w:b w:val="1"/>
          <w:i w:val="1"/>
        </w:rPr>
      </w:pPr>
      <w:r w:rsidDel="00000000" w:rsidR="00000000" w:rsidRPr="00000000">
        <w:rPr>
          <w:b w:val="1"/>
          <w:i w:val="1"/>
          <w:rtl w:val="0"/>
        </w:rPr>
        <w:t xml:space="preserve">Publish the transgender health guidelines in accordance with the Philippine Professional Association for Transgender Health, the World Professional Association for Transgender Health and/or the World Health Organisation that respects and acknowledges the right to self-determination and bodily autonomy of transpinays and gender diverse people;</w:t>
      </w:r>
    </w:p>
    <w:p w:rsidR="00000000" w:rsidDel="00000000" w:rsidP="00000000" w:rsidRDefault="00000000" w:rsidRPr="00000000" w14:paraId="00000065">
      <w:pPr>
        <w:jc w:val="both"/>
        <w:rPr>
          <w:b w:val="1"/>
          <w:i w:val="1"/>
        </w:rPr>
      </w:pPr>
      <w:r w:rsidDel="00000000" w:rsidR="00000000" w:rsidRPr="00000000">
        <w:rPr>
          <w:rtl w:val="0"/>
        </w:rPr>
      </w:r>
    </w:p>
    <w:p w:rsidR="00000000" w:rsidDel="00000000" w:rsidP="00000000" w:rsidRDefault="00000000" w:rsidRPr="00000000" w14:paraId="00000066">
      <w:pPr>
        <w:jc w:val="both"/>
        <w:rPr>
          <w:b w:val="1"/>
          <w:i w:val="1"/>
        </w:rPr>
      </w:pPr>
      <w:r w:rsidDel="00000000" w:rsidR="00000000" w:rsidRPr="00000000">
        <w:rPr>
          <w:b w:val="1"/>
          <w:i w:val="1"/>
          <w:rtl w:val="0"/>
        </w:rPr>
        <w:t xml:space="preserve">Ensure access to available gender affirming hormone treatment and gender affirming procedures for transgender and intersex people;</w:t>
      </w:r>
    </w:p>
    <w:p w:rsidR="00000000" w:rsidDel="00000000" w:rsidP="00000000" w:rsidRDefault="00000000" w:rsidRPr="00000000" w14:paraId="00000067">
      <w:pPr>
        <w:jc w:val="both"/>
        <w:rPr>
          <w:b w:val="1"/>
          <w:i w:val="1"/>
        </w:rPr>
      </w:pPr>
      <w:r w:rsidDel="00000000" w:rsidR="00000000" w:rsidRPr="00000000">
        <w:rPr>
          <w:rtl w:val="0"/>
        </w:rPr>
      </w:r>
    </w:p>
    <w:p w:rsidR="00000000" w:rsidDel="00000000" w:rsidP="00000000" w:rsidRDefault="00000000" w:rsidRPr="00000000" w14:paraId="00000068">
      <w:pPr>
        <w:jc w:val="both"/>
        <w:rPr/>
      </w:pPr>
      <w:r w:rsidDel="00000000" w:rsidR="00000000" w:rsidRPr="00000000">
        <w:rPr>
          <w:b w:val="1"/>
          <w:i w:val="1"/>
          <w:rtl w:val="0"/>
        </w:rPr>
        <w:t xml:space="preserve">Ensure transgender and intersex healthcare are covered and considered benefits under the Universal Healthcare Act that is funded by the government health insurance program, the Philippine Health Insurance Corporation (PhilHealth) and extended to private health insurances;</w:t>
      </w:r>
      <w:r w:rsidDel="00000000" w:rsidR="00000000" w:rsidRPr="00000000">
        <w:rPr>
          <w:rtl w:val="0"/>
        </w:rPr>
      </w:r>
    </w:p>
    <w:p w:rsidR="00000000" w:rsidDel="00000000" w:rsidP="00000000" w:rsidRDefault="00000000" w:rsidRPr="00000000" w14:paraId="00000069">
      <w:pPr>
        <w:jc w:val="both"/>
        <w:rPr/>
      </w:pPr>
      <w:r w:rsidDel="00000000" w:rsidR="00000000" w:rsidRPr="00000000">
        <w:rPr>
          <w:rtl w:val="0"/>
        </w:rPr>
      </w:r>
    </w:p>
    <w:p w:rsidR="00000000" w:rsidDel="00000000" w:rsidP="00000000" w:rsidRDefault="00000000" w:rsidRPr="00000000" w14:paraId="0000006A">
      <w:pPr>
        <w:jc w:val="both"/>
        <w:rPr>
          <w:b w:val="1"/>
        </w:rPr>
      </w:pPr>
      <w:r w:rsidDel="00000000" w:rsidR="00000000" w:rsidRPr="00000000">
        <w:rPr>
          <w:b w:val="1"/>
          <w:rtl w:val="0"/>
        </w:rPr>
        <w:t xml:space="preserve">Transpinays as key affected population of the HIV epidemic</w:t>
      </w:r>
    </w:p>
    <w:p w:rsidR="00000000" w:rsidDel="00000000" w:rsidP="00000000" w:rsidRDefault="00000000" w:rsidRPr="00000000" w14:paraId="0000006B">
      <w:pPr>
        <w:jc w:val="both"/>
        <w:rPr/>
      </w:pPr>
      <w:r w:rsidDel="00000000" w:rsidR="00000000" w:rsidRPr="00000000">
        <w:rPr>
          <w:rtl w:val="0"/>
        </w:rPr>
      </w:r>
    </w:p>
    <w:p w:rsidR="00000000" w:rsidDel="00000000" w:rsidP="00000000" w:rsidRDefault="00000000" w:rsidRPr="00000000" w14:paraId="0000006C">
      <w:pPr>
        <w:jc w:val="both"/>
        <w:rPr/>
      </w:pPr>
      <w:r w:rsidDel="00000000" w:rsidR="00000000" w:rsidRPr="00000000">
        <w:rPr>
          <w:rtl w:val="0"/>
        </w:rPr>
        <w:t xml:space="preserve">It was only in 2018 when the Department of Health started monitoring HIV cases of transpinays. Since then, it documented 2,491 transpinays diagnosed with HIV and currently, only 2,339 are alive. The 6% death rate of transpinays living with HIV is a huge number given that the population estimate for the transpinay community is less than 1% of the overall male population. When we look into the social determinants of health, stigma and discrimination are drivers of the HIV epidemic, and without a comprehensive anti-discrimination law that includes sexual orientation, gender identity and sex characteristics as notable grounds for discrimination, transpinays and other communities will suffer and would still be identified as a key affected population of the HIV epidemic in the country. In terms of the HIV landscape in the country, we recommend to:</w:t>
      </w:r>
    </w:p>
    <w:p w:rsidR="00000000" w:rsidDel="00000000" w:rsidP="00000000" w:rsidRDefault="00000000" w:rsidRPr="00000000" w14:paraId="0000006D">
      <w:pPr>
        <w:jc w:val="both"/>
        <w:rPr/>
      </w:pPr>
      <w:r w:rsidDel="00000000" w:rsidR="00000000" w:rsidRPr="00000000">
        <w:rPr>
          <w:rtl w:val="0"/>
        </w:rPr>
      </w:r>
    </w:p>
    <w:p w:rsidR="00000000" w:rsidDel="00000000" w:rsidP="00000000" w:rsidRDefault="00000000" w:rsidRPr="00000000" w14:paraId="0000006E">
      <w:pPr>
        <w:jc w:val="both"/>
        <w:rPr>
          <w:b w:val="1"/>
          <w:i w:val="1"/>
        </w:rPr>
      </w:pPr>
      <w:r w:rsidDel="00000000" w:rsidR="00000000" w:rsidRPr="00000000">
        <w:rPr>
          <w:b w:val="1"/>
          <w:i w:val="1"/>
          <w:rtl w:val="0"/>
        </w:rPr>
        <w:t xml:space="preserve">Strengthen measures to combat HIV and ensure that transgender women and gender diverse people are a separate and independent key affected population from Men having Sex with Men (MSM) in the Philippines. Transpinay organisations should also have a seat at the Philippine National AIDS Council separate from MSM. </w:t>
      </w:r>
    </w:p>
    <w:p w:rsidR="00000000" w:rsidDel="00000000" w:rsidP="00000000" w:rsidRDefault="00000000" w:rsidRPr="00000000" w14:paraId="0000006F">
      <w:pPr>
        <w:jc w:val="both"/>
        <w:rPr>
          <w:b w:val="1"/>
          <w:i w:val="1"/>
        </w:rPr>
      </w:pPr>
      <w:r w:rsidDel="00000000" w:rsidR="00000000" w:rsidRPr="00000000">
        <w:rPr>
          <w:rtl w:val="0"/>
        </w:rPr>
      </w:r>
    </w:p>
    <w:p w:rsidR="00000000" w:rsidDel="00000000" w:rsidP="00000000" w:rsidRDefault="00000000" w:rsidRPr="00000000" w14:paraId="00000070">
      <w:pPr>
        <w:jc w:val="both"/>
        <w:rPr>
          <w:b w:val="1"/>
        </w:rPr>
      </w:pPr>
      <w:r w:rsidDel="00000000" w:rsidR="00000000" w:rsidRPr="00000000">
        <w:rPr>
          <w:b w:val="1"/>
          <w:rtl w:val="0"/>
        </w:rPr>
        <w:t xml:space="preserve">Right to Education</w:t>
      </w:r>
    </w:p>
    <w:p w:rsidR="00000000" w:rsidDel="00000000" w:rsidP="00000000" w:rsidRDefault="00000000" w:rsidRPr="00000000" w14:paraId="00000071">
      <w:pPr>
        <w:jc w:val="both"/>
        <w:rPr/>
      </w:pPr>
      <w:r w:rsidDel="00000000" w:rsidR="00000000" w:rsidRPr="00000000">
        <w:rPr>
          <w:rtl w:val="0"/>
        </w:rPr>
      </w:r>
    </w:p>
    <w:p w:rsidR="00000000" w:rsidDel="00000000" w:rsidP="00000000" w:rsidRDefault="00000000" w:rsidRPr="00000000" w14:paraId="00000072">
      <w:pPr>
        <w:jc w:val="both"/>
        <w:rPr/>
      </w:pPr>
      <w:r w:rsidDel="00000000" w:rsidR="00000000" w:rsidRPr="00000000">
        <w:rPr>
          <w:rtl w:val="0"/>
        </w:rPr>
        <w:t xml:space="preserve">Education continues to be inaccessible and discriminatory to LBTI women and girls, and gender diverse people</w:t>
      </w:r>
      <w:r w:rsidDel="00000000" w:rsidR="00000000" w:rsidRPr="00000000">
        <w:rPr>
          <w:vertAlign w:val="superscript"/>
        </w:rPr>
        <w:footnoteReference w:customMarkFollows="0" w:id="13"/>
      </w:r>
      <w:r w:rsidDel="00000000" w:rsidR="00000000" w:rsidRPr="00000000">
        <w:rPr>
          <w:rtl w:val="0"/>
        </w:rPr>
        <w:t xml:space="preserve">. In the 2022 IHBSS report, it shows that only </w:t>
      </w:r>
      <w:r w:rsidDel="00000000" w:rsidR="00000000" w:rsidRPr="00000000">
        <w:rPr>
          <w:b w:val="1"/>
          <w:rtl w:val="0"/>
        </w:rPr>
        <w:t xml:space="preserve">1 out 5 transpinays graduated college,</w:t>
      </w:r>
      <w:r w:rsidDel="00000000" w:rsidR="00000000" w:rsidRPr="00000000">
        <w:rPr>
          <w:rtl w:val="0"/>
        </w:rPr>
        <w:t xml:space="preserve"> and </w:t>
      </w:r>
      <w:r w:rsidDel="00000000" w:rsidR="00000000" w:rsidRPr="00000000">
        <w:rPr>
          <w:b w:val="1"/>
          <w:rtl w:val="0"/>
        </w:rPr>
        <w:t xml:space="preserve">3 out of 10 transpinays’ highest educational attainment is only at Senior High School level</w:t>
      </w:r>
      <w:r w:rsidDel="00000000" w:rsidR="00000000" w:rsidRPr="00000000">
        <w:rPr>
          <w:b w:val="1"/>
          <w:vertAlign w:val="superscript"/>
        </w:rPr>
        <w:footnoteReference w:customMarkFollows="0" w:id="14"/>
      </w:r>
      <w:r w:rsidDel="00000000" w:rsidR="00000000" w:rsidRPr="00000000">
        <w:rPr>
          <w:rtl w:val="0"/>
        </w:rPr>
        <w:t xml:space="preserve">.  This is despite the passage of the Universal Access to Quality Tertiary Education Act or RA10931 in 2017</w:t>
      </w:r>
      <w:r w:rsidDel="00000000" w:rsidR="00000000" w:rsidRPr="00000000">
        <w:rPr>
          <w:vertAlign w:val="superscript"/>
        </w:rPr>
        <w:footnoteReference w:customMarkFollows="0" w:id="15"/>
      </w:r>
      <w:r w:rsidDel="00000000" w:rsidR="00000000" w:rsidRPr="00000000">
        <w:rPr>
          <w:rtl w:val="0"/>
        </w:rPr>
        <w:t xml:space="preserve">.</w:t>
      </w:r>
    </w:p>
    <w:p w:rsidR="00000000" w:rsidDel="00000000" w:rsidP="00000000" w:rsidRDefault="00000000" w:rsidRPr="00000000" w14:paraId="00000073">
      <w:pPr>
        <w:jc w:val="both"/>
        <w:rPr/>
      </w:pPr>
      <w:r w:rsidDel="00000000" w:rsidR="00000000" w:rsidRPr="00000000">
        <w:rPr>
          <w:rtl w:val="0"/>
        </w:rPr>
      </w:r>
    </w:p>
    <w:p w:rsidR="00000000" w:rsidDel="00000000" w:rsidP="00000000" w:rsidRDefault="00000000" w:rsidRPr="00000000" w14:paraId="00000074">
      <w:pPr>
        <w:jc w:val="both"/>
        <w:rPr/>
      </w:pPr>
      <w:r w:rsidDel="00000000" w:rsidR="00000000" w:rsidRPr="00000000">
        <w:rPr>
          <w:rtl w:val="0"/>
        </w:rPr>
        <w:t xml:space="preserve">Additionally, transpinay students are still forced to wear male uniforms and have a “male” haircut in schools. Whenever they wear a uniform affirming their gender, there is a constant risk of being called out and/or penalised for “violating” school rules</w:t>
      </w:r>
      <w:r w:rsidDel="00000000" w:rsidR="00000000" w:rsidRPr="00000000">
        <w:rPr>
          <w:vertAlign w:val="superscript"/>
        </w:rPr>
        <w:footnoteReference w:customMarkFollows="0" w:id="16"/>
      </w:r>
      <w:r w:rsidDel="00000000" w:rsidR="00000000" w:rsidRPr="00000000">
        <w:rPr>
          <w:rtl w:val="0"/>
        </w:rPr>
        <w:t xml:space="preserve"> because it prohibits “cross dressing”. A group of transpinays who were graduating had to fight for their right to graduate with clothes that aligned with their gender  and was eventually allowed only because there was a heavy campaign in social media</w:t>
      </w:r>
      <w:r w:rsidDel="00000000" w:rsidR="00000000" w:rsidRPr="00000000">
        <w:rPr>
          <w:vertAlign w:val="superscript"/>
        </w:rPr>
        <w:footnoteReference w:customMarkFollows="0" w:id="17"/>
      </w:r>
      <w:r w:rsidDel="00000000" w:rsidR="00000000" w:rsidRPr="00000000">
        <w:rPr>
          <w:rtl w:val="0"/>
        </w:rPr>
        <w:t xml:space="preserve">. </w:t>
      </w:r>
    </w:p>
    <w:p w:rsidR="00000000" w:rsidDel="00000000" w:rsidP="00000000" w:rsidRDefault="00000000" w:rsidRPr="00000000" w14:paraId="00000075">
      <w:pPr>
        <w:jc w:val="both"/>
        <w:rPr/>
      </w:pPr>
      <w:r w:rsidDel="00000000" w:rsidR="00000000" w:rsidRPr="00000000">
        <w:rPr>
          <w:rtl w:val="0"/>
        </w:rPr>
      </w:r>
    </w:p>
    <w:p w:rsidR="00000000" w:rsidDel="00000000" w:rsidP="00000000" w:rsidRDefault="00000000" w:rsidRPr="00000000" w14:paraId="00000076">
      <w:pPr>
        <w:jc w:val="both"/>
        <w:rPr/>
      </w:pPr>
      <w:r w:rsidDel="00000000" w:rsidR="00000000" w:rsidRPr="00000000">
        <w:rPr>
          <w:rtl w:val="0"/>
        </w:rPr>
        <w:t xml:space="preserve">There are also documented cases of modules and school curricula perpetuating harmful gender stereotypes</w:t>
      </w:r>
      <w:r w:rsidDel="00000000" w:rsidR="00000000" w:rsidRPr="00000000">
        <w:rPr>
          <w:vertAlign w:val="superscript"/>
        </w:rPr>
        <w:footnoteReference w:customMarkFollows="0" w:id="18"/>
      </w:r>
      <w:r w:rsidDel="00000000" w:rsidR="00000000" w:rsidRPr="00000000">
        <w:rPr>
          <w:rtl w:val="0"/>
        </w:rPr>
        <w:t xml:space="preserve"> that affect gender nonconforming students and their families negatively. Harmful gender stereotypes have been weaponised to bully, humiliate, and instill a culture of queerphobia in schools and education settings. </w:t>
      </w:r>
    </w:p>
    <w:p w:rsidR="00000000" w:rsidDel="00000000" w:rsidP="00000000" w:rsidRDefault="00000000" w:rsidRPr="00000000" w14:paraId="00000077">
      <w:pPr>
        <w:jc w:val="both"/>
        <w:rPr/>
      </w:pPr>
      <w:r w:rsidDel="00000000" w:rsidR="00000000" w:rsidRPr="00000000">
        <w:rPr>
          <w:rtl w:val="0"/>
        </w:rPr>
      </w:r>
    </w:p>
    <w:p w:rsidR="00000000" w:rsidDel="00000000" w:rsidP="00000000" w:rsidRDefault="00000000" w:rsidRPr="00000000" w14:paraId="00000078">
      <w:pPr>
        <w:jc w:val="both"/>
        <w:rPr/>
      </w:pPr>
      <w:r w:rsidDel="00000000" w:rsidR="00000000" w:rsidRPr="00000000">
        <w:rPr>
          <w:rtl w:val="0"/>
        </w:rPr>
        <w:t xml:space="preserve">The Society of Trans Women of the Philippines (STRAP) has communicated to various universities and public schools demanding that they allow transpinays to use uniforms that align with their gender, where in some cases we had to report them to the Commission on Human Rights just for our communication to be acknowledged by the public schools and universities. In the fulfillment of the Philippines’ CESCR obligation on the right to education, here are our recommendations:</w:t>
      </w:r>
    </w:p>
    <w:p w:rsidR="00000000" w:rsidDel="00000000" w:rsidP="00000000" w:rsidRDefault="00000000" w:rsidRPr="00000000" w14:paraId="00000079">
      <w:pPr>
        <w:jc w:val="both"/>
        <w:rPr>
          <w:b w:val="1"/>
          <w:i w:val="1"/>
        </w:rPr>
      </w:pPr>
      <w:r w:rsidDel="00000000" w:rsidR="00000000" w:rsidRPr="00000000">
        <w:rPr>
          <w:rtl w:val="0"/>
        </w:rPr>
      </w:r>
    </w:p>
    <w:p w:rsidR="00000000" w:rsidDel="00000000" w:rsidP="00000000" w:rsidRDefault="00000000" w:rsidRPr="00000000" w14:paraId="0000007A">
      <w:pPr>
        <w:jc w:val="both"/>
        <w:rPr>
          <w:b w:val="1"/>
          <w:i w:val="1"/>
        </w:rPr>
      </w:pPr>
      <w:r w:rsidDel="00000000" w:rsidR="00000000" w:rsidRPr="00000000">
        <w:rPr>
          <w:b w:val="1"/>
          <w:i w:val="1"/>
          <w:rtl w:val="0"/>
        </w:rPr>
        <w:t xml:space="preserve">Integrate a special focus on eliminating gender and sexual stereotypes that hinder the access to education for LGBTQIA+ people including trans, intersex and gender diverse people;</w:t>
      </w:r>
    </w:p>
    <w:p w:rsidR="00000000" w:rsidDel="00000000" w:rsidP="00000000" w:rsidRDefault="00000000" w:rsidRPr="00000000" w14:paraId="0000007B">
      <w:pPr>
        <w:jc w:val="both"/>
        <w:rPr>
          <w:b w:val="1"/>
          <w:i w:val="1"/>
        </w:rPr>
      </w:pPr>
      <w:r w:rsidDel="00000000" w:rsidR="00000000" w:rsidRPr="00000000">
        <w:rPr>
          <w:rtl w:val="0"/>
        </w:rPr>
      </w:r>
    </w:p>
    <w:p w:rsidR="00000000" w:rsidDel="00000000" w:rsidP="00000000" w:rsidRDefault="00000000" w:rsidRPr="00000000" w14:paraId="0000007C">
      <w:pPr>
        <w:jc w:val="both"/>
        <w:rPr>
          <w:b w:val="1"/>
          <w:i w:val="1"/>
        </w:rPr>
      </w:pPr>
      <w:r w:rsidDel="00000000" w:rsidR="00000000" w:rsidRPr="00000000">
        <w:rPr>
          <w:b w:val="1"/>
          <w:i w:val="1"/>
          <w:rtl w:val="0"/>
        </w:rPr>
        <w:t xml:space="preserve">Ensure that school curricula do not perpetuate harmful gender norms; and cases of bullying are investigated against LGBTQIA+ and gender diverse students;</w:t>
      </w:r>
    </w:p>
    <w:p w:rsidR="00000000" w:rsidDel="00000000" w:rsidP="00000000" w:rsidRDefault="00000000" w:rsidRPr="00000000" w14:paraId="0000007D">
      <w:pPr>
        <w:jc w:val="both"/>
        <w:rPr>
          <w:b w:val="1"/>
          <w:i w:val="1"/>
        </w:rPr>
      </w:pPr>
      <w:r w:rsidDel="00000000" w:rsidR="00000000" w:rsidRPr="00000000">
        <w:rPr>
          <w:rtl w:val="0"/>
        </w:rPr>
      </w:r>
    </w:p>
    <w:p w:rsidR="00000000" w:rsidDel="00000000" w:rsidP="00000000" w:rsidRDefault="00000000" w:rsidRPr="00000000" w14:paraId="0000007E">
      <w:pPr>
        <w:jc w:val="both"/>
        <w:rPr>
          <w:b w:val="1"/>
          <w:i w:val="1"/>
        </w:rPr>
      </w:pPr>
      <w:r w:rsidDel="00000000" w:rsidR="00000000" w:rsidRPr="00000000">
        <w:rPr>
          <w:b w:val="1"/>
          <w:i w:val="1"/>
          <w:rtl w:val="0"/>
        </w:rPr>
        <w:t xml:space="preserve">Ensure that transpinays and gender nonconforming students maintains their access to public and tertiary education where they are respected, recognised and treated with dignity in relation to their lived gender. </w:t>
      </w:r>
    </w:p>
    <w:p w:rsidR="00000000" w:rsidDel="00000000" w:rsidP="00000000" w:rsidRDefault="00000000" w:rsidRPr="00000000" w14:paraId="0000007F">
      <w:pPr>
        <w:jc w:val="both"/>
        <w:rPr/>
      </w:pPr>
      <w:r w:rsidDel="00000000" w:rsidR="00000000" w:rsidRPr="00000000">
        <w:rPr>
          <w:rtl w:val="0"/>
        </w:rPr>
      </w:r>
    </w:p>
    <w:p w:rsidR="00000000" w:rsidDel="00000000" w:rsidP="00000000" w:rsidRDefault="00000000" w:rsidRPr="00000000" w14:paraId="00000080">
      <w:pPr>
        <w:jc w:val="both"/>
        <w:rPr/>
      </w:pPr>
      <w:r w:rsidDel="00000000" w:rsidR="00000000" w:rsidRPr="00000000">
        <w:rPr>
          <w:rtl w:val="0"/>
        </w:rPr>
      </w:r>
    </w:p>
    <w:p w:rsidR="00000000" w:rsidDel="00000000" w:rsidP="00000000" w:rsidRDefault="00000000" w:rsidRPr="00000000" w14:paraId="00000081">
      <w:pPr>
        <w:jc w:val="both"/>
        <w:rPr/>
      </w:pPr>
      <w:r w:rsidDel="00000000" w:rsidR="00000000" w:rsidRPr="00000000">
        <w:rPr>
          <w:rtl w:val="0"/>
        </w:rPr>
      </w:r>
    </w:p>
    <w:p w:rsidR="00000000" w:rsidDel="00000000" w:rsidP="00000000" w:rsidRDefault="00000000" w:rsidRPr="00000000" w14:paraId="00000082">
      <w:pPr>
        <w:jc w:val="both"/>
        <w:rPr/>
      </w:pPr>
      <w:r w:rsidDel="00000000" w:rsidR="00000000" w:rsidRPr="00000000">
        <w:rPr>
          <w:rtl w:val="0"/>
        </w:rPr>
      </w:r>
    </w:p>
    <w:p w:rsidR="00000000" w:rsidDel="00000000" w:rsidP="00000000" w:rsidRDefault="00000000" w:rsidRPr="00000000" w14:paraId="00000083">
      <w:pPr>
        <w:jc w:val="both"/>
        <w:rPr/>
      </w:pPr>
      <w:r w:rsidDel="00000000" w:rsidR="00000000" w:rsidRPr="00000000">
        <w:rPr>
          <w:rtl w:val="0"/>
        </w:rPr>
      </w:r>
    </w:p>
    <w:p w:rsidR="00000000" w:rsidDel="00000000" w:rsidP="00000000" w:rsidRDefault="00000000" w:rsidRPr="00000000" w14:paraId="00000084">
      <w:pPr>
        <w:jc w:val="both"/>
        <w:rPr/>
      </w:pPr>
      <w:r w:rsidDel="00000000" w:rsidR="00000000" w:rsidRPr="00000000">
        <w:rPr>
          <w:rtl w:val="0"/>
        </w:rPr>
      </w:r>
    </w:p>
    <w:p w:rsidR="00000000" w:rsidDel="00000000" w:rsidP="00000000" w:rsidRDefault="00000000" w:rsidRPr="00000000" w14:paraId="00000085">
      <w:pPr>
        <w:jc w:val="both"/>
        <w:rPr>
          <w:b w:val="1"/>
        </w:rPr>
      </w:pPr>
      <w:r w:rsidDel="00000000" w:rsidR="00000000" w:rsidRPr="00000000">
        <w:rPr>
          <w:b w:val="1"/>
          <w:rtl w:val="0"/>
        </w:rPr>
        <w:t xml:space="preserve">Marriage and Family Life</w:t>
      </w:r>
    </w:p>
    <w:p w:rsidR="00000000" w:rsidDel="00000000" w:rsidP="00000000" w:rsidRDefault="00000000" w:rsidRPr="00000000" w14:paraId="00000086">
      <w:pPr>
        <w:jc w:val="both"/>
        <w:rPr/>
      </w:pPr>
      <w:r w:rsidDel="00000000" w:rsidR="00000000" w:rsidRPr="00000000">
        <w:rPr>
          <w:rtl w:val="0"/>
        </w:rPr>
      </w:r>
    </w:p>
    <w:p w:rsidR="00000000" w:rsidDel="00000000" w:rsidP="00000000" w:rsidRDefault="00000000" w:rsidRPr="00000000" w14:paraId="00000087">
      <w:pPr>
        <w:jc w:val="both"/>
        <w:rPr/>
      </w:pPr>
      <w:r w:rsidDel="00000000" w:rsidR="00000000" w:rsidRPr="00000000">
        <w:rPr>
          <w:rtl w:val="0"/>
        </w:rPr>
        <w:t xml:space="preserve">LGBTQIA+ couples who do not conform to the cisheteronormative understanding of marriage (husband and wife) do not have legal protections under Philippine laws. This means that cohabitating LGBTQIA+ partners are not recognised as family in social welfare programs, and do not have conjugal rights including the right to joint ownership and the right to make medical decisions for their partners. In 2023 through the activism of the LGBTQIA+ community, the Quezon City government launched the Right to Care Card, a first in the Philippines, to empower its resident queer couples to make medical decisions for their partners. The right to care card provides recognition of the cardholder to agree, refuse, or withdraw consent of any type of medical care for their partners including treatment, procedures, test and prescriptions</w:t>
      </w:r>
      <w:r w:rsidDel="00000000" w:rsidR="00000000" w:rsidRPr="00000000">
        <w:rPr>
          <w:vertAlign w:val="superscript"/>
        </w:rPr>
        <w:footnoteReference w:customMarkFollows="0" w:id="19"/>
      </w:r>
      <w:r w:rsidDel="00000000" w:rsidR="00000000" w:rsidRPr="00000000">
        <w:rPr>
          <w:rtl w:val="0"/>
        </w:rPr>
        <w:t xml:space="preserve">.</w:t>
      </w:r>
    </w:p>
    <w:p w:rsidR="00000000" w:rsidDel="00000000" w:rsidP="00000000" w:rsidRDefault="00000000" w:rsidRPr="00000000" w14:paraId="00000088">
      <w:pPr>
        <w:jc w:val="both"/>
        <w:rPr/>
      </w:pPr>
      <w:r w:rsidDel="00000000" w:rsidR="00000000" w:rsidRPr="00000000">
        <w:rPr>
          <w:rtl w:val="0"/>
        </w:rPr>
      </w:r>
    </w:p>
    <w:p w:rsidR="00000000" w:rsidDel="00000000" w:rsidP="00000000" w:rsidRDefault="00000000" w:rsidRPr="00000000" w14:paraId="00000089">
      <w:pPr>
        <w:jc w:val="both"/>
        <w:rPr/>
      </w:pPr>
      <w:r w:rsidDel="00000000" w:rsidR="00000000" w:rsidRPr="00000000">
        <w:rPr>
          <w:rtl w:val="0"/>
        </w:rPr>
        <w:t xml:space="preserve">Furthermore, same gender/queer marriages and divorce that were registered outside the Philippines are still not recognised in the Philippines, despite that Article 10 of CESCR directs State Parties that widest possible protection and assistance should be accorded to the family. Same gender/queer marriages acquired by Filipinos and/or tourists abroad have an effect of unequal application of the law, where only some parts of the world recognise their marriage and its benefits, a clear contradiction to the universality of human rights. </w:t>
      </w:r>
    </w:p>
    <w:p w:rsidR="00000000" w:rsidDel="00000000" w:rsidP="00000000" w:rsidRDefault="00000000" w:rsidRPr="00000000" w14:paraId="0000008A">
      <w:pPr>
        <w:jc w:val="both"/>
        <w:rPr/>
      </w:pPr>
      <w:r w:rsidDel="00000000" w:rsidR="00000000" w:rsidRPr="00000000">
        <w:rPr>
          <w:rtl w:val="0"/>
        </w:rPr>
      </w:r>
    </w:p>
    <w:p w:rsidR="00000000" w:rsidDel="00000000" w:rsidP="00000000" w:rsidRDefault="00000000" w:rsidRPr="00000000" w14:paraId="0000008B">
      <w:pPr>
        <w:jc w:val="both"/>
        <w:rPr/>
      </w:pPr>
      <w:r w:rsidDel="00000000" w:rsidR="00000000" w:rsidRPr="00000000">
        <w:rPr>
          <w:rtl w:val="0"/>
        </w:rPr>
        <w:t xml:space="preserve">The unequal standing of women compared to men in the Philippines, especially marginalised groups of women including LBTI women, are disproportionately impacted by the lack of divorce in the country. This results in individuals not having the option to get away from marriages that are exploitative, violent, and/or simply do not work. </w:t>
      </w:r>
    </w:p>
    <w:p w:rsidR="00000000" w:rsidDel="00000000" w:rsidP="00000000" w:rsidRDefault="00000000" w:rsidRPr="00000000" w14:paraId="0000008C">
      <w:pPr>
        <w:jc w:val="both"/>
        <w:rPr/>
      </w:pPr>
      <w:r w:rsidDel="00000000" w:rsidR="00000000" w:rsidRPr="00000000">
        <w:rPr>
          <w:rtl w:val="0"/>
        </w:rPr>
      </w:r>
    </w:p>
    <w:p w:rsidR="00000000" w:rsidDel="00000000" w:rsidP="00000000" w:rsidRDefault="00000000" w:rsidRPr="00000000" w14:paraId="0000008D">
      <w:pPr>
        <w:jc w:val="both"/>
        <w:rPr/>
      </w:pPr>
      <w:r w:rsidDel="00000000" w:rsidR="00000000" w:rsidRPr="00000000">
        <w:rPr>
          <w:rtl w:val="0"/>
        </w:rPr>
        <w:t xml:space="preserve">We therefore recommend the following:</w:t>
      </w:r>
    </w:p>
    <w:p w:rsidR="00000000" w:rsidDel="00000000" w:rsidP="00000000" w:rsidRDefault="00000000" w:rsidRPr="00000000" w14:paraId="0000008E">
      <w:pPr>
        <w:jc w:val="both"/>
        <w:rPr/>
      </w:pPr>
      <w:r w:rsidDel="00000000" w:rsidR="00000000" w:rsidRPr="00000000">
        <w:rPr>
          <w:rtl w:val="0"/>
        </w:rPr>
      </w:r>
    </w:p>
    <w:p w:rsidR="00000000" w:rsidDel="00000000" w:rsidP="00000000" w:rsidRDefault="00000000" w:rsidRPr="00000000" w14:paraId="0000008F">
      <w:pPr>
        <w:jc w:val="both"/>
        <w:rPr>
          <w:b w:val="1"/>
          <w:i w:val="1"/>
        </w:rPr>
      </w:pPr>
      <w:r w:rsidDel="00000000" w:rsidR="00000000" w:rsidRPr="00000000">
        <w:rPr>
          <w:b w:val="1"/>
          <w:i w:val="1"/>
          <w:rtl w:val="0"/>
        </w:rPr>
        <w:t xml:space="preserve">Amend the Family Code of the Philippines to ensure that LGBTQIA+ people have equal access to marriage, civil partnership and divorce, and adopt a legislation providing marriage equality for LGBTQIA+ couples;</w:t>
      </w:r>
    </w:p>
    <w:p w:rsidR="00000000" w:rsidDel="00000000" w:rsidP="00000000" w:rsidRDefault="00000000" w:rsidRPr="00000000" w14:paraId="00000090">
      <w:pPr>
        <w:jc w:val="both"/>
        <w:rPr>
          <w:b w:val="1"/>
          <w:i w:val="1"/>
        </w:rPr>
      </w:pPr>
      <w:r w:rsidDel="00000000" w:rsidR="00000000" w:rsidRPr="00000000">
        <w:rPr>
          <w:rtl w:val="0"/>
        </w:rPr>
      </w:r>
    </w:p>
    <w:p w:rsidR="00000000" w:rsidDel="00000000" w:rsidP="00000000" w:rsidRDefault="00000000" w:rsidRPr="00000000" w14:paraId="00000091">
      <w:pPr>
        <w:jc w:val="both"/>
        <w:rPr>
          <w:b w:val="1"/>
          <w:i w:val="1"/>
        </w:rPr>
      </w:pPr>
      <w:r w:rsidDel="00000000" w:rsidR="00000000" w:rsidRPr="00000000">
        <w:rPr>
          <w:b w:val="1"/>
          <w:i w:val="1"/>
          <w:rtl w:val="0"/>
        </w:rPr>
        <w:t xml:space="preserve">Adopt legislation for married individuals to access divorce through a simple procedure and recognise divorce acquired from other countries;</w:t>
      </w:r>
    </w:p>
    <w:p w:rsidR="00000000" w:rsidDel="00000000" w:rsidP="00000000" w:rsidRDefault="00000000" w:rsidRPr="00000000" w14:paraId="00000092">
      <w:pPr>
        <w:jc w:val="both"/>
        <w:rPr>
          <w:b w:val="1"/>
          <w:i w:val="1"/>
        </w:rPr>
      </w:pPr>
      <w:r w:rsidDel="00000000" w:rsidR="00000000" w:rsidRPr="00000000">
        <w:rPr>
          <w:rtl w:val="0"/>
        </w:rPr>
      </w:r>
    </w:p>
    <w:p w:rsidR="00000000" w:rsidDel="00000000" w:rsidP="00000000" w:rsidRDefault="00000000" w:rsidRPr="00000000" w14:paraId="00000093">
      <w:pPr>
        <w:jc w:val="both"/>
        <w:rPr>
          <w:b w:val="1"/>
          <w:i w:val="1"/>
        </w:rPr>
      </w:pPr>
      <w:r w:rsidDel="00000000" w:rsidR="00000000" w:rsidRPr="00000000">
        <w:rPr>
          <w:b w:val="1"/>
          <w:i w:val="1"/>
          <w:rtl w:val="0"/>
        </w:rPr>
        <w:t xml:space="preserve">Provide LBTI couples the same rights and benefits with straight couples including the establishment and recognition of LBTI families.</w:t>
      </w:r>
    </w:p>
    <w:p w:rsidR="00000000" w:rsidDel="00000000" w:rsidP="00000000" w:rsidRDefault="00000000" w:rsidRPr="00000000" w14:paraId="00000094">
      <w:pPr>
        <w:jc w:val="both"/>
        <w:rPr>
          <w:b w:val="1"/>
          <w:i w:val="1"/>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9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Siverio vs the Philippines: Access the decision here https://lawphil.net/judjuris/juri2007/oct2007/gr_174689_2007.html</w:t>
      </w:r>
    </w:p>
  </w:footnote>
  <w:footnote w:id="5">
    <w:p w:rsidR="00000000" w:rsidDel="00000000" w:rsidP="00000000" w:rsidRDefault="00000000" w:rsidRPr="00000000" w14:paraId="0000009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Republic Act 9710: The Magna Carta of Women https://pcw.gov.ph/magna-carta-of-women/</w:t>
      </w:r>
    </w:p>
  </w:footnote>
  <w:footnote w:id="3">
    <w:p w:rsidR="00000000" w:rsidDel="00000000" w:rsidP="00000000" w:rsidRDefault="00000000" w:rsidRPr="00000000" w14:paraId="0000009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Safe Spaces Act: Access here https://lawphil.net/statutes/repacts/ra2019/ra_11313_2019.html</w:t>
      </w:r>
    </w:p>
  </w:footnote>
  <w:footnote w:id="6">
    <w:p w:rsidR="00000000" w:rsidDel="00000000" w:rsidP="00000000" w:rsidRDefault="00000000" w:rsidRPr="00000000" w14:paraId="0000009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Guidelines on the Use of Gender-Fair Language in the Judiciary and Gender-Fair Courtroom Etiquette: Access here https://sc.judiciary.gov.ph/wp-content/uploads/2022/11/21-11-25-SC.pdf</w:t>
      </w:r>
    </w:p>
  </w:footnote>
  <w:footnote w:id="1">
    <w:p w:rsidR="00000000" w:rsidDel="00000000" w:rsidP="00000000" w:rsidRDefault="00000000" w:rsidRPr="00000000" w14:paraId="0000009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 10172 Act further authorizing the city or municipal civil registrar or the consul general to correct clerical or typographical errors: Access here https://rsso11.psa.gov.ph/republic-act-no-10172#:~:text=In%20case%20of%20correction%20of,sex%20change%20or%20sex%20transplant.</w:t>
      </w:r>
    </w:p>
  </w:footnote>
  <w:footnote w:id="4">
    <w:p w:rsidR="00000000" w:rsidDel="00000000" w:rsidP="00000000" w:rsidRDefault="00000000" w:rsidRPr="00000000" w14:paraId="0000009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Philippine HIV Act: Access here https://lawphil.net/statutes/repacts/ra2018/ra_11166_2018.html</w:t>
      </w:r>
    </w:p>
  </w:footnote>
  <w:footnote w:id="2">
    <w:p w:rsidR="00000000" w:rsidDel="00000000" w:rsidP="00000000" w:rsidRDefault="00000000" w:rsidRPr="00000000" w14:paraId="0000009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Making It Work: Lesbian, bisexual and transgender women’s economic empowerment in the Philippines: Access here https://www.undp.org/philippines/publications/making-it-work-lesbian-bisexual-and-transgender-womens-economic-empowerment-philippines</w:t>
      </w:r>
    </w:p>
  </w:footnote>
  <w:footnote w:id="8">
    <w:p w:rsidR="00000000" w:rsidDel="00000000" w:rsidP="00000000" w:rsidRDefault="00000000" w:rsidRPr="00000000" w14:paraId="0000009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Page 99. 2022 Integrated HIV Behavioral and Serologic Surveillance (IHBSS) report: Access the posted report here https://www.facebook.com/photo?fbid=1000761262081835&amp;set=a.584576363700329</w:t>
      </w:r>
    </w:p>
  </w:footnote>
  <w:footnote w:id="7">
    <w:p w:rsidR="00000000" w:rsidDel="00000000" w:rsidP="00000000" w:rsidRDefault="00000000" w:rsidRPr="00000000" w14:paraId="0000009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Page 13. 2018 IHBSS HIV data on transgender women: Access here https://drive.google.com/drive/folders/1aRFnlZcv13do1B7AwS4KZxy0r0zIPTTZ</w:t>
      </w:r>
    </w:p>
  </w:footnote>
  <w:footnote w:id="10">
    <w:p w:rsidR="00000000" w:rsidDel="00000000" w:rsidP="00000000" w:rsidRDefault="00000000" w:rsidRPr="00000000" w14:paraId="0000009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Page 92 of the 2022 IHBSS report: Access here Access the posted report here https://www.facebook.com/photo?fbid=1000761262081835&amp;set=a.584576363700329</w:t>
      </w:r>
    </w:p>
  </w:footnote>
  <w:footnote w:id="9">
    <w:p w:rsidR="00000000" w:rsidDel="00000000" w:rsidP="00000000" w:rsidRDefault="00000000" w:rsidRPr="00000000" w14:paraId="0000009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Page 53. Making It Work: Lesbian, bisexual and transgender women’s economic empowerment in the Philippines: Access here https://www.undp.org/philippines/publications/making-it-work-lesbian-bisexual-and-transgender-womens-economic-empowerment-philippines</w:t>
      </w:r>
    </w:p>
  </w:footnote>
  <w:footnote w:id="11">
    <w:p w:rsidR="00000000" w:rsidDel="00000000" w:rsidP="00000000" w:rsidRDefault="00000000" w:rsidRPr="00000000" w14:paraId="000000A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7th AIDS Medium Term Plan: Access here https://hivpreventioncoalition.unaids.org/en/resources/7th-aids-medium-term-plan-2023-2028-philippines</w:t>
      </w:r>
    </w:p>
  </w:footnote>
  <w:footnote w:id="12">
    <w:p w:rsidR="00000000" w:rsidDel="00000000" w:rsidP="00000000" w:rsidRDefault="00000000" w:rsidRPr="00000000" w14:paraId="000000A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World Professional Association on Transgender Health (WPATH) Standard of Care ver 8: Access here https://www.tandfonline.com/doi/pdf/10.1080/26895269.2022.2100644</w:t>
      </w:r>
    </w:p>
  </w:footnote>
  <w:footnote w:id="13">
    <w:p w:rsidR="00000000" w:rsidDel="00000000" w:rsidP="00000000" w:rsidRDefault="00000000" w:rsidRPr="00000000" w14:paraId="000000A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“Just Let Us Be” Discrimination Against LGBT Students in the Philippines“Just Let Us Be” Discrimination Against LGBT Students in the Philippines https://www.hrw.org/report/2017/06/22/just-let-us-be/discrimination-against-lgbt-students-philippines</w:t>
      </w:r>
    </w:p>
  </w:footnote>
  <w:footnote w:id="16">
    <w:p w:rsidR="00000000" w:rsidDel="00000000" w:rsidP="00000000" w:rsidRDefault="00000000" w:rsidRPr="00000000" w14:paraId="000000A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Collective Letter of CSOs to Dep-Ed and CHED against Gender-based Discriminatory Policies in Basic and Higher Education https://www.facebook.com/photo/?fbid=5428662717225610&amp;set=pcb.5428672240557991</w:t>
      </w:r>
    </w:p>
    <w:p w:rsidR="00000000" w:rsidDel="00000000" w:rsidP="00000000" w:rsidRDefault="00000000" w:rsidRPr="00000000" w14:paraId="000000A4">
      <w:pPr>
        <w:spacing w:line="240" w:lineRule="auto"/>
        <w:rPr>
          <w:sz w:val="20"/>
          <w:szCs w:val="20"/>
        </w:rPr>
      </w:pPr>
      <w:r w:rsidDel="00000000" w:rsidR="00000000" w:rsidRPr="00000000">
        <w:rPr>
          <w:rtl w:val="0"/>
        </w:rPr>
      </w:r>
    </w:p>
  </w:footnote>
  <w:footnote w:id="17">
    <w:p w:rsidR="00000000" w:rsidDel="00000000" w:rsidP="00000000" w:rsidRDefault="00000000" w:rsidRPr="00000000" w14:paraId="000000A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Struggle Is Real For Some Transgender Teens Wanting To Break Free In Phl Schools https://www.onenews.ph/articles/the-struggle-is-real-for-some-transgender-teens-wanting-to-break-free-in-phl-schools</w:t>
      </w:r>
    </w:p>
  </w:footnote>
  <w:footnote w:id="18">
    <w:p w:rsidR="00000000" w:rsidDel="00000000" w:rsidP="00000000" w:rsidRDefault="00000000" w:rsidRPr="00000000" w14:paraId="000000A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'Archaic': DepEd official says materials with gender stereotypes should not be taught to students</w:t>
      </w:r>
    </w:p>
    <w:p w:rsidR="00000000" w:rsidDel="00000000" w:rsidP="00000000" w:rsidRDefault="00000000" w:rsidRPr="00000000" w14:paraId="000000A7">
      <w:pPr>
        <w:spacing w:line="240" w:lineRule="auto"/>
        <w:rPr>
          <w:sz w:val="20"/>
          <w:szCs w:val="20"/>
        </w:rPr>
      </w:pPr>
      <w:r w:rsidDel="00000000" w:rsidR="00000000" w:rsidRPr="00000000">
        <w:rPr>
          <w:sz w:val="20"/>
          <w:szCs w:val="20"/>
          <w:rtl w:val="0"/>
        </w:rPr>
        <w:t xml:space="preserve">https://www.philstar.com/headlines/2020/10/21/2051257/archaic-deped-official-says-materials-gender-stereotypes-should-not-be-taught-students#:~:text=Headlines-,'Archaic'%3A%20DepEd%20official%20says%20materials%20with%20gender%20stereotypes,not%20be%20taught%20to%20students&amp;text=MANILA%2C%20Philippines%20%E2%80%94%20An%20education%20official,from%20being%20taught%20in%20schools.</w:t>
      </w:r>
    </w:p>
  </w:footnote>
  <w:footnote w:id="15">
    <w:p w:rsidR="00000000" w:rsidDel="00000000" w:rsidP="00000000" w:rsidRDefault="00000000" w:rsidRPr="00000000" w14:paraId="000000A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Universal Access to Quality Tertiary Education Act: Access here https://lawphil.net/statutes/repacts/ra2017/ra_10931_2017.html</w:t>
      </w:r>
    </w:p>
  </w:footnote>
  <w:footnote w:id="19">
    <w:p w:rsidR="00000000" w:rsidDel="00000000" w:rsidP="00000000" w:rsidRDefault="00000000" w:rsidRPr="00000000" w14:paraId="000000A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Right to care card: Access here https://quezoncity.gov.ph/program/right-to-care-card/</w:t>
      </w:r>
    </w:p>
  </w:footnote>
  <w:footnote w:id="14">
    <w:p w:rsidR="00000000" w:rsidDel="00000000" w:rsidP="00000000" w:rsidRDefault="00000000" w:rsidRPr="00000000" w14:paraId="000000A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Page 92 of the 2022 IHBSS report: Access here Access the posted report here https://drive.google.com/file/d/12qYnkTJqzJkpQSwDYR0NWITK92shhpog/view?fbclid=IwY2xjawHzPWlleHRuA2FlbQIxMAABHc4D9OXNPGHt_JE5xFmwb36LVy8bVYHFFgvq1pJX_ASdsAznJYwAekW9HA_aem_ZNjiWuda4t9xCB2FTKIlbw</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