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Szövegtörzs A"/>
        <w:widowControl w:val="0"/>
        <w:spacing w:line="240" w:lineRule="auto"/>
        <w:rPr>
          <w:rStyle w:val="Egyik sem"/>
          <w:rFonts w:ascii="Times New Roman" w:cs="Times New Roman" w:hAnsi="Times New Roman" w:eastAsia="Times New Roman"/>
          <w:b w:val="1"/>
          <w:bCs w:val="1"/>
          <w:sz w:val="24"/>
          <w:szCs w:val="24"/>
        </w:rPr>
      </w:pPr>
    </w:p>
    <w:p>
      <w:pPr>
        <w:pStyle w:val="Szövegtörzs A"/>
        <w:spacing w:line="240" w:lineRule="auto"/>
        <w:jc w:val="center"/>
        <w:rPr>
          <w:rStyle w:val="Egyik sem"/>
          <w:rFonts w:ascii="Times New Roman" w:cs="Times New Roman" w:hAnsi="Times New Roman" w:eastAsia="Times New Roman"/>
          <w:b w:val="1"/>
          <w:bCs w:val="1"/>
          <w:sz w:val="28"/>
          <w:szCs w:val="28"/>
        </w:rPr>
      </w:pPr>
    </w:p>
    <w:p>
      <w:pPr>
        <w:pStyle w:val="Szövegtörzs A"/>
        <w:spacing w:line="240" w:lineRule="auto"/>
        <w:jc w:val="center"/>
        <w:rPr>
          <w:rStyle w:val="Egyik sem"/>
          <w:rFonts w:ascii="Times New Roman" w:cs="Times New Roman" w:hAnsi="Times New Roman" w:eastAsia="Times New Roman"/>
          <w:b w:val="1"/>
          <w:bCs w:val="1"/>
          <w:sz w:val="28"/>
          <w:szCs w:val="28"/>
        </w:rPr>
      </w:pPr>
      <w:r>
        <w:rPr>
          <w:rStyle w:val="Egyik sem"/>
          <w:rFonts w:ascii="Times New Roman" w:hAnsi="Times New Roman"/>
          <w:b w:val="1"/>
          <w:bCs w:val="1"/>
          <w:sz w:val="28"/>
          <w:szCs w:val="28"/>
          <w:rtl w:val="0"/>
          <w:lang w:val="en-US"/>
        </w:rPr>
        <w:t>The implementation of the CEDAW Convention in Hungary</w:t>
      </w:r>
    </w:p>
    <w:p>
      <w:pPr>
        <w:pStyle w:val="Szövegtörzs A"/>
        <w:spacing w:line="240" w:lineRule="auto"/>
        <w:jc w:val="center"/>
        <w:rPr>
          <w:rStyle w:val="Egyik sem"/>
          <w:rFonts w:ascii="Times New Roman" w:cs="Times New Roman" w:hAnsi="Times New Roman" w:eastAsia="Times New Roman"/>
          <w:b w:val="1"/>
          <w:bCs w:val="1"/>
          <w:sz w:val="24"/>
          <w:szCs w:val="24"/>
        </w:rPr>
      </w:pPr>
    </w:p>
    <w:p>
      <w:pPr>
        <w:pStyle w:val="Szövegtörzs A"/>
        <w:spacing w:line="240" w:lineRule="auto"/>
        <w:jc w:val="center"/>
        <w:rPr>
          <w:rStyle w:val="Egyik sem"/>
          <w:rFonts w:ascii="Times New Roman" w:cs="Times New Roman" w:hAnsi="Times New Roman" w:eastAsia="Times New Roman"/>
          <w:sz w:val="28"/>
          <w:szCs w:val="28"/>
        </w:rPr>
      </w:pPr>
      <w:r>
        <w:rPr>
          <w:rStyle w:val="Egyik sem"/>
          <w:rFonts w:ascii="Times New Roman" w:hAnsi="Times New Roman"/>
          <w:b w:val="1"/>
          <w:bCs w:val="1"/>
          <w:sz w:val="28"/>
          <w:szCs w:val="28"/>
          <w:rtl w:val="0"/>
          <w:lang w:val="en-US"/>
        </w:rPr>
        <w:t>Submission of NANE Women</w:t>
      </w:r>
      <w:r>
        <w:rPr>
          <w:rStyle w:val="Egyik sem"/>
          <w:rFonts w:ascii="Times New Roman" w:hAnsi="Times New Roman" w:hint="default"/>
          <w:b w:val="1"/>
          <w:bCs w:val="1"/>
          <w:sz w:val="28"/>
          <w:szCs w:val="28"/>
          <w:rtl w:val="0"/>
          <w:lang w:val="en-US"/>
        </w:rPr>
        <w:t>’</w:t>
      </w:r>
      <w:r>
        <w:rPr>
          <w:rStyle w:val="Egyik sem"/>
          <w:rFonts w:ascii="Times New Roman" w:hAnsi="Times New Roman"/>
          <w:b w:val="1"/>
          <w:bCs w:val="1"/>
          <w:sz w:val="28"/>
          <w:szCs w:val="28"/>
          <w:rtl w:val="0"/>
          <w:lang w:val="en-US"/>
        </w:rPr>
        <w:t>s Rights Association, PATENT (People Opposing Patriarchy) Association, Hungarian Women</w:t>
      </w:r>
      <w:r>
        <w:rPr>
          <w:rStyle w:val="Egyik sem"/>
          <w:rFonts w:ascii="Times New Roman" w:hAnsi="Times New Roman" w:hint="default"/>
          <w:b w:val="1"/>
          <w:bCs w:val="1"/>
          <w:sz w:val="28"/>
          <w:szCs w:val="28"/>
          <w:rtl w:val="0"/>
          <w:lang w:val="en-US"/>
        </w:rPr>
        <w:t>’</w:t>
      </w:r>
      <w:r>
        <w:rPr>
          <w:rStyle w:val="Egyik sem"/>
          <w:rFonts w:ascii="Times New Roman" w:hAnsi="Times New Roman"/>
          <w:b w:val="1"/>
          <w:bCs w:val="1"/>
          <w:sz w:val="28"/>
          <w:szCs w:val="28"/>
          <w:rtl w:val="0"/>
          <w:lang w:val="en-US"/>
        </w:rPr>
        <w:t xml:space="preserve">s Lobby and EMMA Association to the 84th Session of UN CEDAW Committee </w:t>
      </w:r>
    </w:p>
    <w:p>
      <w:pPr>
        <w:pStyle w:val="Szövegtörzs A"/>
        <w:spacing w:line="240" w:lineRule="auto"/>
        <w:jc w:val="center"/>
        <w:rPr>
          <w:rStyle w:val="Egyik sem"/>
          <w:rFonts w:ascii="Times New Roman" w:cs="Times New Roman" w:hAnsi="Times New Roman" w:eastAsia="Times New Roman"/>
          <w:sz w:val="28"/>
          <w:szCs w:val="28"/>
        </w:rPr>
      </w:pPr>
    </w:p>
    <w:p>
      <w:pPr>
        <w:pStyle w:val="Szövegtörzs A"/>
        <w:spacing w:line="240" w:lineRule="auto"/>
        <w:jc w:val="center"/>
        <w:rPr>
          <w:rStyle w:val="Egyik sem"/>
          <w:rFonts w:ascii="Times New Roman" w:cs="Times New Roman" w:hAnsi="Times New Roman" w:eastAsia="Times New Roman"/>
          <w:sz w:val="28"/>
          <w:szCs w:val="28"/>
        </w:rPr>
      </w:pPr>
      <w:r>
        <w:rPr>
          <w:rStyle w:val="Egyik sem"/>
          <w:rFonts w:ascii="Times New Roman" w:hAnsi="Times New Roman"/>
          <w:sz w:val="28"/>
          <w:szCs w:val="28"/>
          <w:rtl w:val="0"/>
          <w:lang w:val="en-US"/>
        </w:rPr>
        <w:t>9 January 2023</w:t>
      </w:r>
    </w:p>
    <w:p>
      <w:pPr>
        <w:pStyle w:val="Szövegtörzs A"/>
        <w:spacing w:line="240" w:lineRule="auto"/>
        <w:rPr>
          <w:rStyle w:val="Egyik sem"/>
          <w:rFonts w:ascii="Times New Roman" w:cs="Times New Roman" w:hAnsi="Times New Roman" w:eastAsia="Times New Roman"/>
          <w:sz w:val="24"/>
          <w:szCs w:val="24"/>
        </w:rPr>
      </w:pPr>
    </w:p>
    <w:p>
      <w:pPr>
        <w:pStyle w:val="Szövegtörzs A"/>
        <w:spacing w:line="240" w:lineRule="auto"/>
        <w:rPr>
          <w:rStyle w:val="Egyik sem"/>
          <w:rFonts w:ascii="Times New Roman" w:cs="Times New Roman" w:hAnsi="Times New Roman" w:eastAsia="Times New Roman"/>
          <w:sz w:val="24"/>
          <w:szCs w:val="24"/>
        </w:rPr>
      </w:pPr>
    </w:p>
    <w:p>
      <w:pPr>
        <w:pStyle w:val="Szövegtörzs A"/>
        <w:spacing w:line="240" w:lineRule="auto"/>
        <w:rPr>
          <w:rStyle w:val="Egyik sem"/>
          <w:rFonts w:ascii="Times New Roman" w:cs="Times New Roman" w:hAnsi="Times New Roman" w:eastAsia="Times New Roman"/>
          <w:b w:val="1"/>
          <w:bCs w:val="1"/>
          <w:sz w:val="26"/>
          <w:szCs w:val="26"/>
        </w:rPr>
      </w:pPr>
      <w:r>
        <w:rPr>
          <w:rStyle w:val="Egyik sem"/>
          <w:rFonts w:ascii="Times New Roman" w:hAnsi="Times New Roman"/>
          <w:b w:val="1"/>
          <w:bCs w:val="1"/>
          <w:sz w:val="26"/>
          <w:szCs w:val="26"/>
          <w:rtl w:val="0"/>
          <w:lang w:val="en-US"/>
        </w:rPr>
        <w:t xml:space="preserve">Article 2, 3 - State policies and institutional mechanisms for the advancement of women </w:t>
      </w:r>
    </w:p>
    <w:p>
      <w:pPr>
        <w:pStyle w:val="Szövegtörzs A"/>
        <w:spacing w:line="240" w:lineRule="auto"/>
        <w:rPr>
          <w:rStyle w:val="Egyik sem"/>
          <w:rFonts w:ascii="Times New Roman" w:cs="Times New Roman" w:hAnsi="Times New Roman" w:eastAsia="Times New Roman"/>
          <w:sz w:val="24"/>
          <w:szCs w:val="24"/>
        </w:rPr>
      </w:pPr>
    </w:p>
    <w:p>
      <w:pPr>
        <w:pStyle w:val="Szövegtörzs A"/>
        <w:spacing w:line="240" w:lineRule="auto"/>
        <w:jc w:val="both"/>
        <w:rPr>
          <w:rStyle w:val="Egyik sem"/>
          <w:rFonts w:ascii="Times New Roman" w:cs="Times New Roman" w:hAnsi="Times New Roman" w:eastAsia="Times New Roman"/>
          <w:sz w:val="24"/>
          <w:szCs w:val="24"/>
        </w:rPr>
      </w:pPr>
      <w:r>
        <w:rPr>
          <w:rStyle w:val="Egyik sem"/>
          <w:rFonts w:ascii="Times New Roman" w:hAnsi="Times New Roman"/>
          <w:sz w:val="24"/>
          <w:szCs w:val="24"/>
          <w:rtl w:val="0"/>
          <w:lang w:val="en-US"/>
        </w:rPr>
        <w:t>Since the last UN CEDAW review of Hungary (2013) several changes occurred in state policies and institutional mechanisms for the advancement of women.</w:t>
      </w:r>
    </w:p>
    <w:p>
      <w:pPr>
        <w:pStyle w:val="Szövegtörzs A"/>
        <w:spacing w:line="240" w:lineRule="auto"/>
        <w:jc w:val="both"/>
        <w:rPr>
          <w:rStyle w:val="Egyik sem"/>
          <w:rFonts w:ascii="Times New Roman" w:cs="Times New Roman" w:hAnsi="Times New Roman" w:eastAsia="Times New Roman"/>
          <w:sz w:val="24"/>
          <w:szCs w:val="24"/>
        </w:rPr>
      </w:pPr>
      <w:r>
        <w:rPr>
          <w:rStyle w:val="Egyik sem"/>
          <w:rFonts w:ascii="Times New Roman" w:hAnsi="Times New Roman"/>
          <w:sz w:val="24"/>
          <w:szCs w:val="24"/>
          <w:rtl w:val="0"/>
          <w:lang w:val="en-US"/>
        </w:rPr>
        <w:t>As the ninth periodic CEDAW report of Hungary (hereafter: state report)</w:t>
      </w:r>
      <w:r>
        <w:rPr>
          <w:rStyle w:val="Egyik sem"/>
          <w:rFonts w:ascii="Times New Roman" w:cs="Times New Roman" w:hAnsi="Times New Roman" w:eastAsia="Times New Roman"/>
          <w:sz w:val="24"/>
          <w:szCs w:val="24"/>
          <w:vertAlign w:val="superscript"/>
        </w:rPr>
        <w:footnoteReference w:id="1"/>
      </w:r>
      <w:r>
        <w:rPr>
          <w:rStyle w:val="Egyik sem"/>
          <w:rFonts w:ascii="Times New Roman" w:hAnsi="Times New Roman"/>
          <w:sz w:val="24"/>
          <w:szCs w:val="24"/>
          <w:rtl w:val="0"/>
          <w:lang w:val="en-US"/>
        </w:rPr>
        <w:t xml:space="preserve"> also shows, women</w:t>
      </w:r>
      <w:r>
        <w:rPr>
          <w:rStyle w:val="Egyik sem"/>
          <w:rFonts w:ascii="Times New Roman" w:hAnsi="Times New Roman" w:hint="default"/>
          <w:sz w:val="24"/>
          <w:szCs w:val="24"/>
          <w:rtl w:val="0"/>
          <w:lang w:val="en-US"/>
        </w:rPr>
        <w:t>’</w:t>
      </w:r>
      <w:r>
        <w:rPr>
          <w:rStyle w:val="Egyik sem"/>
          <w:rFonts w:ascii="Times New Roman" w:hAnsi="Times New Roman"/>
          <w:sz w:val="24"/>
          <w:szCs w:val="24"/>
          <w:rtl w:val="0"/>
          <w:lang w:val="en-US"/>
        </w:rPr>
        <w:t>s issues have been interpreted in and actually subordinated to a family policy framework/approach, at policy, administrative and communication levels alike. The importance of advancing women</w:t>
      </w:r>
      <w:r>
        <w:rPr>
          <w:rStyle w:val="Egyik sem"/>
          <w:rFonts w:ascii="Times New Roman" w:hAnsi="Times New Roman" w:hint="default"/>
          <w:sz w:val="24"/>
          <w:szCs w:val="24"/>
          <w:rtl w:val="0"/>
          <w:lang w:val="en-US"/>
        </w:rPr>
        <w:t>’</w:t>
      </w:r>
      <w:r>
        <w:rPr>
          <w:rStyle w:val="Egyik sem"/>
          <w:rFonts w:ascii="Times New Roman" w:hAnsi="Times New Roman"/>
          <w:sz w:val="24"/>
          <w:szCs w:val="24"/>
          <w:rtl w:val="0"/>
          <w:lang w:val="en-US"/>
        </w:rPr>
        <w:t>s position has been consistently interpreted in light of the purposes of establishing a family, and strengthening women</w:t>
      </w:r>
      <w:r>
        <w:rPr>
          <w:rStyle w:val="Egyik sem"/>
          <w:rFonts w:ascii="Times New Roman" w:hAnsi="Times New Roman" w:hint="default"/>
          <w:sz w:val="24"/>
          <w:szCs w:val="24"/>
          <w:rtl w:val="0"/>
          <w:lang w:val="en-US"/>
        </w:rPr>
        <w:t>’</w:t>
      </w:r>
      <w:r>
        <w:rPr>
          <w:rStyle w:val="Egyik sem"/>
          <w:rFonts w:ascii="Times New Roman" w:hAnsi="Times New Roman"/>
          <w:sz w:val="24"/>
          <w:szCs w:val="24"/>
          <w:rtl w:val="0"/>
          <w:lang w:val="en-US"/>
        </w:rPr>
        <w:t>s image and standing as mothers or would-be mothers.</w:t>
      </w:r>
    </w:p>
    <w:p>
      <w:pPr>
        <w:pStyle w:val="Szövegtörzs A"/>
        <w:spacing w:line="240" w:lineRule="auto"/>
        <w:jc w:val="both"/>
        <w:rPr>
          <w:rStyle w:val="Egyik sem"/>
          <w:rFonts w:ascii="Times New Roman" w:cs="Times New Roman" w:hAnsi="Times New Roman" w:eastAsia="Times New Roman"/>
          <w:sz w:val="24"/>
          <w:szCs w:val="24"/>
        </w:rPr>
      </w:pPr>
    </w:p>
    <w:p>
      <w:pPr>
        <w:pStyle w:val="Szövegtörzs A"/>
        <w:spacing w:line="240" w:lineRule="auto"/>
        <w:jc w:val="both"/>
        <w:rPr>
          <w:rStyle w:val="Egyik sem"/>
          <w:rFonts w:ascii="Times New Roman" w:cs="Times New Roman" w:hAnsi="Times New Roman" w:eastAsia="Times New Roman"/>
          <w:sz w:val="24"/>
          <w:szCs w:val="24"/>
        </w:rPr>
      </w:pPr>
      <w:r>
        <w:rPr>
          <w:rStyle w:val="Egyik sem"/>
          <w:rFonts w:ascii="Times New Roman" w:hAnsi="Times New Roman"/>
          <w:sz w:val="24"/>
          <w:szCs w:val="24"/>
          <w:rtl w:val="0"/>
          <w:lang w:val="en-US"/>
        </w:rPr>
        <w:t xml:space="preserve">Hungary belongs to the countries where </w:t>
      </w:r>
      <w:r>
        <w:rPr>
          <w:rStyle w:val="Egyik sem"/>
          <w:rFonts w:ascii="Times New Roman" w:hAnsi="Times New Roman"/>
          <w:b w:val="1"/>
          <w:bCs w:val="1"/>
          <w:sz w:val="24"/>
          <w:szCs w:val="24"/>
          <w:rtl w:val="0"/>
          <w:lang w:val="en-US"/>
        </w:rPr>
        <w:t>backlash against women</w:t>
      </w:r>
      <w:r>
        <w:rPr>
          <w:rStyle w:val="Egyik sem"/>
          <w:rFonts w:ascii="Times New Roman" w:hAnsi="Times New Roman" w:hint="default"/>
          <w:b w:val="1"/>
          <w:bCs w:val="1"/>
          <w:sz w:val="24"/>
          <w:szCs w:val="24"/>
          <w:rtl w:val="0"/>
          <w:lang w:val="en-US"/>
        </w:rPr>
        <w:t>’</w:t>
      </w:r>
      <w:r>
        <w:rPr>
          <w:rStyle w:val="Egyik sem"/>
          <w:rFonts w:ascii="Times New Roman" w:hAnsi="Times New Roman"/>
          <w:b w:val="1"/>
          <w:bCs w:val="1"/>
          <w:sz w:val="24"/>
          <w:szCs w:val="24"/>
          <w:rtl w:val="0"/>
          <w:lang w:val="en-US"/>
        </w:rPr>
        <w:t>s rights and gender equality</w:t>
      </w:r>
      <w:r>
        <w:rPr>
          <w:rStyle w:val="Egyik sem"/>
          <w:rFonts w:ascii="Times New Roman" w:hAnsi="Times New Roman"/>
          <w:sz w:val="24"/>
          <w:szCs w:val="24"/>
          <w:rtl w:val="0"/>
          <w:lang w:val="en-US"/>
        </w:rPr>
        <w:t xml:space="preserve"> has been widely visible and reported on. In the past several years the government - similarly to a few other countries - has become vocal, at national but also at EU/international level, in opposing the concept of </w:t>
      </w:r>
      <w:r>
        <w:rPr>
          <w:rStyle w:val="Egyik sem"/>
          <w:rFonts w:ascii="Times New Roman" w:hAnsi="Times New Roman" w:hint="default"/>
          <w:sz w:val="24"/>
          <w:szCs w:val="24"/>
          <w:rtl w:val="0"/>
          <w:lang w:val="en-US"/>
        </w:rPr>
        <w:t>‘</w:t>
      </w:r>
      <w:r>
        <w:rPr>
          <w:rStyle w:val="Egyik sem"/>
          <w:rFonts w:ascii="Times New Roman" w:hAnsi="Times New Roman"/>
          <w:sz w:val="24"/>
          <w:szCs w:val="24"/>
          <w:rtl w:val="0"/>
          <w:lang w:val="de-DE"/>
        </w:rPr>
        <w:t>gender</w:t>
      </w:r>
      <w:r>
        <w:rPr>
          <w:rStyle w:val="Egyik sem"/>
          <w:rFonts w:ascii="Times New Roman" w:hAnsi="Times New Roman" w:hint="default"/>
          <w:sz w:val="24"/>
          <w:szCs w:val="24"/>
          <w:rtl w:val="0"/>
          <w:lang w:val="en-US"/>
        </w:rPr>
        <w:t>’</w:t>
      </w:r>
      <w:r>
        <w:rPr>
          <w:rStyle w:val="Egyik sem"/>
          <w:rFonts w:ascii="Times New Roman" w:hAnsi="Times New Roman"/>
          <w:sz w:val="24"/>
          <w:szCs w:val="24"/>
          <w:rtl w:val="0"/>
          <w:lang w:val="en-US"/>
        </w:rPr>
        <w:t xml:space="preserve">. With this </w:t>
      </w:r>
      <w:r>
        <w:rPr>
          <w:rStyle w:val="Egyik sem"/>
          <w:rFonts w:ascii="Times New Roman" w:hAnsi="Times New Roman" w:hint="default"/>
          <w:sz w:val="24"/>
          <w:szCs w:val="24"/>
          <w:rtl w:val="0"/>
          <w:lang w:val="en-US"/>
        </w:rPr>
        <w:t>‘</w:t>
      </w:r>
      <w:r>
        <w:rPr>
          <w:rStyle w:val="Egyik sem"/>
          <w:rFonts w:ascii="Times New Roman" w:hAnsi="Times New Roman"/>
          <w:sz w:val="24"/>
          <w:szCs w:val="24"/>
          <w:rtl w:val="0"/>
          <w:lang w:val="en-US"/>
        </w:rPr>
        <w:t>excuse</w:t>
      </w:r>
      <w:r>
        <w:rPr>
          <w:rStyle w:val="Egyik sem"/>
          <w:rFonts w:ascii="Times New Roman" w:hAnsi="Times New Roman" w:hint="default"/>
          <w:sz w:val="24"/>
          <w:szCs w:val="24"/>
          <w:rtl w:val="0"/>
          <w:lang w:val="en-US"/>
        </w:rPr>
        <w:t xml:space="preserve">’ </w:t>
      </w:r>
      <w:r>
        <w:rPr>
          <w:rStyle w:val="Egyik sem"/>
          <w:rFonts w:ascii="Times New Roman" w:hAnsi="Times New Roman"/>
          <w:sz w:val="24"/>
          <w:szCs w:val="24"/>
          <w:rtl w:val="0"/>
          <w:lang w:val="en-US"/>
        </w:rPr>
        <w:t>the government blocked initiatives in advancing women</w:t>
      </w:r>
      <w:r>
        <w:rPr>
          <w:rStyle w:val="Egyik sem"/>
          <w:rFonts w:ascii="Times New Roman" w:hAnsi="Times New Roman" w:hint="default"/>
          <w:sz w:val="24"/>
          <w:szCs w:val="24"/>
          <w:rtl w:val="0"/>
          <w:lang w:val="en-US"/>
        </w:rPr>
        <w:t>’</w:t>
      </w:r>
      <w:r>
        <w:rPr>
          <w:rStyle w:val="Egyik sem"/>
          <w:rFonts w:ascii="Times New Roman" w:hAnsi="Times New Roman"/>
          <w:sz w:val="24"/>
          <w:szCs w:val="24"/>
          <w:rtl w:val="0"/>
          <w:lang w:val="en-US"/>
        </w:rPr>
        <w:t>s equality and rights, including adoption of international documents that contained the concept - regardless of how the particular document defines the term, i.e. whether in its meaning of addressing social norms and roles of women and men, or referring to gender identity.</w:t>
      </w:r>
      <w:r>
        <w:rPr>
          <w:rStyle w:val="Egyik sem"/>
          <w:rFonts w:ascii="Times New Roman" w:cs="Times New Roman" w:hAnsi="Times New Roman" w:eastAsia="Times New Roman"/>
          <w:sz w:val="24"/>
          <w:szCs w:val="24"/>
          <w:vertAlign w:val="superscript"/>
        </w:rPr>
        <w:footnoteReference w:id="2"/>
      </w:r>
    </w:p>
    <w:p>
      <w:pPr>
        <w:pStyle w:val="Szövegtörzs A"/>
        <w:spacing w:line="240" w:lineRule="auto"/>
        <w:jc w:val="both"/>
        <w:rPr>
          <w:rStyle w:val="Egyik sem"/>
          <w:rFonts w:ascii="Times New Roman" w:cs="Times New Roman" w:hAnsi="Times New Roman" w:eastAsia="Times New Roman"/>
          <w:sz w:val="24"/>
          <w:szCs w:val="24"/>
        </w:rPr>
      </w:pPr>
    </w:p>
    <w:p>
      <w:pPr>
        <w:pStyle w:val="Szövegtörzs A"/>
        <w:spacing w:line="240" w:lineRule="auto"/>
        <w:jc w:val="both"/>
        <w:rPr>
          <w:rStyle w:val="Egyik sem"/>
          <w:rFonts w:ascii="Times New Roman" w:cs="Times New Roman" w:hAnsi="Times New Roman" w:eastAsia="Times New Roman"/>
          <w:sz w:val="24"/>
          <w:szCs w:val="24"/>
        </w:rPr>
      </w:pPr>
      <w:r>
        <w:rPr>
          <w:rStyle w:val="Egyik sem"/>
          <w:rFonts w:ascii="Times New Roman" w:hAnsi="Times New Roman"/>
          <w:sz w:val="24"/>
          <w:szCs w:val="24"/>
          <w:rtl w:val="0"/>
          <w:lang w:val="en-US"/>
        </w:rPr>
        <w:t xml:space="preserve">The </w:t>
      </w:r>
      <w:r>
        <w:rPr>
          <w:rStyle w:val="Egyik sem"/>
          <w:rFonts w:ascii="Times New Roman" w:hAnsi="Times New Roman"/>
          <w:b w:val="1"/>
          <w:bCs w:val="1"/>
          <w:sz w:val="24"/>
          <w:szCs w:val="24"/>
          <w:rtl w:val="0"/>
          <w:lang w:val="en-US"/>
        </w:rPr>
        <w:t xml:space="preserve">institutional mechanisms for the advancement of women </w:t>
      </w:r>
      <w:r>
        <w:rPr>
          <w:rStyle w:val="Egyik sem"/>
          <w:rFonts w:ascii="Times New Roman" w:hAnsi="Times New Roman"/>
          <w:sz w:val="24"/>
          <w:szCs w:val="24"/>
          <w:rtl w:val="0"/>
          <w:lang w:val="en-US"/>
        </w:rPr>
        <w:t>have undergone changes since the last CEDAW review. At overall: women</w:t>
      </w:r>
      <w:r>
        <w:rPr>
          <w:rStyle w:val="Egyik sem"/>
          <w:rFonts w:ascii="Times New Roman" w:hAnsi="Times New Roman" w:hint="default"/>
          <w:sz w:val="24"/>
          <w:szCs w:val="24"/>
          <w:rtl w:val="0"/>
          <w:lang w:val="en-US"/>
        </w:rPr>
        <w:t>’</w:t>
      </w:r>
      <w:r>
        <w:rPr>
          <w:rStyle w:val="Egyik sem"/>
          <w:rFonts w:ascii="Times New Roman" w:hAnsi="Times New Roman"/>
          <w:sz w:val="24"/>
          <w:szCs w:val="24"/>
          <w:rtl w:val="0"/>
          <w:lang w:val="en-US"/>
        </w:rPr>
        <w:t>s rights and equality between women and men has not been placed to the highest level of governmental structure, and usually was positioned and regulated under a family policy portfolio.</w:t>
      </w:r>
      <w:r>
        <w:rPr>
          <w:rStyle w:val="Egyik sem"/>
          <w:rFonts w:ascii="Times New Roman" w:cs="Times New Roman" w:hAnsi="Times New Roman" w:eastAsia="Times New Roman"/>
          <w:sz w:val="24"/>
          <w:szCs w:val="24"/>
          <w:vertAlign w:val="superscript"/>
        </w:rPr>
        <w:footnoteReference w:id="3"/>
      </w:r>
      <w:r>
        <w:rPr>
          <w:rStyle w:val="Egyik sem"/>
          <w:rFonts w:ascii="Times New Roman" w:hAnsi="Times New Roman"/>
          <w:sz w:val="24"/>
          <w:szCs w:val="24"/>
          <w:rtl w:val="0"/>
          <w:lang w:val="en-US"/>
        </w:rPr>
        <w:t xml:space="preserve"> Currently, after the 2022 national elections, the Ministry of Culture and Innovation is in charge of women</w:t>
      </w:r>
      <w:r>
        <w:rPr>
          <w:rStyle w:val="Egyik sem"/>
          <w:rFonts w:ascii="Times New Roman" w:hAnsi="Times New Roman" w:hint="default"/>
          <w:sz w:val="24"/>
          <w:szCs w:val="24"/>
          <w:rtl w:val="0"/>
          <w:lang w:val="en-US"/>
        </w:rPr>
        <w:t>’</w:t>
      </w:r>
      <w:r>
        <w:rPr>
          <w:rStyle w:val="Egyik sem"/>
          <w:rFonts w:ascii="Times New Roman" w:hAnsi="Times New Roman"/>
          <w:sz w:val="24"/>
          <w:szCs w:val="24"/>
          <w:rtl w:val="0"/>
          <w:lang w:val="en-US"/>
        </w:rPr>
        <w:t>s issues, including implementation of CEDAW, and within that the Department for Adoption and Women</w:t>
      </w:r>
      <w:r>
        <w:rPr>
          <w:rStyle w:val="Egyik sem"/>
          <w:rFonts w:ascii="Times New Roman" w:hAnsi="Times New Roman" w:hint="default"/>
          <w:sz w:val="24"/>
          <w:szCs w:val="24"/>
          <w:rtl w:val="0"/>
          <w:lang w:val="en-US"/>
        </w:rPr>
        <w:t>’</w:t>
      </w:r>
      <w:r>
        <w:rPr>
          <w:rStyle w:val="Egyik sem"/>
          <w:rFonts w:ascii="Times New Roman" w:hAnsi="Times New Roman"/>
          <w:sz w:val="24"/>
          <w:szCs w:val="24"/>
          <w:rtl w:val="0"/>
          <w:lang w:val="en-US"/>
        </w:rPr>
        <w:t>s Policy operates under the State Secretary responsible for Families, and the Deputy State Secretary for Family Issues.</w:t>
      </w:r>
      <w:r>
        <w:rPr>
          <w:rStyle w:val="Egyik sem"/>
          <w:rFonts w:ascii="Times New Roman" w:cs="Times New Roman" w:hAnsi="Times New Roman" w:eastAsia="Times New Roman"/>
          <w:sz w:val="24"/>
          <w:szCs w:val="24"/>
          <w:vertAlign w:val="superscript"/>
        </w:rPr>
        <w:footnoteReference w:id="4"/>
      </w:r>
    </w:p>
    <w:p>
      <w:pPr>
        <w:pStyle w:val="Szövegtörzs A"/>
        <w:spacing w:line="240" w:lineRule="auto"/>
        <w:jc w:val="both"/>
        <w:rPr>
          <w:rStyle w:val="Egyik sem"/>
          <w:rFonts w:ascii="Times New Roman" w:cs="Times New Roman" w:hAnsi="Times New Roman" w:eastAsia="Times New Roman"/>
          <w:sz w:val="24"/>
          <w:szCs w:val="24"/>
        </w:rPr>
      </w:pPr>
    </w:p>
    <w:p>
      <w:pPr>
        <w:pStyle w:val="Szövegtörzs A"/>
        <w:spacing w:line="240" w:lineRule="auto"/>
        <w:jc w:val="both"/>
        <w:rPr>
          <w:rStyle w:val="Egyik sem"/>
          <w:rFonts w:ascii="Times New Roman" w:cs="Times New Roman" w:hAnsi="Times New Roman" w:eastAsia="Times New Roman"/>
          <w:sz w:val="24"/>
          <w:szCs w:val="24"/>
        </w:rPr>
      </w:pPr>
      <w:r>
        <w:rPr>
          <w:rStyle w:val="Egyik sem"/>
          <w:rFonts w:ascii="Times New Roman" w:hAnsi="Times New Roman"/>
          <w:sz w:val="24"/>
          <w:szCs w:val="24"/>
          <w:rtl w:val="0"/>
          <w:lang w:val="en-US"/>
        </w:rPr>
        <w:t>As of 1 January 2021, the Equal Treatment Authority ceased to exist, and its tasks were delegated to the Commissioner for Fundamental Rights (Ombudsperson).</w:t>
      </w:r>
      <w:r>
        <w:rPr>
          <w:rStyle w:val="Egyik sem"/>
          <w:rFonts w:ascii="Times New Roman" w:cs="Times New Roman" w:hAnsi="Times New Roman" w:eastAsia="Times New Roman"/>
          <w:sz w:val="24"/>
          <w:szCs w:val="24"/>
          <w:vertAlign w:val="superscript"/>
        </w:rPr>
        <w:footnoteReference w:id="5"/>
      </w:r>
      <w:r>
        <w:rPr>
          <w:rStyle w:val="Egyik sem"/>
          <w:rFonts w:ascii="Times New Roman" w:hAnsi="Times New Roman"/>
          <w:sz w:val="24"/>
          <w:szCs w:val="24"/>
          <w:rtl w:val="0"/>
          <w:lang w:val="en-US"/>
        </w:rPr>
        <w:t xml:space="preserve"> While decision-makers argued that this change serves a more effective enforcement of the equal treatment principle, the transformation raised several concerns (such as the lack of preliminary stakeholder consultation; or placing/downgrading the theme of equal treatment onto a body with a wider issue scope.)</w:t>
      </w:r>
      <w:r>
        <w:rPr>
          <w:rStyle w:val="Egyik sem"/>
          <w:rFonts w:ascii="Times New Roman" w:cs="Times New Roman" w:hAnsi="Times New Roman" w:eastAsia="Times New Roman"/>
          <w:sz w:val="24"/>
          <w:szCs w:val="24"/>
          <w:vertAlign w:val="superscript"/>
        </w:rPr>
        <w:footnoteReference w:id="6"/>
      </w:r>
      <w:r>
        <w:rPr>
          <w:rStyle w:val="Egyik sem"/>
          <w:rFonts w:ascii="Times New Roman" w:hAnsi="Times New Roman"/>
          <w:sz w:val="24"/>
          <w:szCs w:val="24"/>
          <w:rtl w:val="0"/>
          <w:lang w:val="en-US"/>
        </w:rPr>
        <w:t xml:space="preserve"> While the Equal Treatment Authority was entitled to issue binding decisions and impose fines in case of violations, the Ombudsperson issued non-binding recommendations, whose impact was based mainly on the perceived prestige of the institution. Therefore their functions and tools differed significantly.</w:t>
      </w:r>
      <w:r>
        <w:rPr>
          <w:rStyle w:val="Egyik sem"/>
          <w:rFonts w:ascii="Times New Roman" w:cs="Times New Roman" w:hAnsi="Times New Roman" w:eastAsia="Times New Roman"/>
          <w:sz w:val="24"/>
          <w:szCs w:val="24"/>
          <w:vertAlign w:val="superscript"/>
        </w:rPr>
        <w:footnoteReference w:id="7"/>
      </w:r>
      <w:r>
        <w:rPr>
          <w:rStyle w:val="Egyik sem"/>
          <w:rFonts w:ascii="Times New Roman" w:hAnsi="Times New Roman"/>
          <w:sz w:val="24"/>
          <w:szCs w:val="24"/>
          <w:rtl w:val="0"/>
          <w:lang w:val="en-US"/>
        </w:rPr>
        <w:t xml:space="preserve"> From a women</w:t>
      </w:r>
      <w:r>
        <w:rPr>
          <w:rStyle w:val="Egyik sem"/>
          <w:rFonts w:ascii="Times New Roman" w:hAnsi="Times New Roman" w:hint="default"/>
          <w:sz w:val="24"/>
          <w:szCs w:val="24"/>
          <w:rtl w:val="0"/>
          <w:lang w:val="en-US"/>
        </w:rPr>
        <w:t>’</w:t>
      </w:r>
      <w:r>
        <w:rPr>
          <w:rStyle w:val="Egyik sem"/>
          <w:rFonts w:ascii="Times New Roman" w:hAnsi="Times New Roman"/>
          <w:sz w:val="24"/>
          <w:szCs w:val="24"/>
          <w:rtl w:val="0"/>
          <w:lang w:val="en-US"/>
        </w:rPr>
        <w:t>s rights point of view, related impact assessment of this transformation is not known. In parallel, women</w:t>
      </w:r>
      <w:r>
        <w:rPr>
          <w:rStyle w:val="Egyik sem"/>
          <w:rFonts w:ascii="Times New Roman" w:hAnsi="Times New Roman" w:hint="default"/>
          <w:sz w:val="24"/>
          <w:szCs w:val="24"/>
          <w:rtl w:val="0"/>
          <w:lang w:val="en-US"/>
        </w:rPr>
        <w:t>’</w:t>
      </w:r>
      <w:r>
        <w:rPr>
          <w:rStyle w:val="Egyik sem"/>
          <w:rFonts w:ascii="Times New Roman" w:hAnsi="Times New Roman"/>
          <w:sz w:val="24"/>
          <w:szCs w:val="24"/>
          <w:rtl w:val="0"/>
          <w:lang w:val="en-US"/>
        </w:rPr>
        <w:t>s rights NGOs report that even before the practice of the Commissioner for Fundamental Rights lacked adequate attention to violation of women</w:t>
      </w:r>
      <w:r>
        <w:rPr>
          <w:rStyle w:val="Egyik sem"/>
          <w:rFonts w:ascii="Times New Roman" w:hAnsi="Times New Roman" w:hint="default"/>
          <w:sz w:val="24"/>
          <w:szCs w:val="24"/>
          <w:rtl w:val="0"/>
          <w:lang w:val="en-US"/>
        </w:rPr>
        <w:t>’</w:t>
      </w:r>
      <w:r>
        <w:rPr>
          <w:rStyle w:val="Egyik sem"/>
          <w:rFonts w:ascii="Times New Roman" w:hAnsi="Times New Roman"/>
          <w:sz w:val="24"/>
          <w:szCs w:val="24"/>
          <w:rtl w:val="0"/>
          <w:lang w:val="en-US"/>
        </w:rPr>
        <w:t>s rights, and the Commissioner had not utilized the potential to highlight the importance of women</w:t>
      </w:r>
      <w:r>
        <w:rPr>
          <w:rStyle w:val="Egyik sem"/>
          <w:rFonts w:ascii="Times New Roman" w:hAnsi="Times New Roman" w:hint="default"/>
          <w:sz w:val="24"/>
          <w:szCs w:val="24"/>
          <w:rtl w:val="0"/>
          <w:lang w:val="en-US"/>
        </w:rPr>
        <w:t>’</w:t>
      </w:r>
      <w:r>
        <w:rPr>
          <w:rStyle w:val="Egyik sem"/>
          <w:rFonts w:ascii="Times New Roman" w:hAnsi="Times New Roman"/>
          <w:sz w:val="24"/>
          <w:szCs w:val="24"/>
          <w:rtl w:val="0"/>
          <w:lang w:val="en-US"/>
        </w:rPr>
        <w:t>s rights protection.</w:t>
      </w:r>
      <w:r>
        <w:rPr>
          <w:rStyle w:val="Egyik sem"/>
          <w:rFonts w:ascii="Times New Roman" w:cs="Times New Roman" w:hAnsi="Times New Roman" w:eastAsia="Times New Roman"/>
          <w:sz w:val="24"/>
          <w:szCs w:val="24"/>
          <w:vertAlign w:val="superscript"/>
        </w:rPr>
        <w:footnoteReference w:id="8"/>
      </w:r>
    </w:p>
    <w:p>
      <w:pPr>
        <w:pStyle w:val="Szövegtörzs A"/>
        <w:spacing w:line="240" w:lineRule="auto"/>
        <w:jc w:val="both"/>
        <w:rPr>
          <w:rStyle w:val="Egyik sem"/>
          <w:rFonts w:ascii="Times New Roman" w:cs="Times New Roman" w:hAnsi="Times New Roman" w:eastAsia="Times New Roman"/>
          <w:sz w:val="24"/>
          <w:szCs w:val="24"/>
        </w:rPr>
      </w:pPr>
    </w:p>
    <w:p>
      <w:pPr>
        <w:pStyle w:val="Szövegtörzs A"/>
        <w:spacing w:line="240" w:lineRule="auto"/>
        <w:jc w:val="both"/>
        <w:rPr>
          <w:rStyle w:val="Egyik sem"/>
          <w:rFonts w:ascii="Times New Roman" w:cs="Times New Roman" w:hAnsi="Times New Roman" w:eastAsia="Times New Roman"/>
          <w:sz w:val="24"/>
          <w:szCs w:val="24"/>
        </w:rPr>
      </w:pPr>
      <w:r>
        <w:rPr>
          <w:rStyle w:val="Egyik sem"/>
          <w:rFonts w:ascii="Times New Roman" w:hAnsi="Times New Roman"/>
          <w:sz w:val="24"/>
          <w:szCs w:val="24"/>
          <w:rtl w:val="0"/>
          <w:lang w:val="en-US"/>
        </w:rPr>
        <w:t>In the Parliamentary structure, no special body exists for women</w:t>
      </w:r>
      <w:r>
        <w:rPr>
          <w:rStyle w:val="Egyik sem"/>
          <w:rFonts w:ascii="Times New Roman" w:hAnsi="Times New Roman" w:hint="default"/>
          <w:sz w:val="24"/>
          <w:szCs w:val="24"/>
          <w:rtl w:val="0"/>
          <w:lang w:val="en-US"/>
        </w:rPr>
        <w:t>’</w:t>
      </w:r>
      <w:r>
        <w:rPr>
          <w:rStyle w:val="Egyik sem"/>
          <w:rFonts w:ascii="Times New Roman" w:hAnsi="Times New Roman"/>
          <w:sz w:val="24"/>
          <w:szCs w:val="24"/>
          <w:rtl w:val="0"/>
          <w:lang w:val="en-US"/>
        </w:rPr>
        <w:t>s rights/issues. Currently, in the Committee on People</w:t>
      </w:r>
      <w:r>
        <w:rPr>
          <w:rStyle w:val="Egyik sem"/>
          <w:rFonts w:ascii="Times New Roman" w:hAnsi="Times New Roman" w:hint="default"/>
          <w:sz w:val="24"/>
          <w:szCs w:val="24"/>
          <w:rtl w:val="0"/>
          <w:lang w:val="en-US"/>
        </w:rPr>
        <w:t>’</w:t>
      </w:r>
      <w:r>
        <w:rPr>
          <w:rStyle w:val="Egyik sem"/>
          <w:rFonts w:ascii="Times New Roman" w:hAnsi="Times New Roman"/>
          <w:sz w:val="24"/>
          <w:szCs w:val="24"/>
          <w:rtl w:val="0"/>
          <w:lang w:val="en-US"/>
        </w:rPr>
        <w:t>s Welfare, a Subcommittee for Equal Opportunities operates. In the two previous Parliamentary cycles, under the Committee on Culture, there was a Subcommittee for Women</w:t>
      </w:r>
      <w:r>
        <w:rPr>
          <w:rStyle w:val="Egyik sem"/>
          <w:rFonts w:ascii="Times New Roman" w:hAnsi="Times New Roman" w:hint="default"/>
          <w:sz w:val="24"/>
          <w:szCs w:val="24"/>
          <w:rtl w:val="0"/>
          <w:lang w:val="en-US"/>
        </w:rPr>
        <w:t>’</w:t>
      </w:r>
      <w:r>
        <w:rPr>
          <w:rStyle w:val="Egyik sem"/>
          <w:rFonts w:ascii="Times New Roman" w:hAnsi="Times New Roman"/>
          <w:sz w:val="24"/>
          <w:szCs w:val="24"/>
          <w:rtl w:val="0"/>
          <w:lang w:val="en-US"/>
        </w:rPr>
        <w:t>s Dignity. In the cycle of 2018-2022 it had three members, all from the governing parties, and no meetings were convened.</w:t>
      </w:r>
      <w:r>
        <w:rPr>
          <w:rStyle w:val="Egyik sem"/>
          <w:rFonts w:ascii="Times New Roman" w:cs="Times New Roman" w:hAnsi="Times New Roman" w:eastAsia="Times New Roman"/>
          <w:sz w:val="24"/>
          <w:szCs w:val="24"/>
          <w:vertAlign w:val="superscript"/>
        </w:rPr>
        <w:footnoteReference w:id="9"/>
      </w:r>
    </w:p>
    <w:p>
      <w:pPr>
        <w:pStyle w:val="Szövegtörzs A"/>
        <w:spacing w:line="240" w:lineRule="auto"/>
        <w:rPr>
          <w:rStyle w:val="Egyik sem"/>
          <w:rFonts w:ascii="Times New Roman" w:cs="Times New Roman" w:hAnsi="Times New Roman" w:eastAsia="Times New Roman"/>
          <w:sz w:val="24"/>
          <w:szCs w:val="24"/>
        </w:rPr>
      </w:pPr>
    </w:p>
    <w:p>
      <w:pPr>
        <w:pStyle w:val="Szövegtörzs A"/>
        <w:spacing w:line="240" w:lineRule="auto"/>
        <w:jc w:val="both"/>
        <w:rPr>
          <w:rStyle w:val="Egyik sem"/>
          <w:rFonts w:ascii="Times New Roman" w:cs="Times New Roman" w:hAnsi="Times New Roman" w:eastAsia="Times New Roman"/>
          <w:sz w:val="24"/>
          <w:szCs w:val="24"/>
        </w:rPr>
      </w:pPr>
      <w:r>
        <w:rPr>
          <w:rStyle w:val="Egyik sem"/>
          <w:rFonts w:ascii="Times New Roman" w:hAnsi="Times New Roman"/>
          <w:sz w:val="24"/>
          <w:szCs w:val="24"/>
          <w:rtl w:val="0"/>
          <w:lang w:val="en-US"/>
        </w:rPr>
        <w:t xml:space="preserve">As for the </w:t>
      </w:r>
      <w:r>
        <w:rPr>
          <w:rStyle w:val="Egyik sem"/>
          <w:rFonts w:ascii="Times New Roman" w:hAnsi="Times New Roman"/>
          <w:b w:val="1"/>
          <w:bCs w:val="1"/>
          <w:sz w:val="24"/>
          <w:szCs w:val="24"/>
          <w:rtl w:val="0"/>
          <w:lang w:val="en-US"/>
        </w:rPr>
        <w:t>state-NGO relationship</w:t>
      </w:r>
      <w:r>
        <w:rPr>
          <w:rStyle w:val="Egyik sem"/>
          <w:rFonts w:ascii="Times New Roman" w:hAnsi="Times New Roman"/>
          <w:sz w:val="24"/>
          <w:szCs w:val="24"/>
          <w:rtl w:val="0"/>
          <w:lang w:val="en-US"/>
        </w:rPr>
        <w:t>: the government-led Thematic Working Group for Women</w:t>
      </w:r>
      <w:r>
        <w:rPr>
          <w:rStyle w:val="Egyik sem"/>
          <w:rFonts w:ascii="Times New Roman" w:hAnsi="Times New Roman" w:hint="default"/>
          <w:sz w:val="24"/>
          <w:szCs w:val="24"/>
          <w:rtl w:val="0"/>
          <w:lang w:val="en-US"/>
        </w:rPr>
        <w:t>’</w:t>
      </w:r>
      <w:r>
        <w:rPr>
          <w:rStyle w:val="Egyik sem"/>
          <w:rFonts w:ascii="Times New Roman" w:hAnsi="Times New Roman"/>
          <w:sz w:val="24"/>
          <w:szCs w:val="24"/>
          <w:rtl w:val="0"/>
          <w:lang w:val="en-US"/>
        </w:rPr>
        <w:t>s Rights operates, including women</w:t>
      </w:r>
      <w:r>
        <w:rPr>
          <w:rStyle w:val="Egyik sem"/>
          <w:rFonts w:ascii="Times New Roman" w:hAnsi="Times New Roman" w:hint="default"/>
          <w:sz w:val="24"/>
          <w:szCs w:val="24"/>
          <w:rtl w:val="0"/>
          <w:lang w:val="en-US"/>
        </w:rPr>
        <w:t>’</w:t>
      </w:r>
      <w:r>
        <w:rPr>
          <w:rStyle w:val="Egyik sem"/>
          <w:rFonts w:ascii="Times New Roman" w:hAnsi="Times New Roman"/>
          <w:sz w:val="24"/>
          <w:szCs w:val="24"/>
          <w:rtl w:val="0"/>
          <w:lang w:val="en-US"/>
        </w:rPr>
        <w:t>s rights NGO members. However, several examples show that this forum has rather a formal role and function, and it is not a genuine forum for preparatory work and meaningful consultation. For instance, issues of key importance in the field have not been taken to the agenda, or discussed by the working group, or a short deadline was provided for comments (see examples below).</w:t>
      </w:r>
    </w:p>
    <w:p>
      <w:pPr>
        <w:pStyle w:val="Szövegtörzs A"/>
        <w:spacing w:line="240" w:lineRule="auto"/>
        <w:jc w:val="both"/>
        <w:rPr>
          <w:rStyle w:val="Egyik sem"/>
          <w:rFonts w:ascii="Times New Roman" w:cs="Times New Roman" w:hAnsi="Times New Roman" w:eastAsia="Times New Roman"/>
          <w:sz w:val="24"/>
          <w:szCs w:val="24"/>
        </w:rPr>
      </w:pPr>
    </w:p>
    <w:p>
      <w:pPr>
        <w:pStyle w:val="Szövegtörzs A"/>
        <w:spacing w:line="240" w:lineRule="auto"/>
        <w:jc w:val="both"/>
        <w:rPr>
          <w:rStyle w:val="Egyik sem"/>
          <w:rFonts w:ascii="Times New Roman" w:cs="Times New Roman" w:hAnsi="Times New Roman" w:eastAsia="Times New Roman"/>
          <w:sz w:val="24"/>
          <w:szCs w:val="24"/>
        </w:rPr>
      </w:pPr>
      <w:r>
        <w:rPr>
          <w:rStyle w:val="Egyik sem"/>
          <w:rFonts w:ascii="Times New Roman" w:hAnsi="Times New Roman"/>
          <w:sz w:val="24"/>
          <w:szCs w:val="24"/>
          <w:rtl w:val="0"/>
          <w:lang w:val="en-US"/>
        </w:rPr>
        <w:t xml:space="preserve">At </w:t>
      </w:r>
      <w:r>
        <w:rPr>
          <w:rStyle w:val="Egyik sem"/>
          <w:rFonts w:ascii="Times New Roman" w:hAnsi="Times New Roman"/>
          <w:b w:val="1"/>
          <w:bCs w:val="1"/>
          <w:sz w:val="24"/>
          <w:szCs w:val="24"/>
          <w:rtl w:val="0"/>
        </w:rPr>
        <w:t xml:space="preserve">policy </w:t>
      </w:r>
      <w:r>
        <w:rPr>
          <w:rStyle w:val="Egyik sem"/>
          <w:rFonts w:ascii="Times New Roman" w:hAnsi="Times New Roman"/>
          <w:sz w:val="24"/>
          <w:szCs w:val="24"/>
          <w:rtl w:val="0"/>
          <w:lang w:val="en-US"/>
        </w:rPr>
        <w:t>level, the National Strategy for Gender Equality - Guidelines and Objectives (2010-2021) is still in force; only one action plan was adopted for its implementation for 2010-2011.</w:t>
      </w:r>
      <w:r>
        <w:rPr>
          <w:rStyle w:val="Egyik sem"/>
          <w:rFonts w:ascii="Times New Roman" w:cs="Times New Roman" w:hAnsi="Times New Roman" w:eastAsia="Times New Roman"/>
          <w:sz w:val="24"/>
          <w:szCs w:val="24"/>
          <w:vertAlign w:val="superscript"/>
        </w:rPr>
        <w:footnoteReference w:id="10"/>
      </w:r>
      <w:r>
        <w:rPr>
          <w:rStyle w:val="Egyik sem"/>
          <w:rFonts w:ascii="Times New Roman" w:hAnsi="Times New Roman"/>
          <w:sz w:val="24"/>
          <w:szCs w:val="24"/>
          <w:rtl w:val="0"/>
          <w:lang w:val="en-US"/>
        </w:rPr>
        <w:t xml:space="preserve"> Instead of implementing the existing strategy, the government created a new one, after about a decade: in 2020 a government decision was issued </w:t>
      </w:r>
      <w:r>
        <w:rPr>
          <w:rStyle w:val="Egyik sem"/>
          <w:rFonts w:ascii="Times New Roman" w:hAnsi="Times New Roman" w:hint="default"/>
          <w:sz w:val="24"/>
          <w:szCs w:val="24"/>
          <w:rtl w:val="0"/>
          <w:lang w:val="en-US"/>
        </w:rPr>
        <w:t>“</w:t>
      </w:r>
      <w:r>
        <w:rPr>
          <w:rStyle w:val="Egyik sem"/>
          <w:rFonts w:ascii="Times New Roman" w:hAnsi="Times New Roman"/>
          <w:sz w:val="24"/>
          <w:szCs w:val="24"/>
          <w:rtl w:val="0"/>
          <w:lang w:val="en-US"/>
        </w:rPr>
        <w:t xml:space="preserve">on the adoption of the Action Plan, elaborated for the European Union, on </w:t>
      </w:r>
      <w:r>
        <w:rPr>
          <w:rStyle w:val="Egyik sem"/>
          <w:rFonts w:ascii="Times New Roman" w:hAnsi="Times New Roman" w:hint="default"/>
          <w:sz w:val="24"/>
          <w:szCs w:val="24"/>
          <w:rtl w:val="0"/>
          <w:lang w:val="en-US"/>
        </w:rPr>
        <w:t>“</w:t>
      </w:r>
      <w:r>
        <w:rPr>
          <w:rStyle w:val="Egyik sem"/>
          <w:rFonts w:ascii="Times New Roman" w:hAnsi="Times New Roman"/>
          <w:sz w:val="24"/>
          <w:szCs w:val="24"/>
          <w:rtl w:val="0"/>
          <w:lang w:val="en-US"/>
        </w:rPr>
        <w:t>strengthening the role of women in the family and in the society</w:t>
      </w:r>
      <w:r>
        <w:rPr>
          <w:rStyle w:val="Egyik sem"/>
          <w:rFonts w:ascii="Times New Roman" w:hAnsi="Times New Roman" w:hint="default"/>
          <w:sz w:val="24"/>
          <w:szCs w:val="24"/>
          <w:rtl w:val="0"/>
          <w:lang w:val="en-US"/>
        </w:rPr>
        <w:t xml:space="preserve">” </w:t>
      </w:r>
      <w:r>
        <w:rPr>
          <w:rStyle w:val="Egyik sem"/>
          <w:rFonts w:ascii="Times New Roman" w:hAnsi="Times New Roman"/>
          <w:sz w:val="24"/>
          <w:szCs w:val="24"/>
          <w:rtl w:val="0"/>
          <w:lang w:val="en-US"/>
        </w:rPr>
        <w:t>(2021-2030), and of the first Plan of Measures for 2021-2022 for its implementation.</w:t>
      </w:r>
      <w:r>
        <w:rPr>
          <w:rStyle w:val="Egyik sem"/>
          <w:rFonts w:ascii="Times New Roman" w:hAnsi="Times New Roman" w:hint="default"/>
          <w:sz w:val="24"/>
          <w:szCs w:val="24"/>
          <w:rtl w:val="0"/>
          <w:lang w:val="en-US"/>
        </w:rPr>
        <w:t>”</w:t>
      </w:r>
      <w:r>
        <w:rPr>
          <w:rStyle w:val="Egyik sem"/>
          <w:rFonts w:ascii="Times New Roman" w:cs="Times New Roman" w:hAnsi="Times New Roman" w:eastAsia="Times New Roman"/>
          <w:sz w:val="24"/>
          <w:szCs w:val="24"/>
          <w:vertAlign w:val="superscript"/>
        </w:rPr>
        <w:footnoteReference w:id="11"/>
      </w:r>
      <w:r>
        <w:rPr>
          <w:rStyle w:val="Egyik sem"/>
          <w:rFonts w:ascii="Times New Roman" w:hAnsi="Times New Roman"/>
          <w:sz w:val="24"/>
          <w:szCs w:val="24"/>
          <w:rtl w:val="0"/>
          <w:lang w:val="en-US"/>
        </w:rPr>
        <w:t xml:space="preserve"> Government actors justified the need to adopt the document with access to and absorb EU funding.</w:t>
      </w:r>
      <w:r>
        <w:rPr>
          <w:rStyle w:val="Egyik sem"/>
          <w:rFonts w:ascii="Times New Roman" w:cs="Times New Roman" w:hAnsi="Times New Roman" w:eastAsia="Times New Roman"/>
          <w:sz w:val="24"/>
          <w:szCs w:val="24"/>
          <w:vertAlign w:val="superscript"/>
        </w:rPr>
        <w:footnoteReference w:id="12"/>
      </w:r>
    </w:p>
    <w:p>
      <w:pPr>
        <w:pStyle w:val="Szövegtörzs A"/>
        <w:spacing w:line="240" w:lineRule="auto"/>
        <w:jc w:val="both"/>
        <w:rPr>
          <w:rStyle w:val="Egyik sem"/>
          <w:rFonts w:ascii="Times New Roman" w:cs="Times New Roman" w:hAnsi="Times New Roman" w:eastAsia="Times New Roman"/>
          <w:sz w:val="24"/>
          <w:szCs w:val="24"/>
        </w:rPr>
      </w:pPr>
      <w:r>
        <w:rPr>
          <w:rStyle w:val="Egyik sem"/>
          <w:rFonts w:ascii="Times New Roman" w:hAnsi="Times New Roman"/>
          <w:sz w:val="24"/>
          <w:szCs w:val="24"/>
          <w:rtl w:val="0"/>
          <w:lang w:val="en-US"/>
        </w:rPr>
        <w:t>The Action Plan itself is not included in the above mentioned government decision, or in any other legal norms, therefore lacks a legal value and accountability. Actually it was made public on the government portal after the adoption of the government decision (that included the Plan of Measures of the not-yet-public Action Plan). In 2022, the Action Plan was modified, and the Plan of Measures for 2023-2024 was also adopted.</w:t>
      </w:r>
      <w:r>
        <w:rPr>
          <w:rStyle w:val="Egyik sem"/>
          <w:rFonts w:ascii="Times New Roman" w:cs="Times New Roman" w:hAnsi="Times New Roman" w:eastAsia="Times New Roman"/>
          <w:sz w:val="24"/>
          <w:szCs w:val="24"/>
          <w:vertAlign w:val="superscript"/>
        </w:rPr>
        <w:footnoteReference w:id="13"/>
      </w:r>
      <w:r>
        <w:rPr>
          <w:rStyle w:val="Egyik sem"/>
          <w:rFonts w:ascii="Times New Roman" w:hAnsi="Times New Roman"/>
          <w:sz w:val="24"/>
          <w:szCs w:val="24"/>
          <w:rtl w:val="0"/>
          <w:lang w:val="en-US"/>
        </w:rPr>
        <w:t xml:space="preserve"> While this Plan of Measures is included in the respective norm, the modified Action Plan not.</w:t>
      </w:r>
    </w:p>
    <w:p>
      <w:pPr>
        <w:pStyle w:val="Szövegtörzs A"/>
        <w:spacing w:line="240" w:lineRule="auto"/>
        <w:jc w:val="both"/>
        <w:rPr>
          <w:rStyle w:val="Egyik sem"/>
          <w:rFonts w:ascii="Times New Roman" w:cs="Times New Roman" w:hAnsi="Times New Roman" w:eastAsia="Times New Roman"/>
          <w:sz w:val="24"/>
          <w:szCs w:val="24"/>
        </w:rPr>
      </w:pPr>
      <w:r>
        <w:rPr>
          <w:rStyle w:val="Egyik sem"/>
          <w:rFonts w:ascii="Times New Roman" w:hAnsi="Times New Roman"/>
          <w:sz w:val="24"/>
          <w:szCs w:val="24"/>
          <w:rtl w:val="0"/>
          <w:lang w:val="en-US"/>
        </w:rPr>
        <w:t>A working group was established for the elaboration of the Action plan, it had members only from the respective ministry, and the president of the Maria Kopp Institute for Demography and Families founded by the Government.</w:t>
      </w:r>
      <w:r>
        <w:rPr>
          <w:rStyle w:val="Egyik sem"/>
          <w:rFonts w:ascii="Times New Roman" w:cs="Times New Roman" w:hAnsi="Times New Roman" w:eastAsia="Times New Roman"/>
          <w:sz w:val="24"/>
          <w:szCs w:val="24"/>
          <w:vertAlign w:val="superscript"/>
        </w:rPr>
        <w:footnoteReference w:id="14"/>
      </w:r>
      <w:r>
        <w:rPr>
          <w:rStyle w:val="Egyik sem"/>
          <w:rFonts w:ascii="Times New Roman" w:hAnsi="Times New Roman"/>
          <w:sz w:val="24"/>
          <w:szCs w:val="24"/>
          <w:rtl w:val="0"/>
          <w:lang w:val="en-US"/>
        </w:rPr>
        <w:t xml:space="preserve"> Civil society experts such as women</w:t>
      </w:r>
      <w:r>
        <w:rPr>
          <w:rStyle w:val="Egyik sem"/>
          <w:rFonts w:ascii="Times New Roman" w:hAnsi="Times New Roman" w:hint="default"/>
          <w:sz w:val="24"/>
          <w:szCs w:val="24"/>
          <w:rtl w:val="0"/>
          <w:lang w:val="en-US"/>
        </w:rPr>
        <w:t>’</w:t>
      </w:r>
      <w:r>
        <w:rPr>
          <w:rStyle w:val="Egyik sem"/>
          <w:rFonts w:ascii="Times New Roman" w:hAnsi="Times New Roman"/>
          <w:sz w:val="24"/>
          <w:szCs w:val="24"/>
          <w:rtl w:val="0"/>
          <w:lang w:val="en-US"/>
        </w:rPr>
        <w:t>s rights organisations were not involved in developing the Action Plan</w:t>
      </w:r>
      <w:r>
        <w:rPr>
          <w:rStyle w:val="Egyik sem"/>
          <w:rFonts w:ascii="Times New Roman" w:hAnsi="Times New Roman" w:hint="default"/>
          <w:sz w:val="24"/>
          <w:szCs w:val="24"/>
          <w:rtl w:val="0"/>
          <w:lang w:val="en-US"/>
        </w:rPr>
        <w:t>’</w:t>
      </w:r>
      <w:r>
        <w:rPr>
          <w:rStyle w:val="Egyik sem"/>
          <w:rFonts w:ascii="Times New Roman" w:hAnsi="Times New Roman"/>
          <w:sz w:val="24"/>
          <w:szCs w:val="24"/>
          <w:rtl w:val="0"/>
          <w:lang w:val="en-US"/>
        </w:rPr>
        <w:t>s and the Plan of Measures</w:t>
      </w:r>
      <w:r>
        <w:rPr>
          <w:rStyle w:val="Egyik sem"/>
          <w:rFonts w:ascii="Times New Roman" w:hAnsi="Times New Roman" w:hint="default"/>
          <w:sz w:val="24"/>
          <w:szCs w:val="24"/>
          <w:rtl w:val="0"/>
          <w:lang w:val="en-US"/>
        </w:rPr>
        <w:t xml:space="preserve">’ </w:t>
      </w:r>
      <w:r>
        <w:rPr>
          <w:rStyle w:val="Egyik sem"/>
          <w:rFonts w:ascii="Times New Roman" w:hAnsi="Times New Roman"/>
          <w:sz w:val="24"/>
          <w:szCs w:val="24"/>
          <w:rtl w:val="0"/>
          <w:lang w:val="en-US"/>
        </w:rPr>
        <w:t>concept and content. Members of the government-led Thematic Working Group on Women</w:t>
      </w:r>
      <w:r>
        <w:rPr>
          <w:rStyle w:val="Egyik sem"/>
          <w:rFonts w:ascii="Times New Roman" w:hAnsi="Times New Roman" w:hint="default"/>
          <w:sz w:val="24"/>
          <w:szCs w:val="24"/>
          <w:rtl w:val="0"/>
          <w:lang w:val="en-US"/>
        </w:rPr>
        <w:t>’</w:t>
      </w:r>
      <w:r>
        <w:rPr>
          <w:rStyle w:val="Egyik sem"/>
          <w:rFonts w:ascii="Times New Roman" w:hAnsi="Times New Roman"/>
          <w:sz w:val="24"/>
          <w:szCs w:val="24"/>
          <w:rtl w:val="0"/>
          <w:lang w:val="en-US"/>
        </w:rPr>
        <w:t>s Rights were only provided with a 2-days deadline for commenting on a short working document; the opinions and recommendations of women</w:t>
      </w:r>
      <w:r>
        <w:rPr>
          <w:rStyle w:val="Egyik sem"/>
          <w:rFonts w:ascii="Times New Roman" w:hAnsi="Times New Roman" w:hint="default"/>
          <w:sz w:val="24"/>
          <w:szCs w:val="24"/>
          <w:rtl w:val="0"/>
          <w:lang w:val="en-US"/>
        </w:rPr>
        <w:t>’</w:t>
      </w:r>
      <w:r>
        <w:rPr>
          <w:rStyle w:val="Egyik sem"/>
          <w:rFonts w:ascii="Times New Roman" w:hAnsi="Times New Roman"/>
          <w:sz w:val="24"/>
          <w:szCs w:val="24"/>
          <w:rtl w:val="0"/>
          <w:lang w:val="en-US"/>
        </w:rPr>
        <w:t>s rights NGOs were not utilised. Women</w:t>
      </w:r>
      <w:r>
        <w:rPr>
          <w:rStyle w:val="Egyik sem"/>
          <w:rFonts w:ascii="Times New Roman" w:hAnsi="Times New Roman" w:hint="default"/>
          <w:sz w:val="24"/>
          <w:szCs w:val="24"/>
          <w:rtl w:val="0"/>
          <w:lang w:val="en-US"/>
        </w:rPr>
        <w:t>’</w:t>
      </w:r>
      <w:r>
        <w:rPr>
          <w:rStyle w:val="Egyik sem"/>
          <w:rFonts w:ascii="Times New Roman" w:hAnsi="Times New Roman"/>
          <w:sz w:val="24"/>
          <w:szCs w:val="24"/>
          <w:rtl w:val="0"/>
          <w:lang w:val="en-US"/>
        </w:rPr>
        <w:t>s rights NGOs were not involved in consultation and conciliation about the modification of the Action Plan and the elaboration of the new Plan of Measures, either.</w:t>
      </w:r>
    </w:p>
    <w:p>
      <w:pPr>
        <w:pStyle w:val="Szövegtörzs A"/>
        <w:spacing w:line="240" w:lineRule="auto"/>
        <w:jc w:val="both"/>
        <w:rPr>
          <w:rStyle w:val="Egyik sem"/>
          <w:rFonts w:ascii="Times New Roman" w:cs="Times New Roman" w:hAnsi="Times New Roman" w:eastAsia="Times New Roman"/>
          <w:sz w:val="24"/>
          <w:szCs w:val="24"/>
        </w:rPr>
      </w:pPr>
      <w:r>
        <w:rPr>
          <w:rStyle w:val="Egyik sem"/>
          <w:rFonts w:ascii="Times New Roman" w:hAnsi="Times New Roman"/>
          <w:sz w:val="24"/>
          <w:szCs w:val="24"/>
          <w:rtl w:val="0"/>
          <w:lang w:val="en-US"/>
        </w:rPr>
        <w:t>The Action Plan does not follow a comprehensive approach that would cover all relevant women</w:t>
      </w:r>
      <w:r>
        <w:rPr>
          <w:rStyle w:val="Egyik sem"/>
          <w:rFonts w:ascii="Times New Roman" w:hAnsi="Times New Roman" w:hint="default"/>
          <w:sz w:val="24"/>
          <w:szCs w:val="24"/>
          <w:rtl w:val="0"/>
          <w:lang w:val="en-US"/>
        </w:rPr>
        <w:t>’</w:t>
      </w:r>
      <w:r>
        <w:rPr>
          <w:rStyle w:val="Egyik sem"/>
          <w:rFonts w:ascii="Times New Roman" w:hAnsi="Times New Roman"/>
          <w:sz w:val="24"/>
          <w:szCs w:val="24"/>
          <w:rtl w:val="0"/>
          <w:lang w:val="en-US"/>
        </w:rPr>
        <w:t>s rights policy fields. For instance, the issue of violence against women (VAW) was not even mentioned in the first version of the Action Plan. The modified version contains information on the problem, but it is not included among the priority specific goals and related measures.</w:t>
      </w:r>
    </w:p>
    <w:p>
      <w:pPr>
        <w:pStyle w:val="Szövegtörzs A"/>
        <w:spacing w:line="240" w:lineRule="auto"/>
        <w:jc w:val="both"/>
        <w:rPr>
          <w:rStyle w:val="Egyik sem"/>
          <w:rFonts w:ascii="Times New Roman" w:cs="Times New Roman" w:hAnsi="Times New Roman" w:eastAsia="Times New Roman"/>
          <w:sz w:val="24"/>
          <w:szCs w:val="24"/>
        </w:rPr>
      </w:pPr>
    </w:p>
    <w:p>
      <w:pPr>
        <w:pStyle w:val="Szövegtörzs A"/>
        <w:spacing w:line="240" w:lineRule="auto"/>
        <w:jc w:val="both"/>
        <w:rPr>
          <w:rStyle w:val="Egyik sem"/>
          <w:rFonts w:ascii="Times New Roman" w:cs="Times New Roman" w:hAnsi="Times New Roman" w:eastAsia="Times New Roman"/>
          <w:sz w:val="24"/>
          <w:szCs w:val="24"/>
        </w:rPr>
      </w:pPr>
      <w:r>
        <w:rPr>
          <w:rStyle w:val="Egyik sem"/>
          <w:rFonts w:ascii="Times New Roman" w:hAnsi="Times New Roman"/>
          <w:sz w:val="24"/>
          <w:szCs w:val="24"/>
          <w:rtl w:val="0"/>
          <w:lang w:val="en-US"/>
        </w:rPr>
        <w:t xml:space="preserve">In order to mitigate the negative effects of the coronavirus pandemic, the EU established a Recovery and Resilience Facility; under this framework member states submitted </w:t>
      </w:r>
      <w:r>
        <w:rPr>
          <w:rStyle w:val="Egyik sem"/>
          <w:rFonts w:ascii="Times New Roman" w:hAnsi="Times New Roman"/>
          <w:b w:val="1"/>
          <w:bCs w:val="1"/>
          <w:sz w:val="24"/>
          <w:szCs w:val="24"/>
          <w:rtl w:val="0"/>
          <w:lang w:val="en-US"/>
        </w:rPr>
        <w:t xml:space="preserve">national recovery and resilience plans </w:t>
      </w:r>
      <w:r>
        <w:rPr>
          <w:rStyle w:val="Egyik sem"/>
          <w:rFonts w:ascii="Times New Roman" w:hAnsi="Times New Roman"/>
          <w:sz w:val="24"/>
          <w:szCs w:val="24"/>
          <w:rtl w:val="0"/>
          <w:lang w:val="en-US"/>
        </w:rPr>
        <w:t>(RRP). For Hungary, the most active women</w:t>
      </w:r>
      <w:r>
        <w:rPr>
          <w:rStyle w:val="Egyik sem"/>
          <w:rFonts w:ascii="Times New Roman" w:hAnsi="Times New Roman" w:hint="default"/>
          <w:sz w:val="24"/>
          <w:szCs w:val="24"/>
          <w:rtl w:val="0"/>
          <w:lang w:val="en-US"/>
        </w:rPr>
        <w:t>’</w:t>
      </w:r>
      <w:r>
        <w:rPr>
          <w:rStyle w:val="Egyik sem"/>
          <w:rFonts w:ascii="Times New Roman" w:hAnsi="Times New Roman"/>
          <w:sz w:val="24"/>
          <w:szCs w:val="24"/>
          <w:rtl w:val="0"/>
          <w:lang w:val="en-US"/>
        </w:rPr>
        <w:t xml:space="preserve">s rights NGOs in policy issues were not involved in the drafting process of the document, although close to 500 stakeholders were approached for partnership and review. According to the assessment of these NGOs, the RRP </w:t>
      </w:r>
      <w:r>
        <w:rPr>
          <w:rStyle w:val="Egyik sem"/>
          <w:rFonts w:ascii="Times New Roman" w:hAnsi="Times New Roman" w:hint="default"/>
          <w:sz w:val="24"/>
          <w:szCs w:val="24"/>
          <w:rtl w:val="0"/>
          <w:lang w:val="en-US"/>
        </w:rPr>
        <w:t>“</w:t>
      </w:r>
      <w:r>
        <w:rPr>
          <w:rStyle w:val="Egyik sem"/>
          <w:rFonts w:ascii="Times New Roman" w:hAnsi="Times New Roman"/>
          <w:sz w:val="24"/>
          <w:szCs w:val="24"/>
          <w:rtl w:val="0"/>
          <w:lang w:val="en-US"/>
        </w:rPr>
        <w:t>suffers from fundamental shortcomings in terms of gender equality and the enforcement of women's rights. The RRP does not include the main problems and challenges related to the subject. There is a lack of reforms and measures planned for the various target groups of women particularly affected by the epidemic. Moreover, several social problems that came to the fore or worsened in connection with the Covid-19 pandemic are not reflected at all in the plan</w:t>
      </w:r>
      <w:r>
        <w:rPr>
          <w:rStyle w:val="Egyik sem"/>
          <w:rFonts w:ascii="Times New Roman" w:hAnsi="Times New Roman" w:hint="default"/>
          <w:sz w:val="24"/>
          <w:szCs w:val="24"/>
          <w:rtl w:val="0"/>
          <w:lang w:val="en-US"/>
        </w:rPr>
        <w:t xml:space="preserve">… </w:t>
      </w:r>
      <w:r>
        <w:rPr>
          <w:rStyle w:val="Egyik sem"/>
          <w:rFonts w:ascii="Times New Roman" w:hAnsi="Times New Roman"/>
          <w:sz w:val="24"/>
          <w:szCs w:val="24"/>
          <w:rtl w:val="0"/>
          <w:lang w:val="en-US"/>
        </w:rPr>
        <w:t>Equality between women and men does not appear as a goal and aspect in the sections on the goals of RRP and the most important aims of RRP</w:t>
      </w:r>
      <w:r>
        <w:rPr>
          <w:rStyle w:val="Egyik sem"/>
          <w:rFonts w:ascii="Times New Roman" w:hAnsi="Times New Roman" w:hint="default"/>
          <w:sz w:val="24"/>
          <w:szCs w:val="24"/>
          <w:rtl w:val="0"/>
          <w:lang w:val="en-US"/>
        </w:rPr>
        <w:t>’</w:t>
      </w:r>
      <w:r>
        <w:rPr>
          <w:rStyle w:val="Egyik sem"/>
          <w:rFonts w:ascii="Times New Roman" w:hAnsi="Times New Roman"/>
          <w:sz w:val="24"/>
          <w:szCs w:val="24"/>
          <w:rtl w:val="0"/>
          <w:lang w:val="en-US"/>
        </w:rPr>
        <w:t>s components. Although the document contains some related relevant objectives and measures for certain components, reforms and measures targeting specifically women - in their own right - appears in only one case</w:t>
      </w:r>
      <w:r>
        <w:rPr>
          <w:rStyle w:val="Egyik sem"/>
          <w:rFonts w:ascii="Times New Roman" w:hAnsi="Times New Roman" w:hint="default"/>
          <w:sz w:val="24"/>
          <w:szCs w:val="24"/>
          <w:rtl w:val="0"/>
          <w:lang w:val="en-US"/>
        </w:rPr>
        <w:t xml:space="preserve">… </w:t>
      </w:r>
      <w:r>
        <w:rPr>
          <w:rStyle w:val="Egyik sem"/>
          <w:rFonts w:ascii="Times New Roman" w:hAnsi="Times New Roman"/>
          <w:sz w:val="24"/>
          <w:szCs w:val="24"/>
          <w:rtl w:val="0"/>
          <w:lang w:val="en-US"/>
        </w:rPr>
        <w:t xml:space="preserve">Among the problems the RRP fails to address it is essential to mention violence against women, and within that, specifically domestic violence and intimate partner violence </w:t>
      </w:r>
      <w:r>
        <w:rPr>
          <w:rStyle w:val="Egyik sem"/>
          <w:rFonts w:ascii="Times New Roman" w:hAnsi="Times New Roman" w:hint="default"/>
          <w:sz w:val="24"/>
          <w:szCs w:val="24"/>
          <w:rtl w:val="0"/>
          <w:lang w:val="en-US"/>
        </w:rPr>
        <w:t>”</w:t>
      </w:r>
      <w:r>
        <w:rPr>
          <w:rStyle w:val="Egyik sem"/>
          <w:rFonts w:ascii="Times New Roman" w:cs="Times New Roman" w:hAnsi="Times New Roman" w:eastAsia="Times New Roman"/>
          <w:sz w:val="24"/>
          <w:szCs w:val="24"/>
          <w:vertAlign w:val="superscript"/>
        </w:rPr>
        <w:footnoteReference w:id="15"/>
      </w:r>
      <w:r>
        <w:rPr>
          <w:rStyle w:val="Egyik sem"/>
          <w:rFonts w:ascii="Times New Roman" w:hAnsi="Times New Roman"/>
          <w:sz w:val="24"/>
          <w:szCs w:val="24"/>
          <w:rtl w:val="0"/>
        </w:rPr>
        <w:t xml:space="preserve"> </w:t>
      </w:r>
    </w:p>
    <w:p>
      <w:pPr>
        <w:pStyle w:val="Szövegtörzs A"/>
        <w:spacing w:line="240" w:lineRule="auto"/>
        <w:jc w:val="both"/>
        <w:rPr>
          <w:rStyle w:val="Egyik sem"/>
          <w:rFonts w:ascii="Times New Roman" w:cs="Times New Roman" w:hAnsi="Times New Roman" w:eastAsia="Times New Roman"/>
          <w:sz w:val="24"/>
          <w:szCs w:val="24"/>
        </w:rPr>
      </w:pPr>
      <w:r>
        <w:rPr>
          <w:rStyle w:val="Egyik sem"/>
          <w:rFonts w:ascii="Times New Roman" w:hAnsi="Times New Roman"/>
          <w:sz w:val="24"/>
          <w:szCs w:val="24"/>
          <w:rtl w:val="0"/>
          <w:lang w:val="en-US"/>
        </w:rPr>
        <w:t xml:space="preserve">The absence of a comprehensive, strong legal and policy foundation to advance and realise women's rights creates an obstacle to duly address </w:t>
      </w:r>
      <w:r>
        <w:rPr>
          <w:rStyle w:val="Egyik sem"/>
          <w:rFonts w:ascii="Times New Roman" w:hAnsi="Times New Roman"/>
          <w:b w:val="1"/>
          <w:bCs w:val="1"/>
          <w:sz w:val="24"/>
          <w:szCs w:val="24"/>
          <w:rtl w:val="0"/>
          <w:lang w:val="en-US"/>
        </w:rPr>
        <w:t>multiple and intersecting forms of discrimination</w:t>
      </w:r>
      <w:r>
        <w:rPr>
          <w:rStyle w:val="Egyik sem"/>
          <w:rFonts w:ascii="Times New Roman" w:hAnsi="Times New Roman"/>
          <w:sz w:val="24"/>
          <w:szCs w:val="24"/>
          <w:rtl w:val="0"/>
          <w:lang w:val="en-US"/>
        </w:rPr>
        <w:t xml:space="preserve"> against women, such as Roma women, lesbian women, women with disabilities, and migrant or refugee women. There are shortcomings in taking into consideration the specific situations and in meeting the needs of the groups of women who are vulnerable to multiple or intersectional discrimination, across policy fields, from social and health care, through reproductive rights, to addressing violence against women, to mention but a few.</w:t>
      </w:r>
    </w:p>
    <w:p>
      <w:pPr>
        <w:pStyle w:val="Szövegtörzs A"/>
        <w:spacing w:line="240" w:lineRule="auto"/>
        <w:rPr>
          <w:rStyle w:val="Egyik sem"/>
          <w:rFonts w:ascii="Times New Roman" w:cs="Times New Roman" w:hAnsi="Times New Roman" w:eastAsia="Times New Roman"/>
          <w:i w:val="1"/>
          <w:iCs w:val="1"/>
          <w:sz w:val="24"/>
          <w:szCs w:val="24"/>
        </w:rPr>
      </w:pPr>
    </w:p>
    <w:p>
      <w:pPr>
        <w:pStyle w:val="Szövegtörzs A"/>
        <w:spacing w:line="240" w:lineRule="auto"/>
        <w:jc w:val="both"/>
        <w:rPr>
          <w:rStyle w:val="Egyik sem"/>
          <w:rFonts w:ascii="Times New Roman" w:cs="Times New Roman" w:hAnsi="Times New Roman" w:eastAsia="Times New Roman"/>
          <w:i w:val="1"/>
          <w:iCs w:val="1"/>
          <w:sz w:val="24"/>
          <w:szCs w:val="24"/>
        </w:rPr>
      </w:pPr>
      <w:r>
        <w:rPr>
          <w:rStyle w:val="Egyik sem"/>
          <w:rFonts w:ascii="Times New Roman" w:hAnsi="Times New Roman"/>
          <w:i w:val="1"/>
          <w:iCs w:val="1"/>
          <w:sz w:val="24"/>
          <w:szCs w:val="24"/>
          <w:rtl w:val="0"/>
          <w:lang w:val="en-US"/>
        </w:rPr>
        <w:t>Recommendations:</w:t>
      </w:r>
    </w:p>
    <w:p>
      <w:pPr>
        <w:pStyle w:val="Szövegtörzs A"/>
        <w:numPr>
          <w:ilvl w:val="0"/>
          <w:numId w:val="2"/>
        </w:numPr>
        <w:bidi w:val="0"/>
        <w:spacing w:line="240" w:lineRule="auto"/>
        <w:ind w:right="0"/>
        <w:jc w:val="both"/>
        <w:rPr>
          <w:rFonts w:ascii="Times New Roman" w:hAnsi="Times New Roman"/>
          <w:i w:val="1"/>
          <w:iCs w:val="1"/>
          <w:sz w:val="24"/>
          <w:szCs w:val="24"/>
          <w:rtl w:val="0"/>
          <w:lang w:val="en-US"/>
        </w:rPr>
      </w:pPr>
      <w:r>
        <w:rPr>
          <w:rStyle w:val="Egyik sem"/>
          <w:rFonts w:ascii="Times New Roman" w:hAnsi="Times New Roman"/>
          <w:i w:val="1"/>
          <w:iCs w:val="1"/>
          <w:sz w:val="24"/>
          <w:szCs w:val="24"/>
          <w:rtl w:val="0"/>
          <w:lang w:val="en-US"/>
        </w:rPr>
        <w:t xml:space="preserve">Guarantee that within the state/governmental approach, structure, bodies and institutions, the principles and provisions of the Convention are followed and upheld. </w:t>
      </w:r>
    </w:p>
    <w:p>
      <w:pPr>
        <w:pStyle w:val="Szövegtörzs A"/>
        <w:numPr>
          <w:ilvl w:val="0"/>
          <w:numId w:val="2"/>
        </w:numPr>
        <w:bidi w:val="0"/>
        <w:spacing w:line="240" w:lineRule="auto"/>
        <w:ind w:right="0"/>
        <w:jc w:val="both"/>
        <w:rPr>
          <w:rFonts w:ascii="Times New Roman" w:hAnsi="Times New Roman"/>
          <w:i w:val="1"/>
          <w:iCs w:val="1"/>
          <w:sz w:val="24"/>
          <w:szCs w:val="24"/>
          <w:rtl w:val="0"/>
          <w:lang w:val="en-US"/>
        </w:rPr>
      </w:pPr>
      <w:r>
        <w:rPr>
          <w:rStyle w:val="Egyik sem"/>
          <w:rFonts w:ascii="Times New Roman" w:hAnsi="Times New Roman"/>
          <w:i w:val="1"/>
          <w:iCs w:val="1"/>
          <w:sz w:val="24"/>
          <w:szCs w:val="24"/>
          <w:rtl w:val="0"/>
          <w:lang w:val="en-US"/>
        </w:rPr>
        <w:t>Introduce a comprehensive policy framework and action plan for the promotion of women</w:t>
      </w:r>
      <w:r>
        <w:rPr>
          <w:rStyle w:val="Egyik sem"/>
          <w:rFonts w:ascii="Times New Roman" w:hAnsi="Times New Roman" w:hint="default"/>
          <w:i w:val="1"/>
          <w:iCs w:val="1"/>
          <w:sz w:val="24"/>
          <w:szCs w:val="24"/>
          <w:rtl w:val="0"/>
          <w:lang w:val="en-US"/>
        </w:rPr>
        <w:t>’</w:t>
      </w:r>
      <w:r>
        <w:rPr>
          <w:rStyle w:val="Egyik sem"/>
          <w:rFonts w:ascii="Times New Roman" w:hAnsi="Times New Roman"/>
          <w:i w:val="1"/>
          <w:iCs w:val="1"/>
          <w:sz w:val="24"/>
          <w:szCs w:val="24"/>
          <w:rtl w:val="0"/>
          <w:lang w:val="en-US"/>
        </w:rPr>
        <w:t>s rights, covering all policy fields and issues - including the ones addressed by CEDAW and its Concluding Observations -, and targeting all women irrespective of their family status and position. Introduce policies and measures for addressing the situation of women affected by or vulnerable to multiple, or intersecting forms of discrimination - such as Romani women, women with disabilities, lesbian women, migrant or refugee women, etc.;</w:t>
      </w:r>
    </w:p>
    <w:p>
      <w:pPr>
        <w:pStyle w:val="Szövegtörzs A"/>
        <w:numPr>
          <w:ilvl w:val="0"/>
          <w:numId w:val="2"/>
        </w:numPr>
        <w:bidi w:val="0"/>
        <w:spacing w:line="240" w:lineRule="auto"/>
        <w:ind w:right="0"/>
        <w:jc w:val="both"/>
        <w:rPr>
          <w:rFonts w:ascii="Times New Roman" w:hAnsi="Times New Roman"/>
          <w:i w:val="1"/>
          <w:iCs w:val="1"/>
          <w:sz w:val="24"/>
          <w:szCs w:val="24"/>
          <w:rtl w:val="0"/>
          <w:lang w:val="en-US"/>
        </w:rPr>
      </w:pPr>
      <w:r>
        <w:rPr>
          <w:rStyle w:val="Egyik sem"/>
          <w:rFonts w:ascii="Times New Roman" w:hAnsi="Times New Roman"/>
          <w:i w:val="1"/>
          <w:iCs w:val="1"/>
          <w:sz w:val="24"/>
          <w:szCs w:val="24"/>
          <w:rtl w:val="0"/>
          <w:lang w:val="en-US"/>
        </w:rPr>
        <w:t xml:space="preserve">Review and amend family policies and measures in order to guarantee that these </w:t>
      </w:r>
      <w:r>
        <w:rPr>
          <w:rStyle w:val="Egyik sem"/>
          <w:rFonts w:ascii="Times New Roman" w:hAnsi="Times New Roman" w:hint="default"/>
          <w:i w:val="1"/>
          <w:iCs w:val="1"/>
          <w:sz w:val="24"/>
          <w:szCs w:val="24"/>
          <w:rtl w:val="0"/>
          <w:lang w:val="en-US"/>
        </w:rPr>
        <w:t>“</w:t>
      </w:r>
      <w:r>
        <w:rPr>
          <w:rStyle w:val="Egyik sem"/>
          <w:rFonts w:ascii="Times New Roman" w:hAnsi="Times New Roman"/>
          <w:i w:val="1"/>
          <w:iCs w:val="1"/>
          <w:sz w:val="24"/>
          <w:szCs w:val="24"/>
          <w:rtl w:val="0"/>
          <w:lang w:val="en-US"/>
        </w:rPr>
        <w:t>do not restrict the full enjoyment by women of their right to non-discrimination and equality,</w:t>
      </w:r>
      <w:r>
        <w:rPr>
          <w:rStyle w:val="Egyik sem"/>
          <w:rFonts w:ascii="Times New Roman" w:hAnsi="Times New Roman" w:hint="default"/>
          <w:i w:val="1"/>
          <w:iCs w:val="1"/>
          <w:sz w:val="24"/>
          <w:szCs w:val="24"/>
          <w:rtl w:val="0"/>
          <w:lang w:val="en-US"/>
        </w:rPr>
        <w:t>”</w:t>
      </w:r>
      <w:r>
        <w:rPr>
          <w:rStyle w:val="Egyik sem"/>
          <w:rFonts w:ascii="Times New Roman" w:cs="Times New Roman" w:hAnsi="Times New Roman" w:eastAsia="Times New Roman"/>
          <w:i w:val="1"/>
          <w:iCs w:val="1"/>
          <w:sz w:val="24"/>
          <w:szCs w:val="24"/>
          <w:vertAlign w:val="superscript"/>
        </w:rPr>
        <w:footnoteReference w:id="16"/>
      </w:r>
    </w:p>
    <w:p>
      <w:pPr>
        <w:pStyle w:val="Szövegtörzs A"/>
        <w:numPr>
          <w:ilvl w:val="0"/>
          <w:numId w:val="2"/>
        </w:numPr>
        <w:bidi w:val="0"/>
        <w:spacing w:line="240" w:lineRule="auto"/>
        <w:ind w:right="0"/>
        <w:jc w:val="both"/>
        <w:rPr>
          <w:rFonts w:ascii="Times New Roman" w:hAnsi="Times New Roman"/>
          <w:i w:val="1"/>
          <w:iCs w:val="1"/>
          <w:sz w:val="24"/>
          <w:szCs w:val="24"/>
          <w:rtl w:val="0"/>
          <w:lang w:val="en-US"/>
        </w:rPr>
      </w:pPr>
      <w:r>
        <w:rPr>
          <w:rStyle w:val="Egyik sem"/>
          <w:rFonts w:ascii="Times New Roman" w:hAnsi="Times New Roman"/>
          <w:i w:val="1"/>
          <w:iCs w:val="1"/>
          <w:sz w:val="24"/>
          <w:szCs w:val="24"/>
          <w:rtl w:val="0"/>
          <w:lang w:val="en-US"/>
        </w:rPr>
        <w:t>Provide adequate human, financial and technical resources to the national machinery for the advancement of women, including staff training;</w:t>
      </w:r>
    </w:p>
    <w:p>
      <w:pPr>
        <w:pStyle w:val="Szövegtörzs A"/>
        <w:numPr>
          <w:ilvl w:val="0"/>
          <w:numId w:val="2"/>
        </w:numPr>
        <w:bidi w:val="0"/>
        <w:spacing w:line="240" w:lineRule="auto"/>
        <w:ind w:right="0"/>
        <w:jc w:val="both"/>
        <w:rPr>
          <w:rFonts w:ascii="Times New Roman" w:hAnsi="Times New Roman"/>
          <w:i w:val="1"/>
          <w:iCs w:val="1"/>
          <w:sz w:val="24"/>
          <w:szCs w:val="24"/>
          <w:rtl w:val="0"/>
          <w:lang w:val="en-US"/>
        </w:rPr>
      </w:pPr>
      <w:r>
        <w:rPr>
          <w:rStyle w:val="Egyik sem"/>
          <w:rFonts w:ascii="Times New Roman" w:hAnsi="Times New Roman"/>
          <w:i w:val="1"/>
          <w:iCs w:val="1"/>
          <w:sz w:val="24"/>
          <w:szCs w:val="24"/>
          <w:rtl w:val="0"/>
          <w:lang w:val="en-US"/>
        </w:rPr>
        <w:t>Strengthen the capacity (human, financial and technical resources and training) and role of the Commissioner for Fundamental Rights, for its effective operation to promote women</w:t>
      </w:r>
      <w:r>
        <w:rPr>
          <w:rStyle w:val="Egyik sem"/>
          <w:rFonts w:ascii="Times New Roman" w:hAnsi="Times New Roman" w:hint="default"/>
          <w:i w:val="1"/>
          <w:iCs w:val="1"/>
          <w:sz w:val="24"/>
          <w:szCs w:val="24"/>
          <w:rtl w:val="0"/>
          <w:lang w:val="en-US"/>
        </w:rPr>
        <w:t>’</w:t>
      </w:r>
      <w:r>
        <w:rPr>
          <w:rStyle w:val="Egyik sem"/>
          <w:rFonts w:ascii="Times New Roman" w:hAnsi="Times New Roman"/>
          <w:i w:val="1"/>
          <w:iCs w:val="1"/>
          <w:sz w:val="24"/>
          <w:szCs w:val="24"/>
          <w:rtl w:val="0"/>
          <w:lang w:val="en-US"/>
        </w:rPr>
        <w:t>s rights and to address discrimination against women;</w:t>
      </w:r>
    </w:p>
    <w:p>
      <w:pPr>
        <w:pStyle w:val="Szövegtörzs A"/>
        <w:numPr>
          <w:ilvl w:val="0"/>
          <w:numId w:val="2"/>
        </w:numPr>
        <w:bidi w:val="0"/>
        <w:spacing w:line="240" w:lineRule="auto"/>
        <w:ind w:right="0"/>
        <w:jc w:val="both"/>
        <w:rPr>
          <w:rFonts w:ascii="Times New Roman" w:hAnsi="Times New Roman"/>
          <w:i w:val="1"/>
          <w:iCs w:val="1"/>
          <w:sz w:val="24"/>
          <w:szCs w:val="24"/>
          <w:rtl w:val="0"/>
          <w:lang w:val="en-US"/>
        </w:rPr>
      </w:pPr>
      <w:r>
        <w:rPr>
          <w:rStyle w:val="Egyik sem"/>
          <w:rFonts w:ascii="Times New Roman" w:hAnsi="Times New Roman"/>
          <w:i w:val="1"/>
          <w:iCs w:val="1"/>
          <w:sz w:val="24"/>
          <w:szCs w:val="24"/>
          <w:rtl w:val="0"/>
          <w:lang w:val="en-US"/>
        </w:rPr>
        <w:t>Introduce a standard, obligatory impact assessment framework for (draft) legislation and policies, guided by the Convention</w:t>
      </w:r>
      <w:r>
        <w:rPr>
          <w:rStyle w:val="Egyik sem"/>
          <w:rFonts w:ascii="Times New Roman" w:hAnsi="Times New Roman" w:hint="default"/>
          <w:i w:val="1"/>
          <w:iCs w:val="1"/>
          <w:sz w:val="24"/>
          <w:szCs w:val="24"/>
          <w:rtl w:val="0"/>
          <w:lang w:val="en-US"/>
        </w:rPr>
        <w:t>’</w:t>
      </w:r>
      <w:r>
        <w:rPr>
          <w:rStyle w:val="Egyik sem"/>
          <w:rFonts w:ascii="Times New Roman" w:hAnsi="Times New Roman"/>
          <w:i w:val="1"/>
          <w:iCs w:val="1"/>
          <w:sz w:val="24"/>
          <w:szCs w:val="24"/>
          <w:rtl w:val="0"/>
          <w:lang w:val="en-US"/>
        </w:rPr>
        <w:t>s spirit and provisions, in order to assess their effects on women and on equality between the sexes;</w:t>
      </w:r>
      <w:r>
        <w:rPr>
          <w:rStyle w:val="Egyik sem"/>
          <w:rFonts w:ascii="Times New Roman" w:cs="Times New Roman" w:hAnsi="Times New Roman" w:eastAsia="Times New Roman"/>
          <w:i w:val="1"/>
          <w:iCs w:val="1"/>
          <w:sz w:val="24"/>
          <w:szCs w:val="24"/>
          <w:vertAlign w:val="superscript"/>
        </w:rPr>
        <w:footnoteReference w:id="17"/>
      </w:r>
    </w:p>
    <w:p>
      <w:pPr>
        <w:pStyle w:val="Szövegtörzs A"/>
        <w:numPr>
          <w:ilvl w:val="0"/>
          <w:numId w:val="2"/>
        </w:numPr>
        <w:bidi w:val="0"/>
        <w:spacing w:line="240" w:lineRule="auto"/>
        <w:ind w:right="0"/>
        <w:jc w:val="both"/>
        <w:rPr>
          <w:rFonts w:ascii="Times New Roman" w:hAnsi="Times New Roman"/>
          <w:i w:val="1"/>
          <w:iCs w:val="1"/>
          <w:sz w:val="24"/>
          <w:szCs w:val="24"/>
          <w:rtl w:val="0"/>
          <w:lang w:val="en-US"/>
        </w:rPr>
      </w:pPr>
      <w:r>
        <w:rPr>
          <w:rStyle w:val="Egyik sem"/>
          <w:rFonts w:ascii="Times New Roman" w:hAnsi="Times New Roman"/>
          <w:i w:val="1"/>
          <w:iCs w:val="1"/>
          <w:sz w:val="24"/>
          <w:szCs w:val="24"/>
          <w:rtl w:val="0"/>
          <w:lang w:val="en-US"/>
        </w:rPr>
        <w:t>Take measures to disseminate the Convention, its Optional Protocol and the Committee</w:t>
      </w:r>
      <w:r>
        <w:rPr>
          <w:rStyle w:val="Egyik sem"/>
          <w:rFonts w:ascii="Times New Roman" w:hAnsi="Times New Roman" w:hint="default"/>
          <w:i w:val="1"/>
          <w:iCs w:val="1"/>
          <w:sz w:val="24"/>
          <w:szCs w:val="24"/>
          <w:rtl w:val="0"/>
          <w:lang w:val="en-US"/>
        </w:rPr>
        <w:t>’</w:t>
      </w:r>
      <w:r>
        <w:rPr>
          <w:rStyle w:val="Egyik sem"/>
          <w:rFonts w:ascii="Times New Roman" w:hAnsi="Times New Roman"/>
          <w:i w:val="1"/>
          <w:iCs w:val="1"/>
          <w:sz w:val="24"/>
          <w:szCs w:val="24"/>
          <w:rtl w:val="0"/>
          <w:lang w:val="en-US"/>
        </w:rPr>
        <w:t>s general recommendations and to raise awareness among women about their rights and legal remedies available;</w:t>
      </w:r>
    </w:p>
    <w:p>
      <w:pPr>
        <w:pStyle w:val="Szövegtörzs A"/>
        <w:numPr>
          <w:ilvl w:val="0"/>
          <w:numId w:val="2"/>
        </w:numPr>
        <w:bidi w:val="0"/>
        <w:spacing w:line="240" w:lineRule="auto"/>
        <w:ind w:right="0"/>
        <w:jc w:val="both"/>
        <w:rPr>
          <w:rFonts w:ascii="Times New Roman" w:hAnsi="Times New Roman"/>
          <w:i w:val="1"/>
          <w:iCs w:val="1"/>
          <w:sz w:val="24"/>
          <w:szCs w:val="24"/>
          <w:rtl w:val="0"/>
          <w:lang w:val="en-US"/>
        </w:rPr>
      </w:pPr>
      <w:r>
        <w:rPr>
          <w:rStyle w:val="Egyik sem"/>
          <w:rFonts w:ascii="Times New Roman" w:hAnsi="Times New Roman"/>
          <w:i w:val="1"/>
          <w:iCs w:val="1"/>
          <w:sz w:val="24"/>
          <w:szCs w:val="24"/>
          <w:rtl w:val="0"/>
          <w:lang w:val="en-US"/>
        </w:rPr>
        <w:t>Take measures to ensure that the Convention, the Optional Protocol and the Committee</w:t>
      </w:r>
      <w:r>
        <w:rPr>
          <w:rStyle w:val="Egyik sem"/>
          <w:rFonts w:ascii="Times New Roman" w:hAnsi="Times New Roman" w:hint="default"/>
          <w:i w:val="1"/>
          <w:iCs w:val="1"/>
          <w:sz w:val="24"/>
          <w:szCs w:val="24"/>
          <w:rtl w:val="0"/>
          <w:lang w:val="en-US"/>
        </w:rPr>
        <w:t>’</w:t>
      </w:r>
      <w:r>
        <w:rPr>
          <w:rStyle w:val="Egyik sem"/>
          <w:rFonts w:ascii="Times New Roman" w:hAnsi="Times New Roman"/>
          <w:i w:val="1"/>
          <w:iCs w:val="1"/>
          <w:sz w:val="24"/>
          <w:szCs w:val="24"/>
          <w:rtl w:val="0"/>
          <w:lang w:val="en-US"/>
        </w:rPr>
        <w:t>s General recommendations are made an integral part of initial and further legal education and training, including in the justice sector and for public administration personnel;</w:t>
      </w:r>
    </w:p>
    <w:p>
      <w:pPr>
        <w:pStyle w:val="Szövegtörzs A"/>
        <w:numPr>
          <w:ilvl w:val="0"/>
          <w:numId w:val="2"/>
        </w:numPr>
        <w:bidi w:val="0"/>
        <w:spacing w:line="240" w:lineRule="auto"/>
        <w:ind w:right="0"/>
        <w:jc w:val="both"/>
        <w:rPr>
          <w:rFonts w:ascii="Times New Roman" w:hAnsi="Times New Roman"/>
          <w:i w:val="1"/>
          <w:iCs w:val="1"/>
          <w:sz w:val="24"/>
          <w:szCs w:val="24"/>
          <w:rtl w:val="0"/>
          <w:lang w:val="en-US"/>
        </w:rPr>
      </w:pPr>
      <w:r>
        <w:rPr>
          <w:rStyle w:val="Egyik sem"/>
          <w:rFonts w:ascii="Times New Roman" w:hAnsi="Times New Roman"/>
          <w:i w:val="1"/>
          <w:iCs w:val="1"/>
          <w:sz w:val="24"/>
          <w:szCs w:val="24"/>
          <w:rtl w:val="0"/>
          <w:lang w:val="en-US"/>
        </w:rPr>
        <w:t>Guarantee a genuine and meaningful consultation with women</w:t>
      </w:r>
      <w:r>
        <w:rPr>
          <w:rStyle w:val="Egyik sem"/>
          <w:rFonts w:ascii="Times New Roman" w:hAnsi="Times New Roman" w:hint="default"/>
          <w:i w:val="1"/>
          <w:iCs w:val="1"/>
          <w:sz w:val="24"/>
          <w:szCs w:val="24"/>
          <w:rtl w:val="0"/>
          <w:lang w:val="en-US"/>
        </w:rPr>
        <w:t>’</w:t>
      </w:r>
      <w:r>
        <w:rPr>
          <w:rStyle w:val="Egyik sem"/>
          <w:rFonts w:ascii="Times New Roman" w:hAnsi="Times New Roman"/>
          <w:i w:val="1"/>
          <w:iCs w:val="1"/>
          <w:sz w:val="24"/>
          <w:szCs w:val="24"/>
          <w:rtl w:val="0"/>
          <w:lang w:val="en-US"/>
        </w:rPr>
        <w:t>s rights NGOs, recognize and utilise their expertise.</w:t>
      </w:r>
    </w:p>
    <w:p>
      <w:pPr>
        <w:pStyle w:val="Szövegtörzs A"/>
        <w:spacing w:line="240" w:lineRule="auto"/>
        <w:rPr>
          <w:rStyle w:val="Egyik sem"/>
          <w:rFonts w:ascii="Times New Roman" w:cs="Times New Roman" w:hAnsi="Times New Roman" w:eastAsia="Times New Roman"/>
          <w:sz w:val="24"/>
          <w:szCs w:val="24"/>
        </w:rPr>
      </w:pPr>
    </w:p>
    <w:p>
      <w:pPr>
        <w:pStyle w:val="Szövegtörzs A"/>
        <w:spacing w:line="240" w:lineRule="auto"/>
        <w:rPr>
          <w:rStyle w:val="Egyik sem"/>
          <w:rFonts w:ascii="Times New Roman" w:cs="Times New Roman" w:hAnsi="Times New Roman" w:eastAsia="Times New Roman"/>
          <w:sz w:val="24"/>
          <w:szCs w:val="24"/>
        </w:rPr>
      </w:pPr>
    </w:p>
    <w:p>
      <w:pPr>
        <w:pStyle w:val="Szövegtörzs A"/>
        <w:spacing w:line="240" w:lineRule="auto"/>
        <w:rPr>
          <w:rStyle w:val="Egyik sem"/>
          <w:rFonts w:ascii="Times New Roman" w:cs="Times New Roman" w:hAnsi="Times New Roman" w:eastAsia="Times New Roman"/>
          <w:b w:val="1"/>
          <w:bCs w:val="1"/>
          <w:sz w:val="24"/>
          <w:szCs w:val="24"/>
        </w:rPr>
      </w:pPr>
      <w:r>
        <w:rPr>
          <w:rStyle w:val="Egyik sem"/>
          <w:rFonts w:ascii="Times New Roman" w:hAnsi="Times New Roman"/>
          <w:b w:val="1"/>
          <w:bCs w:val="1"/>
          <w:sz w:val="24"/>
          <w:szCs w:val="24"/>
          <w:rtl w:val="0"/>
          <w:lang w:val="en-US"/>
        </w:rPr>
        <w:t>Article 5 - Elimination of prejudices, stereotyped roles and discriminatory practices</w:t>
      </w:r>
    </w:p>
    <w:p>
      <w:pPr>
        <w:pStyle w:val="Szövegtörzs A"/>
        <w:spacing w:line="240" w:lineRule="auto"/>
        <w:rPr>
          <w:rStyle w:val="Egyik sem"/>
          <w:rFonts w:ascii="Times New Roman" w:cs="Times New Roman" w:hAnsi="Times New Roman" w:eastAsia="Times New Roman"/>
          <w:b w:val="1"/>
          <w:bCs w:val="1"/>
          <w:sz w:val="24"/>
          <w:szCs w:val="24"/>
        </w:rPr>
      </w:pPr>
    </w:p>
    <w:p>
      <w:pPr>
        <w:pStyle w:val="Szövegtörzs A"/>
        <w:spacing w:line="240" w:lineRule="auto"/>
        <w:jc w:val="both"/>
        <w:rPr>
          <w:rStyle w:val="Egyik sem"/>
          <w:rFonts w:ascii="Times New Roman" w:cs="Times New Roman" w:hAnsi="Times New Roman" w:eastAsia="Times New Roman"/>
          <w:sz w:val="24"/>
          <w:szCs w:val="24"/>
        </w:rPr>
      </w:pPr>
      <w:r>
        <w:rPr>
          <w:rStyle w:val="Egyik sem"/>
          <w:rFonts w:ascii="Times New Roman" w:hAnsi="Times New Roman"/>
          <w:sz w:val="24"/>
          <w:szCs w:val="24"/>
          <w:rtl w:val="0"/>
          <w:lang w:val="en-US"/>
        </w:rPr>
        <w:t xml:space="preserve">In the previous Concluding Observations for Hungary the CEDAW Committee raised concerns about the </w:t>
      </w:r>
      <w:r>
        <w:rPr>
          <w:rStyle w:val="Egyik sem"/>
          <w:rFonts w:ascii="Times New Roman" w:hAnsi="Times New Roman" w:hint="default"/>
          <w:sz w:val="24"/>
          <w:szCs w:val="24"/>
          <w:rtl w:val="0"/>
          <w:lang w:val="en-US"/>
        </w:rPr>
        <w:t>“</w:t>
      </w:r>
      <w:r>
        <w:rPr>
          <w:rStyle w:val="Egyik sem"/>
          <w:rFonts w:ascii="Times New Roman" w:hAnsi="Times New Roman"/>
          <w:sz w:val="24"/>
          <w:szCs w:val="24"/>
          <w:rtl w:val="0"/>
          <w:lang w:val="en-US"/>
        </w:rPr>
        <w:t>persistence of stereotyped division of gender roles in family and society and the support of such roles throughout the State party</w:t>
      </w:r>
      <w:r>
        <w:rPr>
          <w:rStyle w:val="Egyik sem"/>
          <w:rFonts w:ascii="Times New Roman" w:hAnsi="Times New Roman" w:hint="default"/>
          <w:sz w:val="24"/>
          <w:szCs w:val="24"/>
          <w:rtl w:val="0"/>
          <w:lang w:val="en-US"/>
        </w:rPr>
        <w:t>’</w:t>
      </w:r>
      <w:r>
        <w:rPr>
          <w:rStyle w:val="Egyik sem"/>
          <w:rFonts w:ascii="Times New Roman" w:hAnsi="Times New Roman"/>
          <w:sz w:val="24"/>
          <w:szCs w:val="24"/>
          <w:rtl w:val="0"/>
          <w:lang w:val="en-US"/>
        </w:rPr>
        <w:t>s policies and priorities</w:t>
      </w:r>
      <w:r>
        <w:rPr>
          <w:rStyle w:val="Egyik sem"/>
          <w:rFonts w:ascii="Times New Roman" w:hAnsi="Times New Roman" w:hint="default"/>
          <w:sz w:val="24"/>
          <w:szCs w:val="24"/>
          <w:rtl w:val="0"/>
          <w:lang w:val="en-US"/>
        </w:rPr>
        <w:t>”</w:t>
      </w:r>
      <w:r>
        <w:rPr>
          <w:rStyle w:val="Egyik sem"/>
          <w:rFonts w:ascii="Times New Roman" w:hAnsi="Times New Roman"/>
          <w:sz w:val="24"/>
          <w:szCs w:val="24"/>
          <w:rtl w:val="0"/>
        </w:rPr>
        <w:t>.</w:t>
      </w:r>
      <w:r>
        <w:rPr>
          <w:rStyle w:val="Egyik sem"/>
          <w:rFonts w:ascii="Times New Roman" w:cs="Times New Roman" w:hAnsi="Times New Roman" w:eastAsia="Times New Roman"/>
          <w:sz w:val="24"/>
          <w:szCs w:val="24"/>
          <w:vertAlign w:val="superscript"/>
        </w:rPr>
        <w:footnoteReference w:id="18"/>
      </w:r>
      <w:r>
        <w:rPr>
          <w:rStyle w:val="Egyik sem"/>
          <w:rFonts w:ascii="Times New Roman" w:hAnsi="Times New Roman"/>
          <w:sz w:val="24"/>
          <w:szCs w:val="24"/>
          <w:rtl w:val="0"/>
          <w:lang w:val="en-US"/>
        </w:rPr>
        <w:t xml:space="preserve"> The Committee was also concerned about statements by male politicians in Parliamentary debates that discriminated against women and reinforced gender stereotypes.</w:t>
      </w:r>
      <w:r>
        <w:rPr>
          <w:rStyle w:val="Egyik sem"/>
          <w:rFonts w:ascii="Times New Roman" w:cs="Times New Roman" w:hAnsi="Times New Roman" w:eastAsia="Times New Roman"/>
          <w:sz w:val="24"/>
          <w:szCs w:val="24"/>
          <w:vertAlign w:val="superscript"/>
        </w:rPr>
        <w:footnoteReference w:id="19"/>
      </w:r>
      <w:r>
        <w:rPr>
          <w:rStyle w:val="Egyik sem"/>
          <w:rFonts w:ascii="Times New Roman" w:hAnsi="Times New Roman"/>
          <w:sz w:val="24"/>
          <w:szCs w:val="24"/>
          <w:rtl w:val="0"/>
          <w:lang w:val="en-US"/>
        </w:rPr>
        <w:t xml:space="preserve"> Since then, no respective positive measures have been introduced, rather the opposite. Next to strengthening family mainstreaming approach in legal, policy, and communication fields, state stakeholders even at the highest level - in or outside the Parliament - have used a rhetoric and made statements or comments in the past several years that discriminated against women, were sexist and/or misogynistic, either targeting certain female politicians, or the role and place of women in general.</w:t>
      </w:r>
      <w:r>
        <w:rPr>
          <w:rStyle w:val="Egyik sem"/>
          <w:rFonts w:ascii="Times New Roman" w:cs="Times New Roman" w:hAnsi="Times New Roman" w:eastAsia="Times New Roman"/>
          <w:sz w:val="24"/>
          <w:szCs w:val="24"/>
          <w:vertAlign w:val="superscript"/>
        </w:rPr>
        <w:footnoteReference w:id="20"/>
      </w:r>
    </w:p>
    <w:p>
      <w:pPr>
        <w:pStyle w:val="Szövegtörzs A"/>
        <w:spacing w:line="240" w:lineRule="auto"/>
        <w:rPr>
          <w:rStyle w:val="Egyik sem"/>
          <w:rFonts w:ascii="Times New Roman" w:cs="Times New Roman" w:hAnsi="Times New Roman" w:eastAsia="Times New Roman"/>
          <w:sz w:val="24"/>
          <w:szCs w:val="24"/>
        </w:rPr>
      </w:pPr>
    </w:p>
    <w:p>
      <w:pPr>
        <w:pStyle w:val="Szövegtörzs A"/>
        <w:spacing w:line="240" w:lineRule="auto"/>
        <w:jc w:val="both"/>
        <w:rPr>
          <w:rStyle w:val="Egyik sem"/>
          <w:rFonts w:ascii="Times New Roman" w:cs="Times New Roman" w:hAnsi="Times New Roman" w:eastAsia="Times New Roman"/>
          <w:i w:val="1"/>
          <w:iCs w:val="1"/>
          <w:sz w:val="24"/>
          <w:szCs w:val="24"/>
        </w:rPr>
      </w:pPr>
      <w:r>
        <w:rPr>
          <w:rStyle w:val="Egyik sem"/>
          <w:rFonts w:ascii="Times New Roman" w:hAnsi="Times New Roman"/>
          <w:i w:val="1"/>
          <w:iCs w:val="1"/>
          <w:sz w:val="24"/>
          <w:szCs w:val="24"/>
          <w:rtl w:val="0"/>
          <w:lang w:val="en-US"/>
        </w:rPr>
        <w:t>Recommendations:</w:t>
      </w:r>
    </w:p>
    <w:p>
      <w:pPr>
        <w:pStyle w:val="Szövegtörzs A"/>
        <w:numPr>
          <w:ilvl w:val="0"/>
          <w:numId w:val="4"/>
        </w:numPr>
        <w:bidi w:val="0"/>
        <w:spacing w:line="240" w:lineRule="auto"/>
        <w:ind w:right="0"/>
        <w:jc w:val="both"/>
        <w:rPr>
          <w:rFonts w:ascii="Times New Roman" w:hAnsi="Times New Roman"/>
          <w:i w:val="1"/>
          <w:iCs w:val="1"/>
          <w:sz w:val="24"/>
          <w:szCs w:val="24"/>
          <w:rtl w:val="0"/>
          <w:lang w:val="en-US"/>
        </w:rPr>
      </w:pPr>
      <w:r>
        <w:rPr>
          <w:rStyle w:val="Egyik sem"/>
          <w:rFonts w:ascii="Times New Roman" w:hAnsi="Times New Roman"/>
          <w:i w:val="1"/>
          <w:iCs w:val="1"/>
          <w:sz w:val="24"/>
          <w:szCs w:val="24"/>
          <w:rtl w:val="0"/>
          <w:lang w:val="en-US"/>
        </w:rPr>
        <w:t>Introduce measures to counterweight the detrimental effect of public speech that reinforces stereotyped roles for women and men and discriminate against women.</w:t>
      </w:r>
    </w:p>
    <w:p>
      <w:pPr>
        <w:pStyle w:val="Szövegtörzs A"/>
        <w:numPr>
          <w:ilvl w:val="0"/>
          <w:numId w:val="4"/>
        </w:numPr>
        <w:bidi w:val="0"/>
        <w:spacing w:line="240" w:lineRule="auto"/>
        <w:ind w:right="0"/>
        <w:jc w:val="both"/>
        <w:rPr>
          <w:rFonts w:ascii="Times New Roman" w:hAnsi="Times New Roman"/>
          <w:i w:val="1"/>
          <w:iCs w:val="1"/>
          <w:sz w:val="24"/>
          <w:szCs w:val="24"/>
          <w:rtl w:val="0"/>
          <w:lang w:val="en-US"/>
        </w:rPr>
      </w:pPr>
      <w:r>
        <w:rPr>
          <w:rStyle w:val="Egyik sem"/>
          <w:rFonts w:ascii="Times New Roman" w:hAnsi="Times New Roman"/>
          <w:i w:val="1"/>
          <w:iCs w:val="1"/>
          <w:sz w:val="24"/>
          <w:szCs w:val="24"/>
          <w:rtl w:val="0"/>
          <w:lang w:val="en-US"/>
        </w:rPr>
        <w:t xml:space="preserve">Introduce legal and other measures against sexist hate speech. </w:t>
      </w:r>
    </w:p>
    <w:p>
      <w:pPr>
        <w:pStyle w:val="Szövegtörzs A"/>
        <w:spacing w:line="240" w:lineRule="auto"/>
        <w:jc w:val="both"/>
        <w:rPr>
          <w:rStyle w:val="Egyik sem"/>
          <w:rFonts w:ascii="Times New Roman" w:cs="Times New Roman" w:hAnsi="Times New Roman" w:eastAsia="Times New Roman"/>
          <w:b w:val="1"/>
          <w:bCs w:val="1"/>
          <w:sz w:val="24"/>
          <w:szCs w:val="24"/>
        </w:rPr>
      </w:pPr>
    </w:p>
    <w:p>
      <w:pPr>
        <w:pStyle w:val="Szövegtörzs A"/>
        <w:spacing w:line="240" w:lineRule="auto"/>
        <w:jc w:val="both"/>
        <w:rPr>
          <w:rStyle w:val="Egyik sem"/>
          <w:rFonts w:ascii="Times New Roman" w:cs="Times New Roman" w:hAnsi="Times New Roman" w:eastAsia="Times New Roman"/>
          <w:b w:val="1"/>
          <w:bCs w:val="1"/>
          <w:sz w:val="24"/>
          <w:szCs w:val="24"/>
        </w:rPr>
      </w:pPr>
    </w:p>
    <w:p>
      <w:pPr>
        <w:pStyle w:val="Szövegtörzs A"/>
        <w:spacing w:line="240" w:lineRule="auto"/>
        <w:rPr>
          <w:rStyle w:val="Egyik sem"/>
          <w:rFonts w:ascii="Times New Roman" w:cs="Times New Roman" w:hAnsi="Times New Roman" w:eastAsia="Times New Roman"/>
          <w:b w:val="1"/>
          <w:bCs w:val="1"/>
          <w:sz w:val="24"/>
          <w:szCs w:val="24"/>
        </w:rPr>
      </w:pPr>
      <w:r>
        <w:rPr>
          <w:rStyle w:val="Egyik sem"/>
          <w:rFonts w:ascii="Times New Roman" w:hAnsi="Times New Roman"/>
          <w:b w:val="1"/>
          <w:bCs w:val="1"/>
          <w:sz w:val="24"/>
          <w:szCs w:val="24"/>
          <w:rtl w:val="0"/>
          <w:lang w:val="en-US"/>
        </w:rPr>
        <w:t>Article 7 - Participation of women in political and public life</w:t>
      </w:r>
    </w:p>
    <w:p>
      <w:pPr>
        <w:pStyle w:val="Szövegtörzs A"/>
        <w:spacing w:line="240" w:lineRule="auto"/>
        <w:rPr>
          <w:rStyle w:val="Egyik sem"/>
          <w:rFonts w:ascii="Times New Roman" w:cs="Times New Roman" w:hAnsi="Times New Roman" w:eastAsia="Times New Roman"/>
          <w:sz w:val="24"/>
          <w:szCs w:val="24"/>
        </w:rPr>
      </w:pPr>
    </w:p>
    <w:p>
      <w:pPr>
        <w:pStyle w:val="Szövegtörzs A"/>
        <w:spacing w:line="240" w:lineRule="auto"/>
        <w:jc w:val="both"/>
        <w:rPr>
          <w:rStyle w:val="Egyik sem"/>
          <w:rFonts w:ascii="Times New Roman" w:cs="Times New Roman" w:hAnsi="Times New Roman" w:eastAsia="Times New Roman"/>
          <w:sz w:val="24"/>
          <w:szCs w:val="24"/>
        </w:rPr>
      </w:pPr>
      <w:r>
        <w:rPr>
          <w:rStyle w:val="Egyik sem"/>
          <w:rFonts w:ascii="Times New Roman" w:hAnsi="Times New Roman"/>
          <w:sz w:val="24"/>
          <w:szCs w:val="24"/>
          <w:rtl w:val="0"/>
          <w:lang w:val="en-US"/>
        </w:rPr>
        <w:t>Since the previous CEDAW review process, three national and two local elections took place in Hungary (2014, 2018, and 2022, and 2014 and 2019 respectively). These elections did not bring any significant positive changes in the political participation/representation of women. According to the ranking of the Inter-Parliamentary Union, Hungary is currently at the 150th place out of 187 regarding the percentage of women in national parliaments.</w:t>
      </w:r>
      <w:r>
        <w:rPr>
          <w:rStyle w:val="Egyik sem"/>
          <w:rFonts w:ascii="Times New Roman" w:cs="Times New Roman" w:hAnsi="Times New Roman" w:eastAsia="Times New Roman"/>
          <w:sz w:val="24"/>
          <w:szCs w:val="24"/>
          <w:vertAlign w:val="superscript"/>
        </w:rPr>
        <w:footnoteReference w:id="21"/>
      </w:r>
      <w:r>
        <w:rPr>
          <w:rStyle w:val="Egyik sem"/>
          <w:rFonts w:ascii="Times New Roman" w:hAnsi="Times New Roman"/>
          <w:sz w:val="24"/>
          <w:szCs w:val="24"/>
          <w:rtl w:val="0"/>
          <w:lang w:val="en-US"/>
        </w:rPr>
        <w:t xml:space="preserve"> Currently the President of Hungary is a woman, while there is only 1 female minister in a 15-members cabinet.</w:t>
      </w:r>
      <w:r>
        <w:rPr>
          <w:rStyle w:val="Egyik sem"/>
          <w:rFonts w:ascii="Times New Roman" w:cs="Times New Roman" w:hAnsi="Times New Roman" w:eastAsia="Times New Roman"/>
          <w:sz w:val="24"/>
          <w:szCs w:val="24"/>
          <w:vertAlign w:val="superscript"/>
        </w:rPr>
        <w:footnoteReference w:id="22"/>
      </w:r>
      <w:r>
        <w:rPr>
          <w:rStyle w:val="Egyik sem"/>
          <w:rFonts w:ascii="Times New Roman" w:hAnsi="Times New Roman"/>
          <w:sz w:val="24"/>
          <w:szCs w:val="24"/>
          <w:rtl w:val="0"/>
        </w:rPr>
        <w:t xml:space="preserve"> </w:t>
      </w:r>
    </w:p>
    <w:p>
      <w:pPr>
        <w:pStyle w:val="Szövegtörzs A"/>
        <w:spacing w:line="240" w:lineRule="auto"/>
        <w:jc w:val="both"/>
        <w:rPr>
          <w:rStyle w:val="Egyik sem"/>
          <w:rFonts w:ascii="Times New Roman" w:cs="Times New Roman" w:hAnsi="Times New Roman" w:eastAsia="Times New Roman"/>
          <w:sz w:val="24"/>
          <w:szCs w:val="24"/>
        </w:rPr>
      </w:pPr>
      <w:r>
        <w:rPr>
          <w:rStyle w:val="Egyik sem"/>
          <w:rFonts w:ascii="Times New Roman" w:hAnsi="Times New Roman"/>
          <w:sz w:val="24"/>
          <w:szCs w:val="24"/>
          <w:rtl w:val="0"/>
          <w:lang w:val="en-US"/>
        </w:rPr>
        <w:t>In the field of substantive representation of women (i.e. the focus on women</w:t>
      </w:r>
      <w:r>
        <w:rPr>
          <w:rStyle w:val="Egyik sem"/>
          <w:rFonts w:ascii="Times New Roman" w:hAnsi="Times New Roman" w:hint="default"/>
          <w:sz w:val="24"/>
          <w:szCs w:val="24"/>
          <w:rtl w:val="0"/>
          <w:lang w:val="en-US"/>
        </w:rPr>
        <w:t>’</w:t>
      </w:r>
      <w:r>
        <w:rPr>
          <w:rStyle w:val="Egyik sem"/>
          <w:rFonts w:ascii="Times New Roman" w:hAnsi="Times New Roman"/>
          <w:sz w:val="24"/>
          <w:szCs w:val="24"/>
          <w:rtl w:val="0"/>
          <w:lang w:val="en-US"/>
        </w:rPr>
        <w:t xml:space="preserve">s issues), the OSCE report on the national elections of 2022 pointed out: </w:t>
      </w:r>
      <w:r>
        <w:rPr>
          <w:rStyle w:val="Egyik sem"/>
          <w:rFonts w:ascii="Times New Roman" w:hAnsi="Times New Roman" w:hint="default"/>
          <w:sz w:val="24"/>
          <w:szCs w:val="24"/>
          <w:rtl w:val="0"/>
          <w:lang w:val="en-US"/>
        </w:rPr>
        <w:t>“</w:t>
      </w:r>
      <w:r>
        <w:rPr>
          <w:rStyle w:val="Egyik sem"/>
          <w:rFonts w:ascii="Times New Roman" w:hAnsi="Times New Roman"/>
          <w:sz w:val="24"/>
          <w:szCs w:val="24"/>
          <w:rtl w:val="0"/>
          <w:lang w:val="en-US"/>
        </w:rPr>
        <w:t xml:space="preserve">Women were largely not featured or addressed in the campaign. At the campaign events observed by ODIHR EOM LTOs, messages were rarely directed at women, and when gender-related issues were addressed, they were mainly appealing to </w:t>
      </w:r>
      <w:r>
        <w:rPr>
          <w:rStyle w:val="Egyik sem"/>
          <w:rFonts w:ascii="Times New Roman" w:hAnsi="Times New Roman" w:hint="default"/>
          <w:sz w:val="24"/>
          <w:szCs w:val="24"/>
          <w:rtl w:val="0"/>
          <w:lang w:val="en-US"/>
        </w:rPr>
        <w:t>‘</w:t>
      </w:r>
      <w:r>
        <w:rPr>
          <w:rStyle w:val="Egyik sem"/>
          <w:rFonts w:ascii="Times New Roman" w:hAnsi="Times New Roman"/>
          <w:sz w:val="24"/>
          <w:szCs w:val="24"/>
          <w:rtl w:val="0"/>
          <w:lang w:val="en-US"/>
        </w:rPr>
        <w:t>traditional family values</w:t>
      </w:r>
      <w:r>
        <w:rPr>
          <w:rStyle w:val="Egyik sem"/>
          <w:rFonts w:ascii="Times New Roman" w:hAnsi="Times New Roman" w:hint="default"/>
          <w:sz w:val="24"/>
          <w:szCs w:val="24"/>
          <w:rtl w:val="0"/>
          <w:lang w:val="en-US"/>
        </w:rPr>
        <w:t>’</w:t>
      </w:r>
      <w:r>
        <w:rPr>
          <w:rStyle w:val="Egyik sem"/>
          <w:rFonts w:ascii="Times New Roman" w:hAnsi="Times New Roman"/>
          <w:sz w:val="24"/>
          <w:szCs w:val="24"/>
          <w:rtl w:val="0"/>
        </w:rPr>
        <w:t>.</w:t>
      </w:r>
      <w:r>
        <w:rPr>
          <w:rStyle w:val="Egyik sem"/>
          <w:rFonts w:ascii="Times New Roman" w:hAnsi="Times New Roman" w:hint="default"/>
          <w:sz w:val="24"/>
          <w:szCs w:val="24"/>
          <w:rtl w:val="0"/>
          <w:lang w:val="en-US"/>
        </w:rPr>
        <w:t>”</w:t>
      </w:r>
      <w:r>
        <w:rPr>
          <w:rStyle w:val="Egyik sem"/>
          <w:rFonts w:ascii="Times New Roman" w:cs="Times New Roman" w:hAnsi="Times New Roman" w:eastAsia="Times New Roman"/>
          <w:sz w:val="24"/>
          <w:szCs w:val="24"/>
          <w:vertAlign w:val="superscript"/>
        </w:rPr>
        <w:footnoteReference w:id="23"/>
      </w:r>
    </w:p>
    <w:p>
      <w:pPr>
        <w:pStyle w:val="Szövegtörzs A"/>
        <w:spacing w:line="240" w:lineRule="auto"/>
        <w:rPr>
          <w:rStyle w:val="Egyik sem"/>
          <w:rFonts w:ascii="Times New Roman" w:cs="Times New Roman" w:hAnsi="Times New Roman" w:eastAsia="Times New Roman"/>
          <w:sz w:val="24"/>
          <w:szCs w:val="24"/>
        </w:rPr>
      </w:pPr>
    </w:p>
    <w:p>
      <w:pPr>
        <w:pStyle w:val="Szövegtörzs A"/>
        <w:spacing w:line="240" w:lineRule="auto"/>
        <w:jc w:val="both"/>
        <w:rPr>
          <w:rStyle w:val="Egyik sem"/>
          <w:rFonts w:ascii="Times New Roman" w:cs="Times New Roman" w:hAnsi="Times New Roman" w:eastAsia="Times New Roman"/>
          <w:i w:val="1"/>
          <w:iCs w:val="1"/>
          <w:sz w:val="24"/>
          <w:szCs w:val="24"/>
        </w:rPr>
      </w:pPr>
      <w:r>
        <w:rPr>
          <w:rStyle w:val="Egyik sem"/>
          <w:rFonts w:ascii="Times New Roman" w:hAnsi="Times New Roman"/>
          <w:i w:val="1"/>
          <w:iCs w:val="1"/>
          <w:sz w:val="24"/>
          <w:szCs w:val="24"/>
          <w:rtl w:val="0"/>
          <w:lang w:val="en-US"/>
        </w:rPr>
        <w:t>Recommendations:</w:t>
      </w:r>
    </w:p>
    <w:p>
      <w:pPr>
        <w:pStyle w:val="Szövegtörzs A"/>
        <w:numPr>
          <w:ilvl w:val="0"/>
          <w:numId w:val="6"/>
        </w:numPr>
        <w:bidi w:val="0"/>
        <w:spacing w:line="240" w:lineRule="auto"/>
        <w:ind w:right="0"/>
        <w:jc w:val="both"/>
        <w:rPr>
          <w:rFonts w:ascii="Times New Roman" w:hAnsi="Times New Roman"/>
          <w:i w:val="1"/>
          <w:iCs w:val="1"/>
          <w:sz w:val="24"/>
          <w:szCs w:val="24"/>
          <w:rtl w:val="0"/>
          <w:lang w:val="en-US"/>
        </w:rPr>
      </w:pPr>
      <w:r>
        <w:rPr>
          <w:rStyle w:val="Egyik sem"/>
          <w:rFonts w:ascii="Times New Roman" w:hAnsi="Times New Roman"/>
          <w:i w:val="1"/>
          <w:iCs w:val="1"/>
          <w:sz w:val="24"/>
          <w:szCs w:val="24"/>
          <w:rtl w:val="0"/>
          <w:lang w:val="en-US"/>
        </w:rPr>
        <w:t>Introduce tangible, result-oriented legislative or other measures - including temporary special measures such as quotas - to promote women</w:t>
      </w:r>
      <w:r>
        <w:rPr>
          <w:rStyle w:val="Egyik sem"/>
          <w:rFonts w:ascii="Times New Roman" w:hAnsi="Times New Roman" w:hint="default"/>
          <w:i w:val="1"/>
          <w:iCs w:val="1"/>
          <w:sz w:val="24"/>
          <w:szCs w:val="24"/>
          <w:rtl w:val="0"/>
          <w:lang w:val="en-US"/>
        </w:rPr>
        <w:t>’</w:t>
      </w:r>
      <w:r>
        <w:rPr>
          <w:rStyle w:val="Egyik sem"/>
          <w:rFonts w:ascii="Times New Roman" w:hAnsi="Times New Roman"/>
          <w:i w:val="1"/>
          <w:iCs w:val="1"/>
          <w:sz w:val="24"/>
          <w:szCs w:val="24"/>
          <w:rtl w:val="0"/>
          <w:lang w:val="en-US"/>
        </w:rPr>
        <w:t>s participation as candidates in the elections.</w:t>
      </w:r>
      <w:r>
        <w:rPr>
          <w:rStyle w:val="Egyik sem"/>
          <w:rFonts w:ascii="Times New Roman" w:cs="Times New Roman" w:hAnsi="Times New Roman" w:eastAsia="Times New Roman"/>
          <w:i w:val="1"/>
          <w:iCs w:val="1"/>
          <w:sz w:val="24"/>
          <w:szCs w:val="24"/>
          <w:vertAlign w:val="superscript"/>
        </w:rPr>
        <w:footnoteReference w:id="24"/>
      </w:r>
    </w:p>
    <w:p>
      <w:pPr>
        <w:pStyle w:val="Szövegtörzs A"/>
        <w:numPr>
          <w:ilvl w:val="0"/>
          <w:numId w:val="6"/>
        </w:numPr>
        <w:bidi w:val="0"/>
        <w:spacing w:line="240" w:lineRule="auto"/>
        <w:ind w:right="0"/>
        <w:jc w:val="both"/>
        <w:rPr>
          <w:rFonts w:ascii="Times New Roman" w:hAnsi="Times New Roman"/>
          <w:i w:val="1"/>
          <w:iCs w:val="1"/>
          <w:sz w:val="24"/>
          <w:szCs w:val="24"/>
          <w:rtl w:val="0"/>
          <w:lang w:val="en-US"/>
        </w:rPr>
      </w:pPr>
      <w:r>
        <w:rPr>
          <w:rStyle w:val="Egyik sem"/>
          <w:rFonts w:ascii="Times New Roman" w:hAnsi="Times New Roman"/>
          <w:i w:val="1"/>
          <w:iCs w:val="1"/>
          <w:sz w:val="24"/>
          <w:szCs w:val="24"/>
          <w:rtl w:val="0"/>
          <w:lang w:val="en-US"/>
        </w:rPr>
        <w:t>Ensure that within governmental, state and other public bodies and institutions, following the values, principles and provisions of the Convention, women experience no discrimination or effective remedy is provided in case of discrimination, women</w:t>
      </w:r>
      <w:r>
        <w:rPr>
          <w:rStyle w:val="Egyik sem"/>
          <w:rFonts w:ascii="Times New Roman" w:hAnsi="Times New Roman" w:hint="default"/>
          <w:i w:val="1"/>
          <w:iCs w:val="1"/>
          <w:sz w:val="24"/>
          <w:szCs w:val="24"/>
          <w:rtl w:val="0"/>
          <w:lang w:val="en-US"/>
        </w:rPr>
        <w:t>’</w:t>
      </w:r>
      <w:r>
        <w:rPr>
          <w:rStyle w:val="Egyik sem"/>
          <w:rFonts w:ascii="Times New Roman" w:hAnsi="Times New Roman"/>
          <w:i w:val="1"/>
          <w:iCs w:val="1"/>
          <w:sz w:val="24"/>
          <w:szCs w:val="24"/>
          <w:rtl w:val="0"/>
          <w:lang w:val="en-US"/>
        </w:rPr>
        <w:t>s equality is improved, women</w:t>
      </w:r>
      <w:r>
        <w:rPr>
          <w:rStyle w:val="Egyik sem"/>
          <w:rFonts w:ascii="Times New Roman" w:hAnsi="Times New Roman" w:hint="default"/>
          <w:i w:val="1"/>
          <w:iCs w:val="1"/>
          <w:sz w:val="24"/>
          <w:szCs w:val="24"/>
          <w:rtl w:val="0"/>
          <w:lang w:val="en-US"/>
        </w:rPr>
        <w:t>’</w:t>
      </w:r>
      <w:r>
        <w:rPr>
          <w:rStyle w:val="Egyik sem"/>
          <w:rFonts w:ascii="Times New Roman" w:hAnsi="Times New Roman"/>
          <w:i w:val="1"/>
          <w:iCs w:val="1"/>
          <w:sz w:val="24"/>
          <w:szCs w:val="24"/>
          <w:rtl w:val="0"/>
          <w:lang w:val="en-US"/>
        </w:rPr>
        <w:t>s equal participation is enabled and their contributions valued.</w:t>
      </w:r>
    </w:p>
    <w:p>
      <w:pPr>
        <w:pStyle w:val="Szövegtörzs A"/>
        <w:numPr>
          <w:ilvl w:val="0"/>
          <w:numId w:val="6"/>
        </w:numPr>
        <w:bidi w:val="0"/>
        <w:spacing w:line="240" w:lineRule="auto"/>
        <w:ind w:right="0"/>
        <w:jc w:val="both"/>
        <w:rPr>
          <w:rFonts w:ascii="Times New Roman" w:hAnsi="Times New Roman"/>
          <w:i w:val="1"/>
          <w:iCs w:val="1"/>
          <w:sz w:val="24"/>
          <w:szCs w:val="24"/>
          <w:rtl w:val="0"/>
          <w:lang w:val="en-US"/>
        </w:rPr>
      </w:pPr>
      <w:r>
        <w:rPr>
          <w:rStyle w:val="Egyik sem"/>
          <w:rFonts w:ascii="Times New Roman" w:hAnsi="Times New Roman"/>
          <w:i w:val="1"/>
          <w:iCs w:val="1"/>
          <w:sz w:val="24"/>
          <w:szCs w:val="24"/>
          <w:rtl w:val="0"/>
          <w:lang w:val="en-US"/>
        </w:rPr>
        <w:t>Make comparative statistics available and publicly accessible on the ratios, positions and remunerations of male and female employees in governmental, state, public bodies and institutions.</w:t>
      </w:r>
    </w:p>
    <w:p>
      <w:pPr>
        <w:pStyle w:val="Szövegtörzs A"/>
        <w:spacing w:line="240" w:lineRule="auto"/>
        <w:rPr>
          <w:rStyle w:val="Egyik sem"/>
          <w:rFonts w:ascii="Times New Roman" w:cs="Times New Roman" w:hAnsi="Times New Roman" w:eastAsia="Times New Roman"/>
          <w:sz w:val="24"/>
          <w:szCs w:val="24"/>
        </w:rPr>
      </w:pPr>
    </w:p>
    <w:p>
      <w:pPr>
        <w:pStyle w:val="Szövegtörzs A"/>
        <w:spacing w:line="240" w:lineRule="auto"/>
        <w:rPr>
          <w:rStyle w:val="Egyik sem"/>
          <w:rFonts w:ascii="Times New Roman" w:cs="Times New Roman" w:hAnsi="Times New Roman" w:eastAsia="Times New Roman"/>
          <w:sz w:val="24"/>
          <w:szCs w:val="24"/>
        </w:rPr>
      </w:pPr>
    </w:p>
    <w:p>
      <w:pPr>
        <w:pStyle w:val="Szövegtörzs A"/>
        <w:spacing w:line="240" w:lineRule="auto"/>
        <w:rPr>
          <w:rStyle w:val="Egyik sem"/>
          <w:rFonts w:ascii="Times New Roman" w:cs="Times New Roman" w:hAnsi="Times New Roman" w:eastAsia="Times New Roman"/>
          <w:b w:val="1"/>
          <w:bCs w:val="1"/>
          <w:sz w:val="24"/>
          <w:szCs w:val="24"/>
        </w:rPr>
      </w:pPr>
      <w:r>
        <w:rPr>
          <w:rStyle w:val="Egyik sem"/>
          <w:rFonts w:ascii="Times New Roman" w:hAnsi="Times New Roman"/>
          <w:b w:val="1"/>
          <w:bCs w:val="1"/>
          <w:sz w:val="24"/>
          <w:szCs w:val="24"/>
          <w:rtl w:val="0"/>
          <w:lang w:val="en-US"/>
        </w:rPr>
        <w:t>Article 10 - Elimination of discrimination in education</w:t>
      </w:r>
    </w:p>
    <w:p>
      <w:pPr>
        <w:pStyle w:val="Szövegtörzs A"/>
        <w:spacing w:line="240" w:lineRule="auto"/>
        <w:rPr>
          <w:rStyle w:val="Egyik sem"/>
          <w:rFonts w:ascii="Times New Roman" w:cs="Times New Roman" w:hAnsi="Times New Roman" w:eastAsia="Times New Roman"/>
          <w:sz w:val="24"/>
          <w:szCs w:val="24"/>
        </w:rPr>
      </w:pPr>
    </w:p>
    <w:p>
      <w:pPr>
        <w:pStyle w:val="Szövegtörzs A"/>
        <w:spacing w:line="240" w:lineRule="auto"/>
        <w:jc w:val="both"/>
        <w:rPr>
          <w:rStyle w:val="Egyik sem"/>
          <w:rFonts w:ascii="Times New Roman" w:cs="Times New Roman" w:hAnsi="Times New Roman" w:eastAsia="Times New Roman"/>
          <w:outline w:val="0"/>
          <w:color w:val="222222"/>
          <w:sz w:val="24"/>
          <w:szCs w:val="24"/>
          <w:u w:color="222222"/>
          <w14:textFill>
            <w14:solidFill>
              <w14:srgbClr w14:val="222222"/>
            </w14:solidFill>
          </w14:textFill>
        </w:rPr>
      </w:pPr>
      <w:r>
        <w:rPr>
          <w:rStyle w:val="Egyik sem"/>
          <w:rFonts w:ascii="Times New Roman" w:hAnsi="Times New Roman"/>
          <w:outline w:val="0"/>
          <w:color w:val="222222"/>
          <w:sz w:val="24"/>
          <w:szCs w:val="24"/>
          <w:u w:color="222222"/>
          <w:rtl w:val="0"/>
          <w:lang w:val="en-US"/>
          <w14:textFill>
            <w14:solidFill>
              <w14:srgbClr w14:val="222222"/>
            </w14:solidFill>
          </w14:textFill>
        </w:rPr>
        <w:t xml:space="preserve">In the National Core Curriculum, equality between women and men/girls and boys, or elimination of discrimination against women and girls does not appear at all among the </w:t>
      </w:r>
      <w:r>
        <w:rPr>
          <w:rStyle w:val="Egyik sem"/>
          <w:rFonts w:ascii="Times New Roman" w:hAnsi="Times New Roman" w:hint="default"/>
          <w:outline w:val="0"/>
          <w:color w:val="222222"/>
          <w:sz w:val="24"/>
          <w:szCs w:val="24"/>
          <w:u w:color="222222"/>
          <w:rtl w:val="0"/>
          <w:lang w:val="en-US"/>
          <w14:textFill>
            <w14:solidFill>
              <w14:srgbClr w14:val="222222"/>
            </w14:solidFill>
          </w14:textFill>
        </w:rPr>
        <w:t>“</w:t>
      </w:r>
      <w:r>
        <w:rPr>
          <w:rStyle w:val="Egyik sem"/>
          <w:rFonts w:ascii="Times New Roman" w:hAnsi="Times New Roman"/>
          <w:outline w:val="0"/>
          <w:color w:val="222222"/>
          <w:sz w:val="24"/>
          <w:szCs w:val="24"/>
          <w:u w:color="222222"/>
          <w:rtl w:val="0"/>
          <w:lang w:val="en-US"/>
          <w14:textFill>
            <w14:solidFill>
              <w14:srgbClr w14:val="222222"/>
            </w14:solidFill>
          </w14:textFill>
        </w:rPr>
        <w:t>Tasks and values of public education</w:t>
      </w:r>
      <w:r>
        <w:rPr>
          <w:rStyle w:val="Egyik sem"/>
          <w:rFonts w:ascii="Times New Roman" w:hAnsi="Times New Roman" w:hint="default"/>
          <w:outline w:val="0"/>
          <w:color w:val="222222"/>
          <w:sz w:val="24"/>
          <w:szCs w:val="24"/>
          <w:u w:color="222222"/>
          <w:rtl w:val="0"/>
          <w:lang w:val="en-US"/>
          <w14:textFill>
            <w14:solidFill>
              <w14:srgbClr w14:val="222222"/>
            </w14:solidFill>
          </w14:textFill>
        </w:rPr>
        <w:t>”</w:t>
      </w:r>
      <w:r>
        <w:rPr>
          <w:rStyle w:val="Egyik sem"/>
          <w:rFonts w:ascii="Times New Roman" w:hAnsi="Times New Roman"/>
          <w:outline w:val="0"/>
          <w:color w:val="222222"/>
          <w:sz w:val="24"/>
          <w:szCs w:val="24"/>
          <w:u w:color="222222"/>
          <w:rtl w:val="0"/>
          <w:lang w:val="en-US"/>
          <w14:textFill>
            <w14:solidFill>
              <w14:srgbClr w14:val="222222"/>
            </w14:solidFill>
          </w14:textFill>
        </w:rPr>
        <w:t xml:space="preserve">, or in the </w:t>
      </w:r>
      <w:r>
        <w:rPr>
          <w:rStyle w:val="Egyik sem"/>
          <w:rFonts w:ascii="Times New Roman" w:hAnsi="Times New Roman" w:hint="default"/>
          <w:outline w:val="0"/>
          <w:color w:val="222222"/>
          <w:sz w:val="24"/>
          <w:szCs w:val="24"/>
          <w:u w:color="222222"/>
          <w:rtl w:val="0"/>
          <w:lang w:val="en-US"/>
          <w14:textFill>
            <w14:solidFill>
              <w14:srgbClr w14:val="222222"/>
            </w14:solidFill>
          </w14:textFill>
        </w:rPr>
        <w:t>“</w:t>
      </w:r>
      <w:r>
        <w:rPr>
          <w:rStyle w:val="Egyik sem"/>
          <w:rFonts w:ascii="Times New Roman" w:hAnsi="Times New Roman"/>
          <w:outline w:val="0"/>
          <w:color w:val="222222"/>
          <w:sz w:val="24"/>
          <w:szCs w:val="24"/>
          <w:u w:color="222222"/>
          <w:rtl w:val="0"/>
          <w:lang w:val="en-US"/>
          <w14:textFill>
            <w14:solidFill>
              <w14:srgbClr w14:val="222222"/>
            </w14:solidFill>
          </w14:textFill>
        </w:rPr>
        <w:t>Fields of development - aims of education</w:t>
      </w:r>
      <w:r>
        <w:rPr>
          <w:rStyle w:val="Egyik sem"/>
          <w:rFonts w:ascii="Times New Roman" w:hAnsi="Times New Roman" w:hint="default"/>
          <w:outline w:val="0"/>
          <w:color w:val="222222"/>
          <w:sz w:val="24"/>
          <w:szCs w:val="24"/>
          <w:u w:color="222222"/>
          <w:rtl w:val="0"/>
          <w:lang w:val="en-US"/>
          <w14:textFill>
            <w14:solidFill>
              <w14:srgbClr w14:val="222222"/>
            </w14:solidFill>
          </w14:textFill>
        </w:rPr>
        <w:t xml:space="preserve">” </w:t>
      </w:r>
      <w:r>
        <w:rPr>
          <w:rStyle w:val="Egyik sem"/>
          <w:rFonts w:ascii="Times New Roman" w:hAnsi="Times New Roman"/>
          <w:outline w:val="0"/>
          <w:color w:val="222222"/>
          <w:sz w:val="24"/>
          <w:szCs w:val="24"/>
          <w:u w:color="222222"/>
          <w:rtl w:val="0"/>
          <w:lang w:val="en-US"/>
          <w14:textFill>
            <w14:solidFill>
              <w14:srgbClr w14:val="222222"/>
            </w14:solidFill>
          </w14:textFill>
        </w:rPr>
        <w:t xml:space="preserve">part. At the same time, </w:t>
      </w:r>
      <w:r>
        <w:rPr>
          <w:rStyle w:val="Egyik sem"/>
          <w:rFonts w:ascii="Times New Roman" w:hAnsi="Times New Roman" w:hint="default"/>
          <w:outline w:val="0"/>
          <w:color w:val="222222"/>
          <w:sz w:val="24"/>
          <w:szCs w:val="24"/>
          <w:u w:color="222222"/>
          <w:rtl w:val="0"/>
          <w:lang w:val="en-US"/>
          <w14:textFill>
            <w14:solidFill>
              <w14:srgbClr w14:val="222222"/>
            </w14:solidFill>
          </w14:textFill>
        </w:rPr>
        <w:t>“</w:t>
      </w:r>
      <w:r>
        <w:rPr>
          <w:rStyle w:val="Egyik sem"/>
          <w:rFonts w:ascii="Times New Roman" w:hAnsi="Times New Roman"/>
          <w:outline w:val="0"/>
          <w:color w:val="222222"/>
          <w:sz w:val="24"/>
          <w:szCs w:val="24"/>
          <w:u w:color="222222"/>
          <w:rtl w:val="0"/>
          <w:lang w:val="en-US"/>
          <w14:textFill>
            <w14:solidFill>
              <w14:srgbClr w14:val="222222"/>
            </w14:solidFill>
          </w14:textFill>
        </w:rPr>
        <w:t>Morality education</w:t>
      </w:r>
      <w:r>
        <w:rPr>
          <w:rStyle w:val="Egyik sem"/>
          <w:rFonts w:ascii="Times New Roman" w:hAnsi="Times New Roman" w:hint="default"/>
          <w:outline w:val="0"/>
          <w:color w:val="222222"/>
          <w:sz w:val="24"/>
          <w:szCs w:val="24"/>
          <w:u w:color="222222"/>
          <w:rtl w:val="0"/>
          <w:lang w:val="en-US"/>
          <w14:textFill>
            <w14:solidFill>
              <w14:srgbClr w14:val="222222"/>
            </w14:solidFill>
          </w14:textFill>
        </w:rPr>
        <w:t xml:space="preserve">” </w:t>
      </w:r>
      <w:r>
        <w:rPr>
          <w:rStyle w:val="Egyik sem"/>
          <w:rFonts w:ascii="Times New Roman" w:hAnsi="Times New Roman"/>
          <w:outline w:val="0"/>
          <w:color w:val="222222"/>
          <w:sz w:val="24"/>
          <w:szCs w:val="24"/>
          <w:u w:color="222222"/>
          <w:rtl w:val="0"/>
          <w:lang w:val="en-US"/>
          <w14:textFill>
            <w14:solidFill>
              <w14:srgbClr w14:val="222222"/>
            </w14:solidFill>
          </w14:textFill>
        </w:rPr>
        <w:t xml:space="preserve">and </w:t>
      </w:r>
      <w:r>
        <w:rPr>
          <w:rStyle w:val="Egyik sem"/>
          <w:rFonts w:ascii="Times New Roman" w:hAnsi="Times New Roman" w:hint="default"/>
          <w:outline w:val="0"/>
          <w:color w:val="222222"/>
          <w:sz w:val="24"/>
          <w:szCs w:val="24"/>
          <w:u w:color="222222"/>
          <w:rtl w:val="0"/>
          <w:lang w:val="en-US"/>
          <w14:textFill>
            <w14:solidFill>
              <w14:srgbClr w14:val="222222"/>
            </w14:solidFill>
          </w14:textFill>
        </w:rPr>
        <w:t>“</w:t>
      </w:r>
      <w:r>
        <w:rPr>
          <w:rStyle w:val="Egyik sem"/>
          <w:rFonts w:ascii="Times New Roman" w:hAnsi="Times New Roman"/>
          <w:outline w:val="0"/>
          <w:color w:val="222222"/>
          <w:sz w:val="24"/>
          <w:szCs w:val="24"/>
          <w:u w:color="222222"/>
          <w:rtl w:val="0"/>
          <w:lang w:val="en-US"/>
          <w14:textFill>
            <w14:solidFill>
              <w14:srgbClr w14:val="222222"/>
            </w14:solidFill>
          </w14:textFill>
        </w:rPr>
        <w:t>Preparation for family life</w:t>
      </w:r>
      <w:r>
        <w:rPr>
          <w:rStyle w:val="Egyik sem"/>
          <w:rFonts w:ascii="Times New Roman" w:hAnsi="Times New Roman" w:hint="default"/>
          <w:outline w:val="0"/>
          <w:color w:val="222222"/>
          <w:sz w:val="24"/>
          <w:szCs w:val="24"/>
          <w:u w:color="222222"/>
          <w:rtl w:val="0"/>
          <w:lang w:val="en-US"/>
          <w14:textFill>
            <w14:solidFill>
              <w14:srgbClr w14:val="222222"/>
            </w14:solidFill>
          </w14:textFill>
        </w:rPr>
        <w:t xml:space="preserve">” </w:t>
      </w:r>
      <w:r>
        <w:rPr>
          <w:rStyle w:val="Egyik sem"/>
          <w:rFonts w:ascii="Times New Roman" w:hAnsi="Times New Roman"/>
          <w:outline w:val="0"/>
          <w:color w:val="222222"/>
          <w:sz w:val="24"/>
          <w:szCs w:val="24"/>
          <w:u w:color="222222"/>
          <w:rtl w:val="0"/>
          <w:lang w:val="en-US"/>
          <w14:textFill>
            <w14:solidFill>
              <w14:srgbClr w14:val="222222"/>
            </w14:solidFill>
          </w14:textFill>
        </w:rPr>
        <w:t>are included in the latter.</w:t>
      </w:r>
      <w:r>
        <w:rPr>
          <w:rStyle w:val="Egyik sem"/>
          <w:rFonts w:ascii="Times New Roman" w:cs="Times New Roman" w:hAnsi="Times New Roman" w:eastAsia="Times New Roman"/>
          <w:outline w:val="0"/>
          <w:color w:val="222222"/>
          <w:sz w:val="24"/>
          <w:szCs w:val="24"/>
          <w:u w:color="222222"/>
          <w:vertAlign w:val="superscript"/>
          <w14:textFill>
            <w14:solidFill>
              <w14:srgbClr w14:val="222222"/>
            </w14:solidFill>
          </w14:textFill>
        </w:rPr>
        <w:footnoteReference w:id="25"/>
      </w:r>
      <w:r>
        <w:rPr>
          <w:rStyle w:val="Egyik sem"/>
          <w:rFonts w:ascii="Times New Roman" w:hAnsi="Times New Roman"/>
          <w:outline w:val="0"/>
          <w:color w:val="222222"/>
          <w:sz w:val="24"/>
          <w:szCs w:val="24"/>
          <w:u w:color="222222"/>
          <w:rtl w:val="0"/>
          <w:lang w:val="en-US"/>
          <w14:textFill>
            <w14:solidFill>
              <w14:srgbClr w14:val="222222"/>
            </w14:solidFill>
          </w14:textFill>
        </w:rPr>
        <w:t xml:space="preserve"> Furthermore, later in the document as regards the theme </w:t>
      </w:r>
      <w:r>
        <w:rPr>
          <w:rStyle w:val="Egyik sem"/>
          <w:rFonts w:ascii="Times New Roman" w:hAnsi="Times New Roman" w:hint="default"/>
          <w:outline w:val="0"/>
          <w:color w:val="222222"/>
          <w:sz w:val="24"/>
          <w:szCs w:val="24"/>
          <w:u w:color="222222"/>
          <w:rtl w:val="0"/>
          <w:lang w:val="en-US"/>
          <w14:textFill>
            <w14:solidFill>
              <w14:srgbClr w14:val="222222"/>
            </w14:solidFill>
          </w14:textFill>
        </w:rPr>
        <w:t>“</w:t>
      </w:r>
      <w:r>
        <w:rPr>
          <w:rStyle w:val="Egyik sem"/>
          <w:rFonts w:ascii="Times New Roman" w:hAnsi="Times New Roman"/>
          <w:outline w:val="0"/>
          <w:color w:val="222222"/>
          <w:sz w:val="24"/>
          <w:szCs w:val="24"/>
          <w:u w:color="222222"/>
          <w:rtl w:val="0"/>
          <w:lang w:val="en-US"/>
          <w14:textFill>
            <w14:solidFill>
              <w14:srgbClr w14:val="222222"/>
            </w14:solidFill>
          </w14:textFill>
        </w:rPr>
        <w:t>Homeland and folklore knowledge</w:t>
      </w:r>
      <w:r>
        <w:rPr>
          <w:rStyle w:val="Egyik sem"/>
          <w:rFonts w:ascii="Times New Roman" w:hAnsi="Times New Roman" w:hint="default"/>
          <w:outline w:val="0"/>
          <w:color w:val="222222"/>
          <w:sz w:val="24"/>
          <w:szCs w:val="24"/>
          <w:u w:color="222222"/>
          <w:rtl w:val="0"/>
          <w:lang w:val="en-US"/>
          <w14:textFill>
            <w14:solidFill>
              <w14:srgbClr w14:val="222222"/>
            </w14:solidFill>
          </w14:textFill>
        </w:rPr>
        <w:t>”</w:t>
      </w:r>
      <w:r>
        <w:rPr>
          <w:rStyle w:val="Egyik sem"/>
          <w:rFonts w:ascii="Times New Roman" w:hAnsi="Times New Roman"/>
          <w:outline w:val="0"/>
          <w:color w:val="222222"/>
          <w:sz w:val="24"/>
          <w:szCs w:val="24"/>
          <w:u w:color="222222"/>
          <w:rtl w:val="0"/>
          <w:lang w:val="en-US"/>
          <w14:textFill>
            <w14:solidFill>
              <w14:srgbClr w14:val="222222"/>
            </w14:solidFill>
          </w14:textFill>
        </w:rPr>
        <w:t xml:space="preserve">, the following aim is listed for the pupils: </w:t>
      </w:r>
      <w:r>
        <w:rPr>
          <w:rStyle w:val="Egyik sem"/>
          <w:rFonts w:ascii="Times New Roman" w:hAnsi="Times New Roman" w:hint="default"/>
          <w:outline w:val="0"/>
          <w:color w:val="222222"/>
          <w:sz w:val="24"/>
          <w:szCs w:val="24"/>
          <w:u w:color="222222"/>
          <w:rtl w:val="0"/>
          <w:lang w:val="en-US"/>
          <w14:textFill>
            <w14:solidFill>
              <w14:srgbClr w14:val="222222"/>
            </w14:solidFill>
          </w14:textFill>
        </w:rPr>
        <w:t>“</w:t>
      </w:r>
      <w:r>
        <w:rPr>
          <w:rStyle w:val="Egyik sem"/>
          <w:rFonts w:ascii="Times New Roman" w:hAnsi="Times New Roman"/>
          <w:outline w:val="0"/>
          <w:color w:val="222222"/>
          <w:sz w:val="24"/>
          <w:szCs w:val="24"/>
          <w:u w:color="222222"/>
          <w:rtl w:val="0"/>
          <w:lang w:val="en-US"/>
          <w14:textFill>
            <w14:solidFill>
              <w14:srgbClr w14:val="222222"/>
            </w14:solidFill>
          </w14:textFill>
        </w:rPr>
        <w:t>to be equipped with patterns for the preparation for the traditional male and female roles, in order to be able to acquire the basics of the traditional family model.</w:t>
      </w:r>
      <w:r>
        <w:rPr>
          <w:rStyle w:val="Egyik sem"/>
          <w:rFonts w:ascii="Times New Roman" w:hAnsi="Times New Roman" w:hint="default"/>
          <w:outline w:val="0"/>
          <w:color w:val="222222"/>
          <w:sz w:val="24"/>
          <w:szCs w:val="24"/>
          <w:u w:color="222222"/>
          <w:rtl w:val="0"/>
          <w:lang w:val="en-US"/>
          <w14:textFill>
            <w14:solidFill>
              <w14:srgbClr w14:val="222222"/>
            </w14:solidFill>
          </w14:textFill>
        </w:rPr>
        <w:t>”</w:t>
      </w:r>
      <w:r>
        <w:rPr>
          <w:rStyle w:val="Egyik sem"/>
          <w:rFonts w:ascii="Times New Roman" w:cs="Times New Roman" w:hAnsi="Times New Roman" w:eastAsia="Times New Roman"/>
          <w:outline w:val="0"/>
          <w:color w:val="222222"/>
          <w:sz w:val="24"/>
          <w:szCs w:val="24"/>
          <w:u w:color="222222"/>
          <w:vertAlign w:val="superscript"/>
          <w14:textFill>
            <w14:solidFill>
              <w14:srgbClr w14:val="222222"/>
            </w14:solidFill>
          </w14:textFill>
        </w:rPr>
        <w:footnoteReference w:id="26"/>
      </w:r>
      <w:r>
        <w:rPr>
          <w:rStyle w:val="Egyik sem"/>
          <w:rFonts w:ascii="Times New Roman" w:hAnsi="Times New Roman"/>
          <w:outline w:val="0"/>
          <w:color w:val="222222"/>
          <w:sz w:val="24"/>
          <w:szCs w:val="24"/>
          <w:u w:color="222222"/>
          <w:rtl w:val="0"/>
          <w:lang w:val="en-US"/>
          <w14:textFill>
            <w14:solidFill>
              <w14:srgbClr w14:val="222222"/>
            </w14:solidFill>
          </w14:textFill>
        </w:rPr>
        <w:t xml:space="preserve"> (In the previous regulation on the National Core Curriculum, there was at least a short reference among the social and citizenship key competences: </w:t>
      </w:r>
      <w:r>
        <w:rPr>
          <w:rStyle w:val="Egyik sem"/>
          <w:rFonts w:ascii="Times New Roman" w:hAnsi="Times New Roman" w:hint="default"/>
          <w:outline w:val="0"/>
          <w:color w:val="222222"/>
          <w:sz w:val="24"/>
          <w:szCs w:val="24"/>
          <w:u w:color="222222"/>
          <w:rtl w:val="0"/>
          <w:lang w:val="en-US"/>
          <w14:textFill>
            <w14:solidFill>
              <w14:srgbClr w14:val="222222"/>
            </w14:solidFill>
          </w14:textFill>
        </w:rPr>
        <w:t>“</w:t>
      </w:r>
      <w:r>
        <w:rPr>
          <w:rStyle w:val="Egyik sem"/>
          <w:rFonts w:ascii="Times New Roman" w:hAnsi="Times New Roman"/>
          <w:outline w:val="0"/>
          <w:color w:val="222222"/>
          <w:sz w:val="24"/>
          <w:szCs w:val="24"/>
          <w:u w:color="222222"/>
          <w:rtl w:val="0"/>
          <w:lang w:val="en-US"/>
          <w14:textFill>
            <w14:solidFill>
              <w14:srgbClr w14:val="222222"/>
            </w14:solidFill>
          </w14:textFill>
        </w:rPr>
        <w:t>It is important to have knowledge about the basic concepts related to [...] equality between the sexes</w:t>
      </w:r>
      <w:r>
        <w:rPr>
          <w:rStyle w:val="Egyik sem"/>
          <w:rFonts w:ascii="Times New Roman" w:hAnsi="Times New Roman" w:hint="default"/>
          <w:outline w:val="0"/>
          <w:color w:val="222222"/>
          <w:sz w:val="24"/>
          <w:szCs w:val="24"/>
          <w:u w:color="222222"/>
          <w:rtl w:val="0"/>
          <w:lang w:val="en-US"/>
          <w14:textFill>
            <w14:solidFill>
              <w14:srgbClr w14:val="222222"/>
            </w14:solidFill>
          </w14:textFill>
        </w:rPr>
        <w:t>…”</w:t>
      </w:r>
      <w:r>
        <w:rPr>
          <w:rStyle w:val="Egyik sem"/>
          <w:rFonts w:ascii="Times New Roman" w:hAnsi="Times New Roman"/>
          <w:outline w:val="0"/>
          <w:color w:val="222222"/>
          <w:sz w:val="24"/>
          <w:szCs w:val="24"/>
          <w:u w:color="222222"/>
          <w:rtl w:val="0"/>
          <w14:textFill>
            <w14:solidFill>
              <w14:srgbClr w14:val="222222"/>
            </w14:solidFill>
          </w14:textFill>
        </w:rPr>
        <w:t>.)</w:t>
      </w:r>
    </w:p>
    <w:p>
      <w:pPr>
        <w:pStyle w:val="Szövegtörzs A"/>
        <w:spacing w:line="240" w:lineRule="auto"/>
        <w:jc w:val="both"/>
        <w:rPr>
          <w:rStyle w:val="Egyik sem"/>
          <w:rFonts w:ascii="Times New Roman" w:cs="Times New Roman" w:hAnsi="Times New Roman" w:eastAsia="Times New Roman"/>
          <w:outline w:val="0"/>
          <w:color w:val="222222"/>
          <w:sz w:val="24"/>
          <w:szCs w:val="24"/>
          <w:u w:color="222222"/>
          <w14:textFill>
            <w14:solidFill>
              <w14:srgbClr w14:val="222222"/>
            </w14:solidFill>
          </w14:textFill>
        </w:rPr>
      </w:pPr>
      <w:r>
        <w:rPr>
          <w:rStyle w:val="Egyik sem"/>
          <w:rFonts w:ascii="Times New Roman" w:hAnsi="Times New Roman"/>
          <w:outline w:val="0"/>
          <w:color w:val="222222"/>
          <w:sz w:val="24"/>
          <w:szCs w:val="24"/>
          <w:u w:color="222222"/>
          <w:rtl w:val="0"/>
          <w:lang w:val="en-US"/>
          <w14:textFill>
            <w14:solidFill>
              <w14:srgbClr w14:val="222222"/>
            </w14:solidFill>
          </w14:textFill>
        </w:rPr>
        <w:t>Various school textbooks still contain sexist contents that reinforce gender stereotypes and expectations (including references to girls</w:t>
      </w:r>
      <w:r>
        <w:rPr>
          <w:rStyle w:val="Egyik sem"/>
          <w:rFonts w:ascii="Times New Roman" w:hAnsi="Times New Roman" w:hint="default"/>
          <w:outline w:val="0"/>
          <w:color w:val="222222"/>
          <w:sz w:val="24"/>
          <w:szCs w:val="24"/>
          <w:u w:color="222222"/>
          <w:rtl w:val="0"/>
          <w:lang w:val="en-US"/>
          <w14:textFill>
            <w14:solidFill>
              <w14:srgbClr w14:val="222222"/>
            </w14:solidFill>
          </w14:textFill>
        </w:rPr>
        <w:t xml:space="preserve">’ </w:t>
      </w:r>
      <w:r>
        <w:rPr>
          <w:rStyle w:val="Egyik sem"/>
          <w:rFonts w:ascii="Times New Roman" w:hAnsi="Times New Roman"/>
          <w:outline w:val="0"/>
          <w:color w:val="222222"/>
          <w:sz w:val="24"/>
          <w:szCs w:val="24"/>
          <w:u w:color="222222"/>
          <w:rtl w:val="0"/>
          <w:lang w:val="en-US"/>
          <w14:textFill>
            <w14:solidFill>
              <w14:srgbClr w14:val="222222"/>
            </w14:solidFill>
          </w14:textFill>
        </w:rPr>
        <w:t xml:space="preserve">lesser intellectual capacities, and different </w:t>
      </w:r>
      <w:r>
        <w:rPr>
          <w:rStyle w:val="Egyik sem"/>
          <w:rFonts w:ascii="Times New Roman" w:hAnsi="Times New Roman" w:hint="default"/>
          <w:outline w:val="0"/>
          <w:color w:val="222222"/>
          <w:sz w:val="24"/>
          <w:szCs w:val="24"/>
          <w:u w:color="222222"/>
          <w:rtl w:val="0"/>
          <w:lang w:val="en-US"/>
          <w14:textFill>
            <w14:solidFill>
              <w14:srgbClr w14:val="222222"/>
            </w14:solidFill>
          </w14:textFill>
        </w:rPr>
        <w:t>“</w:t>
      </w:r>
      <w:r>
        <w:rPr>
          <w:rStyle w:val="Egyik sem"/>
          <w:rFonts w:ascii="Times New Roman" w:hAnsi="Times New Roman"/>
          <w:outline w:val="0"/>
          <w:color w:val="222222"/>
          <w:sz w:val="24"/>
          <w:szCs w:val="24"/>
          <w:u w:color="222222"/>
          <w:rtl w:val="0"/>
          <w:lang w:val="it-IT"/>
          <w14:textFill>
            <w14:solidFill>
              <w14:srgbClr w14:val="222222"/>
            </w14:solidFill>
          </w14:textFill>
        </w:rPr>
        <w:t>natural</w:t>
      </w:r>
      <w:r>
        <w:rPr>
          <w:rStyle w:val="Egyik sem"/>
          <w:rFonts w:ascii="Times New Roman" w:hAnsi="Times New Roman" w:hint="default"/>
          <w:outline w:val="0"/>
          <w:color w:val="222222"/>
          <w:sz w:val="24"/>
          <w:szCs w:val="24"/>
          <w:u w:color="222222"/>
          <w:rtl w:val="0"/>
          <w:lang w:val="en-US"/>
          <w14:textFill>
            <w14:solidFill>
              <w14:srgbClr w14:val="222222"/>
            </w14:solidFill>
          </w14:textFill>
        </w:rPr>
        <w:t xml:space="preserve">” </w:t>
      </w:r>
      <w:r>
        <w:rPr>
          <w:rStyle w:val="Egyik sem"/>
          <w:rFonts w:ascii="Times New Roman" w:hAnsi="Times New Roman"/>
          <w:outline w:val="0"/>
          <w:color w:val="222222"/>
          <w:sz w:val="24"/>
          <w:szCs w:val="24"/>
          <w:u w:color="222222"/>
          <w:rtl w:val="0"/>
          <w:lang w:val="en-US"/>
          <w14:textFill>
            <w14:solidFill>
              <w14:srgbClr w14:val="222222"/>
            </w14:solidFill>
          </w14:textFill>
        </w:rPr>
        <w:t>subjects of interest and roles for boys and girls).</w:t>
      </w:r>
      <w:r>
        <w:rPr>
          <w:rStyle w:val="Egyik sem"/>
          <w:rFonts w:ascii="Times New Roman" w:cs="Times New Roman" w:hAnsi="Times New Roman" w:eastAsia="Times New Roman"/>
          <w:outline w:val="0"/>
          <w:color w:val="222222"/>
          <w:sz w:val="24"/>
          <w:szCs w:val="24"/>
          <w:u w:color="222222"/>
          <w:vertAlign w:val="superscript"/>
          <w14:textFill>
            <w14:solidFill>
              <w14:srgbClr w14:val="222222"/>
            </w14:solidFill>
          </w14:textFill>
        </w:rPr>
        <w:footnoteReference w:id="27"/>
      </w:r>
      <w:r>
        <w:rPr>
          <w:rStyle w:val="Egyik sem"/>
          <w:rFonts w:ascii="Times New Roman" w:hAnsi="Times New Roman"/>
          <w:outline w:val="0"/>
          <w:color w:val="222222"/>
          <w:sz w:val="24"/>
          <w:szCs w:val="24"/>
          <w:u w:color="222222"/>
          <w:rtl w:val="0"/>
          <w14:textFill>
            <w14:solidFill>
              <w14:srgbClr w14:val="222222"/>
            </w14:solidFill>
          </w14:textFill>
        </w:rPr>
        <w:t xml:space="preserve"> </w:t>
      </w:r>
    </w:p>
    <w:p>
      <w:pPr>
        <w:pStyle w:val="Szövegtörzs A"/>
        <w:spacing w:line="240" w:lineRule="auto"/>
        <w:jc w:val="both"/>
        <w:rPr>
          <w:rStyle w:val="Egyik sem"/>
          <w:rFonts w:ascii="Times New Roman" w:cs="Times New Roman" w:hAnsi="Times New Roman" w:eastAsia="Times New Roman"/>
          <w:outline w:val="0"/>
          <w:color w:val="222222"/>
          <w:sz w:val="24"/>
          <w:szCs w:val="24"/>
          <w:u w:color="222222"/>
          <w14:textFill>
            <w14:solidFill>
              <w14:srgbClr w14:val="222222"/>
            </w14:solidFill>
          </w14:textFill>
        </w:rPr>
      </w:pPr>
      <w:r>
        <w:rPr>
          <w:rStyle w:val="Egyik sem"/>
          <w:rFonts w:ascii="Times New Roman" w:hAnsi="Times New Roman"/>
          <w:outline w:val="0"/>
          <w:color w:val="222222"/>
          <w:sz w:val="24"/>
          <w:szCs w:val="24"/>
          <w:u w:color="222222"/>
          <w:rtl w:val="0"/>
          <w:lang w:val="en-US"/>
          <w14:textFill>
            <w14:solidFill>
              <w14:srgbClr w14:val="222222"/>
            </w14:solidFill>
          </w14:textFill>
        </w:rPr>
        <w:t xml:space="preserve">In September 2022 the State Audit Office published an analysis entitled </w:t>
      </w:r>
      <w:r>
        <w:rPr>
          <w:rStyle w:val="Egyik sem"/>
          <w:rFonts w:ascii="Times New Roman" w:hAnsi="Times New Roman" w:hint="default"/>
          <w:outline w:val="0"/>
          <w:color w:val="222222"/>
          <w:sz w:val="24"/>
          <w:szCs w:val="24"/>
          <w:u w:color="222222"/>
          <w:rtl w:val="0"/>
          <w:lang w:val="en-US"/>
          <w14:textFill>
            <w14:solidFill>
              <w14:srgbClr w14:val="222222"/>
            </w14:solidFill>
          </w14:textFill>
        </w:rPr>
        <w:t>“</w:t>
      </w:r>
      <w:r>
        <w:rPr>
          <w:rStyle w:val="Egyik sem"/>
          <w:rFonts w:ascii="Times New Roman" w:hAnsi="Times New Roman"/>
          <w:outline w:val="0"/>
          <w:color w:val="222222"/>
          <w:sz w:val="24"/>
          <w:szCs w:val="24"/>
          <w:u w:color="222222"/>
          <w:rtl w:val="0"/>
          <w:lang w:val="en-US"/>
          <w14:textFill>
            <w14:solidFill>
              <w14:srgbClr w14:val="222222"/>
            </w14:solidFill>
          </w14:textFill>
        </w:rPr>
        <w:t>Is pink education occurring in Hungary?</w:t>
      </w:r>
      <w:r>
        <w:rPr>
          <w:rStyle w:val="Egyik sem"/>
          <w:rFonts w:ascii="Times New Roman" w:hAnsi="Times New Roman" w:hint="default"/>
          <w:outline w:val="0"/>
          <w:color w:val="222222"/>
          <w:sz w:val="24"/>
          <w:szCs w:val="24"/>
          <w:u w:color="222222"/>
          <w:rtl w:val="0"/>
          <w:lang w:val="en-US"/>
          <w14:textFill>
            <w14:solidFill>
              <w14:srgbClr w14:val="222222"/>
            </w14:solidFill>
          </w14:textFill>
        </w:rPr>
        <w:t>”</w:t>
      </w:r>
      <w:r>
        <w:rPr>
          <w:rStyle w:val="Egyik sem"/>
          <w:rFonts w:ascii="Times New Roman" w:hAnsi="Times New Roman"/>
          <w:outline w:val="0"/>
          <w:color w:val="222222"/>
          <w:sz w:val="24"/>
          <w:szCs w:val="24"/>
          <w:u w:color="222222"/>
          <w:rtl w:val="0"/>
          <w:lang w:val="en-US"/>
          <w14:textFill>
            <w14:solidFill>
              <w14:srgbClr w14:val="222222"/>
            </w14:solidFill>
          </w14:textFill>
        </w:rPr>
        <w:t xml:space="preserve">. The report uses sexist language, and reinforces harmful </w:t>
      </w:r>
      <w:r>
        <w:rPr>
          <w:rStyle w:val="Egyik sem"/>
          <w:rFonts w:ascii="Times New Roman" w:hAnsi="Times New Roman" w:hint="default"/>
          <w:outline w:val="0"/>
          <w:color w:val="222222"/>
          <w:sz w:val="24"/>
          <w:szCs w:val="24"/>
          <w:u w:color="222222"/>
          <w:rtl w:val="0"/>
          <w:lang w:val="en-US"/>
          <w14:textFill>
            <w14:solidFill>
              <w14:srgbClr w14:val="222222"/>
            </w14:solidFill>
          </w14:textFill>
        </w:rPr>
        <w:t>“</w:t>
      </w:r>
      <w:r>
        <w:rPr>
          <w:rStyle w:val="Egyik sem"/>
          <w:rFonts w:ascii="Times New Roman" w:hAnsi="Times New Roman"/>
          <w:outline w:val="0"/>
          <w:color w:val="222222"/>
          <w:sz w:val="24"/>
          <w:szCs w:val="24"/>
          <w:u w:color="222222"/>
          <w:rtl w:val="0"/>
          <w14:textFill>
            <w14:solidFill>
              <w14:srgbClr w14:val="222222"/>
            </w14:solidFill>
          </w14:textFill>
        </w:rPr>
        <w:t>feminine</w:t>
      </w:r>
      <w:r>
        <w:rPr>
          <w:rStyle w:val="Egyik sem"/>
          <w:rFonts w:ascii="Times New Roman" w:hAnsi="Times New Roman" w:hint="default"/>
          <w:outline w:val="0"/>
          <w:color w:val="222222"/>
          <w:sz w:val="24"/>
          <w:szCs w:val="24"/>
          <w:u w:color="222222"/>
          <w:rtl w:val="0"/>
          <w:lang w:val="en-US"/>
          <w14:textFill>
            <w14:solidFill>
              <w14:srgbClr w14:val="222222"/>
            </w14:solidFill>
          </w14:textFill>
        </w:rPr>
        <w:t xml:space="preserve">” </w:t>
      </w:r>
      <w:r>
        <w:rPr>
          <w:rStyle w:val="Egyik sem"/>
          <w:rFonts w:ascii="Times New Roman" w:hAnsi="Times New Roman"/>
          <w:outline w:val="0"/>
          <w:color w:val="222222"/>
          <w:sz w:val="24"/>
          <w:szCs w:val="24"/>
          <w:u w:color="222222"/>
          <w:rtl w:val="0"/>
          <w:lang w:val="en-US"/>
          <w14:textFill>
            <w14:solidFill>
              <w14:srgbClr w14:val="222222"/>
            </w14:solidFill>
          </w14:textFill>
        </w:rPr>
        <w:t xml:space="preserve">and </w:t>
      </w:r>
      <w:r>
        <w:rPr>
          <w:rStyle w:val="Egyik sem"/>
          <w:rFonts w:ascii="Times New Roman" w:hAnsi="Times New Roman" w:hint="default"/>
          <w:outline w:val="0"/>
          <w:color w:val="222222"/>
          <w:sz w:val="24"/>
          <w:szCs w:val="24"/>
          <w:u w:color="222222"/>
          <w:rtl w:val="0"/>
          <w:lang w:val="en-US"/>
          <w14:textFill>
            <w14:solidFill>
              <w14:srgbClr w14:val="222222"/>
            </w14:solidFill>
          </w14:textFill>
        </w:rPr>
        <w:t>“</w:t>
      </w:r>
      <w:r>
        <w:rPr>
          <w:rStyle w:val="Egyik sem"/>
          <w:rFonts w:ascii="Times New Roman" w:hAnsi="Times New Roman"/>
          <w:outline w:val="0"/>
          <w:color w:val="222222"/>
          <w:sz w:val="24"/>
          <w:szCs w:val="24"/>
          <w:u w:color="222222"/>
          <w:rtl w:val="0"/>
          <w14:textFill>
            <w14:solidFill>
              <w14:srgbClr w14:val="222222"/>
            </w14:solidFill>
          </w14:textFill>
        </w:rPr>
        <w:t>masculine</w:t>
      </w:r>
      <w:r>
        <w:rPr>
          <w:rStyle w:val="Egyik sem"/>
          <w:rFonts w:ascii="Times New Roman" w:hAnsi="Times New Roman" w:hint="default"/>
          <w:outline w:val="0"/>
          <w:color w:val="222222"/>
          <w:sz w:val="24"/>
          <w:szCs w:val="24"/>
          <w:u w:color="222222"/>
          <w:rtl w:val="0"/>
          <w:lang w:val="en-US"/>
          <w14:textFill>
            <w14:solidFill>
              <w14:srgbClr w14:val="222222"/>
            </w14:solidFill>
          </w14:textFill>
        </w:rPr>
        <w:t xml:space="preserve">” </w:t>
      </w:r>
      <w:r>
        <w:rPr>
          <w:rStyle w:val="Egyik sem"/>
          <w:rFonts w:ascii="Times New Roman" w:hAnsi="Times New Roman"/>
          <w:outline w:val="0"/>
          <w:color w:val="222222"/>
          <w:sz w:val="24"/>
          <w:szCs w:val="24"/>
          <w:u w:color="222222"/>
          <w:rtl w:val="0"/>
          <w:lang w:val="en-US"/>
          <w14:textFill>
            <w14:solidFill>
              <w14:srgbClr w14:val="222222"/>
            </w14:solidFill>
          </w14:textFill>
        </w:rPr>
        <w:t>characteristics.</w:t>
      </w:r>
      <w:r>
        <w:rPr>
          <w:rStyle w:val="Egyik sem"/>
          <w:rFonts w:ascii="Times New Roman" w:cs="Times New Roman" w:hAnsi="Times New Roman" w:eastAsia="Times New Roman"/>
          <w:outline w:val="0"/>
          <w:color w:val="222222"/>
          <w:sz w:val="24"/>
          <w:szCs w:val="24"/>
          <w:u w:color="222222"/>
          <w:vertAlign w:val="superscript"/>
          <w14:textFill>
            <w14:solidFill>
              <w14:srgbClr w14:val="222222"/>
            </w14:solidFill>
          </w14:textFill>
        </w:rPr>
        <w:footnoteReference w:id="28"/>
      </w:r>
      <w:r>
        <w:rPr>
          <w:rStyle w:val="Egyik sem"/>
          <w:rFonts w:ascii="Times New Roman" w:hAnsi="Times New Roman"/>
          <w:outline w:val="0"/>
          <w:color w:val="222222"/>
          <w:sz w:val="24"/>
          <w:szCs w:val="24"/>
          <w:u w:color="222222"/>
          <w:rtl w:val="0"/>
          <w:lang w:val="en-US"/>
          <w14:textFill>
            <w14:solidFill>
              <w14:srgbClr w14:val="222222"/>
            </w14:solidFill>
          </w14:textFill>
        </w:rPr>
        <w:t xml:space="preserve"> As the summary concludes: </w:t>
      </w:r>
      <w:r>
        <w:rPr>
          <w:rStyle w:val="Egyik sem"/>
          <w:rFonts w:ascii="Times New Roman" w:hAnsi="Times New Roman" w:hint="default"/>
          <w:outline w:val="0"/>
          <w:color w:val="222222"/>
          <w:sz w:val="24"/>
          <w:szCs w:val="24"/>
          <w:u w:color="222222"/>
          <w:rtl w:val="0"/>
          <w:lang w:val="en-US"/>
          <w14:textFill>
            <w14:solidFill>
              <w14:srgbClr w14:val="222222"/>
            </w14:solidFill>
          </w14:textFill>
        </w:rPr>
        <w:t>“</w:t>
      </w:r>
      <w:r>
        <w:rPr>
          <w:rStyle w:val="Egyik sem"/>
          <w:rFonts w:ascii="Times New Roman" w:hAnsi="Times New Roman"/>
          <w:outline w:val="0"/>
          <w:color w:val="222222"/>
          <w:sz w:val="24"/>
          <w:szCs w:val="24"/>
          <w:u w:color="222222"/>
          <w:rtl w:val="0"/>
          <w:lang w:val="en-US"/>
          <w14:textFill>
            <w14:solidFill>
              <w14:srgbClr w14:val="222222"/>
            </w14:solidFill>
          </w14:textFill>
        </w:rPr>
        <w:t xml:space="preserve">The so-called </w:t>
      </w:r>
      <w:r>
        <w:rPr>
          <w:rStyle w:val="Egyik sem"/>
          <w:rFonts w:ascii="Times New Roman" w:hAnsi="Times New Roman" w:hint="default"/>
          <w:outline w:val="0"/>
          <w:color w:val="222222"/>
          <w:sz w:val="24"/>
          <w:szCs w:val="24"/>
          <w:u w:color="222222"/>
          <w:rtl w:val="0"/>
          <w:lang w:val="en-US"/>
          <w14:textFill>
            <w14:solidFill>
              <w14:srgbClr w14:val="222222"/>
            </w14:solidFill>
          </w14:textFill>
        </w:rPr>
        <w:t>“</w:t>
      </w:r>
      <w:r>
        <w:rPr>
          <w:rStyle w:val="Egyik sem"/>
          <w:rFonts w:ascii="Times New Roman" w:hAnsi="Times New Roman"/>
          <w:outline w:val="0"/>
          <w:color w:val="222222"/>
          <w:sz w:val="24"/>
          <w:szCs w:val="24"/>
          <w:u w:color="222222"/>
          <w:rtl w:val="0"/>
          <w:lang w:val="en-US"/>
          <w14:textFill>
            <w14:solidFill>
              <w14:srgbClr w14:val="222222"/>
            </w14:solidFill>
          </w14:textFill>
        </w:rPr>
        <w:t>pink education</w:t>
      </w:r>
      <w:r>
        <w:rPr>
          <w:rStyle w:val="Egyik sem"/>
          <w:rFonts w:ascii="Times New Roman" w:hAnsi="Times New Roman" w:hint="default"/>
          <w:outline w:val="0"/>
          <w:color w:val="222222"/>
          <w:sz w:val="24"/>
          <w:szCs w:val="24"/>
          <w:u w:color="222222"/>
          <w:rtl w:val="0"/>
          <w:lang w:val="en-US"/>
          <w14:textFill>
            <w14:solidFill>
              <w14:srgbClr w14:val="222222"/>
            </w14:solidFill>
          </w14:textFill>
        </w:rPr>
        <w:t xml:space="preserve">” </w:t>
      </w:r>
      <w:r>
        <w:rPr>
          <w:rStyle w:val="Egyik sem"/>
          <w:rFonts w:ascii="Times New Roman" w:hAnsi="Times New Roman"/>
          <w:outline w:val="0"/>
          <w:color w:val="222222"/>
          <w:sz w:val="24"/>
          <w:szCs w:val="24"/>
          <w:u w:color="222222"/>
          <w:rtl w:val="0"/>
          <w:lang w:val="en-US"/>
          <w14:textFill>
            <w14:solidFill>
              <w14:srgbClr w14:val="222222"/>
            </w14:solidFill>
          </w14:textFill>
        </w:rPr>
        <w:t>phenomenon has many economic and social consequences. If education favors feminine qualities, this destroys social mobility and equal opportunities. The lower ratings of masculine qualities may cause mental and behavioral problems for male students who can not optimally show and develop their special abilities. The overrepresentation of women in higher education can also cause demographic problems, making it difficult to find a partner among young people with nearly the same level of education.</w:t>
      </w:r>
      <w:r>
        <w:rPr>
          <w:rStyle w:val="Egyik sem"/>
          <w:rFonts w:ascii="Times New Roman" w:hAnsi="Times New Roman" w:hint="default"/>
          <w:outline w:val="0"/>
          <w:color w:val="222222"/>
          <w:sz w:val="24"/>
          <w:szCs w:val="24"/>
          <w:u w:color="222222"/>
          <w:rtl w:val="0"/>
          <w:lang w:val="en-US"/>
          <w14:textFill>
            <w14:solidFill>
              <w14:srgbClr w14:val="222222"/>
            </w14:solidFill>
          </w14:textFill>
        </w:rPr>
        <w:t>”</w:t>
      </w:r>
      <w:r>
        <w:rPr>
          <w:rStyle w:val="Egyik sem"/>
          <w:rFonts w:ascii="Times New Roman" w:cs="Times New Roman" w:hAnsi="Times New Roman" w:eastAsia="Times New Roman"/>
          <w:outline w:val="0"/>
          <w:color w:val="222222"/>
          <w:sz w:val="24"/>
          <w:szCs w:val="24"/>
          <w:u w:color="222222"/>
          <w:vertAlign w:val="superscript"/>
          <w14:textFill>
            <w14:solidFill>
              <w14:srgbClr w14:val="222222"/>
            </w14:solidFill>
          </w14:textFill>
        </w:rPr>
        <w:footnoteReference w:id="29"/>
      </w:r>
    </w:p>
    <w:p>
      <w:pPr>
        <w:pStyle w:val="Szövegtörzs A"/>
        <w:spacing w:line="240" w:lineRule="auto"/>
        <w:jc w:val="both"/>
        <w:rPr>
          <w:rStyle w:val="Egyik sem"/>
          <w:rFonts w:ascii="Times New Roman" w:cs="Times New Roman" w:hAnsi="Times New Roman" w:eastAsia="Times New Roman"/>
          <w:outline w:val="0"/>
          <w:color w:val="222222"/>
          <w:sz w:val="24"/>
          <w:szCs w:val="24"/>
          <w:u w:color="222222"/>
          <w14:textFill>
            <w14:solidFill>
              <w14:srgbClr w14:val="222222"/>
            </w14:solidFill>
          </w14:textFill>
        </w:rPr>
      </w:pPr>
    </w:p>
    <w:p>
      <w:pPr>
        <w:pStyle w:val="Szövegtörzs A"/>
        <w:spacing w:line="240" w:lineRule="auto"/>
        <w:jc w:val="both"/>
        <w:rPr>
          <w:rStyle w:val="Egyik sem"/>
          <w:rFonts w:ascii="Times New Roman" w:cs="Times New Roman" w:hAnsi="Times New Roman" w:eastAsia="Times New Roman"/>
          <w:outline w:val="0"/>
          <w:color w:val="222222"/>
          <w:sz w:val="24"/>
          <w:szCs w:val="24"/>
          <w:u w:color="222222"/>
          <w14:textFill>
            <w14:solidFill>
              <w14:srgbClr w14:val="222222"/>
            </w14:solidFill>
          </w14:textFill>
        </w:rPr>
      </w:pPr>
      <w:r>
        <w:rPr>
          <w:rStyle w:val="Egyik sem"/>
          <w:rFonts w:ascii="Times New Roman" w:hAnsi="Times New Roman"/>
          <w:outline w:val="0"/>
          <w:color w:val="222222"/>
          <w:sz w:val="24"/>
          <w:szCs w:val="24"/>
          <w:u w:color="222222"/>
          <w:rtl w:val="0"/>
          <w:lang w:val="en-US"/>
          <w14:textFill>
            <w14:solidFill>
              <w14:srgbClr w14:val="222222"/>
            </w14:solidFill>
          </w14:textFill>
        </w:rPr>
        <w:t>As a consequence of the so-called Anti-pedophilia law passed by the Parliament in June 2021, many NGOs have been excluded from schools due to fear of negative consequences provided by the law, including women</w:t>
      </w:r>
      <w:r>
        <w:rPr>
          <w:rStyle w:val="Egyik sem"/>
          <w:rFonts w:ascii="Times New Roman" w:hAnsi="Times New Roman" w:hint="default"/>
          <w:outline w:val="0"/>
          <w:color w:val="222222"/>
          <w:sz w:val="24"/>
          <w:szCs w:val="24"/>
          <w:u w:color="222222"/>
          <w:rtl w:val="0"/>
          <w:lang w:val="en-US"/>
          <w14:textFill>
            <w14:solidFill>
              <w14:srgbClr w14:val="222222"/>
            </w14:solidFill>
          </w14:textFill>
        </w:rPr>
        <w:t>’</w:t>
      </w:r>
      <w:r>
        <w:rPr>
          <w:rStyle w:val="Egyik sem"/>
          <w:rFonts w:ascii="Times New Roman" w:hAnsi="Times New Roman"/>
          <w:outline w:val="0"/>
          <w:color w:val="222222"/>
          <w:sz w:val="24"/>
          <w:szCs w:val="24"/>
          <w:u w:color="222222"/>
          <w:rtl w:val="0"/>
          <w:lang w:val="en-US"/>
          <w14:textFill>
            <w14:solidFill>
              <w14:srgbClr w14:val="222222"/>
            </w14:solidFill>
          </w14:textFill>
        </w:rPr>
        <w:t>s rights NGOs organizing violence prevention workshops.</w:t>
      </w:r>
      <w:r>
        <w:rPr>
          <w:rStyle w:val="Egyik sem"/>
          <w:rFonts w:ascii="Times New Roman" w:cs="Times New Roman" w:hAnsi="Times New Roman" w:eastAsia="Times New Roman"/>
          <w:outline w:val="0"/>
          <w:color w:val="222222"/>
          <w:sz w:val="24"/>
          <w:szCs w:val="24"/>
          <w:u w:color="222222"/>
          <w:vertAlign w:val="superscript"/>
          <w14:textFill>
            <w14:solidFill>
              <w14:srgbClr w14:val="222222"/>
            </w14:solidFill>
          </w14:textFill>
        </w:rPr>
        <w:footnoteReference w:id="30"/>
      </w:r>
    </w:p>
    <w:p>
      <w:pPr>
        <w:pStyle w:val="Szövegtörzs A"/>
        <w:spacing w:line="240" w:lineRule="auto"/>
        <w:jc w:val="both"/>
        <w:rPr>
          <w:rStyle w:val="Egyik sem"/>
          <w:rFonts w:ascii="Times New Roman" w:cs="Times New Roman" w:hAnsi="Times New Roman" w:eastAsia="Times New Roman"/>
          <w:outline w:val="0"/>
          <w:color w:val="222222"/>
          <w:sz w:val="24"/>
          <w:szCs w:val="24"/>
          <w:u w:color="222222"/>
          <w14:textFill>
            <w14:solidFill>
              <w14:srgbClr w14:val="222222"/>
            </w14:solidFill>
          </w14:textFill>
        </w:rPr>
      </w:pPr>
    </w:p>
    <w:p>
      <w:pPr>
        <w:pStyle w:val="Szövegtörzs A"/>
        <w:spacing w:line="240" w:lineRule="auto"/>
        <w:jc w:val="both"/>
        <w:rPr>
          <w:rStyle w:val="Egyik sem"/>
          <w:rFonts w:ascii="Times New Roman" w:cs="Times New Roman" w:hAnsi="Times New Roman" w:eastAsia="Times New Roman"/>
          <w:sz w:val="24"/>
          <w:szCs w:val="24"/>
        </w:rPr>
      </w:pPr>
      <w:r>
        <w:rPr>
          <w:rStyle w:val="Egyik sem"/>
          <w:rFonts w:ascii="Times New Roman" w:hAnsi="Times New Roman"/>
          <w:i w:val="1"/>
          <w:iCs w:val="1"/>
          <w:outline w:val="0"/>
          <w:color w:val="222222"/>
          <w:sz w:val="24"/>
          <w:szCs w:val="24"/>
          <w:u w:color="222222"/>
          <w:rtl w:val="0"/>
          <w:lang w:val="en-US"/>
          <w14:textFill>
            <w14:solidFill>
              <w14:srgbClr w14:val="222222"/>
            </w14:solidFill>
          </w14:textFill>
        </w:rPr>
        <w:t>Recommendations:</w:t>
      </w:r>
    </w:p>
    <w:p>
      <w:pPr>
        <w:pStyle w:val="Szövegtörzs A"/>
        <w:numPr>
          <w:ilvl w:val="0"/>
          <w:numId w:val="8"/>
        </w:numPr>
        <w:bidi w:val="0"/>
        <w:spacing w:line="240" w:lineRule="auto"/>
        <w:ind w:right="0"/>
        <w:jc w:val="both"/>
        <w:rPr>
          <w:rFonts w:ascii="Times New Roman" w:hAnsi="Times New Roman"/>
          <w:i w:val="1"/>
          <w:iCs w:val="1"/>
          <w:sz w:val="24"/>
          <w:szCs w:val="24"/>
          <w:rtl w:val="0"/>
          <w:lang w:val="en-US"/>
        </w:rPr>
      </w:pPr>
      <w:r>
        <w:rPr>
          <w:rStyle w:val="Egyik sem"/>
          <w:rFonts w:ascii="Times New Roman" w:hAnsi="Times New Roman"/>
          <w:i w:val="1"/>
          <w:iCs w:val="1"/>
          <w:sz w:val="24"/>
          <w:szCs w:val="24"/>
          <w:rtl w:val="0"/>
          <w:lang w:val="en-US"/>
        </w:rPr>
        <w:t>Guarantee the compliance of legislative and policy framework on education with the relevant international norms, such as Article 5 and 10 of the CEDAW Convention. Introduce measures to adequately integrate into educational policies the issues of promoting women</w:t>
      </w:r>
      <w:r>
        <w:rPr>
          <w:rStyle w:val="Egyik sem"/>
          <w:rFonts w:ascii="Times New Roman" w:hAnsi="Times New Roman" w:hint="default"/>
          <w:i w:val="1"/>
          <w:iCs w:val="1"/>
          <w:sz w:val="24"/>
          <w:szCs w:val="24"/>
          <w:rtl w:val="0"/>
          <w:lang w:val="en-US"/>
        </w:rPr>
        <w:t>’</w:t>
      </w:r>
      <w:r>
        <w:rPr>
          <w:rStyle w:val="Egyik sem"/>
          <w:rFonts w:ascii="Times New Roman" w:hAnsi="Times New Roman"/>
          <w:i w:val="1"/>
          <w:iCs w:val="1"/>
          <w:sz w:val="24"/>
          <w:szCs w:val="24"/>
          <w:rtl w:val="0"/>
          <w:lang w:val="en-US"/>
        </w:rPr>
        <w:t>s and girls</w:t>
      </w:r>
      <w:r>
        <w:rPr>
          <w:rStyle w:val="Egyik sem"/>
          <w:rFonts w:ascii="Times New Roman" w:hAnsi="Times New Roman" w:hint="default"/>
          <w:i w:val="1"/>
          <w:iCs w:val="1"/>
          <w:sz w:val="24"/>
          <w:szCs w:val="24"/>
          <w:rtl w:val="0"/>
          <w:lang w:val="en-US"/>
        </w:rPr>
        <w:t xml:space="preserve">’ </w:t>
      </w:r>
      <w:r>
        <w:rPr>
          <w:rStyle w:val="Egyik sem"/>
          <w:rFonts w:ascii="Times New Roman" w:hAnsi="Times New Roman"/>
          <w:i w:val="1"/>
          <w:iCs w:val="1"/>
          <w:sz w:val="24"/>
          <w:szCs w:val="24"/>
          <w:rtl w:val="0"/>
          <w:lang w:val="en-US"/>
        </w:rPr>
        <w:t xml:space="preserve">rights, equality between girls and boys/women and men, non-discrimination, non-stereotyped roles, mutual respect, zero tolerance to violence against women and girls (VAWG), or non-violent conflict resolution. Guarantee that these values and issues are clearly, consistently and adequately included in the National Core Curriculum, in an age-appropriate way; review and amend the Curriculum for that purpose, both incorporating them into the tasks and values of education, fields of development, and into different subjects. Ensure that the state-ordained school curriculum, especially the subjects of </w:t>
      </w:r>
      <w:r>
        <w:rPr>
          <w:rStyle w:val="Egyik sem"/>
          <w:rFonts w:ascii="Times New Roman" w:hAnsi="Times New Roman" w:hint="default"/>
          <w:i w:val="1"/>
          <w:iCs w:val="1"/>
          <w:sz w:val="24"/>
          <w:szCs w:val="24"/>
          <w:rtl w:val="0"/>
          <w:lang w:val="en-US"/>
        </w:rPr>
        <w:t>“</w:t>
      </w:r>
      <w:r>
        <w:rPr>
          <w:rStyle w:val="Egyik sem"/>
          <w:rFonts w:ascii="Times New Roman" w:hAnsi="Times New Roman"/>
          <w:i w:val="1"/>
          <w:iCs w:val="1"/>
          <w:sz w:val="24"/>
          <w:szCs w:val="24"/>
          <w:rtl w:val="0"/>
          <w:lang w:val="en-US"/>
        </w:rPr>
        <w:t>education for family life</w:t>
      </w:r>
      <w:r>
        <w:rPr>
          <w:rStyle w:val="Egyik sem"/>
          <w:rFonts w:ascii="Times New Roman" w:hAnsi="Times New Roman" w:hint="default"/>
          <w:i w:val="1"/>
          <w:iCs w:val="1"/>
          <w:sz w:val="24"/>
          <w:szCs w:val="24"/>
          <w:rtl w:val="0"/>
          <w:lang w:val="en-US"/>
        </w:rPr>
        <w:t xml:space="preserve">” </w:t>
      </w:r>
      <w:r>
        <w:rPr>
          <w:rStyle w:val="Egyik sem"/>
          <w:rFonts w:ascii="Times New Roman" w:hAnsi="Times New Roman"/>
          <w:i w:val="1"/>
          <w:iCs w:val="1"/>
          <w:sz w:val="24"/>
          <w:szCs w:val="24"/>
          <w:rtl w:val="0"/>
          <w:lang w:val="en-US"/>
        </w:rPr>
        <w:t xml:space="preserve">and </w:t>
      </w:r>
      <w:r>
        <w:rPr>
          <w:rStyle w:val="Egyik sem"/>
          <w:rFonts w:ascii="Times New Roman" w:hAnsi="Times New Roman" w:hint="default"/>
          <w:i w:val="1"/>
          <w:iCs w:val="1"/>
          <w:sz w:val="24"/>
          <w:szCs w:val="24"/>
          <w:rtl w:val="0"/>
          <w:lang w:val="en-US"/>
        </w:rPr>
        <w:t>“</w:t>
      </w:r>
      <w:r>
        <w:rPr>
          <w:rStyle w:val="Egyik sem"/>
          <w:rFonts w:ascii="Times New Roman" w:hAnsi="Times New Roman"/>
          <w:i w:val="1"/>
          <w:iCs w:val="1"/>
          <w:sz w:val="24"/>
          <w:szCs w:val="24"/>
          <w:rtl w:val="0"/>
          <w:lang w:val="en-US"/>
        </w:rPr>
        <w:t>morality education</w:t>
      </w:r>
      <w:r>
        <w:rPr>
          <w:rStyle w:val="Egyik sem"/>
          <w:rFonts w:ascii="Times New Roman" w:hAnsi="Times New Roman" w:hint="default"/>
          <w:i w:val="1"/>
          <w:iCs w:val="1"/>
          <w:sz w:val="24"/>
          <w:szCs w:val="24"/>
          <w:rtl w:val="0"/>
          <w:lang w:val="en-US"/>
        </w:rPr>
        <w:t>”</w:t>
      </w:r>
      <w:r>
        <w:rPr>
          <w:rStyle w:val="Egyik sem"/>
          <w:rFonts w:ascii="Times New Roman" w:hAnsi="Times New Roman"/>
          <w:i w:val="1"/>
          <w:iCs w:val="1"/>
          <w:sz w:val="24"/>
          <w:szCs w:val="24"/>
          <w:rtl w:val="0"/>
          <w:lang w:val="en-US"/>
        </w:rPr>
        <w:t>, do not reinforce sexist prejudices, stereotyped roles, discriminatory practices, and do not hinder violence prevention.</w:t>
      </w:r>
    </w:p>
    <w:p>
      <w:pPr>
        <w:pStyle w:val="Szövegtörzs A"/>
        <w:numPr>
          <w:ilvl w:val="0"/>
          <w:numId w:val="8"/>
        </w:numPr>
        <w:bidi w:val="0"/>
        <w:spacing w:line="240" w:lineRule="auto"/>
        <w:ind w:right="0"/>
        <w:jc w:val="both"/>
        <w:rPr>
          <w:rFonts w:ascii="Times New Roman" w:hAnsi="Times New Roman"/>
          <w:i w:val="1"/>
          <w:iCs w:val="1"/>
          <w:sz w:val="24"/>
          <w:szCs w:val="24"/>
          <w:rtl w:val="0"/>
          <w:lang w:val="en-US"/>
        </w:rPr>
      </w:pPr>
      <w:r>
        <w:rPr>
          <w:rStyle w:val="Egyik sem"/>
          <w:rFonts w:ascii="Times New Roman" w:hAnsi="Times New Roman"/>
          <w:i w:val="1"/>
          <w:iCs w:val="1"/>
          <w:sz w:val="24"/>
          <w:szCs w:val="24"/>
          <w:rtl w:val="0"/>
          <w:lang w:val="en-US"/>
        </w:rPr>
        <w:t>Introduce to the National Core Curriculum and implement state-wide age-appropriate comprehensive education on sexual and reproductive health and rights,</w:t>
      </w:r>
      <w:r>
        <w:rPr>
          <w:rStyle w:val="Egyik sem"/>
          <w:rFonts w:ascii="Times New Roman" w:cs="Times New Roman" w:hAnsi="Times New Roman" w:eastAsia="Times New Roman"/>
          <w:i w:val="1"/>
          <w:iCs w:val="1"/>
          <w:sz w:val="24"/>
          <w:szCs w:val="24"/>
          <w:vertAlign w:val="superscript"/>
        </w:rPr>
        <w:footnoteReference w:id="31"/>
      </w:r>
      <w:r>
        <w:rPr>
          <w:rStyle w:val="Egyik sem"/>
          <w:rFonts w:ascii="Times New Roman" w:hAnsi="Times New Roman"/>
          <w:i w:val="1"/>
          <w:iCs w:val="1"/>
          <w:sz w:val="24"/>
          <w:szCs w:val="24"/>
          <w:rtl w:val="0"/>
          <w:lang w:val="en-US"/>
        </w:rPr>
        <w:t xml:space="preserve"> as well as relationship education, including violence prevention. Ensure that such curriculum/subjects rests upon the principles of the Convention.</w:t>
      </w:r>
    </w:p>
    <w:p>
      <w:pPr>
        <w:pStyle w:val="Szövegtörzs A"/>
        <w:numPr>
          <w:ilvl w:val="0"/>
          <w:numId w:val="8"/>
        </w:numPr>
        <w:bidi w:val="0"/>
        <w:spacing w:line="240" w:lineRule="auto"/>
        <w:ind w:right="0"/>
        <w:jc w:val="both"/>
        <w:rPr>
          <w:rFonts w:ascii="Times New Roman" w:hAnsi="Times New Roman"/>
          <w:i w:val="1"/>
          <w:iCs w:val="1"/>
          <w:sz w:val="24"/>
          <w:szCs w:val="24"/>
          <w:rtl w:val="0"/>
          <w:lang w:val="en-US"/>
        </w:rPr>
      </w:pPr>
      <w:r>
        <w:rPr>
          <w:rStyle w:val="Egyik sem"/>
          <w:rFonts w:ascii="Times New Roman" w:hAnsi="Times New Roman"/>
          <w:i w:val="1"/>
          <w:iCs w:val="1"/>
          <w:sz w:val="24"/>
          <w:szCs w:val="24"/>
          <w:rtl w:val="0"/>
          <w:lang w:val="en-US"/>
        </w:rPr>
        <w:t>Introduce measures to guarantee that the above mentioned values and themes are taken into account in schoolbook review and licensing processes; establish consequences - such as prohibiting the use of textbooks - in case the content violates human rights and respective legislation, including the CEDAW Convention.</w:t>
      </w:r>
    </w:p>
    <w:p>
      <w:pPr>
        <w:pStyle w:val="Szövegtörzs A"/>
        <w:numPr>
          <w:ilvl w:val="0"/>
          <w:numId w:val="8"/>
        </w:numPr>
        <w:bidi w:val="0"/>
        <w:spacing w:line="240" w:lineRule="auto"/>
        <w:ind w:right="0"/>
        <w:jc w:val="both"/>
        <w:rPr>
          <w:rFonts w:ascii="Times New Roman" w:hAnsi="Times New Roman"/>
          <w:i w:val="1"/>
          <w:iCs w:val="1"/>
          <w:sz w:val="24"/>
          <w:szCs w:val="24"/>
          <w:rtl w:val="0"/>
          <w:lang w:val="en-US"/>
        </w:rPr>
      </w:pPr>
      <w:r>
        <w:rPr>
          <w:rStyle w:val="Egyik sem"/>
          <w:rFonts w:ascii="Times New Roman" w:hAnsi="Times New Roman"/>
          <w:i w:val="1"/>
          <w:iCs w:val="1"/>
          <w:sz w:val="24"/>
          <w:szCs w:val="24"/>
          <w:rtl w:val="0"/>
          <w:lang w:val="en-US"/>
        </w:rPr>
        <w:t>Introduce measures to guarantee that the promotion of women</w:t>
      </w:r>
      <w:r>
        <w:rPr>
          <w:rStyle w:val="Egyik sem"/>
          <w:rFonts w:ascii="Times New Roman" w:hAnsi="Times New Roman" w:hint="default"/>
          <w:i w:val="1"/>
          <w:iCs w:val="1"/>
          <w:sz w:val="24"/>
          <w:szCs w:val="24"/>
          <w:rtl w:val="0"/>
          <w:lang w:val="en-US"/>
        </w:rPr>
        <w:t>’</w:t>
      </w:r>
      <w:r>
        <w:rPr>
          <w:rStyle w:val="Egyik sem"/>
          <w:rFonts w:ascii="Times New Roman" w:hAnsi="Times New Roman"/>
          <w:i w:val="1"/>
          <w:iCs w:val="1"/>
          <w:sz w:val="24"/>
          <w:szCs w:val="24"/>
          <w:rtl w:val="0"/>
          <w:lang w:val="en-US"/>
        </w:rPr>
        <w:t>s rights, equality between women and men/girls and boys, addressing discrimination against women and girls, sexist stereotypes and prejudices, mutual respect, VAWG, violence prevention, education for sexual and reproductive health and rights are duly addressed in basic and continuing education for teachers and other educational staff.</w:t>
      </w:r>
    </w:p>
    <w:p>
      <w:pPr>
        <w:pStyle w:val="Szövegtörzs A"/>
        <w:numPr>
          <w:ilvl w:val="0"/>
          <w:numId w:val="8"/>
        </w:numPr>
        <w:bidi w:val="0"/>
        <w:spacing w:line="240" w:lineRule="auto"/>
        <w:ind w:right="0"/>
        <w:jc w:val="both"/>
        <w:rPr>
          <w:rFonts w:ascii="Times New Roman" w:hAnsi="Times New Roman"/>
          <w:i w:val="1"/>
          <w:iCs w:val="1"/>
          <w:sz w:val="24"/>
          <w:szCs w:val="24"/>
          <w:rtl w:val="0"/>
          <w:lang w:val="en-US"/>
        </w:rPr>
      </w:pPr>
      <w:r>
        <w:rPr>
          <w:rStyle w:val="Egyik sem"/>
          <w:rFonts w:ascii="Times New Roman" w:hAnsi="Times New Roman"/>
          <w:i w:val="1"/>
          <w:iCs w:val="1"/>
          <w:sz w:val="24"/>
          <w:szCs w:val="24"/>
          <w:rtl w:val="0"/>
          <w:lang w:val="en-US"/>
        </w:rPr>
        <w:t>Introduce protocols and processes to ensure that school employees do not engage in discriminatory treatment based on sexist stereotypes and prejudices. Guarantee that misconduct and abuse of power (including sexual abuse) in educational institutions is uncovered and adequately handled/remedied (including disciplinary action and prohibition from practicing the profession in the case of sexual misconduct and abuse).</w:t>
      </w:r>
    </w:p>
    <w:p>
      <w:pPr>
        <w:pStyle w:val="Szövegtörzs A"/>
        <w:numPr>
          <w:ilvl w:val="0"/>
          <w:numId w:val="8"/>
        </w:numPr>
        <w:bidi w:val="0"/>
        <w:spacing w:line="240" w:lineRule="auto"/>
        <w:ind w:right="0"/>
        <w:jc w:val="both"/>
        <w:rPr>
          <w:rFonts w:ascii="Times New Roman" w:hAnsi="Times New Roman"/>
          <w:i w:val="1"/>
          <w:iCs w:val="1"/>
          <w:sz w:val="24"/>
          <w:szCs w:val="24"/>
          <w:rtl w:val="0"/>
          <w:lang w:val="en-US"/>
        </w:rPr>
      </w:pPr>
      <w:r>
        <w:rPr>
          <w:rStyle w:val="Egyik sem"/>
          <w:rFonts w:ascii="Times New Roman" w:hAnsi="Times New Roman"/>
          <w:i w:val="1"/>
          <w:iCs w:val="1"/>
          <w:sz w:val="24"/>
          <w:szCs w:val="24"/>
          <w:rtl w:val="0"/>
          <w:lang w:val="en-US"/>
        </w:rPr>
        <w:t>Collect data on bullying, especially sexist and sexualised bullying, in schools and other educational settings; make such data publicly accessible.</w:t>
      </w:r>
    </w:p>
    <w:p>
      <w:pPr>
        <w:pStyle w:val="Szövegtörzs A"/>
        <w:spacing w:line="240" w:lineRule="auto"/>
        <w:jc w:val="both"/>
        <w:rPr>
          <w:rStyle w:val="Egyik sem"/>
          <w:rFonts w:ascii="Times New Roman" w:cs="Times New Roman" w:hAnsi="Times New Roman" w:eastAsia="Times New Roman"/>
          <w:sz w:val="24"/>
          <w:szCs w:val="24"/>
        </w:rPr>
      </w:pPr>
    </w:p>
    <w:p>
      <w:pPr>
        <w:pStyle w:val="Szövegtörzs A"/>
        <w:spacing w:line="240" w:lineRule="auto"/>
        <w:jc w:val="both"/>
        <w:rPr>
          <w:rStyle w:val="Egyik sem"/>
          <w:rFonts w:ascii="Times New Roman" w:cs="Times New Roman" w:hAnsi="Times New Roman" w:eastAsia="Times New Roman"/>
          <w:sz w:val="24"/>
          <w:szCs w:val="24"/>
        </w:rPr>
      </w:pPr>
    </w:p>
    <w:p>
      <w:pPr>
        <w:pStyle w:val="Szövegtörzs A"/>
        <w:spacing w:line="240" w:lineRule="auto"/>
        <w:rPr>
          <w:rStyle w:val="Egyik sem"/>
          <w:rFonts w:ascii="Times New Roman" w:cs="Times New Roman" w:hAnsi="Times New Roman" w:eastAsia="Times New Roman"/>
          <w:b w:val="1"/>
          <w:bCs w:val="1"/>
          <w:sz w:val="24"/>
          <w:szCs w:val="24"/>
        </w:rPr>
      </w:pPr>
      <w:r>
        <w:rPr>
          <w:rStyle w:val="Egyik sem"/>
          <w:rFonts w:ascii="Times New Roman" w:hAnsi="Times New Roman"/>
          <w:b w:val="1"/>
          <w:bCs w:val="1"/>
          <w:sz w:val="24"/>
          <w:szCs w:val="24"/>
          <w:rtl w:val="0"/>
          <w:lang w:val="en-US"/>
        </w:rPr>
        <w:t>Article 12 - Elimination of discrimination against women in healthcare and family planning</w:t>
      </w:r>
    </w:p>
    <w:p>
      <w:pPr>
        <w:pStyle w:val="Szövegtörzs A"/>
        <w:spacing w:line="240" w:lineRule="auto"/>
        <w:rPr>
          <w:rStyle w:val="Egyik sem"/>
          <w:rFonts w:ascii="Times New Roman" w:cs="Times New Roman" w:hAnsi="Times New Roman" w:eastAsia="Times New Roman"/>
          <w:sz w:val="24"/>
          <w:szCs w:val="24"/>
        </w:rPr>
      </w:pPr>
    </w:p>
    <w:p>
      <w:pPr>
        <w:pStyle w:val="Szövegtörzs A"/>
        <w:spacing w:line="240" w:lineRule="auto"/>
        <w:jc w:val="both"/>
        <w:rPr>
          <w:rStyle w:val="Egyik sem"/>
          <w:rFonts w:ascii="Times New Roman" w:cs="Times New Roman" w:hAnsi="Times New Roman" w:eastAsia="Times New Roman"/>
          <w:sz w:val="24"/>
          <w:szCs w:val="24"/>
        </w:rPr>
      </w:pPr>
      <w:r>
        <w:rPr>
          <w:rStyle w:val="Egyik sem"/>
          <w:rFonts w:ascii="Times New Roman" w:hAnsi="Times New Roman"/>
          <w:sz w:val="24"/>
          <w:szCs w:val="24"/>
          <w:rtl w:val="0"/>
          <w:lang w:val="en-US"/>
        </w:rPr>
        <w:t xml:space="preserve">In Hungary, no contraceptive is subsidized by the state; that - together with the geographical and administrative barriers - makes it quite challenging or difficult for women to access safe and effective </w:t>
      </w:r>
      <w:r>
        <w:rPr>
          <w:rStyle w:val="Egyik sem"/>
          <w:rFonts w:ascii="Times New Roman" w:hAnsi="Times New Roman"/>
          <w:b w:val="1"/>
          <w:bCs w:val="1"/>
          <w:sz w:val="24"/>
          <w:szCs w:val="24"/>
          <w:rtl w:val="0"/>
          <w:lang w:val="en-US"/>
        </w:rPr>
        <w:t>contraception</w:t>
      </w:r>
      <w:r>
        <w:rPr>
          <w:rStyle w:val="Egyik sem"/>
          <w:rFonts w:ascii="Times New Roman" w:hAnsi="Times New Roman"/>
          <w:sz w:val="24"/>
          <w:szCs w:val="24"/>
          <w:rtl w:val="0"/>
          <w:lang w:val="en-US"/>
        </w:rPr>
        <w:t>. Furthermore, several methods of contraception are not available at all. In 2015 the European Commission made a decision that the emergency contraception ellaOne can be available over-the-counter in the EU,</w:t>
      </w:r>
      <w:r>
        <w:rPr>
          <w:rStyle w:val="Egyik sem"/>
          <w:rFonts w:ascii="Times New Roman" w:cs="Times New Roman" w:hAnsi="Times New Roman" w:eastAsia="Times New Roman"/>
          <w:sz w:val="24"/>
          <w:szCs w:val="24"/>
          <w:vertAlign w:val="superscript"/>
        </w:rPr>
        <w:footnoteReference w:id="32"/>
      </w:r>
      <w:r>
        <w:rPr>
          <w:rStyle w:val="Egyik sem"/>
          <w:rFonts w:ascii="Times New Roman" w:hAnsi="Times New Roman"/>
          <w:sz w:val="24"/>
          <w:szCs w:val="24"/>
          <w:rtl w:val="0"/>
          <w:lang w:val="en-US"/>
        </w:rPr>
        <w:t xml:space="preserve"> while Hungary is one of the two EU member states that require prescription. According to the legislation, general practitioners can prescribe the pill, however, many of them refuse to do so and force women to seek ob-gyns. Emergency contraception is also extremely expensive and there is no state support provided to it. The previous related recommendations of the CEDAW Committee to Hungary have not been implemented.</w:t>
      </w:r>
    </w:p>
    <w:p>
      <w:pPr>
        <w:pStyle w:val="Szövegtörzs A"/>
        <w:spacing w:line="240" w:lineRule="auto"/>
        <w:jc w:val="both"/>
        <w:rPr>
          <w:rStyle w:val="Egyik sem"/>
          <w:rFonts w:ascii="Times New Roman" w:cs="Times New Roman" w:hAnsi="Times New Roman" w:eastAsia="Times New Roman"/>
          <w:sz w:val="24"/>
          <w:szCs w:val="24"/>
        </w:rPr>
      </w:pPr>
    </w:p>
    <w:p>
      <w:pPr>
        <w:pStyle w:val="Szövegtörzs A"/>
        <w:spacing w:line="240" w:lineRule="auto"/>
        <w:jc w:val="both"/>
        <w:rPr>
          <w:rStyle w:val="Egyik sem"/>
          <w:rFonts w:ascii="Times New Roman" w:cs="Times New Roman" w:hAnsi="Times New Roman" w:eastAsia="Times New Roman"/>
          <w:sz w:val="24"/>
          <w:szCs w:val="24"/>
        </w:rPr>
      </w:pPr>
      <w:r>
        <w:rPr>
          <w:rStyle w:val="Egyik sem"/>
          <w:rFonts w:ascii="Times New Roman" w:hAnsi="Times New Roman"/>
          <w:sz w:val="24"/>
          <w:szCs w:val="24"/>
          <w:rtl w:val="0"/>
          <w:lang w:val="en-US"/>
        </w:rPr>
        <w:t xml:space="preserve">Only surgical </w:t>
      </w:r>
      <w:r>
        <w:rPr>
          <w:rStyle w:val="Egyik sem"/>
          <w:rFonts w:ascii="Times New Roman" w:hAnsi="Times New Roman"/>
          <w:b w:val="1"/>
          <w:bCs w:val="1"/>
          <w:sz w:val="24"/>
          <w:szCs w:val="24"/>
          <w:rtl w:val="0"/>
          <w:lang w:val="en-US"/>
        </w:rPr>
        <w:t>abortion</w:t>
      </w:r>
      <w:r>
        <w:rPr>
          <w:rStyle w:val="Egyik sem"/>
          <w:rFonts w:ascii="Times New Roman" w:hAnsi="Times New Roman"/>
          <w:sz w:val="24"/>
          <w:szCs w:val="24"/>
          <w:rtl w:val="0"/>
          <w:lang w:val="en-US"/>
        </w:rPr>
        <w:t xml:space="preserve"> is legally available in Hungary. It is upon request and on the condition of attending two compulsory counseling sessions and a three days waiting period. The first session shall be aimed at dissuading the woman from terminating her pregnancy. Research showed that these sessions provide selective information on the risks of abortion </w:t>
      </w:r>
      <w:r>
        <w:rPr>
          <w:rStyle w:val="Egyik sem"/>
          <w:rFonts w:ascii="Times New Roman" w:hAnsi="Times New Roman"/>
          <w:i w:val="1"/>
          <w:iCs w:val="1"/>
          <w:sz w:val="24"/>
          <w:szCs w:val="24"/>
          <w:rtl w:val="0"/>
        </w:rPr>
        <w:t>vis-a-vis</w:t>
      </w:r>
      <w:r>
        <w:rPr>
          <w:rStyle w:val="Egyik sem"/>
          <w:rFonts w:ascii="Times New Roman" w:hAnsi="Times New Roman"/>
          <w:sz w:val="24"/>
          <w:szCs w:val="24"/>
          <w:rtl w:val="0"/>
          <w:lang w:val="en-US"/>
        </w:rPr>
        <w:t xml:space="preserve"> carrying the pregnancy to term, and employ guilting strategies that violate women</w:t>
      </w:r>
      <w:r>
        <w:rPr>
          <w:rStyle w:val="Egyik sem"/>
          <w:rFonts w:ascii="Times New Roman" w:hAnsi="Times New Roman" w:hint="default"/>
          <w:sz w:val="24"/>
          <w:szCs w:val="24"/>
          <w:rtl w:val="0"/>
          <w:lang w:val="en-US"/>
        </w:rPr>
        <w:t>’</w:t>
      </w:r>
      <w:r>
        <w:rPr>
          <w:rStyle w:val="Egyik sem"/>
          <w:rFonts w:ascii="Times New Roman" w:hAnsi="Times New Roman"/>
          <w:sz w:val="24"/>
          <w:szCs w:val="24"/>
          <w:rtl w:val="0"/>
          <w:lang w:val="it-IT"/>
        </w:rPr>
        <w:t>s dignity.</w:t>
      </w:r>
      <w:r>
        <w:rPr>
          <w:rStyle w:val="Egyik sem"/>
          <w:rFonts w:ascii="Times New Roman" w:cs="Times New Roman" w:hAnsi="Times New Roman" w:eastAsia="Times New Roman"/>
          <w:sz w:val="24"/>
          <w:szCs w:val="24"/>
          <w:vertAlign w:val="superscript"/>
        </w:rPr>
        <w:footnoteReference w:id="33"/>
      </w:r>
      <w:r>
        <w:rPr>
          <w:rStyle w:val="Egyik sem"/>
          <w:rFonts w:ascii="Times New Roman" w:hAnsi="Times New Roman"/>
          <w:sz w:val="24"/>
          <w:szCs w:val="24"/>
          <w:rtl w:val="0"/>
          <w:lang w:val="en-US"/>
        </w:rPr>
        <w:t xml:space="preserve"> Countless women report that it is more and more difficult to make an appointment to either of the counseling sessions as the facilities do not answer the phone for days. Additionally, some religious organisations now also have permission to provide counseling recognised by the state. </w:t>
      </w:r>
    </w:p>
    <w:p>
      <w:pPr>
        <w:pStyle w:val="Szövegtörzs A"/>
        <w:tabs>
          <w:tab w:val="left" w:pos="284"/>
        </w:tabs>
        <w:spacing w:line="240" w:lineRule="auto"/>
        <w:jc w:val="both"/>
        <w:rPr>
          <w:rStyle w:val="Egyik sem"/>
          <w:rFonts w:ascii="Times New Roman" w:cs="Times New Roman" w:hAnsi="Times New Roman" w:eastAsia="Times New Roman"/>
          <w:sz w:val="24"/>
          <w:szCs w:val="24"/>
        </w:rPr>
      </w:pPr>
      <w:r>
        <w:rPr>
          <w:rStyle w:val="Egyik sem"/>
          <w:rFonts w:ascii="Times New Roman" w:hAnsi="Times New Roman"/>
          <w:sz w:val="24"/>
          <w:szCs w:val="24"/>
          <w:rtl w:val="0"/>
          <w:lang w:val="en-US"/>
        </w:rPr>
        <w:t xml:space="preserve">In September 2022 a change in the abortion regulation was introduced. According to the new legislation, gynecologists are obliged to provide a document that verifies that they presented the woman seeking abortion with </w:t>
      </w:r>
      <w:r>
        <w:rPr>
          <w:rStyle w:val="Egyik sem"/>
          <w:rFonts w:ascii="Times New Roman" w:hAnsi="Times New Roman" w:hint="default"/>
          <w:sz w:val="24"/>
          <w:szCs w:val="24"/>
          <w:rtl w:val="0"/>
          <w:lang w:val="en-US"/>
        </w:rPr>
        <w:t>“</w:t>
      </w:r>
      <w:r>
        <w:rPr>
          <w:rStyle w:val="Egyik sem"/>
          <w:rFonts w:ascii="Times New Roman" w:hAnsi="Times New Roman"/>
          <w:sz w:val="24"/>
          <w:szCs w:val="24"/>
          <w:rtl w:val="0"/>
          <w:lang w:val="en-US"/>
        </w:rPr>
        <w:t>indications of the fetus</w:t>
      </w:r>
      <w:r>
        <w:rPr>
          <w:rStyle w:val="Egyik sem"/>
          <w:rFonts w:ascii="Times New Roman" w:hAnsi="Times New Roman" w:hint="default"/>
          <w:sz w:val="24"/>
          <w:szCs w:val="24"/>
          <w:rtl w:val="0"/>
          <w:lang w:val="en-US"/>
        </w:rPr>
        <w:t xml:space="preserve">’ </w:t>
      </w:r>
      <w:r>
        <w:rPr>
          <w:rStyle w:val="Egyik sem"/>
          <w:rFonts w:ascii="Times New Roman" w:hAnsi="Times New Roman"/>
          <w:sz w:val="24"/>
          <w:szCs w:val="24"/>
          <w:rtl w:val="0"/>
          <w:lang w:val="en-US"/>
        </w:rPr>
        <w:t>vital functions</w:t>
      </w:r>
      <w:r>
        <w:rPr>
          <w:rStyle w:val="Egyik sem"/>
          <w:rFonts w:ascii="Times New Roman" w:hAnsi="Times New Roman" w:hint="default"/>
          <w:sz w:val="24"/>
          <w:szCs w:val="24"/>
          <w:rtl w:val="0"/>
          <w:lang w:val="en-US"/>
        </w:rPr>
        <w:t>”</w:t>
      </w:r>
      <w:r>
        <w:rPr>
          <w:rStyle w:val="Egyik sem"/>
          <w:rFonts w:ascii="Times New Roman" w:hAnsi="Times New Roman"/>
          <w:sz w:val="24"/>
          <w:szCs w:val="24"/>
          <w:rtl w:val="0"/>
        </w:rPr>
        <w:t>.</w:t>
      </w:r>
      <w:r>
        <w:rPr>
          <w:rStyle w:val="Egyik sem"/>
          <w:rFonts w:ascii="Times New Roman" w:cs="Times New Roman" w:hAnsi="Times New Roman" w:eastAsia="Times New Roman"/>
          <w:sz w:val="24"/>
          <w:szCs w:val="24"/>
          <w:vertAlign w:val="superscript"/>
        </w:rPr>
        <w:footnoteReference w:id="34"/>
      </w:r>
      <w:r>
        <w:rPr>
          <w:rStyle w:val="Egyik sem"/>
          <w:rFonts w:ascii="Times New Roman" w:hAnsi="Times New Roman"/>
          <w:sz w:val="24"/>
          <w:szCs w:val="24"/>
          <w:rtl w:val="0"/>
          <w:lang w:val="en-US"/>
        </w:rPr>
        <w:t xml:space="preserve"> In practice, women need to listen to the fetal heartbeat before accessing abortion. This change was implemented overnight, without any consultation with either experts, women</w:t>
      </w:r>
      <w:r>
        <w:rPr>
          <w:rStyle w:val="Egyik sem"/>
          <w:rFonts w:ascii="Times New Roman" w:hAnsi="Times New Roman" w:hint="default"/>
          <w:sz w:val="24"/>
          <w:szCs w:val="24"/>
          <w:rtl w:val="0"/>
          <w:lang w:val="en-US"/>
        </w:rPr>
        <w:t>’</w:t>
      </w:r>
      <w:r>
        <w:rPr>
          <w:rStyle w:val="Egyik sem"/>
          <w:rFonts w:ascii="Times New Roman" w:hAnsi="Times New Roman"/>
          <w:sz w:val="24"/>
          <w:szCs w:val="24"/>
          <w:rtl w:val="0"/>
          <w:lang w:val="en-US"/>
        </w:rPr>
        <w:t>s rights organizations, or the wider public.</w:t>
      </w:r>
    </w:p>
    <w:p>
      <w:pPr>
        <w:pStyle w:val="Szövegtörzs A"/>
        <w:spacing w:line="240" w:lineRule="auto"/>
        <w:jc w:val="both"/>
        <w:rPr>
          <w:rStyle w:val="Egyik sem"/>
          <w:rFonts w:ascii="Times New Roman" w:cs="Times New Roman" w:hAnsi="Times New Roman" w:eastAsia="Times New Roman"/>
          <w:sz w:val="24"/>
          <w:szCs w:val="24"/>
        </w:rPr>
      </w:pPr>
    </w:p>
    <w:p>
      <w:pPr>
        <w:pStyle w:val="Szövegtörzs A"/>
        <w:spacing w:line="240" w:lineRule="auto"/>
        <w:jc w:val="both"/>
        <w:rPr>
          <w:rStyle w:val="Egyik sem"/>
          <w:rFonts w:ascii="Times New Roman" w:cs="Times New Roman" w:hAnsi="Times New Roman" w:eastAsia="Times New Roman"/>
          <w:sz w:val="24"/>
          <w:szCs w:val="24"/>
        </w:rPr>
      </w:pPr>
      <w:r>
        <w:rPr>
          <w:rStyle w:val="Egyik sem"/>
          <w:rFonts w:ascii="Times New Roman" w:hAnsi="Times New Roman"/>
          <w:sz w:val="24"/>
          <w:szCs w:val="24"/>
          <w:rtl w:val="0"/>
          <w:lang w:val="en-US"/>
        </w:rPr>
        <w:t>Medical abortion is not available in the country, despite the growing body of evidence regarding its safety. Although in 2012 the EU-wide registered abortion pill Medabon received a marketing authorization in Hungary, the respective ministry decided that supply, production and utilization will not take place.</w:t>
      </w:r>
      <w:r>
        <w:rPr>
          <w:rStyle w:val="Egyik sem"/>
          <w:rFonts w:ascii="Times New Roman" w:cs="Times New Roman" w:hAnsi="Times New Roman" w:eastAsia="Times New Roman"/>
          <w:sz w:val="24"/>
          <w:szCs w:val="24"/>
          <w:vertAlign w:val="superscript"/>
        </w:rPr>
        <w:footnoteReference w:id="35"/>
      </w:r>
      <w:r>
        <w:rPr>
          <w:rStyle w:val="Egyik sem"/>
          <w:rFonts w:ascii="Times New Roman" w:hAnsi="Times New Roman"/>
          <w:sz w:val="24"/>
          <w:szCs w:val="24"/>
          <w:rtl w:val="0"/>
          <w:lang w:val="en-US"/>
        </w:rPr>
        <w:t xml:space="preserve"> Not making accessible a method that is less invasive and thus linked to less short- and long-term health risk violates human rights. Furthermore, not having safe access to abortion is a factor in preventable maternal mortality and morbidity.</w:t>
      </w:r>
      <w:r>
        <w:rPr>
          <w:rStyle w:val="Egyik sem"/>
          <w:rFonts w:ascii="Times New Roman" w:cs="Times New Roman" w:hAnsi="Times New Roman" w:eastAsia="Times New Roman"/>
          <w:sz w:val="24"/>
          <w:szCs w:val="24"/>
          <w:vertAlign w:val="superscript"/>
        </w:rPr>
        <w:footnoteReference w:id="36"/>
      </w:r>
      <w:r>
        <w:rPr>
          <w:rStyle w:val="Egyik sem"/>
          <w:rFonts w:ascii="Times New Roman" w:hAnsi="Times New Roman"/>
          <w:sz w:val="24"/>
          <w:szCs w:val="24"/>
          <w:rtl w:val="0"/>
        </w:rPr>
        <w:t xml:space="preserve"> </w:t>
      </w:r>
    </w:p>
    <w:p>
      <w:pPr>
        <w:pStyle w:val="Szövegtörzs A"/>
        <w:tabs>
          <w:tab w:val="left" w:pos="284"/>
        </w:tabs>
        <w:spacing w:line="240" w:lineRule="auto"/>
        <w:jc w:val="both"/>
        <w:rPr>
          <w:rStyle w:val="Egyik sem"/>
          <w:rFonts w:ascii="Times New Roman" w:cs="Times New Roman" w:hAnsi="Times New Roman" w:eastAsia="Times New Roman"/>
          <w:sz w:val="24"/>
          <w:szCs w:val="24"/>
        </w:rPr>
      </w:pPr>
    </w:p>
    <w:p>
      <w:pPr>
        <w:pStyle w:val="Szövegtörzs A"/>
        <w:tabs>
          <w:tab w:val="left" w:pos="284"/>
        </w:tabs>
        <w:spacing w:line="240" w:lineRule="auto"/>
        <w:jc w:val="both"/>
        <w:rPr>
          <w:rStyle w:val="Egyik sem"/>
          <w:rFonts w:ascii="Times New Roman" w:cs="Times New Roman" w:hAnsi="Times New Roman" w:eastAsia="Times New Roman"/>
          <w:sz w:val="24"/>
          <w:szCs w:val="24"/>
        </w:rPr>
      </w:pPr>
      <w:r>
        <w:rPr>
          <w:rStyle w:val="Egyik sem"/>
          <w:rFonts w:ascii="Times New Roman" w:hAnsi="Times New Roman"/>
          <w:sz w:val="24"/>
          <w:szCs w:val="24"/>
          <w:rtl w:val="0"/>
          <w:lang w:val="en-US"/>
        </w:rPr>
        <w:t>In October 2020 the Hungarian Government together with five others co-sponsored a virtual gathering for signing the Geneva Consensus Declaration On Promoting Women</w:t>
      </w:r>
      <w:r>
        <w:rPr>
          <w:rStyle w:val="Egyik sem"/>
          <w:rFonts w:ascii="Times New Roman" w:hAnsi="Times New Roman" w:hint="default"/>
          <w:sz w:val="24"/>
          <w:szCs w:val="24"/>
          <w:rtl w:val="0"/>
          <w:lang w:val="en-US"/>
        </w:rPr>
        <w:t>’</w:t>
      </w:r>
      <w:r>
        <w:rPr>
          <w:rStyle w:val="Egyik sem"/>
          <w:rFonts w:ascii="Times New Roman" w:hAnsi="Times New Roman"/>
          <w:sz w:val="24"/>
          <w:szCs w:val="24"/>
          <w:rtl w:val="0"/>
          <w:lang w:val="en-US"/>
        </w:rPr>
        <w:t>s Health and Strengthening the Family. The declaration was signed by 32 countries first hand.</w:t>
      </w:r>
      <w:r>
        <w:rPr>
          <w:rStyle w:val="Egyik sem"/>
          <w:rFonts w:ascii="Times New Roman" w:cs="Times New Roman" w:hAnsi="Times New Roman" w:eastAsia="Times New Roman"/>
          <w:sz w:val="24"/>
          <w:szCs w:val="24"/>
          <w:vertAlign w:val="superscript"/>
        </w:rPr>
        <w:footnoteReference w:id="37"/>
      </w:r>
      <w:r>
        <w:rPr>
          <w:rStyle w:val="Egyik sem"/>
          <w:rFonts w:ascii="Times New Roman" w:hAnsi="Times New Roman"/>
          <w:sz w:val="24"/>
          <w:szCs w:val="24"/>
          <w:rtl w:val="0"/>
          <w:lang w:val="en-US"/>
        </w:rPr>
        <w:t xml:space="preserve"> The document stated that </w:t>
      </w:r>
      <w:r>
        <w:rPr>
          <w:rStyle w:val="Egyik sem"/>
          <w:rFonts w:ascii="Times New Roman" w:hAnsi="Times New Roman" w:hint="default"/>
          <w:sz w:val="24"/>
          <w:szCs w:val="24"/>
          <w:rtl w:val="0"/>
          <w:lang w:val="en-US"/>
        </w:rPr>
        <w:t>“</w:t>
      </w:r>
      <w:r>
        <w:rPr>
          <w:rStyle w:val="Egyik sem"/>
          <w:rFonts w:ascii="Times New Roman" w:hAnsi="Times New Roman"/>
          <w:sz w:val="24"/>
          <w:szCs w:val="24"/>
          <w:rtl w:val="0"/>
          <w:lang w:val="en-US"/>
        </w:rPr>
        <w:t>there is no international right to abortion, nor any international obligation on the part of States to finance or facilitate abortion, consistent with the long-standing international consensus that each nation has the sovereign right to implement programs and activities consistent with their laws and policies</w:t>
      </w:r>
      <w:r>
        <w:rPr>
          <w:rStyle w:val="Egyik sem"/>
          <w:rFonts w:ascii="Times New Roman" w:hAnsi="Times New Roman" w:hint="default"/>
          <w:sz w:val="24"/>
          <w:szCs w:val="24"/>
          <w:rtl w:val="0"/>
          <w:lang w:val="en-US"/>
        </w:rPr>
        <w:t>”</w:t>
      </w:r>
      <w:r>
        <w:rPr>
          <w:rStyle w:val="Egyik sem"/>
          <w:rFonts w:ascii="Times New Roman" w:hAnsi="Times New Roman"/>
          <w:sz w:val="24"/>
          <w:szCs w:val="24"/>
          <w:rtl w:val="0"/>
        </w:rPr>
        <w:t>.</w:t>
      </w:r>
      <w:r>
        <w:rPr>
          <w:rStyle w:val="Egyik sem"/>
          <w:rFonts w:ascii="Times New Roman" w:cs="Times New Roman" w:hAnsi="Times New Roman" w:eastAsia="Times New Roman"/>
          <w:sz w:val="24"/>
          <w:szCs w:val="24"/>
          <w:vertAlign w:val="superscript"/>
        </w:rPr>
        <w:footnoteReference w:id="38"/>
      </w:r>
      <w:r>
        <w:rPr>
          <w:rStyle w:val="Egyik sem"/>
          <w:rFonts w:ascii="Times New Roman" w:hAnsi="Times New Roman"/>
          <w:sz w:val="24"/>
          <w:szCs w:val="24"/>
          <w:rtl w:val="0"/>
          <w:lang w:val="en-US"/>
        </w:rPr>
        <w:t xml:space="preserve"> The signature raised questions whether the government planned to introduce restrictions on abortion. </w:t>
      </w:r>
    </w:p>
    <w:p>
      <w:pPr>
        <w:pStyle w:val="Szövegtörzs A"/>
        <w:tabs>
          <w:tab w:val="left" w:pos="284"/>
        </w:tabs>
        <w:spacing w:line="240" w:lineRule="auto"/>
        <w:jc w:val="both"/>
        <w:rPr>
          <w:rStyle w:val="Egyik sem"/>
          <w:rFonts w:ascii="Times New Roman" w:cs="Times New Roman" w:hAnsi="Times New Roman" w:eastAsia="Times New Roman"/>
          <w:sz w:val="24"/>
          <w:szCs w:val="24"/>
        </w:rPr>
      </w:pPr>
    </w:p>
    <w:p>
      <w:pPr>
        <w:pStyle w:val="Szövegtörzs A"/>
        <w:tabs>
          <w:tab w:val="left" w:pos="284"/>
        </w:tabs>
        <w:spacing w:line="240" w:lineRule="auto"/>
        <w:jc w:val="both"/>
        <w:rPr>
          <w:rStyle w:val="Egyik sem"/>
          <w:rFonts w:ascii="Times New Roman" w:cs="Times New Roman" w:hAnsi="Times New Roman" w:eastAsia="Times New Roman"/>
          <w:sz w:val="24"/>
          <w:szCs w:val="24"/>
        </w:rPr>
      </w:pPr>
      <w:r>
        <w:rPr>
          <w:rStyle w:val="Egyik sem"/>
          <w:rFonts w:ascii="Times New Roman" w:hAnsi="Times New Roman"/>
          <w:sz w:val="24"/>
          <w:szCs w:val="24"/>
          <w:rtl w:val="0"/>
          <w:lang w:val="en-US"/>
        </w:rPr>
        <w:t>In 2017, media reported that two church-run hospitals in Budapest received large state funding on the condition that they will not perform abortions in the new obstetrics and gynecology unit that will be established from the funding, based on the cooperation of the two hospitals.</w:t>
      </w:r>
      <w:r>
        <w:rPr>
          <w:rStyle w:val="Egyik sem"/>
          <w:rFonts w:ascii="Times New Roman" w:cs="Times New Roman" w:hAnsi="Times New Roman" w:eastAsia="Times New Roman"/>
          <w:sz w:val="24"/>
          <w:szCs w:val="24"/>
          <w:vertAlign w:val="superscript"/>
        </w:rPr>
        <w:footnoteReference w:id="39"/>
      </w:r>
      <w:r>
        <w:rPr>
          <w:rStyle w:val="Egyik sem"/>
          <w:rFonts w:ascii="Times New Roman" w:hAnsi="Times New Roman"/>
          <w:sz w:val="24"/>
          <w:szCs w:val="24"/>
          <w:rtl w:val="0"/>
        </w:rPr>
        <w:t xml:space="preserve">   </w:t>
      </w:r>
    </w:p>
    <w:p>
      <w:pPr>
        <w:pStyle w:val="Szövegtörzs A"/>
        <w:spacing w:line="240" w:lineRule="auto"/>
        <w:jc w:val="both"/>
        <w:rPr>
          <w:rStyle w:val="Egyik sem"/>
          <w:rFonts w:ascii="Times New Roman" w:cs="Times New Roman" w:hAnsi="Times New Roman" w:eastAsia="Times New Roman"/>
          <w:sz w:val="24"/>
          <w:szCs w:val="24"/>
        </w:rPr>
      </w:pPr>
    </w:p>
    <w:p>
      <w:pPr>
        <w:pStyle w:val="Szövegtörzs A"/>
        <w:spacing w:line="240" w:lineRule="auto"/>
        <w:jc w:val="both"/>
        <w:rPr>
          <w:rStyle w:val="Egyik sem"/>
          <w:rFonts w:ascii="Times New Roman" w:cs="Times New Roman" w:hAnsi="Times New Roman" w:eastAsia="Times New Roman"/>
          <w:sz w:val="24"/>
          <w:szCs w:val="24"/>
        </w:rPr>
      </w:pPr>
      <w:r>
        <w:rPr>
          <w:rStyle w:val="Egyik sem"/>
          <w:rFonts w:ascii="Times New Roman" w:hAnsi="Times New Roman"/>
          <w:sz w:val="24"/>
          <w:szCs w:val="24"/>
          <w:rtl w:val="0"/>
          <w:lang w:val="en-US"/>
        </w:rPr>
        <w:t xml:space="preserve">In 2014 the legal conditions for </w:t>
      </w:r>
      <w:r>
        <w:rPr>
          <w:rStyle w:val="Egyik sem"/>
          <w:rFonts w:ascii="Times New Roman" w:hAnsi="Times New Roman"/>
          <w:b w:val="1"/>
          <w:bCs w:val="1"/>
          <w:sz w:val="24"/>
          <w:szCs w:val="24"/>
          <w:rtl w:val="0"/>
          <w:lang w:val="en-US"/>
        </w:rPr>
        <w:t>sterilization</w:t>
      </w:r>
      <w:r>
        <w:rPr>
          <w:rStyle w:val="Egyik sem"/>
          <w:rFonts w:ascii="Times New Roman" w:hAnsi="Times New Roman"/>
          <w:sz w:val="24"/>
          <w:szCs w:val="24"/>
          <w:rtl w:val="0"/>
          <w:lang w:val="en-US"/>
        </w:rPr>
        <w:t xml:space="preserve"> became more stringent: sterilization for family planning (non-medical reasons) allowed only to a person who is over 40 years old or already has 3 biological children.</w:t>
      </w:r>
      <w:r>
        <w:rPr>
          <w:rStyle w:val="Egyik sem"/>
          <w:rFonts w:ascii="Times New Roman" w:cs="Times New Roman" w:hAnsi="Times New Roman" w:eastAsia="Times New Roman"/>
          <w:sz w:val="24"/>
          <w:szCs w:val="24"/>
          <w:vertAlign w:val="superscript"/>
        </w:rPr>
        <w:footnoteReference w:id="40"/>
      </w:r>
    </w:p>
    <w:p>
      <w:pPr>
        <w:pStyle w:val="Szövegtörzs A"/>
        <w:spacing w:line="240" w:lineRule="auto"/>
        <w:jc w:val="both"/>
        <w:rPr>
          <w:rStyle w:val="Egyik sem"/>
          <w:rFonts w:ascii="Times New Roman" w:cs="Times New Roman" w:hAnsi="Times New Roman" w:eastAsia="Times New Roman"/>
          <w:sz w:val="24"/>
          <w:szCs w:val="24"/>
        </w:rPr>
      </w:pPr>
    </w:p>
    <w:p>
      <w:pPr>
        <w:pStyle w:val="Szövegtörzs A"/>
        <w:tabs>
          <w:tab w:val="left" w:pos="284"/>
        </w:tabs>
        <w:spacing w:line="240" w:lineRule="auto"/>
        <w:jc w:val="both"/>
        <w:rPr>
          <w:rStyle w:val="Egyik sem"/>
          <w:rFonts w:ascii="Times New Roman" w:cs="Times New Roman" w:hAnsi="Times New Roman" w:eastAsia="Times New Roman"/>
          <w:sz w:val="24"/>
          <w:szCs w:val="24"/>
        </w:rPr>
      </w:pPr>
      <w:r>
        <w:rPr>
          <w:rStyle w:val="Egyik sem"/>
          <w:rFonts w:ascii="Times New Roman" w:hAnsi="Times New Roman"/>
          <w:sz w:val="24"/>
          <w:szCs w:val="24"/>
          <w:rtl w:val="0"/>
          <w:lang w:val="en-US"/>
        </w:rPr>
        <w:t>Notwithstanding the government</w:t>
      </w:r>
      <w:r>
        <w:rPr>
          <w:rStyle w:val="Egyik sem"/>
          <w:rFonts w:ascii="Times New Roman" w:hAnsi="Times New Roman" w:hint="default"/>
          <w:sz w:val="24"/>
          <w:szCs w:val="24"/>
          <w:rtl w:val="0"/>
          <w:lang w:val="en-US"/>
        </w:rPr>
        <w:t>’</w:t>
      </w:r>
      <w:r>
        <w:rPr>
          <w:rStyle w:val="Egyik sem"/>
          <w:rFonts w:ascii="Times New Roman" w:hAnsi="Times New Roman"/>
          <w:sz w:val="24"/>
          <w:szCs w:val="24"/>
          <w:rtl w:val="0"/>
          <w:lang w:val="en-US"/>
        </w:rPr>
        <w:t xml:space="preserve">s declared aim of increasing birthrates, there are significant shortcomings in policies and practices regarding </w:t>
      </w:r>
      <w:r>
        <w:rPr>
          <w:rStyle w:val="Egyik sem"/>
          <w:rFonts w:ascii="Times New Roman" w:hAnsi="Times New Roman"/>
          <w:b w:val="1"/>
          <w:bCs w:val="1"/>
          <w:sz w:val="24"/>
          <w:szCs w:val="24"/>
          <w:rtl w:val="0"/>
          <w:lang w:val="en-US"/>
        </w:rPr>
        <w:t>birthing</w:t>
      </w:r>
      <w:r>
        <w:rPr>
          <w:rStyle w:val="Egyik sem"/>
          <w:rFonts w:ascii="Times New Roman" w:hAnsi="Times New Roman"/>
          <w:sz w:val="24"/>
          <w:szCs w:val="24"/>
          <w:rtl w:val="0"/>
          <w:lang w:val="en-US"/>
        </w:rPr>
        <w:t>, being in a contradiction of international norms and standards. Practices to childbirth are over-medicalized, that is not in line with related WHO standards.</w:t>
      </w:r>
      <w:r>
        <w:rPr>
          <w:rStyle w:val="Egyik sem"/>
          <w:rFonts w:ascii="Times New Roman" w:cs="Times New Roman" w:hAnsi="Times New Roman" w:eastAsia="Times New Roman"/>
          <w:sz w:val="24"/>
          <w:szCs w:val="24"/>
          <w:vertAlign w:val="superscript"/>
        </w:rPr>
        <w:footnoteReference w:id="41"/>
      </w:r>
      <w:r>
        <w:rPr>
          <w:rStyle w:val="Egyik sem"/>
          <w:rFonts w:ascii="Times New Roman" w:hAnsi="Times New Roman"/>
          <w:sz w:val="24"/>
          <w:szCs w:val="24"/>
          <w:rtl w:val="0"/>
          <w:lang w:val="en-US"/>
        </w:rPr>
        <w:t xml:space="preserve"> There are no significant advancements to enabling women</w:t>
      </w:r>
      <w:r>
        <w:rPr>
          <w:rStyle w:val="Egyik sem"/>
          <w:rFonts w:ascii="Times New Roman" w:hAnsi="Times New Roman" w:hint="default"/>
          <w:sz w:val="24"/>
          <w:szCs w:val="24"/>
          <w:rtl w:val="0"/>
          <w:lang w:val="en-US"/>
        </w:rPr>
        <w:t>’</w:t>
      </w:r>
      <w:r>
        <w:rPr>
          <w:rStyle w:val="Egyik sem"/>
          <w:rFonts w:ascii="Times New Roman" w:hAnsi="Times New Roman"/>
          <w:sz w:val="24"/>
          <w:szCs w:val="24"/>
          <w:rtl w:val="0"/>
          <w:lang w:val="en-US"/>
        </w:rPr>
        <w:t>s exercise of autonomy in deciding about their birthing experience (e.g. choosing home birth or other, alternative treatment during birthing).</w:t>
      </w:r>
      <w:r>
        <w:rPr>
          <w:rStyle w:val="Egyik sem"/>
          <w:rFonts w:ascii="Times New Roman" w:cs="Times New Roman" w:hAnsi="Times New Roman" w:eastAsia="Times New Roman"/>
          <w:sz w:val="24"/>
          <w:szCs w:val="24"/>
          <w:vertAlign w:val="superscript"/>
        </w:rPr>
        <w:footnoteReference w:id="42"/>
      </w:r>
      <w:r>
        <w:rPr>
          <w:rStyle w:val="Egyik sem"/>
          <w:rFonts w:ascii="Times New Roman" w:hAnsi="Times New Roman"/>
          <w:sz w:val="24"/>
          <w:szCs w:val="24"/>
          <w:rtl w:val="0"/>
        </w:rPr>
        <w:t xml:space="preserve"> </w:t>
      </w:r>
      <w:r>
        <w:rPr>
          <w:rStyle w:val="Egyik sem"/>
          <w:rFonts w:ascii="Times New Roman" w:hAnsi="Times New Roman"/>
          <w:sz w:val="20"/>
          <w:szCs w:val="20"/>
          <w:rtl w:val="0"/>
        </w:rPr>
        <w:t>T</w:t>
      </w:r>
      <w:r>
        <w:rPr>
          <w:rStyle w:val="Egyik sem"/>
          <w:rFonts w:ascii="Times New Roman" w:hAnsi="Times New Roman"/>
          <w:sz w:val="24"/>
          <w:szCs w:val="24"/>
          <w:rtl w:val="0"/>
          <w:lang w:val="en-US"/>
        </w:rPr>
        <w:t>he last CEDAW Concluding observations recommended (para 31 e) that independent midwives should be recognized - although a decree regulates the conditions of homebirth, the scope of practice of midwives is still rather limited both in hospital and out-of-hospital settings. Obstetric and gynecological training is outdated and does not prepare doctors for respecting women</w:t>
      </w:r>
      <w:r>
        <w:rPr>
          <w:rStyle w:val="Egyik sem"/>
          <w:rFonts w:ascii="Times New Roman" w:hAnsi="Times New Roman" w:hint="default"/>
          <w:sz w:val="24"/>
          <w:szCs w:val="24"/>
          <w:rtl w:val="0"/>
          <w:lang w:val="en-US"/>
        </w:rPr>
        <w:t>’</w:t>
      </w:r>
      <w:r>
        <w:rPr>
          <w:rStyle w:val="Egyik sem"/>
          <w:rFonts w:ascii="Times New Roman" w:hAnsi="Times New Roman"/>
          <w:sz w:val="24"/>
          <w:szCs w:val="24"/>
          <w:rtl w:val="0"/>
          <w:lang w:val="en-US"/>
        </w:rPr>
        <w:t>s bodily autonomy. There is also evidence of discrimination against Roma mothers.</w:t>
      </w:r>
      <w:r>
        <w:rPr>
          <w:rStyle w:val="Egyik sem"/>
          <w:rFonts w:ascii="Times New Roman" w:cs="Times New Roman" w:hAnsi="Times New Roman" w:eastAsia="Times New Roman"/>
          <w:sz w:val="24"/>
          <w:szCs w:val="24"/>
          <w:vertAlign w:val="superscript"/>
        </w:rPr>
        <w:footnoteReference w:id="43"/>
      </w:r>
    </w:p>
    <w:p>
      <w:pPr>
        <w:pStyle w:val="Szövegtörzs A"/>
        <w:spacing w:line="240" w:lineRule="auto"/>
        <w:rPr>
          <w:rStyle w:val="Egyik sem"/>
          <w:rFonts w:ascii="Times New Roman" w:cs="Times New Roman" w:hAnsi="Times New Roman" w:eastAsia="Times New Roman"/>
          <w:sz w:val="24"/>
          <w:szCs w:val="24"/>
        </w:rPr>
      </w:pPr>
    </w:p>
    <w:p>
      <w:pPr>
        <w:pStyle w:val="Szövegtörzs A"/>
        <w:spacing w:line="240" w:lineRule="auto"/>
        <w:jc w:val="both"/>
        <w:rPr>
          <w:rStyle w:val="Egyik sem"/>
          <w:rFonts w:ascii="Times New Roman" w:cs="Times New Roman" w:hAnsi="Times New Roman" w:eastAsia="Times New Roman"/>
          <w:sz w:val="24"/>
          <w:szCs w:val="24"/>
        </w:rPr>
      </w:pPr>
      <w:r>
        <w:rPr>
          <w:rStyle w:val="Egyik sem"/>
          <w:rFonts w:ascii="Times New Roman" w:hAnsi="Times New Roman" w:hint="default"/>
          <w:sz w:val="24"/>
          <w:szCs w:val="24"/>
          <w:rtl w:val="0"/>
          <w:lang w:val="en-US"/>
        </w:rPr>
        <w:t>“</w:t>
      </w:r>
      <w:r>
        <w:rPr>
          <w:rStyle w:val="Egyik sem"/>
          <w:rFonts w:ascii="Times New Roman" w:hAnsi="Times New Roman"/>
          <w:sz w:val="24"/>
          <w:szCs w:val="24"/>
          <w:rtl w:val="0"/>
          <w:lang w:val="fr-FR"/>
        </w:rPr>
        <w:t>Obstetric violence</w:t>
      </w:r>
      <w:r>
        <w:rPr>
          <w:rStyle w:val="Egyik sem"/>
          <w:rFonts w:ascii="Times New Roman" w:hAnsi="Times New Roman" w:hint="default"/>
          <w:sz w:val="24"/>
          <w:szCs w:val="24"/>
          <w:rtl w:val="0"/>
          <w:lang w:val="en-US"/>
        </w:rPr>
        <w:t xml:space="preserve">” </w:t>
      </w:r>
      <w:r>
        <w:rPr>
          <w:rStyle w:val="Egyik sem"/>
          <w:rFonts w:ascii="Times New Roman" w:hAnsi="Times New Roman"/>
          <w:sz w:val="24"/>
          <w:szCs w:val="24"/>
          <w:rtl w:val="0"/>
          <w:lang w:val="en-US"/>
        </w:rPr>
        <w:t xml:space="preserve">is violence suffered by women during delivery care in health centers, being a </w:t>
      </w:r>
      <w:r>
        <w:rPr>
          <w:rStyle w:val="Egyik sem"/>
          <w:rFonts w:ascii="Times New Roman" w:hAnsi="Times New Roman" w:hint="default"/>
          <w:sz w:val="24"/>
          <w:szCs w:val="24"/>
          <w:rtl w:val="0"/>
          <w:lang w:val="en-US"/>
        </w:rPr>
        <w:t>“</w:t>
      </w:r>
      <w:r>
        <w:rPr>
          <w:rStyle w:val="Egyik sem"/>
          <w:rFonts w:ascii="Times New Roman" w:hAnsi="Times New Roman"/>
          <w:sz w:val="24"/>
          <w:szCs w:val="24"/>
          <w:rtl w:val="0"/>
          <w:lang w:val="en-US"/>
        </w:rPr>
        <w:t>widespread and systematic phenomenon</w:t>
      </w:r>
      <w:r>
        <w:rPr>
          <w:rStyle w:val="Egyik sem"/>
          <w:rFonts w:ascii="Times New Roman" w:hAnsi="Times New Roman" w:hint="default"/>
          <w:sz w:val="24"/>
          <w:szCs w:val="24"/>
          <w:rtl w:val="0"/>
          <w:lang w:val="en-US"/>
        </w:rPr>
        <w:t>”</w:t>
      </w:r>
      <w:r>
        <w:rPr>
          <w:rStyle w:val="Egyik sem"/>
          <w:rFonts w:ascii="Times New Roman" w:hAnsi="Times New Roman"/>
          <w:sz w:val="24"/>
          <w:szCs w:val="24"/>
          <w:rtl w:val="0"/>
        </w:rPr>
        <w:t>.</w:t>
      </w:r>
      <w:r>
        <w:rPr>
          <w:rStyle w:val="Egyik sem"/>
          <w:rFonts w:ascii="Times New Roman" w:cs="Times New Roman" w:hAnsi="Times New Roman" w:eastAsia="Times New Roman"/>
          <w:sz w:val="24"/>
          <w:szCs w:val="24"/>
          <w:vertAlign w:val="superscript"/>
        </w:rPr>
        <w:footnoteReference w:id="44"/>
      </w:r>
      <w:r>
        <w:rPr>
          <w:rStyle w:val="Egyik sem"/>
          <w:rFonts w:ascii="Times New Roman" w:hAnsi="Times New Roman"/>
          <w:sz w:val="24"/>
          <w:szCs w:val="24"/>
          <w:rtl w:val="0"/>
          <w:lang w:val="en-US"/>
        </w:rPr>
        <w:t xml:space="preserve"> Obstetric violence is present in the Hungarian maternity care system as well, some of its various forms are the followings, based on the birthing experience of women</w:t>
      </w:r>
      <w:r>
        <w:rPr>
          <w:rStyle w:val="Egyik sem"/>
          <w:rFonts w:ascii="Times New Roman" w:cs="Times New Roman" w:hAnsi="Times New Roman" w:eastAsia="Times New Roman"/>
          <w:sz w:val="24"/>
          <w:szCs w:val="24"/>
          <w:vertAlign w:val="superscript"/>
        </w:rPr>
        <w:footnoteReference w:id="45"/>
      </w:r>
      <w:r>
        <w:rPr>
          <w:rStyle w:val="Egyik sem"/>
          <w:rFonts w:ascii="Times New Roman" w:hAnsi="Times New Roman"/>
          <w:sz w:val="24"/>
          <w:szCs w:val="24"/>
          <w:rtl w:val="0"/>
        </w:rPr>
        <w:t>:</w:t>
      </w:r>
    </w:p>
    <w:p>
      <w:pPr>
        <w:pStyle w:val="Szövegtörzs A"/>
        <w:numPr>
          <w:ilvl w:val="0"/>
          <w:numId w:val="10"/>
        </w:numPr>
        <w:bidi w:val="0"/>
        <w:spacing w:line="240" w:lineRule="auto"/>
        <w:ind w:right="0"/>
        <w:jc w:val="both"/>
        <w:rPr>
          <w:rFonts w:ascii="Times New Roman" w:hAnsi="Times New Roman"/>
          <w:sz w:val="24"/>
          <w:szCs w:val="24"/>
          <w:rtl w:val="0"/>
          <w:lang w:val="en-US"/>
        </w:rPr>
      </w:pPr>
      <w:r>
        <w:rPr>
          <w:rStyle w:val="Egyik sem"/>
          <w:rFonts w:ascii="Times New Roman" w:hAnsi="Times New Roman"/>
          <w:sz w:val="24"/>
          <w:szCs w:val="24"/>
          <w:rtl w:val="0"/>
          <w:lang w:val="en-US"/>
        </w:rPr>
        <w:t>Mistreatment, unrespectful, humiliating communication during prenatal care, labor, birth and the postpartum period;</w:t>
      </w:r>
    </w:p>
    <w:p>
      <w:pPr>
        <w:pStyle w:val="Szövegtörzs A"/>
        <w:numPr>
          <w:ilvl w:val="0"/>
          <w:numId w:val="10"/>
        </w:numPr>
        <w:bidi w:val="0"/>
        <w:spacing w:line="240" w:lineRule="auto"/>
        <w:ind w:right="0"/>
        <w:jc w:val="both"/>
        <w:rPr>
          <w:rFonts w:ascii="Times New Roman" w:hAnsi="Times New Roman"/>
          <w:sz w:val="24"/>
          <w:szCs w:val="24"/>
          <w:rtl w:val="0"/>
          <w:lang w:val="en-US"/>
        </w:rPr>
      </w:pPr>
      <w:r>
        <w:rPr>
          <w:rStyle w:val="Egyik sem"/>
          <w:rFonts w:ascii="Times New Roman" w:hAnsi="Times New Roman"/>
          <w:sz w:val="24"/>
          <w:szCs w:val="24"/>
          <w:rtl w:val="0"/>
          <w:lang w:val="en-US"/>
        </w:rPr>
        <w:t>The usual practice that all consent forms must be signed by the mother upon arrival to the hospital in active labor, without the chance to ask for clarification.</w:t>
      </w:r>
    </w:p>
    <w:p>
      <w:pPr>
        <w:pStyle w:val="Szövegtörzs A"/>
        <w:numPr>
          <w:ilvl w:val="0"/>
          <w:numId w:val="12"/>
        </w:numPr>
        <w:bidi w:val="0"/>
        <w:spacing w:line="240" w:lineRule="auto"/>
        <w:ind w:right="0"/>
        <w:jc w:val="both"/>
        <w:rPr>
          <w:rFonts w:ascii="Times New Roman" w:hAnsi="Times New Roman"/>
          <w:sz w:val="24"/>
          <w:szCs w:val="24"/>
          <w:rtl w:val="0"/>
          <w:lang w:val="en-US"/>
        </w:rPr>
      </w:pPr>
      <w:r>
        <w:rPr>
          <w:rStyle w:val="Egyik sem"/>
          <w:rFonts w:ascii="Times New Roman" w:hAnsi="Times New Roman"/>
          <w:sz w:val="24"/>
          <w:szCs w:val="24"/>
          <w:rtl w:val="0"/>
          <w:lang w:val="en-US"/>
        </w:rPr>
        <w:t>Being coerced to invasive interventions without prior information or consent, or despite the explicit refusal and active protest of the mother.</w:t>
      </w:r>
      <w:r>
        <w:rPr>
          <w:rStyle w:val="Egyik sem"/>
          <w:rFonts w:ascii="Times New Roman" w:cs="Times New Roman" w:hAnsi="Times New Roman" w:eastAsia="Times New Roman"/>
          <w:sz w:val="24"/>
          <w:szCs w:val="24"/>
          <w:vertAlign w:val="superscript"/>
        </w:rPr>
        <w:footnoteReference w:id="46"/>
      </w:r>
      <w:r>
        <w:rPr>
          <w:rStyle w:val="Egyik sem"/>
          <w:rFonts w:ascii="Times New Roman" w:hAnsi="Times New Roman"/>
          <w:sz w:val="24"/>
          <w:szCs w:val="24"/>
          <w:rtl w:val="0"/>
        </w:rPr>
        <w:t xml:space="preserve"> </w:t>
      </w:r>
    </w:p>
    <w:p>
      <w:pPr>
        <w:pStyle w:val="Szövegtörzs A"/>
        <w:numPr>
          <w:ilvl w:val="0"/>
          <w:numId w:val="12"/>
        </w:numPr>
        <w:bidi w:val="0"/>
        <w:spacing w:line="240" w:lineRule="auto"/>
        <w:ind w:right="0"/>
        <w:jc w:val="both"/>
        <w:rPr>
          <w:rFonts w:ascii="Times New Roman" w:hAnsi="Times New Roman"/>
          <w:sz w:val="24"/>
          <w:szCs w:val="24"/>
          <w:rtl w:val="0"/>
          <w:lang w:val="en-US"/>
        </w:rPr>
      </w:pPr>
      <w:r>
        <w:rPr>
          <w:rStyle w:val="Egyik sem"/>
          <w:rFonts w:ascii="Times New Roman" w:hAnsi="Times New Roman"/>
          <w:sz w:val="24"/>
          <w:szCs w:val="24"/>
          <w:rtl w:val="0"/>
          <w:lang w:val="en-US"/>
        </w:rPr>
        <w:t xml:space="preserve">Lack of intimacy and privacy. Some labor wards are separated by curtains, or doors are not closed. </w:t>
      </w:r>
    </w:p>
    <w:p>
      <w:pPr>
        <w:pStyle w:val="Szövegtörzs A"/>
        <w:numPr>
          <w:ilvl w:val="0"/>
          <w:numId w:val="14"/>
        </w:numPr>
        <w:bidi w:val="0"/>
        <w:spacing w:line="240" w:lineRule="auto"/>
        <w:ind w:right="0"/>
        <w:jc w:val="both"/>
        <w:rPr>
          <w:rFonts w:ascii="Times New Roman" w:hAnsi="Times New Roman"/>
          <w:sz w:val="24"/>
          <w:szCs w:val="24"/>
          <w:rtl w:val="0"/>
          <w:lang w:val="en-US"/>
        </w:rPr>
      </w:pPr>
      <w:r>
        <w:rPr>
          <w:rStyle w:val="Egyik sem"/>
          <w:rFonts w:ascii="Times New Roman" w:hAnsi="Times New Roman"/>
          <w:sz w:val="24"/>
          <w:szCs w:val="24"/>
          <w:rtl w:val="0"/>
          <w:lang w:val="en-US"/>
        </w:rPr>
        <w:t xml:space="preserve">Unconsented presence of medical students and other people; unconsented procedures done by students for the purpose of their </w:t>
      </w:r>
      <w:r>
        <w:rPr>
          <w:rStyle w:val="Egyik sem"/>
          <w:rFonts w:ascii="Times New Roman" w:hAnsi="Times New Roman" w:hint="default"/>
          <w:sz w:val="24"/>
          <w:szCs w:val="24"/>
          <w:rtl w:val="0"/>
          <w:lang w:val="en-US"/>
        </w:rPr>
        <w:t>“</w:t>
      </w:r>
      <w:r>
        <w:rPr>
          <w:rStyle w:val="Egyik sem"/>
          <w:rFonts w:ascii="Times New Roman" w:hAnsi="Times New Roman"/>
          <w:sz w:val="24"/>
          <w:szCs w:val="24"/>
          <w:rtl w:val="0"/>
          <w:lang w:val="en-US"/>
        </w:rPr>
        <w:t>practicing</w:t>
      </w:r>
      <w:r>
        <w:rPr>
          <w:rStyle w:val="Egyik sem"/>
          <w:rFonts w:ascii="Times New Roman" w:hAnsi="Times New Roman" w:hint="default"/>
          <w:sz w:val="24"/>
          <w:szCs w:val="24"/>
          <w:rtl w:val="0"/>
          <w:lang w:val="en-US"/>
        </w:rPr>
        <w:t>”</w:t>
      </w:r>
      <w:r>
        <w:rPr>
          <w:rStyle w:val="Egyik sem"/>
          <w:rFonts w:ascii="Times New Roman" w:hAnsi="Times New Roman"/>
          <w:sz w:val="24"/>
          <w:szCs w:val="24"/>
          <w:rtl w:val="0"/>
        </w:rPr>
        <w:t>.</w:t>
      </w:r>
    </w:p>
    <w:p>
      <w:pPr>
        <w:pStyle w:val="Szövegtörzs A"/>
        <w:numPr>
          <w:ilvl w:val="0"/>
          <w:numId w:val="14"/>
        </w:numPr>
        <w:bidi w:val="0"/>
        <w:spacing w:line="240" w:lineRule="auto"/>
        <w:ind w:right="0"/>
        <w:jc w:val="both"/>
        <w:rPr>
          <w:rFonts w:ascii="Times New Roman" w:hAnsi="Times New Roman"/>
          <w:sz w:val="24"/>
          <w:szCs w:val="24"/>
          <w:rtl w:val="0"/>
          <w:lang w:val="en-US"/>
        </w:rPr>
      </w:pPr>
      <w:r>
        <w:rPr>
          <w:rStyle w:val="Egyik sem"/>
          <w:rFonts w:ascii="Times New Roman" w:hAnsi="Times New Roman"/>
          <w:sz w:val="24"/>
          <w:szCs w:val="24"/>
          <w:rtl w:val="0"/>
          <w:lang w:val="en-US"/>
        </w:rPr>
        <w:t>Being denied the presence of fathers and doulas during vaginal or Cesarean birth, miscarriage and stillbirth.</w:t>
      </w:r>
    </w:p>
    <w:p>
      <w:pPr>
        <w:pStyle w:val="Szövegtörzs A"/>
        <w:numPr>
          <w:ilvl w:val="0"/>
          <w:numId w:val="16"/>
        </w:numPr>
        <w:bidi w:val="0"/>
        <w:spacing w:line="240" w:lineRule="auto"/>
        <w:ind w:right="0"/>
        <w:jc w:val="both"/>
        <w:rPr>
          <w:rFonts w:ascii="Times New Roman" w:hAnsi="Times New Roman"/>
          <w:sz w:val="24"/>
          <w:szCs w:val="24"/>
          <w:rtl w:val="0"/>
          <w:lang w:val="en-US"/>
        </w:rPr>
      </w:pPr>
      <w:r>
        <w:rPr>
          <w:rStyle w:val="Egyik sem"/>
          <w:rFonts w:ascii="Times New Roman" w:hAnsi="Times New Roman"/>
          <w:sz w:val="24"/>
          <w:szCs w:val="24"/>
          <w:rtl w:val="0"/>
          <w:lang w:val="en-US"/>
        </w:rPr>
        <w:t>Being denied eating and drinking during labor.</w:t>
      </w:r>
    </w:p>
    <w:p>
      <w:pPr>
        <w:pStyle w:val="Szövegtörzs A"/>
        <w:numPr>
          <w:ilvl w:val="0"/>
          <w:numId w:val="16"/>
        </w:numPr>
        <w:bidi w:val="0"/>
        <w:spacing w:line="240" w:lineRule="auto"/>
        <w:ind w:right="0"/>
        <w:jc w:val="both"/>
        <w:rPr>
          <w:rFonts w:ascii="Times New Roman" w:hAnsi="Times New Roman"/>
          <w:sz w:val="24"/>
          <w:szCs w:val="24"/>
          <w:rtl w:val="0"/>
          <w:lang w:val="en-US"/>
        </w:rPr>
      </w:pPr>
      <w:r>
        <w:rPr>
          <w:rStyle w:val="Egyik sem"/>
          <w:rFonts w:ascii="Times New Roman" w:hAnsi="Times New Roman"/>
          <w:sz w:val="24"/>
          <w:szCs w:val="24"/>
          <w:rtl w:val="0"/>
          <w:lang w:val="en-US"/>
        </w:rPr>
        <w:t>Performing surgical procedures and other invasive interventions without proper anesthesia, or before the effect of the anesthetics kicks in, even if the woman indicates that she still feels pain.</w:t>
      </w:r>
    </w:p>
    <w:p>
      <w:pPr>
        <w:pStyle w:val="Szövegtörzs A"/>
        <w:numPr>
          <w:ilvl w:val="0"/>
          <w:numId w:val="16"/>
        </w:numPr>
        <w:bidi w:val="0"/>
        <w:spacing w:line="240" w:lineRule="auto"/>
        <w:ind w:right="0"/>
        <w:jc w:val="both"/>
        <w:rPr>
          <w:rFonts w:ascii="Times New Roman" w:hAnsi="Times New Roman"/>
          <w:sz w:val="24"/>
          <w:szCs w:val="24"/>
          <w:rtl w:val="0"/>
          <w:lang w:val="en-US"/>
        </w:rPr>
      </w:pPr>
      <w:r>
        <w:rPr>
          <w:rStyle w:val="Egyik sem"/>
          <w:rFonts w:ascii="Times New Roman" w:hAnsi="Times New Roman"/>
          <w:sz w:val="24"/>
          <w:szCs w:val="24"/>
          <w:rtl w:val="0"/>
          <w:lang w:val="en-US"/>
        </w:rPr>
        <w:t>Sometimes physical force is used to keep a woman on the bed (strapping arms or legs down, kneeling on her hands or legs) while an invasive procedure, for example an unconsented vaginal examination is performed.</w:t>
      </w:r>
    </w:p>
    <w:p>
      <w:pPr>
        <w:pStyle w:val="Szövegtörzs A"/>
        <w:numPr>
          <w:ilvl w:val="0"/>
          <w:numId w:val="18"/>
        </w:numPr>
        <w:bidi w:val="0"/>
        <w:spacing w:line="240" w:lineRule="auto"/>
        <w:ind w:right="0"/>
        <w:jc w:val="both"/>
        <w:rPr>
          <w:rFonts w:ascii="Times New Roman" w:hAnsi="Times New Roman"/>
          <w:sz w:val="24"/>
          <w:szCs w:val="24"/>
          <w:rtl w:val="0"/>
          <w:lang w:val="en-US"/>
        </w:rPr>
      </w:pPr>
      <w:r>
        <w:rPr>
          <w:rStyle w:val="Egyik sem"/>
          <w:rFonts w:ascii="Times New Roman" w:hAnsi="Times New Roman"/>
          <w:sz w:val="24"/>
          <w:szCs w:val="24"/>
          <w:rtl w:val="0"/>
          <w:lang w:val="en-US"/>
        </w:rPr>
        <w:t>In the case of miscarriage or stillbirth no opportunity to see or hold the fetus/baby, and inhumane treatment of products of conception, denial of funeral arrangements, no bereavement support offered, attendants are not skilled to offer grief counseling.</w:t>
      </w:r>
    </w:p>
    <w:p>
      <w:pPr>
        <w:pStyle w:val="Szövegtörzs A"/>
        <w:numPr>
          <w:ilvl w:val="0"/>
          <w:numId w:val="20"/>
        </w:numPr>
        <w:bidi w:val="0"/>
        <w:spacing w:line="240" w:lineRule="auto"/>
        <w:ind w:right="0"/>
        <w:jc w:val="both"/>
        <w:rPr>
          <w:rFonts w:ascii="Times New Roman" w:hAnsi="Times New Roman"/>
          <w:sz w:val="24"/>
          <w:szCs w:val="24"/>
          <w:rtl w:val="0"/>
          <w:lang w:val="en-US"/>
        </w:rPr>
      </w:pPr>
      <w:r>
        <w:rPr>
          <w:rStyle w:val="Egyik sem"/>
          <w:rFonts w:ascii="Times New Roman" w:hAnsi="Times New Roman"/>
          <w:sz w:val="24"/>
          <w:szCs w:val="24"/>
          <w:rtl w:val="0"/>
          <w:lang w:val="en-US"/>
        </w:rPr>
        <w:t>Only surgical management is offered after spontaneous abortion. Other evidence-based options, such as medical management or expectant management are not available.</w:t>
      </w:r>
    </w:p>
    <w:p>
      <w:pPr>
        <w:pStyle w:val="Szövegtörzs A"/>
        <w:numPr>
          <w:ilvl w:val="0"/>
          <w:numId w:val="20"/>
        </w:numPr>
        <w:bidi w:val="0"/>
        <w:spacing w:line="240" w:lineRule="auto"/>
        <w:ind w:right="0"/>
        <w:jc w:val="both"/>
        <w:rPr>
          <w:rFonts w:ascii="Times New Roman" w:hAnsi="Times New Roman"/>
          <w:sz w:val="24"/>
          <w:szCs w:val="24"/>
          <w:rtl w:val="0"/>
          <w:lang w:val="en-US"/>
        </w:rPr>
      </w:pPr>
      <w:r>
        <w:rPr>
          <w:rStyle w:val="Egyik sem"/>
          <w:rFonts w:ascii="Times New Roman" w:hAnsi="Times New Roman"/>
          <w:sz w:val="24"/>
          <w:szCs w:val="24"/>
          <w:rtl w:val="0"/>
          <w:lang w:val="en-US"/>
        </w:rPr>
        <w:t>Attendants are not skilled in trauma-informed care, thus triggering and retraumatizing survivors of childhood sexual abuse or of domestic violence, refugees or any other vulnerable and traumatized population.</w:t>
      </w:r>
    </w:p>
    <w:p>
      <w:pPr>
        <w:pStyle w:val="Szövegtörzs A"/>
        <w:numPr>
          <w:ilvl w:val="0"/>
          <w:numId w:val="21"/>
        </w:numPr>
        <w:bidi w:val="0"/>
        <w:spacing w:line="240" w:lineRule="auto"/>
        <w:ind w:right="0"/>
        <w:jc w:val="both"/>
        <w:rPr>
          <w:sz w:val="24"/>
          <w:szCs w:val="24"/>
          <w:rtl w:val="0"/>
          <w:lang w:val="en-US"/>
        </w:rPr>
      </w:pPr>
      <w:r>
        <w:rPr>
          <w:rStyle w:val="Egyik sem"/>
          <w:rFonts w:ascii="Times New Roman" w:hAnsi="Times New Roman"/>
          <w:sz w:val="24"/>
          <w:szCs w:val="24"/>
          <w:rtl w:val="0"/>
          <w:lang w:val="en-US"/>
        </w:rPr>
        <w:t xml:space="preserve">Sexual abuse and harassment during prenatal care, birth or the postpartum period (including comments on appearance and sexual performance, </w:t>
      </w:r>
      <w:r>
        <w:rPr>
          <w:rStyle w:val="Egyik sem"/>
          <w:rFonts w:ascii="Times New Roman" w:hAnsi="Times New Roman" w:hint="default"/>
          <w:sz w:val="24"/>
          <w:szCs w:val="24"/>
          <w:rtl w:val="0"/>
          <w:lang w:val="en-US"/>
        </w:rPr>
        <w:t>“</w:t>
      </w:r>
      <w:r>
        <w:rPr>
          <w:rStyle w:val="Egyik sem"/>
          <w:rFonts w:ascii="Times New Roman" w:hAnsi="Times New Roman"/>
          <w:sz w:val="24"/>
          <w:szCs w:val="24"/>
          <w:rtl w:val="0"/>
          <w:lang w:val="en-US"/>
        </w:rPr>
        <w:t>husband stitch</w:t>
      </w:r>
      <w:r>
        <w:rPr>
          <w:rStyle w:val="Egyik sem"/>
          <w:rFonts w:ascii="Times New Roman" w:hAnsi="Times New Roman" w:hint="default"/>
          <w:sz w:val="24"/>
          <w:szCs w:val="24"/>
          <w:rtl w:val="0"/>
          <w:lang w:val="en-US"/>
        </w:rPr>
        <w:t>”</w:t>
      </w:r>
      <w:r>
        <w:rPr>
          <w:rStyle w:val="Egyik sem"/>
          <w:rFonts w:ascii="Times New Roman" w:hAnsi="Times New Roman"/>
          <w:sz w:val="24"/>
          <w:szCs w:val="24"/>
          <w:rtl w:val="0"/>
          <w:lang w:val="en-US"/>
        </w:rPr>
        <w:t xml:space="preserve">, inappropriate touching or stimulation). </w:t>
      </w:r>
    </w:p>
    <w:p>
      <w:pPr>
        <w:pStyle w:val="Szövegtörzs A"/>
        <w:spacing w:line="240" w:lineRule="auto"/>
        <w:rPr>
          <w:rStyle w:val="Egyik sem"/>
          <w:rFonts w:ascii="Times New Roman" w:cs="Times New Roman" w:hAnsi="Times New Roman" w:eastAsia="Times New Roman"/>
          <w:sz w:val="24"/>
          <w:szCs w:val="24"/>
        </w:rPr>
      </w:pPr>
    </w:p>
    <w:p>
      <w:pPr>
        <w:pStyle w:val="Szövegtörzs A"/>
        <w:spacing w:line="240" w:lineRule="auto"/>
        <w:jc w:val="both"/>
        <w:rPr>
          <w:rStyle w:val="Egyik sem"/>
          <w:rFonts w:ascii="Times New Roman" w:cs="Times New Roman" w:hAnsi="Times New Roman" w:eastAsia="Times New Roman"/>
          <w:sz w:val="24"/>
          <w:szCs w:val="24"/>
        </w:rPr>
      </w:pPr>
      <w:r>
        <w:rPr>
          <w:rStyle w:val="Egyik sem"/>
          <w:rFonts w:ascii="Times New Roman" w:hAnsi="Times New Roman"/>
          <w:b w:val="1"/>
          <w:bCs w:val="1"/>
          <w:sz w:val="24"/>
          <w:szCs w:val="24"/>
          <w:rtl w:val="0"/>
          <w:lang w:val="en-US"/>
        </w:rPr>
        <w:t xml:space="preserve">COVID-19 containment measures </w:t>
      </w:r>
      <w:r>
        <w:rPr>
          <w:rStyle w:val="Egyik sem"/>
          <w:rFonts w:ascii="Times New Roman" w:hAnsi="Times New Roman"/>
          <w:sz w:val="24"/>
          <w:szCs w:val="24"/>
          <w:rtl w:val="0"/>
          <w:lang w:val="en-US"/>
        </w:rPr>
        <w:t xml:space="preserve">had an </w:t>
      </w:r>
      <w:r>
        <w:rPr>
          <w:rStyle w:val="Egyik sem"/>
          <w:rFonts w:ascii="Times New Roman" w:hAnsi="Times New Roman"/>
          <w:b w:val="1"/>
          <w:bCs w:val="1"/>
          <w:sz w:val="24"/>
          <w:szCs w:val="24"/>
          <w:rtl w:val="0"/>
          <w:lang w:val="en-US"/>
        </w:rPr>
        <w:t>impact</w:t>
      </w:r>
      <w:r>
        <w:rPr>
          <w:rStyle w:val="Egyik sem"/>
          <w:rFonts w:ascii="Times New Roman" w:hAnsi="Times New Roman"/>
          <w:sz w:val="24"/>
          <w:szCs w:val="24"/>
          <w:rtl w:val="0"/>
          <w:lang w:val="en-US"/>
        </w:rPr>
        <w:t xml:space="preserve"> on the full cycle of </w:t>
      </w:r>
      <w:r>
        <w:rPr>
          <w:rStyle w:val="Egyik sem"/>
          <w:rFonts w:ascii="Times New Roman" w:hAnsi="Times New Roman"/>
          <w:b w:val="1"/>
          <w:bCs w:val="1"/>
          <w:sz w:val="24"/>
          <w:szCs w:val="24"/>
          <w:rtl w:val="0"/>
          <w:lang w:val="en-US"/>
        </w:rPr>
        <w:t>maternity care</w:t>
      </w:r>
      <w:r>
        <w:rPr>
          <w:rStyle w:val="Egyik sem"/>
          <w:rFonts w:ascii="Times New Roman" w:hAnsi="Times New Roman"/>
          <w:sz w:val="24"/>
          <w:szCs w:val="24"/>
          <w:rtl w:val="0"/>
          <w:lang w:val="en-US"/>
        </w:rPr>
        <w:t xml:space="preserve"> during pregnancy, birth and postpartum, including limited prenatal visits as well as Cesarean sections for COVID-1 positive mothers, despite the fact that relevant clinical guidelines recommended otherwise. </w:t>
      </w:r>
      <w:r>
        <w:rPr>
          <w:rStyle w:val="Egyik sem"/>
          <w:rFonts w:ascii="Times New Roman" w:hAnsi="Times New Roman"/>
          <w:sz w:val="24"/>
          <w:szCs w:val="24"/>
          <w:shd w:val="clear" w:color="auto" w:fill="ffffff"/>
          <w:rtl w:val="0"/>
          <w:lang w:val="en-US"/>
        </w:rPr>
        <w:t xml:space="preserve">There is emerging evidence that such changes in maternity care had a negative impact on both maternal and perinatal outcomes, including maternal mental health. One of the main struggles for women ever since the start of the pandemic, was the restriction of the </w:t>
      </w:r>
      <w:r>
        <w:rPr>
          <w:rStyle w:val="Egyik sem"/>
          <w:rFonts w:ascii="Times New Roman" w:hAnsi="Times New Roman" w:hint="default"/>
          <w:sz w:val="24"/>
          <w:szCs w:val="24"/>
          <w:shd w:val="clear" w:color="auto" w:fill="ffffff"/>
          <w:rtl w:val="0"/>
          <w:lang w:val="en-US"/>
        </w:rPr>
        <w:t>“</w:t>
      </w:r>
      <w:r>
        <w:rPr>
          <w:rStyle w:val="Egyik sem"/>
          <w:rFonts w:ascii="Times New Roman" w:hAnsi="Times New Roman"/>
          <w:sz w:val="24"/>
          <w:szCs w:val="24"/>
          <w:shd w:val="clear" w:color="auto" w:fill="ffffff"/>
          <w:rtl w:val="0"/>
          <w:lang w:val="en-US"/>
        </w:rPr>
        <w:t>right to contact</w:t>
      </w:r>
      <w:r>
        <w:rPr>
          <w:rStyle w:val="Egyik sem"/>
          <w:rFonts w:ascii="Times New Roman" w:hAnsi="Times New Roman" w:hint="default"/>
          <w:sz w:val="24"/>
          <w:szCs w:val="24"/>
          <w:shd w:val="clear" w:color="auto" w:fill="ffffff"/>
          <w:rtl w:val="0"/>
          <w:lang w:val="en-US"/>
        </w:rPr>
        <w:t xml:space="preserve">” </w:t>
      </w:r>
      <w:r>
        <w:rPr>
          <w:rStyle w:val="Egyik sem"/>
          <w:rFonts w:ascii="Times New Roman" w:hAnsi="Times New Roman"/>
          <w:sz w:val="24"/>
          <w:szCs w:val="24"/>
          <w:shd w:val="clear" w:color="auto" w:fill="ffffff"/>
          <w:rtl w:val="0"/>
          <w:lang w:val="en-US"/>
        </w:rPr>
        <w:t>stipulated by legislation. Birthing women were banned from a birth companion, whether their partner or a doula, babies and mothers were unduly separated, family members were not allowed during hospital stay. These violations happened despite the consistent and repeated official statement of the Chief Medical Officer and other government actors that birth companions should be allowed.</w:t>
      </w:r>
      <w:r>
        <w:rPr>
          <w:rStyle w:val="Egyik sem"/>
          <w:rFonts w:ascii="Times New Roman" w:cs="Times New Roman" w:hAnsi="Times New Roman" w:eastAsia="Times New Roman"/>
          <w:sz w:val="24"/>
          <w:szCs w:val="24"/>
          <w:shd w:val="clear" w:color="auto" w:fill="ffffff"/>
          <w:vertAlign w:val="superscript"/>
        </w:rPr>
        <w:footnoteReference w:id="47"/>
      </w:r>
    </w:p>
    <w:p>
      <w:pPr>
        <w:pStyle w:val="Szövegtörzs A"/>
        <w:spacing w:line="240" w:lineRule="auto"/>
        <w:rPr>
          <w:rStyle w:val="Egyik sem"/>
          <w:rFonts w:ascii="Times New Roman" w:cs="Times New Roman" w:hAnsi="Times New Roman" w:eastAsia="Times New Roman"/>
          <w:sz w:val="24"/>
          <w:szCs w:val="24"/>
        </w:rPr>
      </w:pPr>
    </w:p>
    <w:p>
      <w:pPr>
        <w:pStyle w:val="Szövegtörzs A"/>
        <w:spacing w:line="240" w:lineRule="auto"/>
        <w:jc w:val="both"/>
        <w:rPr>
          <w:rStyle w:val="Egyik sem"/>
          <w:rFonts w:ascii="Times New Roman" w:cs="Times New Roman" w:hAnsi="Times New Roman" w:eastAsia="Times New Roman"/>
          <w:sz w:val="24"/>
          <w:szCs w:val="24"/>
        </w:rPr>
      </w:pPr>
      <w:r>
        <w:rPr>
          <w:rStyle w:val="Egyik sem"/>
          <w:rFonts w:ascii="Times New Roman" w:hAnsi="Times New Roman"/>
          <w:b w:val="1"/>
          <w:bCs w:val="1"/>
          <w:sz w:val="24"/>
          <w:szCs w:val="24"/>
          <w:rtl w:val="0"/>
          <w:lang w:val="en-US"/>
        </w:rPr>
        <w:t>Shrinking care options in the field of women</w:t>
      </w:r>
      <w:r>
        <w:rPr>
          <w:rStyle w:val="Egyik sem"/>
          <w:rFonts w:ascii="Times New Roman" w:hAnsi="Times New Roman" w:hint="default"/>
          <w:b w:val="1"/>
          <w:bCs w:val="1"/>
          <w:sz w:val="24"/>
          <w:szCs w:val="24"/>
          <w:rtl w:val="0"/>
          <w:lang w:val="en-US"/>
        </w:rPr>
        <w:t>’</w:t>
      </w:r>
      <w:r>
        <w:rPr>
          <w:rStyle w:val="Egyik sem"/>
          <w:rFonts w:ascii="Times New Roman" w:hAnsi="Times New Roman"/>
          <w:b w:val="1"/>
          <w:bCs w:val="1"/>
          <w:sz w:val="24"/>
          <w:szCs w:val="24"/>
          <w:rtl w:val="0"/>
          <w:lang w:val="en-US"/>
        </w:rPr>
        <w:t>s health</w:t>
      </w:r>
      <w:r>
        <w:rPr>
          <w:rStyle w:val="Egyik sem"/>
          <w:rFonts w:ascii="Times New Roman" w:hAnsi="Times New Roman"/>
          <w:sz w:val="24"/>
          <w:szCs w:val="24"/>
          <w:rtl w:val="0"/>
          <w:lang w:val="en-US"/>
        </w:rPr>
        <w:t xml:space="preserve"> is a problem. Due to several factors, including changes in the legal standing of health professionals, the privatization of IVF clinics and changes in the financing scheme of infertility treatments as well as the criminalization of under-the-table payments (without structural changes, the standardization of service quality in maternity care and the appropriate wage development of healthcare staff) diminished the available services relevant for many areas of women</w:t>
      </w:r>
      <w:r>
        <w:rPr>
          <w:rStyle w:val="Egyik sem"/>
          <w:rFonts w:ascii="Times New Roman" w:hAnsi="Times New Roman" w:hint="default"/>
          <w:sz w:val="24"/>
          <w:szCs w:val="24"/>
          <w:rtl w:val="0"/>
          <w:lang w:val="en-US"/>
        </w:rPr>
        <w:t>’</w:t>
      </w:r>
      <w:r>
        <w:rPr>
          <w:rStyle w:val="Egyik sem"/>
          <w:rFonts w:ascii="Times New Roman" w:hAnsi="Times New Roman"/>
          <w:sz w:val="24"/>
          <w:szCs w:val="24"/>
          <w:rtl w:val="0"/>
          <w:lang w:val="en-US"/>
        </w:rPr>
        <w:t>s health, namely:</w:t>
      </w:r>
    </w:p>
    <w:p>
      <w:pPr>
        <w:pStyle w:val="Szövegtörzs A"/>
        <w:numPr>
          <w:ilvl w:val="0"/>
          <w:numId w:val="23"/>
        </w:numPr>
        <w:bidi w:val="0"/>
        <w:spacing w:line="240" w:lineRule="auto"/>
        <w:ind w:right="0"/>
        <w:jc w:val="both"/>
        <w:rPr>
          <w:rFonts w:ascii="Times New Roman" w:hAnsi="Times New Roman"/>
          <w:sz w:val="24"/>
          <w:szCs w:val="24"/>
          <w:rtl w:val="0"/>
          <w:lang w:val="en-US"/>
        </w:rPr>
      </w:pPr>
      <w:r>
        <w:rPr>
          <w:rStyle w:val="Egyik sem"/>
          <w:rFonts w:ascii="Times New Roman" w:hAnsi="Times New Roman"/>
          <w:sz w:val="24"/>
          <w:szCs w:val="24"/>
          <w:rtl w:val="0"/>
          <w:lang w:val="en-US"/>
        </w:rPr>
        <w:t>Increasingly long waiting lists for endometriosis treatment;</w:t>
      </w:r>
    </w:p>
    <w:p>
      <w:pPr>
        <w:pStyle w:val="Szövegtörzs A"/>
        <w:numPr>
          <w:ilvl w:val="0"/>
          <w:numId w:val="24"/>
        </w:numPr>
        <w:bidi w:val="0"/>
        <w:spacing w:line="240" w:lineRule="auto"/>
        <w:ind w:right="0"/>
        <w:jc w:val="both"/>
        <w:rPr>
          <w:sz w:val="24"/>
          <w:szCs w:val="24"/>
          <w:rtl w:val="0"/>
          <w:lang w:val="en-US"/>
        </w:rPr>
      </w:pPr>
      <w:r>
        <w:rPr>
          <w:rStyle w:val="Egyik sem"/>
          <w:rFonts w:ascii="Times New Roman" w:hAnsi="Times New Roman"/>
          <w:sz w:val="24"/>
          <w:szCs w:val="24"/>
          <w:rtl w:val="0"/>
          <w:lang w:val="en-US"/>
        </w:rPr>
        <w:t>Increasingly long waiting lists for fertility treatments and assisted reproduction services, available only for different-sex couples. In Hungary there were government-financed and private options (since 1992) for obtaining fertility treatments, including hormonal therapy, insemination, IVF, and - under very strict legal requirements - egg donation.  Private services were outlawed in 2021, and since then fertility treatments are only allowed in state-owned hospitals.</w:t>
      </w:r>
    </w:p>
    <w:p>
      <w:pPr>
        <w:pStyle w:val="Szövegtörzs A"/>
        <w:numPr>
          <w:ilvl w:val="0"/>
          <w:numId w:val="23"/>
        </w:numPr>
        <w:bidi w:val="0"/>
        <w:spacing w:line="240" w:lineRule="auto"/>
        <w:ind w:right="0"/>
        <w:jc w:val="both"/>
        <w:rPr>
          <w:rFonts w:ascii="Times New Roman" w:hAnsi="Times New Roman"/>
          <w:sz w:val="24"/>
          <w:szCs w:val="24"/>
          <w:rtl w:val="0"/>
          <w:lang w:val="en-US"/>
        </w:rPr>
      </w:pPr>
      <w:r>
        <w:rPr>
          <w:rStyle w:val="Egyik sem"/>
          <w:rFonts w:ascii="Times New Roman" w:hAnsi="Times New Roman"/>
          <w:sz w:val="24"/>
          <w:szCs w:val="24"/>
          <w:rtl w:val="0"/>
          <w:lang w:val="en-US"/>
        </w:rPr>
        <w:t>Maternity units closing or operating with restricted and/or changing opening hours, as the availability of on-call personnel allows.</w:t>
      </w:r>
    </w:p>
    <w:p>
      <w:pPr>
        <w:pStyle w:val="Szövegtörzs A"/>
        <w:spacing w:line="240" w:lineRule="auto"/>
        <w:jc w:val="both"/>
        <w:rPr>
          <w:rStyle w:val="Egyik sem"/>
          <w:rFonts w:ascii="Times New Roman" w:cs="Times New Roman" w:hAnsi="Times New Roman" w:eastAsia="Times New Roman"/>
          <w:sz w:val="24"/>
          <w:szCs w:val="24"/>
        </w:rPr>
      </w:pPr>
      <w:r>
        <w:rPr>
          <w:rStyle w:val="Egyik sem"/>
          <w:rFonts w:ascii="Times New Roman" w:hAnsi="Times New Roman"/>
          <w:sz w:val="24"/>
          <w:szCs w:val="24"/>
          <w:rtl w:val="0"/>
          <w:lang w:val="en-US"/>
        </w:rPr>
        <w:t>Staff shortage and the scarcity of accessible services is a direct threat to the safety of services.  Shrinking access further increases the already existing geographical health inequalities, as rural women already have less choice in their health care, less services available and at a larger distance.</w:t>
      </w:r>
      <w:r>
        <w:rPr>
          <w:rStyle w:val="Egyik sem"/>
          <w:rFonts w:ascii="Times New Roman" w:hAnsi="Times New Roman" w:hint="default"/>
          <w:sz w:val="24"/>
          <w:szCs w:val="24"/>
          <w:rtl w:val="0"/>
          <w:lang w:val="en-US"/>
        </w:rPr>
        <w:t>  </w:t>
      </w:r>
    </w:p>
    <w:p>
      <w:pPr>
        <w:pStyle w:val="Szövegtörzs A"/>
        <w:spacing w:line="240" w:lineRule="auto"/>
        <w:rPr>
          <w:rStyle w:val="Egyik sem"/>
          <w:rFonts w:ascii="Times New Roman" w:cs="Times New Roman" w:hAnsi="Times New Roman" w:eastAsia="Times New Roman"/>
          <w:sz w:val="24"/>
          <w:szCs w:val="24"/>
        </w:rPr>
      </w:pPr>
    </w:p>
    <w:p>
      <w:pPr>
        <w:pStyle w:val="Szövegtörzs A"/>
        <w:spacing w:line="240" w:lineRule="auto"/>
        <w:rPr>
          <w:rStyle w:val="Egyik sem"/>
          <w:rFonts w:ascii="Times New Roman" w:cs="Times New Roman" w:hAnsi="Times New Roman" w:eastAsia="Times New Roman"/>
          <w:i w:val="1"/>
          <w:iCs w:val="1"/>
          <w:sz w:val="24"/>
          <w:szCs w:val="24"/>
        </w:rPr>
      </w:pPr>
      <w:r>
        <w:rPr>
          <w:rStyle w:val="Egyik sem"/>
          <w:rFonts w:ascii="Times New Roman" w:hAnsi="Times New Roman"/>
          <w:i w:val="1"/>
          <w:iCs w:val="1"/>
          <w:sz w:val="24"/>
          <w:szCs w:val="24"/>
          <w:rtl w:val="0"/>
          <w:lang w:val="en-US"/>
        </w:rPr>
        <w:t>Recommendations:</w:t>
      </w:r>
    </w:p>
    <w:p>
      <w:pPr>
        <w:pStyle w:val="Szövegtörzs A"/>
        <w:numPr>
          <w:ilvl w:val="0"/>
          <w:numId w:val="26"/>
        </w:numPr>
        <w:bidi w:val="0"/>
        <w:spacing w:line="240" w:lineRule="auto"/>
        <w:ind w:right="0"/>
        <w:jc w:val="both"/>
        <w:rPr>
          <w:rFonts w:ascii="Times New Roman" w:hAnsi="Times New Roman"/>
          <w:i w:val="1"/>
          <w:iCs w:val="1"/>
          <w:sz w:val="24"/>
          <w:szCs w:val="24"/>
          <w:rtl w:val="0"/>
          <w:lang w:val="en-US"/>
        </w:rPr>
      </w:pPr>
      <w:r>
        <w:rPr>
          <w:rStyle w:val="Egyik sem"/>
          <w:rFonts w:ascii="Times New Roman" w:hAnsi="Times New Roman"/>
          <w:i w:val="1"/>
          <w:iCs w:val="1"/>
          <w:sz w:val="24"/>
          <w:szCs w:val="24"/>
          <w:rtl w:val="0"/>
          <w:lang w:val="en-US"/>
        </w:rPr>
        <w:t>Improve the quality of and women</w:t>
      </w:r>
      <w:r>
        <w:rPr>
          <w:rStyle w:val="Egyik sem"/>
          <w:rFonts w:ascii="Times New Roman" w:hAnsi="Times New Roman" w:hint="default"/>
          <w:i w:val="1"/>
          <w:iCs w:val="1"/>
          <w:sz w:val="24"/>
          <w:szCs w:val="24"/>
          <w:rtl w:val="0"/>
          <w:lang w:val="en-US"/>
        </w:rPr>
        <w:t>’</w:t>
      </w:r>
      <w:r>
        <w:rPr>
          <w:rStyle w:val="Egyik sem"/>
          <w:rFonts w:ascii="Times New Roman" w:hAnsi="Times New Roman"/>
          <w:i w:val="1"/>
          <w:iCs w:val="1"/>
          <w:sz w:val="24"/>
          <w:szCs w:val="24"/>
          <w:rtl w:val="0"/>
          <w:lang w:val="en-US"/>
        </w:rPr>
        <w:t>s access to sexual and reproductive health services, including those related to birthing, especially for women belonging to disadvantaged groups.</w:t>
      </w:r>
    </w:p>
    <w:p>
      <w:pPr>
        <w:pStyle w:val="Szövegtörzs A"/>
        <w:numPr>
          <w:ilvl w:val="0"/>
          <w:numId w:val="26"/>
        </w:numPr>
        <w:bidi w:val="0"/>
        <w:spacing w:line="240" w:lineRule="auto"/>
        <w:ind w:right="0"/>
        <w:jc w:val="both"/>
        <w:rPr>
          <w:rFonts w:ascii="Times New Roman" w:hAnsi="Times New Roman"/>
          <w:i w:val="1"/>
          <w:iCs w:val="1"/>
          <w:sz w:val="24"/>
          <w:szCs w:val="24"/>
          <w:rtl w:val="0"/>
          <w:lang w:val="en-US"/>
        </w:rPr>
      </w:pPr>
      <w:r>
        <w:rPr>
          <w:rStyle w:val="Egyik sem"/>
          <w:rFonts w:ascii="Times New Roman" w:hAnsi="Times New Roman"/>
          <w:i w:val="1"/>
          <w:iCs w:val="1"/>
          <w:sz w:val="24"/>
          <w:szCs w:val="24"/>
          <w:rtl w:val="0"/>
          <w:lang w:val="en-US"/>
        </w:rPr>
        <w:t>Take measures to provide adequate and respectful care during birthing (e.g. respecting women</w:t>
      </w:r>
      <w:r>
        <w:rPr>
          <w:rStyle w:val="Egyik sem"/>
          <w:rFonts w:ascii="Times New Roman" w:hAnsi="Times New Roman" w:hint="default"/>
          <w:i w:val="1"/>
          <w:iCs w:val="1"/>
          <w:sz w:val="24"/>
          <w:szCs w:val="24"/>
          <w:rtl w:val="0"/>
          <w:lang w:val="en-US"/>
        </w:rPr>
        <w:t>’</w:t>
      </w:r>
      <w:r>
        <w:rPr>
          <w:rStyle w:val="Egyik sem"/>
          <w:rFonts w:ascii="Times New Roman" w:hAnsi="Times New Roman"/>
          <w:i w:val="1"/>
          <w:iCs w:val="1"/>
          <w:sz w:val="24"/>
          <w:szCs w:val="24"/>
          <w:rtl w:val="0"/>
          <w:lang w:val="en-US"/>
        </w:rPr>
        <w:t xml:space="preserve">s bodily autonomy, avoiding unnecessary medical intervention (e.g. episiotomies), the provision of the </w:t>
      </w:r>
      <w:r>
        <w:rPr>
          <w:rStyle w:val="Egyik sem"/>
          <w:rFonts w:ascii="Times New Roman" w:hAnsi="Times New Roman" w:hint="default"/>
          <w:i w:val="1"/>
          <w:iCs w:val="1"/>
          <w:sz w:val="24"/>
          <w:szCs w:val="24"/>
          <w:rtl w:val="0"/>
          <w:lang w:val="en-US"/>
        </w:rPr>
        <w:t>‘</w:t>
      </w:r>
      <w:r>
        <w:rPr>
          <w:rStyle w:val="Egyik sem"/>
          <w:rFonts w:ascii="Times New Roman" w:hAnsi="Times New Roman"/>
          <w:i w:val="1"/>
          <w:iCs w:val="1"/>
          <w:sz w:val="24"/>
          <w:szCs w:val="24"/>
          <w:rtl w:val="0"/>
          <w:lang w:val="en-US"/>
        </w:rPr>
        <w:t>golden hour</w:t>
      </w:r>
      <w:r>
        <w:rPr>
          <w:rStyle w:val="Egyik sem"/>
          <w:rFonts w:ascii="Times New Roman" w:hAnsi="Times New Roman" w:hint="default"/>
          <w:i w:val="1"/>
          <w:iCs w:val="1"/>
          <w:sz w:val="24"/>
          <w:szCs w:val="24"/>
          <w:rtl w:val="0"/>
          <w:lang w:val="en-US"/>
        </w:rPr>
        <w:t xml:space="preserve">’ </w:t>
      </w:r>
      <w:r>
        <w:rPr>
          <w:rStyle w:val="Egyik sem"/>
          <w:rFonts w:ascii="Times New Roman" w:hAnsi="Times New Roman"/>
          <w:i w:val="1"/>
          <w:iCs w:val="1"/>
          <w:sz w:val="24"/>
          <w:szCs w:val="24"/>
          <w:rtl w:val="0"/>
          <w:lang w:val="en-US"/>
        </w:rPr>
        <w:t>between mother and child). Take effective measures to address and prevent obstetric violence, adequately investigate cases of such violence, and provide remedy for the victims.</w:t>
      </w:r>
    </w:p>
    <w:p>
      <w:pPr>
        <w:pStyle w:val="Szövegtörzs A"/>
        <w:numPr>
          <w:ilvl w:val="0"/>
          <w:numId w:val="26"/>
        </w:numPr>
        <w:bidi w:val="0"/>
        <w:spacing w:line="240" w:lineRule="auto"/>
        <w:ind w:right="0"/>
        <w:jc w:val="both"/>
        <w:rPr>
          <w:rFonts w:ascii="Times New Roman" w:hAnsi="Times New Roman"/>
          <w:i w:val="1"/>
          <w:iCs w:val="1"/>
          <w:sz w:val="24"/>
          <w:szCs w:val="24"/>
          <w:rtl w:val="0"/>
          <w:lang w:val="en-US"/>
        </w:rPr>
      </w:pPr>
      <w:r>
        <w:rPr>
          <w:rStyle w:val="Egyik sem"/>
          <w:rFonts w:ascii="Times New Roman" w:hAnsi="Times New Roman"/>
          <w:i w:val="1"/>
          <w:iCs w:val="1"/>
          <w:sz w:val="24"/>
          <w:szCs w:val="24"/>
          <w:rtl w:val="0"/>
          <w:lang w:val="en-US"/>
        </w:rPr>
        <w:t>Take measures to provide adequate access to affordable contraceptives, including emergency contraception, available to all women, e.g. by providing state subsidy, and without prescription.</w:t>
      </w:r>
    </w:p>
    <w:p>
      <w:pPr>
        <w:pStyle w:val="Szövegtörzs A"/>
        <w:numPr>
          <w:ilvl w:val="0"/>
          <w:numId w:val="26"/>
        </w:numPr>
        <w:bidi w:val="0"/>
        <w:spacing w:line="240" w:lineRule="auto"/>
        <w:ind w:right="0"/>
        <w:jc w:val="both"/>
        <w:rPr>
          <w:rFonts w:ascii="Times New Roman" w:hAnsi="Times New Roman"/>
          <w:i w:val="1"/>
          <w:iCs w:val="1"/>
          <w:sz w:val="24"/>
          <w:szCs w:val="24"/>
          <w:rtl w:val="0"/>
          <w:lang w:val="en-US"/>
        </w:rPr>
      </w:pPr>
      <w:r>
        <w:rPr>
          <w:rStyle w:val="Egyik sem"/>
          <w:rFonts w:ascii="Times New Roman" w:hAnsi="Times New Roman"/>
          <w:i w:val="1"/>
          <w:iCs w:val="1"/>
          <w:sz w:val="24"/>
          <w:szCs w:val="24"/>
          <w:rtl w:val="0"/>
          <w:lang w:val="en-US"/>
        </w:rPr>
        <w:t>Introduce measures to ensure that in case of abortion women are not subjected to mandatory counselling and a medically unnecessary waiting period. End the practice of humiliating/guilting women into keeping their pregnancies despite their decision. Repeal the legislation obliging women to be presented with indications of the fetus</w:t>
      </w:r>
      <w:r>
        <w:rPr>
          <w:rStyle w:val="Egyik sem"/>
          <w:rFonts w:ascii="Times New Roman" w:hAnsi="Times New Roman" w:hint="default"/>
          <w:i w:val="1"/>
          <w:iCs w:val="1"/>
          <w:sz w:val="24"/>
          <w:szCs w:val="24"/>
          <w:rtl w:val="0"/>
          <w:lang w:val="en-US"/>
        </w:rPr>
        <w:t xml:space="preserve">’ </w:t>
      </w:r>
      <w:r>
        <w:rPr>
          <w:rStyle w:val="Egyik sem"/>
          <w:rFonts w:ascii="Times New Roman" w:hAnsi="Times New Roman"/>
          <w:i w:val="1"/>
          <w:iCs w:val="1"/>
          <w:sz w:val="24"/>
          <w:szCs w:val="24"/>
          <w:rtl w:val="0"/>
          <w:lang w:val="en-US"/>
        </w:rPr>
        <w:t>vital function.</w:t>
      </w:r>
    </w:p>
    <w:p>
      <w:pPr>
        <w:pStyle w:val="Szövegtörzs A"/>
        <w:numPr>
          <w:ilvl w:val="0"/>
          <w:numId w:val="26"/>
        </w:numPr>
        <w:bidi w:val="0"/>
        <w:spacing w:line="240" w:lineRule="auto"/>
        <w:ind w:right="0"/>
        <w:jc w:val="both"/>
        <w:rPr>
          <w:rFonts w:ascii="Times New Roman" w:hAnsi="Times New Roman"/>
          <w:i w:val="1"/>
          <w:iCs w:val="1"/>
          <w:sz w:val="24"/>
          <w:szCs w:val="24"/>
          <w:rtl w:val="0"/>
          <w:lang w:val="en-US"/>
        </w:rPr>
      </w:pPr>
      <w:r>
        <w:rPr>
          <w:rStyle w:val="Egyik sem"/>
          <w:rFonts w:ascii="Times New Roman" w:hAnsi="Times New Roman"/>
          <w:i w:val="1"/>
          <w:iCs w:val="1"/>
          <w:sz w:val="24"/>
          <w:szCs w:val="24"/>
          <w:rtl w:val="0"/>
          <w:lang w:val="en-US"/>
        </w:rPr>
        <w:t>Make medical abortion accessible.</w:t>
      </w:r>
    </w:p>
    <w:p>
      <w:pPr>
        <w:pStyle w:val="Szövegtörzs A"/>
        <w:numPr>
          <w:ilvl w:val="0"/>
          <w:numId w:val="26"/>
        </w:numPr>
        <w:bidi w:val="0"/>
        <w:spacing w:line="240" w:lineRule="auto"/>
        <w:ind w:right="0"/>
        <w:jc w:val="both"/>
        <w:rPr>
          <w:rFonts w:ascii="Times New Roman" w:hAnsi="Times New Roman"/>
          <w:i w:val="1"/>
          <w:iCs w:val="1"/>
          <w:sz w:val="24"/>
          <w:szCs w:val="24"/>
          <w:rtl w:val="0"/>
          <w:lang w:val="en-US"/>
        </w:rPr>
      </w:pPr>
      <w:r>
        <w:rPr>
          <w:rStyle w:val="Egyik sem"/>
          <w:rFonts w:ascii="Times New Roman" w:hAnsi="Times New Roman"/>
          <w:i w:val="1"/>
          <w:iCs w:val="1"/>
          <w:sz w:val="24"/>
          <w:szCs w:val="24"/>
          <w:rtl w:val="0"/>
          <w:lang w:val="en-US"/>
        </w:rPr>
        <w:t>Provide meaningful training for health care staff on women</w:t>
      </w:r>
      <w:r>
        <w:rPr>
          <w:rStyle w:val="Egyik sem"/>
          <w:rFonts w:ascii="Times New Roman" w:hAnsi="Times New Roman" w:hint="default"/>
          <w:i w:val="1"/>
          <w:iCs w:val="1"/>
          <w:sz w:val="24"/>
          <w:szCs w:val="24"/>
          <w:rtl w:val="0"/>
          <w:lang w:val="en-US"/>
        </w:rPr>
        <w:t>’</w:t>
      </w:r>
      <w:r>
        <w:rPr>
          <w:rStyle w:val="Egyik sem"/>
          <w:rFonts w:ascii="Times New Roman" w:hAnsi="Times New Roman"/>
          <w:i w:val="1"/>
          <w:iCs w:val="1"/>
          <w:sz w:val="24"/>
          <w:szCs w:val="24"/>
          <w:rtl w:val="0"/>
          <w:lang w:val="en-US"/>
        </w:rPr>
        <w:t xml:space="preserve">s reproductive rights.  </w:t>
      </w:r>
    </w:p>
    <w:p>
      <w:pPr>
        <w:pStyle w:val="Szövegtörzs A"/>
        <w:spacing w:line="240" w:lineRule="auto"/>
        <w:ind w:left="720" w:firstLine="0"/>
        <w:rPr>
          <w:rStyle w:val="Egyik sem"/>
          <w:rFonts w:ascii="Times New Roman" w:cs="Times New Roman" w:hAnsi="Times New Roman" w:eastAsia="Times New Roman"/>
          <w:sz w:val="24"/>
          <w:szCs w:val="24"/>
        </w:rPr>
      </w:pPr>
    </w:p>
    <w:p>
      <w:pPr>
        <w:pStyle w:val="Szövegtörzs A"/>
        <w:spacing w:line="240" w:lineRule="auto"/>
        <w:ind w:left="720" w:firstLine="0"/>
        <w:rPr>
          <w:rStyle w:val="Egyik sem"/>
          <w:rFonts w:ascii="Times New Roman" w:cs="Times New Roman" w:hAnsi="Times New Roman" w:eastAsia="Times New Roman"/>
          <w:sz w:val="24"/>
          <w:szCs w:val="24"/>
        </w:rPr>
      </w:pPr>
    </w:p>
    <w:p>
      <w:pPr>
        <w:pStyle w:val="Szövegtörzs A"/>
        <w:spacing w:line="240" w:lineRule="auto"/>
        <w:rPr>
          <w:rStyle w:val="Egyik sem"/>
          <w:rFonts w:ascii="Times New Roman" w:cs="Times New Roman" w:hAnsi="Times New Roman" w:eastAsia="Times New Roman"/>
          <w:b w:val="1"/>
          <w:bCs w:val="1"/>
          <w:sz w:val="24"/>
          <w:szCs w:val="24"/>
        </w:rPr>
      </w:pPr>
      <w:r>
        <w:rPr>
          <w:rStyle w:val="Egyik sem"/>
          <w:rFonts w:ascii="Times New Roman" w:hAnsi="Times New Roman"/>
          <w:b w:val="1"/>
          <w:bCs w:val="1"/>
          <w:sz w:val="24"/>
          <w:szCs w:val="24"/>
          <w:rtl w:val="0"/>
          <w:lang w:val="en-US"/>
        </w:rPr>
        <w:t>Article 16 - Elimination of discrimination against women in marriage and family relations</w:t>
      </w:r>
    </w:p>
    <w:p>
      <w:pPr>
        <w:pStyle w:val="Szövegtörzs A"/>
        <w:spacing w:line="240" w:lineRule="auto"/>
        <w:rPr>
          <w:rStyle w:val="Egyik sem"/>
          <w:rFonts w:ascii="Times New Roman" w:cs="Times New Roman" w:hAnsi="Times New Roman" w:eastAsia="Times New Roman"/>
          <w:sz w:val="24"/>
          <w:szCs w:val="24"/>
        </w:rPr>
      </w:pPr>
    </w:p>
    <w:p>
      <w:pPr>
        <w:pStyle w:val="Szövegtörzs A"/>
        <w:spacing w:line="240" w:lineRule="auto"/>
        <w:jc w:val="both"/>
        <w:rPr>
          <w:rStyle w:val="Egyik sem"/>
          <w:rFonts w:ascii="Times New Roman" w:cs="Times New Roman" w:hAnsi="Times New Roman" w:eastAsia="Times New Roman"/>
          <w:sz w:val="24"/>
          <w:szCs w:val="24"/>
        </w:rPr>
      </w:pPr>
      <w:r>
        <w:rPr>
          <w:rStyle w:val="Egyik sem"/>
          <w:rFonts w:ascii="Times New Roman" w:hAnsi="Times New Roman"/>
          <w:sz w:val="24"/>
          <w:szCs w:val="24"/>
          <w:rtl w:val="0"/>
          <w:lang w:val="en-US"/>
        </w:rPr>
        <w:t xml:space="preserve">In 2020, the regulation for adoption was restricted significantly. On the one hand, as opposed to the previous regulation, priority was introduced to married couples. In case no married couples can be found in the scope of its territory, then in the whole country, the relevant authority may consider adoption by single persons, but only if it is </w:t>
      </w:r>
      <w:r>
        <w:rPr>
          <w:rStyle w:val="Egyik sem"/>
          <w:rFonts w:ascii="Times New Roman" w:hAnsi="Times New Roman" w:hint="default"/>
          <w:sz w:val="24"/>
          <w:szCs w:val="24"/>
          <w:rtl w:val="0"/>
          <w:lang w:val="en-US"/>
        </w:rPr>
        <w:t>“</w:t>
      </w:r>
      <w:r>
        <w:rPr>
          <w:rStyle w:val="Egyik sem"/>
          <w:rFonts w:ascii="Times New Roman" w:hAnsi="Times New Roman"/>
          <w:sz w:val="24"/>
          <w:szCs w:val="24"/>
          <w:rtl w:val="0"/>
          <w:lang w:val="en-US"/>
        </w:rPr>
        <w:t>in the interest of the child</w:t>
      </w:r>
      <w:r>
        <w:rPr>
          <w:rStyle w:val="Egyik sem"/>
          <w:rFonts w:ascii="Times New Roman" w:hAnsi="Times New Roman" w:hint="default"/>
          <w:sz w:val="24"/>
          <w:szCs w:val="24"/>
          <w:rtl w:val="0"/>
          <w:lang w:val="en-US"/>
        </w:rPr>
        <w:t>”</w:t>
      </w:r>
      <w:r>
        <w:rPr>
          <w:rStyle w:val="Egyik sem"/>
          <w:rFonts w:ascii="Times New Roman" w:hAnsi="Times New Roman"/>
          <w:sz w:val="24"/>
          <w:szCs w:val="24"/>
          <w:rtl w:val="0"/>
        </w:rPr>
        <w:t>.</w:t>
      </w:r>
      <w:r>
        <w:rPr>
          <w:rStyle w:val="Egyik sem"/>
          <w:rFonts w:ascii="Times New Roman" w:cs="Times New Roman" w:hAnsi="Times New Roman" w:eastAsia="Times New Roman"/>
          <w:sz w:val="24"/>
          <w:szCs w:val="24"/>
          <w:vertAlign w:val="superscript"/>
        </w:rPr>
        <w:footnoteReference w:id="48"/>
      </w:r>
      <w:r>
        <w:rPr>
          <w:rStyle w:val="Egyik sem"/>
          <w:rFonts w:ascii="Times New Roman" w:hAnsi="Times New Roman"/>
          <w:sz w:val="24"/>
          <w:szCs w:val="24"/>
          <w:rtl w:val="0"/>
        </w:rPr>
        <w:t xml:space="preserve"> </w:t>
      </w:r>
    </w:p>
    <w:p>
      <w:pPr>
        <w:pStyle w:val="Szövegtörzs A"/>
        <w:spacing w:line="240" w:lineRule="auto"/>
        <w:jc w:val="both"/>
        <w:rPr>
          <w:rStyle w:val="Egyik sem"/>
          <w:rFonts w:ascii="Times New Roman" w:cs="Times New Roman" w:hAnsi="Times New Roman" w:eastAsia="Times New Roman"/>
          <w:sz w:val="24"/>
          <w:szCs w:val="24"/>
        </w:rPr>
      </w:pPr>
      <w:r>
        <w:rPr>
          <w:rStyle w:val="Egyik sem"/>
          <w:rFonts w:ascii="Times New Roman" w:hAnsi="Times New Roman"/>
          <w:sz w:val="24"/>
          <w:szCs w:val="24"/>
          <w:rtl w:val="0"/>
          <w:lang w:val="en-US"/>
        </w:rPr>
        <w:t>In addition, the Civil Code was modified in 2020 (entering into force in March 2021), to further restrict adoption for non-married persons. As a main rule, a child can be adopted only by spouses. An exception to this rule is when a relative or the parent</w:t>
      </w:r>
      <w:r>
        <w:rPr>
          <w:rStyle w:val="Egyik sem"/>
          <w:rFonts w:ascii="Times New Roman" w:hAnsi="Times New Roman" w:hint="default"/>
          <w:sz w:val="24"/>
          <w:szCs w:val="24"/>
          <w:rtl w:val="0"/>
          <w:lang w:val="en-US"/>
        </w:rPr>
        <w:t>’</w:t>
      </w:r>
      <w:r>
        <w:rPr>
          <w:rStyle w:val="Egyik sem"/>
          <w:rFonts w:ascii="Times New Roman" w:hAnsi="Times New Roman"/>
          <w:sz w:val="24"/>
          <w:szCs w:val="24"/>
          <w:rtl w:val="0"/>
          <w:lang w:val="en-US"/>
        </w:rPr>
        <w:t>s spouse will adopt; in addition, exceptionally, in cases deserving of special consideration, eligibility of single persons for adoption can be established.</w:t>
      </w:r>
      <w:r>
        <w:rPr>
          <w:rStyle w:val="Egyik sem"/>
          <w:rFonts w:ascii="Times New Roman" w:cs="Times New Roman" w:hAnsi="Times New Roman" w:eastAsia="Times New Roman"/>
          <w:sz w:val="24"/>
          <w:szCs w:val="24"/>
          <w:vertAlign w:val="superscript"/>
        </w:rPr>
        <w:footnoteReference w:id="49"/>
      </w:r>
      <w:r>
        <w:rPr>
          <w:rStyle w:val="Egyik sem"/>
          <w:rFonts w:ascii="Times New Roman" w:hAnsi="Times New Roman"/>
          <w:sz w:val="24"/>
          <w:szCs w:val="24"/>
          <w:rtl w:val="0"/>
          <w:lang w:val="en-US"/>
        </w:rPr>
        <w:t xml:space="preserve"> In these cases currently the minister </w:t>
      </w:r>
      <w:r>
        <w:rPr>
          <w:rStyle w:val="Egyik sem"/>
          <w:rFonts w:ascii="Times New Roman" w:hAnsi="Times New Roman"/>
          <w:sz w:val="24"/>
          <w:szCs w:val="24"/>
          <w:rtl w:val="0"/>
          <w:lang w:val="en-US"/>
        </w:rPr>
        <w:t xml:space="preserve">responsible </w:t>
      </w:r>
      <w:r>
        <w:rPr>
          <w:rStyle w:val="Egyik sem"/>
          <w:rFonts w:ascii="Times New Roman" w:hAnsi="Times New Roman"/>
          <w:sz w:val="24"/>
          <w:szCs w:val="24"/>
          <w:rtl w:val="0"/>
          <w:lang w:val="en-US"/>
        </w:rPr>
        <w:t xml:space="preserve">for child and youth policy, who is the </w:t>
      </w:r>
      <w:r>
        <w:rPr>
          <w:rStyle w:val="Egyik sem"/>
          <w:rFonts w:ascii="Times New Roman" w:hAnsi="Times New Roman"/>
          <w:sz w:val="24"/>
          <w:szCs w:val="24"/>
          <w:rtl w:val="0"/>
          <w:lang w:val="en-US"/>
        </w:rPr>
        <w:t>M</w:t>
      </w:r>
      <w:r>
        <w:rPr>
          <w:rStyle w:val="Egyik sem"/>
          <w:rFonts w:ascii="Times New Roman" w:hAnsi="Times New Roman"/>
          <w:sz w:val="24"/>
          <w:szCs w:val="24"/>
          <w:rtl w:val="0"/>
          <w:lang w:val="en-US"/>
        </w:rPr>
        <w:t xml:space="preserve">inister of </w:t>
      </w:r>
      <w:r>
        <w:rPr>
          <w:rStyle w:val="Egyik sem"/>
          <w:rFonts w:ascii="Times New Roman" w:hAnsi="Times New Roman"/>
          <w:sz w:val="24"/>
          <w:szCs w:val="24"/>
          <w:rtl w:val="0"/>
          <w:lang w:val="en-US"/>
        </w:rPr>
        <w:t>Culture and Innovation</w:t>
      </w:r>
      <w:r>
        <w:rPr>
          <w:rStyle w:val="Egyik sem"/>
          <w:rFonts w:ascii="Times New Roman" w:hAnsi="Times New Roman"/>
          <w:sz w:val="24"/>
          <w:szCs w:val="24"/>
          <w:rtl w:val="0"/>
          <w:lang w:val="en-US"/>
        </w:rPr>
        <w:t>, is authorized to personally give such permission.</w:t>
      </w:r>
      <w:r>
        <w:rPr>
          <w:rStyle w:val="Egyik sem"/>
          <w:rFonts w:ascii="Times New Roman" w:cs="Times New Roman" w:hAnsi="Times New Roman" w:eastAsia="Times New Roman"/>
          <w:sz w:val="24"/>
          <w:szCs w:val="24"/>
          <w:vertAlign w:val="superscript"/>
        </w:rPr>
        <w:footnoteReference w:id="50"/>
      </w:r>
      <w:r>
        <w:rPr>
          <w:rStyle w:val="Egyik sem"/>
          <w:rFonts w:ascii="Times New Roman" w:hAnsi="Times New Roman"/>
          <w:sz w:val="24"/>
          <w:szCs w:val="24"/>
          <w:rtl w:val="0"/>
        </w:rPr>
        <w:t xml:space="preserve"> </w:t>
      </w:r>
    </w:p>
    <w:p>
      <w:pPr>
        <w:pStyle w:val="Szövegtörzs A"/>
        <w:spacing w:line="240" w:lineRule="auto"/>
        <w:jc w:val="both"/>
        <w:rPr>
          <w:rStyle w:val="Egyik sem"/>
          <w:rFonts w:ascii="Times New Roman" w:cs="Times New Roman" w:hAnsi="Times New Roman" w:eastAsia="Times New Roman"/>
          <w:sz w:val="24"/>
          <w:szCs w:val="24"/>
        </w:rPr>
      </w:pPr>
      <w:r>
        <w:rPr>
          <w:rStyle w:val="Egyik sem"/>
          <w:rFonts w:ascii="Times New Roman" w:hAnsi="Times New Roman"/>
          <w:sz w:val="24"/>
          <w:szCs w:val="24"/>
          <w:rtl w:val="0"/>
          <w:lang w:val="en-US"/>
        </w:rPr>
        <w:t>These new regulations among others have negatively affected single women as well as women - or other couples - living in intimate partnership other than marriage who intend to adopt a child.</w:t>
      </w:r>
    </w:p>
    <w:p>
      <w:pPr>
        <w:pStyle w:val="Szövegtörzs A"/>
        <w:spacing w:line="240" w:lineRule="auto"/>
        <w:jc w:val="both"/>
        <w:rPr>
          <w:rStyle w:val="Egyik sem"/>
          <w:rFonts w:ascii="Times New Roman" w:cs="Times New Roman" w:hAnsi="Times New Roman" w:eastAsia="Times New Roman"/>
          <w:sz w:val="24"/>
          <w:szCs w:val="24"/>
        </w:rPr>
      </w:pPr>
    </w:p>
    <w:p>
      <w:pPr>
        <w:pStyle w:val="Szövegtörzs A"/>
        <w:spacing w:line="240" w:lineRule="auto"/>
        <w:jc w:val="both"/>
        <w:rPr>
          <w:rStyle w:val="Egyik sem"/>
          <w:rFonts w:ascii="Times New Roman" w:cs="Times New Roman" w:hAnsi="Times New Roman" w:eastAsia="Times New Roman"/>
          <w:sz w:val="24"/>
          <w:szCs w:val="24"/>
        </w:rPr>
      </w:pPr>
      <w:r>
        <w:rPr>
          <w:rStyle w:val="Egyik sem"/>
          <w:rFonts w:ascii="Times New Roman" w:hAnsi="Times New Roman"/>
          <w:sz w:val="24"/>
          <w:szCs w:val="24"/>
          <w:rtl w:val="0"/>
          <w:lang w:val="en-US"/>
        </w:rPr>
        <w:t xml:space="preserve">The government introduced several measures in family policy with the aim of incentivising marriage, joint loans tying spouses together, and of encouraging the decision to have children. The related package is called the Family Protection Action Plan. In this framework, in 2019, a seven-point program was announced, as </w:t>
      </w:r>
      <w:r>
        <w:rPr>
          <w:rStyle w:val="Egyik sem"/>
          <w:rFonts w:ascii="Times New Roman" w:hAnsi="Times New Roman" w:hint="default"/>
          <w:sz w:val="24"/>
          <w:szCs w:val="24"/>
          <w:rtl w:val="0"/>
          <w:lang w:val="en-US"/>
        </w:rPr>
        <w:t>“</w:t>
      </w:r>
      <w:r>
        <w:rPr>
          <w:rStyle w:val="Egyik sem"/>
          <w:rFonts w:ascii="Times New Roman" w:hAnsi="Times New Roman"/>
          <w:sz w:val="24"/>
          <w:szCs w:val="24"/>
          <w:rtl w:val="0"/>
        </w:rPr>
        <w:t>Hungary</w:t>
      </w:r>
      <w:r>
        <w:rPr>
          <w:rStyle w:val="Egyik sem"/>
          <w:rFonts w:ascii="Times New Roman" w:hAnsi="Times New Roman" w:hint="default"/>
          <w:sz w:val="24"/>
          <w:szCs w:val="24"/>
          <w:rtl w:val="0"/>
          <w:lang w:val="en-US"/>
        </w:rPr>
        <w:t>’</w:t>
      </w:r>
      <w:r>
        <w:rPr>
          <w:rStyle w:val="Egyik sem"/>
          <w:rFonts w:ascii="Times New Roman" w:hAnsi="Times New Roman"/>
          <w:sz w:val="24"/>
          <w:szCs w:val="24"/>
          <w:rtl w:val="0"/>
          <w:lang w:val="en-US"/>
        </w:rPr>
        <w:t>s response to demographic decline</w:t>
      </w:r>
      <w:r>
        <w:rPr>
          <w:rStyle w:val="Egyik sem"/>
          <w:rFonts w:ascii="Times New Roman" w:hAnsi="Times New Roman" w:hint="default"/>
          <w:sz w:val="24"/>
          <w:szCs w:val="24"/>
          <w:rtl w:val="0"/>
          <w:lang w:val="en-US"/>
        </w:rPr>
        <w:t>”</w:t>
      </w:r>
      <w:r>
        <w:rPr>
          <w:rStyle w:val="Egyik sem"/>
          <w:rFonts w:ascii="Times New Roman" w:hAnsi="Times New Roman"/>
          <w:sz w:val="24"/>
          <w:szCs w:val="24"/>
          <w:rtl w:val="0"/>
          <w:lang w:val="en-US"/>
        </w:rPr>
        <w:t xml:space="preserve">, that contained the following measures: </w:t>
      </w:r>
    </w:p>
    <w:p>
      <w:pPr>
        <w:pStyle w:val="Szövegtörzs A"/>
        <w:numPr>
          <w:ilvl w:val="0"/>
          <w:numId w:val="28"/>
        </w:numPr>
        <w:bidi w:val="0"/>
        <w:spacing w:line="240" w:lineRule="auto"/>
        <w:ind w:right="0"/>
        <w:jc w:val="both"/>
        <w:rPr>
          <w:rFonts w:ascii="Times New Roman" w:hAnsi="Times New Roman"/>
          <w:sz w:val="24"/>
          <w:szCs w:val="24"/>
          <w:rtl w:val="0"/>
          <w:lang w:val="en-US"/>
        </w:rPr>
      </w:pPr>
      <w:r>
        <w:rPr>
          <w:rStyle w:val="Egyik sem"/>
          <w:rFonts w:ascii="Times New Roman" w:hAnsi="Times New Roman"/>
          <w:sz w:val="24"/>
          <w:szCs w:val="24"/>
          <w:rtl w:val="0"/>
          <w:lang w:val="en-US"/>
        </w:rPr>
        <w:t>preferential loan to women under 40 for their first marriage;</w:t>
      </w:r>
    </w:p>
    <w:p>
      <w:pPr>
        <w:pStyle w:val="Szövegtörzs A"/>
        <w:numPr>
          <w:ilvl w:val="0"/>
          <w:numId w:val="28"/>
        </w:numPr>
        <w:bidi w:val="0"/>
        <w:spacing w:line="240" w:lineRule="auto"/>
        <w:ind w:right="0"/>
        <w:jc w:val="both"/>
        <w:rPr>
          <w:rFonts w:ascii="Times New Roman" w:hAnsi="Times New Roman"/>
          <w:sz w:val="24"/>
          <w:szCs w:val="24"/>
          <w:rtl w:val="0"/>
          <w:lang w:val="en-US"/>
        </w:rPr>
      </w:pPr>
      <w:r>
        <w:rPr>
          <w:rStyle w:val="Egyik sem"/>
          <w:rFonts w:ascii="Times New Roman" w:hAnsi="Times New Roman"/>
          <w:sz w:val="24"/>
          <w:szCs w:val="24"/>
          <w:rtl w:val="0"/>
          <w:lang w:val="en-US"/>
        </w:rPr>
        <w:t>extension of loan program supporting home purchase (CSOK) - allowing purchase of resale homes;</w:t>
      </w:r>
    </w:p>
    <w:p>
      <w:pPr>
        <w:pStyle w:val="Szövegtörzs A"/>
        <w:numPr>
          <w:ilvl w:val="0"/>
          <w:numId w:val="28"/>
        </w:numPr>
        <w:bidi w:val="0"/>
        <w:spacing w:line="240" w:lineRule="auto"/>
        <w:ind w:right="0"/>
        <w:jc w:val="both"/>
        <w:rPr>
          <w:rFonts w:ascii="Times New Roman" w:hAnsi="Times New Roman"/>
          <w:sz w:val="24"/>
          <w:szCs w:val="24"/>
          <w:rtl w:val="0"/>
          <w:lang w:val="en-US"/>
        </w:rPr>
      </w:pPr>
      <w:r>
        <w:rPr>
          <w:rStyle w:val="Egyik sem"/>
          <w:rFonts w:ascii="Times New Roman" w:hAnsi="Times New Roman"/>
          <w:sz w:val="24"/>
          <w:szCs w:val="24"/>
          <w:rtl w:val="0"/>
          <w:lang w:val="en-US"/>
        </w:rPr>
        <w:t>car purchase subsidy for large families;</w:t>
      </w:r>
    </w:p>
    <w:p>
      <w:pPr>
        <w:pStyle w:val="Szövegtörzs A"/>
        <w:numPr>
          <w:ilvl w:val="0"/>
          <w:numId w:val="28"/>
        </w:numPr>
        <w:bidi w:val="0"/>
        <w:spacing w:line="240" w:lineRule="auto"/>
        <w:ind w:right="0"/>
        <w:jc w:val="both"/>
        <w:rPr>
          <w:rFonts w:ascii="Times New Roman" w:hAnsi="Times New Roman"/>
          <w:sz w:val="24"/>
          <w:szCs w:val="24"/>
          <w:rtl w:val="0"/>
          <w:lang w:val="en-US"/>
        </w:rPr>
      </w:pPr>
      <w:r>
        <w:rPr>
          <w:rStyle w:val="Egyik sem"/>
          <w:rFonts w:ascii="Times New Roman" w:hAnsi="Times New Roman"/>
          <w:sz w:val="24"/>
          <w:szCs w:val="24"/>
          <w:rtl w:val="0"/>
          <w:lang w:val="en-US"/>
        </w:rPr>
        <w:t>loan repayment up to 1 million or 4 million forints of the mortgage loan for families with two or more children;</w:t>
      </w:r>
    </w:p>
    <w:p>
      <w:pPr>
        <w:pStyle w:val="Szövegtörzs A"/>
        <w:numPr>
          <w:ilvl w:val="0"/>
          <w:numId w:val="28"/>
        </w:numPr>
        <w:bidi w:val="0"/>
        <w:spacing w:line="240" w:lineRule="auto"/>
        <w:ind w:right="0"/>
        <w:jc w:val="both"/>
        <w:rPr>
          <w:rFonts w:ascii="Times New Roman" w:hAnsi="Times New Roman"/>
          <w:sz w:val="24"/>
          <w:szCs w:val="24"/>
          <w:rtl w:val="0"/>
          <w:lang w:val="en-US"/>
        </w:rPr>
      </w:pPr>
      <w:r>
        <w:rPr>
          <w:rStyle w:val="Egyik sem"/>
          <w:rFonts w:ascii="Times New Roman" w:hAnsi="Times New Roman"/>
          <w:sz w:val="24"/>
          <w:szCs w:val="24"/>
          <w:rtl w:val="0"/>
          <w:lang w:val="en-US"/>
        </w:rPr>
        <w:t xml:space="preserve">a lifetime exemption from personal income tax for women raising at least four children; </w:t>
      </w:r>
    </w:p>
    <w:p>
      <w:pPr>
        <w:pStyle w:val="Szövegtörzs A"/>
        <w:numPr>
          <w:ilvl w:val="0"/>
          <w:numId w:val="28"/>
        </w:numPr>
        <w:bidi w:val="0"/>
        <w:spacing w:line="240" w:lineRule="auto"/>
        <w:ind w:right="0"/>
        <w:jc w:val="both"/>
        <w:rPr>
          <w:rFonts w:ascii="Times New Roman" w:hAnsi="Times New Roman"/>
          <w:sz w:val="24"/>
          <w:szCs w:val="24"/>
          <w:rtl w:val="0"/>
          <w:lang w:val="en-US"/>
        </w:rPr>
      </w:pPr>
      <w:r>
        <w:rPr>
          <w:rStyle w:val="Egyik sem"/>
          <w:rFonts w:ascii="Times New Roman" w:hAnsi="Times New Roman"/>
          <w:sz w:val="24"/>
          <w:szCs w:val="24"/>
          <w:rtl w:val="0"/>
          <w:lang w:val="en-US"/>
        </w:rPr>
        <w:t>pledged establishment of 21,000 new cr</w:t>
      </w:r>
      <w:r>
        <w:rPr>
          <w:rStyle w:val="Egyik sem"/>
          <w:rFonts w:ascii="Times New Roman" w:hAnsi="Times New Roman" w:hint="default"/>
          <w:sz w:val="24"/>
          <w:szCs w:val="24"/>
          <w:rtl w:val="0"/>
          <w:lang w:val="en-US"/>
        </w:rPr>
        <w:t>è</w:t>
      </w:r>
      <w:r>
        <w:rPr>
          <w:rStyle w:val="Egyik sem"/>
          <w:rFonts w:ascii="Times New Roman" w:hAnsi="Times New Roman"/>
          <w:sz w:val="24"/>
          <w:szCs w:val="24"/>
          <w:rtl w:val="0"/>
          <w:lang w:val="en-US"/>
        </w:rPr>
        <w:t>ches places over three years;</w:t>
      </w:r>
    </w:p>
    <w:p>
      <w:pPr>
        <w:pStyle w:val="Szövegtörzs A"/>
        <w:numPr>
          <w:ilvl w:val="0"/>
          <w:numId w:val="28"/>
        </w:numPr>
        <w:bidi w:val="0"/>
        <w:spacing w:line="240" w:lineRule="auto"/>
        <w:ind w:right="0"/>
        <w:jc w:val="both"/>
        <w:rPr>
          <w:rFonts w:ascii="Times New Roman" w:hAnsi="Times New Roman"/>
          <w:sz w:val="24"/>
          <w:szCs w:val="24"/>
          <w:rtl w:val="0"/>
          <w:lang w:val="en-US"/>
        </w:rPr>
      </w:pPr>
      <w:r>
        <w:rPr>
          <w:rStyle w:val="Egyik sem"/>
          <w:rFonts w:ascii="Times New Roman" w:hAnsi="Times New Roman"/>
          <w:sz w:val="24"/>
          <w:szCs w:val="24"/>
          <w:rtl w:val="0"/>
          <w:lang w:val="en-US"/>
        </w:rPr>
        <w:t>subsidized parental leave for grandparents looking after young children.</w:t>
      </w:r>
      <w:r>
        <w:rPr>
          <w:rStyle w:val="Egyik sem"/>
          <w:rFonts w:ascii="Times New Roman" w:cs="Times New Roman" w:hAnsi="Times New Roman" w:eastAsia="Times New Roman"/>
          <w:sz w:val="24"/>
          <w:szCs w:val="24"/>
          <w:vertAlign w:val="superscript"/>
        </w:rPr>
        <w:footnoteReference w:id="51"/>
      </w:r>
    </w:p>
    <w:p>
      <w:pPr>
        <w:pStyle w:val="Szövegtörzs A"/>
        <w:spacing w:line="240" w:lineRule="auto"/>
        <w:jc w:val="both"/>
        <w:rPr>
          <w:rStyle w:val="Egyik sem"/>
          <w:rFonts w:ascii="Times New Roman" w:cs="Times New Roman" w:hAnsi="Times New Roman" w:eastAsia="Times New Roman"/>
          <w:sz w:val="24"/>
          <w:szCs w:val="24"/>
        </w:rPr>
      </w:pPr>
    </w:p>
    <w:p>
      <w:pPr>
        <w:pStyle w:val="Szövegtörzs A"/>
        <w:spacing w:line="240" w:lineRule="auto"/>
        <w:jc w:val="both"/>
        <w:rPr>
          <w:rStyle w:val="Egyik sem"/>
          <w:rFonts w:ascii="Times New Roman" w:cs="Times New Roman" w:hAnsi="Times New Roman" w:eastAsia="Times New Roman"/>
          <w:sz w:val="24"/>
          <w:szCs w:val="24"/>
        </w:rPr>
      </w:pPr>
      <w:r>
        <w:rPr>
          <w:rStyle w:val="Egyik sem"/>
          <w:rFonts w:ascii="Times New Roman" w:hAnsi="Times New Roman"/>
          <w:sz w:val="24"/>
          <w:szCs w:val="24"/>
          <w:rtl w:val="0"/>
          <w:lang w:val="en-US"/>
        </w:rPr>
        <w:t>In 2020, further measures were announced, that reduced VAT for purchasing new homes, and provide levy exemption for CSOK-based home purchase.</w:t>
      </w:r>
    </w:p>
    <w:p>
      <w:pPr>
        <w:pStyle w:val="Szövegtörzs A"/>
        <w:spacing w:line="240" w:lineRule="auto"/>
        <w:jc w:val="both"/>
        <w:rPr>
          <w:rStyle w:val="Egyik sem"/>
          <w:rFonts w:ascii="Times New Roman" w:cs="Times New Roman" w:hAnsi="Times New Roman" w:eastAsia="Times New Roman"/>
          <w:sz w:val="24"/>
          <w:szCs w:val="24"/>
        </w:rPr>
      </w:pPr>
      <w:r>
        <w:rPr>
          <w:rStyle w:val="Egyik sem"/>
          <w:rFonts w:ascii="Times New Roman" w:hAnsi="Times New Roman"/>
          <w:sz w:val="24"/>
          <w:szCs w:val="24"/>
          <w:rtl w:val="0"/>
          <w:lang w:val="en-US"/>
        </w:rPr>
        <w:t>General critical assessment of this set of measures that it primarily supports families with higher incomes and higher societal status. In contrast: the amount of the universally available family allowance (benefits) - that is 12,200 Hungarian Forint (cca. 34 Euros) in a basic case for one child - has not changed since the year of 2009. This is not remotely enough for even 1 week of covering basic costs for a child.</w:t>
      </w:r>
    </w:p>
    <w:p>
      <w:pPr>
        <w:pStyle w:val="Szövegtörzs A"/>
        <w:spacing w:line="240" w:lineRule="auto"/>
        <w:jc w:val="both"/>
        <w:rPr>
          <w:rStyle w:val="Egyik sem"/>
          <w:rFonts w:ascii="Times New Roman" w:cs="Times New Roman" w:hAnsi="Times New Roman" w:eastAsia="Times New Roman"/>
          <w:sz w:val="24"/>
          <w:szCs w:val="24"/>
        </w:rPr>
      </w:pPr>
      <w:r>
        <w:rPr>
          <w:rStyle w:val="Egyik sem"/>
          <w:rFonts w:ascii="Times New Roman" w:hAnsi="Times New Roman"/>
          <w:sz w:val="24"/>
          <w:szCs w:val="24"/>
          <w:rtl w:val="0"/>
          <w:lang w:val="en-US"/>
        </w:rPr>
        <w:t>There is also a specific point of concern in the Family Protection Action Plan package for women victims of intimate partner violence: the lack of risk assessment and risk-mitigating measures taking violence into account. Resorting to these loans often force women to stay in such relationships due to the possible negative consequences of not meeting the conditions later on. This constitutes significant concern in and of itself, but considering the fact that measures for economic empowerment of women victims of domestic violence are missing in general, and considering the detrimental economic effect of any divorce on women, let alone in the context of abuse, it is even more serious. In addition, single female-headed households with one or more children are severely financially disadvantaged in Hungary, with a lack of adequate measures to support such families.</w:t>
      </w:r>
    </w:p>
    <w:p>
      <w:pPr>
        <w:pStyle w:val="Szövegtörzs A"/>
        <w:spacing w:line="240" w:lineRule="auto"/>
        <w:jc w:val="both"/>
        <w:rPr>
          <w:rStyle w:val="Egyik sem"/>
          <w:rFonts w:ascii="Times New Roman" w:cs="Times New Roman" w:hAnsi="Times New Roman" w:eastAsia="Times New Roman"/>
          <w:sz w:val="24"/>
          <w:szCs w:val="24"/>
        </w:rPr>
      </w:pPr>
      <w:r>
        <w:rPr>
          <w:rStyle w:val="Egyik sem"/>
          <w:rFonts w:ascii="Times New Roman" w:hAnsi="Times New Roman"/>
          <w:sz w:val="23"/>
          <w:szCs w:val="23"/>
          <w:rtl w:val="0"/>
          <w:lang w:val="en-US"/>
        </w:rPr>
        <w:t xml:space="preserve">In 2022, further problems have arisen. </w:t>
      </w:r>
      <w:r>
        <w:rPr>
          <w:rStyle w:val="Egyik sem"/>
          <w:rFonts w:ascii="Times New Roman" w:hAnsi="Times New Roman"/>
          <w:sz w:val="24"/>
          <w:szCs w:val="24"/>
          <w:rtl w:val="0"/>
          <w:lang w:val="en-US"/>
        </w:rPr>
        <w:t>It has already become apparent that the biggest problem is with the CSOK subsidies that are taken for children who have not yet been born. If an unborn committed child isn</w:t>
      </w:r>
      <w:r>
        <w:rPr>
          <w:rStyle w:val="Egyik sem"/>
          <w:rFonts w:ascii="Times New Roman" w:hAnsi="Times New Roman" w:hint="default"/>
          <w:sz w:val="24"/>
          <w:szCs w:val="24"/>
          <w:rtl w:val="0"/>
          <w:lang w:val="en-US"/>
        </w:rPr>
        <w:t>’</w:t>
      </w:r>
      <w:r>
        <w:rPr>
          <w:rStyle w:val="Egyik sem"/>
          <w:rFonts w:ascii="Times New Roman" w:hAnsi="Times New Roman"/>
          <w:sz w:val="24"/>
          <w:szCs w:val="24"/>
          <w:rtl w:val="0"/>
          <w:lang w:val="en-US"/>
        </w:rPr>
        <w:t>t born within the commitment period, the subsidy will have to be repaid with penalty interest, as it will be converted into a high-interest loan. This puts another barrier in the way of women in abusive relationships: not only will they stay in the relationship, but they may also have another child with their abuser because of the terms of the grant. Women face obstacles not only when divorcing but also when moving house: they have to present an official certificate of residence within 90 days of the grant being awarded, and have to live in the subsidised accommodation for 10 years after the payment.</w:t>
      </w:r>
    </w:p>
    <w:p>
      <w:pPr>
        <w:pStyle w:val="Szövegtörzs A"/>
        <w:spacing w:line="240" w:lineRule="auto"/>
        <w:jc w:val="both"/>
        <w:rPr>
          <w:rStyle w:val="Egyik sem"/>
          <w:rFonts w:ascii="Times New Roman" w:cs="Times New Roman" w:hAnsi="Times New Roman" w:eastAsia="Times New Roman"/>
          <w:sz w:val="24"/>
          <w:szCs w:val="24"/>
        </w:rPr>
      </w:pPr>
      <w:r>
        <w:rPr>
          <w:rStyle w:val="Egyik sem"/>
          <w:rFonts w:ascii="Times New Roman" w:hAnsi="Times New Roman"/>
          <w:sz w:val="24"/>
          <w:szCs w:val="24"/>
          <w:rtl w:val="0"/>
          <w:lang w:val="en-US"/>
        </w:rPr>
        <w:t>According to the legislation, the purchase price of a dwelling may not exceed the market value established by the credit institution by more than 20 percent.</w:t>
      </w:r>
      <w:r>
        <w:rPr>
          <w:rStyle w:val="Egyik sem"/>
          <w:rFonts w:ascii="Times New Roman" w:cs="Times New Roman" w:hAnsi="Times New Roman" w:eastAsia="Times New Roman"/>
          <w:sz w:val="24"/>
          <w:szCs w:val="24"/>
          <w:vertAlign w:val="superscript"/>
        </w:rPr>
        <w:footnoteReference w:id="52"/>
      </w:r>
      <w:r>
        <w:rPr>
          <w:rStyle w:val="Egyik sem"/>
          <w:rFonts w:ascii="Times New Roman" w:hAnsi="Times New Roman"/>
          <w:sz w:val="24"/>
          <w:szCs w:val="24"/>
          <w:rtl w:val="0"/>
          <w:lang w:val="en-US"/>
        </w:rPr>
        <w:t xml:space="preserve"> In the past, deviations of more than 20 percent were rare until the property market prices took off. Today, real estate market prices exceed this level. If, after the purchase contract has been signed and the deposit has been transferred, it is found that the two values differ by more than 20 percent, the applicant family may lose the deposit and will not receive the subsidy.</w:t>
      </w:r>
    </w:p>
    <w:p>
      <w:pPr>
        <w:pStyle w:val="Szövegtörzs A"/>
        <w:spacing w:line="240" w:lineRule="auto"/>
        <w:jc w:val="both"/>
        <w:rPr>
          <w:rStyle w:val="Egyik sem"/>
          <w:rFonts w:ascii="Times New Roman" w:cs="Times New Roman" w:hAnsi="Times New Roman" w:eastAsia="Times New Roman"/>
          <w:sz w:val="24"/>
          <w:szCs w:val="24"/>
        </w:rPr>
      </w:pPr>
    </w:p>
    <w:p>
      <w:pPr>
        <w:pStyle w:val="Szövegtörzs A"/>
        <w:spacing w:line="240" w:lineRule="auto"/>
        <w:jc w:val="both"/>
        <w:rPr>
          <w:rStyle w:val="Egyik sem"/>
          <w:rFonts w:ascii="Times New Roman" w:cs="Times New Roman" w:hAnsi="Times New Roman" w:eastAsia="Times New Roman"/>
          <w:sz w:val="24"/>
          <w:szCs w:val="24"/>
        </w:rPr>
      </w:pPr>
      <w:r>
        <w:rPr>
          <w:rStyle w:val="Egyik sem"/>
          <w:rFonts w:ascii="Times New Roman" w:hAnsi="Times New Roman"/>
          <w:sz w:val="24"/>
          <w:szCs w:val="24"/>
          <w:rtl w:val="0"/>
          <w:lang w:val="en-US"/>
        </w:rPr>
        <w:t xml:space="preserve">While the government considers family mainstreaming and demographic increase as priority, it has rather ignored to focus on and emphasize the responsibility and the involvement of fathers into reconciliation between family and professional life, caring and upbringing child(ren). For instance, based on the related EU legislation - the Directive No. 2019/1158 of the European Parliament and of the Council of 20 June 2019 on work-life balance for parents and carers -, Member States were obliged to introduce a minimum of 10 working days paternity leave upon the birth of the child. Hungary (while being delayed transposing the rules by the deadline) provided only the very minimum of 10 days, and granted a related allowance that is questionably considered as a real incentive for taking the leave. </w:t>
      </w:r>
    </w:p>
    <w:p>
      <w:pPr>
        <w:pStyle w:val="Szövegtörzs A"/>
        <w:spacing w:line="240" w:lineRule="auto"/>
        <w:jc w:val="both"/>
        <w:rPr>
          <w:rStyle w:val="Egyik sem"/>
          <w:rFonts w:ascii="Times New Roman" w:cs="Times New Roman" w:hAnsi="Times New Roman" w:eastAsia="Times New Roman"/>
          <w:sz w:val="24"/>
          <w:szCs w:val="24"/>
        </w:rPr>
      </w:pPr>
    </w:p>
    <w:p>
      <w:pPr>
        <w:pStyle w:val="Szövegtörzs A"/>
        <w:spacing w:line="240" w:lineRule="auto"/>
        <w:jc w:val="both"/>
        <w:rPr>
          <w:rStyle w:val="Egyik sem"/>
          <w:rFonts w:ascii="Times New Roman" w:cs="Times New Roman" w:hAnsi="Times New Roman" w:eastAsia="Times New Roman"/>
          <w:sz w:val="24"/>
          <w:szCs w:val="24"/>
        </w:rPr>
      </w:pPr>
      <w:r>
        <w:rPr>
          <w:rStyle w:val="Egyik sem"/>
          <w:rFonts w:ascii="Times New Roman" w:hAnsi="Times New Roman"/>
          <w:sz w:val="24"/>
          <w:szCs w:val="24"/>
          <w:rtl w:val="0"/>
          <w:lang w:val="en-US"/>
        </w:rPr>
        <w:t>According to the law, a child who has reached 16 years of age can get married with the permission of the guardianship authority.</w:t>
      </w:r>
      <w:r>
        <w:rPr>
          <w:rStyle w:val="Egyik sem"/>
          <w:rFonts w:ascii="Times New Roman" w:cs="Times New Roman" w:hAnsi="Times New Roman" w:eastAsia="Times New Roman"/>
          <w:sz w:val="24"/>
          <w:szCs w:val="24"/>
          <w:vertAlign w:val="superscript"/>
        </w:rPr>
        <w:footnoteReference w:id="53"/>
      </w:r>
      <w:r>
        <w:rPr>
          <w:rStyle w:val="Egyik sem"/>
          <w:rFonts w:ascii="Times New Roman" w:hAnsi="Times New Roman"/>
          <w:sz w:val="24"/>
          <w:szCs w:val="24"/>
          <w:rtl w:val="0"/>
          <w:lang w:val="en-US"/>
        </w:rPr>
        <w:t xml:space="preserve"> Previous data shows that child marriages present in Hungary as well, it affects girls in the vast majority of cases (a few hundred per year), with yearly examples of huge age differences.</w:t>
      </w:r>
      <w:r>
        <w:rPr>
          <w:rStyle w:val="Egyik sem"/>
          <w:rFonts w:ascii="Times New Roman" w:cs="Times New Roman" w:hAnsi="Times New Roman" w:eastAsia="Times New Roman"/>
          <w:sz w:val="24"/>
          <w:szCs w:val="24"/>
          <w:vertAlign w:val="superscript"/>
        </w:rPr>
        <w:footnoteReference w:id="54"/>
      </w:r>
    </w:p>
    <w:p>
      <w:pPr>
        <w:pStyle w:val="Szövegtörzs A"/>
        <w:spacing w:line="240" w:lineRule="auto"/>
        <w:jc w:val="both"/>
        <w:rPr>
          <w:rStyle w:val="Egyik sem"/>
          <w:rFonts w:ascii="Times New Roman" w:cs="Times New Roman" w:hAnsi="Times New Roman" w:eastAsia="Times New Roman"/>
          <w:sz w:val="24"/>
          <w:szCs w:val="24"/>
        </w:rPr>
      </w:pPr>
    </w:p>
    <w:p>
      <w:pPr>
        <w:pStyle w:val="Szövegtörzs A"/>
        <w:spacing w:line="240" w:lineRule="auto"/>
        <w:jc w:val="both"/>
        <w:rPr>
          <w:rStyle w:val="Egyik sem"/>
          <w:rFonts w:ascii="Times New Roman" w:cs="Times New Roman" w:hAnsi="Times New Roman" w:eastAsia="Times New Roman"/>
          <w:i w:val="1"/>
          <w:iCs w:val="1"/>
          <w:sz w:val="24"/>
          <w:szCs w:val="24"/>
        </w:rPr>
      </w:pPr>
      <w:r>
        <w:rPr>
          <w:rStyle w:val="Egyik sem"/>
          <w:rFonts w:ascii="Times New Roman" w:hAnsi="Times New Roman"/>
          <w:i w:val="1"/>
          <w:iCs w:val="1"/>
          <w:sz w:val="24"/>
          <w:szCs w:val="24"/>
          <w:rtl w:val="0"/>
          <w:lang w:val="en-US"/>
        </w:rPr>
        <w:t>Recommendations:</w:t>
      </w:r>
    </w:p>
    <w:p>
      <w:pPr>
        <w:pStyle w:val="Szövegtörzs A"/>
        <w:numPr>
          <w:ilvl w:val="0"/>
          <w:numId w:val="30"/>
        </w:numPr>
        <w:bidi w:val="0"/>
        <w:spacing w:line="240" w:lineRule="auto"/>
        <w:ind w:right="0"/>
        <w:jc w:val="both"/>
        <w:rPr>
          <w:rFonts w:ascii="Times New Roman" w:hAnsi="Times New Roman"/>
          <w:i w:val="1"/>
          <w:iCs w:val="1"/>
          <w:sz w:val="24"/>
          <w:szCs w:val="24"/>
          <w:rtl w:val="0"/>
          <w:lang w:val="en-US"/>
        </w:rPr>
      </w:pPr>
      <w:r>
        <w:rPr>
          <w:rStyle w:val="Egyik sem"/>
          <w:rFonts w:ascii="Times New Roman" w:hAnsi="Times New Roman"/>
          <w:i w:val="1"/>
          <w:iCs w:val="1"/>
          <w:sz w:val="24"/>
          <w:szCs w:val="24"/>
          <w:rtl w:val="0"/>
          <w:lang w:val="en-US"/>
        </w:rPr>
        <w:t xml:space="preserve">Review and amend the support framework, legislation and other measures available for families, including both provisions upon child-raising and care, and on social need based aiding. Adapt the level and conditions of measures to the new economic situation. In particular, introduce financial and other measures and programs to improve the situation of women living in poverty, or otherwise with lower income and societal status, and the situation of single mothers, unmarried/divorced mothers and children living with them. </w:t>
      </w:r>
    </w:p>
    <w:p>
      <w:pPr>
        <w:pStyle w:val="Szövegtörzs A"/>
        <w:numPr>
          <w:ilvl w:val="0"/>
          <w:numId w:val="30"/>
        </w:numPr>
        <w:bidi w:val="0"/>
        <w:spacing w:line="240" w:lineRule="auto"/>
        <w:ind w:right="0"/>
        <w:jc w:val="both"/>
        <w:rPr>
          <w:rFonts w:ascii="Times New Roman" w:hAnsi="Times New Roman"/>
          <w:i w:val="1"/>
          <w:iCs w:val="1"/>
          <w:sz w:val="24"/>
          <w:szCs w:val="24"/>
          <w:rtl w:val="0"/>
          <w:lang w:val="en-US"/>
        </w:rPr>
      </w:pPr>
      <w:r>
        <w:rPr>
          <w:rStyle w:val="Egyik sem"/>
          <w:rFonts w:ascii="Times New Roman" w:hAnsi="Times New Roman"/>
          <w:i w:val="1"/>
          <w:iCs w:val="1"/>
          <w:sz w:val="24"/>
          <w:szCs w:val="24"/>
          <w:rtl w:val="0"/>
          <w:lang w:val="en-US"/>
        </w:rPr>
        <w:t>Increase significantly the amount of the family allowance.</w:t>
      </w:r>
    </w:p>
    <w:p>
      <w:pPr>
        <w:pStyle w:val="Szövegtörzs A"/>
        <w:numPr>
          <w:ilvl w:val="0"/>
          <w:numId w:val="30"/>
        </w:numPr>
        <w:bidi w:val="0"/>
        <w:spacing w:line="240" w:lineRule="auto"/>
        <w:ind w:right="0"/>
        <w:jc w:val="both"/>
        <w:rPr>
          <w:rFonts w:ascii="Times New Roman" w:hAnsi="Times New Roman"/>
          <w:i w:val="1"/>
          <w:iCs w:val="1"/>
          <w:sz w:val="24"/>
          <w:szCs w:val="24"/>
          <w:rtl w:val="0"/>
          <w:lang w:val="en-US"/>
        </w:rPr>
      </w:pPr>
      <w:r>
        <w:rPr>
          <w:rStyle w:val="Egyik sem"/>
          <w:rFonts w:ascii="Times New Roman" w:hAnsi="Times New Roman"/>
          <w:i w:val="1"/>
          <w:iCs w:val="1"/>
          <w:sz w:val="24"/>
          <w:szCs w:val="24"/>
          <w:rtl w:val="0"/>
          <w:lang w:val="en-US"/>
        </w:rPr>
        <w:t>Introduce measures to manage any risks for women victims of domestic violence that prevents them from leaving an abusive relationship due to making use of measures provided in the Family Protection Action Plan.</w:t>
      </w:r>
    </w:p>
    <w:p>
      <w:pPr>
        <w:pStyle w:val="Szövegtörzs A"/>
        <w:numPr>
          <w:ilvl w:val="0"/>
          <w:numId w:val="30"/>
        </w:numPr>
        <w:bidi w:val="0"/>
        <w:spacing w:line="240" w:lineRule="auto"/>
        <w:ind w:right="0"/>
        <w:jc w:val="both"/>
        <w:rPr>
          <w:rFonts w:ascii="Times New Roman" w:hAnsi="Times New Roman"/>
          <w:i w:val="1"/>
          <w:iCs w:val="1"/>
          <w:sz w:val="24"/>
          <w:szCs w:val="24"/>
          <w:rtl w:val="0"/>
          <w:lang w:val="en-US"/>
        </w:rPr>
      </w:pPr>
      <w:r>
        <w:rPr>
          <w:rStyle w:val="Egyik sem"/>
          <w:rFonts w:ascii="Times New Roman" w:hAnsi="Times New Roman"/>
          <w:i w:val="1"/>
          <w:iCs w:val="1"/>
          <w:sz w:val="24"/>
          <w:szCs w:val="24"/>
          <w:rtl w:val="0"/>
          <w:lang w:val="en-US"/>
        </w:rPr>
        <w:t>Introduce effective legislative and other measures to guarantee the substantive involvement of fathers into the caring and upbringing of the child.</w:t>
      </w:r>
    </w:p>
    <w:p>
      <w:pPr>
        <w:pStyle w:val="Szövegtörzs A"/>
        <w:numPr>
          <w:ilvl w:val="0"/>
          <w:numId w:val="30"/>
        </w:numPr>
        <w:bidi w:val="0"/>
        <w:spacing w:line="240" w:lineRule="auto"/>
        <w:ind w:right="0"/>
        <w:jc w:val="both"/>
        <w:rPr>
          <w:rFonts w:ascii="Times New Roman" w:hAnsi="Times New Roman"/>
          <w:i w:val="1"/>
          <w:iCs w:val="1"/>
          <w:sz w:val="24"/>
          <w:szCs w:val="24"/>
          <w:rtl w:val="0"/>
          <w:lang w:val="en-US"/>
        </w:rPr>
      </w:pPr>
      <w:r>
        <w:rPr>
          <w:rStyle w:val="Egyik sem"/>
          <w:rFonts w:ascii="Times New Roman" w:hAnsi="Times New Roman"/>
          <w:i w:val="1"/>
          <w:iCs w:val="1"/>
          <w:sz w:val="24"/>
          <w:szCs w:val="24"/>
          <w:rtl w:val="0"/>
          <w:lang w:val="en-US"/>
        </w:rPr>
        <w:t>Increase the legal age of marriage to 18 years.</w:t>
      </w:r>
    </w:p>
    <w:sectPr>
      <w:headerReference w:type="default" r:id="rId4"/>
      <w:headerReference w:type="first" r:id="rId5"/>
      <w:footerReference w:type="default" r:id="rId6"/>
      <w:footerReference w:type="first" r:id="rId7"/>
      <w:pgSz w:w="12240" w:h="15840" w:orient="portrait"/>
      <w:pgMar w:top="1440" w:right="1440" w:bottom="1440" w:left="1440" w:header="720" w:footer="720"/>
      <w:pgNumType w:start="1"/>
      <w:titlePg w:val="1"/>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Szövegtörzs A"/>
      <w:jc w:val="center"/>
    </w:pPr>
    <w:r>
      <w:rPr>
        <w:rStyle w:val="Egyik sem"/>
      </w:rPr>
      <w:fldChar w:fldCharType="begin" w:fldLock="0"/>
    </w:r>
    <w:r>
      <w:rPr>
        <w:rStyle w:val="Egyik sem"/>
      </w:rPr>
      <w:instrText xml:space="preserve"> PAGE </w:instrText>
    </w:r>
    <w:r>
      <w:rPr>
        <w:rStyle w:val="Egyik sem"/>
      </w:rPr>
      <w:fldChar w:fldCharType="separate" w:fldLock="0"/>
    </w:r>
    <w:r>
      <w:rPr>
        <w:rStyle w:val="Egyik sem"/>
      </w:rPr>
    </w:r>
    <w:r>
      <w:rPr>
        <w:rStyle w:val="Egyik sem"/>
      </w:rPr>
      <w:fldChar w:fldCharType="end" w:fldLock="0"/>
    </w:r>
  </w:p>
</w:ftr>
</file>

<file path=word/footer2.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Fejléc és lábléc"/>
      <w:bidi w:val="0"/>
    </w:pPr>
    <w:r/>
  </w:p>
</w:ftr>
</file>

<file path=word/footnotes.xml><?xml version="1.0" encoding="utf-8"?>
<w:footnotes xmlns:w="http://schemas.openxmlformats.org/wordprocessingml/2006/main" xmlns:r="http://schemas.openxmlformats.org/officeDocument/2006/relationships" xmlns:w14="http://schemas.microsoft.com/office/word/2010/wordml" xmlns:wp="http://schemas.openxmlformats.org/drawingml/2006/wordprocessingDrawing" xmlns:m="http://schemas.openxmlformats.org/officeDocument/2006/math">
  <w:footnote w:type="separator" w:id="-1">
    <w:p>
      <w:r>
        <w:separator/>
      </w:r>
    </w:p>
  </w:footnote>
  <w:footnote w:type="continuationSeparator" w:id="0">
    <w:p>
      <w:r>
        <w:continuationSeparator/>
      </w:r>
    </w:p>
  </w:footnote>
  <w:footnote w:type="continuationNotice" w:id="-2">
    <w:p>
      <w:r>
        <w:t/>
      </w:r>
    </w:p>
  </w:footnote>
  <w:footnote w:id="1">
    <w:p>
      <w:pPr>
        <w:pStyle w:val="Szövegtörzs A"/>
        <w:spacing w:line="240" w:lineRule="auto"/>
      </w:pPr>
      <w:r>
        <w:rPr>
          <w:rStyle w:val="Egyik sem"/>
          <w:rFonts w:ascii="Times New Roman" w:cs="Times New Roman" w:hAnsi="Times New Roman" w:eastAsia="Times New Roman"/>
          <w:sz w:val="24"/>
          <w:szCs w:val="24"/>
          <w:vertAlign w:val="superscript"/>
        </w:rPr>
        <w:footnoteRef/>
      </w:r>
      <w:r>
        <w:rPr>
          <w:rStyle w:val="Egyik sem"/>
          <w:rFonts w:ascii="Times New Roman" w:hAnsi="Times New Roman"/>
          <w:sz w:val="20"/>
          <w:szCs w:val="20"/>
          <w:rtl w:val="0"/>
          <w:lang w:val="en-US"/>
        </w:rPr>
        <w:t xml:space="preserve"> Ninth periodic report submitted by Hungary under article 18 of the Convention, due in 2017, available </w:t>
      </w:r>
      <w:r>
        <w:rPr>
          <w:rStyle w:val="Hyperlink.0"/>
        </w:rPr>
        <w:fldChar w:fldCharType="begin" w:fldLock="0"/>
      </w:r>
      <w:r>
        <w:rPr>
          <w:rStyle w:val="Hyperlink.0"/>
        </w:rPr>
        <w:instrText xml:space="preserve"> HYPERLINK "https://tbinternet.ohchr.org/_layouts/15/treatybodyexternal/Download.aspx?symbolno=CEDAW/C/HUN/9&amp;Lang=en"</w:instrText>
      </w:r>
      <w:r>
        <w:rPr>
          <w:rStyle w:val="Hyperlink.0"/>
        </w:rPr>
        <w:fldChar w:fldCharType="separate" w:fldLock="0"/>
      </w:r>
      <w:r>
        <w:rPr>
          <w:rStyle w:val="Hyperlink.0"/>
          <w:rtl w:val="0"/>
          <w:lang w:val="en-US"/>
        </w:rPr>
        <w:t>here</w:t>
      </w:r>
      <w:r>
        <w:rPr/>
        <w:fldChar w:fldCharType="end" w:fldLock="0"/>
      </w:r>
      <w:r>
        <w:rPr>
          <w:rStyle w:val="Egyik sem"/>
          <w:rFonts w:ascii="Times New Roman" w:hAnsi="Times New Roman"/>
          <w:sz w:val="20"/>
          <w:szCs w:val="20"/>
          <w:rtl w:val="0"/>
        </w:rPr>
        <w:t>.</w:t>
      </w:r>
    </w:p>
  </w:footnote>
  <w:footnote w:id="2">
    <w:p>
      <w:pPr>
        <w:pStyle w:val="Szövegtörzs A"/>
        <w:spacing w:line="240" w:lineRule="auto"/>
      </w:pPr>
      <w:r>
        <w:rPr>
          <w:rStyle w:val="Egyik sem"/>
          <w:rFonts w:ascii="Times New Roman" w:cs="Times New Roman" w:hAnsi="Times New Roman" w:eastAsia="Times New Roman"/>
          <w:sz w:val="24"/>
          <w:szCs w:val="24"/>
          <w:vertAlign w:val="superscript"/>
        </w:rPr>
        <w:footnoteRef/>
      </w:r>
      <w:r>
        <w:rPr>
          <w:rStyle w:val="Egyik sem"/>
          <w:rFonts w:ascii="Times New Roman" w:hAnsi="Times New Roman"/>
          <w:sz w:val="20"/>
          <w:szCs w:val="20"/>
          <w:rtl w:val="0"/>
          <w:lang w:val="en-US"/>
        </w:rPr>
        <w:t xml:space="preserve"> See </w:t>
      </w:r>
      <w:r>
        <w:rPr>
          <w:rStyle w:val="Hyperlink.0"/>
        </w:rPr>
        <w:fldChar w:fldCharType="begin" w:fldLock="0"/>
      </w:r>
      <w:r>
        <w:rPr>
          <w:rStyle w:val="Hyperlink.0"/>
        </w:rPr>
        <w:instrText xml:space="preserve"> HYPERLINK "https://insighthungary.444.hu/2020/12/14/conservative-backlash-against-womens-rights-in-hungary"</w:instrText>
      </w:r>
      <w:r>
        <w:rPr>
          <w:rStyle w:val="Hyperlink.0"/>
        </w:rPr>
        <w:fldChar w:fldCharType="separate" w:fldLock="0"/>
      </w:r>
      <w:r>
        <w:rPr>
          <w:rStyle w:val="Hyperlink.0"/>
          <w:rtl w:val="0"/>
          <w:lang w:val="en-US"/>
        </w:rPr>
        <w:t>https://insighthungary.444.hu/2020/12/14/conservative-backlash-against-womens-rights-in-hungary</w:t>
      </w:r>
      <w:r>
        <w:rPr/>
        <w:fldChar w:fldCharType="end" w:fldLock="0"/>
      </w:r>
    </w:p>
  </w:footnote>
  <w:footnote w:id="3">
    <w:p>
      <w:pPr>
        <w:pStyle w:val="Szövegtörzs A"/>
        <w:spacing w:line="240" w:lineRule="auto"/>
        <w:jc w:val="both"/>
      </w:pPr>
      <w:r>
        <w:rPr>
          <w:rStyle w:val="Egyik sem"/>
          <w:rFonts w:ascii="Times New Roman" w:cs="Times New Roman" w:hAnsi="Times New Roman" w:eastAsia="Times New Roman"/>
          <w:sz w:val="24"/>
          <w:szCs w:val="24"/>
          <w:vertAlign w:val="superscript"/>
        </w:rPr>
        <w:footnoteRef/>
      </w:r>
      <w:r>
        <w:rPr>
          <w:rStyle w:val="Egyik sem"/>
          <w:rFonts w:ascii="Times New Roman" w:hAnsi="Times New Roman"/>
          <w:sz w:val="20"/>
          <w:szCs w:val="20"/>
          <w:rtl w:val="0"/>
          <w:lang w:val="en-US"/>
        </w:rPr>
        <w:t xml:space="preserve"> In the previous structures the Ministry of National Resources, then the Ministry of Human Capacities were the key government actors. Here, under the State Secretary for Family and Youth Affairs, and the Deputy State Secretary for Family and Demographic Policy - later for Family Policy - a department was responsible for women</w:t>
      </w:r>
      <w:r>
        <w:rPr>
          <w:rStyle w:val="Egyik sem"/>
          <w:rFonts w:ascii="Times New Roman" w:hAnsi="Times New Roman" w:hint="default"/>
          <w:sz w:val="20"/>
          <w:szCs w:val="20"/>
          <w:rtl w:val="0"/>
          <w:lang w:val="en-US"/>
        </w:rPr>
        <w:t>’</w:t>
      </w:r>
      <w:r>
        <w:rPr>
          <w:rStyle w:val="Egyik sem"/>
          <w:rFonts w:ascii="Times New Roman" w:hAnsi="Times New Roman"/>
          <w:sz w:val="20"/>
          <w:szCs w:val="20"/>
          <w:rtl w:val="0"/>
          <w:lang w:val="en-US"/>
        </w:rPr>
        <w:t xml:space="preserve">s policy, including for CEDAW-related tasks, among other, mostly family policy duties. From October 2020, the minister without a portfolio for families in her responsibility for family policies coordinated </w:t>
      </w:r>
      <w:r>
        <w:rPr>
          <w:rStyle w:val="Egyik sem"/>
          <w:rFonts w:ascii="Times New Roman" w:hAnsi="Times New Roman" w:hint="default"/>
          <w:sz w:val="20"/>
          <w:szCs w:val="20"/>
          <w:rtl w:val="0"/>
          <w:lang w:val="en-US"/>
        </w:rPr>
        <w:t>“</w:t>
      </w:r>
      <w:r>
        <w:rPr>
          <w:rStyle w:val="Egyik sem"/>
          <w:rFonts w:ascii="Times New Roman" w:hAnsi="Times New Roman"/>
          <w:sz w:val="20"/>
          <w:szCs w:val="20"/>
          <w:rtl w:val="0"/>
          <w:lang w:val="en-US"/>
        </w:rPr>
        <w:t>the tasks in relation to strengthening equality between women and men</w:t>
      </w:r>
      <w:r>
        <w:rPr>
          <w:rStyle w:val="Egyik sem"/>
          <w:rFonts w:ascii="Times New Roman" w:hAnsi="Times New Roman" w:hint="default"/>
          <w:sz w:val="20"/>
          <w:szCs w:val="20"/>
          <w:rtl w:val="0"/>
          <w:lang w:val="en-US"/>
        </w:rPr>
        <w:t>”</w:t>
      </w:r>
      <w:r>
        <w:rPr>
          <w:rStyle w:val="Egyik sem"/>
          <w:rFonts w:ascii="Times New Roman" w:hAnsi="Times New Roman"/>
          <w:sz w:val="20"/>
          <w:szCs w:val="20"/>
          <w:rtl w:val="0"/>
          <w:lang w:val="en-US"/>
        </w:rPr>
        <w:t xml:space="preserve">, and monitored </w:t>
      </w:r>
      <w:r>
        <w:rPr>
          <w:rStyle w:val="Egyik sem"/>
          <w:rFonts w:ascii="Times New Roman" w:hAnsi="Times New Roman" w:hint="default"/>
          <w:sz w:val="20"/>
          <w:szCs w:val="20"/>
          <w:rtl w:val="0"/>
          <w:lang w:val="en-US"/>
        </w:rPr>
        <w:t>“</w:t>
      </w:r>
      <w:r>
        <w:rPr>
          <w:rStyle w:val="Egyik sem"/>
          <w:rFonts w:ascii="Times New Roman" w:hAnsi="Times New Roman"/>
          <w:sz w:val="20"/>
          <w:szCs w:val="20"/>
          <w:rtl w:val="0"/>
          <w:lang w:val="en-US"/>
        </w:rPr>
        <w:t>implementation of women</w:t>
      </w:r>
      <w:r>
        <w:rPr>
          <w:rStyle w:val="Egyik sem"/>
          <w:rFonts w:ascii="Times New Roman" w:hAnsi="Times New Roman" w:hint="default"/>
          <w:sz w:val="20"/>
          <w:szCs w:val="20"/>
          <w:rtl w:val="0"/>
          <w:lang w:val="en-US"/>
        </w:rPr>
        <w:t>’</w:t>
      </w:r>
      <w:r>
        <w:rPr>
          <w:rStyle w:val="Egyik sem"/>
          <w:rFonts w:ascii="Times New Roman" w:hAnsi="Times New Roman"/>
          <w:sz w:val="20"/>
          <w:szCs w:val="20"/>
          <w:rtl w:val="0"/>
          <w:lang w:val="en-US"/>
        </w:rPr>
        <w:t>s rights</w:t>
      </w:r>
      <w:r>
        <w:rPr>
          <w:rStyle w:val="Egyik sem"/>
          <w:rFonts w:ascii="Times New Roman" w:hAnsi="Times New Roman" w:hint="default"/>
          <w:sz w:val="20"/>
          <w:szCs w:val="20"/>
          <w:rtl w:val="0"/>
          <w:lang w:val="en-US"/>
        </w:rPr>
        <w:t>”</w:t>
      </w:r>
      <w:r>
        <w:rPr>
          <w:rStyle w:val="Egyik sem"/>
          <w:rFonts w:ascii="Times New Roman" w:hAnsi="Times New Roman"/>
          <w:sz w:val="20"/>
          <w:szCs w:val="20"/>
          <w:rtl w:val="0"/>
        </w:rPr>
        <w:t>.</w:t>
      </w:r>
    </w:p>
  </w:footnote>
  <w:footnote w:id="4">
    <w:p>
      <w:pPr>
        <w:pStyle w:val="Szövegtörzs A"/>
        <w:spacing w:line="240" w:lineRule="auto"/>
      </w:pPr>
      <w:r>
        <w:rPr>
          <w:rStyle w:val="Egyik sem"/>
          <w:rFonts w:ascii="Times New Roman" w:cs="Times New Roman" w:hAnsi="Times New Roman" w:eastAsia="Times New Roman"/>
          <w:sz w:val="24"/>
          <w:szCs w:val="24"/>
          <w:vertAlign w:val="superscript"/>
        </w:rPr>
        <w:footnoteRef/>
      </w:r>
      <w:r>
        <w:rPr>
          <w:rStyle w:val="Egyik sem"/>
          <w:rFonts w:ascii="Times New Roman" w:hAnsi="Times New Roman"/>
          <w:sz w:val="20"/>
          <w:szCs w:val="20"/>
          <w:rtl w:val="0"/>
          <w:lang w:val="en-US"/>
        </w:rPr>
        <w:t xml:space="preserve"> See: Ordinance of Ministry of Culture and Innovation No. 3/2022. (VIII. 8.)</w:t>
      </w:r>
    </w:p>
  </w:footnote>
  <w:footnote w:id="5">
    <w:p>
      <w:pPr>
        <w:pStyle w:val="Szövegtörzs A"/>
        <w:spacing w:line="240" w:lineRule="auto"/>
      </w:pPr>
      <w:r>
        <w:rPr>
          <w:rStyle w:val="Egyik sem"/>
          <w:rFonts w:ascii="Times New Roman" w:cs="Times New Roman" w:hAnsi="Times New Roman" w:eastAsia="Times New Roman"/>
          <w:sz w:val="24"/>
          <w:szCs w:val="24"/>
          <w:vertAlign w:val="superscript"/>
        </w:rPr>
        <w:footnoteRef/>
      </w:r>
      <w:r>
        <w:rPr>
          <w:rStyle w:val="Egyik sem"/>
          <w:sz w:val="20"/>
          <w:szCs w:val="20"/>
          <w:rtl w:val="0"/>
        </w:rPr>
        <w:t xml:space="preserve"> </w:t>
      </w:r>
      <w:r>
        <w:rPr>
          <w:rStyle w:val="Egyik sem"/>
          <w:rFonts w:ascii="Times New Roman" w:hAnsi="Times New Roman"/>
          <w:sz w:val="20"/>
          <w:szCs w:val="20"/>
          <w:rtl w:val="0"/>
          <w:lang w:val="en-US"/>
        </w:rPr>
        <w:t>Act No. CXXVII. of 2020</w:t>
      </w:r>
    </w:p>
  </w:footnote>
  <w:footnote w:id="6">
    <w:p>
      <w:pPr>
        <w:pStyle w:val="Szövegtörzs A"/>
        <w:spacing w:line="240" w:lineRule="auto"/>
      </w:pPr>
      <w:r>
        <w:rPr>
          <w:rStyle w:val="Egyik sem"/>
          <w:rFonts w:ascii="Times New Roman" w:cs="Times New Roman" w:hAnsi="Times New Roman" w:eastAsia="Times New Roman"/>
          <w:sz w:val="24"/>
          <w:szCs w:val="24"/>
          <w:vertAlign w:val="superscript"/>
        </w:rPr>
        <w:footnoteRef/>
      </w:r>
      <w:r>
        <w:rPr>
          <w:rStyle w:val="Egyik sem"/>
          <w:sz w:val="20"/>
          <w:szCs w:val="20"/>
          <w:rtl w:val="0"/>
        </w:rPr>
        <w:t xml:space="preserve"> </w:t>
      </w:r>
      <w:r>
        <w:rPr>
          <w:rStyle w:val="Egyik sem"/>
          <w:rFonts w:ascii="Times New Roman" w:hAnsi="Times New Roman"/>
          <w:sz w:val="20"/>
          <w:szCs w:val="20"/>
          <w:rtl w:val="0"/>
          <w:lang w:val="en-US"/>
        </w:rPr>
        <w:t xml:space="preserve">See: </w:t>
      </w:r>
      <w:r>
        <w:rPr>
          <w:rStyle w:val="Hyperlink.0"/>
        </w:rPr>
        <w:fldChar w:fldCharType="begin" w:fldLock="0"/>
      </w:r>
      <w:r>
        <w:rPr>
          <w:rStyle w:val="Hyperlink.0"/>
        </w:rPr>
        <w:instrText xml:space="preserve"> HYPERLINK "https://www.equalitylaw.eu/downloads/5673-hungary-hungary-s-ombudsman-is-downgraded-by-the-global-alliance-of-national-human-rights-institutions-to-b-status-due-to-lack-of-functional-independence-101-kb"</w:instrText>
      </w:r>
      <w:r>
        <w:rPr>
          <w:rStyle w:val="Hyperlink.0"/>
        </w:rPr>
        <w:fldChar w:fldCharType="separate" w:fldLock="0"/>
      </w:r>
      <w:r>
        <w:rPr>
          <w:rStyle w:val="Hyperlink.0"/>
          <w:rtl w:val="0"/>
          <w:lang w:val="en-US"/>
        </w:rPr>
        <w:t>https://www.equalitylaw.eu/downloads/5673-hungary-hungary-s-ombudsman-is-downgraded-by-the-global-alliance-of-national-human-rights-institutions-to-b-status-due-to-lack-of-functional-independence-101-kb</w:t>
      </w:r>
      <w:r>
        <w:rPr/>
        <w:fldChar w:fldCharType="end" w:fldLock="0"/>
      </w:r>
    </w:p>
  </w:footnote>
  <w:footnote w:id="7">
    <w:p>
      <w:pPr>
        <w:pStyle w:val="Szövegtörzs A"/>
        <w:spacing w:line="240" w:lineRule="auto"/>
      </w:pPr>
      <w:r>
        <w:rPr>
          <w:rStyle w:val="Egyik sem"/>
          <w:rFonts w:ascii="Times New Roman" w:cs="Times New Roman" w:hAnsi="Times New Roman" w:eastAsia="Times New Roman"/>
          <w:sz w:val="24"/>
          <w:szCs w:val="24"/>
          <w:vertAlign w:val="superscript"/>
        </w:rPr>
        <w:footnoteRef/>
      </w:r>
      <w:r>
        <w:rPr>
          <w:rStyle w:val="Egyik sem"/>
          <w:sz w:val="20"/>
          <w:szCs w:val="20"/>
          <w:rtl w:val="0"/>
        </w:rPr>
        <w:t xml:space="preserve"> </w:t>
      </w:r>
      <w:r>
        <w:rPr>
          <w:rStyle w:val="Hyperlink.0"/>
        </w:rPr>
        <w:fldChar w:fldCharType="begin" w:fldLock="0"/>
      </w:r>
      <w:r>
        <w:rPr>
          <w:rStyle w:val="Hyperlink.0"/>
        </w:rPr>
        <w:instrText xml:space="preserve"> HYPERLINK "https://civilizacio.net/en/news-blog/abolishingtheequaltreatmentauthority"</w:instrText>
      </w:r>
      <w:r>
        <w:rPr>
          <w:rStyle w:val="Hyperlink.0"/>
        </w:rPr>
        <w:fldChar w:fldCharType="separate" w:fldLock="0"/>
      </w:r>
      <w:r>
        <w:rPr>
          <w:rStyle w:val="Hyperlink.0"/>
          <w:rtl w:val="0"/>
          <w:lang w:val="en-US"/>
        </w:rPr>
        <w:t>https://civilizacio.net/en/news-blog/abolishingtheequaltreatmentauthority</w:t>
      </w:r>
      <w:r>
        <w:rPr/>
        <w:fldChar w:fldCharType="end" w:fldLock="0"/>
      </w:r>
      <w:r>
        <w:rPr>
          <w:rStyle w:val="Egyik sem"/>
          <w:rFonts w:ascii="Times New Roman" w:hAnsi="Times New Roman"/>
          <w:sz w:val="20"/>
          <w:szCs w:val="20"/>
          <w:rtl w:val="0"/>
        </w:rPr>
        <w:t xml:space="preserve"> </w:t>
      </w:r>
    </w:p>
  </w:footnote>
  <w:footnote w:id="8">
    <w:p>
      <w:pPr>
        <w:pStyle w:val="Szövegtörzs A"/>
        <w:spacing w:line="240" w:lineRule="auto"/>
      </w:pPr>
      <w:r>
        <w:rPr>
          <w:rStyle w:val="Egyik sem"/>
          <w:rFonts w:ascii="Times New Roman" w:cs="Times New Roman" w:hAnsi="Times New Roman" w:eastAsia="Times New Roman"/>
          <w:sz w:val="24"/>
          <w:szCs w:val="24"/>
          <w:vertAlign w:val="superscript"/>
        </w:rPr>
        <w:footnoteRef/>
      </w:r>
      <w:r>
        <w:rPr>
          <w:rStyle w:val="Egyik sem"/>
          <w:sz w:val="20"/>
          <w:szCs w:val="20"/>
          <w:rtl w:val="0"/>
        </w:rPr>
        <w:t xml:space="preserve"> </w:t>
      </w:r>
      <w:r>
        <w:rPr>
          <w:rStyle w:val="Egyik sem"/>
          <w:rFonts w:ascii="Times New Roman" w:hAnsi="Times New Roman"/>
          <w:sz w:val="20"/>
          <w:szCs w:val="20"/>
          <w:rtl w:val="0"/>
          <w:lang w:val="en-US"/>
        </w:rPr>
        <w:t>See for example the Submission of Hungarian Women</w:t>
      </w:r>
      <w:r>
        <w:rPr>
          <w:rStyle w:val="Egyik sem"/>
          <w:rFonts w:ascii="Times New Roman" w:hAnsi="Times New Roman" w:hint="default"/>
          <w:sz w:val="20"/>
          <w:szCs w:val="20"/>
          <w:rtl w:val="0"/>
          <w:lang w:val="en-US"/>
        </w:rPr>
        <w:t>’</w:t>
      </w:r>
      <w:r>
        <w:rPr>
          <w:rStyle w:val="Egyik sem"/>
          <w:rFonts w:ascii="Times New Roman" w:hAnsi="Times New Roman"/>
          <w:sz w:val="20"/>
          <w:szCs w:val="20"/>
          <w:rtl w:val="0"/>
          <w:lang w:val="en-US"/>
        </w:rPr>
        <w:t>s Lobby, NANE Women</w:t>
      </w:r>
      <w:r>
        <w:rPr>
          <w:rStyle w:val="Egyik sem"/>
          <w:rFonts w:ascii="Times New Roman" w:hAnsi="Times New Roman" w:hint="default"/>
          <w:sz w:val="20"/>
          <w:szCs w:val="20"/>
          <w:rtl w:val="0"/>
          <w:lang w:val="en-US"/>
        </w:rPr>
        <w:t>’</w:t>
      </w:r>
      <w:r>
        <w:rPr>
          <w:rStyle w:val="Egyik sem"/>
          <w:rFonts w:ascii="Times New Roman" w:hAnsi="Times New Roman"/>
          <w:sz w:val="20"/>
          <w:szCs w:val="20"/>
          <w:rtl w:val="0"/>
          <w:lang w:val="en-US"/>
        </w:rPr>
        <w:t>s Rights Association, and PATENT (People Opposing Patriarchy) Association to the GANHRI Sub-Committee on Accreditation (SCA) as regards to its Session reviewing the National Human Rights Institution of Hungary - The protection and promotion of women</w:t>
      </w:r>
      <w:r>
        <w:rPr>
          <w:rStyle w:val="Egyik sem"/>
          <w:rFonts w:ascii="Times New Roman" w:hAnsi="Times New Roman" w:hint="default"/>
          <w:sz w:val="20"/>
          <w:szCs w:val="20"/>
          <w:rtl w:val="0"/>
          <w:lang w:val="en-US"/>
        </w:rPr>
        <w:t>’</w:t>
      </w:r>
      <w:r>
        <w:rPr>
          <w:rStyle w:val="Egyik sem"/>
          <w:rFonts w:ascii="Times New Roman" w:hAnsi="Times New Roman"/>
          <w:sz w:val="20"/>
          <w:szCs w:val="20"/>
          <w:rtl w:val="0"/>
          <w:lang w:val="en-US"/>
        </w:rPr>
        <w:t>s human rights. 19 February 2021</w:t>
      </w:r>
    </w:p>
  </w:footnote>
  <w:footnote w:id="9">
    <w:p>
      <w:pPr>
        <w:pStyle w:val="Szövegtörzs A"/>
        <w:spacing w:line="240" w:lineRule="auto"/>
      </w:pPr>
      <w:r>
        <w:rPr>
          <w:rStyle w:val="Egyik sem"/>
          <w:rFonts w:ascii="Times New Roman" w:cs="Times New Roman" w:hAnsi="Times New Roman" w:eastAsia="Times New Roman"/>
          <w:sz w:val="24"/>
          <w:szCs w:val="24"/>
          <w:vertAlign w:val="superscript"/>
        </w:rPr>
        <w:footnoteRef/>
      </w:r>
      <w:r>
        <w:rPr>
          <w:rStyle w:val="Egyik sem"/>
          <w:rFonts w:ascii="Times New Roman" w:hAnsi="Times New Roman"/>
          <w:sz w:val="20"/>
          <w:szCs w:val="20"/>
          <w:rtl w:val="0"/>
          <w:lang w:val="en-US"/>
        </w:rPr>
        <w:t xml:space="preserve"> See the website of the Subcommittee </w:t>
      </w:r>
      <w:r>
        <w:rPr>
          <w:rStyle w:val="Hyperlink.0"/>
        </w:rPr>
        <w:fldChar w:fldCharType="begin" w:fldLock="0"/>
      </w:r>
      <w:r>
        <w:rPr>
          <w:rStyle w:val="Hyperlink.0"/>
        </w:rPr>
        <w:instrText xml:space="preserve"> HYPERLINK "https://www.parlament.hu/web/kulturalis-bizottsag/albizottsagok?p_p_id=hu_parlament_cms_pair_portlet_PairProxy_INSTANCE_9xd2Wc9jP4z8&amp;p_p_lifecycle=1&amp;p_p_state=normal&amp;p_p_mode=view&amp;p_auth=muJtymia&amp;_hu_parlament_cms_pair_portlet_PairProxy_INSTANCE_9xd2Wc9jP4z8_pairAction=/internet/cplsql/ogy_biz.biz_adat_uj?P_Ckl=41&amp;P_Biz=A491"</w:instrText>
      </w:r>
      <w:r>
        <w:rPr>
          <w:rStyle w:val="Hyperlink.0"/>
        </w:rPr>
        <w:fldChar w:fldCharType="separate" w:fldLock="0"/>
      </w:r>
      <w:r>
        <w:rPr>
          <w:rStyle w:val="Hyperlink.0"/>
          <w:rtl w:val="0"/>
          <w:lang w:val="en-US"/>
        </w:rPr>
        <w:t>here</w:t>
      </w:r>
      <w:r>
        <w:rPr/>
        <w:fldChar w:fldCharType="end" w:fldLock="0"/>
      </w:r>
      <w:r>
        <w:rPr>
          <w:rStyle w:val="Egyik sem"/>
          <w:rFonts w:ascii="Times New Roman" w:hAnsi="Times New Roman"/>
          <w:sz w:val="20"/>
          <w:szCs w:val="20"/>
          <w:rtl w:val="0"/>
        </w:rPr>
        <w:t xml:space="preserve">. </w:t>
      </w:r>
    </w:p>
  </w:footnote>
  <w:footnote w:id="10">
    <w:p>
      <w:pPr>
        <w:pStyle w:val="Szövegtörzs A"/>
        <w:spacing w:line="240" w:lineRule="auto"/>
      </w:pPr>
      <w:r>
        <w:rPr>
          <w:rStyle w:val="Egyik sem"/>
          <w:rFonts w:ascii="Times New Roman" w:cs="Times New Roman" w:hAnsi="Times New Roman" w:eastAsia="Times New Roman"/>
          <w:sz w:val="24"/>
          <w:szCs w:val="24"/>
          <w:vertAlign w:val="superscript"/>
        </w:rPr>
        <w:footnoteRef/>
      </w:r>
      <w:r>
        <w:rPr>
          <w:rStyle w:val="Egyik sem"/>
          <w:rFonts w:ascii="Times New Roman" w:hAnsi="Times New Roman"/>
          <w:sz w:val="20"/>
          <w:szCs w:val="20"/>
          <w:rtl w:val="0"/>
          <w:lang w:val="en-US"/>
        </w:rPr>
        <w:t xml:space="preserve"> Government Decision No. 1004/2010. (I. 21.) See in Hungarian </w:t>
      </w:r>
      <w:r>
        <w:rPr>
          <w:rStyle w:val="Hyperlink.0"/>
        </w:rPr>
        <w:fldChar w:fldCharType="begin" w:fldLock="0"/>
      </w:r>
      <w:r>
        <w:rPr>
          <w:rStyle w:val="Hyperlink.0"/>
        </w:rPr>
        <w:instrText xml:space="preserve"> HYPERLINK "http://njt.hu/cgi_bin/njt_doc.cgi?docid=134035.194182"</w:instrText>
      </w:r>
      <w:r>
        <w:rPr>
          <w:rStyle w:val="Hyperlink.0"/>
        </w:rPr>
        <w:fldChar w:fldCharType="separate" w:fldLock="0"/>
      </w:r>
      <w:r>
        <w:rPr>
          <w:rStyle w:val="Hyperlink.0"/>
          <w:rtl w:val="0"/>
          <w:lang w:val="en-US"/>
        </w:rPr>
        <w:t>here</w:t>
      </w:r>
      <w:r>
        <w:rPr/>
        <w:fldChar w:fldCharType="end" w:fldLock="0"/>
      </w:r>
      <w:r>
        <w:rPr>
          <w:rStyle w:val="Egyik sem"/>
          <w:rFonts w:ascii="Times New Roman" w:hAnsi="Times New Roman"/>
          <w:sz w:val="20"/>
          <w:szCs w:val="20"/>
          <w:rtl w:val="0"/>
        </w:rPr>
        <w:t xml:space="preserve">. </w:t>
      </w:r>
    </w:p>
  </w:footnote>
  <w:footnote w:id="11">
    <w:p>
      <w:pPr>
        <w:pStyle w:val="Szövegtörzs A"/>
        <w:spacing w:line="240" w:lineRule="auto"/>
      </w:pPr>
      <w:r>
        <w:rPr>
          <w:rStyle w:val="Egyik sem"/>
          <w:rFonts w:ascii="Times New Roman" w:cs="Times New Roman" w:hAnsi="Times New Roman" w:eastAsia="Times New Roman"/>
          <w:sz w:val="24"/>
          <w:szCs w:val="24"/>
          <w:vertAlign w:val="superscript"/>
        </w:rPr>
        <w:footnoteRef/>
      </w:r>
      <w:r>
        <w:rPr>
          <w:rStyle w:val="Egyik sem"/>
          <w:rFonts w:ascii="Times New Roman" w:hAnsi="Times New Roman"/>
          <w:sz w:val="20"/>
          <w:szCs w:val="20"/>
          <w:rtl w:val="0"/>
          <w:lang w:val="en-US"/>
        </w:rPr>
        <w:t xml:space="preserve"> Government Decision No. 1685/2020. (X. 22.). See in Hungarian </w:t>
      </w:r>
      <w:r>
        <w:rPr>
          <w:rStyle w:val="Hyperlink.0"/>
        </w:rPr>
        <w:fldChar w:fldCharType="begin" w:fldLock="0"/>
      </w:r>
      <w:r>
        <w:rPr>
          <w:rStyle w:val="Hyperlink.0"/>
        </w:rPr>
        <w:instrText xml:space="preserve"> HYPERLINK "http://njt.hu/cgi_bin/njt_doc.cgi?docid=222314.390502"</w:instrText>
      </w:r>
      <w:r>
        <w:rPr>
          <w:rStyle w:val="Hyperlink.0"/>
        </w:rPr>
        <w:fldChar w:fldCharType="separate" w:fldLock="0"/>
      </w:r>
      <w:r>
        <w:rPr>
          <w:rStyle w:val="Hyperlink.0"/>
          <w:rtl w:val="0"/>
          <w:lang w:val="en-US"/>
        </w:rPr>
        <w:t>here</w:t>
      </w:r>
      <w:r>
        <w:rPr/>
        <w:fldChar w:fldCharType="end" w:fldLock="0"/>
      </w:r>
      <w:r>
        <w:rPr>
          <w:rStyle w:val="Egyik sem"/>
          <w:rFonts w:ascii="Times New Roman" w:hAnsi="Times New Roman"/>
          <w:sz w:val="20"/>
          <w:szCs w:val="20"/>
          <w:rtl w:val="0"/>
        </w:rPr>
        <w:t xml:space="preserve">. </w:t>
      </w:r>
    </w:p>
  </w:footnote>
  <w:footnote w:id="12">
    <w:p>
      <w:pPr>
        <w:pStyle w:val="Szövegtörzs A"/>
        <w:spacing w:line="240" w:lineRule="auto"/>
      </w:pPr>
      <w:r>
        <w:rPr>
          <w:rStyle w:val="Egyik sem"/>
          <w:rFonts w:ascii="Times New Roman" w:cs="Times New Roman" w:hAnsi="Times New Roman" w:eastAsia="Times New Roman"/>
          <w:sz w:val="24"/>
          <w:szCs w:val="24"/>
          <w:vertAlign w:val="superscript"/>
        </w:rPr>
        <w:footnoteRef/>
      </w:r>
      <w:r>
        <w:rPr>
          <w:rStyle w:val="Egyik sem"/>
          <w:sz w:val="20"/>
          <w:szCs w:val="20"/>
          <w:rtl w:val="0"/>
        </w:rPr>
        <w:t xml:space="preserve"> </w:t>
      </w:r>
      <w:r>
        <w:rPr>
          <w:rStyle w:val="Egyik sem"/>
          <w:rFonts w:ascii="Times New Roman" w:hAnsi="Times New Roman"/>
          <w:sz w:val="20"/>
          <w:szCs w:val="20"/>
          <w:rtl w:val="0"/>
          <w:lang w:val="en-US"/>
        </w:rPr>
        <w:t>See the related meeting memo of the Government-led Thematic Working Group on Women</w:t>
      </w:r>
      <w:r>
        <w:rPr>
          <w:rStyle w:val="Egyik sem"/>
          <w:rFonts w:ascii="Times New Roman" w:hAnsi="Times New Roman" w:hint="default"/>
          <w:sz w:val="20"/>
          <w:szCs w:val="20"/>
          <w:rtl w:val="0"/>
          <w:lang w:val="en-US"/>
        </w:rPr>
        <w:t>’</w:t>
      </w:r>
      <w:r>
        <w:rPr>
          <w:rStyle w:val="Egyik sem"/>
          <w:rFonts w:ascii="Times New Roman" w:hAnsi="Times New Roman"/>
          <w:sz w:val="20"/>
          <w:szCs w:val="20"/>
          <w:rtl w:val="0"/>
          <w:lang w:val="en-US"/>
        </w:rPr>
        <w:t xml:space="preserve">s Rights </w:t>
      </w:r>
      <w:r>
        <w:rPr>
          <w:rStyle w:val="Hyperlink.0"/>
        </w:rPr>
        <w:fldChar w:fldCharType="begin" w:fldLock="0"/>
      </w:r>
      <w:r>
        <w:rPr>
          <w:rStyle w:val="Hyperlink.0"/>
        </w:rPr>
        <w:instrText xml:space="preserve"> HYPERLINK "https://emberijogok.kormany.hu/download/c/7c/a2000/Emlekezteto_2020_06_23_Nok_Jogaiert_Felelos_TMCS.pdf"</w:instrText>
      </w:r>
      <w:r>
        <w:rPr>
          <w:rStyle w:val="Hyperlink.0"/>
        </w:rPr>
        <w:fldChar w:fldCharType="separate" w:fldLock="0"/>
      </w:r>
      <w:r>
        <w:rPr>
          <w:rStyle w:val="Hyperlink.0"/>
          <w:rtl w:val="0"/>
          <w:lang w:val="en-US"/>
        </w:rPr>
        <w:t>here</w:t>
      </w:r>
      <w:r>
        <w:rPr/>
        <w:fldChar w:fldCharType="end" w:fldLock="0"/>
      </w:r>
      <w:r>
        <w:rPr>
          <w:rStyle w:val="Egyik sem"/>
          <w:rFonts w:ascii="Times New Roman" w:hAnsi="Times New Roman"/>
          <w:sz w:val="20"/>
          <w:szCs w:val="20"/>
          <w:rtl w:val="0"/>
        </w:rPr>
        <w:t xml:space="preserve">. </w:t>
      </w:r>
    </w:p>
  </w:footnote>
  <w:footnote w:id="13">
    <w:p>
      <w:pPr>
        <w:pStyle w:val="Szövegtörzs A"/>
        <w:spacing w:line="240" w:lineRule="auto"/>
      </w:pPr>
      <w:r>
        <w:rPr>
          <w:rStyle w:val="Egyik sem"/>
          <w:rFonts w:ascii="Times New Roman" w:cs="Times New Roman" w:hAnsi="Times New Roman" w:eastAsia="Times New Roman"/>
          <w:sz w:val="24"/>
          <w:szCs w:val="24"/>
          <w:vertAlign w:val="superscript"/>
        </w:rPr>
        <w:footnoteRef/>
      </w:r>
      <w:r>
        <w:rPr>
          <w:rStyle w:val="Egyik sem"/>
          <w:sz w:val="20"/>
          <w:szCs w:val="20"/>
          <w:rtl w:val="0"/>
        </w:rPr>
        <w:t xml:space="preserve"> </w:t>
      </w:r>
      <w:r>
        <w:rPr>
          <w:rStyle w:val="Egyik sem"/>
          <w:rFonts w:ascii="Times New Roman" w:hAnsi="Times New Roman"/>
          <w:sz w:val="20"/>
          <w:szCs w:val="20"/>
          <w:rtl w:val="0"/>
          <w:lang w:val="en-US"/>
        </w:rPr>
        <w:t xml:space="preserve">See the related Government Decision No. 1516/2022. (X. 28.) </w:t>
      </w:r>
      <w:r>
        <w:rPr>
          <w:rStyle w:val="Hyperlink.0"/>
        </w:rPr>
        <w:fldChar w:fldCharType="begin" w:fldLock="0"/>
      </w:r>
      <w:r>
        <w:rPr>
          <w:rStyle w:val="Hyperlink.0"/>
        </w:rPr>
        <w:instrText xml:space="preserve"> HYPERLINK "https://njt.hu/jogszabaly/2022-1516-30-22"</w:instrText>
      </w:r>
      <w:r>
        <w:rPr>
          <w:rStyle w:val="Hyperlink.0"/>
        </w:rPr>
        <w:fldChar w:fldCharType="separate" w:fldLock="0"/>
      </w:r>
      <w:r>
        <w:rPr>
          <w:rStyle w:val="Hyperlink.0"/>
          <w:rtl w:val="0"/>
          <w:lang w:val="en-US"/>
        </w:rPr>
        <w:t>here</w:t>
      </w:r>
      <w:r>
        <w:rPr/>
        <w:fldChar w:fldCharType="end" w:fldLock="0"/>
      </w:r>
      <w:r>
        <w:rPr>
          <w:rStyle w:val="Egyik sem"/>
          <w:rFonts w:ascii="Times New Roman" w:hAnsi="Times New Roman"/>
          <w:sz w:val="20"/>
          <w:szCs w:val="20"/>
          <w:rtl w:val="0"/>
          <w:lang w:val="en-US"/>
        </w:rPr>
        <w:t xml:space="preserve">, and the Modified Action Plan </w:t>
      </w:r>
      <w:r>
        <w:rPr>
          <w:rStyle w:val="Hyperlink.0"/>
        </w:rPr>
        <w:fldChar w:fldCharType="begin" w:fldLock="0"/>
      </w:r>
      <w:r>
        <w:rPr>
          <w:rStyle w:val="Hyperlink.0"/>
        </w:rPr>
        <w:instrText xml:space="preserve"> HYPERLINK "https://cdn.kormany.hu/uploads/document/f/fe/fec/fec880d3ae1a5b9531388dcf829c616a63f7dbf3.pdf"</w:instrText>
      </w:r>
      <w:r>
        <w:rPr>
          <w:rStyle w:val="Hyperlink.0"/>
        </w:rPr>
        <w:fldChar w:fldCharType="separate" w:fldLock="0"/>
      </w:r>
      <w:r>
        <w:rPr>
          <w:rStyle w:val="Hyperlink.0"/>
          <w:rtl w:val="0"/>
          <w:lang w:val="en-US"/>
        </w:rPr>
        <w:t>here</w:t>
      </w:r>
      <w:r>
        <w:rPr/>
        <w:fldChar w:fldCharType="end" w:fldLock="0"/>
      </w:r>
      <w:r>
        <w:rPr>
          <w:rStyle w:val="Egyik sem"/>
          <w:rFonts w:ascii="Times New Roman" w:hAnsi="Times New Roman"/>
          <w:sz w:val="20"/>
          <w:szCs w:val="20"/>
          <w:rtl w:val="0"/>
        </w:rPr>
        <w:t xml:space="preserve"> in Hungarian.</w:t>
      </w:r>
    </w:p>
  </w:footnote>
  <w:footnote w:id="14">
    <w:p>
      <w:pPr>
        <w:pStyle w:val="Szövegtörzs A"/>
        <w:spacing w:line="240" w:lineRule="auto"/>
      </w:pPr>
      <w:r>
        <w:rPr>
          <w:rStyle w:val="Egyik sem"/>
          <w:rFonts w:ascii="Times New Roman" w:cs="Times New Roman" w:hAnsi="Times New Roman" w:eastAsia="Times New Roman"/>
          <w:sz w:val="24"/>
          <w:szCs w:val="24"/>
          <w:vertAlign w:val="superscript"/>
        </w:rPr>
        <w:footnoteRef/>
      </w:r>
      <w:r>
        <w:rPr>
          <w:rStyle w:val="Egyik sem"/>
          <w:sz w:val="20"/>
          <w:szCs w:val="20"/>
          <w:rtl w:val="0"/>
        </w:rPr>
        <w:t xml:space="preserve"> </w:t>
      </w:r>
      <w:r>
        <w:rPr>
          <w:rStyle w:val="Egyik sem"/>
          <w:rFonts w:ascii="Times New Roman" w:hAnsi="Times New Roman"/>
          <w:sz w:val="20"/>
          <w:szCs w:val="20"/>
          <w:rtl w:val="0"/>
          <w:lang w:val="en-US"/>
        </w:rPr>
        <w:t>See EMMI (Ministry of Human Capacities) Ordinance No. 7/2020. (II. 28.), available in Hun</w:t>
      </w:r>
      <w:r>
        <w:rPr>
          <w:rStyle w:val="Egyik sem"/>
          <w:rFonts w:ascii="Times New Roman" w:hAnsi="Times New Roman"/>
          <w:sz w:val="20"/>
          <w:szCs w:val="20"/>
          <w:rtl w:val="0"/>
          <w:lang w:val="en-US"/>
        </w:rPr>
        <w:t xml:space="preserve">garian </w:t>
      </w:r>
      <w:r>
        <w:rPr>
          <w:rStyle w:val="Hyperlink.1"/>
        </w:rPr>
        <w:fldChar w:fldCharType="begin" w:fldLock="0"/>
      </w:r>
      <w:r>
        <w:rPr>
          <w:rStyle w:val="Hyperlink.1"/>
        </w:rPr>
        <w:instrText xml:space="preserve"> HYPERLINK "https://njt.hu/jogszabaly/2020-7-B0-5H"</w:instrText>
      </w:r>
      <w:r>
        <w:rPr>
          <w:rStyle w:val="Hyperlink.1"/>
        </w:rPr>
        <w:fldChar w:fldCharType="separate" w:fldLock="0"/>
      </w:r>
      <w:r>
        <w:rPr>
          <w:rStyle w:val="Hyperlink.1"/>
          <w:rtl w:val="0"/>
          <w:lang w:val="en-US"/>
        </w:rPr>
        <w:t>here</w:t>
      </w:r>
      <w:r>
        <w:rPr/>
        <w:fldChar w:fldCharType="end" w:fldLock="0"/>
      </w:r>
      <w:r>
        <w:rPr>
          <w:rStyle w:val="Egyik sem"/>
          <w:rFonts w:ascii="Times New Roman" w:hAnsi="Times New Roman"/>
          <w:sz w:val="20"/>
          <w:szCs w:val="20"/>
          <w:rtl w:val="0"/>
          <w:lang w:val="en-US"/>
        </w:rPr>
        <w:t>.</w:t>
      </w:r>
    </w:p>
  </w:footnote>
  <w:footnote w:id="15">
    <w:p>
      <w:pPr>
        <w:pStyle w:val="Szövegtörzs A"/>
        <w:spacing w:line="240" w:lineRule="auto"/>
        <w:rPr>
          <w:rStyle w:val="Egyik sem"/>
          <w:rFonts w:ascii="Times New Roman" w:cs="Times New Roman" w:hAnsi="Times New Roman" w:eastAsia="Times New Roman"/>
          <w:sz w:val="20"/>
          <w:szCs w:val="20"/>
        </w:rPr>
      </w:pPr>
      <w:r>
        <w:rPr>
          <w:rStyle w:val="Egyik sem"/>
          <w:rFonts w:ascii="Times New Roman" w:cs="Times New Roman" w:hAnsi="Times New Roman" w:eastAsia="Times New Roman"/>
          <w:sz w:val="24"/>
          <w:szCs w:val="24"/>
          <w:vertAlign w:val="superscript"/>
        </w:rPr>
        <w:footnoteRef/>
      </w:r>
      <w:r>
        <w:rPr>
          <w:rStyle w:val="Egyik sem"/>
          <w:rFonts w:ascii="Times New Roman" w:hAnsi="Times New Roman"/>
          <w:sz w:val="20"/>
          <w:szCs w:val="20"/>
          <w:rtl w:val="0"/>
          <w:lang w:val="en-US"/>
        </w:rPr>
        <w:t xml:space="preserve"> See Opinion and recommendations of NANE Women</w:t>
      </w:r>
      <w:r>
        <w:rPr>
          <w:rStyle w:val="Egyik sem"/>
          <w:rFonts w:ascii="Times New Roman" w:hAnsi="Times New Roman" w:hint="default"/>
          <w:sz w:val="20"/>
          <w:szCs w:val="20"/>
          <w:rtl w:val="0"/>
          <w:lang w:val="en-US"/>
        </w:rPr>
        <w:t>’</w:t>
      </w:r>
      <w:r>
        <w:rPr>
          <w:rStyle w:val="Egyik sem"/>
          <w:rFonts w:ascii="Times New Roman" w:hAnsi="Times New Roman"/>
          <w:sz w:val="20"/>
          <w:szCs w:val="20"/>
          <w:rtl w:val="0"/>
          <w:lang w:val="en-US"/>
        </w:rPr>
        <w:t>s Rights Association, PATENT (People</w:t>
      </w:r>
    </w:p>
    <w:p>
      <w:pPr>
        <w:pStyle w:val="Szövegtörzs A"/>
        <w:spacing w:line="240" w:lineRule="auto"/>
        <w:rPr>
          <w:rStyle w:val="Egyik sem"/>
          <w:rFonts w:ascii="Times New Roman" w:cs="Times New Roman" w:hAnsi="Times New Roman" w:eastAsia="Times New Roman"/>
          <w:sz w:val="20"/>
          <w:szCs w:val="20"/>
        </w:rPr>
      </w:pPr>
      <w:r>
        <w:rPr>
          <w:rStyle w:val="Egyik sem"/>
          <w:rFonts w:ascii="Times New Roman" w:hAnsi="Times New Roman"/>
          <w:sz w:val="20"/>
          <w:szCs w:val="20"/>
          <w:rtl w:val="0"/>
          <w:lang w:val="en-US"/>
        </w:rPr>
        <w:t>Opposing Patriarchy) Association, Hungarian Women</w:t>
      </w:r>
      <w:r>
        <w:rPr>
          <w:rStyle w:val="Egyik sem"/>
          <w:rFonts w:ascii="Times New Roman" w:hAnsi="Times New Roman" w:hint="default"/>
          <w:sz w:val="20"/>
          <w:szCs w:val="20"/>
          <w:rtl w:val="0"/>
          <w:lang w:val="en-US"/>
        </w:rPr>
        <w:t>’</w:t>
      </w:r>
      <w:r>
        <w:rPr>
          <w:rStyle w:val="Egyik sem"/>
          <w:rFonts w:ascii="Times New Roman" w:hAnsi="Times New Roman"/>
          <w:sz w:val="20"/>
          <w:szCs w:val="20"/>
          <w:rtl w:val="0"/>
          <w:lang w:val="pt-PT"/>
        </w:rPr>
        <w:t>s Lobby, EMMA Association and</w:t>
      </w:r>
    </w:p>
    <w:p>
      <w:pPr>
        <w:pStyle w:val="Szövegtörzs A"/>
        <w:spacing w:line="240" w:lineRule="auto"/>
      </w:pPr>
      <w:r>
        <w:rPr>
          <w:rStyle w:val="Egyik sem"/>
          <w:rFonts w:ascii="Times New Roman" w:hAnsi="Times New Roman"/>
          <w:sz w:val="20"/>
          <w:szCs w:val="20"/>
          <w:rtl w:val="0"/>
        </w:rPr>
        <w:t>J</w:t>
      </w:r>
      <w:r>
        <w:rPr>
          <w:rStyle w:val="Egyik sem"/>
          <w:rFonts w:ascii="Times New Roman" w:hAnsi="Times New Roman" w:hint="default"/>
          <w:sz w:val="20"/>
          <w:szCs w:val="20"/>
          <w:rtl w:val="0"/>
          <w:lang w:val="en-US"/>
        </w:rPr>
        <w:t>ó</w:t>
      </w:r>
      <w:r>
        <w:rPr>
          <w:rStyle w:val="Egyik sem"/>
          <w:rFonts w:ascii="Times New Roman" w:hAnsi="Times New Roman"/>
          <w:sz w:val="20"/>
          <w:szCs w:val="20"/>
          <w:rtl w:val="0"/>
          <w:lang w:val="de-DE"/>
        </w:rPr>
        <w:t>l-L</w:t>
      </w:r>
      <w:r>
        <w:rPr>
          <w:rStyle w:val="Egyik sem"/>
          <w:rFonts w:ascii="Times New Roman" w:hAnsi="Times New Roman" w:hint="default"/>
          <w:sz w:val="20"/>
          <w:szCs w:val="20"/>
          <w:rtl w:val="0"/>
          <w:lang w:val="en-US"/>
        </w:rPr>
        <w:t>é</w:t>
      </w:r>
      <w:r>
        <w:rPr>
          <w:rStyle w:val="Egyik sem"/>
          <w:rFonts w:ascii="Times New Roman" w:hAnsi="Times New Roman"/>
          <w:sz w:val="20"/>
          <w:szCs w:val="20"/>
          <w:rtl w:val="0"/>
          <w:lang w:val="en-US"/>
        </w:rPr>
        <w:t xml:space="preserve">t Foundation on the National Recovery and Resilience Plan submitted by the Hungarian Government to the European Commission, June 2021 - General remarks, executive summary. Available </w:t>
      </w:r>
      <w:r>
        <w:rPr>
          <w:rStyle w:val="Hyperlink.0"/>
        </w:rPr>
        <w:fldChar w:fldCharType="begin" w:fldLock="0"/>
      </w:r>
      <w:r>
        <w:rPr>
          <w:rStyle w:val="Hyperlink.0"/>
        </w:rPr>
        <w:instrText xml:space="preserve"> HYPERLINK "https://nokjoga.hu/wp-content/uploads/RRP_Opinion_Gender-Equality_2021_Revised.pdf"</w:instrText>
      </w:r>
      <w:r>
        <w:rPr>
          <w:rStyle w:val="Hyperlink.0"/>
        </w:rPr>
        <w:fldChar w:fldCharType="separate" w:fldLock="0"/>
      </w:r>
      <w:r>
        <w:rPr>
          <w:rStyle w:val="Hyperlink.0"/>
          <w:rtl w:val="0"/>
          <w:lang w:val="en-US"/>
        </w:rPr>
        <w:t>here</w:t>
      </w:r>
      <w:r>
        <w:rPr/>
        <w:fldChar w:fldCharType="end" w:fldLock="0"/>
      </w:r>
      <w:r>
        <w:rPr>
          <w:rStyle w:val="Egyik sem"/>
          <w:rFonts w:ascii="Times New Roman" w:hAnsi="Times New Roman"/>
          <w:sz w:val="20"/>
          <w:szCs w:val="20"/>
          <w:rtl w:val="0"/>
        </w:rPr>
        <w:t>.</w:t>
      </w:r>
    </w:p>
  </w:footnote>
  <w:footnote w:id="16">
    <w:p>
      <w:pPr>
        <w:pStyle w:val="Szövegtörzs A"/>
        <w:spacing w:line="240" w:lineRule="auto"/>
      </w:pPr>
      <w:r>
        <w:rPr>
          <w:rStyle w:val="Egyik sem"/>
          <w:rFonts w:ascii="Times New Roman" w:cs="Times New Roman" w:hAnsi="Times New Roman" w:eastAsia="Times New Roman"/>
          <w:i w:val="1"/>
          <w:iCs w:val="1"/>
          <w:sz w:val="24"/>
          <w:szCs w:val="24"/>
          <w:vertAlign w:val="superscript"/>
        </w:rPr>
        <w:footnoteRef/>
      </w:r>
      <w:r>
        <w:rPr>
          <w:rStyle w:val="Egyik sem"/>
          <w:sz w:val="20"/>
          <w:szCs w:val="20"/>
          <w:rtl w:val="0"/>
        </w:rPr>
        <w:t xml:space="preserve"> </w:t>
      </w:r>
      <w:r>
        <w:rPr>
          <w:rStyle w:val="Egyik sem"/>
          <w:rFonts w:ascii="Times New Roman" w:hAnsi="Times New Roman"/>
          <w:sz w:val="20"/>
          <w:szCs w:val="20"/>
          <w:rtl w:val="0"/>
          <w:lang w:val="en-US"/>
        </w:rPr>
        <w:t>Committee on the Elimination of Discrimination against Women: Concluding observations on the combined seventh and eighth periodic reports of Hungary, adopted by the Committee at its fifty-fourth session (11 February</w:t>
      </w:r>
      <w:r>
        <w:rPr>
          <w:rStyle w:val="Egyik sem"/>
          <w:rFonts w:ascii="Times New Roman" w:hAnsi="Times New Roman" w:hint="default"/>
          <w:sz w:val="20"/>
          <w:szCs w:val="20"/>
          <w:rtl w:val="0"/>
          <w:lang w:val="en-US"/>
        </w:rPr>
        <w:t>–</w:t>
      </w:r>
      <w:r>
        <w:rPr>
          <w:rStyle w:val="Egyik sem"/>
          <w:rFonts w:ascii="Times New Roman" w:hAnsi="Times New Roman"/>
          <w:sz w:val="20"/>
          <w:szCs w:val="20"/>
          <w:rtl w:val="0"/>
          <w:lang w:val="en-US"/>
        </w:rPr>
        <w:t>1 March 2013), CEDAW/C/HUN/CO/7-8), para. 9 (a)</w:t>
      </w:r>
    </w:p>
  </w:footnote>
  <w:footnote w:id="17">
    <w:p>
      <w:pPr>
        <w:pStyle w:val="Szövegtörzs A"/>
        <w:spacing w:line="240" w:lineRule="auto"/>
      </w:pPr>
      <w:r>
        <w:rPr>
          <w:rStyle w:val="Egyik sem"/>
          <w:rFonts w:ascii="Times New Roman" w:cs="Times New Roman" w:hAnsi="Times New Roman" w:eastAsia="Times New Roman"/>
          <w:i w:val="1"/>
          <w:iCs w:val="1"/>
          <w:sz w:val="24"/>
          <w:szCs w:val="24"/>
          <w:vertAlign w:val="superscript"/>
        </w:rPr>
        <w:footnoteRef/>
      </w:r>
      <w:r>
        <w:rPr>
          <w:rStyle w:val="Egyik sem"/>
          <w:rFonts w:ascii="Times New Roman" w:hAnsi="Times New Roman"/>
          <w:sz w:val="20"/>
          <w:szCs w:val="20"/>
          <w:rtl w:val="0"/>
          <w:lang w:val="en-US"/>
        </w:rPr>
        <w:t xml:space="preserve"> See CEDAW Concluding Observations (CO) (2013), para. 9 (c)</w:t>
      </w:r>
    </w:p>
  </w:footnote>
  <w:footnote w:id="18">
    <w:p>
      <w:pPr>
        <w:pStyle w:val="Szövegtörzs A"/>
        <w:spacing w:line="240" w:lineRule="auto"/>
      </w:pPr>
      <w:r>
        <w:rPr>
          <w:rStyle w:val="Egyik sem"/>
          <w:rFonts w:ascii="Times New Roman" w:cs="Times New Roman" w:hAnsi="Times New Roman" w:eastAsia="Times New Roman"/>
          <w:sz w:val="24"/>
          <w:szCs w:val="24"/>
          <w:vertAlign w:val="superscript"/>
        </w:rPr>
        <w:footnoteRef/>
      </w:r>
      <w:r>
        <w:rPr>
          <w:rStyle w:val="Egyik sem"/>
          <w:rFonts w:ascii="Times New Roman" w:hAnsi="Times New Roman"/>
          <w:sz w:val="20"/>
          <w:szCs w:val="20"/>
          <w:rtl w:val="0"/>
        </w:rPr>
        <w:t xml:space="preserve"> </w:t>
      </w:r>
      <w:r>
        <w:rPr>
          <w:rStyle w:val="Egyik sem"/>
          <w:rFonts w:ascii="Times New Roman" w:hAnsi="Times New Roman"/>
          <w:i w:val="1"/>
          <w:iCs w:val="1"/>
          <w:sz w:val="20"/>
          <w:szCs w:val="20"/>
          <w:rtl w:val="0"/>
          <w:lang w:val="pt-PT"/>
        </w:rPr>
        <w:t>Ibid.</w:t>
      </w:r>
      <w:r>
        <w:rPr>
          <w:rStyle w:val="Egyik sem"/>
          <w:rFonts w:ascii="Times New Roman" w:hAnsi="Times New Roman"/>
          <w:sz w:val="20"/>
          <w:szCs w:val="20"/>
          <w:rtl w:val="0"/>
          <w:lang w:val="pt-PT"/>
        </w:rPr>
        <w:t>, para. 18</w:t>
      </w:r>
    </w:p>
  </w:footnote>
  <w:footnote w:id="19">
    <w:p>
      <w:pPr>
        <w:pStyle w:val="Szövegtörzs A"/>
        <w:spacing w:line="240" w:lineRule="auto"/>
      </w:pPr>
      <w:r>
        <w:rPr>
          <w:rStyle w:val="Egyik sem"/>
          <w:rFonts w:ascii="Times New Roman" w:cs="Times New Roman" w:hAnsi="Times New Roman" w:eastAsia="Times New Roman"/>
          <w:sz w:val="24"/>
          <w:szCs w:val="24"/>
          <w:vertAlign w:val="superscript"/>
        </w:rPr>
        <w:footnoteRef/>
      </w:r>
      <w:r>
        <w:rPr>
          <w:rStyle w:val="Egyik sem"/>
          <w:rFonts w:ascii="Times New Roman" w:hAnsi="Times New Roman"/>
          <w:sz w:val="20"/>
          <w:szCs w:val="20"/>
          <w:rtl w:val="0"/>
        </w:rPr>
        <w:t xml:space="preserve"> </w:t>
      </w:r>
      <w:r>
        <w:rPr>
          <w:rStyle w:val="Egyik sem"/>
          <w:rFonts w:ascii="Times New Roman" w:hAnsi="Times New Roman"/>
          <w:i w:val="1"/>
          <w:iCs w:val="1"/>
          <w:sz w:val="20"/>
          <w:szCs w:val="20"/>
          <w:rtl w:val="0"/>
          <w:lang w:val="da-DK"/>
        </w:rPr>
        <w:t>Ibid</w:t>
      </w:r>
      <w:r>
        <w:rPr>
          <w:rStyle w:val="Egyik sem"/>
          <w:rFonts w:ascii="Times New Roman" w:hAnsi="Times New Roman"/>
          <w:sz w:val="20"/>
          <w:szCs w:val="20"/>
          <w:rtl w:val="0"/>
          <w:lang w:val="pt-PT"/>
        </w:rPr>
        <w:t>., para. 24</w:t>
      </w:r>
    </w:p>
  </w:footnote>
  <w:footnote w:id="20">
    <w:p>
      <w:pPr>
        <w:pStyle w:val="Szövegtörzs A"/>
        <w:spacing w:line="240" w:lineRule="auto"/>
      </w:pPr>
      <w:r>
        <w:rPr>
          <w:rStyle w:val="Egyik sem"/>
          <w:rFonts w:ascii="Times New Roman" w:cs="Times New Roman" w:hAnsi="Times New Roman" w:eastAsia="Times New Roman"/>
          <w:sz w:val="24"/>
          <w:szCs w:val="24"/>
          <w:vertAlign w:val="superscript"/>
        </w:rPr>
        <w:footnoteRef/>
      </w:r>
      <w:r>
        <w:rPr>
          <w:rStyle w:val="Egyik sem"/>
          <w:sz w:val="20"/>
          <w:szCs w:val="20"/>
          <w:rtl w:val="0"/>
        </w:rPr>
        <w:t xml:space="preserve"> </w:t>
      </w:r>
      <w:r>
        <w:rPr>
          <w:rStyle w:val="Egyik sem"/>
          <w:rFonts w:ascii="Times New Roman" w:hAnsi="Times New Roman"/>
          <w:sz w:val="20"/>
          <w:szCs w:val="20"/>
          <w:rtl w:val="0"/>
          <w:lang w:val="en-US"/>
        </w:rPr>
        <w:t xml:space="preserve">See for example comments by the Prime Minister or the Speaker of the Parliament quoted in </w:t>
      </w:r>
      <w:r>
        <w:rPr>
          <w:rStyle w:val="Hyperlink.0"/>
        </w:rPr>
        <w:fldChar w:fldCharType="begin" w:fldLock="0"/>
      </w:r>
      <w:r>
        <w:rPr>
          <w:rStyle w:val="Hyperlink.0"/>
        </w:rPr>
        <w:instrText xml:space="preserve"> HYPERLINK "https://insighthungary.444.hu/2020/12/14/conservative-backlash-against-womens-rights-in-hungary"</w:instrText>
      </w:r>
      <w:r>
        <w:rPr>
          <w:rStyle w:val="Hyperlink.0"/>
        </w:rPr>
        <w:fldChar w:fldCharType="separate" w:fldLock="0"/>
      </w:r>
      <w:r>
        <w:rPr>
          <w:rStyle w:val="Hyperlink.0"/>
          <w:rtl w:val="0"/>
          <w:lang w:val="en-US"/>
        </w:rPr>
        <w:t>this article</w:t>
      </w:r>
      <w:r>
        <w:rPr/>
        <w:fldChar w:fldCharType="end" w:fldLock="0"/>
      </w:r>
      <w:r>
        <w:rPr>
          <w:rStyle w:val="Egyik sem"/>
          <w:rFonts w:ascii="Times New Roman" w:hAnsi="Times New Roman"/>
          <w:sz w:val="20"/>
          <w:szCs w:val="20"/>
          <w:rtl w:val="0"/>
          <w:lang w:val="en-US"/>
        </w:rPr>
        <w:t xml:space="preserve">. In addition, the then </w:t>
      </w:r>
      <w:r>
        <w:rPr>
          <w:rStyle w:val="Egyik sem"/>
          <w:rFonts w:ascii="Times New Roman" w:hAnsi="Times New Roman"/>
          <w:sz w:val="20"/>
          <w:szCs w:val="20"/>
          <w:rtl w:val="0"/>
          <w:lang w:val="en-US"/>
        </w:rPr>
        <w:t>M</w:t>
      </w:r>
      <w:r>
        <w:rPr>
          <w:rStyle w:val="Egyik sem"/>
          <w:rFonts w:ascii="Times New Roman" w:hAnsi="Times New Roman"/>
          <w:sz w:val="20"/>
          <w:szCs w:val="20"/>
          <w:rtl w:val="0"/>
          <w:lang w:val="en-US"/>
        </w:rPr>
        <w:t>inister without portfolio responsible for families - also tasked with women</w:t>
      </w:r>
      <w:r>
        <w:rPr>
          <w:rStyle w:val="Egyik sem"/>
          <w:rFonts w:ascii="Times New Roman" w:hAnsi="Times New Roman" w:hint="default"/>
          <w:sz w:val="20"/>
          <w:szCs w:val="20"/>
          <w:rtl w:val="0"/>
          <w:lang w:val="en-US"/>
        </w:rPr>
        <w:t>’</w:t>
      </w:r>
      <w:r>
        <w:rPr>
          <w:rStyle w:val="Egyik sem"/>
          <w:rFonts w:ascii="Times New Roman" w:hAnsi="Times New Roman"/>
          <w:sz w:val="20"/>
          <w:szCs w:val="20"/>
          <w:rtl w:val="0"/>
          <w:lang w:val="en-US"/>
        </w:rPr>
        <w:t xml:space="preserve">s issues - in </w:t>
      </w:r>
      <w:r>
        <w:rPr>
          <w:rStyle w:val="Hyperlink.2"/>
        </w:rPr>
        <w:fldChar w:fldCharType="begin" w:fldLock="0"/>
      </w:r>
      <w:r>
        <w:rPr>
          <w:rStyle w:val="Hyperlink.2"/>
        </w:rPr>
        <w:instrText xml:space="preserve"> HYPERLINK "https://www.youtube.com/watch?v=IANg9226Aro&amp;feature=emb_logo"</w:instrText>
      </w:r>
      <w:r>
        <w:rPr>
          <w:rStyle w:val="Hyperlink.2"/>
        </w:rPr>
        <w:fldChar w:fldCharType="separate" w:fldLock="0"/>
      </w:r>
      <w:r>
        <w:rPr>
          <w:rStyle w:val="Hyperlink.2"/>
          <w:rtl w:val="0"/>
        </w:rPr>
        <w:t>a video</w:t>
      </w:r>
      <w:r>
        <w:rPr/>
        <w:fldChar w:fldCharType="end" w:fldLock="0"/>
      </w:r>
      <w:r>
        <w:rPr>
          <w:rStyle w:val="Egyik sem"/>
          <w:rFonts w:ascii="Times New Roman" w:hAnsi="Times New Roman"/>
          <w:sz w:val="20"/>
          <w:szCs w:val="20"/>
          <w:rtl w:val="0"/>
          <w:lang w:val="en-US"/>
        </w:rPr>
        <w:t xml:space="preserve"> on how a woman can be successful advised not to believe that women should compete continuously with men, or should at least be in the same position with the same salary as the others.  </w:t>
      </w:r>
    </w:p>
  </w:footnote>
  <w:footnote w:id="21">
    <w:p>
      <w:pPr>
        <w:pStyle w:val="Szövegtörzs A"/>
        <w:spacing w:line="240" w:lineRule="auto"/>
      </w:pPr>
      <w:r>
        <w:rPr>
          <w:rStyle w:val="Egyik sem"/>
          <w:rFonts w:ascii="Times New Roman" w:cs="Times New Roman" w:hAnsi="Times New Roman" w:eastAsia="Times New Roman"/>
          <w:sz w:val="24"/>
          <w:szCs w:val="24"/>
          <w:vertAlign w:val="superscript"/>
        </w:rPr>
        <w:footnoteRef/>
      </w:r>
      <w:r>
        <w:rPr>
          <w:rStyle w:val="Egyik sem"/>
          <w:rFonts w:ascii="Times New Roman" w:hAnsi="Times New Roman"/>
          <w:sz w:val="20"/>
          <w:szCs w:val="20"/>
          <w:rtl w:val="0"/>
        </w:rPr>
        <w:t xml:space="preserve"> </w:t>
      </w:r>
      <w:r>
        <w:rPr>
          <w:rStyle w:val="Hyperlink.0"/>
        </w:rPr>
        <w:fldChar w:fldCharType="begin" w:fldLock="0"/>
      </w:r>
      <w:r>
        <w:rPr>
          <w:rStyle w:val="Hyperlink.0"/>
        </w:rPr>
        <w:instrText xml:space="preserve"> HYPERLINK "https://data.ipu.org/women-ranking?month=11&amp;year=2022"</w:instrText>
      </w:r>
      <w:r>
        <w:rPr>
          <w:rStyle w:val="Hyperlink.0"/>
        </w:rPr>
        <w:fldChar w:fldCharType="separate" w:fldLock="0"/>
      </w:r>
      <w:r>
        <w:rPr>
          <w:rStyle w:val="Hyperlink.0"/>
          <w:rtl w:val="0"/>
          <w:lang w:val="en-US"/>
        </w:rPr>
        <w:t>https://data.ipu.org/women-ranking?month=11&amp;year=2022</w:t>
      </w:r>
      <w:r>
        <w:rPr/>
        <w:fldChar w:fldCharType="end" w:fldLock="0"/>
      </w:r>
    </w:p>
  </w:footnote>
  <w:footnote w:id="22">
    <w:p>
      <w:pPr>
        <w:pStyle w:val="Szövegtörzs A"/>
        <w:spacing w:line="240" w:lineRule="auto"/>
      </w:pPr>
      <w:r>
        <w:rPr>
          <w:rStyle w:val="Egyik sem"/>
          <w:rFonts w:ascii="Times New Roman" w:cs="Times New Roman" w:hAnsi="Times New Roman" w:eastAsia="Times New Roman"/>
          <w:sz w:val="24"/>
          <w:szCs w:val="24"/>
          <w:vertAlign w:val="superscript"/>
        </w:rPr>
        <w:footnoteRef/>
      </w:r>
      <w:r>
        <w:rPr>
          <w:rStyle w:val="Egyik sem"/>
          <w:sz w:val="20"/>
          <w:szCs w:val="20"/>
          <w:rtl w:val="0"/>
        </w:rPr>
        <w:t xml:space="preserve"> </w:t>
      </w:r>
      <w:r>
        <w:rPr>
          <w:rStyle w:val="Hyperlink.2"/>
        </w:rPr>
        <w:fldChar w:fldCharType="begin" w:fldLock="0"/>
      </w:r>
      <w:r>
        <w:rPr>
          <w:rStyle w:val="Hyperlink.2"/>
        </w:rPr>
        <w:instrText xml:space="preserve"> HYPERLINK "https://kormany.hu/a-kormany-tagjai"</w:instrText>
      </w:r>
      <w:r>
        <w:rPr>
          <w:rStyle w:val="Hyperlink.2"/>
        </w:rPr>
        <w:fldChar w:fldCharType="separate" w:fldLock="0"/>
      </w:r>
      <w:r>
        <w:rPr>
          <w:rStyle w:val="Hyperlink.2"/>
          <w:rtl w:val="0"/>
        </w:rPr>
        <w:t>https://kormany.hu/a-kormany-tagjai</w:t>
      </w:r>
      <w:r>
        <w:rPr/>
        <w:fldChar w:fldCharType="end" w:fldLock="0"/>
      </w:r>
    </w:p>
  </w:footnote>
  <w:footnote w:id="23">
    <w:p>
      <w:pPr>
        <w:pStyle w:val="Szövegtörzs A"/>
        <w:spacing w:line="240" w:lineRule="auto"/>
      </w:pPr>
      <w:r>
        <w:rPr>
          <w:rStyle w:val="Egyik sem"/>
          <w:rFonts w:ascii="Times New Roman" w:cs="Times New Roman" w:hAnsi="Times New Roman" w:eastAsia="Times New Roman"/>
          <w:sz w:val="24"/>
          <w:szCs w:val="24"/>
          <w:vertAlign w:val="superscript"/>
        </w:rPr>
        <w:footnoteRef/>
      </w:r>
      <w:r>
        <w:rPr>
          <w:rStyle w:val="Egyik sem"/>
          <w:sz w:val="20"/>
          <w:szCs w:val="20"/>
          <w:rtl w:val="0"/>
        </w:rPr>
        <w:t xml:space="preserve"> </w:t>
      </w:r>
      <w:r>
        <w:rPr>
          <w:rStyle w:val="Egyik sem"/>
          <w:rFonts w:ascii="Times New Roman" w:hAnsi="Times New Roman"/>
          <w:sz w:val="20"/>
          <w:szCs w:val="20"/>
          <w:rtl w:val="0"/>
          <w:lang w:val="en-US"/>
        </w:rPr>
        <w:t xml:space="preserve">See: HUNGARY PARLIAMENTARY ELECTIONS AND REFERENDUM, 3 April 2022, ODIHR Election Observation Mission, Final Report. OSCE ODIHR, Warsaw, 29 July 2022. p. 22. Available </w:t>
      </w:r>
      <w:r>
        <w:rPr>
          <w:rStyle w:val="Hyperlink.0"/>
        </w:rPr>
        <w:fldChar w:fldCharType="begin" w:fldLock="0"/>
      </w:r>
      <w:r>
        <w:rPr>
          <w:rStyle w:val="Hyperlink.0"/>
        </w:rPr>
        <w:instrText xml:space="preserve"> HYPERLINK "https://www.osce.org/files/f/documents/2/6/523568.pdf"</w:instrText>
      </w:r>
      <w:r>
        <w:rPr>
          <w:rStyle w:val="Hyperlink.0"/>
        </w:rPr>
        <w:fldChar w:fldCharType="separate" w:fldLock="0"/>
      </w:r>
      <w:r>
        <w:rPr>
          <w:rStyle w:val="Hyperlink.0"/>
          <w:rtl w:val="0"/>
          <w:lang w:val="en-US"/>
        </w:rPr>
        <w:t>here</w:t>
      </w:r>
      <w:r>
        <w:rPr/>
        <w:fldChar w:fldCharType="end" w:fldLock="0"/>
      </w:r>
      <w:r>
        <w:rPr>
          <w:rStyle w:val="Egyik sem"/>
          <w:rFonts w:ascii="Times New Roman" w:hAnsi="Times New Roman"/>
          <w:sz w:val="20"/>
          <w:szCs w:val="20"/>
          <w:rtl w:val="0"/>
        </w:rPr>
        <w:t>.</w:t>
      </w:r>
    </w:p>
  </w:footnote>
  <w:footnote w:id="24">
    <w:p>
      <w:pPr>
        <w:pStyle w:val="Szövegtörzs A"/>
        <w:spacing w:line="240" w:lineRule="auto"/>
      </w:pPr>
      <w:r>
        <w:rPr>
          <w:rStyle w:val="Egyik sem"/>
          <w:rFonts w:ascii="Times New Roman" w:cs="Times New Roman" w:hAnsi="Times New Roman" w:eastAsia="Times New Roman"/>
          <w:i w:val="1"/>
          <w:iCs w:val="1"/>
          <w:sz w:val="24"/>
          <w:szCs w:val="24"/>
          <w:vertAlign w:val="superscript"/>
        </w:rPr>
        <w:footnoteRef/>
      </w:r>
      <w:r>
        <w:rPr>
          <w:rStyle w:val="Egyik sem"/>
          <w:sz w:val="20"/>
          <w:szCs w:val="20"/>
          <w:rtl w:val="0"/>
        </w:rPr>
        <w:t xml:space="preserve"> </w:t>
      </w:r>
      <w:r>
        <w:rPr>
          <w:rStyle w:val="Egyik sem"/>
          <w:rFonts w:ascii="Times New Roman" w:hAnsi="Times New Roman"/>
          <w:sz w:val="20"/>
          <w:szCs w:val="20"/>
          <w:rtl w:val="0"/>
          <w:lang w:val="en-US"/>
        </w:rPr>
        <w:t>See CEDAW CO (2013), paras 17. a) and 25. a)</w:t>
      </w:r>
    </w:p>
  </w:footnote>
  <w:footnote w:id="25">
    <w:p>
      <w:pPr>
        <w:pStyle w:val="Szövegtörzs A"/>
        <w:spacing w:line="240" w:lineRule="auto"/>
      </w:pPr>
      <w:r>
        <w:rPr>
          <w:rStyle w:val="Egyik sem"/>
          <w:rFonts w:ascii="Times New Roman" w:cs="Times New Roman" w:hAnsi="Times New Roman" w:eastAsia="Times New Roman"/>
          <w:outline w:val="0"/>
          <w:color w:val="222222"/>
          <w:sz w:val="24"/>
          <w:szCs w:val="24"/>
          <w:u w:color="222222"/>
          <w:vertAlign w:val="superscript"/>
          <w14:textFill>
            <w14:solidFill>
              <w14:srgbClr w14:val="222222"/>
            </w14:solidFill>
          </w14:textFill>
        </w:rPr>
        <w:footnoteRef/>
      </w:r>
      <w:r>
        <w:rPr>
          <w:rStyle w:val="Egyik sem"/>
          <w:rFonts w:ascii="Times New Roman" w:hAnsi="Times New Roman"/>
          <w:sz w:val="20"/>
          <w:szCs w:val="20"/>
          <w:rtl w:val="0"/>
          <w:lang w:val="en-US"/>
        </w:rPr>
        <w:t xml:space="preserve"> See Government Decree No. 110/2012. (VI. 4.) on issuing, introduction and application of the National Core Curriculum, Annex - I.1</w:t>
      </w:r>
    </w:p>
  </w:footnote>
  <w:footnote w:id="26">
    <w:p>
      <w:pPr>
        <w:pStyle w:val="Szövegtörzs A"/>
        <w:spacing w:line="240" w:lineRule="auto"/>
      </w:pPr>
      <w:r>
        <w:rPr>
          <w:rStyle w:val="Egyik sem"/>
          <w:rFonts w:ascii="Times New Roman" w:cs="Times New Roman" w:hAnsi="Times New Roman" w:eastAsia="Times New Roman"/>
          <w:outline w:val="0"/>
          <w:color w:val="222222"/>
          <w:sz w:val="24"/>
          <w:szCs w:val="24"/>
          <w:u w:color="222222"/>
          <w:vertAlign w:val="superscript"/>
          <w14:textFill>
            <w14:solidFill>
              <w14:srgbClr w14:val="222222"/>
            </w14:solidFill>
          </w14:textFill>
        </w:rPr>
        <w:footnoteRef/>
      </w:r>
      <w:r>
        <w:rPr>
          <w:rStyle w:val="Egyik sem"/>
          <w:rFonts w:ascii="Times New Roman" w:hAnsi="Times New Roman"/>
          <w:sz w:val="20"/>
          <w:szCs w:val="20"/>
          <w:rtl w:val="0"/>
        </w:rPr>
        <w:t xml:space="preserve"> </w:t>
      </w:r>
      <w:r>
        <w:rPr>
          <w:rStyle w:val="Egyik sem"/>
          <w:rFonts w:ascii="Times New Roman" w:hAnsi="Times New Roman"/>
          <w:i w:val="1"/>
          <w:iCs w:val="1"/>
          <w:sz w:val="20"/>
          <w:szCs w:val="20"/>
          <w:rtl w:val="0"/>
          <w:lang w:val="pt-PT"/>
        </w:rPr>
        <w:t>Ibid.</w:t>
      </w:r>
      <w:r>
        <w:rPr>
          <w:rStyle w:val="Egyik sem"/>
          <w:rFonts w:ascii="Times New Roman" w:hAnsi="Times New Roman"/>
          <w:sz w:val="20"/>
          <w:szCs w:val="20"/>
          <w:rtl w:val="0"/>
          <w:lang w:val="it-IT"/>
        </w:rPr>
        <w:t xml:space="preserve">, Annex - II.3.4.3. </w:t>
      </w:r>
    </w:p>
  </w:footnote>
  <w:footnote w:id="27">
    <w:p>
      <w:pPr>
        <w:pStyle w:val="Szövegtörzs A"/>
        <w:spacing w:line="240" w:lineRule="auto"/>
      </w:pPr>
      <w:r>
        <w:rPr>
          <w:rStyle w:val="Egyik sem"/>
          <w:rFonts w:ascii="Times New Roman" w:cs="Times New Roman" w:hAnsi="Times New Roman" w:eastAsia="Times New Roman"/>
          <w:outline w:val="0"/>
          <w:color w:val="222222"/>
          <w:sz w:val="24"/>
          <w:szCs w:val="24"/>
          <w:u w:color="222222"/>
          <w:vertAlign w:val="superscript"/>
          <w14:textFill>
            <w14:solidFill>
              <w14:srgbClr w14:val="222222"/>
            </w14:solidFill>
          </w14:textFill>
        </w:rPr>
        <w:footnoteRef/>
      </w:r>
      <w:r>
        <w:rPr>
          <w:rStyle w:val="Egyik sem"/>
          <w:rFonts w:ascii="Times New Roman" w:hAnsi="Times New Roman"/>
          <w:sz w:val="20"/>
          <w:szCs w:val="20"/>
          <w:rtl w:val="0"/>
          <w:lang w:val="en-US"/>
        </w:rPr>
        <w:t xml:space="preserve"> See some examples in </w:t>
      </w:r>
      <w:r>
        <w:rPr>
          <w:rStyle w:val="Hyperlink.0"/>
        </w:rPr>
        <w:fldChar w:fldCharType="begin" w:fldLock="0"/>
      </w:r>
      <w:r>
        <w:rPr>
          <w:rStyle w:val="Hyperlink.0"/>
        </w:rPr>
        <w:instrText xml:space="preserve"> HYPERLINK "http://politicalcritique.org/cee/hungary/2017/sexism-and-racism-the-new-hungarian-schoolbooks-teach-everything-you-dont-want-your-child-to-learn/"</w:instrText>
      </w:r>
      <w:r>
        <w:rPr>
          <w:rStyle w:val="Hyperlink.0"/>
        </w:rPr>
        <w:fldChar w:fldCharType="separate" w:fldLock="0"/>
      </w:r>
      <w:r>
        <w:rPr>
          <w:rStyle w:val="Hyperlink.0"/>
          <w:rtl w:val="0"/>
          <w:lang w:val="en-US"/>
        </w:rPr>
        <w:t>this</w:t>
      </w:r>
      <w:r>
        <w:rPr/>
        <w:fldChar w:fldCharType="end" w:fldLock="0"/>
      </w:r>
      <w:r>
        <w:rPr>
          <w:rStyle w:val="Egyik sem"/>
          <w:rFonts w:ascii="Times New Roman" w:hAnsi="Times New Roman"/>
          <w:sz w:val="20"/>
          <w:szCs w:val="20"/>
          <w:rtl w:val="0"/>
          <w:lang w:val="en-US"/>
        </w:rPr>
        <w:t xml:space="preserve"> article.</w:t>
      </w:r>
    </w:p>
  </w:footnote>
  <w:footnote w:id="28">
    <w:p>
      <w:pPr>
        <w:pStyle w:val="Szövegtörzs A"/>
        <w:spacing w:line="240" w:lineRule="auto"/>
      </w:pPr>
      <w:r>
        <w:rPr>
          <w:rStyle w:val="Egyik sem"/>
          <w:rFonts w:ascii="Times New Roman" w:cs="Times New Roman" w:hAnsi="Times New Roman" w:eastAsia="Times New Roman"/>
          <w:outline w:val="0"/>
          <w:color w:val="222222"/>
          <w:sz w:val="24"/>
          <w:szCs w:val="24"/>
          <w:u w:color="222222"/>
          <w:vertAlign w:val="superscript"/>
          <w14:textFill>
            <w14:solidFill>
              <w14:srgbClr w14:val="222222"/>
            </w14:solidFill>
          </w14:textFill>
        </w:rPr>
        <w:footnoteRef/>
      </w:r>
      <w:r>
        <w:rPr>
          <w:rStyle w:val="Egyik sem"/>
          <w:rFonts w:ascii="Times New Roman" w:hAnsi="Times New Roman"/>
          <w:sz w:val="20"/>
          <w:szCs w:val="20"/>
          <w:rtl w:val="0"/>
          <w:lang w:val="en-US"/>
        </w:rPr>
        <w:t xml:space="preserve"> See a related article </w:t>
      </w:r>
      <w:r>
        <w:rPr>
          <w:rStyle w:val="Hyperlink.0"/>
        </w:rPr>
        <w:fldChar w:fldCharType="begin" w:fldLock="0"/>
      </w:r>
      <w:r>
        <w:rPr>
          <w:rStyle w:val="Hyperlink.0"/>
        </w:rPr>
        <w:instrText xml:space="preserve"> HYPERLINK "https://telex.hu/english/2022/08/25/the-state-audit-office-worries-that-too-many-women-getting-university-education-will-lead-to-less-children-being-born"</w:instrText>
      </w:r>
      <w:r>
        <w:rPr>
          <w:rStyle w:val="Hyperlink.0"/>
        </w:rPr>
        <w:fldChar w:fldCharType="separate" w:fldLock="0"/>
      </w:r>
      <w:r>
        <w:rPr>
          <w:rStyle w:val="Hyperlink.0"/>
          <w:rtl w:val="0"/>
          <w:lang w:val="en-US"/>
        </w:rPr>
        <w:t>here</w:t>
      </w:r>
      <w:r>
        <w:rPr/>
        <w:fldChar w:fldCharType="end" w:fldLock="0"/>
      </w:r>
      <w:r>
        <w:rPr>
          <w:rStyle w:val="Egyik sem"/>
          <w:rFonts w:ascii="Times New Roman" w:hAnsi="Times New Roman"/>
          <w:sz w:val="20"/>
          <w:szCs w:val="20"/>
          <w:rtl w:val="0"/>
        </w:rPr>
        <w:t>.</w:t>
      </w:r>
    </w:p>
  </w:footnote>
  <w:footnote w:id="29">
    <w:p>
      <w:pPr>
        <w:pStyle w:val="Szövegtörzs A"/>
        <w:spacing w:line="240" w:lineRule="auto"/>
      </w:pPr>
      <w:r>
        <w:rPr>
          <w:rStyle w:val="Egyik sem"/>
          <w:rFonts w:ascii="Times New Roman" w:cs="Times New Roman" w:hAnsi="Times New Roman" w:eastAsia="Times New Roman"/>
          <w:outline w:val="0"/>
          <w:color w:val="222222"/>
          <w:sz w:val="24"/>
          <w:szCs w:val="24"/>
          <w:u w:color="222222"/>
          <w:vertAlign w:val="superscript"/>
          <w14:textFill>
            <w14:solidFill>
              <w14:srgbClr w14:val="222222"/>
            </w14:solidFill>
          </w14:textFill>
        </w:rPr>
        <w:footnoteRef/>
      </w:r>
      <w:r>
        <w:rPr>
          <w:rStyle w:val="Egyik sem"/>
          <w:sz w:val="20"/>
          <w:szCs w:val="20"/>
          <w:rtl w:val="0"/>
        </w:rPr>
        <w:t xml:space="preserve"> </w:t>
      </w:r>
      <w:r>
        <w:rPr>
          <w:rStyle w:val="Egyik sem"/>
          <w:rFonts w:ascii="Times New Roman" w:hAnsi="Times New Roman"/>
          <w:sz w:val="20"/>
          <w:szCs w:val="20"/>
          <w:rtl w:val="0"/>
          <w:lang w:val="en-US"/>
        </w:rPr>
        <w:t xml:space="preserve">See the report in Hungarian </w:t>
      </w:r>
      <w:r>
        <w:rPr>
          <w:rStyle w:val="Hyperlink.0"/>
        </w:rPr>
        <w:fldChar w:fldCharType="begin" w:fldLock="0"/>
      </w:r>
      <w:r>
        <w:rPr>
          <w:rStyle w:val="Hyperlink.0"/>
        </w:rPr>
        <w:instrText xml:space="preserve"> HYPERLINK "https://www.aszhirportal.hu/storage/files/files/elemzesek/2022/E2202_A_felsofoku_vegzetts.pdf?download=true"</w:instrText>
      </w:r>
      <w:r>
        <w:rPr>
          <w:rStyle w:val="Hyperlink.0"/>
        </w:rPr>
        <w:fldChar w:fldCharType="separate" w:fldLock="0"/>
      </w:r>
      <w:r>
        <w:rPr>
          <w:rStyle w:val="Hyperlink.0"/>
          <w:rtl w:val="0"/>
          <w:lang w:val="en-US"/>
        </w:rPr>
        <w:t>here</w:t>
      </w:r>
      <w:r>
        <w:rPr/>
        <w:fldChar w:fldCharType="end" w:fldLock="0"/>
      </w:r>
      <w:r>
        <w:rPr>
          <w:rStyle w:val="Egyik sem"/>
          <w:rFonts w:ascii="Times New Roman" w:hAnsi="Times New Roman"/>
          <w:sz w:val="20"/>
          <w:szCs w:val="20"/>
          <w:rtl w:val="0"/>
          <w:lang w:val="en-US"/>
        </w:rPr>
        <w:t>. The quote is from page 5.</w:t>
      </w:r>
    </w:p>
  </w:footnote>
  <w:footnote w:id="30">
    <w:p>
      <w:pPr>
        <w:pStyle w:val="Szövegtörzs A"/>
        <w:spacing w:line="240" w:lineRule="auto"/>
      </w:pPr>
      <w:r>
        <w:rPr>
          <w:rStyle w:val="Egyik sem"/>
          <w:rFonts w:ascii="Times New Roman" w:cs="Times New Roman" w:hAnsi="Times New Roman" w:eastAsia="Times New Roman"/>
          <w:outline w:val="0"/>
          <w:color w:val="222222"/>
          <w:sz w:val="24"/>
          <w:szCs w:val="24"/>
          <w:u w:color="222222"/>
          <w:vertAlign w:val="superscript"/>
          <w14:textFill>
            <w14:solidFill>
              <w14:srgbClr w14:val="222222"/>
            </w14:solidFill>
          </w14:textFill>
        </w:rPr>
        <w:footnoteRef/>
      </w:r>
      <w:r>
        <w:rPr>
          <w:rStyle w:val="Egyik sem"/>
          <w:sz w:val="20"/>
          <w:szCs w:val="20"/>
          <w:rtl w:val="0"/>
        </w:rPr>
        <w:t xml:space="preserve"> </w:t>
      </w:r>
      <w:r>
        <w:rPr>
          <w:rStyle w:val="Egyik sem"/>
          <w:rFonts w:ascii="Times New Roman" w:hAnsi="Times New Roman"/>
          <w:sz w:val="20"/>
          <w:szCs w:val="20"/>
          <w:rtl w:val="0"/>
          <w:lang w:val="en-US"/>
        </w:rPr>
        <w:t xml:space="preserve">See an article in Hungarian </w:t>
      </w:r>
      <w:r>
        <w:rPr>
          <w:rStyle w:val="Hyperlink.0"/>
        </w:rPr>
        <w:fldChar w:fldCharType="begin" w:fldLock="0"/>
      </w:r>
      <w:r>
        <w:rPr>
          <w:rStyle w:val="Hyperlink.0"/>
        </w:rPr>
        <w:instrText xml:space="preserve"> HYPERLINK "https://444.hu/2022/01/10/a-parkapcsolati-eroszakrol-szolo-eloadasokat-sem-lehet-megtartani-az-iskolakban-mert-kasler-nem-allitotta-ossze-a-beengedheto-civilek-listajat"</w:instrText>
      </w:r>
      <w:r>
        <w:rPr>
          <w:rStyle w:val="Hyperlink.0"/>
        </w:rPr>
        <w:fldChar w:fldCharType="separate" w:fldLock="0"/>
      </w:r>
      <w:r>
        <w:rPr>
          <w:rStyle w:val="Hyperlink.0"/>
          <w:rtl w:val="0"/>
          <w:lang w:val="en-US"/>
        </w:rPr>
        <w:t>here</w:t>
      </w:r>
      <w:r>
        <w:rPr/>
        <w:fldChar w:fldCharType="end" w:fldLock="0"/>
      </w:r>
      <w:r>
        <w:rPr>
          <w:rStyle w:val="Egyik sem"/>
          <w:rFonts w:ascii="Times New Roman" w:hAnsi="Times New Roman"/>
          <w:sz w:val="20"/>
          <w:szCs w:val="20"/>
          <w:rtl w:val="0"/>
        </w:rPr>
        <w:t xml:space="preserve">. </w:t>
      </w:r>
    </w:p>
  </w:footnote>
  <w:footnote w:id="31">
    <w:p>
      <w:pPr>
        <w:pStyle w:val="Szövegtörzs A"/>
        <w:spacing w:line="240" w:lineRule="auto"/>
      </w:pPr>
      <w:r>
        <w:rPr>
          <w:rStyle w:val="Egyik sem"/>
          <w:rFonts w:ascii="Times New Roman" w:cs="Times New Roman" w:hAnsi="Times New Roman" w:eastAsia="Times New Roman"/>
          <w:i w:val="1"/>
          <w:iCs w:val="1"/>
          <w:sz w:val="24"/>
          <w:szCs w:val="24"/>
          <w:vertAlign w:val="superscript"/>
        </w:rPr>
        <w:footnoteRef/>
      </w:r>
      <w:r>
        <w:rPr>
          <w:rStyle w:val="Egyik sem"/>
          <w:rFonts w:ascii="Times New Roman" w:hAnsi="Times New Roman"/>
          <w:sz w:val="20"/>
          <w:szCs w:val="20"/>
          <w:rtl w:val="0"/>
          <w:lang w:val="pt-PT"/>
        </w:rPr>
        <w:t xml:space="preserve"> See CEDAW CO (2013), para 31.</w:t>
      </w:r>
    </w:p>
  </w:footnote>
  <w:footnote w:id="32">
    <w:p>
      <w:pPr>
        <w:pStyle w:val="Szövegtörzs A"/>
        <w:spacing w:line="240" w:lineRule="auto"/>
      </w:pPr>
      <w:r>
        <w:rPr>
          <w:rStyle w:val="Egyik sem"/>
          <w:rFonts w:ascii="Times New Roman" w:cs="Times New Roman" w:hAnsi="Times New Roman" w:eastAsia="Times New Roman"/>
          <w:sz w:val="24"/>
          <w:szCs w:val="24"/>
          <w:vertAlign w:val="superscript"/>
        </w:rPr>
        <w:footnoteRef/>
      </w:r>
      <w:r>
        <w:rPr>
          <w:rStyle w:val="Egyik sem"/>
          <w:sz w:val="20"/>
          <w:szCs w:val="20"/>
          <w:rtl w:val="0"/>
        </w:rPr>
        <w:t xml:space="preserve"> </w:t>
      </w:r>
      <w:r>
        <w:rPr>
          <w:rStyle w:val="Hyperlink.0"/>
        </w:rPr>
        <w:fldChar w:fldCharType="begin" w:fldLock="0"/>
      </w:r>
      <w:r>
        <w:rPr>
          <w:rStyle w:val="Hyperlink.0"/>
        </w:rPr>
        <w:instrText xml:space="preserve"> HYPERLINK "https://www.ec-ec.org/european-commission-decision-grants-120-million-women-direct-access-to-ellaone/"</w:instrText>
      </w:r>
      <w:r>
        <w:rPr>
          <w:rStyle w:val="Hyperlink.0"/>
        </w:rPr>
        <w:fldChar w:fldCharType="separate" w:fldLock="0"/>
      </w:r>
      <w:r>
        <w:rPr>
          <w:rStyle w:val="Hyperlink.0"/>
          <w:rtl w:val="0"/>
          <w:lang w:val="en-US"/>
        </w:rPr>
        <w:t>https://www.ec-ec.org/european-commission-decision-grants-120-million-women-direct-access-to-ellaone/</w:t>
      </w:r>
      <w:r>
        <w:rPr/>
        <w:fldChar w:fldCharType="end" w:fldLock="0"/>
      </w:r>
    </w:p>
  </w:footnote>
  <w:footnote w:id="33">
    <w:p>
      <w:pPr>
        <w:pStyle w:val="Szövegtörzs A"/>
        <w:spacing w:line="240" w:lineRule="auto"/>
      </w:pPr>
      <w:r>
        <w:rPr>
          <w:rStyle w:val="Egyik sem"/>
          <w:rFonts w:ascii="Times New Roman" w:cs="Times New Roman" w:hAnsi="Times New Roman" w:eastAsia="Times New Roman"/>
          <w:sz w:val="24"/>
          <w:szCs w:val="24"/>
          <w:vertAlign w:val="superscript"/>
        </w:rPr>
        <w:footnoteRef/>
      </w:r>
      <w:r>
        <w:rPr>
          <w:rStyle w:val="Egyik sem"/>
          <w:sz w:val="20"/>
          <w:szCs w:val="20"/>
          <w:rtl w:val="0"/>
        </w:rPr>
        <w:t xml:space="preserve"> </w:t>
      </w:r>
      <w:r>
        <w:rPr>
          <w:rStyle w:val="Hyperlink.0"/>
        </w:rPr>
        <w:fldChar w:fldCharType="begin" w:fldLock="0"/>
      </w:r>
      <w:r>
        <w:rPr>
          <w:rStyle w:val="Hyperlink.0"/>
        </w:rPr>
        <w:instrText xml:space="preserve"> HYPERLINK "http://abortusz.info/kutatas/2014/item/download/12_5e43f66859209e6bfe84185a8cd22234"</w:instrText>
      </w:r>
      <w:r>
        <w:rPr>
          <w:rStyle w:val="Hyperlink.0"/>
        </w:rPr>
        <w:fldChar w:fldCharType="separate" w:fldLock="0"/>
      </w:r>
      <w:r>
        <w:rPr>
          <w:rStyle w:val="Hyperlink.0"/>
          <w:rtl w:val="0"/>
          <w:lang w:val="en-US"/>
        </w:rPr>
        <w:t>http://abortusz.info/kutatas/2014/item/download/12_5e43f66859209e6bfe84185a8cd22234</w:t>
      </w:r>
      <w:r>
        <w:rPr/>
        <w:fldChar w:fldCharType="end" w:fldLock="0"/>
      </w:r>
      <w:r>
        <w:rPr>
          <w:rStyle w:val="Egyik sem"/>
          <w:rFonts w:ascii="Times New Roman" w:hAnsi="Times New Roman"/>
          <w:sz w:val="20"/>
          <w:szCs w:val="20"/>
          <w:rtl w:val="0"/>
        </w:rPr>
        <w:t xml:space="preserve"> </w:t>
      </w:r>
    </w:p>
  </w:footnote>
  <w:footnote w:id="34">
    <w:p>
      <w:pPr>
        <w:pStyle w:val="Szövegtörzs A"/>
        <w:spacing w:line="240" w:lineRule="auto"/>
      </w:pPr>
      <w:r>
        <w:rPr>
          <w:rStyle w:val="Egyik sem"/>
          <w:rFonts w:ascii="Times New Roman" w:cs="Times New Roman" w:hAnsi="Times New Roman" w:eastAsia="Times New Roman"/>
          <w:sz w:val="24"/>
          <w:szCs w:val="24"/>
          <w:vertAlign w:val="superscript"/>
        </w:rPr>
        <w:footnoteRef/>
      </w:r>
      <w:r>
        <w:rPr>
          <w:rStyle w:val="Egyik sem"/>
          <w:sz w:val="20"/>
          <w:szCs w:val="20"/>
          <w:rtl w:val="0"/>
        </w:rPr>
        <w:t xml:space="preserve"> </w:t>
      </w:r>
      <w:r>
        <w:rPr>
          <w:rStyle w:val="Egyik sem"/>
          <w:rFonts w:ascii="Times New Roman" w:hAnsi="Times New Roman"/>
          <w:sz w:val="20"/>
          <w:szCs w:val="20"/>
          <w:rtl w:val="0"/>
          <w:lang w:val="en-US"/>
        </w:rPr>
        <w:t>NM regulation No. 32/1992. (XII. 23.)</w:t>
      </w:r>
    </w:p>
  </w:footnote>
  <w:footnote w:id="35">
    <w:p>
      <w:pPr>
        <w:pStyle w:val="Szövegtörzs A"/>
        <w:spacing w:line="240" w:lineRule="auto"/>
      </w:pPr>
      <w:r>
        <w:rPr>
          <w:rStyle w:val="Egyik sem"/>
          <w:rFonts w:ascii="Times New Roman" w:cs="Times New Roman" w:hAnsi="Times New Roman" w:eastAsia="Times New Roman"/>
          <w:sz w:val="24"/>
          <w:szCs w:val="24"/>
          <w:vertAlign w:val="superscript"/>
        </w:rPr>
        <w:footnoteRef/>
      </w:r>
      <w:r>
        <w:rPr>
          <w:rStyle w:val="Egyik sem"/>
          <w:rFonts w:ascii="Times New Roman" w:hAnsi="Times New Roman"/>
          <w:sz w:val="20"/>
          <w:szCs w:val="20"/>
          <w:rtl w:val="0"/>
          <w:lang w:val="de-DE"/>
        </w:rPr>
        <w:t xml:space="preserve"> See in Hungarian: </w:t>
      </w:r>
      <w:r>
        <w:rPr>
          <w:rStyle w:val="Hyperlink.2"/>
        </w:rPr>
        <w:fldChar w:fldCharType="begin" w:fldLock="0"/>
      </w:r>
      <w:r>
        <w:rPr>
          <w:rStyle w:val="Hyperlink.2"/>
        </w:rPr>
        <w:instrText xml:space="preserve"> HYPERLINK "http://abortusz.info/tenyek-az-abortuszrol/item/252-abortusztabletta-1"</w:instrText>
      </w:r>
      <w:r>
        <w:rPr>
          <w:rStyle w:val="Hyperlink.2"/>
        </w:rPr>
        <w:fldChar w:fldCharType="separate" w:fldLock="0"/>
      </w:r>
      <w:r>
        <w:rPr>
          <w:rStyle w:val="Hyperlink.2"/>
          <w:rtl w:val="0"/>
        </w:rPr>
        <w:t>http://abortusz.info/tenyek-az-abortuszrol/item/252-abortusztabletta-1</w:t>
      </w:r>
      <w:r>
        <w:rPr/>
        <w:fldChar w:fldCharType="end" w:fldLock="0"/>
      </w:r>
    </w:p>
  </w:footnote>
  <w:footnote w:id="36">
    <w:p>
      <w:pPr>
        <w:pStyle w:val="Szövegtörzs A"/>
        <w:spacing w:line="240" w:lineRule="auto"/>
        <w:rPr>
          <w:rStyle w:val="Egyik sem"/>
          <w:rFonts w:ascii="Times New Roman" w:cs="Times New Roman" w:hAnsi="Times New Roman" w:eastAsia="Times New Roman"/>
          <w:sz w:val="20"/>
          <w:szCs w:val="20"/>
        </w:rPr>
      </w:pPr>
      <w:r>
        <w:rPr>
          <w:rStyle w:val="Egyik sem"/>
          <w:rFonts w:ascii="Times New Roman" w:cs="Times New Roman" w:hAnsi="Times New Roman" w:eastAsia="Times New Roman"/>
          <w:sz w:val="24"/>
          <w:szCs w:val="24"/>
          <w:vertAlign w:val="superscript"/>
        </w:rPr>
        <w:footnoteRef/>
      </w:r>
      <w:r>
        <w:rPr>
          <w:rStyle w:val="Egyik sem"/>
          <w:sz w:val="20"/>
          <w:szCs w:val="20"/>
          <w:rtl w:val="0"/>
        </w:rPr>
        <w:t xml:space="preserve"> </w:t>
      </w:r>
      <w:r>
        <w:rPr>
          <w:rStyle w:val="Egyik sem"/>
          <w:rFonts w:ascii="Times New Roman" w:hAnsi="Times New Roman"/>
          <w:sz w:val="20"/>
          <w:szCs w:val="20"/>
          <w:rtl w:val="0"/>
          <w:lang w:val="en-US"/>
        </w:rPr>
        <w:t xml:space="preserve">See: </w:t>
      </w:r>
    </w:p>
    <w:p>
      <w:pPr>
        <w:pStyle w:val="Szövegtörzs A"/>
        <w:spacing w:line="240" w:lineRule="auto"/>
        <w:jc w:val="both"/>
      </w:pPr>
      <w:r>
        <w:rPr>
          <w:rStyle w:val="Hyperlink.0"/>
        </w:rPr>
        <w:fldChar w:fldCharType="begin" w:fldLock="0"/>
      </w:r>
      <w:r>
        <w:rPr>
          <w:rStyle w:val="Hyperlink.0"/>
        </w:rPr>
        <w:instrText xml:space="preserve"> HYPERLINK "https://www.ohchr.org/sites/default/files/Documents/Issues/Women/WRGS/Health/ReportMaternalMortality.pdf"</w:instrText>
      </w:r>
      <w:r>
        <w:rPr>
          <w:rStyle w:val="Hyperlink.0"/>
        </w:rPr>
        <w:fldChar w:fldCharType="separate" w:fldLock="0"/>
      </w:r>
      <w:r>
        <w:rPr>
          <w:rStyle w:val="Hyperlink.0"/>
          <w:rtl w:val="0"/>
          <w:lang w:val="en-US"/>
        </w:rPr>
        <w:t>https://www.ohchr.org/sites/default/files/Documents/Issues/Women/WRGS/Health/ReportMaternalMortality.pdf</w:t>
      </w:r>
      <w:r>
        <w:rPr/>
        <w:fldChar w:fldCharType="end" w:fldLock="0"/>
      </w:r>
    </w:p>
  </w:footnote>
  <w:footnote w:id="37">
    <w:p>
      <w:pPr>
        <w:pStyle w:val="Szövegtörzs A"/>
        <w:spacing w:line="240" w:lineRule="auto"/>
        <w:rPr>
          <w:rStyle w:val="Egyik sem"/>
          <w:rFonts w:ascii="Times New Roman" w:cs="Times New Roman" w:hAnsi="Times New Roman" w:eastAsia="Times New Roman"/>
          <w:sz w:val="20"/>
          <w:szCs w:val="20"/>
        </w:rPr>
      </w:pPr>
      <w:r>
        <w:rPr>
          <w:rStyle w:val="Egyik sem"/>
          <w:rFonts w:ascii="Times New Roman" w:cs="Times New Roman" w:hAnsi="Times New Roman" w:eastAsia="Times New Roman"/>
          <w:sz w:val="24"/>
          <w:szCs w:val="24"/>
          <w:vertAlign w:val="superscript"/>
        </w:rPr>
        <w:footnoteRef/>
      </w:r>
      <w:r>
        <w:rPr>
          <w:rStyle w:val="Egyik sem"/>
          <w:rFonts w:ascii="Times New Roman" w:hAnsi="Times New Roman"/>
          <w:sz w:val="20"/>
          <w:szCs w:val="20"/>
          <w:rtl w:val="0"/>
          <w:lang w:val="en-US"/>
        </w:rPr>
        <w:t xml:space="preserve"> See:</w:t>
      </w:r>
    </w:p>
    <w:p>
      <w:pPr>
        <w:pStyle w:val="Szövegtörzs A"/>
        <w:spacing w:line="240" w:lineRule="auto"/>
      </w:pPr>
      <w:r>
        <w:rPr>
          <w:rStyle w:val="Hyperlink.0"/>
        </w:rPr>
        <w:fldChar w:fldCharType="begin" w:fldLock="0"/>
      </w:r>
      <w:r>
        <w:rPr>
          <w:rStyle w:val="Hyperlink.0"/>
        </w:rPr>
        <w:instrText xml:space="preserve"> HYPERLINK "https://www.hhs.gov/about/news/2020/10/22/trump-administration-marks-signing-geneva-consensus-declaration.html"</w:instrText>
      </w:r>
      <w:r>
        <w:rPr>
          <w:rStyle w:val="Hyperlink.0"/>
        </w:rPr>
        <w:fldChar w:fldCharType="separate" w:fldLock="0"/>
      </w:r>
      <w:r>
        <w:rPr>
          <w:rStyle w:val="Hyperlink.0"/>
          <w:rtl w:val="0"/>
          <w:lang w:val="en-US"/>
        </w:rPr>
        <w:t>https://www.hhs.gov/about/news/2020/10/22/trump-administration-marks-signing-geneva-consensus-declaration.html</w:t>
      </w:r>
      <w:r>
        <w:rPr/>
        <w:fldChar w:fldCharType="end" w:fldLock="0"/>
      </w:r>
    </w:p>
  </w:footnote>
  <w:footnote w:id="38">
    <w:p>
      <w:pPr>
        <w:pStyle w:val="Szövegtörzs A"/>
        <w:spacing w:line="240" w:lineRule="auto"/>
      </w:pPr>
      <w:r>
        <w:rPr>
          <w:rStyle w:val="Egyik sem"/>
          <w:rFonts w:ascii="Times New Roman" w:cs="Times New Roman" w:hAnsi="Times New Roman" w:eastAsia="Times New Roman"/>
          <w:sz w:val="24"/>
          <w:szCs w:val="24"/>
          <w:vertAlign w:val="superscript"/>
        </w:rPr>
        <w:footnoteRef/>
      </w:r>
      <w:r>
        <w:rPr>
          <w:rStyle w:val="Egyik sem"/>
          <w:rFonts w:ascii="Times New Roman" w:hAnsi="Times New Roman"/>
          <w:sz w:val="20"/>
          <w:szCs w:val="20"/>
          <w:rtl w:val="0"/>
        </w:rPr>
        <w:t xml:space="preserve"> </w:t>
      </w:r>
      <w:r>
        <w:rPr>
          <w:rStyle w:val="Egyik sem"/>
          <w:rFonts w:ascii="Times New Roman" w:hAnsi="Times New Roman"/>
          <w:i w:val="1"/>
          <w:iCs w:val="1"/>
          <w:sz w:val="20"/>
          <w:szCs w:val="20"/>
          <w:rtl w:val="0"/>
          <w:lang w:val="pt-PT"/>
        </w:rPr>
        <w:t>Ibid.</w:t>
      </w:r>
    </w:p>
  </w:footnote>
  <w:footnote w:id="39">
    <w:p>
      <w:pPr>
        <w:pStyle w:val="Szövegtörzs A"/>
        <w:spacing w:line="240" w:lineRule="auto"/>
      </w:pPr>
      <w:r>
        <w:rPr>
          <w:rStyle w:val="Egyik sem"/>
          <w:rFonts w:ascii="Times New Roman" w:cs="Times New Roman" w:hAnsi="Times New Roman" w:eastAsia="Times New Roman"/>
          <w:sz w:val="24"/>
          <w:szCs w:val="24"/>
          <w:vertAlign w:val="superscript"/>
        </w:rPr>
        <w:footnoteRef/>
      </w:r>
      <w:r>
        <w:rPr>
          <w:rStyle w:val="Egyik sem"/>
          <w:rFonts w:ascii="Times New Roman" w:hAnsi="Times New Roman"/>
          <w:sz w:val="20"/>
          <w:szCs w:val="20"/>
          <w:rtl w:val="0"/>
          <w:lang w:val="de-DE"/>
        </w:rPr>
        <w:t xml:space="preserve"> See in Hungarian: </w:t>
      </w:r>
      <w:r>
        <w:rPr>
          <w:rStyle w:val="Hyperlink.3"/>
        </w:rPr>
        <w:fldChar w:fldCharType="begin" w:fldLock="0"/>
      </w:r>
      <w:r>
        <w:rPr>
          <w:rStyle w:val="Hyperlink.3"/>
        </w:rPr>
        <w:instrText xml:space="preserve"> HYPERLINK "https://444.hu/2017/02/09/ket-korhaz-a-kormanytol-kapott-penzert-cserebe-vallalta-hogy-nem-vegez-abortuszt"</w:instrText>
      </w:r>
      <w:r>
        <w:rPr>
          <w:rStyle w:val="Hyperlink.3"/>
        </w:rPr>
        <w:fldChar w:fldCharType="separate" w:fldLock="0"/>
      </w:r>
      <w:r>
        <w:rPr>
          <w:rStyle w:val="Hyperlink.3"/>
          <w:rtl w:val="0"/>
        </w:rPr>
        <w:t>https://444.hu/2017/02/09/ket-korhaz-a-kormanytol-kapott-penzert-cserebe-vallalta-hogy-nem-vegez-abortuszt</w:t>
      </w:r>
      <w:r>
        <w:rPr/>
        <w:fldChar w:fldCharType="end" w:fldLock="0"/>
      </w:r>
    </w:p>
  </w:footnote>
  <w:footnote w:id="40">
    <w:p>
      <w:pPr>
        <w:pStyle w:val="Szövegtörzs A"/>
        <w:spacing w:line="240" w:lineRule="auto"/>
      </w:pPr>
      <w:r>
        <w:rPr>
          <w:rStyle w:val="Egyik sem"/>
          <w:rFonts w:ascii="Times New Roman" w:cs="Times New Roman" w:hAnsi="Times New Roman" w:eastAsia="Times New Roman"/>
          <w:sz w:val="24"/>
          <w:szCs w:val="24"/>
          <w:vertAlign w:val="superscript"/>
        </w:rPr>
        <w:footnoteRef/>
      </w:r>
      <w:r>
        <w:rPr>
          <w:rStyle w:val="Egyik sem"/>
          <w:sz w:val="20"/>
          <w:szCs w:val="20"/>
          <w:rtl w:val="0"/>
        </w:rPr>
        <w:t xml:space="preserve"> </w:t>
      </w:r>
      <w:r>
        <w:rPr>
          <w:rStyle w:val="Egyik sem"/>
          <w:rFonts w:ascii="Times New Roman" w:hAnsi="Times New Roman"/>
          <w:sz w:val="20"/>
          <w:szCs w:val="20"/>
          <w:rtl w:val="0"/>
          <w:lang w:val="en-US"/>
        </w:rPr>
        <w:t xml:space="preserve">Act CLIV of 1997 on health care, 187. </w:t>
      </w:r>
      <w:r>
        <w:rPr>
          <w:rStyle w:val="Egyik sem"/>
          <w:rFonts w:ascii="Times New Roman" w:hAnsi="Times New Roman" w:hint="default"/>
          <w:sz w:val="20"/>
          <w:szCs w:val="20"/>
          <w:rtl w:val="0"/>
          <w:lang w:val="en-US"/>
        </w:rPr>
        <w:t xml:space="preserve">§ </w:t>
      </w:r>
      <w:r>
        <w:rPr>
          <w:rStyle w:val="Egyik sem"/>
          <w:rFonts w:ascii="Times New Roman" w:hAnsi="Times New Roman"/>
          <w:sz w:val="20"/>
          <w:szCs w:val="20"/>
          <w:rtl w:val="0"/>
        </w:rPr>
        <w:t xml:space="preserve">(1) a) </w:t>
      </w:r>
    </w:p>
  </w:footnote>
  <w:footnote w:id="41">
    <w:p>
      <w:pPr>
        <w:pStyle w:val="Szövegtörzs A"/>
        <w:spacing w:line="240" w:lineRule="auto"/>
      </w:pPr>
      <w:r>
        <w:rPr>
          <w:rStyle w:val="Egyik sem"/>
          <w:rFonts w:ascii="Times New Roman" w:cs="Times New Roman" w:hAnsi="Times New Roman" w:eastAsia="Times New Roman"/>
          <w:sz w:val="24"/>
          <w:szCs w:val="24"/>
          <w:vertAlign w:val="superscript"/>
        </w:rPr>
        <w:footnoteRef/>
      </w:r>
      <w:r>
        <w:rPr>
          <w:rStyle w:val="Egyik sem"/>
          <w:rFonts w:ascii="Times New Roman" w:hAnsi="Times New Roman"/>
          <w:sz w:val="20"/>
          <w:szCs w:val="20"/>
          <w:rtl w:val="0"/>
          <w:lang w:val="en-US"/>
        </w:rPr>
        <w:t xml:space="preserve"> See the Report of the UN Working Group on the issue of discrimination against women in law and in practice on its mission to Hungary </w:t>
      </w:r>
      <w:r>
        <w:rPr>
          <w:rStyle w:val="Hyperlink.0"/>
        </w:rPr>
        <w:fldChar w:fldCharType="begin" w:fldLock="0"/>
      </w:r>
      <w:r>
        <w:rPr>
          <w:rStyle w:val="Hyperlink.0"/>
        </w:rPr>
        <w:instrText xml:space="preserve"> HYPERLINK "https://documents-dds-ny.un.org/doc/UNDOC/GEN/G17/097/63/PDF/G1709763.pdf?OpenElement"</w:instrText>
      </w:r>
      <w:r>
        <w:rPr>
          <w:rStyle w:val="Hyperlink.0"/>
        </w:rPr>
        <w:fldChar w:fldCharType="separate" w:fldLock="0"/>
      </w:r>
      <w:r>
        <w:rPr>
          <w:rStyle w:val="Hyperlink.0"/>
          <w:rtl w:val="0"/>
          <w:lang w:val="en-US"/>
        </w:rPr>
        <w:t>here</w:t>
      </w:r>
      <w:r>
        <w:rPr/>
        <w:fldChar w:fldCharType="end" w:fldLock="0"/>
      </w:r>
      <w:r>
        <w:rPr>
          <w:rStyle w:val="Egyik sem"/>
          <w:rFonts w:ascii="Times New Roman" w:hAnsi="Times New Roman"/>
          <w:sz w:val="20"/>
          <w:szCs w:val="20"/>
          <w:rtl w:val="0"/>
          <w:lang w:val="en-US"/>
        </w:rPr>
        <w:t>. The situation has not improved since then.</w:t>
      </w:r>
    </w:p>
  </w:footnote>
  <w:footnote w:id="42">
    <w:p>
      <w:pPr>
        <w:pStyle w:val="Szövegtörzs A"/>
        <w:spacing w:line="240" w:lineRule="auto"/>
        <w:jc w:val="both"/>
      </w:pPr>
      <w:r>
        <w:rPr>
          <w:rStyle w:val="Egyik sem"/>
          <w:rFonts w:ascii="Times New Roman" w:cs="Times New Roman" w:hAnsi="Times New Roman" w:eastAsia="Times New Roman"/>
          <w:sz w:val="24"/>
          <w:szCs w:val="24"/>
          <w:vertAlign w:val="superscript"/>
        </w:rPr>
        <w:footnoteRef/>
      </w:r>
      <w:r>
        <w:rPr>
          <w:rStyle w:val="Egyik sem"/>
          <w:rFonts w:ascii="Times New Roman" w:hAnsi="Times New Roman"/>
          <w:sz w:val="20"/>
          <w:szCs w:val="20"/>
          <w:rtl w:val="0"/>
          <w:lang w:val="en-US"/>
        </w:rPr>
        <w:t xml:space="preserve"> Evidence shows that midwife-led continuity of care (as opposed to obstetrician-led maternity care) is linked to better health outcomes: intervention levels are lower, breastfeeding rates are higher and mothers</w:t>
      </w:r>
      <w:r>
        <w:rPr>
          <w:rStyle w:val="Egyik sem"/>
          <w:rFonts w:ascii="Times New Roman" w:hAnsi="Times New Roman" w:hint="default"/>
          <w:sz w:val="20"/>
          <w:szCs w:val="20"/>
          <w:rtl w:val="0"/>
          <w:lang w:val="en-US"/>
        </w:rPr>
        <w:t xml:space="preserve">’ </w:t>
      </w:r>
      <w:r>
        <w:rPr>
          <w:rStyle w:val="Egyik sem"/>
          <w:rFonts w:ascii="Times New Roman" w:hAnsi="Times New Roman"/>
          <w:sz w:val="20"/>
          <w:szCs w:val="20"/>
          <w:rtl w:val="0"/>
          <w:lang w:val="en-US"/>
        </w:rPr>
        <w:t xml:space="preserve">overall satisfaction is higher. See: Midwife-led continuity models of care compared with other models of care for women during pregnancy, birth and early parenting, available </w:t>
      </w:r>
      <w:r>
        <w:rPr>
          <w:rStyle w:val="Hyperlink.0"/>
        </w:rPr>
        <w:fldChar w:fldCharType="begin" w:fldLock="0"/>
      </w:r>
      <w:r>
        <w:rPr>
          <w:rStyle w:val="Hyperlink.0"/>
        </w:rPr>
        <w:instrText xml:space="preserve"> HYPERLINK "https://www.cochrane.org/CD004667/PREG_midwife-led-continuity-models-care-compared-other-models-care-women-during-pregnancy-birth-and-early"</w:instrText>
      </w:r>
      <w:r>
        <w:rPr>
          <w:rStyle w:val="Hyperlink.0"/>
        </w:rPr>
        <w:fldChar w:fldCharType="separate" w:fldLock="0"/>
      </w:r>
      <w:r>
        <w:rPr>
          <w:rStyle w:val="Hyperlink.0"/>
          <w:rtl w:val="0"/>
          <w:lang w:val="en-US"/>
        </w:rPr>
        <w:t>here</w:t>
      </w:r>
      <w:r>
        <w:rPr/>
        <w:fldChar w:fldCharType="end" w:fldLock="0"/>
      </w:r>
      <w:r>
        <w:rPr>
          <w:rStyle w:val="Egyik sem"/>
          <w:rFonts w:ascii="Times New Roman" w:hAnsi="Times New Roman"/>
          <w:sz w:val="20"/>
          <w:szCs w:val="20"/>
          <w:rtl w:val="0"/>
        </w:rPr>
        <w:t>.</w:t>
      </w:r>
    </w:p>
  </w:footnote>
  <w:footnote w:id="43">
    <w:p>
      <w:pPr>
        <w:pStyle w:val="Szövegtörzs A"/>
        <w:spacing w:line="240" w:lineRule="auto"/>
      </w:pPr>
      <w:r>
        <w:rPr>
          <w:rStyle w:val="Egyik sem"/>
          <w:rFonts w:ascii="Times New Roman" w:cs="Times New Roman" w:hAnsi="Times New Roman" w:eastAsia="Times New Roman"/>
          <w:sz w:val="24"/>
          <w:szCs w:val="24"/>
          <w:vertAlign w:val="superscript"/>
        </w:rPr>
        <w:footnoteRef/>
      </w:r>
      <w:r>
        <w:rPr>
          <w:rStyle w:val="Egyik sem"/>
          <w:sz w:val="20"/>
          <w:szCs w:val="20"/>
          <w:rtl w:val="0"/>
        </w:rPr>
        <w:t xml:space="preserve"> </w:t>
      </w:r>
      <w:r>
        <w:rPr>
          <w:rStyle w:val="Egyik sem"/>
          <w:rFonts w:ascii="Times New Roman" w:hAnsi="Times New Roman"/>
          <w:sz w:val="20"/>
          <w:szCs w:val="20"/>
          <w:rtl w:val="0"/>
          <w:lang w:val="de-DE"/>
        </w:rPr>
        <w:t xml:space="preserve">See in Hungarian </w:t>
      </w:r>
      <w:r>
        <w:rPr>
          <w:rStyle w:val="Hyperlink.0"/>
        </w:rPr>
        <w:fldChar w:fldCharType="begin" w:fldLock="0"/>
      </w:r>
      <w:r>
        <w:rPr>
          <w:rStyle w:val="Hyperlink.0"/>
        </w:rPr>
        <w:instrText xml:space="preserve"> HYPERLINK "https://www.life.hu/eletmod/20160419-romanok-helyzete-es-lehetosegei-a-magyar-szuleszeti-ellatasban-szuleteshaz-egyesulet.html"</w:instrText>
      </w:r>
      <w:r>
        <w:rPr>
          <w:rStyle w:val="Hyperlink.0"/>
        </w:rPr>
        <w:fldChar w:fldCharType="separate" w:fldLock="0"/>
      </w:r>
      <w:r>
        <w:rPr>
          <w:rStyle w:val="Hyperlink.0"/>
          <w:rtl w:val="0"/>
          <w:lang w:val="en-US"/>
        </w:rPr>
        <w:t>here</w:t>
      </w:r>
      <w:r>
        <w:rPr/>
        <w:fldChar w:fldCharType="end" w:fldLock="0"/>
      </w:r>
      <w:r>
        <w:rPr>
          <w:rStyle w:val="Egyik sem"/>
          <w:rFonts w:ascii="Times New Roman" w:hAnsi="Times New Roman"/>
          <w:sz w:val="20"/>
          <w:szCs w:val="20"/>
          <w:rtl w:val="0"/>
        </w:rPr>
        <w:t>.</w:t>
      </w:r>
    </w:p>
  </w:footnote>
  <w:footnote w:id="44">
    <w:p>
      <w:pPr>
        <w:pStyle w:val="Szövegtörzs A"/>
        <w:spacing w:line="240" w:lineRule="auto"/>
      </w:pPr>
      <w:r>
        <w:rPr>
          <w:rStyle w:val="Egyik sem"/>
          <w:rFonts w:ascii="Times New Roman" w:cs="Times New Roman" w:hAnsi="Times New Roman" w:eastAsia="Times New Roman"/>
          <w:sz w:val="24"/>
          <w:szCs w:val="24"/>
          <w:vertAlign w:val="superscript"/>
        </w:rPr>
        <w:footnoteRef/>
      </w:r>
      <w:r>
        <w:rPr>
          <w:rStyle w:val="Egyik sem"/>
          <w:rFonts w:ascii="Times New Roman" w:hAnsi="Times New Roman"/>
          <w:sz w:val="20"/>
          <w:szCs w:val="20"/>
          <w:rtl w:val="0"/>
          <w:lang w:val="en-US"/>
        </w:rPr>
        <w:t xml:space="preserve"> See the report of the UN Special Rapporteur on violence against women </w:t>
      </w:r>
      <w:r>
        <w:rPr>
          <w:rStyle w:val="Egyik sem"/>
          <w:rFonts w:ascii="Times New Roman" w:hAnsi="Times New Roman" w:hint="default"/>
          <w:sz w:val="20"/>
          <w:szCs w:val="20"/>
          <w:rtl w:val="0"/>
          <w:lang w:val="en-US"/>
        </w:rPr>
        <w:t>“</w:t>
      </w:r>
      <w:r>
        <w:rPr>
          <w:rStyle w:val="Egyik sem"/>
          <w:rFonts w:ascii="Times New Roman" w:hAnsi="Times New Roman"/>
          <w:sz w:val="20"/>
          <w:szCs w:val="20"/>
          <w:rtl w:val="0"/>
          <w:lang w:val="en-US"/>
        </w:rPr>
        <w:t>A human rights-based approach to mistreatment and violence against women in reproductive health services with a focus on childbirth and obstetric violence</w:t>
      </w:r>
      <w:r>
        <w:rPr>
          <w:rStyle w:val="Egyik sem"/>
          <w:rFonts w:ascii="Times New Roman" w:hAnsi="Times New Roman" w:hint="default"/>
          <w:sz w:val="20"/>
          <w:szCs w:val="20"/>
          <w:rtl w:val="0"/>
          <w:lang w:val="en-US"/>
        </w:rPr>
        <w:t>”</w:t>
      </w:r>
      <w:r>
        <w:rPr>
          <w:rStyle w:val="Egyik sem"/>
          <w:rFonts w:ascii="Times New Roman" w:hAnsi="Times New Roman"/>
          <w:sz w:val="20"/>
          <w:szCs w:val="20"/>
          <w:rtl w:val="0"/>
          <w:lang w:val="en-US"/>
        </w:rPr>
        <w:t xml:space="preserve">, 2019. Available </w:t>
      </w:r>
      <w:r>
        <w:rPr>
          <w:rStyle w:val="Hyperlink.0"/>
        </w:rPr>
        <w:fldChar w:fldCharType="begin" w:fldLock="0"/>
      </w:r>
      <w:r>
        <w:rPr>
          <w:rStyle w:val="Hyperlink.0"/>
        </w:rPr>
        <w:instrText xml:space="preserve"> HYPERLINK "https://eipmh.com/wp-content/uploads/2019/09/UN_Res.71170..pdf"</w:instrText>
      </w:r>
      <w:r>
        <w:rPr>
          <w:rStyle w:val="Hyperlink.0"/>
        </w:rPr>
        <w:fldChar w:fldCharType="separate" w:fldLock="0"/>
      </w:r>
      <w:r>
        <w:rPr>
          <w:rStyle w:val="Hyperlink.0"/>
          <w:rtl w:val="0"/>
          <w:lang w:val="en-US"/>
        </w:rPr>
        <w:t>here</w:t>
      </w:r>
      <w:r>
        <w:rPr/>
        <w:fldChar w:fldCharType="end" w:fldLock="0"/>
      </w:r>
      <w:r>
        <w:rPr>
          <w:rStyle w:val="Egyik sem"/>
          <w:rFonts w:ascii="Times New Roman" w:hAnsi="Times New Roman"/>
          <w:sz w:val="20"/>
          <w:szCs w:val="20"/>
          <w:rtl w:val="0"/>
        </w:rPr>
        <w:t>.</w:t>
      </w:r>
    </w:p>
  </w:footnote>
  <w:footnote w:id="45">
    <w:p>
      <w:pPr>
        <w:pStyle w:val="Szövegtörzs A"/>
        <w:spacing w:line="240" w:lineRule="auto"/>
      </w:pPr>
      <w:r>
        <w:rPr>
          <w:rStyle w:val="Egyik sem"/>
          <w:rFonts w:ascii="Times New Roman" w:cs="Times New Roman" w:hAnsi="Times New Roman" w:eastAsia="Times New Roman"/>
          <w:sz w:val="24"/>
          <w:szCs w:val="24"/>
          <w:vertAlign w:val="superscript"/>
        </w:rPr>
        <w:footnoteRef/>
      </w:r>
      <w:r>
        <w:rPr>
          <w:rStyle w:val="Egyik sem"/>
          <w:sz w:val="20"/>
          <w:szCs w:val="20"/>
          <w:rtl w:val="0"/>
        </w:rPr>
        <w:t xml:space="preserve"> </w:t>
      </w:r>
      <w:r>
        <w:rPr>
          <w:rStyle w:val="Egyik sem"/>
          <w:rFonts w:ascii="Times New Roman" w:hAnsi="Times New Roman"/>
          <w:sz w:val="20"/>
          <w:szCs w:val="20"/>
          <w:rtl w:val="0"/>
          <w:lang w:val="en-US"/>
        </w:rPr>
        <w:t xml:space="preserve">The following list is from the submission of the Hungarian Association of Independent Midwives to the UN Special Rapporteur on VAWG. See the </w:t>
      </w:r>
      <w:r>
        <w:rPr>
          <w:rStyle w:val="Hyperlink.0"/>
        </w:rPr>
        <w:fldChar w:fldCharType="begin" w:fldLock="0"/>
      </w:r>
      <w:r>
        <w:rPr>
          <w:rStyle w:val="Hyperlink.0"/>
        </w:rPr>
        <w:instrText xml:space="preserve"> HYPERLINK "https://www.ohchr.org/sites/default/files/Documents/Issues/Women/SR/ReproductiveHealthCare/Association_of_Independent_Midwives.pdf"</w:instrText>
      </w:r>
      <w:r>
        <w:rPr>
          <w:rStyle w:val="Hyperlink.0"/>
        </w:rPr>
        <w:fldChar w:fldCharType="separate" w:fldLock="0"/>
      </w:r>
      <w:r>
        <w:rPr>
          <w:rStyle w:val="Hyperlink.0"/>
          <w:rtl w:val="0"/>
          <w:lang w:val="en-US"/>
        </w:rPr>
        <w:t>submission</w:t>
      </w:r>
      <w:r>
        <w:rPr/>
        <w:fldChar w:fldCharType="end" w:fldLock="0"/>
      </w:r>
      <w:r>
        <w:rPr>
          <w:rStyle w:val="Egyik sem"/>
          <w:rFonts w:ascii="Times New Roman" w:hAnsi="Times New Roman"/>
          <w:sz w:val="20"/>
          <w:szCs w:val="20"/>
          <w:rtl w:val="0"/>
          <w:lang w:val="en-US"/>
        </w:rPr>
        <w:t xml:space="preserve"> for more details. Women</w:t>
      </w:r>
      <w:r>
        <w:rPr>
          <w:rStyle w:val="Egyik sem"/>
          <w:rFonts w:ascii="Times New Roman" w:hAnsi="Times New Roman" w:hint="default"/>
          <w:sz w:val="20"/>
          <w:szCs w:val="20"/>
          <w:rtl w:val="0"/>
          <w:lang w:val="en-US"/>
        </w:rPr>
        <w:t>’</w:t>
      </w:r>
      <w:r>
        <w:rPr>
          <w:rStyle w:val="Egyik sem"/>
          <w:rFonts w:ascii="Times New Roman" w:hAnsi="Times New Roman"/>
          <w:sz w:val="20"/>
          <w:szCs w:val="20"/>
          <w:rtl w:val="0"/>
          <w:lang w:val="en-US"/>
        </w:rPr>
        <w:t>s experiences come from the M</w:t>
      </w:r>
      <w:r>
        <w:rPr>
          <w:rStyle w:val="Egyik sem"/>
          <w:rFonts w:ascii="Times New Roman" w:hAnsi="Times New Roman" w:hint="default"/>
          <w:sz w:val="20"/>
          <w:szCs w:val="20"/>
          <w:rtl w:val="0"/>
          <w:lang w:val="en-US"/>
        </w:rPr>
        <w:t>á</w:t>
      </w:r>
      <w:r>
        <w:rPr>
          <w:rStyle w:val="Egyik sem"/>
          <w:rFonts w:ascii="Times New Roman" w:hAnsi="Times New Roman"/>
          <w:sz w:val="20"/>
          <w:szCs w:val="20"/>
          <w:rtl w:val="0"/>
        </w:rPr>
        <w:t>s</w:t>
      </w:r>
      <w:r>
        <w:rPr>
          <w:rStyle w:val="Egyik sem"/>
          <w:rFonts w:ascii="Times New Roman" w:hAnsi="Times New Roman" w:hint="default"/>
          <w:sz w:val="20"/>
          <w:szCs w:val="20"/>
          <w:rtl w:val="0"/>
          <w:lang w:val="en-US"/>
        </w:rPr>
        <w:t>á</w:t>
      </w:r>
      <w:r>
        <w:rPr>
          <w:rStyle w:val="Egyik sem"/>
          <w:rFonts w:ascii="Times New Roman" w:hAnsi="Times New Roman"/>
          <w:sz w:val="20"/>
          <w:szCs w:val="20"/>
          <w:rtl w:val="0"/>
        </w:rPr>
        <w:t>llapotot Facebook page.</w:t>
      </w:r>
    </w:p>
  </w:footnote>
  <w:footnote w:id="46">
    <w:p>
      <w:pPr>
        <w:pStyle w:val="Szövegtörzs A"/>
        <w:spacing w:line="240" w:lineRule="auto"/>
      </w:pPr>
      <w:r>
        <w:rPr>
          <w:rStyle w:val="Egyik sem"/>
          <w:rFonts w:ascii="Times New Roman" w:cs="Times New Roman" w:hAnsi="Times New Roman" w:eastAsia="Times New Roman"/>
          <w:sz w:val="24"/>
          <w:szCs w:val="24"/>
          <w:vertAlign w:val="superscript"/>
        </w:rPr>
        <w:footnoteRef/>
      </w:r>
      <w:r>
        <w:rPr>
          <w:rStyle w:val="Egyik sem"/>
          <w:rFonts w:ascii="Times New Roman" w:hAnsi="Times New Roman"/>
          <w:sz w:val="20"/>
          <w:szCs w:val="20"/>
          <w:rtl w:val="0"/>
          <w:lang w:val="en-US"/>
        </w:rPr>
        <w:t xml:space="preserve"> These interventions include for instance: frequent and medically not indicated vaginal examinations, episiotomy, placement of uterine catheter, pulling out the placenta before complete separation, postpartum uterine exploration and manual sponge curettage.</w:t>
      </w:r>
    </w:p>
  </w:footnote>
  <w:footnote w:id="47">
    <w:p>
      <w:pPr>
        <w:pStyle w:val="Szövegtörzs A"/>
        <w:spacing w:line="240" w:lineRule="auto"/>
      </w:pPr>
      <w:r>
        <w:rPr>
          <w:rStyle w:val="Egyik sem"/>
          <w:rFonts w:ascii="Times New Roman" w:cs="Times New Roman" w:hAnsi="Times New Roman" w:eastAsia="Times New Roman"/>
          <w:sz w:val="24"/>
          <w:szCs w:val="24"/>
          <w:shd w:val="clear" w:color="auto" w:fill="ffffff"/>
          <w:vertAlign w:val="superscript"/>
        </w:rPr>
        <w:footnoteRef/>
      </w:r>
      <w:r>
        <w:rPr>
          <w:rStyle w:val="Egyik sem"/>
          <w:sz w:val="20"/>
          <w:szCs w:val="20"/>
          <w:rtl w:val="0"/>
        </w:rPr>
        <w:t xml:space="preserve"> </w:t>
      </w:r>
      <w:r>
        <w:rPr>
          <w:rStyle w:val="Egyik sem"/>
          <w:rFonts w:ascii="Times New Roman" w:hAnsi="Times New Roman"/>
          <w:sz w:val="20"/>
          <w:szCs w:val="20"/>
          <w:shd w:val="clear" w:color="auto" w:fill="ffffff"/>
          <w:rtl w:val="0"/>
          <w:lang w:val="en-US"/>
        </w:rPr>
        <w:t xml:space="preserve">See: </w:t>
      </w:r>
      <w:r>
        <w:rPr>
          <w:rStyle w:val="Hyperlink.0"/>
        </w:rPr>
        <w:fldChar w:fldCharType="begin" w:fldLock="0"/>
      </w:r>
      <w:r>
        <w:rPr>
          <w:rStyle w:val="Hyperlink.0"/>
        </w:rPr>
        <w:instrText xml:space="preserve"> HYPERLINK "http://www.europeanjournalofmidwifery.eu/Parent-organizations-experiences-of-the-pandemic-response-in-maternity-care-in-thirteen,156902,0,2.html"</w:instrText>
      </w:r>
      <w:r>
        <w:rPr>
          <w:rStyle w:val="Hyperlink.0"/>
        </w:rPr>
        <w:fldChar w:fldCharType="separate" w:fldLock="0"/>
      </w:r>
      <w:r>
        <w:rPr>
          <w:rStyle w:val="Hyperlink.0"/>
          <w:rtl w:val="0"/>
          <w:lang w:val="en-US"/>
        </w:rPr>
        <w:t>http://www.europeanjournalofmidwifery.eu/Parent-organizations-experiences-of-the-pandemic-response-in-maternity-care-in-thirteen,156902,0,2.html</w:t>
      </w:r>
      <w:r>
        <w:rPr/>
        <w:fldChar w:fldCharType="end" w:fldLock="0"/>
      </w:r>
    </w:p>
  </w:footnote>
  <w:footnote w:id="48">
    <w:p>
      <w:pPr>
        <w:pStyle w:val="Szövegtörzs A"/>
        <w:spacing w:line="240" w:lineRule="auto"/>
      </w:pPr>
      <w:r>
        <w:rPr>
          <w:rStyle w:val="Egyik sem"/>
          <w:rFonts w:ascii="Times New Roman" w:cs="Times New Roman" w:hAnsi="Times New Roman" w:eastAsia="Times New Roman"/>
          <w:sz w:val="24"/>
          <w:szCs w:val="24"/>
          <w:vertAlign w:val="superscript"/>
        </w:rPr>
        <w:footnoteRef/>
      </w:r>
      <w:r>
        <w:rPr>
          <w:rStyle w:val="Egyik sem"/>
          <w:sz w:val="20"/>
          <w:szCs w:val="20"/>
          <w:rtl w:val="0"/>
        </w:rPr>
        <w:t xml:space="preserve"> </w:t>
      </w:r>
      <w:r>
        <w:rPr>
          <w:rStyle w:val="Egyik sem"/>
          <w:rFonts w:ascii="Times New Roman" w:hAnsi="Times New Roman"/>
          <w:sz w:val="20"/>
          <w:szCs w:val="20"/>
          <w:rtl w:val="0"/>
          <w:lang w:val="en-US"/>
        </w:rPr>
        <w:t xml:space="preserve">NM Decree No. 15/1998. (IV. 30.), 147. </w:t>
      </w:r>
      <w:r>
        <w:rPr>
          <w:rStyle w:val="Egyik sem"/>
          <w:rFonts w:ascii="Times New Roman" w:hAnsi="Times New Roman" w:hint="default"/>
          <w:sz w:val="20"/>
          <w:szCs w:val="20"/>
          <w:rtl w:val="0"/>
          <w:lang w:val="en-US"/>
        </w:rPr>
        <w:t xml:space="preserve">§ </w:t>
      </w:r>
      <w:r>
        <w:rPr>
          <w:rStyle w:val="Egyik sem"/>
          <w:rFonts w:ascii="Times New Roman" w:hAnsi="Times New Roman"/>
          <w:sz w:val="20"/>
          <w:szCs w:val="20"/>
          <w:rtl w:val="0"/>
        </w:rPr>
        <w:t>(2-3).</w:t>
      </w:r>
    </w:p>
  </w:footnote>
  <w:footnote w:id="49">
    <w:p>
      <w:pPr>
        <w:pStyle w:val="Szövegtörzs A"/>
        <w:spacing w:line="240" w:lineRule="auto"/>
      </w:pPr>
      <w:r>
        <w:rPr>
          <w:rStyle w:val="Egyik sem"/>
          <w:rFonts w:ascii="Times New Roman" w:cs="Times New Roman" w:hAnsi="Times New Roman" w:eastAsia="Times New Roman"/>
          <w:sz w:val="24"/>
          <w:szCs w:val="24"/>
          <w:vertAlign w:val="superscript"/>
        </w:rPr>
        <w:footnoteRef/>
      </w:r>
      <w:r>
        <w:rPr>
          <w:rStyle w:val="Egyik sem"/>
          <w:rFonts w:ascii="Times New Roman" w:hAnsi="Times New Roman"/>
          <w:sz w:val="20"/>
          <w:szCs w:val="20"/>
          <w:rtl w:val="0"/>
          <w:lang w:val="en-US"/>
        </w:rPr>
        <w:t xml:space="preserve"> Act V. of 2013 on Civil Code, 4:121. </w:t>
      </w:r>
      <w:r>
        <w:rPr>
          <w:rStyle w:val="Egyik sem"/>
          <w:rFonts w:ascii="Times New Roman" w:hAnsi="Times New Roman" w:hint="default"/>
          <w:sz w:val="20"/>
          <w:szCs w:val="20"/>
          <w:rtl w:val="0"/>
          <w:lang w:val="en-US"/>
        </w:rPr>
        <w:t>§</w:t>
      </w:r>
    </w:p>
  </w:footnote>
  <w:footnote w:id="50">
    <w:p>
      <w:pPr>
        <w:pStyle w:val="Szövegtörzs A"/>
        <w:spacing w:line="240" w:lineRule="auto"/>
      </w:pPr>
      <w:r>
        <w:rPr>
          <w:rStyle w:val="Egyik sem"/>
          <w:rFonts w:ascii="Times New Roman" w:cs="Times New Roman" w:hAnsi="Times New Roman" w:eastAsia="Times New Roman"/>
          <w:sz w:val="24"/>
          <w:szCs w:val="24"/>
          <w:vertAlign w:val="superscript"/>
        </w:rPr>
        <w:footnoteRef/>
      </w:r>
      <w:r>
        <w:rPr>
          <w:rStyle w:val="Egyik sem"/>
          <w:sz w:val="20"/>
          <w:szCs w:val="20"/>
          <w:rtl w:val="0"/>
        </w:rPr>
        <w:t xml:space="preserve"> </w:t>
      </w:r>
      <w:r>
        <w:rPr>
          <w:rStyle w:val="Egyik sem"/>
          <w:rFonts w:ascii="Times New Roman" w:hAnsi="Times New Roman"/>
          <w:sz w:val="20"/>
          <w:szCs w:val="20"/>
          <w:rtl w:val="0"/>
          <w:lang w:val="en-US"/>
        </w:rPr>
        <w:t xml:space="preserve">Government Regulation No. 149/1997. (IX. 10.), 39. </w:t>
      </w:r>
      <w:r>
        <w:rPr>
          <w:rStyle w:val="Egyik sem"/>
          <w:rFonts w:ascii="Times New Roman" w:hAnsi="Times New Roman" w:hint="default"/>
          <w:sz w:val="20"/>
          <w:szCs w:val="20"/>
          <w:rtl w:val="0"/>
          <w:lang w:val="en-US"/>
        </w:rPr>
        <w:t xml:space="preserve">§ </w:t>
      </w:r>
      <w:r>
        <w:rPr>
          <w:rStyle w:val="Egyik sem"/>
          <w:rFonts w:ascii="Times New Roman" w:hAnsi="Times New Roman"/>
          <w:sz w:val="20"/>
          <w:szCs w:val="20"/>
          <w:rtl w:val="0"/>
        </w:rPr>
        <w:t>2(d)</w:t>
      </w:r>
    </w:p>
  </w:footnote>
  <w:footnote w:id="51">
    <w:p>
      <w:pPr>
        <w:pStyle w:val="Szövegtörzs A"/>
        <w:spacing w:line="240" w:lineRule="auto"/>
      </w:pPr>
      <w:r>
        <w:rPr>
          <w:rStyle w:val="Egyik sem"/>
          <w:rFonts w:ascii="Times New Roman" w:cs="Times New Roman" w:hAnsi="Times New Roman" w:eastAsia="Times New Roman"/>
          <w:sz w:val="24"/>
          <w:szCs w:val="24"/>
          <w:vertAlign w:val="superscript"/>
        </w:rPr>
        <w:footnoteRef/>
      </w:r>
      <w:r>
        <w:rPr>
          <w:rStyle w:val="Egyik sem"/>
          <w:rFonts w:ascii="Times New Roman" w:hAnsi="Times New Roman"/>
          <w:sz w:val="20"/>
          <w:szCs w:val="20"/>
          <w:rtl w:val="0"/>
        </w:rPr>
        <w:t xml:space="preserve"> </w:t>
      </w:r>
      <w:r>
        <w:rPr>
          <w:rStyle w:val="Hyperlink.0"/>
        </w:rPr>
        <w:fldChar w:fldCharType="begin" w:fldLock="0"/>
      </w:r>
      <w:r>
        <w:rPr>
          <w:rStyle w:val="Hyperlink.0"/>
        </w:rPr>
        <w:instrText xml:space="preserve"> HYPERLINK "http://abouthungary.hu/blog/hungarys-family-protection-action-plan-its-coming-july/"</w:instrText>
      </w:r>
      <w:r>
        <w:rPr>
          <w:rStyle w:val="Hyperlink.0"/>
        </w:rPr>
        <w:fldChar w:fldCharType="separate" w:fldLock="0"/>
      </w:r>
      <w:r>
        <w:rPr>
          <w:rStyle w:val="Hyperlink.0"/>
          <w:rtl w:val="0"/>
          <w:lang w:val="en-US"/>
        </w:rPr>
        <w:t>http://abouthungary.hu/blog/hungarys-family-protection-action-plan-its-coming-july/</w:t>
      </w:r>
      <w:r>
        <w:rPr/>
        <w:fldChar w:fldCharType="end" w:fldLock="0"/>
      </w:r>
    </w:p>
  </w:footnote>
  <w:footnote w:id="52">
    <w:p>
      <w:pPr>
        <w:pStyle w:val="Szövegtörzs A"/>
        <w:spacing w:line="240" w:lineRule="auto"/>
      </w:pPr>
      <w:r>
        <w:rPr>
          <w:rStyle w:val="Egyik sem"/>
          <w:rFonts w:ascii="Times New Roman" w:cs="Times New Roman" w:hAnsi="Times New Roman" w:eastAsia="Times New Roman"/>
          <w:sz w:val="24"/>
          <w:szCs w:val="24"/>
          <w:vertAlign w:val="superscript"/>
        </w:rPr>
        <w:footnoteRef/>
      </w:r>
      <w:r>
        <w:rPr>
          <w:rStyle w:val="Egyik sem"/>
          <w:sz w:val="20"/>
          <w:szCs w:val="20"/>
          <w:rtl w:val="0"/>
        </w:rPr>
        <w:t xml:space="preserve"> </w:t>
      </w:r>
      <w:r>
        <w:rPr>
          <w:rStyle w:val="Egyik sem"/>
          <w:rFonts w:ascii="Times New Roman" w:hAnsi="Times New Roman"/>
          <w:sz w:val="20"/>
          <w:szCs w:val="20"/>
          <w:rtl w:val="0"/>
          <w:lang w:val="en-US"/>
        </w:rPr>
        <w:t xml:space="preserve">Government Regulation No. 17/2016. (II. 10.), 8. </w:t>
      </w:r>
      <w:r>
        <w:rPr>
          <w:rStyle w:val="Egyik sem"/>
          <w:rFonts w:ascii="Times New Roman" w:hAnsi="Times New Roman" w:hint="default"/>
          <w:sz w:val="20"/>
          <w:szCs w:val="20"/>
          <w:rtl w:val="0"/>
          <w:lang w:val="en-US"/>
        </w:rPr>
        <w:t xml:space="preserve">§ </w:t>
      </w:r>
      <w:r>
        <w:rPr>
          <w:rStyle w:val="Egyik sem"/>
          <w:rFonts w:ascii="Times New Roman" w:hAnsi="Times New Roman"/>
          <w:sz w:val="20"/>
          <w:szCs w:val="20"/>
          <w:rtl w:val="0"/>
        </w:rPr>
        <w:t>(3).</w:t>
      </w:r>
    </w:p>
  </w:footnote>
  <w:footnote w:id="53">
    <w:p>
      <w:pPr>
        <w:pStyle w:val="Szövegtörzs A"/>
        <w:spacing w:line="240" w:lineRule="auto"/>
      </w:pPr>
      <w:r>
        <w:rPr>
          <w:rStyle w:val="Egyik sem"/>
          <w:rFonts w:ascii="Times New Roman" w:cs="Times New Roman" w:hAnsi="Times New Roman" w:eastAsia="Times New Roman"/>
          <w:sz w:val="24"/>
          <w:szCs w:val="24"/>
          <w:vertAlign w:val="superscript"/>
        </w:rPr>
        <w:footnoteRef/>
      </w:r>
      <w:r>
        <w:rPr>
          <w:rStyle w:val="Egyik sem"/>
          <w:rFonts w:ascii="Times New Roman" w:hAnsi="Times New Roman"/>
          <w:sz w:val="20"/>
          <w:szCs w:val="20"/>
          <w:rtl w:val="0"/>
          <w:lang w:val="en-US"/>
        </w:rPr>
        <w:t xml:space="preserve"> Government Regulation No. 149/1997. (IX. 10.), 34-36. </w:t>
      </w:r>
      <w:r>
        <w:rPr>
          <w:rStyle w:val="Egyik sem"/>
          <w:rFonts w:ascii="Times New Roman" w:hAnsi="Times New Roman" w:hint="default"/>
          <w:sz w:val="20"/>
          <w:szCs w:val="20"/>
          <w:rtl w:val="0"/>
          <w:lang w:val="en-US"/>
        </w:rPr>
        <w:t>§</w:t>
      </w:r>
      <w:r>
        <w:rPr>
          <w:rStyle w:val="Egyik sem"/>
          <w:rFonts w:ascii="Times New Roman" w:hAnsi="Times New Roman"/>
          <w:sz w:val="20"/>
          <w:szCs w:val="20"/>
          <w:rtl w:val="0"/>
        </w:rPr>
        <w:t>.</w:t>
      </w:r>
    </w:p>
  </w:footnote>
  <w:footnote w:id="54">
    <w:p>
      <w:pPr>
        <w:pStyle w:val="Szövegtörzs A"/>
        <w:spacing w:line="240" w:lineRule="auto"/>
      </w:pPr>
      <w:r>
        <w:rPr>
          <w:rStyle w:val="Egyik sem"/>
          <w:rFonts w:ascii="Times New Roman" w:cs="Times New Roman" w:hAnsi="Times New Roman" w:eastAsia="Times New Roman"/>
          <w:sz w:val="24"/>
          <w:szCs w:val="24"/>
          <w:vertAlign w:val="superscript"/>
        </w:rPr>
        <w:footnoteRef/>
      </w:r>
      <w:r>
        <w:rPr>
          <w:rStyle w:val="Egyik sem"/>
          <w:sz w:val="20"/>
          <w:szCs w:val="20"/>
          <w:rtl w:val="0"/>
        </w:rPr>
        <w:t xml:space="preserve"> </w:t>
      </w:r>
      <w:r>
        <w:rPr>
          <w:rStyle w:val="Egyik sem"/>
          <w:rFonts w:ascii="Times New Roman" w:hAnsi="Times New Roman"/>
          <w:sz w:val="20"/>
          <w:szCs w:val="20"/>
          <w:rtl w:val="0"/>
          <w:lang w:val="en-US"/>
        </w:rPr>
        <w:t xml:space="preserve">See for example the Alternative Report on the UN CRC (HUNGARY) on behalf of the Child Rights NGO Coalition, 2019. p. 8. Available </w:t>
      </w:r>
      <w:r>
        <w:rPr>
          <w:rStyle w:val="Hyperlink.0"/>
        </w:rPr>
        <w:fldChar w:fldCharType="begin" w:fldLock="0"/>
      </w:r>
      <w:r>
        <w:rPr>
          <w:rStyle w:val="Hyperlink.0"/>
        </w:rPr>
        <w:instrText xml:space="preserve"> HYPERLINK "https://gyermekjogicivilkoalicio.hu/wp-content/uploads/2021/03/alternative_report_on_the_un_crc_by_the_ngo_coalition_31_aug_2019-1.pdf"</w:instrText>
      </w:r>
      <w:r>
        <w:rPr>
          <w:rStyle w:val="Hyperlink.0"/>
        </w:rPr>
        <w:fldChar w:fldCharType="separate" w:fldLock="0"/>
      </w:r>
      <w:r>
        <w:rPr>
          <w:rStyle w:val="Hyperlink.0"/>
          <w:rtl w:val="0"/>
          <w:lang w:val="en-US"/>
        </w:rPr>
        <w:t>here</w:t>
      </w:r>
      <w:r>
        <w:rPr/>
        <w:fldChar w:fldCharType="end" w:fldLock="0"/>
      </w:r>
      <w:r>
        <w:rPr>
          <w:rStyle w:val="Egyik sem"/>
          <w:rFonts w:ascii="Times New Roman" w:hAnsi="Times New Roman"/>
          <w:sz w:val="20"/>
          <w:szCs w:val="20"/>
          <w:rtl w:val="0"/>
        </w:rPr>
        <w:t>.</w:t>
      </w:r>
    </w:p>
  </w:footnote>
</w:footnotes>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Fejléc és lábléc"/>
      <w:bidi w:val="0"/>
    </w:pPr>
    <w:r/>
  </w:p>
</w:hdr>
</file>

<file path=word/header2.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Szövegtörzs A"/>
      <w:widowControl w:val="0"/>
      <w:spacing w:line="240" w:lineRule="auto"/>
      <w:jc w:val="center"/>
    </w:pPr>
    <w:r>
      <w:rPr>
        <w:rStyle w:val="Egyik sem"/>
      </w:rPr>
      <w:drawing xmlns:a="http://schemas.openxmlformats.org/drawingml/2006/main">
        <wp:inline distT="0" distB="0" distL="0" distR="0">
          <wp:extent cx="1418400" cy="445884"/>
          <wp:effectExtent l="0" t="0" r="0" b="0"/>
          <wp:docPr id="1073741825" name="officeArt object" descr="image3.png"/>
          <wp:cNvGraphicFramePr/>
          <a:graphic xmlns:a="http://schemas.openxmlformats.org/drawingml/2006/main">
            <a:graphicData uri="http://schemas.openxmlformats.org/drawingml/2006/picture">
              <pic:pic xmlns:pic="http://schemas.openxmlformats.org/drawingml/2006/picture">
                <pic:nvPicPr>
                  <pic:cNvPr id="1073741825" name="image3.png" descr="image3.png"/>
                  <pic:cNvPicPr>
                    <a:picLocks noChangeAspect="1"/>
                  </pic:cNvPicPr>
                </pic:nvPicPr>
                <pic:blipFill>
                  <a:blip r:embed="rId1">
                    <a:extLst/>
                  </a:blip>
                  <a:srcRect l="26194" t="22869" r="5900" b="26007"/>
                  <a:stretch>
                    <a:fillRect/>
                  </a:stretch>
                </pic:blipFill>
                <pic:spPr>
                  <a:xfrm>
                    <a:off x="0" y="0"/>
                    <a:ext cx="1418400" cy="445884"/>
                  </a:xfrm>
                  <a:prstGeom prst="rect">
                    <a:avLst/>
                  </a:prstGeom>
                  <a:ln w="12700" cap="flat">
                    <a:noFill/>
                    <a:miter lim="400000"/>
                  </a:ln>
                  <a:effectLst/>
                </pic:spPr>
              </pic:pic>
            </a:graphicData>
          </a:graphic>
        </wp:inline>
      </w:drawing>
    </w:r>
    <w:r>
      <w:rPr>
        <w:rStyle w:val="Egyik sem"/>
        <w:rtl w:val="0"/>
      </w:rPr>
      <w:t xml:space="preserve"> </w:t>
    </w:r>
    <w:r>
      <w:rPr>
        <w:rStyle w:val="Egyik sem"/>
      </w:rPr>
      <w:drawing xmlns:a="http://schemas.openxmlformats.org/drawingml/2006/main">
        <wp:inline distT="0" distB="0" distL="0" distR="0">
          <wp:extent cx="936000" cy="793867"/>
          <wp:effectExtent l="0" t="0" r="0" b="0"/>
          <wp:docPr id="1073741826" name="officeArt object" descr="image1.png"/>
          <wp:cNvGraphicFramePr/>
          <a:graphic xmlns:a="http://schemas.openxmlformats.org/drawingml/2006/main">
            <a:graphicData uri="http://schemas.openxmlformats.org/drawingml/2006/picture">
              <pic:pic xmlns:pic="http://schemas.openxmlformats.org/drawingml/2006/picture">
                <pic:nvPicPr>
                  <pic:cNvPr id="1073741826" name="image1.png" descr="image1.png"/>
                  <pic:cNvPicPr>
                    <a:picLocks noChangeAspect="1"/>
                  </pic:cNvPicPr>
                </pic:nvPicPr>
                <pic:blipFill>
                  <a:blip r:embed="rId2">
                    <a:extLst/>
                  </a:blip>
                  <a:srcRect l="22119" t="9160" r="22408" b="15266"/>
                  <a:stretch>
                    <a:fillRect/>
                  </a:stretch>
                </pic:blipFill>
                <pic:spPr>
                  <a:xfrm>
                    <a:off x="0" y="0"/>
                    <a:ext cx="936000" cy="793867"/>
                  </a:xfrm>
                  <a:prstGeom prst="rect">
                    <a:avLst/>
                  </a:prstGeom>
                  <a:ln w="12700" cap="flat">
                    <a:noFill/>
                    <a:miter lim="400000"/>
                  </a:ln>
                  <a:effectLst/>
                </pic:spPr>
              </pic:pic>
            </a:graphicData>
          </a:graphic>
        </wp:inline>
      </w:drawing>
    </w:r>
    <w:r>
      <w:rPr>
        <w:rStyle w:val="Egyik sem"/>
      </w:rPr>
      <w:drawing xmlns:a="http://schemas.openxmlformats.org/drawingml/2006/main">
        <wp:inline distT="0" distB="0" distL="0" distR="0">
          <wp:extent cx="1814400" cy="571854"/>
          <wp:effectExtent l="0" t="0" r="0" b="0"/>
          <wp:docPr id="1073741827" name="officeArt object" descr="image2.png"/>
          <wp:cNvGraphicFramePr/>
          <a:graphic xmlns:a="http://schemas.openxmlformats.org/drawingml/2006/main">
            <a:graphicData uri="http://schemas.openxmlformats.org/drawingml/2006/picture">
              <pic:pic xmlns:pic="http://schemas.openxmlformats.org/drawingml/2006/picture">
                <pic:nvPicPr>
                  <pic:cNvPr id="1073741827" name="image2.png" descr="image2.png"/>
                  <pic:cNvPicPr>
                    <a:picLocks noChangeAspect="1"/>
                  </pic:cNvPicPr>
                </pic:nvPicPr>
                <pic:blipFill>
                  <a:blip r:embed="rId3">
                    <a:extLst/>
                  </a:blip>
                  <a:srcRect l="0" t="15306" r="0" b="15306"/>
                  <a:stretch>
                    <a:fillRect/>
                  </a:stretch>
                </pic:blipFill>
                <pic:spPr>
                  <a:xfrm>
                    <a:off x="0" y="0"/>
                    <a:ext cx="1814400" cy="571854"/>
                  </a:xfrm>
                  <a:prstGeom prst="rect">
                    <a:avLst/>
                  </a:prstGeom>
                  <a:ln w="12700" cap="flat">
                    <a:noFill/>
                    <a:miter lim="400000"/>
                  </a:ln>
                  <a:effectLst/>
                </pic:spPr>
              </pic:pic>
            </a:graphicData>
          </a:graphic>
        </wp:inline>
      </w:drawing>
    </w:r>
    <w:r>
      <w:rPr>
        <w:rStyle w:val="Egyik sem"/>
        <w:rtl w:val="0"/>
      </w:rPr>
      <w:t xml:space="preserve">    </w:t>
    </w:r>
    <w:r>
      <w:rPr>
        <w:rStyle w:val="Egyik sem"/>
      </w:rPr>
      <w:drawing xmlns:a="http://schemas.openxmlformats.org/drawingml/2006/main">
        <wp:inline distT="0" distB="0" distL="0" distR="0">
          <wp:extent cx="1228725" cy="728663"/>
          <wp:effectExtent l="0" t="0" r="0" b="0"/>
          <wp:docPr id="1073741828" name="officeArt object" descr="image4.png"/>
          <wp:cNvGraphicFramePr/>
          <a:graphic xmlns:a="http://schemas.openxmlformats.org/drawingml/2006/main">
            <a:graphicData uri="http://schemas.openxmlformats.org/drawingml/2006/picture">
              <pic:pic xmlns:pic="http://schemas.openxmlformats.org/drawingml/2006/picture">
                <pic:nvPicPr>
                  <pic:cNvPr id="1073741828" name="image4.png" descr="image4.png"/>
                  <pic:cNvPicPr>
                    <a:picLocks noChangeAspect="1"/>
                  </pic:cNvPicPr>
                </pic:nvPicPr>
                <pic:blipFill>
                  <a:blip r:embed="rId4">
                    <a:extLst/>
                  </a:blip>
                  <a:srcRect l="0" t="17054" r="0" b="13953"/>
                  <a:stretch>
                    <a:fillRect/>
                  </a:stretch>
                </pic:blipFill>
                <pic:spPr>
                  <a:xfrm>
                    <a:off x="0" y="0"/>
                    <a:ext cx="1228725" cy="728663"/>
                  </a:xfrm>
                  <a:prstGeom prst="rect">
                    <a:avLst/>
                  </a:prstGeom>
                  <a:ln w="12700" cap="flat">
                    <a:noFill/>
                    <a:miter lim="400000"/>
                  </a:ln>
                  <a:effectLst/>
                </pic:spPr>
              </pic:pic>
            </a:graphicData>
          </a:graphic>
        </wp:inline>
      </w:drawing>
    </w:r>
    <w:r>
      <w:rPr>
        <w:rStyle w:val="Egyik sem"/>
        <w:rtl w:val="0"/>
      </w:rPr>
      <w:t xml:space="preserve"> </w:t>
      <w:tab/>
      <w:t xml:space="preserve"> </w:t>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abstractNum w:abstractNumId="0">
    <w:multiLevelType w:val="hybridMultilevel"/>
    <w:numStyleLink w:val="Importált 1 stílus"/>
  </w:abstractNum>
  <w:abstractNum w:abstractNumId="1">
    <w:multiLevelType w:val="hybridMultilevel"/>
    <w:styleLink w:val="Importált 1 stílus"/>
    <w:lvl w:ilvl="0">
      <w:start w:val="1"/>
      <w:numFmt w:val="bullet"/>
      <w:suff w:val="tab"/>
      <w:lvlText w:val="-"/>
      <w:lvlJc w:val="left"/>
      <w:pPr>
        <w:ind w:left="720" w:hanging="360"/>
      </w:pPr>
      <w:rPr>
        <w:rFonts w:ascii="Times New Roman" w:cs="Times New Roman" w:hAnsi="Times New Roman" w:eastAsia="Times New Roman"/>
        <w:b w:val="0"/>
        <w:bCs w:val="0"/>
        <w:i w:val="1"/>
        <w:iCs w:val="1"/>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
      <w:lvlJc w:val="left"/>
      <w:pPr>
        <w:ind w:left="1440" w:hanging="360"/>
      </w:pPr>
      <w:rPr>
        <w:rFonts w:ascii="Times New Roman" w:cs="Times New Roman" w:hAnsi="Times New Roman" w:eastAsia="Times New Roman"/>
        <w:b w:val="0"/>
        <w:bCs w:val="0"/>
        <w:i w:val="1"/>
        <w:iCs w:val="1"/>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2160" w:hanging="360"/>
      </w:pPr>
      <w:rPr>
        <w:rFonts w:ascii="Times New Roman" w:cs="Times New Roman" w:hAnsi="Times New Roman" w:eastAsia="Times New Roman"/>
        <w:b w:val="0"/>
        <w:bCs w:val="0"/>
        <w:i w:val="1"/>
        <w:iCs w:val="1"/>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2880" w:hanging="360"/>
      </w:pPr>
      <w:rPr>
        <w:rFonts w:ascii="Times New Roman" w:cs="Times New Roman" w:hAnsi="Times New Roman" w:eastAsia="Times New Roman"/>
        <w:b w:val="0"/>
        <w:bCs w:val="0"/>
        <w:i w:val="1"/>
        <w:iCs w:val="1"/>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
      <w:lvlJc w:val="left"/>
      <w:pPr>
        <w:ind w:left="3600" w:hanging="360"/>
      </w:pPr>
      <w:rPr>
        <w:rFonts w:ascii="Times New Roman" w:cs="Times New Roman" w:hAnsi="Times New Roman" w:eastAsia="Times New Roman"/>
        <w:b w:val="0"/>
        <w:bCs w:val="0"/>
        <w:i w:val="1"/>
        <w:iCs w:val="1"/>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4320" w:hanging="360"/>
      </w:pPr>
      <w:rPr>
        <w:rFonts w:ascii="Times New Roman" w:cs="Times New Roman" w:hAnsi="Times New Roman" w:eastAsia="Times New Roman"/>
        <w:b w:val="0"/>
        <w:bCs w:val="0"/>
        <w:i w:val="1"/>
        <w:iCs w:val="1"/>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5040" w:hanging="360"/>
      </w:pPr>
      <w:rPr>
        <w:rFonts w:ascii="Times New Roman" w:cs="Times New Roman" w:hAnsi="Times New Roman" w:eastAsia="Times New Roman"/>
        <w:b w:val="0"/>
        <w:bCs w:val="0"/>
        <w:i w:val="1"/>
        <w:iCs w:val="1"/>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
      <w:lvlJc w:val="left"/>
      <w:pPr>
        <w:ind w:left="5760" w:hanging="360"/>
      </w:pPr>
      <w:rPr>
        <w:rFonts w:ascii="Times New Roman" w:cs="Times New Roman" w:hAnsi="Times New Roman" w:eastAsia="Times New Roman"/>
        <w:b w:val="0"/>
        <w:bCs w:val="0"/>
        <w:i w:val="1"/>
        <w:iCs w:val="1"/>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6480" w:hanging="360"/>
      </w:pPr>
      <w:rPr>
        <w:rFonts w:ascii="Times New Roman" w:cs="Times New Roman" w:hAnsi="Times New Roman" w:eastAsia="Times New Roman"/>
        <w:b w:val="0"/>
        <w:bCs w:val="0"/>
        <w:i w:val="1"/>
        <w:iCs w:val="1"/>
        <w:caps w:val="0"/>
        <w:smallCaps w:val="0"/>
        <w:strike w:val="0"/>
        <w:dstrike w:val="0"/>
        <w:outline w:val="0"/>
        <w:emboss w:val="0"/>
        <w:imprint w:val="0"/>
        <w:spacing w:val="0"/>
        <w:w w:val="100"/>
        <w:kern w:val="0"/>
        <w:position w:val="0"/>
        <w:highlight w:val="none"/>
        <w:vertAlign w:val="baseline"/>
      </w:rPr>
    </w:lvl>
  </w:abstractNum>
  <w:abstractNum w:abstractNumId="2">
    <w:multiLevelType w:val="hybridMultilevel"/>
    <w:numStyleLink w:val="Importált 2 stílus"/>
  </w:abstractNum>
  <w:abstractNum w:abstractNumId="3">
    <w:multiLevelType w:val="hybridMultilevel"/>
    <w:styleLink w:val="Importált 2 stílus"/>
    <w:lvl w:ilvl="0">
      <w:start w:val="1"/>
      <w:numFmt w:val="bullet"/>
      <w:suff w:val="tab"/>
      <w:lvlText w:val="-"/>
      <w:lvlJc w:val="left"/>
      <w:pPr>
        <w:ind w:left="720" w:hanging="360"/>
      </w:pPr>
      <w:rPr>
        <w:rFonts w:ascii="Times New Roman" w:cs="Times New Roman" w:hAnsi="Times New Roman" w:eastAsia="Times New Roman"/>
        <w:b w:val="0"/>
        <w:bCs w:val="0"/>
        <w:i w:val="1"/>
        <w:iCs w:val="1"/>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
      <w:lvlJc w:val="left"/>
      <w:pPr>
        <w:ind w:left="1440" w:hanging="360"/>
      </w:pPr>
      <w:rPr>
        <w:rFonts w:ascii="Times New Roman" w:cs="Times New Roman" w:hAnsi="Times New Roman" w:eastAsia="Times New Roman"/>
        <w:b w:val="0"/>
        <w:bCs w:val="0"/>
        <w:i w:val="1"/>
        <w:iCs w:val="1"/>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2160" w:hanging="360"/>
      </w:pPr>
      <w:rPr>
        <w:rFonts w:ascii="Times New Roman" w:cs="Times New Roman" w:hAnsi="Times New Roman" w:eastAsia="Times New Roman"/>
        <w:b w:val="0"/>
        <w:bCs w:val="0"/>
        <w:i w:val="1"/>
        <w:iCs w:val="1"/>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2880" w:hanging="360"/>
      </w:pPr>
      <w:rPr>
        <w:rFonts w:ascii="Times New Roman" w:cs="Times New Roman" w:hAnsi="Times New Roman" w:eastAsia="Times New Roman"/>
        <w:b w:val="0"/>
        <w:bCs w:val="0"/>
        <w:i w:val="1"/>
        <w:iCs w:val="1"/>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
      <w:lvlJc w:val="left"/>
      <w:pPr>
        <w:ind w:left="3600" w:hanging="360"/>
      </w:pPr>
      <w:rPr>
        <w:rFonts w:ascii="Times New Roman" w:cs="Times New Roman" w:hAnsi="Times New Roman" w:eastAsia="Times New Roman"/>
        <w:b w:val="0"/>
        <w:bCs w:val="0"/>
        <w:i w:val="1"/>
        <w:iCs w:val="1"/>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4320" w:hanging="360"/>
      </w:pPr>
      <w:rPr>
        <w:rFonts w:ascii="Times New Roman" w:cs="Times New Roman" w:hAnsi="Times New Roman" w:eastAsia="Times New Roman"/>
        <w:b w:val="0"/>
        <w:bCs w:val="0"/>
        <w:i w:val="1"/>
        <w:iCs w:val="1"/>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5040" w:hanging="360"/>
      </w:pPr>
      <w:rPr>
        <w:rFonts w:ascii="Times New Roman" w:cs="Times New Roman" w:hAnsi="Times New Roman" w:eastAsia="Times New Roman"/>
        <w:b w:val="0"/>
        <w:bCs w:val="0"/>
        <w:i w:val="1"/>
        <w:iCs w:val="1"/>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
      <w:lvlJc w:val="left"/>
      <w:pPr>
        <w:ind w:left="5760" w:hanging="360"/>
      </w:pPr>
      <w:rPr>
        <w:rFonts w:ascii="Times New Roman" w:cs="Times New Roman" w:hAnsi="Times New Roman" w:eastAsia="Times New Roman"/>
        <w:b w:val="0"/>
        <w:bCs w:val="0"/>
        <w:i w:val="1"/>
        <w:iCs w:val="1"/>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6480" w:hanging="360"/>
      </w:pPr>
      <w:rPr>
        <w:rFonts w:ascii="Times New Roman" w:cs="Times New Roman" w:hAnsi="Times New Roman" w:eastAsia="Times New Roman"/>
        <w:b w:val="0"/>
        <w:bCs w:val="0"/>
        <w:i w:val="1"/>
        <w:iCs w:val="1"/>
        <w:caps w:val="0"/>
        <w:smallCaps w:val="0"/>
        <w:strike w:val="0"/>
        <w:dstrike w:val="0"/>
        <w:outline w:val="0"/>
        <w:emboss w:val="0"/>
        <w:imprint w:val="0"/>
        <w:spacing w:val="0"/>
        <w:w w:val="100"/>
        <w:kern w:val="0"/>
        <w:position w:val="0"/>
        <w:highlight w:val="none"/>
        <w:vertAlign w:val="baseline"/>
      </w:rPr>
    </w:lvl>
  </w:abstractNum>
  <w:abstractNum w:abstractNumId="4">
    <w:multiLevelType w:val="hybridMultilevel"/>
    <w:numStyleLink w:val="Importált 3 stílus"/>
  </w:abstractNum>
  <w:abstractNum w:abstractNumId="5">
    <w:multiLevelType w:val="hybridMultilevel"/>
    <w:styleLink w:val="Importált 3 stílus"/>
    <w:lvl w:ilvl="0">
      <w:start w:val="1"/>
      <w:numFmt w:val="bullet"/>
      <w:suff w:val="tab"/>
      <w:lvlText w:val="-"/>
      <w:lvlJc w:val="left"/>
      <w:pPr>
        <w:ind w:left="720" w:hanging="360"/>
      </w:pPr>
      <w:rPr>
        <w:rFonts w:ascii="Times New Roman" w:cs="Times New Roman" w:hAnsi="Times New Roman" w:eastAsia="Times New Roman"/>
        <w:b w:val="0"/>
        <w:bCs w:val="0"/>
        <w:i w:val="1"/>
        <w:iCs w:val="1"/>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
      <w:lvlJc w:val="left"/>
      <w:pPr>
        <w:ind w:left="1440" w:hanging="360"/>
      </w:pPr>
      <w:rPr>
        <w:rFonts w:ascii="Times New Roman" w:cs="Times New Roman" w:hAnsi="Times New Roman" w:eastAsia="Times New Roman"/>
        <w:b w:val="0"/>
        <w:bCs w:val="0"/>
        <w:i w:val="1"/>
        <w:iCs w:val="1"/>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2160" w:hanging="360"/>
      </w:pPr>
      <w:rPr>
        <w:rFonts w:ascii="Times New Roman" w:cs="Times New Roman" w:hAnsi="Times New Roman" w:eastAsia="Times New Roman"/>
        <w:b w:val="0"/>
        <w:bCs w:val="0"/>
        <w:i w:val="1"/>
        <w:iCs w:val="1"/>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2880" w:hanging="360"/>
      </w:pPr>
      <w:rPr>
        <w:rFonts w:ascii="Times New Roman" w:cs="Times New Roman" w:hAnsi="Times New Roman" w:eastAsia="Times New Roman"/>
        <w:b w:val="0"/>
        <w:bCs w:val="0"/>
        <w:i w:val="1"/>
        <w:iCs w:val="1"/>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
      <w:lvlJc w:val="left"/>
      <w:pPr>
        <w:ind w:left="3600" w:hanging="360"/>
      </w:pPr>
      <w:rPr>
        <w:rFonts w:ascii="Times New Roman" w:cs="Times New Roman" w:hAnsi="Times New Roman" w:eastAsia="Times New Roman"/>
        <w:b w:val="0"/>
        <w:bCs w:val="0"/>
        <w:i w:val="1"/>
        <w:iCs w:val="1"/>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4320" w:hanging="360"/>
      </w:pPr>
      <w:rPr>
        <w:rFonts w:ascii="Times New Roman" w:cs="Times New Roman" w:hAnsi="Times New Roman" w:eastAsia="Times New Roman"/>
        <w:b w:val="0"/>
        <w:bCs w:val="0"/>
        <w:i w:val="1"/>
        <w:iCs w:val="1"/>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5040" w:hanging="360"/>
      </w:pPr>
      <w:rPr>
        <w:rFonts w:ascii="Times New Roman" w:cs="Times New Roman" w:hAnsi="Times New Roman" w:eastAsia="Times New Roman"/>
        <w:b w:val="0"/>
        <w:bCs w:val="0"/>
        <w:i w:val="1"/>
        <w:iCs w:val="1"/>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
      <w:lvlJc w:val="left"/>
      <w:pPr>
        <w:ind w:left="5760" w:hanging="360"/>
      </w:pPr>
      <w:rPr>
        <w:rFonts w:ascii="Times New Roman" w:cs="Times New Roman" w:hAnsi="Times New Roman" w:eastAsia="Times New Roman"/>
        <w:b w:val="0"/>
        <w:bCs w:val="0"/>
        <w:i w:val="1"/>
        <w:iCs w:val="1"/>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6480" w:hanging="360"/>
      </w:pPr>
      <w:rPr>
        <w:rFonts w:ascii="Times New Roman" w:cs="Times New Roman" w:hAnsi="Times New Roman" w:eastAsia="Times New Roman"/>
        <w:b w:val="0"/>
        <w:bCs w:val="0"/>
        <w:i w:val="1"/>
        <w:iCs w:val="1"/>
        <w:caps w:val="0"/>
        <w:smallCaps w:val="0"/>
        <w:strike w:val="0"/>
        <w:dstrike w:val="0"/>
        <w:outline w:val="0"/>
        <w:emboss w:val="0"/>
        <w:imprint w:val="0"/>
        <w:spacing w:val="0"/>
        <w:w w:val="100"/>
        <w:kern w:val="0"/>
        <w:position w:val="0"/>
        <w:highlight w:val="none"/>
        <w:vertAlign w:val="baseline"/>
      </w:rPr>
    </w:lvl>
  </w:abstractNum>
  <w:abstractNum w:abstractNumId="6">
    <w:multiLevelType w:val="hybridMultilevel"/>
    <w:numStyleLink w:val="Importált 4 stílus"/>
  </w:abstractNum>
  <w:abstractNum w:abstractNumId="7">
    <w:multiLevelType w:val="hybridMultilevel"/>
    <w:styleLink w:val="Importált 4 stílus"/>
    <w:lvl w:ilvl="0">
      <w:start w:val="1"/>
      <w:numFmt w:val="bullet"/>
      <w:suff w:val="tab"/>
      <w:lvlText w:val="-"/>
      <w:lvlJc w:val="left"/>
      <w:pPr>
        <w:ind w:left="720" w:hanging="360"/>
      </w:pPr>
      <w:rPr>
        <w:rFonts w:ascii="Times New Roman" w:cs="Times New Roman" w:hAnsi="Times New Roman" w:eastAsia="Times New Roman"/>
        <w:b w:val="0"/>
        <w:bCs w:val="0"/>
        <w:i w:val="1"/>
        <w:iCs w:val="1"/>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
      <w:lvlJc w:val="left"/>
      <w:pPr>
        <w:ind w:left="1440" w:hanging="360"/>
      </w:pPr>
      <w:rPr>
        <w:rFonts w:ascii="Times New Roman" w:cs="Times New Roman" w:hAnsi="Times New Roman" w:eastAsia="Times New Roman"/>
        <w:b w:val="0"/>
        <w:bCs w:val="0"/>
        <w:i w:val="1"/>
        <w:iCs w:val="1"/>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2160" w:hanging="360"/>
      </w:pPr>
      <w:rPr>
        <w:rFonts w:ascii="Times New Roman" w:cs="Times New Roman" w:hAnsi="Times New Roman" w:eastAsia="Times New Roman"/>
        <w:b w:val="0"/>
        <w:bCs w:val="0"/>
        <w:i w:val="1"/>
        <w:iCs w:val="1"/>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2880" w:hanging="360"/>
      </w:pPr>
      <w:rPr>
        <w:rFonts w:ascii="Times New Roman" w:cs="Times New Roman" w:hAnsi="Times New Roman" w:eastAsia="Times New Roman"/>
        <w:b w:val="0"/>
        <w:bCs w:val="0"/>
        <w:i w:val="1"/>
        <w:iCs w:val="1"/>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
      <w:lvlJc w:val="left"/>
      <w:pPr>
        <w:ind w:left="3600" w:hanging="360"/>
      </w:pPr>
      <w:rPr>
        <w:rFonts w:ascii="Times New Roman" w:cs="Times New Roman" w:hAnsi="Times New Roman" w:eastAsia="Times New Roman"/>
        <w:b w:val="0"/>
        <w:bCs w:val="0"/>
        <w:i w:val="1"/>
        <w:iCs w:val="1"/>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4320" w:hanging="360"/>
      </w:pPr>
      <w:rPr>
        <w:rFonts w:ascii="Times New Roman" w:cs="Times New Roman" w:hAnsi="Times New Roman" w:eastAsia="Times New Roman"/>
        <w:b w:val="0"/>
        <w:bCs w:val="0"/>
        <w:i w:val="1"/>
        <w:iCs w:val="1"/>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5040" w:hanging="360"/>
      </w:pPr>
      <w:rPr>
        <w:rFonts w:ascii="Times New Roman" w:cs="Times New Roman" w:hAnsi="Times New Roman" w:eastAsia="Times New Roman"/>
        <w:b w:val="0"/>
        <w:bCs w:val="0"/>
        <w:i w:val="1"/>
        <w:iCs w:val="1"/>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
      <w:lvlJc w:val="left"/>
      <w:pPr>
        <w:ind w:left="5760" w:hanging="360"/>
      </w:pPr>
      <w:rPr>
        <w:rFonts w:ascii="Times New Roman" w:cs="Times New Roman" w:hAnsi="Times New Roman" w:eastAsia="Times New Roman"/>
        <w:b w:val="0"/>
        <w:bCs w:val="0"/>
        <w:i w:val="1"/>
        <w:iCs w:val="1"/>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6480" w:hanging="360"/>
      </w:pPr>
      <w:rPr>
        <w:rFonts w:ascii="Times New Roman" w:cs="Times New Roman" w:hAnsi="Times New Roman" w:eastAsia="Times New Roman"/>
        <w:b w:val="0"/>
        <w:bCs w:val="0"/>
        <w:i w:val="1"/>
        <w:iCs w:val="1"/>
        <w:caps w:val="0"/>
        <w:smallCaps w:val="0"/>
        <w:strike w:val="0"/>
        <w:dstrike w:val="0"/>
        <w:outline w:val="0"/>
        <w:emboss w:val="0"/>
        <w:imprint w:val="0"/>
        <w:spacing w:val="0"/>
        <w:w w:val="100"/>
        <w:kern w:val="0"/>
        <w:position w:val="0"/>
        <w:highlight w:val="none"/>
        <w:vertAlign w:val="baseline"/>
      </w:rPr>
    </w:lvl>
  </w:abstractNum>
  <w:abstractNum w:abstractNumId="8">
    <w:multiLevelType w:val="hybridMultilevel"/>
    <w:numStyleLink w:val="Importált 5 stílus"/>
  </w:abstractNum>
  <w:abstractNum w:abstractNumId="9">
    <w:multiLevelType w:val="hybridMultilevel"/>
    <w:styleLink w:val="Importált 5 stílus"/>
    <w:lvl w:ilvl="0">
      <w:start w:val="1"/>
      <w:numFmt w:val="bullet"/>
      <w:suff w:val="tab"/>
      <w:lvlText w:val="●"/>
      <w:lvlJc w:val="left"/>
      <w:pPr>
        <w:ind w:left="720" w:hanging="360"/>
      </w:pPr>
      <w:rPr>
        <w:rFonts w:ascii="Times New Roman" w:cs="Times New Roman" w:hAnsi="Times New Roman" w:eastAsia="Times New Roman"/>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
      <w:lvlJc w:val="left"/>
      <w:pPr>
        <w:ind w:left="1440" w:hanging="360"/>
      </w:pPr>
      <w:rPr>
        <w:rFonts w:ascii="Times New Roman" w:cs="Times New Roman" w:hAnsi="Times New Roman" w:eastAsia="Times New Roman"/>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2160" w:hanging="360"/>
      </w:pPr>
      <w:rPr>
        <w:rFonts w:ascii="Times New Roman" w:cs="Times New Roman" w:hAnsi="Times New Roman" w:eastAsia="Times New Roman"/>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2880" w:hanging="360"/>
      </w:pPr>
      <w:rPr>
        <w:rFonts w:ascii="Times New Roman" w:cs="Times New Roman" w:hAnsi="Times New Roman" w:eastAsia="Times New Roman"/>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
      <w:lvlJc w:val="left"/>
      <w:pPr>
        <w:ind w:left="3600" w:hanging="360"/>
      </w:pPr>
      <w:rPr>
        <w:rFonts w:ascii="Times New Roman" w:cs="Times New Roman" w:hAnsi="Times New Roman" w:eastAsia="Times New Roman"/>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4320" w:hanging="360"/>
      </w:pPr>
      <w:rPr>
        <w:rFonts w:ascii="Times New Roman" w:cs="Times New Roman" w:hAnsi="Times New Roman" w:eastAsia="Times New Roman"/>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5040" w:hanging="360"/>
      </w:pPr>
      <w:rPr>
        <w:rFonts w:ascii="Times New Roman" w:cs="Times New Roman" w:hAnsi="Times New Roman" w:eastAsia="Times New Roman"/>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
      <w:lvlJc w:val="left"/>
      <w:pPr>
        <w:ind w:left="5760" w:hanging="360"/>
      </w:pPr>
      <w:rPr>
        <w:rFonts w:ascii="Times New Roman" w:cs="Times New Roman" w:hAnsi="Times New Roman" w:eastAsia="Times New Roman"/>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6480" w:hanging="360"/>
      </w:pPr>
      <w:rPr>
        <w:rFonts w:ascii="Times New Roman" w:cs="Times New Roman" w:hAnsi="Times New Roman" w:eastAsia="Times New Roman"/>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0">
    <w:multiLevelType w:val="hybridMultilevel"/>
    <w:numStyleLink w:val="Importált 6 stílus"/>
  </w:abstractNum>
  <w:abstractNum w:abstractNumId="11">
    <w:multiLevelType w:val="hybridMultilevel"/>
    <w:styleLink w:val="Importált 6 stílus"/>
    <w:lvl w:ilvl="0">
      <w:start w:val="1"/>
      <w:numFmt w:val="bullet"/>
      <w:suff w:val="tab"/>
      <w:lvlText w:val="●"/>
      <w:lvlJc w:val="left"/>
      <w:pPr>
        <w:ind w:left="720" w:hanging="360"/>
      </w:pPr>
      <w:rPr>
        <w:rFonts w:ascii="Times New Roman" w:cs="Times New Roman" w:hAnsi="Times New Roman" w:eastAsia="Times New Roman"/>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
      <w:lvlJc w:val="left"/>
      <w:pPr>
        <w:ind w:left="1440" w:hanging="360"/>
      </w:pPr>
      <w:rPr>
        <w:rFonts w:ascii="Times New Roman" w:cs="Times New Roman" w:hAnsi="Times New Roman" w:eastAsia="Times New Roman"/>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2160" w:hanging="360"/>
      </w:pPr>
      <w:rPr>
        <w:rFonts w:ascii="Times New Roman" w:cs="Times New Roman" w:hAnsi="Times New Roman" w:eastAsia="Times New Roman"/>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2880" w:hanging="360"/>
      </w:pPr>
      <w:rPr>
        <w:rFonts w:ascii="Times New Roman" w:cs="Times New Roman" w:hAnsi="Times New Roman" w:eastAsia="Times New Roman"/>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
      <w:lvlJc w:val="left"/>
      <w:pPr>
        <w:ind w:left="3600" w:hanging="360"/>
      </w:pPr>
      <w:rPr>
        <w:rFonts w:ascii="Times New Roman" w:cs="Times New Roman" w:hAnsi="Times New Roman" w:eastAsia="Times New Roman"/>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4320" w:hanging="360"/>
      </w:pPr>
      <w:rPr>
        <w:rFonts w:ascii="Times New Roman" w:cs="Times New Roman" w:hAnsi="Times New Roman" w:eastAsia="Times New Roman"/>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5040" w:hanging="360"/>
      </w:pPr>
      <w:rPr>
        <w:rFonts w:ascii="Times New Roman" w:cs="Times New Roman" w:hAnsi="Times New Roman" w:eastAsia="Times New Roman"/>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
      <w:lvlJc w:val="left"/>
      <w:pPr>
        <w:ind w:left="5760" w:hanging="360"/>
      </w:pPr>
      <w:rPr>
        <w:rFonts w:ascii="Times New Roman" w:cs="Times New Roman" w:hAnsi="Times New Roman" w:eastAsia="Times New Roman"/>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6480" w:hanging="360"/>
      </w:pPr>
      <w:rPr>
        <w:rFonts w:ascii="Times New Roman" w:cs="Times New Roman" w:hAnsi="Times New Roman" w:eastAsia="Times New Roman"/>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2">
    <w:multiLevelType w:val="hybridMultilevel"/>
    <w:numStyleLink w:val="Importált 7 stílus"/>
  </w:abstractNum>
  <w:abstractNum w:abstractNumId="13">
    <w:multiLevelType w:val="hybridMultilevel"/>
    <w:styleLink w:val="Importált 7 stílus"/>
    <w:lvl w:ilvl="0">
      <w:start w:val="1"/>
      <w:numFmt w:val="bullet"/>
      <w:suff w:val="tab"/>
      <w:lvlText w:val="●"/>
      <w:lvlJc w:val="left"/>
      <w:pPr>
        <w:ind w:left="720" w:hanging="360"/>
      </w:pPr>
      <w:rPr>
        <w:rFonts w:ascii="Times New Roman" w:cs="Times New Roman" w:hAnsi="Times New Roman" w:eastAsia="Times New Roman"/>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
      <w:lvlJc w:val="left"/>
      <w:pPr>
        <w:ind w:left="1440" w:hanging="360"/>
      </w:pPr>
      <w:rPr>
        <w:rFonts w:ascii="Times New Roman" w:cs="Times New Roman" w:hAnsi="Times New Roman" w:eastAsia="Times New Roman"/>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2160" w:hanging="360"/>
      </w:pPr>
      <w:rPr>
        <w:rFonts w:ascii="Times New Roman" w:cs="Times New Roman" w:hAnsi="Times New Roman" w:eastAsia="Times New Roman"/>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2880" w:hanging="360"/>
      </w:pPr>
      <w:rPr>
        <w:rFonts w:ascii="Times New Roman" w:cs="Times New Roman" w:hAnsi="Times New Roman" w:eastAsia="Times New Roman"/>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
      <w:lvlJc w:val="left"/>
      <w:pPr>
        <w:ind w:left="3600" w:hanging="360"/>
      </w:pPr>
      <w:rPr>
        <w:rFonts w:ascii="Times New Roman" w:cs="Times New Roman" w:hAnsi="Times New Roman" w:eastAsia="Times New Roman"/>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4320" w:hanging="360"/>
      </w:pPr>
      <w:rPr>
        <w:rFonts w:ascii="Times New Roman" w:cs="Times New Roman" w:hAnsi="Times New Roman" w:eastAsia="Times New Roman"/>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5040" w:hanging="360"/>
      </w:pPr>
      <w:rPr>
        <w:rFonts w:ascii="Times New Roman" w:cs="Times New Roman" w:hAnsi="Times New Roman" w:eastAsia="Times New Roman"/>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
      <w:lvlJc w:val="left"/>
      <w:pPr>
        <w:ind w:left="5760" w:hanging="360"/>
      </w:pPr>
      <w:rPr>
        <w:rFonts w:ascii="Times New Roman" w:cs="Times New Roman" w:hAnsi="Times New Roman" w:eastAsia="Times New Roman"/>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6480" w:hanging="360"/>
      </w:pPr>
      <w:rPr>
        <w:rFonts w:ascii="Times New Roman" w:cs="Times New Roman" w:hAnsi="Times New Roman" w:eastAsia="Times New Roman"/>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4">
    <w:multiLevelType w:val="hybridMultilevel"/>
    <w:numStyleLink w:val="Importált 8 stílus"/>
  </w:abstractNum>
  <w:abstractNum w:abstractNumId="15">
    <w:multiLevelType w:val="hybridMultilevel"/>
    <w:styleLink w:val="Importált 8 stílus"/>
    <w:lvl w:ilvl="0">
      <w:start w:val="1"/>
      <w:numFmt w:val="bullet"/>
      <w:suff w:val="tab"/>
      <w:lvlText w:val="●"/>
      <w:lvlJc w:val="left"/>
      <w:pPr>
        <w:ind w:left="720" w:hanging="360"/>
      </w:pPr>
      <w:rPr>
        <w:rFonts w:ascii="Times New Roman" w:cs="Times New Roman" w:hAnsi="Times New Roman" w:eastAsia="Times New Roman"/>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
      <w:lvlJc w:val="left"/>
      <w:pPr>
        <w:ind w:left="1440" w:hanging="360"/>
      </w:pPr>
      <w:rPr>
        <w:rFonts w:ascii="Times New Roman" w:cs="Times New Roman" w:hAnsi="Times New Roman" w:eastAsia="Times New Roman"/>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2160" w:hanging="360"/>
      </w:pPr>
      <w:rPr>
        <w:rFonts w:ascii="Times New Roman" w:cs="Times New Roman" w:hAnsi="Times New Roman" w:eastAsia="Times New Roman"/>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2880" w:hanging="360"/>
      </w:pPr>
      <w:rPr>
        <w:rFonts w:ascii="Times New Roman" w:cs="Times New Roman" w:hAnsi="Times New Roman" w:eastAsia="Times New Roman"/>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
      <w:lvlJc w:val="left"/>
      <w:pPr>
        <w:ind w:left="3600" w:hanging="360"/>
      </w:pPr>
      <w:rPr>
        <w:rFonts w:ascii="Times New Roman" w:cs="Times New Roman" w:hAnsi="Times New Roman" w:eastAsia="Times New Roman"/>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4320" w:hanging="360"/>
      </w:pPr>
      <w:rPr>
        <w:rFonts w:ascii="Times New Roman" w:cs="Times New Roman" w:hAnsi="Times New Roman" w:eastAsia="Times New Roman"/>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5040" w:hanging="360"/>
      </w:pPr>
      <w:rPr>
        <w:rFonts w:ascii="Times New Roman" w:cs="Times New Roman" w:hAnsi="Times New Roman" w:eastAsia="Times New Roman"/>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
      <w:lvlJc w:val="left"/>
      <w:pPr>
        <w:ind w:left="5760" w:hanging="360"/>
      </w:pPr>
      <w:rPr>
        <w:rFonts w:ascii="Times New Roman" w:cs="Times New Roman" w:hAnsi="Times New Roman" w:eastAsia="Times New Roman"/>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6480" w:hanging="360"/>
      </w:pPr>
      <w:rPr>
        <w:rFonts w:ascii="Times New Roman" w:cs="Times New Roman" w:hAnsi="Times New Roman" w:eastAsia="Times New Roman"/>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6">
    <w:multiLevelType w:val="hybridMultilevel"/>
    <w:numStyleLink w:val="Importált 9 stílus"/>
  </w:abstractNum>
  <w:abstractNum w:abstractNumId="17">
    <w:multiLevelType w:val="hybridMultilevel"/>
    <w:styleLink w:val="Importált 9 stílus"/>
    <w:lvl w:ilvl="0">
      <w:start w:val="1"/>
      <w:numFmt w:val="bullet"/>
      <w:suff w:val="tab"/>
      <w:lvlText w:val="●"/>
      <w:lvlJc w:val="left"/>
      <w:pPr>
        <w:ind w:left="720" w:hanging="360"/>
      </w:pPr>
      <w:rPr>
        <w:rFonts w:ascii="Times New Roman" w:cs="Times New Roman" w:hAnsi="Times New Roman" w:eastAsia="Times New Roman"/>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
      <w:lvlJc w:val="left"/>
      <w:pPr>
        <w:ind w:left="1440" w:hanging="360"/>
      </w:pPr>
      <w:rPr>
        <w:rFonts w:ascii="Times New Roman" w:cs="Times New Roman" w:hAnsi="Times New Roman" w:eastAsia="Times New Roman"/>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2160" w:hanging="360"/>
      </w:pPr>
      <w:rPr>
        <w:rFonts w:ascii="Times New Roman" w:cs="Times New Roman" w:hAnsi="Times New Roman" w:eastAsia="Times New Roman"/>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2880" w:hanging="360"/>
      </w:pPr>
      <w:rPr>
        <w:rFonts w:ascii="Times New Roman" w:cs="Times New Roman" w:hAnsi="Times New Roman" w:eastAsia="Times New Roman"/>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
      <w:lvlJc w:val="left"/>
      <w:pPr>
        <w:ind w:left="3600" w:hanging="360"/>
      </w:pPr>
      <w:rPr>
        <w:rFonts w:ascii="Times New Roman" w:cs="Times New Roman" w:hAnsi="Times New Roman" w:eastAsia="Times New Roman"/>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4320" w:hanging="360"/>
      </w:pPr>
      <w:rPr>
        <w:rFonts w:ascii="Times New Roman" w:cs="Times New Roman" w:hAnsi="Times New Roman" w:eastAsia="Times New Roman"/>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5040" w:hanging="360"/>
      </w:pPr>
      <w:rPr>
        <w:rFonts w:ascii="Times New Roman" w:cs="Times New Roman" w:hAnsi="Times New Roman" w:eastAsia="Times New Roman"/>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
      <w:lvlJc w:val="left"/>
      <w:pPr>
        <w:ind w:left="5760" w:hanging="360"/>
      </w:pPr>
      <w:rPr>
        <w:rFonts w:ascii="Times New Roman" w:cs="Times New Roman" w:hAnsi="Times New Roman" w:eastAsia="Times New Roman"/>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6480" w:hanging="360"/>
      </w:pPr>
      <w:rPr>
        <w:rFonts w:ascii="Times New Roman" w:cs="Times New Roman" w:hAnsi="Times New Roman" w:eastAsia="Times New Roman"/>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8">
    <w:multiLevelType w:val="hybridMultilevel"/>
    <w:numStyleLink w:val="Importált 10 stílus"/>
  </w:abstractNum>
  <w:abstractNum w:abstractNumId="19">
    <w:multiLevelType w:val="hybridMultilevel"/>
    <w:styleLink w:val="Importált 10 stílus"/>
    <w:lvl w:ilvl="0">
      <w:start w:val="1"/>
      <w:numFmt w:val="bullet"/>
      <w:suff w:val="tab"/>
      <w:lvlText w:val="●"/>
      <w:lvlJc w:val="left"/>
      <w:pPr>
        <w:ind w:left="720" w:hanging="360"/>
      </w:pPr>
      <w:rPr>
        <w:rFonts w:ascii="Times New Roman" w:cs="Times New Roman" w:hAnsi="Times New Roman" w:eastAsia="Times New Roman"/>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
      <w:lvlJc w:val="left"/>
      <w:pPr>
        <w:ind w:left="1440" w:hanging="360"/>
      </w:pPr>
      <w:rPr>
        <w:rFonts w:ascii="Times New Roman" w:cs="Times New Roman" w:hAnsi="Times New Roman" w:eastAsia="Times New Roman"/>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2160" w:hanging="360"/>
      </w:pPr>
      <w:rPr>
        <w:rFonts w:ascii="Times New Roman" w:cs="Times New Roman" w:hAnsi="Times New Roman" w:eastAsia="Times New Roman"/>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2880" w:hanging="360"/>
      </w:pPr>
      <w:rPr>
        <w:rFonts w:ascii="Times New Roman" w:cs="Times New Roman" w:hAnsi="Times New Roman" w:eastAsia="Times New Roman"/>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
      <w:lvlJc w:val="left"/>
      <w:pPr>
        <w:ind w:left="3600" w:hanging="360"/>
      </w:pPr>
      <w:rPr>
        <w:rFonts w:ascii="Times New Roman" w:cs="Times New Roman" w:hAnsi="Times New Roman" w:eastAsia="Times New Roman"/>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4320" w:hanging="360"/>
      </w:pPr>
      <w:rPr>
        <w:rFonts w:ascii="Times New Roman" w:cs="Times New Roman" w:hAnsi="Times New Roman" w:eastAsia="Times New Roman"/>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5040" w:hanging="360"/>
      </w:pPr>
      <w:rPr>
        <w:rFonts w:ascii="Times New Roman" w:cs="Times New Roman" w:hAnsi="Times New Roman" w:eastAsia="Times New Roman"/>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
      <w:lvlJc w:val="left"/>
      <w:pPr>
        <w:ind w:left="5760" w:hanging="360"/>
      </w:pPr>
      <w:rPr>
        <w:rFonts w:ascii="Times New Roman" w:cs="Times New Roman" w:hAnsi="Times New Roman" w:eastAsia="Times New Roman"/>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6480" w:hanging="360"/>
      </w:pPr>
      <w:rPr>
        <w:rFonts w:ascii="Times New Roman" w:cs="Times New Roman" w:hAnsi="Times New Roman" w:eastAsia="Times New Roman"/>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0">
    <w:multiLevelType w:val="hybridMultilevel"/>
    <w:numStyleLink w:val="Importált 11 stílus"/>
  </w:abstractNum>
  <w:abstractNum w:abstractNumId="21">
    <w:multiLevelType w:val="hybridMultilevel"/>
    <w:styleLink w:val="Importált 11 stílus"/>
    <w:lvl w:ilvl="0">
      <w:start w:val="1"/>
      <w:numFmt w:val="bullet"/>
      <w:suff w:val="tab"/>
      <w:lvlText w:val="-"/>
      <w:lvlJc w:val="left"/>
      <w:pPr>
        <w:ind w:left="720" w:hanging="360"/>
      </w:pPr>
      <w:rPr>
        <w:rFonts w:ascii="Times New Roman" w:cs="Times New Roman" w:hAnsi="Times New Roman" w:eastAsia="Times New Roman"/>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
      <w:lvlJc w:val="left"/>
      <w:pPr>
        <w:ind w:left="1440" w:hanging="360"/>
      </w:pPr>
      <w:rPr>
        <w:rFonts w:ascii="Times New Roman" w:cs="Times New Roman" w:hAnsi="Times New Roman" w:eastAsia="Times New Roman"/>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2160" w:hanging="360"/>
      </w:pPr>
      <w:rPr>
        <w:rFonts w:ascii="Times New Roman" w:cs="Times New Roman" w:hAnsi="Times New Roman" w:eastAsia="Times New Roman"/>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2880" w:hanging="360"/>
      </w:pPr>
      <w:rPr>
        <w:rFonts w:ascii="Times New Roman" w:cs="Times New Roman" w:hAnsi="Times New Roman" w:eastAsia="Times New Roman"/>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
      <w:lvlJc w:val="left"/>
      <w:pPr>
        <w:ind w:left="3600" w:hanging="360"/>
      </w:pPr>
      <w:rPr>
        <w:rFonts w:ascii="Times New Roman" w:cs="Times New Roman" w:hAnsi="Times New Roman" w:eastAsia="Times New Roman"/>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4320" w:hanging="360"/>
      </w:pPr>
      <w:rPr>
        <w:rFonts w:ascii="Times New Roman" w:cs="Times New Roman" w:hAnsi="Times New Roman" w:eastAsia="Times New Roman"/>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5040" w:hanging="360"/>
      </w:pPr>
      <w:rPr>
        <w:rFonts w:ascii="Times New Roman" w:cs="Times New Roman" w:hAnsi="Times New Roman" w:eastAsia="Times New Roman"/>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
      <w:lvlJc w:val="left"/>
      <w:pPr>
        <w:ind w:left="5760" w:hanging="360"/>
      </w:pPr>
      <w:rPr>
        <w:rFonts w:ascii="Times New Roman" w:cs="Times New Roman" w:hAnsi="Times New Roman" w:eastAsia="Times New Roman"/>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6480" w:hanging="360"/>
      </w:pPr>
      <w:rPr>
        <w:rFonts w:ascii="Times New Roman" w:cs="Times New Roman" w:hAnsi="Times New Roman" w:eastAsia="Times New Roman"/>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2">
    <w:multiLevelType w:val="hybridMultilevel"/>
    <w:numStyleLink w:val="Importált 12 stílus"/>
  </w:abstractNum>
  <w:abstractNum w:abstractNumId="23">
    <w:multiLevelType w:val="hybridMultilevel"/>
    <w:styleLink w:val="Importált 12 stílus"/>
    <w:lvl w:ilvl="0">
      <w:start w:val="1"/>
      <w:numFmt w:val="bullet"/>
      <w:suff w:val="tab"/>
      <w:lvlText w:val="-"/>
      <w:lvlJc w:val="left"/>
      <w:pPr>
        <w:ind w:left="720" w:hanging="360"/>
      </w:pPr>
      <w:rPr>
        <w:rFonts w:ascii="Times New Roman" w:cs="Times New Roman" w:hAnsi="Times New Roman" w:eastAsia="Times New Roman"/>
        <w:b w:val="0"/>
        <w:bCs w:val="0"/>
        <w:i w:val="1"/>
        <w:iCs w:val="1"/>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
      <w:lvlJc w:val="left"/>
      <w:pPr>
        <w:ind w:left="1440" w:hanging="360"/>
      </w:pPr>
      <w:rPr>
        <w:rFonts w:ascii="Times New Roman" w:cs="Times New Roman" w:hAnsi="Times New Roman" w:eastAsia="Times New Roman"/>
        <w:b w:val="0"/>
        <w:bCs w:val="0"/>
        <w:i w:val="1"/>
        <w:iCs w:val="1"/>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2160" w:hanging="360"/>
      </w:pPr>
      <w:rPr>
        <w:rFonts w:ascii="Times New Roman" w:cs="Times New Roman" w:hAnsi="Times New Roman" w:eastAsia="Times New Roman"/>
        <w:b w:val="0"/>
        <w:bCs w:val="0"/>
        <w:i w:val="1"/>
        <w:iCs w:val="1"/>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2880" w:hanging="360"/>
      </w:pPr>
      <w:rPr>
        <w:rFonts w:ascii="Times New Roman" w:cs="Times New Roman" w:hAnsi="Times New Roman" w:eastAsia="Times New Roman"/>
        <w:b w:val="0"/>
        <w:bCs w:val="0"/>
        <w:i w:val="1"/>
        <w:iCs w:val="1"/>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
      <w:lvlJc w:val="left"/>
      <w:pPr>
        <w:ind w:left="3600" w:hanging="360"/>
      </w:pPr>
      <w:rPr>
        <w:rFonts w:ascii="Times New Roman" w:cs="Times New Roman" w:hAnsi="Times New Roman" w:eastAsia="Times New Roman"/>
        <w:b w:val="0"/>
        <w:bCs w:val="0"/>
        <w:i w:val="1"/>
        <w:iCs w:val="1"/>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4320" w:hanging="360"/>
      </w:pPr>
      <w:rPr>
        <w:rFonts w:ascii="Times New Roman" w:cs="Times New Roman" w:hAnsi="Times New Roman" w:eastAsia="Times New Roman"/>
        <w:b w:val="0"/>
        <w:bCs w:val="0"/>
        <w:i w:val="1"/>
        <w:iCs w:val="1"/>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5040" w:hanging="360"/>
      </w:pPr>
      <w:rPr>
        <w:rFonts w:ascii="Times New Roman" w:cs="Times New Roman" w:hAnsi="Times New Roman" w:eastAsia="Times New Roman"/>
        <w:b w:val="0"/>
        <w:bCs w:val="0"/>
        <w:i w:val="1"/>
        <w:iCs w:val="1"/>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
      <w:lvlJc w:val="left"/>
      <w:pPr>
        <w:ind w:left="5760" w:hanging="360"/>
      </w:pPr>
      <w:rPr>
        <w:rFonts w:ascii="Times New Roman" w:cs="Times New Roman" w:hAnsi="Times New Roman" w:eastAsia="Times New Roman"/>
        <w:b w:val="0"/>
        <w:bCs w:val="0"/>
        <w:i w:val="1"/>
        <w:iCs w:val="1"/>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6480" w:hanging="360"/>
      </w:pPr>
      <w:rPr>
        <w:rFonts w:ascii="Times New Roman" w:cs="Times New Roman" w:hAnsi="Times New Roman" w:eastAsia="Times New Roman"/>
        <w:b w:val="0"/>
        <w:bCs w:val="0"/>
        <w:i w:val="1"/>
        <w:iCs w:val="1"/>
        <w:caps w:val="0"/>
        <w:smallCaps w:val="0"/>
        <w:strike w:val="0"/>
        <w:dstrike w:val="0"/>
        <w:outline w:val="0"/>
        <w:emboss w:val="0"/>
        <w:imprint w:val="0"/>
        <w:spacing w:val="0"/>
        <w:w w:val="100"/>
        <w:kern w:val="0"/>
        <w:position w:val="0"/>
        <w:highlight w:val="none"/>
        <w:vertAlign w:val="baseline"/>
      </w:rPr>
    </w:lvl>
  </w:abstractNum>
  <w:abstractNum w:abstractNumId="24">
    <w:multiLevelType w:val="hybridMultilevel"/>
    <w:numStyleLink w:val="Importált 13 stílus"/>
  </w:abstractNum>
  <w:abstractNum w:abstractNumId="25">
    <w:multiLevelType w:val="hybridMultilevel"/>
    <w:styleLink w:val="Importált 13 stílus"/>
    <w:lvl w:ilvl="0">
      <w:start w:val="1"/>
      <w:numFmt w:val="bullet"/>
      <w:suff w:val="tab"/>
      <w:lvlText w:val="●"/>
      <w:lvlJc w:val="left"/>
      <w:pPr>
        <w:ind w:left="425" w:hanging="360"/>
      </w:pPr>
      <w:rPr>
        <w:rFonts w:ascii="Times New Roman" w:cs="Times New Roman" w:hAnsi="Times New Roman" w:eastAsia="Times New Roman"/>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
      <w:lvlJc w:val="left"/>
      <w:pPr>
        <w:ind w:left="1145" w:hanging="360"/>
      </w:pPr>
      <w:rPr>
        <w:rFonts w:ascii="Times New Roman" w:cs="Times New Roman" w:hAnsi="Times New Roman" w:eastAsia="Times New Roman"/>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1865" w:hanging="360"/>
      </w:pPr>
      <w:rPr>
        <w:rFonts w:ascii="Times New Roman" w:cs="Times New Roman" w:hAnsi="Times New Roman" w:eastAsia="Times New Roman"/>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2585" w:hanging="360"/>
      </w:pPr>
      <w:rPr>
        <w:rFonts w:ascii="Times New Roman" w:cs="Times New Roman" w:hAnsi="Times New Roman" w:eastAsia="Times New Roman"/>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
      <w:lvlJc w:val="left"/>
      <w:pPr>
        <w:ind w:left="3305" w:hanging="360"/>
      </w:pPr>
      <w:rPr>
        <w:rFonts w:ascii="Times New Roman" w:cs="Times New Roman" w:hAnsi="Times New Roman" w:eastAsia="Times New Roman"/>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4025" w:hanging="360"/>
      </w:pPr>
      <w:rPr>
        <w:rFonts w:ascii="Times New Roman" w:cs="Times New Roman" w:hAnsi="Times New Roman" w:eastAsia="Times New Roman"/>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4745" w:hanging="360"/>
      </w:pPr>
      <w:rPr>
        <w:rFonts w:ascii="Times New Roman" w:cs="Times New Roman" w:hAnsi="Times New Roman" w:eastAsia="Times New Roman"/>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
      <w:lvlJc w:val="left"/>
      <w:pPr>
        <w:ind w:left="5465" w:hanging="360"/>
      </w:pPr>
      <w:rPr>
        <w:rFonts w:ascii="Times New Roman" w:cs="Times New Roman" w:hAnsi="Times New Roman" w:eastAsia="Times New Roman"/>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6185" w:hanging="360"/>
      </w:pPr>
      <w:rPr>
        <w:rFonts w:ascii="Times New Roman" w:cs="Times New Roman" w:hAnsi="Times New Roman" w:eastAsia="Times New Roman"/>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6">
    <w:multiLevelType w:val="hybridMultilevel"/>
    <w:numStyleLink w:val="Importált 14 stílus"/>
  </w:abstractNum>
  <w:abstractNum w:abstractNumId="27">
    <w:multiLevelType w:val="hybridMultilevel"/>
    <w:styleLink w:val="Importált 14 stílus"/>
    <w:lvl w:ilvl="0">
      <w:start w:val="1"/>
      <w:numFmt w:val="bullet"/>
      <w:suff w:val="tab"/>
      <w:lvlText w:val="-"/>
      <w:lvlJc w:val="left"/>
      <w:pPr>
        <w:ind w:left="720" w:hanging="360"/>
      </w:pPr>
      <w:rPr>
        <w:rFonts w:ascii="Times New Roman" w:cs="Times New Roman" w:hAnsi="Times New Roman" w:eastAsia="Times New Roman"/>
        <w:b w:val="0"/>
        <w:bCs w:val="0"/>
        <w:i w:val="1"/>
        <w:iCs w:val="1"/>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
      <w:lvlJc w:val="left"/>
      <w:pPr>
        <w:ind w:left="1440" w:hanging="360"/>
      </w:pPr>
      <w:rPr>
        <w:rFonts w:ascii="Times New Roman" w:cs="Times New Roman" w:hAnsi="Times New Roman" w:eastAsia="Times New Roman"/>
        <w:b w:val="0"/>
        <w:bCs w:val="0"/>
        <w:i w:val="1"/>
        <w:iCs w:val="1"/>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2160" w:hanging="360"/>
      </w:pPr>
      <w:rPr>
        <w:rFonts w:ascii="Times New Roman" w:cs="Times New Roman" w:hAnsi="Times New Roman" w:eastAsia="Times New Roman"/>
        <w:b w:val="0"/>
        <w:bCs w:val="0"/>
        <w:i w:val="1"/>
        <w:iCs w:val="1"/>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2880" w:hanging="360"/>
      </w:pPr>
      <w:rPr>
        <w:rFonts w:ascii="Times New Roman" w:cs="Times New Roman" w:hAnsi="Times New Roman" w:eastAsia="Times New Roman"/>
        <w:b w:val="0"/>
        <w:bCs w:val="0"/>
        <w:i w:val="1"/>
        <w:iCs w:val="1"/>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
      <w:lvlJc w:val="left"/>
      <w:pPr>
        <w:ind w:left="3600" w:hanging="360"/>
      </w:pPr>
      <w:rPr>
        <w:rFonts w:ascii="Times New Roman" w:cs="Times New Roman" w:hAnsi="Times New Roman" w:eastAsia="Times New Roman"/>
        <w:b w:val="0"/>
        <w:bCs w:val="0"/>
        <w:i w:val="1"/>
        <w:iCs w:val="1"/>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4320" w:hanging="360"/>
      </w:pPr>
      <w:rPr>
        <w:rFonts w:ascii="Times New Roman" w:cs="Times New Roman" w:hAnsi="Times New Roman" w:eastAsia="Times New Roman"/>
        <w:b w:val="0"/>
        <w:bCs w:val="0"/>
        <w:i w:val="1"/>
        <w:iCs w:val="1"/>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5040" w:hanging="360"/>
      </w:pPr>
      <w:rPr>
        <w:rFonts w:ascii="Times New Roman" w:cs="Times New Roman" w:hAnsi="Times New Roman" w:eastAsia="Times New Roman"/>
        <w:b w:val="0"/>
        <w:bCs w:val="0"/>
        <w:i w:val="1"/>
        <w:iCs w:val="1"/>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
      <w:lvlJc w:val="left"/>
      <w:pPr>
        <w:ind w:left="5760" w:hanging="360"/>
      </w:pPr>
      <w:rPr>
        <w:rFonts w:ascii="Times New Roman" w:cs="Times New Roman" w:hAnsi="Times New Roman" w:eastAsia="Times New Roman"/>
        <w:b w:val="0"/>
        <w:bCs w:val="0"/>
        <w:i w:val="1"/>
        <w:iCs w:val="1"/>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6480" w:hanging="360"/>
      </w:pPr>
      <w:rPr>
        <w:rFonts w:ascii="Times New Roman" w:cs="Times New Roman" w:hAnsi="Times New Roman" w:eastAsia="Times New Roman"/>
        <w:b w:val="0"/>
        <w:bCs w:val="0"/>
        <w:i w:val="1"/>
        <w:iCs w:val="1"/>
        <w:caps w:val="0"/>
        <w:smallCaps w:val="0"/>
        <w:strike w:val="0"/>
        <w:dstrike w:val="0"/>
        <w:outline w:val="0"/>
        <w:emboss w:val="0"/>
        <w:imprint w:val="0"/>
        <w:spacing w:val="0"/>
        <w:w w:val="100"/>
        <w:kern w:val="0"/>
        <w:position w:val="0"/>
        <w:highlight w:val="none"/>
        <w:vertAlign w:val="baseline"/>
      </w:rPr>
    </w:lvl>
  </w:abstractNum>
  <w:num w:numId="1">
    <w:abstractNumId w:val="1"/>
  </w:num>
  <w:num w:numId="2">
    <w:abstractNumId w:val="0"/>
  </w:num>
  <w:num w:numId="3">
    <w:abstractNumId w:val="3"/>
  </w:num>
  <w:num w:numId="4">
    <w:abstractNumId w:val="2"/>
  </w:num>
  <w:num w:numId="5">
    <w:abstractNumId w:val="5"/>
  </w:num>
  <w:num w:numId="6">
    <w:abstractNumId w:val="4"/>
  </w:num>
  <w:num w:numId="7">
    <w:abstractNumId w:val="7"/>
  </w:num>
  <w:num w:numId="8">
    <w:abstractNumId w:val="6"/>
  </w:num>
  <w:num w:numId="9">
    <w:abstractNumId w:val="9"/>
  </w:num>
  <w:num w:numId="10">
    <w:abstractNumId w:val="8"/>
  </w:num>
  <w:num w:numId="11">
    <w:abstractNumId w:val="11"/>
  </w:num>
  <w:num w:numId="12">
    <w:abstractNumId w:val="10"/>
  </w:num>
  <w:num w:numId="13">
    <w:abstractNumId w:val="13"/>
  </w:num>
  <w:num w:numId="14">
    <w:abstractNumId w:val="12"/>
  </w:num>
  <w:num w:numId="15">
    <w:abstractNumId w:val="15"/>
  </w:num>
  <w:num w:numId="16">
    <w:abstractNumId w:val="14"/>
  </w:num>
  <w:num w:numId="17">
    <w:abstractNumId w:val="17"/>
  </w:num>
  <w:num w:numId="18">
    <w:abstractNumId w:val="16"/>
  </w:num>
  <w:num w:numId="19">
    <w:abstractNumId w:val="19"/>
  </w:num>
  <w:num w:numId="20">
    <w:abstractNumId w:val="18"/>
  </w:num>
  <w:num w:numId="21">
    <w:abstractNumId w:val="18"/>
    <w:lvlOverride w:ilvl="0">
      <w:lvl w:ilvl="0">
        <w:start w:val="1"/>
        <w:numFmt w:val="bullet"/>
        <w:suff w:val="tab"/>
        <w:lvlText w:val="●"/>
        <w:lvlJc w:val="left"/>
        <w:pPr>
          <w:ind w:left="720" w:hanging="360"/>
        </w:pPr>
        <w:rPr>
          <w:rFonts w:ascii="Arial" w:cs="Arial" w:hAnsi="Arial" w:eastAsia="Aria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bullet"/>
        <w:suff w:val="tab"/>
        <w:lvlText w:val="○"/>
        <w:lvlJc w:val="left"/>
        <w:pPr>
          <w:ind w:left="1440" w:hanging="360"/>
        </w:pPr>
        <w:rPr>
          <w:rFonts w:ascii="Arial" w:cs="Arial" w:hAnsi="Arial" w:eastAsia="Aria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bullet"/>
        <w:suff w:val="tab"/>
        <w:lvlText w:val="■"/>
        <w:lvlJc w:val="left"/>
        <w:pPr>
          <w:ind w:left="2160" w:hanging="360"/>
        </w:pPr>
        <w:rPr>
          <w:rFonts w:ascii="Arial" w:cs="Arial" w:hAnsi="Arial" w:eastAsia="Aria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bullet"/>
        <w:suff w:val="tab"/>
        <w:lvlText w:val="●"/>
        <w:lvlJc w:val="left"/>
        <w:pPr>
          <w:ind w:left="2880" w:hanging="360"/>
        </w:pPr>
        <w:rPr>
          <w:rFonts w:ascii="Arial" w:cs="Arial" w:hAnsi="Arial" w:eastAsia="Aria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bullet"/>
        <w:suff w:val="tab"/>
        <w:lvlText w:val="○"/>
        <w:lvlJc w:val="left"/>
        <w:pPr>
          <w:ind w:left="3600" w:hanging="360"/>
        </w:pPr>
        <w:rPr>
          <w:rFonts w:ascii="Arial" w:cs="Arial" w:hAnsi="Arial" w:eastAsia="Aria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bullet"/>
        <w:suff w:val="tab"/>
        <w:lvlText w:val="■"/>
        <w:lvlJc w:val="left"/>
        <w:pPr>
          <w:ind w:left="4320" w:hanging="360"/>
        </w:pPr>
        <w:rPr>
          <w:rFonts w:ascii="Arial" w:cs="Arial" w:hAnsi="Arial" w:eastAsia="Aria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bullet"/>
        <w:suff w:val="tab"/>
        <w:lvlText w:val="●"/>
        <w:lvlJc w:val="left"/>
        <w:pPr>
          <w:ind w:left="5040" w:hanging="360"/>
        </w:pPr>
        <w:rPr>
          <w:rFonts w:ascii="Arial" w:cs="Arial" w:hAnsi="Arial" w:eastAsia="Aria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bullet"/>
        <w:suff w:val="tab"/>
        <w:lvlText w:val="○"/>
        <w:lvlJc w:val="left"/>
        <w:pPr>
          <w:ind w:left="5760" w:hanging="360"/>
        </w:pPr>
        <w:rPr>
          <w:rFonts w:ascii="Arial" w:cs="Arial" w:hAnsi="Arial" w:eastAsia="Aria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bullet"/>
        <w:suff w:val="tab"/>
        <w:lvlText w:val="■"/>
        <w:lvlJc w:val="left"/>
        <w:pPr>
          <w:ind w:left="6480" w:hanging="360"/>
        </w:pPr>
        <w:rPr>
          <w:rFonts w:ascii="Arial" w:cs="Arial" w:hAnsi="Arial" w:eastAsia="Arial"/>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22">
    <w:abstractNumId w:val="21"/>
  </w:num>
  <w:num w:numId="23">
    <w:abstractNumId w:val="20"/>
  </w:num>
  <w:num w:numId="24">
    <w:abstractNumId w:val="20"/>
    <w:lvlOverride w:ilvl="0">
      <w:lvl w:ilvl="0">
        <w:start w:val="1"/>
        <w:numFmt w:val="bullet"/>
        <w:suff w:val="tab"/>
        <w:lvlText w:val="-"/>
        <w:lvlJc w:val="left"/>
        <w:pPr>
          <w:ind w:left="720" w:hanging="360"/>
        </w:pPr>
        <w:rPr>
          <w:rFonts w:ascii="Arial" w:cs="Arial" w:hAnsi="Arial" w:eastAsia="Aria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bullet"/>
        <w:suff w:val="tab"/>
        <w:lvlText w:val="-"/>
        <w:lvlJc w:val="left"/>
        <w:pPr>
          <w:ind w:left="1440" w:hanging="360"/>
        </w:pPr>
        <w:rPr>
          <w:rFonts w:ascii="Arial" w:cs="Arial" w:hAnsi="Arial" w:eastAsia="Aria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bullet"/>
        <w:suff w:val="tab"/>
        <w:lvlText w:val="-"/>
        <w:lvlJc w:val="left"/>
        <w:pPr>
          <w:ind w:left="2160" w:hanging="360"/>
        </w:pPr>
        <w:rPr>
          <w:rFonts w:ascii="Arial" w:cs="Arial" w:hAnsi="Arial" w:eastAsia="Aria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bullet"/>
        <w:suff w:val="tab"/>
        <w:lvlText w:val="-"/>
        <w:lvlJc w:val="left"/>
        <w:pPr>
          <w:ind w:left="2880" w:hanging="360"/>
        </w:pPr>
        <w:rPr>
          <w:rFonts w:ascii="Arial" w:cs="Arial" w:hAnsi="Arial" w:eastAsia="Aria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bullet"/>
        <w:suff w:val="tab"/>
        <w:lvlText w:val="-"/>
        <w:lvlJc w:val="left"/>
        <w:pPr>
          <w:ind w:left="3600" w:hanging="360"/>
        </w:pPr>
        <w:rPr>
          <w:rFonts w:ascii="Arial" w:cs="Arial" w:hAnsi="Arial" w:eastAsia="Aria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bullet"/>
        <w:suff w:val="tab"/>
        <w:lvlText w:val="-"/>
        <w:lvlJc w:val="left"/>
        <w:pPr>
          <w:ind w:left="4320" w:hanging="360"/>
        </w:pPr>
        <w:rPr>
          <w:rFonts w:ascii="Arial" w:cs="Arial" w:hAnsi="Arial" w:eastAsia="Aria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bullet"/>
        <w:suff w:val="tab"/>
        <w:lvlText w:val="-"/>
        <w:lvlJc w:val="left"/>
        <w:pPr>
          <w:ind w:left="5040" w:hanging="360"/>
        </w:pPr>
        <w:rPr>
          <w:rFonts w:ascii="Arial" w:cs="Arial" w:hAnsi="Arial" w:eastAsia="Aria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bullet"/>
        <w:suff w:val="tab"/>
        <w:lvlText w:val="-"/>
        <w:lvlJc w:val="left"/>
        <w:pPr>
          <w:ind w:left="5760" w:hanging="360"/>
        </w:pPr>
        <w:rPr>
          <w:rFonts w:ascii="Arial" w:cs="Arial" w:hAnsi="Arial" w:eastAsia="Aria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bullet"/>
        <w:suff w:val="tab"/>
        <w:lvlText w:val="-"/>
        <w:lvlJc w:val="left"/>
        <w:pPr>
          <w:ind w:left="6480" w:hanging="360"/>
        </w:pPr>
        <w:rPr>
          <w:rFonts w:ascii="Arial" w:cs="Arial" w:hAnsi="Arial" w:eastAsia="Arial"/>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25">
    <w:abstractNumId w:val="23"/>
  </w:num>
  <w:num w:numId="26">
    <w:abstractNumId w:val="22"/>
  </w:num>
  <w:num w:numId="27">
    <w:abstractNumId w:val="25"/>
  </w:num>
  <w:num w:numId="28">
    <w:abstractNumId w:val="24"/>
  </w:num>
  <w:num w:numId="29">
    <w:abstractNumId w:val="27"/>
  </w:num>
  <w:num w:numId="30">
    <w:abstractNumId w:val="26"/>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1"/>
  <w:evenAndOddHeaders w:val="0"/>
  <w:bookFoldPrinting w:val="0"/>
  <w:noLineBreaksAfter w:lang="magyar" w:val="‘“(〔[{〈《「『【⦅〘〖«〝︵︷︹︻︽︿﹁﹃﹇﹙﹛﹝｢"/>
  <w:noLineBreaksBefore w:lang="magyar" w:val="’”)〕]}〉"/>
  <w:footnotePr>
    <w:numFmt w:val="decimal"/>
    <w:numStart w:val="1"/>
    <w:numRestart w:val="continuous"/>
    <w:footnote w:id="-1"/>
    <w:footnote w:id="0"/>
    <w:footnote w:id="-2"/>
  </w:footnotePr>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Fejléc és lábléc">
    <w:name w:val="Fejléc és lábléc"/>
    <w:next w:val="Fejléc és lábléc"/>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paragraph" w:styleId="Szövegtörzs A">
    <w:name w:val="Szövegtörzs A"/>
    <w:next w:val="Szövegtörzs A"/>
    <w:pPr>
      <w:keepNext w:val="0"/>
      <w:keepLines w:val="0"/>
      <w:pageBreakBefore w:val="0"/>
      <w:widowControl w:val="1"/>
      <w:shd w:val="clear" w:color="auto" w:fill="auto"/>
      <w:suppressAutoHyphens w:val="0"/>
      <w:bidi w:val="0"/>
      <w:spacing w:before="0" w:after="0" w:line="276" w:lineRule="auto"/>
      <w:ind w:left="0" w:right="0" w:firstLine="0"/>
      <w:jc w:val="left"/>
      <w:outlineLvl w:val="9"/>
    </w:pP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14:textOutline w14:w="12700" w14:cap="flat">
        <w14:noFill/>
        <w14:miter w14:lim="400000"/>
      </w14:textOutline>
      <w14:textFill>
        <w14:solidFill>
          <w14:srgbClr w14:val="000000"/>
        </w14:solidFill>
      </w14:textFill>
    </w:rPr>
  </w:style>
  <w:style w:type="character" w:styleId="Egyik sem">
    <w:name w:val="Egyik sem"/>
  </w:style>
  <w:style w:type="character" w:styleId="Hyperlink.0">
    <w:name w:val="Hyperlink.0"/>
    <w:basedOn w:val="Egyik sem"/>
    <w:next w:val="Hyperlink.0"/>
    <w:rPr>
      <w:rFonts w:ascii="Times New Roman" w:cs="Times New Roman" w:hAnsi="Times New Roman" w:eastAsia="Times New Roman"/>
      <w:outline w:val="0"/>
      <w:color w:val="1155cc"/>
      <w:sz w:val="20"/>
      <w:szCs w:val="20"/>
      <w:u w:val="single" w:color="1155cc"/>
      <w:lang w:val="en-US"/>
      <w14:textFill>
        <w14:solidFill>
          <w14:srgbClr w14:val="1155CC"/>
        </w14:solidFill>
      </w14:textFill>
    </w:rPr>
  </w:style>
  <w:style w:type="character" w:styleId="Link">
    <w:name w:val="Link"/>
    <w:rPr>
      <w:outline w:val="0"/>
      <w:color w:val="0000ff"/>
      <w:u w:val="single" w:color="0000ff"/>
      <w14:textFill>
        <w14:solidFill>
          <w14:srgbClr w14:val="0000FF"/>
        </w14:solidFill>
      </w14:textFill>
    </w:rPr>
  </w:style>
  <w:style w:type="character" w:styleId="Hyperlink.1">
    <w:name w:val="Hyperlink.1"/>
    <w:basedOn w:val="Link"/>
    <w:next w:val="Hyperlink.1"/>
    <w:rPr>
      <w:rFonts w:ascii="Times New Roman" w:cs="Times New Roman" w:hAnsi="Times New Roman" w:eastAsia="Times New Roman"/>
      <w:sz w:val="20"/>
      <w:szCs w:val="20"/>
    </w:rPr>
  </w:style>
  <w:style w:type="numbering" w:styleId="Importált 1 stílus">
    <w:name w:val="Importált 1 stílus"/>
    <w:pPr>
      <w:numPr>
        <w:numId w:val="1"/>
      </w:numPr>
    </w:pPr>
  </w:style>
  <w:style w:type="character" w:styleId="Hyperlink.2">
    <w:name w:val="Hyperlink.2"/>
    <w:basedOn w:val="Egyik sem"/>
    <w:next w:val="Hyperlink.2"/>
    <w:rPr>
      <w:rFonts w:ascii="Times New Roman" w:cs="Times New Roman" w:hAnsi="Times New Roman" w:eastAsia="Times New Roman"/>
      <w:outline w:val="0"/>
      <w:color w:val="1155cc"/>
      <w:sz w:val="20"/>
      <w:szCs w:val="20"/>
      <w:u w:val="single" w:color="1155cc"/>
      <w14:textFill>
        <w14:solidFill>
          <w14:srgbClr w14:val="1155CC"/>
        </w14:solidFill>
      </w14:textFill>
    </w:rPr>
  </w:style>
  <w:style w:type="numbering" w:styleId="Importált 2 stílus">
    <w:name w:val="Importált 2 stílus"/>
    <w:pPr>
      <w:numPr>
        <w:numId w:val="3"/>
      </w:numPr>
    </w:pPr>
  </w:style>
  <w:style w:type="numbering" w:styleId="Importált 3 stílus">
    <w:name w:val="Importált 3 stílus"/>
    <w:pPr>
      <w:numPr>
        <w:numId w:val="5"/>
      </w:numPr>
    </w:pPr>
  </w:style>
  <w:style w:type="numbering" w:styleId="Importált 4 stílus">
    <w:name w:val="Importált 4 stílus"/>
    <w:pPr>
      <w:numPr>
        <w:numId w:val="7"/>
      </w:numPr>
    </w:pPr>
  </w:style>
  <w:style w:type="character" w:styleId="Hyperlink.3">
    <w:name w:val="Hyperlink.3"/>
    <w:basedOn w:val="Egyik sem"/>
    <w:next w:val="Hyperlink.3"/>
    <w:rPr>
      <w:rFonts w:ascii="Times New Roman" w:cs="Times New Roman" w:hAnsi="Times New Roman" w:eastAsia="Times New Roman"/>
      <w:outline w:val="0"/>
      <w:color w:val="0000ff"/>
      <w:sz w:val="20"/>
      <w:szCs w:val="20"/>
      <w:u w:val="single" w:color="0000ff"/>
      <w14:textFill>
        <w14:solidFill>
          <w14:srgbClr w14:val="0000FF"/>
        </w14:solidFill>
      </w14:textFill>
    </w:rPr>
  </w:style>
  <w:style w:type="numbering" w:styleId="Importált 5 stílus">
    <w:name w:val="Importált 5 stílus"/>
    <w:pPr>
      <w:numPr>
        <w:numId w:val="9"/>
      </w:numPr>
    </w:pPr>
  </w:style>
  <w:style w:type="numbering" w:styleId="Importált 6 stílus">
    <w:name w:val="Importált 6 stílus"/>
    <w:pPr>
      <w:numPr>
        <w:numId w:val="11"/>
      </w:numPr>
    </w:pPr>
  </w:style>
  <w:style w:type="numbering" w:styleId="Importált 7 stílus">
    <w:name w:val="Importált 7 stílus"/>
    <w:pPr>
      <w:numPr>
        <w:numId w:val="13"/>
      </w:numPr>
    </w:pPr>
  </w:style>
  <w:style w:type="numbering" w:styleId="Importált 8 stílus">
    <w:name w:val="Importált 8 stílus"/>
    <w:pPr>
      <w:numPr>
        <w:numId w:val="15"/>
      </w:numPr>
    </w:pPr>
  </w:style>
  <w:style w:type="numbering" w:styleId="Importált 9 stílus">
    <w:name w:val="Importált 9 stílus"/>
    <w:pPr>
      <w:numPr>
        <w:numId w:val="17"/>
      </w:numPr>
    </w:pPr>
  </w:style>
  <w:style w:type="numbering" w:styleId="Importált 10 stílus">
    <w:name w:val="Importált 10 stílus"/>
    <w:pPr>
      <w:numPr>
        <w:numId w:val="19"/>
      </w:numPr>
    </w:pPr>
  </w:style>
  <w:style w:type="numbering" w:styleId="Importált 11 stílus">
    <w:name w:val="Importált 11 stílus"/>
    <w:pPr>
      <w:numPr>
        <w:numId w:val="22"/>
      </w:numPr>
    </w:pPr>
  </w:style>
  <w:style w:type="numbering" w:styleId="Importált 12 stílus">
    <w:name w:val="Importált 12 stílus"/>
    <w:pPr>
      <w:numPr>
        <w:numId w:val="25"/>
      </w:numPr>
    </w:pPr>
  </w:style>
  <w:style w:type="numbering" w:styleId="Importált 13 stílus">
    <w:name w:val="Importált 13 stílus"/>
    <w:pPr>
      <w:numPr>
        <w:numId w:val="27"/>
      </w:numPr>
    </w:pPr>
  </w:style>
  <w:style w:type="numbering" w:styleId="Importált 14 stílus">
    <w:name w:val="Importált 14 stílus"/>
    <w:pPr>
      <w:numPr>
        <w:numId w:val="29"/>
      </w:numPr>
    </w:p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header" Target="header2.xml"/><Relationship Id="rId6" Type="http://schemas.openxmlformats.org/officeDocument/2006/relationships/footer" Target="footer1.xml"/><Relationship Id="rId7" Type="http://schemas.openxmlformats.org/officeDocument/2006/relationships/footer" Target="footer2.xml"/><Relationship Id="rId8" Type="http://schemas.openxmlformats.org/officeDocument/2006/relationships/footnotes" Target="footnotes.xml"/><Relationship Id="rId9" Type="http://schemas.openxmlformats.org/officeDocument/2006/relationships/numbering" Target="numbering.xml"/><Relationship Id="rId10" Type="http://schemas.openxmlformats.org/officeDocument/2006/relationships/theme" Target="theme/theme1.xml"/></Relationships>

</file>

<file path=word/_rels/header2.xml.rels><?xml version="1.0" encoding="UTF-8"?>
<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2.png"/><Relationship Id="rId3" Type="http://schemas.openxmlformats.org/officeDocument/2006/relationships/image" Target="media/image3.png"/><Relationship Id="rId4" Type="http://schemas.openxmlformats.org/officeDocument/2006/relationships/image" Target="media/image4.png"/></Relationships>

</file>

<file path=word/theme/theme1.xml><?xml version="1.0" encoding="utf-8"?>
<a:theme xmlns:a="http://schemas.openxmlformats.org/drawingml/2006/main" xmlns:r="http://schemas.openxmlformats.org/officeDocument/2006/relationships" name="Office Theme">
  <a:themeElements>
    <a:clrScheme name="Office Them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sx="100000" sy="100000" kx="0" ky="0" algn="b" rotWithShape="0" blurRad="38100" dist="23000" dir="5400000">
              <a:srgbClr val="000000">
                <a:alpha val="35000"/>
              </a:srgbClr>
            </a:outerShdw>
          </a:effectLst>
        </a:effectStyle>
        <a:effectStyle>
          <a:effectLst>
            <a:outerShdw sx="100000" sy="100000" kx="0" ky="0" algn="b" rotWithShape="0" blurRad="38100" dist="23000" dir="5400000">
              <a:srgbClr val="000000">
                <a:alpha val="35000"/>
              </a:srgbClr>
            </a:outerShdw>
          </a:effectLst>
        </a:effectStyle>
        <a:effectStyle>
          <a:effectLst>
            <a:outerShdw sx="100000" sy="100000" kx="0" ky="0" algn="b" rotWithShape="0" blurRad="38100" dist="23000" dir="5400000">
              <a:srgbClr val="000000">
                <a:alpha val="35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sx="100000" sy="100000" kx="0" ky="0" algn="b" rotWithShape="0" blurRad="38100" dist="23000" dir="5400000">
            <a:srgbClr val="000000">
              <a:alpha val="35000"/>
            </a:srgbClr>
          </a:outerShdw>
        </a:effectLst>
        <a:sp3d/>
      </a:spPr>
      <a:bodyPr rot="0" spcFirstLastPara="1" vertOverflow="overflow" horzOverflow="overflow" vert="horz" wrap="square" lIns="45718" tIns="45718" rIns="45718" bIns="45718"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chemeClr val="accent1"/>
          </a:solidFill>
          <a:prstDash val="solid"/>
          <a:round/>
        </a:ln>
        <a:effectLst>
          <a:outerShdw sx="100000" sy="100000" kx="0" ky="0" algn="b" rotWithShape="0" blurRad="38100" dist="23000" dir="5400000">
            <a:srgbClr val="000000">
              <a:alpha val="35000"/>
            </a:srgbClr>
          </a:outerShdw>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45718" tIns="45718" rIns="45718" bIns="45718"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