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8709A" w14:paraId="0387D633" w14:textId="77777777" w:rsidTr="00981901">
        <w:trPr>
          <w:cantSplit/>
          <w:trHeight w:hRule="exact" w:val="851"/>
        </w:trPr>
        <w:tc>
          <w:tcPr>
            <w:tcW w:w="1276" w:type="dxa"/>
            <w:tcBorders>
              <w:bottom w:val="single" w:sz="4" w:space="0" w:color="auto"/>
            </w:tcBorders>
            <w:vAlign w:val="bottom"/>
          </w:tcPr>
          <w:p w14:paraId="3165BC81" w14:textId="77777777" w:rsidR="001E498C" w:rsidRPr="00F43810" w:rsidRDefault="001E498C" w:rsidP="00981901">
            <w:pPr>
              <w:spacing w:after="80"/>
            </w:pPr>
          </w:p>
        </w:tc>
        <w:tc>
          <w:tcPr>
            <w:tcW w:w="2268" w:type="dxa"/>
            <w:tcBorders>
              <w:bottom w:val="single" w:sz="4" w:space="0" w:color="auto"/>
            </w:tcBorders>
            <w:vAlign w:val="bottom"/>
          </w:tcPr>
          <w:p w14:paraId="26FD711D" w14:textId="7D134FD8" w:rsidR="001E498C" w:rsidRPr="00F43810" w:rsidRDefault="001E498C" w:rsidP="00981901">
            <w:pPr>
              <w:spacing w:after="80" w:line="300" w:lineRule="exact"/>
              <w:rPr>
                <w:b/>
                <w:sz w:val="24"/>
                <w:szCs w:val="24"/>
              </w:rPr>
            </w:pPr>
          </w:p>
        </w:tc>
        <w:tc>
          <w:tcPr>
            <w:tcW w:w="6095" w:type="dxa"/>
            <w:gridSpan w:val="2"/>
            <w:tcBorders>
              <w:bottom w:val="single" w:sz="4" w:space="0" w:color="auto"/>
            </w:tcBorders>
            <w:vAlign w:val="bottom"/>
          </w:tcPr>
          <w:p w14:paraId="63E92D9D" w14:textId="77777777" w:rsidR="001E498C" w:rsidRPr="00F43810" w:rsidRDefault="00000000" w:rsidP="00981901">
            <w:pPr>
              <w:suppressAutoHyphens w:val="0"/>
              <w:spacing w:after="20"/>
              <w:jc w:val="right"/>
            </w:pPr>
            <w:r>
              <w:rPr>
                <w:sz w:val="40"/>
              </w:rPr>
              <w:t>C</w:t>
            </w:r>
            <w:r w:rsidR="00B002C4">
              <w:rPr>
                <w:sz w:val="40"/>
              </w:rPr>
              <w:t>CPR</w:t>
            </w:r>
            <w:r w:rsidR="006D44E0">
              <w:t>/</w:t>
            </w:r>
            <w:r w:rsidR="00475149" w:rsidRPr="00F43810">
              <w:t>C/MCO/4</w:t>
            </w:r>
          </w:p>
        </w:tc>
      </w:tr>
      <w:tr w:rsidR="0088709A" w14:paraId="6349D9BF" w14:textId="77777777" w:rsidTr="00981901">
        <w:trPr>
          <w:cantSplit/>
          <w:trHeight w:hRule="exact" w:val="2835"/>
        </w:trPr>
        <w:tc>
          <w:tcPr>
            <w:tcW w:w="1276" w:type="dxa"/>
            <w:tcBorders>
              <w:top w:val="single" w:sz="4" w:space="0" w:color="auto"/>
              <w:bottom w:val="single" w:sz="12" w:space="0" w:color="auto"/>
            </w:tcBorders>
          </w:tcPr>
          <w:p w14:paraId="0D31272A" w14:textId="02B88D59" w:rsidR="001E498C" w:rsidRPr="00F43810" w:rsidRDefault="001E498C" w:rsidP="00981901">
            <w:pPr>
              <w:spacing w:before="120"/>
              <w:jc w:val="center"/>
            </w:pPr>
          </w:p>
        </w:tc>
        <w:tc>
          <w:tcPr>
            <w:tcW w:w="5528" w:type="dxa"/>
            <w:gridSpan w:val="2"/>
            <w:tcBorders>
              <w:top w:val="single" w:sz="4" w:space="0" w:color="auto"/>
              <w:bottom w:val="single" w:sz="12" w:space="0" w:color="auto"/>
            </w:tcBorders>
          </w:tcPr>
          <w:p w14:paraId="31B8386C" w14:textId="3B2B019B" w:rsidR="001E498C" w:rsidRPr="00C909F2" w:rsidRDefault="00C909F2" w:rsidP="00684555">
            <w:pPr>
              <w:spacing w:before="120" w:line="380" w:lineRule="exact"/>
              <w:rPr>
                <w:b/>
                <w:bCs/>
                <w:sz w:val="32"/>
                <w:szCs w:val="32"/>
              </w:rPr>
            </w:pPr>
            <w:r w:rsidRPr="00C909F2">
              <w:rPr>
                <w:b/>
                <w:bCs/>
                <w:sz w:val="32"/>
                <w:szCs w:val="32"/>
              </w:rPr>
              <w:t>Version provisoire non éditée</w:t>
            </w:r>
          </w:p>
        </w:tc>
        <w:tc>
          <w:tcPr>
            <w:tcW w:w="2835" w:type="dxa"/>
            <w:tcBorders>
              <w:top w:val="single" w:sz="4" w:space="0" w:color="auto"/>
              <w:bottom w:val="single" w:sz="12" w:space="0" w:color="auto"/>
            </w:tcBorders>
          </w:tcPr>
          <w:p w14:paraId="035949A0" w14:textId="77777777" w:rsidR="001E498C" w:rsidRPr="00F43810" w:rsidRDefault="00000000" w:rsidP="00981901">
            <w:pPr>
              <w:suppressAutoHyphens w:val="0"/>
              <w:spacing w:before="240" w:line="240" w:lineRule="exact"/>
            </w:pPr>
            <w:proofErr w:type="spellStart"/>
            <w:r>
              <w:t>Distr</w:t>
            </w:r>
            <w:proofErr w:type="spellEnd"/>
            <w:r>
              <w:t>.</w:t>
            </w:r>
            <w:r w:rsidRPr="00F43810">
              <w:t xml:space="preserve"> </w:t>
            </w:r>
            <w:proofErr w:type="gramStart"/>
            <w:r w:rsidR="006056E0" w:rsidRPr="00F43810">
              <w:t>générale</w:t>
            </w:r>
            <w:proofErr w:type="gramEnd"/>
          </w:p>
          <w:p w14:paraId="3B227C25" w14:textId="77777777" w:rsidR="00EC2B55" w:rsidRDefault="0061580A" w:rsidP="00981901">
            <w:pPr>
              <w:suppressAutoHyphens w:val="0"/>
            </w:pPr>
            <w:r>
              <w:t>1</w:t>
            </w:r>
            <w:r w:rsidR="006056E0" w:rsidRPr="00F43810">
              <w:t xml:space="preserve"> juin 2026</w:t>
            </w:r>
          </w:p>
          <w:p w14:paraId="47C33A08" w14:textId="77777777" w:rsidR="00C909F2" w:rsidRDefault="00C909F2" w:rsidP="00981901">
            <w:pPr>
              <w:suppressAutoHyphens w:val="0"/>
            </w:pPr>
          </w:p>
          <w:p w14:paraId="191DE982" w14:textId="021A0445" w:rsidR="001E498C" w:rsidRPr="00F43810" w:rsidRDefault="00000000" w:rsidP="00981901">
            <w:pPr>
              <w:suppressAutoHyphens w:val="0"/>
            </w:pPr>
            <w:r>
              <w:t>Original </w:t>
            </w:r>
            <w:r w:rsidR="009A3C2B">
              <w:t>:</w:t>
            </w:r>
            <w:r w:rsidRPr="00F43810">
              <w:t xml:space="preserve"> </w:t>
            </w:r>
            <w:r w:rsidR="006056E0" w:rsidRPr="00F43810">
              <w:t>français</w:t>
            </w:r>
          </w:p>
          <w:p w14:paraId="2B93E1CA" w14:textId="77777777" w:rsidR="006056E0" w:rsidRPr="00F43810" w:rsidRDefault="00000000" w:rsidP="00981901">
            <w:pPr>
              <w:suppressAutoHyphens w:val="0"/>
            </w:pPr>
            <w:r w:rsidRPr="00F43810">
              <w:t>Anglais, espagnol et français seulement</w:t>
            </w:r>
          </w:p>
        </w:tc>
      </w:tr>
    </w:tbl>
    <w:p w14:paraId="23336CA6" w14:textId="77777777" w:rsidR="00B002C4" w:rsidRPr="00F43810" w:rsidRDefault="00000000" w:rsidP="00B002C4">
      <w:pPr>
        <w:spacing w:before="120"/>
        <w:rPr>
          <w:b/>
          <w:sz w:val="24"/>
          <w:szCs w:val="24"/>
        </w:rPr>
      </w:pPr>
      <w:r w:rsidRPr="00DF3BF1">
        <w:rPr>
          <w:b/>
          <w:sz w:val="24"/>
          <w:szCs w:val="24"/>
        </w:rPr>
        <w:t>Comité des droits de l’homme</w:t>
      </w:r>
    </w:p>
    <w:p w14:paraId="06DBE43D" w14:textId="6FCA5CA4" w:rsidR="00B002C4" w:rsidRPr="0061580A" w:rsidRDefault="00000000" w:rsidP="00B002C4">
      <w:pPr>
        <w:pStyle w:val="HMG"/>
        <w:rPr>
          <w:b w:val="0"/>
          <w:sz w:val="20"/>
        </w:rPr>
      </w:pPr>
      <w:r>
        <w:tab/>
      </w:r>
      <w:r>
        <w:tab/>
      </w:r>
      <w:r w:rsidR="00D76F7A" w:rsidRPr="00D76F7A">
        <w:t xml:space="preserve">Quatrième rapport périodique </w:t>
      </w:r>
      <w:r w:rsidRPr="009E1F3E">
        <w:t>soumis par</w:t>
      </w:r>
      <w:r w:rsidRPr="00D76F7A">
        <w:t xml:space="preserve"> </w:t>
      </w:r>
      <w:r w:rsidR="00D76F7A">
        <w:t>Monaco</w:t>
      </w:r>
      <w:r>
        <w:t xml:space="preserve"> en application de l’article 40 du Pacte, </w:t>
      </w:r>
      <w:r w:rsidR="006E7DB4">
        <w:t xml:space="preserve">selon la procédure facultative d’établissement des rapports, </w:t>
      </w:r>
      <w:r w:rsidR="006E7DB4" w:rsidRPr="0061580A">
        <w:t xml:space="preserve">attendu en </w:t>
      </w:r>
      <w:r w:rsidR="0061580A" w:rsidRPr="0061580A">
        <w:t>2026</w:t>
      </w:r>
      <w:r w:rsidRPr="0061580A">
        <w:rPr>
          <w:rStyle w:val="FootnoteReference"/>
          <w:b w:val="0"/>
          <w:bCs/>
          <w:sz w:val="20"/>
          <w:vertAlign w:val="baseline"/>
        </w:rPr>
        <w:footnoteReference w:customMarkFollows="1" w:id="2"/>
        <w:t>*</w:t>
      </w:r>
      <w:r w:rsidR="003F2448" w:rsidRPr="0061580A">
        <w:rPr>
          <w:b w:val="0"/>
          <w:bCs/>
          <w:sz w:val="20"/>
          <w:vertAlign w:val="superscript"/>
        </w:rPr>
        <w:t>,</w:t>
      </w:r>
      <w:r w:rsidR="003F2448" w:rsidRPr="0061580A">
        <w:rPr>
          <w:b w:val="0"/>
          <w:bCs/>
          <w:sz w:val="20"/>
        </w:rPr>
        <w:t xml:space="preserve"> </w:t>
      </w:r>
      <w:r w:rsidRPr="0061580A">
        <w:rPr>
          <w:rStyle w:val="FootnoteReference"/>
          <w:b w:val="0"/>
          <w:bCs/>
          <w:sz w:val="20"/>
          <w:vertAlign w:val="baseline"/>
        </w:rPr>
        <w:footnoteReference w:customMarkFollows="1" w:id="3"/>
        <w:t>**</w:t>
      </w:r>
    </w:p>
    <w:p w14:paraId="3CCFBA06" w14:textId="2B286DEB" w:rsidR="00B002C4" w:rsidRPr="0061580A" w:rsidRDefault="00000000" w:rsidP="00B002C4">
      <w:pPr>
        <w:pStyle w:val="SingleTxtG"/>
        <w:jc w:val="right"/>
      </w:pPr>
      <w:r w:rsidRPr="0061580A">
        <w:t xml:space="preserve">[Date de réception : </w:t>
      </w:r>
      <w:r w:rsidR="0061580A" w:rsidRPr="0061580A">
        <w:t>1 juin 2026</w:t>
      </w:r>
      <w:r w:rsidRPr="0061580A">
        <w:t>]</w:t>
      </w:r>
    </w:p>
    <w:p w14:paraId="590611DC" w14:textId="4150E46F" w:rsidR="0061580A" w:rsidRDefault="0061580A">
      <w:pPr>
        <w:suppressAutoHyphens w:val="0"/>
        <w:kinsoku/>
        <w:overflowPunct/>
        <w:autoSpaceDE/>
        <w:autoSpaceDN/>
        <w:adjustRightInd/>
        <w:snapToGrid/>
        <w:spacing w:after="200" w:line="276" w:lineRule="auto"/>
        <w:rPr>
          <w:rFonts w:eastAsiaTheme="minorEastAsia"/>
          <w:lang w:eastAsia="zh-CN"/>
        </w:rPr>
      </w:pPr>
      <w:r>
        <w:br w:type="page"/>
      </w:r>
    </w:p>
    <w:p w14:paraId="414EE85C" w14:textId="5E2F87F0" w:rsidR="00322139" w:rsidRDefault="00322139" w:rsidP="00EC2B55">
      <w:pPr>
        <w:pStyle w:val="HChG"/>
      </w:pPr>
      <w:r>
        <w:lastRenderedPageBreak/>
        <w:tab/>
      </w:r>
      <w:r>
        <w:t>A.</w:t>
      </w:r>
      <w:r>
        <w:tab/>
        <w:t xml:space="preserve">Renseignements d’ordre général sur la situation des droits de l’Homme dans le pays, y compris sur les nouvelles mesures et les faits nouveaux concernant la mise en œuvre du Pacte </w:t>
      </w:r>
    </w:p>
    <w:p w14:paraId="08DEB341" w14:textId="6C1B9549" w:rsidR="00322139" w:rsidRDefault="00322139" w:rsidP="00EC2B55">
      <w:pPr>
        <w:pStyle w:val="H23G"/>
      </w:pPr>
      <w:r>
        <w:tab/>
      </w:r>
      <w:r>
        <w:tab/>
        <w:t xml:space="preserve">Réponse de Monaco au paragraphe 1 de la liste de points </w:t>
      </w:r>
      <w:proofErr w:type="spellStart"/>
      <w:proofErr w:type="gramStart"/>
      <w:r>
        <w:t>a</w:t>
      </w:r>
      <w:proofErr w:type="spellEnd"/>
      <w:proofErr w:type="gramEnd"/>
      <w:r>
        <w:t xml:space="preserve"> traiter </w:t>
      </w:r>
      <w:r w:rsidR="00C909F2">
        <w:t>(</w:t>
      </w:r>
      <w:hyperlink r:id="rId10" w:history="1">
        <w:r w:rsidRPr="00C909F2">
          <w:rPr>
            <w:rStyle w:val="Hyperlink"/>
          </w:rPr>
          <w:t>CCPR/C/MCO/QPR/4</w:t>
        </w:r>
      </w:hyperlink>
      <w:r>
        <w:t>)</w:t>
      </w:r>
    </w:p>
    <w:p w14:paraId="381DF813" w14:textId="77777777" w:rsidR="00322139" w:rsidRDefault="00322139" w:rsidP="00322139">
      <w:pPr>
        <w:pStyle w:val="SingleTxtG"/>
      </w:pPr>
      <w:r>
        <w:t>1.</w:t>
      </w:r>
      <w:r>
        <w:tab/>
        <w:t xml:space="preserve">Depuis la transmission de son troisième rapport périodique en 2014, la Principauté de Monaco a poursuivi ses efforts pour adapter sa législation interne et assurer pleinement le respect de ses engagements internationaux. </w:t>
      </w:r>
    </w:p>
    <w:p w14:paraId="7CA0A46A" w14:textId="77777777" w:rsidR="00322139" w:rsidRDefault="00322139" w:rsidP="00322139">
      <w:pPr>
        <w:pStyle w:val="SingleTxtG"/>
      </w:pPr>
      <w:r>
        <w:t>2.</w:t>
      </w:r>
      <w:r>
        <w:tab/>
        <w:t xml:space="preserve">Sur le plan interne, un nombre conséquent de textes législatifs ayant trait à la protection des droits humains ont été adoptés ces dernières années, en particulier : </w:t>
      </w:r>
    </w:p>
    <w:p w14:paraId="0E136E1C" w14:textId="6C29D7F8" w:rsidR="00322139" w:rsidRDefault="00322139" w:rsidP="00322139">
      <w:pPr>
        <w:pStyle w:val="Bullet1G"/>
      </w:pPr>
      <w:r>
        <w:t>La loi n° 1.409 du 22 octobre 2014 portant modification de la loi n° 839 du 23 février 1968 sur les élections nationales et communales ;</w:t>
      </w:r>
    </w:p>
    <w:p w14:paraId="1A73D116" w14:textId="096F0757" w:rsidR="00322139" w:rsidRDefault="00322139" w:rsidP="00322139">
      <w:pPr>
        <w:pStyle w:val="Bullet1G"/>
      </w:pPr>
      <w:r>
        <w:tab/>
      </w:r>
      <w:r>
        <w:t>La loi n° 1.421 du 1er décembre 2015 portant diverses mesures en matière de responsabilité de l’État et de voies de recours ;</w:t>
      </w:r>
    </w:p>
    <w:p w14:paraId="6828F336" w14:textId="46C7F9A5" w:rsidR="00322139" w:rsidRDefault="00322139" w:rsidP="00322139">
      <w:pPr>
        <w:pStyle w:val="Bullet1G"/>
      </w:pPr>
      <w:r>
        <w:t>La loi n° 1.440 du 5 décembre 2016 modifiant certaines dispositions du Code civil relatives au nom et instaurant une reconnaissance anténatale de l’enfant ;</w:t>
      </w:r>
    </w:p>
    <w:p w14:paraId="06073DA1" w14:textId="5DFD543E" w:rsidR="00322139" w:rsidRDefault="00322139" w:rsidP="00322139">
      <w:pPr>
        <w:pStyle w:val="Bullet1G"/>
      </w:pPr>
      <w:r>
        <w:t>La loi n° 1.449 du 4 juillet 2017 portant diverses mesures relatives à la procédure pénale ;</w:t>
      </w:r>
    </w:p>
    <w:p w14:paraId="5ED40940" w14:textId="3BA0AB63" w:rsidR="00322139" w:rsidRDefault="00322139" w:rsidP="00322139">
      <w:pPr>
        <w:pStyle w:val="Bullet1G"/>
      </w:pPr>
      <w:r>
        <w:t>La loi n° 1.457 du 12 décembre 2017 relative au harcèlement et à la violence au travail, modifiée ;</w:t>
      </w:r>
    </w:p>
    <w:p w14:paraId="0773CC32" w14:textId="15FDF679" w:rsidR="00322139" w:rsidRDefault="00322139" w:rsidP="00322139">
      <w:pPr>
        <w:pStyle w:val="Bullet1G"/>
      </w:pPr>
      <w:r>
        <w:t>La loi n° 1.464 du 10 décembre 2018 relative au renforcement de la protection des personnes contre la diffamation et l’injure ;</w:t>
      </w:r>
    </w:p>
    <w:p w14:paraId="006D5BE1" w14:textId="59CA0EC4" w:rsidR="00322139" w:rsidRDefault="00322139" w:rsidP="00322139">
      <w:pPr>
        <w:pStyle w:val="Bullet1G"/>
      </w:pPr>
      <w:r>
        <w:t>La loi n° 1.470 du 17 juin 2019 modifiant les dispositions du Code civil relatives à l’adoption ;</w:t>
      </w:r>
    </w:p>
    <w:p w14:paraId="7E6A85AD" w14:textId="5D461A1D" w:rsidR="00322139" w:rsidRDefault="00322139" w:rsidP="00322139">
      <w:pPr>
        <w:pStyle w:val="Bullet1G"/>
      </w:pPr>
      <w:r>
        <w:t>La loi n° 1.474 du 2 juillet 2019 relative à la sauvegarde de justice, au mandat de protection future et à l’exercice de l’activité de mandataire judicaire et à la protection des personnes ;</w:t>
      </w:r>
    </w:p>
    <w:p w14:paraId="57972DDE" w14:textId="626178C4" w:rsidR="00322139" w:rsidRDefault="00322139" w:rsidP="00322139">
      <w:pPr>
        <w:pStyle w:val="Bullet1G"/>
      </w:pPr>
      <w:r>
        <w:t>La loi n° 1.477 du 11 novembre 2029 portant dépénalisation de l’avortement pour la femme enceinte ;</w:t>
      </w:r>
    </w:p>
    <w:p w14:paraId="5DC771F1" w14:textId="7F0DAA36" w:rsidR="00322139" w:rsidRDefault="00322139" w:rsidP="00322139">
      <w:pPr>
        <w:pStyle w:val="Bullet1G"/>
      </w:pPr>
      <w:r>
        <w:t>La loi n° 1.478 du 12 novembre 2019 portant modification de certaines dispositions relatives aux peines ;</w:t>
      </w:r>
    </w:p>
    <w:p w14:paraId="476B11A7" w14:textId="3E3A848A" w:rsidR="00322139" w:rsidRDefault="00322139" w:rsidP="00322139">
      <w:pPr>
        <w:pStyle w:val="Bullet1G"/>
      </w:pPr>
      <w:r>
        <w:t>La loi n° 1.481 du 17 décembre 2019 relative aux contrats civils de solidarité ;</w:t>
      </w:r>
    </w:p>
    <w:p w14:paraId="71910B1B" w14:textId="7DAA1BC9" w:rsidR="00322139" w:rsidRDefault="00322139" w:rsidP="00322139">
      <w:pPr>
        <w:pStyle w:val="Bullet1G"/>
      </w:pPr>
      <w:r>
        <w:t>La loi n° 1.486 du 9 avril 2020 relative à la justice pour faire face à la pandémie du virus COVID-19 ;</w:t>
      </w:r>
    </w:p>
    <w:p w14:paraId="64640A09" w14:textId="475BE112" w:rsidR="00322139" w:rsidRDefault="00322139" w:rsidP="00322139">
      <w:pPr>
        <w:pStyle w:val="Bullet1G"/>
      </w:pPr>
      <w:r>
        <w:t>La loi n° 1.489 du 23 juin 2020 portant modification de la loi n° 839 du 23 février 1968 sur les élections nationales et communales, modifiée ;</w:t>
      </w:r>
    </w:p>
    <w:p w14:paraId="6CE1E597" w14:textId="78ECA0DE" w:rsidR="00322139" w:rsidRDefault="00322139" w:rsidP="00322139">
      <w:pPr>
        <w:pStyle w:val="Bullet1G"/>
      </w:pPr>
      <w:r>
        <w:t>La loi n° 1.511 du 2 décembre 2021 portant modification de la procédure civile ;</w:t>
      </w:r>
    </w:p>
    <w:p w14:paraId="3131C865" w14:textId="7EF5B02E" w:rsidR="00322139" w:rsidRDefault="00322139" w:rsidP="00322139">
      <w:pPr>
        <w:pStyle w:val="Bullet1G"/>
      </w:pPr>
      <w:r>
        <w:t>La loi n° 1.513 du 3 décembre 2021 relative à la lutte contre le harcèlement et la violence en milieu scolaire ;</w:t>
      </w:r>
    </w:p>
    <w:p w14:paraId="5DE18BF4" w14:textId="5D204F64" w:rsidR="00322139" w:rsidRDefault="00322139" w:rsidP="00322139">
      <w:pPr>
        <w:pStyle w:val="Bullet1G"/>
      </w:pPr>
      <w:r>
        <w:t>La loi n° 1.517 du 23 décembre 2021 portant réforme des dispositions relatives à l’incrimination des agressions sexuelles ;</w:t>
      </w:r>
    </w:p>
    <w:p w14:paraId="30C2F180" w14:textId="793AF505" w:rsidR="00322139" w:rsidRDefault="00322139" w:rsidP="00322139">
      <w:pPr>
        <w:pStyle w:val="Bullet1G"/>
      </w:pPr>
      <w:r>
        <w:t xml:space="preserve">La loi n° 1.523 du 16 mai 2022 relative à la promotion et la protection des droits des femmes par la modification et l’abrogation des dispositions obsolètes et </w:t>
      </w:r>
      <w:proofErr w:type="gramStart"/>
      <w:r>
        <w:t>inégalitaires;</w:t>
      </w:r>
      <w:proofErr w:type="gramEnd"/>
    </w:p>
    <w:p w14:paraId="41B77785" w14:textId="069C9486" w:rsidR="00322139" w:rsidRDefault="00322139" w:rsidP="00322139">
      <w:pPr>
        <w:pStyle w:val="Bullet1G"/>
      </w:pPr>
      <w:r>
        <w:t xml:space="preserve">La loi n° 1.555 du 14 décembre 2023 relative à l’indemnisation des victimes d’infractions à caractère sexuel, de crimes et délits envers l’enfant, de violences domestiques et d’autres infractions portant atteinte aux personnes ; </w:t>
      </w:r>
    </w:p>
    <w:p w14:paraId="3670EFC0" w14:textId="0B0D7EA1" w:rsidR="00322139" w:rsidRDefault="00322139" w:rsidP="00322139">
      <w:pPr>
        <w:pStyle w:val="Bullet1G"/>
      </w:pPr>
      <w:r>
        <w:lastRenderedPageBreak/>
        <w:t>La loi n° 1.561 du 2 juillet 2024 relative au droit à l’oubli et à d’autres mesures facilitant l’accès au crédit ;</w:t>
      </w:r>
    </w:p>
    <w:p w14:paraId="25AA68B3" w14:textId="65D6C969" w:rsidR="00322139" w:rsidRDefault="00322139" w:rsidP="00322139">
      <w:pPr>
        <w:pStyle w:val="Bullet1G"/>
      </w:pPr>
      <w:r>
        <w:t xml:space="preserve">La loi n° 1.565 du 3 décembre 2024 relative à la protection des données </w:t>
      </w:r>
      <w:proofErr w:type="gramStart"/>
      <w:r>
        <w:t>personnelles;</w:t>
      </w:r>
      <w:proofErr w:type="gramEnd"/>
    </w:p>
    <w:p w14:paraId="157F6D9A" w14:textId="345E8737" w:rsidR="00322139" w:rsidRDefault="00322139" w:rsidP="00322139">
      <w:pPr>
        <w:pStyle w:val="Bullet1G"/>
      </w:pPr>
      <w:r>
        <w:t>La loi n° 1.567 du 12 décembre 2024 relative à la gestion des risques associés aux soins ;</w:t>
      </w:r>
    </w:p>
    <w:p w14:paraId="549C66DD" w14:textId="302BF19D" w:rsidR="00322139" w:rsidRDefault="00322139" w:rsidP="00322139">
      <w:pPr>
        <w:pStyle w:val="Bullet1G"/>
      </w:pPr>
      <w:r>
        <w:t>La loi n° 1.574 du 27 mai 2025 portant modification de la loi n° 1.346 du 9 mai 2008 relative à la protection contre le tabagisme ;</w:t>
      </w:r>
    </w:p>
    <w:p w14:paraId="0F2315CA" w14:textId="6F8B621F" w:rsidR="00322139" w:rsidRDefault="00322139" w:rsidP="00322139">
      <w:pPr>
        <w:pStyle w:val="Bullet1G"/>
      </w:pPr>
      <w:r>
        <w:t>La loi n° 1.576 du 17 juin 2025 relative au développement des soins palliatifs et à l’accompagnement de la personne en fin de vie ;</w:t>
      </w:r>
    </w:p>
    <w:p w14:paraId="50079044" w14:textId="29062799" w:rsidR="00322139" w:rsidRDefault="00322139" w:rsidP="00322139">
      <w:pPr>
        <w:pStyle w:val="Bullet1G"/>
      </w:pPr>
      <w:r>
        <w:t>La loi n° 1.585 du 12 décembre 2025 rendant obligatoires certaines vaccinations jusqu’alors recommandées chez les enfants.</w:t>
      </w:r>
    </w:p>
    <w:p w14:paraId="3C52D49B" w14:textId="77777777" w:rsidR="00322139" w:rsidRDefault="00322139" w:rsidP="00322139">
      <w:pPr>
        <w:pStyle w:val="SingleTxtG"/>
      </w:pPr>
      <w:r>
        <w:t>3.</w:t>
      </w:r>
      <w:r>
        <w:tab/>
        <w:t xml:space="preserve">Sur le plan international, les instruments suivants ont été ratifiés : </w:t>
      </w:r>
    </w:p>
    <w:p w14:paraId="7E84C012" w14:textId="44156868" w:rsidR="00322139" w:rsidRDefault="00322139" w:rsidP="00322139">
      <w:pPr>
        <w:pStyle w:val="Bullet1G"/>
      </w:pPr>
      <w:r>
        <w:t>Le Protocole n° 15 portant amendement à la Convention de sauvegarde des droits de l’Homme et des libertés fondamentales, le 13 novembre 2013 ;</w:t>
      </w:r>
    </w:p>
    <w:p w14:paraId="45C981A7" w14:textId="076CE1BB" w:rsidR="00322139" w:rsidRDefault="00322139" w:rsidP="00322139">
      <w:pPr>
        <w:pStyle w:val="Bullet1G"/>
      </w:pPr>
      <w:r>
        <w:t>La Convention du Conseil de l’Europe sur la prévention et la lutte contre la violence à l’égard des femmes et la violence domestique, le 7 octobre 2014 ;</w:t>
      </w:r>
    </w:p>
    <w:p w14:paraId="5E7FBB1C" w14:textId="1A5367AE" w:rsidR="00322139" w:rsidRDefault="00322139" w:rsidP="00322139">
      <w:pPr>
        <w:pStyle w:val="Bullet1G"/>
      </w:pPr>
      <w:r>
        <w:t>La Convention du Conseil de l’Europe sur la protection des enfants contre l’exploitation et les abus sexuels, le 7 octobre 2014 ;</w:t>
      </w:r>
    </w:p>
    <w:p w14:paraId="6539FA09" w14:textId="545859E1" w:rsidR="00322139" w:rsidRDefault="00322139" w:rsidP="00322139">
      <w:pPr>
        <w:pStyle w:val="Bullet1G"/>
      </w:pPr>
      <w:r>
        <w:t>La Convention du Conseil de l’Europe sur la lutte contre la traite des êtres humains, le 30 novembre 2015 ;</w:t>
      </w:r>
    </w:p>
    <w:p w14:paraId="7C3A1571" w14:textId="4169ADA0" w:rsidR="00322139" w:rsidRDefault="00322139" w:rsidP="00322139">
      <w:pPr>
        <w:pStyle w:val="Bullet1G"/>
      </w:pPr>
      <w:r>
        <w:t>Le Protocole n° 14 à la Convention de sauvegarde des droits de l’Homme et des libertés fondamentales, amendant le système de contrôle de la Convention, le 10 mars 2006 ;</w:t>
      </w:r>
    </w:p>
    <w:p w14:paraId="5B5578A6" w14:textId="60126E5F" w:rsidR="00322139" w:rsidRDefault="00322139" w:rsidP="00322139">
      <w:pPr>
        <w:pStyle w:val="Bullet1G"/>
      </w:pPr>
      <w:r>
        <w:t>La Convention sur la protection internationale des adultes, le 4 mars 2016 ;</w:t>
      </w:r>
    </w:p>
    <w:p w14:paraId="79026805" w14:textId="152E6702" w:rsidR="00322139" w:rsidRDefault="00322139" w:rsidP="00322139">
      <w:pPr>
        <w:pStyle w:val="Bullet1G"/>
      </w:pPr>
      <w:r>
        <w:t>Le Protocole facultatif à la Convention sur l’élimination de toutes les formes de discrimination à l’égard des femmes, le 3 mai 2016 ;</w:t>
      </w:r>
    </w:p>
    <w:p w14:paraId="6C5D8159" w14:textId="1A66EEA2" w:rsidR="00322139" w:rsidRDefault="00322139" w:rsidP="00322139">
      <w:pPr>
        <w:pStyle w:val="Bullet1G"/>
      </w:pPr>
      <w:r>
        <w:t>La Convention sur la cybercriminalité du Conseil de l’Europe, le 17 mars 2017 ;</w:t>
      </w:r>
    </w:p>
    <w:p w14:paraId="5A382526" w14:textId="409547E5" w:rsidR="00322139" w:rsidRDefault="00322139" w:rsidP="00322139">
      <w:pPr>
        <w:pStyle w:val="Bullet1G"/>
      </w:pPr>
      <w:r>
        <w:t xml:space="preserve">Le Protocole additionnel à la Convention du Conseil de l’Europe sur </w:t>
      </w:r>
      <w:proofErr w:type="gramStart"/>
      <w:r>
        <w:t>la cybercriminalité relatif</w:t>
      </w:r>
      <w:proofErr w:type="gramEnd"/>
      <w:r>
        <w:t xml:space="preserve"> à l’incrimination d’actes de nature raciste et xénophobe commis par le biais de systèmes informatiques (STCE n° 189), le 17 mars 2017 ;</w:t>
      </w:r>
    </w:p>
    <w:p w14:paraId="36F5F959" w14:textId="5C0D86CA" w:rsidR="00322139" w:rsidRDefault="00322139" w:rsidP="00322139">
      <w:pPr>
        <w:pStyle w:val="Bullet1G"/>
      </w:pPr>
      <w:r>
        <w:t>La Convention des Nations Unies relative aux droits des personnes handicapées, le 19 septembre 2017 ;</w:t>
      </w:r>
    </w:p>
    <w:p w14:paraId="156B9D4E" w14:textId="1D4790FC" w:rsidR="00322139" w:rsidRDefault="00322139" w:rsidP="00322139">
      <w:pPr>
        <w:pStyle w:val="Bullet1G"/>
      </w:pPr>
      <w:r>
        <w:t>Le Protocole facultatif se rapportant à la Convention relative aux droits des personnes handicapées, le 27 juin 2019 ;</w:t>
      </w:r>
    </w:p>
    <w:p w14:paraId="5C7E883C" w14:textId="3E7B6C9C" w:rsidR="00322139" w:rsidRDefault="00322139" w:rsidP="00322139">
      <w:pPr>
        <w:pStyle w:val="Bullet1G"/>
      </w:pPr>
      <w:r>
        <w:t>Le Protocole n° 16 à la Convention de sauvegarde des droits de l’Homme et des libertés fondamentales (STCE n° 214), le 2 octobre 2024 ;</w:t>
      </w:r>
    </w:p>
    <w:p w14:paraId="7D3D49E6" w14:textId="16BAB199" w:rsidR="00322139" w:rsidRDefault="00322139" w:rsidP="00322139">
      <w:pPr>
        <w:pStyle w:val="Bullet1G"/>
      </w:pPr>
      <w:r>
        <w:t>Le Protocole d’amendement à la Convention pour la protection des personnes à l’égard du traitement automatisé des données à caractère personnel, le 6 mars 2025.</w:t>
      </w:r>
    </w:p>
    <w:p w14:paraId="103285F4" w14:textId="77777777" w:rsidR="00322139" w:rsidRDefault="00322139" w:rsidP="00322139">
      <w:pPr>
        <w:pStyle w:val="SingleTxtG"/>
      </w:pPr>
      <w:r>
        <w:t>4.</w:t>
      </w:r>
      <w:r>
        <w:tab/>
        <w:t xml:space="preserve">S’agissant du premier Protocole facultatif se rapportant au Pacte, sa ratification demeure à l’étude et n’est pas envisagée prochainement. </w:t>
      </w:r>
    </w:p>
    <w:p w14:paraId="2F9BB15E" w14:textId="1B0FD21F" w:rsidR="00322139" w:rsidRDefault="00322139" w:rsidP="00EC2B55">
      <w:pPr>
        <w:pStyle w:val="HChG"/>
      </w:pPr>
      <w:r>
        <w:lastRenderedPageBreak/>
        <w:tab/>
        <w:t>B.</w:t>
      </w:r>
      <w:r>
        <w:tab/>
      </w:r>
      <w:r w:rsidRPr="00EC2B55">
        <w:t>Renseignements</w:t>
      </w:r>
      <w:r>
        <w:t xml:space="preserve"> </w:t>
      </w:r>
      <w:r w:rsidRPr="00EC2B55">
        <w:t>concernant</w:t>
      </w:r>
      <w:r>
        <w:t xml:space="preserve"> spécifiquement la mise en œuvre des articles 1er à 27 du Pacte, y compris au regard des précédentes recommandations du Comité</w:t>
      </w:r>
    </w:p>
    <w:p w14:paraId="5529EA0A" w14:textId="4A960D22" w:rsidR="00322139" w:rsidRDefault="00EC2B55" w:rsidP="00EC2B55">
      <w:pPr>
        <w:pStyle w:val="H1G"/>
        <w:ind w:left="0" w:firstLine="0"/>
      </w:pPr>
      <w:r>
        <w:tab/>
      </w:r>
      <w:r>
        <w:tab/>
      </w:r>
      <w:r w:rsidR="00322139">
        <w:t>Cadre constitutionnel et juridique de la mise en œuvre du Pacte (art. 2)</w:t>
      </w:r>
    </w:p>
    <w:p w14:paraId="0AA2608A" w14:textId="3694734A" w:rsidR="00322139" w:rsidRDefault="00EC2B55" w:rsidP="00EC2B55">
      <w:pPr>
        <w:pStyle w:val="H23G"/>
      </w:pPr>
      <w:r>
        <w:tab/>
      </w:r>
      <w:r>
        <w:tab/>
      </w:r>
      <w:r w:rsidRPr="003D2CFE">
        <w:t>Réponse au paragraphe</w:t>
      </w:r>
      <w:r>
        <w:t xml:space="preserve"> 2</w:t>
      </w:r>
    </w:p>
    <w:p w14:paraId="125E3C84" w14:textId="25AC3350" w:rsidR="00322139" w:rsidRDefault="00EC2B55" w:rsidP="00EC2B55">
      <w:pPr>
        <w:pStyle w:val="H4G"/>
      </w:pPr>
      <w:r>
        <w:tab/>
      </w:r>
      <w:r>
        <w:tab/>
      </w:r>
      <w:r w:rsidR="00322139">
        <w:t>Effets des dispositions du Pacte en droit interne</w:t>
      </w:r>
    </w:p>
    <w:p w14:paraId="0CF61BCC" w14:textId="77777777" w:rsidR="00322139" w:rsidRDefault="00322139" w:rsidP="00322139">
      <w:pPr>
        <w:pStyle w:val="SingleTxtG"/>
      </w:pPr>
      <w:r>
        <w:t>5.</w:t>
      </w:r>
      <w:r>
        <w:tab/>
        <w:t xml:space="preserve">À la suite de sa ratification par Monaco le 28 août 1997, le Pacte a été rendu exécutoire par l’Ordonnance souveraine n° 13.330 du 12 février 1998. Depuis cette date, les dispositions du Pacte sont par conséquent intégrées à l’ordre juridique de la Principauté. </w:t>
      </w:r>
    </w:p>
    <w:p w14:paraId="6A746DF7" w14:textId="77777777" w:rsidR="00322139" w:rsidRDefault="00322139" w:rsidP="00322139">
      <w:pPr>
        <w:pStyle w:val="SingleTxtG"/>
      </w:pPr>
      <w:r>
        <w:t>6.</w:t>
      </w:r>
      <w:r>
        <w:tab/>
        <w:t xml:space="preserve">Conformément à la hiérarchie des normes en vigueur à Monaco, les Conventions internationales, bien que de valeur infra-constitutionnelle, priment sur les lois internes, même postérieures. </w:t>
      </w:r>
    </w:p>
    <w:p w14:paraId="40DF25FA" w14:textId="77777777" w:rsidR="00322139" w:rsidRDefault="00322139" w:rsidP="00322139">
      <w:pPr>
        <w:pStyle w:val="SingleTxtG"/>
      </w:pPr>
      <w:r>
        <w:t>7.</w:t>
      </w:r>
      <w:r>
        <w:tab/>
        <w:t xml:space="preserve">Il en résulte que tout justiciable peut valablement invoquer les dispositions du Pacte devant les Tribunaux monégasques, y compris en demandant à ces derniers d’écarter l’application d’une loi contraire aux stipulations conventionnelles. </w:t>
      </w:r>
    </w:p>
    <w:p w14:paraId="3D3C9D48" w14:textId="77777777" w:rsidR="00322139" w:rsidRDefault="00322139" w:rsidP="00322139">
      <w:pPr>
        <w:pStyle w:val="SingleTxtG"/>
      </w:pPr>
      <w:r>
        <w:t>8.</w:t>
      </w:r>
      <w:r>
        <w:tab/>
        <w:t>Les principes garantis par le Pacte, notamment les exigences relatives au droit à un recours effectif, au droit à un procès équitable, à la protection de la liberté individuelle, à l’égalité devant la loi, à la liberté d’expression, à la liberté d’association, ainsi qu’à la protection contre les traitements inhumains ou dégradants, trouvent ainsi leur traduction dans le droit monégasque.</w:t>
      </w:r>
    </w:p>
    <w:p w14:paraId="6C8FA367" w14:textId="4BB9101F" w:rsidR="00322139" w:rsidRDefault="00EC2B55" w:rsidP="00EC2B55">
      <w:pPr>
        <w:pStyle w:val="H4G"/>
      </w:pPr>
      <w:r>
        <w:tab/>
      </w:r>
      <w:r>
        <w:tab/>
      </w:r>
      <w:r w:rsidR="00322139">
        <w:t xml:space="preserve">Sensibilisation des professions judiciaires </w:t>
      </w:r>
    </w:p>
    <w:p w14:paraId="0DAD0601" w14:textId="77777777" w:rsidR="00322139" w:rsidRDefault="00322139" w:rsidP="00322139">
      <w:pPr>
        <w:pStyle w:val="SingleTxtG"/>
      </w:pPr>
      <w:r>
        <w:t>9.</w:t>
      </w:r>
      <w:r>
        <w:tab/>
        <w:t>Les autorités judiciaires veillent à ce que les normes internationales relatives aux droits de l’Homme soient connues des professionnels du droit.</w:t>
      </w:r>
    </w:p>
    <w:p w14:paraId="4B47356C" w14:textId="77777777" w:rsidR="00322139" w:rsidRDefault="00322139" w:rsidP="00322139">
      <w:pPr>
        <w:pStyle w:val="SingleTxtG"/>
      </w:pPr>
      <w:r>
        <w:t>10.</w:t>
      </w:r>
      <w:r>
        <w:tab/>
        <w:t>S’agissant de la sensibilisation des magistrats, procureurs, avocats et professionnels du droit, plusieurs mécanismes contribuent à la diffusion d’une culture juridique attentive aux droits fondamentaux et aux engagements internationaux de Monaco.</w:t>
      </w:r>
    </w:p>
    <w:p w14:paraId="7F00C9C8" w14:textId="77777777" w:rsidR="00322139" w:rsidRDefault="00322139" w:rsidP="00322139">
      <w:pPr>
        <w:pStyle w:val="SingleTxtG"/>
      </w:pPr>
      <w:r>
        <w:t>11.</w:t>
      </w:r>
      <w:r>
        <w:tab/>
        <w:t xml:space="preserve">En premier lieu, l’ensemble des magistrats exerçant à Monaco disposent d’un accès à de larges bases de données juridiques numériques, notamment Dalloz, LexisNexis, Lextenso et Lamy. Ces outils leur permettent de consulter la doctrine, la jurisprudence et les analyses relatives aux droits fondamentaux, au droit international, au droit européen des droits de l’Homme et, plus généralement, aux garanties procédurales et substantielles applicables dans un État de droit. </w:t>
      </w:r>
    </w:p>
    <w:p w14:paraId="1E23CCAB" w14:textId="667D1B9D" w:rsidR="00322139" w:rsidRDefault="00322139" w:rsidP="00322139">
      <w:pPr>
        <w:pStyle w:val="SingleTxtG"/>
      </w:pPr>
      <w:r>
        <w:t>12.</w:t>
      </w:r>
      <w:r>
        <w:tab/>
        <w:t>En deuxième lieu, la Direction des Services Judiciaires peut appeler l’attention des juridictions et du Parquet général sur une question particulière touchant aux droits et libertés fondamentaux, notamment par voie de circulaire. Ce mécanisme permet d’assurer une diffusion institutionnelle de certains points de vigilance identifiés dans le cadre du suivi des engagements internationaux de la Principauté.</w:t>
      </w:r>
    </w:p>
    <w:p w14:paraId="75D69E35" w14:textId="77777777" w:rsidR="00322139" w:rsidRDefault="00322139" w:rsidP="00322139">
      <w:pPr>
        <w:pStyle w:val="SingleTxtG"/>
      </w:pPr>
      <w:r>
        <w:t>13.</w:t>
      </w:r>
      <w:r>
        <w:tab/>
        <w:t>En troisième lieu, l’Institut Monégasque de Formation aux Professions Judiciaires, créé par l’Ordonnance Souveraine n° 8.609 du 12 avril 2021, joue un rôle important en contribuant à la formation continue des professions judiciaires et juridiques. L’Institut organise des formations, colloques et publications destinés à renforcer la connaissance du droit monégasque et de son environnement international et européen. Cette action participe directement à la sensibilisation des professionnels du droit aux exigences résultant des instruments internationaux de protection des droits de l’Homme, dont le Pacte international relatif aux droits civils et politiques.</w:t>
      </w:r>
    </w:p>
    <w:p w14:paraId="63D98104" w14:textId="77777777" w:rsidR="00322139" w:rsidRDefault="00322139" w:rsidP="00322139">
      <w:pPr>
        <w:pStyle w:val="SingleTxtG"/>
      </w:pPr>
      <w:r>
        <w:t>14.</w:t>
      </w:r>
      <w:r>
        <w:tab/>
        <w:t xml:space="preserve">À ce titre, certaines formations sont proposées régulièrement, notamment en matière de droit européen des droits de l’Homme, de protection des données personnelles ou encore de lutte contre les violences faites aux femmes. Des actions complémentaires sont également </w:t>
      </w:r>
      <w:r>
        <w:lastRenderedPageBreak/>
        <w:t>organisées en fonction de l’actualité juridique et des enjeux liés aux droits et libertés fondamentales. Peuvent notamment être mentionnés :</w:t>
      </w:r>
    </w:p>
    <w:p w14:paraId="29632426" w14:textId="0ED664F3" w:rsidR="00322139" w:rsidRDefault="00322139" w:rsidP="00EC2B55">
      <w:pPr>
        <w:pStyle w:val="Bullet1G"/>
      </w:pPr>
      <w:r>
        <w:t xml:space="preserve">La conférence à venir sur « </w:t>
      </w:r>
      <w:r w:rsidRPr="00EC2B55">
        <w:rPr>
          <w:i/>
          <w:iCs/>
        </w:rPr>
        <w:t>La justice adaptée aux enfants</w:t>
      </w:r>
      <w:r>
        <w:t xml:space="preserve"> » en 2026 ; </w:t>
      </w:r>
    </w:p>
    <w:p w14:paraId="5B6E9620" w14:textId="4EB19F38" w:rsidR="00322139" w:rsidRDefault="00322139" w:rsidP="00EC2B55">
      <w:pPr>
        <w:pStyle w:val="Bullet1G"/>
      </w:pPr>
      <w:r>
        <w:t xml:space="preserve">Le programme « </w:t>
      </w:r>
      <w:r w:rsidRPr="00EC2B55">
        <w:rPr>
          <w:i/>
          <w:iCs/>
        </w:rPr>
        <w:t>Avocat de l’enfant</w:t>
      </w:r>
      <w:r>
        <w:t xml:space="preserve"> » en 2025 ;</w:t>
      </w:r>
    </w:p>
    <w:p w14:paraId="3C823F0A" w14:textId="259EBC56" w:rsidR="00322139" w:rsidRDefault="00322139" w:rsidP="00EC2B55">
      <w:pPr>
        <w:pStyle w:val="Bullet1G"/>
      </w:pPr>
      <w:r>
        <w:t xml:space="preserve">Les formations et colloques consacrés à la « Protection des personnes vulnérables : éclairer les violences invisibles par le droit » en 2024 aux « </w:t>
      </w:r>
      <w:r w:rsidRPr="00EC2B55">
        <w:rPr>
          <w:i/>
          <w:iCs/>
        </w:rPr>
        <w:t>Droits fondamentaux dans la réforme de la procédure pénale</w:t>
      </w:r>
      <w:r>
        <w:t xml:space="preserve"> » en 2023, ou encore à « </w:t>
      </w:r>
      <w:r w:rsidRPr="00EC2B55">
        <w:rPr>
          <w:i/>
          <w:iCs/>
        </w:rPr>
        <w:t>La procédure au service de l’humain</w:t>
      </w:r>
      <w:r>
        <w:t xml:space="preserve"> » en 2022.</w:t>
      </w:r>
    </w:p>
    <w:p w14:paraId="3A327812" w14:textId="77777777" w:rsidR="00322139" w:rsidRDefault="00322139" w:rsidP="00322139">
      <w:pPr>
        <w:pStyle w:val="SingleTxtG"/>
      </w:pPr>
      <w:r>
        <w:t>15.</w:t>
      </w:r>
      <w:r>
        <w:tab/>
        <w:t xml:space="preserve">Par ailleurs, les magistrats détachés bénéficient d’une formation d’accueil lors de leur arrivée à Monaco, qui couvre notamment les Institutions monégasques, les spécificités de l’organisation judiciaire, l’accès aux bases de données juridiques, la déontologie. Les magistrats exerçant en Principauté peuvent également bénéficier d’actions de formation extérieure, notamment auprès de l’École nationale de la magistrature française. </w:t>
      </w:r>
    </w:p>
    <w:p w14:paraId="3C709B83" w14:textId="77777777" w:rsidR="00322139" w:rsidRDefault="00322139" w:rsidP="00322139">
      <w:pPr>
        <w:pStyle w:val="SingleTxtG"/>
      </w:pPr>
      <w:r>
        <w:t>16.</w:t>
      </w:r>
      <w:r>
        <w:tab/>
        <w:t>L’Institut Monégasque de Formation aux Professions Judiciaires contribue également à la diffusion doctrinale des questions relatives aux droits fondamentaux à travers la revue Monaco Droit, qui permet d’analyser les évolutions jurisprudentielles et normatives intéressant la Principauté. Cette démarche participe plus largement à la diffusion, auprès des professionnels du droit, d’une culture juridique attentive aux engagements internationaux de Monaco et à leur articulation avec le droit interne.</w:t>
      </w:r>
    </w:p>
    <w:p w14:paraId="034CB7EA" w14:textId="59B883F4" w:rsidR="00322139" w:rsidRDefault="00EC2B55" w:rsidP="00EC2B55">
      <w:pPr>
        <w:pStyle w:val="H4G"/>
      </w:pPr>
      <w:r>
        <w:tab/>
      </w:r>
      <w:r>
        <w:tab/>
      </w:r>
      <w:r w:rsidR="00322139">
        <w:t>Exemples d’affaires dans lesquelles le Pacte a été invoqué ou appliqué par les Tribunaux nationaux</w:t>
      </w:r>
    </w:p>
    <w:p w14:paraId="133E6184" w14:textId="77777777" w:rsidR="00EC2B55" w:rsidRDefault="00322139" w:rsidP="00322139">
      <w:pPr>
        <w:pStyle w:val="SingleTxtG"/>
      </w:pPr>
      <w:r>
        <w:t>17.</w:t>
      </w:r>
      <w:r>
        <w:tab/>
        <w:t>La jurisprudence monégasque fait apparaître plusieurs décisions dans lesquelles le Pacte a été visé ou invoqué.</w:t>
      </w:r>
    </w:p>
    <w:p w14:paraId="172DDFCA" w14:textId="3501704F" w:rsidR="00EC2B55" w:rsidRDefault="00322139" w:rsidP="00322139">
      <w:pPr>
        <w:pStyle w:val="SingleTxtG"/>
      </w:pPr>
      <w:r>
        <w:t>18.</w:t>
      </w:r>
      <w:r>
        <w:tab/>
        <w:t>À titre d’exemple, dans une décision du Tribunal de première instance du 14 février 2002, État de Monaco c/ F., Crédit Lyonnais, les stipulations du Pacte international relatif aux droits civils et politiques avaient été invoquées dans le cadre d’un litige relatif à l’exécution forcée d’une décision de justice contre l’État. Le Tribunal a toutefois considéré que ces stipulations ne faisaient pas obstacle à l’application des règles internes relatives à l’insaisissabilité des biens et deniers publics. Cette décision constitue donc un exemple d’invocation du Pacte devant une juridiction monégasque, sans que celui-ci ait été appliqué comme fondement déterminant de la solution retenue.</w:t>
      </w:r>
    </w:p>
    <w:p w14:paraId="4EADDCA9" w14:textId="77777777" w:rsidR="00EC2B55" w:rsidRDefault="00322139" w:rsidP="00322139">
      <w:pPr>
        <w:pStyle w:val="SingleTxtG"/>
      </w:pPr>
      <w:r>
        <w:t>19.</w:t>
      </w:r>
      <w:r>
        <w:tab/>
        <w:t>Il peut également être relevé que le Pacte a été invoqué devant le Tribunal Suprême, notamment dans une décision du 12 mars 2003, Sieur L. B. c/ Ministre d’État, relative à une mesure de refoulement. Dans cette affaire, l’article 13 du Pacte était invoqué à l’appui d’un moyen tiré de l’absence de motivation de la mesure. Le Tribunal Suprême a rappelé que le Pacte avait été rendu exécutoire en Principauté par l’Ordonnance Souveraine n° 13.330 du 12 février 1998, tout en considérant que l’article 13 ne faisait pas obstacle, compte tenu de la déclaration du Gouvernement Princier publiée en annexe à cette Ordonnance, à l’application des textes en vigueur relatifs à l’entrée, au séjour et au refoulement des étrangers.</w:t>
      </w:r>
    </w:p>
    <w:p w14:paraId="6753B2B1" w14:textId="77777777" w:rsidR="00EC2B55" w:rsidRDefault="00322139" w:rsidP="00322139">
      <w:pPr>
        <w:pStyle w:val="SingleTxtG"/>
      </w:pPr>
      <w:r>
        <w:t>20.</w:t>
      </w:r>
      <w:r>
        <w:tab/>
        <w:t>Plus récemment, un jugement correctionnel en date du 8 juillet 2025 pour des faits de blanchiment du produit d’une infraction fait référence au Pacte international relatif aux droits civils et politiques dans le cadre du principe non bis in idem. Trois arrêts rendus entre 2024 et 2026 peuvent être cités :</w:t>
      </w:r>
    </w:p>
    <w:p w14:paraId="454D6A56" w14:textId="38D4E3D3" w:rsidR="00322139" w:rsidRDefault="00322139" w:rsidP="00EC2B55">
      <w:pPr>
        <w:pStyle w:val="Bullet1G"/>
      </w:pPr>
      <w:r>
        <w:t>Un arrêt du 4 novembre 2024 ;</w:t>
      </w:r>
    </w:p>
    <w:p w14:paraId="45F54633" w14:textId="3825B0DD" w:rsidR="00322139" w:rsidRDefault="00322139" w:rsidP="00EC2B55">
      <w:pPr>
        <w:pStyle w:val="Bullet1G"/>
      </w:pPr>
      <w:r>
        <w:t>Un arrêt du 14 juillet 2025 ;</w:t>
      </w:r>
    </w:p>
    <w:p w14:paraId="0E612379" w14:textId="0763968F" w:rsidR="00EC2B55" w:rsidRDefault="00322139" w:rsidP="00EC2B55">
      <w:pPr>
        <w:pStyle w:val="Bullet1G"/>
      </w:pPr>
      <w:r>
        <w:t xml:space="preserve">Un arrêt du 3 novembre 2025. </w:t>
      </w:r>
    </w:p>
    <w:p w14:paraId="257DA1D8" w14:textId="77777777" w:rsidR="00EC2B55" w:rsidRDefault="00322139" w:rsidP="00322139">
      <w:pPr>
        <w:pStyle w:val="SingleTxtG"/>
      </w:pPr>
      <w:r>
        <w:t>21.</w:t>
      </w:r>
      <w:r>
        <w:tab/>
        <w:t xml:space="preserve">Au-delà des jugements correctionnels, le Pacte a été invoqué par les avocats des parties dans les dossiers suivants : </w:t>
      </w:r>
    </w:p>
    <w:p w14:paraId="4EF39B8F" w14:textId="01F0EBEE" w:rsidR="00322139" w:rsidRDefault="00322139" w:rsidP="00EC2B55">
      <w:pPr>
        <w:pStyle w:val="Bullet1G"/>
      </w:pPr>
      <w:r>
        <w:t xml:space="preserve">Arrêt de la Cour de Révision du 24 juillet 2025 rejetant le pourvoi formé par les parties dans le cadre de leur condamnation pour escroquerie, faux et usage de faux ainsi que blanchiment et complicité de blanchiment ; </w:t>
      </w:r>
    </w:p>
    <w:p w14:paraId="7E4275C8" w14:textId="14A332D0" w:rsidR="00EC2B55" w:rsidRDefault="00322139" w:rsidP="00EC2B55">
      <w:pPr>
        <w:pStyle w:val="Bullet1G"/>
      </w:pPr>
      <w:r>
        <w:lastRenderedPageBreak/>
        <w:t xml:space="preserve">Arrêt de la Cour européenne des droits de l’Homme dans une affaire où le Tribunal Suprême a, par décision du 30 novembre 2023, confirmé le refus d’autorisation d’exercer d’une société au sein de la Principauté </w:t>
      </w:r>
      <w:proofErr w:type="gramStart"/>
      <w:r>
        <w:t>suite au</w:t>
      </w:r>
      <w:proofErr w:type="gramEnd"/>
      <w:r>
        <w:t xml:space="preserve"> placement de son dirigeant sous contrôle judiciaire.  </w:t>
      </w:r>
    </w:p>
    <w:p w14:paraId="6BD3CC7B" w14:textId="78DB39F3" w:rsidR="00EC2B55" w:rsidRDefault="00EC2B55" w:rsidP="00322139">
      <w:pPr>
        <w:pStyle w:val="SingleTxtG"/>
      </w:pPr>
      <w:r w:rsidRPr="003D2CFE">
        <w:rPr>
          <w:b/>
        </w:rPr>
        <w:t>Réponse au paragraphe</w:t>
      </w:r>
      <w:r>
        <w:rPr>
          <w:b/>
        </w:rPr>
        <w:t xml:space="preserve"> </w:t>
      </w:r>
      <w:r>
        <w:rPr>
          <w:b/>
        </w:rPr>
        <w:t>3</w:t>
      </w:r>
    </w:p>
    <w:p w14:paraId="39472604" w14:textId="1806EB90" w:rsidR="00EC2B55" w:rsidRDefault="00EC2B55" w:rsidP="00EC2B55">
      <w:pPr>
        <w:pStyle w:val="H4G"/>
      </w:pPr>
      <w:r>
        <w:tab/>
      </w:r>
      <w:r>
        <w:tab/>
      </w:r>
      <w:r w:rsidR="00322139">
        <w:t>Réexamen ou retrait de certaines réserves et déclarations interprétatives</w:t>
      </w:r>
    </w:p>
    <w:p w14:paraId="45206CA3" w14:textId="77777777" w:rsidR="00EC2B55" w:rsidRDefault="00322139" w:rsidP="00322139">
      <w:pPr>
        <w:pStyle w:val="SingleTxtG"/>
      </w:pPr>
      <w:r>
        <w:t>22.</w:t>
      </w:r>
      <w:r>
        <w:tab/>
        <w:t>La pérennité des fondements et justifications ayant conduit à la formulation des réserves et déclarations concernées, explicitées dans le rapport initial transmis en 2000, il n’est pas envisagé de les retirer à ce stade.</w:t>
      </w:r>
    </w:p>
    <w:p w14:paraId="4B4BB6A3" w14:textId="77777777" w:rsidR="00EC2B55" w:rsidRDefault="00322139" w:rsidP="00322139">
      <w:pPr>
        <w:pStyle w:val="SingleTxtG"/>
      </w:pPr>
      <w:r>
        <w:t>Mise en conformité du Conseil National avec la réforme constitutionnelle de 2002</w:t>
      </w:r>
    </w:p>
    <w:p w14:paraId="4C83AC50" w14:textId="77777777" w:rsidR="00EC2B55" w:rsidRDefault="00322139" w:rsidP="00322139">
      <w:pPr>
        <w:pStyle w:val="SingleTxtG"/>
      </w:pPr>
      <w:r>
        <w:t>23.</w:t>
      </w:r>
      <w:r>
        <w:tab/>
        <w:t>La loi n° 1.249 du 2 avril 2002 portant révision de la Constitution du 17 décembre 1962 a renforcé les attributions du Conseil National, en particulier dans le domaine des relations extérieures, rendant son approbation nécessaire préalablement à la ratification de certaines conventions internationales, de même qu’elle a encadré et amélioré le droit d’initiative parlementaire.</w:t>
      </w:r>
    </w:p>
    <w:p w14:paraId="3ED60AEB" w14:textId="77777777" w:rsidR="00EC2B55" w:rsidRDefault="00322139" w:rsidP="00322139">
      <w:pPr>
        <w:pStyle w:val="SingleTxtG"/>
      </w:pPr>
      <w:r>
        <w:t>24.</w:t>
      </w:r>
      <w:r>
        <w:tab/>
        <w:t>Le nombre d’électeurs a été augmenté, notamment par l’abaissement à 18 ans de la majorité civique et la suppression du délai de cinq ans de possession de la nationalité monégasque.</w:t>
      </w:r>
    </w:p>
    <w:p w14:paraId="71B456F0" w14:textId="77777777" w:rsidR="00EC2B55" w:rsidRDefault="00322139" w:rsidP="00322139">
      <w:pPr>
        <w:pStyle w:val="SingleTxtG"/>
      </w:pPr>
      <w:r>
        <w:t>25.</w:t>
      </w:r>
      <w:r>
        <w:tab/>
        <w:t>Le Conseil National comprend 24 membres (contre 18 auparavant), élus pour cinq ans, et exerce le pouvoir législatif conjointement avec le Prince. Chaque année, au cours de la session d’octobre, il vote la loi portant budget général de l’État.</w:t>
      </w:r>
    </w:p>
    <w:p w14:paraId="54435379" w14:textId="77777777" w:rsidR="00EC2B55" w:rsidRDefault="00322139" w:rsidP="00322139">
      <w:pPr>
        <w:pStyle w:val="SingleTxtG"/>
      </w:pPr>
      <w:r>
        <w:t>26.</w:t>
      </w:r>
      <w:r>
        <w:tab/>
        <w:t xml:space="preserve">En vertu des articles 66 et 67 de la Constitution, l’initiative des lois appartient au Prince, qui signe les projets de loi qui lui sont présentés par le Gouvernement. Néanmoins, le Conseil National a la faculté de faire des propositions de loi. </w:t>
      </w:r>
    </w:p>
    <w:p w14:paraId="57CC298C" w14:textId="77777777" w:rsidR="00EC2B55" w:rsidRDefault="00322139" w:rsidP="00322139">
      <w:pPr>
        <w:pStyle w:val="SingleTxtG"/>
      </w:pPr>
      <w:r>
        <w:t>27.</w:t>
      </w:r>
      <w:r>
        <w:tab/>
        <w:t>La délibération et le vote des lois appartiennent au Conseil National. L’Institution dispose du droit d’amendement sur les projets de loi déposés par le Gouvernement, à l’exception des projets de loi portant approbation de ratification d’un traité international, ou des projets de loi de budget.</w:t>
      </w:r>
    </w:p>
    <w:p w14:paraId="40DEC722" w14:textId="77777777" w:rsidR="00EC2B55" w:rsidRDefault="00322139" w:rsidP="00322139">
      <w:pPr>
        <w:pStyle w:val="SingleTxtG"/>
      </w:pPr>
      <w:r>
        <w:t>28.</w:t>
      </w:r>
      <w:r>
        <w:tab/>
        <w:t>Lorsque la loi est votée, sa sanction appartient au Prince qui peut la promulguer. La loi est opposable aux tiers à compter du lendemain de sa publication au Journal de Monaco.</w:t>
      </w:r>
    </w:p>
    <w:p w14:paraId="7B463360" w14:textId="77777777" w:rsidR="00EC2B55" w:rsidRDefault="00322139" w:rsidP="00322139">
      <w:pPr>
        <w:pStyle w:val="SingleTxtG"/>
      </w:pPr>
      <w:r>
        <w:t>29.</w:t>
      </w:r>
      <w:r>
        <w:tab/>
        <w:t>La loi constitutionnelle n° 1.249 du 2 avril 2002, susmentionnée, est entrée en vigueur dès le 6 avril 2002. Par conséquent, le Conseil National jouit depuis plus de deux décennies de cet élargissement de ses attributions et de sa composition. La mise en conformité de l’Assemblée législative avec la réforme de 2002 a donc bien été menée à son terme.</w:t>
      </w:r>
    </w:p>
    <w:p w14:paraId="59F33F60" w14:textId="77777777" w:rsidR="00EC2B55" w:rsidRDefault="00EC2B55" w:rsidP="00322139">
      <w:pPr>
        <w:pStyle w:val="SingleTxtG"/>
        <w:rPr>
          <w:b/>
        </w:rPr>
      </w:pPr>
      <w:r w:rsidRPr="003D2CFE">
        <w:rPr>
          <w:b/>
        </w:rPr>
        <w:t>Réponse au paragraphe</w:t>
      </w:r>
      <w:r>
        <w:rPr>
          <w:b/>
        </w:rPr>
        <w:t xml:space="preserve"> </w:t>
      </w:r>
      <w:r>
        <w:rPr>
          <w:b/>
        </w:rPr>
        <w:t>4</w:t>
      </w:r>
    </w:p>
    <w:p w14:paraId="455596CE" w14:textId="445DFCF3" w:rsidR="00EC2B55" w:rsidRDefault="00EC2B55" w:rsidP="00EC2B55">
      <w:pPr>
        <w:pStyle w:val="H4G"/>
      </w:pPr>
      <w:r>
        <w:tab/>
      </w:r>
      <w:r>
        <w:tab/>
      </w:r>
      <w:r w:rsidR="00322139">
        <w:t xml:space="preserve">Evolutions du </w:t>
      </w:r>
      <w:proofErr w:type="spellStart"/>
      <w:r w:rsidR="00322139">
        <w:t>Haut Commissariat</w:t>
      </w:r>
      <w:proofErr w:type="spellEnd"/>
      <w:r w:rsidR="00322139">
        <w:t xml:space="preserve"> à la protection des droits et à la médiation</w:t>
      </w:r>
    </w:p>
    <w:p w14:paraId="007D45B5" w14:textId="77777777" w:rsidR="00EC2B55" w:rsidRDefault="00322139" w:rsidP="00322139">
      <w:pPr>
        <w:pStyle w:val="SingleTxtG"/>
      </w:pPr>
      <w:r>
        <w:t>30.</w:t>
      </w:r>
      <w:r>
        <w:tab/>
        <w:t xml:space="preserve">Depuis le précédent rapport périodique, l’Ordonnance Souveraine n° 10.845 du 1er octobre 2024 instituant un </w:t>
      </w:r>
      <w:proofErr w:type="spellStart"/>
      <w:r>
        <w:t>Haut Commissariat</w:t>
      </w:r>
      <w:proofErr w:type="spellEnd"/>
      <w:r>
        <w:t xml:space="preserve"> à la protection des droits et à la médiation a remplacé l’Ordonnance Souveraine n° 4.524 du 30 octobre 2013, afin de renforcer l’adéquation de ses missions et prérogatives aux standards internationaux applicables aux Institutions nationales de protection des droits de l’Homme.</w:t>
      </w:r>
    </w:p>
    <w:p w14:paraId="38F81675" w14:textId="77777777" w:rsidR="00EC2B55" w:rsidRDefault="00322139" w:rsidP="00322139">
      <w:pPr>
        <w:pStyle w:val="SingleTxtG"/>
      </w:pPr>
      <w:r>
        <w:t>31.</w:t>
      </w:r>
      <w:r>
        <w:tab/>
        <w:t xml:space="preserve">Cette évolution permet au </w:t>
      </w:r>
      <w:proofErr w:type="spellStart"/>
      <w:r>
        <w:t>Haut Commissariat</w:t>
      </w:r>
      <w:proofErr w:type="spellEnd"/>
      <w:r>
        <w:t xml:space="preserve"> de répondre pleinement aux exigences figurant dans les Principes de Venise et de Paris et lui a ainsi permis d'être admis en mai 2025 en qualité de membre associé du Réseau européen des Institutions Nationales de Droits de l'Homme (ENNHRI). Depuis lors, le </w:t>
      </w:r>
      <w:proofErr w:type="spellStart"/>
      <w:r>
        <w:t>Haut Commissariat</w:t>
      </w:r>
      <w:proofErr w:type="spellEnd"/>
      <w:r>
        <w:t xml:space="preserve"> participe aux travaux du réseau et a entamé le processus devant, à terme, lui permettre de devenir membre de l'Alliance Globale des Institutions Nationales des Droits de l'Homme (GANHRI).</w:t>
      </w:r>
    </w:p>
    <w:p w14:paraId="40EE2D39" w14:textId="77777777" w:rsidR="00EC2B55" w:rsidRDefault="00322139" w:rsidP="00322139">
      <w:pPr>
        <w:pStyle w:val="SingleTxtG"/>
      </w:pPr>
      <w:r>
        <w:t>32.</w:t>
      </w:r>
      <w:r>
        <w:tab/>
        <w:t xml:space="preserve">Le </w:t>
      </w:r>
      <w:proofErr w:type="spellStart"/>
      <w:r>
        <w:t>Haut Commissaire</w:t>
      </w:r>
      <w:proofErr w:type="spellEnd"/>
      <w:r>
        <w:t xml:space="preserve"> est notamment chargé de protéger les droits et libertés des administrés dans le cadre de leurs relations avec les administrations et les établissements </w:t>
      </w:r>
      <w:r>
        <w:lastRenderedPageBreak/>
        <w:t xml:space="preserve">publics, ainsi que de lutter contre les discriminations directes ou indirectes, prohibées par la loi ou par un engagement international ratifié et rendu exécutoire par Monaco. </w:t>
      </w:r>
    </w:p>
    <w:p w14:paraId="051048FE" w14:textId="77777777" w:rsidR="00EC2B55" w:rsidRDefault="00322139" w:rsidP="00322139">
      <w:pPr>
        <w:pStyle w:val="SingleTxtG"/>
      </w:pPr>
      <w:r>
        <w:t>33.</w:t>
      </w:r>
      <w:r>
        <w:tab/>
        <w:t xml:space="preserve">L’Ordonnance Souveraine de 2024 prévoit, comme celle de 2013, que « </w:t>
      </w:r>
      <w:r w:rsidRPr="00EC2B55">
        <w:rPr>
          <w:i/>
          <w:iCs/>
        </w:rPr>
        <w:t xml:space="preserve">le </w:t>
      </w:r>
      <w:proofErr w:type="spellStart"/>
      <w:r w:rsidRPr="00EC2B55">
        <w:rPr>
          <w:i/>
          <w:iCs/>
        </w:rPr>
        <w:t>Haut Commissaire</w:t>
      </w:r>
      <w:proofErr w:type="spellEnd"/>
      <w:r w:rsidRPr="00EC2B55">
        <w:rPr>
          <w:i/>
          <w:iCs/>
        </w:rPr>
        <w:t xml:space="preserve"> accomplit les missions qui lui sont dévolues avec neutralité, impartialité et de manière indépendante. Aussi, ne reçoit-il, dans le cadre de l'exercice de ces missions, notamment de la part [du Ministre d'État, du Président du Conseil National, du Secrétaire d'État à la </w:t>
      </w:r>
      <w:proofErr w:type="gramStart"/>
      <w:r w:rsidRPr="00EC2B55">
        <w:rPr>
          <w:i/>
          <w:iCs/>
        </w:rPr>
        <w:t>Justice  et</w:t>
      </w:r>
      <w:proofErr w:type="gramEnd"/>
      <w:r w:rsidRPr="00EC2B55">
        <w:rPr>
          <w:i/>
          <w:iCs/>
        </w:rPr>
        <w:t xml:space="preserve"> du Maire], aucun ordre, instruction ou directive de quelque nature que ce soit</w:t>
      </w:r>
      <w:r>
        <w:t xml:space="preserve"> ». </w:t>
      </w:r>
    </w:p>
    <w:p w14:paraId="3A01B301" w14:textId="77777777" w:rsidR="00EC2B55" w:rsidRDefault="00322139" w:rsidP="00322139">
      <w:pPr>
        <w:pStyle w:val="SingleTxtG"/>
      </w:pPr>
      <w:r>
        <w:t>34.</w:t>
      </w:r>
      <w:r>
        <w:tab/>
        <w:t xml:space="preserve">Par ailleurs, la protection fonctionnelle accordée par l’État au </w:t>
      </w:r>
      <w:proofErr w:type="spellStart"/>
      <w:r>
        <w:t>Haut Commissaire</w:t>
      </w:r>
      <w:proofErr w:type="spellEnd"/>
      <w:r>
        <w:t xml:space="preserve"> a été étendue à l’ensemble du personnel placé sous l’autorité de ce dernier. Cette disposition vise à protéger et à répondre aux menaces, outrages, injures, diffamations ou attaques de toute nature dont le personnel du </w:t>
      </w:r>
      <w:proofErr w:type="spellStart"/>
      <w:r>
        <w:t>Haut Commissariat</w:t>
      </w:r>
      <w:proofErr w:type="spellEnd"/>
      <w:r>
        <w:t xml:space="preserve"> serait l’objet lors de l’accomplissement de ses missions.</w:t>
      </w:r>
    </w:p>
    <w:p w14:paraId="34BA998A" w14:textId="77777777" w:rsidR="00EC2B55" w:rsidRDefault="00322139" w:rsidP="00322139">
      <w:pPr>
        <w:pStyle w:val="SingleTxtG"/>
      </w:pPr>
      <w:r>
        <w:t>35.</w:t>
      </w:r>
      <w:r>
        <w:tab/>
        <w:t xml:space="preserve">La modification la plus importante opérée par la réforme de 2024 réside dans l’élargissement des compétences du </w:t>
      </w:r>
      <w:proofErr w:type="spellStart"/>
      <w:r>
        <w:t>Haut Commissaire</w:t>
      </w:r>
      <w:proofErr w:type="spellEnd"/>
      <w:r>
        <w:t>, à savoir la protection des droits de l’enfant consacrés par la loi ou par un engagement international ratifié et rendu exécutoire par Monaco et la promotion de la défense des droits et libertés.</w:t>
      </w:r>
    </w:p>
    <w:p w14:paraId="406E534D" w14:textId="77777777" w:rsidR="00EC2B55" w:rsidRDefault="00322139" w:rsidP="00322139">
      <w:pPr>
        <w:pStyle w:val="SingleTxtG"/>
      </w:pPr>
      <w:r>
        <w:t>36.</w:t>
      </w:r>
      <w:r>
        <w:tab/>
        <w:t xml:space="preserve">En outre, le </w:t>
      </w:r>
      <w:proofErr w:type="spellStart"/>
      <w:r>
        <w:t>Haut Commissaire</w:t>
      </w:r>
      <w:proofErr w:type="spellEnd"/>
      <w:r>
        <w:t xml:space="preserve"> peut désormais être saisi, à titre amiable et gratuit, par toute personne physique ou morale qui estime que ses droits et libertés ont été méconnus par une autorité publique ou par le fonctionnement d’un service relevant de l’une de ces autorités ; par toute personne physique ou morale qui estime avoir été victime de discriminations ; par un mineur qui invoque la protection de ses droits ou par ses représentants légaux, les membres de sa famille, les services médicaux ou sociaux ou toute association agréée ayant pour mission la défense des droits de l’enfant.</w:t>
      </w:r>
    </w:p>
    <w:p w14:paraId="0A498C19" w14:textId="77777777" w:rsidR="00EC2B55" w:rsidRDefault="00322139" w:rsidP="00322139">
      <w:pPr>
        <w:pStyle w:val="SingleTxtG"/>
      </w:pPr>
      <w:r>
        <w:t>37.</w:t>
      </w:r>
      <w:r>
        <w:tab/>
        <w:t xml:space="preserve">Lorsqu’il estime que les faits dont il a été saisi ou dont il a connaissance sont de nature à justifier des poursuites à caractère pénal ou disciplinaire, le </w:t>
      </w:r>
      <w:proofErr w:type="spellStart"/>
      <w:r>
        <w:t>Haut Commissaire</w:t>
      </w:r>
      <w:proofErr w:type="spellEnd"/>
      <w:r>
        <w:t xml:space="preserve"> saisit, selon le cas, le Procureur général ou l’autorité investie du pouvoir d’engager une procédure disciplinaire. Le </w:t>
      </w:r>
      <w:proofErr w:type="spellStart"/>
      <w:r>
        <w:t>Haut Commissaire</w:t>
      </w:r>
      <w:proofErr w:type="spellEnd"/>
      <w:r>
        <w:t xml:space="preserve"> peut également porter à la connaissance du Procureur général les affaires concernant un mineur susceptibles de donner lieu à des mesures d’assistance éducative.</w:t>
      </w:r>
    </w:p>
    <w:p w14:paraId="35A6CFAC" w14:textId="77777777" w:rsidR="00EC2B55" w:rsidRDefault="00322139" w:rsidP="00322139">
      <w:pPr>
        <w:pStyle w:val="SingleTxtG"/>
      </w:pPr>
      <w:r>
        <w:t>38.</w:t>
      </w:r>
      <w:r>
        <w:tab/>
        <w:t xml:space="preserve">Enfin, la réforme de 2024 a attribué de nouvelles prérogatives permettant au </w:t>
      </w:r>
      <w:proofErr w:type="spellStart"/>
      <w:r>
        <w:t>Haut Commissaire</w:t>
      </w:r>
      <w:proofErr w:type="spellEnd"/>
      <w:r>
        <w:t xml:space="preserve">, en particulier dans les domaines de la lutte contre les discriminations et de la protection des droits de l’enfant : de conduire des actions d’information et de sensibilisation ; de coordonner des travaux d’étude et de recherche ; de se saisir de questions d’intérêt général en vue de formuler des recommandations ; de participer au dialogue avec les organes internationaux de protection des droits de l’Homme. </w:t>
      </w:r>
    </w:p>
    <w:p w14:paraId="6BF1E5B8" w14:textId="77777777" w:rsidR="00EC2B55" w:rsidRDefault="00322139" w:rsidP="00322139">
      <w:pPr>
        <w:pStyle w:val="SingleTxtG"/>
      </w:pPr>
      <w:r>
        <w:t>39.</w:t>
      </w:r>
      <w:r>
        <w:tab/>
        <w:t>Dans ce cadre, il peut être sollicité pour contribuer au suivi de la mise en œuvre des conventions internationales applicables et prendre l’initiative d’études ou de recommandations à destination des autorités publiques.</w:t>
      </w:r>
    </w:p>
    <w:p w14:paraId="2D37B92A" w14:textId="732F86CB" w:rsidR="00EC2B55" w:rsidRDefault="00EC4DD3" w:rsidP="00EC4DD3">
      <w:pPr>
        <w:pStyle w:val="H1G"/>
      </w:pPr>
      <w:r>
        <w:tab/>
      </w:r>
      <w:r>
        <w:tab/>
      </w:r>
      <w:r w:rsidR="00322139">
        <w:t xml:space="preserve">Mesures anticorruption (art. 2 et 25) </w:t>
      </w:r>
    </w:p>
    <w:p w14:paraId="12DAFD26" w14:textId="68DA1933" w:rsidR="00EC4DD3" w:rsidRDefault="00EC4DD3" w:rsidP="00EC4DD3">
      <w:pPr>
        <w:pStyle w:val="SingleTxtG"/>
        <w:rPr>
          <w:b/>
        </w:rPr>
      </w:pPr>
      <w:r w:rsidRPr="003D2CFE">
        <w:rPr>
          <w:b/>
        </w:rPr>
        <w:t>Réponse au paragraphe</w:t>
      </w:r>
      <w:r>
        <w:rPr>
          <w:b/>
        </w:rPr>
        <w:t xml:space="preserve"> </w:t>
      </w:r>
      <w:r>
        <w:rPr>
          <w:b/>
        </w:rPr>
        <w:t>5</w:t>
      </w:r>
    </w:p>
    <w:p w14:paraId="77BE2DE2" w14:textId="77777777" w:rsidR="00EC2B55" w:rsidRDefault="00322139" w:rsidP="00322139">
      <w:pPr>
        <w:pStyle w:val="SingleTxtG"/>
      </w:pPr>
      <w:r>
        <w:t>40.</w:t>
      </w:r>
      <w:r>
        <w:tab/>
        <w:t>La Direction des Services Judiciaires contribue à la prévention et à la lutte contre la corruption dans le cadre des attributions qui lui sont propres, principalement à travers l’organisation du service public de la justice, la garantie de l’intégrité des magistrats et des personnels judiciaires, l’encadrement de l’action publique, ainsi que la mise en œuvre des mécanismes disciplinaires et déontologiques applicables au sein de l’Institution judiciaire.</w:t>
      </w:r>
    </w:p>
    <w:p w14:paraId="70218BB2" w14:textId="77777777" w:rsidR="00EC2B55" w:rsidRDefault="00322139" w:rsidP="00322139">
      <w:pPr>
        <w:pStyle w:val="SingleTxtG"/>
      </w:pPr>
      <w:r>
        <w:t>41.</w:t>
      </w:r>
      <w:r>
        <w:tab/>
        <w:t xml:space="preserve">Le droit monégasque réprime les faits de prise illégale d’intérêts, de corruption et de trafic d’influence. La loi n° 1.394 du 9 octobre 2012 a renforcé le cadre pénal applicable, notamment en matière de corruption active et passive d’agents publics nationaux, d’agents privés, d’agents publics étrangers ou internationaux, ainsi que de faits impliquant des magistrats ou des jurés. Elle prévoit également la confiscation du produit des infractions de </w:t>
      </w:r>
      <w:r>
        <w:lastRenderedPageBreak/>
        <w:t xml:space="preserve">prise illégale d’intérêts, de corruption et de trafic d’influence, ainsi que des biens acquis au moyen de ce produit. </w:t>
      </w:r>
    </w:p>
    <w:p w14:paraId="5E375F6D" w14:textId="77777777" w:rsidR="00EC2B55" w:rsidRDefault="00322139" w:rsidP="00322139">
      <w:pPr>
        <w:pStyle w:val="SingleTxtG"/>
      </w:pPr>
      <w:r>
        <w:t>42.</w:t>
      </w:r>
      <w:r>
        <w:tab/>
        <w:t>S’agissant plus spécifiquement du système judiciaire, plusieurs garanties ont été mises en place afin de prévenir les atteintes à la probité, les conflits d’intérêts et les risques d’influence indue.</w:t>
      </w:r>
    </w:p>
    <w:p w14:paraId="08E33B1C" w14:textId="77777777" w:rsidR="00EC2B55" w:rsidRDefault="00322139" w:rsidP="00322139">
      <w:pPr>
        <w:pStyle w:val="SingleTxtG"/>
      </w:pPr>
      <w:r>
        <w:t>43.</w:t>
      </w:r>
      <w:r>
        <w:tab/>
        <w:t xml:space="preserve">En premier lieu, un Recueil de principes éthiques et déontologiques des magistrats a été adopté par arrêté du Directeur des Services Judiciaires n° 2019-15 du 26 novembre 2019. Ce recueil constitue un instrument de référence destiné à rappeler les exigences d’indépendance, d’impartialité, de dignité, de probité, de loyauté et de réserve attachées à l’exercice des fonctions judiciaires. </w:t>
      </w:r>
    </w:p>
    <w:p w14:paraId="32A42879" w14:textId="77777777" w:rsidR="00EC2B55" w:rsidRDefault="00322139" w:rsidP="00322139">
      <w:pPr>
        <w:pStyle w:val="SingleTxtG"/>
      </w:pPr>
      <w:r>
        <w:t>44.</w:t>
      </w:r>
      <w:r>
        <w:tab/>
        <w:t xml:space="preserve">En deuxième lieu, une Charte de déontologie des membres du Tribunal Suprême a été approuvée par arrêté du Directeur des Services Judiciaires n° 2019-17 du 28 novembre 2019. Elle précise les obligations déontologiques applicables aux membres de cette juridiction, notamment en matière d’indépendance, d’impartialité, d’objectivité, de dignité et de probité. </w:t>
      </w:r>
    </w:p>
    <w:p w14:paraId="575CC5D8" w14:textId="77777777" w:rsidR="00EC2B55" w:rsidRDefault="00322139" w:rsidP="00322139">
      <w:pPr>
        <w:pStyle w:val="SingleTxtG"/>
      </w:pPr>
      <w:r>
        <w:t>45.</w:t>
      </w:r>
      <w:r>
        <w:tab/>
        <w:t>En troisième lieu, le statut de la magistrature a été renforcé par la loi n° 1.495 du 8 juillet 2020. Celle-ci prévoit que le Secrétaire d'État à la Justice veille à l’application du statut de la magistrature avec le concours du Haut Conseil de la Magistrature, tous deux devant s’assurer du respect du principe d’indépendance des juges garanti par l’article 88 de la Constitution. Cette même loi a renforcé le rôle du Haut Conseil de la Magistrature en matière disciplinaire, notamment en précisant les modalités de saisine de cette instance et en confirmant son rôle dans la garantie de l’indépendance des juges.</w:t>
      </w:r>
    </w:p>
    <w:p w14:paraId="457BDB10" w14:textId="77777777" w:rsidR="00EC2B55" w:rsidRDefault="00322139" w:rsidP="00322139">
      <w:pPr>
        <w:pStyle w:val="SingleTxtG"/>
      </w:pPr>
      <w:r>
        <w:t>46.</w:t>
      </w:r>
      <w:r>
        <w:tab/>
        <w:t xml:space="preserve">La Direction des Services Judiciaires dispose également d’un rôle propre dans l’administration du service public de la justice. La loi n° 1.398 du 24 juin 2013 prévoit que le Secrétaire d’État à la Justice assure la bonne administration de la justice et exerce son autorité administrative sur le secrétariat général de la Direction des Services Judiciaires, les services du Greffe général, les services du Parquet général et la Maison d’arrêt. Les personnels des services judiciaires non soumis à un statut spécifique relèvent des règles générales applicables aux fonctionnaires et agents de l’État, les pouvoirs hiérarchique et disciplinaire étant exercés à leur égard par le Secrétaire d'État à la Justice.  </w:t>
      </w:r>
    </w:p>
    <w:p w14:paraId="181FC106" w14:textId="77777777" w:rsidR="00EC2B55" w:rsidRDefault="00322139" w:rsidP="00322139">
      <w:pPr>
        <w:pStyle w:val="SingleTxtG"/>
      </w:pPr>
      <w:r>
        <w:t>47.</w:t>
      </w:r>
      <w:r>
        <w:tab/>
        <w:t xml:space="preserve">S’agissant du signalement des faits susceptibles de constituer des infractions de corruption, les mécanismes de droit commun permettent leur transmission à l’autorité judiciaire, notamment par plainte ou dénonciation auprès du Procureur général. Le Code de procédure pénale prévoit en outre que toute autorité, tout fonctionnaire ou officier public qui, dans l’exercice de ses fonctions, acquiert la connaissance d’un crime ou d’un délit, est tenu d’en donner avis sans délai au Procureur général et de transmettre les renseignements, procès-verbaux et actes qui s’y rapportent. </w:t>
      </w:r>
    </w:p>
    <w:p w14:paraId="54C801BF" w14:textId="77777777" w:rsidR="00EC2B55" w:rsidRDefault="00322139" w:rsidP="00322139">
      <w:pPr>
        <w:pStyle w:val="SingleTxtG"/>
      </w:pPr>
      <w:r>
        <w:t>48.</w:t>
      </w:r>
      <w:r>
        <w:tab/>
        <w:t>Lorsque les faits signalés concernent un magistrat ou un membre du personnel judiciaire, ils peuvent donner lieu, selon leur nature, à un traitement pénal par l’autorité judiciaire compétente et/ou à un traitement disciplinaire dans les conditions prévues par les textes applicables. Cette articulation permet de distinguer les faits susceptibles de recevoir une qualification pénale des manquements professionnels ou déontologiques relevant du régime disciplinaire.</w:t>
      </w:r>
    </w:p>
    <w:p w14:paraId="1AE7D4FA" w14:textId="77777777" w:rsidR="00EC2B55" w:rsidRDefault="00322139" w:rsidP="00322139">
      <w:pPr>
        <w:pStyle w:val="SingleTxtG"/>
      </w:pPr>
      <w:r>
        <w:t>49.</w:t>
      </w:r>
      <w:r>
        <w:tab/>
        <w:t>La Direction des Services Judiciaires contribue également à la prévention des risques par la formation et la sensibilisation des professionnels du droit. L’Institut Monégasque de Formation aux Professions Judiciaires participe à la formation initiale et continue des professions judiciaires et juridiques. Selon les programmes retenus, ces formations permettent d’aborder les exigences relatives à la déontologie, à l’indépendance, à l’impartialité, à la procédure pénale, au droit pénal économique, à la lutte contre le blanchiment et aux engagements internationaux de Monaco.</w:t>
      </w:r>
    </w:p>
    <w:p w14:paraId="63503D2F" w14:textId="77777777" w:rsidR="00EC2B55" w:rsidRDefault="00322139" w:rsidP="00322139">
      <w:pPr>
        <w:pStyle w:val="SingleTxtG"/>
      </w:pPr>
      <w:r>
        <w:t>50.</w:t>
      </w:r>
      <w:r>
        <w:tab/>
        <w:t>S’agissant de la protection des lanceurs d’alerte, en ce qui relève de la justice, les faits susceptibles de constituer une infraction peuvent être signalés au Procureur général et, lorsqu’ils concernent un agent relevant de la Direction des Services Judiciaires, donner lieu, le cas échéant, aux suites disciplinaires appropriées.</w:t>
      </w:r>
    </w:p>
    <w:p w14:paraId="20E5A930" w14:textId="77777777" w:rsidR="00EC2B55" w:rsidRDefault="00322139" w:rsidP="00322139">
      <w:pPr>
        <w:pStyle w:val="SingleTxtG"/>
      </w:pPr>
      <w:r>
        <w:lastRenderedPageBreak/>
        <w:t>51.</w:t>
      </w:r>
      <w:r>
        <w:tab/>
        <w:t xml:space="preserve">Concernant les condamnations et peines prononcées dans des affaires de corruption : un jugement correctionnel relatif à des faits de corruption impliquant des fonctionnaires a été rendu le 28 octobre 2025. Les prévenus ont été condamnés à des peines d’amende de 100.000 euros, des peines d’emprisonnement avec sursis de 18 mois, et des peines d’emprisonnement de 18 mois à 3 ans. </w:t>
      </w:r>
    </w:p>
    <w:p w14:paraId="61F31E2A" w14:textId="77777777" w:rsidR="00EC2B55" w:rsidRDefault="00322139" w:rsidP="00322139">
      <w:pPr>
        <w:pStyle w:val="SingleTxtG"/>
      </w:pPr>
      <w:r>
        <w:t>52.</w:t>
      </w:r>
      <w:r>
        <w:tab/>
        <w:t>Par ailleurs, Monaco est engagé de longue date dans la lutte contre la corruption, au travers notamment de la mise en œuvre des recommandations du Groupe d’États contre la corruption (GRECO), depuis la ratification de la Convention pénale sur la corruption le 4 mai 2007, consécutivement à son adhésion au Conseil de l’Europe le 5 octobre 2004.</w:t>
      </w:r>
    </w:p>
    <w:p w14:paraId="12740E43" w14:textId="77777777" w:rsidR="00EC2B55" w:rsidRDefault="00322139" w:rsidP="00322139">
      <w:pPr>
        <w:pStyle w:val="SingleTxtG"/>
      </w:pPr>
      <w:r>
        <w:t>53.</w:t>
      </w:r>
      <w:r>
        <w:tab/>
        <w:t>Dans le cadre des quatre premiers cycles d’évaluation du GRECO, la Principauté a su constamment faire évoluer sa législation et ses pratiques. Peuvent être notées :</w:t>
      </w:r>
    </w:p>
    <w:p w14:paraId="0383B533" w14:textId="7B9A0751" w:rsidR="00322139" w:rsidRDefault="00322139" w:rsidP="00EC4DD3">
      <w:pPr>
        <w:pStyle w:val="Bullet1G"/>
      </w:pPr>
      <w:r>
        <w:t>La loi n° 1.394 du 9 octobre 2012 portant réforme du Code pénal et de procédure pénale, qui a complété les dispositions pénales et la procédure pénale concernant la gamme d’incriminations couvertes par la Convention pénale du Conseil de l’Europe ;</w:t>
      </w:r>
    </w:p>
    <w:p w14:paraId="6ECB1E65" w14:textId="292EB846" w:rsidR="00322139" w:rsidRDefault="00322139" w:rsidP="00EC4DD3">
      <w:pPr>
        <w:pStyle w:val="Bullet1G"/>
      </w:pPr>
      <w:r>
        <w:t>La loi n° 1.389 du 2 juillet 2012 relative au financement des campagnes électorales complétée par la loi n° 1.453 du 16 octobre 2017, qui a créé un cadre juridique entièrement nouveau s’agissant du financement de la vie politique ;</w:t>
      </w:r>
    </w:p>
    <w:p w14:paraId="015A03BA" w14:textId="0213FD7F" w:rsidR="00322139" w:rsidRDefault="00322139" w:rsidP="00EC4DD3">
      <w:pPr>
        <w:pStyle w:val="Bullet1G"/>
      </w:pPr>
      <w:r>
        <w:t>La loi n° 1.495 du 8 juillet 2020 modifiant la loi n° 1.364 du 16 novembre 2009 portant statut de la magistrature, recueil de principes éthiques et déontologiques des magistrats et règles éthiques applicables aux membres du tribunal suprême, qui a renforcé les mesures d’intégrité et de déontologie concernant l’institution judiciaire ;</w:t>
      </w:r>
    </w:p>
    <w:p w14:paraId="754DB3EF" w14:textId="520D5966" w:rsidR="00322139" w:rsidRDefault="00322139" w:rsidP="00EC4DD3">
      <w:pPr>
        <w:pStyle w:val="Bullet1G"/>
      </w:pPr>
      <w:r>
        <w:t>La modernisation des dispositions déontologiques du règlement intérieur du Conseil National en 2020 ;</w:t>
      </w:r>
    </w:p>
    <w:p w14:paraId="40FCCEF6" w14:textId="52553ED3" w:rsidR="00322139" w:rsidRDefault="00322139" w:rsidP="00EC4DD3">
      <w:pPr>
        <w:pStyle w:val="Bullet1G"/>
      </w:pPr>
      <w:r>
        <w:t xml:space="preserve">L’adoption, en 2022, d’importantes réformes par voie législative consacrant des avancées significatives pour renforcer les règles statutaires de nature déontologique applicables aux fonctionnaires de l’État et de la Commune (loi n° 1.527 du 7 juillet 2022 modifiant la loi n° 975 du 12 juillet 1975 portant statut des fonctionnaires de </w:t>
      </w:r>
      <w:proofErr w:type="gramStart"/>
      <w:r>
        <w:t>l’État ,</w:t>
      </w:r>
      <w:proofErr w:type="gramEnd"/>
      <w:r>
        <w:t xml:space="preserve"> modifiée ; loi n° 1.538 du 16 décembre 2022 modifiant la loi n° 1.096 du 7 août 1986 portant statut des fonctionnaires de la Commune, modifiée) ;</w:t>
      </w:r>
    </w:p>
    <w:p w14:paraId="70E61F9A" w14:textId="6AFBABBC" w:rsidR="00EC2B55" w:rsidRDefault="00322139" w:rsidP="00EC4DD3">
      <w:pPr>
        <w:pStyle w:val="Bullet1G"/>
      </w:pPr>
      <w:r>
        <w:t>L’adoption de dispositions juridiques spécifiques aux membres du Gouvernement Princier :  l’Ordonnance Souveraine n° 9.931 du 15 juin 2023, fixant les principes éthiques, déontologiques et de conformité applicables au Ministre d’État et aux Conseillers de Gouvernement-Ministres a constitué une étape importante dans la volonté des autorités monégasques de poursuivre l’effort en faveur de la prévention de la corruption et de la promotion de l’intégrité des personnes exerçant les plus hautes fonctions exécutives au sein de la Principauté de Monaco.</w:t>
      </w:r>
    </w:p>
    <w:p w14:paraId="7BE54810" w14:textId="77777777" w:rsidR="00EC2B55" w:rsidRDefault="00322139" w:rsidP="00322139">
      <w:pPr>
        <w:pStyle w:val="SingleTxtG"/>
      </w:pPr>
      <w:r>
        <w:t>54.</w:t>
      </w:r>
      <w:r>
        <w:tab/>
        <w:t xml:space="preserve">Dans le cadre du 5ème cycle d’évaluation du GRECO portant sur « </w:t>
      </w:r>
      <w:r w:rsidRPr="00C909F2">
        <w:rPr>
          <w:i/>
          <w:iCs/>
        </w:rPr>
        <w:t>la prévention de la corruption et promotion de l’intégrité au sein des gouvernements centraux (hautes fonctions de l’exécutif) et des services répressifs</w:t>
      </w:r>
      <w:r>
        <w:t xml:space="preserve"> »,  Monaco s’est doté, par Ordonnance Souveraine n° 11.092 du 18 février 2025, d’un  « </w:t>
      </w:r>
      <w:r w:rsidRPr="00C909F2">
        <w:rPr>
          <w:i/>
          <w:iCs/>
        </w:rPr>
        <w:t>Comité de pilotage de la stratégie globale de lutte contre la corruption dans le cadre du cinquième cycle d’évaluation du GRECO</w:t>
      </w:r>
      <w:r>
        <w:t xml:space="preserve"> », lequel a pour missions d’élaborer la stratégie de lutte contre corruption et de déterminer les mesures requises pour mettre en œuvre les recommandations ayant été adressées aux autorités monégasques.</w:t>
      </w:r>
    </w:p>
    <w:p w14:paraId="7F139478" w14:textId="77777777" w:rsidR="00EC2B55" w:rsidRDefault="00322139" w:rsidP="00322139">
      <w:pPr>
        <w:pStyle w:val="SingleTxtG"/>
      </w:pPr>
      <w:r>
        <w:t>55.</w:t>
      </w:r>
      <w:r>
        <w:tab/>
        <w:t>Ce Comité de pilotage est placé sous la présidence du Ministre d’État et comprend :</w:t>
      </w:r>
    </w:p>
    <w:p w14:paraId="67EDCAF1" w14:textId="6A7F1540" w:rsidR="00322139" w:rsidRDefault="00322139" w:rsidP="00EC4DD3">
      <w:pPr>
        <w:pStyle w:val="Bullet1G"/>
      </w:pPr>
      <w:r>
        <w:t>Le Secrétaire d’État à la Justice ;</w:t>
      </w:r>
    </w:p>
    <w:p w14:paraId="288F5B57" w14:textId="67E02D7E" w:rsidR="00322139" w:rsidRDefault="00322139" w:rsidP="00EC4DD3">
      <w:pPr>
        <w:pStyle w:val="Bullet1G"/>
      </w:pPr>
      <w:r>
        <w:t>Les Conseillers de Gouvernement-Ministres ;</w:t>
      </w:r>
    </w:p>
    <w:p w14:paraId="1EAFDFA4" w14:textId="50DFE33B" w:rsidR="00322139" w:rsidRDefault="00322139" w:rsidP="00EC4DD3">
      <w:pPr>
        <w:pStyle w:val="Bullet1G"/>
      </w:pPr>
      <w:r>
        <w:t>Le Directeur de Cabinet du Prince ;</w:t>
      </w:r>
    </w:p>
    <w:p w14:paraId="5C23518C" w14:textId="509F029C" w:rsidR="00322139" w:rsidRDefault="00322139" w:rsidP="00EC4DD3">
      <w:pPr>
        <w:pStyle w:val="Bullet1G"/>
      </w:pPr>
      <w:r>
        <w:t>Le Directeur de Cabinet du Ministre d’État ;</w:t>
      </w:r>
    </w:p>
    <w:p w14:paraId="51FC3FD3" w14:textId="0A5FD2ED" w:rsidR="00322139" w:rsidRDefault="00322139" w:rsidP="00EC4DD3">
      <w:pPr>
        <w:pStyle w:val="Bullet1G"/>
      </w:pPr>
      <w:r>
        <w:t>Le Secrétaire Général du Gouvernement ;</w:t>
      </w:r>
    </w:p>
    <w:p w14:paraId="552964EE" w14:textId="33F74302" w:rsidR="00322139" w:rsidRDefault="00322139" w:rsidP="00EC4DD3">
      <w:pPr>
        <w:pStyle w:val="Bullet1G"/>
      </w:pPr>
      <w:r>
        <w:t>Le Directeur de la Sûreté Publique ;</w:t>
      </w:r>
    </w:p>
    <w:p w14:paraId="3011F227" w14:textId="379B4732" w:rsidR="00322139" w:rsidRDefault="00322139" w:rsidP="00EC4DD3">
      <w:pPr>
        <w:pStyle w:val="Bullet1G"/>
      </w:pPr>
      <w:r>
        <w:lastRenderedPageBreak/>
        <w:t>La Direction des Affaires Juridiques ;</w:t>
      </w:r>
    </w:p>
    <w:p w14:paraId="3B838707" w14:textId="3AC2BB73" w:rsidR="00322139" w:rsidRDefault="00322139" w:rsidP="00EC4DD3">
      <w:pPr>
        <w:pStyle w:val="Bullet1G"/>
      </w:pPr>
      <w:r>
        <w:t>La Direction des Ressources Humaines et de la Formation de la Fonction Publique ;</w:t>
      </w:r>
    </w:p>
    <w:p w14:paraId="33B0F9AF" w14:textId="59DE9F27" w:rsidR="00EC2B55" w:rsidRDefault="00322139" w:rsidP="00EC4DD3">
      <w:pPr>
        <w:pStyle w:val="Bullet1G"/>
      </w:pPr>
      <w:r>
        <w:t xml:space="preserve">Et l’Inspection Générale de l’Administration. </w:t>
      </w:r>
    </w:p>
    <w:p w14:paraId="497EC0F7" w14:textId="77777777" w:rsidR="00EC2B55" w:rsidRDefault="00322139" w:rsidP="00322139">
      <w:pPr>
        <w:pStyle w:val="SingleTxtG"/>
      </w:pPr>
      <w:r>
        <w:t>56.</w:t>
      </w:r>
      <w:r>
        <w:tab/>
        <w:t xml:space="preserve">Il constitue un cadre privilégié pour assurer la réactivité des travaux, ainsi que la prise de décisions et d’arbitrages de manière transversale et collégiale. Le Comité de pilotage s’est réuni à six reprises depuis sa création. </w:t>
      </w:r>
    </w:p>
    <w:p w14:paraId="6B1C1E2A" w14:textId="77777777" w:rsidR="00EC2B55" w:rsidRDefault="00322139" w:rsidP="00322139">
      <w:pPr>
        <w:pStyle w:val="SingleTxtG"/>
      </w:pPr>
      <w:r>
        <w:t>57.</w:t>
      </w:r>
      <w:r>
        <w:tab/>
        <w:t xml:space="preserve">Dans le même temps, un travail spécifique d’analyse approfondie des risques liés à la corruption a été engagé à la demande du Gouvernement Princier, du Secrétaire d’État à la Justice et de la Maison Souveraine, conduisant à l’élaboration de cartographies de ces risques. Ce diagnostic, conduit en collaboration avec des experts externes, a permis de mieux identifier les menaces spécifiques, les zones de vulnérabilité et les facteurs de risque inhérents à l’exercice des plus hautes responsabilités exécutives. </w:t>
      </w:r>
    </w:p>
    <w:p w14:paraId="0BA76BC1" w14:textId="77777777" w:rsidR="00EC2B55" w:rsidRDefault="00322139" w:rsidP="00322139">
      <w:pPr>
        <w:pStyle w:val="SingleTxtG"/>
      </w:pPr>
      <w:r>
        <w:t>58.</w:t>
      </w:r>
      <w:r>
        <w:tab/>
        <w:t xml:space="preserve">Le Comité de Pilotage a pu s’appuyer sur ces cartographies pour orienter les priorités d’action et bâtir une réponse ciblée et cohérente selon une méthode de « </w:t>
      </w:r>
      <w:r w:rsidRPr="00C909F2">
        <w:rPr>
          <w:i/>
          <w:iCs/>
        </w:rPr>
        <w:t xml:space="preserve">l’approche par les risques </w:t>
      </w:r>
      <w:r>
        <w:t>». Une stratégie de lutte contre la corruption dans les hautes fonctions exécutives pour 2026-2028, incluant un plan d’action opérationnel est ainsi amenée à être publiée très prochainement.</w:t>
      </w:r>
    </w:p>
    <w:p w14:paraId="3ACFE9BA" w14:textId="77777777" w:rsidR="00EC2B55" w:rsidRDefault="00322139" w:rsidP="00322139">
      <w:pPr>
        <w:pStyle w:val="SingleTxtG"/>
      </w:pPr>
      <w:r>
        <w:t>59.</w:t>
      </w:r>
      <w:r>
        <w:tab/>
        <w:t xml:space="preserve">Ce document stratégique constituera un outil privilégié afin de piloter et évaluer la mise en œuvre de mesures complémentaires annoncées et destinées à renforcer le dispositif monégasque de prévention de la corruption et de promotion de l’intégrité au sein des hautes fonctions exécutives.  </w:t>
      </w:r>
    </w:p>
    <w:p w14:paraId="09360196" w14:textId="77777777" w:rsidR="00EC2B55" w:rsidRDefault="00322139" w:rsidP="00322139">
      <w:pPr>
        <w:pStyle w:val="SingleTxtG"/>
      </w:pPr>
      <w:r>
        <w:t>60.</w:t>
      </w:r>
      <w:r>
        <w:tab/>
        <w:t xml:space="preserve">Enfin, concernant les mesures mises en œuvre pour faciliter le signalement des cas de corruption et la protection des lanceurs d’alerte, un projet de loi a été développé par le Gouvernement, qui a notamment pour objet de :  </w:t>
      </w:r>
    </w:p>
    <w:p w14:paraId="54D92F22" w14:textId="2E280CEC" w:rsidR="00322139" w:rsidRDefault="00322139" w:rsidP="00EC4DD3">
      <w:pPr>
        <w:pStyle w:val="Bullet1G"/>
      </w:pPr>
      <w:r>
        <w:t xml:space="preserve">Consacrer le statut de « </w:t>
      </w:r>
      <w:r w:rsidRPr="00C909F2">
        <w:rPr>
          <w:i/>
          <w:iCs/>
        </w:rPr>
        <w:t>lanceur d’alerte</w:t>
      </w:r>
      <w:r>
        <w:t xml:space="preserve"> » en Principauté de Monaco, lequel couvrira l’ensemble des salariés ou agents publics exerçant une activité professionnelle ; </w:t>
      </w:r>
    </w:p>
    <w:p w14:paraId="2AF20019" w14:textId="648EB20C" w:rsidR="00322139" w:rsidRDefault="00322139" w:rsidP="00EC4DD3">
      <w:pPr>
        <w:pStyle w:val="Bullet1G"/>
      </w:pPr>
      <w:r>
        <w:t xml:space="preserve">Assurer une protection juridique contre d’éventuelles représailles professionnelles, notamment disciplinaires ou affectant le déroulement de la carrière de l’auteur du signalement ; </w:t>
      </w:r>
    </w:p>
    <w:p w14:paraId="20FA8345" w14:textId="3CC8694A" w:rsidR="00322139" w:rsidRDefault="00322139" w:rsidP="00EC4DD3">
      <w:pPr>
        <w:pStyle w:val="Bullet1G"/>
      </w:pPr>
      <w:r>
        <w:t xml:space="preserve">Encadrer la procédure de signalement, laquelle conduit à la saisine de l’autorité judiciaire ; </w:t>
      </w:r>
    </w:p>
    <w:p w14:paraId="07E2483F" w14:textId="02DC341A" w:rsidR="00EC2B55" w:rsidRDefault="00322139" w:rsidP="00EC4DD3">
      <w:pPr>
        <w:pStyle w:val="Bullet1G"/>
      </w:pPr>
      <w:r>
        <w:t xml:space="preserve">Garantir l’anonymat de l’auteur du signalement, dès le déclenchement de la procédure. </w:t>
      </w:r>
    </w:p>
    <w:p w14:paraId="0A927BA4" w14:textId="1F0772B1" w:rsidR="00EC4DD3" w:rsidRDefault="00EC4DD3" w:rsidP="00EC4DD3">
      <w:pPr>
        <w:pStyle w:val="H23G"/>
      </w:pPr>
      <w:r>
        <w:tab/>
      </w:r>
      <w:r>
        <w:tab/>
      </w:r>
      <w:r w:rsidRPr="003D2CFE">
        <w:t>Réponse au paragraphe</w:t>
      </w:r>
      <w:r>
        <w:t xml:space="preserve"> </w:t>
      </w:r>
      <w:r>
        <w:t>6</w:t>
      </w:r>
    </w:p>
    <w:p w14:paraId="7046E160" w14:textId="77777777" w:rsidR="00EC2B55" w:rsidRDefault="00322139" w:rsidP="00322139">
      <w:pPr>
        <w:pStyle w:val="SingleTxtG"/>
      </w:pPr>
      <w:r>
        <w:t>61.</w:t>
      </w:r>
      <w:r>
        <w:tab/>
        <w:t>L’Ordonnance Souveraine n° 9.931 du 15 juin 2023 fixant les principes et les règles éthiques, déontologiques et de conformité des membres du Gouvernement prévoit des obligations déontologiques pour le Ministre d’État et les Conseillers de Gouvernement-Ministres, visant à prévenir les conflits d’intérêts.</w:t>
      </w:r>
    </w:p>
    <w:p w14:paraId="6041A7F5" w14:textId="77777777" w:rsidR="00EC2B55" w:rsidRDefault="00322139" w:rsidP="00322139">
      <w:pPr>
        <w:pStyle w:val="SingleTxtG"/>
      </w:pPr>
      <w:r>
        <w:t>62.</w:t>
      </w:r>
      <w:r>
        <w:tab/>
        <w:t>Elle dispose qu’il est de la responsabilité de chaque membre du Gouvernement de prévenir tout conflit d’intérêts réel, potentiel ou apparent dans lequel il pourrait se trouver ou de faire cesser tout conflit d’intérêts réel, potentiel ou apparent dans lequel il se trouve.</w:t>
      </w:r>
    </w:p>
    <w:p w14:paraId="0022D414" w14:textId="77777777" w:rsidR="00EC2B55" w:rsidRDefault="00322139" w:rsidP="00322139">
      <w:pPr>
        <w:pStyle w:val="SingleTxtG"/>
      </w:pPr>
      <w:r>
        <w:t>63.</w:t>
      </w:r>
      <w:r>
        <w:tab/>
        <w:t xml:space="preserve">Pour les fonctionnaires exerçant de hautes fonctions exécutives, la loi n° 975 du 12 juillet 1975 portant statut des fonctionnaires de l’État, modifiée et l’Ordonnance Souveraine n° 9.640 du 23 décembre 2022 portant dispositions générales de caractère statutaire applicables aux agents contractuels de l’État donnent une définition identique des conflits d’intérêts. </w:t>
      </w:r>
    </w:p>
    <w:p w14:paraId="43647A57" w14:textId="77777777" w:rsidR="00EC2B55" w:rsidRDefault="00322139" w:rsidP="00322139">
      <w:pPr>
        <w:pStyle w:val="SingleTxtG"/>
      </w:pPr>
      <w:r>
        <w:t>64.</w:t>
      </w:r>
      <w:r>
        <w:tab/>
        <w:t>Les mécanismes visant à prévenir les conflits d’intérêts des membres du Gouvernement sont prévus par l’Ordonnance Souveraine n° 9.931 du 15 juin 2023 :</w:t>
      </w:r>
    </w:p>
    <w:p w14:paraId="03B4D2E5" w14:textId="390A6B1D" w:rsidR="00322139" w:rsidRDefault="00322139" w:rsidP="00EC4DD3">
      <w:pPr>
        <w:pStyle w:val="Bullet1G"/>
      </w:pPr>
      <w:r>
        <w:t xml:space="preserve">Lors de son entrée en fonction, chaque membre du Gouvernement est sensibilisé par le référent déontologue aux principes et règles éthiques, déontologiques et de </w:t>
      </w:r>
      <w:r>
        <w:lastRenderedPageBreak/>
        <w:t>conformité qui lui sont applicables dans le cadre de la prévention de la corruption et de la promotion de l’intégrité. À cette occasion, le Secrétaire Général du Gouvernement remet un guide des bonnes pratiques.</w:t>
      </w:r>
    </w:p>
    <w:p w14:paraId="4B0B45C0" w14:textId="4E57D183" w:rsidR="00322139" w:rsidRDefault="00322139" w:rsidP="00EC4DD3">
      <w:pPr>
        <w:pStyle w:val="Bullet1G"/>
      </w:pPr>
      <w:r>
        <w:t>Par ailleurs, le Gouvernement organise régulièrement des séminaires de sensibilisation à l’attention des personnes exerçant de hautes fonctions de l’exécutif, les dernières sessions s’étant tenues en avril 2026.</w:t>
      </w:r>
    </w:p>
    <w:p w14:paraId="6BB3EAFC" w14:textId="0D836B9F" w:rsidR="00EC2B55" w:rsidRDefault="00322139" w:rsidP="00EC4DD3">
      <w:pPr>
        <w:pStyle w:val="Bullet1G"/>
      </w:pPr>
      <w:r>
        <w:t>L’Ordonnance Souveraine susvisée établit les obligations déclaratives d’intérêts et patrimoniales des membres du Gouvernement et fixe également des règles de déport et d’abstention pour les membres du Gouvernement.</w:t>
      </w:r>
    </w:p>
    <w:p w14:paraId="7E85DFFC" w14:textId="77777777" w:rsidR="00EC2B55" w:rsidRDefault="00322139" w:rsidP="00322139">
      <w:pPr>
        <w:pStyle w:val="SingleTxtG"/>
      </w:pPr>
      <w:r>
        <w:t>65.</w:t>
      </w:r>
      <w:r>
        <w:tab/>
        <w:t xml:space="preserve">Ces obligations déontologiques seront amenées à être renforcées prochainement dans le cadre du déploiement de la stratégie de lutte contre la corruption dans les hautes fonctions exécutives. </w:t>
      </w:r>
    </w:p>
    <w:p w14:paraId="1306889B" w14:textId="7FA48571" w:rsidR="00EC2B55" w:rsidRDefault="00EC4DD3" w:rsidP="00EC4DD3">
      <w:pPr>
        <w:pStyle w:val="H1G"/>
      </w:pPr>
      <w:r>
        <w:tab/>
      </w:r>
      <w:r>
        <w:tab/>
      </w:r>
      <w:r w:rsidR="00322139">
        <w:t>Non-discrimination (art. 2, 19, 20 et 26)</w:t>
      </w:r>
    </w:p>
    <w:p w14:paraId="65A04220" w14:textId="4C20F781" w:rsidR="00EC4DD3" w:rsidRDefault="00EC4DD3" w:rsidP="00EC4DD3">
      <w:pPr>
        <w:pStyle w:val="SingleTxtG"/>
        <w:rPr>
          <w:b/>
        </w:rPr>
      </w:pPr>
      <w:r w:rsidRPr="003D2CFE">
        <w:rPr>
          <w:b/>
        </w:rPr>
        <w:t>Réponse au paragraphe</w:t>
      </w:r>
      <w:r>
        <w:rPr>
          <w:b/>
        </w:rPr>
        <w:t xml:space="preserve"> </w:t>
      </w:r>
      <w:r>
        <w:rPr>
          <w:b/>
        </w:rPr>
        <w:t>7</w:t>
      </w:r>
    </w:p>
    <w:p w14:paraId="5B3B9650" w14:textId="6F2ABAA5" w:rsidR="00EC2B55" w:rsidRDefault="00EC4DD3" w:rsidP="00EC4DD3">
      <w:pPr>
        <w:pStyle w:val="H4G"/>
      </w:pPr>
      <w:r>
        <w:tab/>
      </w:r>
      <w:r>
        <w:tab/>
      </w:r>
      <w:r w:rsidR="00322139">
        <w:t>Cadre juridique de lutte contre la discrimination</w:t>
      </w:r>
    </w:p>
    <w:p w14:paraId="2D7CE836" w14:textId="77777777" w:rsidR="00EC2B55" w:rsidRDefault="00322139" w:rsidP="00322139">
      <w:pPr>
        <w:pStyle w:val="SingleTxtG"/>
      </w:pPr>
      <w:r>
        <w:t>66.</w:t>
      </w:r>
      <w:r>
        <w:tab/>
        <w:t>La discrimination contre toute personne fait l’objet d’une appréhension législative large et multi-sectorielle, prohibant chacune des manifestations possibles, directe comme indirecte, dans les domaines publics comme privés.</w:t>
      </w:r>
    </w:p>
    <w:p w14:paraId="112DEDF5" w14:textId="77777777" w:rsidR="00EC2B55" w:rsidRDefault="00322139" w:rsidP="00322139">
      <w:pPr>
        <w:pStyle w:val="SingleTxtG"/>
      </w:pPr>
      <w:r>
        <w:t>67.</w:t>
      </w:r>
      <w:r>
        <w:tab/>
        <w:t xml:space="preserve">Le principe d’égalité est consacré par l’article 17 de la Constitution, selon lequel « les Monégasques sont égaux devant la loi. Il n’y a pas entre eux de privilèges ». Il s’étend également aux étrangers en vertu de l’article 32 de la Constitution, qui dispose que ces derniers jouissent dans la Principauté « </w:t>
      </w:r>
      <w:r w:rsidRPr="00C909F2">
        <w:rPr>
          <w:i/>
          <w:iCs/>
        </w:rPr>
        <w:t xml:space="preserve">de tous les droits publics et privés qui ne sont pas formellement réservés aux nationaux </w:t>
      </w:r>
      <w:r>
        <w:t xml:space="preserve">». </w:t>
      </w:r>
    </w:p>
    <w:p w14:paraId="0D0732A1" w14:textId="77777777" w:rsidR="00EC2B55" w:rsidRDefault="00322139" w:rsidP="00322139">
      <w:pPr>
        <w:pStyle w:val="SingleTxtG"/>
      </w:pPr>
      <w:r>
        <w:t>68.</w:t>
      </w:r>
      <w:r>
        <w:tab/>
        <w:t>Par ailleurs, au titre des obligations issues de traités internationaux, figurent celles du Pacte et de la Convention de sauvegarde des droits de l’Homme et des libertés fondamentales, dont les dispositions peuvent être invoquées devant les Cours et Tribunaux internes et priment sur les textes de valeur législative, même postérieurs.</w:t>
      </w:r>
    </w:p>
    <w:p w14:paraId="4A37DE96" w14:textId="77777777" w:rsidR="00EC2B55" w:rsidRDefault="00322139" w:rsidP="00322139">
      <w:pPr>
        <w:pStyle w:val="SingleTxtG"/>
      </w:pPr>
      <w:r>
        <w:t>69.</w:t>
      </w:r>
      <w:r>
        <w:tab/>
        <w:t>Outre ces principes à la portée générale, différentes formes de discrimination sont appréhendées et sanctionnées à travers divers textes législatifs sectoriels.</w:t>
      </w:r>
    </w:p>
    <w:p w14:paraId="5F663B4E" w14:textId="375669B7" w:rsidR="00EC2B55" w:rsidRDefault="00EC4DD3" w:rsidP="00EC4DD3">
      <w:pPr>
        <w:pStyle w:val="H56G"/>
      </w:pPr>
      <w:r>
        <w:tab/>
      </w:r>
      <w:r>
        <w:tab/>
      </w:r>
      <w:r w:rsidR="00322139">
        <w:t>Sur le plan pénal :</w:t>
      </w:r>
    </w:p>
    <w:p w14:paraId="7D97C1A7" w14:textId="77777777" w:rsidR="00EC2B55" w:rsidRDefault="00322139" w:rsidP="00322139">
      <w:pPr>
        <w:pStyle w:val="SingleTxtG"/>
      </w:pPr>
      <w:r>
        <w:t>70.</w:t>
      </w:r>
      <w:r>
        <w:tab/>
        <w:t>Un certain nombre d’infractions peuvent faire l’objet de circonstances aggravantes lorsque celles-ci ont été commises envers une personne ou un groupe de personnes en raison de leur sexe, de leur handicap, de leur origine, de leur orientation sexuelle, de leur appartenance ou de leur non-appartenance, réelle ou supposée, à une ethnie, une nation ou une race déterminée, de leur adhésion ou non adhésion, vraie ou supposée, à une religion.</w:t>
      </w:r>
    </w:p>
    <w:p w14:paraId="42A566D3" w14:textId="77777777" w:rsidR="00EC2B55" w:rsidRDefault="00322139" w:rsidP="00322139">
      <w:pPr>
        <w:pStyle w:val="SingleTxtG"/>
      </w:pPr>
      <w:r>
        <w:t>71.</w:t>
      </w:r>
      <w:r>
        <w:tab/>
        <w:t>Les infractions concernées sont les menaces, le harcèlement en milieu scolaire et les violences, qu’elles aient entraîné ou non une maladie ou incapacité totale de travail, ainsi que les infractions de diffamation et d’injure publiques et non-publiques.</w:t>
      </w:r>
    </w:p>
    <w:p w14:paraId="20B7E520" w14:textId="24EA3397" w:rsidR="00EC2B55" w:rsidRDefault="00EC4DD3" w:rsidP="00EC4DD3">
      <w:pPr>
        <w:pStyle w:val="H56G"/>
      </w:pPr>
      <w:r>
        <w:tab/>
      </w:r>
      <w:r>
        <w:tab/>
      </w:r>
      <w:r w:rsidR="00322139">
        <w:t>S’agissant de la fonction publique :</w:t>
      </w:r>
    </w:p>
    <w:p w14:paraId="5B62E877" w14:textId="77777777" w:rsidR="00EC2B55" w:rsidRDefault="00322139" w:rsidP="00322139">
      <w:pPr>
        <w:pStyle w:val="SingleTxtG"/>
      </w:pPr>
      <w:r>
        <w:t>72.</w:t>
      </w:r>
      <w:r>
        <w:tab/>
        <w:t>La loi n° 1.527 du 7 juillet 2022 modifiant la loi n° 975 du 12 juillet 1975 portant statut des fonctionnaires de l’État a introduit le principe de non-discrimination entre les fonctionnaires en raison de leur genre, de leurs opinions politiques, philosophiques, religieuses ou syndicales, de leur orientation sexuelle, de leur état de santé, de leur handicap, de leur apparence physique ou de leur appartenance ethnique. Il y a une disposition équivalente dans le statut des fonctionnaires de la Commune (loi n° 1.096 du 7 août 1986, modifiée) et dans le texte qui régit les agents contractuels de l’État (Ordonnance Souveraine n° 9.640 du 23 décembre 2022).</w:t>
      </w:r>
    </w:p>
    <w:p w14:paraId="642A3C29" w14:textId="77777777" w:rsidR="00EC2B55" w:rsidRDefault="00322139" w:rsidP="00322139">
      <w:pPr>
        <w:pStyle w:val="SingleTxtG"/>
      </w:pPr>
      <w:r>
        <w:lastRenderedPageBreak/>
        <w:t>73.</w:t>
      </w:r>
      <w:r>
        <w:tab/>
        <w:t>Ainsi, le dossier individuel de chaque fonctionnaire ou agent contenant les pièces concernant sa situation administrative ne peut comporter aucune mention faisant état des opinions politiques, philosophiques, religieuses ou syndicales de l’intéressé, ni de données relatives à son orientation sexuelle, à ses mœurs ou à ses origines raciales ou ethniques.</w:t>
      </w:r>
    </w:p>
    <w:p w14:paraId="5F45E5C5" w14:textId="5010AFE0" w:rsidR="00EC2B55" w:rsidRDefault="00EC4DD3" w:rsidP="00EC4DD3">
      <w:pPr>
        <w:pStyle w:val="H56G"/>
      </w:pPr>
      <w:r>
        <w:tab/>
      </w:r>
      <w:r>
        <w:tab/>
      </w:r>
      <w:r w:rsidR="00322139">
        <w:t>S’agissant du milieu associatif :</w:t>
      </w:r>
    </w:p>
    <w:p w14:paraId="0A470C85" w14:textId="77777777" w:rsidR="00EC2B55" w:rsidRDefault="00322139" w:rsidP="00322139">
      <w:pPr>
        <w:pStyle w:val="SingleTxtG"/>
      </w:pPr>
      <w:r>
        <w:t>74.</w:t>
      </w:r>
      <w:r>
        <w:tab/>
        <w:t xml:space="preserve">La loi n° 1.355 du 23 décembre 2008 concernant les associations et les fédérations d’associations, modifiée, précise qu’elles doivent répondre à diverses conditions parmi lesquelles celle de « </w:t>
      </w:r>
      <w:r w:rsidRPr="00C909F2">
        <w:rPr>
          <w:i/>
          <w:iCs/>
        </w:rPr>
        <w:t>s’interdire toute discrimination et veiller à l’observation des règles déontologiques applicables, le cas échéant, à ses activités</w:t>
      </w:r>
      <w:r>
        <w:t xml:space="preserve"> ».</w:t>
      </w:r>
    </w:p>
    <w:p w14:paraId="5B7ED814" w14:textId="77777777" w:rsidR="00EC4DD3" w:rsidRDefault="00EC4DD3" w:rsidP="00322139">
      <w:pPr>
        <w:pStyle w:val="SingleTxtG"/>
        <w:rPr>
          <w:b/>
        </w:rPr>
      </w:pPr>
      <w:r w:rsidRPr="003D2CFE">
        <w:rPr>
          <w:b/>
        </w:rPr>
        <w:t>Réponse au paragraphe</w:t>
      </w:r>
      <w:r>
        <w:rPr>
          <w:b/>
        </w:rPr>
        <w:t xml:space="preserve"> </w:t>
      </w:r>
      <w:r>
        <w:rPr>
          <w:b/>
        </w:rPr>
        <w:t>8</w:t>
      </w:r>
    </w:p>
    <w:p w14:paraId="57D8CA39" w14:textId="2D620B59" w:rsidR="00EC2B55" w:rsidRDefault="00EC4DD3" w:rsidP="00EC4DD3">
      <w:pPr>
        <w:pStyle w:val="H4G"/>
      </w:pPr>
      <w:r>
        <w:tab/>
      </w:r>
      <w:r>
        <w:tab/>
      </w:r>
      <w:r w:rsidR="00322139">
        <w:t>Prévention et lutte contre les discours de haine</w:t>
      </w:r>
    </w:p>
    <w:p w14:paraId="5D5C7769" w14:textId="77777777" w:rsidR="00EC2B55" w:rsidRDefault="00322139" w:rsidP="00322139">
      <w:pPr>
        <w:pStyle w:val="SingleTxtG"/>
      </w:pPr>
      <w:r>
        <w:t>75.</w:t>
      </w:r>
      <w:r>
        <w:tab/>
        <w:t>La Principauté de Monaco garantit la liberté d’expression dans le respect de la dignité de la personne humaine, de la vie privée et familiale, de la liberté et de la propriété d’autrui, du caractère pluraliste de l’expression des courants de pensée et d’opinion ainsi que de la sauvegarde de l’ordre public. Ce cadre est notamment consacré par la loi n° 1.299 du 15 juillet 2005 sur la liberté d’expression publique.</w:t>
      </w:r>
    </w:p>
    <w:p w14:paraId="0D74C1BB" w14:textId="77777777" w:rsidR="00EC2B55" w:rsidRDefault="00322139" w:rsidP="00322139">
      <w:pPr>
        <w:pStyle w:val="SingleTxtG"/>
      </w:pPr>
      <w:r>
        <w:t>76.</w:t>
      </w:r>
      <w:r>
        <w:tab/>
        <w:t>Cette loi prévoit plusieurs incriminations permettant de prévenir et de réprimer les discours de haine, y compris lorsqu’ils sont commis en ligne. En ce sens, les articles 15 et 16 répriment la provocation à commettre des crimes et délits, l’apologie de ces actes, ainsi que la provocation à la haine ou à la violence à l’égard d’une personne ou d’un groupe de personnes en raison notamment du sexe, du handicap, de l’origine, de l’orientation sexuelle, de l’appartenance ou de la non-appartenance, réelle ou supposée, à une ethnie, une nation ou une race déterminée, ou de l’adhésion ou non adhésion, vraie ou supposée, à une religion déterminée. La diffamation et les injures à caractère discriminatoire sont également réprimées par cette même loi.</w:t>
      </w:r>
    </w:p>
    <w:p w14:paraId="4707A5FF" w14:textId="77777777" w:rsidR="00EC2B55" w:rsidRDefault="00322139" w:rsidP="00322139">
      <w:pPr>
        <w:pStyle w:val="SingleTxtG"/>
      </w:pPr>
      <w:r>
        <w:t>77.</w:t>
      </w:r>
      <w:r>
        <w:tab/>
        <w:t>Au-delà de la responsabilité pénale de l’auteur des propos, la loi prévoit également la responsabilité de ceux qui diffusent ou permettent la diffusion de contenus illicites. En vertu des articles 35 et 36 de la loi n° 1.299 du 15 juillet 2005, les directeurs de publication, éditeurs, auteurs, imprimeurs, vendeurs, distributeurs ou afficheurs peuvent ainsi voir leur responsabilité engagée selon les cas.</w:t>
      </w:r>
    </w:p>
    <w:p w14:paraId="16C08CC7" w14:textId="77777777" w:rsidR="00EC2B55" w:rsidRDefault="00322139" w:rsidP="00322139">
      <w:pPr>
        <w:pStyle w:val="SingleTxtG"/>
      </w:pPr>
      <w:r>
        <w:t>78.</w:t>
      </w:r>
      <w:r>
        <w:tab/>
        <w:t>Par ailleurs, la loi n° 1.383 du 2 août 2011 pour une Principauté numérique précise que les fournisseurs de services internet peuvent voir leur responsabilité civile ou pénale engagée lorsqu’ils avaient effectivement connaissance du caractère illicite de contenus stockés ou diffusés et qu’ils n’ont pas agi promptement pour retirer ces informations ou en rendre l’accès impossible. L’article 3 de cette loi dispose également que lorsqu’il est porté atteinte au respect et à la dignité des personnes, le Ministre d’État peut demander aux prestataires d’hébergement ou aux éditeurs de services de communication au public en ligne de retirer les contenus concernés. Le Ministre d’État peut aussi notifier les adresses électroniques des contenus illicites aux moteurs de recherche ou aux annuaires afin de faire cesser leur référencement.</w:t>
      </w:r>
    </w:p>
    <w:p w14:paraId="44C75300" w14:textId="77777777" w:rsidR="00EC2B55" w:rsidRDefault="00322139" w:rsidP="00322139">
      <w:pPr>
        <w:pStyle w:val="SingleTxtG"/>
      </w:pPr>
      <w:r>
        <w:t>79.</w:t>
      </w:r>
      <w:r>
        <w:tab/>
        <w:t>De surcroît, le Code pénal comporte plusieurs dispositions permettant de lutter contre les comportements et discours haineux. L’article 163-2 réprime notamment l’introduction ou l’exhibition, dans une enceinte sportive, d’insignes, signes ou symboles rappelant une idéologie raciste ou xénophobe. L’article 234-2 aggrave les peines applicables aux menaces lorsqu’elles sont commises en raison notamment du sexe, du handicap, de l’origine, de l’orientation sexuelle ou de l’appartenance réelle ou supposée à une ethnie, une nation, une race ou une religion. L’article 236-1-1 réprime le harcèlement en milieu scolaire lorsqu’il est motivé par de tels critères. Enfin, l’article 421 sanctionne l’injure non publique et la diffamation non publique commises pour ces mêmes motifs.</w:t>
      </w:r>
    </w:p>
    <w:p w14:paraId="6F08706D" w14:textId="77777777" w:rsidR="00EC2B55" w:rsidRDefault="00322139" w:rsidP="00322139">
      <w:pPr>
        <w:pStyle w:val="SingleTxtG"/>
      </w:pPr>
      <w:r>
        <w:t>80.</w:t>
      </w:r>
      <w:r>
        <w:tab/>
        <w:t xml:space="preserve">Les victimes disposent de plusieurs voies de recours afin de signaler les faits et saisir l’autorité judiciaire. Les faits susceptibles de constituer un discours de haine peuvent être portés à la connaissance du Procureur général par plainte, dénonciation ou transmission par une autorité publique. Le droit monégasque n’impose pas, en principe, la plainte préalable de </w:t>
      </w:r>
      <w:r>
        <w:lastRenderedPageBreak/>
        <w:t>la victime pour permettre l’exercice de l’action publique. Ainsi, toute constatation ou dénonciation peut permettre au Ministère public d’apprécier les suites à donner. Les victimes peuvent également mettre en mouvement l’action publique par voie de citation directe ou se constituer partie civile devant un juge d’instruction.</w:t>
      </w:r>
    </w:p>
    <w:p w14:paraId="475F9F9E" w14:textId="77777777" w:rsidR="00EC2B55" w:rsidRDefault="00322139" w:rsidP="00322139">
      <w:pPr>
        <w:pStyle w:val="SingleTxtG"/>
      </w:pPr>
      <w:r>
        <w:t>81.</w:t>
      </w:r>
      <w:r>
        <w:tab/>
        <w:t>La loi n° 1.299 du 15 juillet 2005 prévoit en outre plusieurs garanties procédurales applicables aux poursuites relatives aux infractions qu’elle contient. Le Ministère public est notamment tenu d’articuler et de qualifier précisément les faits poursuivis, le Tribunal correctionnel doit statuer dans un délai maximum de quarante-cinq jours à compter de la première audience et l’action publique ainsi que l’action civile se prescrivent après six mois révolus à compter de la commission des faits ou du dernier acte de poursuite.</w:t>
      </w:r>
    </w:p>
    <w:p w14:paraId="25D6439A" w14:textId="77777777" w:rsidR="00EC2B55" w:rsidRDefault="00322139" w:rsidP="00322139">
      <w:pPr>
        <w:pStyle w:val="SingleTxtG"/>
      </w:pPr>
      <w:r>
        <w:t>82.</w:t>
      </w:r>
      <w:r>
        <w:tab/>
        <w:t>Le rôle du pouvoir judiciaire se manifeste également à travers le traitement effectif des procédures relatives aux discours ou comportements haineux, y compris lorsqu’ils sont commis en ligne. Les données judiciaires disponibles depuis 2020 font apparaître plusieurs procédures relatives à des propos à caractère raciste ou homophobe ayant donné lieu à des enquêtes, à des condamnations ou, lorsque les éléments recueillis ne permettaient pas de caractériser suffisamment l’infraction, à des classements sans suite. Des procédures ont, en particulier, concerné des propos publiés sur les réseaux sociaux, ainsi que des injures homophobes et des violences motivées par l’orientation sexuelle de la victime.</w:t>
      </w:r>
    </w:p>
    <w:p w14:paraId="2CBBD457" w14:textId="77777777" w:rsidR="00EC2B55" w:rsidRDefault="00322139" w:rsidP="00322139">
      <w:pPr>
        <w:pStyle w:val="SingleTxtG"/>
      </w:pPr>
      <w:r>
        <w:t>83.</w:t>
      </w:r>
      <w:r>
        <w:tab/>
        <w:t>La protection des droits des personnes lesbiennes, gays, bisexuelles et transgenres est aussi assurée en pratique par les juridictions monégasques. Les juridictions peuvent notamment être saisies de demandes relevant de l’état civil ou de la vie privée. À ce titre, des décisions judiciaires ont admis, dans certaines situations, le changement de prénom et la rectification de la mention du sexe à l’état civil de personnes transgenres après un examen individualisé des circonstances et de l’existence d’un juste motif.</w:t>
      </w:r>
    </w:p>
    <w:p w14:paraId="4220B2FE" w14:textId="77777777" w:rsidR="00EC2B55" w:rsidRDefault="00322139" w:rsidP="00322139">
      <w:pPr>
        <w:pStyle w:val="SingleTxtG"/>
      </w:pPr>
      <w:r>
        <w:t>84.</w:t>
      </w:r>
      <w:r>
        <w:tab/>
        <w:t>Dans le domaine de la réponse judiciaire, la Direction des Services Judiciaires contribue à la prévention de ces phénomènes par la formation des professionnels de justice. L’Institut Monégasque de Formation aux Professions Judiciaires assure des formations initiales et continues relatives aux droits et libertés fondamentaux, au droit européen des droits de l’Homme, à la dignité humaine et à la protection des droits fondamentaux de toutes les personnes, sans discrimination.</w:t>
      </w:r>
    </w:p>
    <w:p w14:paraId="66E39F68" w14:textId="77777777" w:rsidR="00EC2B55" w:rsidRDefault="00322139" w:rsidP="00322139">
      <w:pPr>
        <w:pStyle w:val="SingleTxtG"/>
      </w:pPr>
      <w:r>
        <w:t>85.</w:t>
      </w:r>
      <w:r>
        <w:tab/>
        <w:t xml:space="preserve">Il convient ainsi de mentionner pour ce qui relève du pouvoir judiciaire, la réponse de la Principauté repose sur quatre éléments principaux : </w:t>
      </w:r>
    </w:p>
    <w:p w14:paraId="78496630" w14:textId="0C89226C" w:rsidR="00322139" w:rsidRDefault="00322139" w:rsidP="00EC4DD3">
      <w:pPr>
        <w:pStyle w:val="Bullet1G"/>
      </w:pPr>
      <w:r>
        <w:t>L’accès effectif des victimes au juge ;</w:t>
      </w:r>
    </w:p>
    <w:p w14:paraId="32E2378C" w14:textId="34030C41" w:rsidR="00322139" w:rsidRDefault="00322139" w:rsidP="00EC4DD3">
      <w:pPr>
        <w:pStyle w:val="Bullet1G"/>
      </w:pPr>
      <w:r>
        <w:t>L’action du Parquet général lorsque des faits susceptibles de qualification pénale sont portés à sa connaissance ;</w:t>
      </w:r>
    </w:p>
    <w:p w14:paraId="2B79D64B" w14:textId="53C1A00F" w:rsidR="00322139" w:rsidRDefault="00322139" w:rsidP="00EC4DD3">
      <w:pPr>
        <w:pStyle w:val="Bullet1G"/>
      </w:pPr>
      <w:r>
        <w:t xml:space="preserve">Le traitement judiciaire des procédures relatives aux discours ou comportements haineux, y compris lorsqu’ils sont commis en ligne ; </w:t>
      </w:r>
    </w:p>
    <w:p w14:paraId="24A5FD12" w14:textId="43092236" w:rsidR="00EC2B55" w:rsidRDefault="00322139" w:rsidP="00EC4DD3">
      <w:pPr>
        <w:pStyle w:val="Bullet1G"/>
      </w:pPr>
      <w:r>
        <w:t xml:space="preserve">La formation continue des professionnels de justice aux droits fondamentaux et à la lutte contre les discriminations. </w:t>
      </w:r>
    </w:p>
    <w:p w14:paraId="521EED7F" w14:textId="77777777" w:rsidR="00EC2B55" w:rsidRDefault="00322139" w:rsidP="00322139">
      <w:pPr>
        <w:pStyle w:val="SingleTxtG"/>
      </w:pPr>
      <w:r>
        <w:t>86.</w:t>
      </w:r>
      <w:r>
        <w:tab/>
        <w:t xml:space="preserve">Enfin, dans le domaine de la sûreté publique, les élèves de l’Ecole de Police sont formés à l’accueil des victimes pour reconnaître les infractions qu’elles peuvent subir, en particulier lorsqu’il s’agit de discriminations liées au genre à la race. </w:t>
      </w:r>
    </w:p>
    <w:p w14:paraId="56DDB2EB" w14:textId="77777777" w:rsidR="00EC2B55" w:rsidRDefault="00322139" w:rsidP="00322139">
      <w:pPr>
        <w:pStyle w:val="SingleTxtG"/>
      </w:pPr>
      <w:r>
        <w:t>87.</w:t>
      </w:r>
      <w:r>
        <w:tab/>
        <w:t>Ces formations, qui sont dispensées chaque année dès le début de leur apprentissage, à la fois sous l’angle théorique et pratique, ont concerné :</w:t>
      </w:r>
    </w:p>
    <w:p w14:paraId="5A8AC830" w14:textId="0AADF5CB" w:rsidR="00322139" w:rsidRDefault="00322139" w:rsidP="00EC4DD3">
      <w:pPr>
        <w:pStyle w:val="Bullet1G"/>
      </w:pPr>
      <w:r>
        <w:t>14 personnes en 2022 ;</w:t>
      </w:r>
    </w:p>
    <w:p w14:paraId="192ED24D" w14:textId="7DF223CE" w:rsidR="00322139" w:rsidRDefault="00322139" w:rsidP="00EC4DD3">
      <w:pPr>
        <w:pStyle w:val="Bullet1G"/>
      </w:pPr>
      <w:r>
        <w:t>25 personnes en 2023 ;</w:t>
      </w:r>
    </w:p>
    <w:p w14:paraId="344686ED" w14:textId="3E9FEB50" w:rsidR="00322139" w:rsidRDefault="00322139" w:rsidP="00EC4DD3">
      <w:pPr>
        <w:pStyle w:val="Bullet1G"/>
      </w:pPr>
      <w:r>
        <w:t>28 personnes en 2024 ;</w:t>
      </w:r>
    </w:p>
    <w:p w14:paraId="4D385087" w14:textId="362CB7E4" w:rsidR="00EC2B55" w:rsidRDefault="00322139" w:rsidP="00EC4DD3">
      <w:pPr>
        <w:pStyle w:val="Bullet1G"/>
      </w:pPr>
      <w:r>
        <w:t xml:space="preserve">20 personnes en 2025. </w:t>
      </w:r>
    </w:p>
    <w:p w14:paraId="4690DFD2" w14:textId="77777777" w:rsidR="00EC2B55" w:rsidRDefault="00322139" w:rsidP="00322139">
      <w:pPr>
        <w:pStyle w:val="SingleTxtG"/>
      </w:pPr>
      <w:r>
        <w:t>88.</w:t>
      </w:r>
      <w:r>
        <w:tab/>
        <w:t xml:space="preserve">Un rappel est en outre effectué dans le cadre de la formation continue afin d’actualiser les connaissances sur les modalités d’accueil des victimes et la manière de recueillir leurs plaintes. </w:t>
      </w:r>
    </w:p>
    <w:p w14:paraId="4C719C62" w14:textId="77777777" w:rsidR="00EC2B55" w:rsidRDefault="00322139" w:rsidP="00322139">
      <w:pPr>
        <w:pStyle w:val="SingleTxtG"/>
      </w:pPr>
      <w:r>
        <w:lastRenderedPageBreak/>
        <w:t>89.</w:t>
      </w:r>
      <w:r>
        <w:tab/>
        <w:t xml:space="preserve">Lesdites formations sont notamment composées de différents modules portant sur l’accueil des victimes (initiation, approfondissement, retour d’expérience, auteurs) et sont animés par la Direction Territoriale de la protection judiciaire de la Jeunesse du Département des Alpes-Maritimes et une psychologue clinicienne relevant du Centre Hospitalier Universitaire de Nice. </w:t>
      </w:r>
    </w:p>
    <w:p w14:paraId="547ABA39" w14:textId="77777777" w:rsidR="00EC2B55" w:rsidRDefault="00322139" w:rsidP="00322139">
      <w:pPr>
        <w:pStyle w:val="SingleTxtG"/>
      </w:pPr>
      <w:r>
        <w:t>90.</w:t>
      </w:r>
      <w:r>
        <w:tab/>
        <w:t xml:space="preserve">Sur le plan pratique, l’accueil des victimes dans les locaux de police est assuré 24h/24 avec du personnel dûment formé. </w:t>
      </w:r>
    </w:p>
    <w:p w14:paraId="5308BA91" w14:textId="77777777" w:rsidR="00EC2B55" w:rsidRDefault="00322139" w:rsidP="00322139">
      <w:pPr>
        <w:pStyle w:val="SingleTxtG"/>
      </w:pPr>
      <w:r>
        <w:t>91.</w:t>
      </w:r>
      <w:r>
        <w:tab/>
        <w:t xml:space="preserve">Deux assistants de police sont formés à l’accueil des victimes, dont l’un est référent en matière de handicap. </w:t>
      </w:r>
    </w:p>
    <w:p w14:paraId="039AAA33" w14:textId="77777777" w:rsidR="00EC2B55" w:rsidRDefault="00322139" w:rsidP="00322139">
      <w:pPr>
        <w:pStyle w:val="SingleTxtG"/>
      </w:pPr>
      <w:r>
        <w:t>92.</w:t>
      </w:r>
      <w:r>
        <w:tab/>
        <w:t xml:space="preserve">Par ailleurs, un mécanisme spécifique de traitement de l’information permet de collecter les propos haineux recensés, notamment au regard de l’origine des personnes et de l’orientation sexuelle, de l’identité de genre ou de la religion. </w:t>
      </w:r>
    </w:p>
    <w:p w14:paraId="4F2D98A6" w14:textId="77777777" w:rsidR="00EC2B55" w:rsidRDefault="00322139" w:rsidP="00322139">
      <w:pPr>
        <w:pStyle w:val="SingleTxtG"/>
      </w:pPr>
      <w:r>
        <w:t>93.</w:t>
      </w:r>
      <w:r>
        <w:tab/>
        <w:t xml:space="preserve">Les actes et infractions liés au racisme et à l’intolérance, recensés lors des six dernières années (2020-2025), comportent : </w:t>
      </w:r>
    </w:p>
    <w:p w14:paraId="58B90BD9" w14:textId="09DF6DE0" w:rsidR="00322139" w:rsidRDefault="00322139" w:rsidP="00EC4DD3">
      <w:pPr>
        <w:pStyle w:val="Bullet1G"/>
      </w:pPr>
      <w:r>
        <w:t>28 faits en relation avec l’origine ethnique ;</w:t>
      </w:r>
    </w:p>
    <w:p w14:paraId="4E0865D6" w14:textId="5DDA7E4F" w:rsidR="00322139" w:rsidRDefault="00322139" w:rsidP="00EC4DD3">
      <w:pPr>
        <w:pStyle w:val="Bullet1G"/>
      </w:pPr>
      <w:r>
        <w:t>4 au regard de l’orientation sexuelle ;</w:t>
      </w:r>
    </w:p>
    <w:p w14:paraId="3337B310" w14:textId="2078AA8A" w:rsidR="00322139" w:rsidRDefault="00322139" w:rsidP="00EC4DD3">
      <w:pPr>
        <w:pStyle w:val="Bullet1G"/>
      </w:pPr>
      <w:r>
        <w:t xml:space="preserve">1 en lien avec l’appartenance religieuse ; </w:t>
      </w:r>
    </w:p>
    <w:p w14:paraId="7ADD2B00" w14:textId="54D00A82" w:rsidR="00322139" w:rsidRDefault="00322139" w:rsidP="00EC4DD3">
      <w:pPr>
        <w:pStyle w:val="Bullet1G"/>
      </w:pPr>
      <w:r>
        <w:t>3 pour provocation à la haine ;</w:t>
      </w:r>
    </w:p>
    <w:p w14:paraId="4E221EB5" w14:textId="66E3FBD2" w:rsidR="00EC2B55" w:rsidRDefault="00322139" w:rsidP="00EC4DD3">
      <w:pPr>
        <w:pStyle w:val="Bullet1G"/>
      </w:pPr>
      <w:r>
        <w:t xml:space="preserve">Aucun quant à l’identité sexuelle. </w:t>
      </w:r>
    </w:p>
    <w:p w14:paraId="52973B80" w14:textId="5EB165C0" w:rsidR="00EC2B55" w:rsidRDefault="00EC4DD3" w:rsidP="00EC4DD3">
      <w:pPr>
        <w:pStyle w:val="H4G"/>
      </w:pPr>
      <w:r>
        <w:tab/>
      </w:r>
      <w:r>
        <w:tab/>
      </w:r>
      <w:r w:rsidR="00322139">
        <w:t xml:space="preserve">Droits et libertés des personnes lesbiennes, gays, bisexuelles, transgenres et intersexes </w:t>
      </w:r>
    </w:p>
    <w:p w14:paraId="3F0D4A2D" w14:textId="77777777" w:rsidR="00EC2B55" w:rsidRDefault="00322139" w:rsidP="00322139">
      <w:pPr>
        <w:pStyle w:val="SingleTxtG"/>
      </w:pPr>
      <w:r>
        <w:t>94.</w:t>
      </w:r>
      <w:r>
        <w:tab/>
        <w:t>Les personnes lesbiennes, gays, bisexuelles, transgenres et intersexes bénéficient de la protection et des normes de lutte contre la discrimination, tant sur le plan pénal qu’au sein de la fonction publique ou du milieu associatif, exposées précédemment.</w:t>
      </w:r>
    </w:p>
    <w:p w14:paraId="62E15D71" w14:textId="77777777" w:rsidR="00EC2B55" w:rsidRDefault="00322139" w:rsidP="00322139">
      <w:pPr>
        <w:pStyle w:val="SingleTxtG"/>
      </w:pPr>
      <w:r>
        <w:t>95.</w:t>
      </w:r>
      <w:r>
        <w:tab/>
        <w:t>En effet, les divers textes susmentionnés font figurer le genre ainsi que l’orientation sexuelle parmi les motifs interdits de discrimination qu’ils énumèrent.</w:t>
      </w:r>
    </w:p>
    <w:p w14:paraId="53238691" w14:textId="77777777" w:rsidR="00EC4DD3" w:rsidRDefault="00EC4DD3" w:rsidP="00322139">
      <w:pPr>
        <w:pStyle w:val="SingleTxtG"/>
        <w:rPr>
          <w:b/>
        </w:rPr>
      </w:pPr>
      <w:r w:rsidRPr="003D2CFE">
        <w:rPr>
          <w:b/>
        </w:rPr>
        <w:t>Réponse au paragraphe</w:t>
      </w:r>
      <w:r>
        <w:rPr>
          <w:b/>
        </w:rPr>
        <w:t xml:space="preserve"> </w:t>
      </w:r>
      <w:r>
        <w:rPr>
          <w:b/>
        </w:rPr>
        <w:t>9</w:t>
      </w:r>
    </w:p>
    <w:p w14:paraId="1DB57787" w14:textId="1EE62A18" w:rsidR="00EC2B55" w:rsidRDefault="00EC4DD3" w:rsidP="00EC4DD3">
      <w:pPr>
        <w:pStyle w:val="H4G"/>
      </w:pPr>
      <w:r>
        <w:tab/>
      </w:r>
      <w:r>
        <w:tab/>
      </w:r>
      <w:r w:rsidR="00322139">
        <w:t>Reconnaissance juridique des couples de même sexe</w:t>
      </w:r>
    </w:p>
    <w:p w14:paraId="6EE8E32D" w14:textId="77777777" w:rsidR="00EC2B55" w:rsidRDefault="00322139" w:rsidP="00322139">
      <w:pPr>
        <w:pStyle w:val="SingleTxtG"/>
      </w:pPr>
      <w:r>
        <w:t>96.</w:t>
      </w:r>
      <w:r>
        <w:tab/>
        <w:t xml:space="preserve">La loi n° 1.481 du 17 décembre 2019 relative aux contrats civils de solidarité a instauré le contrat de vie commune qui permet, notamment, à « </w:t>
      </w:r>
      <w:r w:rsidRPr="00C909F2">
        <w:rPr>
          <w:i/>
          <w:iCs/>
        </w:rPr>
        <w:t>deux personnes vivant sous la forme d’une union libre</w:t>
      </w:r>
      <w:r>
        <w:t xml:space="preserve"> » de nouer un contrat de cette nature, comme cela est prévu par l’article 1262 du Code civil. Ce contrat offre « </w:t>
      </w:r>
      <w:r w:rsidRPr="00C909F2">
        <w:rPr>
          <w:i/>
          <w:iCs/>
        </w:rPr>
        <w:t xml:space="preserve">un cadre juridique emportant des conséquences légales quant à l’organisation patrimoniale de la vie commune s’agissant de ses aspects essentiels </w:t>
      </w:r>
      <w:r>
        <w:t>».</w:t>
      </w:r>
    </w:p>
    <w:p w14:paraId="3DFC561D" w14:textId="7608A6A1" w:rsidR="00EC2B55" w:rsidRDefault="00EC4DD3" w:rsidP="00EC4DD3">
      <w:pPr>
        <w:pStyle w:val="H1G"/>
      </w:pPr>
      <w:r>
        <w:tab/>
      </w:r>
      <w:r>
        <w:tab/>
      </w:r>
      <w:r w:rsidR="00322139">
        <w:t>Egalité femmes-hommes (art. 3 et 26)</w:t>
      </w:r>
    </w:p>
    <w:p w14:paraId="7700E686" w14:textId="77777777" w:rsidR="00EC4DD3" w:rsidRDefault="00EC4DD3" w:rsidP="00322139">
      <w:pPr>
        <w:pStyle w:val="SingleTxtG"/>
        <w:rPr>
          <w:b/>
        </w:rPr>
      </w:pPr>
      <w:r w:rsidRPr="003D2CFE">
        <w:rPr>
          <w:b/>
        </w:rPr>
        <w:t>Réponse au paragraphe</w:t>
      </w:r>
      <w:r>
        <w:rPr>
          <w:b/>
        </w:rPr>
        <w:t xml:space="preserve"> </w:t>
      </w:r>
      <w:r>
        <w:rPr>
          <w:b/>
        </w:rPr>
        <w:t>10</w:t>
      </w:r>
    </w:p>
    <w:p w14:paraId="1C0F3CD0" w14:textId="4493D937" w:rsidR="00EC2B55" w:rsidRDefault="00322139" w:rsidP="00322139">
      <w:pPr>
        <w:pStyle w:val="SingleTxtG"/>
      </w:pPr>
      <w:r>
        <w:t>97.</w:t>
      </w:r>
      <w:r>
        <w:tab/>
        <w:t xml:space="preserve">Tout d’abord, le Comité pour la promotion et la protection des droits des femmes, institué par l’Ordonnance Souveraine n° 7.178 du 25 octobre 2018, a pour mission de promouvoir les politiques publiques en la matière. </w:t>
      </w:r>
    </w:p>
    <w:p w14:paraId="0C2BC456" w14:textId="77777777" w:rsidR="00EC2B55" w:rsidRDefault="00322139" w:rsidP="00322139">
      <w:pPr>
        <w:pStyle w:val="SingleTxtG"/>
      </w:pPr>
      <w:r>
        <w:t>98.</w:t>
      </w:r>
      <w:r>
        <w:tab/>
        <w:t xml:space="preserve">De nature interministérielle, il rassemble des membres des Départements ministériels, des services administratifs concernés et de l’ensemble des Institutions monégasques. En cela, il permet au Gouvernement de développer son action de manière coordonnée, en concertation avec les autres Institutions monégasques et la société civile. </w:t>
      </w:r>
    </w:p>
    <w:p w14:paraId="5C74E7BC" w14:textId="77777777" w:rsidR="00EC2B55" w:rsidRDefault="00322139" w:rsidP="00322139">
      <w:pPr>
        <w:pStyle w:val="SingleTxtG"/>
      </w:pPr>
      <w:r>
        <w:t>99.</w:t>
      </w:r>
      <w:r>
        <w:tab/>
        <w:t xml:space="preserve">Il a ainsi directement contribué à l’élaboration de nombreuses avancées législatives, de programmes de formation et de campagnes de communication, ainsi qu’à la collecte, l’analyse et la diffusion de données sur les violences faites aux femmes et sur les écarts de salaires. </w:t>
      </w:r>
    </w:p>
    <w:p w14:paraId="519E8174" w14:textId="17A1E3FB" w:rsidR="00EC2B55" w:rsidRDefault="00EC4DD3" w:rsidP="00EC4DD3">
      <w:pPr>
        <w:pStyle w:val="H4G"/>
      </w:pPr>
      <w:r>
        <w:lastRenderedPageBreak/>
        <w:tab/>
        <w:t>(</w:t>
      </w:r>
      <w:r w:rsidR="00322139">
        <w:t>a)</w:t>
      </w:r>
      <w:r w:rsidR="00322139">
        <w:tab/>
        <w:t>Réduction de l’écart salarial</w:t>
      </w:r>
    </w:p>
    <w:p w14:paraId="0A116179" w14:textId="0BEB0153" w:rsidR="00322139" w:rsidRDefault="00322139" w:rsidP="00322139">
      <w:pPr>
        <w:pStyle w:val="SingleTxtG"/>
      </w:pPr>
      <w:r>
        <w:t>100.</w:t>
      </w:r>
      <w:r>
        <w:tab/>
        <w:t xml:space="preserve">Le Gouvernement monégasque met en œuvre un ensemble de politiques qui contribuent à renforcer l’égalité entre les sexes dans l’accès au marché du travail. Ceci se traduit notamment par la mise en place de conditions favorisant l’égalité et la représentation des femmes dans le marché du travail, en notant que les principaux représentants du secteur témoignent également d’un volontarisme en ce sens. </w:t>
      </w:r>
    </w:p>
    <w:p w14:paraId="57D5162E" w14:textId="77777777" w:rsidR="00322139" w:rsidRDefault="00322139" w:rsidP="00322139">
      <w:pPr>
        <w:pStyle w:val="SingleTxtG"/>
      </w:pPr>
      <w:r>
        <w:t>101.</w:t>
      </w:r>
      <w:r>
        <w:tab/>
        <w:t>Le 6 novembre 2019, par exemple, les représentants des principaux employeurs de Monaco ont signé la charte pour l’égalité des femmes et des hommes au travail, dite « MONEGALITE », concrétisant leur engagement pour la promotion de cette importance cause et marquant leur volonté d’agir concrètement en ce sens.</w:t>
      </w:r>
    </w:p>
    <w:p w14:paraId="24C0B788" w14:textId="77777777" w:rsidR="00322139" w:rsidRDefault="00322139" w:rsidP="00322139">
      <w:pPr>
        <w:pStyle w:val="SingleTxtG"/>
      </w:pPr>
      <w:r>
        <w:t>102.</w:t>
      </w:r>
      <w:r>
        <w:tab/>
        <w:t xml:space="preserve">L’égalité salariale est consacrée par l’article 2-1 de la loi n° 739 du 16 mars 1963 sur le salaire, qui dispose que « </w:t>
      </w:r>
      <w:r w:rsidRPr="00C909F2">
        <w:rPr>
          <w:i/>
          <w:iCs/>
        </w:rPr>
        <w:t>tous les salariés, quel que ce soit leur sexe, doivent recevoir une rémunération égale en contrepartie d’un même travail ou d’un travail de valeur égale</w:t>
      </w:r>
      <w:r>
        <w:t xml:space="preserve"> ».</w:t>
      </w:r>
    </w:p>
    <w:p w14:paraId="104DA790" w14:textId="77777777" w:rsidR="00322139" w:rsidRDefault="00322139" w:rsidP="00322139">
      <w:pPr>
        <w:pStyle w:val="SingleTxtG"/>
      </w:pPr>
      <w:r>
        <w:t>103.</w:t>
      </w:r>
      <w:r>
        <w:tab/>
        <w:t>Il est à noter que les dispositions de la loi prohibent expressément les discriminations fondées sur le sexe et couvrent, au-delà du salaire, en espèces ou en nature, y afférents, conformément aux dispositions de l’article 7 du Pacte. Cela permet alors à tous les salariés exerçant leurs fonctions sur le territoire monégasque de recevoir une rémunération égale en contrepartie d’un travail égal ou de valeur égale, s’agissant du salaire mais également d’autres avantages.</w:t>
      </w:r>
    </w:p>
    <w:p w14:paraId="0E21F9E9" w14:textId="77777777" w:rsidR="00322139" w:rsidRDefault="00322139" w:rsidP="00322139">
      <w:pPr>
        <w:pStyle w:val="SingleTxtG"/>
      </w:pPr>
      <w:r>
        <w:t>104.</w:t>
      </w:r>
      <w:r>
        <w:tab/>
        <w:t>Ainsi, toute distinction opérée, en matière de rémunération, sur la base du genre notamment, viendrait à méconnaître les termes de la loi et se révèlerait interdite.</w:t>
      </w:r>
    </w:p>
    <w:p w14:paraId="487D14C5" w14:textId="77777777" w:rsidR="00322139" w:rsidRDefault="00322139" w:rsidP="00322139">
      <w:pPr>
        <w:pStyle w:val="SingleTxtG"/>
      </w:pPr>
      <w:r>
        <w:t>105.</w:t>
      </w:r>
      <w:r>
        <w:tab/>
        <w:t>Afin d’apprécier la situation en pratique, il existe des outils d’analyse et de suivi. Une étude sur les écarts de salaire entre les femmes et les hommes à Monaco est en effet réalisée par l’entité nationale de statistique (l’Institut Monégasque des Statistiques et des Etudes Economiques), à intervalles réguliers. La dernière édition publiée en 2025 repose sur les données de 2024 de plusieurs Institutions, donnant ainsi une vision complète de la situation en Principauté.</w:t>
      </w:r>
    </w:p>
    <w:p w14:paraId="4A63F515" w14:textId="77777777" w:rsidR="00EC2B55" w:rsidRDefault="00322139" w:rsidP="00322139">
      <w:pPr>
        <w:pStyle w:val="SingleTxtG"/>
      </w:pPr>
      <w:r>
        <w:t>106.</w:t>
      </w:r>
      <w:r>
        <w:tab/>
        <w:t>Dans la Fonction publique, la situation déjà favorable pour les femmes, s'est améliorée depuis la précédente étude menée en 2019 :</w:t>
      </w:r>
    </w:p>
    <w:p w14:paraId="76AAB7AA" w14:textId="66583509" w:rsidR="00322139" w:rsidRDefault="00322139" w:rsidP="00EC4DD3">
      <w:pPr>
        <w:pStyle w:val="Bullet1G"/>
      </w:pPr>
      <w:r>
        <w:t xml:space="preserve">En 2019, la distribution des indices de rémunération dans la Fonction publique était globalement similaire entre femmes et hommes, avec un indice moyen supérieur de 0,7 % pour les femmes. En 2024, la rémunération indiciaire moyenne globale des femmes dépasse de 2,4 % celle des hommes ; </w:t>
      </w:r>
    </w:p>
    <w:p w14:paraId="4E055A33" w14:textId="1344A448" w:rsidR="00EC2B55" w:rsidRDefault="00322139" w:rsidP="00EC4DD3">
      <w:pPr>
        <w:pStyle w:val="Bullet1G"/>
      </w:pPr>
      <w:r>
        <w:t>Si les femmes sont encore légèrement moins nombreuses que les hommes dans les emplois supérieurs, la répartition entre femmes et hommes dans les emplois hautement qualifiés est presque paritaire en 2024 (49,1 % de femmes, contre 47,0 % en 2019).</w:t>
      </w:r>
    </w:p>
    <w:p w14:paraId="565F6968" w14:textId="77777777" w:rsidR="00EC2B55" w:rsidRDefault="00322139" w:rsidP="00322139">
      <w:pPr>
        <w:pStyle w:val="SingleTxtG"/>
      </w:pPr>
      <w:r>
        <w:t>107.</w:t>
      </w:r>
      <w:r>
        <w:tab/>
        <w:t>Dans le secteur privé, la rémunération moyenne des salariés masculins reste supérieure à celle des femmes. Cependant, les différences de rémunération ont diminué au cours des dernières années :</w:t>
      </w:r>
    </w:p>
    <w:p w14:paraId="0BAC5152" w14:textId="21AE3ADE" w:rsidR="00322139" w:rsidRDefault="00322139" w:rsidP="00EC4DD3">
      <w:pPr>
        <w:pStyle w:val="Bullet1G"/>
      </w:pPr>
      <w:r>
        <w:t xml:space="preserve">En 2024, l'écart en salaire mensualisé a perdu près de 10 points de pourcentage pour s'établir à 18,6 % en 2024 alors qu'il avoisinait les 28 % en faveur des hommes en 2012 ; </w:t>
      </w:r>
    </w:p>
    <w:p w14:paraId="48D101DC" w14:textId="2B09278F" w:rsidR="00EC2B55" w:rsidRDefault="00322139" w:rsidP="00EC4DD3">
      <w:pPr>
        <w:pStyle w:val="Bullet1G"/>
      </w:pPr>
      <w:r>
        <w:t xml:space="preserve">Le salaire mensualisé médian est pratiquement équivalent entre femmes et hommes en 2024 (écart de 0,1 %). Cet indicateur est là aussi inférieur de 10 points à sa </w:t>
      </w:r>
      <w:proofErr w:type="gramStart"/>
      <w:r>
        <w:t>valeur  de</w:t>
      </w:r>
      <w:proofErr w:type="gramEnd"/>
      <w:r>
        <w:t xml:space="preserve"> 2012.</w:t>
      </w:r>
    </w:p>
    <w:p w14:paraId="015838C2" w14:textId="77777777" w:rsidR="00EC2B55" w:rsidRDefault="00322139" w:rsidP="00322139">
      <w:pPr>
        <w:pStyle w:val="SingleTxtG"/>
      </w:pPr>
      <w:r>
        <w:t>108.</w:t>
      </w:r>
      <w:r>
        <w:tab/>
        <w:t xml:space="preserve">Par ailleurs, les travailleurs disposent de droits et recours dont ils sont informés par différents moyens, notamment : </w:t>
      </w:r>
    </w:p>
    <w:p w14:paraId="3F8CCEA6" w14:textId="32C74A53" w:rsidR="00322139" w:rsidRDefault="00322139" w:rsidP="00EC4DD3">
      <w:pPr>
        <w:pStyle w:val="Bullet1G"/>
      </w:pPr>
      <w:proofErr w:type="spellStart"/>
      <w:r>
        <w:t>LegiMonaco</w:t>
      </w:r>
      <w:proofErr w:type="spellEnd"/>
      <w:r>
        <w:t xml:space="preserve">, le site internet officiel du Gouvernement Princier chargé de diffuser la législation et la jurisprudence monégasques ; </w:t>
      </w:r>
    </w:p>
    <w:p w14:paraId="17E09A09" w14:textId="6822FA29" w:rsidR="00322139" w:rsidRDefault="00322139" w:rsidP="00EC4DD3">
      <w:pPr>
        <w:pStyle w:val="Bullet1G"/>
      </w:pPr>
      <w:r>
        <w:t xml:space="preserve">L’Inspection du Travail, dont l’une des missions est d’informer les employeurs et les salariés sur toute question relative au droit du travail, de faire respecter les dispositions </w:t>
      </w:r>
      <w:r>
        <w:lastRenderedPageBreak/>
        <w:t xml:space="preserve">légales en la matière, mais aussi de prévenir, concilier et arbitrer les conflits au travail ; </w:t>
      </w:r>
    </w:p>
    <w:p w14:paraId="21974994" w14:textId="642C7005" w:rsidR="00EC2B55" w:rsidRDefault="00322139" w:rsidP="00EC4DD3">
      <w:pPr>
        <w:pStyle w:val="Bullet1G"/>
      </w:pPr>
      <w:r>
        <w:t>Les relais syndicaux et associatifs, qui peuvent fournir assistance et conseils aux salariés.</w:t>
      </w:r>
    </w:p>
    <w:p w14:paraId="2E465E11" w14:textId="77777777" w:rsidR="00EC2B55" w:rsidRDefault="00322139" w:rsidP="00322139">
      <w:pPr>
        <w:pStyle w:val="SingleTxtG"/>
      </w:pPr>
      <w:r>
        <w:t>109.</w:t>
      </w:r>
      <w:r>
        <w:tab/>
        <w:t xml:space="preserve">Plus largement, le Tribunal du travail, qui connaît des conflits nés à l’occasion de l’exécution des contrats de travail ou de leur rupture, peut être saisi par les salariés qui s’estiment lésés dans leurs droits. </w:t>
      </w:r>
    </w:p>
    <w:p w14:paraId="24245EFB" w14:textId="5BA5F13F" w:rsidR="00EC2B55" w:rsidRDefault="00EC4DD3" w:rsidP="00EC4DD3">
      <w:pPr>
        <w:pStyle w:val="H4G"/>
      </w:pPr>
      <w:r>
        <w:tab/>
        <w:t>(</w:t>
      </w:r>
      <w:r w:rsidR="00322139">
        <w:t>b)</w:t>
      </w:r>
      <w:r w:rsidR="00322139">
        <w:tab/>
        <w:t xml:space="preserve">Représentation des femmes aux niveaux décisionnels dans la vie politique et publique ainsi que dans le secteur privé </w:t>
      </w:r>
    </w:p>
    <w:p w14:paraId="14119238" w14:textId="5C9390BC" w:rsidR="00322139" w:rsidRDefault="00322139" w:rsidP="00322139">
      <w:pPr>
        <w:pStyle w:val="SingleTxtG"/>
      </w:pPr>
      <w:r>
        <w:t>110.</w:t>
      </w:r>
      <w:r>
        <w:tab/>
        <w:t>La représentation des femmes aux niveaux décisionnels dans la vie publique est très élevée en Principauté, comme en témoigne par exemple la répartition au sein des cinq membres du Gouvernement.  Le nombre de Conseillers de Gouvernement-Ministres femmes est de deux et celui des hommes de trois.</w:t>
      </w:r>
    </w:p>
    <w:p w14:paraId="01231A55" w14:textId="77777777" w:rsidR="00322139" w:rsidRDefault="00322139" w:rsidP="00322139">
      <w:pPr>
        <w:pStyle w:val="SingleTxtG"/>
      </w:pPr>
      <w:r>
        <w:t>111.</w:t>
      </w:r>
      <w:r>
        <w:tab/>
        <w:t>Dans l’Administration, 29 femmes occupaient des postes de Directeurs ou Chefs de services en 2024, contre 27 hommes.</w:t>
      </w:r>
    </w:p>
    <w:p w14:paraId="3AB5D3E5" w14:textId="77777777" w:rsidR="00322139" w:rsidRDefault="00322139" w:rsidP="00322139">
      <w:pPr>
        <w:pStyle w:val="SingleTxtG"/>
      </w:pPr>
      <w:r>
        <w:t>112.</w:t>
      </w:r>
      <w:r>
        <w:tab/>
        <w:t xml:space="preserve">Cette tendance est encore accentuée dans le réseau diplomatique monégasque. En effet, en 2026, 11 femmes sont Ambassadeurs, contre 5 hommes. </w:t>
      </w:r>
    </w:p>
    <w:p w14:paraId="5185D474" w14:textId="77777777" w:rsidR="00EC2B55" w:rsidRDefault="00322139" w:rsidP="00322139">
      <w:pPr>
        <w:pStyle w:val="SingleTxtG"/>
      </w:pPr>
      <w:r>
        <w:t>113.</w:t>
      </w:r>
      <w:r>
        <w:tab/>
        <w:t xml:space="preserve">Pour les Assemblées élues, le Conseil National tend fortement vers la parité, avec 11 femmes pour 13 hommes en 2026, tandis que le Conseil Communal est quasiment paritaire en comptant 7 femmes et 8 hommes en 2026. </w:t>
      </w:r>
    </w:p>
    <w:p w14:paraId="6CA9FBD0" w14:textId="6A02EC57" w:rsidR="00EC2B55" w:rsidRDefault="00EC4DD3" w:rsidP="00EC4DD3">
      <w:pPr>
        <w:pStyle w:val="H4G"/>
      </w:pPr>
      <w:r>
        <w:tab/>
        <w:t>(</w:t>
      </w:r>
      <w:r w:rsidR="00322139">
        <w:t>c)</w:t>
      </w:r>
      <w:r w:rsidR="00322139">
        <w:tab/>
        <w:t>Droits égaux des femmes et des hommes</w:t>
      </w:r>
    </w:p>
    <w:p w14:paraId="191B73E4" w14:textId="77777777" w:rsidR="00EC2B55" w:rsidRDefault="00322139" w:rsidP="00322139">
      <w:pPr>
        <w:pStyle w:val="SingleTxtG"/>
      </w:pPr>
      <w:r>
        <w:t>114.</w:t>
      </w:r>
      <w:r>
        <w:tab/>
        <w:t>Tel qu’évoqué à la section sur la non-discrimination, les femmes et les hommes sont égaux devant la loi. Ce principe d’égalité est consacré par les articles 17 et 32 de la Constitution et est sanctionné par le Tribunal Suprême. Ainsi, tout texte législatif ou réglementaire, toute décision administrative y portant atteinte peut faire l’objet d’un recours en annulation devant le Tribunal Suprême.</w:t>
      </w:r>
    </w:p>
    <w:p w14:paraId="3B8F6495" w14:textId="77777777" w:rsidR="00EC2B55" w:rsidRDefault="00322139" w:rsidP="00322139">
      <w:pPr>
        <w:pStyle w:val="SingleTxtG"/>
      </w:pPr>
      <w:r>
        <w:t>115.</w:t>
      </w:r>
      <w:r>
        <w:tab/>
        <w:t xml:space="preserve">La loi n° 1.523 du 16 mai 2022 relative à la promotion et la protection des droits des femmes par la modification et l’abrogation des dispositions obsolètes et inégalitaires, laquelle a été le fruit d’un important travail de recensement, a permis une actualisation de références normatives pertinentes. </w:t>
      </w:r>
    </w:p>
    <w:p w14:paraId="68C0DEEA" w14:textId="77777777" w:rsidR="00EC2B55" w:rsidRDefault="00322139" w:rsidP="00322139">
      <w:pPr>
        <w:pStyle w:val="SingleTxtG"/>
      </w:pPr>
      <w:r>
        <w:t>116.</w:t>
      </w:r>
      <w:r>
        <w:tab/>
        <w:t xml:space="preserve">Au niveau normatif, plusieurs textes alors en vigueur n’avaient en effet pas tenu compte des modifications successives du droit monégasque, et reflétaient l’état antérieur du droit dans diverses matières, par exemple en matière successorale. </w:t>
      </w:r>
    </w:p>
    <w:p w14:paraId="618B19A0" w14:textId="77777777" w:rsidR="00EC2B55" w:rsidRDefault="00322139" w:rsidP="00322139">
      <w:pPr>
        <w:pStyle w:val="SingleTxtG"/>
      </w:pPr>
      <w:r>
        <w:t>117.</w:t>
      </w:r>
      <w:r>
        <w:tab/>
        <w:t xml:space="preserve">En outre, au niveau lexical, la loi a corrigé l’obsolescence stéréotypée de la terminologie </w:t>
      </w:r>
      <w:proofErr w:type="spellStart"/>
      <w:r>
        <w:t>androcentrée</w:t>
      </w:r>
      <w:proofErr w:type="spellEnd"/>
      <w:r>
        <w:t xml:space="preserve">, employée dans plusieurs textes, ainsi que la conception patriarcale de la famille, par exemple. </w:t>
      </w:r>
    </w:p>
    <w:p w14:paraId="61A94E32" w14:textId="77777777" w:rsidR="00EC2B55" w:rsidRDefault="00322139" w:rsidP="00322139">
      <w:pPr>
        <w:pStyle w:val="SingleTxtG"/>
      </w:pPr>
      <w:r>
        <w:t>118.</w:t>
      </w:r>
      <w:r>
        <w:tab/>
        <w:t xml:space="preserve">S’agissant des droits sociaux, le Gouvernement Princier a engagé une réflexion d’ensemble afin de faire évoluer les règles applicables et de les rendre plus conformes au principe d’égalité entre femmes et hommes, tant pour les personnels du secteur public que privé. Cette démarche se traduit notamment par un vaste chantier relatif à l’évolution de la notion de chef de foyer. </w:t>
      </w:r>
    </w:p>
    <w:p w14:paraId="59801A6F" w14:textId="77777777" w:rsidR="00EC2B55" w:rsidRDefault="00322139" w:rsidP="00322139">
      <w:pPr>
        <w:pStyle w:val="SingleTxtG"/>
      </w:pPr>
      <w:r>
        <w:t>119.</w:t>
      </w:r>
      <w:r>
        <w:tab/>
        <w:t>Dans le secteur public, une première étape fut franchie avec l’adoption de l’Ordonnance Souveraine n° 7.155 du 10 octobre 2018 relative à l’octroi des allocations pour charges de famille aux fonctionnaires et agents de l’État et de la Commune, qui permet aux femmes concernées résidant à Monaco d’opter pour la qualité de chef de foyer et de bénéficier ainsi des allocations familiales et autres allocations pour charge de famille, ainsi que de la couverture maladie pour leurs ayants-droits.</w:t>
      </w:r>
    </w:p>
    <w:p w14:paraId="14B26A87" w14:textId="77777777" w:rsidR="00EC2B55" w:rsidRDefault="00322139" w:rsidP="00322139">
      <w:pPr>
        <w:pStyle w:val="SingleTxtG"/>
      </w:pPr>
      <w:r>
        <w:t>120.</w:t>
      </w:r>
      <w:r>
        <w:tab/>
        <w:t>Cette réforme a également pris en considération l’évolution de la structure familiale. Elle prévoit notamment qu’en cas de remariage, la mère d’un enfant issu d’une précédente union conservera la qualité de chef de foyer, alors qu’auparavant son nouveau mari était désigné comme tel.</w:t>
      </w:r>
    </w:p>
    <w:p w14:paraId="67CB0F99" w14:textId="77777777" w:rsidR="00EC2B55" w:rsidRDefault="00322139" w:rsidP="00322139">
      <w:pPr>
        <w:pStyle w:val="SingleTxtG"/>
      </w:pPr>
      <w:r>
        <w:lastRenderedPageBreak/>
        <w:t>121.</w:t>
      </w:r>
      <w:r>
        <w:tab/>
        <w:t>D’autres interventions législatives récentes traduisent cette orientation politique, à l’instar de la loi n° 1.493 du 8 juillet 2020 instituant un régime de prestations familiales en faveur des travailleurs indépendants, pour lequel le critère de chef de foyer est inexistant.</w:t>
      </w:r>
    </w:p>
    <w:p w14:paraId="63FC46CE" w14:textId="77777777" w:rsidR="00EC2B55" w:rsidRDefault="00322139" w:rsidP="00322139">
      <w:pPr>
        <w:pStyle w:val="SingleTxtG"/>
      </w:pPr>
      <w:r>
        <w:t>122.</w:t>
      </w:r>
      <w:r>
        <w:tab/>
        <w:t xml:space="preserve">Pour les salariés de droit privé, la notion de chef de foyer demeure à ce jour un critère structurant de répartition entre les différentes Caisses Sociales. Sa suppression suppose une évolution des règles de coordination posées par la Convention bilatérale franco-monégasque de sécurité sociale en matière d’ouverture de droits aux prestations familiales. Elle emporterait également des incidences financières importantes tant pour Monaco que pour la France. Des échanges sont en cours avec les services français afin de préciser le périmètre de la réforme ainsi que ses impacts financiers. Fort de ces constats, le Gouvernement poursuit activement les travaux engagés sur ce sujet.  </w:t>
      </w:r>
    </w:p>
    <w:p w14:paraId="742A74B8" w14:textId="77777777" w:rsidR="00EC2B55" w:rsidRDefault="00322139" w:rsidP="00322139">
      <w:pPr>
        <w:pStyle w:val="SingleTxtG"/>
      </w:pPr>
      <w:r>
        <w:t>123.</w:t>
      </w:r>
      <w:r>
        <w:tab/>
        <w:t xml:space="preserve">Par ailleurs, en 2023, le congé maternité a été étendu à 18 semaines (contre 16 auparavant) et le congé paternité à 21 jours (contre 12) pour les fonctionnaires, agents de l’État et fonctionnaires de la Commune. Le congé paternité des salariés du secteur privé a également été porté à 21 jours. </w:t>
      </w:r>
    </w:p>
    <w:p w14:paraId="18DECA5E" w14:textId="20323485" w:rsidR="00EC2B55" w:rsidRDefault="00EC4DD3" w:rsidP="00EC4DD3">
      <w:pPr>
        <w:pStyle w:val="H1G"/>
      </w:pPr>
      <w:r>
        <w:tab/>
      </w:r>
      <w:r>
        <w:tab/>
      </w:r>
      <w:r w:rsidR="00322139">
        <w:t>Violence à l’égard des femmes (art. 2, 3, 6, 7 et 26)</w:t>
      </w:r>
    </w:p>
    <w:p w14:paraId="25544FD8" w14:textId="70017DC1" w:rsidR="00EC2B55" w:rsidRDefault="00EC4DD3" w:rsidP="00322139">
      <w:pPr>
        <w:pStyle w:val="SingleTxtG"/>
      </w:pPr>
      <w:r w:rsidRPr="003D2CFE">
        <w:rPr>
          <w:b/>
        </w:rPr>
        <w:t>Réponse au paragraphe</w:t>
      </w:r>
      <w:r>
        <w:rPr>
          <w:b/>
        </w:rPr>
        <w:t xml:space="preserve"> </w:t>
      </w:r>
      <w:r>
        <w:rPr>
          <w:b/>
        </w:rPr>
        <w:t xml:space="preserve">11 </w:t>
      </w:r>
    </w:p>
    <w:p w14:paraId="2AA0DDD2" w14:textId="77777777" w:rsidR="00EC2B55" w:rsidRDefault="00322139" w:rsidP="00322139">
      <w:pPr>
        <w:pStyle w:val="SingleTxtG"/>
      </w:pPr>
      <w:r>
        <w:t>124.</w:t>
      </w:r>
      <w:r>
        <w:tab/>
        <w:t xml:space="preserve">La notion de « </w:t>
      </w:r>
      <w:r w:rsidRPr="00C909F2">
        <w:rPr>
          <w:i/>
          <w:iCs/>
        </w:rPr>
        <w:t>violence domestique</w:t>
      </w:r>
      <w:r>
        <w:t xml:space="preserve"> », dans la loi n° 1.382 du 20 juillet 2011 relative à la prévention et à la répression des violences particulières, renvoie à « </w:t>
      </w:r>
      <w:r w:rsidRPr="00C909F2">
        <w:rPr>
          <w:i/>
          <w:iCs/>
        </w:rPr>
        <w:t>toute forme de violence ou de menaces de violence, physique, psychologique, sexuelle ou économique exercée par des personnes partageant ou ayant partagé une communauté de toit avec la victime</w:t>
      </w:r>
      <w:r>
        <w:t xml:space="preserve"> ». </w:t>
      </w:r>
    </w:p>
    <w:p w14:paraId="2847A6C8" w14:textId="77777777" w:rsidR="00EC2B55" w:rsidRDefault="00322139" w:rsidP="00322139">
      <w:pPr>
        <w:pStyle w:val="SingleTxtG"/>
      </w:pPr>
      <w:r>
        <w:t>125.</w:t>
      </w:r>
      <w:r>
        <w:tab/>
        <w:t>S’appuyant sur une conception réaliste du droit pénal, la loi appréhende les violences domestiques de manière globale et factuelle en ciblant les faits commis tant entre conjoints qu’entre personnes vivant ensemble sous le même toit ou y ayant vécu durablement.</w:t>
      </w:r>
    </w:p>
    <w:p w14:paraId="3087A967" w14:textId="77777777" w:rsidR="00EC2B55" w:rsidRDefault="00322139" w:rsidP="00322139">
      <w:pPr>
        <w:pStyle w:val="SingleTxtG"/>
      </w:pPr>
      <w:r>
        <w:t>126.</w:t>
      </w:r>
      <w:r>
        <w:tab/>
        <w:t>Cette notion peut constituer un élément d’une infraction autonome (cf. l’article 238-1 du Code pénal) ou une circonstance aggravante en relation avec d’autres infractions (par exemple en matière de menaces, cf. l’article 234-1 du Code pénal).</w:t>
      </w:r>
    </w:p>
    <w:p w14:paraId="7DB8CB76" w14:textId="77777777" w:rsidR="00EC2B55" w:rsidRDefault="00322139" w:rsidP="00322139">
      <w:pPr>
        <w:pStyle w:val="SingleTxtG"/>
      </w:pPr>
      <w:r>
        <w:t>127.</w:t>
      </w:r>
      <w:r>
        <w:tab/>
        <w:t xml:space="preserve">La lutte contre les violences commises à l’égard des femmes et la violence domestique demeure une priorité du Gouvernement et à cet égard, une réflexion est </w:t>
      </w:r>
      <w:proofErr w:type="gramStart"/>
      <w:r>
        <w:t>actuellement en cours</w:t>
      </w:r>
      <w:proofErr w:type="gramEnd"/>
      <w:r>
        <w:t xml:space="preserve"> s’agissant de l’implémentation en droit interne des meilleurs standards internationaux.</w:t>
      </w:r>
    </w:p>
    <w:p w14:paraId="18C72116" w14:textId="279907ED" w:rsidR="00EC2B55" w:rsidRDefault="00EC4DD3" w:rsidP="00EC4DD3">
      <w:pPr>
        <w:pStyle w:val="H4G"/>
      </w:pPr>
      <w:r>
        <w:tab/>
      </w:r>
      <w:r>
        <w:tab/>
      </w:r>
      <w:r w:rsidR="00322139">
        <w:t>Prévention et lutte contre toutes les formes de violence sexiste à l’égard des femmes et des filles</w:t>
      </w:r>
    </w:p>
    <w:p w14:paraId="68C5DF03" w14:textId="77777777" w:rsidR="00EC2B55" w:rsidRDefault="00322139" w:rsidP="00322139">
      <w:pPr>
        <w:pStyle w:val="SingleTxtG"/>
      </w:pPr>
      <w:r>
        <w:t>128.</w:t>
      </w:r>
      <w:r>
        <w:tab/>
        <w:t xml:space="preserve">En ce qui concerne les mesures prises, la circulaire gouvernementale n° 2026-03 relative à la lutte contre les violences intrafamiliales, à la détection, au traitement et à la protection des victimes, a été prise conformément aux recommandations internationales. </w:t>
      </w:r>
    </w:p>
    <w:p w14:paraId="2357831C" w14:textId="77777777" w:rsidR="00EC2B55" w:rsidRDefault="00322139" w:rsidP="00322139">
      <w:pPr>
        <w:pStyle w:val="SingleTxtG"/>
      </w:pPr>
      <w:r>
        <w:t>129.</w:t>
      </w:r>
      <w:r>
        <w:tab/>
        <w:t xml:space="preserve">Elle a notamment pour objet de consolider les bonnes pratiques internes et de coordonner les échanges entre les différents intervenants. Elle rappelle notamment le cadre légal, expose les différents cas de révélation de ces violences et tend à assurer une protection effective ainsi qu’une bonne prise en charge des victimes durant la procédure. </w:t>
      </w:r>
    </w:p>
    <w:p w14:paraId="0AB0DE1C" w14:textId="77777777" w:rsidR="00EC2B55" w:rsidRDefault="00322139" w:rsidP="00322139">
      <w:pPr>
        <w:pStyle w:val="SingleTxtG"/>
      </w:pPr>
      <w:r>
        <w:t>130.</w:t>
      </w:r>
      <w:r>
        <w:tab/>
        <w:t>L’assistance apportée aux victimes, aux personnes souhaitant les aider ou toute autre personne, s’inscrit dans le cadre d’un dispositif global. Au titre des services de communication déployés, peuvent être notamment cités :</w:t>
      </w:r>
    </w:p>
    <w:p w14:paraId="0D9AEA83" w14:textId="6297788F" w:rsidR="00EC2B55" w:rsidRDefault="00322139" w:rsidP="00EC4DD3">
      <w:pPr>
        <w:pStyle w:val="Bullet1G"/>
      </w:pPr>
      <w:r>
        <w:t xml:space="preserve">La ligne téléphonique : Parallèlement aux numéros d’appel d’urgence permettant de joindre gratuitement les secours 24h/24, 7 jours/7, depuis un téléphone portable ou fixe, toute victime de toute forme de violence peut également joindre (coût d’un appel local), dans le cadre de permanences téléphoniques, la Direction de l’Action et de l’Aide Sociales (DASO) tous jours ouvrables, entre 9h30 et 17h, ou l’Association d’aide aux victimes d’infractions pénales (AVIP), 7 jours/7, entre 7h30 et 21h30. Ces permanences sont assurées par des professionnels dont l’expertise et la déontologie </w:t>
      </w:r>
      <w:r>
        <w:lastRenderedPageBreak/>
        <w:t xml:space="preserve">permettent écoute et orientation, dans le respect de la confidentialité (secret professionnel). </w:t>
      </w:r>
    </w:p>
    <w:p w14:paraId="695C4FFA" w14:textId="155FD724" w:rsidR="00EC2B55" w:rsidRDefault="00322139" w:rsidP="00EC4DD3">
      <w:pPr>
        <w:pStyle w:val="Bullet2G"/>
      </w:pPr>
      <w:r>
        <w:t xml:space="preserve">Ces dispositifs spécialisés permettent ainsi de couvrir une large plage horaire afin de recueillir les éventuels appels de femmes victimes de violences et apporter une réponse rapide et individualisée à l’urgence de chaque situation. </w:t>
      </w:r>
    </w:p>
    <w:p w14:paraId="4B193702" w14:textId="075E63FA" w:rsidR="00EC2B55" w:rsidRDefault="00322139" w:rsidP="00EC4DD3">
      <w:pPr>
        <w:pStyle w:val="Bullet2G"/>
      </w:pPr>
      <w:r>
        <w:t>Cette aide peut également se matérialiser par un accès à un soutien psychologique immédiat, qui peut d’ailleurs se poursuivre à plus long terme. Des psychologues de la DASO et/ou de l’AVIP susmentionnées peuvent suivre les femmes durant tout leur accueil et les orienter vers des spécialistes en ville par la suite. En fonction de la situation, la prise en charge des séances peut être effectuée par la DASO.</w:t>
      </w:r>
    </w:p>
    <w:p w14:paraId="2D33FFB2" w14:textId="230DD833" w:rsidR="00322139" w:rsidRDefault="00322139" w:rsidP="00EC4DD3">
      <w:pPr>
        <w:pStyle w:val="Bullet1G"/>
      </w:pPr>
      <w:r>
        <w:t xml:space="preserve">Internet : Tous les services publics et ministères compétents (services sociaux, de santé, police, etc.) peuvent également être contactés par internet (courriel ou téléservice) directement via le site du Gouvernement. </w:t>
      </w:r>
    </w:p>
    <w:p w14:paraId="7DCCA22D" w14:textId="437E1541" w:rsidR="00EC2B55" w:rsidRDefault="00322139" w:rsidP="00322139">
      <w:pPr>
        <w:pStyle w:val="SingleTxtG"/>
      </w:pPr>
      <w:r>
        <w:t>13</w:t>
      </w:r>
      <w:r w:rsidR="00EC4DD3">
        <w:t>1</w:t>
      </w:r>
      <w:r>
        <w:t>.</w:t>
      </w:r>
      <w:r>
        <w:tab/>
        <w:t>À l'occasion de la Journée internationale pour l'élimination de la violence à l'égard des femmes, le 25 novembre, des campagnes de sensibilisation sont conduites par le Comité pour la promotion et la protection des droits des femmes, chaque année sur une thématique spécifique mettant en lumière les différentes formes de violences :</w:t>
      </w:r>
    </w:p>
    <w:p w14:paraId="61FCB64F" w14:textId="0DE00D6D" w:rsidR="00322139" w:rsidRDefault="00322139" w:rsidP="00EC4DD3">
      <w:pPr>
        <w:pStyle w:val="Bullet1G"/>
      </w:pPr>
      <w:r>
        <w:t>2019 : première campagne du Comité et sensibilisation générale du grand public ;</w:t>
      </w:r>
    </w:p>
    <w:p w14:paraId="36EAD189" w14:textId="43FC9584" w:rsidR="00322139" w:rsidRDefault="00322139" w:rsidP="00EC4DD3">
      <w:pPr>
        <w:pStyle w:val="Bullet1G"/>
      </w:pPr>
      <w:r>
        <w:t>2020 : impact des violences conjugales sur les enfants témoins ;</w:t>
      </w:r>
    </w:p>
    <w:p w14:paraId="697550A1" w14:textId="5496D368" w:rsidR="00322139" w:rsidRDefault="00322139" w:rsidP="00EC4DD3">
      <w:pPr>
        <w:pStyle w:val="Bullet1G"/>
      </w:pPr>
      <w:r>
        <w:t>2021 : prise de conscience par les victimes et leur entourage ;</w:t>
      </w:r>
    </w:p>
    <w:p w14:paraId="54A324DA" w14:textId="61EE57D9" w:rsidR="00322139" w:rsidRDefault="00322139" w:rsidP="00EC4DD3">
      <w:pPr>
        <w:pStyle w:val="Bullet1G"/>
      </w:pPr>
      <w:r>
        <w:t>2022 : rôle des témoins et en particulier des hommes pour faire cesser les violences ;</w:t>
      </w:r>
    </w:p>
    <w:p w14:paraId="11C99C69" w14:textId="7E797909" w:rsidR="00322139" w:rsidRDefault="00322139" w:rsidP="00EC4DD3">
      <w:pPr>
        <w:pStyle w:val="Bullet1G"/>
      </w:pPr>
      <w:r>
        <w:t>2023 : cyberviolences, notamment envers les jeunes filles ;</w:t>
      </w:r>
    </w:p>
    <w:p w14:paraId="7E821A1E" w14:textId="5182BDAC" w:rsidR="00322139" w:rsidRDefault="00322139" w:rsidP="00EC4DD3">
      <w:pPr>
        <w:pStyle w:val="Bullet1G"/>
      </w:pPr>
      <w:r>
        <w:t>2024 : violences économiques, violences faites aux femmes en situation de handicap, et violences dans le milieu du sport ;</w:t>
      </w:r>
    </w:p>
    <w:p w14:paraId="148E0494" w14:textId="3FBCBC89" w:rsidR="00EC2B55" w:rsidRDefault="00322139" w:rsidP="00EC4DD3">
      <w:pPr>
        <w:pStyle w:val="Bullet1G"/>
      </w:pPr>
      <w:r>
        <w:t>2025 : utilisation du point de vue de l'auteur des violences et sensibilisation autour de la notion de contrôle coercitif.</w:t>
      </w:r>
    </w:p>
    <w:p w14:paraId="1F23C019" w14:textId="0B98B8EB" w:rsidR="00EC2B55" w:rsidRDefault="00322139" w:rsidP="00322139">
      <w:pPr>
        <w:pStyle w:val="SingleTxtG"/>
      </w:pPr>
      <w:r>
        <w:t>13</w:t>
      </w:r>
      <w:r w:rsidR="00EC4DD3">
        <w:t>2</w:t>
      </w:r>
      <w:r>
        <w:t>.</w:t>
      </w:r>
      <w:r>
        <w:tab/>
        <w:t>De surcroît, plusieurs outils sont mis à la disposition des victimes et des professionnels :</w:t>
      </w:r>
    </w:p>
    <w:p w14:paraId="0BC5B17C" w14:textId="39E11E37" w:rsidR="00322139" w:rsidRDefault="00322139" w:rsidP="00EC4DD3">
      <w:pPr>
        <w:pStyle w:val="Bullet1G"/>
      </w:pPr>
      <w:r>
        <w:t>Des brochures sont mises à disposition dans des lieux fréquentés (établissements de santé, lieux publics, etc.), recensant les contacts utiles en matière d'aide, de sécurité et d'urgence ;</w:t>
      </w:r>
    </w:p>
    <w:p w14:paraId="3A36966C" w14:textId="168E5C59" w:rsidR="00322139" w:rsidRDefault="00322139" w:rsidP="00EC4DD3">
      <w:pPr>
        <w:pStyle w:val="Bullet1G"/>
      </w:pPr>
      <w:proofErr w:type="gramStart"/>
      <w:r>
        <w:t>L’ «</w:t>
      </w:r>
      <w:proofErr w:type="gramEnd"/>
      <w:r>
        <w:t xml:space="preserve"> </w:t>
      </w:r>
      <w:r w:rsidRPr="00C909F2">
        <w:rPr>
          <w:i/>
          <w:iCs/>
        </w:rPr>
        <w:t>échelle des violences</w:t>
      </w:r>
      <w:r>
        <w:t xml:space="preserve"> » est un outil d'évaluation destiné aux professionnels accompagnant les victimes et se présente sous forme d'une brochure pliable au format carte de visite, disponible en français et en anglais, pour illustrer différentes situations réparties en trois niveaux (« </w:t>
      </w:r>
      <w:r w:rsidRPr="00C909F2">
        <w:rPr>
          <w:i/>
          <w:iCs/>
        </w:rPr>
        <w:t>Sérénité</w:t>
      </w:r>
      <w:r>
        <w:t xml:space="preserve"> », « </w:t>
      </w:r>
      <w:r w:rsidRPr="00C909F2">
        <w:rPr>
          <w:i/>
          <w:iCs/>
        </w:rPr>
        <w:t xml:space="preserve">Alerte </w:t>
      </w:r>
      <w:r>
        <w:t xml:space="preserve">», « </w:t>
      </w:r>
      <w:r w:rsidRPr="00C909F2">
        <w:rPr>
          <w:i/>
          <w:iCs/>
        </w:rPr>
        <w:t xml:space="preserve">Danger </w:t>
      </w:r>
      <w:r>
        <w:t>») selon plusieurs typologies (violences économiques et administratives, psychologiques, physiques et sexuelles). Une version pour les jeunes existe afin de s'adapter aux contextes de violences qu'ils peuvent rencontrer ;</w:t>
      </w:r>
    </w:p>
    <w:p w14:paraId="7D8DD36E" w14:textId="46BFFFD1" w:rsidR="00EC2B55" w:rsidRDefault="00322139" w:rsidP="00EC4DD3">
      <w:pPr>
        <w:pStyle w:val="Bullet1G"/>
      </w:pPr>
      <w:r>
        <w:t xml:space="preserve">L’application mobile « </w:t>
      </w:r>
      <w:proofErr w:type="spellStart"/>
      <w:r w:rsidRPr="00C909F2">
        <w:rPr>
          <w:i/>
          <w:iCs/>
        </w:rPr>
        <w:t>App-Elles</w:t>
      </w:r>
      <w:proofErr w:type="spellEnd"/>
      <w:r>
        <w:t xml:space="preserve"> », en collaboration avec une association française pour permettre l'envoi d'alertes en temps réel à des tiers de confiance, l'enregistrement audio et la géolocalisation de la personne en danger (informations pouvant être utilisées dans un cadre judiciaire), ainsi que l'accès à un annuaire personnalisé des ressources locales d'assistance.</w:t>
      </w:r>
    </w:p>
    <w:p w14:paraId="0B33355B" w14:textId="43FDB6E1" w:rsidR="00EC2B55" w:rsidRDefault="00322139" w:rsidP="00322139">
      <w:pPr>
        <w:pStyle w:val="SingleTxtG"/>
      </w:pPr>
      <w:r>
        <w:t>13</w:t>
      </w:r>
      <w:r w:rsidR="00EC4DD3">
        <w:t>3</w:t>
      </w:r>
      <w:r>
        <w:t>.</w:t>
      </w:r>
      <w:r>
        <w:tab/>
        <w:t>Par ailleurs, une collaboration régulière est mise en place entre le Comité susvisé et la Direction de l'Education Nationale, de la Jeunesse et des Sports, dans les établissements scolaires, en particulier auprès des lycéens, afin d'aborder les stéréotypes de genre, les comportements sexistes et les violences intrafamiliales.</w:t>
      </w:r>
    </w:p>
    <w:p w14:paraId="01C64932" w14:textId="5D9BEFAA" w:rsidR="00EC2B55" w:rsidRDefault="00322139" w:rsidP="00322139">
      <w:pPr>
        <w:pStyle w:val="SingleTxtG"/>
      </w:pPr>
      <w:r>
        <w:t>13</w:t>
      </w:r>
      <w:r w:rsidR="00EC4DD3">
        <w:t>4</w:t>
      </w:r>
      <w:r>
        <w:t>.</w:t>
      </w:r>
      <w:r>
        <w:tab/>
        <w:t>En termes de collecte de données, une étude annuelle de l’Institut Monégasque de la Statistique et des Études Économiques, en collaboration avec le Comité susvisé est consacrée aux violences faites aux femmes (disponible gratuitement en ligne).</w:t>
      </w:r>
    </w:p>
    <w:p w14:paraId="2E477AEC" w14:textId="19CA7BAB" w:rsidR="00EC2B55" w:rsidRDefault="00322139" w:rsidP="00322139">
      <w:pPr>
        <w:pStyle w:val="SingleTxtG"/>
      </w:pPr>
      <w:r>
        <w:lastRenderedPageBreak/>
        <w:t>13</w:t>
      </w:r>
      <w:r w:rsidR="00EC4DD3">
        <w:t>5</w:t>
      </w:r>
      <w:r>
        <w:t>.</w:t>
      </w:r>
      <w:r>
        <w:tab/>
        <w:t>Le phénomène des violences à l’égard des femmes y est appréhendé à travers les violences entre partenaires intimes, les violences sexuelles et leur traitement judiciaire.  La notion de violence sexiste utilisée dans cette étude se fonde sur la définition de la Convention du Conseil de l’Europe sur la prévention et la lutte contre la violence à l’égard des femmes et la violence domestique.</w:t>
      </w:r>
    </w:p>
    <w:p w14:paraId="40AC0FFF" w14:textId="2C59202B" w:rsidR="00EC2B55" w:rsidRDefault="00322139" w:rsidP="00322139">
      <w:pPr>
        <w:pStyle w:val="SingleTxtG"/>
      </w:pPr>
      <w:r>
        <w:t>13</w:t>
      </w:r>
      <w:r w:rsidR="00EC4DD3">
        <w:t>6</w:t>
      </w:r>
      <w:r>
        <w:t>.</w:t>
      </w:r>
      <w:r>
        <w:tab/>
        <w:t xml:space="preserve">Enfin, concernant les affaires de violences domestiques, sur 102 enquêtes, 32 ont conduit à des poursuites avec un total de 28 condamnations comprenant 2 peines d’emprisonnement ferme, 2 peines d’emprisonnement ferme accompagnées de sursis, 15 peines de sursis simple, 8 peines de liberté d’épreuve ainsi que 7 peines complémentaires relatives à des interdictions de contact avec la victime. </w:t>
      </w:r>
    </w:p>
    <w:p w14:paraId="0D11D535" w14:textId="696AD460" w:rsidR="00EC2B55" w:rsidRDefault="00EC4DD3" w:rsidP="00EC4DD3">
      <w:pPr>
        <w:pStyle w:val="H1G"/>
      </w:pPr>
      <w:r>
        <w:tab/>
      </w:r>
      <w:r>
        <w:tab/>
      </w:r>
      <w:r w:rsidR="00322139">
        <w:t xml:space="preserve">Interruption volontaire de grossesse et droit à la santé sexuelle et reproductive (art. 6 et 7) </w:t>
      </w:r>
    </w:p>
    <w:p w14:paraId="41B137C1" w14:textId="77777777" w:rsidR="00EC4DD3" w:rsidRDefault="00EC4DD3" w:rsidP="00322139">
      <w:pPr>
        <w:pStyle w:val="SingleTxtG"/>
        <w:rPr>
          <w:b/>
        </w:rPr>
      </w:pPr>
      <w:r w:rsidRPr="003D2CFE">
        <w:rPr>
          <w:b/>
        </w:rPr>
        <w:t>Réponse au paragraphe</w:t>
      </w:r>
      <w:r>
        <w:rPr>
          <w:b/>
        </w:rPr>
        <w:t xml:space="preserve"> </w:t>
      </w:r>
      <w:r>
        <w:rPr>
          <w:b/>
        </w:rPr>
        <w:t>12</w:t>
      </w:r>
    </w:p>
    <w:p w14:paraId="70CC2588" w14:textId="213B2CB8" w:rsidR="00EC2B55" w:rsidRDefault="00322139" w:rsidP="00322139">
      <w:pPr>
        <w:pStyle w:val="SingleTxtG"/>
      </w:pPr>
      <w:r>
        <w:t>13</w:t>
      </w:r>
      <w:r w:rsidR="00EC4DD3">
        <w:t>7</w:t>
      </w:r>
      <w:r>
        <w:t>.</w:t>
      </w:r>
      <w:r>
        <w:tab/>
        <w:t>La loi n° 1.477 du 11 novembre 2019 portant dépénalisation de l’avortement pour la femme enceinte a modifié l’article 248 du Code pénal afin de supprimer toute sanction pénale à l’encontre de la femme qui se sera procuré ou aura tenté de se procurer l’avortement, ce dernier demeurant toutefois interdit.</w:t>
      </w:r>
    </w:p>
    <w:p w14:paraId="49BDE507" w14:textId="64F64C24" w:rsidR="00EC2B55" w:rsidRDefault="00322139" w:rsidP="00322139">
      <w:pPr>
        <w:pStyle w:val="SingleTxtG"/>
      </w:pPr>
      <w:r>
        <w:t>1</w:t>
      </w:r>
      <w:r w:rsidR="00EC4DD3">
        <w:t>38</w:t>
      </w:r>
      <w:r>
        <w:t>.</w:t>
      </w:r>
      <w:r>
        <w:tab/>
        <w:t>Cette loi a également soustrait le médecin à l’appréhension pénale s’agissant de l’information qu’il délivre à sa patiente quant à la possibilité pour cette dernière de recourir à l’avortement dans un pays étranger.</w:t>
      </w:r>
    </w:p>
    <w:p w14:paraId="71E342DE" w14:textId="09361232" w:rsidR="00EC2B55" w:rsidRDefault="00322139" w:rsidP="00322139">
      <w:pPr>
        <w:pStyle w:val="SingleTxtG"/>
      </w:pPr>
      <w:r>
        <w:t>1</w:t>
      </w:r>
      <w:r w:rsidR="00EC4DD3">
        <w:t>39</w:t>
      </w:r>
      <w:r>
        <w:t>.</w:t>
      </w:r>
      <w:r>
        <w:tab/>
        <w:t>Les dispositions relatives aux conditions dans lesquelles l’interruption volontaire de grossesse ne constitue pas le délit d’avortement, introduites par la loi n° 1.359 du 20 avril 2009 portant création d’un Centre de coordination prénatale et de soutien familial et modifiant les articles 248 du Code pénal et 323 du Code civil, demeurent inchangées.</w:t>
      </w:r>
    </w:p>
    <w:p w14:paraId="472C4653" w14:textId="0568554A" w:rsidR="00EC2B55" w:rsidRDefault="00322139" w:rsidP="00322139">
      <w:pPr>
        <w:pStyle w:val="SingleTxtG"/>
      </w:pPr>
      <w:r>
        <w:t>14</w:t>
      </w:r>
      <w:r w:rsidR="00EC4DD3">
        <w:t>0</w:t>
      </w:r>
      <w:r>
        <w:t>.</w:t>
      </w:r>
      <w:r>
        <w:tab/>
        <w:t xml:space="preserve">Le droit monégasque autorise en effet l’interruption volontaire de grossesse dans trois hypothèses : </w:t>
      </w:r>
    </w:p>
    <w:p w14:paraId="138E3570" w14:textId="2A8C43ED" w:rsidR="00322139" w:rsidRDefault="00322139" w:rsidP="00EC4DD3">
      <w:pPr>
        <w:pStyle w:val="Bullet1G"/>
      </w:pPr>
      <w:r>
        <w:t>Lorsqu’il existe un risque pour la vie ou la santé physique de la femme enceinte ;</w:t>
      </w:r>
    </w:p>
    <w:p w14:paraId="51A4C135" w14:textId="1748A4FD" w:rsidR="00322139" w:rsidRDefault="00322139" w:rsidP="00EC4DD3">
      <w:pPr>
        <w:pStyle w:val="Bullet1G"/>
      </w:pPr>
      <w:r>
        <w:t xml:space="preserve">Lorsqu’il existe une grande probabilité de troubles graves et irréversibles du fœtus ou d’une affection incurable menaçant sa vie ; </w:t>
      </w:r>
    </w:p>
    <w:p w14:paraId="7DCF1248" w14:textId="486A4C49" w:rsidR="00EC2B55" w:rsidRDefault="00322139" w:rsidP="00EC4DD3">
      <w:pPr>
        <w:pStyle w:val="Bullet1G"/>
      </w:pPr>
      <w:r>
        <w:t>Lorsque la grossesse est la conséquence d’un acte criminel (dans un délai de douze semaines à compter du début de la grossesse).</w:t>
      </w:r>
    </w:p>
    <w:p w14:paraId="35E4A85F" w14:textId="6F701FAC" w:rsidR="00322139" w:rsidRDefault="00322139" w:rsidP="00322139">
      <w:pPr>
        <w:pStyle w:val="SingleTxtG"/>
      </w:pPr>
      <w:r>
        <w:t>14</w:t>
      </w:r>
      <w:r w:rsidR="00EC4DD3">
        <w:t>1</w:t>
      </w:r>
      <w:r>
        <w:t>.</w:t>
      </w:r>
      <w:r>
        <w:tab/>
        <w:t>Dans ce cadre, la procédure applicable prévoit l’intervention d’un comité médical composé de médecins, conformément aux dispositions actuellement en vigueur.</w:t>
      </w:r>
    </w:p>
    <w:p w14:paraId="201C11EA" w14:textId="206FB7FB" w:rsidR="00322139" w:rsidRDefault="00322139" w:rsidP="00322139">
      <w:pPr>
        <w:pStyle w:val="SingleTxtG"/>
      </w:pPr>
      <w:r>
        <w:t>14</w:t>
      </w:r>
      <w:r w:rsidR="00EC4DD3">
        <w:t>2</w:t>
      </w:r>
      <w:r>
        <w:t>.</w:t>
      </w:r>
      <w:r>
        <w:tab/>
        <w:t>Le Gouvernement assure l’accompagnement des femmes concernées et développe des actions d’éducation à la santé, notamment dans le cadre d’une feuille de route de santé sexuelle.</w:t>
      </w:r>
    </w:p>
    <w:p w14:paraId="6FE809D5" w14:textId="708633E6" w:rsidR="00322139" w:rsidRDefault="00322139" w:rsidP="00322139">
      <w:pPr>
        <w:pStyle w:val="SingleTxtG"/>
      </w:pPr>
      <w:r>
        <w:t>14</w:t>
      </w:r>
      <w:r w:rsidR="00EC4DD3">
        <w:t>3</w:t>
      </w:r>
      <w:r>
        <w:t>.</w:t>
      </w:r>
      <w:r>
        <w:tab/>
        <w:t>Cette feuille de route prévoit en particulier le renforcement de l’information, de l’éducation et de la communication en matière de sexualité et de santé sexuelle, en particulier auprès des jeunes. Elle comprend également des mesures de promotion de la santé reproductive, à travers l’information sur les moyens de contraception, la prévention des grossesses non désirées ainsi que l’instauration de consultations gynécologiques anonymes et gratuites pour les mineures et les jeunes majeures jusqu’à l’âge de 21 ans.</w:t>
      </w:r>
    </w:p>
    <w:p w14:paraId="0EF3921C" w14:textId="7E934730" w:rsidR="00EC2B55" w:rsidRDefault="00322139" w:rsidP="00322139">
      <w:pPr>
        <w:pStyle w:val="SingleTxtG"/>
      </w:pPr>
      <w:r>
        <w:t>14</w:t>
      </w:r>
      <w:r w:rsidR="00EC4DD3">
        <w:t>4</w:t>
      </w:r>
      <w:r>
        <w:t>.</w:t>
      </w:r>
      <w:r>
        <w:tab/>
        <w:t>Le Centre de coordination prénatale et de soutien familial participe à cet accompagnement des femmes concernées, conformément aux missions qui lui sont reconnues par la loi n° 1.359 du 20 avril 2009.</w:t>
      </w:r>
    </w:p>
    <w:p w14:paraId="6F09B396" w14:textId="2E3913BE" w:rsidR="00EC2B55" w:rsidRDefault="00A76766" w:rsidP="00A76766">
      <w:pPr>
        <w:pStyle w:val="H1G"/>
      </w:pPr>
      <w:r>
        <w:tab/>
      </w:r>
      <w:r>
        <w:tab/>
      </w:r>
      <w:r w:rsidR="00322139">
        <w:t>Interdiction de la torture et autres peines ou traitements cruels, inhumains ou dégradants (art. 7)</w:t>
      </w:r>
    </w:p>
    <w:p w14:paraId="6E5CAF76" w14:textId="77777777" w:rsidR="00A76766" w:rsidRDefault="00A76766" w:rsidP="00322139">
      <w:pPr>
        <w:pStyle w:val="SingleTxtG"/>
        <w:rPr>
          <w:b/>
        </w:rPr>
      </w:pPr>
      <w:r w:rsidRPr="003D2CFE">
        <w:rPr>
          <w:b/>
        </w:rPr>
        <w:t>Réponse au paragraphe</w:t>
      </w:r>
      <w:r>
        <w:rPr>
          <w:b/>
        </w:rPr>
        <w:t xml:space="preserve"> </w:t>
      </w:r>
      <w:r>
        <w:rPr>
          <w:b/>
        </w:rPr>
        <w:t>13</w:t>
      </w:r>
    </w:p>
    <w:p w14:paraId="48C90B7E" w14:textId="2733295B" w:rsidR="00322139" w:rsidRDefault="00322139" w:rsidP="00322139">
      <w:pPr>
        <w:pStyle w:val="SingleTxtG"/>
      </w:pPr>
      <w:r>
        <w:lastRenderedPageBreak/>
        <w:t>14</w:t>
      </w:r>
      <w:r w:rsidR="00A76766">
        <w:t>5</w:t>
      </w:r>
      <w:r>
        <w:t>.</w:t>
      </w:r>
      <w:r>
        <w:tab/>
        <w:t>L’interdiction des traitements cruels, inhumains et dégradants a d’ores et déjà valeur constitutionnelle, en ce qu’elle est prévue par l’article 20 de la Constitution.</w:t>
      </w:r>
    </w:p>
    <w:p w14:paraId="63CABFDB" w14:textId="02AFA85F" w:rsidR="00322139" w:rsidRDefault="00322139" w:rsidP="00322139">
      <w:pPr>
        <w:pStyle w:val="SingleTxtG"/>
      </w:pPr>
      <w:r>
        <w:t>14</w:t>
      </w:r>
      <w:r w:rsidR="00A76766">
        <w:t>6</w:t>
      </w:r>
      <w:r>
        <w:t>.</w:t>
      </w:r>
      <w:r>
        <w:tab/>
        <w:t>En outre, la Convention contre la torture et autres peines ou traitements cruels, inhumains ou dégradants a été rendue exécutoire en Principauté de Monaco par l’Ordonnance Souveraine n° 10.542 en date du 14 mai 1992 et fait donc pleinement partie des normes juridiques monégasques auxquelles le juge monégasque se réfère.</w:t>
      </w:r>
    </w:p>
    <w:p w14:paraId="742F21A7" w14:textId="186DDF4F" w:rsidR="00322139" w:rsidRDefault="00322139" w:rsidP="00322139">
      <w:pPr>
        <w:pStyle w:val="SingleTxtG"/>
      </w:pPr>
      <w:r>
        <w:t>14</w:t>
      </w:r>
      <w:r w:rsidR="00A76766">
        <w:t>7</w:t>
      </w:r>
      <w:r>
        <w:t>.</w:t>
      </w:r>
      <w:r>
        <w:tab/>
        <w:t xml:space="preserve">D’autre part, le chiffre 2 de l’article 8 du Code de procédure pénale établissant la compétence des Tribunaux sur des faits de torture commis à l’étranger fait référence à la définition figurant à l’article 1er de la Convention susvisée. Il énonce en effet qu’« </w:t>
      </w:r>
      <w:r w:rsidRPr="00C909F2">
        <w:rPr>
          <w:i/>
          <w:iCs/>
        </w:rPr>
        <w:t>outre les cas où la compétence des juridictions monégasques résulte des Ordonnances Souveraines prises pour l’application des Conventions internationales, peut être poursuivi et jugé dans la Principauté : [...] 2°) Quiconque se rend, hors du territoire de la Principauté, coupable de faits qualifiés de crime ou délit constituant des tortures au sens de l’article premier de la Convention contre la torture et autres peines ou traitements cruels, inhumains ou dégradants, adoptée à New York le 10 décembre 1984, s’il est trouvé dans la Principauté</w:t>
      </w:r>
      <w:r>
        <w:t xml:space="preserve"> ».</w:t>
      </w:r>
    </w:p>
    <w:p w14:paraId="52C03141" w14:textId="38928FA3" w:rsidR="00EC2B55" w:rsidRDefault="00322139" w:rsidP="00322139">
      <w:pPr>
        <w:pStyle w:val="SingleTxtG"/>
      </w:pPr>
      <w:r>
        <w:t>1</w:t>
      </w:r>
      <w:r w:rsidR="00A76766">
        <w:t>48</w:t>
      </w:r>
      <w:r>
        <w:t>.</w:t>
      </w:r>
      <w:r>
        <w:tab/>
        <w:t>De même, le Code pénal prévoit l’aggravation de la qualification ou des peines relatives à certains crimes et délits lorsque des actes de torture ont été commis :</w:t>
      </w:r>
    </w:p>
    <w:p w14:paraId="54099793" w14:textId="4E956A98" w:rsidR="00322139" w:rsidRDefault="00322139" w:rsidP="00A76766">
      <w:pPr>
        <w:pStyle w:val="Bullet1G"/>
      </w:pPr>
      <w:r>
        <w:t xml:space="preserve">L’article 228 du Code pénal concernant l’homicide volontaire dispose ainsi que « </w:t>
      </w:r>
      <w:r w:rsidRPr="00C909F2">
        <w:rPr>
          <w:i/>
          <w:iCs/>
        </w:rPr>
        <w:t>seront punis comme coupables d’assassinat ceux qui, pour l’exécution de leurs crimes, emploient des moyens de torture ou commettent des actes de cruauté</w:t>
      </w:r>
      <w:r>
        <w:t xml:space="preserve"> » ;</w:t>
      </w:r>
    </w:p>
    <w:p w14:paraId="0F08B9B2" w14:textId="5C3EC82D" w:rsidR="00322139" w:rsidRDefault="00322139" w:rsidP="00A76766">
      <w:pPr>
        <w:pStyle w:val="Bullet1G"/>
      </w:pPr>
      <w:r>
        <w:t xml:space="preserve">L’article 278 du Code pénal relatif à la détention et à la séquestration prévoit que « </w:t>
      </w:r>
      <w:r w:rsidRPr="00C909F2">
        <w:rPr>
          <w:i/>
          <w:iCs/>
        </w:rPr>
        <w:t>les coupables seront punis du maximum de la réclusion à temps dans chacun des trois cas suivants : […] 3° Si elle a été soumise à des tortures. La peine sera celle de la réclusion à perpétuité si, par suite des tortures, la personne a été atteinte de mutilation, amputation ou privation de l’usage d’un membre, cécité, perte d’un œil ou autre infirmité permanente grave</w:t>
      </w:r>
      <w:r>
        <w:t xml:space="preserve"> » ;</w:t>
      </w:r>
    </w:p>
    <w:p w14:paraId="5CC8AC97" w14:textId="5B5304FA" w:rsidR="00322139" w:rsidRDefault="00322139" w:rsidP="00A76766">
      <w:pPr>
        <w:pStyle w:val="Bullet1G"/>
      </w:pPr>
      <w:r>
        <w:t xml:space="preserve">Les articles 236 et 245 du Code pénal prévoient une aggravation de la peine respectivement pour violences et coups et blessures volontaires non qualifiés d’homicides et autres crimes et délits volontaires, lorsqu’ils ont été suivis de « </w:t>
      </w:r>
      <w:r w:rsidRPr="00C909F2">
        <w:rPr>
          <w:i/>
          <w:iCs/>
        </w:rPr>
        <w:t>mutilations, amputation ou privation de l’usage d’un membre, cécité, perte d’un œil ou autre infirmité permanente grave</w:t>
      </w:r>
      <w:r>
        <w:t xml:space="preserve"> » ;</w:t>
      </w:r>
    </w:p>
    <w:p w14:paraId="3CA4BBB6" w14:textId="6E35DBA7" w:rsidR="00EC2B55" w:rsidRDefault="00322139" w:rsidP="00A76766">
      <w:pPr>
        <w:pStyle w:val="Bullet1G"/>
      </w:pPr>
      <w:r>
        <w:t>L’article 247 du Code pénal précise le maximum de la peine de réclusion à temps pour le crime de castration et l’atteinte à l’intégrité des organes génitaux d’une personne de sexe féminin.</w:t>
      </w:r>
    </w:p>
    <w:p w14:paraId="2FD2A703" w14:textId="26D7437F" w:rsidR="00EC2B55" w:rsidRDefault="00322139" w:rsidP="00322139">
      <w:pPr>
        <w:pStyle w:val="SingleTxtG"/>
      </w:pPr>
      <w:r>
        <w:t>1</w:t>
      </w:r>
      <w:r w:rsidR="00A76766">
        <w:t>49</w:t>
      </w:r>
      <w:r>
        <w:t>.</w:t>
      </w:r>
      <w:r>
        <w:tab/>
        <w:t>De surcroît, les juridictions opèrent une interprétation large des termes de torture et de traitements cruels, inhumains ou dégradants de sorte que les définitions de la Convention contre la torture ainsi que celles du Pacte sont d’ores et déjà dûment couvertes dans l’application de la législation monégasque.</w:t>
      </w:r>
    </w:p>
    <w:p w14:paraId="0F23437F" w14:textId="16F2DFAA" w:rsidR="00EC2B55" w:rsidRDefault="00322139" w:rsidP="00322139">
      <w:pPr>
        <w:pStyle w:val="SingleTxtG"/>
      </w:pPr>
      <w:r>
        <w:t>15</w:t>
      </w:r>
      <w:r w:rsidR="00A76766">
        <w:t>0</w:t>
      </w:r>
      <w:r>
        <w:t>.</w:t>
      </w:r>
      <w:r>
        <w:tab/>
        <w:t>Ce cadre étant posé, une réflexion est actuellement menée et déjà avancée pour introduire dans le Code pénal une définition de la torture conforme à la Convention des Nations Unies contre la torture.</w:t>
      </w:r>
    </w:p>
    <w:p w14:paraId="129F8DB4" w14:textId="5641279D" w:rsidR="00EC2B55" w:rsidRDefault="00322139" w:rsidP="00322139">
      <w:pPr>
        <w:pStyle w:val="SingleTxtG"/>
      </w:pPr>
      <w:r>
        <w:t>15</w:t>
      </w:r>
      <w:r w:rsidR="00A76766">
        <w:t>1</w:t>
      </w:r>
      <w:r>
        <w:t>.</w:t>
      </w:r>
      <w:r>
        <w:tab/>
        <w:t>La lecture conjointe d’un nouvel article du Code pénal et des articles 2 et 41 existants, permettra d’ailleurs d’étendre la portée de cette définition à toute personne qui tente de commettre des actes de tortures ou qui est complice de tels actes.</w:t>
      </w:r>
    </w:p>
    <w:p w14:paraId="7A2D9F6E" w14:textId="4DF32FDE" w:rsidR="00EC2B55" w:rsidRDefault="00322139" w:rsidP="00322139">
      <w:pPr>
        <w:pStyle w:val="SingleTxtG"/>
      </w:pPr>
      <w:r>
        <w:t>15</w:t>
      </w:r>
      <w:r w:rsidR="00A76766">
        <w:t>2</w:t>
      </w:r>
      <w:r>
        <w:t>.</w:t>
      </w:r>
      <w:r>
        <w:tab/>
        <w:t>Par ailleurs, il est dûment tenu compte, dans le projet de rédaction du nouvel article du Code pénal, de l’obligation de prévoir des peines appropriées qui prennent en considération la gravité de l’infraction concernée, conformément au libellé du deuxième paragraphe de l'article 4 de la Convention précitée.</w:t>
      </w:r>
    </w:p>
    <w:p w14:paraId="0F274575" w14:textId="73626CBC" w:rsidR="00EC2B55" w:rsidRDefault="00A76766" w:rsidP="00A76766">
      <w:pPr>
        <w:pStyle w:val="H1G"/>
      </w:pPr>
      <w:r>
        <w:tab/>
      </w:r>
      <w:r>
        <w:tab/>
      </w:r>
      <w:r w:rsidR="00322139">
        <w:t xml:space="preserve">Traitement des personnes privées de liberté (art. 10) </w:t>
      </w:r>
    </w:p>
    <w:p w14:paraId="248BFF98" w14:textId="77777777" w:rsidR="00A76766" w:rsidRDefault="00A76766" w:rsidP="00322139">
      <w:pPr>
        <w:pStyle w:val="SingleTxtG"/>
        <w:rPr>
          <w:b/>
        </w:rPr>
      </w:pPr>
      <w:r w:rsidRPr="003D2CFE">
        <w:rPr>
          <w:b/>
        </w:rPr>
        <w:t>Réponse au paragraphe</w:t>
      </w:r>
      <w:r>
        <w:rPr>
          <w:b/>
        </w:rPr>
        <w:t xml:space="preserve"> </w:t>
      </w:r>
      <w:r>
        <w:rPr>
          <w:b/>
        </w:rPr>
        <w:t>14</w:t>
      </w:r>
    </w:p>
    <w:p w14:paraId="4C67F633" w14:textId="0C85629C" w:rsidR="00322139" w:rsidRDefault="00322139" w:rsidP="00322139">
      <w:pPr>
        <w:pStyle w:val="SingleTxtG"/>
      </w:pPr>
      <w:r>
        <w:lastRenderedPageBreak/>
        <w:t>15</w:t>
      </w:r>
      <w:r w:rsidR="00A76766">
        <w:t>3</w:t>
      </w:r>
      <w:r>
        <w:t>.</w:t>
      </w:r>
      <w:r>
        <w:tab/>
        <w:t>Pour ce qui relève de la Direction des Services Judiciaires, il convient de préciser qu’il n’est pas actuellement prévu de transférer la Maison d’arrêt vers un autre site, en raison des contraintes foncières et du territoire exigu et densément occupé de la Principauté. L’amélioration constante des conditions matérielles de détention au sein de l’établissement existant, par des travaux ciblés et des adaptations régulières de son fonctionnement, est menée.</w:t>
      </w:r>
    </w:p>
    <w:p w14:paraId="4B5CF039" w14:textId="40FCD9AA" w:rsidR="00322139" w:rsidRDefault="00322139" w:rsidP="00322139">
      <w:pPr>
        <w:pStyle w:val="SingleTxtG"/>
      </w:pPr>
      <w:r>
        <w:t>15</w:t>
      </w:r>
      <w:r w:rsidR="00A76766">
        <w:t>4</w:t>
      </w:r>
      <w:r>
        <w:t>.</w:t>
      </w:r>
      <w:r>
        <w:tab/>
        <w:t xml:space="preserve">La Maison d’arrêt, placée sous l’autorité de la Direction des Services Judiciaires, comprend une zone administrative et une zone de détention organisée en plusieurs quartiers, notamment pour les hommes majeurs, les femmes, les mineurs et les personnes bénéficiant d’un aménagement de peine. L’établissement dispose également d’espaces dédiés aux visites, d’une chapelle, d’une cour de promenade, d’un gymnase, d’une salle de musculation, d’une bibliothèque/salle informatique, de douches et d’autres locaux destinés à la prise en charge des personnes détenues. </w:t>
      </w:r>
    </w:p>
    <w:p w14:paraId="4778918C" w14:textId="3F996439" w:rsidR="00322139" w:rsidRDefault="00322139" w:rsidP="00322139">
      <w:pPr>
        <w:pStyle w:val="SingleTxtG"/>
      </w:pPr>
      <w:r>
        <w:t>15</w:t>
      </w:r>
      <w:r w:rsidR="00A76766">
        <w:t>5</w:t>
      </w:r>
      <w:r>
        <w:t>.</w:t>
      </w:r>
      <w:r>
        <w:tab/>
        <w:t xml:space="preserve">Depuis 2020, plusieurs opérations de travaux ont été engagées afin d’améliorer les conditions matérielles de détention. Une nouvelle coursive de quatre cellules, plus lumineuses, a été créée pour accueillir des personnes détenues de droit commun. Une autre coursive de trois cellules a également été aménagée pour les personnes bénéficiant d’un régime de semi-liberté ou d’une peine fractionnée, avec des cellules équipées d’une plaque de cuisson et d’une douche. Ces aménagements permettent d’adapter davantage les espaces de détention aux différents régimes d’exécution des peines. </w:t>
      </w:r>
    </w:p>
    <w:p w14:paraId="777495B4" w14:textId="694D612B" w:rsidR="00322139" w:rsidRDefault="00322139" w:rsidP="00322139">
      <w:pPr>
        <w:pStyle w:val="SingleTxtG"/>
      </w:pPr>
      <w:r>
        <w:t>15</w:t>
      </w:r>
      <w:r w:rsidR="00A76766">
        <w:t>6</w:t>
      </w:r>
      <w:r>
        <w:t>.</w:t>
      </w:r>
      <w:r>
        <w:tab/>
        <w:t xml:space="preserve">Des travaux ont également porté sur les espaces collectifs et les conditions de vie quotidienne. Une salle d’activité équipée de matériels de sport, de jeux de société et d’une borne d’arcade a été créée, de même qu’une nouvelle cour de promenade. Un nouveau système de climatisation, de chauffage et de ventilation mécanique contrôlée a été installé en détention, avec commande en cellule, ainsi qu’une nouvelle alimentation en eau chaude. </w:t>
      </w:r>
    </w:p>
    <w:p w14:paraId="4E9FFF2B" w14:textId="7CC05B9A" w:rsidR="00322139" w:rsidRDefault="00322139" w:rsidP="00322139">
      <w:pPr>
        <w:pStyle w:val="SingleTxtG"/>
      </w:pPr>
      <w:r>
        <w:t>15</w:t>
      </w:r>
      <w:r w:rsidR="00A76766">
        <w:t>7</w:t>
      </w:r>
      <w:r>
        <w:t>.</w:t>
      </w:r>
      <w:r>
        <w:tab/>
        <w:t xml:space="preserve">L’augmentation de l’espace et du temps consacrés aux activités doit aussi être relevée. Les personnes détenues bénéficient d’activités quotidiennes, de deux promenades de 45 minutes, d’un temps au gymnase de 45 minutes, ainsi que de la possibilité d’accéder à la salle de musculation une fois par jour, pour une durée d’une heure, par groupe de trois personnes. De nouvelles activités ont également été mises en place, notamment la sophrologie, l’art-thérapie, le crochet, un atelier de coiffure, un stage de sécurité routière et un stage de premiers secours. </w:t>
      </w:r>
    </w:p>
    <w:p w14:paraId="6B0CFA4C" w14:textId="1C715EA8" w:rsidR="00322139" w:rsidRDefault="00322139" w:rsidP="00322139">
      <w:pPr>
        <w:pStyle w:val="SingleTxtG"/>
      </w:pPr>
      <w:r>
        <w:t>1</w:t>
      </w:r>
      <w:r w:rsidR="00A76766">
        <w:t>58</w:t>
      </w:r>
      <w:r>
        <w:t>.</w:t>
      </w:r>
      <w:r>
        <w:tab/>
        <w:t xml:space="preserve">D’autres mesures ont contribué à améliorer les conditions de détention et à limiter les contraintes inutiles de la vie carcérale. Les promenades ne sont plus obligatoires, le lever matinal à 7h30 n’est plus imposé, la télévision n’est plus coupée à minuit, le choix des produits cantinables a été augmenté et des bornes interactives ont été installées dans chaque coursive afin de permettre aux personnes détenues de cantiner, de consulter leur compte nominatif et d’accéder aux textes réglementaires dans plusieurs langues. </w:t>
      </w:r>
    </w:p>
    <w:p w14:paraId="6BEB221A" w14:textId="7910E8E4" w:rsidR="00322139" w:rsidRDefault="00322139" w:rsidP="00322139">
      <w:pPr>
        <w:pStyle w:val="SingleTxtG"/>
      </w:pPr>
      <w:r>
        <w:t>1</w:t>
      </w:r>
      <w:r w:rsidR="00A76766">
        <w:t>59</w:t>
      </w:r>
      <w:r>
        <w:t>.</w:t>
      </w:r>
      <w:r>
        <w:tab/>
        <w:t>S’agissant des cellules d’attente du Palais de Justice, la réalisation de travaux d’amélioration est programmée. Ces travaux ont vocation à améliorer l’état matériel de ces cellules et les conditions d’attente des personnes temporairement placées dans ces locaux dans le cadre de leur présentation devant l’autorité judiciaire.</w:t>
      </w:r>
    </w:p>
    <w:p w14:paraId="19DA4D8A" w14:textId="1DB644EE" w:rsidR="00EC2B55" w:rsidRDefault="00322139" w:rsidP="00322139">
      <w:pPr>
        <w:pStyle w:val="SingleTxtG"/>
      </w:pPr>
      <w:r>
        <w:t>16</w:t>
      </w:r>
      <w:r w:rsidR="00A76766">
        <w:t>0</w:t>
      </w:r>
      <w:r>
        <w:t>.</w:t>
      </w:r>
      <w:r>
        <w:tab/>
        <w:t>Ainsi, en l’absence de projet de transfert de la Maison d’arrêt compte tenu des contraintes territoriales propres à Monaco, la Direction des Services Judiciaires poursuit une politique d’amélioration progressive des conditions de détention sur site. Cette politique repose sur la modernisation des cellules, l’amélioration de la luminosité de certains espaces, la création de nouveaux lieux d’activité et de promenade, l’augmentation des activités proposées aux personnes détenues et l’amélioration des équipements techniques de l’établissement.</w:t>
      </w:r>
    </w:p>
    <w:p w14:paraId="5448EB96" w14:textId="02791926" w:rsidR="00EC2B55" w:rsidRDefault="00A76766" w:rsidP="00A76766">
      <w:pPr>
        <w:pStyle w:val="H1G"/>
      </w:pPr>
      <w:r>
        <w:tab/>
      </w:r>
      <w:r>
        <w:tab/>
      </w:r>
      <w:r w:rsidR="00322139">
        <w:t>Traite des personnes (art. 2, 7, 8 et 26)</w:t>
      </w:r>
    </w:p>
    <w:p w14:paraId="2690C8B7" w14:textId="77777777" w:rsidR="00A76766" w:rsidRDefault="00A76766" w:rsidP="00322139">
      <w:pPr>
        <w:pStyle w:val="SingleTxtG"/>
        <w:rPr>
          <w:b/>
        </w:rPr>
      </w:pPr>
      <w:r w:rsidRPr="003D2CFE">
        <w:rPr>
          <w:b/>
        </w:rPr>
        <w:t>Réponse au paragraphe</w:t>
      </w:r>
      <w:r>
        <w:rPr>
          <w:b/>
        </w:rPr>
        <w:t xml:space="preserve"> </w:t>
      </w:r>
      <w:r>
        <w:rPr>
          <w:b/>
        </w:rPr>
        <w:t xml:space="preserve">15 </w:t>
      </w:r>
    </w:p>
    <w:p w14:paraId="027CC4AC" w14:textId="5326777B" w:rsidR="00EC2B55" w:rsidRDefault="00322139" w:rsidP="00322139">
      <w:pPr>
        <w:pStyle w:val="SingleTxtG"/>
      </w:pPr>
      <w:r>
        <w:lastRenderedPageBreak/>
        <w:t>16</w:t>
      </w:r>
      <w:r w:rsidR="00A76766">
        <w:t>1</w:t>
      </w:r>
      <w:r>
        <w:t>.</w:t>
      </w:r>
      <w:r>
        <w:tab/>
        <w:t>À ce jour, aucun fait n’a été constaté ou dénoncé, aucune enquête n’a été ouverte et aucune victime potentielle de traite des êtres humains n’a été recensée sur le territoire monégasque.</w:t>
      </w:r>
    </w:p>
    <w:p w14:paraId="77A6AC40" w14:textId="63F29F45" w:rsidR="00EC2B55" w:rsidRDefault="00A76766" w:rsidP="00A76766">
      <w:pPr>
        <w:pStyle w:val="H4G"/>
      </w:pPr>
      <w:r>
        <w:tab/>
      </w:r>
      <w:r>
        <w:tab/>
      </w:r>
      <w:r w:rsidR="00322139">
        <w:t>S’agissant du domaine de la justice :</w:t>
      </w:r>
    </w:p>
    <w:p w14:paraId="5C0B4C9A" w14:textId="21555226" w:rsidR="00322139" w:rsidRDefault="00322139" w:rsidP="00322139">
      <w:pPr>
        <w:pStyle w:val="SingleTxtG"/>
      </w:pPr>
      <w:r>
        <w:t>16</w:t>
      </w:r>
      <w:r w:rsidR="00A76766">
        <w:t>2</w:t>
      </w:r>
      <w:r>
        <w:t>.</w:t>
      </w:r>
      <w:r>
        <w:tab/>
        <w:t>La prévention et la lutte contre la traite des êtres humains reposent notamment sur le traitement pénal des faits susceptibles de recevoir cette qualification, la détection précoce des victimes présumées, la coordination avec les services compétents et la formation des professionnels de justice.</w:t>
      </w:r>
    </w:p>
    <w:p w14:paraId="388688D0" w14:textId="05C9D21F" w:rsidR="00322139" w:rsidRDefault="00322139" w:rsidP="00322139">
      <w:pPr>
        <w:pStyle w:val="SingleTxtG"/>
      </w:pPr>
      <w:r>
        <w:t>16</w:t>
      </w:r>
      <w:r w:rsidR="00A76766">
        <w:t>3</w:t>
      </w:r>
      <w:r>
        <w:t>.</w:t>
      </w:r>
      <w:r>
        <w:tab/>
        <w:t xml:space="preserve">La Principauté dispose d’un cadre juridique répressif fondé notamment sur l’Ordonnance Souveraine n° 605 du 1er août 2006, portant application de la Convention des Nations Unies contre la criminalité transnationale organisée et de ses protocoles additionnels, ainsi que sur l’Ordonnance Souveraine n° 5.803 du 11 avril 2016 rendant exécutoire la Convention du Conseil de l’Europe sur la lutte contre la traite des êtres humains. </w:t>
      </w:r>
    </w:p>
    <w:p w14:paraId="1C3B5760" w14:textId="3DD4F505" w:rsidR="00322139" w:rsidRDefault="00322139" w:rsidP="00322139">
      <w:pPr>
        <w:pStyle w:val="SingleTxtG"/>
      </w:pPr>
      <w:r>
        <w:t>16</w:t>
      </w:r>
      <w:r w:rsidR="00A76766">
        <w:t>4</w:t>
      </w:r>
      <w:r>
        <w:t>.</w:t>
      </w:r>
      <w:r>
        <w:tab/>
        <w:t xml:space="preserve">Ce cadre permet d’appréhender la traite sous ses différentes formes, notamment l’exploitation sexuelle, le travail ou les services forcés, l’esclavage, la servitude ou encore l’exploitation de la vulnérabilité des personnes. </w:t>
      </w:r>
    </w:p>
    <w:p w14:paraId="2B93C01D" w14:textId="05579FE5" w:rsidR="00322139" w:rsidRDefault="00322139" w:rsidP="00322139">
      <w:pPr>
        <w:pStyle w:val="SingleTxtG"/>
      </w:pPr>
      <w:r>
        <w:t>16</w:t>
      </w:r>
      <w:r w:rsidR="00A76766">
        <w:t>5</w:t>
      </w:r>
      <w:r>
        <w:t>.</w:t>
      </w:r>
      <w:r>
        <w:tab/>
        <w:t xml:space="preserve">Afin de renforcer l’effectivité de ce dispositif dans le champ judiciaire, le Secrétaire d’État à la Justice a adopté, le 28 novembre 2025, la circulaire n° 2025-47 relative à la prise en charge des victimes présumées de traite des êtres humains. Cette circulaire rappelle expressément les risques liés à la traite à des fins d’exploitation sexuelle, y compris par le biais de la cyber-prostitution ou des services d’escorte organisés sur internet, ainsi que les risques d’exploitation par le travail, notamment dans certains secteurs exposés tels que le travail domestique ou le yachting. </w:t>
      </w:r>
    </w:p>
    <w:p w14:paraId="1DAA3511" w14:textId="79243B3D" w:rsidR="00EC2B55" w:rsidRDefault="00322139" w:rsidP="00322139">
      <w:pPr>
        <w:pStyle w:val="SingleTxtG"/>
      </w:pPr>
      <w:r>
        <w:t>16</w:t>
      </w:r>
      <w:r w:rsidR="00A76766">
        <w:t>6</w:t>
      </w:r>
      <w:r>
        <w:t>.</w:t>
      </w:r>
      <w:r>
        <w:tab/>
        <w:t xml:space="preserve">Cette circulaire poursuit un double objectif : </w:t>
      </w:r>
    </w:p>
    <w:p w14:paraId="0185BA4F" w14:textId="1BC47C73" w:rsidR="00322139" w:rsidRDefault="00322139" w:rsidP="00A76766">
      <w:pPr>
        <w:pStyle w:val="Bullet1G"/>
      </w:pPr>
      <w:r>
        <w:t>D’une part, inciter les autorités judiciaires à recourir à la qualification de traite des êtres humains lorsque les éléments constitutifs sont réunis ;</w:t>
      </w:r>
    </w:p>
    <w:p w14:paraId="02490ADF" w14:textId="4B5DCEF4" w:rsidR="00322139" w:rsidRDefault="00322139" w:rsidP="00A76766">
      <w:pPr>
        <w:pStyle w:val="Bullet1G"/>
      </w:pPr>
      <w:r>
        <w:t xml:space="preserve">D’autre part, organiser une détection plus précoce et plus structurée des victimes présumées. </w:t>
      </w:r>
    </w:p>
    <w:p w14:paraId="4732B9E5" w14:textId="2C1A321C" w:rsidR="00322139" w:rsidRDefault="00322139" w:rsidP="00322139">
      <w:pPr>
        <w:pStyle w:val="SingleTxtG"/>
      </w:pPr>
      <w:r>
        <w:t>16</w:t>
      </w:r>
      <w:r w:rsidR="00A76766">
        <w:t>7</w:t>
      </w:r>
      <w:r>
        <w:t>.</w:t>
      </w:r>
      <w:r>
        <w:tab/>
        <w:t xml:space="preserve">Elle rappelle que la qualification de traite permet d’appréhender l’ensemble des personnes ayant participé à l’une des étapes du processus d’exploitation et qu’elle peut se cumuler avec d’autres qualifications, telles que le proxénétisme, l’esclavage ou la servitude forcée, afin d’apporter une réponse pénale globale. </w:t>
      </w:r>
    </w:p>
    <w:p w14:paraId="001263F7" w14:textId="1C950AFD" w:rsidR="00322139" w:rsidRDefault="00322139" w:rsidP="00322139">
      <w:pPr>
        <w:pStyle w:val="SingleTxtG"/>
      </w:pPr>
      <w:r>
        <w:t>1</w:t>
      </w:r>
      <w:r w:rsidR="00A76766">
        <w:t>68</w:t>
      </w:r>
      <w:r>
        <w:t>.</w:t>
      </w:r>
      <w:r>
        <w:tab/>
        <w:t xml:space="preserve">S’agissant de l’identification des victimes, la circulaire adopte une approche volontairement proactive. Elle définit la victime présumée comme toute personne présentant des indices sérieux de traite et précise que tout magistrat, greffier, agent de l’État, fonctionnaire ou vacataire dépendant du Secrétariat d’État à la Justice, et en particulier les magistrats du Ministère public, peut être amené à détecter une situation de traite dans le cadre de ses fonctions. </w:t>
      </w:r>
    </w:p>
    <w:p w14:paraId="5C91B6D2" w14:textId="07059B32" w:rsidR="00322139" w:rsidRDefault="00322139" w:rsidP="00322139">
      <w:pPr>
        <w:pStyle w:val="SingleTxtG"/>
      </w:pPr>
      <w:r>
        <w:t>1</w:t>
      </w:r>
      <w:r w:rsidR="00A76766">
        <w:t>69</w:t>
      </w:r>
      <w:r>
        <w:t>.</w:t>
      </w:r>
      <w:r>
        <w:tab/>
        <w:t xml:space="preserve">Cette détection peut intervenir non seulement dans le cadre d’une enquête pénale, mais également à l’occasion d’un contentieux civil, familial, commercial, administratif ou d’une mesure de protection judiciaire. </w:t>
      </w:r>
    </w:p>
    <w:p w14:paraId="5D1F8A0E" w14:textId="39EDA3E7" w:rsidR="00322139" w:rsidRDefault="00322139" w:rsidP="00322139">
      <w:pPr>
        <w:pStyle w:val="SingleTxtG"/>
      </w:pPr>
      <w:r>
        <w:t>17</w:t>
      </w:r>
      <w:r w:rsidR="00A76766">
        <w:t>0</w:t>
      </w:r>
      <w:r>
        <w:t>.</w:t>
      </w:r>
      <w:r>
        <w:tab/>
        <w:t xml:space="preserve">La circulaire identifie plusieurs catégories d’indicateurs susceptibles de révéler une situation de traite : indicateurs physiques ou comportementaux, indicateurs administratifs, indicateurs sociaux et indicateurs spécifiques aux mineurs. Elle retient une méthode pratique d’identification selon laquelle la présomption de traite est établie lorsque le magistrat ou l’agent constate au moins deux critères d’identification relevant de deux catégories différentes. </w:t>
      </w:r>
    </w:p>
    <w:p w14:paraId="1E00148D" w14:textId="0DD37E9F" w:rsidR="00322139" w:rsidRDefault="00322139" w:rsidP="00322139">
      <w:pPr>
        <w:pStyle w:val="SingleTxtG"/>
      </w:pPr>
      <w:r>
        <w:t>17</w:t>
      </w:r>
      <w:r w:rsidR="00A76766">
        <w:t>1</w:t>
      </w:r>
      <w:r>
        <w:t>.</w:t>
      </w:r>
      <w:r>
        <w:tab/>
        <w:t xml:space="preserve">Le rôle du Parquet général est central. Toute autorité, tout fonctionnaire ou officier public qui, dans l’exercice de ses fonctions, acquiert la connaissance d’une situation permettant de présumer l’existence d’un phénomène de traite, doit en aviser le Parquet général. À la suite de ce signalement, ou d’initiative lorsque des éléments font présumer une </w:t>
      </w:r>
      <w:r>
        <w:lastRenderedPageBreak/>
        <w:t xml:space="preserve">situation de traite, le Parquet général veille à l’ouverture rapide d’une enquête afin de confirmer ou d’écarter cette qualification. </w:t>
      </w:r>
    </w:p>
    <w:p w14:paraId="04213A6C" w14:textId="6616DC35" w:rsidR="00322139" w:rsidRDefault="00322139" w:rsidP="00322139">
      <w:pPr>
        <w:pStyle w:val="SingleTxtG"/>
      </w:pPr>
      <w:r>
        <w:t>17</w:t>
      </w:r>
      <w:r w:rsidR="00A76766">
        <w:t>2</w:t>
      </w:r>
      <w:r>
        <w:t>.</w:t>
      </w:r>
      <w:r>
        <w:tab/>
        <w:t xml:space="preserve">Lorsque les faits paraissent hautement probables à l’issue des premières vérifications, le Parquet général prend attache sans délai avec la Direction de l’Action et de l’Aide Sociales afin d’organiser, si nécessaire, une protection sanitaire et sociale de la victime présumée. Cette prise en charge peut notamment comprendre l’accès à un hébergement sécurisé, une assistance médicale, psychologique et sociale gratuite, ainsi qu’une information sur les droits de la victime dans une langue qu’elle comprend. </w:t>
      </w:r>
    </w:p>
    <w:p w14:paraId="09CAE282" w14:textId="371B82FE" w:rsidR="00322139" w:rsidRDefault="00322139" w:rsidP="00322139">
      <w:pPr>
        <w:pStyle w:val="SingleTxtG"/>
      </w:pPr>
      <w:r>
        <w:t>17</w:t>
      </w:r>
      <w:r w:rsidR="00A76766">
        <w:t>3</w:t>
      </w:r>
      <w:r>
        <w:t>.</w:t>
      </w:r>
      <w:r>
        <w:tab/>
        <w:t xml:space="preserve">La circulaire prévoit également que la victime présumée doit recevoir une information complète sur ses droits, notamment son droit d’obtenir réparation du préjudice subi, de se constituer partie civile et d’être aidée par les services de l’État ou par une association conventionnée d’aide aux victimes. Cette information doit être effective, adaptée à la situation de la personne concernée et, en cas de handicap, délivrée sous une forme appropriée. </w:t>
      </w:r>
    </w:p>
    <w:p w14:paraId="47603B37" w14:textId="1980E502" w:rsidR="00322139" w:rsidRDefault="00322139" w:rsidP="00322139">
      <w:pPr>
        <w:pStyle w:val="SingleTxtG"/>
      </w:pPr>
      <w:r>
        <w:t>17</w:t>
      </w:r>
      <w:r w:rsidR="00A76766">
        <w:t>4</w:t>
      </w:r>
      <w:r>
        <w:t>.</w:t>
      </w:r>
      <w:r>
        <w:tab/>
        <w:t xml:space="preserve">Ce dispositif présente l’intérêt de ne pas subordonner la première prise en charge à une plainte préalable ou à une coopération déjà acquise avec les autorités. L’objectif est d’assurer la protection de la victime présumée dès l’apparition d’indices sérieux, avant même que la situation ne soit définitivement qualifiée ou que la victime ait formalisé une déclaration complète. </w:t>
      </w:r>
    </w:p>
    <w:p w14:paraId="51CC8A57" w14:textId="684E9B56" w:rsidR="00322139" w:rsidRDefault="00322139" w:rsidP="00322139">
      <w:pPr>
        <w:pStyle w:val="SingleTxtG"/>
      </w:pPr>
      <w:r>
        <w:t>17</w:t>
      </w:r>
      <w:r w:rsidR="00A76766">
        <w:t>5</w:t>
      </w:r>
      <w:r>
        <w:t>.</w:t>
      </w:r>
      <w:r>
        <w:tab/>
        <w:t>En ce qui concerne l’assistance judiciaire gratuite, les victimes sont informées de leurs droits, orientées vers les dispositifs d’aide aux victimes et, lorsque les conditions légales sont réunies, peuvent solliciter le bénéfice de l’assistance judiciaire de droit commun.</w:t>
      </w:r>
    </w:p>
    <w:p w14:paraId="2EE411E2" w14:textId="599B5362" w:rsidR="00322139" w:rsidRDefault="00322139" w:rsidP="00322139">
      <w:pPr>
        <w:pStyle w:val="SingleTxtG"/>
      </w:pPr>
      <w:r>
        <w:t>17</w:t>
      </w:r>
      <w:r w:rsidR="00A76766">
        <w:t>6</w:t>
      </w:r>
      <w:r>
        <w:t>.</w:t>
      </w:r>
      <w:r>
        <w:tab/>
        <w:t xml:space="preserve">Afin d’assurer une cohérence dans les auditions, la circulaire comporte en annexe un modèle de procès-verbal d’audition des victimes présumées de traite. Ce document guide les enquêteurs sur les questions à poser selon les formes d’exploitation identifiées : exploitation sexuelle, travail forcé, esclavage ou pratiques analogues, servitude domestique, mendicité forcée ou prélèvement forcé d’organes ou de tissus. Il vise à améliorer la qualité des premières auditions tout en évitant de méconnaître des situations de contrainte, d’emprise ou de vulnérabilité. </w:t>
      </w:r>
    </w:p>
    <w:p w14:paraId="7E8EE29D" w14:textId="008FBB21" w:rsidR="00322139" w:rsidRDefault="00322139" w:rsidP="00322139">
      <w:pPr>
        <w:pStyle w:val="SingleTxtG"/>
      </w:pPr>
      <w:r>
        <w:t>17</w:t>
      </w:r>
      <w:r w:rsidR="00A76766">
        <w:t>7</w:t>
      </w:r>
      <w:r>
        <w:t>.</w:t>
      </w:r>
      <w:r>
        <w:tab/>
        <w:t xml:space="preserve">Par ailleurs, des garanties particulières sont prévues pour les mineurs. En cas de doute sur l’âge d’une victime présumée de traite, celle-ci est présumée mineure jusqu’à vérification. </w:t>
      </w:r>
    </w:p>
    <w:p w14:paraId="4A98A73B" w14:textId="19A12B25" w:rsidR="00322139" w:rsidRDefault="00322139" w:rsidP="00322139">
      <w:pPr>
        <w:pStyle w:val="SingleTxtG"/>
      </w:pPr>
      <w:r>
        <w:t>1</w:t>
      </w:r>
      <w:r w:rsidR="00A76766">
        <w:t>78</w:t>
      </w:r>
      <w:r>
        <w:t>.</w:t>
      </w:r>
      <w:r>
        <w:tab/>
        <w:t xml:space="preserve">En présence d’un mineur isolé victime présumée de traite, ou ayant l’apparence de la minorité, les Officiers de police judiciaire doivent aviser la permanence du Parquet général afin qu’une prise en charge soit organisée. Celle-ci comprend notamment un soutien alimentaire et sanitaire et, le cas échéant, une orientation vers la structure en charge de leur accueil (le Foyer de l’Enfance Princesse Charlène). La désignation d’un administrateur ad hoc doit également être envisagée lorsque les intérêts du mineur ne sont pas suffisamment protégés par ses représentants légaux. </w:t>
      </w:r>
    </w:p>
    <w:p w14:paraId="5D54688F" w14:textId="2FF98552" w:rsidR="00322139" w:rsidRDefault="00322139" w:rsidP="00322139">
      <w:pPr>
        <w:pStyle w:val="SingleTxtG"/>
      </w:pPr>
      <w:r>
        <w:t>1</w:t>
      </w:r>
      <w:r w:rsidR="00A76766">
        <w:t>79</w:t>
      </w:r>
      <w:r>
        <w:t>.</w:t>
      </w:r>
      <w:r>
        <w:tab/>
        <w:t xml:space="preserve">La circulaire prévoit enfin la désignation d’un magistrat référent au sein du Parquet général pour le traitement des affaires de traite. Ses coordonnées sont communiquées aux services sociaux partenaires et à la Sûreté publique. Ce point permet d’améliorer la coordination interservices, tout en maintenant chaque administration dans son champ d’attribution. </w:t>
      </w:r>
    </w:p>
    <w:p w14:paraId="0A3C25E5" w14:textId="49CFCA77" w:rsidR="00322139" w:rsidRDefault="00322139" w:rsidP="00322139">
      <w:pPr>
        <w:pStyle w:val="SingleTxtG"/>
      </w:pPr>
      <w:r>
        <w:t>18</w:t>
      </w:r>
      <w:r w:rsidR="00A76766">
        <w:t>0</w:t>
      </w:r>
      <w:r>
        <w:t>.</w:t>
      </w:r>
      <w:r>
        <w:tab/>
        <w:t xml:space="preserve">La Direction des Services Judiciaires contribue également à la prévention de la traite des êtres humains par la formation des professionnels du droit. </w:t>
      </w:r>
    </w:p>
    <w:p w14:paraId="408683E7" w14:textId="149F1AEA" w:rsidR="00322139" w:rsidRDefault="00322139" w:rsidP="00322139">
      <w:pPr>
        <w:pStyle w:val="SingleTxtG"/>
      </w:pPr>
      <w:r>
        <w:t>18</w:t>
      </w:r>
      <w:r w:rsidR="00A76766">
        <w:t>1</w:t>
      </w:r>
      <w:r>
        <w:t>.</w:t>
      </w:r>
      <w:r>
        <w:tab/>
        <w:t xml:space="preserve">L’Institut Monégasque de Formation aux Professions Judiciaires assure la formation initiale et continue des magistrats, avocats, avocats-défenseurs et autres professions judiciaires. Son programme comprend notamment des enseignements relatifs aux droits et libertés fondamentaux, au droit européen des droits de l’Homme et à la dignité humaine. </w:t>
      </w:r>
    </w:p>
    <w:p w14:paraId="35A28C3E" w14:textId="1FF121BF" w:rsidR="00EC2B55" w:rsidRDefault="00322139" w:rsidP="00322139">
      <w:pPr>
        <w:pStyle w:val="SingleTxtG"/>
      </w:pPr>
      <w:r>
        <w:t>18</w:t>
      </w:r>
      <w:r w:rsidR="00A76766">
        <w:t>2</w:t>
      </w:r>
      <w:r>
        <w:t>.</w:t>
      </w:r>
      <w:r>
        <w:tab/>
        <w:t xml:space="preserve">Les magistrats peuvent également accéder à des formations portant sur la lutte contre la traite des êtres humains. </w:t>
      </w:r>
    </w:p>
    <w:p w14:paraId="49C80C01" w14:textId="61510919" w:rsidR="00EC2B55" w:rsidRDefault="00A76766" w:rsidP="00A76766">
      <w:pPr>
        <w:pStyle w:val="H4G"/>
      </w:pPr>
      <w:r>
        <w:lastRenderedPageBreak/>
        <w:tab/>
      </w:r>
      <w:r>
        <w:tab/>
      </w:r>
      <w:r w:rsidR="00322139">
        <w:t xml:space="preserve">S’agissant du domaine social : </w:t>
      </w:r>
    </w:p>
    <w:p w14:paraId="79602089" w14:textId="5CF7D6C8" w:rsidR="00322139" w:rsidRDefault="00322139" w:rsidP="00322139">
      <w:pPr>
        <w:pStyle w:val="SingleTxtG"/>
      </w:pPr>
      <w:r>
        <w:t>18</w:t>
      </w:r>
      <w:r w:rsidR="00A76766">
        <w:t>3</w:t>
      </w:r>
      <w:r>
        <w:t>.</w:t>
      </w:r>
      <w:r>
        <w:tab/>
        <w:t xml:space="preserve">Toute personne pourrait bénéficier, quelle que ce soit sa situation administrative, d’une mise à l’abri et d’une assistance psychologique et matérielle par la Direction de l’Action et de l’Aide Sociales (DASO), en coopération, le cas échéant, avec des associations locales, telles que l’Association d’aide aux victimes d’infractions pénales (AVIP) ou la Croix Rouge Monégasque. Une telle assistance pourrait notamment intervenir tant dans la phase d’instruction (reconnaissance du statut de victime de traite). </w:t>
      </w:r>
    </w:p>
    <w:p w14:paraId="77CD134A" w14:textId="76CB25AB" w:rsidR="00322139" w:rsidRDefault="00322139" w:rsidP="00322139">
      <w:pPr>
        <w:pStyle w:val="SingleTxtG"/>
      </w:pPr>
      <w:r>
        <w:t>18</w:t>
      </w:r>
      <w:r w:rsidR="00A76766">
        <w:t>4</w:t>
      </w:r>
      <w:r>
        <w:t>.</w:t>
      </w:r>
      <w:r>
        <w:tab/>
        <w:t xml:space="preserve">Une victime pourrait être, dans un second temps, orientée vers un professionnel libéral. Si besoin, un financement des séances est possible. Un accès aux soins de santé est également possible par le biais de l’Aide Médicale de l’État (AME). En cas d’urgence, la victime pourrait enfin être directement dirigée vers le Centre Hospitalier Princesse Grace (unique hôpital public de Monaco). </w:t>
      </w:r>
    </w:p>
    <w:p w14:paraId="71A0D2B4" w14:textId="0C1D4CA6" w:rsidR="00EC2B55" w:rsidRDefault="00322139" w:rsidP="00322139">
      <w:pPr>
        <w:pStyle w:val="SingleTxtG"/>
      </w:pPr>
      <w:r>
        <w:t>18</w:t>
      </w:r>
      <w:r w:rsidR="00A76766">
        <w:t>5</w:t>
      </w:r>
      <w:r>
        <w:t>.</w:t>
      </w:r>
      <w:r>
        <w:tab/>
        <w:t xml:space="preserve">Pour faciliter l’identification de possibles victimes de traite des êtres humains, les services concernées par cette thématique suivent des actions de formation. Des formations sur l’identification ont été dispensées auprès de certains agents travaillant notamment les services sociaux concernés. </w:t>
      </w:r>
    </w:p>
    <w:p w14:paraId="06F99B09" w14:textId="3E05C912" w:rsidR="00EC2B55" w:rsidRDefault="00A76766" w:rsidP="00A76766">
      <w:pPr>
        <w:pStyle w:val="H4G"/>
      </w:pPr>
      <w:r>
        <w:tab/>
      </w:r>
      <w:r>
        <w:tab/>
      </w:r>
      <w:r w:rsidR="00322139">
        <w:t xml:space="preserve">S’agissant du domaine du travail : </w:t>
      </w:r>
    </w:p>
    <w:p w14:paraId="4F8FD7FE" w14:textId="630AC579" w:rsidR="00322139" w:rsidRDefault="00322139" w:rsidP="00322139">
      <w:pPr>
        <w:pStyle w:val="SingleTxtG"/>
      </w:pPr>
      <w:r>
        <w:t>18</w:t>
      </w:r>
      <w:r w:rsidR="00A76766">
        <w:t>6</w:t>
      </w:r>
      <w:r>
        <w:t>.</w:t>
      </w:r>
      <w:r>
        <w:tab/>
        <w:t xml:space="preserve">La Direction du Travail </w:t>
      </w:r>
      <w:proofErr w:type="gramStart"/>
      <w:r>
        <w:t>est en charge</w:t>
      </w:r>
      <w:proofErr w:type="gramEnd"/>
      <w:r>
        <w:t xml:space="preserve"> de l’application de la législation et de la réglementation du travail en droit privé, ainsi que de contrôle de l’application des dispositions légales et réglementaires concernant les conditions du travail et la protection des travailleurs dans les domaines de la sécurité, de l’hygiène et de la santé, au sein de tous les établissements industriels, commerciaux et artisanaux. </w:t>
      </w:r>
    </w:p>
    <w:p w14:paraId="5C5E0F14" w14:textId="5F8BFABC" w:rsidR="00322139" w:rsidRDefault="00322139" w:rsidP="00322139">
      <w:pPr>
        <w:pStyle w:val="SingleTxtG"/>
      </w:pPr>
      <w:r>
        <w:t>18</w:t>
      </w:r>
      <w:r w:rsidR="00A76766">
        <w:t>7</w:t>
      </w:r>
      <w:r>
        <w:t>.</w:t>
      </w:r>
      <w:r>
        <w:tab/>
        <w:t xml:space="preserve">Ainsi, de nombreux contrôles sont réalisés dans les établissements commerciaux et industriels pour s’assurer du respect des règles d’hygiène et de sécurité, ainsi que sur les chantiers. </w:t>
      </w:r>
    </w:p>
    <w:p w14:paraId="1F754A02" w14:textId="3829A3EB" w:rsidR="00322139" w:rsidRDefault="00322139" w:rsidP="00322139">
      <w:pPr>
        <w:pStyle w:val="SingleTxtG"/>
      </w:pPr>
      <w:r>
        <w:t>1</w:t>
      </w:r>
      <w:r w:rsidR="00A76766">
        <w:t>88</w:t>
      </w:r>
      <w:r>
        <w:t>.</w:t>
      </w:r>
      <w:r>
        <w:tab/>
        <w:t xml:space="preserve">Par ailleurs, toute personne peut être reçue à l’Inspection du Travail sans rendez-vous, et de façon prioritaire dès lors que sont évoquées des mauvaises conditions de travail (par exemple, absence de permis de travail, non-paiements des salaires, etc.). </w:t>
      </w:r>
    </w:p>
    <w:p w14:paraId="71A4FD19" w14:textId="6312A193" w:rsidR="00322139" w:rsidRDefault="00322139" w:rsidP="00322139">
      <w:pPr>
        <w:pStyle w:val="SingleTxtG"/>
      </w:pPr>
      <w:r>
        <w:t>1</w:t>
      </w:r>
      <w:r w:rsidR="00A76766">
        <w:t>89</w:t>
      </w:r>
      <w:r>
        <w:t>.</w:t>
      </w:r>
      <w:r>
        <w:tab/>
        <w:t xml:space="preserve">Il est dispensé des formations pour identifier les victimes de traite, tant au sein du service de l’Inspection du Travail qu’à la Direction du Travail. </w:t>
      </w:r>
    </w:p>
    <w:p w14:paraId="6E3B801D" w14:textId="5099402F" w:rsidR="00EC2B55" w:rsidRDefault="00322139" w:rsidP="00322139">
      <w:pPr>
        <w:pStyle w:val="SingleTxtG"/>
      </w:pPr>
      <w:r>
        <w:t>19</w:t>
      </w:r>
      <w:r w:rsidR="00A76766">
        <w:t>0</w:t>
      </w:r>
      <w:r>
        <w:t>.</w:t>
      </w:r>
      <w:r>
        <w:tab/>
        <w:t xml:space="preserve">En outre, des programmes de sensibilisation des syndicats et des associations pertinentes sont organisés afin de renforcer les capacités d’identification. </w:t>
      </w:r>
    </w:p>
    <w:p w14:paraId="7A9BA069" w14:textId="23C23EA9" w:rsidR="00EC2B55" w:rsidRDefault="00A76766" w:rsidP="00A76766">
      <w:pPr>
        <w:pStyle w:val="H4G"/>
      </w:pPr>
      <w:r>
        <w:tab/>
      </w:r>
      <w:r>
        <w:tab/>
      </w:r>
      <w:r w:rsidR="00322139">
        <w:t>S’agissant du domaine de la santé :</w:t>
      </w:r>
    </w:p>
    <w:p w14:paraId="272BB2C3" w14:textId="1050E824" w:rsidR="00322139" w:rsidRDefault="00322139" w:rsidP="00322139">
      <w:pPr>
        <w:pStyle w:val="SingleTxtG"/>
      </w:pPr>
      <w:r>
        <w:t>19</w:t>
      </w:r>
      <w:r w:rsidR="00A76766">
        <w:t>1</w:t>
      </w:r>
      <w:r>
        <w:t>.</w:t>
      </w:r>
      <w:r>
        <w:tab/>
        <w:t xml:space="preserve">S’agissant des procédures d’identification des victimes, certains personnels soignants des services les plus susceptibles d’être en contact avec ce type de patients au sein du Centre Hospitalier Princesse Grace suivent des formations dispensées par l’Association accréditée « </w:t>
      </w:r>
      <w:r w:rsidRPr="00C909F2">
        <w:rPr>
          <w:i/>
          <w:iCs/>
        </w:rPr>
        <w:t>Agir pour le lien social et la citoyenneté</w:t>
      </w:r>
      <w:r>
        <w:t xml:space="preserve"> », dans le cadre de la coordination du dispositif national français d’accueil et de protection des victimes de la traite. </w:t>
      </w:r>
    </w:p>
    <w:p w14:paraId="5275AE24" w14:textId="45E478CC" w:rsidR="00322139" w:rsidRDefault="00322139" w:rsidP="00322139">
      <w:pPr>
        <w:pStyle w:val="SingleTxtG"/>
      </w:pPr>
      <w:r>
        <w:t>19</w:t>
      </w:r>
      <w:r w:rsidR="00A76766">
        <w:t>2</w:t>
      </w:r>
      <w:r>
        <w:t>.</w:t>
      </w:r>
      <w:r>
        <w:tab/>
        <w:t xml:space="preserve">Ces formations permettent au personnel sanitaire de mieux connaître le phénomène de traite des êtres humains, de maîtriser les principaux indicateurs permettant d’identifier une victime et de mener un entretien d’identification d’une victime. </w:t>
      </w:r>
    </w:p>
    <w:p w14:paraId="07A689FA" w14:textId="00F8B146" w:rsidR="00322139" w:rsidRDefault="00322139" w:rsidP="00322139">
      <w:pPr>
        <w:pStyle w:val="SingleTxtG"/>
      </w:pPr>
      <w:r>
        <w:t>19</w:t>
      </w:r>
      <w:r w:rsidR="00A76766">
        <w:t>3</w:t>
      </w:r>
      <w:r>
        <w:t>.</w:t>
      </w:r>
      <w:r>
        <w:tab/>
        <w:t xml:space="preserve">Sont notamment abordés lors de ces formations, la définition juridique de la traite des êtres humains, les différentes formes d’exploitation par le travail, les principaux indicateurs permettant l’identification des victimes. Sont aussi présentés l’organisation d’un entretien d’identification d’une victime de traite, ainsi que les dispositifs d’assistance et de protection des victimes de traite des êtres humains.  </w:t>
      </w:r>
    </w:p>
    <w:p w14:paraId="1B07E8B4" w14:textId="4E5339FC" w:rsidR="00322139" w:rsidRDefault="00322139" w:rsidP="00322139">
      <w:pPr>
        <w:pStyle w:val="SingleTxtG"/>
      </w:pPr>
      <w:r>
        <w:t>19</w:t>
      </w:r>
      <w:r w:rsidR="00A76766">
        <w:t>4</w:t>
      </w:r>
      <w:r>
        <w:t>.</w:t>
      </w:r>
      <w:r>
        <w:tab/>
        <w:t xml:space="preserve">Le personnel médical et soignant du service des urgences adultes et pédiatriques ainsi que du service de la maternité sont aussi régulièrement formés à la prise en charge des personnes les plus vulnérables et fragiles. </w:t>
      </w:r>
    </w:p>
    <w:p w14:paraId="197713AA" w14:textId="75B842F7" w:rsidR="00322139" w:rsidRDefault="00322139" w:rsidP="00322139">
      <w:pPr>
        <w:pStyle w:val="SingleTxtG"/>
      </w:pPr>
      <w:r>
        <w:lastRenderedPageBreak/>
        <w:t>19</w:t>
      </w:r>
      <w:r w:rsidR="00A76766">
        <w:t>5</w:t>
      </w:r>
      <w:r>
        <w:t>.</w:t>
      </w:r>
      <w:r>
        <w:tab/>
        <w:t xml:space="preserve">De manière plus générale, le personnel de l’Hôpital public de Monaco dispose également de plusieurs sources d’information afin d’identifier les victimes de violence ou maltraitance. </w:t>
      </w:r>
    </w:p>
    <w:p w14:paraId="083A252C" w14:textId="19A73471" w:rsidR="00322139" w:rsidRDefault="00322139" w:rsidP="00322139">
      <w:pPr>
        <w:pStyle w:val="SingleTxtG"/>
      </w:pPr>
      <w:r>
        <w:t>19</w:t>
      </w:r>
      <w:r w:rsidR="00A76766">
        <w:t>6</w:t>
      </w:r>
      <w:r>
        <w:t>.</w:t>
      </w:r>
      <w:r>
        <w:tab/>
        <w:t xml:space="preserve">Le Centre Hospitalier Princesse Grace a récemment été certifié avec la mention « </w:t>
      </w:r>
      <w:r w:rsidRPr="00C909F2">
        <w:rPr>
          <w:i/>
          <w:iCs/>
        </w:rPr>
        <w:t>Haute Qualité de soins</w:t>
      </w:r>
      <w:r>
        <w:t xml:space="preserve"> » par la Haute Autorité de santé française (avec la note maximale de 100%). Cela indique notamment que cet établissement participe de façon la plus adéquate au « </w:t>
      </w:r>
      <w:r w:rsidRPr="00C909F2">
        <w:rPr>
          <w:i/>
          <w:iCs/>
        </w:rPr>
        <w:t>repérage et à la prise en charge des maltraitances éventuelles subies par les patients</w:t>
      </w:r>
      <w:r>
        <w:t xml:space="preserve"> ». </w:t>
      </w:r>
    </w:p>
    <w:p w14:paraId="39B0B63E" w14:textId="3D465316" w:rsidR="00322139" w:rsidRDefault="00322139" w:rsidP="00322139">
      <w:pPr>
        <w:pStyle w:val="SingleTxtG"/>
      </w:pPr>
      <w:r>
        <w:t>19</w:t>
      </w:r>
      <w:r w:rsidR="00A76766">
        <w:t>7</w:t>
      </w:r>
      <w:r>
        <w:t>.</w:t>
      </w:r>
      <w:r>
        <w:tab/>
        <w:t xml:space="preserve">En outre, le Centre Hospitalier Princesse Grace dispose d’une procédure définie pour la transmission d’une information préoccupante ou d’un signalement sur la situation d’un mineur en danger ou en risque de danger. </w:t>
      </w:r>
    </w:p>
    <w:p w14:paraId="4B4C3746" w14:textId="31AAB9F2" w:rsidR="00322139" w:rsidRDefault="00A76766" w:rsidP="00322139">
      <w:pPr>
        <w:pStyle w:val="SingleTxtG"/>
      </w:pPr>
      <w:r>
        <w:t>198</w:t>
      </w:r>
      <w:r w:rsidR="00322139">
        <w:t>.</w:t>
      </w:r>
      <w:r w:rsidR="00322139">
        <w:tab/>
        <w:t xml:space="preserve">Il dispose aussi d’une procédure de signalement des violences commises à l’extérieur de l’institution et constatées sur les patients ou les résidents, ce qui peut également participer à la détection d’un patient victime de traite. </w:t>
      </w:r>
    </w:p>
    <w:p w14:paraId="418996AA" w14:textId="37FEB4A8" w:rsidR="00EC2B55" w:rsidRDefault="00A76766" w:rsidP="00322139">
      <w:pPr>
        <w:pStyle w:val="SingleTxtG"/>
      </w:pPr>
      <w:r>
        <w:t>199</w:t>
      </w:r>
      <w:r w:rsidR="00322139">
        <w:t>.</w:t>
      </w:r>
      <w:r w:rsidR="00322139">
        <w:tab/>
        <w:t xml:space="preserve">Enfin, il dispose d’un logigramme, présenté sous une forme synthétique, facilement lisible et accessible à l’ensemble du personnel soignant, qui schématise la démarche de lutte contre les violences et identifie la marche à suivre en cas de doute ou de situation avérée. </w:t>
      </w:r>
    </w:p>
    <w:p w14:paraId="1CFB372D" w14:textId="3C850E4D" w:rsidR="00EC2B55" w:rsidRDefault="00A76766" w:rsidP="00A76766">
      <w:pPr>
        <w:pStyle w:val="H1G"/>
      </w:pPr>
      <w:r>
        <w:tab/>
      </w:r>
      <w:r>
        <w:tab/>
      </w:r>
      <w:r w:rsidR="00322139">
        <w:t xml:space="preserve">Traitement des étrangers, y compris les migrants, les réfugiés et les demandeurs d’asile (art. 7, 9, 12, 13 et 24) </w:t>
      </w:r>
    </w:p>
    <w:p w14:paraId="43808685" w14:textId="77777777" w:rsidR="00A76766" w:rsidRDefault="00A76766" w:rsidP="00322139">
      <w:pPr>
        <w:pStyle w:val="SingleTxtG"/>
        <w:rPr>
          <w:b/>
        </w:rPr>
      </w:pPr>
      <w:r w:rsidRPr="003D2CFE">
        <w:rPr>
          <w:b/>
        </w:rPr>
        <w:t>Réponse au paragraphe</w:t>
      </w:r>
      <w:r>
        <w:rPr>
          <w:b/>
        </w:rPr>
        <w:t xml:space="preserve"> </w:t>
      </w:r>
      <w:r>
        <w:rPr>
          <w:b/>
        </w:rPr>
        <w:t>16</w:t>
      </w:r>
    </w:p>
    <w:p w14:paraId="3E1C597E" w14:textId="2D9A2FB3" w:rsidR="00322139" w:rsidRDefault="00322139" w:rsidP="00322139">
      <w:pPr>
        <w:pStyle w:val="SingleTxtG"/>
      </w:pPr>
      <w:r>
        <w:t>20</w:t>
      </w:r>
      <w:r w:rsidR="00A76766">
        <w:t>0</w:t>
      </w:r>
      <w:r>
        <w:t>.</w:t>
      </w:r>
      <w:r>
        <w:tab/>
        <w:t xml:space="preserve">Les demandes d’asile en Principauté de Monaco sont extrêmement rares. Le territoire national, d’une surface de 2,08 km² et imbriqué dans le territoire français, n’en fait ni un État de destination ni un canal d’immigration. </w:t>
      </w:r>
    </w:p>
    <w:p w14:paraId="60A1FEB4" w14:textId="0ECAA5DE" w:rsidR="00322139" w:rsidRDefault="00322139" w:rsidP="00322139">
      <w:pPr>
        <w:pStyle w:val="SingleTxtG"/>
      </w:pPr>
      <w:r>
        <w:t>20</w:t>
      </w:r>
      <w:r w:rsidR="00A76766">
        <w:t>1</w:t>
      </w:r>
      <w:r>
        <w:t>.</w:t>
      </w:r>
      <w:r>
        <w:tab/>
        <w:t>Les autorités monégasques assurent la protection administrative et juridique des réfugiés résidant en Principauté.</w:t>
      </w:r>
    </w:p>
    <w:p w14:paraId="41B5279E" w14:textId="23DA0745" w:rsidR="00322139" w:rsidRDefault="00322139" w:rsidP="00322139">
      <w:pPr>
        <w:pStyle w:val="SingleTxtG"/>
      </w:pPr>
      <w:r>
        <w:t>20</w:t>
      </w:r>
      <w:r w:rsidR="00A76766">
        <w:t>2</w:t>
      </w:r>
      <w:r>
        <w:t>.</w:t>
      </w:r>
      <w:r>
        <w:tab/>
        <w:t>La Convention de Genève du 28 juillet 1951 relative au statut des réfugiés a été rendue exécutoire en Principauté par l’Ordonnance Souveraine n°996 du 2 août 1954 et permet de définir les conditions dans lesquelles une personne peut être reconnue comme réfugiée et bénéficier de la protection juridique associée. La Principauté a aussi ratifié le Protocole de New York du 31 janvier 1967 relatif au statut des réfugiés.</w:t>
      </w:r>
    </w:p>
    <w:p w14:paraId="5DBDA546" w14:textId="626258F1" w:rsidR="00322139" w:rsidRDefault="00322139" w:rsidP="00A23AAC">
      <w:pPr>
        <w:pStyle w:val="SingleTxtG"/>
      </w:pPr>
      <w:r>
        <w:t>20</w:t>
      </w:r>
      <w:r w:rsidR="00A23AAC">
        <w:t>3</w:t>
      </w:r>
      <w:r>
        <w:t>.</w:t>
      </w:r>
      <w:r>
        <w:tab/>
        <w:t>Les demandes d'asile sont traitées au cas par cas, en conformité avec les principes établis par la Convention de 1951. Les critères d'éligibilité au statut de réfugié sont alignés sur ceux définis par cette Convention, notamment la crainte fondée de persécution en raison de la race, de la religion, de la nationalité, de l'appartenance à un certain groupe social ou des opinions politiques.</w:t>
      </w:r>
    </w:p>
    <w:p w14:paraId="4F7A5634" w14:textId="45DADD2D" w:rsidR="00322139" w:rsidRDefault="00322139" w:rsidP="00322139">
      <w:pPr>
        <w:pStyle w:val="SingleTxtG"/>
      </w:pPr>
      <w:r>
        <w:t>20</w:t>
      </w:r>
      <w:r w:rsidR="00A23AAC">
        <w:t>4</w:t>
      </w:r>
      <w:r>
        <w:t>.</w:t>
      </w:r>
      <w:r>
        <w:tab/>
        <w:t>Les personnes aux ressources limitées peuvent solliciter l'assistance judiciaire à Monaco pour faire valoir leurs droits en justice. Cette aide est accordée sous conditions de revenus et couvre diverses matières, y compris les procédures liées à l'asile.</w:t>
      </w:r>
    </w:p>
    <w:p w14:paraId="2349F8B0" w14:textId="2C1BB097" w:rsidR="00322139" w:rsidRDefault="00322139" w:rsidP="00322139">
      <w:pPr>
        <w:pStyle w:val="SingleTxtG"/>
      </w:pPr>
      <w:r>
        <w:t>20</w:t>
      </w:r>
      <w:r w:rsidR="00A23AAC">
        <w:t>5</w:t>
      </w:r>
      <w:r>
        <w:t>.</w:t>
      </w:r>
      <w:r>
        <w:tab/>
        <w:t>Il n’est pas rappelé ici les étapes de la procédure dans le détail. En cas de décision favorable, la Principauté accorde alors sa protection au demandeur en lui délivrant notamment un titre de voyage ainsi que le stipule l’article 28 de la Convention.</w:t>
      </w:r>
    </w:p>
    <w:p w14:paraId="67D62BB6" w14:textId="1E69799D" w:rsidR="00322139" w:rsidRDefault="00322139" w:rsidP="00322139">
      <w:pPr>
        <w:pStyle w:val="SingleTxtG"/>
      </w:pPr>
      <w:r>
        <w:t>20</w:t>
      </w:r>
      <w:r w:rsidR="00A23AAC">
        <w:t>6</w:t>
      </w:r>
      <w:r>
        <w:t>.</w:t>
      </w:r>
      <w:r>
        <w:tab/>
        <w:t>S’agissant du soutien apporté aux ukrainiens arrivés depuis le déclenchement de l’agression russe en 2022, un dispositif spécifique complet a été mis en œuvre par les pouvoirs publics. Toute information utile est mise en ligne sur le site Internet du Gouvernement Princier (à l’adresse monservicepublic.gouv.mc). La page y consacrée permet le téléchargement d’un guide d’accueil trilingue pour les déplacés ukrainiens, agrémenté de toutes informations pratiques.</w:t>
      </w:r>
    </w:p>
    <w:p w14:paraId="1E57D2AA" w14:textId="605AAB9E" w:rsidR="00322139" w:rsidRDefault="00322139" w:rsidP="00322139">
      <w:pPr>
        <w:pStyle w:val="SingleTxtG"/>
      </w:pPr>
      <w:r>
        <w:t>20</w:t>
      </w:r>
      <w:r w:rsidR="00A23AAC">
        <w:t>7</w:t>
      </w:r>
      <w:r>
        <w:t>.</w:t>
      </w:r>
      <w:r>
        <w:tab/>
        <w:t xml:space="preserve">Des mécanismes d’aide et de soutien sont mis en œuvre notamment pour l’aide à l’insertion professionnelle, la scolarisation des enfants et, au besoin, l’apprentissage intensif de la langue française. </w:t>
      </w:r>
    </w:p>
    <w:p w14:paraId="2A398CAA" w14:textId="6ACEFC02" w:rsidR="00322139" w:rsidRDefault="00322139" w:rsidP="00322139">
      <w:pPr>
        <w:pStyle w:val="SingleTxtG"/>
      </w:pPr>
      <w:r>
        <w:lastRenderedPageBreak/>
        <w:t>2</w:t>
      </w:r>
      <w:r w:rsidR="00A23AAC">
        <w:t>08</w:t>
      </w:r>
      <w:r>
        <w:t>.</w:t>
      </w:r>
      <w:r>
        <w:tab/>
        <w:t xml:space="preserve">Ces personnes peuvent ouvrir droit à une allocation financière mensuelle, une aide médicale de l’État, une aide alimentaire et des produits d’hygiène. </w:t>
      </w:r>
    </w:p>
    <w:p w14:paraId="7CD6257A" w14:textId="3AB04377" w:rsidR="00322139" w:rsidRDefault="00322139" w:rsidP="00322139">
      <w:pPr>
        <w:pStyle w:val="SingleTxtG"/>
      </w:pPr>
      <w:r>
        <w:t>2</w:t>
      </w:r>
      <w:r w:rsidR="00A23AAC">
        <w:t>09</w:t>
      </w:r>
      <w:r>
        <w:t>.</w:t>
      </w:r>
      <w:r>
        <w:tab/>
        <w:t xml:space="preserve">En outre, une aide alimentaire et pour les produits d’hygiène correspondant à la somme de 15 euros par jour par personne peut également être débloquée par la Croix Rouge Monégasque dans certains cas. </w:t>
      </w:r>
    </w:p>
    <w:p w14:paraId="3E68C3B7" w14:textId="37890103" w:rsidR="00322139" w:rsidRDefault="00322139" w:rsidP="00322139">
      <w:pPr>
        <w:pStyle w:val="SingleTxtG"/>
      </w:pPr>
      <w:r>
        <w:t>21</w:t>
      </w:r>
      <w:r w:rsidR="00A23AAC">
        <w:t>0</w:t>
      </w:r>
      <w:r>
        <w:t>.</w:t>
      </w:r>
      <w:r>
        <w:tab/>
        <w:t xml:space="preserve">Sous réserve d’un avis médical, des aides spécifiques complémentaires peuvent être débloquées pour des personnes âgées ou handicapées qui auraient besoin d’un plan d’aide à la compensation du handicap ou de la perte d’autonomie. Pour les enfants, un accueil au sein du Foyer de l’enfance Princesse Charlène est ordonné si le mineur est isolé. Tous les enfants sont scolarisés. Enfin, une aide à l’insertion professionnelle peut être activée. </w:t>
      </w:r>
    </w:p>
    <w:p w14:paraId="07A8D546" w14:textId="65E414EB" w:rsidR="00EC2B55" w:rsidRDefault="00322139" w:rsidP="00322139">
      <w:pPr>
        <w:pStyle w:val="SingleTxtG"/>
      </w:pPr>
      <w:r>
        <w:t>21</w:t>
      </w:r>
      <w:r w:rsidR="00A23AAC">
        <w:t>1</w:t>
      </w:r>
      <w:r>
        <w:t>.</w:t>
      </w:r>
      <w:r>
        <w:tab/>
        <w:t>Il convient de souligner que le nombre d’ukrainiens bénéficiant de ce dispositif a considérablement diminué aujourd’hui, nombre d’entre eux ayant quitté la Principauté.</w:t>
      </w:r>
    </w:p>
    <w:p w14:paraId="77C0009F" w14:textId="6DDBE402" w:rsidR="00EC2B55" w:rsidRDefault="00A23AAC" w:rsidP="00A23AAC">
      <w:pPr>
        <w:pStyle w:val="H1G"/>
      </w:pPr>
      <w:r>
        <w:tab/>
      </w:r>
      <w:r>
        <w:tab/>
      </w:r>
      <w:r w:rsidR="00322139">
        <w:t>Accès à la justice, indépendance du pouvoir judiciaire et droit à un procès équitable (art. 2 et 14)</w:t>
      </w:r>
    </w:p>
    <w:p w14:paraId="41D14B8A" w14:textId="77777777" w:rsidR="00A23AAC" w:rsidRDefault="00A23AAC" w:rsidP="00322139">
      <w:pPr>
        <w:pStyle w:val="SingleTxtG"/>
        <w:rPr>
          <w:b/>
        </w:rPr>
      </w:pPr>
      <w:r w:rsidRPr="003D2CFE">
        <w:rPr>
          <w:b/>
        </w:rPr>
        <w:t>Réponse au paragraphe</w:t>
      </w:r>
      <w:r>
        <w:rPr>
          <w:b/>
        </w:rPr>
        <w:t xml:space="preserve"> </w:t>
      </w:r>
      <w:r>
        <w:rPr>
          <w:b/>
        </w:rPr>
        <w:t xml:space="preserve">17 </w:t>
      </w:r>
    </w:p>
    <w:p w14:paraId="5E305D18" w14:textId="159341D9" w:rsidR="00322139" w:rsidRDefault="00322139" w:rsidP="00322139">
      <w:pPr>
        <w:pStyle w:val="SingleTxtG"/>
      </w:pPr>
      <w:r>
        <w:t>21</w:t>
      </w:r>
      <w:r w:rsidR="00A23AAC">
        <w:t>2</w:t>
      </w:r>
      <w:r>
        <w:t>.</w:t>
      </w:r>
      <w:r>
        <w:tab/>
        <w:t>L’indépendance de la justice est garantie par la Constitution. Son article 88 dispose que le pouvoir judiciaire appartient au Prince, qui en délègue le plein exercice aux Cours et Tribunaux, et que l’indépendance des juges est garantie. L’article 6 consacre, par ailleurs, la séparation des fonctions administratives, législatives et judiciaires. Ces principes fondent l’organisation institutionnelle de la justice monégasque et garantissent que le Prince n’intervient pas dans le traitement des affaires dont les juridictions sont saisies.</w:t>
      </w:r>
    </w:p>
    <w:p w14:paraId="00704321" w14:textId="5B7EBAAF" w:rsidR="00322139" w:rsidRDefault="00322139" w:rsidP="00322139">
      <w:pPr>
        <w:pStyle w:val="SingleTxtG"/>
      </w:pPr>
      <w:r>
        <w:t>21</w:t>
      </w:r>
      <w:r w:rsidR="00A23AAC">
        <w:t>3</w:t>
      </w:r>
      <w:r>
        <w:t>.</w:t>
      </w:r>
      <w:r>
        <w:tab/>
        <w:t>Le statut des magistrats est fixé par la loi n° 1.364 du 16 novembre 2009 portant statut de la magistrature. Les magistrats du siège bénéficient de l’inamovibilité : ils ne peuvent recevoir, sans leur consentement, une affectation nouvelle, même en avancement. Cette garantie constitue l’un des principaux instruments de protection de leur indépendance.</w:t>
      </w:r>
    </w:p>
    <w:p w14:paraId="6DCC018F" w14:textId="72263757" w:rsidR="00322139" w:rsidRDefault="00322139" w:rsidP="00322139">
      <w:pPr>
        <w:pStyle w:val="SingleTxtG"/>
      </w:pPr>
      <w:r>
        <w:t>21</w:t>
      </w:r>
      <w:r w:rsidR="00A23AAC">
        <w:t>4</w:t>
      </w:r>
      <w:r>
        <w:t>.</w:t>
      </w:r>
      <w:r>
        <w:tab/>
        <w:t>La nomination aux premières fonctions judiciaires obéit à des conditions légales objectives. Les candidats doivent notamment être de nationalité monégasque, remplir des conditions d’âge, de moralité et d’aptitude physique, avoir satisfait aux épreuves du concours et avoir suivi une formation théorique et pratique préparant aux fonctions de magistrat. Le concours est ouvert par arrêté du Secrétaire d’État à la Justice, lequel précise les postes ouverts, les pièces à produire, les épreuves, les coefficients et la composition du jury.</w:t>
      </w:r>
    </w:p>
    <w:p w14:paraId="4664AA1C" w14:textId="2DAACC5E" w:rsidR="00322139" w:rsidRDefault="00322139" w:rsidP="00322139">
      <w:pPr>
        <w:pStyle w:val="SingleTxtG"/>
      </w:pPr>
      <w:r>
        <w:t>21</w:t>
      </w:r>
      <w:r w:rsidR="00A23AAC">
        <w:t>5</w:t>
      </w:r>
      <w:r>
        <w:t>.</w:t>
      </w:r>
      <w:r>
        <w:tab/>
        <w:t>Le jury du concours de la magistrature comprend le Premier président de la Cour de Révision ou son délégué, le Premier président de la Cour d’appel ou son délégué, le Procureur général ou son délégué, le Président du Tribunal de première instance ou son délégué, ainsi que trois personnalités désignées en raison de leur compétence par le Secrétaire d’État à la Justice, dont un professeur agrégé des facultés de droit françaises.</w:t>
      </w:r>
    </w:p>
    <w:p w14:paraId="1EDECD6A" w14:textId="1A14E721" w:rsidR="00322139" w:rsidRDefault="00322139" w:rsidP="00322139">
      <w:pPr>
        <w:pStyle w:val="SingleTxtG"/>
      </w:pPr>
      <w:r>
        <w:t>21</w:t>
      </w:r>
      <w:r w:rsidR="00A23AAC">
        <w:t>6</w:t>
      </w:r>
      <w:r>
        <w:t>.</w:t>
      </w:r>
      <w:r>
        <w:tab/>
        <w:t>La nomination intervient par Ordonnance Souveraine, sur le rapport du Secrétaire d’État à la Justice établi au vu des résultats du concours ou, dans certains cas particuliers de dispense de concours, après avis du Haut Conseil de la Magistrature. Les magistrats référendaires sont ensuite nommés, sur avis conforme du Haut Conseil de la Magistrature, en qualité de juge ou de substitut du Procureur général après deux années dans le corps judiciaire.</w:t>
      </w:r>
    </w:p>
    <w:p w14:paraId="647B1BCB" w14:textId="5352BBDF" w:rsidR="00322139" w:rsidRDefault="00322139" w:rsidP="00322139">
      <w:pPr>
        <w:pStyle w:val="SingleTxtG"/>
      </w:pPr>
      <w:r>
        <w:t>21</w:t>
      </w:r>
      <w:r w:rsidR="00A23AAC">
        <w:t>7</w:t>
      </w:r>
      <w:r>
        <w:t>.</w:t>
      </w:r>
      <w:r>
        <w:tab/>
        <w:t>En pratique, compte tenu des besoins propres à l’organisation judiciaire monégasque, des magistrats français peuvent également être détachés auprès de la justice monégasque. Depuis 2020, la sélection des candidats à un détachement est encadrée par une procédure associant le Haut Conseil de la Magistrature. Lorsqu’un poste devient vacant, un appel à candidatures est organisé, soit en interne, soit par la voie des autorités françaises. Les candidats sont auditionnés, le Haut Conseil de la Magistrature émet un avis général sur les candidatures et le Secrétaire d’État à la Justice établit ensuite un rapport à l’attention du Prince avant nomination par Ordonnance Souveraine.</w:t>
      </w:r>
    </w:p>
    <w:p w14:paraId="3A7286FE" w14:textId="364EB69F" w:rsidR="00EC2B55" w:rsidRDefault="00322139" w:rsidP="00322139">
      <w:pPr>
        <w:pStyle w:val="SingleTxtG"/>
      </w:pPr>
      <w:r>
        <w:lastRenderedPageBreak/>
        <w:t>2</w:t>
      </w:r>
      <w:r w:rsidR="00A23AAC">
        <w:t>18</w:t>
      </w:r>
      <w:r>
        <w:t>.</w:t>
      </w:r>
      <w:r>
        <w:tab/>
        <w:t xml:space="preserve">S’agissant de la juridiction visée dans la liste de points à traiter sous l’appellation de « </w:t>
      </w:r>
      <w:r w:rsidRPr="00C909F2">
        <w:rPr>
          <w:i/>
          <w:iCs/>
        </w:rPr>
        <w:t>Cour Suprême</w:t>
      </w:r>
      <w:r>
        <w:t xml:space="preserve"> », il convient de préciser qu’il s’agit, dans l’ordre juridique monégasque, du Tribunal Suprême. Celui-ci est composé de cinq membres titulaires et de deux membres suppléants. Ses membres sont nommés par le Prince, sur présentation de différentes Institutions : </w:t>
      </w:r>
    </w:p>
    <w:p w14:paraId="4DF6F932" w14:textId="6FCBED18" w:rsidR="00322139" w:rsidRDefault="00322139" w:rsidP="00A23AAC">
      <w:pPr>
        <w:pStyle w:val="Bullet1G"/>
      </w:pPr>
      <w:r>
        <w:t>Le Conseil National ;</w:t>
      </w:r>
    </w:p>
    <w:p w14:paraId="16C2CA89" w14:textId="0CA17625" w:rsidR="00322139" w:rsidRDefault="00322139" w:rsidP="00A23AAC">
      <w:pPr>
        <w:pStyle w:val="Bullet1G"/>
      </w:pPr>
      <w:r>
        <w:t>Le Conseil d’État ;</w:t>
      </w:r>
    </w:p>
    <w:p w14:paraId="49E0954D" w14:textId="51049CBB" w:rsidR="00322139" w:rsidRDefault="00322139" w:rsidP="00A23AAC">
      <w:pPr>
        <w:pStyle w:val="Bullet1G"/>
      </w:pPr>
      <w:r>
        <w:t>Le Conseil de la Couronne ;</w:t>
      </w:r>
    </w:p>
    <w:p w14:paraId="47CC9944" w14:textId="70B74A4F" w:rsidR="00322139" w:rsidRDefault="00322139" w:rsidP="00A23AAC">
      <w:pPr>
        <w:pStyle w:val="Bullet1G"/>
      </w:pPr>
      <w:r>
        <w:t>La Cour d’appel ;</w:t>
      </w:r>
    </w:p>
    <w:p w14:paraId="768FBD6B" w14:textId="26EC710D" w:rsidR="00EC2B55" w:rsidRDefault="00322139" w:rsidP="00A23AAC">
      <w:pPr>
        <w:pStyle w:val="Bullet1G"/>
      </w:pPr>
      <w:r>
        <w:t xml:space="preserve">Le Tribunal civil de première instance. </w:t>
      </w:r>
    </w:p>
    <w:p w14:paraId="40BFDB05" w14:textId="410FF150" w:rsidR="00322139" w:rsidRDefault="00322139" w:rsidP="00322139">
      <w:pPr>
        <w:pStyle w:val="SingleTxtG"/>
      </w:pPr>
      <w:r>
        <w:t>2</w:t>
      </w:r>
      <w:r w:rsidR="00A23AAC">
        <w:t>19</w:t>
      </w:r>
      <w:r>
        <w:t>.</w:t>
      </w:r>
      <w:r>
        <w:tab/>
        <w:t>Ces présentations sont faites à raison de deux candidats pour un siège. Si le Prince n’agrée pas les présentations qui lui sont faites, il peut en demander de nouvelles. Le président du Tribunal Suprême est nommé par le Prince. Les membres du Tribunal Suprême sont nommés pour un mandat de huit ans.</w:t>
      </w:r>
    </w:p>
    <w:p w14:paraId="1B421853" w14:textId="49BE455E" w:rsidR="00322139" w:rsidRDefault="00322139" w:rsidP="00322139">
      <w:pPr>
        <w:pStyle w:val="SingleTxtG"/>
      </w:pPr>
      <w:r>
        <w:t>22</w:t>
      </w:r>
      <w:r w:rsidR="00A23AAC">
        <w:t>0</w:t>
      </w:r>
      <w:r>
        <w:t>.</w:t>
      </w:r>
      <w:r>
        <w:tab/>
        <w:t>L’impartialité et la compétence des magistrats sont également garanties par leur serment, par leur statut, par les règles déontologiques applicables et par le droit à la formation continue. La loi n° 1.364 prévoit que les magistrats bénéficient d’un droit à la formation tout au long de leur carrière, dont les modalités sont définies par le Haut Conseil de la Magistrature et fixées par arrêté du Secrétaire d’État à la Justice.</w:t>
      </w:r>
    </w:p>
    <w:p w14:paraId="51ABE2E5" w14:textId="50FB16DA" w:rsidR="00322139" w:rsidRDefault="00322139" w:rsidP="00322139">
      <w:pPr>
        <w:pStyle w:val="SingleTxtG"/>
      </w:pPr>
      <w:r>
        <w:t>22</w:t>
      </w:r>
      <w:r w:rsidR="00A23AAC">
        <w:t>1</w:t>
      </w:r>
      <w:r>
        <w:t>.</w:t>
      </w:r>
      <w:r>
        <w:tab/>
        <w:t>L’activité professionnelle de chaque magistrat fait l’objet d’une évaluation écrite tous les deux ans. Cette évaluation est réalisée, selon les fonctions exercées, par le Président du Tribunal de première instance, le Premier président de la Cour d’appel, le Procureur général ou le Secrétaire d’État à la Justice pour les magistrats affectés auprès de la Direction des Services Judiciaires. La loi n° 1.495 du 8 juillet 2020 a précisé et complété ce dispositif d’évaluation.</w:t>
      </w:r>
    </w:p>
    <w:p w14:paraId="4A2C549D" w14:textId="1D7AE221" w:rsidR="00322139" w:rsidRDefault="00322139" w:rsidP="00322139">
      <w:pPr>
        <w:pStyle w:val="SingleTxtG"/>
      </w:pPr>
      <w:r>
        <w:t>22</w:t>
      </w:r>
      <w:r w:rsidR="00A23AAC">
        <w:t>2</w:t>
      </w:r>
      <w:r>
        <w:t>.</w:t>
      </w:r>
      <w:r>
        <w:tab/>
        <w:t>L’avancement des magistrats repose principalement sur l’ancienneté et l’évaluation de leur activité professionnelle. La nomination aux emplois hors hiérarchie intervient par Ordonnance Souveraine, sur le rapport du Secrétaire d’État à la Justice et après avis du Haut Conseil de la Magistrature. L’ancienneté requise peut, dans certains cas, être réduite compte tenu de l’évaluation professionnelle du magistrat, après avis du Haut Conseil de la Magistrature.</w:t>
      </w:r>
    </w:p>
    <w:p w14:paraId="21B6FAAE" w14:textId="0E96E4A9" w:rsidR="00322139" w:rsidRDefault="00322139" w:rsidP="00322139">
      <w:pPr>
        <w:pStyle w:val="SingleTxtG"/>
      </w:pPr>
      <w:r>
        <w:t>22</w:t>
      </w:r>
      <w:r w:rsidR="00A23AAC">
        <w:t>3</w:t>
      </w:r>
      <w:r>
        <w:t>.</w:t>
      </w:r>
      <w:r>
        <w:tab/>
        <w:t>La discipline des magistrats relève du Haut Conseil de la Magistrature. Tout manquement d’un magistrat à ses obligations statutaires, aux devoirs de son État, ou à l’honneur, à la délicatesse ou à la dignité requise par ses fonctions, constitue une faute susceptible de poursuites disciplinaires. Les sanctions peuvent aller de la réprimande à la révocation, en passant notamment par l’abaissement d’échelon, la rétrogradation, l’exclusion temporaire de toutes fonctions judiciaires ou la mise à la retraite d’office.</w:t>
      </w:r>
    </w:p>
    <w:p w14:paraId="03BBB16B" w14:textId="13FA2B53" w:rsidR="00322139" w:rsidRDefault="00322139" w:rsidP="00322139">
      <w:pPr>
        <w:pStyle w:val="SingleTxtG"/>
      </w:pPr>
      <w:r>
        <w:t>22</w:t>
      </w:r>
      <w:r w:rsidR="00A23AAC">
        <w:t>4</w:t>
      </w:r>
      <w:r>
        <w:t>.</w:t>
      </w:r>
      <w:r>
        <w:tab/>
        <w:t>La procédure disciplinaire comporte plusieurs garanties. Le magistrat poursuivi est convoqué devant le Haut Conseil de la Magistrature. Le dossier de la poursuite et le mémoire établi au soutien des demandes lui sont communiqués avant tout débat. Il dispose d’un délai pour présenter une argumentation écrite et peut se faire assister par un avocat-défenseur ou par un avocat monégasque ou étranger. Le Haut Conseil peut également ordonner l’audition de témoins. Sa décision doit être motivée.</w:t>
      </w:r>
    </w:p>
    <w:p w14:paraId="5291FEEE" w14:textId="25C2DF3B" w:rsidR="00322139" w:rsidRDefault="00322139" w:rsidP="00322139">
      <w:pPr>
        <w:pStyle w:val="SingleTxtG"/>
      </w:pPr>
      <w:r>
        <w:t>22</w:t>
      </w:r>
      <w:r w:rsidR="00A23AAC">
        <w:t>5</w:t>
      </w:r>
      <w:r>
        <w:t>.</w:t>
      </w:r>
      <w:r>
        <w:tab/>
        <w:t>En cas d’urgence, un magistrat peut être suspendu de ses fonctions par le Secrétaire d’État à la Justice, après avis du Premier président de la Cour d’appel et du Procureur général. La décision de suspension doit être motivée. Si la situation du magistrat suspendu n’est pas définitivement réglée dans un délai de quatre mois, l’intéressé reçoit à nouveau l’intégralité de son traitement. En l’absence de sanction, ou si seules certaines sanctions limitées sont prononcées, il a droit au remboursement des retenues opérées sur son traitement.</w:t>
      </w:r>
    </w:p>
    <w:p w14:paraId="45EDDEFB" w14:textId="0B92E4C4" w:rsidR="00322139" w:rsidRDefault="00322139" w:rsidP="00322139">
      <w:pPr>
        <w:pStyle w:val="SingleTxtG"/>
      </w:pPr>
      <w:r>
        <w:t>22</w:t>
      </w:r>
      <w:r w:rsidR="00A23AAC">
        <w:t>6</w:t>
      </w:r>
      <w:r>
        <w:t>.</w:t>
      </w:r>
      <w:r>
        <w:tab/>
        <w:t xml:space="preserve">Le rôle du Haut Conseil de la Magistrature a été renforcé par la loi n° 1.495 du 8 juillet 2020. Celle-ci précise que le Secrétaire d’État à la Justice veille à l’application du statut de la magistrature avec le concours du Haut Conseil de la Magistrature, tous deux devant s’assurer du respect du principe d’indépendance des juges garanti par l’article 88 de la </w:t>
      </w:r>
      <w:r>
        <w:lastRenderedPageBreak/>
        <w:t>Constitution. Elle a également renforcé le rôle du Haut Conseil en matière disciplinaire, notamment en permettant sa saisine par le Premier président de la Cour de Révision, à la demande de la majorité des membres du Haut Conseil hors le Secrétaire d’État à la Justice.</w:t>
      </w:r>
    </w:p>
    <w:p w14:paraId="519019F3" w14:textId="5E23231A" w:rsidR="00322139" w:rsidRDefault="00322139" w:rsidP="00322139">
      <w:pPr>
        <w:pStyle w:val="SingleTxtG"/>
      </w:pPr>
      <w:r>
        <w:t>22</w:t>
      </w:r>
      <w:r w:rsidR="00A23AAC">
        <w:t>7</w:t>
      </w:r>
      <w:r>
        <w:t>.</w:t>
      </w:r>
      <w:r>
        <w:tab/>
        <w:t>La composition du Haut Conseil de la Magistrature est prévue par la loi. Il comprend notamment le Secrétaire d’État à la Justice, le Premier président de la Cour de Révision, des membres désignés par le Conseil de la Couronne, le Conseil National et le Tribunal Suprême, ainsi que deux membres élus par le corps judiciaire. Les membres désignés ne peuvent avoir la qualité de magistrat, d’avocat, de fonctionnaire ou d’agent public en activité. La composition du Haut Conseil est publiée par Ordonnance Souveraine.</w:t>
      </w:r>
    </w:p>
    <w:p w14:paraId="20406628" w14:textId="389F2EAD" w:rsidR="00322139" w:rsidRDefault="00322139" w:rsidP="00322139">
      <w:pPr>
        <w:pStyle w:val="SingleTxtG"/>
      </w:pPr>
      <w:r>
        <w:t>2</w:t>
      </w:r>
      <w:r w:rsidR="00A23AAC">
        <w:t>28</w:t>
      </w:r>
      <w:r>
        <w:t>.</w:t>
      </w:r>
      <w:r>
        <w:tab/>
        <w:t>Enfin, l’accès du public aux informations relatives au Haut Conseil de la Magistrature a été renforcé par la publication de ses rapports d’activité. Une page dédiée du site du Gouvernement Princier rend accessibles les rapports d’activité du Haut Conseil de la Magistrature, notamment les rapports 2020-2021 et 2022-2023.</w:t>
      </w:r>
    </w:p>
    <w:p w14:paraId="7C6A73D1" w14:textId="1F25B9A4" w:rsidR="00EC2B55" w:rsidRDefault="00322139" w:rsidP="00322139">
      <w:pPr>
        <w:pStyle w:val="SingleTxtG"/>
      </w:pPr>
      <w:r>
        <w:t>2</w:t>
      </w:r>
      <w:r w:rsidR="00A23AAC">
        <w:t>29</w:t>
      </w:r>
      <w:r>
        <w:t>.</w:t>
      </w:r>
      <w:r>
        <w:tab/>
        <w:t xml:space="preserve">Ainsi, l’indépendance, l’impartialité et la compétence des juges sont garanties par un ensemble cohérent de règles constitutionnelles, statutaires et procédurales : </w:t>
      </w:r>
    </w:p>
    <w:p w14:paraId="56A6EC77" w14:textId="55797534" w:rsidR="00322139" w:rsidRDefault="00322139" w:rsidP="00A23AAC">
      <w:pPr>
        <w:pStyle w:val="Bullet1G"/>
      </w:pPr>
      <w:r>
        <w:t>Indépendance constitutionnelle des juges ;</w:t>
      </w:r>
    </w:p>
    <w:p w14:paraId="5CCA8465" w14:textId="18C35A4F" w:rsidR="00322139" w:rsidRDefault="00322139" w:rsidP="00A23AAC">
      <w:pPr>
        <w:pStyle w:val="Bullet1G"/>
      </w:pPr>
      <w:r>
        <w:t>Inamovibilité des magistrats du siège ;</w:t>
      </w:r>
    </w:p>
    <w:p w14:paraId="6045F77F" w14:textId="6B5B38D7" w:rsidR="00322139" w:rsidRDefault="00322139" w:rsidP="00A23AAC">
      <w:pPr>
        <w:pStyle w:val="Bullet1G"/>
      </w:pPr>
      <w:r>
        <w:t>Recrutement sur critères objectifs ;</w:t>
      </w:r>
    </w:p>
    <w:p w14:paraId="7734B70C" w14:textId="1A79C7B6" w:rsidR="00322139" w:rsidRDefault="00322139" w:rsidP="00A23AAC">
      <w:pPr>
        <w:pStyle w:val="Bullet1G"/>
      </w:pPr>
      <w:r>
        <w:t>Nomination formalisée par Ordonnance Souveraine ;</w:t>
      </w:r>
    </w:p>
    <w:p w14:paraId="3C5F477D" w14:textId="1144371C" w:rsidR="00322139" w:rsidRDefault="00322139" w:rsidP="00A23AAC">
      <w:pPr>
        <w:pStyle w:val="Bullet1G"/>
      </w:pPr>
      <w:r>
        <w:t>Intervention du Haut Conseil de la Magistrature dans les nominations, promotions et procédures disciplinaires ;</w:t>
      </w:r>
    </w:p>
    <w:p w14:paraId="2E465144" w14:textId="692B928C" w:rsidR="00322139" w:rsidRDefault="00322139" w:rsidP="00A23AAC">
      <w:pPr>
        <w:pStyle w:val="Bullet1G"/>
      </w:pPr>
      <w:r>
        <w:t>Évaluation périodique ;</w:t>
      </w:r>
    </w:p>
    <w:p w14:paraId="5AA862C9" w14:textId="2CFF7B95" w:rsidR="00322139" w:rsidRDefault="00322139" w:rsidP="00A23AAC">
      <w:pPr>
        <w:pStyle w:val="Bullet1G"/>
      </w:pPr>
      <w:r>
        <w:t>Droit à la formation continue ;</w:t>
      </w:r>
    </w:p>
    <w:p w14:paraId="08E2A4FF" w14:textId="61FAA238" w:rsidR="00322139" w:rsidRDefault="00322139" w:rsidP="00A23AAC">
      <w:pPr>
        <w:pStyle w:val="Bullet1G"/>
      </w:pPr>
      <w:r>
        <w:t xml:space="preserve">Garanties procédurales en matière disciplinaire ; </w:t>
      </w:r>
    </w:p>
    <w:p w14:paraId="1F859353" w14:textId="7181B0CA" w:rsidR="00EC2B55" w:rsidRDefault="00322139" w:rsidP="00A23AAC">
      <w:pPr>
        <w:pStyle w:val="Bullet1G"/>
      </w:pPr>
      <w:r>
        <w:t>Publication des informations institutionnelles relatives au Haut Conseil de la Magistrature.</w:t>
      </w:r>
    </w:p>
    <w:p w14:paraId="3B051B76" w14:textId="07DC0864" w:rsidR="00EC2B55" w:rsidRDefault="00A23AAC" w:rsidP="00A23AAC">
      <w:pPr>
        <w:pStyle w:val="H1G"/>
      </w:pPr>
      <w:r>
        <w:tab/>
      </w:r>
      <w:r>
        <w:tab/>
      </w:r>
      <w:r w:rsidR="00322139">
        <w:t xml:space="preserve">Droit à la vie privée (art. 17) </w:t>
      </w:r>
    </w:p>
    <w:p w14:paraId="10A661AE" w14:textId="77777777" w:rsidR="00A23AAC" w:rsidRDefault="00A23AAC" w:rsidP="00322139">
      <w:pPr>
        <w:pStyle w:val="SingleTxtG"/>
        <w:rPr>
          <w:b/>
        </w:rPr>
      </w:pPr>
      <w:r w:rsidRPr="003D2CFE">
        <w:rPr>
          <w:b/>
        </w:rPr>
        <w:t>Réponse au paragraphe</w:t>
      </w:r>
      <w:r>
        <w:rPr>
          <w:b/>
        </w:rPr>
        <w:t xml:space="preserve"> </w:t>
      </w:r>
      <w:r>
        <w:rPr>
          <w:b/>
        </w:rPr>
        <w:t>18</w:t>
      </w:r>
    </w:p>
    <w:p w14:paraId="01D74000" w14:textId="07D64BEE" w:rsidR="00322139" w:rsidRDefault="00322139" w:rsidP="00322139">
      <w:pPr>
        <w:pStyle w:val="SingleTxtG"/>
      </w:pPr>
      <w:r>
        <w:t>23</w:t>
      </w:r>
      <w:r w:rsidR="00A23AAC">
        <w:t>0</w:t>
      </w:r>
      <w:r>
        <w:t>.</w:t>
      </w:r>
      <w:r>
        <w:tab/>
        <w:t xml:space="preserve">La protection de la vie privée et du secret de la correspondance des personnes est garantie au plus haut niveau de l’ordre juridique monégasque, puisque l’article 22 de la Constitution dispose que « </w:t>
      </w:r>
      <w:r w:rsidRPr="00C909F2">
        <w:rPr>
          <w:i/>
          <w:iCs/>
        </w:rPr>
        <w:t>toute personne a droit au respect de sa vie privée et familiale et au secret de sa correspondance</w:t>
      </w:r>
      <w:r>
        <w:t xml:space="preserve"> ».</w:t>
      </w:r>
    </w:p>
    <w:p w14:paraId="39BEDF2C" w14:textId="79EE9A56" w:rsidR="00322139" w:rsidRDefault="00322139" w:rsidP="00322139">
      <w:pPr>
        <w:pStyle w:val="SingleTxtG"/>
      </w:pPr>
      <w:r>
        <w:t>23</w:t>
      </w:r>
      <w:r w:rsidR="00A23AAC">
        <w:t>1</w:t>
      </w:r>
      <w:r>
        <w:t>.</w:t>
      </w:r>
      <w:r>
        <w:tab/>
        <w:t>Par ailleurs, comme évoqué s’agissant de l’applicabilité directe du Pacte en droit interne, les dispositions des Conventions internationales exécutoires en Principauté priment les lois, même postérieures.</w:t>
      </w:r>
    </w:p>
    <w:p w14:paraId="6A84640A" w14:textId="11B6D0D4" w:rsidR="00322139" w:rsidRDefault="00322139" w:rsidP="00322139">
      <w:pPr>
        <w:pStyle w:val="SingleTxtG"/>
      </w:pPr>
      <w:r>
        <w:t>23</w:t>
      </w:r>
      <w:r w:rsidR="00A23AAC">
        <w:t>2</w:t>
      </w:r>
      <w:r>
        <w:t>.</w:t>
      </w:r>
      <w:r>
        <w:tab/>
        <w:t>Ainsi, les dispositions du Pacte garantissant le droit à la vie privée (article 17), de même que celles de la Convention de sauvegarde des droits de l’Homme et des libertés fondamentales (article 8) peuvent être valablement invoquées par les justiciables devant les Tribunaux monégasques, qui pourront le cas échéant écarter toute norme législative ou réglementaire qui contreviendrait à cette protection.</w:t>
      </w:r>
    </w:p>
    <w:p w14:paraId="73FEC84B" w14:textId="2330C6F5" w:rsidR="00322139" w:rsidRDefault="00322139" w:rsidP="00322139">
      <w:pPr>
        <w:pStyle w:val="SingleTxtG"/>
      </w:pPr>
      <w:r>
        <w:t>23</w:t>
      </w:r>
      <w:r w:rsidR="00A23AAC">
        <w:t>3</w:t>
      </w:r>
      <w:r>
        <w:t>.</w:t>
      </w:r>
      <w:r>
        <w:tab/>
        <w:t xml:space="preserve">S’agissant plus particulièrement de la protection des informations personnelles, il convient de souligner l’adoption de la loi n° 1.565 du 3 décembre 2024 relative à la protection des données personnelles. </w:t>
      </w:r>
    </w:p>
    <w:p w14:paraId="01017331" w14:textId="326FF404" w:rsidR="00EC2B55" w:rsidRDefault="00322139" w:rsidP="00322139">
      <w:pPr>
        <w:pStyle w:val="SingleTxtG"/>
      </w:pPr>
      <w:r>
        <w:t>23</w:t>
      </w:r>
      <w:r w:rsidR="00A23AAC">
        <w:t>4</w:t>
      </w:r>
      <w:r>
        <w:t>.</w:t>
      </w:r>
      <w:r>
        <w:tab/>
        <w:t>Cette loi a opéré une modernisation du cadre législatif en matière de protection des données personnelles, dans une optique de mise en conformité du droit monégasque aux plus hauts standards européens, notamment :</w:t>
      </w:r>
    </w:p>
    <w:p w14:paraId="55204F8E" w14:textId="39F516FB" w:rsidR="00322139" w:rsidRDefault="00322139" w:rsidP="00A23AAC">
      <w:pPr>
        <w:pStyle w:val="Bullet1G"/>
      </w:pPr>
      <w:r>
        <w:lastRenderedPageBreak/>
        <w:t>Le Règlement (UE) 2016/679 du 27 avril 2016 relatif à la protection des personnes physiques à l’égard du traitement des données à caractère personnel et à la libre circulation de ces données (RGPD),</w:t>
      </w:r>
    </w:p>
    <w:p w14:paraId="113A3FEE" w14:textId="55CAA396" w:rsidR="00EC2B55" w:rsidRDefault="00322139" w:rsidP="00A23AAC">
      <w:pPr>
        <w:pStyle w:val="Bullet1G"/>
      </w:pPr>
      <w:r>
        <w:t xml:space="preserve">La Directive (UE) 2016/680 du 27 avril 2016 relative aux traitements mis en œuvre à des fins de prévention et de détection des infractions pénales, d'enquêtes et de poursuites en la matière ou d'exécution de sanctions pénales, et à la libre circulation de ces données, qui a abrogé la décision-cadre 2008/977/JAI du Conseil de l’Union européenne (directive « </w:t>
      </w:r>
      <w:r w:rsidRPr="00C909F2">
        <w:rPr>
          <w:i/>
          <w:iCs/>
        </w:rPr>
        <w:t>Police-Justice</w:t>
      </w:r>
      <w:r>
        <w:t xml:space="preserve"> »).</w:t>
      </w:r>
    </w:p>
    <w:p w14:paraId="7412D423" w14:textId="6B0F3639" w:rsidR="00322139" w:rsidRDefault="00322139" w:rsidP="00322139">
      <w:pPr>
        <w:pStyle w:val="SingleTxtG"/>
      </w:pPr>
      <w:r>
        <w:t>23</w:t>
      </w:r>
      <w:r w:rsidR="00A23AAC">
        <w:t>5</w:t>
      </w:r>
      <w:r>
        <w:t>.</w:t>
      </w:r>
      <w:r>
        <w:tab/>
        <w:t xml:space="preserve">La loi se réfère par ailleurs aux exigences de la Convention pour la protection des personnes à l'égard du traitement automatisé des données à caractère personnel du Conseil de l’Europe, modernisée en 2018 (« </w:t>
      </w:r>
      <w:r w:rsidRPr="00C909F2">
        <w:rPr>
          <w:i/>
          <w:iCs/>
        </w:rPr>
        <w:t>Convention 108+</w:t>
      </w:r>
      <w:r>
        <w:t xml:space="preserve"> »).</w:t>
      </w:r>
    </w:p>
    <w:p w14:paraId="3340683E" w14:textId="347450AD" w:rsidR="00EC2B55" w:rsidRDefault="00322139" w:rsidP="00322139">
      <w:pPr>
        <w:pStyle w:val="SingleTxtG"/>
      </w:pPr>
      <w:r>
        <w:t>23</w:t>
      </w:r>
      <w:r w:rsidR="00A23AAC">
        <w:t>6</w:t>
      </w:r>
      <w:r>
        <w:t>.</w:t>
      </w:r>
      <w:r>
        <w:tab/>
        <w:t>L’article premier de la loi rappelle en outre que les traitements automatisés ou non automatisés de données à caractère personnel ne doivent pas porter atteinte aux libertés et droits fondamentaux consacrés par le titre III de la Constitution, parmi lesquels figurent naturellement le droit à la vie privée.</w:t>
      </w:r>
    </w:p>
    <w:p w14:paraId="1C075959" w14:textId="770F9A99" w:rsidR="00EC2B55" w:rsidRDefault="00322139" w:rsidP="00322139">
      <w:pPr>
        <w:pStyle w:val="SingleTxtG"/>
      </w:pPr>
      <w:r>
        <w:t>23</w:t>
      </w:r>
      <w:r w:rsidR="00A23AAC">
        <w:t>7</w:t>
      </w:r>
      <w:r>
        <w:t>.</w:t>
      </w:r>
      <w:r>
        <w:tab/>
        <w:t xml:space="preserve">La loi s’articule autour des principes essentiels constituant le fondement du droit international et européen en matière de protection des données personnelles, consacrés en son article 4 : </w:t>
      </w:r>
    </w:p>
    <w:p w14:paraId="076CE245" w14:textId="330A2BC0" w:rsidR="00322139" w:rsidRDefault="00322139" w:rsidP="00A23AAC">
      <w:pPr>
        <w:pStyle w:val="Bullet1G"/>
      </w:pPr>
      <w:r>
        <w:t>Le principe de licéité, de loyauté et de transparence de tout traitement de données personnelles ;</w:t>
      </w:r>
    </w:p>
    <w:p w14:paraId="7731346D" w14:textId="4DC578FD" w:rsidR="00322139" w:rsidRDefault="00322139" w:rsidP="00A23AAC">
      <w:pPr>
        <w:pStyle w:val="Bullet1G"/>
      </w:pPr>
      <w:r>
        <w:t>Le principe de recueil des données pour des finalités déterminées, explicites et légitimes ;</w:t>
      </w:r>
    </w:p>
    <w:p w14:paraId="35B51EC0" w14:textId="66E7C9A7" w:rsidR="00322139" w:rsidRDefault="00322139" w:rsidP="00A23AAC">
      <w:pPr>
        <w:pStyle w:val="Bullet1G"/>
      </w:pPr>
      <w:r>
        <w:t xml:space="preserve">Le principe de minimisation des données, selon lequel ces dernières doivent être adéquates, pertinentes et « </w:t>
      </w:r>
      <w:r w:rsidRPr="00C909F2">
        <w:rPr>
          <w:i/>
          <w:iCs/>
        </w:rPr>
        <w:t xml:space="preserve">limitées </w:t>
      </w:r>
      <w:r>
        <w:t>» à ce qui est nécessaire au regard de la finalité du traitement ;</w:t>
      </w:r>
    </w:p>
    <w:p w14:paraId="00698DFC" w14:textId="7D643147" w:rsidR="00322139" w:rsidRDefault="00322139" w:rsidP="00A23AAC">
      <w:pPr>
        <w:pStyle w:val="Bullet1G"/>
      </w:pPr>
      <w:r>
        <w:t>Le principe d’exactitude et de mise à jour des données ;</w:t>
      </w:r>
    </w:p>
    <w:p w14:paraId="6C78B50A" w14:textId="6F685D3E" w:rsidR="00322139" w:rsidRDefault="00322139" w:rsidP="00A23AAC">
      <w:pPr>
        <w:pStyle w:val="Bullet1G"/>
      </w:pPr>
      <w:r>
        <w:t>Le principe de conservation sous une forme permettant l’identification des personnes concernées pendant une durée n'excédant pas celle nécessaire à la réalisation des finalités pour lesquelles elles sont traitées ;</w:t>
      </w:r>
    </w:p>
    <w:p w14:paraId="29E3752B" w14:textId="25F7E503" w:rsidR="00EC2B55" w:rsidRDefault="00322139" w:rsidP="00A23AAC">
      <w:pPr>
        <w:pStyle w:val="Bullet1G"/>
      </w:pPr>
      <w:r>
        <w:t>La garantie de la sécurité des données, de leur intégrité et de leur confidentialité.</w:t>
      </w:r>
    </w:p>
    <w:p w14:paraId="6A48FBE4" w14:textId="1B6FE048" w:rsidR="00EC2B55" w:rsidRDefault="00322139" w:rsidP="00322139">
      <w:pPr>
        <w:pStyle w:val="SingleTxtG"/>
      </w:pPr>
      <w:r>
        <w:t>2</w:t>
      </w:r>
      <w:r w:rsidR="00A23AAC">
        <w:t>38</w:t>
      </w:r>
      <w:r>
        <w:t>.</w:t>
      </w:r>
      <w:r>
        <w:tab/>
        <w:t>Plusieurs droits découlent des principes énumérés ci-dessus et sont accordés aux personnes physiques dont les données sont traitées. Ces droits, qui ont été renforcés par la loi susmentionnée, sont :</w:t>
      </w:r>
    </w:p>
    <w:p w14:paraId="7201B650" w14:textId="36AE10C5" w:rsidR="00322139" w:rsidRDefault="00322139" w:rsidP="00A23AAC">
      <w:pPr>
        <w:pStyle w:val="Bullet1G"/>
      </w:pPr>
      <w:r>
        <w:t>Le droit à l’information des conditions du traitement de données personnelles ;</w:t>
      </w:r>
    </w:p>
    <w:p w14:paraId="46BC1199" w14:textId="21273C36" w:rsidR="00322139" w:rsidRDefault="00322139" w:rsidP="00A23AAC">
      <w:pPr>
        <w:pStyle w:val="Bullet1G"/>
      </w:pPr>
      <w:r>
        <w:t>Les droits d’accès, de rectification et d’effacement des données ;</w:t>
      </w:r>
    </w:p>
    <w:p w14:paraId="37FC0235" w14:textId="4AFFA3B6" w:rsidR="00322139" w:rsidRDefault="00322139" w:rsidP="00A23AAC">
      <w:pPr>
        <w:pStyle w:val="Bullet1G"/>
      </w:pPr>
      <w:r>
        <w:t>Les droits de limitation et d’opposition au traitement ;</w:t>
      </w:r>
    </w:p>
    <w:p w14:paraId="59ED8D1C" w14:textId="2616E194" w:rsidR="00322139" w:rsidRDefault="00322139" w:rsidP="00A23AAC">
      <w:pPr>
        <w:pStyle w:val="Bullet1G"/>
      </w:pPr>
      <w:r>
        <w:t>Le droit à la portabilité des données, permettant aux personnes concernées d’obtenir du responsable du traitement les données qu’elles lui ont fournies à un moment donné ;</w:t>
      </w:r>
    </w:p>
    <w:p w14:paraId="1206FAEC" w14:textId="51242C36" w:rsidR="00EC2B55" w:rsidRDefault="00322139" w:rsidP="00A23AAC">
      <w:pPr>
        <w:pStyle w:val="Bullet1G"/>
      </w:pPr>
      <w:r>
        <w:t>Le droit de ne pas être soumis à une décision produisant des effets juridiques à son égard ou l’affectant de manière significative, prise sur le seul fondement d’un traitement automatisé, y compris le profilage.</w:t>
      </w:r>
    </w:p>
    <w:p w14:paraId="5B791AC3" w14:textId="294CE37D" w:rsidR="00322139" w:rsidRDefault="00322139" w:rsidP="00322139">
      <w:pPr>
        <w:pStyle w:val="SingleTxtG"/>
      </w:pPr>
      <w:r>
        <w:t>2</w:t>
      </w:r>
      <w:r w:rsidR="00A23AAC">
        <w:t>39</w:t>
      </w:r>
      <w:r>
        <w:t>.</w:t>
      </w:r>
      <w:r>
        <w:tab/>
        <w:t xml:space="preserve">La loi a également reprécisé les obligations et le régime de responsabilité des acteurs compétents. </w:t>
      </w:r>
    </w:p>
    <w:p w14:paraId="5004A3C6" w14:textId="329A50D2" w:rsidR="00322139" w:rsidRDefault="00322139" w:rsidP="00322139">
      <w:pPr>
        <w:pStyle w:val="SingleTxtG"/>
      </w:pPr>
      <w:r>
        <w:t>24</w:t>
      </w:r>
      <w:r w:rsidR="00A23AAC">
        <w:t>0</w:t>
      </w:r>
      <w:r>
        <w:t>.</w:t>
      </w:r>
      <w:r>
        <w:tab/>
        <w:t>Par ailleurs, ce texte a créé l’Autorité de protection des données personnelles (APDP) qui est une autorité administrative indépendante chargée de contrôler et de vérifier que les données personnelles sont traitées en conformité avec les dispositions législatives et réglementaires en vigueur.</w:t>
      </w:r>
    </w:p>
    <w:p w14:paraId="731D34C7" w14:textId="65D2A632" w:rsidR="00EC2B55" w:rsidRDefault="00322139" w:rsidP="00322139">
      <w:pPr>
        <w:pStyle w:val="SingleTxtG"/>
      </w:pPr>
      <w:r>
        <w:t>24</w:t>
      </w:r>
      <w:r w:rsidR="00A23AAC">
        <w:t>1</w:t>
      </w:r>
      <w:r>
        <w:t>.</w:t>
      </w:r>
      <w:r>
        <w:tab/>
        <w:t xml:space="preserve">En outre, certains traitements de données sensibles (en matière pénale, relatifs à la liberté d’expression ou encore à la vidéosurveillance) font l’objet d’un encadrement renforcé, </w:t>
      </w:r>
      <w:r>
        <w:lastRenderedPageBreak/>
        <w:t>à l’instar des transferts de données personnelles en dehors de la Principauté ou vers des Organisations internationales.</w:t>
      </w:r>
    </w:p>
    <w:p w14:paraId="0EE1BDDB" w14:textId="370327AF" w:rsidR="00EC2B55" w:rsidRDefault="00A23AAC" w:rsidP="00A23AAC">
      <w:pPr>
        <w:pStyle w:val="H1G"/>
      </w:pPr>
      <w:r>
        <w:tab/>
      </w:r>
      <w:r>
        <w:tab/>
      </w:r>
      <w:r w:rsidR="00322139">
        <w:t>Liberté d’expression (art. 19 et 20)</w:t>
      </w:r>
    </w:p>
    <w:p w14:paraId="2A013367" w14:textId="77777777" w:rsidR="00A23AAC" w:rsidRDefault="00A23AAC" w:rsidP="00322139">
      <w:pPr>
        <w:pStyle w:val="SingleTxtG"/>
        <w:rPr>
          <w:b/>
        </w:rPr>
      </w:pPr>
      <w:r w:rsidRPr="003D2CFE">
        <w:rPr>
          <w:b/>
        </w:rPr>
        <w:t>Réponse au paragraphe</w:t>
      </w:r>
      <w:r>
        <w:rPr>
          <w:b/>
        </w:rPr>
        <w:t xml:space="preserve"> </w:t>
      </w:r>
      <w:r>
        <w:rPr>
          <w:b/>
        </w:rPr>
        <w:t xml:space="preserve">19 </w:t>
      </w:r>
    </w:p>
    <w:p w14:paraId="32AA14C5" w14:textId="11FF0353" w:rsidR="00322139" w:rsidRDefault="00322139" w:rsidP="00322139">
      <w:pPr>
        <w:pStyle w:val="SingleTxtG"/>
      </w:pPr>
      <w:r>
        <w:t>24</w:t>
      </w:r>
      <w:r w:rsidR="00A23AAC">
        <w:t>2</w:t>
      </w:r>
      <w:r>
        <w:t>.</w:t>
      </w:r>
      <w:r>
        <w:tab/>
        <w:t>Monaco rappelle les éléments présentés à la suite des dernières observations finales du Comité (CCPR/C/MCO/CO/3/Add.1.), qui ont conservé leur pertinence depuis la date de transmission. Il n’est ainsi pas prévu à ce stade de procéder à une modification des articles 58 à 60 du Code pénal, qui n’ont aucunement vocation à empêcher le libre débat sur des questions d’intérêt général.</w:t>
      </w:r>
    </w:p>
    <w:p w14:paraId="41EB8BF4" w14:textId="5239808A" w:rsidR="00322139" w:rsidRDefault="00322139" w:rsidP="00322139">
      <w:pPr>
        <w:pStyle w:val="SingleTxtG"/>
      </w:pPr>
      <w:r>
        <w:t>24</w:t>
      </w:r>
      <w:r w:rsidR="00A23AAC">
        <w:t>3</w:t>
      </w:r>
      <w:r>
        <w:t>.</w:t>
      </w:r>
      <w:r>
        <w:tab/>
        <w:t xml:space="preserve">Monaco réaffirme son ferme attachement à la liberté d’expression, dont il ne peut être interprété que les infractions découlant des articles susmentionnés réduisent la portée. </w:t>
      </w:r>
    </w:p>
    <w:p w14:paraId="0464E6F0" w14:textId="72F8AE29" w:rsidR="00322139" w:rsidRDefault="00322139" w:rsidP="00322139">
      <w:pPr>
        <w:pStyle w:val="SingleTxtG"/>
      </w:pPr>
      <w:r>
        <w:t>24</w:t>
      </w:r>
      <w:r w:rsidR="00A23AAC">
        <w:t>4</w:t>
      </w:r>
      <w:r>
        <w:t>.</w:t>
      </w:r>
      <w:r>
        <w:tab/>
        <w:t xml:space="preserve">Par ailleurs, les médias installés à Monaco sont libres. Leurs supports ne sont pas contrôlés par le Gouvernement et les accès à l’information ainsi qu’aux documents de travail leur sont unanimement garantis. </w:t>
      </w:r>
    </w:p>
    <w:p w14:paraId="2DFC29C1" w14:textId="775980D7" w:rsidR="00322139" w:rsidRDefault="00322139" w:rsidP="00322139">
      <w:pPr>
        <w:pStyle w:val="SingleTxtG"/>
      </w:pPr>
      <w:r>
        <w:t>24</w:t>
      </w:r>
      <w:r w:rsidR="00A23AAC">
        <w:t>5</w:t>
      </w:r>
      <w:r>
        <w:t>.</w:t>
      </w:r>
      <w:r>
        <w:tab/>
        <w:t xml:space="preserve">L’Etat n’intervient pas dans l’édition, la production, la publication et la diffusion de leurs contenus. Ainsi, aucune instruction n’est donnée pour influer sur les contenus relayés par les médias opérant en Principauté. </w:t>
      </w:r>
    </w:p>
    <w:p w14:paraId="3DDA9D2A" w14:textId="7A5C17DA" w:rsidR="00322139" w:rsidRDefault="00322139" w:rsidP="00322139">
      <w:pPr>
        <w:pStyle w:val="SingleTxtG"/>
      </w:pPr>
      <w:r>
        <w:t>24</w:t>
      </w:r>
      <w:r w:rsidR="00A23AAC">
        <w:t>6</w:t>
      </w:r>
      <w:r>
        <w:t>.</w:t>
      </w:r>
      <w:r>
        <w:tab/>
        <w:t xml:space="preserve">Une pluralité de médias est implantée sur le territoire monégasque : </w:t>
      </w:r>
    </w:p>
    <w:p w14:paraId="06CC3C1D" w14:textId="7B415EA8" w:rsidR="00322139" w:rsidRDefault="00322139" w:rsidP="00A23AAC">
      <w:pPr>
        <w:pStyle w:val="Bullet1G"/>
      </w:pPr>
      <w:r>
        <w:t>Des supports de presse écrite (presse quotidienne, périodiques) ;</w:t>
      </w:r>
    </w:p>
    <w:p w14:paraId="642ACE91" w14:textId="4C949F8B" w:rsidR="00322139" w:rsidRDefault="00322139" w:rsidP="00A23AAC">
      <w:pPr>
        <w:pStyle w:val="Bullet1G"/>
      </w:pPr>
      <w:r>
        <w:t>Des antennes radio qui émettent en français, en anglais et en italien ;</w:t>
      </w:r>
    </w:p>
    <w:p w14:paraId="59438D0E" w14:textId="6FE1F18F" w:rsidR="00322139" w:rsidRDefault="00322139" w:rsidP="00A23AAC">
      <w:pPr>
        <w:pStyle w:val="Bullet1G"/>
      </w:pPr>
      <w:r>
        <w:t>Des antennes de télévision (généralistes et thématiques) ;</w:t>
      </w:r>
    </w:p>
    <w:p w14:paraId="0F874002" w14:textId="092A99B2" w:rsidR="00322139" w:rsidRDefault="00322139" w:rsidP="00A23AAC">
      <w:pPr>
        <w:pStyle w:val="Bullet1G"/>
      </w:pPr>
      <w:r>
        <w:t>Des agences photographiques ;</w:t>
      </w:r>
    </w:p>
    <w:p w14:paraId="743947BA" w14:textId="1BF6240A" w:rsidR="00EC2B55" w:rsidRDefault="00322139" w:rsidP="00A23AAC">
      <w:pPr>
        <w:pStyle w:val="Bullet1G"/>
      </w:pPr>
      <w:r>
        <w:t>Des pigistes (reporters, reporters d’image notamment), qui travaillent indifféremment pour les supports qui font appel à leurs services.</w:t>
      </w:r>
    </w:p>
    <w:p w14:paraId="025D3593" w14:textId="027F3CEB" w:rsidR="00322139" w:rsidRDefault="00322139" w:rsidP="00322139">
      <w:pPr>
        <w:pStyle w:val="SingleTxtG"/>
      </w:pPr>
      <w:r>
        <w:t>24</w:t>
      </w:r>
      <w:r w:rsidR="00A23AAC">
        <w:t>7</w:t>
      </w:r>
      <w:r>
        <w:t>.</w:t>
      </w:r>
      <w:r>
        <w:tab/>
        <w:t>En ce qui concerne leur financement, les médias monégasques sont des sociétés anonymes dont les ayants-droits sont connus et enregistrés (registres nationaux classiques des entreprises), ce qui garantit qu’ils soient totalement libres de leurs orientations et de leur couverture de l’information.</w:t>
      </w:r>
    </w:p>
    <w:p w14:paraId="4CDCFD14" w14:textId="5E1D57D4" w:rsidR="00322139" w:rsidRDefault="00322139" w:rsidP="00322139">
      <w:pPr>
        <w:pStyle w:val="SingleTxtG"/>
      </w:pPr>
      <w:r>
        <w:t>2</w:t>
      </w:r>
      <w:r w:rsidR="00A23AAC">
        <w:t>48</w:t>
      </w:r>
      <w:r>
        <w:t>.</w:t>
      </w:r>
      <w:r>
        <w:tab/>
        <w:t xml:space="preserve">Les recrutements et les choix des reporters qui produisent des contenus pour les différents médias de la Principauté sont entièrement laissés à la décision des employeurs. En ce sens, aucune intervention de l’Etat dans ces processus n’est possible. </w:t>
      </w:r>
    </w:p>
    <w:p w14:paraId="0C5EECD1" w14:textId="666212F1" w:rsidR="00EC2B55" w:rsidRDefault="00322139" w:rsidP="00322139">
      <w:pPr>
        <w:pStyle w:val="SingleTxtG"/>
      </w:pPr>
      <w:r>
        <w:t>2</w:t>
      </w:r>
      <w:r w:rsidR="00A23AAC">
        <w:t>49</w:t>
      </w:r>
      <w:r>
        <w:t>.</w:t>
      </w:r>
      <w:r>
        <w:tab/>
        <w:t>Les profils représentés sont divers mais il est observé que les journalistes travaillant dans les médias de Monaco sont majoritairement français et sont donc, pour la plupart, titulaires d’une carte professionnelle française.</w:t>
      </w:r>
    </w:p>
    <w:p w14:paraId="62C370C4" w14:textId="76013DB1" w:rsidR="00EC2B55" w:rsidRDefault="00A23AAC" w:rsidP="00A23AAC">
      <w:pPr>
        <w:pStyle w:val="H1G"/>
      </w:pPr>
      <w:r>
        <w:tab/>
      </w:r>
      <w:r>
        <w:tab/>
      </w:r>
      <w:r w:rsidR="00322139">
        <w:t>Liberté d’association (art. 22 et 26)</w:t>
      </w:r>
    </w:p>
    <w:p w14:paraId="19E5D178" w14:textId="77777777" w:rsidR="00A23AAC" w:rsidRDefault="00A23AAC" w:rsidP="00322139">
      <w:pPr>
        <w:pStyle w:val="SingleTxtG"/>
        <w:rPr>
          <w:b/>
        </w:rPr>
      </w:pPr>
      <w:r w:rsidRPr="003D2CFE">
        <w:rPr>
          <w:b/>
        </w:rPr>
        <w:t>Réponse au paragraphe</w:t>
      </w:r>
      <w:r>
        <w:rPr>
          <w:b/>
        </w:rPr>
        <w:t xml:space="preserve"> </w:t>
      </w:r>
      <w:r>
        <w:rPr>
          <w:b/>
        </w:rPr>
        <w:t>20</w:t>
      </w:r>
    </w:p>
    <w:p w14:paraId="3E437098" w14:textId="74741E9F" w:rsidR="00EC2B55" w:rsidRDefault="00322139" w:rsidP="00322139">
      <w:pPr>
        <w:pStyle w:val="SingleTxtG"/>
      </w:pPr>
      <w:r>
        <w:t>25</w:t>
      </w:r>
      <w:r w:rsidR="00A23AAC">
        <w:t>0</w:t>
      </w:r>
      <w:r>
        <w:t>.</w:t>
      </w:r>
      <w:r>
        <w:tab/>
        <w:t>L’action syndicale est une liberté fondamentale reconnue par la Constitution en son article 28. Elle est également encadrée par diverses lois, concernant notamment la création et le fonctionnement des syndicats :</w:t>
      </w:r>
    </w:p>
    <w:p w14:paraId="04D360BF" w14:textId="76A3F39A" w:rsidR="00322139" w:rsidRDefault="00322139" w:rsidP="00A23AAC">
      <w:pPr>
        <w:pStyle w:val="Bullet1G"/>
      </w:pPr>
      <w:r>
        <w:t>Ordonnance-Loi n° 399 du 6 octobre 1944 autorisant la création de syndicats professionnels ;</w:t>
      </w:r>
    </w:p>
    <w:p w14:paraId="7E24B722" w14:textId="4C6C9ED6" w:rsidR="00EC2B55" w:rsidRDefault="00322139" w:rsidP="00A23AAC">
      <w:pPr>
        <w:pStyle w:val="Bullet1G"/>
      </w:pPr>
      <w:r>
        <w:t>Loi n° 403 du 28 novembre 1944 autorisant la création de syndicats patronaux.</w:t>
      </w:r>
    </w:p>
    <w:p w14:paraId="504773EB" w14:textId="26C2EBA6" w:rsidR="00EC2B55" w:rsidRDefault="00322139" w:rsidP="00322139">
      <w:pPr>
        <w:pStyle w:val="SingleTxtG"/>
      </w:pPr>
      <w:r>
        <w:t>25</w:t>
      </w:r>
      <w:r w:rsidR="00A23AAC">
        <w:t>1</w:t>
      </w:r>
      <w:r>
        <w:t>.</w:t>
      </w:r>
      <w:r>
        <w:tab/>
        <w:t xml:space="preserve">Face à l’évolution des pratiques et des besoins, le Gouvernement conduit actuellement une réflexion, en concertation avec les partenaires sociaux, afin de moderniser le cadre juridique. </w:t>
      </w:r>
    </w:p>
    <w:p w14:paraId="323F8ABB" w14:textId="3B3D4583" w:rsidR="00EC2B55" w:rsidRDefault="00322139" w:rsidP="00322139">
      <w:pPr>
        <w:pStyle w:val="SingleTxtG"/>
      </w:pPr>
      <w:r>
        <w:lastRenderedPageBreak/>
        <w:t>25</w:t>
      </w:r>
      <w:r w:rsidR="00A23AAC">
        <w:t>2</w:t>
      </w:r>
      <w:r>
        <w:t>.</w:t>
      </w:r>
      <w:r>
        <w:tab/>
        <w:t xml:space="preserve">Les dispositions envisagées aboutiraient notamment à un aménagement de la condition de nationalité monégasque pour occuper les fonctions dirigeantes d'un syndicat, en ouvrant davantage l’accès de ces fonctions aux ressortissants de nationalité étrangère dès lors qu'ils résident en Principauté ou dans les communes françaises limitrophes et qu'ils ont acquis une certaine expérience professionnelle à Monaco. </w:t>
      </w:r>
    </w:p>
    <w:p w14:paraId="5BE8C5DA" w14:textId="1BD767ED" w:rsidR="00EC2B55" w:rsidRDefault="00A23AAC" w:rsidP="00A23AAC">
      <w:pPr>
        <w:pStyle w:val="H1G"/>
      </w:pPr>
      <w:r>
        <w:tab/>
      </w:r>
      <w:r>
        <w:tab/>
      </w:r>
      <w:r w:rsidR="00322139">
        <w:t xml:space="preserve">Participation aux affaires publiques (art. 25 et 26) </w:t>
      </w:r>
    </w:p>
    <w:p w14:paraId="3C74B2D4" w14:textId="3BC0FA19" w:rsidR="00EC2B55" w:rsidRDefault="00A23AAC" w:rsidP="00322139">
      <w:pPr>
        <w:pStyle w:val="SingleTxtG"/>
      </w:pPr>
      <w:r w:rsidRPr="003D2CFE">
        <w:rPr>
          <w:b/>
        </w:rPr>
        <w:t>Réponse au paragraphe</w:t>
      </w:r>
      <w:r>
        <w:rPr>
          <w:b/>
        </w:rPr>
        <w:t xml:space="preserve"> </w:t>
      </w:r>
      <w:r>
        <w:rPr>
          <w:b/>
        </w:rPr>
        <w:t xml:space="preserve">21 </w:t>
      </w:r>
    </w:p>
    <w:p w14:paraId="04B04474" w14:textId="0C357896" w:rsidR="00EC2B55" w:rsidRDefault="00A23AAC" w:rsidP="00A23AAC">
      <w:pPr>
        <w:pStyle w:val="H4G"/>
      </w:pPr>
      <w:r>
        <w:tab/>
      </w:r>
      <w:r>
        <w:tab/>
      </w:r>
      <w:r w:rsidR="00322139">
        <w:t>Compatibilité des privations légales du droit de vote avec les articles 25 et 26 du Pacte et l’observation générale no 25 du Comité</w:t>
      </w:r>
    </w:p>
    <w:p w14:paraId="09EFA769" w14:textId="4917B74C" w:rsidR="00322139" w:rsidRDefault="00322139" w:rsidP="00322139">
      <w:pPr>
        <w:pStyle w:val="SingleTxtG"/>
      </w:pPr>
      <w:r>
        <w:t>25</w:t>
      </w:r>
      <w:r w:rsidR="00A23AAC">
        <w:t>3</w:t>
      </w:r>
      <w:r>
        <w:t>.</w:t>
      </w:r>
      <w:r>
        <w:tab/>
        <w:t>L’article 2 de la loi n° 839 du 23 février 1968 sur les élections nationales et communales, modifiée, énumère les motifs légaux de privation su droit de vote.</w:t>
      </w:r>
    </w:p>
    <w:p w14:paraId="49F61F44" w14:textId="7B99DB1A" w:rsidR="00322139" w:rsidRDefault="00322139" w:rsidP="00322139">
      <w:pPr>
        <w:pStyle w:val="SingleTxtG"/>
      </w:pPr>
      <w:r>
        <w:t>25</w:t>
      </w:r>
      <w:r w:rsidR="00A23AAC">
        <w:t>4</w:t>
      </w:r>
      <w:r>
        <w:t>.</w:t>
      </w:r>
      <w:r>
        <w:tab/>
        <w:t xml:space="preserve">Il convient de souligner que la privation du droit de vote prévue par cet article ne s’applique pas pour toute condamnation pénale, mais seulement pour une liste restreinte.  D’une part, le chiffre 2 de cet article n’énumère que certaines catégories spécifiques d’infraction, en particulier l’infraction contre la chose ou la confiance publique. D’autre part, le chiffre 3 dudit article ne vise que des condamnations à des peines relativement lourdes, présumant la gravité de l’infraction. </w:t>
      </w:r>
    </w:p>
    <w:p w14:paraId="021A4F6B" w14:textId="7647BE24" w:rsidR="00322139" w:rsidRDefault="00322139" w:rsidP="00322139">
      <w:pPr>
        <w:pStyle w:val="SingleTxtG"/>
      </w:pPr>
      <w:r>
        <w:t>25</w:t>
      </w:r>
      <w:r w:rsidR="00A23AAC">
        <w:t>5</w:t>
      </w:r>
      <w:r>
        <w:t>.</w:t>
      </w:r>
      <w:r>
        <w:tab/>
        <w:t xml:space="preserve">La privation de droit de vote dans ces conditions s’applique sans aucune discrimination, en étant fondée sur le fait objectif que constitue la condamnation pénale concernée. Cette restriction s’inscrit en outre dans un objectif de défense de la probité citoyenne et de la dissuasion des comportements frauduleux, en particulier lorsque ceux-ci sont dirigées contre la chose publique. </w:t>
      </w:r>
    </w:p>
    <w:p w14:paraId="46657BEF" w14:textId="40537DE0" w:rsidR="00322139" w:rsidRDefault="00322139" w:rsidP="00322139">
      <w:pPr>
        <w:pStyle w:val="SingleTxtG"/>
      </w:pPr>
      <w:r>
        <w:t>25</w:t>
      </w:r>
      <w:r w:rsidR="00A23AAC">
        <w:t>6</w:t>
      </w:r>
      <w:r>
        <w:t>.</w:t>
      </w:r>
      <w:r>
        <w:tab/>
        <w:t xml:space="preserve">Par conséquent, ces motifs de privation du droit de vote prévus par la loi sont bien « </w:t>
      </w:r>
      <w:r w:rsidRPr="00C909F2">
        <w:rPr>
          <w:i/>
          <w:iCs/>
        </w:rPr>
        <w:t>objectifs et raisonnables</w:t>
      </w:r>
      <w:r>
        <w:t xml:space="preserve"> », comme le demande l’Observation générale du Comité relative à l’article 25 du Pacte. </w:t>
      </w:r>
    </w:p>
    <w:p w14:paraId="786AA856" w14:textId="473CAD0E" w:rsidR="00EC2B55" w:rsidRDefault="00322139" w:rsidP="00322139">
      <w:pPr>
        <w:pStyle w:val="SingleTxtG"/>
      </w:pPr>
      <w:r>
        <w:t>25</w:t>
      </w:r>
      <w:r w:rsidR="00A23AAC">
        <w:t>7</w:t>
      </w:r>
      <w:r>
        <w:t>.</w:t>
      </w:r>
      <w:r>
        <w:tab/>
        <w:t>Par ailleurs, la loi n° 1.409 du 22 octobre 2014, a également modifié l’article 3 de la loi électorale afin de permettre aux personnes détenues de ne plus être privées de leur droit de vote du seul fait de leur détention, tenant compte à ce titre de la jurisprudence de la Cour européenne des droits de l’Homme. Les détenus jouissant toujours du bénéfice du droit de vote peuvent ainsi l’exercer au moyen du vote par procuration.</w:t>
      </w:r>
    </w:p>
    <w:p w14:paraId="6A5124F0" w14:textId="4A5ADE68" w:rsidR="00EC2B55" w:rsidRDefault="00A23AAC" w:rsidP="00A23AAC">
      <w:pPr>
        <w:pStyle w:val="H4G"/>
      </w:pPr>
      <w:r>
        <w:tab/>
      </w:r>
      <w:r>
        <w:tab/>
      </w:r>
      <w:r w:rsidR="00322139">
        <w:t>Possibilité d’octroi de droits politiques aux ressortissants étrangers résidant à Monaco</w:t>
      </w:r>
    </w:p>
    <w:p w14:paraId="46277CEE" w14:textId="45FADBA2" w:rsidR="00322139" w:rsidRDefault="00322139" w:rsidP="00322139">
      <w:pPr>
        <w:pStyle w:val="SingleTxtG"/>
      </w:pPr>
      <w:r>
        <w:t>2</w:t>
      </w:r>
      <w:r w:rsidR="00A23AAC">
        <w:t>58</w:t>
      </w:r>
      <w:r>
        <w:t>.</w:t>
      </w:r>
      <w:r>
        <w:tab/>
        <w:t xml:space="preserve">Il n’est, pour l’heure, pas prévu d’accorder le droit de vote ou d’autres droits politiques aux personnes de nationalité autre que monégasque, résidant en Principauté. </w:t>
      </w:r>
    </w:p>
    <w:p w14:paraId="73F0983D" w14:textId="359D2510" w:rsidR="00322139" w:rsidRDefault="00322139" w:rsidP="00322139">
      <w:pPr>
        <w:pStyle w:val="SingleTxtG"/>
      </w:pPr>
      <w:r>
        <w:t>2</w:t>
      </w:r>
      <w:r w:rsidR="00A23AAC">
        <w:t>59</w:t>
      </w:r>
      <w:r>
        <w:t>.</w:t>
      </w:r>
      <w:r>
        <w:tab/>
        <w:t>Toutefois, s’agissant de la participation des étrangers à la vie publique, il peut être par exemple précisé que le Conseil Économique, Social et Environnemental - dont les fonctions essentielles sont de donner des avis et émettre des propositions sur les sujets sociaux, financiers, commerciaux, industriels, d’urbanisme, liés à la culture ou l’éducation, à l’environnement et au développement durable - est ouvert à toute personne exerçant une activité professionnelle à Monaco, sans aucune condition de nationalité.</w:t>
      </w:r>
    </w:p>
    <w:p w14:paraId="7C54BE75" w14:textId="695B383F" w:rsidR="00EC2B55" w:rsidRDefault="00322139" w:rsidP="00322139">
      <w:pPr>
        <w:pStyle w:val="SingleTxtG"/>
      </w:pPr>
      <w:r>
        <w:t>26</w:t>
      </w:r>
      <w:r w:rsidR="00A23AAC">
        <w:t>0</w:t>
      </w:r>
      <w:r>
        <w:t>.</w:t>
      </w:r>
      <w:r>
        <w:tab/>
        <w:t>Par ailleurs, au regard des principes constitutionnels, les résidents sont en mesure d’adresser des pétitions aux autorités publiques. De plus, ils sont librement présents dans les associations et avertis de la vie locale par tous les moyens à leur portée permettant d’assurer, librement et efficacement, une adhésion à la vie publique de la Principauté qui dispose d’un tissu humain particulièrement cosmopolite et d’une grande cohésion.</w:t>
      </w:r>
    </w:p>
    <w:p w14:paraId="6B504954" w14:textId="0B0AF567" w:rsidR="00EC2B55" w:rsidRDefault="00A23AAC" w:rsidP="00A23AAC">
      <w:pPr>
        <w:pStyle w:val="H4G"/>
      </w:pPr>
      <w:r>
        <w:tab/>
      </w:r>
      <w:r>
        <w:tab/>
      </w:r>
      <w:r w:rsidR="00322139">
        <w:t>Promotion du pluralisme politique</w:t>
      </w:r>
    </w:p>
    <w:p w14:paraId="66FE3669" w14:textId="321F3523" w:rsidR="00322139" w:rsidRDefault="00322139" w:rsidP="00322139">
      <w:pPr>
        <w:pStyle w:val="SingleTxtG"/>
      </w:pPr>
      <w:r>
        <w:t>26</w:t>
      </w:r>
      <w:r w:rsidR="00A23AAC">
        <w:t>1</w:t>
      </w:r>
      <w:r>
        <w:t>.</w:t>
      </w:r>
      <w:r>
        <w:tab/>
        <w:t xml:space="preserve">Le premier alinéa de l’article 53 de la Constitution dispose que : « </w:t>
      </w:r>
      <w:r w:rsidRPr="00C909F2">
        <w:rPr>
          <w:i/>
          <w:iCs/>
        </w:rPr>
        <w:t xml:space="preserve">Le Conseil National comprend vingt-quatre membres élus pour cinq ans au suffrage universel direct et au scrutin de liste dans les conditions prévues par la loi. Sont électeurs, dans les conditions fixées par la loi, les citoyens de nationalité monégasque de l’un ou de l’autre sexe âgé de dix-huit ans </w:t>
      </w:r>
      <w:r w:rsidRPr="00C909F2">
        <w:rPr>
          <w:i/>
          <w:iCs/>
        </w:rPr>
        <w:lastRenderedPageBreak/>
        <w:t>au moins, à l’exception de ceux qui sont privés du droit de vote pour l’une des causes prévues par la loi.</w:t>
      </w:r>
      <w:r>
        <w:t xml:space="preserve"> »</w:t>
      </w:r>
    </w:p>
    <w:p w14:paraId="417A5015" w14:textId="0CE9D0A9" w:rsidR="00322139" w:rsidRDefault="00322139" w:rsidP="00322139">
      <w:pPr>
        <w:pStyle w:val="SingleTxtG"/>
      </w:pPr>
      <w:r>
        <w:t>26</w:t>
      </w:r>
      <w:r w:rsidR="00A23AAC">
        <w:t>2</w:t>
      </w:r>
      <w:r>
        <w:t>.</w:t>
      </w:r>
      <w:r>
        <w:tab/>
        <w:t xml:space="preserve">En vertu de la l’article 54 de la Constitution : « </w:t>
      </w:r>
      <w:r w:rsidRPr="00C909F2">
        <w:rPr>
          <w:i/>
          <w:iCs/>
        </w:rPr>
        <w:t>sont éligibles les électeurs de nationalité monégasque de l’un ou de l’autre sexe, âgés de vingt-cinq ans révolus, possédant la nationalité monégasque depuis cinq ans au moins et qui ne sont pas privés de l’éligibilité pour une des causes prévues par la loi</w:t>
      </w:r>
      <w:r>
        <w:t xml:space="preserve"> ».</w:t>
      </w:r>
    </w:p>
    <w:p w14:paraId="0C5F0BBA" w14:textId="12429571" w:rsidR="00322139" w:rsidRDefault="00322139" w:rsidP="00322139">
      <w:pPr>
        <w:pStyle w:val="SingleTxtG"/>
      </w:pPr>
      <w:r>
        <w:t>26</w:t>
      </w:r>
      <w:r w:rsidR="00A23AAC">
        <w:t>3</w:t>
      </w:r>
      <w:r>
        <w:t>.</w:t>
      </w:r>
      <w:r>
        <w:tab/>
        <w:t xml:space="preserve">Ces deux dispositions permettent de bénéficier d’un corps électoral étendu et diversifié, tant au niveau des électeurs que des candidats. </w:t>
      </w:r>
    </w:p>
    <w:p w14:paraId="355186BC" w14:textId="0483ABDC" w:rsidR="00322139" w:rsidRDefault="00322139" w:rsidP="00322139">
      <w:pPr>
        <w:pStyle w:val="SingleTxtG"/>
      </w:pPr>
      <w:r>
        <w:t>26</w:t>
      </w:r>
      <w:r w:rsidR="00A23AAC">
        <w:t>4</w:t>
      </w:r>
      <w:r>
        <w:t>.</w:t>
      </w:r>
      <w:r>
        <w:tab/>
        <w:t xml:space="preserve">La loi n° 839 du 23 février 1968, modifiée, susmentionnée, encadre les modalités de présentation des listes électorales nationales et communales ainsi que le mode de désignation des élus. La loi permet ainsi d’assurer le pluralisme politique en Principauté, tout en assurant l’efficacité du système électoral. </w:t>
      </w:r>
    </w:p>
    <w:p w14:paraId="13AA9B90" w14:textId="154728BA" w:rsidR="00322139" w:rsidRDefault="00322139" w:rsidP="00322139">
      <w:pPr>
        <w:pStyle w:val="SingleTxtG"/>
      </w:pPr>
      <w:r>
        <w:t>26</w:t>
      </w:r>
      <w:r w:rsidR="00A23AAC">
        <w:t>5</w:t>
      </w:r>
      <w:r>
        <w:t>.</w:t>
      </w:r>
      <w:r>
        <w:tab/>
        <w:t xml:space="preserve">La déclaration de candidature individuelle ou le dépôt d’une liste de candidats doit être faite 16 jours au moins et 20 jours au plus avant la date du scrutin auprès du Maire, qui l’enregistre. </w:t>
      </w:r>
    </w:p>
    <w:p w14:paraId="131E9ECF" w14:textId="184B9BC3" w:rsidR="00322139" w:rsidRDefault="00322139" w:rsidP="00322139">
      <w:pPr>
        <w:pStyle w:val="SingleTxtG"/>
      </w:pPr>
      <w:r>
        <w:t>26</w:t>
      </w:r>
      <w:r w:rsidR="00A23AAC">
        <w:t>6</w:t>
      </w:r>
      <w:r>
        <w:t>.</w:t>
      </w:r>
      <w:r>
        <w:tab/>
        <w:t>Les listes en présence doivent comporter un nombre de candidats au moins égal à celui correspondant à la majorité absolue au sein du Conseil National (soit treize), ce qui conduit chaque liste à se présenter avec les moyens de défendre le programme qu’elle soutient au cas où elle recueillerait la majorité.</w:t>
      </w:r>
    </w:p>
    <w:p w14:paraId="18BF2738" w14:textId="3C808017" w:rsidR="00322139" w:rsidRDefault="00322139" w:rsidP="00322139">
      <w:pPr>
        <w:pStyle w:val="SingleTxtG"/>
      </w:pPr>
      <w:r>
        <w:t>26</w:t>
      </w:r>
      <w:r w:rsidR="00A23AAC">
        <w:t>7</w:t>
      </w:r>
      <w:r>
        <w:t>.</w:t>
      </w:r>
      <w:r>
        <w:tab/>
        <w:t xml:space="preserve">Durant la campagne des élections nationales, sont gracieusement mis à disposition de chaque liste de candidats une salle permettant de tenir deux réunions électorales, en veillant au respect de l’équité entre chaque liste. </w:t>
      </w:r>
    </w:p>
    <w:p w14:paraId="785055C6" w14:textId="15797518" w:rsidR="00322139" w:rsidRDefault="00322139" w:rsidP="00322139">
      <w:pPr>
        <w:pStyle w:val="SingleTxtG"/>
      </w:pPr>
      <w:r>
        <w:t>2</w:t>
      </w:r>
      <w:r w:rsidR="00A23AAC">
        <w:t>68</w:t>
      </w:r>
      <w:r>
        <w:t>.</w:t>
      </w:r>
      <w:r>
        <w:tab/>
        <w:t xml:space="preserve">S’agissant du mode de scrutin depuis la loi n° 1.250 du 9 avril 2002, le nouveau système mixte selon lequel 16 membres du Conseil National sont désignés au scrutin majoritaire et 8 sièges sont attribués aux listes ayant obtenu au moins 5% des suffrages exprimés, selon les modalités de la représentation proportionnelle, permet d’assurer l’obtention d’une majorité cohérente, tout en laissant une place aux représentants de listes d’opposition. </w:t>
      </w:r>
    </w:p>
    <w:p w14:paraId="57583CAE" w14:textId="1C1BDE2B" w:rsidR="000C1293" w:rsidRPr="000C1293" w:rsidRDefault="00A23AAC" w:rsidP="00A23AAC">
      <w:pPr>
        <w:pStyle w:val="SingleTxtG"/>
        <w:jc w:val="center"/>
      </w:pPr>
      <w:r>
        <w:t>___________</w:t>
      </w:r>
    </w:p>
    <w:sectPr w:rsidR="000C1293" w:rsidRPr="000C1293" w:rsidSect="00981901">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4BCEE2" w14:textId="77777777" w:rsidR="00D8099D" w:rsidRDefault="00D8099D" w:rsidP="00F95C08">
      <w:pPr>
        <w:spacing w:line="240" w:lineRule="auto"/>
      </w:pPr>
    </w:p>
  </w:endnote>
  <w:endnote w:type="continuationSeparator" w:id="0">
    <w:p w14:paraId="6C3EA499" w14:textId="77777777" w:rsidR="00D8099D" w:rsidRPr="00AC3823" w:rsidRDefault="00D8099D" w:rsidP="00AC3823">
      <w:pPr>
        <w:pStyle w:val="Footer"/>
      </w:pPr>
    </w:p>
  </w:endnote>
  <w:endnote w:type="continuationNotice" w:id="1">
    <w:p w14:paraId="648C0F0F" w14:textId="77777777" w:rsidR="00D8099D" w:rsidRDefault="00D8099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F5A5E" w14:textId="77777777" w:rsidR="006056E0" w:rsidRDefault="00000000" w:rsidP="005B6BC9">
    <w:pPr>
      <w:pStyle w:val="Footer"/>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CF3C59">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C1C98" w14:textId="77777777" w:rsidR="001E498C" w:rsidRDefault="005B6BC9" w:rsidP="005B6BC9">
    <w:pPr>
      <w:pStyle w:val="Footer"/>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D00DEE">
      <w:rPr>
        <w:b/>
        <w:noProof/>
        <w:sz w:val="18"/>
      </w:rPr>
      <w:t>3</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95741" w14:textId="77777777" w:rsidR="000C2875" w:rsidRDefault="00000000" w:rsidP="000C2875">
    <w:pPr>
      <w:pStyle w:val="Footer"/>
      <w:spacing w:before="120"/>
      <w:rPr>
        <w:noProof/>
        <w:sz w:val="20"/>
        <w:lang w:eastAsia="fr-FR"/>
      </w:rPr>
    </w:pPr>
    <w:r w:rsidRPr="008A0E26">
      <w:rPr>
        <w:noProof/>
        <w:lang w:eastAsia="fr-CH"/>
      </w:rPr>
      <w:drawing>
        <wp:anchor distT="0" distB="0" distL="114300" distR="114300" simplePos="0" relativeHeight="251658240" behindDoc="0" locked="1" layoutInCell="1" allowOverlap="1" wp14:anchorId="74D9B643" wp14:editId="5F320E51">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8A0E26" w:rsidRPr="008A0E26">
      <w:rPr>
        <w:sz w:val="20"/>
      </w:rPr>
      <w:t>GE.</w:t>
    </w:r>
    <w:r w:rsidR="008A0E26" w:rsidRPr="008A0E26">
      <w:rPr>
        <w:noProof/>
        <w:sz w:val="20"/>
        <w:lang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88709A" w14:paraId="3C2D2217" w14:textId="77777777" w:rsidTr="000E7B24">
      <w:tc>
        <w:tcPr>
          <w:tcW w:w="1848" w:type="dxa"/>
          <w:vAlign w:val="bottom"/>
        </w:tcPr>
        <w:p w14:paraId="21F5506D" w14:textId="77777777" w:rsidR="000C2875" w:rsidRPr="008F69EF" w:rsidRDefault="00000000" w:rsidP="000C2875">
          <w:pPr>
            <w:spacing w:before="120" w:after="120" w:line="240" w:lineRule="auto"/>
            <w:jc w:val="right"/>
            <w:rPr>
              <w:sz w:val="16"/>
            </w:rPr>
          </w:pPr>
          <w:r>
            <w:rPr>
              <w:noProof/>
              <w:lang w:eastAsia="fr-CH"/>
            </w:rPr>
            <w:drawing>
              <wp:inline distT="0" distB="0" distL="0" distR="0" wp14:anchorId="1E5C1B82" wp14:editId="4E981B26">
                <wp:extent cx="1104265" cy="233045"/>
                <wp:effectExtent l="0" t="0" r="635" b="0"/>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recycle_French"/>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1104265" cy="233045"/>
                        </a:xfrm>
                        <a:prstGeom prst="rect">
                          <a:avLst/>
                        </a:prstGeom>
                        <a:noFill/>
                        <a:ln>
                          <a:noFill/>
                        </a:ln>
                      </pic:spPr>
                    </pic:pic>
                  </a:graphicData>
                </a:graphic>
              </wp:inline>
            </w:drawing>
          </w:r>
        </w:p>
      </w:tc>
      <w:tc>
        <w:tcPr>
          <w:tcW w:w="1274" w:type="dxa"/>
        </w:tcPr>
        <w:p w14:paraId="5B1B2A28" w14:textId="77777777" w:rsidR="000C2875" w:rsidRPr="008F69EF" w:rsidRDefault="000C2875" w:rsidP="000C2875">
          <w:pPr>
            <w:spacing w:line="240" w:lineRule="auto"/>
            <w:jc w:val="right"/>
            <w:rPr>
              <w:sz w:val="16"/>
            </w:rPr>
          </w:pPr>
        </w:p>
      </w:tc>
    </w:tr>
  </w:tbl>
  <w:p w14:paraId="2A8192DD" w14:textId="77777777" w:rsidR="006056E0" w:rsidRPr="008A0E26" w:rsidRDefault="006056E0" w:rsidP="000C28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F6FF01" w14:textId="77777777" w:rsidR="00D8099D" w:rsidRPr="00AC3823" w:rsidRDefault="00D8099D" w:rsidP="00AC3823">
      <w:pPr>
        <w:pStyle w:val="Footer"/>
        <w:tabs>
          <w:tab w:val="right" w:pos="2155"/>
        </w:tabs>
        <w:spacing w:after="80" w:line="240" w:lineRule="atLeast"/>
        <w:ind w:left="680"/>
        <w:rPr>
          <w:u w:val="single"/>
        </w:rPr>
      </w:pPr>
      <w:r>
        <w:rPr>
          <w:u w:val="single"/>
        </w:rPr>
        <w:tab/>
      </w:r>
    </w:p>
  </w:footnote>
  <w:footnote w:type="continuationSeparator" w:id="0">
    <w:p w14:paraId="5802B87E" w14:textId="77777777" w:rsidR="00D8099D" w:rsidRPr="00AC3823" w:rsidRDefault="00D8099D" w:rsidP="00AC3823">
      <w:pPr>
        <w:pStyle w:val="Footer"/>
        <w:tabs>
          <w:tab w:val="right" w:pos="2155"/>
        </w:tabs>
        <w:spacing w:after="80" w:line="240" w:lineRule="atLeast"/>
        <w:ind w:left="680"/>
        <w:rPr>
          <w:u w:val="single"/>
        </w:rPr>
      </w:pPr>
      <w:r>
        <w:rPr>
          <w:u w:val="single"/>
        </w:rPr>
        <w:tab/>
      </w:r>
    </w:p>
  </w:footnote>
  <w:footnote w:type="continuationNotice" w:id="1">
    <w:p w14:paraId="10CF0F8B" w14:textId="77777777" w:rsidR="00D8099D" w:rsidRPr="00AC3823" w:rsidRDefault="00D8099D">
      <w:pPr>
        <w:spacing w:line="240" w:lineRule="auto"/>
        <w:rPr>
          <w:sz w:val="2"/>
          <w:szCs w:val="2"/>
        </w:rPr>
      </w:pPr>
    </w:p>
  </w:footnote>
  <w:footnote w:id="2">
    <w:p w14:paraId="3C56613D" w14:textId="77777777" w:rsidR="003F2448" w:rsidRPr="001C3FB7" w:rsidRDefault="00000000" w:rsidP="003F2448">
      <w:pPr>
        <w:pStyle w:val="FootnoteText"/>
      </w:pPr>
      <w:r>
        <w:rPr>
          <w:rStyle w:val="FootnoteReference"/>
        </w:rPr>
        <w:tab/>
      </w:r>
      <w:r w:rsidRPr="001C3FB7">
        <w:rPr>
          <w:rStyle w:val="FootnoteReference"/>
          <w:sz w:val="20"/>
          <w:vertAlign w:val="baseline"/>
        </w:rPr>
        <w:t>*</w:t>
      </w:r>
      <w:r>
        <w:rPr>
          <w:rStyle w:val="FootnoteReference"/>
          <w:sz w:val="20"/>
          <w:vertAlign w:val="baseline"/>
        </w:rPr>
        <w:tab/>
      </w:r>
      <w:r>
        <w:t>La version originale du présent document n’a pas été revue par les services d’édition.</w:t>
      </w:r>
    </w:p>
  </w:footnote>
  <w:footnote w:id="3">
    <w:p w14:paraId="58DD323B" w14:textId="0BFED2D8" w:rsidR="003F2448" w:rsidRPr="001C3FB7" w:rsidRDefault="0061580A" w:rsidP="003F2448">
      <w:pPr>
        <w:pStyle w:val="FootnoteText"/>
      </w:pPr>
      <w:r>
        <w:rPr>
          <w:rStyle w:val="Heading2Char"/>
          <w:color w:val="FF0000"/>
        </w:rPr>
        <w:tab/>
      </w:r>
      <w:r w:rsidR="00000000" w:rsidRPr="001C3FB7">
        <w:rPr>
          <w:rStyle w:val="FootnoteReference"/>
          <w:sz w:val="20"/>
          <w:vertAlign w:val="baseline"/>
        </w:rPr>
        <w:t>**</w:t>
      </w:r>
      <w:r w:rsidR="00000000">
        <w:rPr>
          <w:rStyle w:val="FootnoteReference"/>
          <w:sz w:val="20"/>
          <w:vertAlign w:val="baseline"/>
        </w:rPr>
        <w:tab/>
      </w:r>
      <w:r w:rsidR="00000000" w:rsidRPr="001C3FB7">
        <w:rPr>
          <w:szCs w:val="18"/>
        </w:rPr>
        <w:t>Le présent document a été soumis selon la procédure simplifiée d’établissement des rapports. Il</w:t>
      </w:r>
      <w:r w:rsidR="00000000">
        <w:rPr>
          <w:szCs w:val="18"/>
        </w:rPr>
        <w:t> </w:t>
      </w:r>
      <w:r w:rsidR="00000000" w:rsidRPr="001C3FB7">
        <w:rPr>
          <w:szCs w:val="18"/>
        </w:rPr>
        <w:t xml:space="preserve">contient les réponses de l’État partie à la </w:t>
      </w:r>
      <w:r w:rsidR="00000000" w:rsidRPr="001C3FB7">
        <w:rPr>
          <w:rStyle w:val="Heading1Char"/>
          <w:sz w:val="18"/>
          <w:szCs w:val="18"/>
        </w:rPr>
        <w:t xml:space="preserve">liste de points à traiter établie avant la soumission du </w:t>
      </w:r>
      <w:r w:rsidR="00000000" w:rsidRPr="0061580A">
        <w:rPr>
          <w:rStyle w:val="Heading1Char"/>
          <w:sz w:val="18"/>
          <w:szCs w:val="18"/>
        </w:rPr>
        <w:t>rapport (</w:t>
      </w:r>
      <w:hyperlink r:id="rId1" w:history="1">
        <w:r w:rsidR="00000000" w:rsidRPr="00C909F2">
          <w:rPr>
            <w:rStyle w:val="Hyperlink"/>
            <w:szCs w:val="18"/>
          </w:rPr>
          <w:t>CCPR/C/</w:t>
        </w:r>
        <w:r w:rsidRPr="00C909F2">
          <w:rPr>
            <w:rStyle w:val="Hyperlink"/>
            <w:szCs w:val="18"/>
          </w:rPr>
          <w:t>M</w:t>
        </w:r>
        <w:r w:rsidRPr="00C909F2">
          <w:rPr>
            <w:rStyle w:val="Hyperlink"/>
            <w:szCs w:val="18"/>
          </w:rPr>
          <w:t>C</w:t>
        </w:r>
        <w:r w:rsidRPr="00C909F2">
          <w:rPr>
            <w:rStyle w:val="Hyperlink"/>
            <w:szCs w:val="18"/>
          </w:rPr>
          <w:t>O</w:t>
        </w:r>
        <w:r w:rsidR="00000000" w:rsidRPr="00C909F2">
          <w:rPr>
            <w:rStyle w:val="Hyperlink"/>
            <w:szCs w:val="18"/>
          </w:rPr>
          <w:t>/QPR/</w:t>
        </w:r>
        <w:r w:rsidRPr="00C909F2">
          <w:rPr>
            <w:rStyle w:val="Hyperlink"/>
            <w:szCs w:val="18"/>
          </w:rPr>
          <w:t>4</w:t>
        </w:r>
      </w:hyperlink>
      <w:r w:rsidR="00000000" w:rsidRPr="0061580A">
        <w:rPr>
          <w:rStyle w:val="Heading1Char"/>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0989F" w14:textId="77777777" w:rsidR="006056E0" w:rsidRDefault="00E018E1">
    <w:pPr>
      <w:pStyle w:val="Header"/>
    </w:pPr>
    <w:r>
      <w:t>CCPR/C/MCO/4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55197" w14:textId="77777777" w:rsidR="005B6BC9" w:rsidRDefault="00E018E1" w:rsidP="005B6BC9">
    <w:pPr>
      <w:pStyle w:val="Header"/>
      <w:jc w:val="right"/>
    </w:pPr>
    <w:r>
      <w:t>CCPR/C/MCO/4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32AC5C50"/>
    <w:lvl w:ilvl="0" w:tplc="C1F44CD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BC606C2" w:tentative="1">
      <w:start w:val="1"/>
      <w:numFmt w:val="lowerLetter"/>
      <w:lvlText w:val="%2."/>
      <w:lvlJc w:val="left"/>
      <w:pPr>
        <w:tabs>
          <w:tab w:val="num" w:pos="1440"/>
        </w:tabs>
        <w:ind w:left="1440" w:hanging="360"/>
      </w:pPr>
    </w:lvl>
    <w:lvl w:ilvl="2" w:tplc="9FD082EE" w:tentative="1">
      <w:start w:val="1"/>
      <w:numFmt w:val="lowerRoman"/>
      <w:lvlText w:val="%3."/>
      <w:lvlJc w:val="right"/>
      <w:pPr>
        <w:tabs>
          <w:tab w:val="num" w:pos="2160"/>
        </w:tabs>
        <w:ind w:left="2160" w:hanging="180"/>
      </w:pPr>
    </w:lvl>
    <w:lvl w:ilvl="3" w:tplc="75C6A26E" w:tentative="1">
      <w:start w:val="1"/>
      <w:numFmt w:val="decimal"/>
      <w:lvlText w:val="%4."/>
      <w:lvlJc w:val="left"/>
      <w:pPr>
        <w:tabs>
          <w:tab w:val="num" w:pos="2880"/>
        </w:tabs>
        <w:ind w:left="2880" w:hanging="360"/>
      </w:pPr>
    </w:lvl>
    <w:lvl w:ilvl="4" w:tplc="FAA07908" w:tentative="1">
      <w:start w:val="1"/>
      <w:numFmt w:val="lowerLetter"/>
      <w:lvlText w:val="%5."/>
      <w:lvlJc w:val="left"/>
      <w:pPr>
        <w:tabs>
          <w:tab w:val="num" w:pos="3600"/>
        </w:tabs>
        <w:ind w:left="3600" w:hanging="360"/>
      </w:pPr>
    </w:lvl>
    <w:lvl w:ilvl="5" w:tplc="90382F58" w:tentative="1">
      <w:start w:val="1"/>
      <w:numFmt w:val="lowerRoman"/>
      <w:lvlText w:val="%6."/>
      <w:lvlJc w:val="right"/>
      <w:pPr>
        <w:tabs>
          <w:tab w:val="num" w:pos="4320"/>
        </w:tabs>
        <w:ind w:left="4320" w:hanging="180"/>
      </w:pPr>
    </w:lvl>
    <w:lvl w:ilvl="6" w:tplc="A6687346" w:tentative="1">
      <w:start w:val="1"/>
      <w:numFmt w:val="decimal"/>
      <w:lvlText w:val="%7."/>
      <w:lvlJc w:val="left"/>
      <w:pPr>
        <w:tabs>
          <w:tab w:val="num" w:pos="5040"/>
        </w:tabs>
        <w:ind w:left="5040" w:hanging="360"/>
      </w:pPr>
    </w:lvl>
    <w:lvl w:ilvl="7" w:tplc="BFA81A18" w:tentative="1">
      <w:start w:val="1"/>
      <w:numFmt w:val="lowerLetter"/>
      <w:lvlText w:val="%8."/>
      <w:lvlJc w:val="left"/>
      <w:pPr>
        <w:tabs>
          <w:tab w:val="num" w:pos="5760"/>
        </w:tabs>
        <w:ind w:left="5760" w:hanging="360"/>
      </w:pPr>
    </w:lvl>
    <w:lvl w:ilvl="8" w:tplc="49D60768"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8030249E"/>
    <w:lvl w:ilvl="0" w:tplc="1D4C7752">
      <w:start w:val="1"/>
      <w:numFmt w:val="bullet"/>
      <w:pStyle w:val="Bullet2G"/>
      <w:lvlText w:val="•"/>
      <w:lvlJc w:val="left"/>
      <w:pPr>
        <w:tabs>
          <w:tab w:val="num" w:pos="2268"/>
        </w:tabs>
        <w:ind w:left="2268" w:hanging="170"/>
      </w:pPr>
      <w:rPr>
        <w:rFonts w:ascii="Times New Roman" w:hAnsi="Times New Roman" w:cs="Times New Roman" w:hint="default"/>
      </w:rPr>
    </w:lvl>
    <w:lvl w:ilvl="1" w:tplc="18828DF6" w:tentative="1">
      <w:start w:val="1"/>
      <w:numFmt w:val="bullet"/>
      <w:lvlText w:val="o"/>
      <w:lvlJc w:val="left"/>
      <w:pPr>
        <w:tabs>
          <w:tab w:val="num" w:pos="3708"/>
        </w:tabs>
        <w:ind w:left="3708" w:hanging="360"/>
      </w:pPr>
      <w:rPr>
        <w:rFonts w:ascii="Courier New" w:hAnsi="Courier New" w:hint="default"/>
      </w:rPr>
    </w:lvl>
    <w:lvl w:ilvl="2" w:tplc="B11AD47A" w:tentative="1">
      <w:start w:val="1"/>
      <w:numFmt w:val="bullet"/>
      <w:lvlText w:val=""/>
      <w:lvlJc w:val="left"/>
      <w:pPr>
        <w:tabs>
          <w:tab w:val="num" w:pos="4428"/>
        </w:tabs>
        <w:ind w:left="4428" w:hanging="360"/>
      </w:pPr>
      <w:rPr>
        <w:rFonts w:ascii="Wingdings" w:hAnsi="Wingdings" w:hint="default"/>
      </w:rPr>
    </w:lvl>
    <w:lvl w:ilvl="3" w:tplc="F6942B50" w:tentative="1">
      <w:start w:val="1"/>
      <w:numFmt w:val="bullet"/>
      <w:lvlText w:val=""/>
      <w:lvlJc w:val="left"/>
      <w:pPr>
        <w:tabs>
          <w:tab w:val="num" w:pos="5148"/>
        </w:tabs>
        <w:ind w:left="5148" w:hanging="360"/>
      </w:pPr>
      <w:rPr>
        <w:rFonts w:ascii="Symbol" w:hAnsi="Symbol" w:hint="default"/>
      </w:rPr>
    </w:lvl>
    <w:lvl w:ilvl="4" w:tplc="0D0A8434" w:tentative="1">
      <w:start w:val="1"/>
      <w:numFmt w:val="bullet"/>
      <w:lvlText w:val="o"/>
      <w:lvlJc w:val="left"/>
      <w:pPr>
        <w:tabs>
          <w:tab w:val="num" w:pos="5868"/>
        </w:tabs>
        <w:ind w:left="5868" w:hanging="360"/>
      </w:pPr>
      <w:rPr>
        <w:rFonts w:ascii="Courier New" w:hAnsi="Courier New" w:hint="default"/>
      </w:rPr>
    </w:lvl>
    <w:lvl w:ilvl="5" w:tplc="571EAF88" w:tentative="1">
      <w:start w:val="1"/>
      <w:numFmt w:val="bullet"/>
      <w:lvlText w:val=""/>
      <w:lvlJc w:val="left"/>
      <w:pPr>
        <w:tabs>
          <w:tab w:val="num" w:pos="6588"/>
        </w:tabs>
        <w:ind w:left="6588" w:hanging="360"/>
      </w:pPr>
      <w:rPr>
        <w:rFonts w:ascii="Wingdings" w:hAnsi="Wingdings" w:hint="default"/>
      </w:rPr>
    </w:lvl>
    <w:lvl w:ilvl="6" w:tplc="745A2BA4" w:tentative="1">
      <w:start w:val="1"/>
      <w:numFmt w:val="bullet"/>
      <w:lvlText w:val=""/>
      <w:lvlJc w:val="left"/>
      <w:pPr>
        <w:tabs>
          <w:tab w:val="num" w:pos="7308"/>
        </w:tabs>
        <w:ind w:left="7308" w:hanging="360"/>
      </w:pPr>
      <w:rPr>
        <w:rFonts w:ascii="Symbol" w:hAnsi="Symbol" w:hint="default"/>
      </w:rPr>
    </w:lvl>
    <w:lvl w:ilvl="7" w:tplc="834203FE" w:tentative="1">
      <w:start w:val="1"/>
      <w:numFmt w:val="bullet"/>
      <w:lvlText w:val="o"/>
      <w:lvlJc w:val="left"/>
      <w:pPr>
        <w:tabs>
          <w:tab w:val="num" w:pos="8028"/>
        </w:tabs>
        <w:ind w:left="8028" w:hanging="360"/>
      </w:pPr>
      <w:rPr>
        <w:rFonts w:ascii="Courier New" w:hAnsi="Courier New" w:hint="default"/>
      </w:rPr>
    </w:lvl>
    <w:lvl w:ilvl="8" w:tplc="7CF2D5BE"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BC20A4"/>
    <w:lvl w:ilvl="0" w:tplc="83C475C0">
      <w:start w:val="1"/>
      <w:numFmt w:val="bullet"/>
      <w:pStyle w:val="Bullet1G"/>
      <w:lvlText w:val="•"/>
      <w:lvlJc w:val="left"/>
      <w:pPr>
        <w:tabs>
          <w:tab w:val="num" w:pos="1701"/>
        </w:tabs>
        <w:ind w:left="1701" w:hanging="170"/>
      </w:pPr>
      <w:rPr>
        <w:rFonts w:ascii="Times New Roman" w:hAnsi="Times New Roman" w:cs="Times New Roman" w:hint="default"/>
      </w:rPr>
    </w:lvl>
    <w:lvl w:ilvl="1" w:tplc="DE5E58D4" w:tentative="1">
      <w:start w:val="1"/>
      <w:numFmt w:val="bullet"/>
      <w:lvlText w:val="o"/>
      <w:lvlJc w:val="left"/>
      <w:pPr>
        <w:tabs>
          <w:tab w:val="num" w:pos="3141"/>
        </w:tabs>
        <w:ind w:left="3141" w:hanging="360"/>
      </w:pPr>
      <w:rPr>
        <w:rFonts w:ascii="Courier New" w:hAnsi="Courier New" w:hint="default"/>
      </w:rPr>
    </w:lvl>
    <w:lvl w:ilvl="2" w:tplc="442E2C7C" w:tentative="1">
      <w:start w:val="1"/>
      <w:numFmt w:val="bullet"/>
      <w:lvlText w:val=""/>
      <w:lvlJc w:val="left"/>
      <w:pPr>
        <w:tabs>
          <w:tab w:val="num" w:pos="3861"/>
        </w:tabs>
        <w:ind w:left="3861" w:hanging="360"/>
      </w:pPr>
      <w:rPr>
        <w:rFonts w:ascii="Wingdings" w:hAnsi="Wingdings" w:hint="default"/>
      </w:rPr>
    </w:lvl>
    <w:lvl w:ilvl="3" w:tplc="06B0E0C6" w:tentative="1">
      <w:start w:val="1"/>
      <w:numFmt w:val="bullet"/>
      <w:lvlText w:val=""/>
      <w:lvlJc w:val="left"/>
      <w:pPr>
        <w:tabs>
          <w:tab w:val="num" w:pos="4581"/>
        </w:tabs>
        <w:ind w:left="4581" w:hanging="360"/>
      </w:pPr>
      <w:rPr>
        <w:rFonts w:ascii="Symbol" w:hAnsi="Symbol" w:hint="default"/>
      </w:rPr>
    </w:lvl>
    <w:lvl w:ilvl="4" w:tplc="B0FEABD0" w:tentative="1">
      <w:start w:val="1"/>
      <w:numFmt w:val="bullet"/>
      <w:lvlText w:val="o"/>
      <w:lvlJc w:val="left"/>
      <w:pPr>
        <w:tabs>
          <w:tab w:val="num" w:pos="5301"/>
        </w:tabs>
        <w:ind w:left="5301" w:hanging="360"/>
      </w:pPr>
      <w:rPr>
        <w:rFonts w:ascii="Courier New" w:hAnsi="Courier New" w:hint="default"/>
      </w:rPr>
    </w:lvl>
    <w:lvl w:ilvl="5" w:tplc="ECD07EF6" w:tentative="1">
      <w:start w:val="1"/>
      <w:numFmt w:val="bullet"/>
      <w:lvlText w:val=""/>
      <w:lvlJc w:val="left"/>
      <w:pPr>
        <w:tabs>
          <w:tab w:val="num" w:pos="6021"/>
        </w:tabs>
        <w:ind w:left="6021" w:hanging="360"/>
      </w:pPr>
      <w:rPr>
        <w:rFonts w:ascii="Wingdings" w:hAnsi="Wingdings" w:hint="default"/>
      </w:rPr>
    </w:lvl>
    <w:lvl w:ilvl="6" w:tplc="40B84214" w:tentative="1">
      <w:start w:val="1"/>
      <w:numFmt w:val="bullet"/>
      <w:lvlText w:val=""/>
      <w:lvlJc w:val="left"/>
      <w:pPr>
        <w:tabs>
          <w:tab w:val="num" w:pos="6741"/>
        </w:tabs>
        <w:ind w:left="6741" w:hanging="360"/>
      </w:pPr>
      <w:rPr>
        <w:rFonts w:ascii="Symbol" w:hAnsi="Symbol" w:hint="default"/>
      </w:rPr>
    </w:lvl>
    <w:lvl w:ilvl="7" w:tplc="81B8DA3A" w:tentative="1">
      <w:start w:val="1"/>
      <w:numFmt w:val="bullet"/>
      <w:lvlText w:val="o"/>
      <w:lvlJc w:val="left"/>
      <w:pPr>
        <w:tabs>
          <w:tab w:val="num" w:pos="7461"/>
        </w:tabs>
        <w:ind w:left="7461" w:hanging="360"/>
      </w:pPr>
      <w:rPr>
        <w:rFonts w:ascii="Courier New" w:hAnsi="Courier New" w:hint="default"/>
      </w:rPr>
    </w:lvl>
    <w:lvl w:ilvl="8" w:tplc="63981712" w:tentative="1">
      <w:start w:val="1"/>
      <w:numFmt w:val="bullet"/>
      <w:lvlText w:val=""/>
      <w:lvlJc w:val="left"/>
      <w:pPr>
        <w:tabs>
          <w:tab w:val="num" w:pos="8181"/>
        </w:tabs>
        <w:ind w:left="8181" w:hanging="360"/>
      </w:pPr>
      <w:rPr>
        <w:rFonts w:ascii="Wingdings" w:hAnsi="Wingdings" w:hint="default"/>
      </w:rPr>
    </w:lvl>
  </w:abstractNum>
  <w:num w:numId="1" w16cid:durableId="1282608812">
    <w:abstractNumId w:val="12"/>
  </w:num>
  <w:num w:numId="2" w16cid:durableId="666325486">
    <w:abstractNumId w:val="11"/>
  </w:num>
  <w:num w:numId="3" w16cid:durableId="1891116253">
    <w:abstractNumId w:val="10"/>
  </w:num>
  <w:num w:numId="4" w16cid:durableId="2090227580">
    <w:abstractNumId w:val="8"/>
  </w:num>
  <w:num w:numId="5" w16cid:durableId="464860339">
    <w:abstractNumId w:val="3"/>
  </w:num>
  <w:num w:numId="6" w16cid:durableId="2066173216">
    <w:abstractNumId w:val="2"/>
  </w:num>
  <w:num w:numId="7" w16cid:durableId="1017544613">
    <w:abstractNumId w:val="1"/>
  </w:num>
  <w:num w:numId="8" w16cid:durableId="1491678634">
    <w:abstractNumId w:val="0"/>
  </w:num>
  <w:num w:numId="9" w16cid:durableId="1510876167">
    <w:abstractNumId w:val="9"/>
  </w:num>
  <w:num w:numId="10" w16cid:durableId="1036733612">
    <w:abstractNumId w:val="7"/>
  </w:num>
  <w:num w:numId="11" w16cid:durableId="806897134">
    <w:abstractNumId w:val="6"/>
  </w:num>
  <w:num w:numId="12" w16cid:durableId="386952952">
    <w:abstractNumId w:val="5"/>
  </w:num>
  <w:num w:numId="13" w16cid:durableId="1788547765">
    <w:abstractNumId w:val="4"/>
  </w:num>
  <w:num w:numId="14" w16cid:durableId="965744900">
    <w:abstractNumId w:val="12"/>
  </w:num>
  <w:num w:numId="15" w16cid:durableId="51585253">
    <w:abstractNumId w:val="11"/>
  </w:num>
  <w:num w:numId="16" w16cid:durableId="1406879035">
    <w:abstractNumId w:val="10"/>
  </w:num>
  <w:num w:numId="17" w16cid:durableId="1786150185">
    <w:abstractNumId w:val="12"/>
  </w:num>
  <w:num w:numId="18" w16cid:durableId="734428107">
    <w:abstractNumId w:val="11"/>
  </w:num>
  <w:num w:numId="19" w16cid:durableId="9887547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7F94"/>
    <w:rsid w:val="00023842"/>
    <w:rsid w:val="000334F9"/>
    <w:rsid w:val="00065CBF"/>
    <w:rsid w:val="000714FD"/>
    <w:rsid w:val="0007796D"/>
    <w:rsid w:val="000860BB"/>
    <w:rsid w:val="000B7790"/>
    <w:rsid w:val="000C1293"/>
    <w:rsid w:val="000C2875"/>
    <w:rsid w:val="000C390E"/>
    <w:rsid w:val="000D1A91"/>
    <w:rsid w:val="000D6818"/>
    <w:rsid w:val="001067B9"/>
    <w:rsid w:val="00111F2F"/>
    <w:rsid w:val="0014365E"/>
    <w:rsid w:val="001459C9"/>
    <w:rsid w:val="00150DB2"/>
    <w:rsid w:val="00176178"/>
    <w:rsid w:val="00177F05"/>
    <w:rsid w:val="001C3FB7"/>
    <w:rsid w:val="001D64AF"/>
    <w:rsid w:val="001E498C"/>
    <w:rsid w:val="001F525A"/>
    <w:rsid w:val="00214CB3"/>
    <w:rsid w:val="00223272"/>
    <w:rsid w:val="0024779E"/>
    <w:rsid w:val="00291F1D"/>
    <w:rsid w:val="002A0540"/>
    <w:rsid w:val="002D340A"/>
    <w:rsid w:val="002E5AF4"/>
    <w:rsid w:val="00322139"/>
    <w:rsid w:val="00353ED5"/>
    <w:rsid w:val="0037014C"/>
    <w:rsid w:val="0039005B"/>
    <w:rsid w:val="003C45FE"/>
    <w:rsid w:val="003C5A44"/>
    <w:rsid w:val="003D1AD0"/>
    <w:rsid w:val="003D4C80"/>
    <w:rsid w:val="003F1369"/>
    <w:rsid w:val="003F2448"/>
    <w:rsid w:val="0041336D"/>
    <w:rsid w:val="00437041"/>
    <w:rsid w:val="00446FE5"/>
    <w:rsid w:val="00452396"/>
    <w:rsid w:val="00470737"/>
    <w:rsid w:val="00475149"/>
    <w:rsid w:val="00484F44"/>
    <w:rsid w:val="00494BBC"/>
    <w:rsid w:val="005505B7"/>
    <w:rsid w:val="00573BE5"/>
    <w:rsid w:val="00582D63"/>
    <w:rsid w:val="00586ED3"/>
    <w:rsid w:val="00596AA9"/>
    <w:rsid w:val="005B2412"/>
    <w:rsid w:val="005B6BC9"/>
    <w:rsid w:val="005C0143"/>
    <w:rsid w:val="005E2B17"/>
    <w:rsid w:val="006056E0"/>
    <w:rsid w:val="00613A58"/>
    <w:rsid w:val="0061580A"/>
    <w:rsid w:val="00684555"/>
    <w:rsid w:val="006910CE"/>
    <w:rsid w:val="006D44E0"/>
    <w:rsid w:val="006E7DB4"/>
    <w:rsid w:val="00706E82"/>
    <w:rsid w:val="0071601D"/>
    <w:rsid w:val="0072392D"/>
    <w:rsid w:val="00766CEC"/>
    <w:rsid w:val="007A62E6"/>
    <w:rsid w:val="007C4243"/>
    <w:rsid w:val="0080684C"/>
    <w:rsid w:val="00815502"/>
    <w:rsid w:val="00824D57"/>
    <w:rsid w:val="00867D17"/>
    <w:rsid w:val="00871C75"/>
    <w:rsid w:val="008776DC"/>
    <w:rsid w:val="0088709A"/>
    <w:rsid w:val="008A0E26"/>
    <w:rsid w:val="008C6C1B"/>
    <w:rsid w:val="008C7952"/>
    <w:rsid w:val="008D475B"/>
    <w:rsid w:val="008F5D35"/>
    <w:rsid w:val="008F69EF"/>
    <w:rsid w:val="00957790"/>
    <w:rsid w:val="009705C8"/>
    <w:rsid w:val="00981901"/>
    <w:rsid w:val="009A3C2B"/>
    <w:rsid w:val="009E06AD"/>
    <w:rsid w:val="009E1F3E"/>
    <w:rsid w:val="009F65C5"/>
    <w:rsid w:val="00A23AAC"/>
    <w:rsid w:val="00A41291"/>
    <w:rsid w:val="00A76766"/>
    <w:rsid w:val="00AA69DF"/>
    <w:rsid w:val="00AB51C8"/>
    <w:rsid w:val="00AC2184"/>
    <w:rsid w:val="00AC3823"/>
    <w:rsid w:val="00AC7C7A"/>
    <w:rsid w:val="00AE2A62"/>
    <w:rsid w:val="00AE323C"/>
    <w:rsid w:val="00B00181"/>
    <w:rsid w:val="00B002C4"/>
    <w:rsid w:val="00B33DFE"/>
    <w:rsid w:val="00B43C66"/>
    <w:rsid w:val="00B728D6"/>
    <w:rsid w:val="00B765F7"/>
    <w:rsid w:val="00B80BD3"/>
    <w:rsid w:val="00BA0CA9"/>
    <w:rsid w:val="00BC4CFE"/>
    <w:rsid w:val="00BE4745"/>
    <w:rsid w:val="00BF3C2C"/>
    <w:rsid w:val="00C02897"/>
    <w:rsid w:val="00C02B10"/>
    <w:rsid w:val="00C04DBC"/>
    <w:rsid w:val="00C454D2"/>
    <w:rsid w:val="00C54ED5"/>
    <w:rsid w:val="00C71AAB"/>
    <w:rsid w:val="00C909F2"/>
    <w:rsid w:val="00CA3912"/>
    <w:rsid w:val="00CB2A6A"/>
    <w:rsid w:val="00CC2887"/>
    <w:rsid w:val="00CF3C59"/>
    <w:rsid w:val="00D00DEE"/>
    <w:rsid w:val="00D02F73"/>
    <w:rsid w:val="00D3439C"/>
    <w:rsid w:val="00D575B9"/>
    <w:rsid w:val="00D76F7A"/>
    <w:rsid w:val="00D8099D"/>
    <w:rsid w:val="00DA21C9"/>
    <w:rsid w:val="00DA22F4"/>
    <w:rsid w:val="00DA7434"/>
    <w:rsid w:val="00DB1831"/>
    <w:rsid w:val="00DB73C7"/>
    <w:rsid w:val="00DD3BFD"/>
    <w:rsid w:val="00DD52E5"/>
    <w:rsid w:val="00DF0775"/>
    <w:rsid w:val="00DF3BF1"/>
    <w:rsid w:val="00DF6678"/>
    <w:rsid w:val="00E018E1"/>
    <w:rsid w:val="00E0623C"/>
    <w:rsid w:val="00E22CF2"/>
    <w:rsid w:val="00E506F1"/>
    <w:rsid w:val="00E52D9F"/>
    <w:rsid w:val="00E638F5"/>
    <w:rsid w:val="00EA0791"/>
    <w:rsid w:val="00EA4D06"/>
    <w:rsid w:val="00EC2B55"/>
    <w:rsid w:val="00EC4DD3"/>
    <w:rsid w:val="00F164B0"/>
    <w:rsid w:val="00F43810"/>
    <w:rsid w:val="00F660DF"/>
    <w:rsid w:val="00F80094"/>
    <w:rsid w:val="00F85BDD"/>
    <w:rsid w:val="00F95C08"/>
    <w:rsid w:val="00FA66E5"/>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C0B87"/>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AF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qFormat/>
    <w:rsid w:val="00484F44"/>
    <w:pPr>
      <w:keepNext/>
      <w:keepLines/>
      <w:spacing w:after="0" w:line="240" w:lineRule="auto"/>
      <w:ind w:right="0"/>
      <w:jc w:val="left"/>
      <w:outlineLvl w:val="0"/>
    </w:pPr>
  </w:style>
  <w:style w:type="paragraph" w:styleId="Heading2">
    <w:name w:val="heading 2"/>
    <w:basedOn w:val="Normal"/>
    <w:next w:val="Normal"/>
    <w:link w:val="Heading2Char"/>
    <w:semiHidden/>
    <w:qFormat/>
    <w:rsid w:val="00484F44"/>
    <w:pPr>
      <w:outlineLvl w:val="1"/>
    </w:pPr>
  </w:style>
  <w:style w:type="paragraph" w:styleId="Heading3">
    <w:name w:val="heading 3"/>
    <w:basedOn w:val="Normal"/>
    <w:next w:val="Normal"/>
    <w:link w:val="Heading3Char"/>
    <w:semiHidden/>
    <w:qFormat/>
    <w:rsid w:val="00484F44"/>
    <w:pPr>
      <w:outlineLvl w:val="2"/>
    </w:pPr>
  </w:style>
  <w:style w:type="paragraph" w:styleId="Heading4">
    <w:name w:val="heading 4"/>
    <w:basedOn w:val="Normal"/>
    <w:next w:val="Normal"/>
    <w:link w:val="Heading4Char"/>
    <w:semiHidden/>
    <w:qFormat/>
    <w:rsid w:val="00484F44"/>
    <w:pPr>
      <w:outlineLvl w:val="3"/>
    </w:pPr>
  </w:style>
  <w:style w:type="paragraph" w:styleId="Heading5">
    <w:name w:val="heading 5"/>
    <w:basedOn w:val="Normal"/>
    <w:next w:val="Normal"/>
    <w:link w:val="Heading5Char"/>
    <w:semiHidden/>
    <w:qFormat/>
    <w:rsid w:val="00484F44"/>
    <w:pPr>
      <w:outlineLvl w:val="4"/>
    </w:pPr>
  </w:style>
  <w:style w:type="paragraph" w:styleId="Heading6">
    <w:name w:val="heading 6"/>
    <w:basedOn w:val="Normal"/>
    <w:next w:val="Normal"/>
    <w:link w:val="Heading6Char"/>
    <w:semiHidden/>
    <w:qFormat/>
    <w:rsid w:val="00484F44"/>
    <w:pPr>
      <w:outlineLvl w:val="5"/>
    </w:pPr>
  </w:style>
  <w:style w:type="paragraph" w:styleId="Heading7">
    <w:name w:val="heading 7"/>
    <w:basedOn w:val="Normal"/>
    <w:next w:val="Normal"/>
    <w:link w:val="Heading7Char"/>
    <w:semiHidden/>
    <w:qFormat/>
    <w:rsid w:val="00484F44"/>
    <w:pPr>
      <w:outlineLvl w:val="6"/>
    </w:pPr>
  </w:style>
  <w:style w:type="paragraph" w:styleId="Heading8">
    <w:name w:val="heading 8"/>
    <w:basedOn w:val="Normal"/>
    <w:next w:val="Normal"/>
    <w:link w:val="Heading8Char"/>
    <w:semiHidden/>
    <w:qFormat/>
    <w:rsid w:val="00484F44"/>
    <w:pPr>
      <w:outlineLvl w:val="7"/>
    </w:pPr>
  </w:style>
  <w:style w:type="paragraph" w:styleId="Heading9">
    <w:name w:val="heading 9"/>
    <w:basedOn w:val="Normal"/>
    <w:next w:val="Normal"/>
    <w:link w:val="Heading9Char"/>
    <w:semiHidden/>
    <w:qFormat/>
    <w:rsid w:val="00484F44"/>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484F4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84F44"/>
    <w:rPr>
      <w:rFonts w:ascii="Times New Roman" w:hAnsi="Times New Roman" w:cs="Times New Roman"/>
      <w:b/>
      <w:sz w:val="18"/>
      <w:szCs w:val="20"/>
    </w:rPr>
  </w:style>
  <w:style w:type="paragraph" w:styleId="Footer">
    <w:name w:val="footer"/>
    <w:aliases w:val="3_G"/>
    <w:basedOn w:val="Normal"/>
    <w:next w:val="Normal"/>
    <w:link w:val="FooterChar"/>
    <w:qFormat/>
    <w:rsid w:val="00484F44"/>
    <w:pPr>
      <w:spacing w:line="240" w:lineRule="auto"/>
    </w:pPr>
    <w:rPr>
      <w:sz w:val="16"/>
    </w:rPr>
  </w:style>
  <w:style w:type="character" w:customStyle="1" w:styleId="FooterChar">
    <w:name w:val="Footer Char"/>
    <w:aliases w:val="3_G Char"/>
    <w:basedOn w:val="DefaultParagraphFont"/>
    <w:link w:val="Footer"/>
    <w:rsid w:val="00484F44"/>
    <w:rPr>
      <w:rFonts w:ascii="Times New Roman" w:hAnsi="Times New Roman" w:cs="Times New Roman"/>
      <w:sz w:val="16"/>
      <w:szCs w:val="20"/>
    </w:rPr>
  </w:style>
  <w:style w:type="paragraph" w:customStyle="1" w:styleId="HMG">
    <w:name w:val="_ H __M_G"/>
    <w:basedOn w:val="Normal"/>
    <w:next w:val="Normal"/>
    <w:qFormat/>
    <w:rsid w:val="00DD52E5"/>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DD52E5"/>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DD52E5"/>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DD52E5"/>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DD52E5"/>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DD52E5"/>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3D4C80"/>
    <w:pPr>
      <w:tabs>
        <w:tab w:val="left" w:pos="1701"/>
        <w:tab w:val="left" w:pos="2268"/>
        <w:tab w:val="left" w:pos="2835"/>
      </w:tabs>
      <w:spacing w:after="120"/>
      <w:ind w:left="1134" w:right="1134"/>
      <w:jc w:val="both"/>
    </w:pPr>
    <w:rPr>
      <w:rFonts w:eastAsiaTheme="minorEastAsia"/>
      <w:lang w:eastAsia="zh-CN"/>
    </w:r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7"/>
      </w:numPr>
      <w:spacing w:after="120"/>
      <w:ind w:right="1134"/>
      <w:jc w:val="both"/>
    </w:pPr>
  </w:style>
  <w:style w:type="paragraph" w:customStyle="1" w:styleId="Bullet2G">
    <w:name w:val="_Bullet 2_G"/>
    <w:basedOn w:val="Normal"/>
    <w:qFormat/>
    <w:rsid w:val="00484F44"/>
    <w:pPr>
      <w:numPr>
        <w:numId w:val="18"/>
      </w:numPr>
      <w:spacing w:after="120"/>
      <w:ind w:right="1134"/>
      <w:jc w:val="both"/>
    </w:pPr>
  </w:style>
  <w:style w:type="paragraph" w:customStyle="1" w:styleId="ParNoG">
    <w:name w:val="_ParNo_G"/>
    <w:basedOn w:val="Normal"/>
    <w:qFormat/>
    <w:rsid w:val="00484F44"/>
    <w:pPr>
      <w:numPr>
        <w:numId w:val="19"/>
      </w:numPr>
      <w:tabs>
        <w:tab w:val="clear" w:pos="1701"/>
      </w:tabs>
      <w:spacing w:after="120"/>
      <w:ind w:right="1134"/>
      <w:jc w:val="both"/>
    </w:pPr>
  </w:style>
  <w:style w:type="character" w:styleId="FootnoteReference">
    <w:name w:val="footnote reference"/>
    <w:aliases w:val="16 Point,4_G,BVI fnr,Footnote,Footnote Refernece,Footnote symbol,Fußnotenzeichen_Raxen,Superscript 6 Point,Texto de nota al pie,ftref"/>
    <w:basedOn w:val="DefaultParagraphFont"/>
    <w:qFormat/>
    <w:rsid w:val="00484F44"/>
    <w:rPr>
      <w:rFonts w:ascii="Times New Roman" w:hAnsi="Times New Roman"/>
      <w:sz w:val="18"/>
      <w:vertAlign w:val="superscript"/>
      <w:lang w:val="fr-CH"/>
    </w:rPr>
  </w:style>
  <w:style w:type="character" w:styleId="EndnoteReference">
    <w:name w:val="endnote reference"/>
    <w:aliases w:val="1_G"/>
    <w:basedOn w:val="FootnoteReference"/>
    <w:qFormat/>
    <w:rsid w:val="00484F44"/>
    <w:rPr>
      <w:rFonts w:ascii="Times New Roman" w:hAnsi="Times New Roman"/>
      <w:sz w:val="18"/>
      <w:vertAlign w:val="superscript"/>
      <w:lang w:val="fr-CH"/>
    </w:rPr>
  </w:style>
  <w:style w:type="table" w:styleId="TableGrid">
    <w:name w:val="Table Grid"/>
    <w:basedOn w:val="TableNormal"/>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484F44"/>
    <w:rPr>
      <w:color w:val="0000FF"/>
      <w:u w:val="none"/>
    </w:rPr>
  </w:style>
  <w:style w:type="character" w:styleId="FollowedHyperlink">
    <w:name w:val="FollowedHyperlink"/>
    <w:basedOn w:val="DefaultParagraphFont"/>
    <w:unhideWhenUsed/>
    <w:rsid w:val="00484F44"/>
    <w:rPr>
      <w:color w:val="0000FF"/>
      <w:u w:val="none"/>
    </w:rPr>
  </w:style>
  <w:style w:type="paragraph" w:styleId="FootnoteText">
    <w:name w:val="footnote text"/>
    <w:aliases w:val="5_G,Char,F1,FOOTNOTES,Footnote Text Char Char,Footnote Text Char Char Char,Fußnote,Geneva,fn,fn Cha,footnote text Char,ft,ft Char,ft Char Char,ft Char Char Char,single space,single space Char,single space Char Char Char"/>
    <w:basedOn w:val="Normal"/>
    <w:link w:val="FootnoteTextChar"/>
    <w:qFormat/>
    <w:rsid w:val="00484F44"/>
    <w:pPr>
      <w:tabs>
        <w:tab w:val="right" w:pos="1021"/>
      </w:tabs>
      <w:spacing w:line="220" w:lineRule="exact"/>
      <w:ind w:left="1134" w:right="1134" w:hanging="1134"/>
    </w:pPr>
    <w:rPr>
      <w:sz w:val="18"/>
    </w:rPr>
  </w:style>
  <w:style w:type="character" w:customStyle="1" w:styleId="FootnoteTextChar">
    <w:name w:val="Footnote Text Char"/>
    <w:aliases w:val="5_G Char,Char Char,F1 Char,FOOTNOTES Char,Footnote Text Char Char Char1,Footnote Text Char Char Char Char,Fußnote Char,Geneva Char,fn Char,fn Cha Char,footnote text Char Char,ft Char1,ft Char Char1,ft Char Char Char1"/>
    <w:basedOn w:val="DefaultParagraphFont"/>
    <w:link w:val="FootnoteText"/>
    <w:rsid w:val="00484F44"/>
    <w:rPr>
      <w:rFonts w:ascii="Times New Roman" w:hAnsi="Times New Roman" w:cs="Times New Roman"/>
      <w:sz w:val="18"/>
      <w:szCs w:val="20"/>
    </w:rPr>
  </w:style>
  <w:style w:type="paragraph" w:styleId="EndnoteText">
    <w:name w:val="endnote text"/>
    <w:aliases w:val="2_G"/>
    <w:basedOn w:val="FootnoteText"/>
    <w:link w:val="EndnoteTextChar"/>
    <w:qFormat/>
    <w:rsid w:val="00484F44"/>
  </w:style>
  <w:style w:type="character" w:customStyle="1" w:styleId="EndnoteTextChar">
    <w:name w:val="Endnote Text Char"/>
    <w:aliases w:val="2_G Char"/>
    <w:basedOn w:val="DefaultParagraphFont"/>
    <w:link w:val="EndnoteText"/>
    <w:rsid w:val="00484F44"/>
    <w:rPr>
      <w:rFonts w:ascii="Times New Roman" w:hAnsi="Times New Roman" w:cs="Times New Roman"/>
      <w:sz w:val="18"/>
      <w:szCs w:val="20"/>
    </w:rPr>
  </w:style>
  <w:style w:type="character" w:styleId="PageNumber">
    <w:name w:val="page number"/>
    <w:aliases w:val="7_G"/>
    <w:basedOn w:val="DefaultParagraphFont"/>
    <w:qFormat/>
    <w:rsid w:val="00484F44"/>
    <w:rPr>
      <w:rFonts w:ascii="Times New Roman" w:hAnsi="Times New Roman"/>
      <w:b/>
      <w:sz w:val="18"/>
      <w:lang w:val="fr-CH"/>
    </w:rPr>
  </w:style>
  <w:style w:type="character" w:customStyle="1" w:styleId="Heading1Char">
    <w:name w:val="Heading 1 Char"/>
    <w:aliases w:val="Table_G Char"/>
    <w:basedOn w:val="DefaultParagraphFont"/>
    <w:link w:val="Heading1"/>
    <w:rsid w:val="00484F44"/>
    <w:rPr>
      <w:rFonts w:ascii="Times New Roman" w:hAnsi="Times New Roman" w:cs="Times New Roman"/>
      <w:sz w:val="20"/>
      <w:szCs w:val="20"/>
    </w:rPr>
  </w:style>
  <w:style w:type="character" w:customStyle="1" w:styleId="Heading2Char">
    <w:name w:val="Heading 2 Char"/>
    <w:basedOn w:val="DefaultParagraphFont"/>
    <w:link w:val="Heading2"/>
    <w:semiHidden/>
    <w:rsid w:val="00484F44"/>
    <w:rPr>
      <w:rFonts w:ascii="Times New Roman" w:hAnsi="Times New Roman" w:cs="Times New Roman"/>
      <w:sz w:val="20"/>
      <w:szCs w:val="20"/>
    </w:rPr>
  </w:style>
  <w:style w:type="character" w:customStyle="1" w:styleId="Heading3Char">
    <w:name w:val="Heading 3 Char"/>
    <w:basedOn w:val="DefaultParagraphFont"/>
    <w:link w:val="Heading3"/>
    <w:semiHidden/>
    <w:rsid w:val="00484F44"/>
    <w:rPr>
      <w:rFonts w:ascii="Times New Roman" w:hAnsi="Times New Roman" w:cs="Times New Roman"/>
      <w:sz w:val="20"/>
      <w:szCs w:val="20"/>
    </w:rPr>
  </w:style>
  <w:style w:type="character" w:customStyle="1" w:styleId="Heading4Char">
    <w:name w:val="Heading 4 Char"/>
    <w:basedOn w:val="DefaultParagraphFont"/>
    <w:link w:val="Heading4"/>
    <w:semiHidden/>
    <w:rsid w:val="00484F44"/>
    <w:rPr>
      <w:rFonts w:ascii="Times New Roman" w:hAnsi="Times New Roman" w:cs="Times New Roman"/>
      <w:sz w:val="20"/>
      <w:szCs w:val="20"/>
    </w:rPr>
  </w:style>
  <w:style w:type="character" w:customStyle="1" w:styleId="Heading5Char">
    <w:name w:val="Heading 5 Char"/>
    <w:basedOn w:val="DefaultParagraphFont"/>
    <w:link w:val="Heading5"/>
    <w:semiHidden/>
    <w:rsid w:val="00484F44"/>
    <w:rPr>
      <w:rFonts w:ascii="Times New Roman" w:hAnsi="Times New Roman" w:cs="Times New Roman"/>
      <w:sz w:val="20"/>
      <w:szCs w:val="20"/>
    </w:rPr>
  </w:style>
  <w:style w:type="character" w:customStyle="1" w:styleId="Heading6Char">
    <w:name w:val="Heading 6 Char"/>
    <w:basedOn w:val="DefaultParagraphFont"/>
    <w:link w:val="Heading6"/>
    <w:semiHidden/>
    <w:rsid w:val="00484F44"/>
    <w:rPr>
      <w:rFonts w:ascii="Times New Roman" w:hAnsi="Times New Roman" w:cs="Times New Roman"/>
      <w:sz w:val="20"/>
      <w:szCs w:val="20"/>
    </w:rPr>
  </w:style>
  <w:style w:type="character" w:customStyle="1" w:styleId="Heading7Char">
    <w:name w:val="Heading 7 Char"/>
    <w:basedOn w:val="DefaultParagraphFont"/>
    <w:link w:val="Heading7"/>
    <w:semiHidden/>
    <w:rsid w:val="00484F44"/>
    <w:rPr>
      <w:rFonts w:ascii="Times New Roman" w:hAnsi="Times New Roman" w:cs="Times New Roman"/>
      <w:sz w:val="20"/>
      <w:szCs w:val="20"/>
    </w:rPr>
  </w:style>
  <w:style w:type="character" w:customStyle="1" w:styleId="Heading8Char">
    <w:name w:val="Heading 8 Char"/>
    <w:basedOn w:val="DefaultParagraphFont"/>
    <w:link w:val="Heading8"/>
    <w:semiHidden/>
    <w:rsid w:val="00484F44"/>
    <w:rPr>
      <w:rFonts w:ascii="Times New Roman" w:hAnsi="Times New Roman" w:cs="Times New Roman"/>
      <w:sz w:val="20"/>
      <w:szCs w:val="20"/>
    </w:rPr>
  </w:style>
  <w:style w:type="character" w:customStyle="1" w:styleId="Heading9Char">
    <w:name w:val="Heading 9 Char"/>
    <w:basedOn w:val="DefaultParagraphFont"/>
    <w:link w:val="Heading9"/>
    <w:semiHidden/>
    <w:rsid w:val="00484F44"/>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1E498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eastAsiaTheme="minorEastAsia" w:hAnsi="Times New Roman" w:cs="Times New Roman"/>
      <w:sz w:val="20"/>
      <w:szCs w:val="20"/>
      <w:lang w:eastAsia="zh-CN"/>
    </w:rPr>
  </w:style>
  <w:style w:type="character" w:customStyle="1" w:styleId="HChGChar">
    <w:name w:val="_ H _Ch_G Char"/>
    <w:link w:val="HChG"/>
    <w:rsid w:val="0037014C"/>
    <w:rPr>
      <w:rFonts w:ascii="Times New Roman" w:eastAsiaTheme="minorEastAsia" w:hAnsi="Times New Roman" w:cs="Times New Roman"/>
      <w:b/>
      <w:sz w:val="28"/>
      <w:szCs w:val="20"/>
      <w:lang w:eastAsia="zh-CN"/>
    </w:rPr>
  </w:style>
  <w:style w:type="character" w:customStyle="1" w:styleId="H1GChar">
    <w:name w:val="_ H_1_G Char"/>
    <w:link w:val="H1G"/>
    <w:locked/>
    <w:rsid w:val="0037014C"/>
    <w:rPr>
      <w:rFonts w:ascii="Times New Roman" w:eastAsiaTheme="minorEastAsia" w:hAnsi="Times New Roman" w:cs="Times New Roman"/>
      <w:b/>
      <w:sz w:val="24"/>
      <w:szCs w:val="20"/>
      <w:lang w:eastAsia="zh-CN"/>
    </w:rPr>
  </w:style>
  <w:style w:type="character" w:customStyle="1" w:styleId="H23GChar">
    <w:name w:val="_ H_2/3_G Char"/>
    <w:link w:val="H23G"/>
    <w:locked/>
    <w:rsid w:val="0037014C"/>
    <w:rPr>
      <w:rFonts w:ascii="Times New Roman" w:eastAsiaTheme="minorEastAsia" w:hAnsi="Times New Roman" w:cs="Times New Roman"/>
      <w:b/>
      <w:sz w:val="20"/>
      <w:szCs w:val="20"/>
      <w:lang w:eastAsia="zh-CN"/>
    </w:rPr>
  </w:style>
  <w:style w:type="character" w:customStyle="1" w:styleId="ui-provider">
    <w:name w:val="ui-provider"/>
    <w:basedOn w:val="DefaultParagraphFont"/>
    <w:rsid w:val="003F2448"/>
  </w:style>
  <w:style w:type="character" w:styleId="UnresolvedMention">
    <w:name w:val="Unresolved Mention"/>
    <w:basedOn w:val="DefaultParagraphFont"/>
    <w:uiPriority w:val="99"/>
    <w:semiHidden/>
    <w:unhideWhenUsed/>
    <w:rsid w:val="00C909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yperlink" Target="https://docs.un.org/CCPR/C/MCO/qpr/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CCPR/C/MCO/qpr/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b248d7e1-e1e1-4a8e-9310-749402edb8a9">
      <Terms xmlns="http://schemas.microsoft.com/office/infopath/2007/PartnerControls"/>
    </lcf76f155ced4ddcb4097134ff3c332f>
    <Document_x0020_Date xmlns="985ec44e-1bab-4c0b-9df0-6ba128686fc9">2026-06-01T14:27:54+00:00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5" ma:contentTypeDescription="Create a new document." ma:contentTypeScope="" ma:versionID="0cc5fcd5e2bb31b8f65a8f0ad475525e">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af51f8df0205460014f7399487d60709"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element name="MediaServiceBillingMetadata" ma:index="4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7CA0F41-7372-4411-B546-FE1F8CDABC11}">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8E18F085-5433-4B97-96B1-8A0334D9A9E7}"/>
</file>

<file path=customXml/itemProps3.xml><?xml version="1.0" encoding="utf-8"?>
<ds:datastoreItem xmlns:ds="http://schemas.openxmlformats.org/officeDocument/2006/customXml" ds:itemID="{13304729-F8E1-4316-9701-21483B3E2496}">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7</TotalTime>
  <Pages>32</Pages>
  <Words>17121</Words>
  <Characters>97591</Characters>
  <Application>Microsoft Office Word</Application>
  <DocSecurity>0</DocSecurity>
  <Lines>813</Lines>
  <Paragraphs>228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a/hthhhh</vt:lpstr>
      <vt:lpstr>a/hthhhh</vt:lpstr>
    </vt:vector>
  </TitlesOfParts>
  <Company>DCM</Company>
  <LinksUpToDate>false</LinksUpToDate>
  <CharactersWithSpaces>114484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CCPR/C/MCO/4</dc:title>
  <dc:creator>Gloria de la Rosa</dc:creator>
  <cp:lastModifiedBy>Cherry Balmaceda</cp:lastModifiedBy>
  <cp:revision>2</cp:revision>
  <cp:lastPrinted>2017-02-27T14:31:00Z</cp:lastPrinted>
  <dcterms:created xsi:type="dcterms:W3CDTF">2026-06-01T14:25:00Z</dcterms:created>
  <dcterms:modified xsi:type="dcterms:W3CDTF">2026-06-01T14:25:00Z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CCPR</vt:lpwstr>
  </property>
  <property fmtid="{D5CDD505-2E9C-101B-9397-08002B2CF9AE}" pid="7" name="ContentTypeId">
    <vt:lpwstr>0x0101004100868408537B4FA2A9FA4AC7F0070F</vt:lpwstr>
  </property>
  <property fmtid="{D5CDD505-2E9C-101B-9397-08002B2CF9AE}" pid="8" name="count">
    <vt:lpwstr>de Monaco</vt:lpwstr>
  </property>
  <property fmtid="{D5CDD505-2E9C-101B-9397-08002B2CF9AE}" pid="9" name="countw">
    <vt:lpwstr>Monaco</vt:lpwstr>
  </property>
  <property fmtid="{D5CDD505-2E9C-101B-9397-08002B2CF9AE}" pid="10" name="countwd">
    <vt:lpwstr>Monaco</vt:lpwstr>
  </property>
  <property fmtid="{D5CDD505-2E9C-101B-9397-08002B2CF9AE}" pid="11" name="date">
    <vt:lpwstr>1ᵉʳ juin 2026</vt:lpwstr>
  </property>
  <property fmtid="{D5CDD505-2E9C-101B-9397-08002B2CF9AE}" pid="12" name="Date-Generated">
    <vt:filetime>2026-06-01T13:02:05Z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Country Report - Optional Procedure</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français</vt:lpwstr>
  </property>
  <property fmtid="{D5CDD505-2E9C-101B-9397-08002B2CF9AE}" pid="21" name="Order">
    <vt:r8>190600</vt:r8>
  </property>
  <property fmtid="{D5CDD505-2E9C-101B-9397-08002B2CF9AE}" pid="22" name="Org">
    <vt:lpwstr>OHCHR</vt:lpwstr>
  </property>
  <property fmtid="{D5CDD505-2E9C-101B-9397-08002B2CF9AE}" pid="23" name="prep">
    <vt:lpwstr>quatrième rapport périodique de Monaco</vt:lpwstr>
  </property>
  <property fmtid="{D5CDD505-2E9C-101B-9397-08002B2CF9AE}" pid="24" name="preps">
    <vt:lpwstr>quatrième rapport périodique de Monaco</vt:lpwstr>
  </property>
  <property fmtid="{D5CDD505-2E9C-101B-9397-08002B2CF9AE}" pid="25" name="prepw">
    <vt:lpwstr>quatrième rapport périodique</vt:lpwstr>
  </property>
  <property fmtid="{D5CDD505-2E9C-101B-9397-08002B2CF9AE}" pid="26" name="prepwc">
    <vt:lpwstr>Quatrième rapport périodique </vt:lpwstr>
  </property>
  <property fmtid="{D5CDD505-2E9C-101B-9397-08002B2CF9AE}" pid="27" name="prepws">
    <vt:lpwstr>quatrième rapport périodique</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C/MCO/4</vt:lpwstr>
  </property>
  <property fmtid="{D5CDD505-2E9C-101B-9397-08002B2CF9AE}" pid="33" name="symh">
    <vt:lpwstr>CCPR/C/MCO/4</vt:lpwstr>
  </property>
  <property fmtid="{D5CDD505-2E9C-101B-9397-08002B2CF9AE}" pid="34" name="Title">
    <vt:lpwstr>CCPR/C/MCO/4</vt:lpwstr>
  </property>
  <property fmtid="{D5CDD505-2E9C-101B-9397-08002B2CF9AE}" pid="35" name="tlang">
    <vt:lpwstr/>
  </property>
  <property fmtid="{D5CDD505-2E9C-101B-9397-08002B2CF9AE}" pid="36" name="virs">
    <vt:lpwstr>Anglais, espagnol et français seulement</vt:lpwstr>
  </property>
</Properties>
</file>