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A72F4E">
      <w:pPr>
        <w:pStyle w:val="Title"/>
        <w:rPr>
          <w:b w:val="0"/>
          <w:u w:val="none"/>
        </w:rPr>
      </w:pPr>
      <w:r>
        <w:rPr>
          <w:noProof/>
          <w:u w:val="none"/>
        </w:rPr>
        <w:drawing>
          <wp:inline distT="0" distB="0" distL="0" distR="0">
            <wp:extent cx="199072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0725" cy="1838325"/>
                    </a:xfrm>
                    <a:prstGeom prst="rect">
                      <a:avLst/>
                    </a:prstGeom>
                    <a:noFill/>
                    <a:ln>
                      <a:noFill/>
                    </a:ln>
                  </pic:spPr>
                </pic:pic>
              </a:graphicData>
            </a:graphic>
          </wp:inline>
        </w:drawing>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6457E2">
        <w:rPr>
          <w:b/>
          <w:sz w:val="28"/>
          <w:szCs w:val="28"/>
          <w:u w:val="single"/>
        </w:rPr>
        <w:t>GUATEMALA</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EB5487">
        <w:rPr>
          <w:b/>
          <w:sz w:val="28"/>
          <w:szCs w:val="28"/>
          <w:u w:val="single"/>
        </w:rPr>
        <w:t>26-30 May 2014</w:t>
      </w:r>
    </w:p>
    <w:p w:rsidR="00A6491F" w:rsidRDefault="0053166A" w:rsidP="007000A6">
      <w:pPr>
        <w:spacing w:after="120"/>
        <w:jc w:val="center"/>
        <w:rPr>
          <w:i/>
          <w:sz w:val="28"/>
          <w:szCs w:val="28"/>
        </w:rPr>
      </w:pPr>
      <w:r w:rsidRPr="007000A6">
        <w:rPr>
          <w:i/>
        </w:rPr>
        <w:t xml:space="preserve">From </w:t>
      </w:r>
      <w:r w:rsidR="00EB5487">
        <w:rPr>
          <w:i/>
        </w:rPr>
        <w:t>Dr Sharon Owen</w:t>
      </w:r>
      <w:r w:rsidRPr="007000A6">
        <w:rPr>
          <w:i/>
        </w:rPr>
        <w:t xml:space="preserve">, </w:t>
      </w:r>
      <w:r w:rsidR="00EB5487">
        <w:rPr>
          <w:i/>
        </w:rPr>
        <w:t xml:space="preserve">Research and Information </w:t>
      </w:r>
      <w:r w:rsidRPr="007000A6">
        <w:rPr>
          <w:i/>
        </w:rPr>
        <w:t>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1731CC" w:rsidRPr="007000A6" w:rsidRDefault="001731CC" w:rsidP="007000A6">
      <w:pPr>
        <w:spacing w:after="120"/>
        <w:jc w:val="center"/>
        <w:rPr>
          <w:sz w:val="28"/>
          <w:szCs w:val="28"/>
        </w:rPr>
      </w:pPr>
      <w:bookmarkStart w:id="0" w:name="_GoBack"/>
      <w:bookmarkEnd w:id="0"/>
    </w:p>
    <w:p w:rsidR="007000A6" w:rsidRPr="00DD0BFF" w:rsidRDefault="00A72F4E" w:rsidP="00DD0BFF">
      <w:pPr>
        <w:spacing w:after="120"/>
        <w:rPr>
          <w:b/>
          <w:sz w:val="26"/>
          <w:szCs w:val="26"/>
        </w:rPr>
      </w:pPr>
      <w:r>
        <w:rPr>
          <w:b/>
          <w:noProof/>
          <w:u w:val="single"/>
          <w:lang w:eastAsia="en-GB"/>
        </w:rPr>
        <mc:AlternateContent>
          <mc:Choice Requires="wps">
            <w:drawing>
              <wp:anchor distT="0" distB="0" distL="114300" distR="114300" simplePos="0" relativeHeight="251657728" behindDoc="0" locked="0" layoutInCell="1" allowOverlap="1">
                <wp:simplePos x="0" y="0"/>
                <wp:positionH relativeFrom="column">
                  <wp:posOffset>405130</wp:posOffset>
                </wp:positionH>
                <wp:positionV relativeFrom="paragraph">
                  <wp:posOffset>110490</wp:posOffset>
                </wp:positionV>
                <wp:extent cx="5492115" cy="4444365"/>
                <wp:effectExtent l="5080" t="5715" r="8255" b="508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4444365"/>
                        </a:xfrm>
                        <a:prstGeom prst="rect">
                          <a:avLst/>
                        </a:prstGeom>
                        <a:solidFill>
                          <a:srgbClr val="FFFFFF"/>
                        </a:solidFill>
                        <a:ln w="9525">
                          <a:solidFill>
                            <a:srgbClr val="000000"/>
                          </a:solidFill>
                          <a:miter lim="800000"/>
                          <a:headEnd/>
                          <a:tailEnd/>
                        </a:ln>
                      </wps:spPr>
                      <wps:txbx>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6457E2">
                              <w:rPr>
                                <w:b/>
                                <w:sz w:val="28"/>
                                <w:szCs w:val="28"/>
                              </w:rPr>
                              <w:t>Guatemala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6457E2">
                              <w:rPr>
                                <w:b/>
                                <w:sz w:val="28"/>
                                <w:szCs w:val="28"/>
                              </w:rPr>
                              <w:t>Guatemala</w:t>
                            </w:r>
                            <w:r>
                              <w:rPr>
                                <w:b/>
                                <w:sz w:val="28"/>
                                <w:szCs w:val="28"/>
                              </w:rPr>
                              <w:t xml:space="preserve"> by </w:t>
                            </w:r>
                            <w:r w:rsidR="006457E2">
                              <w:rPr>
                                <w:b/>
                                <w:sz w:val="28"/>
                                <w:szCs w:val="28"/>
                              </w:rPr>
                              <w:t xml:space="preserve">the Committee on the Rights of the Child, the Committee Against Torture and during the Universal Periodic Reviews of Guatemala in 2008 and 2012 (accepted by the Government),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6457E2">
                              <w:rPr>
                                <w:b/>
                                <w:iCs/>
                                <w:sz w:val="28"/>
                                <w:szCs w:val="28"/>
                              </w:rPr>
                              <w:t>Guatemala</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all corporal punishment, without exception, is explicitly prohibited in the home and other settings</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6457E2">
                              <w:rPr>
                                <w:b/>
                                <w:iCs/>
                                <w:sz w:val="28"/>
                                <w:szCs w:val="28"/>
                              </w:rPr>
                              <w:t>Guatemala’s third</w:t>
                            </w:r>
                            <w:r>
                              <w:rPr>
                                <w:b/>
                                <w:iCs/>
                                <w:sz w:val="28"/>
                                <w:szCs w:val="28"/>
                              </w:rPr>
                              <w:t xml:space="preserve"> </w:t>
                            </w:r>
                            <w:r w:rsidRPr="00E105D0">
                              <w:rPr>
                                <w:b/>
                                <w:iCs/>
                                <w:sz w:val="28"/>
                                <w:szCs w:val="28"/>
                              </w:rPr>
                              <w:t xml:space="preserve">report, recommend that legislation is enacted to explicitly prohibit </w:t>
                            </w:r>
                            <w:r>
                              <w:rPr>
                                <w:b/>
                                <w:iCs/>
                                <w:sz w:val="28"/>
                                <w:szCs w:val="28"/>
                              </w:rPr>
                              <w:t xml:space="preserve">all </w:t>
                            </w:r>
                            <w:r w:rsidRPr="00E105D0">
                              <w:rPr>
                                <w:b/>
                                <w:iCs/>
                                <w:sz w:val="28"/>
                                <w:szCs w:val="28"/>
                              </w:rPr>
                              <w:t>corporal punishment</w:t>
                            </w:r>
                            <w:r>
                              <w:rPr>
                                <w:b/>
                                <w:iCs/>
                                <w:sz w:val="28"/>
                                <w:szCs w:val="28"/>
                              </w:rPr>
                              <w:t xml:space="preserve"> </w:t>
                            </w:r>
                            <w:r w:rsidRPr="00E105D0">
                              <w:rPr>
                                <w:b/>
                                <w:iCs/>
                                <w:sz w:val="28"/>
                                <w:szCs w:val="28"/>
                              </w:rPr>
                              <w:t>in all settings</w:t>
                            </w:r>
                            <w:r>
                              <w:rPr>
                                <w:b/>
                                <w:iCs/>
                                <w:sz w:val="28"/>
                                <w:szCs w:val="28"/>
                              </w:rPr>
                              <w:t>,</w:t>
                            </w:r>
                            <w:r w:rsidRPr="00E105D0">
                              <w:rPr>
                                <w:b/>
                                <w:iCs/>
                                <w:sz w:val="28"/>
                                <w:szCs w:val="28"/>
                              </w:rPr>
                              <w:t xml:space="preserve"> including the home</w:t>
                            </w:r>
                            <w:r w:rsidR="006457E2">
                              <w:rPr>
                                <w:b/>
                                <w:iCs/>
                                <w:sz w:val="28"/>
                                <w:szCs w:val="28"/>
                              </w:rPr>
                              <w:t xml:space="preserve"> and including repeal of the “right of correction” from the Civil Code 1963 and the Law on Integral Protection of Children and Adolescents 2003</w:t>
                            </w:r>
                            <w:r w:rsidRPr="00E105D0">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349.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">
                <v:textbox style="mso-fit-shape-to-text:t">
                  <w:txbxContent>
                    <w:p w:rsidR="00EB5487" w:rsidRPr="000D3716" w:rsidRDefault="00EB5487" w:rsidP="00EB5487">
                      <w:pPr>
                        <w:spacing w:after="120"/>
                        <w:rPr>
                          <w:b/>
                          <w:iCs/>
                          <w:sz w:val="28"/>
                          <w:szCs w:val="28"/>
                        </w:rPr>
                      </w:pPr>
                      <w:r w:rsidRPr="000D3716">
                        <w:rPr>
                          <w:b/>
                          <w:sz w:val="28"/>
                          <w:szCs w:val="28"/>
                        </w:rPr>
                        <w:t xml:space="preserve">This briefing describes the legality of corporal punishment of children in </w:t>
                      </w:r>
                      <w:r w:rsidR="006457E2">
                        <w:rPr>
                          <w:b/>
                          <w:sz w:val="28"/>
                          <w:szCs w:val="28"/>
                        </w:rPr>
                        <w:t>Guatemala</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w:t>
                      </w:r>
                      <w:r w:rsidR="006457E2">
                        <w:rPr>
                          <w:b/>
                          <w:sz w:val="28"/>
                          <w:szCs w:val="28"/>
                        </w:rPr>
                        <w:t>Guatemala</w:t>
                      </w:r>
                      <w:r>
                        <w:rPr>
                          <w:b/>
                          <w:sz w:val="28"/>
                          <w:szCs w:val="28"/>
                        </w:rPr>
                        <w:t xml:space="preserve"> by </w:t>
                      </w:r>
                      <w:r w:rsidR="006457E2">
                        <w:rPr>
                          <w:b/>
                          <w:sz w:val="28"/>
                          <w:szCs w:val="28"/>
                        </w:rPr>
                        <w:t xml:space="preserve">the Committee on the Rights of the Child, the Committee Against Torture and during the Universal Periodic Reviews of Guatemala in 2008 and 2012 (accepted by the Government),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rsidR="00EB5487" w:rsidRPr="000D3716" w:rsidRDefault="00EB5487" w:rsidP="00EB5487">
                      <w:pPr>
                        <w:numPr>
                          <w:ilvl w:val="0"/>
                          <w:numId w:val="33"/>
                        </w:numPr>
                        <w:spacing w:after="120"/>
                        <w:rPr>
                          <w:b/>
                          <w:iCs/>
                          <w:sz w:val="28"/>
                          <w:szCs w:val="28"/>
                        </w:rPr>
                      </w:pPr>
                      <w:r w:rsidRPr="000D3716">
                        <w:rPr>
                          <w:b/>
                          <w:iCs/>
                          <w:sz w:val="28"/>
                          <w:szCs w:val="28"/>
                        </w:rPr>
                        <w:t xml:space="preserve">in its List of Issues for </w:t>
                      </w:r>
                      <w:r w:rsidR="006457E2">
                        <w:rPr>
                          <w:b/>
                          <w:iCs/>
                          <w:sz w:val="28"/>
                          <w:szCs w:val="28"/>
                        </w:rPr>
                        <w:t>Guatemala</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all corporal punishment, without exception, is explicitly prohibited in the home and other settings</w:t>
                      </w:r>
                      <w:r w:rsidRPr="000D3716">
                        <w:rPr>
                          <w:b/>
                          <w:sz w:val="28"/>
                          <w:szCs w:val="28"/>
                        </w:rPr>
                        <w:t>?</w:t>
                      </w:r>
                    </w:p>
                    <w:p w:rsidR="008F10FD" w:rsidRPr="00EB5487" w:rsidRDefault="00EB5487" w:rsidP="00EB5487">
                      <w:pPr>
                        <w:numPr>
                          <w:ilvl w:val="0"/>
                          <w:numId w:val="33"/>
                        </w:numPr>
                        <w:spacing w:after="120"/>
                        <w:rPr>
                          <w:sz w:val="28"/>
                          <w:szCs w:val="28"/>
                        </w:rPr>
                      </w:pPr>
                      <w:r w:rsidRPr="00E105D0">
                        <w:rPr>
                          <w:b/>
                          <w:iCs/>
                          <w:sz w:val="28"/>
                          <w:szCs w:val="28"/>
                        </w:rPr>
                        <w:t xml:space="preserve">in its concluding observations on </w:t>
                      </w:r>
                      <w:r w:rsidR="006457E2">
                        <w:rPr>
                          <w:b/>
                          <w:iCs/>
                          <w:sz w:val="28"/>
                          <w:szCs w:val="28"/>
                        </w:rPr>
                        <w:t>Guatemala’s third</w:t>
                      </w:r>
                      <w:r>
                        <w:rPr>
                          <w:b/>
                          <w:iCs/>
                          <w:sz w:val="28"/>
                          <w:szCs w:val="28"/>
                        </w:rPr>
                        <w:t xml:space="preserve"> </w:t>
                      </w:r>
                      <w:r w:rsidRPr="00E105D0">
                        <w:rPr>
                          <w:b/>
                          <w:iCs/>
                          <w:sz w:val="28"/>
                          <w:szCs w:val="28"/>
                        </w:rPr>
                        <w:t xml:space="preserve">report, recommend that legislation is enacted to explicitly prohibit </w:t>
                      </w:r>
                      <w:r>
                        <w:rPr>
                          <w:b/>
                          <w:iCs/>
                          <w:sz w:val="28"/>
                          <w:szCs w:val="28"/>
                        </w:rPr>
                        <w:t xml:space="preserve">all </w:t>
                      </w:r>
                      <w:r w:rsidRPr="00E105D0">
                        <w:rPr>
                          <w:b/>
                          <w:iCs/>
                          <w:sz w:val="28"/>
                          <w:szCs w:val="28"/>
                        </w:rPr>
                        <w:t>corporal punishment</w:t>
                      </w:r>
                      <w:r>
                        <w:rPr>
                          <w:b/>
                          <w:iCs/>
                          <w:sz w:val="28"/>
                          <w:szCs w:val="28"/>
                        </w:rPr>
                        <w:t xml:space="preserve"> </w:t>
                      </w:r>
                      <w:r w:rsidRPr="00E105D0">
                        <w:rPr>
                          <w:b/>
                          <w:iCs/>
                          <w:sz w:val="28"/>
                          <w:szCs w:val="28"/>
                        </w:rPr>
                        <w:t>in all settings</w:t>
                      </w:r>
                      <w:r>
                        <w:rPr>
                          <w:b/>
                          <w:iCs/>
                          <w:sz w:val="28"/>
                          <w:szCs w:val="28"/>
                        </w:rPr>
                        <w:t>,</w:t>
                      </w:r>
                      <w:r w:rsidRPr="00E105D0">
                        <w:rPr>
                          <w:b/>
                          <w:iCs/>
                          <w:sz w:val="28"/>
                          <w:szCs w:val="28"/>
                        </w:rPr>
                        <w:t xml:space="preserve"> including the home</w:t>
                      </w:r>
                      <w:r w:rsidR="006457E2">
                        <w:rPr>
                          <w:b/>
                          <w:iCs/>
                          <w:sz w:val="28"/>
                          <w:szCs w:val="28"/>
                        </w:rPr>
                        <w:t xml:space="preserve"> and including repeal of the “right of correction” from the Civil Code 1963 and the Law on Integral Protection of Children and Adolescents 2003</w:t>
                      </w:r>
                      <w:r w:rsidRPr="00E105D0">
                        <w:rPr>
                          <w:b/>
                          <w:sz w:val="28"/>
                          <w:szCs w:val="28"/>
                        </w:rPr>
                        <w:t>.</w:t>
                      </w:r>
                    </w:p>
                  </w:txbxContent>
                </v:textbox>
                <w10:wrap type="topAndBottom"/>
              </v:shape>
            </w:pict>
          </mc:Fallback>
        </mc:AlternateContent>
      </w: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1731CC" w:rsidRDefault="001731CC" w:rsidP="001B2EF0">
      <w:pPr>
        <w:spacing w:after="120"/>
        <w:ind w:left="482" w:hanging="482"/>
        <w:rPr>
          <w:b/>
          <w:sz w:val="28"/>
          <w:szCs w:val="28"/>
        </w:rPr>
      </w:pPr>
    </w:p>
    <w:p w:rsidR="008467B3" w:rsidRPr="001B2EF0" w:rsidRDefault="008C188E" w:rsidP="001B2EF0">
      <w:pPr>
        <w:spacing w:after="120"/>
        <w:ind w:left="482" w:hanging="482"/>
        <w:rPr>
          <w:b/>
          <w:sz w:val="28"/>
          <w:szCs w:val="28"/>
        </w:rPr>
      </w:pPr>
      <w:r w:rsidRPr="001B2EF0">
        <w:rPr>
          <w:b/>
          <w:sz w:val="28"/>
          <w:szCs w:val="28"/>
        </w:rPr>
        <w:t xml:space="preserve">1 </w:t>
      </w:r>
      <w:r w:rsidR="006457E2">
        <w:rPr>
          <w:b/>
          <w:sz w:val="28"/>
          <w:szCs w:val="28"/>
        </w:rPr>
        <w:t>Guatemala</w:t>
      </w:r>
      <w:r w:rsidR="00CF1ADA">
        <w:rPr>
          <w:b/>
          <w:sz w:val="28"/>
          <w:szCs w:val="28"/>
        </w:rPr>
        <w:t>’s</w:t>
      </w:r>
      <w:r w:rsidR="008467B3" w:rsidRPr="001B2EF0">
        <w:rPr>
          <w:b/>
          <w:sz w:val="28"/>
          <w:szCs w:val="28"/>
        </w:rPr>
        <w:t xml:space="preserve"> report to the Committee on Economic, Social and Cultural Rights</w:t>
      </w:r>
    </w:p>
    <w:p w:rsidR="006457E2" w:rsidRDefault="008C188E" w:rsidP="004063A2">
      <w:pPr>
        <w:pStyle w:val="Header"/>
        <w:spacing w:after="120"/>
        <w:ind w:left="482" w:hanging="482"/>
        <w:rPr>
          <w:sz w:val="26"/>
          <w:szCs w:val="26"/>
        </w:rPr>
      </w:pPr>
      <w:r w:rsidRPr="004063A2">
        <w:rPr>
          <w:sz w:val="26"/>
          <w:szCs w:val="26"/>
        </w:rPr>
        <w:t xml:space="preserve">1.1 </w:t>
      </w:r>
      <w:r w:rsidR="006457E2">
        <w:rPr>
          <w:sz w:val="26"/>
          <w:szCs w:val="26"/>
        </w:rPr>
        <w:t xml:space="preserve">The third </w:t>
      </w:r>
      <w:r w:rsidR="008467B3" w:rsidRPr="004063A2">
        <w:rPr>
          <w:sz w:val="26"/>
          <w:szCs w:val="26"/>
        </w:rPr>
        <w:t>state party report to the Committee on Economic, Social and Cultural Rights</w:t>
      </w:r>
      <w:r w:rsidR="006457E2">
        <w:rPr>
          <w:sz w:val="26"/>
          <w:szCs w:val="26"/>
        </w:rPr>
        <w:t xml:space="preserve"> contains extensive information on legal and other measures to address violence against women and violence in t</w:t>
      </w:r>
      <w:r w:rsidR="00C13257">
        <w:rPr>
          <w:sz w:val="26"/>
          <w:szCs w:val="26"/>
        </w:rPr>
        <w:t>he family, but appears to make n</w:t>
      </w:r>
      <w:r w:rsidR="006457E2">
        <w:rPr>
          <w:sz w:val="26"/>
          <w:szCs w:val="26"/>
        </w:rPr>
        <w:t>o reference to corporal punishment of children – violence lawfully inflicted in the guise of discipline in childrearing and education.</w:t>
      </w:r>
      <w:r w:rsidR="006457E2">
        <w:rPr>
          <w:rStyle w:val="FootnoteReference"/>
          <w:sz w:val="26"/>
          <w:szCs w:val="26"/>
        </w:rPr>
        <w:footnoteReference w:id="1"/>
      </w:r>
    </w:p>
    <w:p w:rsidR="006457E2" w:rsidRDefault="004063A2" w:rsidP="004063A2">
      <w:pPr>
        <w:spacing w:after="120"/>
        <w:ind w:left="482" w:hanging="482"/>
        <w:rPr>
          <w:sz w:val="26"/>
          <w:szCs w:val="26"/>
        </w:rPr>
      </w:pPr>
      <w:r w:rsidRPr="004063A2">
        <w:rPr>
          <w:sz w:val="26"/>
          <w:szCs w:val="26"/>
        </w:rPr>
        <w:t xml:space="preserve">1.2 </w:t>
      </w:r>
      <w:r w:rsidR="006457E2">
        <w:rPr>
          <w:sz w:val="26"/>
          <w:szCs w:val="26"/>
        </w:rPr>
        <w:t>The Government has twice accepted recommendations to prohibit all corporal punishment of children made during the Universal Periodic Review of Guatemala – in the first cycle review in 2008 and in the second cycle review in 2012.</w:t>
      </w:r>
      <w:r w:rsidR="006457E2">
        <w:rPr>
          <w:rStyle w:val="FootnoteReference"/>
        </w:rPr>
        <w:footnoteReference w:id="2"/>
      </w:r>
      <w:r w:rsidR="006457E2">
        <w:rPr>
          <w:sz w:val="26"/>
          <w:szCs w:val="26"/>
        </w:rPr>
        <w:t xml:space="preserve"> However, it has also suggested that existing legislation is adequate.</w:t>
      </w:r>
      <w:r w:rsidR="006457E2">
        <w:rPr>
          <w:rStyle w:val="FootnoteReference"/>
        </w:rPr>
        <w:footnoteReference w:id="3"/>
      </w:r>
      <w:r w:rsidR="006457E2">
        <w:rPr>
          <w:sz w:val="26"/>
          <w:szCs w:val="26"/>
        </w:rPr>
        <w:t xml:space="preserve"> Research by the Global Initiative finds that the law allows a “right of correction”, and that this has not been repealed. </w:t>
      </w:r>
      <w:r w:rsidR="006457E2" w:rsidRPr="006457E2">
        <w:rPr>
          <w:b/>
          <w:sz w:val="26"/>
          <w:szCs w:val="26"/>
        </w:rPr>
        <w:t>We hope the Committee will urge the Government of Guatemala to enact legislation explicitly repealing all forms of corporal punishment, including the repeal of the “right to correct”.</w:t>
      </w:r>
    </w:p>
    <w:p w:rsidR="008467B3" w:rsidRPr="004063A2" w:rsidRDefault="008467B3" w:rsidP="004063A2">
      <w:pPr>
        <w:pStyle w:val="Header"/>
        <w:spacing w:after="120"/>
        <w:ind w:left="482" w:hanging="482"/>
        <w:rPr>
          <w:sz w:val="26"/>
          <w:szCs w:val="26"/>
        </w:rPr>
      </w:pPr>
    </w:p>
    <w:p w:rsidR="008467B3" w:rsidRPr="001B2EF0" w:rsidRDefault="008C188E" w:rsidP="001B2EF0">
      <w:pPr>
        <w:spacing w:after="120"/>
        <w:ind w:left="482" w:hanging="482"/>
        <w:rPr>
          <w:sz w:val="28"/>
          <w:szCs w:val="28"/>
        </w:rPr>
      </w:pPr>
      <w:r w:rsidRPr="001B2EF0">
        <w:rPr>
          <w:b/>
          <w:sz w:val="28"/>
          <w:szCs w:val="28"/>
        </w:rPr>
        <w:t xml:space="preserve">2 </w:t>
      </w:r>
      <w:r w:rsidR="00483F29" w:rsidRPr="001B2EF0">
        <w:rPr>
          <w:b/>
          <w:sz w:val="28"/>
          <w:szCs w:val="28"/>
        </w:rPr>
        <w:t xml:space="preserve">The legality </w:t>
      </w:r>
      <w:r w:rsidR="0041585F" w:rsidRPr="001B2EF0">
        <w:rPr>
          <w:b/>
          <w:sz w:val="28"/>
          <w:szCs w:val="28"/>
        </w:rPr>
        <w:t xml:space="preserve">and practice </w:t>
      </w:r>
      <w:r w:rsidR="00483F29" w:rsidRPr="001B2EF0">
        <w:rPr>
          <w:b/>
          <w:sz w:val="28"/>
          <w:szCs w:val="28"/>
        </w:rPr>
        <w:t>of c</w:t>
      </w:r>
      <w:r w:rsidR="008467B3" w:rsidRPr="001B2EF0">
        <w:rPr>
          <w:b/>
          <w:sz w:val="28"/>
          <w:szCs w:val="28"/>
        </w:rPr>
        <w:t xml:space="preserve">orporal punishment of children in </w:t>
      </w:r>
      <w:r w:rsidR="0032723B">
        <w:rPr>
          <w:b/>
          <w:sz w:val="28"/>
          <w:szCs w:val="28"/>
        </w:rPr>
        <w:t>Guatemala</w:t>
      </w:r>
    </w:p>
    <w:p w:rsidR="004063A2" w:rsidRPr="006457E2" w:rsidRDefault="004063A2" w:rsidP="006457E2">
      <w:pPr>
        <w:spacing w:after="120"/>
        <w:ind w:left="482" w:hanging="482"/>
        <w:rPr>
          <w:sz w:val="26"/>
          <w:szCs w:val="26"/>
        </w:rPr>
      </w:pPr>
      <w:r w:rsidRPr="006457E2">
        <w:rPr>
          <w:sz w:val="26"/>
          <w:szCs w:val="26"/>
        </w:rPr>
        <w:t xml:space="preserve">2.1 </w:t>
      </w:r>
      <w:r w:rsidRPr="006457E2">
        <w:rPr>
          <w:i/>
          <w:sz w:val="26"/>
          <w:szCs w:val="26"/>
        </w:rPr>
        <w:t>Summary:</w:t>
      </w:r>
      <w:r w:rsidRPr="006457E2">
        <w:rPr>
          <w:sz w:val="26"/>
          <w:szCs w:val="26"/>
        </w:rPr>
        <w:t xml:space="preserve"> Corporal punishment in </w:t>
      </w:r>
      <w:r w:rsidR="006457E2" w:rsidRPr="006457E2">
        <w:rPr>
          <w:sz w:val="26"/>
          <w:szCs w:val="26"/>
        </w:rPr>
        <w:t>Guatemala</w:t>
      </w:r>
      <w:r w:rsidRPr="006457E2">
        <w:rPr>
          <w:sz w:val="26"/>
          <w:szCs w:val="26"/>
        </w:rPr>
        <w:t xml:space="preserve"> is unlawful </w:t>
      </w:r>
      <w:r w:rsidR="006457E2" w:rsidRPr="006457E2">
        <w:rPr>
          <w:sz w:val="26"/>
          <w:szCs w:val="26"/>
        </w:rPr>
        <w:t>in the penal system but it is not prohibited in the home, alternative care settings, day care and schools</w:t>
      </w:r>
      <w:r w:rsidRPr="006457E2">
        <w:rPr>
          <w:sz w:val="26"/>
          <w:szCs w:val="26"/>
        </w:rPr>
        <w:t>.</w:t>
      </w:r>
    </w:p>
    <w:p w:rsidR="006457E2" w:rsidRPr="006457E2" w:rsidRDefault="004063A2" w:rsidP="006457E2">
      <w:pPr>
        <w:spacing w:after="120"/>
        <w:ind w:left="482" w:hanging="482"/>
        <w:rPr>
          <w:iCs/>
          <w:sz w:val="26"/>
          <w:szCs w:val="26"/>
          <w:lang w:val="x-none"/>
        </w:rPr>
      </w:pPr>
      <w:r w:rsidRPr="006457E2">
        <w:rPr>
          <w:sz w:val="26"/>
          <w:szCs w:val="26"/>
        </w:rPr>
        <w:t xml:space="preserve">2.2 </w:t>
      </w:r>
      <w:r w:rsidRPr="006457E2">
        <w:rPr>
          <w:i/>
          <w:sz w:val="26"/>
          <w:szCs w:val="26"/>
        </w:rPr>
        <w:t>Home (</w:t>
      </w:r>
      <w:r w:rsidRPr="006457E2">
        <w:rPr>
          <w:i/>
          <w:sz w:val="26"/>
          <w:szCs w:val="26"/>
          <w:u w:val="single"/>
        </w:rPr>
        <w:t>lawful</w:t>
      </w:r>
      <w:r w:rsidRPr="006457E2">
        <w:rPr>
          <w:i/>
          <w:sz w:val="26"/>
          <w:szCs w:val="26"/>
        </w:rPr>
        <w:t>):</w:t>
      </w:r>
      <w:r w:rsidRPr="006457E2">
        <w:rPr>
          <w:sz w:val="26"/>
          <w:szCs w:val="26"/>
        </w:rPr>
        <w:t xml:space="preserve"> </w:t>
      </w:r>
      <w:r w:rsidR="006457E2" w:rsidRPr="006457E2">
        <w:rPr>
          <w:sz w:val="26"/>
          <w:szCs w:val="26"/>
        </w:rPr>
        <w:t>Article 13 of the Law on Integral Protection of Children and Adolescents 2003 provides for the rights and duties of parents to “guide, educate and correct the child or adolescent using prudent means of discipline that do not violate their dignity and integrity”. Article 253 of the Civil Code 1963 states that parents must “educate and correct” their children “using prudent means of discipline”. These provisions provide a legal defence for the use of corporal punishment in childrearing; the provision against violating a child’s dignity does not achieve prohibition of all corporal punishment. Article 53 of the Law on Integral Protection of Children and Adolescents confirms the right of the child not to be subjected to any form of violence, cruelty or oppression and to be protected from all forms of abuse but it does not explicitly prohibit all corporal punishment in childrearing.</w:t>
      </w:r>
      <w:r w:rsidR="006457E2">
        <w:rPr>
          <w:sz w:val="26"/>
          <w:szCs w:val="26"/>
        </w:rPr>
        <w:t xml:space="preserve"> </w:t>
      </w:r>
      <w:r w:rsidR="006457E2" w:rsidRPr="006457E2">
        <w:rPr>
          <w:bCs/>
          <w:iCs/>
          <w:sz w:val="26"/>
          <w:szCs w:val="26"/>
        </w:rPr>
        <w:t>In a 2008-2009 study involving 12,446 women aged 15-49 with children, 56.5% reported that children in their home were physically punished (43.1% by being hit, beaten, spanked or slapped; 13.4% by other physical punishment).</w:t>
      </w:r>
      <w:r w:rsidR="006457E2" w:rsidRPr="006457E2">
        <w:rPr>
          <w:rStyle w:val="FootnoteReference"/>
          <w:bCs/>
          <w:iCs/>
          <w:sz w:val="26"/>
          <w:szCs w:val="26"/>
        </w:rPr>
        <w:footnoteReference w:id="4"/>
      </w:r>
    </w:p>
    <w:p w:rsidR="006457E2" w:rsidRPr="006457E2" w:rsidRDefault="004063A2" w:rsidP="006457E2">
      <w:pPr>
        <w:spacing w:after="120"/>
        <w:ind w:left="482" w:hanging="482"/>
        <w:rPr>
          <w:sz w:val="26"/>
          <w:szCs w:val="26"/>
        </w:rPr>
      </w:pPr>
      <w:r w:rsidRPr="006457E2">
        <w:rPr>
          <w:sz w:val="26"/>
          <w:szCs w:val="26"/>
        </w:rPr>
        <w:t xml:space="preserve">2.3 </w:t>
      </w:r>
      <w:r w:rsidRPr="006457E2">
        <w:rPr>
          <w:i/>
          <w:sz w:val="26"/>
          <w:szCs w:val="26"/>
        </w:rPr>
        <w:t>Alternative care settings (</w:t>
      </w:r>
      <w:r w:rsidRPr="006457E2">
        <w:rPr>
          <w:i/>
          <w:sz w:val="26"/>
          <w:szCs w:val="26"/>
          <w:u w:val="single"/>
        </w:rPr>
        <w:t>lawful</w:t>
      </w:r>
      <w:r w:rsidRPr="006457E2">
        <w:rPr>
          <w:i/>
          <w:sz w:val="26"/>
          <w:szCs w:val="26"/>
        </w:rPr>
        <w:t xml:space="preserve">): </w:t>
      </w:r>
      <w:r w:rsidR="006457E2" w:rsidRPr="006457E2">
        <w:rPr>
          <w:sz w:val="26"/>
          <w:szCs w:val="26"/>
        </w:rPr>
        <w:t xml:space="preserve">There is no explicit prohibition of corporal punishment in alternative care settings, where corporal punishment is lawful as for parents under the right to “correct” in article 13 of the Law on Integral Protection of Children and Adolescents 2003 and article 253 of the Civil Code 1963 (see </w:t>
      </w:r>
      <w:r w:rsidR="006457E2">
        <w:rPr>
          <w:sz w:val="26"/>
          <w:szCs w:val="26"/>
        </w:rPr>
        <w:t>para. 2.2</w:t>
      </w:r>
      <w:r w:rsidR="006457E2" w:rsidRPr="006457E2">
        <w:rPr>
          <w:sz w:val="26"/>
          <w:szCs w:val="26"/>
        </w:rPr>
        <w:t>).</w:t>
      </w:r>
    </w:p>
    <w:p w:rsidR="006457E2" w:rsidRPr="006457E2" w:rsidRDefault="004063A2" w:rsidP="006457E2">
      <w:pPr>
        <w:spacing w:after="120"/>
        <w:ind w:left="482" w:hanging="482"/>
        <w:rPr>
          <w:sz w:val="26"/>
          <w:szCs w:val="26"/>
        </w:rPr>
      </w:pPr>
      <w:r w:rsidRPr="006457E2">
        <w:rPr>
          <w:sz w:val="26"/>
          <w:szCs w:val="26"/>
        </w:rPr>
        <w:lastRenderedPageBreak/>
        <w:t xml:space="preserve">2.4 </w:t>
      </w:r>
      <w:r w:rsidRPr="006457E2">
        <w:rPr>
          <w:i/>
          <w:sz w:val="26"/>
          <w:szCs w:val="26"/>
        </w:rPr>
        <w:t>Day care (</w:t>
      </w:r>
      <w:r w:rsidRPr="006457E2">
        <w:rPr>
          <w:i/>
          <w:sz w:val="26"/>
          <w:szCs w:val="26"/>
          <w:u w:val="single"/>
        </w:rPr>
        <w:t>lawful</w:t>
      </w:r>
      <w:r w:rsidRPr="006457E2">
        <w:rPr>
          <w:i/>
          <w:sz w:val="26"/>
          <w:szCs w:val="26"/>
        </w:rPr>
        <w:t xml:space="preserve">): </w:t>
      </w:r>
      <w:r w:rsidR="006457E2" w:rsidRPr="006457E2">
        <w:rPr>
          <w:sz w:val="26"/>
          <w:szCs w:val="26"/>
        </w:rPr>
        <w:t xml:space="preserve">There is no explicit prohibition of corporal punishment in early childhood care and in day care for older children. Corporal punishment is lawful under the right to “correct” in article 13 of the Law on Integral Protection of Children and Adolescents 2003 and article 253 of the Civil Code 1963 (see </w:t>
      </w:r>
      <w:r w:rsidR="006457E2">
        <w:rPr>
          <w:sz w:val="26"/>
          <w:szCs w:val="26"/>
        </w:rPr>
        <w:t>para. 2.2</w:t>
      </w:r>
      <w:r w:rsidR="006457E2" w:rsidRPr="006457E2">
        <w:rPr>
          <w:sz w:val="26"/>
          <w:szCs w:val="26"/>
        </w:rPr>
        <w:t>).</w:t>
      </w:r>
    </w:p>
    <w:p w:rsidR="006457E2" w:rsidRPr="006457E2" w:rsidRDefault="004063A2" w:rsidP="006457E2">
      <w:pPr>
        <w:spacing w:after="120"/>
        <w:ind w:left="482" w:hanging="482"/>
        <w:rPr>
          <w:sz w:val="26"/>
          <w:szCs w:val="26"/>
        </w:rPr>
      </w:pPr>
      <w:r w:rsidRPr="006457E2">
        <w:rPr>
          <w:sz w:val="26"/>
          <w:szCs w:val="26"/>
        </w:rPr>
        <w:t xml:space="preserve">2.5 </w:t>
      </w:r>
      <w:r w:rsidRPr="006457E2">
        <w:rPr>
          <w:i/>
          <w:sz w:val="26"/>
          <w:szCs w:val="26"/>
        </w:rPr>
        <w:t>Schools (</w:t>
      </w:r>
      <w:r w:rsidRPr="006457E2">
        <w:rPr>
          <w:i/>
          <w:sz w:val="26"/>
          <w:szCs w:val="26"/>
          <w:u w:val="single"/>
        </w:rPr>
        <w:t>lawful</w:t>
      </w:r>
      <w:r w:rsidRPr="006457E2">
        <w:rPr>
          <w:i/>
          <w:sz w:val="26"/>
          <w:szCs w:val="26"/>
        </w:rPr>
        <w:t>):</w:t>
      </w:r>
      <w:r w:rsidRPr="006457E2">
        <w:rPr>
          <w:sz w:val="26"/>
          <w:szCs w:val="26"/>
        </w:rPr>
        <w:t xml:space="preserve"> </w:t>
      </w:r>
      <w:bookmarkStart w:id="1" w:name="OLE_LINK44"/>
      <w:bookmarkStart w:id="2" w:name="OLE_LINK45"/>
      <w:r w:rsidR="006457E2" w:rsidRPr="006457E2">
        <w:rPr>
          <w:sz w:val="26"/>
          <w:szCs w:val="26"/>
        </w:rPr>
        <w:t xml:space="preserve">Corporal punishment is lawful in schools, including military schools. Article 1 of the National Education Law 1991, Legislative Decree No. 12-91, recognises the child’s right to dignity in the educational system, but there is no explicit prohibition of corporal punishment. </w:t>
      </w:r>
    </w:p>
    <w:bookmarkEnd w:id="1"/>
    <w:bookmarkEnd w:id="2"/>
    <w:p w:rsidR="006457E2" w:rsidRPr="006457E2" w:rsidRDefault="004063A2" w:rsidP="006457E2">
      <w:pPr>
        <w:spacing w:after="120"/>
        <w:ind w:left="482" w:hanging="482"/>
        <w:rPr>
          <w:sz w:val="26"/>
          <w:szCs w:val="26"/>
        </w:rPr>
      </w:pPr>
      <w:r w:rsidRPr="006457E2">
        <w:rPr>
          <w:sz w:val="26"/>
          <w:szCs w:val="26"/>
        </w:rPr>
        <w:t xml:space="preserve">2.6 </w:t>
      </w:r>
      <w:r w:rsidRPr="006457E2">
        <w:rPr>
          <w:i/>
          <w:sz w:val="26"/>
          <w:szCs w:val="26"/>
        </w:rPr>
        <w:t>Penal institutions (</w:t>
      </w:r>
      <w:r w:rsidR="006457E2" w:rsidRPr="006457E2">
        <w:rPr>
          <w:i/>
          <w:sz w:val="26"/>
          <w:szCs w:val="26"/>
          <w:u w:val="single"/>
        </w:rPr>
        <w:t>unl</w:t>
      </w:r>
      <w:r w:rsidRPr="006457E2">
        <w:rPr>
          <w:i/>
          <w:sz w:val="26"/>
          <w:szCs w:val="26"/>
          <w:u w:val="single"/>
        </w:rPr>
        <w:t>awful</w:t>
      </w:r>
      <w:r w:rsidRPr="006457E2">
        <w:rPr>
          <w:i/>
          <w:sz w:val="26"/>
          <w:szCs w:val="26"/>
        </w:rPr>
        <w:t xml:space="preserve">): </w:t>
      </w:r>
      <w:r w:rsidR="006457E2" w:rsidRPr="006457E2">
        <w:rPr>
          <w:sz w:val="26"/>
          <w:szCs w:val="26"/>
        </w:rPr>
        <w:t>Corporal punishment is unlawful as a disciplinary measure in penal institutions under article 260 of the Law on Integral Protection of Children and Adolescents 2003: “During the implementation of sanctions, the adolescent will, at least, have the following rights: … (e) (8) Right not to be incommunicado in any case, nor to be subjected to solitary confinement or the imposition of corporal punishment….”</w:t>
      </w:r>
    </w:p>
    <w:p w:rsidR="006457E2" w:rsidRPr="006457E2" w:rsidRDefault="004063A2" w:rsidP="006457E2">
      <w:pPr>
        <w:spacing w:after="120"/>
        <w:ind w:left="482" w:hanging="482"/>
        <w:rPr>
          <w:sz w:val="26"/>
          <w:szCs w:val="26"/>
        </w:rPr>
      </w:pPr>
      <w:r w:rsidRPr="006457E2">
        <w:rPr>
          <w:sz w:val="26"/>
          <w:szCs w:val="26"/>
        </w:rPr>
        <w:t xml:space="preserve">2.7 </w:t>
      </w:r>
      <w:r w:rsidRPr="006457E2">
        <w:rPr>
          <w:i/>
          <w:sz w:val="26"/>
          <w:szCs w:val="26"/>
        </w:rPr>
        <w:t>Sentence for crime (</w:t>
      </w:r>
      <w:r w:rsidRPr="006457E2">
        <w:rPr>
          <w:i/>
          <w:sz w:val="26"/>
          <w:szCs w:val="26"/>
          <w:u w:val="single"/>
        </w:rPr>
        <w:t>unlawful</w:t>
      </w:r>
      <w:r w:rsidRPr="006457E2">
        <w:rPr>
          <w:i/>
          <w:sz w:val="26"/>
          <w:szCs w:val="26"/>
        </w:rPr>
        <w:t xml:space="preserve">): </w:t>
      </w:r>
      <w:r w:rsidR="006457E2" w:rsidRPr="006457E2">
        <w:rPr>
          <w:sz w:val="26"/>
          <w:szCs w:val="26"/>
        </w:rPr>
        <w:t>There is no provision for judicial corporal punishment in the Law on Integral Protection of Children and Adolescents 2003</w:t>
      </w:r>
      <w:r w:rsidR="006457E2">
        <w:rPr>
          <w:sz w:val="26"/>
          <w:szCs w:val="26"/>
        </w:rPr>
        <w:t>, and a</w:t>
      </w:r>
      <w:r w:rsidR="006457E2" w:rsidRPr="006457E2">
        <w:rPr>
          <w:sz w:val="26"/>
          <w:szCs w:val="26"/>
        </w:rPr>
        <w:t xml:space="preserve">rticle 260 explicitly prohibits corporal punishment (see </w:t>
      </w:r>
      <w:r w:rsidR="006457E2">
        <w:rPr>
          <w:sz w:val="26"/>
          <w:szCs w:val="26"/>
        </w:rPr>
        <w:t>para. 2.6</w:t>
      </w:r>
      <w:r w:rsidR="006457E2" w:rsidRPr="006457E2">
        <w:rPr>
          <w:sz w:val="26"/>
          <w:szCs w:val="26"/>
        </w:rPr>
        <w:t>).</w:t>
      </w:r>
    </w:p>
    <w:p w:rsidR="006457E2" w:rsidRPr="006457E2" w:rsidRDefault="006457E2" w:rsidP="006457E2">
      <w:pPr>
        <w:spacing w:after="120"/>
        <w:ind w:left="482" w:hanging="482"/>
        <w:rPr>
          <w:sz w:val="26"/>
          <w:szCs w:val="26"/>
        </w:rPr>
      </w:pPr>
      <w:r>
        <w:rPr>
          <w:sz w:val="26"/>
          <w:szCs w:val="26"/>
        </w:rPr>
        <w:t xml:space="preserve">2.8 </w:t>
      </w:r>
      <w:r w:rsidRPr="006457E2">
        <w:rPr>
          <w:sz w:val="26"/>
          <w:szCs w:val="26"/>
        </w:rPr>
        <w:t>Corporal punishment is imposed as a sentence in Mayan justice but this appears to be unlawful. The use of the whip (</w:t>
      </w:r>
      <w:r w:rsidRPr="006457E2">
        <w:rPr>
          <w:i/>
          <w:sz w:val="26"/>
          <w:szCs w:val="26"/>
        </w:rPr>
        <w:t>Xik’ay’</w:t>
      </w:r>
      <w:r w:rsidRPr="006457E2">
        <w:rPr>
          <w:sz w:val="26"/>
          <w:szCs w:val="26"/>
        </w:rPr>
        <w:t>) as well as the shaving of heads and other humiliating punishments is, according to Mayan legal opinion, intended “not to inflict pain or scars, but to arouse public shame”.</w:t>
      </w:r>
      <w:r w:rsidRPr="006457E2">
        <w:rPr>
          <w:rStyle w:val="FootnoteReference"/>
          <w:sz w:val="26"/>
          <w:szCs w:val="26"/>
        </w:rPr>
        <w:footnoteReference w:id="5"/>
      </w:r>
      <w:r w:rsidRPr="006457E2">
        <w:rPr>
          <w:sz w:val="26"/>
          <w:szCs w:val="26"/>
        </w:rPr>
        <w:t xml:space="preserve"> Under the Accord on the Identity and Rights of Indigenous Peoples, signed in 1995 as part of the comprehensive Peace Accords, the Government must incorporate the customary law of the Maya population into the state through law reform. Article 10 of the Law on Integral Protection of Children and Adolescents 2003 confirms that children and adolescents belonging to ethnic and/or indigenous communities “have the right to live and develop forms of social organisation that correspond to their historical and cultural traditions” but it also states that these must “not be contrary to public order and respect for human dignity”; the prohibition of corporal punishment in article 260 (see </w:t>
      </w:r>
      <w:r>
        <w:rPr>
          <w:sz w:val="26"/>
          <w:szCs w:val="26"/>
        </w:rPr>
        <w:t>para. 2.6</w:t>
      </w:r>
      <w:r w:rsidRPr="006457E2">
        <w:rPr>
          <w:sz w:val="26"/>
          <w:szCs w:val="26"/>
        </w:rPr>
        <w:t>) presumably applies also in the context of Mayan justice.</w:t>
      </w:r>
    </w:p>
    <w:p w:rsidR="004063A2" w:rsidRPr="006457E2" w:rsidRDefault="004063A2" w:rsidP="006457E2">
      <w:pPr>
        <w:spacing w:after="120"/>
        <w:ind w:left="482" w:hanging="482"/>
        <w:rPr>
          <w:b/>
          <w:sz w:val="26"/>
          <w:szCs w:val="26"/>
        </w:rPr>
      </w:pPr>
    </w:p>
    <w:p w:rsidR="00837361" w:rsidRPr="001B2EF0" w:rsidRDefault="008C188E" w:rsidP="001B2EF0">
      <w:pPr>
        <w:spacing w:after="120"/>
        <w:ind w:left="482" w:hanging="482"/>
        <w:rPr>
          <w:b/>
          <w:sz w:val="28"/>
          <w:szCs w:val="28"/>
        </w:rPr>
      </w:pPr>
      <w:r w:rsidRPr="001B2EF0">
        <w:rPr>
          <w:b/>
          <w:sz w:val="28"/>
          <w:szCs w:val="28"/>
        </w:rPr>
        <w:t xml:space="preserve">3 </w:t>
      </w:r>
      <w:r w:rsidR="00837361" w:rsidRPr="001B2EF0">
        <w:rPr>
          <w:b/>
          <w:sz w:val="28"/>
          <w:szCs w:val="28"/>
        </w:rPr>
        <w:t>Recommendations by human rights treaty bodies</w:t>
      </w:r>
      <w:r w:rsidR="00B902F0" w:rsidRPr="001B2EF0">
        <w:rPr>
          <w:b/>
          <w:sz w:val="28"/>
          <w:szCs w:val="28"/>
        </w:rPr>
        <w:t xml:space="preserve"> and during the UPR</w:t>
      </w:r>
    </w:p>
    <w:p w:rsidR="004063A2" w:rsidRDefault="004063A2" w:rsidP="004063A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3" w:name="OLE_LINK16"/>
      <w:bookmarkStart w:id="4" w:name="OLE_LINK17"/>
      <w:r>
        <w:rPr>
          <w:sz w:val="26"/>
          <w:szCs w:val="26"/>
        </w:rPr>
        <w:t>3</w:t>
      </w:r>
      <w:r w:rsidRPr="00C45951">
        <w:rPr>
          <w:sz w:val="26"/>
          <w:szCs w:val="26"/>
        </w:rPr>
        <w:t xml:space="preserve">.1 </w:t>
      </w:r>
      <w:r w:rsidRPr="00C45951">
        <w:rPr>
          <w:i/>
          <w:sz w:val="26"/>
          <w:szCs w:val="26"/>
        </w:rPr>
        <w:t>CRC:</w:t>
      </w:r>
      <w:r w:rsidRPr="00C45951">
        <w:rPr>
          <w:sz w:val="26"/>
          <w:szCs w:val="26"/>
        </w:rPr>
        <w:t xml:space="preserve"> </w:t>
      </w:r>
      <w:r w:rsidR="006457E2">
        <w:rPr>
          <w:sz w:val="26"/>
          <w:szCs w:val="26"/>
        </w:rPr>
        <w:t>T</w:t>
      </w:r>
      <w:r>
        <w:rPr>
          <w:sz w:val="26"/>
          <w:szCs w:val="26"/>
        </w:rPr>
        <w:t xml:space="preserve">he Committee on the Rights of the Child </w:t>
      </w:r>
      <w:r w:rsidR="006457E2">
        <w:rPr>
          <w:sz w:val="26"/>
          <w:szCs w:val="26"/>
        </w:rPr>
        <w:t>has repeatedly expressed concern at corporal punishment of children in Guatemala and recommended it be addressed through prohibition and other measures – in 1996, in 2007 and in 2010</w:t>
      </w:r>
      <w:r>
        <w:rPr>
          <w:sz w:val="26"/>
          <w:szCs w:val="26"/>
        </w:rPr>
        <w:t>.</w:t>
      </w:r>
      <w:r w:rsidR="006457E2">
        <w:rPr>
          <w:rStyle w:val="FootnoteReference"/>
          <w:sz w:val="26"/>
          <w:szCs w:val="26"/>
        </w:rPr>
        <w:footnoteReference w:id="6"/>
      </w:r>
    </w:p>
    <w:p w:rsidR="006457E2" w:rsidRPr="00C45951" w:rsidRDefault="006457E2" w:rsidP="004063A2">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3.2 In 2013, the Committee Against Torture expressed concern at corporal punishment of children in juvenile detention centres and recommended measures to address this.</w:t>
      </w:r>
      <w:r>
        <w:rPr>
          <w:rStyle w:val="FootnoteReference"/>
          <w:sz w:val="26"/>
          <w:szCs w:val="26"/>
        </w:rPr>
        <w:footnoteReference w:id="7"/>
      </w:r>
    </w:p>
    <w:p w:rsidR="006457E2" w:rsidRDefault="004063A2" w:rsidP="004063A2">
      <w:pPr>
        <w:spacing w:after="120"/>
        <w:ind w:left="482" w:hanging="482"/>
        <w:rPr>
          <w:sz w:val="26"/>
          <w:szCs w:val="26"/>
        </w:rPr>
      </w:pPr>
      <w:r>
        <w:rPr>
          <w:sz w:val="26"/>
          <w:szCs w:val="26"/>
        </w:rPr>
        <w:t>3.2</w:t>
      </w:r>
      <w:r w:rsidRPr="00C45951">
        <w:rPr>
          <w:sz w:val="26"/>
          <w:szCs w:val="26"/>
        </w:rPr>
        <w:t xml:space="preserve"> </w:t>
      </w:r>
      <w:r w:rsidRPr="00C45951">
        <w:rPr>
          <w:i/>
          <w:sz w:val="26"/>
          <w:szCs w:val="26"/>
        </w:rPr>
        <w:t>UPR:</w:t>
      </w:r>
      <w:r w:rsidRPr="00C45951">
        <w:rPr>
          <w:sz w:val="26"/>
          <w:szCs w:val="26"/>
        </w:rPr>
        <w:t xml:space="preserve"> </w:t>
      </w:r>
      <w:r w:rsidR="006457E2">
        <w:rPr>
          <w:sz w:val="26"/>
          <w:szCs w:val="26"/>
        </w:rPr>
        <w:t xml:space="preserve">At the Universal Periodic Review of Guatemala in 2008, the Government accepted the recommendation to explicitly prohibit corporal punishment in the home and family but </w:t>
      </w:r>
      <w:r w:rsidR="006457E2">
        <w:rPr>
          <w:sz w:val="26"/>
          <w:szCs w:val="26"/>
        </w:rPr>
        <w:lastRenderedPageBreak/>
        <w:t>stated that the law already did this.</w:t>
      </w:r>
      <w:r w:rsidR="006457E2">
        <w:rPr>
          <w:rStyle w:val="FootnoteReference"/>
          <w:sz w:val="26"/>
          <w:szCs w:val="26"/>
        </w:rPr>
        <w:footnoteReference w:id="8"/>
      </w:r>
      <w:r w:rsidR="006457E2">
        <w:rPr>
          <w:sz w:val="26"/>
          <w:szCs w:val="26"/>
        </w:rPr>
        <w:t xml:space="preserve"> At the second cycle UPR in 2012, the Government again accepted recommendations to explicitly prohibit corporal punishment in all settings.</w:t>
      </w:r>
      <w:r w:rsidR="006457E2">
        <w:rPr>
          <w:rStyle w:val="FootnoteReference"/>
        </w:rPr>
        <w:footnoteReference w:id="9"/>
      </w:r>
    </w:p>
    <w:p w:rsidR="00DD0BFF" w:rsidRPr="001B2EF0" w:rsidRDefault="00DD0BFF" w:rsidP="001B2EF0">
      <w:pPr>
        <w:spacing w:after="120"/>
        <w:ind w:left="482" w:hanging="482"/>
        <w:rPr>
          <w:i/>
          <w:sz w:val="26"/>
          <w:szCs w:val="26"/>
        </w:rPr>
      </w:pPr>
    </w:p>
    <w:p w:rsidR="005E798C" w:rsidRDefault="005E798C" w:rsidP="005E798C">
      <w:pPr>
        <w:rPr>
          <w:i/>
        </w:rPr>
      </w:pPr>
      <w:r>
        <w:rPr>
          <w:i/>
        </w:rPr>
        <w:t>Briefing prepared by the Global Initiative to End All Corporal Punishment of Children</w:t>
      </w:r>
    </w:p>
    <w:p w:rsidR="00DD0BFF" w:rsidRDefault="00A72F4E"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3"/>
      <w:bookmarkEnd w:id="4"/>
    </w:p>
    <w:p w:rsidR="005E798C" w:rsidRPr="005E798C" w:rsidRDefault="00EB5487" w:rsidP="005E798C">
      <w:pPr>
        <w:rPr>
          <w:i/>
        </w:rPr>
      </w:pPr>
      <w:r>
        <w:rPr>
          <w:i/>
        </w:rPr>
        <w:t>March 2014</w:t>
      </w:r>
    </w:p>
    <w:sectPr w:rsidR="005E798C" w:rsidRPr="005E798C" w:rsidSect="001731CC">
      <w:footerReference w:type="even" r:id="rId13"/>
      <w:footerReference w:type="default" r:id="rId14"/>
      <w:type w:val="evenPage"/>
      <w:pgSz w:w="11906" w:h="16838"/>
      <w:pgMar w:top="992" w:right="992" w:bottom="992" w:left="992"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EBB" w:rsidRDefault="00915EBB">
      <w:r>
        <w:separator/>
      </w:r>
    </w:p>
  </w:endnote>
  <w:endnote w:type="continuationSeparator" w:id="0">
    <w:p w:rsidR="00915EBB" w:rsidRDefault="00915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Times New Roman"/>
    <w:charset w:val="00"/>
    <w:family w:val="auto"/>
    <w:pitch w:val="variable"/>
    <w:sig w:usb0="00000000"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1CC" w:rsidRDefault="001731CC">
    <w:pPr>
      <w:pStyle w:val="Footer"/>
      <w:jc w:val="right"/>
    </w:pPr>
  </w:p>
  <w:p w:rsidR="001731CC" w:rsidRDefault="001731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EBB" w:rsidRDefault="00915EBB">
      <w:r>
        <w:separator/>
      </w:r>
    </w:p>
  </w:footnote>
  <w:footnote w:type="continuationSeparator" w:id="0">
    <w:p w:rsidR="00915EBB" w:rsidRDefault="00915EBB">
      <w:r>
        <w:continuationSeparator/>
      </w:r>
    </w:p>
  </w:footnote>
  <w:footnote w:id="1">
    <w:p w:rsidR="006457E2" w:rsidRPr="006457E2" w:rsidRDefault="006457E2">
      <w:pPr>
        <w:pStyle w:val="FootnoteText"/>
        <w:rPr>
          <w:lang w:val="en-GB"/>
        </w:rPr>
      </w:pPr>
      <w:r w:rsidRPr="006457E2">
        <w:rPr>
          <w:rStyle w:val="FootnoteReference"/>
        </w:rPr>
        <w:footnoteRef/>
      </w:r>
      <w:r w:rsidRPr="00A72F4E">
        <w:rPr>
          <w:lang w:val="en-GB"/>
        </w:rPr>
        <w:t xml:space="preserve"> </w:t>
      </w:r>
      <w:r w:rsidRPr="006457E2">
        <w:rPr>
          <w:lang w:val="en-GB"/>
        </w:rPr>
        <w:t>11 April 2013, E/C.12/GTM/3, Third state party report, paras. 39ff [as at 21 March 2014 in Spanish only]</w:t>
      </w:r>
    </w:p>
  </w:footnote>
  <w:footnote w:id="2">
    <w:p w:rsidR="006457E2" w:rsidRPr="006457E2" w:rsidRDefault="006457E2" w:rsidP="006457E2">
      <w:pPr>
        <w:pStyle w:val="FootnoteText"/>
        <w:rPr>
          <w:lang w:val="en-US"/>
        </w:rPr>
      </w:pPr>
      <w:r w:rsidRPr="006457E2">
        <w:rPr>
          <w:rStyle w:val="FootnoteReference"/>
        </w:rPr>
        <w:footnoteRef/>
      </w:r>
      <w:r w:rsidRPr="00A72F4E">
        <w:rPr>
          <w:lang w:val="en-GB"/>
        </w:rPr>
        <w:t xml:space="preserve"> 29 May 2008, A/HRC/8/38, Report of the working group, paras. 52 and 17; 31 December 2012, A/HRC/22/8, Report of the working group, paras. 99(56) and 99(57)</w:t>
      </w:r>
    </w:p>
  </w:footnote>
  <w:footnote w:id="3">
    <w:p w:rsidR="006457E2" w:rsidRPr="006457E2" w:rsidRDefault="006457E2" w:rsidP="006457E2">
      <w:pPr>
        <w:pStyle w:val="FootnoteText"/>
        <w:rPr>
          <w:lang w:val="en-US"/>
        </w:rPr>
      </w:pPr>
      <w:r w:rsidRPr="006457E2">
        <w:rPr>
          <w:rStyle w:val="FootnoteReference"/>
        </w:rPr>
        <w:footnoteRef/>
      </w:r>
      <w:r w:rsidRPr="00A72F4E">
        <w:rPr>
          <w:lang w:val="en-GB"/>
        </w:rPr>
        <w:t xml:space="preserve"> 29 May 2008, A/HRC/8/38, Report of the working group, para. 52</w:t>
      </w:r>
    </w:p>
  </w:footnote>
  <w:footnote w:id="4">
    <w:p w:rsidR="006457E2" w:rsidRPr="006457E2" w:rsidRDefault="006457E2" w:rsidP="006457E2">
      <w:pPr>
        <w:pStyle w:val="FootnoteText"/>
        <w:rPr>
          <w:lang w:val="en-US"/>
        </w:rPr>
      </w:pPr>
      <w:r w:rsidRPr="006457E2">
        <w:rPr>
          <w:rStyle w:val="FootnoteReference"/>
        </w:rPr>
        <w:footnoteRef/>
      </w:r>
      <w:r w:rsidRPr="00A72F4E">
        <w:rPr>
          <w:lang w:val="en-GB"/>
        </w:rPr>
        <w:t xml:space="preserve"> </w:t>
      </w:r>
      <w:r w:rsidRPr="006457E2">
        <w:rPr>
          <w:iCs/>
          <w:lang w:val="x-none"/>
        </w:rPr>
        <w:t>Bott, S. et al</w:t>
      </w:r>
      <w:r w:rsidRPr="00A72F4E">
        <w:rPr>
          <w:iCs/>
          <w:lang w:val="en-GB"/>
        </w:rPr>
        <w:t xml:space="preserve"> (</w:t>
      </w:r>
      <w:r w:rsidRPr="006457E2">
        <w:rPr>
          <w:iCs/>
          <w:lang w:val="x-none"/>
        </w:rPr>
        <w:t>2012</w:t>
      </w:r>
      <w:r w:rsidRPr="00A72F4E">
        <w:rPr>
          <w:iCs/>
          <w:lang w:val="en-GB"/>
        </w:rPr>
        <w:t>)</w:t>
      </w:r>
      <w:r w:rsidRPr="006457E2">
        <w:rPr>
          <w:iCs/>
          <w:lang w:val="x-none"/>
        </w:rPr>
        <w:t xml:space="preserve">, </w:t>
      </w:r>
      <w:r w:rsidRPr="006457E2">
        <w:rPr>
          <w:rStyle w:val="Emphasis"/>
          <w:lang w:val="x-none"/>
        </w:rPr>
        <w:t>Violence Against Women In Latin America And The Caribbean: A Comparative Analysis Of Population-based Data From 12 Countries</w:t>
      </w:r>
      <w:r w:rsidRPr="006457E2">
        <w:rPr>
          <w:iCs/>
          <w:lang w:val="x-none"/>
        </w:rPr>
        <w:t>, Washington DC: Pan American Health Organisation &amp; Centers for Disease Control and Prevention</w:t>
      </w:r>
    </w:p>
  </w:footnote>
  <w:footnote w:id="5">
    <w:p w:rsidR="006457E2" w:rsidRPr="006457E2" w:rsidRDefault="006457E2" w:rsidP="006457E2">
      <w:pPr>
        <w:pStyle w:val="FootnoteText"/>
        <w:rPr>
          <w:lang w:val="en-US"/>
        </w:rPr>
      </w:pPr>
      <w:r w:rsidRPr="006457E2">
        <w:rPr>
          <w:rStyle w:val="FootnoteReference"/>
        </w:rPr>
        <w:footnoteRef/>
      </w:r>
      <w:r w:rsidRPr="00A72F4E">
        <w:rPr>
          <w:lang w:val="en-GB"/>
        </w:rPr>
        <w:t xml:space="preserve"> Reported in “Mayan Justice in Guatemala: Shame, Property and Human Rights”, </w:t>
      </w:r>
      <w:r w:rsidRPr="00A72F4E">
        <w:rPr>
          <w:i/>
          <w:lang w:val="en-GB"/>
        </w:rPr>
        <w:t>NACLA Report</w:t>
      </w:r>
      <w:r w:rsidRPr="00A72F4E">
        <w:rPr>
          <w:lang w:val="en-GB"/>
        </w:rPr>
        <w:t xml:space="preserve">, 28 August 2007; see also Hessbruegge &amp; Garcia, “Mayan Law in Post-Conflict Guatemala”, in Isser, D. (ed) (2011), </w:t>
      </w:r>
      <w:r w:rsidRPr="00A72F4E">
        <w:rPr>
          <w:i/>
          <w:lang w:val="en-GB"/>
        </w:rPr>
        <w:t>Customary Justice and the Rule of Law in War-Torn Societies</w:t>
      </w:r>
      <w:r w:rsidRPr="00A72F4E">
        <w:rPr>
          <w:lang w:val="en-GB"/>
        </w:rPr>
        <w:t>, Washington: US Institute of Peace, 77-112</w:t>
      </w:r>
    </w:p>
  </w:footnote>
  <w:footnote w:id="6">
    <w:p w:rsidR="006457E2" w:rsidRPr="006457E2" w:rsidRDefault="006457E2">
      <w:pPr>
        <w:pStyle w:val="FootnoteText"/>
        <w:rPr>
          <w:lang w:val="en-GB"/>
        </w:rPr>
      </w:pPr>
      <w:r w:rsidRPr="006457E2">
        <w:rPr>
          <w:rStyle w:val="FootnoteReference"/>
        </w:rPr>
        <w:footnoteRef/>
      </w:r>
      <w:r w:rsidRPr="00A72F4E">
        <w:rPr>
          <w:lang w:val="en-GB"/>
        </w:rPr>
        <w:t> 7 June 1996, CRC/C/15/Add.58, Concluding observations on initial report, paras. 8 and 33; 12 June 2007, CRC/C/OPAC/GTM/CO/1, Concluding observations on initial report on the Optional Protocol on the involvement of children in armed conflict, paras. 16 and 17; 1 October 2010, CRC/C/GTM/CO/3-4, Concluding observations on third/fourth report, paras. 53, 54 and 55</w:t>
      </w:r>
    </w:p>
  </w:footnote>
  <w:footnote w:id="7">
    <w:p w:rsidR="006457E2" w:rsidRPr="006457E2" w:rsidRDefault="006457E2">
      <w:pPr>
        <w:pStyle w:val="FootnoteText"/>
        <w:rPr>
          <w:lang w:val="en-GB"/>
        </w:rPr>
      </w:pPr>
      <w:r w:rsidRPr="006457E2">
        <w:rPr>
          <w:rStyle w:val="FootnoteReference"/>
        </w:rPr>
        <w:footnoteRef/>
      </w:r>
      <w:r w:rsidRPr="00A72F4E">
        <w:rPr>
          <w:lang w:val="en-GB"/>
        </w:rPr>
        <w:t xml:space="preserve"> </w:t>
      </w:r>
      <w:r w:rsidRPr="00A72F4E">
        <w:rPr>
          <w:lang w:val="en-GB" w:eastAsia="en-GB"/>
        </w:rPr>
        <w:t>21 June 2013, CAT/C/GTM/CO/5-6, Concluding observations on fifth/sixth report, para. 19</w:t>
      </w:r>
    </w:p>
  </w:footnote>
  <w:footnote w:id="8">
    <w:p w:rsidR="006457E2" w:rsidRPr="006457E2" w:rsidRDefault="006457E2">
      <w:pPr>
        <w:pStyle w:val="FootnoteText"/>
        <w:rPr>
          <w:lang w:val="en-GB"/>
        </w:rPr>
      </w:pPr>
      <w:r w:rsidRPr="006457E2">
        <w:rPr>
          <w:rStyle w:val="FootnoteReference"/>
        </w:rPr>
        <w:footnoteRef/>
      </w:r>
      <w:r w:rsidRPr="00A72F4E">
        <w:rPr>
          <w:lang w:val="en-GB"/>
        </w:rPr>
        <w:t xml:space="preserve"> 29 May 2008, A/HRC/8/38, Report of the working group, paras. 52 and 89(17)</w:t>
      </w:r>
    </w:p>
  </w:footnote>
  <w:footnote w:id="9">
    <w:p w:rsidR="006457E2" w:rsidRPr="006457E2" w:rsidRDefault="006457E2" w:rsidP="006457E2">
      <w:pPr>
        <w:pStyle w:val="FootnoteText"/>
        <w:rPr>
          <w:lang w:val="en-US"/>
        </w:rPr>
      </w:pPr>
      <w:r w:rsidRPr="006457E2">
        <w:rPr>
          <w:rStyle w:val="FootnoteReference"/>
        </w:rPr>
        <w:footnoteRef/>
      </w:r>
      <w:r w:rsidRPr="00A72F4E">
        <w:rPr>
          <w:lang w:val="en-GB"/>
        </w:rPr>
        <w:t xml:space="preserve"> 31 December 2012, A/HRC/22/8, Report of the working group, paras. </w:t>
      </w:r>
      <w:r w:rsidRPr="006457E2">
        <w:t>99(56) and 99(57)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0">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3">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4">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0"/>
  </w:num>
  <w:num w:numId="4">
    <w:abstractNumId w:val="28"/>
  </w:num>
  <w:num w:numId="5">
    <w:abstractNumId w:val="13"/>
  </w:num>
  <w:num w:numId="6">
    <w:abstractNumId w:val="15"/>
  </w:num>
  <w:num w:numId="7">
    <w:abstractNumId w:val="27"/>
  </w:num>
  <w:num w:numId="8">
    <w:abstractNumId w:val="11"/>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5"/>
  </w:num>
  <w:num w:numId="20">
    <w:abstractNumId w:val="25"/>
  </w:num>
  <w:num w:numId="21">
    <w:abstractNumId w:val="24"/>
  </w:num>
  <w:num w:numId="22">
    <w:abstractNumId w:val="6"/>
  </w:num>
  <w:num w:numId="23">
    <w:abstractNumId w:val="26"/>
  </w:num>
  <w:num w:numId="24">
    <w:abstractNumId w:val="7"/>
  </w:num>
  <w:num w:numId="25">
    <w:abstractNumId w:val="30"/>
  </w:num>
  <w:num w:numId="26">
    <w:abstractNumId w:val="18"/>
  </w:num>
  <w:num w:numId="27">
    <w:abstractNumId w:val="1"/>
  </w:num>
  <w:num w:numId="28">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2"/>
  </w:num>
  <w:num w:numId="30">
    <w:abstractNumId w:val="16"/>
  </w:num>
  <w:num w:numId="31">
    <w:abstractNumId w:val="19"/>
  </w:num>
  <w:num w:numId="32">
    <w:abstractNumId w:val="20"/>
  </w:num>
  <w:num w:numId="33">
    <w:abstractNumId w:val="12"/>
  </w:num>
  <w:num w:numId="34">
    <w:abstractNumId w:val="10"/>
  </w:num>
  <w:num w:numId="35">
    <w:abstractNumId w:val="4"/>
  </w:num>
  <w:num w:numId="36">
    <w:abstractNumId w:val="9"/>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w:compa"/>
    <w:docVar w:name="EN.Libraries" w:val="w:docVa"/>
  </w:docVars>
  <w:rsids>
    <w:rsidRoot w:val="00B868FE"/>
    <w:rsid w:val="00015F34"/>
    <w:rsid w:val="00096465"/>
    <w:rsid w:val="000A2AAD"/>
    <w:rsid w:val="000B2E34"/>
    <w:rsid w:val="000C718C"/>
    <w:rsid w:val="0010114B"/>
    <w:rsid w:val="0010682F"/>
    <w:rsid w:val="00107CF6"/>
    <w:rsid w:val="00117F0F"/>
    <w:rsid w:val="00145B7A"/>
    <w:rsid w:val="001731CC"/>
    <w:rsid w:val="001A7CC5"/>
    <w:rsid w:val="001B0E10"/>
    <w:rsid w:val="001B2EF0"/>
    <w:rsid w:val="001C21C7"/>
    <w:rsid w:val="001D0E73"/>
    <w:rsid w:val="001D3BCB"/>
    <w:rsid w:val="001E74C8"/>
    <w:rsid w:val="002049D3"/>
    <w:rsid w:val="002153F5"/>
    <w:rsid w:val="00241FF5"/>
    <w:rsid w:val="0025469F"/>
    <w:rsid w:val="00265C98"/>
    <w:rsid w:val="002826D8"/>
    <w:rsid w:val="00293A27"/>
    <w:rsid w:val="00294720"/>
    <w:rsid w:val="002A3C6B"/>
    <w:rsid w:val="002C6060"/>
    <w:rsid w:val="002C63DF"/>
    <w:rsid w:val="002E6075"/>
    <w:rsid w:val="002F0254"/>
    <w:rsid w:val="002F13CD"/>
    <w:rsid w:val="002F4423"/>
    <w:rsid w:val="002F72D5"/>
    <w:rsid w:val="00305613"/>
    <w:rsid w:val="00310B2B"/>
    <w:rsid w:val="0032723B"/>
    <w:rsid w:val="00356038"/>
    <w:rsid w:val="003637F7"/>
    <w:rsid w:val="00364B41"/>
    <w:rsid w:val="00381083"/>
    <w:rsid w:val="00386063"/>
    <w:rsid w:val="003B5172"/>
    <w:rsid w:val="003B76BD"/>
    <w:rsid w:val="003D059E"/>
    <w:rsid w:val="003F0720"/>
    <w:rsid w:val="003F671F"/>
    <w:rsid w:val="004063A2"/>
    <w:rsid w:val="0041585F"/>
    <w:rsid w:val="00416FDE"/>
    <w:rsid w:val="004213CD"/>
    <w:rsid w:val="004522A4"/>
    <w:rsid w:val="00452997"/>
    <w:rsid w:val="00463053"/>
    <w:rsid w:val="00464016"/>
    <w:rsid w:val="004640D9"/>
    <w:rsid w:val="00472D18"/>
    <w:rsid w:val="00483F29"/>
    <w:rsid w:val="004932F0"/>
    <w:rsid w:val="0049523D"/>
    <w:rsid w:val="00495D13"/>
    <w:rsid w:val="004A1623"/>
    <w:rsid w:val="004B57EB"/>
    <w:rsid w:val="005055FC"/>
    <w:rsid w:val="00514287"/>
    <w:rsid w:val="005243C9"/>
    <w:rsid w:val="0053166A"/>
    <w:rsid w:val="00574390"/>
    <w:rsid w:val="0058326F"/>
    <w:rsid w:val="005B2103"/>
    <w:rsid w:val="005E0A68"/>
    <w:rsid w:val="005E2B10"/>
    <w:rsid w:val="005E798C"/>
    <w:rsid w:val="005F0533"/>
    <w:rsid w:val="005F1D6C"/>
    <w:rsid w:val="005F385F"/>
    <w:rsid w:val="0062121F"/>
    <w:rsid w:val="00623842"/>
    <w:rsid w:val="00637B76"/>
    <w:rsid w:val="006457E2"/>
    <w:rsid w:val="0066205C"/>
    <w:rsid w:val="00664D69"/>
    <w:rsid w:val="00670043"/>
    <w:rsid w:val="00690D2A"/>
    <w:rsid w:val="00695C05"/>
    <w:rsid w:val="006A2A06"/>
    <w:rsid w:val="006A7FD6"/>
    <w:rsid w:val="006D5472"/>
    <w:rsid w:val="006F70EE"/>
    <w:rsid w:val="007000A6"/>
    <w:rsid w:val="0073075C"/>
    <w:rsid w:val="00733FE4"/>
    <w:rsid w:val="00735255"/>
    <w:rsid w:val="00736F96"/>
    <w:rsid w:val="007724DF"/>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15EBB"/>
    <w:rsid w:val="00933B58"/>
    <w:rsid w:val="00935CF3"/>
    <w:rsid w:val="00964D9F"/>
    <w:rsid w:val="00965F4E"/>
    <w:rsid w:val="009909E6"/>
    <w:rsid w:val="00997763"/>
    <w:rsid w:val="009A26BC"/>
    <w:rsid w:val="009A4DF8"/>
    <w:rsid w:val="009A527C"/>
    <w:rsid w:val="009D778F"/>
    <w:rsid w:val="00A03341"/>
    <w:rsid w:val="00A077F7"/>
    <w:rsid w:val="00A10040"/>
    <w:rsid w:val="00A36851"/>
    <w:rsid w:val="00A543F1"/>
    <w:rsid w:val="00A562E2"/>
    <w:rsid w:val="00A62797"/>
    <w:rsid w:val="00A629C9"/>
    <w:rsid w:val="00A6491F"/>
    <w:rsid w:val="00A72F4E"/>
    <w:rsid w:val="00A76009"/>
    <w:rsid w:val="00AA09E7"/>
    <w:rsid w:val="00AC502E"/>
    <w:rsid w:val="00AE243C"/>
    <w:rsid w:val="00AE5677"/>
    <w:rsid w:val="00AE737E"/>
    <w:rsid w:val="00B55303"/>
    <w:rsid w:val="00B868FE"/>
    <w:rsid w:val="00B902F0"/>
    <w:rsid w:val="00B958DF"/>
    <w:rsid w:val="00BA3333"/>
    <w:rsid w:val="00BC4562"/>
    <w:rsid w:val="00BE5640"/>
    <w:rsid w:val="00C13257"/>
    <w:rsid w:val="00C1753A"/>
    <w:rsid w:val="00C40886"/>
    <w:rsid w:val="00C6632E"/>
    <w:rsid w:val="00C845BA"/>
    <w:rsid w:val="00C930FA"/>
    <w:rsid w:val="00C95DFD"/>
    <w:rsid w:val="00C978D4"/>
    <w:rsid w:val="00CD0927"/>
    <w:rsid w:val="00CF1ADA"/>
    <w:rsid w:val="00D14015"/>
    <w:rsid w:val="00D76C4E"/>
    <w:rsid w:val="00DA7807"/>
    <w:rsid w:val="00DD0BFF"/>
    <w:rsid w:val="00DE60A9"/>
    <w:rsid w:val="00DF1FC6"/>
    <w:rsid w:val="00DF7945"/>
    <w:rsid w:val="00E015BF"/>
    <w:rsid w:val="00E1152D"/>
    <w:rsid w:val="00E12D78"/>
    <w:rsid w:val="00E177B9"/>
    <w:rsid w:val="00E30F52"/>
    <w:rsid w:val="00E4286C"/>
    <w:rsid w:val="00E64C33"/>
    <w:rsid w:val="00E82DAD"/>
    <w:rsid w:val="00E90091"/>
    <w:rsid w:val="00EB5487"/>
    <w:rsid w:val="00EB5617"/>
    <w:rsid w:val="00EC6CBB"/>
    <w:rsid w:val="00ED1459"/>
    <w:rsid w:val="00ED7D40"/>
    <w:rsid w:val="00EF11F9"/>
    <w:rsid w:val="00EF3961"/>
    <w:rsid w:val="00EF4A2B"/>
    <w:rsid w:val="00F01E45"/>
    <w:rsid w:val="00F052B2"/>
    <w:rsid w:val="00F12480"/>
    <w:rsid w:val="00F2218E"/>
    <w:rsid w:val="00F60199"/>
    <w:rsid w:val="00F640B3"/>
    <w:rsid w:val="00F812AD"/>
    <w:rsid w:val="00FD211B"/>
    <w:rsid w:val="00FD7C8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20"/>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DD018F-EB90-4003-A0B1-E02CAD104F4E}"/>
</file>

<file path=customXml/itemProps2.xml><?xml version="1.0" encoding="utf-8"?>
<ds:datastoreItem xmlns:ds="http://schemas.openxmlformats.org/officeDocument/2006/customXml" ds:itemID="{B97D7C69-7C0A-4ACA-810B-65668CF31A70}"/>
</file>

<file path=customXml/itemProps3.xml><?xml version="1.0" encoding="utf-8"?>
<ds:datastoreItem xmlns:ds="http://schemas.openxmlformats.org/officeDocument/2006/customXml" ds:itemID="{118F1CB6-224F-491A-92C4-6261560F9D18}"/>
</file>

<file path=customXml/itemProps4.xml><?xml version="1.0" encoding="utf-8"?>
<ds:datastoreItem xmlns:ds="http://schemas.openxmlformats.org/officeDocument/2006/customXml" ds:itemID="{E8073518-48DE-4952-AFC8-C82F01929D4F}"/>
</file>

<file path=docProps/app.xml><?xml version="1.0" encoding="utf-8"?>
<Properties xmlns="http://schemas.openxmlformats.org/officeDocument/2006/extended-properties" xmlns:vt="http://schemas.openxmlformats.org/officeDocument/2006/docPropsVTypes">
  <Template>Normal</Template>
  <TotalTime>1</TotalTime>
  <Pages>4</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GI briefing Guatemala</vt:lpstr>
    </vt:vector>
  </TitlesOfParts>
  <Company>Council of Europe</Company>
  <LinksUpToDate>false</LinksUpToDate>
  <CharactersWithSpaces>6518</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Guatemala</dc:title>
  <dc:creator>Sharon Owen</dc:creator>
  <cp:lastModifiedBy>Fernanda Santana</cp:lastModifiedBy>
  <cp:revision>2</cp:revision>
  <cp:lastPrinted>2014-03-25T09:22:00Z</cp:lastPrinted>
  <dcterms:created xsi:type="dcterms:W3CDTF">2014-03-25T09:23:00Z</dcterms:created>
  <dcterms:modified xsi:type="dcterms:W3CDTF">2014-03-25T09:23:00Z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