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85BF9" w14:textId="77777777" w:rsidR="00CC2C1D" w:rsidRPr="001B23E4" w:rsidRDefault="00CC2C1D" w:rsidP="001B23E4">
      <w:pPr>
        <w:spacing w:line="360" w:lineRule="auto"/>
        <w:ind w:left="720" w:hanging="720"/>
        <w:jc w:val="center"/>
        <w:rPr>
          <w:b/>
          <w:lang w:val="es-ES"/>
        </w:rPr>
      </w:pPr>
    </w:p>
    <w:p w14:paraId="7D32C3E2" w14:textId="77777777" w:rsidR="00047FC8" w:rsidRPr="001B23E4" w:rsidRDefault="00047FC8" w:rsidP="001B23E4">
      <w:pPr>
        <w:spacing w:line="360" w:lineRule="auto"/>
        <w:rPr>
          <w:b/>
          <w:lang w:val="es-ES"/>
        </w:rPr>
      </w:pPr>
    </w:p>
    <w:p w14:paraId="1F91BF32" w14:textId="77777777" w:rsidR="00997B8E" w:rsidRPr="001B23E4" w:rsidRDefault="00997B8E" w:rsidP="001B23E4">
      <w:pPr>
        <w:spacing w:line="360" w:lineRule="auto"/>
        <w:rPr>
          <w:b/>
          <w:lang w:val="es-ES"/>
        </w:rPr>
      </w:pPr>
    </w:p>
    <w:p w14:paraId="3560B203" w14:textId="77777777" w:rsidR="00997B8E" w:rsidRPr="001B23E4" w:rsidRDefault="003501C3" w:rsidP="001B23E4">
      <w:pPr>
        <w:tabs>
          <w:tab w:val="left" w:pos="6600"/>
        </w:tabs>
        <w:spacing w:line="360" w:lineRule="auto"/>
        <w:rPr>
          <w:b/>
          <w:lang w:val="es-ES"/>
        </w:rPr>
      </w:pPr>
      <w:r w:rsidRPr="001B23E4">
        <w:rPr>
          <w:b/>
          <w:lang w:val="es-ES"/>
        </w:rPr>
        <w:tab/>
      </w:r>
    </w:p>
    <w:p w14:paraId="1537124A" w14:textId="77777777" w:rsidR="007E4275" w:rsidRPr="001B23E4" w:rsidRDefault="007E4275" w:rsidP="001B23E4">
      <w:pPr>
        <w:spacing w:line="360" w:lineRule="auto"/>
        <w:rPr>
          <w:b/>
          <w:lang w:val="es-ES"/>
        </w:rPr>
      </w:pPr>
    </w:p>
    <w:p w14:paraId="7CC56D3C" w14:textId="77777777" w:rsidR="00CC2C1D" w:rsidRPr="001B23E4" w:rsidRDefault="00CC2C1D" w:rsidP="001B23E4">
      <w:pPr>
        <w:spacing w:line="360" w:lineRule="auto"/>
        <w:jc w:val="center"/>
        <w:rPr>
          <w:b/>
          <w:lang w:val="es-ES"/>
        </w:rPr>
      </w:pPr>
    </w:p>
    <w:p w14:paraId="3CFC8B29" w14:textId="77777777" w:rsidR="00CC2C1D" w:rsidRPr="001B23E4" w:rsidRDefault="00CC2C1D" w:rsidP="001B23E4">
      <w:pPr>
        <w:spacing w:line="360" w:lineRule="auto"/>
        <w:jc w:val="center"/>
        <w:rPr>
          <w:b/>
          <w:lang w:val="es-ES"/>
        </w:rPr>
      </w:pPr>
      <w:r w:rsidRPr="007819DA">
        <w:rPr>
          <w:b/>
          <w:lang w:val="es-ES"/>
        </w:rPr>
        <w:t>Defensoría del Pueblo de Ecuador</w:t>
      </w:r>
      <w:r w:rsidRPr="001B23E4">
        <w:rPr>
          <w:b/>
          <w:lang w:val="es-ES"/>
        </w:rPr>
        <w:t xml:space="preserve"> </w:t>
      </w:r>
    </w:p>
    <w:p w14:paraId="3F73812E" w14:textId="77777777" w:rsidR="00306693" w:rsidRPr="001B23E4" w:rsidRDefault="00306693" w:rsidP="001B23E4">
      <w:pPr>
        <w:spacing w:line="360" w:lineRule="auto"/>
        <w:jc w:val="center"/>
        <w:rPr>
          <w:b/>
          <w:lang w:val="es-ES"/>
        </w:rPr>
      </w:pPr>
    </w:p>
    <w:p w14:paraId="37411874" w14:textId="77777777" w:rsidR="00CC2C1D" w:rsidRPr="001B23E4" w:rsidRDefault="00CC2C1D" w:rsidP="001B23E4">
      <w:pPr>
        <w:spacing w:line="360" w:lineRule="auto"/>
        <w:rPr>
          <w:lang w:val="es-ES"/>
        </w:rPr>
      </w:pPr>
    </w:p>
    <w:p w14:paraId="5753F999" w14:textId="77777777" w:rsidR="00CC2C1D" w:rsidRPr="001B23E4" w:rsidRDefault="00CC2C1D" w:rsidP="001B23E4">
      <w:pPr>
        <w:spacing w:line="360" w:lineRule="auto"/>
        <w:rPr>
          <w:lang w:val="es-ES"/>
        </w:rPr>
      </w:pPr>
    </w:p>
    <w:p w14:paraId="4B9B4C28" w14:textId="77777777" w:rsidR="00047FC8" w:rsidRPr="001B23E4" w:rsidRDefault="00047FC8" w:rsidP="001B23E4">
      <w:pPr>
        <w:spacing w:line="360" w:lineRule="auto"/>
        <w:rPr>
          <w:lang w:val="es-ES"/>
        </w:rPr>
      </w:pPr>
    </w:p>
    <w:p w14:paraId="1FC571C0" w14:textId="77777777" w:rsidR="00047FC8" w:rsidRPr="001B23E4" w:rsidRDefault="00047FC8" w:rsidP="001B23E4">
      <w:pPr>
        <w:spacing w:line="360" w:lineRule="auto"/>
        <w:rPr>
          <w:lang w:val="es-ES"/>
        </w:rPr>
      </w:pPr>
    </w:p>
    <w:p w14:paraId="74A996B5" w14:textId="77777777" w:rsidR="00BB2CA5" w:rsidRPr="001B23E4" w:rsidRDefault="00BB2CA5" w:rsidP="001B23E4">
      <w:pPr>
        <w:spacing w:line="360" w:lineRule="auto"/>
        <w:rPr>
          <w:lang w:val="es-ES"/>
        </w:rPr>
      </w:pPr>
    </w:p>
    <w:p w14:paraId="2907944B" w14:textId="77777777" w:rsidR="00BB2CA5" w:rsidRPr="001B23E4" w:rsidRDefault="00BB2CA5" w:rsidP="001B23E4">
      <w:pPr>
        <w:spacing w:line="360" w:lineRule="auto"/>
        <w:rPr>
          <w:lang w:val="es-ES"/>
        </w:rPr>
      </w:pPr>
    </w:p>
    <w:p w14:paraId="14A914A2" w14:textId="77777777" w:rsidR="00BB2CA5" w:rsidRPr="001B23E4" w:rsidRDefault="00BB2CA5" w:rsidP="001B23E4">
      <w:pPr>
        <w:spacing w:line="360" w:lineRule="auto"/>
        <w:rPr>
          <w:lang w:val="es-ES"/>
        </w:rPr>
      </w:pPr>
    </w:p>
    <w:p w14:paraId="3589370F" w14:textId="77777777" w:rsidR="00047FC8" w:rsidRPr="001B23E4" w:rsidRDefault="00047FC8" w:rsidP="001B23E4">
      <w:pPr>
        <w:spacing w:line="360" w:lineRule="auto"/>
        <w:rPr>
          <w:lang w:val="es-ES"/>
        </w:rPr>
      </w:pPr>
    </w:p>
    <w:p w14:paraId="514136FF" w14:textId="79D06BBF" w:rsidR="00BD5224" w:rsidRPr="00BD5224" w:rsidRDefault="0093399B" w:rsidP="00BD5224">
      <w:pPr>
        <w:jc w:val="center"/>
        <w:rPr>
          <w:sz w:val="28"/>
          <w:lang w:val="es-EC" w:eastAsia="es-EC"/>
        </w:rPr>
      </w:pPr>
      <w:r>
        <w:rPr>
          <w:szCs w:val="22"/>
        </w:rPr>
        <w:t>Contribución a la R</w:t>
      </w:r>
      <w:r w:rsidR="00BD5224" w:rsidRPr="00BD5224">
        <w:rPr>
          <w:szCs w:val="22"/>
        </w:rPr>
        <w:t xml:space="preserve">evisión de </w:t>
      </w:r>
      <w:r>
        <w:rPr>
          <w:szCs w:val="22"/>
        </w:rPr>
        <w:t xml:space="preserve">la Información Complementaria de </w:t>
      </w:r>
      <w:r w:rsidR="00BD5224" w:rsidRPr="00BD5224">
        <w:rPr>
          <w:szCs w:val="22"/>
        </w:rPr>
        <w:t>Ecuador por el Comité contra las Desapariciones Forzadas</w:t>
      </w:r>
    </w:p>
    <w:p w14:paraId="0D986170" w14:textId="4DE7C34E" w:rsidR="00CC2C1D" w:rsidRPr="001B23E4" w:rsidRDefault="00CC2C1D" w:rsidP="00612DF0">
      <w:pPr>
        <w:spacing w:line="360" w:lineRule="auto"/>
        <w:jc w:val="center"/>
        <w:rPr>
          <w:b/>
          <w:lang w:val="es-ES"/>
        </w:rPr>
      </w:pPr>
    </w:p>
    <w:p w14:paraId="29DEAF93" w14:textId="77777777" w:rsidR="00CC2C1D" w:rsidRDefault="00CC2C1D" w:rsidP="001B23E4">
      <w:pPr>
        <w:spacing w:line="360" w:lineRule="auto"/>
        <w:rPr>
          <w:lang w:val="es-ES"/>
        </w:rPr>
      </w:pPr>
    </w:p>
    <w:p w14:paraId="711841BC" w14:textId="77777777" w:rsidR="001B627F" w:rsidRDefault="001B627F" w:rsidP="001B23E4">
      <w:pPr>
        <w:spacing w:line="360" w:lineRule="auto"/>
        <w:rPr>
          <w:lang w:val="es-ES"/>
        </w:rPr>
      </w:pPr>
    </w:p>
    <w:p w14:paraId="47FE4CBF" w14:textId="77777777" w:rsidR="001B627F" w:rsidRDefault="001B627F" w:rsidP="001B23E4">
      <w:pPr>
        <w:spacing w:line="360" w:lineRule="auto"/>
        <w:rPr>
          <w:lang w:val="es-ES"/>
        </w:rPr>
      </w:pPr>
    </w:p>
    <w:p w14:paraId="1C2F693C" w14:textId="77777777" w:rsidR="001B627F" w:rsidRDefault="001B627F" w:rsidP="001B23E4">
      <w:pPr>
        <w:spacing w:line="360" w:lineRule="auto"/>
        <w:rPr>
          <w:lang w:val="es-ES"/>
        </w:rPr>
      </w:pPr>
    </w:p>
    <w:p w14:paraId="22CC464E" w14:textId="77777777" w:rsidR="001B627F" w:rsidRDefault="001B627F" w:rsidP="001B23E4">
      <w:pPr>
        <w:spacing w:line="360" w:lineRule="auto"/>
        <w:rPr>
          <w:lang w:val="es-ES"/>
        </w:rPr>
      </w:pPr>
    </w:p>
    <w:p w14:paraId="711DC3F4" w14:textId="77777777" w:rsidR="001B627F" w:rsidRDefault="001B627F" w:rsidP="001B23E4">
      <w:pPr>
        <w:spacing w:line="360" w:lineRule="auto"/>
        <w:rPr>
          <w:lang w:val="es-ES"/>
        </w:rPr>
      </w:pPr>
    </w:p>
    <w:p w14:paraId="193D90C2" w14:textId="77777777" w:rsidR="001B627F" w:rsidRPr="001B23E4" w:rsidRDefault="001B627F" w:rsidP="001B23E4">
      <w:pPr>
        <w:spacing w:line="360" w:lineRule="auto"/>
        <w:rPr>
          <w:lang w:val="es-ES"/>
        </w:rPr>
      </w:pPr>
    </w:p>
    <w:p w14:paraId="5F02627B" w14:textId="77777777" w:rsidR="00CC2C1D" w:rsidRPr="001B23E4" w:rsidRDefault="00CC2C1D" w:rsidP="001B23E4">
      <w:pPr>
        <w:spacing w:line="360" w:lineRule="auto"/>
        <w:rPr>
          <w:lang w:val="es-ES"/>
        </w:rPr>
      </w:pPr>
    </w:p>
    <w:p w14:paraId="7988FED8" w14:textId="77777777" w:rsidR="00997B8E" w:rsidRPr="001B23E4" w:rsidRDefault="00997B8E" w:rsidP="001B23E4">
      <w:pPr>
        <w:spacing w:line="360" w:lineRule="auto"/>
        <w:rPr>
          <w:lang w:val="es-ES"/>
        </w:rPr>
      </w:pPr>
    </w:p>
    <w:p w14:paraId="17A58F78" w14:textId="77777777" w:rsidR="00997B8E" w:rsidRPr="001B23E4" w:rsidRDefault="00997B8E" w:rsidP="001B23E4">
      <w:pPr>
        <w:spacing w:line="360" w:lineRule="auto"/>
        <w:rPr>
          <w:lang w:val="es-ES"/>
        </w:rPr>
      </w:pPr>
    </w:p>
    <w:p w14:paraId="4B82DDB2" w14:textId="62AC1250" w:rsidR="00306693" w:rsidRPr="001B23E4" w:rsidRDefault="00BD5224" w:rsidP="00BD5224">
      <w:pPr>
        <w:numPr>
          <w:ilvl w:val="12"/>
          <w:numId w:val="0"/>
        </w:numPr>
        <w:spacing w:line="360" w:lineRule="auto"/>
        <w:jc w:val="both"/>
        <w:rPr>
          <w:lang w:val="es-ES"/>
        </w:rPr>
      </w:pPr>
      <w:r w:rsidRPr="00BD5224">
        <w:rPr>
          <w:b/>
          <w:lang w:val="es-ES"/>
        </w:rPr>
        <w:t>Organismo solicitant</w:t>
      </w:r>
      <w:r>
        <w:rPr>
          <w:lang w:val="es-ES"/>
        </w:rPr>
        <w:t xml:space="preserve">e: </w:t>
      </w:r>
      <w:r w:rsidRPr="00BD5224">
        <w:rPr>
          <w:lang w:val="es-ES"/>
        </w:rPr>
        <w:t>Comité contra la Desaparición Forzada</w:t>
      </w:r>
    </w:p>
    <w:p w14:paraId="767FD8B7" w14:textId="5566BFF4" w:rsidR="00CC2C1D" w:rsidRPr="001B23E4" w:rsidRDefault="00CC2C1D" w:rsidP="00BD5224">
      <w:pPr>
        <w:spacing w:line="360" w:lineRule="auto"/>
        <w:rPr>
          <w:lang w:val="es-ES"/>
        </w:rPr>
      </w:pPr>
      <w:r w:rsidRPr="001B23E4">
        <w:rPr>
          <w:b/>
          <w:lang w:val="es-ES"/>
        </w:rPr>
        <w:t>Fecha de envío:</w:t>
      </w:r>
      <w:r w:rsidRPr="001B23E4">
        <w:rPr>
          <w:lang w:val="es-ES"/>
        </w:rPr>
        <w:t xml:space="preserve"> </w:t>
      </w:r>
      <w:r w:rsidR="00CE5BFA">
        <w:rPr>
          <w:lang w:val="es-ES"/>
        </w:rPr>
        <w:t>enero 2026</w:t>
      </w:r>
    </w:p>
    <w:p w14:paraId="29C979EF" w14:textId="77777777" w:rsidR="00BB2CA5" w:rsidRDefault="00BB2CA5" w:rsidP="001B23E4">
      <w:pPr>
        <w:spacing w:line="360" w:lineRule="auto"/>
        <w:rPr>
          <w:lang w:val="es-ES"/>
        </w:rPr>
      </w:pPr>
    </w:p>
    <w:p w14:paraId="3CD989B5" w14:textId="77777777" w:rsidR="00CE5BFA" w:rsidRDefault="00CE5BFA" w:rsidP="001B23E4">
      <w:pPr>
        <w:spacing w:line="360" w:lineRule="auto"/>
        <w:rPr>
          <w:lang w:val="es-ES"/>
        </w:rPr>
      </w:pPr>
    </w:p>
    <w:p w14:paraId="64631EBD" w14:textId="77777777" w:rsidR="00612DF0" w:rsidRPr="001B23E4" w:rsidRDefault="00612DF0" w:rsidP="001B23E4">
      <w:pPr>
        <w:spacing w:line="360" w:lineRule="auto"/>
        <w:rPr>
          <w:lang w:val="es-ES"/>
        </w:rPr>
      </w:pPr>
    </w:p>
    <w:p w14:paraId="3157824B" w14:textId="07C22BE9" w:rsidR="009D61BA" w:rsidRPr="001B23E4" w:rsidRDefault="009D61BA" w:rsidP="001B23E4">
      <w:r w:rsidRPr="001B23E4">
        <w:t xml:space="preserve">César Marcel Córdova Valverde </w:t>
      </w:r>
    </w:p>
    <w:p w14:paraId="052E4121" w14:textId="77777777" w:rsidR="00CC2C1D" w:rsidRPr="001B23E4" w:rsidRDefault="00CC2C1D" w:rsidP="001B23E4">
      <w:pPr>
        <w:rPr>
          <w:b/>
          <w:lang w:val="es-ES"/>
        </w:rPr>
      </w:pPr>
      <w:r w:rsidRPr="001B23E4">
        <w:rPr>
          <w:b/>
          <w:lang w:val="es-ES"/>
        </w:rPr>
        <w:t>Defensor</w:t>
      </w:r>
      <w:r w:rsidR="00E35F32" w:rsidRPr="001B23E4">
        <w:rPr>
          <w:b/>
          <w:lang w:val="es-ES"/>
        </w:rPr>
        <w:t xml:space="preserve"> del Pueblo de Ecuador </w:t>
      </w:r>
    </w:p>
    <w:p w14:paraId="5A854636" w14:textId="77777777" w:rsidR="00CC2C1D" w:rsidRPr="001B23E4" w:rsidRDefault="00CC2C1D" w:rsidP="001B23E4">
      <w:pPr>
        <w:rPr>
          <w:lang w:val="es-ES"/>
        </w:rPr>
      </w:pPr>
    </w:p>
    <w:p w14:paraId="45E35A70" w14:textId="6150698B" w:rsidR="009D61BA" w:rsidRPr="001B23E4" w:rsidRDefault="00BD5224" w:rsidP="001B23E4">
      <w:r>
        <w:t>Rodrigo Fernando Varela Torres</w:t>
      </w:r>
    </w:p>
    <w:p w14:paraId="3E1145D7" w14:textId="77777777" w:rsidR="00CC2C1D" w:rsidRPr="001B23E4" w:rsidRDefault="00CC2C1D" w:rsidP="001B23E4">
      <w:pPr>
        <w:rPr>
          <w:b/>
          <w:lang w:val="es-ES"/>
        </w:rPr>
      </w:pPr>
      <w:r w:rsidRPr="001B23E4">
        <w:rPr>
          <w:b/>
          <w:lang w:val="es-ES"/>
        </w:rPr>
        <w:t xml:space="preserve">Secretario </w:t>
      </w:r>
      <w:r w:rsidR="00A96F58" w:rsidRPr="001B23E4">
        <w:rPr>
          <w:b/>
          <w:lang w:val="es-ES"/>
        </w:rPr>
        <w:t>g</w:t>
      </w:r>
      <w:r w:rsidRPr="001B23E4">
        <w:rPr>
          <w:b/>
          <w:lang w:val="es-ES"/>
        </w:rPr>
        <w:t xml:space="preserve">eneral Misional </w:t>
      </w:r>
    </w:p>
    <w:p w14:paraId="37B12A10" w14:textId="77777777" w:rsidR="00CC2C1D" w:rsidRPr="001B23E4" w:rsidRDefault="00CC2C1D" w:rsidP="001B23E4">
      <w:pPr>
        <w:rPr>
          <w:lang w:val="es-ES"/>
        </w:rPr>
      </w:pPr>
    </w:p>
    <w:p w14:paraId="22A7834D" w14:textId="3BF38A50" w:rsidR="009D61BA" w:rsidRPr="001B23E4" w:rsidRDefault="00BD5224" w:rsidP="001B23E4">
      <w:r>
        <w:t>Miguel Ángel Chimborazo Gaón</w:t>
      </w:r>
      <w:r w:rsidR="009D61BA" w:rsidRPr="001B23E4">
        <w:t xml:space="preserve"> </w:t>
      </w:r>
    </w:p>
    <w:p w14:paraId="0F64F27F" w14:textId="77777777" w:rsidR="00CC2C1D" w:rsidRPr="001B23E4" w:rsidRDefault="00435169" w:rsidP="001B23E4">
      <w:pPr>
        <w:rPr>
          <w:b/>
          <w:lang w:val="es-ES"/>
        </w:rPr>
      </w:pPr>
      <w:r w:rsidRPr="001B23E4">
        <w:rPr>
          <w:b/>
          <w:lang w:val="es-ES"/>
        </w:rPr>
        <w:t>Coordinador</w:t>
      </w:r>
      <w:r w:rsidR="00A96F58" w:rsidRPr="001B23E4">
        <w:rPr>
          <w:b/>
          <w:lang w:val="es-ES"/>
        </w:rPr>
        <w:t xml:space="preserve"> g</w:t>
      </w:r>
      <w:r w:rsidR="00CC2C1D" w:rsidRPr="001B23E4">
        <w:rPr>
          <w:b/>
          <w:lang w:val="es-ES"/>
        </w:rPr>
        <w:t>eneral de Pro</w:t>
      </w:r>
      <w:r w:rsidR="009D61BA" w:rsidRPr="001B23E4">
        <w:rPr>
          <w:b/>
          <w:lang w:val="es-ES"/>
        </w:rPr>
        <w:t>tección de Derechos Humanos y de la Naturaleza</w:t>
      </w:r>
    </w:p>
    <w:p w14:paraId="2EB7BD97" w14:textId="77777777" w:rsidR="00CC2C1D" w:rsidRPr="001B23E4" w:rsidRDefault="00CC2C1D" w:rsidP="001B23E4">
      <w:pPr>
        <w:rPr>
          <w:b/>
          <w:lang w:val="es-ES"/>
        </w:rPr>
      </w:pPr>
    </w:p>
    <w:p w14:paraId="34F1608E" w14:textId="77777777" w:rsidR="0094224A" w:rsidRPr="001B23E4" w:rsidRDefault="0094224A" w:rsidP="001B23E4">
      <w:pPr>
        <w:rPr>
          <w:b/>
          <w:lang w:val="es-ES"/>
        </w:rPr>
      </w:pPr>
    </w:p>
    <w:p w14:paraId="2B11E4F4" w14:textId="77777777" w:rsidR="009D61BA" w:rsidRPr="001B23E4" w:rsidRDefault="009D61BA" w:rsidP="001B23E4">
      <w:pPr>
        <w:autoSpaceDE w:val="0"/>
        <w:autoSpaceDN w:val="0"/>
        <w:adjustRightInd w:val="0"/>
        <w:rPr>
          <w:color w:val="000000"/>
          <w:lang w:val="es-EC" w:eastAsia="es-EC"/>
        </w:rPr>
      </w:pPr>
      <w:r w:rsidRPr="001B23E4">
        <w:rPr>
          <w:color w:val="000000"/>
          <w:lang w:val="es-EC" w:eastAsia="es-EC"/>
        </w:rPr>
        <w:t xml:space="preserve">Galo </w:t>
      </w:r>
      <w:r w:rsidR="0094224A" w:rsidRPr="001B23E4">
        <w:rPr>
          <w:color w:val="000000"/>
          <w:lang w:val="es-EC" w:eastAsia="es-EC"/>
        </w:rPr>
        <w:t xml:space="preserve">Hernán Rodríguez Caicedo </w:t>
      </w:r>
    </w:p>
    <w:p w14:paraId="68893569" w14:textId="77777777" w:rsidR="009D61BA" w:rsidRPr="001B23E4" w:rsidRDefault="00435169" w:rsidP="001B23E4">
      <w:pPr>
        <w:rPr>
          <w:b/>
          <w:lang w:val="es-ES"/>
        </w:rPr>
      </w:pPr>
      <w:r w:rsidRPr="001B23E4">
        <w:rPr>
          <w:b/>
          <w:bCs/>
          <w:color w:val="000000"/>
          <w:lang w:val="es-EC" w:eastAsia="es-EC"/>
        </w:rPr>
        <w:t>Coordinador</w:t>
      </w:r>
      <w:r w:rsidR="009D61BA" w:rsidRPr="001B23E4">
        <w:rPr>
          <w:b/>
          <w:bCs/>
          <w:color w:val="000000"/>
          <w:lang w:val="es-EC" w:eastAsia="es-EC"/>
        </w:rPr>
        <w:t xml:space="preserve"> </w:t>
      </w:r>
      <w:r w:rsidR="0094224A" w:rsidRPr="001B23E4">
        <w:rPr>
          <w:b/>
          <w:bCs/>
          <w:color w:val="000000"/>
          <w:lang w:val="es-EC" w:eastAsia="es-EC"/>
        </w:rPr>
        <w:t>g</w:t>
      </w:r>
      <w:r w:rsidR="009D61BA" w:rsidRPr="001B23E4">
        <w:rPr>
          <w:b/>
          <w:bCs/>
          <w:color w:val="000000"/>
          <w:lang w:val="es-EC" w:eastAsia="es-EC"/>
        </w:rPr>
        <w:t>eneral de Producción Especializada de Gestión del Conocimiento e Investigación</w:t>
      </w:r>
    </w:p>
    <w:p w14:paraId="72D2F600" w14:textId="77777777" w:rsidR="009D61BA" w:rsidRPr="001B23E4" w:rsidRDefault="009D61BA" w:rsidP="001B23E4">
      <w:pPr>
        <w:spacing w:line="360" w:lineRule="auto"/>
        <w:rPr>
          <w:b/>
          <w:lang w:val="es-ES"/>
        </w:rPr>
      </w:pPr>
    </w:p>
    <w:p w14:paraId="6D34138C" w14:textId="01DEC84A" w:rsidR="0064494D" w:rsidRPr="00154AAD" w:rsidRDefault="00CC2C1D" w:rsidP="001B23E4">
      <w:pPr>
        <w:rPr>
          <w:b/>
          <w:lang w:val="es-ES"/>
        </w:rPr>
      </w:pPr>
      <w:r w:rsidRPr="00154AAD">
        <w:rPr>
          <w:b/>
          <w:lang w:val="es-ES"/>
        </w:rPr>
        <w:t>Revisión</w:t>
      </w:r>
    </w:p>
    <w:p w14:paraId="4DFAA378" w14:textId="309240CE" w:rsidR="009D61BA" w:rsidRPr="00154AAD" w:rsidRDefault="009D61BA" w:rsidP="001B23E4">
      <w:r w:rsidRPr="00154AAD">
        <w:t>Ricardo Alonso Durán Jaramillo</w:t>
      </w:r>
    </w:p>
    <w:p w14:paraId="31163F92" w14:textId="223B1106" w:rsidR="00CC2C1D" w:rsidRPr="001B23E4" w:rsidRDefault="00A96F58" w:rsidP="001B23E4">
      <w:pPr>
        <w:rPr>
          <w:b/>
          <w:lang w:val="es-ES"/>
        </w:rPr>
      </w:pPr>
      <w:r w:rsidRPr="00154AAD">
        <w:rPr>
          <w:b/>
          <w:lang w:val="es-ES"/>
        </w:rPr>
        <w:t>Dirección n</w:t>
      </w:r>
      <w:r w:rsidR="00CC2C1D" w:rsidRPr="00154AAD">
        <w:rPr>
          <w:b/>
          <w:lang w:val="es-ES"/>
        </w:rPr>
        <w:t>acional de Investigación en</w:t>
      </w:r>
      <w:r w:rsidR="00CC2C1D" w:rsidRPr="00154AAD">
        <w:rPr>
          <w:lang w:val="es-ES"/>
        </w:rPr>
        <w:t xml:space="preserve"> </w:t>
      </w:r>
      <w:r w:rsidR="00CC2C1D" w:rsidRPr="00154AAD">
        <w:rPr>
          <w:b/>
          <w:lang w:val="es-ES"/>
        </w:rPr>
        <w:t>Derechos Humanos y de la Naturaleza</w:t>
      </w:r>
    </w:p>
    <w:p w14:paraId="3D9186CD" w14:textId="77777777" w:rsidR="00CC2C1D" w:rsidRPr="001B23E4" w:rsidRDefault="00CC2C1D" w:rsidP="001B23E4">
      <w:pPr>
        <w:rPr>
          <w:b/>
          <w:lang w:val="es-ES"/>
        </w:rPr>
      </w:pPr>
    </w:p>
    <w:p w14:paraId="12ED3A3F" w14:textId="77777777" w:rsidR="00CC2C1D" w:rsidRPr="001B23E4" w:rsidRDefault="00CC2C1D" w:rsidP="001B23E4">
      <w:pPr>
        <w:rPr>
          <w:b/>
          <w:lang w:val="es-ES"/>
        </w:rPr>
      </w:pPr>
      <w:r w:rsidRPr="001B23E4">
        <w:rPr>
          <w:b/>
          <w:lang w:val="es-ES"/>
        </w:rPr>
        <w:t>Elaboración</w:t>
      </w:r>
    </w:p>
    <w:p w14:paraId="67F2DC50" w14:textId="760E716F" w:rsidR="004557B7" w:rsidRDefault="00BD5224" w:rsidP="001B23E4">
      <w:pPr>
        <w:rPr>
          <w:lang w:val="es-ES"/>
        </w:rPr>
      </w:pPr>
      <w:r>
        <w:rPr>
          <w:lang w:val="es-ES"/>
        </w:rPr>
        <w:t>Alba Lorena Jalón Garcés</w:t>
      </w:r>
    </w:p>
    <w:p w14:paraId="3644727C" w14:textId="2BA7AF17" w:rsidR="00C6080E" w:rsidRDefault="00C6080E" w:rsidP="001B23E4">
      <w:pPr>
        <w:rPr>
          <w:b/>
          <w:lang w:val="es-ES"/>
        </w:rPr>
      </w:pPr>
      <w:r w:rsidRPr="00C6080E">
        <w:rPr>
          <w:b/>
          <w:lang w:val="es-ES"/>
        </w:rPr>
        <w:t>Directora Nacional del Mecanismo de Protección de Personas Desaparecidas y Reparación a Víctimas Documentadas por la Comisión de la Verdad</w:t>
      </w:r>
    </w:p>
    <w:p w14:paraId="4AA87093" w14:textId="77777777" w:rsidR="00C6080E" w:rsidRPr="00C6080E" w:rsidRDefault="00C6080E" w:rsidP="001B23E4">
      <w:pPr>
        <w:rPr>
          <w:b/>
          <w:lang w:val="es-ES"/>
        </w:rPr>
      </w:pPr>
    </w:p>
    <w:p w14:paraId="61F36360" w14:textId="77777777" w:rsidR="00B17DD2" w:rsidRPr="001B23E4" w:rsidRDefault="00B17DD2" w:rsidP="001B23E4">
      <w:pPr>
        <w:rPr>
          <w:b/>
          <w:lang w:val="es-ES"/>
        </w:rPr>
      </w:pPr>
    </w:p>
    <w:p w14:paraId="5391FA57" w14:textId="77777777" w:rsidR="00B17DD2" w:rsidRPr="001B23E4" w:rsidRDefault="00B17DD2" w:rsidP="001B23E4">
      <w:pPr>
        <w:rPr>
          <w:b/>
          <w:lang w:val="es-ES"/>
        </w:rPr>
      </w:pPr>
    </w:p>
    <w:p w14:paraId="17F11B63" w14:textId="7DD4284B" w:rsidR="0094224A" w:rsidRPr="001B23E4" w:rsidRDefault="0094224A" w:rsidP="001B23E4">
      <w:r w:rsidRPr="001B23E4">
        <w:t xml:space="preserve">Av. 12 de </w:t>
      </w:r>
      <w:r w:rsidR="006B7026">
        <w:t>o</w:t>
      </w:r>
      <w:r w:rsidRPr="001B23E4">
        <w:t xml:space="preserve">ctubre 16-114 y Pasaje Nicolás Jiménez </w:t>
      </w:r>
    </w:p>
    <w:p w14:paraId="17B470CC" w14:textId="77777777" w:rsidR="00CC2C1D" w:rsidRPr="001B23E4" w:rsidRDefault="00CC2C1D" w:rsidP="001B23E4">
      <w:pPr>
        <w:rPr>
          <w:lang w:val="es-ES"/>
        </w:rPr>
      </w:pPr>
      <w:r w:rsidRPr="001B23E4">
        <w:rPr>
          <w:lang w:val="es-ES"/>
        </w:rPr>
        <w:t>Quito, Ecuador.</w:t>
      </w:r>
    </w:p>
    <w:p w14:paraId="0057EEB2" w14:textId="11D94D07" w:rsidR="00CC2C1D" w:rsidRPr="001B23E4" w:rsidRDefault="00B93283" w:rsidP="001B23E4">
      <w:pPr>
        <w:rPr>
          <w:lang w:val="es-ES"/>
        </w:rPr>
      </w:pPr>
      <w:r w:rsidRPr="001B23E4">
        <w:rPr>
          <w:lang w:val="es-ES"/>
        </w:rPr>
        <w:t>Telf.</w:t>
      </w:r>
      <w:r w:rsidR="00CC2C1D" w:rsidRPr="001B23E4">
        <w:rPr>
          <w:lang w:val="es-ES"/>
        </w:rPr>
        <w:t xml:space="preserve">: +593 2 330 1112 </w:t>
      </w:r>
    </w:p>
    <w:p w14:paraId="486CD910" w14:textId="77777777" w:rsidR="00CC2C1D" w:rsidRPr="001B23E4" w:rsidRDefault="00F37547" w:rsidP="001B23E4">
      <w:pPr>
        <w:rPr>
          <w:lang w:val="es-ES"/>
        </w:rPr>
      </w:pPr>
      <w:hyperlink r:id="rId11" w:history="1">
        <w:r w:rsidR="00CC2C1D" w:rsidRPr="001B23E4">
          <w:rPr>
            <w:rStyle w:val="Hipervnculo"/>
            <w:lang w:val="es-ES"/>
          </w:rPr>
          <w:t>www.dpe.gob.ec</w:t>
        </w:r>
      </w:hyperlink>
    </w:p>
    <w:p w14:paraId="12D00FB6" w14:textId="77777777" w:rsidR="00997B8E" w:rsidRPr="001B23E4" w:rsidRDefault="00997B8E" w:rsidP="001B23E4">
      <w:pPr>
        <w:spacing w:line="360" w:lineRule="auto"/>
        <w:rPr>
          <w:lang w:val="es-ES"/>
        </w:rPr>
      </w:pPr>
    </w:p>
    <w:p w14:paraId="10AD27DF" w14:textId="77777777" w:rsidR="004B3C90" w:rsidRDefault="004B3C90" w:rsidP="001B23E4">
      <w:pPr>
        <w:spacing w:line="360" w:lineRule="auto"/>
        <w:rPr>
          <w:lang w:val="es-ES"/>
        </w:rPr>
      </w:pPr>
    </w:p>
    <w:p w14:paraId="1B7B4882" w14:textId="77777777" w:rsidR="00182057" w:rsidRDefault="00182057" w:rsidP="001B23E4">
      <w:pPr>
        <w:spacing w:line="360" w:lineRule="auto"/>
        <w:rPr>
          <w:lang w:val="es-ES"/>
        </w:rPr>
      </w:pPr>
    </w:p>
    <w:p w14:paraId="63996037" w14:textId="77777777" w:rsidR="00182057" w:rsidRDefault="00182057" w:rsidP="001B23E4">
      <w:pPr>
        <w:spacing w:line="360" w:lineRule="auto"/>
        <w:rPr>
          <w:lang w:val="es-ES"/>
        </w:rPr>
      </w:pPr>
    </w:p>
    <w:p w14:paraId="0E0D18A4" w14:textId="77777777" w:rsidR="00182057" w:rsidRDefault="00182057" w:rsidP="001B23E4">
      <w:pPr>
        <w:spacing w:line="360" w:lineRule="auto"/>
        <w:rPr>
          <w:lang w:val="es-ES"/>
        </w:rPr>
      </w:pPr>
    </w:p>
    <w:p w14:paraId="541643D7" w14:textId="77777777" w:rsidR="00C47BE6" w:rsidRDefault="00C47BE6" w:rsidP="001B23E4">
      <w:pPr>
        <w:spacing w:line="360" w:lineRule="auto"/>
        <w:rPr>
          <w:lang w:val="es-ES"/>
        </w:rPr>
      </w:pPr>
    </w:p>
    <w:p w14:paraId="27770C51" w14:textId="77777777" w:rsidR="00182057" w:rsidRDefault="00182057" w:rsidP="001B23E4">
      <w:pPr>
        <w:spacing w:line="360" w:lineRule="auto"/>
        <w:rPr>
          <w:lang w:val="es-ES"/>
        </w:rPr>
      </w:pPr>
    </w:p>
    <w:p w14:paraId="33985FAB" w14:textId="77777777" w:rsidR="00C53B32" w:rsidRPr="00C53B32" w:rsidRDefault="00C53B32" w:rsidP="00C53B32">
      <w:pPr>
        <w:spacing w:line="360" w:lineRule="auto"/>
        <w:rPr>
          <w:b/>
          <w:lang w:val="es-ES"/>
        </w:rPr>
      </w:pPr>
      <w:r w:rsidRPr="00C53B32">
        <w:rPr>
          <w:b/>
          <w:lang w:val="es-ES"/>
        </w:rPr>
        <w:lastRenderedPageBreak/>
        <w:t>Introducción</w:t>
      </w:r>
    </w:p>
    <w:p w14:paraId="7CB15B83" w14:textId="77777777" w:rsidR="00182057" w:rsidRDefault="00182057" w:rsidP="00C53B32">
      <w:pPr>
        <w:spacing w:line="360" w:lineRule="auto"/>
        <w:jc w:val="both"/>
        <w:rPr>
          <w:lang w:val="es-ES"/>
        </w:rPr>
      </w:pPr>
    </w:p>
    <w:p w14:paraId="72FBAEB5" w14:textId="1264DEC2" w:rsidR="00336634" w:rsidRPr="00336634" w:rsidRDefault="00E52626" w:rsidP="00587C67">
      <w:pPr>
        <w:spacing w:line="360" w:lineRule="auto"/>
        <w:ind w:firstLine="720"/>
        <w:jc w:val="both"/>
        <w:rPr>
          <w:lang w:val="es-ES"/>
        </w:rPr>
      </w:pPr>
      <w:r w:rsidRPr="00336634">
        <w:rPr>
          <w:lang w:val="es-ES"/>
        </w:rPr>
        <w:t>La Defensoría del Pueblo del Ecuador (DPE), en su calidad de Institución Nacional de Derechos Humanos, presenta la presente actualización de contribución escrita con ocasión de la 30.ª sesión del Comité contra la Desaparición Forzada (CED), en la cual se desarrollará el diálogo con el Estado ecuatoriano respecto de la información complementaria presentada en marzo de 2023, de conformidad con el artículo 29 de la Convención Internacional para la Protección de Todas las Personas contra las Desapariciones Forzadas.</w:t>
      </w:r>
    </w:p>
    <w:p w14:paraId="5DB2347E" w14:textId="42C26F40" w:rsidR="00336634" w:rsidRPr="00336634" w:rsidRDefault="00587C67" w:rsidP="00336634">
      <w:pPr>
        <w:spacing w:line="360" w:lineRule="auto"/>
        <w:jc w:val="both"/>
        <w:rPr>
          <w:lang w:val="es-ES"/>
        </w:rPr>
      </w:pPr>
      <w:r>
        <w:rPr>
          <w:lang w:val="es-ES"/>
        </w:rPr>
        <w:tab/>
      </w:r>
      <w:r w:rsidR="00E52626" w:rsidRPr="00336634">
        <w:rPr>
          <w:lang w:val="es-ES"/>
        </w:rPr>
        <w:t>De acuerdo con el procedimiento establecido por el Comité, la Convención no prevé la presentación de informes periódicos, sino la solicitud de información complementaria, orientada a evaluar la evolución de la situación nacional y el grado de cumplimiento de las recomendaciones formuladas por el Comité, con énfasis en los temas prioritarios definidos para cada Estado Parte.</w:t>
      </w:r>
    </w:p>
    <w:p w14:paraId="0B86EBEC" w14:textId="3832BB9F" w:rsidR="00E52626" w:rsidRPr="00336634" w:rsidRDefault="00587C67" w:rsidP="00C53B32">
      <w:pPr>
        <w:spacing w:line="360" w:lineRule="auto"/>
        <w:jc w:val="both"/>
        <w:rPr>
          <w:lang w:val="es-ES"/>
        </w:rPr>
      </w:pPr>
      <w:r>
        <w:rPr>
          <w:lang w:val="es-ES"/>
        </w:rPr>
        <w:tab/>
      </w:r>
      <w:r w:rsidR="00E52626" w:rsidRPr="00336634">
        <w:rPr>
          <w:lang w:val="es-ES"/>
        </w:rPr>
        <w:t xml:space="preserve">La presente actualización se elabora con base en los insumos institucionales remitidos, particularmente: i) la contribución escrita presentada por la DPE en junio de 2025; ii) la </w:t>
      </w:r>
      <w:r w:rsidR="00336634">
        <w:rPr>
          <w:lang w:val="es-ES"/>
        </w:rPr>
        <w:t>l</w:t>
      </w:r>
      <w:r w:rsidR="00E52626" w:rsidRPr="00336634">
        <w:rPr>
          <w:lang w:val="es-ES"/>
        </w:rPr>
        <w:t xml:space="preserve">ista de </w:t>
      </w:r>
      <w:r w:rsidR="00336634">
        <w:rPr>
          <w:lang w:val="es-ES"/>
        </w:rPr>
        <w:t>t</w:t>
      </w:r>
      <w:r w:rsidR="00E52626" w:rsidRPr="00336634">
        <w:rPr>
          <w:lang w:val="es-ES"/>
        </w:rPr>
        <w:t xml:space="preserve">emas </w:t>
      </w:r>
      <w:r w:rsidR="00336634">
        <w:rPr>
          <w:lang w:val="es-ES"/>
        </w:rPr>
        <w:t>p</w:t>
      </w:r>
      <w:r w:rsidR="00E52626" w:rsidRPr="00336634">
        <w:rPr>
          <w:lang w:val="es-ES"/>
        </w:rPr>
        <w:t>rioritarios emitida por el Comité el 14 de octubre de 2025; y iii) la data nacional actualizada sobre desaparición forzada y personas desaparecidas, con corte a enero de 2026.</w:t>
      </w:r>
    </w:p>
    <w:p w14:paraId="51853C68" w14:textId="0D54A6A5" w:rsidR="00336634" w:rsidRDefault="00587C67" w:rsidP="00336634">
      <w:pPr>
        <w:spacing w:line="360" w:lineRule="auto"/>
        <w:jc w:val="both"/>
        <w:rPr>
          <w:lang w:val="es-ES"/>
        </w:rPr>
      </w:pPr>
      <w:r>
        <w:rPr>
          <w:lang w:val="es-ES"/>
        </w:rPr>
        <w:tab/>
      </w:r>
      <w:r w:rsidR="00336634" w:rsidRPr="00C53B32">
        <w:rPr>
          <w:lang w:val="es-ES"/>
        </w:rPr>
        <w:t>En caso de necesitar más información, por favor, tomar contacto con la</w:t>
      </w:r>
      <w:r w:rsidR="00336634">
        <w:rPr>
          <w:lang w:val="es-ES"/>
        </w:rPr>
        <w:t xml:space="preserve"> Secretaria General Misional</w:t>
      </w:r>
      <w:r w:rsidR="00336634" w:rsidRPr="00C53B32">
        <w:rPr>
          <w:lang w:val="es-ES"/>
        </w:rPr>
        <w:t xml:space="preserve">, al correo </w:t>
      </w:r>
      <w:r w:rsidR="00336634">
        <w:rPr>
          <w:lang w:val="es-ES"/>
        </w:rPr>
        <w:t>rodrigo.varela</w:t>
      </w:r>
      <w:r w:rsidR="00336634" w:rsidRPr="00C53B32">
        <w:rPr>
          <w:lang w:val="es-ES"/>
        </w:rPr>
        <w:t>@dpe.gob.ec</w:t>
      </w:r>
      <w:r w:rsidR="00336634">
        <w:rPr>
          <w:lang w:val="es-ES"/>
        </w:rPr>
        <w:t>.</w:t>
      </w:r>
    </w:p>
    <w:p w14:paraId="0F9AFBED" w14:textId="77777777" w:rsidR="00C53B32" w:rsidRDefault="00C53B32" w:rsidP="00C53B32">
      <w:pPr>
        <w:spacing w:line="360" w:lineRule="auto"/>
        <w:jc w:val="both"/>
        <w:rPr>
          <w:lang w:val="es-ES"/>
        </w:rPr>
      </w:pPr>
    </w:p>
    <w:p w14:paraId="47BF7C27" w14:textId="77777777" w:rsidR="00C53B32" w:rsidRDefault="00C53B32" w:rsidP="00C53B32">
      <w:pPr>
        <w:spacing w:line="360" w:lineRule="auto"/>
        <w:jc w:val="both"/>
        <w:rPr>
          <w:lang w:val="es-ES"/>
        </w:rPr>
      </w:pPr>
    </w:p>
    <w:p w14:paraId="180AC1D5" w14:textId="77777777" w:rsidR="00C53B32" w:rsidRDefault="00C53B32" w:rsidP="00C53B32">
      <w:pPr>
        <w:spacing w:line="360" w:lineRule="auto"/>
        <w:jc w:val="both"/>
        <w:rPr>
          <w:lang w:val="es-ES"/>
        </w:rPr>
      </w:pPr>
    </w:p>
    <w:p w14:paraId="6FBABDCD" w14:textId="77777777" w:rsidR="00C53B32" w:rsidRDefault="00C53B32" w:rsidP="00C53B32">
      <w:pPr>
        <w:spacing w:line="360" w:lineRule="auto"/>
        <w:jc w:val="both"/>
        <w:rPr>
          <w:lang w:val="es-ES"/>
        </w:rPr>
      </w:pPr>
    </w:p>
    <w:p w14:paraId="6A104EDE" w14:textId="77777777" w:rsidR="00C53B32" w:rsidRDefault="00C53B32" w:rsidP="00C53B32">
      <w:pPr>
        <w:spacing w:line="360" w:lineRule="auto"/>
        <w:jc w:val="both"/>
        <w:rPr>
          <w:lang w:val="es-ES"/>
        </w:rPr>
      </w:pPr>
    </w:p>
    <w:p w14:paraId="0389C04B" w14:textId="77777777" w:rsidR="00587C67" w:rsidRDefault="00587C67" w:rsidP="00C53B32">
      <w:pPr>
        <w:spacing w:line="360" w:lineRule="auto"/>
        <w:jc w:val="both"/>
        <w:rPr>
          <w:lang w:val="es-ES"/>
        </w:rPr>
      </w:pPr>
    </w:p>
    <w:p w14:paraId="56A2A123" w14:textId="77777777" w:rsidR="00587C67" w:rsidRDefault="00587C67" w:rsidP="00C53B32">
      <w:pPr>
        <w:spacing w:line="360" w:lineRule="auto"/>
        <w:jc w:val="both"/>
        <w:rPr>
          <w:lang w:val="es-ES"/>
        </w:rPr>
      </w:pPr>
    </w:p>
    <w:p w14:paraId="0AD4B02D" w14:textId="77777777" w:rsidR="00587C67" w:rsidRDefault="00587C67" w:rsidP="00C53B32">
      <w:pPr>
        <w:spacing w:line="360" w:lineRule="auto"/>
        <w:jc w:val="both"/>
        <w:rPr>
          <w:lang w:val="es-ES"/>
        </w:rPr>
      </w:pPr>
    </w:p>
    <w:p w14:paraId="380C95C8" w14:textId="77777777" w:rsidR="00587C67" w:rsidRDefault="00587C67" w:rsidP="00C53B32">
      <w:pPr>
        <w:spacing w:line="360" w:lineRule="auto"/>
        <w:jc w:val="both"/>
        <w:rPr>
          <w:lang w:val="es-ES"/>
        </w:rPr>
      </w:pPr>
    </w:p>
    <w:p w14:paraId="55DAD9DE" w14:textId="77777777" w:rsidR="00587C67" w:rsidRDefault="00587C67" w:rsidP="00C53B32">
      <w:pPr>
        <w:spacing w:line="360" w:lineRule="auto"/>
        <w:jc w:val="both"/>
        <w:rPr>
          <w:lang w:val="es-ES"/>
        </w:rPr>
      </w:pPr>
    </w:p>
    <w:p w14:paraId="0EAE7BFC" w14:textId="77777777" w:rsidR="00C53B32" w:rsidRDefault="00C53B32" w:rsidP="00C53B32">
      <w:pPr>
        <w:spacing w:line="360" w:lineRule="auto"/>
        <w:jc w:val="both"/>
        <w:rPr>
          <w:lang w:val="es-ES"/>
        </w:rPr>
      </w:pPr>
    </w:p>
    <w:p w14:paraId="714D52A0" w14:textId="535FDEC4" w:rsidR="00C53B32" w:rsidRPr="00284917" w:rsidRDefault="00C53B32" w:rsidP="00C53B32">
      <w:pPr>
        <w:spacing w:line="360" w:lineRule="auto"/>
        <w:jc w:val="both"/>
        <w:rPr>
          <w:lang w:val="es-ES"/>
        </w:rPr>
      </w:pPr>
      <w:r w:rsidRPr="00284917">
        <w:rPr>
          <w:b/>
          <w:bCs/>
          <w:lang w:val="es-ES"/>
        </w:rPr>
        <w:lastRenderedPageBreak/>
        <w:t>Contribuciones</w:t>
      </w:r>
      <w:r w:rsidRPr="00284917">
        <w:rPr>
          <w:b/>
          <w:bCs/>
        </w:rPr>
        <w:t xml:space="preserve"> sobre el seguimiento de las observaciones finales del Comité </w:t>
      </w:r>
      <w:r w:rsidRPr="00C53B32">
        <w:rPr>
          <w:b/>
          <w:bCs/>
        </w:rPr>
        <w:t>(</w:t>
      </w:r>
      <w:hyperlink r:id="rId12" w:history="1">
        <w:r w:rsidRPr="00C53B32">
          <w:rPr>
            <w:rStyle w:val="Hipervnculo"/>
            <w:b/>
            <w:bCs/>
            <w:color w:val="auto"/>
          </w:rPr>
          <w:t>CED/C/ECU/CO/1</w:t>
        </w:r>
      </w:hyperlink>
      <w:r w:rsidRPr="00C53B32">
        <w:rPr>
          <w:b/>
          <w:bCs/>
        </w:rPr>
        <w:t>)</w:t>
      </w:r>
      <w:r w:rsidR="00587C67">
        <w:rPr>
          <w:b/>
          <w:bCs/>
        </w:rPr>
        <w:t xml:space="preserve">: </w:t>
      </w:r>
      <w:r w:rsidRPr="00284917">
        <w:rPr>
          <w:lang w:val="es-ES"/>
        </w:rPr>
        <w:t xml:space="preserve">Análisis </w:t>
      </w:r>
      <w:r>
        <w:rPr>
          <w:lang w:val="es-ES"/>
        </w:rPr>
        <w:t xml:space="preserve">realizado por la </w:t>
      </w:r>
      <w:r w:rsidRPr="00C53B32">
        <w:rPr>
          <w:lang w:val="es-ES"/>
        </w:rPr>
        <w:t xml:space="preserve">Dirección Nacional del Mecanismo de Protección de Personas Desaparecidas y Reparación a Víctimas Documentadas por la Comisión de la </w:t>
      </w:r>
      <w:r w:rsidRPr="00F970D4">
        <w:rPr>
          <w:lang w:val="es-ES"/>
        </w:rPr>
        <w:t xml:space="preserve">Verdad a </w:t>
      </w:r>
      <w:r w:rsidR="003F6643" w:rsidRPr="00F970D4">
        <w:rPr>
          <w:lang w:val="es-ES"/>
        </w:rPr>
        <w:t>enero</w:t>
      </w:r>
      <w:r w:rsidRPr="00F970D4">
        <w:rPr>
          <w:lang w:val="es-ES"/>
        </w:rPr>
        <w:t xml:space="preserve"> 202</w:t>
      </w:r>
      <w:r w:rsidR="003F6643" w:rsidRPr="00F970D4">
        <w:rPr>
          <w:lang w:val="es-ES"/>
        </w:rPr>
        <w:t>6</w:t>
      </w:r>
      <w:r w:rsidR="00CE5707" w:rsidRPr="00F970D4">
        <w:rPr>
          <w:lang w:val="es-ES"/>
        </w:rPr>
        <w:t>.</w:t>
      </w:r>
    </w:p>
    <w:p w14:paraId="179F0761" w14:textId="69DAB1C1" w:rsidR="00594167" w:rsidRPr="00291FA7" w:rsidRDefault="00587C67" w:rsidP="00291FA7">
      <w:pPr>
        <w:spacing w:before="100" w:beforeAutospacing="1" w:after="100" w:afterAutospacing="1" w:line="360" w:lineRule="auto"/>
        <w:jc w:val="both"/>
        <w:outlineLvl w:val="2"/>
        <w:rPr>
          <w:lang w:val="es-ES"/>
        </w:rPr>
      </w:pPr>
      <w:r>
        <w:rPr>
          <w:lang w:val="es-ES"/>
        </w:rPr>
        <w:tab/>
      </w:r>
      <w:r w:rsidR="00B57F2E" w:rsidRPr="00B57F2E">
        <w:rPr>
          <w:lang w:val="es-ES"/>
        </w:rPr>
        <w:t xml:space="preserve">En particular, esta contribución </w:t>
      </w:r>
      <w:r w:rsidR="00B57F2E" w:rsidRPr="0034192A">
        <w:rPr>
          <w:b/>
          <w:lang w:val="es-ES"/>
        </w:rPr>
        <w:t xml:space="preserve">aborda los requerimientos formulados en los puntos 15 y 16 de la </w:t>
      </w:r>
      <w:r w:rsidR="00F970D4" w:rsidRPr="0034192A">
        <w:rPr>
          <w:b/>
          <w:lang w:val="es-ES"/>
        </w:rPr>
        <w:t>l</w:t>
      </w:r>
      <w:r w:rsidR="00B57F2E" w:rsidRPr="0034192A">
        <w:rPr>
          <w:b/>
          <w:lang w:val="es-ES"/>
        </w:rPr>
        <w:t xml:space="preserve">ista de </w:t>
      </w:r>
      <w:r w:rsidR="00F970D4" w:rsidRPr="0034192A">
        <w:rPr>
          <w:b/>
          <w:lang w:val="es-ES"/>
        </w:rPr>
        <w:t>t</w:t>
      </w:r>
      <w:r w:rsidR="00B57F2E" w:rsidRPr="0034192A">
        <w:rPr>
          <w:b/>
          <w:lang w:val="es-ES"/>
        </w:rPr>
        <w:t xml:space="preserve">emas </w:t>
      </w:r>
      <w:r w:rsidR="00F970D4" w:rsidRPr="0034192A">
        <w:rPr>
          <w:b/>
          <w:lang w:val="es-ES"/>
        </w:rPr>
        <w:t>p</w:t>
      </w:r>
      <w:r w:rsidR="00B57F2E" w:rsidRPr="0034192A">
        <w:rPr>
          <w:b/>
          <w:lang w:val="es-ES"/>
        </w:rPr>
        <w:t>rioritarios</w:t>
      </w:r>
      <w:r w:rsidR="00B57F2E" w:rsidRPr="00B57F2E">
        <w:rPr>
          <w:lang w:val="es-ES"/>
        </w:rPr>
        <w:t xml:space="preserve">, relativos al número de víctimas que han accedido al procedimiento administrativo de reparación material, a las competencias institucionales involucradas en la reparación integral y a las razones que explican los retrasos en la materialización de dichas medidas, especialmente en los casos documentados por la Comisión de la Verdad </w:t>
      </w:r>
      <w:r w:rsidR="009B0D39">
        <w:rPr>
          <w:lang w:val="es-ES"/>
        </w:rPr>
        <w:t>correspondientes al período 1984</w:t>
      </w:r>
      <w:r w:rsidR="00B57F2E" w:rsidRPr="00B57F2E">
        <w:rPr>
          <w:lang w:val="es-ES"/>
        </w:rPr>
        <w:t>–2008.</w:t>
      </w:r>
    </w:p>
    <w:p w14:paraId="25EA914D" w14:textId="53789E95" w:rsidR="00C53B32" w:rsidRPr="004D2845" w:rsidRDefault="0045192A" w:rsidP="004D2845">
      <w:pPr>
        <w:spacing w:after="160" w:line="360" w:lineRule="auto"/>
        <w:rPr>
          <w:b/>
          <w:bCs/>
          <w:lang w:val="es-ES"/>
        </w:rPr>
      </w:pPr>
      <w:r>
        <w:rPr>
          <w:b/>
          <w:bCs/>
        </w:rPr>
        <w:t xml:space="preserve">Información requerida en cuanto a </w:t>
      </w:r>
      <w:r w:rsidR="00587C67" w:rsidRPr="004D2845">
        <w:rPr>
          <w:b/>
          <w:bCs/>
        </w:rPr>
        <w:t>reparación</w:t>
      </w:r>
    </w:p>
    <w:p w14:paraId="22554592" w14:textId="4C35AEB5" w:rsidR="00C53B32" w:rsidRPr="00284917" w:rsidRDefault="00E56780" w:rsidP="00C53B32">
      <w:pPr>
        <w:spacing w:before="100" w:beforeAutospacing="1" w:after="100" w:afterAutospacing="1" w:line="360" w:lineRule="auto"/>
        <w:outlineLvl w:val="1"/>
        <w:rPr>
          <w:b/>
          <w:bCs/>
          <w:lang w:eastAsia="es-EC"/>
        </w:rPr>
      </w:pPr>
      <w:r>
        <w:rPr>
          <w:b/>
          <w:bCs/>
          <w:lang w:eastAsia="es-EC"/>
        </w:rPr>
        <w:t xml:space="preserve">15. </w:t>
      </w:r>
      <w:r w:rsidR="00F83FF8">
        <w:rPr>
          <w:b/>
          <w:bCs/>
          <w:lang w:eastAsia="es-EC"/>
        </w:rPr>
        <w:t xml:space="preserve">Número de víctimas </w:t>
      </w:r>
      <w:r w:rsidR="00C53B32" w:rsidRPr="00284917">
        <w:rPr>
          <w:b/>
          <w:bCs/>
          <w:lang w:eastAsia="es-EC"/>
        </w:rPr>
        <w:t>de desapariciones forzadas</w:t>
      </w:r>
      <w:r w:rsidR="00CF6C9F">
        <w:rPr>
          <w:b/>
          <w:bCs/>
          <w:lang w:eastAsia="es-EC"/>
        </w:rPr>
        <w:t xml:space="preserve"> y acceso a reparación </w:t>
      </w:r>
      <w:r w:rsidR="003624FE">
        <w:rPr>
          <w:b/>
          <w:bCs/>
          <w:lang w:eastAsia="es-EC"/>
        </w:rPr>
        <w:t>material</w:t>
      </w:r>
    </w:p>
    <w:p w14:paraId="2CC8FCE8" w14:textId="21A8854F" w:rsidR="007D6D43" w:rsidRDefault="00C53B32" w:rsidP="007D6D43">
      <w:pPr>
        <w:spacing w:before="100" w:beforeAutospacing="1" w:after="100" w:afterAutospacing="1" w:line="360" w:lineRule="auto"/>
        <w:jc w:val="both"/>
        <w:rPr>
          <w:lang w:eastAsia="es-EC"/>
        </w:rPr>
      </w:pPr>
      <w:r>
        <w:rPr>
          <w:lang w:eastAsia="es-EC"/>
        </w:rPr>
        <w:tab/>
      </w:r>
      <w:r w:rsidR="007D6D43" w:rsidRPr="007D6D43">
        <w:rPr>
          <w:u w:val="single"/>
          <w:lang w:eastAsia="es-EC"/>
        </w:rPr>
        <w:t>Recomendación del Comité</w:t>
      </w:r>
      <w:r w:rsidR="007D6D43">
        <w:rPr>
          <w:lang w:eastAsia="es-EC"/>
        </w:rPr>
        <w:t>: Garantizar investigaciones imparciales, exhaustivas, independientes y diligentes sobre todas las denuncias de desaparición forzada, asegurando la identificación, juzgamiento y sanción efectiva de los responsables. Para ello, el Estado debe garantizar el acceso pleno, oportuno y sin restricciones indebidas a toda la información relevante para la investigación y búsqueda, incluidos los detalles de los operativos de seguridad, tales como planes de operación, cadenas de mando, rutas, bitácoras, registros de desplazamiento, órdenes impartidas y la identificación del personal interviniente. La invocación genérica del carácter reservado o confidencial de esta información no puede ser utilizada para obstaculizar las investigaciones ni para encubrir posibles responsabilidades estatales, de conformidad con los artículos 12 y 24 de la Convención.</w:t>
      </w:r>
    </w:p>
    <w:p w14:paraId="192AE149" w14:textId="590EF82C" w:rsidR="007D6D43" w:rsidRDefault="007D6D43" w:rsidP="007D6D43">
      <w:pPr>
        <w:spacing w:before="100" w:beforeAutospacing="1" w:after="100" w:afterAutospacing="1" w:line="360" w:lineRule="auto"/>
        <w:jc w:val="both"/>
        <w:rPr>
          <w:lang w:eastAsia="es-EC"/>
        </w:rPr>
      </w:pPr>
      <w:r>
        <w:rPr>
          <w:lang w:eastAsia="es-EC"/>
        </w:rPr>
        <w:tab/>
      </w:r>
      <w:r w:rsidRPr="007D6D43">
        <w:rPr>
          <w:u w:val="single"/>
          <w:lang w:eastAsia="es-EC"/>
        </w:rPr>
        <w:t>Situación actual</w:t>
      </w:r>
      <w:r>
        <w:rPr>
          <w:lang w:eastAsia="es-EC"/>
        </w:rPr>
        <w:t xml:space="preserve">: Desde el año 2024 se han registrado 31 casos de presunta desaparición forzada respecto de los cuales el Comité contra la Desaparición Forzada ha emitido acciones urgentes. Adicionalmente, se reporta un caso de presunta desaparición forzada y asesinato sin que se haya establecido participación estatal, cinco casos de presunta extralimitación en la ejecución de un acto de servicio y seis presuntas ejecuciones extrajudiciales. A la fecha, únicamente el caso </w:t>
      </w:r>
      <w:r>
        <w:rPr>
          <w:lang w:eastAsia="es-EC"/>
        </w:rPr>
        <w:lastRenderedPageBreak/>
        <w:t>de los niños del sector Las Malvinas, en la ciudad de Guayaquil, ha sido sentenciado como desaparición forzada, lo que evidencia los limitados avances en la judicialización de este tipo de hechos.</w:t>
      </w:r>
    </w:p>
    <w:p w14:paraId="41A886F1" w14:textId="2E538CF9" w:rsidR="007D6D43" w:rsidRDefault="007D6D43" w:rsidP="007D6D43">
      <w:pPr>
        <w:spacing w:before="100" w:beforeAutospacing="1" w:after="100" w:afterAutospacing="1" w:line="360" w:lineRule="auto"/>
        <w:jc w:val="both"/>
        <w:rPr>
          <w:lang w:eastAsia="es-EC"/>
        </w:rPr>
      </w:pPr>
      <w:r>
        <w:rPr>
          <w:lang w:eastAsia="es-EC"/>
        </w:rPr>
        <w:tab/>
        <w:t>Esta situación refuerza la necesidad de que el Estado adopte de manera inmediata y sostenida todas las medidas necesarias para la búsqueda y localización de las personas desaparecidas, la preservación de la vida y la integridad personal, la garantía de investigaciones prontas, exhaustivas e independientes, y la protección efectiva de familiares, testigos y personas defensoras de derechos humanos. Estas medidas incluyen, entre otras, la presunción de vida, el acceso irrestricto a información relevante, la preservación de pruebas, la participación efectiva de los familiares y la remisión periódica de información al Comité sobre los avances de los casos, hasta que se esclarezca la suerte o el paradero de la persona desaparecida.</w:t>
      </w:r>
    </w:p>
    <w:p w14:paraId="34612CE5" w14:textId="5653EFE4" w:rsidR="007D6D43" w:rsidRDefault="007D6D43" w:rsidP="007D6D43">
      <w:pPr>
        <w:spacing w:before="100" w:beforeAutospacing="1" w:after="100" w:afterAutospacing="1" w:line="360" w:lineRule="auto"/>
        <w:jc w:val="both"/>
        <w:rPr>
          <w:lang w:eastAsia="es-EC"/>
        </w:rPr>
      </w:pPr>
      <w:r>
        <w:rPr>
          <w:lang w:eastAsia="es-EC"/>
        </w:rPr>
        <w:tab/>
        <w:t>Las investigaciones en materia de desaparición forzada deben iniciarse o continuar de oficio, sin supeditarse al impulso procesal de las víctimas; garantizar su independencia, especialmente cuando se presume la participación de agentes estatales; y excluir de la investigación a autoridades o funcionarios presuntamente involucrados en los hechos. Asimismo, el Estado debe asegurar el acceso inmediato y efectivo a archivos, registros, bitácoras, listas de personal, órdenes de operaciones, rutas y cualquier otra información pertinente, absteniéndose de invocar el carácter reservado, secreto o confidencial de dicha información cuando ello obstaculice la búsqueda o la investigación.</w:t>
      </w:r>
    </w:p>
    <w:p w14:paraId="2D1532AF" w14:textId="6D26E9F2" w:rsidR="007D6D43" w:rsidRDefault="007D6D43" w:rsidP="007D6D43">
      <w:pPr>
        <w:spacing w:before="100" w:beforeAutospacing="1" w:after="100" w:afterAutospacing="1" w:line="360" w:lineRule="auto"/>
        <w:jc w:val="both"/>
        <w:rPr>
          <w:lang w:eastAsia="es-EC"/>
        </w:rPr>
      </w:pPr>
      <w:r>
        <w:rPr>
          <w:lang w:eastAsia="es-EC"/>
        </w:rPr>
        <w:tab/>
        <w:t>El procedimiento administrativo de reparación material, conforme a los artículos 2 y 24 de la Convención Internacional para la Protección de Todas las Personas contra las Desapariciones Forzadas, constituye una obligación estatal orientada a garantizar a las víctimas el acceso efectivo a medidas de compensación económica y otras formas de reparación material, sin dilaciones indebidas, con enfoque diferencial y con participación de las víctimas, como parte del derecho a la reparación integral frente a las graves violaciones derivadas de la desaparición forzada.</w:t>
      </w:r>
    </w:p>
    <w:p w14:paraId="1C30B9E4" w14:textId="08E9ED3E" w:rsidR="007D6D43" w:rsidRDefault="007D6D43" w:rsidP="007D6D43">
      <w:pPr>
        <w:spacing w:before="100" w:beforeAutospacing="1" w:after="100" w:afterAutospacing="1" w:line="360" w:lineRule="auto"/>
        <w:jc w:val="both"/>
        <w:rPr>
          <w:lang w:eastAsia="es-EC"/>
        </w:rPr>
      </w:pPr>
      <w:r>
        <w:rPr>
          <w:lang w:eastAsia="es-EC"/>
        </w:rPr>
        <w:tab/>
        <w:t xml:space="preserve">No obstante, a la fecha, si bien el caso de los niños del sector Las Malvinas cuenta con una sentencia condenatoria por desaparición forzada, la reparación material ordenada no ha sido </w:t>
      </w:r>
      <w:r>
        <w:rPr>
          <w:lang w:eastAsia="es-EC"/>
        </w:rPr>
        <w:lastRenderedPageBreak/>
        <w:t>ejecutada conforme a los estándares de reparación integral. En los demás casos de presunta desaparición forzada, los procesos se encuentran en fase de investigación fiscal, sin que se haya alcanzado una resolución judicial ni se hayan determinado responsabilidades penales, lo que impide el acceso efectivo de las víctimas al procedimiento administrativo de reparación material.</w:t>
      </w:r>
    </w:p>
    <w:p w14:paraId="3BBB48DD" w14:textId="113F0E9C" w:rsidR="002C33F8" w:rsidRPr="007819DA" w:rsidRDefault="007D6D43" w:rsidP="007D6D43">
      <w:pPr>
        <w:spacing w:before="100" w:beforeAutospacing="1" w:after="100" w:afterAutospacing="1" w:line="360" w:lineRule="auto"/>
        <w:jc w:val="both"/>
        <w:rPr>
          <w:lang w:eastAsia="es-EC"/>
        </w:rPr>
      </w:pPr>
      <w:r>
        <w:rPr>
          <w:lang w:eastAsia="es-EC"/>
        </w:rPr>
        <w:tab/>
        <w:t>En este contexto, se identifican las siguientes problemáticas estructurales: un incremento sostenido de las denuncias de desaparición en los últimos años; persistentes dificultades en la interoperabilidad de los registros institucionales; una débil judicialización de los casos, incluidos los de carácter histórico; y un acceso insuficiente de las víctimas a mecanismos efectivos de reparación integral.</w:t>
      </w:r>
    </w:p>
    <w:p w14:paraId="1B52E987" w14:textId="58E3395B" w:rsidR="006B7026" w:rsidRPr="00284917" w:rsidRDefault="00CC2009" w:rsidP="007819DA">
      <w:pPr>
        <w:spacing w:before="100" w:beforeAutospacing="1" w:after="100" w:afterAutospacing="1" w:line="360" w:lineRule="auto"/>
        <w:outlineLvl w:val="1"/>
        <w:rPr>
          <w:b/>
          <w:bCs/>
          <w:lang w:eastAsia="es-EC"/>
        </w:rPr>
      </w:pPr>
      <w:r w:rsidRPr="00CC2009">
        <w:rPr>
          <w:b/>
          <w:bCs/>
          <w:lang w:eastAsia="es-EC"/>
        </w:rPr>
        <w:t xml:space="preserve">16. </w:t>
      </w:r>
      <w:r w:rsidR="007D6D43">
        <w:rPr>
          <w:b/>
          <w:bCs/>
          <w:lang w:eastAsia="es-EC"/>
        </w:rPr>
        <w:t xml:space="preserve">Comisión de la Verdad: </w:t>
      </w:r>
      <w:r w:rsidR="00512A45">
        <w:rPr>
          <w:b/>
          <w:bCs/>
          <w:lang w:eastAsia="es-EC"/>
        </w:rPr>
        <w:t xml:space="preserve">17 </w:t>
      </w:r>
      <w:r w:rsidR="007D6D43">
        <w:rPr>
          <w:b/>
          <w:bCs/>
          <w:lang w:eastAsia="es-EC"/>
        </w:rPr>
        <w:t xml:space="preserve">casos de </w:t>
      </w:r>
      <w:r w:rsidR="00512A45">
        <w:rPr>
          <w:b/>
          <w:bCs/>
          <w:lang w:eastAsia="es-EC"/>
        </w:rPr>
        <w:t xml:space="preserve">víctimas de desaparición forzada </w:t>
      </w:r>
    </w:p>
    <w:p w14:paraId="07FCE285" w14:textId="253B3A82" w:rsidR="007D6D43" w:rsidRPr="007D6D43" w:rsidRDefault="00C53B32" w:rsidP="007D6D43">
      <w:pPr>
        <w:spacing w:line="360" w:lineRule="auto"/>
        <w:jc w:val="both"/>
        <w:rPr>
          <w:lang w:eastAsia="es-EC"/>
        </w:rPr>
      </w:pPr>
      <w:r>
        <w:rPr>
          <w:lang w:eastAsia="es-EC"/>
        </w:rPr>
        <w:tab/>
      </w:r>
      <w:r w:rsidR="007D6D43" w:rsidRPr="007D6D43">
        <w:rPr>
          <w:u w:val="single"/>
          <w:lang w:eastAsia="es-EC"/>
        </w:rPr>
        <w:t>Recomendación del Comité</w:t>
      </w:r>
      <w:r w:rsidR="007D6D43" w:rsidRPr="007D6D43">
        <w:rPr>
          <w:lang w:eastAsia="es-EC"/>
        </w:rPr>
        <w:t>: Adoptar las medidas necesarias para agilizar los procedimientos judiciales por desaparición forzada c</w:t>
      </w:r>
      <w:r w:rsidR="007D6D43">
        <w:rPr>
          <w:lang w:eastAsia="es-EC"/>
        </w:rPr>
        <w:t>orrespondientes al período 1984-</w:t>
      </w:r>
      <w:r w:rsidR="007D6D43" w:rsidRPr="007D6D43">
        <w:rPr>
          <w:lang w:eastAsia="es-EC"/>
        </w:rPr>
        <w:t>2</w:t>
      </w:r>
      <w:r w:rsidR="007D6D43">
        <w:rPr>
          <w:lang w:eastAsia="es-EC"/>
        </w:rPr>
        <w:t>008 que se encuentren en curso.</w:t>
      </w:r>
    </w:p>
    <w:p w14:paraId="0B8AB846" w14:textId="25A7638C" w:rsidR="007D6D43" w:rsidRPr="007D6D43" w:rsidRDefault="007D6D43" w:rsidP="007D6D43">
      <w:pPr>
        <w:spacing w:line="360" w:lineRule="auto"/>
        <w:jc w:val="both"/>
        <w:rPr>
          <w:lang w:eastAsia="es-EC"/>
        </w:rPr>
      </w:pPr>
      <w:r>
        <w:rPr>
          <w:lang w:eastAsia="es-EC"/>
        </w:rPr>
        <w:tab/>
      </w:r>
      <w:r w:rsidRPr="007D6D43">
        <w:rPr>
          <w:u w:val="single"/>
          <w:lang w:eastAsia="es-EC"/>
        </w:rPr>
        <w:t>Situación actual</w:t>
      </w:r>
      <w:r w:rsidRPr="007D6D43">
        <w:rPr>
          <w:lang w:eastAsia="es-EC"/>
        </w:rPr>
        <w:t>: De conformidad con el informe final de la Comisión de la Verdad, la Fiscalía General del Estado (FGE) es la institución competente para impulsar la judicialización de los casos de desaparición forzada documentados. No obstante, pese a que los hechos investigad</w:t>
      </w:r>
      <w:r>
        <w:rPr>
          <w:lang w:eastAsia="es-EC"/>
        </w:rPr>
        <w:t>os corresponden al período 1984-</w:t>
      </w:r>
      <w:r w:rsidRPr="007D6D43">
        <w:rPr>
          <w:lang w:eastAsia="es-EC"/>
        </w:rPr>
        <w:t>2008, los avances en materia de judicialización han sido limitados y se han caracterizado por una dilación prolongada.</w:t>
      </w:r>
    </w:p>
    <w:p w14:paraId="63CC127F" w14:textId="77777777" w:rsidR="007D6D43" w:rsidRPr="007D6D43" w:rsidRDefault="007D6D43" w:rsidP="007D6D43">
      <w:pPr>
        <w:spacing w:line="360" w:lineRule="auto"/>
        <w:jc w:val="both"/>
        <w:rPr>
          <w:lang w:eastAsia="es-EC"/>
        </w:rPr>
      </w:pPr>
    </w:p>
    <w:p w14:paraId="26EE6D67" w14:textId="6EF95523" w:rsidR="007D6D43" w:rsidRPr="007D6D43" w:rsidRDefault="007D6D43" w:rsidP="007D6D43">
      <w:pPr>
        <w:spacing w:line="360" w:lineRule="auto"/>
        <w:jc w:val="both"/>
        <w:rPr>
          <w:lang w:eastAsia="es-EC"/>
        </w:rPr>
      </w:pPr>
      <w:r>
        <w:rPr>
          <w:lang w:eastAsia="es-EC"/>
        </w:rPr>
        <w:tab/>
      </w:r>
      <w:r w:rsidRPr="007D6D43">
        <w:rPr>
          <w:lang w:eastAsia="es-EC"/>
        </w:rPr>
        <w:t>Según información remitida a la Defensoría del Pue</w:t>
      </w:r>
      <w:r>
        <w:rPr>
          <w:lang w:eastAsia="es-EC"/>
        </w:rPr>
        <w:t>blo del Ecuador, en el año 2020 (</w:t>
      </w:r>
      <w:r w:rsidRPr="007D6D43">
        <w:rPr>
          <w:lang w:eastAsia="es-EC"/>
        </w:rPr>
        <w:t xml:space="preserve">último año </w:t>
      </w:r>
      <w:r>
        <w:rPr>
          <w:lang w:eastAsia="es-EC"/>
        </w:rPr>
        <w:t xml:space="preserve">con reporte oficial disponible) </w:t>
      </w:r>
      <w:r w:rsidRPr="007D6D43">
        <w:rPr>
          <w:lang w:eastAsia="es-EC"/>
        </w:rPr>
        <w:t xml:space="preserve">la FGE creó una dirección especializada, acompañada de acciones de sensibilización y capacitación dirigidas a agentes fiscales. Dicha unidad reportó la asignación de 230 casos, de los cuales 157 corresponden a los documentados por la Comisión de la Verdad, distribuidos en 119 casos documentados, 2 casos especiales y 36 casos documentales. Sin embargo, la propia Fiscalía considera como “judicializados” únicamente aquellos procesos que han superado la fase </w:t>
      </w:r>
      <w:proofErr w:type="spellStart"/>
      <w:r w:rsidRPr="007D6D43">
        <w:rPr>
          <w:lang w:eastAsia="es-EC"/>
        </w:rPr>
        <w:t>preprocesal</w:t>
      </w:r>
      <w:proofErr w:type="spellEnd"/>
      <w:r w:rsidRPr="007D6D43">
        <w:rPr>
          <w:lang w:eastAsia="es-EC"/>
        </w:rPr>
        <w:t>, es decir, que han alcanzado al menos la formulación de cargos, lo que se traduce en apenas 18 casos judicializados.</w:t>
      </w:r>
    </w:p>
    <w:p w14:paraId="0D7EC217" w14:textId="6E441B7E" w:rsidR="007D6D43" w:rsidRPr="007D6D43" w:rsidRDefault="007D6D43" w:rsidP="007D6D43">
      <w:pPr>
        <w:spacing w:line="360" w:lineRule="auto"/>
        <w:jc w:val="both"/>
        <w:rPr>
          <w:lang w:eastAsia="es-EC"/>
        </w:rPr>
      </w:pPr>
      <w:r>
        <w:rPr>
          <w:lang w:eastAsia="es-EC"/>
        </w:rPr>
        <w:lastRenderedPageBreak/>
        <w:tab/>
      </w:r>
      <w:r w:rsidRPr="007D6D43">
        <w:rPr>
          <w:lang w:eastAsia="es-EC"/>
        </w:rPr>
        <w:t>Esta situación evidencia que, a más de tres décadas de ocurridos los hechos y a más de diez años de la entrega del informe de la Comisión de la Verdad, persiste una brecha sustantiva entre la obligación estatal de investigar, juzgar y sancionar, y los resultados efectivos en términos de acceso a la justicia, afectando de manera directa los derechos de las víctimas a la verdad, la justicia y la reparación.</w:t>
      </w:r>
    </w:p>
    <w:p w14:paraId="409C07D0" w14:textId="45DFB3AC" w:rsidR="007D6D43" w:rsidRPr="007D6D43" w:rsidRDefault="007D6D43" w:rsidP="007D6D43">
      <w:pPr>
        <w:spacing w:line="360" w:lineRule="auto"/>
        <w:jc w:val="both"/>
        <w:rPr>
          <w:lang w:eastAsia="es-EC"/>
        </w:rPr>
      </w:pPr>
      <w:r>
        <w:rPr>
          <w:lang w:eastAsia="es-EC"/>
        </w:rPr>
        <w:tab/>
      </w:r>
      <w:r w:rsidRPr="007D6D43">
        <w:rPr>
          <w:lang w:eastAsia="es-EC"/>
        </w:rPr>
        <w:t>En lo que respecta a los 17 casos de desaparición forzada determinados en el Informe de la Comisión de la Verdad, a continuación se expone el estado de los procesos de judicialización:</w:t>
      </w:r>
    </w:p>
    <w:p w14:paraId="2442F699" w14:textId="77777777" w:rsidR="007D6D43" w:rsidRPr="007D6D43" w:rsidRDefault="007D6D43" w:rsidP="007D6D43">
      <w:pPr>
        <w:pStyle w:val="Prrafodelista"/>
        <w:numPr>
          <w:ilvl w:val="0"/>
          <w:numId w:val="41"/>
        </w:numPr>
        <w:spacing w:line="360" w:lineRule="auto"/>
        <w:jc w:val="both"/>
        <w:rPr>
          <w:lang w:eastAsia="es-EC"/>
        </w:rPr>
      </w:pPr>
      <w:r w:rsidRPr="007D6D43">
        <w:rPr>
          <w:lang w:eastAsia="es-EC"/>
        </w:rPr>
        <w:t>Los casos de Francisco Javier Jarrín Sánchez (persona con vida) y Luis Alberto Vaca Jácome (fallecido) se encuentran en trámite ante el sistema judicial ecuatoriano por delitos de lesa humanidad, en contra de exmiembros de las Fuerzas Armadas y de la Policía Nacional. Estos procesos han experimentado dilaciones prolongadas y, a la fecha, se encuentran a la espera de sentencia.</w:t>
      </w:r>
    </w:p>
    <w:p w14:paraId="33E6AAD0" w14:textId="77777777" w:rsidR="007D6D43" w:rsidRPr="007D6D43" w:rsidRDefault="007D6D43" w:rsidP="007D6D43">
      <w:pPr>
        <w:pStyle w:val="Prrafodelista"/>
        <w:numPr>
          <w:ilvl w:val="0"/>
          <w:numId w:val="41"/>
        </w:numPr>
        <w:spacing w:line="360" w:lineRule="auto"/>
        <w:jc w:val="both"/>
        <w:rPr>
          <w:lang w:eastAsia="es-EC"/>
        </w:rPr>
      </w:pPr>
      <w:r w:rsidRPr="007D6D43">
        <w:rPr>
          <w:lang w:eastAsia="es-EC"/>
        </w:rPr>
        <w:t xml:space="preserve">En el caso de Erwin Daniel Vivar Palma, </w:t>
      </w:r>
      <w:proofErr w:type="spellStart"/>
      <w:r w:rsidRPr="007D6D43">
        <w:rPr>
          <w:lang w:eastAsia="es-EC"/>
        </w:rPr>
        <w:t>Jhonny</w:t>
      </w:r>
      <w:proofErr w:type="spellEnd"/>
      <w:r w:rsidRPr="007D6D43">
        <w:rPr>
          <w:lang w:eastAsia="es-EC"/>
        </w:rPr>
        <w:t xml:space="preserve"> Elías Gómez Balda y César Augusto Mata Valenzuela, el 11 de septiembre de 2024 la Sala Penal de la Corte Nacional de Justicia condenó a 26 años de privación de libertad a cuatro exagentes de la Policía Nacional por su participación en la desaparición forzada de las mencionadas víctimas. Adicionalmente, se impuso una multa de 800 salarios básicos unificados (equivalente a USD 368.000) y se ordenó al Estado ecuatoriano ofrecer disculpas públicas, así como establecer una unidad especializada en derechos humanos dentro de la Policía Nacional. No obstante, algunos de los responsables permanecen prófugos, y la Fiscalía General del Estado ha informado que continúa con las acciones de búsqueda y procesamiento de los implicados que aún no han sido juzgados (caso González y otros – </w:t>
      </w:r>
      <w:proofErr w:type="spellStart"/>
      <w:r w:rsidRPr="007D6D43">
        <w:rPr>
          <w:lang w:eastAsia="es-EC"/>
        </w:rPr>
        <w:t>Fybeca</w:t>
      </w:r>
      <w:proofErr w:type="spellEnd"/>
      <w:r w:rsidRPr="007D6D43">
        <w:rPr>
          <w:lang w:eastAsia="es-EC"/>
        </w:rPr>
        <w:t>).</w:t>
      </w:r>
    </w:p>
    <w:p w14:paraId="602B7D7E" w14:textId="77777777" w:rsidR="007D6D43" w:rsidRPr="007D6D43" w:rsidRDefault="007D6D43" w:rsidP="007D6D43">
      <w:pPr>
        <w:pStyle w:val="Prrafodelista"/>
        <w:numPr>
          <w:ilvl w:val="0"/>
          <w:numId w:val="41"/>
        </w:numPr>
        <w:spacing w:line="360" w:lineRule="auto"/>
        <w:jc w:val="both"/>
        <w:rPr>
          <w:lang w:eastAsia="es-EC"/>
        </w:rPr>
      </w:pPr>
      <w:bookmarkStart w:id="0" w:name="_GoBack"/>
      <w:bookmarkEnd w:id="0"/>
      <w:r w:rsidRPr="007D6D43">
        <w:rPr>
          <w:lang w:eastAsia="es-EC"/>
        </w:rPr>
        <w:t>En el caso de David Alberto Troya Castro, quien se encuentra con vida, el proceso no ha sido judicializado y permanece en etapa de investigación previa.</w:t>
      </w:r>
    </w:p>
    <w:p w14:paraId="0BFDEB29" w14:textId="77777777" w:rsidR="007D6D43" w:rsidRPr="007D6D43" w:rsidRDefault="007D6D43" w:rsidP="007D6D43">
      <w:pPr>
        <w:pStyle w:val="Prrafodelista"/>
        <w:numPr>
          <w:ilvl w:val="0"/>
          <w:numId w:val="41"/>
        </w:numPr>
        <w:spacing w:line="360" w:lineRule="auto"/>
        <w:jc w:val="both"/>
        <w:rPr>
          <w:lang w:eastAsia="es-EC"/>
        </w:rPr>
      </w:pPr>
      <w:r w:rsidRPr="007D6D43">
        <w:rPr>
          <w:lang w:eastAsia="es-EC"/>
        </w:rPr>
        <w:t xml:space="preserve">En los casos de Pedro Andrés y Carlos Santiago Restrepo </w:t>
      </w:r>
      <w:proofErr w:type="spellStart"/>
      <w:r w:rsidRPr="007D6D43">
        <w:rPr>
          <w:lang w:eastAsia="es-EC"/>
        </w:rPr>
        <w:t>Arismendy</w:t>
      </w:r>
      <w:proofErr w:type="spellEnd"/>
      <w:r w:rsidRPr="007D6D43">
        <w:rPr>
          <w:lang w:eastAsia="es-EC"/>
        </w:rPr>
        <w:t>, se alcanzó un acuerdo de solución amistosa con el Estado ecuatoriano por los hechos de desaparición.</w:t>
      </w:r>
    </w:p>
    <w:p w14:paraId="77A6DD85" w14:textId="77777777" w:rsidR="007D6D43" w:rsidRDefault="007D6D43" w:rsidP="007D6D43">
      <w:pPr>
        <w:pStyle w:val="Prrafodelista"/>
        <w:numPr>
          <w:ilvl w:val="0"/>
          <w:numId w:val="41"/>
        </w:numPr>
        <w:spacing w:line="360" w:lineRule="auto"/>
        <w:jc w:val="both"/>
        <w:rPr>
          <w:lang w:eastAsia="es-EC"/>
        </w:rPr>
      </w:pPr>
      <w:r w:rsidRPr="007D6D43">
        <w:rPr>
          <w:lang w:eastAsia="es-EC"/>
        </w:rPr>
        <w:t>En el caso de Jorge Vásquez Durant, de nacionalidad peruana, se cuenta con una sentencia de la Corte Interamericana de Derechos Humanos de fecha 15 de febrero de 2017; sin embargo, en sede nacional el caso continúa en investigación previa.</w:t>
      </w:r>
    </w:p>
    <w:p w14:paraId="2B05C5E2" w14:textId="77777777" w:rsidR="007D6D43" w:rsidRDefault="007D6D43" w:rsidP="007D6D43">
      <w:pPr>
        <w:pStyle w:val="Prrafodelista"/>
        <w:numPr>
          <w:ilvl w:val="0"/>
          <w:numId w:val="41"/>
        </w:numPr>
        <w:spacing w:line="360" w:lineRule="auto"/>
        <w:jc w:val="both"/>
        <w:rPr>
          <w:lang w:eastAsia="es-EC"/>
        </w:rPr>
      </w:pPr>
      <w:r w:rsidRPr="007D6D43">
        <w:rPr>
          <w:lang w:eastAsia="es-EC"/>
        </w:rPr>
        <w:lastRenderedPageBreak/>
        <w:t>En el caso de Enrique Roberto Duchicela Hernández, el proceso se encuentra actualmente en trámite ante el Sistema Interamericano de Derechos Humanos.</w:t>
      </w:r>
    </w:p>
    <w:p w14:paraId="73773339" w14:textId="77777777" w:rsidR="007D6D43" w:rsidRDefault="007D6D43" w:rsidP="007D6D43">
      <w:pPr>
        <w:pStyle w:val="Prrafodelista"/>
        <w:numPr>
          <w:ilvl w:val="0"/>
          <w:numId w:val="41"/>
        </w:numPr>
        <w:spacing w:line="360" w:lineRule="auto"/>
        <w:jc w:val="both"/>
        <w:rPr>
          <w:lang w:eastAsia="es-EC"/>
        </w:rPr>
      </w:pPr>
      <w:r w:rsidRPr="007D6D43">
        <w:rPr>
          <w:lang w:eastAsia="es-EC"/>
        </w:rPr>
        <w:t>En el caso de César Gustavo Garzón Guzmán, se cuenta con una sentencia de la Corte Interamericana de Derechos Humanos de fecha 1 de septiembre de 2021; no obstante, en el ámbito interno el proceso continúa en etapa de investigación previa.</w:t>
      </w:r>
    </w:p>
    <w:p w14:paraId="7DC88F98" w14:textId="77777777" w:rsidR="007D6D43" w:rsidRDefault="007D6D43" w:rsidP="007D6D43">
      <w:pPr>
        <w:pStyle w:val="Prrafodelista"/>
        <w:numPr>
          <w:ilvl w:val="0"/>
          <w:numId w:val="41"/>
        </w:numPr>
        <w:spacing w:line="360" w:lineRule="auto"/>
        <w:jc w:val="both"/>
        <w:rPr>
          <w:lang w:eastAsia="es-EC"/>
        </w:rPr>
      </w:pPr>
      <w:r w:rsidRPr="007D6D43">
        <w:rPr>
          <w:lang w:eastAsia="es-EC"/>
        </w:rPr>
        <w:t xml:space="preserve">En el caso de Elías </w:t>
      </w:r>
      <w:proofErr w:type="spellStart"/>
      <w:r w:rsidRPr="007D6D43">
        <w:rPr>
          <w:lang w:eastAsia="es-EC"/>
        </w:rPr>
        <w:t>Elint</w:t>
      </w:r>
      <w:proofErr w:type="spellEnd"/>
      <w:r w:rsidRPr="007D6D43">
        <w:rPr>
          <w:lang w:eastAsia="es-EC"/>
        </w:rPr>
        <w:t xml:space="preserve"> López Pita, el proceso se encuentra actualmente en conocimiento del Sistema Interamericano de Derechos Humanos.</w:t>
      </w:r>
    </w:p>
    <w:p w14:paraId="5775F1BC" w14:textId="1239BE78" w:rsidR="007D6D43" w:rsidRPr="007D6D43" w:rsidRDefault="007D6D43" w:rsidP="007D6D43">
      <w:pPr>
        <w:pStyle w:val="Prrafodelista"/>
        <w:numPr>
          <w:ilvl w:val="0"/>
          <w:numId w:val="41"/>
        </w:numPr>
        <w:spacing w:line="360" w:lineRule="auto"/>
        <w:jc w:val="both"/>
        <w:rPr>
          <w:lang w:eastAsia="es-EC"/>
        </w:rPr>
      </w:pPr>
      <w:r w:rsidRPr="007D6D43">
        <w:rPr>
          <w:lang w:eastAsia="es-EC"/>
        </w:rPr>
        <w:t xml:space="preserve">En los casos de Manuel Stalin Bolaños Quiñónez, Jaime Alberto Otavalo Infante, Luis Alberto Sabando Véliz, Luis Alberto </w:t>
      </w:r>
      <w:proofErr w:type="spellStart"/>
      <w:r w:rsidRPr="007D6D43">
        <w:rPr>
          <w:lang w:eastAsia="es-EC"/>
        </w:rPr>
        <w:t>Shinín</w:t>
      </w:r>
      <w:proofErr w:type="spellEnd"/>
      <w:r w:rsidRPr="007D6D43">
        <w:rPr>
          <w:lang w:eastAsia="es-EC"/>
        </w:rPr>
        <w:t xml:space="preserve"> Lazo y María Rosa Cajas Lara, se desconoce la situación procesal de las acciones emprendidas por sus familiares; sin embargo, al formar parte de los casos documentados por la Comisión de la Verdad, estos permanecen en fase de investigación previa.</w:t>
      </w:r>
    </w:p>
    <w:p w14:paraId="62C7A232" w14:textId="77777777" w:rsidR="007D6D43" w:rsidRPr="007D6D43" w:rsidRDefault="007D6D43" w:rsidP="007D6D43">
      <w:pPr>
        <w:spacing w:line="360" w:lineRule="auto"/>
        <w:jc w:val="both"/>
        <w:rPr>
          <w:lang w:eastAsia="es-EC"/>
        </w:rPr>
      </w:pPr>
    </w:p>
    <w:p w14:paraId="1AC75C8C" w14:textId="77777777" w:rsidR="007D6D43" w:rsidRDefault="007D6D43" w:rsidP="007D6D43">
      <w:pPr>
        <w:spacing w:line="360" w:lineRule="auto"/>
        <w:jc w:val="both"/>
        <w:rPr>
          <w:lang w:eastAsia="es-EC"/>
        </w:rPr>
      </w:pPr>
      <w:r>
        <w:rPr>
          <w:lang w:eastAsia="es-EC"/>
        </w:rPr>
        <w:tab/>
      </w:r>
      <w:r w:rsidRPr="007D6D43">
        <w:rPr>
          <w:lang w:eastAsia="es-EC"/>
        </w:rPr>
        <w:t xml:space="preserve">En relación con los cuestionamientos sobre los motivos del retraso en el envío de expedientes de la Defensoría del Pueblo </w:t>
      </w:r>
      <w:r>
        <w:rPr>
          <w:lang w:eastAsia="es-EC"/>
        </w:rPr>
        <w:t>la función ejecutiva</w:t>
      </w:r>
      <w:r w:rsidRPr="007D6D43">
        <w:rPr>
          <w:lang w:eastAsia="es-EC"/>
        </w:rPr>
        <w:t>, el número de compromisos o convenios suscritos con otras instituciones para facilitar el acceso al Programa de Reparación a Víctimas y los recursos asignados a la D</w:t>
      </w:r>
      <w:r>
        <w:rPr>
          <w:lang w:eastAsia="es-EC"/>
        </w:rPr>
        <w:t>PE</w:t>
      </w:r>
      <w:r w:rsidRPr="007D6D43">
        <w:rPr>
          <w:lang w:eastAsia="es-EC"/>
        </w:rPr>
        <w:t xml:space="preserve"> para la coordinación y gestión de la reparación inmaterial, corresponde precisar que no se han identificado retrasos atribuibles a esta Institución en el envío de expedientes de desaparición forzada al Ejecutivo. </w:t>
      </w:r>
    </w:p>
    <w:p w14:paraId="1FA63D65" w14:textId="54320089" w:rsidR="007D6D43" w:rsidRPr="007D6D43" w:rsidRDefault="007D6D43" w:rsidP="007D6D43">
      <w:pPr>
        <w:spacing w:line="360" w:lineRule="auto"/>
        <w:jc w:val="both"/>
        <w:rPr>
          <w:lang w:eastAsia="es-EC"/>
        </w:rPr>
      </w:pPr>
      <w:r>
        <w:rPr>
          <w:lang w:eastAsia="es-EC"/>
        </w:rPr>
        <w:tab/>
      </w:r>
      <w:r w:rsidRPr="007D6D43">
        <w:rPr>
          <w:lang w:eastAsia="es-EC"/>
        </w:rPr>
        <w:t>Las limitaciones en el acceso efectivo al Programa de Reparación a Víctimas, así como en la suscripción de compromisos o convenios interinstitucionales y en la implementación de medidas de reparación inmaterial, responden principalmente a la falta de asignación de recursos financieros, técnicos y humanos por parte del Estado para la ejecución de dichas acciones.</w:t>
      </w:r>
    </w:p>
    <w:p w14:paraId="2FCA6C0B" w14:textId="4DED42B8" w:rsidR="007D6D43" w:rsidRPr="007D6D43" w:rsidRDefault="007D6D43" w:rsidP="007D6D43">
      <w:pPr>
        <w:spacing w:line="360" w:lineRule="auto"/>
        <w:jc w:val="both"/>
        <w:rPr>
          <w:lang w:eastAsia="es-EC"/>
        </w:rPr>
      </w:pPr>
      <w:r>
        <w:rPr>
          <w:lang w:eastAsia="es-EC"/>
        </w:rPr>
        <w:tab/>
      </w:r>
      <w:r w:rsidRPr="007D6D43">
        <w:rPr>
          <w:lang w:eastAsia="es-EC"/>
        </w:rPr>
        <w:t xml:space="preserve">Esta carencia de recursos ha impactado de manera directa en la operatividad del sistema de reparación y en la materialización oportuna de los derechos de las víctimas, pese a las gestiones realizadas por la </w:t>
      </w:r>
      <w:r>
        <w:rPr>
          <w:lang w:eastAsia="es-EC"/>
        </w:rPr>
        <w:t>DPE</w:t>
      </w:r>
      <w:r w:rsidRPr="007D6D43">
        <w:rPr>
          <w:lang w:eastAsia="es-EC"/>
        </w:rPr>
        <w:t xml:space="preserve"> en el marco de sus competencias legales, tanto en relación con reparaciones individuales y colectivas como con medidas de asistencia dirigidas a las víctimas de desaparición forzada, incluid</w:t>
      </w:r>
      <w:r>
        <w:rPr>
          <w:lang w:eastAsia="es-EC"/>
        </w:rPr>
        <w:t>as aquellas ocurridas entre 1984</w:t>
      </w:r>
      <w:r w:rsidRPr="007D6D43">
        <w:rPr>
          <w:lang w:eastAsia="es-EC"/>
        </w:rPr>
        <w:t xml:space="preserve"> y 2008.</w:t>
      </w:r>
    </w:p>
    <w:p w14:paraId="1D41689B" w14:textId="4D02D015" w:rsidR="007D6D43" w:rsidRPr="007D6D43" w:rsidRDefault="007D6D43" w:rsidP="007D6D43">
      <w:pPr>
        <w:spacing w:line="360" w:lineRule="auto"/>
        <w:jc w:val="both"/>
        <w:rPr>
          <w:lang w:eastAsia="es-EC"/>
        </w:rPr>
      </w:pPr>
      <w:r>
        <w:rPr>
          <w:lang w:eastAsia="es-EC"/>
        </w:rPr>
        <w:tab/>
      </w:r>
      <w:r w:rsidRPr="007D6D43">
        <w:rPr>
          <w:lang w:eastAsia="es-EC"/>
        </w:rPr>
        <w:t xml:space="preserve">En relación con las 17 víctimas de desaparición forzada documentadas por la Comisión de la Verdad, se identifican demoras estructurales en la materialización de las reparaciones, asociadas </w:t>
      </w:r>
      <w:r w:rsidRPr="007D6D43">
        <w:rPr>
          <w:lang w:eastAsia="es-EC"/>
        </w:rPr>
        <w:lastRenderedPageBreak/>
        <w:t xml:space="preserve">principalmente </w:t>
      </w:r>
      <w:r>
        <w:rPr>
          <w:lang w:eastAsia="es-EC"/>
        </w:rPr>
        <w:t xml:space="preserve">a limitaciones presupuestarias, </w:t>
      </w:r>
      <w:r w:rsidRPr="007D6D43">
        <w:rPr>
          <w:lang w:eastAsia="es-EC"/>
        </w:rPr>
        <w:t>cambios institucionales y procesos de reorganización administrativa en las entidades del Ejecutivo, ausencia de un mecanismo nacional plenamente operativo de coordinación y seguimiento de reparaciones, y falta de claridad normativa respecto de los tiempos, procedimientos y responsabilidades específicas de cada institución.</w:t>
      </w:r>
    </w:p>
    <w:p w14:paraId="2685D1D3" w14:textId="0AA51639" w:rsidR="007D6D43" w:rsidRPr="007D6D43" w:rsidRDefault="007D6D43" w:rsidP="007D6D43">
      <w:pPr>
        <w:spacing w:line="360" w:lineRule="auto"/>
        <w:jc w:val="both"/>
        <w:rPr>
          <w:lang w:eastAsia="es-EC"/>
        </w:rPr>
      </w:pPr>
      <w:r>
        <w:rPr>
          <w:lang w:eastAsia="es-EC"/>
        </w:rPr>
        <w:tab/>
      </w:r>
      <w:r w:rsidRPr="007D6D43">
        <w:rPr>
          <w:lang w:eastAsia="es-EC"/>
        </w:rPr>
        <w:t>La Defensoría del Pueblo del Ecuador ha remitido expedientes, solicitudes y comunicacio</w:t>
      </w:r>
      <w:r>
        <w:rPr>
          <w:lang w:eastAsia="es-EC"/>
        </w:rPr>
        <w:t>nes a las entidades competentes,</w:t>
      </w:r>
      <w:r w:rsidRPr="007D6D43">
        <w:rPr>
          <w:lang w:eastAsia="es-EC"/>
        </w:rPr>
        <w:t xml:space="preserve"> sin embargo, la ejecución efectiva de la reparación material excede sus atribuciones legales y constitucionales. Las competencias en materia de reparación integral, particularmente aquellas relativas a la reparación material y a la adopción de políticas públicas con enfoque diferencial y participativo, </w:t>
      </w:r>
      <w:r>
        <w:rPr>
          <w:lang w:eastAsia="es-EC"/>
        </w:rPr>
        <w:t>corresponden a las entidades de la función e</w:t>
      </w:r>
      <w:r w:rsidRPr="007D6D43">
        <w:rPr>
          <w:lang w:eastAsia="es-EC"/>
        </w:rPr>
        <w:t>jecu</w:t>
      </w:r>
      <w:r>
        <w:rPr>
          <w:lang w:eastAsia="es-EC"/>
        </w:rPr>
        <w:t>tiva</w:t>
      </w:r>
      <w:r w:rsidRPr="007D6D43">
        <w:rPr>
          <w:lang w:eastAsia="es-EC"/>
        </w:rPr>
        <w:t>, conforme a los artículos 2, 3 y 24 de la Convención y a la normativa interna vigente.</w:t>
      </w:r>
    </w:p>
    <w:p w14:paraId="7A52324A" w14:textId="77777777" w:rsidR="007D6D43" w:rsidRDefault="007D6D43" w:rsidP="007D6D43">
      <w:pPr>
        <w:spacing w:line="360" w:lineRule="auto"/>
        <w:jc w:val="both"/>
        <w:rPr>
          <w:lang w:eastAsia="es-EC"/>
        </w:rPr>
      </w:pPr>
      <w:r>
        <w:rPr>
          <w:lang w:eastAsia="es-EC"/>
        </w:rPr>
        <w:tab/>
      </w:r>
      <w:r w:rsidRPr="007D6D43">
        <w:rPr>
          <w:lang w:eastAsia="es-EC"/>
        </w:rPr>
        <w:t xml:space="preserve">En el Ecuador, la reparación integral a las víctimas de desaparición forzada se estructura a partir de un esquema de competencias diferenciadas entre diversas instituciones del Estado. Actualmente, las competencias que anteriormente correspondían al Ministerio de la Mujer y Derechos Humanos han sido asumidas por el Ministerio de Gobierno, en virtud del Decreto Ejecutivo N.º 101, emitido el 15 de agosto de 2025, mediante el cual se dispuso la absorción de las funciones, atribuciones, competencias, obligaciones y delegaciones de dicha cartera de Estado, como parte del proceso de reestructuración del Ejecutivo. </w:t>
      </w:r>
    </w:p>
    <w:p w14:paraId="08456033" w14:textId="0C96E75D" w:rsidR="007D6D43" w:rsidRPr="007D6D43" w:rsidRDefault="007D6D43" w:rsidP="007D6D43">
      <w:pPr>
        <w:spacing w:line="360" w:lineRule="auto"/>
        <w:jc w:val="both"/>
        <w:rPr>
          <w:lang w:eastAsia="es-EC"/>
        </w:rPr>
      </w:pPr>
      <w:r>
        <w:rPr>
          <w:lang w:eastAsia="es-EC"/>
        </w:rPr>
        <w:tab/>
      </w:r>
      <w:r w:rsidRPr="007D6D43">
        <w:rPr>
          <w:lang w:eastAsia="es-EC"/>
        </w:rPr>
        <w:t>En este contexto, el Ministerio de Gobierno es la entidad encargada de coordinar y ejecutar, junto con otras instituciones competentes, las acciones destinadas a garantizar el acceso de las víctimas al Programa de Reparación a Víctimas, incluidas aquellas con enfoque diferencial y con participación efectiva de las víctimas y sus familiares, en función de los recursos, la estructura y las prioridades definidas por el Ejecutivo.</w:t>
      </w:r>
    </w:p>
    <w:p w14:paraId="4AA5E962" w14:textId="62A3DCCE" w:rsidR="007D6D43" w:rsidRPr="007D6D43" w:rsidRDefault="007D6D43" w:rsidP="007D6D43">
      <w:pPr>
        <w:spacing w:line="360" w:lineRule="auto"/>
        <w:jc w:val="both"/>
        <w:rPr>
          <w:lang w:eastAsia="es-EC"/>
        </w:rPr>
      </w:pPr>
      <w:r>
        <w:rPr>
          <w:lang w:eastAsia="es-EC"/>
        </w:rPr>
        <w:tab/>
      </w:r>
      <w:r w:rsidRPr="007D6D43">
        <w:rPr>
          <w:lang w:eastAsia="es-EC"/>
        </w:rPr>
        <w:t>Por su parte, la Defensoría del Pueblo del Ecuador, en su calidad de Institución Nacional de Derechos Humanos</w:t>
      </w:r>
      <w:r>
        <w:rPr>
          <w:lang w:eastAsia="es-EC"/>
        </w:rPr>
        <w:t xml:space="preserve"> (INDH)</w:t>
      </w:r>
      <w:r w:rsidRPr="007D6D43">
        <w:rPr>
          <w:lang w:eastAsia="es-EC"/>
        </w:rPr>
        <w:t xml:space="preserve">, cumple funciones de articulación, acompañamiento y seguimiento, orientadas principalmente a la reparación inmaterial, la vigilancia del debido proceso y la garantía de los derechos de las víctimas, sin contar con atribuciones legales ni presupuestarias para ejecutar reparaciones materiales. En este marco, actúa como instancia de enlace entre las víctimas y las entidades competentes </w:t>
      </w:r>
      <w:r>
        <w:rPr>
          <w:lang w:eastAsia="es-EC"/>
        </w:rPr>
        <w:t>del gobierno</w:t>
      </w:r>
      <w:r w:rsidRPr="007D6D43">
        <w:rPr>
          <w:lang w:eastAsia="es-EC"/>
        </w:rPr>
        <w:t>, y promueve medidas de satisfacción, memoria, rehabilitación simbólica y garantías de no repetición.</w:t>
      </w:r>
    </w:p>
    <w:p w14:paraId="7AFCB3E0" w14:textId="1C38BE38" w:rsidR="007D6D43" w:rsidRPr="007D6D43" w:rsidRDefault="007D6D43" w:rsidP="007D6D43">
      <w:pPr>
        <w:spacing w:line="360" w:lineRule="auto"/>
        <w:jc w:val="both"/>
        <w:rPr>
          <w:lang w:eastAsia="es-EC"/>
        </w:rPr>
      </w:pPr>
      <w:r>
        <w:rPr>
          <w:lang w:eastAsia="es-EC"/>
        </w:rPr>
        <w:lastRenderedPageBreak/>
        <w:tab/>
      </w:r>
      <w:r w:rsidRPr="007D6D43">
        <w:rPr>
          <w:lang w:eastAsia="es-EC"/>
        </w:rPr>
        <w:t>Otras instituciones del Estado participan de manera complementaria en la reparación integral, especialmente en los ámbitos de rehabilitación, atención psicosocial, salud, educación, acceso a la justicia y garantías de no repetición, conforme a sus competencias sectoriales. Sin embargo, la coordinación interinstitucional y la implementación efectiva de una política de reparaciones continúan enfrentando limitaciones de carácter estructural.</w:t>
      </w:r>
    </w:p>
    <w:p w14:paraId="0FFB5059" w14:textId="28EFED0A" w:rsidR="007D6D43" w:rsidRPr="007D6D43" w:rsidRDefault="00C32BC7" w:rsidP="007D6D43">
      <w:pPr>
        <w:spacing w:line="360" w:lineRule="auto"/>
        <w:jc w:val="both"/>
        <w:rPr>
          <w:lang w:eastAsia="es-EC"/>
        </w:rPr>
      </w:pPr>
      <w:r>
        <w:rPr>
          <w:lang w:eastAsia="es-EC"/>
        </w:rPr>
        <w:tab/>
      </w:r>
      <w:r w:rsidR="007D6D43" w:rsidRPr="007D6D43">
        <w:rPr>
          <w:lang w:eastAsia="es-EC"/>
        </w:rPr>
        <w:t xml:space="preserve">Si bien el marco normativo reconoce la necesidad de una política </w:t>
      </w:r>
      <w:r>
        <w:rPr>
          <w:lang w:eastAsia="es-EC"/>
        </w:rPr>
        <w:t xml:space="preserve">pública </w:t>
      </w:r>
      <w:r w:rsidR="007D6D43" w:rsidRPr="007D6D43">
        <w:rPr>
          <w:lang w:eastAsia="es-EC"/>
        </w:rPr>
        <w:t>de reparaciones con enfoque diferencial y participativo, en la práctica no se han adoptado medidas suficientes y sostenidas para asegurar la participación efectiva de las víctimas y sus familiares en el diseño, implementación y evaluación de las reparaciones, ni para garantizar que estas respondan a las condiciones específicas de grupos en situación de vulnerabilidad, tales como niñas, niños y adolescentes, mujeres, pueblos indígenas, personas afrodescendientes y personas con discapacidad.</w:t>
      </w:r>
    </w:p>
    <w:p w14:paraId="0918D3AA" w14:textId="5F86F9A1" w:rsidR="00885426" w:rsidRPr="007D6D43" w:rsidRDefault="00C32BC7" w:rsidP="007D6D43">
      <w:pPr>
        <w:spacing w:line="360" w:lineRule="auto"/>
        <w:jc w:val="both"/>
        <w:rPr>
          <w:lang w:val="es-EC"/>
        </w:rPr>
      </w:pPr>
      <w:r>
        <w:rPr>
          <w:lang w:eastAsia="es-EC"/>
        </w:rPr>
        <w:tab/>
      </w:r>
      <w:r w:rsidR="007D6D43" w:rsidRPr="007D6D43">
        <w:rPr>
          <w:lang w:eastAsia="es-EC"/>
        </w:rPr>
        <w:t xml:space="preserve">En consecuencia, persiste la necesidad de fortalecer el rol rector </w:t>
      </w:r>
      <w:r>
        <w:rPr>
          <w:lang w:eastAsia="es-EC"/>
        </w:rPr>
        <w:t>de la función ejecutiva y complementariamente del resto del Estado para</w:t>
      </w:r>
      <w:r w:rsidR="007D6D43" w:rsidRPr="007D6D43">
        <w:rPr>
          <w:lang w:eastAsia="es-EC"/>
        </w:rPr>
        <w:t xml:space="preserve"> asegurar la asignación de recursos adecuados, consolidar mecanismos de coordinación interinstitucional y garantizar una política pública de reparaciones que sea integral, diferenciada, participativa y efectiva, conforme a los estándares establecidos en la Convención.</w:t>
      </w:r>
    </w:p>
    <w:p w14:paraId="0E7C34E3" w14:textId="77777777" w:rsidR="007D6D43" w:rsidRPr="007D6D43" w:rsidRDefault="007D6D43">
      <w:pPr>
        <w:spacing w:line="360" w:lineRule="auto"/>
        <w:jc w:val="both"/>
        <w:rPr>
          <w:lang w:val="es-EC"/>
        </w:rPr>
      </w:pPr>
    </w:p>
    <w:sectPr w:rsidR="007D6D43" w:rsidRPr="007D6D43" w:rsidSect="0080333A">
      <w:headerReference w:type="even" r:id="rId13"/>
      <w:headerReference w:type="default" r:id="rId14"/>
      <w:footerReference w:type="default" r:id="rId15"/>
      <w:pgSz w:w="12242" w:h="15842" w:code="1"/>
      <w:pgMar w:top="1440" w:right="1440" w:bottom="1440" w:left="1440" w:header="709" w:footer="6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1BB0A" w14:textId="77777777" w:rsidR="00F37547" w:rsidRDefault="00F37547">
      <w:r>
        <w:separator/>
      </w:r>
    </w:p>
    <w:p w14:paraId="69113D28" w14:textId="77777777" w:rsidR="00F37547" w:rsidRDefault="00F37547"/>
    <w:p w14:paraId="55640F28" w14:textId="77777777" w:rsidR="00F37547" w:rsidRDefault="00F37547"/>
  </w:endnote>
  <w:endnote w:type="continuationSeparator" w:id="0">
    <w:p w14:paraId="59D9DF58" w14:textId="77777777" w:rsidR="00F37547" w:rsidRDefault="00F37547">
      <w:r>
        <w:continuationSeparator/>
      </w:r>
    </w:p>
    <w:p w14:paraId="165A1FD8" w14:textId="77777777" w:rsidR="00F37547" w:rsidRDefault="00F37547"/>
    <w:p w14:paraId="1A845206" w14:textId="77777777" w:rsidR="00F37547" w:rsidRDefault="00F375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jaVu Sans">
    <w:altName w:val="Arial"/>
    <w:charset w:val="00"/>
    <w:family w:val="swiss"/>
    <w:pitch w:val="variable"/>
    <w:sig w:usb0="E7000EFF" w:usb1="5200F5FF" w:usb2="0A042021" w:usb3="00000000" w:csb0="000001BF" w:csb1="00000000"/>
  </w:font>
  <w:font w:name="Lohit Hindi">
    <w:altName w:val="Times New Roman"/>
    <w:panose1 w:val="00000000000000000000"/>
    <w:charset w:val="00"/>
    <w:family w:val="roman"/>
    <w:notTrueType/>
    <w:pitch w:val="default"/>
  </w:font>
  <w:font w:name="font292">
    <w:altName w:val="Arial Unicode MS"/>
    <w:charset w:val="00"/>
    <w:family w:val="auto"/>
    <w:pitch w:val="default"/>
    <w:sig w:usb0="00000000" w:usb1="00000000" w:usb2="00000000" w:usb3="00000000" w:csb0="0004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Liberation Serif">
    <w:altName w:val="Times New Roman"/>
    <w:charset w:val="8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0498040"/>
      <w:docPartObj>
        <w:docPartGallery w:val="Page Numbers (Bottom of Page)"/>
        <w:docPartUnique/>
      </w:docPartObj>
    </w:sdtPr>
    <w:sdtEndPr/>
    <w:sdtContent>
      <w:p w14:paraId="2F883334" w14:textId="116EC39F" w:rsidR="00314F9B" w:rsidRDefault="00314F9B">
        <w:pPr>
          <w:pStyle w:val="Piedepgina"/>
          <w:jc w:val="right"/>
        </w:pPr>
        <w:r>
          <w:fldChar w:fldCharType="begin"/>
        </w:r>
        <w:r>
          <w:instrText>PAGE   \* MERGEFORMAT</w:instrText>
        </w:r>
        <w:r>
          <w:fldChar w:fldCharType="separate"/>
        </w:r>
        <w:r w:rsidR="009B0D39" w:rsidRPr="009B0D39">
          <w:rPr>
            <w:noProof/>
            <w:lang w:val="es-ES"/>
          </w:rPr>
          <w:t>5</w:t>
        </w:r>
        <w:r>
          <w:fldChar w:fldCharType="end"/>
        </w:r>
      </w:p>
    </w:sdtContent>
  </w:sdt>
  <w:p w14:paraId="04F96A60" w14:textId="77777777" w:rsidR="00314F9B" w:rsidRDefault="00314F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ED07FF" w14:textId="77777777" w:rsidR="00F37547" w:rsidRDefault="00F37547">
      <w:r>
        <w:separator/>
      </w:r>
    </w:p>
    <w:p w14:paraId="7D586586" w14:textId="77777777" w:rsidR="00F37547" w:rsidRDefault="00F37547"/>
    <w:p w14:paraId="433BC61C" w14:textId="77777777" w:rsidR="00F37547" w:rsidRDefault="00F37547"/>
  </w:footnote>
  <w:footnote w:type="continuationSeparator" w:id="0">
    <w:p w14:paraId="1CC15B29" w14:textId="77777777" w:rsidR="00F37547" w:rsidRDefault="00F37547">
      <w:r>
        <w:continuationSeparator/>
      </w:r>
    </w:p>
    <w:p w14:paraId="40D2FFF2" w14:textId="77777777" w:rsidR="00F37547" w:rsidRDefault="00F37547"/>
    <w:p w14:paraId="79B1CEC3" w14:textId="77777777" w:rsidR="00F37547" w:rsidRDefault="00F375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41C3B" w14:textId="77777777" w:rsidR="00705AA5" w:rsidRDefault="00705AA5" w:rsidP="00D6661F">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3C044F" w14:textId="77777777" w:rsidR="00705AA5" w:rsidRDefault="00705AA5" w:rsidP="00755F52">
    <w:pPr>
      <w:spacing w:line="34" w:lineRule="auto"/>
      <w:ind w:right="360"/>
      <w:jc w:val="center"/>
    </w:pPr>
  </w:p>
  <w:p w14:paraId="607E34B9" w14:textId="77777777" w:rsidR="00705AA5" w:rsidRDefault="00705AA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B577B" w14:textId="618460A1" w:rsidR="00705AA5" w:rsidRPr="006D5F04" w:rsidRDefault="00AC48C7" w:rsidP="00D2275C">
    <w:pPr>
      <w:tabs>
        <w:tab w:val="center" w:pos="4419"/>
        <w:tab w:val="right" w:pos="8838"/>
      </w:tabs>
      <w:ind w:right="-149"/>
      <w:jc w:val="right"/>
      <w:rPr>
        <w:sz w:val="20"/>
        <w:szCs w:val="20"/>
        <w:lang w:val="es-ES"/>
      </w:rPr>
    </w:pPr>
    <w:r w:rsidRPr="00382DD9">
      <w:rPr>
        <w:rFonts w:ascii="Garamond" w:hAnsi="Garamond"/>
        <w:noProof/>
        <w:lang w:val="es-EC" w:eastAsia="es-EC"/>
      </w:rPr>
      <w:drawing>
        <wp:inline distT="0" distB="0" distL="0" distR="0" wp14:anchorId="2E7BF06F" wp14:editId="63C39409">
          <wp:extent cx="1600200" cy="7715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706D6"/>
    <w:multiLevelType w:val="hybridMultilevel"/>
    <w:tmpl w:val="BB9A9D6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 w15:restartNumberingAfterBreak="0">
    <w:nsid w:val="01A00934"/>
    <w:multiLevelType w:val="multilevel"/>
    <w:tmpl w:val="9E66576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 w15:restartNumberingAfterBreak="0">
    <w:nsid w:val="05E3052F"/>
    <w:multiLevelType w:val="multilevel"/>
    <w:tmpl w:val="05FC1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307F4E"/>
    <w:multiLevelType w:val="hybridMultilevel"/>
    <w:tmpl w:val="D7C41E3A"/>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15:restartNumberingAfterBreak="0">
    <w:nsid w:val="0BA85722"/>
    <w:multiLevelType w:val="multilevel"/>
    <w:tmpl w:val="97C262A0"/>
    <w:lvl w:ilvl="0">
      <w:start w:val="1"/>
      <w:numFmt w:val="bullet"/>
      <w:lvlText w:val=""/>
      <w:lvlJc w:val="left"/>
      <w:pPr>
        <w:tabs>
          <w:tab w:val="num" w:pos="720"/>
        </w:tabs>
        <w:ind w:left="720" w:hanging="360"/>
      </w:pPr>
      <w:rPr>
        <w:rFonts w:ascii="Symbol" w:hAnsi="Symbol" w:hint="default"/>
        <w:sz w:val="20"/>
      </w:rPr>
    </w:lvl>
    <w:lvl w:ilvl="1">
      <w:start w:val="4"/>
      <w:numFmt w:val="upperLetter"/>
      <w:lvlText w:val="%2."/>
      <w:lvlJc w:val="left"/>
      <w:pPr>
        <w:ind w:left="1353" w:hanging="360"/>
      </w:pPr>
      <w:rPr>
        <w:rFonts w:ascii="Times New Roman" w:eastAsia="Aptos" w:hAnsi="Times New Roman" w:cs="Times New Roman" w:hint="default"/>
        <w:b w:val="0"/>
        <w:sz w:val="24"/>
        <w:szCs w:val="24"/>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E47E0"/>
    <w:multiLevelType w:val="multilevel"/>
    <w:tmpl w:val="26BC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D1456B"/>
    <w:multiLevelType w:val="hybridMultilevel"/>
    <w:tmpl w:val="9F4C9724"/>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7" w15:restartNumberingAfterBreak="0">
    <w:nsid w:val="1D8529D5"/>
    <w:multiLevelType w:val="hybridMultilevel"/>
    <w:tmpl w:val="022A41D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15:restartNumberingAfterBreak="0">
    <w:nsid w:val="1FAA7B4C"/>
    <w:multiLevelType w:val="hybridMultilevel"/>
    <w:tmpl w:val="5860F45C"/>
    <w:lvl w:ilvl="0" w:tplc="EEF00F12">
      <w:start w:val="1"/>
      <w:numFmt w:val="upperRoman"/>
      <w:pStyle w:val="Ttulo1"/>
      <w:lvlText w:val="%1."/>
      <w:lvlJc w:val="left"/>
      <w:pPr>
        <w:ind w:left="1080" w:hanging="72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1E62695"/>
    <w:multiLevelType w:val="hybridMultilevel"/>
    <w:tmpl w:val="A7CA6C08"/>
    <w:lvl w:ilvl="0" w:tplc="C7F24C88">
      <w:numFmt w:val="bullet"/>
      <w:pStyle w:val="Redaccin"/>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6721576"/>
    <w:multiLevelType w:val="hybridMultilevel"/>
    <w:tmpl w:val="1CCE6D94"/>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11" w15:restartNumberingAfterBreak="0">
    <w:nsid w:val="28AE5C94"/>
    <w:multiLevelType w:val="multilevel"/>
    <w:tmpl w:val="88FA81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CA48A2"/>
    <w:multiLevelType w:val="hybridMultilevel"/>
    <w:tmpl w:val="49AA85AC"/>
    <w:lvl w:ilvl="0" w:tplc="300A0017">
      <w:start w:val="1"/>
      <w:numFmt w:val="lowerLetter"/>
      <w:pStyle w:val="TtuloTDC"/>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 w15:restartNumberingAfterBreak="0">
    <w:nsid w:val="31542AB3"/>
    <w:multiLevelType w:val="hybridMultilevel"/>
    <w:tmpl w:val="BF86EAF2"/>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15:restartNumberingAfterBreak="0">
    <w:nsid w:val="31FC468E"/>
    <w:multiLevelType w:val="hybridMultilevel"/>
    <w:tmpl w:val="6F30E5D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5" w15:restartNumberingAfterBreak="0">
    <w:nsid w:val="381243B4"/>
    <w:multiLevelType w:val="hybridMultilevel"/>
    <w:tmpl w:val="00FAD0D2"/>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16" w15:restartNumberingAfterBreak="0">
    <w:nsid w:val="3A342890"/>
    <w:multiLevelType w:val="hybridMultilevel"/>
    <w:tmpl w:val="BBFEAB34"/>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17" w15:restartNumberingAfterBreak="0">
    <w:nsid w:val="3AE64EA7"/>
    <w:multiLevelType w:val="hybridMultilevel"/>
    <w:tmpl w:val="44F0170E"/>
    <w:lvl w:ilvl="0" w:tplc="300A0001">
      <w:start w:val="1"/>
      <w:numFmt w:val="bullet"/>
      <w:lvlText w:val=""/>
      <w:lvlJc w:val="left"/>
      <w:pPr>
        <w:ind w:left="1260" w:hanging="360"/>
      </w:pPr>
      <w:rPr>
        <w:rFonts w:ascii="Symbol" w:hAnsi="Symbol" w:hint="default"/>
      </w:rPr>
    </w:lvl>
    <w:lvl w:ilvl="1" w:tplc="300A0003" w:tentative="1">
      <w:start w:val="1"/>
      <w:numFmt w:val="bullet"/>
      <w:lvlText w:val="o"/>
      <w:lvlJc w:val="left"/>
      <w:pPr>
        <w:ind w:left="1980" w:hanging="360"/>
      </w:pPr>
      <w:rPr>
        <w:rFonts w:ascii="Courier New" w:hAnsi="Courier New" w:cs="Courier New" w:hint="default"/>
      </w:rPr>
    </w:lvl>
    <w:lvl w:ilvl="2" w:tplc="300A0005" w:tentative="1">
      <w:start w:val="1"/>
      <w:numFmt w:val="bullet"/>
      <w:lvlText w:val=""/>
      <w:lvlJc w:val="left"/>
      <w:pPr>
        <w:ind w:left="2700" w:hanging="360"/>
      </w:pPr>
      <w:rPr>
        <w:rFonts w:ascii="Wingdings" w:hAnsi="Wingdings" w:hint="default"/>
      </w:rPr>
    </w:lvl>
    <w:lvl w:ilvl="3" w:tplc="300A0001" w:tentative="1">
      <w:start w:val="1"/>
      <w:numFmt w:val="bullet"/>
      <w:lvlText w:val=""/>
      <w:lvlJc w:val="left"/>
      <w:pPr>
        <w:ind w:left="3420" w:hanging="360"/>
      </w:pPr>
      <w:rPr>
        <w:rFonts w:ascii="Symbol" w:hAnsi="Symbol" w:hint="default"/>
      </w:rPr>
    </w:lvl>
    <w:lvl w:ilvl="4" w:tplc="300A0003" w:tentative="1">
      <w:start w:val="1"/>
      <w:numFmt w:val="bullet"/>
      <w:lvlText w:val="o"/>
      <w:lvlJc w:val="left"/>
      <w:pPr>
        <w:ind w:left="4140" w:hanging="360"/>
      </w:pPr>
      <w:rPr>
        <w:rFonts w:ascii="Courier New" w:hAnsi="Courier New" w:cs="Courier New" w:hint="default"/>
      </w:rPr>
    </w:lvl>
    <w:lvl w:ilvl="5" w:tplc="300A0005" w:tentative="1">
      <w:start w:val="1"/>
      <w:numFmt w:val="bullet"/>
      <w:lvlText w:val=""/>
      <w:lvlJc w:val="left"/>
      <w:pPr>
        <w:ind w:left="4860" w:hanging="360"/>
      </w:pPr>
      <w:rPr>
        <w:rFonts w:ascii="Wingdings" w:hAnsi="Wingdings" w:hint="default"/>
      </w:rPr>
    </w:lvl>
    <w:lvl w:ilvl="6" w:tplc="300A0001" w:tentative="1">
      <w:start w:val="1"/>
      <w:numFmt w:val="bullet"/>
      <w:lvlText w:val=""/>
      <w:lvlJc w:val="left"/>
      <w:pPr>
        <w:ind w:left="5580" w:hanging="360"/>
      </w:pPr>
      <w:rPr>
        <w:rFonts w:ascii="Symbol" w:hAnsi="Symbol" w:hint="default"/>
      </w:rPr>
    </w:lvl>
    <w:lvl w:ilvl="7" w:tplc="300A0003" w:tentative="1">
      <w:start w:val="1"/>
      <w:numFmt w:val="bullet"/>
      <w:lvlText w:val="o"/>
      <w:lvlJc w:val="left"/>
      <w:pPr>
        <w:ind w:left="6300" w:hanging="360"/>
      </w:pPr>
      <w:rPr>
        <w:rFonts w:ascii="Courier New" w:hAnsi="Courier New" w:cs="Courier New" w:hint="default"/>
      </w:rPr>
    </w:lvl>
    <w:lvl w:ilvl="8" w:tplc="300A0005" w:tentative="1">
      <w:start w:val="1"/>
      <w:numFmt w:val="bullet"/>
      <w:lvlText w:val=""/>
      <w:lvlJc w:val="left"/>
      <w:pPr>
        <w:ind w:left="7020" w:hanging="360"/>
      </w:pPr>
      <w:rPr>
        <w:rFonts w:ascii="Wingdings" w:hAnsi="Wingdings" w:hint="default"/>
      </w:rPr>
    </w:lvl>
  </w:abstractNum>
  <w:abstractNum w:abstractNumId="18" w15:restartNumberingAfterBreak="0">
    <w:nsid w:val="3F13778C"/>
    <w:multiLevelType w:val="hybridMultilevel"/>
    <w:tmpl w:val="08620EF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9" w15:restartNumberingAfterBreak="0">
    <w:nsid w:val="3F9F739B"/>
    <w:multiLevelType w:val="hybridMultilevel"/>
    <w:tmpl w:val="C58ACA5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0" w15:restartNumberingAfterBreak="0">
    <w:nsid w:val="459349D7"/>
    <w:multiLevelType w:val="hybridMultilevel"/>
    <w:tmpl w:val="004237A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1" w15:restartNumberingAfterBreak="0">
    <w:nsid w:val="46CB2744"/>
    <w:multiLevelType w:val="hybridMultilevel"/>
    <w:tmpl w:val="0972AD4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2" w15:restartNumberingAfterBreak="0">
    <w:nsid w:val="481A427A"/>
    <w:multiLevelType w:val="hybridMultilevel"/>
    <w:tmpl w:val="0D1E8AB0"/>
    <w:lvl w:ilvl="0" w:tplc="28767E8A">
      <w:start w:val="1"/>
      <w:numFmt w:val="decimal"/>
      <w:lvlText w:val="%1."/>
      <w:lvlJc w:val="left"/>
      <w:pPr>
        <w:ind w:left="720" w:hanging="360"/>
      </w:pPr>
      <w:rPr>
        <w:rFonts w:ascii="Times New Roman" w:hAnsi="Times New Roman" w:cs="Times New Roman" w:hint="default"/>
        <w:b/>
        <w:bCs/>
        <w:sz w:val="18"/>
        <w:szCs w:val="18"/>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15:restartNumberingAfterBreak="0">
    <w:nsid w:val="49120A50"/>
    <w:multiLevelType w:val="multilevel"/>
    <w:tmpl w:val="7BA6F5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126A2E"/>
    <w:multiLevelType w:val="hybridMultilevel"/>
    <w:tmpl w:val="8D56B076"/>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25" w15:restartNumberingAfterBreak="0">
    <w:nsid w:val="4D38329E"/>
    <w:multiLevelType w:val="multilevel"/>
    <w:tmpl w:val="29AA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D01580"/>
    <w:multiLevelType w:val="hybridMultilevel"/>
    <w:tmpl w:val="FE8AAAB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7" w15:restartNumberingAfterBreak="0">
    <w:nsid w:val="5477332F"/>
    <w:multiLevelType w:val="hybridMultilevel"/>
    <w:tmpl w:val="97AA002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8" w15:restartNumberingAfterBreak="0">
    <w:nsid w:val="54896051"/>
    <w:multiLevelType w:val="hybridMultilevel"/>
    <w:tmpl w:val="9E301A4A"/>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29" w15:restartNumberingAfterBreak="0">
    <w:nsid w:val="578433E2"/>
    <w:multiLevelType w:val="hybridMultilevel"/>
    <w:tmpl w:val="4ED6B63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0" w15:restartNumberingAfterBreak="0">
    <w:nsid w:val="5AED1045"/>
    <w:multiLevelType w:val="hybridMultilevel"/>
    <w:tmpl w:val="32E8727C"/>
    <w:lvl w:ilvl="0" w:tplc="94FC21E6">
      <w:start w:val="1"/>
      <w:numFmt w:val="decimal"/>
      <w:pStyle w:val="Recomendaciones"/>
      <w:lvlText w:val="%1)"/>
      <w:lvlJc w:val="left"/>
      <w:pPr>
        <w:ind w:left="1428" w:hanging="360"/>
      </w:pPr>
    </w:lvl>
    <w:lvl w:ilvl="1" w:tplc="300A0019" w:tentative="1">
      <w:start w:val="1"/>
      <w:numFmt w:val="lowerLetter"/>
      <w:lvlText w:val="%2."/>
      <w:lvlJc w:val="left"/>
      <w:pPr>
        <w:ind w:left="2148" w:hanging="360"/>
      </w:pPr>
    </w:lvl>
    <w:lvl w:ilvl="2" w:tplc="300A001B" w:tentative="1">
      <w:start w:val="1"/>
      <w:numFmt w:val="lowerRoman"/>
      <w:lvlText w:val="%3."/>
      <w:lvlJc w:val="right"/>
      <w:pPr>
        <w:ind w:left="2868" w:hanging="180"/>
      </w:pPr>
    </w:lvl>
    <w:lvl w:ilvl="3" w:tplc="300A000F" w:tentative="1">
      <w:start w:val="1"/>
      <w:numFmt w:val="decimal"/>
      <w:lvlText w:val="%4."/>
      <w:lvlJc w:val="left"/>
      <w:pPr>
        <w:ind w:left="3588" w:hanging="360"/>
      </w:pPr>
    </w:lvl>
    <w:lvl w:ilvl="4" w:tplc="300A0019" w:tentative="1">
      <w:start w:val="1"/>
      <w:numFmt w:val="lowerLetter"/>
      <w:lvlText w:val="%5."/>
      <w:lvlJc w:val="left"/>
      <w:pPr>
        <w:ind w:left="4308" w:hanging="360"/>
      </w:pPr>
    </w:lvl>
    <w:lvl w:ilvl="5" w:tplc="300A001B" w:tentative="1">
      <w:start w:val="1"/>
      <w:numFmt w:val="lowerRoman"/>
      <w:lvlText w:val="%6."/>
      <w:lvlJc w:val="right"/>
      <w:pPr>
        <w:ind w:left="5028" w:hanging="180"/>
      </w:pPr>
    </w:lvl>
    <w:lvl w:ilvl="6" w:tplc="300A000F" w:tentative="1">
      <w:start w:val="1"/>
      <w:numFmt w:val="decimal"/>
      <w:lvlText w:val="%7."/>
      <w:lvlJc w:val="left"/>
      <w:pPr>
        <w:ind w:left="5748" w:hanging="360"/>
      </w:pPr>
    </w:lvl>
    <w:lvl w:ilvl="7" w:tplc="300A0019" w:tentative="1">
      <w:start w:val="1"/>
      <w:numFmt w:val="lowerLetter"/>
      <w:lvlText w:val="%8."/>
      <w:lvlJc w:val="left"/>
      <w:pPr>
        <w:ind w:left="6468" w:hanging="360"/>
      </w:pPr>
    </w:lvl>
    <w:lvl w:ilvl="8" w:tplc="300A001B" w:tentative="1">
      <w:start w:val="1"/>
      <w:numFmt w:val="lowerRoman"/>
      <w:lvlText w:val="%9."/>
      <w:lvlJc w:val="right"/>
      <w:pPr>
        <w:ind w:left="7188" w:hanging="180"/>
      </w:pPr>
    </w:lvl>
  </w:abstractNum>
  <w:abstractNum w:abstractNumId="31" w15:restartNumberingAfterBreak="0">
    <w:nsid w:val="5C53154B"/>
    <w:multiLevelType w:val="hybridMultilevel"/>
    <w:tmpl w:val="F4A8970A"/>
    <w:lvl w:ilvl="0" w:tplc="300A0015">
      <w:start w:val="1"/>
      <w:numFmt w:val="upp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2" w15:restartNumberingAfterBreak="0">
    <w:nsid w:val="60695F62"/>
    <w:multiLevelType w:val="hybridMultilevel"/>
    <w:tmpl w:val="02562076"/>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33" w15:restartNumberingAfterBreak="0">
    <w:nsid w:val="69FC321D"/>
    <w:multiLevelType w:val="hybridMultilevel"/>
    <w:tmpl w:val="A4641A54"/>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3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9C766E"/>
    <w:multiLevelType w:val="hybridMultilevel"/>
    <w:tmpl w:val="36D4F19A"/>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6" w15:restartNumberingAfterBreak="0">
    <w:nsid w:val="715D403D"/>
    <w:multiLevelType w:val="hybridMultilevel"/>
    <w:tmpl w:val="2506DBEC"/>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37" w15:restartNumberingAfterBreak="0">
    <w:nsid w:val="74EF4784"/>
    <w:multiLevelType w:val="multilevel"/>
    <w:tmpl w:val="BA9E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1A0CA4"/>
    <w:multiLevelType w:val="hybridMultilevel"/>
    <w:tmpl w:val="32207142"/>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39" w15:restartNumberingAfterBreak="0">
    <w:nsid w:val="770A0C87"/>
    <w:multiLevelType w:val="multilevel"/>
    <w:tmpl w:val="3B08FDFC"/>
    <w:lvl w:ilvl="0">
      <w:start w:val="1"/>
      <w:numFmt w:val="bullet"/>
      <w:lvlText w:val=""/>
      <w:lvlJc w:val="left"/>
      <w:pPr>
        <w:tabs>
          <w:tab w:val="num" w:pos="720"/>
        </w:tabs>
        <w:ind w:left="720" w:hanging="360"/>
      </w:pPr>
      <w:rPr>
        <w:rFonts w:ascii="Wingdings" w:hAnsi="Wingdings" w:hint="default"/>
        <w:sz w:val="20"/>
      </w:rPr>
    </w:lvl>
    <w:lvl w:ilvl="1">
      <w:start w:val="4"/>
      <w:numFmt w:val="upperLetter"/>
      <w:lvlText w:val="%2."/>
      <w:lvlJc w:val="left"/>
      <w:pPr>
        <w:ind w:left="1440" w:hanging="360"/>
      </w:pPr>
      <w:rPr>
        <w:rFonts w:ascii="Aptos" w:eastAsia="Aptos" w:hAnsi="Aptos" w:cs="Times New Roman" w:hint="default"/>
        <w:sz w:val="22"/>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967DA4"/>
    <w:multiLevelType w:val="hybridMultilevel"/>
    <w:tmpl w:val="B90C97E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num w:numId="1">
    <w:abstractNumId w:val="9"/>
  </w:num>
  <w:num w:numId="2">
    <w:abstractNumId w:val="34"/>
  </w:num>
  <w:num w:numId="3">
    <w:abstractNumId w:val="30"/>
  </w:num>
  <w:num w:numId="4">
    <w:abstractNumId w:val="8"/>
  </w:num>
  <w:num w:numId="5">
    <w:abstractNumId w:val="12"/>
  </w:num>
  <w:num w:numId="6">
    <w:abstractNumId w:val="31"/>
  </w:num>
  <w:num w:numId="7">
    <w:abstractNumId w:val="25"/>
  </w:num>
  <w:num w:numId="8">
    <w:abstractNumId w:val="22"/>
  </w:num>
  <w:num w:numId="9">
    <w:abstractNumId w:val="1"/>
  </w:num>
  <w:num w:numId="10">
    <w:abstractNumId w:val="4"/>
  </w:num>
  <w:num w:numId="11">
    <w:abstractNumId w:val="11"/>
  </w:num>
  <w:num w:numId="12">
    <w:abstractNumId w:val="39"/>
  </w:num>
  <w:num w:numId="13">
    <w:abstractNumId w:val="23"/>
  </w:num>
  <w:num w:numId="14">
    <w:abstractNumId w:val="0"/>
  </w:num>
  <w:num w:numId="15">
    <w:abstractNumId w:val="40"/>
  </w:num>
  <w:num w:numId="16">
    <w:abstractNumId w:val="21"/>
  </w:num>
  <w:num w:numId="17">
    <w:abstractNumId w:val="32"/>
  </w:num>
  <w:num w:numId="18">
    <w:abstractNumId w:val="13"/>
  </w:num>
  <w:num w:numId="19">
    <w:abstractNumId w:val="36"/>
  </w:num>
  <w:num w:numId="20">
    <w:abstractNumId w:val="24"/>
  </w:num>
  <w:num w:numId="21">
    <w:abstractNumId w:val="10"/>
  </w:num>
  <w:num w:numId="22">
    <w:abstractNumId w:val="6"/>
  </w:num>
  <w:num w:numId="23">
    <w:abstractNumId w:val="28"/>
  </w:num>
  <w:num w:numId="24">
    <w:abstractNumId w:val="33"/>
  </w:num>
  <w:num w:numId="25">
    <w:abstractNumId w:val="15"/>
  </w:num>
  <w:num w:numId="26">
    <w:abstractNumId w:val="26"/>
  </w:num>
  <w:num w:numId="27">
    <w:abstractNumId w:val="16"/>
  </w:num>
  <w:num w:numId="28">
    <w:abstractNumId w:val="17"/>
  </w:num>
  <w:num w:numId="29">
    <w:abstractNumId w:val="38"/>
  </w:num>
  <w:num w:numId="30">
    <w:abstractNumId w:val="3"/>
  </w:num>
  <w:num w:numId="31">
    <w:abstractNumId w:val="5"/>
  </w:num>
  <w:num w:numId="32">
    <w:abstractNumId w:val="2"/>
  </w:num>
  <w:num w:numId="33">
    <w:abstractNumId w:val="27"/>
  </w:num>
  <w:num w:numId="34">
    <w:abstractNumId w:val="35"/>
  </w:num>
  <w:num w:numId="35">
    <w:abstractNumId w:val="19"/>
  </w:num>
  <w:num w:numId="36">
    <w:abstractNumId w:val="37"/>
  </w:num>
  <w:num w:numId="37">
    <w:abstractNumId w:val="7"/>
  </w:num>
  <w:num w:numId="38">
    <w:abstractNumId w:val="29"/>
  </w:num>
  <w:num w:numId="39">
    <w:abstractNumId w:val="20"/>
  </w:num>
  <w:num w:numId="40">
    <w:abstractNumId w:val="18"/>
  </w:num>
  <w:num w:numId="41">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A05"/>
    <w:rsid w:val="0000126E"/>
    <w:rsid w:val="00004D5E"/>
    <w:rsid w:val="0001397F"/>
    <w:rsid w:val="00014A3E"/>
    <w:rsid w:val="000166A9"/>
    <w:rsid w:val="00021702"/>
    <w:rsid w:val="000225E9"/>
    <w:rsid w:val="00027ECC"/>
    <w:rsid w:val="0003270C"/>
    <w:rsid w:val="0003494B"/>
    <w:rsid w:val="00035ABC"/>
    <w:rsid w:val="0004037F"/>
    <w:rsid w:val="00041722"/>
    <w:rsid w:val="000429AC"/>
    <w:rsid w:val="00047FC8"/>
    <w:rsid w:val="00050706"/>
    <w:rsid w:val="000550C8"/>
    <w:rsid w:val="00056D39"/>
    <w:rsid w:val="00057004"/>
    <w:rsid w:val="00064371"/>
    <w:rsid w:val="00064C6D"/>
    <w:rsid w:val="00064E3F"/>
    <w:rsid w:val="00066AE9"/>
    <w:rsid w:val="00070C4B"/>
    <w:rsid w:val="00073443"/>
    <w:rsid w:val="0007516C"/>
    <w:rsid w:val="000753B6"/>
    <w:rsid w:val="000759BA"/>
    <w:rsid w:val="00076A95"/>
    <w:rsid w:val="00076E68"/>
    <w:rsid w:val="000808F4"/>
    <w:rsid w:val="00086423"/>
    <w:rsid w:val="00092E09"/>
    <w:rsid w:val="00092F3A"/>
    <w:rsid w:val="0009777C"/>
    <w:rsid w:val="000A0045"/>
    <w:rsid w:val="000B18B3"/>
    <w:rsid w:val="000B45F3"/>
    <w:rsid w:val="000B5C42"/>
    <w:rsid w:val="000B7AF9"/>
    <w:rsid w:val="000C2561"/>
    <w:rsid w:val="000C5406"/>
    <w:rsid w:val="000C5F56"/>
    <w:rsid w:val="000D24D7"/>
    <w:rsid w:val="000D5960"/>
    <w:rsid w:val="000D63B2"/>
    <w:rsid w:val="000E1571"/>
    <w:rsid w:val="000F1076"/>
    <w:rsid w:val="000F3E52"/>
    <w:rsid w:val="00101B11"/>
    <w:rsid w:val="0010217F"/>
    <w:rsid w:val="00103A8B"/>
    <w:rsid w:val="00104E14"/>
    <w:rsid w:val="00104F16"/>
    <w:rsid w:val="00112604"/>
    <w:rsid w:val="00115E5D"/>
    <w:rsid w:val="00122028"/>
    <w:rsid w:val="00122BA4"/>
    <w:rsid w:val="00126372"/>
    <w:rsid w:val="001272C7"/>
    <w:rsid w:val="00130AF2"/>
    <w:rsid w:val="0013165A"/>
    <w:rsid w:val="0013324E"/>
    <w:rsid w:val="001342F8"/>
    <w:rsid w:val="00134B1E"/>
    <w:rsid w:val="00134D32"/>
    <w:rsid w:val="001353BB"/>
    <w:rsid w:val="00142CDC"/>
    <w:rsid w:val="00144082"/>
    <w:rsid w:val="00144CD5"/>
    <w:rsid w:val="001450E7"/>
    <w:rsid w:val="00147BA5"/>
    <w:rsid w:val="00154AAD"/>
    <w:rsid w:val="001559E3"/>
    <w:rsid w:val="00156067"/>
    <w:rsid w:val="0015692C"/>
    <w:rsid w:val="001575BD"/>
    <w:rsid w:val="00157EDA"/>
    <w:rsid w:val="00160644"/>
    <w:rsid w:val="001616B4"/>
    <w:rsid w:val="00162A01"/>
    <w:rsid w:val="00166E92"/>
    <w:rsid w:val="00176F0C"/>
    <w:rsid w:val="00182057"/>
    <w:rsid w:val="0018416F"/>
    <w:rsid w:val="001854FB"/>
    <w:rsid w:val="00187151"/>
    <w:rsid w:val="00187DB2"/>
    <w:rsid w:val="00191CAD"/>
    <w:rsid w:val="00192DD9"/>
    <w:rsid w:val="00193642"/>
    <w:rsid w:val="00193764"/>
    <w:rsid w:val="00193ADB"/>
    <w:rsid w:val="001961D3"/>
    <w:rsid w:val="001A1330"/>
    <w:rsid w:val="001A157E"/>
    <w:rsid w:val="001A2F70"/>
    <w:rsid w:val="001A629C"/>
    <w:rsid w:val="001A7320"/>
    <w:rsid w:val="001B23E4"/>
    <w:rsid w:val="001B341F"/>
    <w:rsid w:val="001B53EB"/>
    <w:rsid w:val="001B627F"/>
    <w:rsid w:val="001C2DA7"/>
    <w:rsid w:val="001C39F6"/>
    <w:rsid w:val="001C5B6A"/>
    <w:rsid w:val="001C66FE"/>
    <w:rsid w:val="001C77B1"/>
    <w:rsid w:val="001D533B"/>
    <w:rsid w:val="001D6904"/>
    <w:rsid w:val="001D7E59"/>
    <w:rsid w:val="001F1126"/>
    <w:rsid w:val="001F3288"/>
    <w:rsid w:val="001F3D59"/>
    <w:rsid w:val="001F58E5"/>
    <w:rsid w:val="001F68F6"/>
    <w:rsid w:val="00200277"/>
    <w:rsid w:val="00203ED5"/>
    <w:rsid w:val="002069FB"/>
    <w:rsid w:val="00213684"/>
    <w:rsid w:val="00221EBD"/>
    <w:rsid w:val="00223DE8"/>
    <w:rsid w:val="0022729F"/>
    <w:rsid w:val="00232164"/>
    <w:rsid w:val="00236E6D"/>
    <w:rsid w:val="00241B06"/>
    <w:rsid w:val="00242044"/>
    <w:rsid w:val="002429E5"/>
    <w:rsid w:val="00244655"/>
    <w:rsid w:val="00244C7A"/>
    <w:rsid w:val="0025783F"/>
    <w:rsid w:val="002612E9"/>
    <w:rsid w:val="00261FA1"/>
    <w:rsid w:val="00263AAD"/>
    <w:rsid w:val="0026548C"/>
    <w:rsid w:val="002667C5"/>
    <w:rsid w:val="00270A64"/>
    <w:rsid w:val="002715D4"/>
    <w:rsid w:val="002754A0"/>
    <w:rsid w:val="00276DAD"/>
    <w:rsid w:val="00280CEF"/>
    <w:rsid w:val="002811FB"/>
    <w:rsid w:val="00282BE1"/>
    <w:rsid w:val="00282F87"/>
    <w:rsid w:val="0028319F"/>
    <w:rsid w:val="002845BE"/>
    <w:rsid w:val="00284BDC"/>
    <w:rsid w:val="002850BD"/>
    <w:rsid w:val="0028524E"/>
    <w:rsid w:val="0028757A"/>
    <w:rsid w:val="00287C4D"/>
    <w:rsid w:val="00290C33"/>
    <w:rsid w:val="002912B2"/>
    <w:rsid w:val="00291FA7"/>
    <w:rsid w:val="00294918"/>
    <w:rsid w:val="00294994"/>
    <w:rsid w:val="00296069"/>
    <w:rsid w:val="00296C59"/>
    <w:rsid w:val="002A1F8A"/>
    <w:rsid w:val="002A6723"/>
    <w:rsid w:val="002A6946"/>
    <w:rsid w:val="002A74F1"/>
    <w:rsid w:val="002A7818"/>
    <w:rsid w:val="002B01A2"/>
    <w:rsid w:val="002B05BF"/>
    <w:rsid w:val="002B1A4F"/>
    <w:rsid w:val="002C213A"/>
    <w:rsid w:val="002C33F8"/>
    <w:rsid w:val="002C57F1"/>
    <w:rsid w:val="002C7144"/>
    <w:rsid w:val="002D33F9"/>
    <w:rsid w:val="002D449B"/>
    <w:rsid w:val="002E0A65"/>
    <w:rsid w:val="002E13BC"/>
    <w:rsid w:val="002E2412"/>
    <w:rsid w:val="002E2492"/>
    <w:rsid w:val="002E2975"/>
    <w:rsid w:val="002F18FD"/>
    <w:rsid w:val="002F3DAB"/>
    <w:rsid w:val="002F3DCA"/>
    <w:rsid w:val="002F666A"/>
    <w:rsid w:val="002F6F7C"/>
    <w:rsid w:val="0030468B"/>
    <w:rsid w:val="00304BD0"/>
    <w:rsid w:val="00305CCA"/>
    <w:rsid w:val="00306693"/>
    <w:rsid w:val="00307D77"/>
    <w:rsid w:val="00311311"/>
    <w:rsid w:val="00313E9E"/>
    <w:rsid w:val="00314230"/>
    <w:rsid w:val="00314F9B"/>
    <w:rsid w:val="003150D5"/>
    <w:rsid w:val="003151C7"/>
    <w:rsid w:val="00316A79"/>
    <w:rsid w:val="00320F78"/>
    <w:rsid w:val="003210D2"/>
    <w:rsid w:val="003231EE"/>
    <w:rsid w:val="003245E1"/>
    <w:rsid w:val="0032705E"/>
    <w:rsid w:val="00330E56"/>
    <w:rsid w:val="00331ABE"/>
    <w:rsid w:val="003349D5"/>
    <w:rsid w:val="00335642"/>
    <w:rsid w:val="00336144"/>
    <w:rsid w:val="00336634"/>
    <w:rsid w:val="00337B13"/>
    <w:rsid w:val="0034192A"/>
    <w:rsid w:val="00346990"/>
    <w:rsid w:val="0034726C"/>
    <w:rsid w:val="00347573"/>
    <w:rsid w:val="003501C3"/>
    <w:rsid w:val="00350A50"/>
    <w:rsid w:val="00350BD5"/>
    <w:rsid w:val="00351BB9"/>
    <w:rsid w:val="00354A8D"/>
    <w:rsid w:val="003561B0"/>
    <w:rsid w:val="0035768F"/>
    <w:rsid w:val="00361BF0"/>
    <w:rsid w:val="003624FE"/>
    <w:rsid w:val="00366C02"/>
    <w:rsid w:val="00373857"/>
    <w:rsid w:val="00377B3D"/>
    <w:rsid w:val="0038002B"/>
    <w:rsid w:val="003814B0"/>
    <w:rsid w:val="0038177C"/>
    <w:rsid w:val="00384F5F"/>
    <w:rsid w:val="00386468"/>
    <w:rsid w:val="00387024"/>
    <w:rsid w:val="00390DF2"/>
    <w:rsid w:val="00395877"/>
    <w:rsid w:val="00396EEC"/>
    <w:rsid w:val="003A0415"/>
    <w:rsid w:val="003A110C"/>
    <w:rsid w:val="003A19E8"/>
    <w:rsid w:val="003A62CF"/>
    <w:rsid w:val="003B2D19"/>
    <w:rsid w:val="003B2DF3"/>
    <w:rsid w:val="003B33AD"/>
    <w:rsid w:val="003B3792"/>
    <w:rsid w:val="003B4AC2"/>
    <w:rsid w:val="003B4FEE"/>
    <w:rsid w:val="003C033A"/>
    <w:rsid w:val="003C1575"/>
    <w:rsid w:val="003C2926"/>
    <w:rsid w:val="003D040A"/>
    <w:rsid w:val="003D25E7"/>
    <w:rsid w:val="003D2EFA"/>
    <w:rsid w:val="003D4A64"/>
    <w:rsid w:val="003D5275"/>
    <w:rsid w:val="003D56F6"/>
    <w:rsid w:val="003D589C"/>
    <w:rsid w:val="003D63DF"/>
    <w:rsid w:val="003D737F"/>
    <w:rsid w:val="003D77D6"/>
    <w:rsid w:val="003E0070"/>
    <w:rsid w:val="003E4011"/>
    <w:rsid w:val="003E5C74"/>
    <w:rsid w:val="003F2CAE"/>
    <w:rsid w:val="003F6643"/>
    <w:rsid w:val="003F7156"/>
    <w:rsid w:val="003F7474"/>
    <w:rsid w:val="004043C3"/>
    <w:rsid w:val="00404616"/>
    <w:rsid w:val="00407B6A"/>
    <w:rsid w:val="00413A83"/>
    <w:rsid w:val="00414400"/>
    <w:rsid w:val="00415B55"/>
    <w:rsid w:val="004216EB"/>
    <w:rsid w:val="0042190F"/>
    <w:rsid w:val="00432DCA"/>
    <w:rsid w:val="004332EB"/>
    <w:rsid w:val="00434BA9"/>
    <w:rsid w:val="00435169"/>
    <w:rsid w:val="00436322"/>
    <w:rsid w:val="0044196E"/>
    <w:rsid w:val="004435EC"/>
    <w:rsid w:val="0045192A"/>
    <w:rsid w:val="00453945"/>
    <w:rsid w:val="004557B7"/>
    <w:rsid w:val="00464068"/>
    <w:rsid w:val="00466CE6"/>
    <w:rsid w:val="00470674"/>
    <w:rsid w:val="004710FA"/>
    <w:rsid w:val="00474210"/>
    <w:rsid w:val="0047622B"/>
    <w:rsid w:val="00476ABD"/>
    <w:rsid w:val="00480B96"/>
    <w:rsid w:val="00481EE6"/>
    <w:rsid w:val="004826FB"/>
    <w:rsid w:val="0048303E"/>
    <w:rsid w:val="004851F0"/>
    <w:rsid w:val="00485681"/>
    <w:rsid w:val="004919DA"/>
    <w:rsid w:val="004920F6"/>
    <w:rsid w:val="00493B87"/>
    <w:rsid w:val="004A1117"/>
    <w:rsid w:val="004A11CC"/>
    <w:rsid w:val="004A1C67"/>
    <w:rsid w:val="004A578D"/>
    <w:rsid w:val="004A637C"/>
    <w:rsid w:val="004A67E8"/>
    <w:rsid w:val="004B3C90"/>
    <w:rsid w:val="004C31AD"/>
    <w:rsid w:val="004C3D65"/>
    <w:rsid w:val="004C4153"/>
    <w:rsid w:val="004C6D29"/>
    <w:rsid w:val="004D232A"/>
    <w:rsid w:val="004D2845"/>
    <w:rsid w:val="004D2C87"/>
    <w:rsid w:val="004D3D65"/>
    <w:rsid w:val="004D4838"/>
    <w:rsid w:val="004D5392"/>
    <w:rsid w:val="004D6472"/>
    <w:rsid w:val="004E01D4"/>
    <w:rsid w:val="004E081F"/>
    <w:rsid w:val="004E2D03"/>
    <w:rsid w:val="004E3C13"/>
    <w:rsid w:val="004E3C23"/>
    <w:rsid w:val="004E5935"/>
    <w:rsid w:val="004E5A20"/>
    <w:rsid w:val="004F0488"/>
    <w:rsid w:val="004F0863"/>
    <w:rsid w:val="004F3D20"/>
    <w:rsid w:val="004F6CDE"/>
    <w:rsid w:val="004F6D7B"/>
    <w:rsid w:val="00503147"/>
    <w:rsid w:val="005033F5"/>
    <w:rsid w:val="005120FD"/>
    <w:rsid w:val="005124B0"/>
    <w:rsid w:val="00512A45"/>
    <w:rsid w:val="0051363F"/>
    <w:rsid w:val="00513987"/>
    <w:rsid w:val="005166AA"/>
    <w:rsid w:val="00520221"/>
    <w:rsid w:val="00521398"/>
    <w:rsid w:val="0052204A"/>
    <w:rsid w:val="0053349E"/>
    <w:rsid w:val="00534DB6"/>
    <w:rsid w:val="005352E0"/>
    <w:rsid w:val="00542275"/>
    <w:rsid w:val="00546119"/>
    <w:rsid w:val="00546133"/>
    <w:rsid w:val="00552852"/>
    <w:rsid w:val="00553DB9"/>
    <w:rsid w:val="005558BE"/>
    <w:rsid w:val="00557327"/>
    <w:rsid w:val="00561ACE"/>
    <w:rsid w:val="005624E0"/>
    <w:rsid w:val="005641F2"/>
    <w:rsid w:val="00565135"/>
    <w:rsid w:val="00572822"/>
    <w:rsid w:val="00575B06"/>
    <w:rsid w:val="0058015D"/>
    <w:rsid w:val="00586663"/>
    <w:rsid w:val="00586DEC"/>
    <w:rsid w:val="00587228"/>
    <w:rsid w:val="00587C67"/>
    <w:rsid w:val="00594167"/>
    <w:rsid w:val="00597D3F"/>
    <w:rsid w:val="005A334B"/>
    <w:rsid w:val="005B2970"/>
    <w:rsid w:val="005B2F09"/>
    <w:rsid w:val="005B3452"/>
    <w:rsid w:val="005B3798"/>
    <w:rsid w:val="005B5CEB"/>
    <w:rsid w:val="005B7883"/>
    <w:rsid w:val="005B79E9"/>
    <w:rsid w:val="005C3AA6"/>
    <w:rsid w:val="005C45EE"/>
    <w:rsid w:val="005C5D7C"/>
    <w:rsid w:val="005C7981"/>
    <w:rsid w:val="005D06A8"/>
    <w:rsid w:val="005D119B"/>
    <w:rsid w:val="005D236C"/>
    <w:rsid w:val="005E47FA"/>
    <w:rsid w:val="005E4912"/>
    <w:rsid w:val="005E6F1F"/>
    <w:rsid w:val="005F2EE7"/>
    <w:rsid w:val="005F44D1"/>
    <w:rsid w:val="005F536A"/>
    <w:rsid w:val="005F7647"/>
    <w:rsid w:val="00606230"/>
    <w:rsid w:val="00610BDA"/>
    <w:rsid w:val="00612DF0"/>
    <w:rsid w:val="00612F41"/>
    <w:rsid w:val="00613033"/>
    <w:rsid w:val="00616D5D"/>
    <w:rsid w:val="006177F6"/>
    <w:rsid w:val="00621129"/>
    <w:rsid w:val="00621C8F"/>
    <w:rsid w:val="00621D55"/>
    <w:rsid w:val="00622FE2"/>
    <w:rsid w:val="00627AED"/>
    <w:rsid w:val="00633916"/>
    <w:rsid w:val="0063760A"/>
    <w:rsid w:val="00640CCA"/>
    <w:rsid w:val="00640D14"/>
    <w:rsid w:val="00641D2B"/>
    <w:rsid w:val="0064494D"/>
    <w:rsid w:val="0064561C"/>
    <w:rsid w:val="00646178"/>
    <w:rsid w:val="00646BB6"/>
    <w:rsid w:val="00655B7B"/>
    <w:rsid w:val="006604B7"/>
    <w:rsid w:val="00660842"/>
    <w:rsid w:val="00660DB9"/>
    <w:rsid w:val="00662D3E"/>
    <w:rsid w:val="0066483F"/>
    <w:rsid w:val="00664D13"/>
    <w:rsid w:val="0066523F"/>
    <w:rsid w:val="0066524B"/>
    <w:rsid w:val="006672D3"/>
    <w:rsid w:val="00672DDD"/>
    <w:rsid w:val="00673A13"/>
    <w:rsid w:val="00674D58"/>
    <w:rsid w:val="00676C91"/>
    <w:rsid w:val="00680095"/>
    <w:rsid w:val="00680562"/>
    <w:rsid w:val="00680F53"/>
    <w:rsid w:val="006847F8"/>
    <w:rsid w:val="006851D1"/>
    <w:rsid w:val="006855CA"/>
    <w:rsid w:val="00690B77"/>
    <w:rsid w:val="00694602"/>
    <w:rsid w:val="00697C41"/>
    <w:rsid w:val="006A1216"/>
    <w:rsid w:val="006A6BCD"/>
    <w:rsid w:val="006B1E74"/>
    <w:rsid w:val="006B3E1B"/>
    <w:rsid w:val="006B6B2D"/>
    <w:rsid w:val="006B7026"/>
    <w:rsid w:val="006C1660"/>
    <w:rsid w:val="006C304A"/>
    <w:rsid w:val="006C3E11"/>
    <w:rsid w:val="006C4000"/>
    <w:rsid w:val="006C5911"/>
    <w:rsid w:val="006C742E"/>
    <w:rsid w:val="006D04D7"/>
    <w:rsid w:val="006D5F04"/>
    <w:rsid w:val="006D6937"/>
    <w:rsid w:val="006E4DE4"/>
    <w:rsid w:val="006E56E8"/>
    <w:rsid w:val="006E7B20"/>
    <w:rsid w:val="006F4A58"/>
    <w:rsid w:val="006F528A"/>
    <w:rsid w:val="007038F6"/>
    <w:rsid w:val="00704195"/>
    <w:rsid w:val="00705AA5"/>
    <w:rsid w:val="00707877"/>
    <w:rsid w:val="007103DD"/>
    <w:rsid w:val="00710933"/>
    <w:rsid w:val="00711200"/>
    <w:rsid w:val="0071237C"/>
    <w:rsid w:val="00712E6D"/>
    <w:rsid w:val="007134DB"/>
    <w:rsid w:val="00714DE4"/>
    <w:rsid w:val="00722871"/>
    <w:rsid w:val="00723256"/>
    <w:rsid w:val="0072397F"/>
    <w:rsid w:val="007258B9"/>
    <w:rsid w:val="00725E1F"/>
    <w:rsid w:val="00727FCE"/>
    <w:rsid w:val="00730B8F"/>
    <w:rsid w:val="00731922"/>
    <w:rsid w:val="00731ACB"/>
    <w:rsid w:val="007325F1"/>
    <w:rsid w:val="0073394E"/>
    <w:rsid w:val="007368AD"/>
    <w:rsid w:val="0074001A"/>
    <w:rsid w:val="0074133D"/>
    <w:rsid w:val="0074619A"/>
    <w:rsid w:val="0075196D"/>
    <w:rsid w:val="0075558C"/>
    <w:rsid w:val="00755F52"/>
    <w:rsid w:val="00761EFA"/>
    <w:rsid w:val="00762A93"/>
    <w:rsid w:val="00764873"/>
    <w:rsid w:val="0076556B"/>
    <w:rsid w:val="00766A5B"/>
    <w:rsid w:val="00767064"/>
    <w:rsid w:val="00771D31"/>
    <w:rsid w:val="0077376B"/>
    <w:rsid w:val="00775AE5"/>
    <w:rsid w:val="007778DD"/>
    <w:rsid w:val="007819DA"/>
    <w:rsid w:val="00782888"/>
    <w:rsid w:val="007853D9"/>
    <w:rsid w:val="00790458"/>
    <w:rsid w:val="00791261"/>
    <w:rsid w:val="007918FE"/>
    <w:rsid w:val="00791CC6"/>
    <w:rsid w:val="00793C8F"/>
    <w:rsid w:val="00796693"/>
    <w:rsid w:val="00797357"/>
    <w:rsid w:val="007A04F9"/>
    <w:rsid w:val="007A31CA"/>
    <w:rsid w:val="007B5552"/>
    <w:rsid w:val="007B7967"/>
    <w:rsid w:val="007B7DFB"/>
    <w:rsid w:val="007C5E6E"/>
    <w:rsid w:val="007C7591"/>
    <w:rsid w:val="007C7DA6"/>
    <w:rsid w:val="007D14E6"/>
    <w:rsid w:val="007D5CD5"/>
    <w:rsid w:val="007D6D43"/>
    <w:rsid w:val="007D6FC8"/>
    <w:rsid w:val="007E4275"/>
    <w:rsid w:val="007E44A9"/>
    <w:rsid w:val="007E715A"/>
    <w:rsid w:val="007F4ADB"/>
    <w:rsid w:val="007F6AE9"/>
    <w:rsid w:val="008008A6"/>
    <w:rsid w:val="00801731"/>
    <w:rsid w:val="00801929"/>
    <w:rsid w:val="0080333A"/>
    <w:rsid w:val="008039E1"/>
    <w:rsid w:val="0080462A"/>
    <w:rsid w:val="0080571C"/>
    <w:rsid w:val="00807854"/>
    <w:rsid w:val="0081030A"/>
    <w:rsid w:val="00811953"/>
    <w:rsid w:val="008140D1"/>
    <w:rsid w:val="00816BAB"/>
    <w:rsid w:val="00817A14"/>
    <w:rsid w:val="00822CF6"/>
    <w:rsid w:val="0082378F"/>
    <w:rsid w:val="00827F46"/>
    <w:rsid w:val="00835D93"/>
    <w:rsid w:val="00836F89"/>
    <w:rsid w:val="008437F2"/>
    <w:rsid w:val="00844014"/>
    <w:rsid w:val="00846021"/>
    <w:rsid w:val="00846459"/>
    <w:rsid w:val="00846A14"/>
    <w:rsid w:val="00847D5F"/>
    <w:rsid w:val="00854D34"/>
    <w:rsid w:val="00854E16"/>
    <w:rsid w:val="008565AE"/>
    <w:rsid w:val="00856B07"/>
    <w:rsid w:val="008572C4"/>
    <w:rsid w:val="00860A44"/>
    <w:rsid w:val="008616F0"/>
    <w:rsid w:val="00863435"/>
    <w:rsid w:val="00867650"/>
    <w:rsid w:val="00867983"/>
    <w:rsid w:val="00872827"/>
    <w:rsid w:val="0087349A"/>
    <w:rsid w:val="00875E12"/>
    <w:rsid w:val="00875E6E"/>
    <w:rsid w:val="008814C2"/>
    <w:rsid w:val="00883869"/>
    <w:rsid w:val="00885426"/>
    <w:rsid w:val="008861A0"/>
    <w:rsid w:val="0088728B"/>
    <w:rsid w:val="00887F26"/>
    <w:rsid w:val="00893F51"/>
    <w:rsid w:val="00894D8C"/>
    <w:rsid w:val="00895DF4"/>
    <w:rsid w:val="00896B63"/>
    <w:rsid w:val="008A042C"/>
    <w:rsid w:val="008A129B"/>
    <w:rsid w:val="008A1BA2"/>
    <w:rsid w:val="008A300F"/>
    <w:rsid w:val="008A5FB9"/>
    <w:rsid w:val="008A7422"/>
    <w:rsid w:val="008A7890"/>
    <w:rsid w:val="008B08B8"/>
    <w:rsid w:val="008B118E"/>
    <w:rsid w:val="008B1A4D"/>
    <w:rsid w:val="008B3683"/>
    <w:rsid w:val="008B4983"/>
    <w:rsid w:val="008B4F86"/>
    <w:rsid w:val="008B5C14"/>
    <w:rsid w:val="008B5F8A"/>
    <w:rsid w:val="008C000A"/>
    <w:rsid w:val="008C406C"/>
    <w:rsid w:val="008C5263"/>
    <w:rsid w:val="008C5328"/>
    <w:rsid w:val="008C633D"/>
    <w:rsid w:val="008D5712"/>
    <w:rsid w:val="008D589C"/>
    <w:rsid w:val="008D6762"/>
    <w:rsid w:val="008E1AF8"/>
    <w:rsid w:val="008E586F"/>
    <w:rsid w:val="008E7085"/>
    <w:rsid w:val="008E71CE"/>
    <w:rsid w:val="008F1439"/>
    <w:rsid w:val="008F1777"/>
    <w:rsid w:val="008F60C3"/>
    <w:rsid w:val="008F6746"/>
    <w:rsid w:val="00903196"/>
    <w:rsid w:val="00907968"/>
    <w:rsid w:val="00910AE4"/>
    <w:rsid w:val="00911B2E"/>
    <w:rsid w:val="0091262E"/>
    <w:rsid w:val="00917F99"/>
    <w:rsid w:val="009215BC"/>
    <w:rsid w:val="00922000"/>
    <w:rsid w:val="00923202"/>
    <w:rsid w:val="00925514"/>
    <w:rsid w:val="00926476"/>
    <w:rsid w:val="00926D62"/>
    <w:rsid w:val="0093163E"/>
    <w:rsid w:val="0093399B"/>
    <w:rsid w:val="00935E1E"/>
    <w:rsid w:val="00936436"/>
    <w:rsid w:val="009377DD"/>
    <w:rsid w:val="00940622"/>
    <w:rsid w:val="0094224A"/>
    <w:rsid w:val="00944CB7"/>
    <w:rsid w:val="00945DDE"/>
    <w:rsid w:val="00952616"/>
    <w:rsid w:val="009564A6"/>
    <w:rsid w:val="0096205E"/>
    <w:rsid w:val="00965E3E"/>
    <w:rsid w:val="00966BAC"/>
    <w:rsid w:val="0097004F"/>
    <w:rsid w:val="00970EB2"/>
    <w:rsid w:val="009733CF"/>
    <w:rsid w:val="009743CB"/>
    <w:rsid w:val="00981F8F"/>
    <w:rsid w:val="00983756"/>
    <w:rsid w:val="00986C09"/>
    <w:rsid w:val="009934F2"/>
    <w:rsid w:val="0099355C"/>
    <w:rsid w:val="00996A58"/>
    <w:rsid w:val="00997B8E"/>
    <w:rsid w:val="009A2455"/>
    <w:rsid w:val="009A2ABE"/>
    <w:rsid w:val="009A2C89"/>
    <w:rsid w:val="009A3DF3"/>
    <w:rsid w:val="009A6A2F"/>
    <w:rsid w:val="009B0D39"/>
    <w:rsid w:val="009B224D"/>
    <w:rsid w:val="009B465E"/>
    <w:rsid w:val="009B6508"/>
    <w:rsid w:val="009B69AD"/>
    <w:rsid w:val="009C1347"/>
    <w:rsid w:val="009C3E3E"/>
    <w:rsid w:val="009C6B31"/>
    <w:rsid w:val="009C755C"/>
    <w:rsid w:val="009C780F"/>
    <w:rsid w:val="009D041C"/>
    <w:rsid w:val="009D35B6"/>
    <w:rsid w:val="009D61BA"/>
    <w:rsid w:val="009E05CA"/>
    <w:rsid w:val="009E0A9E"/>
    <w:rsid w:val="009E0DAA"/>
    <w:rsid w:val="009E1A69"/>
    <w:rsid w:val="009E3427"/>
    <w:rsid w:val="009F04C3"/>
    <w:rsid w:val="009F3C82"/>
    <w:rsid w:val="009F43CB"/>
    <w:rsid w:val="009F554A"/>
    <w:rsid w:val="009F58BB"/>
    <w:rsid w:val="009F6EE4"/>
    <w:rsid w:val="00A10A09"/>
    <w:rsid w:val="00A10C53"/>
    <w:rsid w:val="00A119CE"/>
    <w:rsid w:val="00A14246"/>
    <w:rsid w:val="00A1563B"/>
    <w:rsid w:val="00A2295D"/>
    <w:rsid w:val="00A22EFC"/>
    <w:rsid w:val="00A2331C"/>
    <w:rsid w:val="00A263D5"/>
    <w:rsid w:val="00A27EC0"/>
    <w:rsid w:val="00A307D8"/>
    <w:rsid w:val="00A30FBF"/>
    <w:rsid w:val="00A34E64"/>
    <w:rsid w:val="00A34F5F"/>
    <w:rsid w:val="00A43F71"/>
    <w:rsid w:val="00A46A68"/>
    <w:rsid w:val="00A5012F"/>
    <w:rsid w:val="00A50229"/>
    <w:rsid w:val="00A50379"/>
    <w:rsid w:val="00A506E3"/>
    <w:rsid w:val="00A50EE9"/>
    <w:rsid w:val="00A55067"/>
    <w:rsid w:val="00A569DC"/>
    <w:rsid w:val="00A64167"/>
    <w:rsid w:val="00A64DEE"/>
    <w:rsid w:val="00A667D4"/>
    <w:rsid w:val="00A711A2"/>
    <w:rsid w:val="00A72E6A"/>
    <w:rsid w:val="00A800E1"/>
    <w:rsid w:val="00A81135"/>
    <w:rsid w:val="00A84933"/>
    <w:rsid w:val="00A85266"/>
    <w:rsid w:val="00A86093"/>
    <w:rsid w:val="00A86F48"/>
    <w:rsid w:val="00A90F11"/>
    <w:rsid w:val="00A936D3"/>
    <w:rsid w:val="00A96F58"/>
    <w:rsid w:val="00A97A96"/>
    <w:rsid w:val="00A97D23"/>
    <w:rsid w:val="00AA2CAB"/>
    <w:rsid w:val="00AA2E71"/>
    <w:rsid w:val="00AB35BB"/>
    <w:rsid w:val="00AB3636"/>
    <w:rsid w:val="00AB5460"/>
    <w:rsid w:val="00AB5F40"/>
    <w:rsid w:val="00AC38CA"/>
    <w:rsid w:val="00AC3F0B"/>
    <w:rsid w:val="00AC48C7"/>
    <w:rsid w:val="00AD0A33"/>
    <w:rsid w:val="00AD23F7"/>
    <w:rsid w:val="00AD5B8F"/>
    <w:rsid w:val="00AD5D2D"/>
    <w:rsid w:val="00AD73C6"/>
    <w:rsid w:val="00AE277E"/>
    <w:rsid w:val="00AE76B4"/>
    <w:rsid w:val="00AF1AF1"/>
    <w:rsid w:val="00AF7078"/>
    <w:rsid w:val="00AF7D05"/>
    <w:rsid w:val="00B03376"/>
    <w:rsid w:val="00B07524"/>
    <w:rsid w:val="00B100F8"/>
    <w:rsid w:val="00B129B6"/>
    <w:rsid w:val="00B12A25"/>
    <w:rsid w:val="00B12EF3"/>
    <w:rsid w:val="00B17D95"/>
    <w:rsid w:val="00B17DD2"/>
    <w:rsid w:val="00B24AC8"/>
    <w:rsid w:val="00B31CB6"/>
    <w:rsid w:val="00B33BC6"/>
    <w:rsid w:val="00B35B7C"/>
    <w:rsid w:val="00B35F16"/>
    <w:rsid w:val="00B42D8B"/>
    <w:rsid w:val="00B45106"/>
    <w:rsid w:val="00B53C15"/>
    <w:rsid w:val="00B54160"/>
    <w:rsid w:val="00B57F2E"/>
    <w:rsid w:val="00B57F97"/>
    <w:rsid w:val="00B608D8"/>
    <w:rsid w:val="00B61642"/>
    <w:rsid w:val="00B616BF"/>
    <w:rsid w:val="00B62B3B"/>
    <w:rsid w:val="00B63393"/>
    <w:rsid w:val="00B63562"/>
    <w:rsid w:val="00B6429B"/>
    <w:rsid w:val="00B64B50"/>
    <w:rsid w:val="00B71139"/>
    <w:rsid w:val="00B72F36"/>
    <w:rsid w:val="00B73B16"/>
    <w:rsid w:val="00B74679"/>
    <w:rsid w:val="00B81BB1"/>
    <w:rsid w:val="00B93283"/>
    <w:rsid w:val="00B945EC"/>
    <w:rsid w:val="00B94A0C"/>
    <w:rsid w:val="00B96D42"/>
    <w:rsid w:val="00BA2F6F"/>
    <w:rsid w:val="00BA3792"/>
    <w:rsid w:val="00BA3C11"/>
    <w:rsid w:val="00BA5F5F"/>
    <w:rsid w:val="00BB2CA5"/>
    <w:rsid w:val="00BB3180"/>
    <w:rsid w:val="00BB3B3F"/>
    <w:rsid w:val="00BB7102"/>
    <w:rsid w:val="00BC102C"/>
    <w:rsid w:val="00BC1F9A"/>
    <w:rsid w:val="00BC3FF4"/>
    <w:rsid w:val="00BC47CF"/>
    <w:rsid w:val="00BC66B3"/>
    <w:rsid w:val="00BC6861"/>
    <w:rsid w:val="00BD01E0"/>
    <w:rsid w:val="00BD05E1"/>
    <w:rsid w:val="00BD3522"/>
    <w:rsid w:val="00BD43E6"/>
    <w:rsid w:val="00BD5224"/>
    <w:rsid w:val="00BD6C83"/>
    <w:rsid w:val="00BE3F05"/>
    <w:rsid w:val="00BE486F"/>
    <w:rsid w:val="00BE50B8"/>
    <w:rsid w:val="00BF0305"/>
    <w:rsid w:val="00BF523A"/>
    <w:rsid w:val="00BF562D"/>
    <w:rsid w:val="00BF5A48"/>
    <w:rsid w:val="00BF65A8"/>
    <w:rsid w:val="00C00EF4"/>
    <w:rsid w:val="00C01CA6"/>
    <w:rsid w:val="00C0339B"/>
    <w:rsid w:val="00C040FC"/>
    <w:rsid w:val="00C05BC3"/>
    <w:rsid w:val="00C0605C"/>
    <w:rsid w:val="00C0799A"/>
    <w:rsid w:val="00C10875"/>
    <w:rsid w:val="00C11D0D"/>
    <w:rsid w:val="00C203B6"/>
    <w:rsid w:val="00C32BC7"/>
    <w:rsid w:val="00C42408"/>
    <w:rsid w:val="00C46FF8"/>
    <w:rsid w:val="00C47BE6"/>
    <w:rsid w:val="00C50546"/>
    <w:rsid w:val="00C509C3"/>
    <w:rsid w:val="00C53B32"/>
    <w:rsid w:val="00C6080E"/>
    <w:rsid w:val="00C62680"/>
    <w:rsid w:val="00C62E8B"/>
    <w:rsid w:val="00C630B9"/>
    <w:rsid w:val="00C6356E"/>
    <w:rsid w:val="00C65461"/>
    <w:rsid w:val="00C6634E"/>
    <w:rsid w:val="00C70EAE"/>
    <w:rsid w:val="00C83B65"/>
    <w:rsid w:val="00C84094"/>
    <w:rsid w:val="00C84530"/>
    <w:rsid w:val="00C87E40"/>
    <w:rsid w:val="00C91DF9"/>
    <w:rsid w:val="00C9219B"/>
    <w:rsid w:val="00C93A9F"/>
    <w:rsid w:val="00C95439"/>
    <w:rsid w:val="00CA085F"/>
    <w:rsid w:val="00CA12BC"/>
    <w:rsid w:val="00CA38EB"/>
    <w:rsid w:val="00CA4FE6"/>
    <w:rsid w:val="00CA58AA"/>
    <w:rsid w:val="00CA58BB"/>
    <w:rsid w:val="00CA624A"/>
    <w:rsid w:val="00CB0898"/>
    <w:rsid w:val="00CB0996"/>
    <w:rsid w:val="00CB1E5D"/>
    <w:rsid w:val="00CB244D"/>
    <w:rsid w:val="00CB322E"/>
    <w:rsid w:val="00CB7FF7"/>
    <w:rsid w:val="00CC2009"/>
    <w:rsid w:val="00CC2C1D"/>
    <w:rsid w:val="00CC7ACD"/>
    <w:rsid w:val="00CD2111"/>
    <w:rsid w:val="00CD484A"/>
    <w:rsid w:val="00CD50B5"/>
    <w:rsid w:val="00CD73A9"/>
    <w:rsid w:val="00CD7630"/>
    <w:rsid w:val="00CD78AF"/>
    <w:rsid w:val="00CE20AB"/>
    <w:rsid w:val="00CE3736"/>
    <w:rsid w:val="00CE3923"/>
    <w:rsid w:val="00CE3B91"/>
    <w:rsid w:val="00CE4608"/>
    <w:rsid w:val="00CE5707"/>
    <w:rsid w:val="00CE5BFA"/>
    <w:rsid w:val="00CE5FFF"/>
    <w:rsid w:val="00CE6153"/>
    <w:rsid w:val="00CF1C40"/>
    <w:rsid w:val="00CF5585"/>
    <w:rsid w:val="00CF6C9F"/>
    <w:rsid w:val="00D02FB6"/>
    <w:rsid w:val="00D0309C"/>
    <w:rsid w:val="00D05EC5"/>
    <w:rsid w:val="00D067C3"/>
    <w:rsid w:val="00D06B4A"/>
    <w:rsid w:val="00D06F12"/>
    <w:rsid w:val="00D07400"/>
    <w:rsid w:val="00D074F1"/>
    <w:rsid w:val="00D11D3F"/>
    <w:rsid w:val="00D121BC"/>
    <w:rsid w:val="00D1368C"/>
    <w:rsid w:val="00D14C46"/>
    <w:rsid w:val="00D21EF3"/>
    <w:rsid w:val="00D2275C"/>
    <w:rsid w:val="00D22828"/>
    <w:rsid w:val="00D240C9"/>
    <w:rsid w:val="00D26226"/>
    <w:rsid w:val="00D411C1"/>
    <w:rsid w:val="00D43954"/>
    <w:rsid w:val="00D43957"/>
    <w:rsid w:val="00D45694"/>
    <w:rsid w:val="00D46790"/>
    <w:rsid w:val="00D51842"/>
    <w:rsid w:val="00D52080"/>
    <w:rsid w:val="00D55C42"/>
    <w:rsid w:val="00D62420"/>
    <w:rsid w:val="00D63A7E"/>
    <w:rsid w:val="00D6661F"/>
    <w:rsid w:val="00D7466F"/>
    <w:rsid w:val="00D76541"/>
    <w:rsid w:val="00D804E6"/>
    <w:rsid w:val="00D90D26"/>
    <w:rsid w:val="00D9104D"/>
    <w:rsid w:val="00D91C27"/>
    <w:rsid w:val="00D92FE6"/>
    <w:rsid w:val="00D9347E"/>
    <w:rsid w:val="00D95A88"/>
    <w:rsid w:val="00D971B7"/>
    <w:rsid w:val="00D97FB4"/>
    <w:rsid w:val="00DA116C"/>
    <w:rsid w:val="00DA21E8"/>
    <w:rsid w:val="00DA3708"/>
    <w:rsid w:val="00DB10C5"/>
    <w:rsid w:val="00DB1EA2"/>
    <w:rsid w:val="00DB2B85"/>
    <w:rsid w:val="00DB4BD3"/>
    <w:rsid w:val="00DB5CE9"/>
    <w:rsid w:val="00DB6296"/>
    <w:rsid w:val="00DC5925"/>
    <w:rsid w:val="00DC5991"/>
    <w:rsid w:val="00DC60FA"/>
    <w:rsid w:val="00DC6B86"/>
    <w:rsid w:val="00DD129F"/>
    <w:rsid w:val="00DD179B"/>
    <w:rsid w:val="00DD24F6"/>
    <w:rsid w:val="00DD39DC"/>
    <w:rsid w:val="00DD58B4"/>
    <w:rsid w:val="00DE16FA"/>
    <w:rsid w:val="00DE23AF"/>
    <w:rsid w:val="00DE4A3F"/>
    <w:rsid w:val="00DF11B0"/>
    <w:rsid w:val="00DF2923"/>
    <w:rsid w:val="00DF37E0"/>
    <w:rsid w:val="00DF3A1A"/>
    <w:rsid w:val="00DF4CBC"/>
    <w:rsid w:val="00E01765"/>
    <w:rsid w:val="00E0191B"/>
    <w:rsid w:val="00E0536B"/>
    <w:rsid w:val="00E14598"/>
    <w:rsid w:val="00E168DB"/>
    <w:rsid w:val="00E17018"/>
    <w:rsid w:val="00E17598"/>
    <w:rsid w:val="00E231EA"/>
    <w:rsid w:val="00E248E5"/>
    <w:rsid w:val="00E31B84"/>
    <w:rsid w:val="00E353C5"/>
    <w:rsid w:val="00E35F32"/>
    <w:rsid w:val="00E4291D"/>
    <w:rsid w:val="00E42F90"/>
    <w:rsid w:val="00E46FC9"/>
    <w:rsid w:val="00E51563"/>
    <w:rsid w:val="00E52626"/>
    <w:rsid w:val="00E52758"/>
    <w:rsid w:val="00E54D98"/>
    <w:rsid w:val="00E56780"/>
    <w:rsid w:val="00E603D9"/>
    <w:rsid w:val="00E6576D"/>
    <w:rsid w:val="00E76DE8"/>
    <w:rsid w:val="00E84213"/>
    <w:rsid w:val="00E84BE1"/>
    <w:rsid w:val="00E86428"/>
    <w:rsid w:val="00E87A65"/>
    <w:rsid w:val="00E94928"/>
    <w:rsid w:val="00E9544A"/>
    <w:rsid w:val="00E963EA"/>
    <w:rsid w:val="00E96C08"/>
    <w:rsid w:val="00EA186E"/>
    <w:rsid w:val="00EA192B"/>
    <w:rsid w:val="00EA26EB"/>
    <w:rsid w:val="00EA2FE9"/>
    <w:rsid w:val="00EA5199"/>
    <w:rsid w:val="00EB1434"/>
    <w:rsid w:val="00EB44DF"/>
    <w:rsid w:val="00EB45B9"/>
    <w:rsid w:val="00EC260E"/>
    <w:rsid w:val="00EC4763"/>
    <w:rsid w:val="00EC57F4"/>
    <w:rsid w:val="00EC6462"/>
    <w:rsid w:val="00EC694C"/>
    <w:rsid w:val="00ED359B"/>
    <w:rsid w:val="00ED3C20"/>
    <w:rsid w:val="00ED7A05"/>
    <w:rsid w:val="00EE334C"/>
    <w:rsid w:val="00EE3934"/>
    <w:rsid w:val="00EE5473"/>
    <w:rsid w:val="00EE592F"/>
    <w:rsid w:val="00EE5ECD"/>
    <w:rsid w:val="00EE6495"/>
    <w:rsid w:val="00EF255A"/>
    <w:rsid w:val="00EF2D20"/>
    <w:rsid w:val="00EF328B"/>
    <w:rsid w:val="00EF350C"/>
    <w:rsid w:val="00F02153"/>
    <w:rsid w:val="00F05535"/>
    <w:rsid w:val="00F150FF"/>
    <w:rsid w:val="00F15675"/>
    <w:rsid w:val="00F158CC"/>
    <w:rsid w:val="00F21250"/>
    <w:rsid w:val="00F23220"/>
    <w:rsid w:val="00F2398D"/>
    <w:rsid w:val="00F2660F"/>
    <w:rsid w:val="00F309EB"/>
    <w:rsid w:val="00F32EEF"/>
    <w:rsid w:val="00F360AF"/>
    <w:rsid w:val="00F367C6"/>
    <w:rsid w:val="00F37547"/>
    <w:rsid w:val="00F439B6"/>
    <w:rsid w:val="00F45E05"/>
    <w:rsid w:val="00F4737D"/>
    <w:rsid w:val="00F60558"/>
    <w:rsid w:val="00F629D5"/>
    <w:rsid w:val="00F634A3"/>
    <w:rsid w:val="00F667F6"/>
    <w:rsid w:val="00F710F9"/>
    <w:rsid w:val="00F730EE"/>
    <w:rsid w:val="00F76DF2"/>
    <w:rsid w:val="00F800D1"/>
    <w:rsid w:val="00F83FF8"/>
    <w:rsid w:val="00F87D71"/>
    <w:rsid w:val="00F87F40"/>
    <w:rsid w:val="00F920F6"/>
    <w:rsid w:val="00F928EE"/>
    <w:rsid w:val="00F94EED"/>
    <w:rsid w:val="00F970D4"/>
    <w:rsid w:val="00FA0AE4"/>
    <w:rsid w:val="00FA303A"/>
    <w:rsid w:val="00FB25C4"/>
    <w:rsid w:val="00FB4DBA"/>
    <w:rsid w:val="00FB667E"/>
    <w:rsid w:val="00FD501D"/>
    <w:rsid w:val="00FD5136"/>
    <w:rsid w:val="00FE552D"/>
    <w:rsid w:val="00FE59C1"/>
    <w:rsid w:val="00FF195C"/>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1F0548"/>
  <w15:docId w15:val="{AFA6A585-D082-4EFC-BF14-91406A3FF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C" w:eastAsia="es-EC"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92E09"/>
    <w:rPr>
      <w:sz w:val="24"/>
      <w:szCs w:val="24"/>
      <w:lang w:val="es-CO" w:eastAsia="es-ES_tradnl"/>
    </w:rPr>
  </w:style>
  <w:style w:type="paragraph" w:styleId="Ttulo1">
    <w:name w:val="heading 1"/>
    <w:basedOn w:val="Normal"/>
    <w:next w:val="Normal"/>
    <w:link w:val="Ttulo1Car"/>
    <w:autoRedefine/>
    <w:uiPriority w:val="9"/>
    <w:qFormat/>
    <w:rsid w:val="00F60558"/>
    <w:pPr>
      <w:numPr>
        <w:numId w:val="4"/>
      </w:numPr>
      <w:autoSpaceDE w:val="0"/>
      <w:autoSpaceDN w:val="0"/>
      <w:adjustRightInd w:val="0"/>
      <w:jc w:val="both"/>
      <w:outlineLvl w:val="0"/>
    </w:pPr>
    <w:rPr>
      <w:b/>
      <w:bCs/>
      <w:lang w:val="es-ES"/>
    </w:rPr>
  </w:style>
  <w:style w:type="paragraph" w:styleId="Ttulo2">
    <w:name w:val="heading 2"/>
    <w:basedOn w:val="Normal"/>
    <w:next w:val="Normal"/>
    <w:link w:val="Ttulo2Car"/>
    <w:autoRedefine/>
    <w:uiPriority w:val="9"/>
    <w:qFormat/>
    <w:rsid w:val="00D45694"/>
    <w:pPr>
      <w:keepNext/>
      <w:ind w:firstLine="360"/>
      <w:outlineLvl w:val="1"/>
    </w:pPr>
    <w:rPr>
      <w:rFonts w:cs="Arial"/>
      <w:b/>
      <w:bCs/>
      <w:iCs/>
      <w:szCs w:val="28"/>
      <w:lang w:val="es-ES"/>
    </w:rPr>
  </w:style>
  <w:style w:type="paragraph" w:styleId="Ttulo3">
    <w:name w:val="heading 3"/>
    <w:basedOn w:val="Normal"/>
    <w:next w:val="Normal"/>
    <w:autoRedefine/>
    <w:qFormat/>
    <w:rsid w:val="00640CCA"/>
    <w:pPr>
      <w:spacing w:line="276" w:lineRule="auto"/>
      <w:ind w:firstLine="426"/>
      <w:jc w:val="both"/>
      <w:outlineLvl w:val="2"/>
    </w:pPr>
    <w:rPr>
      <w:b/>
    </w:rPr>
  </w:style>
  <w:style w:type="paragraph" w:styleId="Ttulo4">
    <w:name w:val="heading 4"/>
    <w:basedOn w:val="Normal"/>
    <w:next w:val="Normal"/>
    <w:link w:val="Ttulo4Car"/>
    <w:unhideWhenUsed/>
    <w:qFormat/>
    <w:rsid w:val="00A64167"/>
    <w:pPr>
      <w:keepNext/>
      <w:spacing w:before="240" w:after="60"/>
      <w:outlineLvl w:val="3"/>
    </w:pPr>
    <w:rPr>
      <w:b/>
      <w:bCs/>
      <w:i/>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pPr>
      <w:tabs>
        <w:tab w:val="center" w:pos="4320"/>
        <w:tab w:val="right" w:pos="8640"/>
      </w:tabs>
    </w:pPr>
  </w:style>
  <w:style w:type="paragraph" w:styleId="Encabezado">
    <w:name w:val="header"/>
    <w:basedOn w:val="Normal"/>
    <w:link w:val="EncabezadoCar"/>
    <w:uiPriority w:val="99"/>
    <w:pPr>
      <w:tabs>
        <w:tab w:val="center" w:pos="4320"/>
        <w:tab w:val="right" w:pos="8640"/>
      </w:tabs>
    </w:pPr>
  </w:style>
  <w:style w:type="paragraph" w:customStyle="1" w:styleId="Level1">
    <w:name w:val="Level 1"/>
    <w:pPr>
      <w:autoSpaceDE w:val="0"/>
      <w:autoSpaceDN w:val="0"/>
      <w:adjustRightInd w:val="0"/>
      <w:spacing w:line="360" w:lineRule="auto"/>
      <w:ind w:left="720" w:firstLine="720"/>
    </w:pPr>
    <w:rPr>
      <w:sz w:val="24"/>
      <w:szCs w:val="24"/>
      <w:lang w:val="en-US" w:eastAsia="en-US"/>
    </w:rPr>
  </w:style>
  <w:style w:type="character" w:customStyle="1" w:styleId="SYSHYPERTEXT">
    <w:name w:val="SYS_HYPERTEXT"/>
    <w:rPr>
      <w:noProof/>
      <w:color w:val="0000FF"/>
      <w:u w:val="single"/>
    </w:rPr>
  </w:style>
  <w:style w:type="character" w:customStyle="1" w:styleId="QuickFormat2">
    <w:name w:val="QuickFormat2"/>
    <w:rPr>
      <w:rFonts w:ascii="Arial" w:hAnsi="Arial" w:cs="Arial"/>
    </w:rPr>
  </w:style>
  <w:style w:type="character" w:customStyle="1" w:styleId="QuickFormat3">
    <w:name w:val="QuickFormat3"/>
    <w:rPr>
      <w:rFonts w:ascii="Arial" w:hAnsi="Arial" w:cs="Arial"/>
      <w:b/>
      <w:bCs/>
      <w:i/>
      <w:iCs/>
    </w:rPr>
  </w:style>
  <w:style w:type="paragraph" w:styleId="Ttulo">
    <w:name w:val="Title"/>
    <w:basedOn w:val="Normal"/>
    <w:qFormat/>
    <w:pPr>
      <w:autoSpaceDE w:val="0"/>
      <w:autoSpaceDN w:val="0"/>
      <w:adjustRightInd w:val="0"/>
      <w:jc w:val="center"/>
    </w:pPr>
    <w:rPr>
      <w:sz w:val="28"/>
      <w:szCs w:val="28"/>
    </w:rPr>
  </w:style>
  <w:style w:type="paragraph" w:styleId="Textoindependiente">
    <w:name w:val="Body Text"/>
    <w:basedOn w:val="Normal"/>
    <w:link w:val="TextoindependienteCar"/>
    <w:pPr>
      <w:autoSpaceDE w:val="0"/>
      <w:autoSpaceDN w:val="0"/>
      <w:adjustRightInd w:val="0"/>
    </w:pPr>
    <w:rPr>
      <w:sz w:val="22"/>
      <w:szCs w:val="22"/>
    </w:rPr>
  </w:style>
  <w:style w:type="paragraph" w:styleId="Subttulo">
    <w:name w:val="Subtitle"/>
    <w:basedOn w:val="Normal"/>
    <w:link w:val="SubttuloCar"/>
    <w:uiPriority w:val="11"/>
    <w:qFormat/>
    <w:pPr>
      <w:autoSpaceDE w:val="0"/>
      <w:autoSpaceDN w:val="0"/>
      <w:adjustRightInd w:val="0"/>
    </w:pPr>
    <w:rPr>
      <w:b/>
      <w:bCs/>
    </w:rPr>
  </w:style>
  <w:style w:type="paragraph" w:styleId="Sangradetextonormal">
    <w:name w:val="Body Text Indent"/>
    <w:basedOn w:val="Normal"/>
    <w:link w:val="SangradetextonormalCar"/>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pPr>
    <w:rPr>
      <w:sz w:val="32"/>
      <w:szCs w:val="32"/>
    </w:rPr>
  </w:style>
  <w:style w:type="paragraph" w:customStyle="1" w:styleId="QuickFormat6">
    <w:name w:val="QuickFormat6"/>
    <w:pPr>
      <w:autoSpaceDE w:val="0"/>
      <w:autoSpaceDN w:val="0"/>
      <w:adjustRightInd w:val="0"/>
      <w:spacing w:line="360" w:lineRule="auto"/>
      <w:ind w:firstLine="720"/>
    </w:pPr>
    <w:rPr>
      <w:rFonts w:ascii="Arial" w:hAnsi="Arial" w:cs="Arial"/>
      <w:sz w:val="24"/>
      <w:szCs w:val="24"/>
      <w:lang w:val="en-US" w:eastAsia="en-US"/>
    </w:rPr>
  </w:style>
  <w:style w:type="character" w:styleId="Nmerodepgina">
    <w:name w:val="page number"/>
    <w:basedOn w:val="Fuentedeprrafopredeter"/>
  </w:style>
  <w:style w:type="paragraph" w:styleId="Textoindependiente2">
    <w:name w:val="Body Tex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firstLine="720"/>
    </w:pPr>
    <w:rPr>
      <w:rFonts w:ascii="Arial" w:hAnsi="Arial" w:cs="Arial"/>
      <w:noProof/>
    </w:rPr>
  </w:style>
  <w:style w:type="paragraph" w:styleId="Sangra2detindependiente">
    <w:name w:val="Body Text Inden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firstLine="720"/>
    </w:pPr>
    <w:rPr>
      <w:rFonts w:ascii="Arial" w:hAnsi="Arial" w:cs="Arial"/>
      <w:sz w:val="17"/>
      <w:szCs w:val="17"/>
    </w:rPr>
  </w:style>
  <w:style w:type="paragraph" w:styleId="Sangra3detindependiente">
    <w:name w:val="Body Text Indent 3"/>
    <w:basedOn w:val="Normal"/>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Textodebloque">
    <w:name w:val="Block Text"/>
    <w:basedOn w:val="Normal"/>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1440" w:right="630" w:firstLine="720"/>
    </w:pPr>
    <w:rPr>
      <w:noProof/>
      <w:sz w:val="18"/>
      <w:szCs w:val="18"/>
    </w:rPr>
  </w:style>
  <w:style w:type="paragraph" w:customStyle="1" w:styleId="Epgrafe1">
    <w:name w:val="Epígrafe1"/>
    <w:basedOn w:val="Normal"/>
    <w:next w:val="Normal"/>
    <w:autoRedefine/>
    <w:uiPriority w:val="35"/>
    <w:qFormat/>
    <w:rsid w:val="006855CA"/>
    <w:pPr>
      <w:spacing w:before="120" w:after="120"/>
    </w:pPr>
    <w:rPr>
      <w:bCs/>
      <w:i/>
      <w:szCs w:val="20"/>
    </w:rPr>
  </w:style>
  <w:style w:type="paragraph" w:styleId="Tabladeilustraciones">
    <w:name w:val="table of figures"/>
    <w:basedOn w:val="Normal"/>
    <w:next w:val="Normal"/>
    <w:semiHidden/>
    <w:pPr>
      <w:ind w:left="480" w:hanging="480"/>
    </w:pPr>
  </w:style>
  <w:style w:type="character" w:styleId="Hipervnculo">
    <w:name w:val="Hyperlink"/>
    <w:uiPriority w:val="99"/>
    <w:rPr>
      <w:color w:val="0000FF"/>
      <w:u w:val="single"/>
    </w:rPr>
  </w:style>
  <w:style w:type="paragraph" w:styleId="TDC1">
    <w:name w:val="toc 1"/>
    <w:basedOn w:val="Normal"/>
    <w:next w:val="Normal"/>
    <w:autoRedefine/>
    <w:uiPriority w:val="39"/>
    <w:rsid w:val="00BB2CA5"/>
    <w:pPr>
      <w:tabs>
        <w:tab w:val="left" w:pos="480"/>
        <w:tab w:val="right" w:leader="dot" w:pos="9352"/>
      </w:tabs>
    </w:pPr>
  </w:style>
  <w:style w:type="paragraph" w:styleId="TDC2">
    <w:name w:val="toc 2"/>
    <w:basedOn w:val="Normal"/>
    <w:next w:val="Normal"/>
    <w:autoRedefine/>
    <w:uiPriority w:val="39"/>
    <w:rsid w:val="00A96F58"/>
    <w:pPr>
      <w:tabs>
        <w:tab w:val="right" w:leader="dot" w:pos="9352"/>
      </w:tabs>
      <w:spacing w:line="276" w:lineRule="auto"/>
      <w:ind w:left="240"/>
      <w:jc w:val="both"/>
    </w:pPr>
  </w:style>
  <w:style w:type="paragraph" w:styleId="TDC3">
    <w:name w:val="toc 3"/>
    <w:basedOn w:val="Normal"/>
    <w:next w:val="Normal"/>
    <w:autoRedefine/>
    <w:uiPriority w:val="39"/>
    <w:rsid w:val="00D2275C"/>
    <w:pPr>
      <w:tabs>
        <w:tab w:val="right" w:leader="dot" w:pos="9352"/>
      </w:tabs>
      <w:spacing w:line="276" w:lineRule="auto"/>
      <w:ind w:left="480"/>
      <w:jc w:val="both"/>
    </w:pPr>
  </w:style>
  <w:style w:type="paragraph" w:styleId="TDC4">
    <w:name w:val="toc 4"/>
    <w:basedOn w:val="Normal"/>
    <w:next w:val="Normal"/>
    <w:autoRedefine/>
    <w:semiHidden/>
    <w:pPr>
      <w:ind w:left="720"/>
    </w:pPr>
  </w:style>
  <w:style w:type="paragraph" w:styleId="TDC5">
    <w:name w:val="toc 5"/>
    <w:basedOn w:val="Normal"/>
    <w:next w:val="Normal"/>
    <w:autoRedefine/>
    <w:semiHidden/>
    <w:pPr>
      <w:ind w:left="960"/>
    </w:p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paragraph" w:customStyle="1" w:styleId="thesistext">
    <w:name w:val="thesis text"/>
    <w:basedOn w:val="Normal"/>
    <w:autoRedefine/>
    <w:rsid w:val="00EE3934"/>
    <w:pPr>
      <w:spacing w:after="240"/>
      <w:ind w:firstLine="540"/>
    </w:pPr>
    <w:rPr>
      <w:lang w:eastAsia="es-ES"/>
    </w:rPr>
  </w:style>
  <w:style w:type="paragraph" w:customStyle="1" w:styleId="StyleCaptionCentered">
    <w:name w:val="Style Caption + Centered"/>
    <w:basedOn w:val="Epgrafe1"/>
    <w:autoRedefine/>
    <w:rsid w:val="000B7AF9"/>
    <w:rPr>
      <w:b/>
      <w:i w:val="0"/>
    </w:rPr>
  </w:style>
  <w:style w:type="character" w:customStyle="1" w:styleId="Ttulo1Car">
    <w:name w:val="Título 1 Car"/>
    <w:link w:val="Ttulo1"/>
    <w:uiPriority w:val="9"/>
    <w:rsid w:val="00F60558"/>
    <w:rPr>
      <w:b/>
      <w:bCs/>
      <w:sz w:val="24"/>
      <w:szCs w:val="24"/>
      <w:lang w:val="es-ES" w:eastAsia="es-ES_tradnl"/>
    </w:rPr>
  </w:style>
  <w:style w:type="character" w:customStyle="1" w:styleId="Ttulo4Car">
    <w:name w:val="Título 4 Car"/>
    <w:link w:val="Ttulo4"/>
    <w:rsid w:val="00A64167"/>
    <w:rPr>
      <w:b/>
      <w:bCs/>
      <w:i/>
      <w:sz w:val="24"/>
      <w:szCs w:val="28"/>
      <w:lang w:val="en-US" w:eastAsia="en-US"/>
    </w:rPr>
  </w:style>
  <w:style w:type="character" w:customStyle="1" w:styleId="TextoindependienteCar">
    <w:name w:val="Texto independiente Car"/>
    <w:link w:val="Textoindependiente"/>
    <w:rsid w:val="00707877"/>
    <w:rPr>
      <w:sz w:val="22"/>
      <w:szCs w:val="22"/>
    </w:rPr>
  </w:style>
  <w:style w:type="character" w:customStyle="1" w:styleId="SangradetextonormalCar">
    <w:name w:val="Sangría de texto normal Car"/>
    <w:link w:val="Sangradetextonormal"/>
    <w:rsid w:val="00707877"/>
    <w:rPr>
      <w:sz w:val="32"/>
      <w:szCs w:val="32"/>
    </w:rPr>
  </w:style>
  <w:style w:type="paragraph" w:customStyle="1" w:styleId="TtulodeTDC1">
    <w:name w:val="Título de TDC1"/>
    <w:basedOn w:val="Ttulo1"/>
    <w:next w:val="Normal"/>
    <w:uiPriority w:val="39"/>
    <w:unhideWhenUsed/>
    <w:qFormat/>
    <w:rsid w:val="008572C4"/>
    <w:pPr>
      <w:keepNext/>
      <w:keepLines/>
      <w:autoSpaceDE/>
      <w:autoSpaceDN/>
      <w:adjustRightInd/>
      <w:spacing w:before="480" w:line="276" w:lineRule="auto"/>
      <w:outlineLvl w:val="9"/>
    </w:pPr>
    <w:rPr>
      <w:rFonts w:ascii="Cambria" w:hAnsi="Cambria"/>
      <w:color w:val="365F91"/>
      <w:sz w:val="28"/>
      <w:szCs w:val="28"/>
      <w:lang w:val="es-CO" w:eastAsia="es-CO"/>
    </w:rPr>
  </w:style>
  <w:style w:type="paragraph" w:customStyle="1" w:styleId="Piedeimagen">
    <w:name w:val="Pie de imagen"/>
    <w:basedOn w:val="Epgrafe1"/>
    <w:qFormat/>
    <w:rsid w:val="00EE3934"/>
    <w:pPr>
      <w:spacing w:before="0" w:after="0"/>
      <w:ind w:firstLine="454"/>
    </w:pPr>
    <w:rPr>
      <w:rFonts w:eastAsia="Calibri"/>
      <w:sz w:val="20"/>
      <w:szCs w:val="24"/>
    </w:rPr>
  </w:style>
  <w:style w:type="paragraph" w:customStyle="1" w:styleId="Titulotabla">
    <w:name w:val="Titulo tabla"/>
    <w:basedOn w:val="Normal"/>
    <w:qFormat/>
    <w:rsid w:val="00160644"/>
    <w:pPr>
      <w:spacing w:line="276" w:lineRule="auto"/>
    </w:pPr>
    <w:rPr>
      <w:rFonts w:eastAsia="Calibri"/>
      <w:i/>
    </w:rPr>
  </w:style>
  <w:style w:type="paragraph" w:styleId="Textodeglobo">
    <w:name w:val="Balloon Text"/>
    <w:basedOn w:val="Normal"/>
    <w:link w:val="TextodegloboCar"/>
    <w:uiPriority w:val="99"/>
    <w:rsid w:val="00485681"/>
    <w:rPr>
      <w:sz w:val="18"/>
      <w:szCs w:val="18"/>
    </w:rPr>
  </w:style>
  <w:style w:type="character" w:customStyle="1" w:styleId="TextodegloboCar">
    <w:name w:val="Texto de globo Car"/>
    <w:link w:val="Textodeglobo"/>
    <w:uiPriority w:val="99"/>
    <w:rsid w:val="00485681"/>
    <w:rPr>
      <w:sz w:val="18"/>
      <w:szCs w:val="18"/>
      <w:lang w:val="en-US" w:eastAsia="en-US"/>
    </w:rPr>
  </w:style>
  <w:style w:type="character" w:customStyle="1" w:styleId="EncabezadoCar">
    <w:name w:val="Encabezado Car"/>
    <w:link w:val="Encabezado"/>
    <w:uiPriority w:val="99"/>
    <w:rsid w:val="00485681"/>
    <w:rPr>
      <w:sz w:val="24"/>
      <w:szCs w:val="24"/>
      <w:lang w:val="en-US" w:eastAsia="en-US"/>
    </w:rPr>
  </w:style>
  <w:style w:type="paragraph" w:customStyle="1" w:styleId="Default">
    <w:name w:val="Default"/>
    <w:rsid w:val="00CC2C1D"/>
    <w:pPr>
      <w:autoSpaceDE w:val="0"/>
      <w:autoSpaceDN w:val="0"/>
      <w:adjustRightInd w:val="0"/>
      <w:spacing w:line="360" w:lineRule="auto"/>
      <w:ind w:firstLine="720"/>
    </w:pPr>
    <w:rPr>
      <w:rFonts w:eastAsia="Calibri"/>
      <w:color w:val="000000"/>
      <w:sz w:val="24"/>
      <w:szCs w:val="24"/>
      <w:lang w:eastAsia="en-US"/>
    </w:rPr>
  </w:style>
  <w:style w:type="character" w:styleId="Textoennegrita">
    <w:name w:val="Strong"/>
    <w:uiPriority w:val="22"/>
    <w:qFormat/>
    <w:rsid w:val="001616B4"/>
    <w:rPr>
      <w:b/>
      <w:bCs/>
    </w:rPr>
  </w:style>
  <w:style w:type="paragraph" w:styleId="Prrafodelista">
    <w:name w:val="List Paragraph"/>
    <w:basedOn w:val="Normal"/>
    <w:link w:val="PrrafodelistaCar"/>
    <w:uiPriority w:val="34"/>
    <w:qFormat/>
    <w:rsid w:val="00DF4CBC"/>
    <w:pPr>
      <w:ind w:left="720"/>
      <w:contextualSpacing/>
    </w:p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f"/>
    <w:basedOn w:val="Normal"/>
    <w:link w:val="TextonotapieCar"/>
    <w:unhideWhenUsed/>
    <w:qFormat/>
    <w:rsid w:val="00DF4CBC"/>
    <w:rPr>
      <w:rFonts w:ascii="Calibri" w:eastAsia="Calibri" w:hAnsi="Calibri"/>
      <w:sz w:val="20"/>
      <w:szCs w:val="20"/>
      <w:lang w:val="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f Car"/>
    <w:link w:val="Textonotapie"/>
    <w:rsid w:val="00DF4CBC"/>
    <w:rPr>
      <w:rFonts w:ascii="Calibri" w:eastAsia="Calibri" w:hAnsi="Calibri"/>
      <w:lang w:val="es-ES" w:eastAsia="en-US"/>
    </w:rPr>
  </w:style>
  <w:style w:type="character" w:styleId="Refdenotaalpie">
    <w:name w:val="footnote reference"/>
    <w:aliases w:val="4_G,ftref,BVI fnr,16 Point,Superscript 6 Point,Footnote,Footnote symbol,Footnote Refernece,Texto de nota al pie,Fußnotenzeichen_Raxen,4_G Char,4_G Char Char,4_G Char Char Char,ftref Char Char Char Char,Footnotes refss,Fus note,Ref"/>
    <w:unhideWhenUsed/>
    <w:qFormat/>
    <w:rsid w:val="00DF4CBC"/>
    <w:rPr>
      <w:vertAlign w:val="superscript"/>
    </w:rPr>
  </w:style>
  <w:style w:type="paragraph" w:customStyle="1" w:styleId="SingleTxtG">
    <w:name w:val="_ Single Txt_G"/>
    <w:basedOn w:val="Normal"/>
    <w:link w:val="SingleTxtGChar"/>
    <w:qFormat/>
    <w:rsid w:val="003C2926"/>
    <w:pPr>
      <w:spacing w:after="120" w:line="240" w:lineRule="atLeast"/>
      <w:ind w:left="1134" w:right="1134"/>
    </w:pPr>
    <w:rPr>
      <w:sz w:val="20"/>
      <w:szCs w:val="20"/>
      <w:lang w:val="es-ES" w:eastAsia="es-ES"/>
    </w:rPr>
  </w:style>
  <w:style w:type="character" w:customStyle="1" w:styleId="SingleTxtGChar">
    <w:name w:val="_ Single Txt_G Char"/>
    <w:link w:val="SingleTxtG"/>
    <w:rsid w:val="003C2926"/>
    <w:rPr>
      <w:lang w:val="es-ES" w:eastAsia="es-ES"/>
    </w:rPr>
  </w:style>
  <w:style w:type="paragraph" w:styleId="Textocomentario">
    <w:name w:val="annotation text"/>
    <w:basedOn w:val="Normal"/>
    <w:link w:val="TextocomentarioCar"/>
    <w:uiPriority w:val="99"/>
    <w:unhideWhenUsed/>
    <w:rsid w:val="00200277"/>
    <w:pPr>
      <w:spacing w:after="200" w:line="276" w:lineRule="auto"/>
    </w:pPr>
    <w:rPr>
      <w:rFonts w:ascii="Calibri" w:eastAsia="Calibri" w:hAnsi="Calibri"/>
      <w:sz w:val="20"/>
      <w:szCs w:val="20"/>
      <w:lang w:val="es-EC"/>
    </w:rPr>
  </w:style>
  <w:style w:type="character" w:customStyle="1" w:styleId="TextocomentarioCar">
    <w:name w:val="Texto comentario Car"/>
    <w:link w:val="Textocomentario"/>
    <w:uiPriority w:val="99"/>
    <w:rsid w:val="00200277"/>
    <w:rPr>
      <w:rFonts w:ascii="Calibri" w:eastAsia="Calibri" w:hAnsi="Calibri"/>
      <w:lang w:val="es-EC" w:eastAsia="en-US"/>
    </w:rPr>
  </w:style>
  <w:style w:type="table" w:styleId="Tablaconcuadrcula">
    <w:name w:val="Table Grid"/>
    <w:basedOn w:val="Tablanormal"/>
    <w:uiPriority w:val="39"/>
    <w:rsid w:val="00AC38CA"/>
    <w:rPr>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17A14"/>
    <w:rPr>
      <w:rFonts w:ascii="Calibri" w:eastAsia="Calibri" w:hAnsi="Calibri"/>
      <w:sz w:val="22"/>
      <w:szCs w:val="22"/>
      <w:lang w:val="uz-Cyrl-UZ"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delatabla">
    <w:name w:val="Contenido de la tabla"/>
    <w:basedOn w:val="Normal"/>
    <w:rsid w:val="00521398"/>
    <w:pPr>
      <w:widowControl w:val="0"/>
      <w:suppressLineNumbers/>
      <w:suppressAutoHyphens/>
    </w:pPr>
    <w:rPr>
      <w:rFonts w:eastAsia="DejaVu Sans" w:cs="Lohit Hindi"/>
      <w:kern w:val="1"/>
      <w:lang w:val="es-ES" w:eastAsia="zh-CN" w:bidi="hi-IN"/>
    </w:rPr>
  </w:style>
  <w:style w:type="character" w:customStyle="1" w:styleId="PiedepginaCar">
    <w:name w:val="Pie de página Car"/>
    <w:link w:val="Piedepgina"/>
    <w:uiPriority w:val="99"/>
    <w:rsid w:val="00F360AF"/>
    <w:rPr>
      <w:sz w:val="24"/>
      <w:szCs w:val="24"/>
      <w:lang w:val="en-US" w:eastAsia="en-US"/>
    </w:rPr>
  </w:style>
  <w:style w:type="character" w:customStyle="1" w:styleId="SinespaciadoCar">
    <w:name w:val="Sin espaciado Car"/>
    <w:link w:val="Sinespaciado"/>
    <w:uiPriority w:val="99"/>
    <w:rsid w:val="00F360AF"/>
    <w:rPr>
      <w:sz w:val="22"/>
      <w:szCs w:val="22"/>
      <w:lang w:val="en-GB" w:eastAsia="zh-CN"/>
    </w:rPr>
  </w:style>
  <w:style w:type="character" w:customStyle="1" w:styleId="TextonotapieCar1">
    <w:name w:val="Texto nota pie Car1"/>
    <w:uiPriority w:val="99"/>
    <w:semiHidden/>
    <w:rsid w:val="00F360AF"/>
    <w:rPr>
      <w:lang w:eastAsia="en-US"/>
    </w:rPr>
  </w:style>
  <w:style w:type="paragraph" w:customStyle="1" w:styleId="Sinespaciado1">
    <w:name w:val="Sin espaciado1"/>
    <w:basedOn w:val="Normal"/>
    <w:rsid w:val="00F360AF"/>
    <w:pPr>
      <w:suppressAutoHyphens/>
    </w:pPr>
    <w:rPr>
      <w:rFonts w:ascii="Calibri" w:hAnsi="Calibri" w:cs="font292"/>
      <w:lang w:val="es-EC" w:eastAsia="es-EC"/>
    </w:rPr>
  </w:style>
  <w:style w:type="paragraph" w:styleId="Sinespaciado">
    <w:name w:val="No Spacing"/>
    <w:link w:val="SinespaciadoCar"/>
    <w:uiPriority w:val="99"/>
    <w:qFormat/>
    <w:rsid w:val="00F360AF"/>
    <w:pPr>
      <w:spacing w:line="360" w:lineRule="auto"/>
      <w:ind w:firstLine="720"/>
    </w:pPr>
    <w:rPr>
      <w:sz w:val="22"/>
      <w:szCs w:val="22"/>
      <w:lang w:val="en-GB" w:eastAsia="zh-CN"/>
    </w:rPr>
  </w:style>
  <w:style w:type="character" w:styleId="Refdecomentario">
    <w:name w:val="annotation reference"/>
    <w:uiPriority w:val="99"/>
    <w:semiHidden/>
    <w:unhideWhenUsed/>
    <w:rsid w:val="00F360AF"/>
    <w:rPr>
      <w:sz w:val="16"/>
      <w:szCs w:val="16"/>
    </w:rPr>
  </w:style>
  <w:style w:type="paragraph" w:styleId="Asuntodelcomentario">
    <w:name w:val="annotation subject"/>
    <w:basedOn w:val="Textocomentario"/>
    <w:next w:val="Textocomentario"/>
    <w:link w:val="AsuntodelcomentarioCar"/>
    <w:uiPriority w:val="99"/>
    <w:semiHidden/>
    <w:unhideWhenUsed/>
    <w:rsid w:val="00F360AF"/>
    <w:pPr>
      <w:spacing w:after="160" w:line="259" w:lineRule="auto"/>
    </w:pPr>
    <w:rPr>
      <w:b/>
      <w:bCs/>
      <w:lang w:val="x-none"/>
    </w:rPr>
  </w:style>
  <w:style w:type="character" w:customStyle="1" w:styleId="AsuntodelcomentarioCar">
    <w:name w:val="Asunto del comentario Car"/>
    <w:link w:val="Asuntodelcomentario"/>
    <w:uiPriority w:val="99"/>
    <w:semiHidden/>
    <w:rsid w:val="00F360AF"/>
    <w:rPr>
      <w:rFonts w:ascii="Calibri" w:eastAsia="Calibri" w:hAnsi="Calibri"/>
      <w:b/>
      <w:bCs/>
      <w:lang w:val="x-none" w:eastAsia="en-US"/>
    </w:rPr>
  </w:style>
  <w:style w:type="paragraph" w:styleId="Revisin">
    <w:name w:val="Revision"/>
    <w:hidden/>
    <w:uiPriority w:val="99"/>
    <w:semiHidden/>
    <w:rsid w:val="00F360AF"/>
    <w:pPr>
      <w:spacing w:line="360" w:lineRule="auto"/>
      <w:ind w:firstLine="720"/>
    </w:pPr>
    <w:rPr>
      <w:rFonts w:ascii="Calibri" w:eastAsia="Calibri" w:hAnsi="Calibri"/>
      <w:sz w:val="22"/>
      <w:szCs w:val="22"/>
      <w:lang w:eastAsia="en-US"/>
    </w:rPr>
  </w:style>
  <w:style w:type="paragraph" w:styleId="NormalWeb">
    <w:name w:val="Normal (Web)"/>
    <w:basedOn w:val="Normal"/>
    <w:uiPriority w:val="99"/>
    <w:unhideWhenUsed/>
    <w:rsid w:val="00F360AF"/>
    <w:pPr>
      <w:spacing w:before="100" w:beforeAutospacing="1" w:after="100" w:afterAutospacing="1"/>
    </w:pPr>
    <w:rPr>
      <w:lang w:val="es-EC" w:eastAsia="es-EC"/>
    </w:rPr>
  </w:style>
  <w:style w:type="character" w:customStyle="1" w:styleId="st">
    <w:name w:val="st"/>
    <w:rsid w:val="00F360AF"/>
  </w:style>
  <w:style w:type="character" w:customStyle="1" w:styleId="fontstyle01">
    <w:name w:val="fontstyle01"/>
    <w:rsid w:val="00F360AF"/>
    <w:rPr>
      <w:rFonts w:ascii="Times-Roman" w:hAnsi="Times-Roman" w:hint="default"/>
      <w:b w:val="0"/>
      <w:bCs w:val="0"/>
      <w:i w:val="0"/>
      <w:iCs w:val="0"/>
      <w:color w:val="000000"/>
      <w:sz w:val="18"/>
      <w:szCs w:val="18"/>
    </w:rPr>
  </w:style>
  <w:style w:type="character" w:customStyle="1" w:styleId="hit">
    <w:name w:val="hit"/>
    <w:rsid w:val="00F360AF"/>
  </w:style>
  <w:style w:type="paragraph" w:customStyle="1" w:styleId="LO-normal1">
    <w:name w:val="LO-normal1"/>
    <w:rsid w:val="00F360AF"/>
    <w:pPr>
      <w:suppressAutoHyphens/>
      <w:spacing w:line="276" w:lineRule="auto"/>
      <w:ind w:firstLine="720"/>
    </w:pPr>
    <w:rPr>
      <w:rFonts w:ascii="Arial" w:eastAsia="Arial" w:hAnsi="Arial" w:cs="Arial"/>
      <w:color w:val="000000"/>
      <w:kern w:val="1"/>
      <w:sz w:val="22"/>
      <w:lang w:val="es-ES" w:eastAsia="zh-CN"/>
    </w:rPr>
  </w:style>
  <w:style w:type="paragraph" w:customStyle="1" w:styleId="Standard">
    <w:name w:val="Standard"/>
    <w:rsid w:val="004E2D03"/>
    <w:pPr>
      <w:suppressAutoHyphens/>
      <w:autoSpaceDN w:val="0"/>
      <w:spacing w:line="360" w:lineRule="auto"/>
      <w:ind w:firstLine="720"/>
      <w:textAlignment w:val="baseline"/>
    </w:pPr>
    <w:rPr>
      <w:rFonts w:ascii="Liberation Serif" w:eastAsia="SimSun" w:hAnsi="Liberation Serif" w:cs="Arial"/>
      <w:kern w:val="3"/>
      <w:sz w:val="24"/>
      <w:szCs w:val="24"/>
      <w:lang w:eastAsia="zh-CN" w:bidi="hi-IN"/>
    </w:rPr>
  </w:style>
  <w:style w:type="character" w:styleId="Hipervnculovisitado">
    <w:name w:val="FollowedHyperlink"/>
    <w:semiHidden/>
    <w:unhideWhenUsed/>
    <w:rsid w:val="00EE6495"/>
    <w:rPr>
      <w:color w:val="800080"/>
      <w:u w:val="single"/>
    </w:rPr>
  </w:style>
  <w:style w:type="table" w:customStyle="1" w:styleId="Tablaconcuadrcula2">
    <w:name w:val="Tabla con cuadrícula2"/>
    <w:basedOn w:val="Tablanormal"/>
    <w:next w:val="Tablaconcuadrcula"/>
    <w:uiPriority w:val="59"/>
    <w:rsid w:val="006F52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F52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282BE1"/>
    <w:rPr>
      <w:color w:val="605E5C"/>
      <w:shd w:val="clear" w:color="auto" w:fill="E1DFDD"/>
    </w:rPr>
  </w:style>
  <w:style w:type="paragraph" w:styleId="Bibliografa">
    <w:name w:val="Bibliography"/>
    <w:basedOn w:val="Normal"/>
    <w:next w:val="Normal"/>
    <w:uiPriority w:val="37"/>
    <w:unhideWhenUsed/>
    <w:rsid w:val="00436322"/>
    <w:pPr>
      <w:spacing w:after="200" w:line="276" w:lineRule="auto"/>
    </w:pPr>
    <w:rPr>
      <w:rFonts w:ascii="Calibri" w:eastAsia="Calibri" w:hAnsi="Calibri"/>
      <w:sz w:val="22"/>
      <w:szCs w:val="22"/>
      <w:lang w:val="es-EC"/>
    </w:rPr>
  </w:style>
  <w:style w:type="numbering" w:customStyle="1" w:styleId="Sinlista1">
    <w:name w:val="Sin lista1"/>
    <w:next w:val="Sinlista"/>
    <w:uiPriority w:val="99"/>
    <w:semiHidden/>
    <w:unhideWhenUsed/>
    <w:rsid w:val="00122BA4"/>
  </w:style>
  <w:style w:type="paragraph" w:customStyle="1" w:styleId="Predeterminado">
    <w:name w:val="Predeterminado"/>
    <w:rsid w:val="00122BA4"/>
    <w:pPr>
      <w:suppressAutoHyphens/>
      <w:spacing w:line="100" w:lineRule="atLeast"/>
    </w:pPr>
    <w:rPr>
      <w:color w:val="00000A"/>
      <w:sz w:val="24"/>
      <w:szCs w:val="24"/>
      <w:lang w:val="es-ES" w:eastAsia="zh-CN"/>
    </w:rPr>
  </w:style>
  <w:style w:type="character" w:customStyle="1" w:styleId="SubttuloCar">
    <w:name w:val="Subtítulo Car"/>
    <w:link w:val="Subttulo"/>
    <w:uiPriority w:val="11"/>
    <w:rsid w:val="00122BA4"/>
    <w:rPr>
      <w:b/>
      <w:bCs/>
      <w:sz w:val="24"/>
      <w:szCs w:val="24"/>
      <w:lang w:val="en-US" w:eastAsia="en-US"/>
    </w:rPr>
  </w:style>
  <w:style w:type="paragraph" w:customStyle="1" w:styleId="Redaccin">
    <w:name w:val="Redacción"/>
    <w:basedOn w:val="Prrafodelista"/>
    <w:link w:val="RedaccinCar"/>
    <w:qFormat/>
    <w:rsid w:val="00122BA4"/>
    <w:pPr>
      <w:numPr>
        <w:numId w:val="1"/>
      </w:numPr>
      <w:spacing w:before="120" w:after="120" w:line="276" w:lineRule="auto"/>
      <w:jc w:val="both"/>
    </w:pPr>
    <w:rPr>
      <w:rFonts w:eastAsia="Calibri"/>
      <w:lang w:val="es-ES"/>
    </w:rPr>
  </w:style>
  <w:style w:type="paragraph" w:customStyle="1" w:styleId="Citas">
    <w:name w:val="Citas"/>
    <w:basedOn w:val="Redaccin"/>
    <w:link w:val="CitasCar"/>
    <w:qFormat/>
    <w:rsid w:val="00122BA4"/>
    <w:pPr>
      <w:numPr>
        <w:numId w:val="0"/>
      </w:numPr>
      <w:spacing w:line="240" w:lineRule="auto"/>
      <w:ind w:left="709"/>
      <w:contextualSpacing w:val="0"/>
    </w:pPr>
    <w:rPr>
      <w:sz w:val="22"/>
      <w:szCs w:val="22"/>
    </w:rPr>
  </w:style>
  <w:style w:type="character" w:customStyle="1" w:styleId="PrrafodelistaCar">
    <w:name w:val="Párrafo de lista Car"/>
    <w:link w:val="Prrafodelista"/>
    <w:rsid w:val="00122BA4"/>
    <w:rPr>
      <w:sz w:val="24"/>
      <w:szCs w:val="24"/>
      <w:lang w:val="en-US" w:eastAsia="en-US"/>
    </w:rPr>
  </w:style>
  <w:style w:type="character" w:customStyle="1" w:styleId="RedaccinCar">
    <w:name w:val="Redacción Car"/>
    <w:link w:val="Redaccin"/>
    <w:qFormat/>
    <w:rsid w:val="00122BA4"/>
    <w:rPr>
      <w:rFonts w:eastAsia="Calibri"/>
      <w:sz w:val="24"/>
      <w:szCs w:val="24"/>
      <w:lang w:val="es-ES" w:eastAsia="es-ES_tradnl"/>
    </w:rPr>
  </w:style>
  <w:style w:type="paragraph" w:customStyle="1" w:styleId="Intro">
    <w:name w:val="Intro"/>
    <w:basedOn w:val="Redaccin"/>
    <w:link w:val="IntroCar"/>
    <w:rsid w:val="00122BA4"/>
    <w:pPr>
      <w:numPr>
        <w:numId w:val="0"/>
      </w:numPr>
      <w:ind w:left="36"/>
    </w:pPr>
  </w:style>
  <w:style w:type="character" w:customStyle="1" w:styleId="CitasCar">
    <w:name w:val="Citas Car"/>
    <w:link w:val="Citas"/>
    <w:rsid w:val="00122BA4"/>
    <w:rPr>
      <w:rFonts w:eastAsia="Calibri"/>
      <w:sz w:val="22"/>
      <w:szCs w:val="22"/>
      <w:lang w:val="es-ES" w:eastAsia="en-US"/>
    </w:rPr>
  </w:style>
  <w:style w:type="paragraph" w:customStyle="1" w:styleId="Instituciones">
    <w:name w:val="Instituciones"/>
    <w:basedOn w:val="Intro"/>
    <w:link w:val="InstitucionesCar"/>
    <w:qFormat/>
    <w:rsid w:val="00122BA4"/>
    <w:rPr>
      <w:u w:val="single"/>
    </w:rPr>
  </w:style>
  <w:style w:type="character" w:customStyle="1" w:styleId="IntroCar">
    <w:name w:val="Intro Car"/>
    <w:link w:val="Intro"/>
    <w:rsid w:val="00122BA4"/>
    <w:rPr>
      <w:rFonts w:eastAsia="Calibri"/>
      <w:sz w:val="24"/>
      <w:szCs w:val="24"/>
      <w:lang w:val="es-ES" w:eastAsia="en-US"/>
    </w:rPr>
  </w:style>
  <w:style w:type="paragraph" w:customStyle="1" w:styleId="Recomendaciones">
    <w:name w:val="Recomendaciones"/>
    <w:basedOn w:val="Introduccin"/>
    <w:link w:val="RecomendacionesCar"/>
    <w:qFormat/>
    <w:rsid w:val="00122BA4"/>
    <w:pPr>
      <w:numPr>
        <w:numId w:val="3"/>
      </w:numPr>
    </w:pPr>
    <w:rPr>
      <w:u w:val="single"/>
    </w:rPr>
  </w:style>
  <w:style w:type="character" w:customStyle="1" w:styleId="InstitucionesCar">
    <w:name w:val="Instituciones Car"/>
    <w:link w:val="Instituciones"/>
    <w:rsid w:val="00122BA4"/>
    <w:rPr>
      <w:rFonts w:eastAsia="Calibri"/>
      <w:sz w:val="24"/>
      <w:szCs w:val="24"/>
      <w:u w:val="single"/>
      <w:lang w:val="es-ES" w:eastAsia="en-US"/>
    </w:rPr>
  </w:style>
  <w:style w:type="paragraph" w:customStyle="1" w:styleId="Estilo9">
    <w:name w:val="Estilo9"/>
    <w:basedOn w:val="Normal"/>
    <w:link w:val="Estilo9Car"/>
    <w:rsid w:val="00122BA4"/>
    <w:pPr>
      <w:widowControl w:val="0"/>
      <w:suppressAutoHyphens/>
      <w:spacing w:before="120" w:after="120"/>
      <w:ind w:firstLine="567"/>
      <w:jc w:val="both"/>
    </w:pPr>
    <w:rPr>
      <w:rFonts w:eastAsia="DejaVu Sans"/>
      <w:lang w:val="es-VE" w:eastAsia="es-EC"/>
    </w:rPr>
  </w:style>
  <w:style w:type="character" w:customStyle="1" w:styleId="RecomendacionesCar">
    <w:name w:val="Recomendaciones Car"/>
    <w:link w:val="Recomendaciones"/>
    <w:rsid w:val="00122BA4"/>
    <w:rPr>
      <w:rFonts w:eastAsia="DejaVu Sans" w:cs="Lohit Hindi"/>
      <w:sz w:val="24"/>
      <w:szCs w:val="24"/>
      <w:u w:val="single"/>
      <w:lang w:val="es-VE"/>
    </w:rPr>
  </w:style>
  <w:style w:type="character" w:customStyle="1" w:styleId="Estilo9Car">
    <w:name w:val="Estilo9 Car"/>
    <w:link w:val="Estilo9"/>
    <w:rsid w:val="00122BA4"/>
    <w:rPr>
      <w:rFonts w:eastAsia="DejaVu Sans"/>
      <w:sz w:val="24"/>
      <w:szCs w:val="24"/>
      <w:lang w:val="es-VE" w:eastAsia="es-EC"/>
    </w:rPr>
  </w:style>
  <w:style w:type="paragraph" w:customStyle="1" w:styleId="Introduccin">
    <w:name w:val="Introducción"/>
    <w:basedOn w:val="Redaccin"/>
    <w:link w:val="IntroduccinCar"/>
    <w:qFormat/>
    <w:rsid w:val="00122BA4"/>
    <w:pPr>
      <w:widowControl w:val="0"/>
      <w:numPr>
        <w:numId w:val="0"/>
      </w:numPr>
      <w:suppressAutoHyphens/>
      <w:ind w:firstLine="708"/>
      <w:contextualSpacing w:val="0"/>
    </w:pPr>
    <w:rPr>
      <w:rFonts w:eastAsia="DejaVu Sans" w:cs="Lohit Hindi"/>
      <w:lang w:val="es-VE" w:eastAsia="es-EC"/>
    </w:rPr>
  </w:style>
  <w:style w:type="character" w:customStyle="1" w:styleId="IntroduccinCar">
    <w:name w:val="Introducción Car"/>
    <w:link w:val="Introduccin"/>
    <w:qFormat/>
    <w:rsid w:val="00122BA4"/>
    <w:rPr>
      <w:rFonts w:eastAsia="DejaVu Sans" w:cs="Lohit Hindi"/>
      <w:sz w:val="24"/>
      <w:szCs w:val="24"/>
      <w:lang w:val="es-VE" w:eastAsia="es-EC"/>
    </w:rPr>
  </w:style>
  <w:style w:type="character" w:customStyle="1" w:styleId="WW8Num3z3">
    <w:name w:val="WW8Num3z3"/>
    <w:rsid w:val="00122BA4"/>
  </w:style>
  <w:style w:type="paragraph" w:customStyle="1" w:styleId="Estilodos">
    <w:name w:val="Estilo dos"/>
    <w:basedOn w:val="Normal"/>
    <w:link w:val="EstilodosCar"/>
    <w:autoRedefine/>
    <w:rsid w:val="00122BA4"/>
    <w:pPr>
      <w:widowControl w:val="0"/>
      <w:suppressAutoHyphens/>
      <w:spacing w:before="120" w:after="120"/>
      <w:jc w:val="both"/>
    </w:pPr>
    <w:rPr>
      <w:rFonts w:eastAsia="DejaVu Sans" w:cs="Lohit Hindi"/>
      <w:b/>
      <w:lang w:val="es-VE" w:eastAsia="es-EC"/>
    </w:rPr>
  </w:style>
  <w:style w:type="character" w:customStyle="1" w:styleId="EstilodosCar">
    <w:name w:val="Estilo dos Car"/>
    <w:link w:val="Estilodos"/>
    <w:rsid w:val="00122BA4"/>
    <w:rPr>
      <w:rFonts w:eastAsia="DejaVu Sans" w:cs="Lohit Hindi"/>
      <w:b/>
      <w:sz w:val="24"/>
      <w:szCs w:val="24"/>
      <w:lang w:val="es-VE" w:eastAsia="es-EC"/>
    </w:rPr>
  </w:style>
  <w:style w:type="paragraph" w:customStyle="1" w:styleId="Tabla">
    <w:name w:val="Tabla"/>
    <w:basedOn w:val="Normal"/>
    <w:link w:val="TablaCar"/>
    <w:qFormat/>
    <w:rsid w:val="00122BA4"/>
    <w:rPr>
      <w:rFonts w:eastAsia="Calibri"/>
      <w:lang w:val="es-ES"/>
    </w:rPr>
  </w:style>
  <w:style w:type="paragraph" w:customStyle="1" w:styleId="ttulotabla">
    <w:name w:val="título tabla"/>
    <w:basedOn w:val="Normal"/>
    <w:link w:val="ttulotablaCar"/>
    <w:qFormat/>
    <w:rsid w:val="00122BA4"/>
    <w:pPr>
      <w:spacing w:after="160" w:line="259" w:lineRule="auto"/>
    </w:pPr>
    <w:rPr>
      <w:rFonts w:eastAsia="Calibri"/>
      <w:i/>
      <w:lang w:val="es-ES"/>
    </w:rPr>
  </w:style>
  <w:style w:type="character" w:customStyle="1" w:styleId="TablaCar">
    <w:name w:val="Tabla Car"/>
    <w:link w:val="Tabla"/>
    <w:rsid w:val="00122BA4"/>
    <w:rPr>
      <w:rFonts w:eastAsia="Calibri"/>
      <w:sz w:val="24"/>
      <w:szCs w:val="24"/>
      <w:lang w:val="es-ES" w:eastAsia="en-US"/>
    </w:rPr>
  </w:style>
  <w:style w:type="paragraph" w:customStyle="1" w:styleId="Notas">
    <w:name w:val="Notas"/>
    <w:basedOn w:val="Normal"/>
    <w:link w:val="NotasCar"/>
    <w:rsid w:val="00122BA4"/>
    <w:pPr>
      <w:spacing w:before="240" w:after="160" w:line="259" w:lineRule="auto"/>
      <w:ind w:left="1276"/>
      <w:contextualSpacing/>
    </w:pPr>
    <w:rPr>
      <w:rFonts w:eastAsia="Calibri"/>
      <w:sz w:val="20"/>
      <w:szCs w:val="20"/>
      <w:lang w:val="es-ES"/>
    </w:rPr>
  </w:style>
  <w:style w:type="character" w:customStyle="1" w:styleId="ttulotablaCar">
    <w:name w:val="título tabla Car"/>
    <w:link w:val="ttulotabla"/>
    <w:rsid w:val="00122BA4"/>
    <w:rPr>
      <w:rFonts w:eastAsia="Calibri"/>
      <w:i/>
      <w:sz w:val="24"/>
      <w:szCs w:val="24"/>
      <w:lang w:val="es-ES" w:eastAsia="en-US"/>
    </w:rPr>
  </w:style>
  <w:style w:type="character" w:customStyle="1" w:styleId="NotasCar">
    <w:name w:val="Notas Car"/>
    <w:link w:val="Notas"/>
    <w:rsid w:val="00122BA4"/>
    <w:rPr>
      <w:rFonts w:eastAsia="Calibri"/>
      <w:lang w:val="es-ES" w:eastAsia="en-US"/>
    </w:rPr>
  </w:style>
  <w:style w:type="character" w:customStyle="1" w:styleId="Ttulo2Car">
    <w:name w:val="Título 2 Car"/>
    <w:link w:val="Ttulo2"/>
    <w:uiPriority w:val="9"/>
    <w:rsid w:val="00D45694"/>
    <w:rPr>
      <w:rFonts w:cs="Arial"/>
      <w:b/>
      <w:bCs/>
      <w:iCs/>
      <w:sz w:val="24"/>
      <w:szCs w:val="28"/>
      <w:lang w:val="es-ES" w:eastAsia="en-US"/>
    </w:rPr>
  </w:style>
  <w:style w:type="paragraph" w:customStyle="1" w:styleId="Estilo1">
    <w:name w:val="Estilo1"/>
    <w:basedOn w:val="Redaccin"/>
    <w:link w:val="Estilo1Car"/>
    <w:rsid w:val="00122BA4"/>
    <w:pPr>
      <w:numPr>
        <w:numId w:val="0"/>
      </w:numPr>
      <w:ind w:left="36"/>
    </w:pPr>
    <w:rPr>
      <w:i/>
      <w:color w:val="A6A6A6"/>
    </w:rPr>
  </w:style>
  <w:style w:type="character" w:customStyle="1" w:styleId="Estilo1Car">
    <w:name w:val="Estilo1 Car"/>
    <w:link w:val="Estilo1"/>
    <w:rsid w:val="00122BA4"/>
    <w:rPr>
      <w:rFonts w:eastAsia="Calibri"/>
      <w:i/>
      <w:color w:val="A6A6A6"/>
      <w:sz w:val="24"/>
      <w:szCs w:val="24"/>
      <w:lang w:val="es-ES" w:eastAsia="en-US"/>
    </w:rPr>
  </w:style>
  <w:style w:type="character" w:customStyle="1" w:styleId="A5">
    <w:name w:val="A5"/>
    <w:uiPriority w:val="99"/>
    <w:rsid w:val="00122BA4"/>
    <w:rPr>
      <w:color w:val="000000"/>
      <w:sz w:val="22"/>
      <w:szCs w:val="22"/>
    </w:rPr>
  </w:style>
  <w:style w:type="paragraph" w:customStyle="1" w:styleId="Bullet1G">
    <w:name w:val="_Bullet 1_G"/>
    <w:basedOn w:val="Normal"/>
    <w:rsid w:val="00122BA4"/>
    <w:pPr>
      <w:numPr>
        <w:numId w:val="2"/>
      </w:numPr>
      <w:spacing w:after="120" w:line="240" w:lineRule="atLeast"/>
      <w:ind w:right="1134"/>
      <w:jc w:val="both"/>
    </w:pPr>
    <w:rPr>
      <w:sz w:val="20"/>
      <w:szCs w:val="20"/>
      <w:lang w:val="es-ES"/>
    </w:rPr>
  </w:style>
  <w:style w:type="table" w:customStyle="1" w:styleId="Tablaconcuadrcula4">
    <w:name w:val="Tabla con cuadrícula4"/>
    <w:basedOn w:val="Tablanormal"/>
    <w:next w:val="Tablaconcuadrcula"/>
    <w:uiPriority w:val="39"/>
    <w:rsid w:val="00122BA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omendacin">
    <w:name w:val="Recomendación"/>
    <w:basedOn w:val="Recomendaciones"/>
    <w:link w:val="RecomendacinCar"/>
    <w:rsid w:val="00122BA4"/>
  </w:style>
  <w:style w:type="character" w:customStyle="1" w:styleId="RecomendacinCar">
    <w:name w:val="Recomendación Car"/>
    <w:link w:val="Recomendacin"/>
    <w:rsid w:val="00122BA4"/>
    <w:rPr>
      <w:rFonts w:eastAsia="DejaVu Sans" w:cs="Lohit Hindi"/>
      <w:sz w:val="24"/>
      <w:szCs w:val="24"/>
      <w:u w:val="single"/>
      <w:lang w:val="es-VE"/>
    </w:rPr>
  </w:style>
  <w:style w:type="paragraph" w:customStyle="1" w:styleId="Consideracionesyconclusiones">
    <w:name w:val="Consideraciones y conclusiones"/>
    <w:basedOn w:val="Redaccin"/>
    <w:link w:val="ConsideracionesyconclusionesCar"/>
    <w:qFormat/>
    <w:rsid w:val="00122BA4"/>
    <w:pPr>
      <w:numPr>
        <w:numId w:val="0"/>
      </w:numPr>
      <w:ind w:left="425" w:hanging="425"/>
      <w:contextualSpacing w:val="0"/>
    </w:pPr>
  </w:style>
  <w:style w:type="character" w:customStyle="1" w:styleId="ConsideracionesyconclusionesCar">
    <w:name w:val="Consideraciones y conclusiones Car"/>
    <w:link w:val="Consideracionesyconclusiones"/>
    <w:rsid w:val="00122BA4"/>
    <w:rPr>
      <w:rFonts w:eastAsia="Calibri"/>
      <w:sz w:val="24"/>
      <w:szCs w:val="24"/>
      <w:lang w:val="es-ES" w:eastAsia="en-US"/>
    </w:rPr>
  </w:style>
  <w:style w:type="paragraph" w:customStyle="1" w:styleId="Redaccin1">
    <w:name w:val="Redacción 1"/>
    <w:basedOn w:val="Redaccin"/>
    <w:link w:val="Redaccin1Car"/>
    <w:rsid w:val="00122BA4"/>
    <w:pPr>
      <w:widowControl w:val="0"/>
      <w:numPr>
        <w:numId w:val="0"/>
      </w:numPr>
      <w:suppressAutoHyphens/>
      <w:ind w:firstLine="567"/>
      <w:contextualSpacing w:val="0"/>
    </w:pPr>
    <w:rPr>
      <w:rFonts w:eastAsia="DejaVu Sans" w:cs="Lohit Hindi"/>
      <w:lang w:val="es-VE" w:eastAsia="es-EC"/>
    </w:rPr>
  </w:style>
  <w:style w:type="character" w:customStyle="1" w:styleId="Redaccin1Car">
    <w:name w:val="Redacción 1 Car"/>
    <w:link w:val="Redaccin1"/>
    <w:rsid w:val="00122BA4"/>
    <w:rPr>
      <w:rFonts w:eastAsia="DejaVu Sans" w:cs="Lohit Hindi"/>
      <w:sz w:val="24"/>
      <w:szCs w:val="24"/>
      <w:lang w:val="es-VE" w:eastAsia="es-EC"/>
    </w:rPr>
  </w:style>
  <w:style w:type="paragraph" w:customStyle="1" w:styleId="Textbody">
    <w:name w:val="Text body"/>
    <w:basedOn w:val="Standard"/>
    <w:rsid w:val="00122BA4"/>
    <w:pPr>
      <w:spacing w:after="140" w:line="276" w:lineRule="auto"/>
      <w:ind w:firstLine="0"/>
    </w:pPr>
  </w:style>
  <w:style w:type="character" w:customStyle="1" w:styleId="highlight">
    <w:name w:val="highlight"/>
    <w:basedOn w:val="Fuentedeprrafopredeter"/>
    <w:rsid w:val="00122BA4"/>
  </w:style>
  <w:style w:type="table" w:customStyle="1" w:styleId="Tabladecuadrcula4-nfasis51">
    <w:name w:val="Tabla de cuadrícula 4 - Énfasis 51"/>
    <w:basedOn w:val="Tablanormal"/>
    <w:uiPriority w:val="49"/>
    <w:rsid w:val="00122BA4"/>
    <w:rPr>
      <w:rFonts w:ascii="Calibri" w:eastAsia="Calibri" w:hAnsi="Calibri"/>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HTMLconformatoprevio">
    <w:name w:val="HTML Preformatted"/>
    <w:basedOn w:val="Normal"/>
    <w:link w:val="HTMLconformatoprevioCar"/>
    <w:uiPriority w:val="99"/>
    <w:unhideWhenUsed/>
    <w:rsid w:val="00122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C" w:eastAsia="es-EC"/>
    </w:rPr>
  </w:style>
  <w:style w:type="character" w:customStyle="1" w:styleId="HTMLconformatoprevioCar">
    <w:name w:val="HTML con formato previo Car"/>
    <w:link w:val="HTMLconformatoprevio"/>
    <w:uiPriority w:val="99"/>
    <w:rsid w:val="00122BA4"/>
    <w:rPr>
      <w:rFonts w:ascii="Courier New" w:hAnsi="Courier New" w:cs="Courier New"/>
      <w:lang w:val="es-EC" w:eastAsia="es-EC"/>
    </w:rPr>
  </w:style>
  <w:style w:type="character" w:customStyle="1" w:styleId="object">
    <w:name w:val="object"/>
    <w:basedOn w:val="Fuentedeprrafopredeter"/>
    <w:rsid w:val="00122BA4"/>
  </w:style>
  <w:style w:type="character" w:customStyle="1" w:styleId="StrongEmphasis">
    <w:name w:val="Strong Emphasis"/>
    <w:rsid w:val="00122BA4"/>
    <w:rPr>
      <w:b/>
      <w:bCs/>
    </w:rPr>
  </w:style>
  <w:style w:type="character" w:customStyle="1" w:styleId="nfasisintenso1">
    <w:name w:val="Énfasis intenso1"/>
    <w:uiPriority w:val="21"/>
    <w:qFormat/>
    <w:rsid w:val="00122BA4"/>
    <w:rPr>
      <w:b/>
      <w:bCs/>
      <w:i/>
      <w:iCs/>
      <w:color w:val="5B9BD5"/>
    </w:rPr>
  </w:style>
  <w:style w:type="character" w:styleId="nfasisintenso">
    <w:name w:val="Intense Emphasis"/>
    <w:uiPriority w:val="21"/>
    <w:qFormat/>
    <w:rsid w:val="00122BA4"/>
    <w:rPr>
      <w:i/>
      <w:iCs/>
      <w:color w:val="4F81BD"/>
    </w:rPr>
  </w:style>
  <w:style w:type="character" w:customStyle="1" w:styleId="NotaCar">
    <w:name w:val="Nota Car"/>
    <w:link w:val="Nota"/>
    <w:qFormat/>
    <w:rsid w:val="00351BB9"/>
    <w:rPr>
      <w:i/>
    </w:rPr>
  </w:style>
  <w:style w:type="paragraph" w:customStyle="1" w:styleId="Nota">
    <w:name w:val="Nota"/>
    <w:basedOn w:val="Normal"/>
    <w:link w:val="NotaCar"/>
    <w:qFormat/>
    <w:rsid w:val="00351BB9"/>
    <w:pPr>
      <w:spacing w:line="259" w:lineRule="auto"/>
      <w:ind w:right="141"/>
    </w:pPr>
    <w:rPr>
      <w:i/>
      <w:sz w:val="20"/>
      <w:szCs w:val="20"/>
    </w:rPr>
  </w:style>
  <w:style w:type="paragraph" w:styleId="TtuloTDC">
    <w:name w:val="TOC Heading"/>
    <w:basedOn w:val="Ttulo1"/>
    <w:next w:val="Normal"/>
    <w:uiPriority w:val="39"/>
    <w:unhideWhenUsed/>
    <w:qFormat/>
    <w:rsid w:val="009E0A9E"/>
    <w:pPr>
      <w:keepNext/>
      <w:keepLines/>
      <w:numPr>
        <w:numId w:val="5"/>
      </w:numPr>
      <w:autoSpaceDE/>
      <w:autoSpaceDN/>
      <w:adjustRightInd/>
      <w:spacing w:before="480" w:line="276" w:lineRule="auto"/>
      <w:outlineLvl w:val="9"/>
    </w:pPr>
    <w:rPr>
      <w:rFonts w:ascii="Cambria" w:hAnsi="Cambria"/>
      <w:color w:val="365F91"/>
      <w:sz w:val="28"/>
      <w:szCs w:val="28"/>
      <w:lang w:val="es-CO" w:eastAsia="es-CO"/>
    </w:rPr>
  </w:style>
  <w:style w:type="character" w:customStyle="1" w:styleId="Mencinsinresolver2">
    <w:name w:val="Mención sin resolver2"/>
    <w:uiPriority w:val="99"/>
    <w:semiHidden/>
    <w:unhideWhenUsed/>
    <w:rsid w:val="009E0A9E"/>
    <w:rPr>
      <w:color w:val="605E5C"/>
      <w:shd w:val="clear" w:color="auto" w:fill="E1DFDD"/>
    </w:rPr>
  </w:style>
  <w:style w:type="paragraph" w:customStyle="1" w:styleId="xelementtoproof">
    <w:name w:val="x_elementtoproof"/>
    <w:basedOn w:val="Normal"/>
    <w:rsid w:val="009E0A9E"/>
    <w:pPr>
      <w:spacing w:before="100" w:beforeAutospacing="1" w:after="100" w:afterAutospacing="1"/>
    </w:pPr>
    <w:rPr>
      <w:lang w:val="es-MX" w:eastAsia="es-MX"/>
    </w:rPr>
  </w:style>
  <w:style w:type="character" w:customStyle="1" w:styleId="Mencinsinresolver3">
    <w:name w:val="Mención sin resolver3"/>
    <w:basedOn w:val="Fuentedeprrafopredeter"/>
    <w:uiPriority w:val="99"/>
    <w:semiHidden/>
    <w:unhideWhenUsed/>
    <w:rsid w:val="00B62B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765860">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865602149">
      <w:bodyDiv w:val="1"/>
      <w:marLeft w:val="0"/>
      <w:marRight w:val="0"/>
      <w:marTop w:val="0"/>
      <w:marBottom w:val="0"/>
      <w:divBdr>
        <w:top w:val="none" w:sz="0" w:space="0" w:color="auto"/>
        <w:left w:val="none" w:sz="0" w:space="0" w:color="auto"/>
        <w:bottom w:val="none" w:sz="0" w:space="0" w:color="auto"/>
        <w:right w:val="none" w:sz="0" w:space="0" w:color="auto"/>
      </w:divBdr>
    </w:div>
    <w:div w:id="1441534065">
      <w:bodyDiv w:val="1"/>
      <w:marLeft w:val="0"/>
      <w:marRight w:val="0"/>
      <w:marTop w:val="0"/>
      <w:marBottom w:val="0"/>
      <w:divBdr>
        <w:top w:val="none" w:sz="0" w:space="0" w:color="auto"/>
        <w:left w:val="none" w:sz="0" w:space="0" w:color="auto"/>
        <w:bottom w:val="none" w:sz="0" w:space="0" w:color="auto"/>
        <w:right w:val="none" w:sz="0" w:space="0" w:color="auto"/>
      </w:divBdr>
    </w:div>
    <w:div w:id="1667199298">
      <w:bodyDiv w:val="1"/>
      <w:marLeft w:val="0"/>
      <w:marRight w:val="0"/>
      <w:marTop w:val="0"/>
      <w:marBottom w:val="0"/>
      <w:divBdr>
        <w:top w:val="none" w:sz="0" w:space="0" w:color="auto"/>
        <w:left w:val="none" w:sz="0" w:space="0" w:color="auto"/>
        <w:bottom w:val="none" w:sz="0" w:space="0" w:color="auto"/>
        <w:right w:val="none" w:sz="0" w:space="0" w:color="auto"/>
      </w:divBdr>
    </w:div>
    <w:div w:id="1811365001">
      <w:bodyDiv w:val="1"/>
      <w:marLeft w:val="0"/>
      <w:marRight w:val="0"/>
      <w:marTop w:val="0"/>
      <w:marBottom w:val="0"/>
      <w:divBdr>
        <w:top w:val="none" w:sz="0" w:space="0" w:color="auto"/>
        <w:left w:val="none" w:sz="0" w:space="0" w:color="auto"/>
        <w:bottom w:val="none" w:sz="0" w:space="0" w:color="auto"/>
        <w:right w:val="none" w:sz="0" w:space="0" w:color="auto"/>
      </w:divBdr>
      <w:divsChild>
        <w:div w:id="704789775">
          <w:marLeft w:val="0"/>
          <w:marRight w:val="0"/>
          <w:marTop w:val="0"/>
          <w:marBottom w:val="0"/>
          <w:divBdr>
            <w:top w:val="none" w:sz="0" w:space="0" w:color="auto"/>
            <w:left w:val="none" w:sz="0" w:space="0" w:color="auto"/>
            <w:bottom w:val="none" w:sz="0" w:space="0" w:color="auto"/>
            <w:right w:val="none" w:sz="0" w:space="0" w:color="auto"/>
          </w:divBdr>
        </w:div>
        <w:div w:id="1989551523">
          <w:marLeft w:val="0"/>
          <w:marRight w:val="0"/>
          <w:marTop w:val="0"/>
          <w:marBottom w:val="0"/>
          <w:divBdr>
            <w:top w:val="none" w:sz="0" w:space="0" w:color="auto"/>
            <w:left w:val="none" w:sz="0" w:space="0" w:color="auto"/>
            <w:bottom w:val="none" w:sz="0" w:space="0" w:color="auto"/>
            <w:right w:val="none" w:sz="0" w:space="0" w:color="auto"/>
          </w:divBdr>
        </w:div>
        <w:div w:id="47651901">
          <w:marLeft w:val="0"/>
          <w:marRight w:val="0"/>
          <w:marTop w:val="0"/>
          <w:marBottom w:val="0"/>
          <w:divBdr>
            <w:top w:val="none" w:sz="0" w:space="0" w:color="auto"/>
            <w:left w:val="none" w:sz="0" w:space="0" w:color="auto"/>
            <w:bottom w:val="none" w:sz="0" w:space="0" w:color="auto"/>
            <w:right w:val="none" w:sz="0" w:space="0" w:color="auto"/>
          </w:divBdr>
        </w:div>
      </w:divsChild>
    </w:div>
    <w:div w:id="1820268627">
      <w:bodyDiv w:val="1"/>
      <w:marLeft w:val="0"/>
      <w:marRight w:val="0"/>
      <w:marTop w:val="0"/>
      <w:marBottom w:val="0"/>
      <w:divBdr>
        <w:top w:val="none" w:sz="0" w:space="0" w:color="auto"/>
        <w:left w:val="none" w:sz="0" w:space="0" w:color="auto"/>
        <w:bottom w:val="none" w:sz="0" w:space="0" w:color="auto"/>
        <w:right w:val="none" w:sz="0" w:space="0" w:color="auto"/>
      </w:divBdr>
    </w:div>
    <w:div w:id="1837837343">
      <w:bodyDiv w:val="1"/>
      <w:marLeft w:val="0"/>
      <w:marRight w:val="0"/>
      <w:marTop w:val="0"/>
      <w:marBottom w:val="0"/>
      <w:divBdr>
        <w:top w:val="none" w:sz="0" w:space="0" w:color="auto"/>
        <w:left w:val="none" w:sz="0" w:space="0" w:color="auto"/>
        <w:bottom w:val="none" w:sz="0" w:space="0" w:color="auto"/>
        <w:right w:val="none" w:sz="0" w:space="0" w:color="auto"/>
      </w:divBdr>
    </w:div>
    <w:div w:id="201637707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sp/CED/C/ECU/CO/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pe.gob.ec"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2026-02-03T10:47:07+00:00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Pla19</b:Tag>
    <b:SourceType>Book</b:SourceType>
    <b:Guid>{46D36B0C-AB2D-4620-A436-B207F954197D}</b:Guid>
    <b:Author>
      <b:Author>
        <b:NameList>
          <b:Person>
            <b:Last>PACTA</b:Last>
          </b:Person>
        </b:NameList>
      </b:Author>
    </b:Author>
    <b:Year>2019</b:Year>
    <b:City>Quito</b:City>
    <b:Publisher>Ministerio de Gobierno</b:Publisher>
    <b:Title>Plan de Acción contra la Trata de personas 2019-2030</b:Title>
    <b:RefOrder>1</b:RefOrder>
  </b:Source>
  <b:Source>
    <b:Tag>TIP20</b:Tag>
    <b:SourceType>Book</b:SourceType>
    <b:Guid>{E72D4E8D-57C5-4898-B91D-52BBA6A1478A}</b:Guid>
    <b:Author>
      <b:Author>
        <b:NameList>
          <b:Person>
            <b:Last>Report</b:Last>
            <b:First>TIP</b:First>
          </b:Person>
        </b:NameList>
      </b:Author>
    </b:Author>
    <b:Title>Traffickingin Persons Report 20th Edition</b:Title>
    <b:Year>2020</b:Year>
    <b:City>Washington</b:City>
    <b:Publisher>Department of State</b:Publisher>
    <b:RefOrder>2</b:RefOrder>
  </b:Source>
  <b:Source>
    <b:Tag>RO917</b:Tag>
    <b:SourceType>Book</b:SourceType>
    <b:Guid>{BDAF64B8-FA23-4574-BFF1-9B276E431459}</b:Guid>
    <b:Title>Suplemento Registro  Oficial No. 938</b:Title>
    <b:Year>2017</b:Year>
    <b:Author>
      <b:Author>
        <b:NameList>
          <b:Person>
            <b:Last>R.O.938</b:Last>
          </b:Person>
        </b:NameList>
      </b:Author>
    </b:Author>
    <b:City>Quito</b:City>
    <b:Publisher>Editorial Nacional</b:Publisher>
    <b:RefOrder>3</b:RefOrder>
  </b:Source>
  <b:Source>
    <b:Tag>RO5171</b:Tag>
    <b:SourceType>Book</b:SourceType>
    <b:Guid>{C242B001-CDC4-40B7-9098-E95D4CEBBE6C}</b:Guid>
    <b:Author>
      <b:Author>
        <b:NameList>
          <b:Person>
            <b:Last>R.O.55</b:Last>
          </b:Person>
        </b:NameList>
      </b:Author>
    </b:Author>
    <b:Title>Suplemento Registro Oficial No. 55</b:Title>
    <b:Year>2017</b:Year>
    <b:City>Quito</b:City>
    <b:Publisher>Editorial Nacional</b:Publisher>
    <b:RefOrder>4</b:RefOrder>
  </b:Source>
  <b:Source>
    <b:Tag>Med18</b:Tag>
    <b:SourceType>Case</b:SourceType>
    <b:Guid>{83D9A1B6-A65E-4890-ADFA-040D9495BC38}</b:Guid>
    <b:Title>Medida Cautelar</b:Title>
    <b:Year>2018</b:Year>
    <b:CaseNumber>17203201807971</b:CaseNumber>
    <b:Court>Unidad Judicial Tercera de la Familia, Mujere, Niiñez y Adolescencia del Cantón Quito </b:Court>
    <b:Month>Agosto</b:Month>
    <b:Day>17</b:Day>
    <b:RefOrder>5</b:RefOrder>
  </b:Source>
  <b:Source>
    <b:Tag>Acc19</b:Tag>
    <b:SourceType>Case</b:SourceType>
    <b:Guid>{F53F3889-BDF6-4B57-98CE-519E468DE5EE}</b:Guid>
    <b:Title>Acción de Protección </b:Title>
    <b:CaseNumber>04243-2019-00001</b:CaseNumber>
    <b:Court>Tribunal de Garantías Penales con sede en el CAntón Tulcán</b:Court>
    <b:Year>2019</b:Year>
    <b:Month>Febrero</b:Month>
    <b:RefOrder>6</b:RefOrder>
  </b:Source>
  <b:Source>
    <b:Tag>Acc191</b:Tag>
    <b:SourceType>Case</b:SourceType>
    <b:Guid>{5CAF663E-F25C-4C5E-9036-5472BEB11211}</b:Guid>
    <b:Title>Acción de Protección y Medida Cautelar</b:Title>
    <b:CaseNumber>04333-2019-00190</b:CaseNumber>
    <b:Court>Unidad Judicial con Sede en el Cantón Tulcán</b:Court>
    <b:Year>2019</b:Year>
    <b:Month>Marzo</b:Month>
    <b:RefOrder>7</b:RefOrder>
  </b:Source>
  <b:Source>
    <b:Tag>AHR18</b:Tag>
    <b:SourceType>Book</b:SourceType>
    <b:Guid>{8F80B4B9-F17D-47E7-9E65-3094E05B9383}</b:Guid>
    <b:Title>Informe del Relator Especial sobre tortura y otros tratos o penas crueles, inhumanos o degradantes</b:Title>
    <b:Year>2018</b:Year>
    <b:Author>
      <b:Author>
        <b:NameList>
          <b:Person>
            <b:Last>A/HRC/37/50</b:Last>
          </b:Person>
        </b:NameList>
      </b:Author>
    </b:Author>
    <b:Publisher>Asamblea General Naciones Unidas. Parr. </b:Publisher>
    <b:RefOrder>8</b:RefOrder>
  </b:Source>
  <b:Source>
    <b:Tag>CID17</b:Tag>
    <b:SourceType>Book</b:SourceType>
    <b:Guid>{B02AFFA2-A3DA-4998-94A1-62734EA1DA1B}</b:Guid>
    <b:Title>OEA/Ser*L/V/II</b:Title>
    <b:Year>2017</b:Year>
    <b:Author>
      <b:Author>
        <b:NameList>
          <b:Person>
            <b:Last>CIDH</b:Last>
          </b:Person>
        </b:NameList>
      </b:Author>
    </b:Author>
    <b:City>Washington</b:City>
    <b:Publisher>Comisión Interamericana de Derechos Humanos</b:Publisher>
    <b:RefOrder>9</b:RefOrder>
  </b:Source>
  <b:Source>
    <b:Tag>Opi14</b:Tag>
    <b:SourceType>Book</b:SourceType>
    <b:Guid>{E1BB32B7-444F-455F-879E-392DD425F508}</b:Guid>
    <b:Author>
      <b:Author>
        <b:NameList>
          <b:Person>
            <b:Last>OC-21/14</b:Last>
            <b:First>Opinió</b:First>
            <b:Middle>Consultiva</b:Middle>
          </b:Person>
        </b:NameList>
      </b:Author>
    </b:Author>
    <b:Title>Derechos y Garantias de Niños y Niñas en el Contexto de la Migración y/o en Necesidad de Protección Internacional</b:Title>
    <b:Year>2014</b:Year>
    <b:City>San José</b:City>
    <b:Publisher>Corte Interamericana de Derechos Humanos</b:Publisher>
    <b:RefOrder>10</b:RefOrder>
  </b:Source>
  <b:Source>
    <b:Tag>OIM19</b:Tag>
    <b:SourceType>Report</b:SourceType>
    <b:Guid>{1575F201-8C07-4549-A6B4-A425EA7DB587}</b:Guid>
    <b:Title>Monitoreo de Flujo de Población Venezonala</b:Title>
    <b:Year>2019</b:Year>
    <b:City>Quito</b:City>
    <b:Publisher>Organización Internacional para las Migraciones</b:Publisher>
    <b:Author>
      <b:Author>
        <b:NameList>
          <b:Person>
            <b:Last>OIM</b:Last>
            <b:First>DTM</b:First>
          </b:Person>
        </b:NameList>
      </b:Author>
    </b:Author>
    <b:RefOrder>1</b:RefOrder>
  </b:Source>
  <b:Source>
    <b:Tag>MarcadorDePosición1</b:Tag>
    <b:SourceType>Case</b:SourceType>
    <b:Guid>{6AB361AF-0D85-499F-9160-C3FF7A07F90A}</b:Guid>
    <b:Title>Medida Cautelar</b:Title>
    <b:Year>2018</b:Year>
    <b:CaseNumber>17203-2018-07971</b:CaseNumber>
    <b:Court>Unidad Judicial de la Familia Mujer, Niñez y Adolescencia del Distrito Metropolitano de Quito </b:Court>
    <b:Month>Agosto</b:Month>
    <b:Day>17</b:Day>
    <b:RefOrder>2</b:RefOrder>
  </b:Source>
  <b:Source>
    <b:Tag>DPE18</b:Tag>
    <b:SourceType>Report</b:SourceType>
    <b:Guid>{65418447-3E6C-4C93-BA05-C5FAE05C0F0E}</b:Guid>
    <b:Author>
      <b:Author>
        <b:NameList>
          <b:Person>
            <b:Last>DPE</b:Last>
          </b:Person>
        </b:NameList>
      </b:Author>
    </b:Author>
    <b:Title>Desafios en la Protección de los derechos de la Población Venezolana en Movilidad Humana</b:Title>
    <b:Year>2018</b:Year>
    <b:Publisher>Defensoria del Pueblo del Ecuador, documento digital</b:Publisher>
    <b:City>Quito</b:City>
    <b:RefOrder>3</b:RefOrder>
  </b:Source>
  <b:Source>
    <b:Tag>RON03</b:Tag>
    <b:SourceType>Book</b:SourceType>
    <b:Guid>{4247FC22-09D9-42C1-AE0B-484564DCFBEF}</b:Guid>
    <b:Title>Convención internacional sobre la proteccion de los derechos de todos los trabajadores migratorios y sus familias</b:Title>
    <b:Year>2003</b:Year>
    <b:City>Quito</b:City>
    <b:Author>
      <b:Author>
        <b:NameList>
          <b:Person>
            <b:Last>R.O.No.133</b:Last>
          </b:Person>
        </b:NameList>
      </b:Author>
    </b:Author>
    <b:RefOrder>4</b:RefOrder>
  </b:Source>
  <b:Source>
    <b:Tag>Acc192</b:Tag>
    <b:SourceType>Case</b:SourceType>
    <b:Guid>{3B945258-49D7-4A94-94FA-CF574990312E}</b:Guid>
    <b:Title>Acción de Protección y Medida Cautelar</b:Title>
    <b:Year>2019</b:Year>
    <b:CaseNumber>04333-2019-00190</b:CaseNumber>
    <b:Court>Unidad Judicial Civil, con sede en el Canton Tulcán</b:Court>
    <b:Month>marzo</b:Month>
    <b:Day>15</b:Day>
    <b:RefOrder>5</b:RefOrder>
  </b:Source>
</b:Sources>
</file>

<file path=customXml/itemProps1.xml><?xml version="1.0" encoding="utf-8"?>
<ds:datastoreItem xmlns:ds="http://schemas.openxmlformats.org/officeDocument/2006/customXml" ds:itemID="{EAD186E8-82BD-467E-B9C5-A2ADA7CB43DF}">
  <ds:schemaRefs>
    <ds:schemaRef ds:uri="http://schemas.microsoft.com/sharepoint/v3/contenttype/forms"/>
  </ds:schemaRefs>
</ds:datastoreItem>
</file>

<file path=customXml/itemProps2.xml><?xml version="1.0" encoding="utf-8"?>
<ds:datastoreItem xmlns:ds="http://schemas.openxmlformats.org/officeDocument/2006/customXml" ds:itemID="{8D5FA8FC-B086-44EE-B06C-4E0CCBBEC2C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182999F-4BF2-4D84-8164-8BA9D539988A}"/>
</file>

<file path=customXml/itemProps4.xml><?xml version="1.0" encoding="utf-8"?>
<ds:datastoreItem xmlns:ds="http://schemas.openxmlformats.org/officeDocument/2006/customXml" ds:itemID="{7AC91270-33E6-4CF1-90DE-5766DBAFF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10</Pages>
  <Words>2801</Words>
  <Characters>15407</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18172</CharactersWithSpaces>
  <SharedDoc>false</SharedDoc>
  <HLinks>
    <vt:vector size="660" baseType="variant">
      <vt:variant>
        <vt:i4>2424864</vt:i4>
      </vt:variant>
      <vt:variant>
        <vt:i4>411</vt:i4>
      </vt:variant>
      <vt:variant>
        <vt:i4>0</vt:i4>
      </vt:variant>
      <vt:variant>
        <vt:i4>5</vt:i4>
      </vt:variant>
      <vt:variant>
        <vt:lpwstr>http://www.ninasnomadres.org/alza-la-voz/wp-content/uploads/2020/07/fact-sheet-el-golpe.pdf</vt:lpwstr>
      </vt:variant>
      <vt:variant>
        <vt:lpwstr/>
      </vt:variant>
      <vt:variant>
        <vt:i4>3145769</vt:i4>
      </vt:variant>
      <vt:variant>
        <vt:i4>408</vt:i4>
      </vt:variant>
      <vt:variant>
        <vt:i4>0</vt:i4>
      </vt:variant>
      <vt:variant>
        <vt:i4>5</vt:i4>
      </vt:variant>
      <vt:variant>
        <vt:lpwstr>https://www.salud.gob.ec/3-regulacion-control-y-sancion-a-establecimientos/</vt:lpwstr>
      </vt:variant>
      <vt:variant>
        <vt:lpwstr/>
      </vt:variant>
      <vt:variant>
        <vt:i4>2424864</vt:i4>
      </vt:variant>
      <vt:variant>
        <vt:i4>405</vt:i4>
      </vt:variant>
      <vt:variant>
        <vt:i4>0</vt:i4>
      </vt:variant>
      <vt:variant>
        <vt:i4>5</vt:i4>
      </vt:variant>
      <vt:variant>
        <vt:lpwstr>http://www.ninasnomadres.org/alza-la-voz/wp-content/uploads/2020/07/fact-sheet-el-golpe.pdf</vt:lpwstr>
      </vt:variant>
      <vt:variant>
        <vt:lpwstr/>
      </vt:variant>
      <vt:variant>
        <vt:i4>2293815</vt:i4>
      </vt:variant>
      <vt:variant>
        <vt:i4>402</vt:i4>
      </vt:variant>
      <vt:variant>
        <vt:i4>0</vt:i4>
      </vt:variant>
      <vt:variant>
        <vt:i4>5</vt:i4>
      </vt:variant>
      <vt:variant>
        <vt:lpwstr>https://drive.google.com/file/d/1KQa1CQOtVzDlwfByzgXodSwd9sJmYPzB/view</vt:lpwstr>
      </vt:variant>
      <vt:variant>
        <vt:lpwstr/>
      </vt:variant>
      <vt:variant>
        <vt:i4>6225940</vt:i4>
      </vt:variant>
      <vt:variant>
        <vt:i4>399</vt:i4>
      </vt:variant>
      <vt:variant>
        <vt:i4>0</vt:i4>
      </vt:variant>
      <vt:variant>
        <vt:i4>5</vt:i4>
      </vt:variant>
      <vt:variant>
        <vt:lpwstr>https://www.vistazo.com/seccion/pais/actualidad-nacional/en-el-encierro-tambien-nos-matan</vt:lpwstr>
      </vt:variant>
      <vt:variant>
        <vt:lpwstr/>
      </vt:variant>
      <vt:variant>
        <vt:i4>7798895</vt:i4>
      </vt:variant>
      <vt:variant>
        <vt:i4>396</vt:i4>
      </vt:variant>
      <vt:variant>
        <vt:i4>0</vt:i4>
      </vt:variant>
      <vt:variant>
        <vt:i4>5</vt:i4>
      </vt:variant>
      <vt:variant>
        <vt:lpwstr>https://www.redinnovacion.org/articulo/se-reconsidera-la-ley-en-contra-de-la-violencia-de-g%C3%A9nero-propuesta-en-ecuador</vt:lpwstr>
      </vt:variant>
      <vt:variant>
        <vt:lpwstr/>
      </vt:variant>
      <vt:variant>
        <vt:i4>6160462</vt:i4>
      </vt:variant>
      <vt:variant>
        <vt:i4>393</vt:i4>
      </vt:variant>
      <vt:variant>
        <vt:i4>0</vt:i4>
      </vt:variant>
      <vt:variant>
        <vt:i4>5</vt:i4>
      </vt:variant>
      <vt:variant>
        <vt:lpwstr>https://www.ninasnomadres.org/alza-la-voz/wp-content/uploads/2020/07/fact-sheet-el-golpe.pdf</vt:lpwstr>
      </vt:variant>
      <vt:variant>
        <vt:lpwstr/>
      </vt:variant>
      <vt:variant>
        <vt:i4>3211316</vt:i4>
      </vt:variant>
      <vt:variant>
        <vt:i4>390</vt:i4>
      </vt:variant>
      <vt:variant>
        <vt:i4>0</vt:i4>
      </vt:variant>
      <vt:variant>
        <vt:i4>5</vt:i4>
      </vt:variant>
      <vt:variant>
        <vt:lpwstr>https://www.ninasnomadres.org/</vt:lpwstr>
      </vt:variant>
      <vt:variant>
        <vt:lpwstr/>
      </vt:variant>
      <vt:variant>
        <vt:i4>1441807</vt:i4>
      </vt:variant>
      <vt:variant>
        <vt:i4>387</vt:i4>
      </vt:variant>
      <vt:variant>
        <vt:i4>0</vt:i4>
      </vt:variant>
      <vt:variant>
        <vt:i4>5</vt:i4>
      </vt:variant>
      <vt:variant>
        <vt:lpwstr>https://www.lahora.com.ec/quito/noticia/1102124891/ecuador-ejecutivo-veta-parcialmente-ley-de-violencia-contra-mujer</vt:lpwstr>
      </vt:variant>
      <vt:variant>
        <vt:lpwstr/>
      </vt:variant>
      <vt:variant>
        <vt:i4>6750316</vt:i4>
      </vt:variant>
      <vt:variant>
        <vt:i4>384</vt:i4>
      </vt:variant>
      <vt:variant>
        <vt:i4>0</vt:i4>
      </vt:variant>
      <vt:variant>
        <vt:i4>5</vt:i4>
      </vt:variant>
      <vt:variant>
        <vt:lpwstr>https://www.fiscalia.gob.ec/conformacion-del-subcomite-tecnico-de-validacion-de-femicidios/</vt:lpwstr>
      </vt:variant>
      <vt:variant>
        <vt:lpwstr/>
      </vt:variant>
      <vt:variant>
        <vt:i4>6750316</vt:i4>
      </vt:variant>
      <vt:variant>
        <vt:i4>381</vt:i4>
      </vt:variant>
      <vt:variant>
        <vt:i4>0</vt:i4>
      </vt:variant>
      <vt:variant>
        <vt:i4>5</vt:i4>
      </vt:variant>
      <vt:variant>
        <vt:lpwstr>https://www.fiscalia.gob.ec/conformacion-del-subcomite-tecnico-de-validacion-de-femicidios/</vt:lpwstr>
      </vt:variant>
      <vt:variant>
        <vt:lpwstr/>
      </vt:variant>
      <vt:variant>
        <vt:i4>2162806</vt:i4>
      </vt:variant>
      <vt:variant>
        <vt:i4>378</vt:i4>
      </vt:variant>
      <vt:variant>
        <vt:i4>0</vt:i4>
      </vt:variant>
      <vt:variant>
        <vt:i4>5</vt:i4>
      </vt:variant>
      <vt:variant>
        <vt:lpwstr>https://www.finanzas.gob.ec/wp-content/uploads/downloads/2018/07/DIRECTRICES-PARA-LA-ELABORACION-DE-LA-PROFORMA-DEL-PGE.compressed.pdf</vt:lpwstr>
      </vt:variant>
      <vt:variant>
        <vt:lpwstr/>
      </vt:variant>
      <vt:variant>
        <vt:i4>7864367</vt:i4>
      </vt:variant>
      <vt:variant>
        <vt:i4>375</vt:i4>
      </vt:variant>
      <vt:variant>
        <vt:i4>0</vt:i4>
      </vt:variant>
      <vt:variant>
        <vt:i4>5</vt:i4>
      </vt:variant>
      <vt:variant>
        <vt:lpwstr>https://www.finanzas.gob.ec/wp-content/uploads/downloads/2019/07/Directrices-Proforma-2020-y-PPC-2020-2023-V10-15-7-2019-public.-1.pdf</vt:lpwstr>
      </vt:variant>
      <vt:variant>
        <vt:lpwstr/>
      </vt:variant>
      <vt:variant>
        <vt:i4>7667761</vt:i4>
      </vt:variant>
      <vt:variant>
        <vt:i4>372</vt:i4>
      </vt:variant>
      <vt:variant>
        <vt:i4>0</vt:i4>
      </vt:variant>
      <vt:variant>
        <vt:i4>5</vt:i4>
      </vt:variant>
      <vt:variant>
        <vt:lpwstr>https://www.eluniverso.com/noticias/2020/01/13/nota/7688340/servicio-victimas-violencia-se-queda-mitad-personal</vt:lpwstr>
      </vt:variant>
      <vt:variant>
        <vt:lpwstr/>
      </vt:variant>
      <vt:variant>
        <vt:i4>13</vt:i4>
      </vt:variant>
      <vt:variant>
        <vt:i4>369</vt:i4>
      </vt:variant>
      <vt:variant>
        <vt:i4>0</vt:i4>
      </vt:variant>
      <vt:variant>
        <vt:i4>5</vt:i4>
      </vt:variant>
      <vt:variant>
        <vt:lpwstr>https://www.eltelegrafo.com.ec/noticias/judicial/12/pandemia-violencia-genero</vt:lpwstr>
      </vt:variant>
      <vt:variant>
        <vt:lpwstr/>
      </vt:variant>
      <vt:variant>
        <vt:i4>7536760</vt:i4>
      </vt:variant>
      <vt:variant>
        <vt:i4>366</vt:i4>
      </vt:variant>
      <vt:variant>
        <vt:i4>0</vt:i4>
      </vt:variant>
      <vt:variant>
        <vt:i4>5</vt:i4>
      </vt:variant>
      <vt:variant>
        <vt:lpwstr>https://www.elcomercio.com/tendencias/polemica-cambios-ley-violencia-mujer.html</vt:lpwstr>
      </vt:variant>
      <vt:variant>
        <vt:lpwstr/>
      </vt:variant>
      <vt:variant>
        <vt:i4>3276842</vt:i4>
      </vt:variant>
      <vt:variant>
        <vt:i4>363</vt:i4>
      </vt:variant>
      <vt:variant>
        <vt:i4>0</vt:i4>
      </vt:variant>
      <vt:variant>
        <vt:i4>5</vt:i4>
      </vt:variant>
      <vt:variant>
        <vt:lpwstr>https://www.elcomercio.com/actualidad/delitos-sexuales-denunciados-aislamiento-coronavirus.html</vt:lpwstr>
      </vt:variant>
      <vt:variant>
        <vt:lpwstr/>
      </vt:variant>
      <vt:variant>
        <vt:i4>5374030</vt:i4>
      </vt:variant>
      <vt:variant>
        <vt:i4>360</vt:i4>
      </vt:variant>
      <vt:variant>
        <vt:i4>0</vt:i4>
      </vt:variant>
      <vt:variant>
        <vt:i4>5</vt:i4>
      </vt:variant>
      <vt:variant>
        <vt:lpwstr>https://twitter.com/DerechosQuito/status/1254131099267223552</vt:lpwstr>
      </vt:variant>
      <vt:variant>
        <vt:lpwstr/>
      </vt:variant>
      <vt:variant>
        <vt:i4>524355</vt:i4>
      </vt:variant>
      <vt:variant>
        <vt:i4>357</vt:i4>
      </vt:variant>
      <vt:variant>
        <vt:i4>0</vt:i4>
      </vt:variant>
      <vt:variant>
        <vt:i4>5</vt:i4>
      </vt:variant>
      <vt:variant>
        <vt:lpwstr>https://twitter.com/CorteConstEcu/status/1199780434416218113/photo/1</vt:lpwstr>
      </vt:variant>
      <vt:variant>
        <vt:lpwstr/>
      </vt:variant>
      <vt:variant>
        <vt:i4>458823</vt:i4>
      </vt:variant>
      <vt:variant>
        <vt:i4>354</vt:i4>
      </vt:variant>
      <vt:variant>
        <vt:i4>0</vt:i4>
      </vt:variant>
      <vt:variant>
        <vt:i4>5</vt:i4>
      </vt:variant>
      <vt:variant>
        <vt:lpwstr>https://www.funcionjudicial.gob.ec/index.php/es/saladeprensa/noticias/item/8975-2469-casos-de-violencia-contra-la-mujer-fueron-atendidos-en-las-unidades-judiciales-desde-el-16-de- marzo-al-15-de-mayo-de-2020.html</vt:lpwstr>
      </vt:variant>
      <vt:variant>
        <vt:lpwstr/>
      </vt:variant>
      <vt:variant>
        <vt:i4>2752627</vt:i4>
      </vt:variant>
      <vt:variant>
        <vt:i4>351</vt:i4>
      </vt:variant>
      <vt:variant>
        <vt:i4>0</vt:i4>
      </vt:variant>
      <vt:variant>
        <vt:i4>5</vt:i4>
      </vt:variant>
      <vt:variant>
        <vt:lpwstr>https://m.facebook.com/NinaWarmiEC/photos/a.484211278700954/962792200842857/?type=3&amp;source</vt:lpwstr>
      </vt:variant>
      <vt:variant>
        <vt:lpwstr/>
      </vt:variant>
      <vt:variant>
        <vt:i4>2424864</vt:i4>
      </vt:variant>
      <vt:variant>
        <vt:i4>348</vt:i4>
      </vt:variant>
      <vt:variant>
        <vt:i4>0</vt:i4>
      </vt:variant>
      <vt:variant>
        <vt:i4>5</vt:i4>
      </vt:variant>
      <vt:variant>
        <vt:lpwstr>http://www.ninasnomadres.org/alza-la-voz/wp-content/uploads/2020/07/fact-sheet-el-golpe.pdf</vt:lpwstr>
      </vt:variant>
      <vt:variant>
        <vt:lpwstr/>
      </vt:variant>
      <vt:variant>
        <vt:i4>2490488</vt:i4>
      </vt:variant>
      <vt:variant>
        <vt:i4>345</vt:i4>
      </vt:variant>
      <vt:variant>
        <vt:i4>0</vt:i4>
      </vt:variant>
      <vt:variant>
        <vt:i4>5</vt:i4>
      </vt:variant>
      <vt:variant>
        <vt:lpwstr>http://www.fundacionaldea.org/noticias-aldea/39gd9x9btdt76zmtzgm7zlgmlkrjze</vt:lpwstr>
      </vt:variant>
      <vt:variant>
        <vt:lpwstr/>
      </vt:variant>
      <vt:variant>
        <vt:i4>5570631</vt:i4>
      </vt:variant>
      <vt:variant>
        <vt:i4>342</vt:i4>
      </vt:variant>
      <vt:variant>
        <vt:i4>0</vt:i4>
      </vt:variant>
      <vt:variant>
        <vt:i4>5</vt:i4>
      </vt:variant>
      <vt:variant>
        <vt:lpwstr>https://cepamgye.org/es/</vt:lpwstr>
      </vt:variant>
      <vt:variant>
        <vt:lpwstr/>
      </vt:variant>
      <vt:variant>
        <vt:i4>6160394</vt:i4>
      </vt:variant>
      <vt:variant>
        <vt:i4>339</vt:i4>
      </vt:variant>
      <vt:variant>
        <vt:i4>0</vt:i4>
      </vt:variant>
      <vt:variant>
        <vt:i4>5</vt:i4>
      </vt:variant>
      <vt:variant>
        <vt:lpwstr>http://surkuna.org/sitio/</vt:lpwstr>
      </vt:variant>
      <vt:variant>
        <vt:lpwstr/>
      </vt:variant>
      <vt:variant>
        <vt:i4>5374024</vt:i4>
      </vt:variant>
      <vt:variant>
        <vt:i4>336</vt:i4>
      </vt:variant>
      <vt:variant>
        <vt:i4>0</vt:i4>
      </vt:variant>
      <vt:variant>
        <vt:i4>5</vt:i4>
      </vt:variant>
      <vt:variant>
        <vt:lpwstr>http://sacc.corteconstitucional.gob.ec/storage/api/v1/10_DWL_FL/e2NhcnBldGE6J2VzY3JpdG8nLCB1dWlkOicwOWE2NTBkMi03NGFmLTRlOGYtYjIwMy0yOWNhODE2MTYwNTgucGRmJ30=</vt:lpwstr>
      </vt:variant>
      <vt:variant>
        <vt:lpwstr/>
      </vt:variant>
      <vt:variant>
        <vt:i4>5505100</vt:i4>
      </vt:variant>
      <vt:variant>
        <vt:i4>333</vt:i4>
      </vt:variant>
      <vt:variant>
        <vt:i4>0</vt:i4>
      </vt:variant>
      <vt:variant>
        <vt:i4>5</vt:i4>
      </vt:variant>
      <vt:variant>
        <vt:lpwstr>http://proteccionderechosquito.gob.ec/2020/04/25/8780706/</vt:lpwstr>
      </vt:variant>
      <vt:variant>
        <vt:lpwstr/>
      </vt:variant>
      <vt:variant>
        <vt:i4>4259923</vt:i4>
      </vt:variant>
      <vt:variant>
        <vt:i4>330</vt:i4>
      </vt:variant>
      <vt:variant>
        <vt:i4>0</vt:i4>
      </vt:variant>
      <vt:variant>
        <vt:i4>5</vt:i4>
      </vt:variant>
      <vt:variant>
        <vt:lpwstr>http://doc.corteconstitucional.gob.ec:8080/alfresco/d/d/workspace/SpacesStore/5cca69d2-b5d0-4dd5-9ac3-dbeb25ca7faf/0034-19-in.pdf?guest=true</vt:lpwstr>
      </vt:variant>
      <vt:variant>
        <vt:lpwstr/>
      </vt:variant>
      <vt:variant>
        <vt:i4>4587628</vt:i4>
      </vt:variant>
      <vt:variant>
        <vt:i4>327</vt:i4>
      </vt:variant>
      <vt:variant>
        <vt:i4>0</vt:i4>
      </vt:variant>
      <vt:variant>
        <vt:i4>5</vt:i4>
      </vt:variant>
      <vt:variant>
        <vt:lpwstr>http://doc.corteconstitucional.gob.ec:8080/alfresco/d/d/workspace/SpacesStore/5a66bc12-ce3a-403c-8e6a-131fe3652138/demanda_0034-19-in.pdf?guest=true</vt:lpwstr>
      </vt:variant>
      <vt:variant>
        <vt:lpwstr/>
      </vt:variant>
      <vt:variant>
        <vt:i4>4194306</vt:i4>
      </vt:variant>
      <vt:variant>
        <vt:i4>324</vt:i4>
      </vt:variant>
      <vt:variant>
        <vt:i4>0</vt:i4>
      </vt:variant>
      <vt:variant>
        <vt:i4>5</vt:i4>
      </vt:variant>
      <vt:variant>
        <vt:lpwstr>http://mujerymujer.org/wp-content/uploads/2020/07/Reporte-Mujer-Mujer-FPAL-2020-1.pdf</vt:lpwstr>
      </vt:variant>
      <vt:variant>
        <vt:lpwstr/>
      </vt:variant>
      <vt:variant>
        <vt:i4>5570635</vt:i4>
      </vt:variant>
      <vt:variant>
        <vt:i4>321</vt:i4>
      </vt:variant>
      <vt:variant>
        <vt:i4>0</vt:i4>
      </vt:variant>
      <vt:variant>
        <vt:i4>5</vt:i4>
      </vt:variant>
      <vt:variant>
        <vt:lpwstr>https://www.eltelegrafo.com.ec/noticias/judicial/12/216-clinicas-adiccion-regularizacion</vt:lpwstr>
      </vt:variant>
      <vt:variant>
        <vt:lpwstr/>
      </vt:variant>
      <vt:variant>
        <vt:i4>5898320</vt:i4>
      </vt:variant>
      <vt:variant>
        <vt:i4>318</vt:i4>
      </vt:variant>
      <vt:variant>
        <vt:i4>0</vt:i4>
      </vt:variant>
      <vt:variant>
        <vt:i4>5</vt:i4>
      </vt:variant>
      <vt:variant>
        <vt:lpwstr>http://www.calidadsalud.gob.ec/clausuran-establecimiento-ilegal-con-mas-de-30-personas-con-adicciones-en-hacinamiento-en-flor-de-bastion/</vt:lpwstr>
      </vt:variant>
      <vt:variant>
        <vt:lpwstr/>
      </vt:variant>
      <vt:variant>
        <vt:i4>2228348</vt:i4>
      </vt:variant>
      <vt:variant>
        <vt:i4>315</vt:i4>
      </vt:variant>
      <vt:variant>
        <vt:i4>0</vt:i4>
      </vt:variant>
      <vt:variant>
        <vt:i4>5</vt:i4>
      </vt:variant>
      <vt:variant>
        <vt:lpwstr>https://www.aldia.com.ec/presidiario-fue-asesinado-por-una-deuda-de-30-00-en-sucumbios/</vt:lpwstr>
      </vt:variant>
      <vt:variant>
        <vt:lpwstr/>
      </vt:variant>
      <vt:variant>
        <vt:i4>2031616</vt:i4>
      </vt:variant>
      <vt:variant>
        <vt:i4>312</vt:i4>
      </vt:variant>
      <vt:variant>
        <vt:i4>0</vt:i4>
      </vt:variant>
      <vt:variant>
        <vt:i4>5</vt:i4>
      </vt:variant>
      <vt:variant>
        <vt:lpwstr>https://www.eltelegrafo.com.ec/noticias/judicial/12/pabellon-maximaseguridad-privadolibertad</vt:lpwstr>
      </vt:variant>
      <vt:variant>
        <vt:lpwstr/>
      </vt:variant>
      <vt:variant>
        <vt:i4>7536762</vt:i4>
      </vt:variant>
      <vt:variant>
        <vt:i4>309</vt:i4>
      </vt:variant>
      <vt:variant>
        <vt:i4>0</vt:i4>
      </vt:variant>
      <vt:variant>
        <vt:i4>5</vt:i4>
      </vt:variant>
      <vt:variant>
        <vt:lpwstr>https://www.lahora.com.ec/noticia/1102214650/presunto-suicidio-en-la-carcel-de-el-inca-causa-conmocion</vt:lpwstr>
      </vt:variant>
      <vt:variant>
        <vt:lpwstr/>
      </vt:variant>
      <vt:variant>
        <vt:i4>6357039</vt:i4>
      </vt:variant>
      <vt:variant>
        <vt:i4>306</vt:i4>
      </vt:variant>
      <vt:variant>
        <vt:i4>0</vt:i4>
      </vt:variant>
      <vt:variant>
        <vt:i4>5</vt:i4>
      </vt:variant>
      <vt:variant>
        <vt:lpwstr>https://www.extra.ec/actualidad/fallecido-centro-rehabilitacion-latacunga-muerte-XL2629707</vt:lpwstr>
      </vt:variant>
      <vt:variant>
        <vt:lpwstr/>
      </vt:variant>
      <vt:variant>
        <vt:i4>9</vt:i4>
      </vt:variant>
      <vt:variant>
        <vt:i4>303</vt:i4>
      </vt:variant>
      <vt:variant>
        <vt:i4>0</vt:i4>
      </vt:variant>
      <vt:variant>
        <vt:i4>5</vt:i4>
      </vt:variant>
      <vt:variant>
        <vt:lpwstr>https://www.eltelegrafo.com.ec/noticias/judicial/12/muerteviolenta-crs-latacunga</vt:lpwstr>
      </vt:variant>
      <vt:variant>
        <vt:lpwstr/>
      </vt:variant>
      <vt:variant>
        <vt:i4>3801122</vt:i4>
      </vt:variant>
      <vt:variant>
        <vt:i4>300</vt:i4>
      </vt:variant>
      <vt:variant>
        <vt:i4>0</vt:i4>
      </vt:variant>
      <vt:variant>
        <vt:i4>5</vt:i4>
      </vt:variant>
      <vt:variant>
        <vt:lpwstr>https://www.eltelegrafo.com.ec/noticias/judicial/12/enfrentamiento-carcel-guayaquil</vt:lpwstr>
      </vt:variant>
      <vt:variant>
        <vt:lpwstr/>
      </vt:variant>
      <vt:variant>
        <vt:i4>7143521</vt:i4>
      </vt:variant>
      <vt:variant>
        <vt:i4>297</vt:i4>
      </vt:variant>
      <vt:variant>
        <vt:i4>0</vt:i4>
      </vt:variant>
      <vt:variant>
        <vt:i4>5</vt:i4>
      </vt:variant>
      <vt:variant>
        <vt:lpwstr>https://www.eluniverso.com/noticias/2019/05/08/nota/7321157/asesinato-reo-carcel-latacunga-fue-planificado-segun-comandante</vt:lpwstr>
      </vt:variant>
      <vt:variant>
        <vt:lpwstr/>
      </vt:variant>
      <vt:variant>
        <vt:i4>3866662</vt:i4>
      </vt:variant>
      <vt:variant>
        <vt:i4>294</vt:i4>
      </vt:variant>
      <vt:variant>
        <vt:i4>0</vt:i4>
      </vt:variant>
      <vt:variant>
        <vt:i4>5</vt:i4>
      </vt:variant>
      <vt:variant>
        <vt:lpwstr>https://www.ecuavisa.com/articulo/noticias/nacional/488601-31-reos-asesinados-carceles-ecuador-16-mesesNoticia en progreso de ecuavisa</vt:lpwstr>
      </vt:variant>
      <vt:variant>
        <vt:lpwstr/>
      </vt:variant>
      <vt:variant>
        <vt:i4>6422629</vt:i4>
      </vt:variant>
      <vt:variant>
        <vt:i4>291</vt:i4>
      </vt:variant>
      <vt:variant>
        <vt:i4>0</vt:i4>
      </vt:variant>
      <vt:variant>
        <vt:i4>5</vt:i4>
      </vt:variant>
      <vt:variant>
        <vt:lpwstr>https://www.elcomercio.com/actualidad/turba-lincha-prisionero-penitenciaria-guayaquil.html</vt:lpwstr>
      </vt:variant>
      <vt:variant>
        <vt:lpwstr/>
      </vt:variant>
      <vt:variant>
        <vt:i4>6881388</vt:i4>
      </vt:variant>
      <vt:variant>
        <vt:i4>288</vt:i4>
      </vt:variant>
      <vt:variant>
        <vt:i4>0</vt:i4>
      </vt:variant>
      <vt:variant>
        <vt:i4>5</vt:i4>
      </vt:variant>
      <vt:variant>
        <vt:lpwstr>https://www.metroecuador.com.ec/ec/noticias/2019/05/30/cuatro-fallecidos-amotinamiento-la-penitenciaria-guayaquil.html</vt:lpwstr>
      </vt:variant>
      <vt:variant>
        <vt:lpwstr/>
      </vt:variant>
      <vt:variant>
        <vt:i4>1900636</vt:i4>
      </vt:variant>
      <vt:variant>
        <vt:i4>285</vt:i4>
      </vt:variant>
      <vt:variant>
        <vt:i4>0</vt:i4>
      </vt:variant>
      <vt:variant>
        <vt:i4>5</vt:i4>
      </vt:variant>
      <vt:variant>
        <vt:lpwstr>https://www.eluniverso.com/noticias/2019/06/12/nota/7374132/asi-asesinaron-alias-cubano-centro-privacion-regional</vt:lpwstr>
      </vt:variant>
      <vt:variant>
        <vt:lpwstr/>
      </vt:variant>
      <vt:variant>
        <vt:i4>7405689</vt:i4>
      </vt:variant>
      <vt:variant>
        <vt:i4>282</vt:i4>
      </vt:variant>
      <vt:variant>
        <vt:i4>0</vt:i4>
      </vt:variant>
      <vt:variant>
        <vt:i4>5</vt:i4>
      </vt:variant>
      <vt:variant>
        <vt:lpwstr>https://www.extra.ec/actualidad/carcelregional-violencia-asesinatos-muerte-emergencia-EH2911226</vt:lpwstr>
      </vt:variant>
      <vt:variant>
        <vt:lpwstr/>
      </vt:variant>
      <vt:variant>
        <vt:i4>1966088</vt:i4>
      </vt:variant>
      <vt:variant>
        <vt:i4>279</vt:i4>
      </vt:variant>
      <vt:variant>
        <vt:i4>0</vt:i4>
      </vt:variant>
      <vt:variant>
        <vt:i4>5</vt:i4>
      </vt:variant>
      <vt:variant>
        <vt:lpwstr>https://www.vistazo.com/seccion/pais/actualidad-nacional/nuevo-incidente-en-penitenciaria-del-litoral-deja-un-muerto</vt:lpwstr>
      </vt:variant>
      <vt:variant>
        <vt:lpwstr/>
      </vt:variant>
      <vt:variant>
        <vt:i4>5308497</vt:i4>
      </vt:variant>
      <vt:variant>
        <vt:i4>276</vt:i4>
      </vt:variant>
      <vt:variant>
        <vt:i4>0</vt:i4>
      </vt:variant>
      <vt:variant>
        <vt:i4>5</vt:i4>
      </vt:variant>
      <vt:variant>
        <vt:lpwstr>https://www.eluniverso.com/tema/penitenciaria-litoral</vt:lpwstr>
      </vt:variant>
      <vt:variant>
        <vt:lpwstr/>
      </vt:variant>
      <vt:variant>
        <vt:i4>2293884</vt:i4>
      </vt:variant>
      <vt:variant>
        <vt:i4>273</vt:i4>
      </vt:variant>
      <vt:variant>
        <vt:i4>0</vt:i4>
      </vt:variant>
      <vt:variant>
        <vt:i4>5</vt:i4>
      </vt:variant>
      <vt:variant>
        <vt:lpwstr>https://www.eluniverso.com/noticias/2019/01/21/nota/7149659/chapo-guzman-su-nexo-ecuador-saltan-juicio</vt:lpwstr>
      </vt:variant>
      <vt:variant>
        <vt:lpwstr/>
      </vt:variant>
      <vt:variant>
        <vt:i4>2293852</vt:i4>
      </vt:variant>
      <vt:variant>
        <vt:i4>243</vt:i4>
      </vt:variant>
      <vt:variant>
        <vt:i4>0</vt:i4>
      </vt:variant>
      <vt:variant>
        <vt:i4>5</vt:i4>
      </vt:variant>
      <vt:variant>
        <vt:lpwstr>mailto:dniipp@dpe.gob.ec</vt:lpwstr>
      </vt:variant>
      <vt:variant>
        <vt:lpwstr/>
      </vt:variant>
      <vt:variant>
        <vt:i4>1245235</vt:i4>
      </vt:variant>
      <vt:variant>
        <vt:i4>233</vt:i4>
      </vt:variant>
      <vt:variant>
        <vt:i4>0</vt:i4>
      </vt:variant>
      <vt:variant>
        <vt:i4>5</vt:i4>
      </vt:variant>
      <vt:variant>
        <vt:lpwstr/>
      </vt:variant>
      <vt:variant>
        <vt:lpwstr>_Toc50130770</vt:lpwstr>
      </vt:variant>
      <vt:variant>
        <vt:i4>1703986</vt:i4>
      </vt:variant>
      <vt:variant>
        <vt:i4>227</vt:i4>
      </vt:variant>
      <vt:variant>
        <vt:i4>0</vt:i4>
      </vt:variant>
      <vt:variant>
        <vt:i4>5</vt:i4>
      </vt:variant>
      <vt:variant>
        <vt:lpwstr/>
      </vt:variant>
      <vt:variant>
        <vt:lpwstr>_Toc50130769</vt:lpwstr>
      </vt:variant>
      <vt:variant>
        <vt:i4>1769522</vt:i4>
      </vt:variant>
      <vt:variant>
        <vt:i4>221</vt:i4>
      </vt:variant>
      <vt:variant>
        <vt:i4>0</vt:i4>
      </vt:variant>
      <vt:variant>
        <vt:i4>5</vt:i4>
      </vt:variant>
      <vt:variant>
        <vt:lpwstr/>
      </vt:variant>
      <vt:variant>
        <vt:lpwstr>_Toc50130768</vt:lpwstr>
      </vt:variant>
      <vt:variant>
        <vt:i4>1310770</vt:i4>
      </vt:variant>
      <vt:variant>
        <vt:i4>215</vt:i4>
      </vt:variant>
      <vt:variant>
        <vt:i4>0</vt:i4>
      </vt:variant>
      <vt:variant>
        <vt:i4>5</vt:i4>
      </vt:variant>
      <vt:variant>
        <vt:lpwstr/>
      </vt:variant>
      <vt:variant>
        <vt:lpwstr>_Toc50130767</vt:lpwstr>
      </vt:variant>
      <vt:variant>
        <vt:i4>1376306</vt:i4>
      </vt:variant>
      <vt:variant>
        <vt:i4>209</vt:i4>
      </vt:variant>
      <vt:variant>
        <vt:i4>0</vt:i4>
      </vt:variant>
      <vt:variant>
        <vt:i4>5</vt:i4>
      </vt:variant>
      <vt:variant>
        <vt:lpwstr/>
      </vt:variant>
      <vt:variant>
        <vt:lpwstr>_Toc50130766</vt:lpwstr>
      </vt:variant>
      <vt:variant>
        <vt:i4>1441842</vt:i4>
      </vt:variant>
      <vt:variant>
        <vt:i4>203</vt:i4>
      </vt:variant>
      <vt:variant>
        <vt:i4>0</vt:i4>
      </vt:variant>
      <vt:variant>
        <vt:i4>5</vt:i4>
      </vt:variant>
      <vt:variant>
        <vt:lpwstr/>
      </vt:variant>
      <vt:variant>
        <vt:lpwstr>_Toc50130765</vt:lpwstr>
      </vt:variant>
      <vt:variant>
        <vt:i4>1507378</vt:i4>
      </vt:variant>
      <vt:variant>
        <vt:i4>197</vt:i4>
      </vt:variant>
      <vt:variant>
        <vt:i4>0</vt:i4>
      </vt:variant>
      <vt:variant>
        <vt:i4>5</vt:i4>
      </vt:variant>
      <vt:variant>
        <vt:lpwstr/>
      </vt:variant>
      <vt:variant>
        <vt:lpwstr>_Toc50130764</vt:lpwstr>
      </vt:variant>
      <vt:variant>
        <vt:i4>1048626</vt:i4>
      </vt:variant>
      <vt:variant>
        <vt:i4>191</vt:i4>
      </vt:variant>
      <vt:variant>
        <vt:i4>0</vt:i4>
      </vt:variant>
      <vt:variant>
        <vt:i4>5</vt:i4>
      </vt:variant>
      <vt:variant>
        <vt:lpwstr/>
      </vt:variant>
      <vt:variant>
        <vt:lpwstr>_Toc50130763</vt:lpwstr>
      </vt:variant>
      <vt:variant>
        <vt:i4>1114162</vt:i4>
      </vt:variant>
      <vt:variant>
        <vt:i4>185</vt:i4>
      </vt:variant>
      <vt:variant>
        <vt:i4>0</vt:i4>
      </vt:variant>
      <vt:variant>
        <vt:i4>5</vt:i4>
      </vt:variant>
      <vt:variant>
        <vt:lpwstr/>
      </vt:variant>
      <vt:variant>
        <vt:lpwstr>_Toc50130762</vt:lpwstr>
      </vt:variant>
      <vt:variant>
        <vt:i4>1179698</vt:i4>
      </vt:variant>
      <vt:variant>
        <vt:i4>179</vt:i4>
      </vt:variant>
      <vt:variant>
        <vt:i4>0</vt:i4>
      </vt:variant>
      <vt:variant>
        <vt:i4>5</vt:i4>
      </vt:variant>
      <vt:variant>
        <vt:lpwstr/>
      </vt:variant>
      <vt:variant>
        <vt:lpwstr>_Toc50130761</vt:lpwstr>
      </vt:variant>
      <vt:variant>
        <vt:i4>1245234</vt:i4>
      </vt:variant>
      <vt:variant>
        <vt:i4>173</vt:i4>
      </vt:variant>
      <vt:variant>
        <vt:i4>0</vt:i4>
      </vt:variant>
      <vt:variant>
        <vt:i4>5</vt:i4>
      </vt:variant>
      <vt:variant>
        <vt:lpwstr/>
      </vt:variant>
      <vt:variant>
        <vt:lpwstr>_Toc50130760</vt:lpwstr>
      </vt:variant>
      <vt:variant>
        <vt:i4>1703985</vt:i4>
      </vt:variant>
      <vt:variant>
        <vt:i4>167</vt:i4>
      </vt:variant>
      <vt:variant>
        <vt:i4>0</vt:i4>
      </vt:variant>
      <vt:variant>
        <vt:i4>5</vt:i4>
      </vt:variant>
      <vt:variant>
        <vt:lpwstr/>
      </vt:variant>
      <vt:variant>
        <vt:lpwstr>_Toc50130759</vt:lpwstr>
      </vt:variant>
      <vt:variant>
        <vt:i4>1769521</vt:i4>
      </vt:variant>
      <vt:variant>
        <vt:i4>161</vt:i4>
      </vt:variant>
      <vt:variant>
        <vt:i4>0</vt:i4>
      </vt:variant>
      <vt:variant>
        <vt:i4>5</vt:i4>
      </vt:variant>
      <vt:variant>
        <vt:lpwstr/>
      </vt:variant>
      <vt:variant>
        <vt:lpwstr>_Toc50130758</vt:lpwstr>
      </vt:variant>
      <vt:variant>
        <vt:i4>1310769</vt:i4>
      </vt:variant>
      <vt:variant>
        <vt:i4>155</vt:i4>
      </vt:variant>
      <vt:variant>
        <vt:i4>0</vt:i4>
      </vt:variant>
      <vt:variant>
        <vt:i4>5</vt:i4>
      </vt:variant>
      <vt:variant>
        <vt:lpwstr/>
      </vt:variant>
      <vt:variant>
        <vt:lpwstr>_Toc50130757</vt:lpwstr>
      </vt:variant>
      <vt:variant>
        <vt:i4>1376305</vt:i4>
      </vt:variant>
      <vt:variant>
        <vt:i4>149</vt:i4>
      </vt:variant>
      <vt:variant>
        <vt:i4>0</vt:i4>
      </vt:variant>
      <vt:variant>
        <vt:i4>5</vt:i4>
      </vt:variant>
      <vt:variant>
        <vt:lpwstr/>
      </vt:variant>
      <vt:variant>
        <vt:lpwstr>_Toc50130756</vt:lpwstr>
      </vt:variant>
      <vt:variant>
        <vt:i4>1441841</vt:i4>
      </vt:variant>
      <vt:variant>
        <vt:i4>143</vt:i4>
      </vt:variant>
      <vt:variant>
        <vt:i4>0</vt:i4>
      </vt:variant>
      <vt:variant>
        <vt:i4>5</vt:i4>
      </vt:variant>
      <vt:variant>
        <vt:lpwstr/>
      </vt:variant>
      <vt:variant>
        <vt:lpwstr>_Toc50130755</vt:lpwstr>
      </vt:variant>
      <vt:variant>
        <vt:i4>1507377</vt:i4>
      </vt:variant>
      <vt:variant>
        <vt:i4>137</vt:i4>
      </vt:variant>
      <vt:variant>
        <vt:i4>0</vt:i4>
      </vt:variant>
      <vt:variant>
        <vt:i4>5</vt:i4>
      </vt:variant>
      <vt:variant>
        <vt:lpwstr/>
      </vt:variant>
      <vt:variant>
        <vt:lpwstr>_Toc50130754</vt:lpwstr>
      </vt:variant>
      <vt:variant>
        <vt:i4>1048625</vt:i4>
      </vt:variant>
      <vt:variant>
        <vt:i4>131</vt:i4>
      </vt:variant>
      <vt:variant>
        <vt:i4>0</vt:i4>
      </vt:variant>
      <vt:variant>
        <vt:i4>5</vt:i4>
      </vt:variant>
      <vt:variant>
        <vt:lpwstr/>
      </vt:variant>
      <vt:variant>
        <vt:lpwstr>_Toc50130753</vt:lpwstr>
      </vt:variant>
      <vt:variant>
        <vt:i4>1114161</vt:i4>
      </vt:variant>
      <vt:variant>
        <vt:i4>125</vt:i4>
      </vt:variant>
      <vt:variant>
        <vt:i4>0</vt:i4>
      </vt:variant>
      <vt:variant>
        <vt:i4>5</vt:i4>
      </vt:variant>
      <vt:variant>
        <vt:lpwstr/>
      </vt:variant>
      <vt:variant>
        <vt:lpwstr>_Toc50130752</vt:lpwstr>
      </vt:variant>
      <vt:variant>
        <vt:i4>1179697</vt:i4>
      </vt:variant>
      <vt:variant>
        <vt:i4>119</vt:i4>
      </vt:variant>
      <vt:variant>
        <vt:i4>0</vt:i4>
      </vt:variant>
      <vt:variant>
        <vt:i4>5</vt:i4>
      </vt:variant>
      <vt:variant>
        <vt:lpwstr/>
      </vt:variant>
      <vt:variant>
        <vt:lpwstr>_Toc50130751</vt:lpwstr>
      </vt:variant>
      <vt:variant>
        <vt:i4>1245233</vt:i4>
      </vt:variant>
      <vt:variant>
        <vt:i4>113</vt:i4>
      </vt:variant>
      <vt:variant>
        <vt:i4>0</vt:i4>
      </vt:variant>
      <vt:variant>
        <vt:i4>5</vt:i4>
      </vt:variant>
      <vt:variant>
        <vt:lpwstr/>
      </vt:variant>
      <vt:variant>
        <vt:lpwstr>_Toc50130750</vt:lpwstr>
      </vt:variant>
      <vt:variant>
        <vt:i4>1703984</vt:i4>
      </vt:variant>
      <vt:variant>
        <vt:i4>107</vt:i4>
      </vt:variant>
      <vt:variant>
        <vt:i4>0</vt:i4>
      </vt:variant>
      <vt:variant>
        <vt:i4>5</vt:i4>
      </vt:variant>
      <vt:variant>
        <vt:lpwstr/>
      </vt:variant>
      <vt:variant>
        <vt:lpwstr>_Toc50130749</vt:lpwstr>
      </vt:variant>
      <vt:variant>
        <vt:i4>1769520</vt:i4>
      </vt:variant>
      <vt:variant>
        <vt:i4>101</vt:i4>
      </vt:variant>
      <vt:variant>
        <vt:i4>0</vt:i4>
      </vt:variant>
      <vt:variant>
        <vt:i4>5</vt:i4>
      </vt:variant>
      <vt:variant>
        <vt:lpwstr/>
      </vt:variant>
      <vt:variant>
        <vt:lpwstr>_Toc50130748</vt:lpwstr>
      </vt:variant>
      <vt:variant>
        <vt:i4>1310768</vt:i4>
      </vt:variant>
      <vt:variant>
        <vt:i4>95</vt:i4>
      </vt:variant>
      <vt:variant>
        <vt:i4>0</vt:i4>
      </vt:variant>
      <vt:variant>
        <vt:i4>5</vt:i4>
      </vt:variant>
      <vt:variant>
        <vt:lpwstr/>
      </vt:variant>
      <vt:variant>
        <vt:lpwstr>_Toc50130747</vt:lpwstr>
      </vt:variant>
      <vt:variant>
        <vt:i4>1376304</vt:i4>
      </vt:variant>
      <vt:variant>
        <vt:i4>89</vt:i4>
      </vt:variant>
      <vt:variant>
        <vt:i4>0</vt:i4>
      </vt:variant>
      <vt:variant>
        <vt:i4>5</vt:i4>
      </vt:variant>
      <vt:variant>
        <vt:lpwstr/>
      </vt:variant>
      <vt:variant>
        <vt:lpwstr>_Toc50130746</vt:lpwstr>
      </vt:variant>
      <vt:variant>
        <vt:i4>1441840</vt:i4>
      </vt:variant>
      <vt:variant>
        <vt:i4>83</vt:i4>
      </vt:variant>
      <vt:variant>
        <vt:i4>0</vt:i4>
      </vt:variant>
      <vt:variant>
        <vt:i4>5</vt:i4>
      </vt:variant>
      <vt:variant>
        <vt:lpwstr/>
      </vt:variant>
      <vt:variant>
        <vt:lpwstr>_Toc50130745</vt:lpwstr>
      </vt:variant>
      <vt:variant>
        <vt:i4>1507376</vt:i4>
      </vt:variant>
      <vt:variant>
        <vt:i4>77</vt:i4>
      </vt:variant>
      <vt:variant>
        <vt:i4>0</vt:i4>
      </vt:variant>
      <vt:variant>
        <vt:i4>5</vt:i4>
      </vt:variant>
      <vt:variant>
        <vt:lpwstr/>
      </vt:variant>
      <vt:variant>
        <vt:lpwstr>_Toc50130744</vt:lpwstr>
      </vt:variant>
      <vt:variant>
        <vt:i4>1048624</vt:i4>
      </vt:variant>
      <vt:variant>
        <vt:i4>71</vt:i4>
      </vt:variant>
      <vt:variant>
        <vt:i4>0</vt:i4>
      </vt:variant>
      <vt:variant>
        <vt:i4>5</vt:i4>
      </vt:variant>
      <vt:variant>
        <vt:lpwstr/>
      </vt:variant>
      <vt:variant>
        <vt:lpwstr>_Toc50130743</vt:lpwstr>
      </vt:variant>
      <vt:variant>
        <vt:i4>1114160</vt:i4>
      </vt:variant>
      <vt:variant>
        <vt:i4>65</vt:i4>
      </vt:variant>
      <vt:variant>
        <vt:i4>0</vt:i4>
      </vt:variant>
      <vt:variant>
        <vt:i4>5</vt:i4>
      </vt:variant>
      <vt:variant>
        <vt:lpwstr/>
      </vt:variant>
      <vt:variant>
        <vt:lpwstr>_Toc50130742</vt:lpwstr>
      </vt:variant>
      <vt:variant>
        <vt:i4>1179696</vt:i4>
      </vt:variant>
      <vt:variant>
        <vt:i4>59</vt:i4>
      </vt:variant>
      <vt:variant>
        <vt:i4>0</vt:i4>
      </vt:variant>
      <vt:variant>
        <vt:i4>5</vt:i4>
      </vt:variant>
      <vt:variant>
        <vt:lpwstr/>
      </vt:variant>
      <vt:variant>
        <vt:lpwstr>_Toc50130741</vt:lpwstr>
      </vt:variant>
      <vt:variant>
        <vt:i4>1245232</vt:i4>
      </vt:variant>
      <vt:variant>
        <vt:i4>53</vt:i4>
      </vt:variant>
      <vt:variant>
        <vt:i4>0</vt:i4>
      </vt:variant>
      <vt:variant>
        <vt:i4>5</vt:i4>
      </vt:variant>
      <vt:variant>
        <vt:lpwstr/>
      </vt:variant>
      <vt:variant>
        <vt:lpwstr>_Toc50130740</vt:lpwstr>
      </vt:variant>
      <vt:variant>
        <vt:i4>1703991</vt:i4>
      </vt:variant>
      <vt:variant>
        <vt:i4>47</vt:i4>
      </vt:variant>
      <vt:variant>
        <vt:i4>0</vt:i4>
      </vt:variant>
      <vt:variant>
        <vt:i4>5</vt:i4>
      </vt:variant>
      <vt:variant>
        <vt:lpwstr/>
      </vt:variant>
      <vt:variant>
        <vt:lpwstr>_Toc50130739</vt:lpwstr>
      </vt:variant>
      <vt:variant>
        <vt:i4>1769527</vt:i4>
      </vt:variant>
      <vt:variant>
        <vt:i4>41</vt:i4>
      </vt:variant>
      <vt:variant>
        <vt:i4>0</vt:i4>
      </vt:variant>
      <vt:variant>
        <vt:i4>5</vt:i4>
      </vt:variant>
      <vt:variant>
        <vt:lpwstr/>
      </vt:variant>
      <vt:variant>
        <vt:lpwstr>_Toc50130738</vt:lpwstr>
      </vt:variant>
      <vt:variant>
        <vt:i4>1310775</vt:i4>
      </vt:variant>
      <vt:variant>
        <vt:i4>35</vt:i4>
      </vt:variant>
      <vt:variant>
        <vt:i4>0</vt:i4>
      </vt:variant>
      <vt:variant>
        <vt:i4>5</vt:i4>
      </vt:variant>
      <vt:variant>
        <vt:lpwstr/>
      </vt:variant>
      <vt:variant>
        <vt:lpwstr>_Toc50130737</vt:lpwstr>
      </vt:variant>
      <vt:variant>
        <vt:i4>1376311</vt:i4>
      </vt:variant>
      <vt:variant>
        <vt:i4>29</vt:i4>
      </vt:variant>
      <vt:variant>
        <vt:i4>0</vt:i4>
      </vt:variant>
      <vt:variant>
        <vt:i4>5</vt:i4>
      </vt:variant>
      <vt:variant>
        <vt:lpwstr/>
      </vt:variant>
      <vt:variant>
        <vt:lpwstr>_Toc50130736</vt:lpwstr>
      </vt:variant>
      <vt:variant>
        <vt:i4>1441847</vt:i4>
      </vt:variant>
      <vt:variant>
        <vt:i4>23</vt:i4>
      </vt:variant>
      <vt:variant>
        <vt:i4>0</vt:i4>
      </vt:variant>
      <vt:variant>
        <vt:i4>5</vt:i4>
      </vt:variant>
      <vt:variant>
        <vt:lpwstr/>
      </vt:variant>
      <vt:variant>
        <vt:lpwstr>_Toc50130735</vt:lpwstr>
      </vt:variant>
      <vt:variant>
        <vt:i4>1507383</vt:i4>
      </vt:variant>
      <vt:variant>
        <vt:i4>17</vt:i4>
      </vt:variant>
      <vt:variant>
        <vt:i4>0</vt:i4>
      </vt:variant>
      <vt:variant>
        <vt:i4>5</vt:i4>
      </vt:variant>
      <vt:variant>
        <vt:lpwstr/>
      </vt:variant>
      <vt:variant>
        <vt:lpwstr>_Toc50130734</vt:lpwstr>
      </vt:variant>
      <vt:variant>
        <vt:i4>1048631</vt:i4>
      </vt:variant>
      <vt:variant>
        <vt:i4>11</vt:i4>
      </vt:variant>
      <vt:variant>
        <vt:i4>0</vt:i4>
      </vt:variant>
      <vt:variant>
        <vt:i4>5</vt:i4>
      </vt:variant>
      <vt:variant>
        <vt:lpwstr/>
      </vt:variant>
      <vt:variant>
        <vt:lpwstr>_Toc50130733</vt:lpwstr>
      </vt:variant>
      <vt:variant>
        <vt:i4>1114167</vt:i4>
      </vt:variant>
      <vt:variant>
        <vt:i4>5</vt:i4>
      </vt:variant>
      <vt:variant>
        <vt:i4>0</vt:i4>
      </vt:variant>
      <vt:variant>
        <vt:i4>5</vt:i4>
      </vt:variant>
      <vt:variant>
        <vt:lpwstr/>
      </vt:variant>
      <vt:variant>
        <vt:lpwstr>_Toc50130732</vt:lpwstr>
      </vt:variant>
      <vt:variant>
        <vt:i4>6619180</vt:i4>
      </vt:variant>
      <vt:variant>
        <vt:i4>0</vt:i4>
      </vt:variant>
      <vt:variant>
        <vt:i4>0</vt:i4>
      </vt:variant>
      <vt:variant>
        <vt:i4>5</vt:i4>
      </vt:variant>
      <vt:variant>
        <vt:lpwstr>http://www.dpe.gob.ec/</vt:lpwstr>
      </vt:variant>
      <vt:variant>
        <vt:lpwstr/>
      </vt:variant>
      <vt:variant>
        <vt:i4>3932224</vt:i4>
      </vt:variant>
      <vt:variant>
        <vt:i4>63</vt:i4>
      </vt:variant>
      <vt:variant>
        <vt:i4>0</vt:i4>
      </vt:variant>
      <vt:variant>
        <vt:i4>5</vt:i4>
      </vt:variant>
      <vt:variant>
        <vt:lpwstr>https://www.apt.ch/detention-focus/es/detention_issues/6/</vt:lpwstr>
      </vt:variant>
      <vt:variant>
        <vt:lpwstr/>
      </vt:variant>
      <vt:variant>
        <vt:i4>6160462</vt:i4>
      </vt:variant>
      <vt:variant>
        <vt:i4>60</vt:i4>
      </vt:variant>
      <vt:variant>
        <vt:i4>0</vt:i4>
      </vt:variant>
      <vt:variant>
        <vt:i4>5</vt:i4>
      </vt:variant>
      <vt:variant>
        <vt:lpwstr>https://www.ninasnomadres.org/alza-la-voz/wp-content/uploads/2020/07/fact-sheet-el-golpe.pdf</vt:lpwstr>
      </vt:variant>
      <vt:variant>
        <vt:lpwstr/>
      </vt:variant>
      <vt:variant>
        <vt:i4>2424864</vt:i4>
      </vt:variant>
      <vt:variant>
        <vt:i4>57</vt:i4>
      </vt:variant>
      <vt:variant>
        <vt:i4>0</vt:i4>
      </vt:variant>
      <vt:variant>
        <vt:i4>5</vt:i4>
      </vt:variant>
      <vt:variant>
        <vt:lpwstr>http://www.ninasnomadres.org/alza-la-voz/wp-content/uploads/2020/07/fact-sheet-el-golpe.pdf</vt:lpwstr>
      </vt:variant>
      <vt:variant>
        <vt:lpwstr/>
      </vt:variant>
      <vt:variant>
        <vt:i4>3211316</vt:i4>
      </vt:variant>
      <vt:variant>
        <vt:i4>54</vt:i4>
      </vt:variant>
      <vt:variant>
        <vt:i4>0</vt:i4>
      </vt:variant>
      <vt:variant>
        <vt:i4>5</vt:i4>
      </vt:variant>
      <vt:variant>
        <vt:lpwstr>https://www.ninasnomadres.org/</vt:lpwstr>
      </vt:variant>
      <vt:variant>
        <vt:lpwstr/>
      </vt:variant>
      <vt:variant>
        <vt:i4>5374024</vt:i4>
      </vt:variant>
      <vt:variant>
        <vt:i4>51</vt:i4>
      </vt:variant>
      <vt:variant>
        <vt:i4>0</vt:i4>
      </vt:variant>
      <vt:variant>
        <vt:i4>5</vt:i4>
      </vt:variant>
      <vt:variant>
        <vt:lpwstr>http://sacc.corteconstitucional.gob.ec/storage/api/v1/10_DWL_FL/e2NhcnBldGE6J2VzY3JpdG8nLCB1dWlkOicwOWE2NTBkMi03NGFmLTRlOGYtYjIwMy0yOWNhODE2MTYwNTgucGRmJ30=</vt:lpwstr>
      </vt:variant>
      <vt:variant>
        <vt:lpwstr/>
      </vt:variant>
      <vt:variant>
        <vt:i4>4259923</vt:i4>
      </vt:variant>
      <vt:variant>
        <vt:i4>48</vt:i4>
      </vt:variant>
      <vt:variant>
        <vt:i4>0</vt:i4>
      </vt:variant>
      <vt:variant>
        <vt:i4>5</vt:i4>
      </vt:variant>
      <vt:variant>
        <vt:lpwstr>http://doc.corteconstitucional.gob.ec:8080/alfresco/d/d/workspace/SpacesStore/5cca69d2-b5d0-4dd5-9ac3-dbeb25ca7faf/0034-19-in.pdf?guest=true</vt:lpwstr>
      </vt:variant>
      <vt:variant>
        <vt:lpwstr/>
      </vt:variant>
      <vt:variant>
        <vt:i4>4587628</vt:i4>
      </vt:variant>
      <vt:variant>
        <vt:i4>45</vt:i4>
      </vt:variant>
      <vt:variant>
        <vt:i4>0</vt:i4>
      </vt:variant>
      <vt:variant>
        <vt:i4>5</vt:i4>
      </vt:variant>
      <vt:variant>
        <vt:lpwstr>http://doc.corteconstitucional.gob.ec:8080/alfresco/d/d/workspace/SpacesStore/5a66bc12-ce3a-403c-8e6a-131fe3652138/demanda_0034-19-in.pdf?guest=true</vt:lpwstr>
      </vt:variant>
      <vt:variant>
        <vt:lpwstr/>
      </vt:variant>
      <vt:variant>
        <vt:i4>524355</vt:i4>
      </vt:variant>
      <vt:variant>
        <vt:i4>42</vt:i4>
      </vt:variant>
      <vt:variant>
        <vt:i4>0</vt:i4>
      </vt:variant>
      <vt:variant>
        <vt:i4>5</vt:i4>
      </vt:variant>
      <vt:variant>
        <vt:lpwstr>https://twitter.com/CorteConstEcu/status/1199780434416218113/photo/1</vt:lpwstr>
      </vt:variant>
      <vt:variant>
        <vt:lpwstr/>
      </vt:variant>
      <vt:variant>
        <vt:i4>2424864</vt:i4>
      </vt:variant>
      <vt:variant>
        <vt:i4>39</vt:i4>
      </vt:variant>
      <vt:variant>
        <vt:i4>0</vt:i4>
      </vt:variant>
      <vt:variant>
        <vt:i4>5</vt:i4>
      </vt:variant>
      <vt:variant>
        <vt:lpwstr>http://www.ninasnomadres.org/alza-la-voz/wp-content/uploads/2020/07/fact-sheet-el-golpe.pdf</vt:lpwstr>
      </vt:variant>
      <vt:variant>
        <vt:lpwstr/>
      </vt:variant>
      <vt:variant>
        <vt:i4>2424864</vt:i4>
      </vt:variant>
      <vt:variant>
        <vt:i4>36</vt:i4>
      </vt:variant>
      <vt:variant>
        <vt:i4>0</vt:i4>
      </vt:variant>
      <vt:variant>
        <vt:i4>5</vt:i4>
      </vt:variant>
      <vt:variant>
        <vt:lpwstr>http://www.ninasnomadres.org/alza-la-voz/wp-content/uploads/2020/07/fact-sheet-el-golpe.pdf</vt:lpwstr>
      </vt:variant>
      <vt:variant>
        <vt:lpwstr/>
      </vt:variant>
      <vt:variant>
        <vt:i4>6422626</vt:i4>
      </vt:variant>
      <vt:variant>
        <vt:i4>33</vt:i4>
      </vt:variant>
      <vt:variant>
        <vt:i4>0</vt:i4>
      </vt:variant>
      <vt:variant>
        <vt:i4>5</vt:i4>
      </vt:variant>
      <vt:variant>
        <vt:lpwstr>https://www.dpe.gob.ec/tenemos-una-deuda-con-las-mujeres-de-este-pais-sobre-su-derecho-a-decidir-es-momento-de-tomar-acciones-que-beneficien-todos-y-todas-gina-benavides-durante-comparecencia-ante-pleno/</vt:lpwstr>
      </vt:variant>
      <vt:variant>
        <vt:lpwstr/>
      </vt:variant>
      <vt:variant>
        <vt:i4>5308426</vt:i4>
      </vt:variant>
      <vt:variant>
        <vt:i4>30</vt:i4>
      </vt:variant>
      <vt:variant>
        <vt:i4>0</vt:i4>
      </vt:variant>
      <vt:variant>
        <vt:i4>5</vt:i4>
      </vt:variant>
      <vt:variant>
        <vt:lpwstr>https://www.youtube.com/watch?v=v1u1ZwssmQw&amp;list=PLO1bXdXR3sQIszdhk0SxwuDNIDNTUTW15&amp;index=15</vt:lpwstr>
      </vt:variant>
      <vt:variant>
        <vt:lpwstr/>
      </vt:variant>
      <vt:variant>
        <vt:i4>5832787</vt:i4>
      </vt:variant>
      <vt:variant>
        <vt:i4>27</vt:i4>
      </vt:variant>
      <vt:variant>
        <vt:i4>0</vt:i4>
      </vt:variant>
      <vt:variant>
        <vt:i4>5</vt:i4>
      </vt:variant>
      <vt:variant>
        <vt:lpwstr>https://youtu.be/Mfv9skHEwvo</vt:lpwstr>
      </vt:variant>
      <vt:variant>
        <vt:lpwstr/>
      </vt:variant>
      <vt:variant>
        <vt:i4>5439578</vt:i4>
      </vt:variant>
      <vt:variant>
        <vt:i4>24</vt:i4>
      </vt:variant>
      <vt:variant>
        <vt:i4>0</vt:i4>
      </vt:variant>
      <vt:variant>
        <vt:i4>5</vt:i4>
      </vt:variant>
      <vt:variant>
        <vt:lpwstr>http://www.pichinchacomunicaciones.com.ec/mujeres-defensoras-de-la-naturaleza-exigen-agilidad-en-la-investigacion-sobre-las-amenazas-de-muerte-recibidas/</vt:lpwstr>
      </vt:variant>
      <vt:variant>
        <vt:lpwstr/>
      </vt:variant>
      <vt:variant>
        <vt:i4>5177434</vt:i4>
      </vt:variant>
      <vt:variant>
        <vt:i4>21</vt:i4>
      </vt:variant>
      <vt:variant>
        <vt:i4>0</vt:i4>
      </vt:variant>
      <vt:variant>
        <vt:i4>5</vt:i4>
      </vt:variant>
      <vt:variant>
        <vt:lpwstr>http://repositorio.dpe.gob.ec/bitstream/39000/2342/1/PT-DPE-007-2019.pdf</vt:lpwstr>
      </vt:variant>
      <vt:variant>
        <vt:lpwstr/>
      </vt:variant>
      <vt:variant>
        <vt:i4>5832787</vt:i4>
      </vt:variant>
      <vt:variant>
        <vt:i4>18</vt:i4>
      </vt:variant>
      <vt:variant>
        <vt:i4>0</vt:i4>
      </vt:variant>
      <vt:variant>
        <vt:i4>5</vt:i4>
      </vt:variant>
      <vt:variant>
        <vt:lpwstr>https://youtu.be/Mfv9skHEwvo</vt:lpwstr>
      </vt:variant>
      <vt:variant>
        <vt:lpwstr/>
      </vt:variant>
      <vt:variant>
        <vt:i4>4784190</vt:i4>
      </vt:variant>
      <vt:variant>
        <vt:i4>15</vt:i4>
      </vt:variant>
      <vt:variant>
        <vt:i4>0</vt:i4>
      </vt:variant>
      <vt:variant>
        <vt:i4>5</vt:i4>
      </vt:variant>
      <vt:variant>
        <vt:lpwstr>https://www.planv.com.ec/sites/default/files/mandato_de_las_mujeres_amazonicas_.pdf</vt:lpwstr>
      </vt:variant>
      <vt:variant>
        <vt:lpwstr/>
      </vt:variant>
      <vt:variant>
        <vt:i4>8061054</vt:i4>
      </vt:variant>
      <vt:variant>
        <vt:i4>12</vt:i4>
      </vt:variant>
      <vt:variant>
        <vt:i4>0</vt:i4>
      </vt:variant>
      <vt:variant>
        <vt:i4>5</vt:i4>
      </vt:variant>
      <vt:variant>
        <vt:lpwstr>http://www.pichinchacomunicaciones.com.ec/mujeres-amazonicas-exigen-que-cese-la-persecucion-y-amenazas-contra-las-defensoras-de-la-naturaleza/</vt:lpwstr>
      </vt:variant>
      <vt:variant>
        <vt:lpwstr/>
      </vt:variant>
      <vt:variant>
        <vt:i4>2162806</vt:i4>
      </vt:variant>
      <vt:variant>
        <vt:i4>9</vt:i4>
      </vt:variant>
      <vt:variant>
        <vt:i4>0</vt:i4>
      </vt:variant>
      <vt:variant>
        <vt:i4>5</vt:i4>
      </vt:variant>
      <vt:variant>
        <vt:lpwstr>https://www.finanzas.gob.ec/wp-content/uploads/downloads/2018/07/DIRECTRICES-PARA-LA-ELABORACION-DE-LA-PROFORMA-DEL-PGE.compressed.pdf</vt:lpwstr>
      </vt:variant>
      <vt:variant>
        <vt:lpwstr/>
      </vt:variant>
      <vt:variant>
        <vt:i4>7864367</vt:i4>
      </vt:variant>
      <vt:variant>
        <vt:i4>6</vt:i4>
      </vt:variant>
      <vt:variant>
        <vt:i4>0</vt:i4>
      </vt:variant>
      <vt:variant>
        <vt:i4>5</vt:i4>
      </vt:variant>
      <vt:variant>
        <vt:lpwstr>https://www.finanzas.gob.ec/wp-content/uploads/downloads/2019/07/Directrices-Proforma-2020-y-PPC-2020-2023-V10-15-7-2019-public.-1.pdf</vt:lpwstr>
      </vt:variant>
      <vt:variant>
        <vt:lpwstr/>
      </vt:variant>
      <vt:variant>
        <vt:i4>7798895</vt:i4>
      </vt:variant>
      <vt:variant>
        <vt:i4>3</vt:i4>
      </vt:variant>
      <vt:variant>
        <vt:i4>0</vt:i4>
      </vt:variant>
      <vt:variant>
        <vt:i4>5</vt:i4>
      </vt:variant>
      <vt:variant>
        <vt:lpwstr>https://www.redinnovacion.org/articulo/se-reconsidera-la-ley-en-contra-de-la-violencia-de-g%C3%A9nero-propuesta-en-ecuador</vt:lpwstr>
      </vt:variant>
      <vt:variant>
        <vt:lpwstr/>
      </vt:variant>
      <vt:variant>
        <vt:i4>7536760</vt:i4>
      </vt:variant>
      <vt:variant>
        <vt:i4>0</vt:i4>
      </vt:variant>
      <vt:variant>
        <vt:i4>0</vt:i4>
      </vt:variant>
      <vt:variant>
        <vt:i4>5</vt:i4>
      </vt:variant>
      <vt:variant>
        <vt:lpwstr>https://www.elcomercio.com/tendencias/polemica-cambios-ley-violencia-mujer.html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Galo Hernán Rodríguez Caicedo</dc:creator>
  <cp:lastModifiedBy>Ana Lucía Fuentes Domínguez</cp:lastModifiedBy>
  <cp:revision>81</cp:revision>
  <dcterms:created xsi:type="dcterms:W3CDTF">2025-06-19T14:46:00Z</dcterms:created>
  <dcterms:modified xsi:type="dcterms:W3CDTF">2026-01-29T21:24:00Z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