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52BAB" w:rsidRDefault="007E6FE4">
      <w:pPr>
        <w:shd w:val="clear" w:color="auto" w:fill="FFFFFF"/>
        <w:ind w:left="1" w:right="76" w:hanging="3"/>
        <w:jc w:val="center"/>
        <w:rPr>
          <w:rFonts w:ascii="Calibri" w:eastAsia="Calibri" w:hAnsi="Calibri" w:cs="Calibri"/>
          <w:color w:val="713B7A"/>
          <w:sz w:val="32"/>
          <w:szCs w:val="32"/>
        </w:rPr>
      </w:pPr>
      <w:r>
        <w:rPr>
          <w:rFonts w:ascii="Calibri" w:eastAsia="Calibri" w:hAnsi="Calibri" w:cs="Calibri"/>
          <w:b/>
          <w:color w:val="713B7A"/>
          <w:sz w:val="32"/>
          <w:szCs w:val="32"/>
        </w:rPr>
        <w:t>Observaciones a Lista de cuestiones y preguntas previas a la presentación del noveno informe periódico de CEDAW/C/ESP/QPR/9 de España.</w:t>
      </w:r>
    </w:p>
    <w:p w:rsidR="00652BAB" w:rsidRDefault="007E6FE4">
      <w:pPr>
        <w:shd w:val="clear" w:color="auto" w:fill="FFFFFF"/>
        <w:spacing w:after="240"/>
        <w:ind w:left="0" w:right="76" w:hanging="2"/>
        <w:jc w:val="center"/>
        <w:rPr>
          <w:rFonts w:ascii="Calibri" w:eastAsia="Calibri" w:hAnsi="Calibri" w:cs="Calibri"/>
          <w:b/>
          <w:color w:val="000000"/>
          <w:sz w:val="22"/>
          <w:szCs w:val="22"/>
        </w:rPr>
      </w:pPr>
      <w:r>
        <w:rPr>
          <w:rFonts w:ascii="Calibri" w:eastAsia="Calibri" w:hAnsi="Calibri" w:cs="Calibri"/>
          <w:b/>
          <w:color w:val="000000"/>
          <w:sz w:val="22"/>
          <w:szCs w:val="22"/>
        </w:rPr>
        <w:t xml:space="preserve">Elaborado por la </w:t>
      </w:r>
      <w:r>
        <w:rPr>
          <w:rFonts w:ascii="Calibri" w:eastAsia="Calibri" w:hAnsi="Calibri" w:cs="Calibri"/>
          <w:b/>
          <w:i/>
          <w:color w:val="000000"/>
          <w:sz w:val="22"/>
          <w:szCs w:val="22"/>
        </w:rPr>
        <w:t>Plataforma Cedaw–Estambul-Beijing (CEB) Sombra España</w:t>
      </w:r>
      <w:r>
        <w:rPr>
          <w:rFonts w:ascii="Calibri" w:eastAsia="Calibri" w:hAnsi="Calibri" w:cs="Calibri"/>
          <w:b/>
          <w:color w:val="000000"/>
          <w:sz w:val="22"/>
          <w:szCs w:val="22"/>
        </w:rPr>
        <w:t>.</w:t>
      </w:r>
    </w:p>
    <w:p w:rsidR="00F655B5" w:rsidRDefault="00C44605" w:rsidP="00C44605">
      <w:pPr>
        <w:shd w:val="clear" w:color="auto" w:fill="FFFFFF"/>
        <w:spacing w:after="240"/>
        <w:ind w:left="0" w:right="76" w:hanging="2"/>
        <w:jc w:val="right"/>
        <w:rPr>
          <w:rFonts w:ascii="Calibri" w:eastAsia="Calibri" w:hAnsi="Calibri" w:cs="Calibri"/>
          <w:i/>
          <w:sz w:val="22"/>
          <w:szCs w:val="22"/>
        </w:rPr>
      </w:pPr>
      <w:r w:rsidRPr="00C44605">
        <w:rPr>
          <w:rFonts w:ascii="Calibri" w:eastAsia="Calibri" w:hAnsi="Calibri" w:cs="Calibri"/>
          <w:i/>
          <w:sz w:val="22"/>
          <w:szCs w:val="22"/>
        </w:rPr>
        <w:t>Versión revisada</w:t>
      </w:r>
      <w:r w:rsidR="00F655B5">
        <w:rPr>
          <w:rFonts w:ascii="Calibri" w:eastAsia="Calibri" w:hAnsi="Calibri" w:cs="Calibri"/>
          <w:i/>
          <w:sz w:val="22"/>
          <w:szCs w:val="22"/>
        </w:rPr>
        <w:t xml:space="preserve"> mayo 2023</w:t>
      </w:r>
    </w:p>
    <w:p w:rsidR="00C44605" w:rsidRPr="00C44605" w:rsidRDefault="00C44605" w:rsidP="00C44605">
      <w:pPr>
        <w:shd w:val="clear" w:color="auto" w:fill="FFFFFF"/>
        <w:spacing w:after="240"/>
        <w:ind w:left="0" w:right="76" w:hanging="2"/>
        <w:jc w:val="right"/>
        <w:rPr>
          <w:rFonts w:ascii="Calibri" w:eastAsia="Calibri" w:hAnsi="Calibri" w:cs="Calibri"/>
          <w:i/>
          <w:sz w:val="22"/>
          <w:szCs w:val="22"/>
        </w:rPr>
      </w:pPr>
      <w:bookmarkStart w:id="0" w:name="_GoBack"/>
      <w:bookmarkEnd w:id="0"/>
      <w:r w:rsidRPr="00C44605">
        <w:rPr>
          <w:rFonts w:ascii="Calibri" w:eastAsia="Calibri" w:hAnsi="Calibri" w:cs="Calibri"/>
          <w:i/>
          <w:sz w:val="22"/>
          <w:szCs w:val="22"/>
        </w:rPr>
        <w:t xml:space="preserve"> </w:t>
      </w:r>
    </w:p>
    <w:p w:rsidR="00652BAB" w:rsidRDefault="007E6FE4">
      <w:pPr>
        <w:shd w:val="clear" w:color="auto" w:fill="FFFFFF"/>
        <w:spacing w:after="240"/>
        <w:ind w:left="0" w:hanging="2"/>
        <w:jc w:val="both"/>
        <w:rPr>
          <w:rFonts w:ascii="Calibri" w:eastAsia="Calibri" w:hAnsi="Calibri" w:cs="Calibri"/>
          <w:color w:val="713B7A"/>
          <w:sz w:val="24"/>
          <w:szCs w:val="24"/>
        </w:rPr>
      </w:pPr>
      <w:r>
        <w:rPr>
          <w:rFonts w:ascii="Calibri" w:eastAsia="Calibri" w:hAnsi="Calibri" w:cs="Calibri"/>
          <w:b/>
          <w:color w:val="713B7A"/>
          <w:sz w:val="24"/>
          <w:szCs w:val="24"/>
        </w:rPr>
        <w:t xml:space="preserve">9-10 VIOLENCIA POR RAZÓN DE GÉNERO CONTRA LA MUJER </w:t>
      </w:r>
    </w:p>
    <w:p w:rsidR="00652BAB" w:rsidRDefault="007E6FE4">
      <w:pPr>
        <w:shd w:val="clear" w:color="auto" w:fill="FFFFFF"/>
        <w:spacing w:after="240" w:line="276" w:lineRule="auto"/>
        <w:ind w:left="0" w:right="78" w:hanging="2"/>
        <w:jc w:val="both"/>
        <w:rPr>
          <w:rFonts w:ascii="Calibri" w:eastAsia="Calibri" w:hAnsi="Calibri" w:cs="Calibri"/>
          <w:color w:val="000000"/>
          <w:sz w:val="22"/>
          <w:szCs w:val="22"/>
        </w:rPr>
      </w:pPr>
      <w:r>
        <w:rPr>
          <w:rFonts w:ascii="Calibri" w:eastAsia="Calibri" w:hAnsi="Calibri" w:cs="Calibri"/>
          <w:color w:val="000000"/>
          <w:sz w:val="22"/>
          <w:szCs w:val="22"/>
        </w:rPr>
        <w:t xml:space="preserve">En mayo 2020, de las 290 medidas del </w:t>
      </w:r>
      <w:hyperlink r:id="rId8">
        <w:r>
          <w:rPr>
            <w:rFonts w:ascii="Calibri" w:eastAsia="Calibri" w:hAnsi="Calibri" w:cs="Calibri"/>
            <w:color w:val="000080"/>
            <w:sz w:val="22"/>
            <w:szCs w:val="22"/>
            <w:u w:val="single"/>
          </w:rPr>
          <w:t>Pacto de Estado contra la Violencia de Género 2018-2022 (PEVG)</w:t>
        </w:r>
      </w:hyperlink>
      <w:r>
        <w:rPr>
          <w:rFonts w:ascii="Calibri" w:eastAsia="Calibri" w:hAnsi="Calibri" w:cs="Calibri"/>
          <w:color w:val="000000"/>
          <w:sz w:val="22"/>
          <w:szCs w:val="22"/>
        </w:rPr>
        <w:t xml:space="preserve">, aprobado el </w:t>
      </w:r>
      <w:r>
        <w:rPr>
          <w:rFonts w:ascii="Calibri" w:eastAsia="Calibri" w:hAnsi="Calibri" w:cs="Calibri"/>
          <w:sz w:val="22"/>
          <w:szCs w:val="22"/>
        </w:rPr>
        <w:t>28/</w:t>
      </w:r>
      <w:r>
        <w:rPr>
          <w:rFonts w:ascii="Calibri" w:eastAsia="Calibri" w:hAnsi="Calibri" w:cs="Calibri"/>
          <w:color w:val="000000"/>
          <w:sz w:val="22"/>
          <w:szCs w:val="22"/>
        </w:rPr>
        <w:t xml:space="preserve">10/2017, solo 75 estaban cumplidas. En algunas CCAA los fondos se desvirtúan mediante cambio/resolución tardía de subvenciones, gastos de carácter familista y/o </w:t>
      </w:r>
      <w:r>
        <w:rPr>
          <w:rFonts w:ascii="Calibri" w:eastAsia="Calibri" w:hAnsi="Calibri" w:cs="Calibri"/>
          <w:sz w:val="22"/>
          <w:szCs w:val="22"/>
        </w:rPr>
        <w:t>antiabortista</w:t>
      </w:r>
      <w:r>
        <w:rPr>
          <w:rFonts w:ascii="Calibri" w:eastAsia="Calibri" w:hAnsi="Calibri" w:cs="Calibri"/>
          <w:color w:val="000000"/>
          <w:sz w:val="22"/>
          <w:szCs w:val="22"/>
        </w:rPr>
        <w:t xml:space="preserve"> (</w:t>
      </w:r>
      <w:hyperlink r:id="rId9">
        <w:r>
          <w:rPr>
            <w:rFonts w:ascii="Calibri" w:eastAsia="Calibri" w:hAnsi="Calibri" w:cs="Calibri"/>
            <w:color w:val="000080"/>
            <w:sz w:val="22"/>
            <w:szCs w:val="22"/>
            <w:u w:val="single"/>
          </w:rPr>
          <w:t>Andalucía</w:t>
        </w:r>
      </w:hyperlink>
      <w:r>
        <w:rPr>
          <w:rFonts w:ascii="Calibri" w:eastAsia="Calibri" w:hAnsi="Calibri" w:cs="Calibri"/>
          <w:color w:val="000000"/>
          <w:sz w:val="22"/>
          <w:szCs w:val="22"/>
        </w:rPr>
        <w:t xml:space="preserve">), </w:t>
      </w:r>
      <w:r>
        <w:rPr>
          <w:rFonts w:ascii="Calibri" w:eastAsia="Calibri" w:hAnsi="Calibri" w:cs="Calibri"/>
          <w:color w:val="1155CC"/>
          <w:sz w:val="22"/>
          <w:szCs w:val="22"/>
          <w:u w:val="single"/>
        </w:rPr>
        <w:t>quitando financiación al movimiento asociativo</w:t>
      </w:r>
      <w:r>
        <w:rPr>
          <w:rFonts w:ascii="Calibri" w:eastAsia="Calibri" w:hAnsi="Calibri" w:cs="Calibri"/>
          <w:color w:val="1155CC"/>
          <w:sz w:val="22"/>
          <w:szCs w:val="22"/>
        </w:rPr>
        <w:t xml:space="preserve"> </w:t>
      </w:r>
      <w:r>
        <w:rPr>
          <w:rFonts w:ascii="Calibri" w:eastAsia="Calibri" w:hAnsi="Calibri" w:cs="Calibri"/>
          <w:sz w:val="22"/>
          <w:szCs w:val="22"/>
        </w:rPr>
        <w:t>y recursos contra la Violencia</w:t>
      </w:r>
      <w:r>
        <w:rPr>
          <w:rFonts w:ascii="Calibri" w:eastAsia="Calibri" w:hAnsi="Calibri" w:cs="Calibri"/>
          <w:color w:val="800080"/>
          <w:sz w:val="22"/>
          <w:szCs w:val="22"/>
        </w:rPr>
        <w:t xml:space="preserve"> (</w:t>
      </w:r>
      <w:hyperlink r:id="rId10">
        <w:r>
          <w:rPr>
            <w:rFonts w:ascii="Calibri" w:eastAsia="Calibri" w:hAnsi="Calibri" w:cs="Calibri"/>
            <w:color w:val="000080"/>
            <w:sz w:val="22"/>
            <w:szCs w:val="22"/>
            <w:u w:val="single"/>
          </w:rPr>
          <w:t>AADAS</w:t>
        </w:r>
      </w:hyperlink>
      <w:r>
        <w:rPr>
          <w:rFonts w:ascii="Calibri" w:eastAsia="Calibri" w:hAnsi="Calibri" w:cs="Calibri"/>
          <w:color w:val="800080"/>
          <w:sz w:val="22"/>
          <w:szCs w:val="22"/>
        </w:rPr>
        <w:t xml:space="preserve">, </w:t>
      </w:r>
      <w:hyperlink r:id="rId11">
        <w:r>
          <w:rPr>
            <w:rFonts w:ascii="Calibri" w:eastAsia="Calibri" w:hAnsi="Calibri" w:cs="Calibri"/>
            <w:color w:val="000080"/>
            <w:sz w:val="22"/>
            <w:szCs w:val="22"/>
            <w:u w:val="single"/>
          </w:rPr>
          <w:t>CARRMM</w:t>
        </w:r>
      </w:hyperlink>
      <w:r>
        <w:rPr>
          <w:rFonts w:ascii="Calibri" w:eastAsia="Calibri" w:hAnsi="Calibri" w:cs="Calibri"/>
          <w:color w:val="800080"/>
          <w:sz w:val="22"/>
          <w:szCs w:val="22"/>
        </w:rPr>
        <w:t>)</w:t>
      </w:r>
      <w:r>
        <w:rPr>
          <w:rFonts w:ascii="Calibri" w:eastAsia="Calibri" w:hAnsi="Calibri" w:cs="Calibri"/>
          <w:color w:val="000000"/>
          <w:sz w:val="22"/>
          <w:szCs w:val="22"/>
        </w:rPr>
        <w:t xml:space="preserve">. Se incumplen también las medidas relativas a formación especializada de cualquier profesional que intervenga en la prevención, protección y ayuda psicosocial a las víctimas, careciendo muchas/os la necesaria formación. </w:t>
      </w:r>
      <w:r>
        <w:rPr>
          <w:rFonts w:ascii="Calibri" w:eastAsia="Calibri" w:hAnsi="Calibri" w:cs="Calibri"/>
          <w:sz w:val="22"/>
          <w:szCs w:val="22"/>
        </w:rPr>
        <w:t>A ello se añade falta de transparencia y demoras en la publicación del gasto público en políticas de lucha contra la violencia de género.</w:t>
      </w:r>
      <w:r>
        <w:rPr>
          <w:rFonts w:ascii="Calibri" w:eastAsia="Calibri" w:hAnsi="Calibri" w:cs="Calibri"/>
          <w:color w:val="9900FF"/>
          <w:sz w:val="22"/>
          <w:szCs w:val="22"/>
        </w:rPr>
        <w:t xml:space="preserve"> </w:t>
      </w:r>
      <w:r>
        <w:rPr>
          <w:rFonts w:ascii="Calibri" w:eastAsia="Calibri" w:hAnsi="Calibri" w:cs="Calibri"/>
          <w:color w:val="000000"/>
          <w:sz w:val="22"/>
          <w:szCs w:val="22"/>
        </w:rPr>
        <w:t xml:space="preserve">En febrero 2021 aún no se había rendido cuentas de la ejecución presupuestaria del Pacto de Estado. Falta coordinación interterritorial e interinstitucional entre las Comunidades Autónomas (CCAA), que tienen las competencias en materia de violencia de género, debilitando la red de recursos de información, atención y recuperación de las víctimas. </w:t>
      </w:r>
    </w:p>
    <w:p w:rsidR="00652BAB" w:rsidRDefault="007E6FE4">
      <w:pPr>
        <w:shd w:val="clear" w:color="auto" w:fill="FFFFFF"/>
        <w:spacing w:after="240" w:line="276" w:lineRule="auto"/>
        <w:ind w:left="0" w:right="77" w:hanging="2"/>
        <w:jc w:val="both"/>
        <w:rPr>
          <w:rFonts w:ascii="Calibri" w:eastAsia="Calibri" w:hAnsi="Calibri" w:cs="Calibri"/>
          <w:color w:val="000000"/>
          <w:sz w:val="22"/>
          <w:szCs w:val="22"/>
        </w:rPr>
      </w:pPr>
      <w:r>
        <w:rPr>
          <w:rFonts w:ascii="Calibri" w:eastAsia="Calibri" w:hAnsi="Calibri" w:cs="Calibri"/>
          <w:color w:val="000000"/>
          <w:sz w:val="22"/>
          <w:szCs w:val="22"/>
        </w:rPr>
        <w:t xml:space="preserve">El </w:t>
      </w:r>
      <w:hyperlink r:id="rId12">
        <w:r>
          <w:rPr>
            <w:rFonts w:ascii="Calibri" w:eastAsia="Calibri" w:hAnsi="Calibri" w:cs="Calibri"/>
            <w:color w:val="000080"/>
            <w:sz w:val="22"/>
            <w:szCs w:val="22"/>
            <w:u w:val="single"/>
          </w:rPr>
          <w:t>Real Decreto-ley 9/2018, de medidas urgentes para el desarrollo del PEVG</w:t>
        </w:r>
      </w:hyperlink>
      <w:r>
        <w:rPr>
          <w:rFonts w:ascii="Calibri" w:eastAsia="Calibri" w:hAnsi="Calibri" w:cs="Calibri"/>
          <w:color w:val="1155CC"/>
          <w:sz w:val="22"/>
          <w:szCs w:val="22"/>
          <w:u w:val="single"/>
        </w:rPr>
        <w:t xml:space="preserve"> </w:t>
      </w:r>
      <w:r>
        <w:rPr>
          <w:rFonts w:ascii="Calibri" w:eastAsia="Calibri" w:hAnsi="Calibri" w:cs="Calibri"/>
          <w:color w:val="000000"/>
          <w:sz w:val="22"/>
          <w:szCs w:val="22"/>
        </w:rPr>
        <w:t xml:space="preserve">modifica </w:t>
      </w:r>
      <w:r>
        <w:rPr>
          <w:rFonts w:ascii="Calibri" w:eastAsia="Calibri" w:hAnsi="Calibri" w:cs="Calibri"/>
          <w:sz w:val="22"/>
          <w:szCs w:val="22"/>
        </w:rPr>
        <w:t>la</w:t>
      </w:r>
      <w:r>
        <w:rPr>
          <w:rFonts w:ascii="Calibri" w:eastAsia="Calibri" w:hAnsi="Calibri" w:cs="Calibri"/>
          <w:color w:val="1155CC"/>
          <w:sz w:val="22"/>
          <w:szCs w:val="22"/>
        </w:rPr>
        <w:t xml:space="preserve"> </w:t>
      </w:r>
      <w:hyperlink r:id="rId13">
        <w:r>
          <w:rPr>
            <w:rFonts w:ascii="Calibri" w:eastAsia="Calibri" w:hAnsi="Calibri" w:cs="Calibri"/>
            <w:color w:val="000080"/>
            <w:sz w:val="22"/>
            <w:szCs w:val="22"/>
            <w:u w:val="single"/>
          </w:rPr>
          <w:t>LOVG</w:t>
        </w:r>
      </w:hyperlink>
      <w:r>
        <w:rPr>
          <w:rFonts w:ascii="Calibri" w:eastAsia="Calibri" w:hAnsi="Calibri" w:cs="Calibri"/>
          <w:color w:val="1155CC"/>
          <w:sz w:val="22"/>
          <w:szCs w:val="22"/>
        </w:rPr>
        <w:t xml:space="preserve"> </w:t>
      </w:r>
      <w:r>
        <w:rPr>
          <w:rFonts w:ascii="Calibri" w:eastAsia="Calibri" w:hAnsi="Calibri" w:cs="Calibri"/>
          <w:color w:val="000000"/>
          <w:sz w:val="22"/>
          <w:szCs w:val="22"/>
        </w:rPr>
        <w:t>(art. 23) permitiendo acreditar la condición de víctima de VG con certificado de los servicios sociales o servicios especializados sin necesidad de denuncia, pero su práctica es irregular al</w:t>
      </w:r>
      <w:r>
        <w:rPr>
          <w:rFonts w:ascii="Calibri" w:eastAsia="Calibri" w:hAnsi="Calibri" w:cs="Calibri"/>
          <w:color w:val="9900FF"/>
          <w:sz w:val="22"/>
          <w:szCs w:val="22"/>
        </w:rPr>
        <w:t xml:space="preserve"> </w:t>
      </w:r>
      <w:r>
        <w:rPr>
          <w:rFonts w:ascii="Calibri" w:eastAsia="Calibri" w:hAnsi="Calibri" w:cs="Calibri"/>
          <w:sz w:val="22"/>
          <w:szCs w:val="22"/>
        </w:rPr>
        <w:t>recaer sobre las CCAA, dándose casos de incumplimiento o/e interpretación revictimizante de las víctimas (como denuncia CCOO-Málaga en la aplicación de la</w:t>
      </w:r>
      <w:r>
        <w:rPr>
          <w:rFonts w:ascii="Calibri" w:eastAsia="Calibri" w:hAnsi="Calibri" w:cs="Calibri"/>
          <w:color w:val="9900FF"/>
          <w:sz w:val="22"/>
          <w:szCs w:val="22"/>
        </w:rPr>
        <w:t xml:space="preserve"> </w:t>
      </w:r>
      <w:hyperlink r:id="rId14">
        <w:r>
          <w:rPr>
            <w:rFonts w:ascii="Calibri" w:eastAsia="Calibri" w:hAnsi="Calibri" w:cs="Calibri"/>
            <w:color w:val="1155CC"/>
            <w:sz w:val="22"/>
            <w:szCs w:val="22"/>
            <w:u w:val="single"/>
          </w:rPr>
          <w:t>Instrucción 1/2021, de 18 de febrero, del IAM</w:t>
        </w:r>
      </w:hyperlink>
      <w:r>
        <w:rPr>
          <w:rFonts w:ascii="Calibri" w:eastAsia="Calibri" w:hAnsi="Calibri" w:cs="Calibri"/>
          <w:sz w:val="22"/>
          <w:szCs w:val="22"/>
        </w:rPr>
        <w:t>)</w:t>
      </w:r>
      <w:r>
        <w:rPr>
          <w:rFonts w:ascii="Calibri" w:eastAsia="Calibri" w:hAnsi="Calibri" w:cs="Calibri"/>
          <w:color w:val="9900FF"/>
          <w:sz w:val="22"/>
          <w:szCs w:val="22"/>
        </w:rPr>
        <w:t>.</w:t>
      </w:r>
      <w:r>
        <w:rPr>
          <w:rFonts w:ascii="Calibri" w:eastAsia="Calibri" w:hAnsi="Calibri" w:cs="Calibri"/>
          <w:color w:val="000000"/>
          <w:sz w:val="22"/>
          <w:szCs w:val="22"/>
        </w:rPr>
        <w:t xml:space="preserve"> </w:t>
      </w:r>
    </w:p>
    <w:p w:rsidR="00652BAB" w:rsidRDefault="007E6FE4">
      <w:pPr>
        <w:shd w:val="clear" w:color="auto" w:fill="FFFFFF"/>
        <w:spacing w:after="240" w:line="276" w:lineRule="auto"/>
        <w:ind w:left="0" w:right="66" w:hanging="2"/>
        <w:jc w:val="both"/>
        <w:rPr>
          <w:rFonts w:ascii="Calibri" w:eastAsia="Calibri" w:hAnsi="Calibri" w:cs="Calibri"/>
          <w:color w:val="000000"/>
          <w:sz w:val="22"/>
          <w:szCs w:val="22"/>
        </w:rPr>
      </w:pPr>
      <w:r>
        <w:rPr>
          <w:rFonts w:ascii="Calibri" w:eastAsia="Calibri" w:hAnsi="Calibri" w:cs="Calibri"/>
          <w:color w:val="000000"/>
          <w:sz w:val="22"/>
          <w:szCs w:val="22"/>
        </w:rPr>
        <w:t xml:space="preserve">La </w:t>
      </w:r>
      <w:hyperlink r:id="rId15">
        <w:r>
          <w:rPr>
            <w:rFonts w:ascii="Calibri" w:eastAsia="Calibri" w:hAnsi="Calibri" w:cs="Calibri"/>
            <w:color w:val="000080"/>
            <w:sz w:val="22"/>
            <w:szCs w:val="22"/>
            <w:u w:val="single"/>
          </w:rPr>
          <w:t>Ley Orgánica 8/2015, de 22 de julio</w:t>
        </w:r>
      </w:hyperlink>
      <w:r>
        <w:rPr>
          <w:rFonts w:ascii="Calibri" w:eastAsia="Calibri" w:hAnsi="Calibri" w:cs="Calibri"/>
          <w:color w:val="000000"/>
          <w:sz w:val="22"/>
          <w:szCs w:val="22"/>
        </w:rPr>
        <w:t xml:space="preserve"> modifica el </w:t>
      </w:r>
      <w:r>
        <w:rPr>
          <w:rFonts w:ascii="Calibri" w:eastAsia="Calibri" w:hAnsi="Calibri" w:cs="Calibri"/>
          <w:sz w:val="22"/>
          <w:szCs w:val="22"/>
        </w:rPr>
        <w:t>art.1 de la LOVG</w:t>
      </w:r>
      <w:r>
        <w:rPr>
          <w:rFonts w:ascii="Calibri" w:eastAsia="Calibri" w:hAnsi="Calibri" w:cs="Calibri"/>
          <w:color w:val="1155CC"/>
          <w:sz w:val="22"/>
          <w:szCs w:val="22"/>
        </w:rPr>
        <w:t xml:space="preserve"> </w:t>
      </w:r>
      <w:r>
        <w:rPr>
          <w:rFonts w:ascii="Calibri" w:eastAsia="Calibri" w:hAnsi="Calibri" w:cs="Calibri"/>
          <w:color w:val="000000"/>
          <w:sz w:val="22"/>
          <w:szCs w:val="22"/>
        </w:rPr>
        <w:t xml:space="preserve">para considerar víctimas, junto a las mujeres, a sus hijas/os menores. La </w:t>
      </w:r>
      <w:hyperlink r:id="rId16">
        <w:r>
          <w:rPr>
            <w:rFonts w:ascii="Calibri" w:eastAsia="Calibri" w:hAnsi="Calibri" w:cs="Calibri"/>
            <w:color w:val="000080"/>
            <w:sz w:val="22"/>
            <w:szCs w:val="22"/>
            <w:u w:val="single"/>
          </w:rPr>
          <w:t>Ley 3/2019, de 1 de marzo, de mejora de la situación de orfandad de las hijas e hijos de víctimas de VG</w:t>
        </w:r>
      </w:hyperlink>
      <w:r>
        <w:rPr>
          <w:rFonts w:ascii="Calibri" w:eastAsia="Calibri" w:hAnsi="Calibri" w:cs="Calibri"/>
          <w:color w:val="1155CC"/>
          <w:sz w:val="22"/>
          <w:szCs w:val="22"/>
          <w:u w:val="single"/>
        </w:rPr>
        <w:t xml:space="preserve"> </w:t>
      </w:r>
      <w:r>
        <w:rPr>
          <w:rFonts w:ascii="Calibri" w:eastAsia="Calibri" w:hAnsi="Calibri" w:cs="Calibri"/>
          <w:color w:val="000000"/>
          <w:sz w:val="22"/>
          <w:szCs w:val="22"/>
        </w:rPr>
        <w:t xml:space="preserve">crea la </w:t>
      </w:r>
      <w:r>
        <w:rPr>
          <w:rFonts w:ascii="Calibri" w:eastAsia="Calibri" w:hAnsi="Calibri" w:cs="Calibri"/>
          <w:sz w:val="22"/>
          <w:szCs w:val="22"/>
        </w:rPr>
        <w:t>prestación de orfandad, alejadas</w:t>
      </w:r>
      <w:r>
        <w:rPr>
          <w:rFonts w:ascii="Calibri" w:eastAsia="Calibri" w:hAnsi="Calibri" w:cs="Calibri"/>
          <w:color w:val="1155CC"/>
          <w:sz w:val="22"/>
          <w:szCs w:val="22"/>
        </w:rPr>
        <w:t xml:space="preserve"> </w:t>
      </w:r>
      <w:r>
        <w:rPr>
          <w:rFonts w:ascii="Calibri" w:eastAsia="Calibri" w:hAnsi="Calibri" w:cs="Calibri"/>
          <w:color w:val="000000"/>
          <w:sz w:val="22"/>
          <w:szCs w:val="22"/>
        </w:rPr>
        <w:t xml:space="preserve">de las </w:t>
      </w:r>
      <w:r>
        <w:rPr>
          <w:rFonts w:ascii="Calibri" w:eastAsia="Calibri" w:hAnsi="Calibri" w:cs="Calibri"/>
          <w:sz w:val="22"/>
          <w:szCs w:val="22"/>
        </w:rPr>
        <w:t>pensiones a hijas/os de víctimas de terrorismo</w:t>
      </w:r>
      <w:r>
        <w:rPr>
          <w:rFonts w:ascii="Calibri" w:eastAsia="Calibri" w:hAnsi="Calibri" w:cs="Calibri"/>
          <w:color w:val="000000"/>
          <w:sz w:val="22"/>
          <w:szCs w:val="22"/>
        </w:rPr>
        <w:t xml:space="preserve">. </w:t>
      </w:r>
    </w:p>
    <w:p w:rsidR="00652BAB" w:rsidRDefault="007E6FE4">
      <w:pPr>
        <w:shd w:val="clear" w:color="auto" w:fill="FFFFFF"/>
        <w:spacing w:after="240" w:line="276" w:lineRule="auto"/>
        <w:ind w:left="0" w:right="77" w:hanging="2"/>
        <w:jc w:val="both"/>
        <w:rPr>
          <w:rFonts w:ascii="Calibri" w:eastAsia="Calibri" w:hAnsi="Calibri" w:cs="Calibri"/>
          <w:color w:val="1155CC"/>
          <w:sz w:val="22"/>
          <w:szCs w:val="22"/>
          <w:u w:val="single"/>
        </w:rPr>
      </w:pPr>
      <w:r>
        <w:rPr>
          <w:rFonts w:ascii="Calibri" w:eastAsia="Calibri" w:hAnsi="Calibri" w:cs="Calibri"/>
          <w:color w:val="000000"/>
          <w:sz w:val="22"/>
          <w:szCs w:val="22"/>
        </w:rPr>
        <w:t xml:space="preserve">La </w:t>
      </w:r>
      <w:hyperlink r:id="rId17">
        <w:r>
          <w:rPr>
            <w:rFonts w:ascii="Calibri" w:eastAsia="Calibri" w:hAnsi="Calibri" w:cs="Calibri"/>
            <w:color w:val="000080"/>
            <w:sz w:val="22"/>
            <w:szCs w:val="22"/>
            <w:u w:val="single"/>
          </w:rPr>
          <w:t>Ley Orgánica 5/2018 que reforma la LO del Poder Judicial</w:t>
        </w:r>
      </w:hyperlink>
      <w:r>
        <w:rPr>
          <w:rFonts w:ascii="Calibri" w:eastAsia="Calibri" w:hAnsi="Calibri" w:cs="Calibri"/>
          <w:color w:val="000000"/>
          <w:sz w:val="22"/>
          <w:szCs w:val="22"/>
        </w:rPr>
        <w:t xml:space="preserve">, incluye materias específicas en las pruebas de selección y formación continua de las carreras Judicial y Fiscal, y pruebas de especialización para acceder a Juzgados competentes en violencia sobre la mujer que resultan insuficientes en cantidad y calidad. Los JVM siguen archivando demasiadas denuncias por VG </w:t>
      </w:r>
      <w:hyperlink r:id="rId18">
        <w:r>
          <w:rPr>
            <w:rFonts w:ascii="Calibri" w:eastAsia="Calibri" w:hAnsi="Calibri" w:cs="Calibri"/>
            <w:color w:val="000080"/>
            <w:sz w:val="22"/>
            <w:szCs w:val="22"/>
            <w:u w:val="single"/>
          </w:rPr>
          <w:t>como reconoce el TC (2020)</w:t>
        </w:r>
      </w:hyperlink>
      <w:r>
        <w:rPr>
          <w:rFonts w:ascii="Calibri" w:eastAsia="Calibri" w:hAnsi="Calibri" w:cs="Calibri"/>
          <w:color w:val="000000"/>
          <w:sz w:val="22"/>
          <w:szCs w:val="22"/>
        </w:rPr>
        <w:t>, una media del 36,5% entre 2015-2021; se acordaron órdenes de protección o medidas cautelares en solo el 19% de las denuncias y las condenas suponen casi el 22% de las denuncias (</w:t>
      </w:r>
      <w:hyperlink r:id="rId19">
        <w:r>
          <w:rPr>
            <w:rFonts w:ascii="Calibri" w:eastAsia="Calibri" w:hAnsi="Calibri" w:cs="Calibri"/>
            <w:color w:val="000080"/>
            <w:sz w:val="22"/>
            <w:szCs w:val="22"/>
            <w:u w:val="single"/>
          </w:rPr>
          <w:t>CGPJ</w:t>
        </w:r>
      </w:hyperlink>
      <w:r>
        <w:rPr>
          <w:rFonts w:ascii="Calibri" w:eastAsia="Calibri" w:hAnsi="Calibri" w:cs="Calibri"/>
          <w:color w:val="1155CC"/>
          <w:sz w:val="22"/>
          <w:szCs w:val="22"/>
          <w:u w:val="single"/>
        </w:rPr>
        <w:t>,</w:t>
      </w:r>
      <w:r>
        <w:rPr>
          <w:rFonts w:ascii="Calibri" w:eastAsia="Calibri" w:hAnsi="Calibri" w:cs="Calibri"/>
          <w:color w:val="000000"/>
          <w:sz w:val="22"/>
          <w:szCs w:val="22"/>
        </w:rPr>
        <w:t xml:space="preserve"> cuadro 1</w:t>
      </w:r>
      <w:r>
        <w:rPr>
          <w:rFonts w:ascii="Calibri" w:eastAsia="Calibri" w:hAnsi="Calibri" w:cs="Calibri"/>
          <w:sz w:val="22"/>
          <w:szCs w:val="22"/>
        </w:rPr>
        <w:t xml:space="preserve">). </w:t>
      </w:r>
      <w:r>
        <w:rPr>
          <w:rFonts w:ascii="Calibri" w:eastAsia="Calibri" w:hAnsi="Calibri" w:cs="Calibri"/>
          <w:color w:val="000000"/>
          <w:sz w:val="22"/>
          <w:szCs w:val="22"/>
        </w:rPr>
        <w:t xml:space="preserve">De 55 mujeres </w:t>
      </w:r>
      <w:r>
        <w:rPr>
          <w:rFonts w:ascii="Calibri" w:eastAsia="Calibri" w:hAnsi="Calibri" w:cs="Calibri"/>
          <w:sz w:val="22"/>
          <w:szCs w:val="22"/>
        </w:rPr>
        <w:t>víctimas de feminicidio íntimo en 2019</w:t>
      </w:r>
      <w:r>
        <w:rPr>
          <w:rFonts w:ascii="Calibri" w:eastAsia="Calibri" w:hAnsi="Calibri" w:cs="Calibri"/>
          <w:color w:val="1155CC"/>
          <w:sz w:val="22"/>
          <w:szCs w:val="22"/>
          <w:u w:val="single"/>
        </w:rPr>
        <w:t xml:space="preserve"> </w:t>
      </w:r>
      <w:r>
        <w:rPr>
          <w:rFonts w:ascii="Calibri" w:eastAsia="Calibri" w:hAnsi="Calibri" w:cs="Calibri"/>
          <w:color w:val="000000"/>
          <w:sz w:val="22"/>
          <w:szCs w:val="22"/>
        </w:rPr>
        <w:t xml:space="preserve">había denuncia previa en 11 casos (20%) y </w:t>
      </w:r>
      <w:r>
        <w:rPr>
          <w:rFonts w:ascii="Calibri" w:eastAsia="Calibri" w:hAnsi="Calibri" w:cs="Calibri"/>
          <w:sz w:val="22"/>
          <w:szCs w:val="22"/>
        </w:rPr>
        <w:t>sólo</w:t>
      </w:r>
      <w:r>
        <w:rPr>
          <w:rFonts w:ascii="Calibri" w:eastAsia="Calibri" w:hAnsi="Calibri" w:cs="Calibri"/>
          <w:color w:val="000000"/>
          <w:sz w:val="22"/>
          <w:szCs w:val="22"/>
        </w:rPr>
        <w:t xml:space="preserve"> 5 tuvieron medidas de protección</w:t>
      </w:r>
      <w:r>
        <w:rPr>
          <w:rFonts w:ascii="Calibri" w:eastAsia="Calibri" w:hAnsi="Calibri" w:cs="Calibri"/>
          <w:sz w:val="22"/>
          <w:szCs w:val="22"/>
        </w:rPr>
        <w:t xml:space="preserve">. En 2021, de 44 casos en 9 había denuncia previa y se solicitaron medidas en 4. </w:t>
      </w:r>
      <w:r>
        <w:rPr>
          <w:rFonts w:ascii="Calibri" w:eastAsia="Calibri" w:hAnsi="Calibri" w:cs="Calibri"/>
          <w:color w:val="000000"/>
          <w:sz w:val="22"/>
          <w:szCs w:val="22"/>
        </w:rPr>
        <w:t xml:space="preserve">En 2015-2019 las </w:t>
      </w:r>
      <w:r>
        <w:rPr>
          <w:rFonts w:ascii="Calibri" w:eastAsia="Calibri" w:hAnsi="Calibri" w:cs="Calibri"/>
          <w:sz w:val="22"/>
          <w:szCs w:val="22"/>
        </w:rPr>
        <w:t>víctimas de feminicidios íntimos</w:t>
      </w:r>
      <w:r>
        <w:rPr>
          <w:rFonts w:ascii="Calibri" w:eastAsia="Calibri" w:hAnsi="Calibri" w:cs="Calibri"/>
          <w:color w:val="1155CC"/>
          <w:sz w:val="22"/>
          <w:szCs w:val="22"/>
        </w:rPr>
        <w:t xml:space="preserve"> </w:t>
      </w:r>
      <w:r>
        <w:rPr>
          <w:rFonts w:ascii="Calibri" w:eastAsia="Calibri" w:hAnsi="Calibri" w:cs="Calibri"/>
          <w:color w:val="000000"/>
          <w:sz w:val="22"/>
          <w:szCs w:val="22"/>
        </w:rPr>
        <w:t xml:space="preserve">oficiales sin denuncia previa fueron el 74,13%. </w:t>
      </w:r>
    </w:p>
    <w:p w:rsidR="00652BAB" w:rsidRDefault="007E6FE4">
      <w:pPr>
        <w:shd w:val="clear" w:color="auto" w:fill="FFFFFF"/>
        <w:spacing w:after="240" w:line="276" w:lineRule="auto"/>
        <w:ind w:left="0" w:right="71" w:hanging="2"/>
        <w:jc w:val="both"/>
        <w:rPr>
          <w:rFonts w:ascii="Calibri" w:eastAsia="Calibri" w:hAnsi="Calibri" w:cs="Calibri"/>
          <w:color w:val="9900FF"/>
          <w:sz w:val="22"/>
          <w:szCs w:val="22"/>
        </w:rPr>
      </w:pPr>
      <w:r>
        <w:rPr>
          <w:rFonts w:ascii="Calibri" w:eastAsia="Calibri" w:hAnsi="Calibri" w:cs="Calibri"/>
          <w:color w:val="000000"/>
          <w:sz w:val="22"/>
          <w:szCs w:val="22"/>
        </w:rPr>
        <w:lastRenderedPageBreak/>
        <w:t xml:space="preserve">Aunque el CGPJ </w:t>
      </w:r>
      <w:r>
        <w:rPr>
          <w:rFonts w:ascii="Calibri" w:eastAsia="Calibri" w:hAnsi="Calibri" w:cs="Calibri"/>
          <w:sz w:val="22"/>
          <w:szCs w:val="22"/>
        </w:rPr>
        <w:t>y la LO 8/2021 de protección integral a la infancia y adolescencia rechazan su aplicación e instan a los poderes públicos a impedir su uso,</w:t>
      </w:r>
      <w:r>
        <w:rPr>
          <w:rFonts w:ascii="Calibri" w:eastAsia="Calibri" w:hAnsi="Calibri" w:cs="Calibri"/>
          <w:color w:val="1155CC"/>
          <w:sz w:val="22"/>
          <w:szCs w:val="22"/>
        </w:rPr>
        <w:t xml:space="preserve"> </w:t>
      </w:r>
      <w:r>
        <w:rPr>
          <w:rFonts w:ascii="Calibri" w:eastAsia="Calibri" w:hAnsi="Calibri" w:cs="Calibri"/>
          <w:sz w:val="22"/>
          <w:szCs w:val="22"/>
        </w:rPr>
        <w:t>persiste y empeora el uso del síndrome de alienación parental (SAP) y figuras similares (</w:t>
      </w:r>
      <w:r>
        <w:rPr>
          <w:rFonts w:ascii="Calibri" w:eastAsia="Calibri" w:hAnsi="Calibri" w:cs="Calibri"/>
          <w:i/>
          <w:sz w:val="22"/>
          <w:szCs w:val="22"/>
        </w:rPr>
        <w:t>Coordinador parental</w:t>
      </w:r>
      <w:r>
        <w:rPr>
          <w:rFonts w:ascii="Calibri" w:eastAsia="Calibri" w:hAnsi="Calibri" w:cs="Calibri"/>
          <w:sz w:val="22"/>
          <w:szCs w:val="22"/>
        </w:rPr>
        <w:t>)</w:t>
      </w:r>
      <w:r>
        <w:rPr>
          <w:rFonts w:ascii="Calibri" w:eastAsia="Calibri" w:hAnsi="Calibri" w:cs="Calibri"/>
          <w:color w:val="CC00FF"/>
          <w:sz w:val="22"/>
          <w:szCs w:val="22"/>
        </w:rPr>
        <w:t xml:space="preserve"> </w:t>
      </w:r>
      <w:r>
        <w:rPr>
          <w:rFonts w:ascii="Calibri" w:eastAsia="Calibri" w:hAnsi="Calibri" w:cs="Calibri"/>
          <w:sz w:val="22"/>
          <w:szCs w:val="22"/>
        </w:rPr>
        <w:t>impuesto incluso en procedimientos de VG (13,8% de los casos analizados por</w:t>
      </w:r>
      <w:r>
        <w:rPr>
          <w:rFonts w:ascii="Calibri" w:eastAsia="Calibri" w:hAnsi="Calibri" w:cs="Calibri"/>
          <w:color w:val="FF00FF"/>
          <w:sz w:val="22"/>
          <w:szCs w:val="22"/>
        </w:rPr>
        <w:t xml:space="preserve"> </w:t>
      </w:r>
      <w:hyperlink r:id="rId20">
        <w:r>
          <w:rPr>
            <w:rFonts w:ascii="Calibri" w:eastAsia="Calibri" w:hAnsi="Calibri" w:cs="Calibri"/>
            <w:color w:val="000080"/>
            <w:sz w:val="22"/>
            <w:szCs w:val="22"/>
            <w:u w:val="single"/>
          </w:rPr>
          <w:t>Asoc. Mujeres Juristas Themis, 2021)</w:t>
        </w:r>
      </w:hyperlink>
      <w:r>
        <w:rPr>
          <w:rFonts w:ascii="Calibri" w:eastAsia="Calibri" w:hAnsi="Calibri" w:cs="Calibri"/>
          <w:sz w:val="22"/>
          <w:szCs w:val="22"/>
        </w:rPr>
        <w:t>, contraviniendo el Convenio de Estambul (art. 48.1) y la Ley Orgánica de Medidas de Protección Integral contra la VG</w:t>
      </w:r>
      <w:r>
        <w:rPr>
          <w:rFonts w:ascii="Calibri" w:eastAsia="Calibri" w:hAnsi="Calibri" w:cs="Calibri"/>
          <w:color w:val="FF00FF"/>
          <w:sz w:val="22"/>
          <w:szCs w:val="22"/>
        </w:rPr>
        <w:t>.</w:t>
      </w:r>
      <w:r>
        <w:rPr>
          <w:rFonts w:ascii="Calibri" w:eastAsia="Calibri" w:hAnsi="Calibri" w:cs="Calibri"/>
          <w:color w:val="000000"/>
          <w:sz w:val="22"/>
          <w:szCs w:val="22"/>
        </w:rPr>
        <w:t xml:space="preserve"> </w:t>
      </w:r>
    </w:p>
    <w:p w:rsidR="00652BAB" w:rsidRDefault="007E6FE4">
      <w:pPr>
        <w:shd w:val="clear" w:color="auto" w:fill="FFFFFF"/>
        <w:spacing w:after="240" w:line="276" w:lineRule="auto"/>
        <w:ind w:left="0" w:right="71" w:hanging="2"/>
        <w:jc w:val="both"/>
        <w:rPr>
          <w:rFonts w:ascii="Calibri" w:eastAsia="Calibri" w:hAnsi="Calibri" w:cs="Calibri"/>
          <w:color w:val="38761D"/>
          <w:sz w:val="22"/>
          <w:szCs w:val="22"/>
        </w:rPr>
      </w:pPr>
      <w:r>
        <w:rPr>
          <w:rFonts w:ascii="Calibri" w:eastAsia="Calibri" w:hAnsi="Calibri" w:cs="Calibri"/>
          <w:b/>
          <w:sz w:val="22"/>
          <w:szCs w:val="22"/>
        </w:rPr>
        <w:t xml:space="preserve">Violencia institucional: </w:t>
      </w:r>
      <w:r>
        <w:rPr>
          <w:rFonts w:ascii="Calibri" w:eastAsia="Calibri" w:hAnsi="Calibri" w:cs="Calibri"/>
          <w:b/>
          <w:i/>
          <w:sz w:val="22"/>
          <w:szCs w:val="22"/>
        </w:rPr>
        <w:t>Indefensión y desamparo judicial:</w:t>
      </w:r>
      <w:r>
        <w:rPr>
          <w:rFonts w:ascii="Calibri" w:eastAsia="Calibri" w:hAnsi="Calibri" w:cs="Calibri"/>
          <w:color w:val="9900FF"/>
          <w:sz w:val="22"/>
          <w:szCs w:val="22"/>
        </w:rPr>
        <w:t xml:space="preserve"> </w:t>
      </w:r>
      <w:hyperlink r:id="rId21">
        <w:r>
          <w:rPr>
            <w:rFonts w:ascii="Calibri" w:eastAsia="Calibri" w:hAnsi="Calibri" w:cs="Calibri"/>
            <w:color w:val="1155CC"/>
            <w:sz w:val="22"/>
            <w:szCs w:val="22"/>
            <w:u w:val="single"/>
          </w:rPr>
          <w:t>escandalosas sentencias</w:t>
        </w:r>
      </w:hyperlink>
      <w:r>
        <w:rPr>
          <w:rFonts w:ascii="Calibri" w:eastAsia="Calibri" w:hAnsi="Calibri" w:cs="Calibri"/>
          <w:color w:val="9900FF"/>
          <w:sz w:val="22"/>
          <w:szCs w:val="22"/>
        </w:rPr>
        <w:t xml:space="preserve"> </w:t>
      </w:r>
      <w:r>
        <w:rPr>
          <w:rFonts w:ascii="Calibri" w:eastAsia="Calibri" w:hAnsi="Calibri" w:cs="Calibri"/>
          <w:sz w:val="22"/>
          <w:szCs w:val="22"/>
        </w:rPr>
        <w:t>y archivos de casos beneficiando a agresores, bajo seguimiento de medidas cautelares y sentencias, apenas se piden informes forenses de valoración de riesgo.</w:t>
      </w:r>
      <w:r>
        <w:rPr>
          <w:rFonts w:ascii="Calibri" w:eastAsia="Calibri" w:hAnsi="Calibri" w:cs="Calibri"/>
          <w:color w:val="38761D"/>
          <w:sz w:val="22"/>
          <w:szCs w:val="22"/>
        </w:rPr>
        <w:t xml:space="preserve"> </w:t>
      </w:r>
      <w:r>
        <w:rPr>
          <w:rFonts w:ascii="Calibri" w:eastAsia="Calibri" w:hAnsi="Calibri" w:cs="Calibri"/>
          <w:b/>
          <w:i/>
          <w:color w:val="000000"/>
          <w:sz w:val="22"/>
          <w:szCs w:val="22"/>
        </w:rPr>
        <w:t>Persecución judicial y condena de las madres víctimas de VG</w:t>
      </w:r>
      <w:r>
        <w:rPr>
          <w:rFonts w:ascii="Calibri" w:eastAsia="Calibri" w:hAnsi="Calibri" w:cs="Calibri"/>
          <w:color w:val="000000"/>
          <w:sz w:val="22"/>
          <w:szCs w:val="22"/>
        </w:rPr>
        <w:t xml:space="preserve">: </w:t>
      </w:r>
      <w:r w:rsidR="00456709" w:rsidRPr="00456709">
        <w:rPr>
          <w:rFonts w:ascii="Calibri" w:eastAsia="Calibri" w:hAnsi="Calibri" w:cs="Calibri"/>
          <w:color w:val="4F81BD" w:themeColor="accent1"/>
          <w:sz w:val="22"/>
          <w:szCs w:val="22"/>
        </w:rPr>
        <w:t>M.S., S.G., J.R., S.B.B</w:t>
      </w:r>
      <w:r w:rsidR="00456709">
        <w:rPr>
          <w:rFonts w:ascii="Calibri" w:eastAsia="Calibri" w:hAnsi="Calibri" w:cs="Calibri"/>
          <w:color w:val="000000"/>
          <w:sz w:val="22"/>
          <w:szCs w:val="22"/>
        </w:rPr>
        <w:t>.</w:t>
      </w:r>
      <w:r>
        <w:rPr>
          <w:rFonts w:ascii="Calibri" w:eastAsia="Calibri" w:hAnsi="Calibri" w:cs="Calibri"/>
          <w:color w:val="000000"/>
          <w:sz w:val="22"/>
          <w:szCs w:val="22"/>
        </w:rPr>
        <w:t xml:space="preserve"> </w:t>
      </w:r>
      <w:hyperlink r:id="rId22">
        <w:r>
          <w:rPr>
            <w:rFonts w:ascii="Calibri" w:eastAsia="Calibri" w:hAnsi="Calibri" w:cs="Calibri"/>
            <w:color w:val="1155CC"/>
            <w:sz w:val="22"/>
            <w:szCs w:val="22"/>
            <w:u w:val="single"/>
          </w:rPr>
          <w:t>Infancia Libre</w:t>
        </w:r>
      </w:hyperlink>
      <w:r w:rsidR="00456709">
        <w:rPr>
          <w:rFonts w:ascii="Calibri" w:eastAsia="Calibri" w:hAnsi="Calibri" w:cs="Calibri"/>
          <w:color w:val="9900FF"/>
          <w:sz w:val="22"/>
          <w:szCs w:val="22"/>
        </w:rPr>
        <w:t>,</w:t>
      </w:r>
      <w:r>
        <w:rPr>
          <w:rFonts w:ascii="Calibri" w:eastAsia="Calibri" w:hAnsi="Calibri" w:cs="Calibri"/>
          <w:color w:val="9900FF"/>
          <w:sz w:val="22"/>
          <w:szCs w:val="22"/>
        </w:rPr>
        <w:t xml:space="preserve"> </w:t>
      </w:r>
      <w:r>
        <w:rPr>
          <w:rFonts w:ascii="Calibri" w:eastAsia="Calibri" w:hAnsi="Calibri" w:cs="Calibri"/>
          <w:b/>
          <w:i/>
          <w:color w:val="000000"/>
          <w:sz w:val="22"/>
          <w:szCs w:val="22"/>
        </w:rPr>
        <w:t>Incumplimiento de la suspensión del régimen de visitas</w:t>
      </w:r>
      <w:r>
        <w:rPr>
          <w:rFonts w:ascii="Calibri" w:eastAsia="Calibri" w:hAnsi="Calibri" w:cs="Calibri"/>
          <w:color w:val="000000"/>
          <w:sz w:val="22"/>
          <w:szCs w:val="22"/>
        </w:rPr>
        <w:t xml:space="preserve"> de condenados por VG</w:t>
      </w:r>
      <w:r>
        <w:rPr>
          <w:rFonts w:ascii="Calibri" w:eastAsia="Calibri" w:hAnsi="Calibri" w:cs="Calibri"/>
          <w:color w:val="9900FF"/>
          <w:sz w:val="22"/>
          <w:szCs w:val="22"/>
        </w:rPr>
        <w:t xml:space="preserve"> </w:t>
      </w:r>
      <w:r>
        <w:rPr>
          <w:rFonts w:ascii="Calibri" w:eastAsia="Calibri" w:hAnsi="Calibri" w:cs="Calibri"/>
          <w:sz w:val="22"/>
          <w:szCs w:val="22"/>
        </w:rPr>
        <w:t>(art. 66 LOVG, y reforma del art. 94 del Código Civil en 2021)</w:t>
      </w:r>
      <w:r>
        <w:rPr>
          <w:rFonts w:ascii="Calibri" w:eastAsia="Calibri" w:hAnsi="Calibri" w:cs="Calibri"/>
          <w:color w:val="000000"/>
          <w:sz w:val="22"/>
          <w:szCs w:val="22"/>
        </w:rPr>
        <w:t>, e</w:t>
      </w:r>
      <w:r>
        <w:rPr>
          <w:rFonts w:ascii="Calibri" w:eastAsia="Calibri" w:hAnsi="Calibri" w:cs="Calibri"/>
          <w:sz w:val="22"/>
          <w:szCs w:val="22"/>
        </w:rPr>
        <w:t xml:space="preserve">l </w:t>
      </w:r>
      <w:hyperlink r:id="rId23">
        <w:r>
          <w:rPr>
            <w:rFonts w:ascii="Calibri" w:eastAsia="Calibri" w:hAnsi="Calibri" w:cs="Calibri"/>
            <w:color w:val="000080"/>
            <w:sz w:val="22"/>
            <w:szCs w:val="22"/>
            <w:u w:val="single"/>
          </w:rPr>
          <w:t>porcentaje de suspensiones de las visitas en situaciones de malos tratos no supera el 3%</w:t>
        </w:r>
      </w:hyperlink>
      <w:r>
        <w:rPr>
          <w:rFonts w:ascii="Calibri" w:eastAsia="Calibri" w:hAnsi="Calibri" w:cs="Calibri"/>
          <w:color w:val="1155CC"/>
          <w:sz w:val="22"/>
          <w:szCs w:val="22"/>
        </w:rPr>
        <w:t xml:space="preserve"> (</w:t>
      </w:r>
      <w:r>
        <w:rPr>
          <w:rFonts w:ascii="Calibri" w:eastAsia="Calibri" w:hAnsi="Calibri" w:cs="Calibri"/>
          <w:color w:val="134F5C"/>
          <w:sz w:val="22"/>
          <w:szCs w:val="22"/>
        </w:rPr>
        <w:t>2021)</w:t>
      </w:r>
      <w:r>
        <w:rPr>
          <w:rFonts w:ascii="Calibri" w:eastAsia="Calibri" w:hAnsi="Calibri" w:cs="Calibri"/>
          <w:sz w:val="22"/>
          <w:szCs w:val="22"/>
        </w:rPr>
        <w:t xml:space="preserve">. Su suspensión en los juzgados aún es minoritaria y muy dispar en función de los territorios. </w:t>
      </w:r>
      <w:r>
        <w:rPr>
          <w:rFonts w:ascii="Calibri" w:eastAsia="Calibri" w:hAnsi="Calibri" w:cs="Calibri"/>
          <w:b/>
          <w:i/>
          <w:sz w:val="22"/>
          <w:szCs w:val="22"/>
        </w:rPr>
        <w:t>Fallas en la debida diligencia</w:t>
      </w:r>
      <w:r>
        <w:rPr>
          <w:rFonts w:ascii="Calibri" w:eastAsia="Calibri" w:hAnsi="Calibri" w:cs="Calibri"/>
          <w:b/>
          <w:sz w:val="22"/>
          <w:szCs w:val="22"/>
        </w:rPr>
        <w:t>:</w:t>
      </w:r>
      <w:r>
        <w:rPr>
          <w:rFonts w:ascii="Calibri" w:eastAsia="Calibri" w:hAnsi="Calibri" w:cs="Calibri"/>
          <w:sz w:val="22"/>
          <w:szCs w:val="22"/>
        </w:rPr>
        <w:t xml:space="preserve"> La</w:t>
      </w:r>
      <w:r>
        <w:rPr>
          <w:rFonts w:ascii="Calibri" w:eastAsia="Calibri" w:hAnsi="Calibri" w:cs="Calibri"/>
          <w:color w:val="9900FF"/>
          <w:sz w:val="22"/>
          <w:szCs w:val="22"/>
        </w:rPr>
        <w:t xml:space="preserve"> </w:t>
      </w:r>
      <w:hyperlink r:id="rId24">
        <w:r>
          <w:rPr>
            <w:rFonts w:ascii="Calibri" w:eastAsia="Calibri" w:hAnsi="Calibri" w:cs="Calibri"/>
            <w:color w:val="1155CC"/>
            <w:sz w:val="22"/>
            <w:szCs w:val="22"/>
            <w:u w:val="single"/>
          </w:rPr>
          <w:t>Delegada contra la violencia de género reconoce errores de coordinación</w:t>
        </w:r>
      </w:hyperlink>
      <w:r>
        <w:rPr>
          <w:rFonts w:ascii="Calibri" w:eastAsia="Calibri" w:hAnsi="Calibri" w:cs="Calibri"/>
          <w:color w:val="9900FF"/>
          <w:sz w:val="22"/>
          <w:szCs w:val="22"/>
        </w:rPr>
        <w:t xml:space="preserve"> </w:t>
      </w:r>
      <w:r>
        <w:rPr>
          <w:rFonts w:ascii="Calibri" w:eastAsia="Calibri" w:hAnsi="Calibri" w:cs="Calibri"/>
          <w:sz w:val="22"/>
          <w:szCs w:val="22"/>
        </w:rPr>
        <w:t>estructurales en lo judicial que acabó con el asesinato de un menor de 11 años en Sueca, abril 2022.</w:t>
      </w:r>
      <w:r>
        <w:rPr>
          <w:rFonts w:ascii="Calibri" w:eastAsia="Calibri" w:hAnsi="Calibri" w:cs="Calibri"/>
          <w:color w:val="9900FF"/>
          <w:sz w:val="22"/>
          <w:szCs w:val="22"/>
        </w:rPr>
        <w:t xml:space="preserve"> </w:t>
      </w:r>
      <w:r>
        <w:rPr>
          <w:rFonts w:ascii="Calibri" w:eastAsia="Calibri" w:hAnsi="Calibri" w:cs="Calibri"/>
          <w:color w:val="000000"/>
          <w:sz w:val="22"/>
          <w:szCs w:val="22"/>
        </w:rPr>
        <w:t>El Estado español incumple el dictamen del Comité CEDAW en relación a la comunicación nº47/2012</w:t>
      </w:r>
      <w:r>
        <w:rPr>
          <w:rFonts w:ascii="Calibri" w:eastAsia="Calibri" w:hAnsi="Calibri" w:cs="Calibri"/>
          <w:color w:val="800080"/>
          <w:sz w:val="22"/>
          <w:szCs w:val="22"/>
        </w:rPr>
        <w:t xml:space="preserve">, </w:t>
      </w:r>
      <w:r>
        <w:rPr>
          <w:rFonts w:ascii="Calibri" w:eastAsia="Calibri" w:hAnsi="Calibri" w:cs="Calibri"/>
          <w:sz w:val="22"/>
          <w:szCs w:val="22"/>
        </w:rPr>
        <w:t>negándose a investigar e indemnizando</w:t>
      </w:r>
      <w:r>
        <w:rPr>
          <w:rFonts w:ascii="Calibri" w:eastAsia="Calibri" w:hAnsi="Calibri" w:cs="Calibri"/>
          <w:color w:val="800080"/>
          <w:sz w:val="22"/>
          <w:szCs w:val="22"/>
        </w:rPr>
        <w:t xml:space="preserve"> </w:t>
      </w:r>
      <w:r>
        <w:rPr>
          <w:rFonts w:ascii="Calibri" w:eastAsia="Calibri" w:hAnsi="Calibri" w:cs="Calibri"/>
          <w:color w:val="000000"/>
          <w:sz w:val="22"/>
          <w:szCs w:val="22"/>
        </w:rPr>
        <w:t xml:space="preserve">cuando es obligado por </w:t>
      </w:r>
      <w:hyperlink r:id="rId25">
        <w:r>
          <w:rPr>
            <w:rFonts w:ascii="Calibri" w:eastAsia="Calibri" w:hAnsi="Calibri" w:cs="Calibri"/>
            <w:color w:val="000080"/>
            <w:sz w:val="22"/>
            <w:szCs w:val="22"/>
            <w:u w:val="single"/>
          </w:rPr>
          <w:t>el Tribunal Supremo</w:t>
        </w:r>
      </w:hyperlink>
      <w:r>
        <w:rPr>
          <w:rFonts w:ascii="Calibri" w:eastAsia="Calibri" w:hAnsi="Calibri" w:cs="Calibri"/>
          <w:color w:val="000000"/>
          <w:sz w:val="22"/>
          <w:szCs w:val="22"/>
        </w:rPr>
        <w:t xml:space="preserve">. </w:t>
      </w:r>
    </w:p>
    <w:p w:rsidR="00652BAB" w:rsidRDefault="007E6FE4">
      <w:pPr>
        <w:shd w:val="clear" w:color="auto" w:fill="FFFFFF"/>
        <w:spacing w:after="240" w:line="276" w:lineRule="auto"/>
        <w:ind w:left="0" w:right="77" w:hanging="2"/>
        <w:jc w:val="both"/>
        <w:rPr>
          <w:rFonts w:ascii="Calibri" w:eastAsia="Calibri" w:hAnsi="Calibri" w:cs="Calibri"/>
          <w:color w:val="0000FF"/>
          <w:sz w:val="22"/>
          <w:szCs w:val="22"/>
        </w:rPr>
      </w:pPr>
      <w:bookmarkStart w:id="1" w:name="_heading=h.gjdgxs" w:colFirst="0" w:colLast="0"/>
      <w:bookmarkEnd w:id="1"/>
      <w:r>
        <w:rPr>
          <w:rFonts w:ascii="Calibri" w:eastAsia="Calibri" w:hAnsi="Calibri" w:cs="Calibri"/>
          <w:b/>
          <w:color w:val="000000"/>
          <w:sz w:val="22"/>
          <w:szCs w:val="22"/>
        </w:rPr>
        <w:t>Violencia sexual:</w:t>
      </w:r>
      <w:r>
        <w:rPr>
          <w:rFonts w:ascii="Calibri" w:eastAsia="Calibri" w:hAnsi="Calibri" w:cs="Calibri"/>
          <w:color w:val="9900FF"/>
          <w:sz w:val="22"/>
          <w:szCs w:val="22"/>
        </w:rPr>
        <w:t xml:space="preserve"> </w:t>
      </w:r>
      <w:r>
        <w:rPr>
          <w:rFonts w:ascii="Calibri" w:eastAsia="Calibri" w:hAnsi="Calibri" w:cs="Calibri"/>
          <w:sz w:val="22"/>
          <w:szCs w:val="22"/>
        </w:rPr>
        <w:t>Se celebra que la</w:t>
      </w:r>
      <w:r>
        <w:rPr>
          <w:rFonts w:ascii="Calibri" w:eastAsia="Calibri" w:hAnsi="Calibri" w:cs="Calibri"/>
          <w:color w:val="9900FF"/>
          <w:sz w:val="22"/>
          <w:szCs w:val="22"/>
        </w:rPr>
        <w:t xml:space="preserve"> </w:t>
      </w:r>
      <w:hyperlink r:id="rId26">
        <w:r>
          <w:rPr>
            <w:rFonts w:ascii="Calibri" w:eastAsia="Calibri" w:hAnsi="Calibri" w:cs="Calibri"/>
            <w:color w:val="1155CC"/>
            <w:sz w:val="22"/>
            <w:szCs w:val="22"/>
            <w:u w:val="single"/>
          </w:rPr>
          <w:t>Macroencuesta 2019</w:t>
        </w:r>
      </w:hyperlink>
      <w:r>
        <w:rPr>
          <w:rFonts w:ascii="Calibri" w:eastAsia="Calibri" w:hAnsi="Calibri" w:cs="Calibri"/>
          <w:color w:val="9900FF"/>
          <w:sz w:val="22"/>
          <w:szCs w:val="22"/>
        </w:rPr>
        <w:t xml:space="preserve"> </w:t>
      </w:r>
      <w:r>
        <w:rPr>
          <w:rFonts w:ascii="Calibri" w:eastAsia="Calibri" w:hAnsi="Calibri" w:cs="Calibri"/>
          <w:sz w:val="22"/>
          <w:szCs w:val="22"/>
        </w:rPr>
        <w:t xml:space="preserve">incluya el acoso sexual y </w:t>
      </w:r>
      <w:r>
        <w:rPr>
          <w:rFonts w:ascii="Calibri" w:eastAsia="Calibri" w:hAnsi="Calibri" w:cs="Calibri"/>
          <w:i/>
          <w:sz w:val="22"/>
          <w:szCs w:val="22"/>
        </w:rPr>
        <w:t>stalking,</w:t>
      </w:r>
      <w:r>
        <w:rPr>
          <w:rFonts w:ascii="Calibri" w:eastAsia="Calibri" w:hAnsi="Calibri" w:cs="Calibri"/>
          <w:sz w:val="22"/>
          <w:szCs w:val="22"/>
        </w:rPr>
        <w:t xml:space="preserve"> aunque deja fuera la</w:t>
      </w:r>
      <w:r>
        <w:rPr>
          <w:rFonts w:ascii="Calibri" w:eastAsia="Calibri" w:hAnsi="Calibri" w:cs="Calibri"/>
          <w:b/>
          <w:sz w:val="22"/>
          <w:szCs w:val="22"/>
        </w:rPr>
        <w:t xml:space="preserve"> violencia emocional/psicológica</w:t>
      </w:r>
      <w:r>
        <w:rPr>
          <w:rFonts w:ascii="Calibri" w:eastAsia="Calibri" w:hAnsi="Calibri" w:cs="Calibri"/>
          <w:sz w:val="22"/>
          <w:szCs w:val="22"/>
        </w:rPr>
        <w:t>.</w:t>
      </w:r>
      <w:r>
        <w:rPr>
          <w:rFonts w:ascii="Calibri" w:eastAsia="Calibri" w:hAnsi="Calibri" w:cs="Calibri"/>
          <w:b/>
          <w:sz w:val="22"/>
          <w:szCs w:val="22"/>
        </w:rPr>
        <w:t xml:space="preserve"> Una de cada dos mujeres +16 ha sufrido violencia, </w:t>
      </w:r>
      <w:r>
        <w:rPr>
          <w:rFonts w:ascii="Calibri" w:eastAsia="Calibri" w:hAnsi="Calibri" w:cs="Calibri"/>
          <w:sz w:val="22"/>
          <w:szCs w:val="22"/>
        </w:rPr>
        <w:t>con mayor prevalencia entre extranjeras.</w:t>
      </w:r>
      <w:r>
        <w:rPr>
          <w:rFonts w:ascii="Calibri" w:eastAsia="Calibri" w:hAnsi="Calibri" w:cs="Calibri"/>
          <w:color w:val="9900FF"/>
          <w:sz w:val="22"/>
          <w:szCs w:val="22"/>
        </w:rPr>
        <w:t xml:space="preserve"> </w:t>
      </w:r>
      <w:hyperlink r:id="rId27">
        <w:r>
          <w:rPr>
            <w:rFonts w:ascii="Calibri" w:eastAsia="Calibri" w:hAnsi="Calibri" w:cs="Calibri"/>
            <w:color w:val="000080"/>
            <w:sz w:val="22"/>
            <w:szCs w:val="22"/>
            <w:u w:val="single"/>
          </w:rPr>
          <w:t>El 80% de las mujeres con discapacidad sufren violencia y tienen cuatro veces más riesgo de sufrir violencia sexual que el resto de mujeres.</w:t>
        </w:r>
      </w:hyperlink>
      <w:r>
        <w:rPr>
          <w:rFonts w:ascii="Calibri" w:eastAsia="Calibri" w:hAnsi="Calibri" w:cs="Calibri"/>
          <w:color w:val="800080"/>
          <w:sz w:val="22"/>
          <w:szCs w:val="22"/>
        </w:rPr>
        <w:t xml:space="preserve"> </w:t>
      </w:r>
      <w:hyperlink r:id="rId28">
        <w:r>
          <w:rPr>
            <w:rFonts w:ascii="Calibri" w:eastAsia="Calibri" w:hAnsi="Calibri" w:cs="Calibri"/>
            <w:color w:val="1155CC"/>
            <w:sz w:val="22"/>
            <w:szCs w:val="22"/>
            <w:u w:val="single"/>
          </w:rPr>
          <w:t xml:space="preserve">Entre el 10 y el 20% de la población infantil, </w:t>
        </w:r>
      </w:hyperlink>
      <w:hyperlink r:id="rId29">
        <w:r>
          <w:rPr>
            <w:rFonts w:ascii="Calibri" w:eastAsia="Calibri" w:hAnsi="Calibri" w:cs="Calibri"/>
            <w:sz w:val="22"/>
            <w:szCs w:val="22"/>
          </w:rPr>
          <w:t xml:space="preserve">el </w:t>
        </w:r>
      </w:hyperlink>
      <w:hyperlink r:id="rId30">
        <w:r>
          <w:rPr>
            <w:rFonts w:ascii="Calibri" w:eastAsia="Calibri" w:hAnsi="Calibri" w:cs="Calibri"/>
            <w:b/>
            <w:sz w:val="22"/>
            <w:szCs w:val="22"/>
          </w:rPr>
          <w:t xml:space="preserve">78,9% niñas, </w:t>
        </w:r>
      </w:hyperlink>
      <w:hyperlink r:id="rId31">
        <w:r>
          <w:rPr>
            <w:rFonts w:ascii="Calibri" w:eastAsia="Calibri" w:hAnsi="Calibri" w:cs="Calibri"/>
            <w:color w:val="1155CC"/>
            <w:sz w:val="22"/>
            <w:szCs w:val="22"/>
            <w:u w:val="single"/>
          </w:rPr>
          <w:t>ha sufrido abuso sexual</w:t>
        </w:r>
      </w:hyperlink>
      <w:r>
        <w:rPr>
          <w:rFonts w:ascii="Calibri" w:eastAsia="Calibri" w:hAnsi="Calibri" w:cs="Calibri"/>
          <w:color w:val="9900FF"/>
          <w:sz w:val="22"/>
          <w:szCs w:val="22"/>
        </w:rPr>
        <w:t xml:space="preserve"> (</w:t>
      </w:r>
      <w:hyperlink r:id="rId32">
        <w:r>
          <w:rPr>
            <w:rFonts w:ascii="Calibri" w:eastAsia="Calibri" w:hAnsi="Calibri" w:cs="Calibri"/>
            <w:color w:val="0000FF"/>
            <w:sz w:val="22"/>
            <w:szCs w:val="22"/>
            <w:u w:val="single"/>
          </w:rPr>
          <w:t>Save The Children, 2021:3</w:t>
        </w:r>
      </w:hyperlink>
      <w:r>
        <w:rPr>
          <w:rFonts w:ascii="Calibri" w:eastAsia="Calibri" w:hAnsi="Calibri" w:cs="Calibri"/>
          <w:color w:val="9900FF"/>
          <w:sz w:val="22"/>
          <w:szCs w:val="22"/>
        </w:rPr>
        <w:t xml:space="preserve">). </w:t>
      </w:r>
      <w:r>
        <w:rPr>
          <w:rFonts w:ascii="Calibri" w:eastAsia="Calibri" w:hAnsi="Calibri" w:cs="Calibri"/>
          <w:sz w:val="22"/>
          <w:szCs w:val="22"/>
        </w:rPr>
        <w:t>Incre</w:t>
      </w:r>
      <w:r>
        <w:rPr>
          <w:rFonts w:ascii="Calibri" w:eastAsia="Calibri" w:hAnsi="Calibri" w:cs="Calibri"/>
          <w:color w:val="000000"/>
          <w:sz w:val="22"/>
          <w:szCs w:val="22"/>
        </w:rPr>
        <w:t xml:space="preserve">mento del 70% de denuncias por </w:t>
      </w:r>
      <w:r>
        <w:rPr>
          <w:rFonts w:ascii="Calibri" w:eastAsia="Calibri" w:hAnsi="Calibri" w:cs="Calibri"/>
          <w:b/>
          <w:color w:val="000000"/>
          <w:sz w:val="22"/>
          <w:szCs w:val="22"/>
        </w:rPr>
        <w:t xml:space="preserve">violencia sexual </w:t>
      </w:r>
      <w:r>
        <w:rPr>
          <w:rFonts w:ascii="Calibri" w:eastAsia="Calibri" w:hAnsi="Calibri" w:cs="Calibri"/>
          <w:color w:val="000000"/>
          <w:sz w:val="22"/>
          <w:szCs w:val="22"/>
        </w:rPr>
        <w:t>en el periodo 2013-2019, siendo un 85% de las víctimas mujeres en 2018</w:t>
      </w:r>
      <w:r>
        <w:rPr>
          <w:rFonts w:ascii="Calibri" w:eastAsia="Calibri" w:hAnsi="Calibri" w:cs="Calibri"/>
          <w:color w:val="1155CC"/>
          <w:sz w:val="22"/>
          <w:szCs w:val="22"/>
          <w:u w:val="single"/>
        </w:rPr>
        <w:t xml:space="preserve"> (Ministerio del Interior</w:t>
      </w:r>
      <w:r>
        <w:rPr>
          <w:rFonts w:ascii="Calibri" w:eastAsia="Calibri" w:hAnsi="Calibri" w:cs="Calibri"/>
          <w:color w:val="000000"/>
          <w:sz w:val="22"/>
          <w:szCs w:val="22"/>
        </w:rPr>
        <w:t xml:space="preserve">). </w:t>
      </w:r>
      <w:r>
        <w:rPr>
          <w:rFonts w:ascii="Calibri" w:eastAsia="Calibri" w:hAnsi="Calibri" w:cs="Calibri"/>
          <w:sz w:val="22"/>
          <w:szCs w:val="22"/>
        </w:rPr>
        <w:t>Abusos sexuales en y alrededor de centros de menores (</w:t>
      </w:r>
      <w:hyperlink r:id="rId33">
        <w:r>
          <w:rPr>
            <w:rFonts w:ascii="Calibri" w:eastAsia="Calibri" w:hAnsi="Calibri" w:cs="Calibri"/>
            <w:color w:val="1155CC"/>
            <w:sz w:val="22"/>
            <w:szCs w:val="22"/>
            <w:u w:val="single"/>
          </w:rPr>
          <w:t>Baleares</w:t>
        </w:r>
      </w:hyperlink>
      <w:r>
        <w:rPr>
          <w:rFonts w:ascii="Calibri" w:eastAsia="Calibri" w:hAnsi="Calibri" w:cs="Calibri"/>
          <w:color w:val="9900FF"/>
          <w:sz w:val="22"/>
          <w:szCs w:val="22"/>
        </w:rPr>
        <w:t xml:space="preserve"> </w:t>
      </w:r>
      <w:r>
        <w:rPr>
          <w:rFonts w:ascii="Calibri" w:eastAsia="Calibri" w:hAnsi="Calibri" w:cs="Calibri"/>
          <w:sz w:val="22"/>
          <w:szCs w:val="22"/>
        </w:rPr>
        <w:t>y Madrid aunque hay fundadas sospechas de que se trata de una</w:t>
      </w:r>
      <w:r>
        <w:rPr>
          <w:rFonts w:ascii="Calibri" w:eastAsia="Calibri" w:hAnsi="Calibri" w:cs="Calibri"/>
          <w:color w:val="9900FF"/>
          <w:sz w:val="22"/>
          <w:szCs w:val="22"/>
        </w:rPr>
        <w:t xml:space="preserve"> </w:t>
      </w:r>
      <w:hyperlink r:id="rId34">
        <w:r>
          <w:rPr>
            <w:rFonts w:ascii="Calibri" w:eastAsia="Calibri" w:hAnsi="Calibri" w:cs="Calibri"/>
            <w:color w:val="1155CC"/>
            <w:sz w:val="22"/>
            <w:szCs w:val="22"/>
            <w:u w:val="single"/>
          </w:rPr>
          <w:t>realidad que afecta a todos los territorios</w:t>
        </w:r>
      </w:hyperlink>
      <w:r>
        <w:rPr>
          <w:rFonts w:ascii="Calibri" w:eastAsia="Calibri" w:hAnsi="Calibri" w:cs="Calibri"/>
          <w:sz w:val="22"/>
          <w:szCs w:val="22"/>
        </w:rPr>
        <w:t>)</w:t>
      </w:r>
      <w:r>
        <w:rPr>
          <w:rFonts w:ascii="Calibri" w:eastAsia="Calibri" w:hAnsi="Calibri" w:cs="Calibri"/>
          <w:color w:val="9900FF"/>
          <w:sz w:val="22"/>
          <w:szCs w:val="22"/>
        </w:rPr>
        <w:t xml:space="preserve">. </w:t>
      </w:r>
      <w:r>
        <w:rPr>
          <w:rFonts w:ascii="Calibri" w:eastAsia="Calibri" w:hAnsi="Calibri" w:cs="Calibri"/>
          <w:sz w:val="22"/>
          <w:szCs w:val="22"/>
        </w:rPr>
        <w:t>Respecto a la</w:t>
      </w:r>
      <w:r>
        <w:rPr>
          <w:rFonts w:ascii="Calibri" w:eastAsia="Calibri" w:hAnsi="Calibri" w:cs="Calibri"/>
          <w:b/>
          <w:color w:val="9900FF"/>
          <w:sz w:val="22"/>
          <w:szCs w:val="22"/>
        </w:rPr>
        <w:t xml:space="preserve"> </w:t>
      </w:r>
      <w:hyperlink r:id="rId35">
        <w:r>
          <w:rPr>
            <w:rFonts w:ascii="Calibri" w:eastAsia="Calibri" w:hAnsi="Calibri" w:cs="Calibri"/>
            <w:b/>
            <w:color w:val="000080"/>
            <w:sz w:val="22"/>
            <w:szCs w:val="22"/>
            <w:u w:val="single"/>
          </w:rPr>
          <w:t>ciberviolencia</w:t>
        </w:r>
      </w:hyperlink>
      <w:r>
        <w:rPr>
          <w:rFonts w:ascii="Calibri" w:eastAsia="Calibri" w:hAnsi="Calibri" w:cs="Calibri"/>
          <w:b/>
          <w:sz w:val="22"/>
          <w:szCs w:val="22"/>
        </w:rPr>
        <w:t>,</w:t>
      </w:r>
      <w:r>
        <w:rPr>
          <w:rFonts w:ascii="Calibri" w:eastAsia="Calibri" w:hAnsi="Calibri" w:cs="Calibri"/>
          <w:sz w:val="22"/>
          <w:szCs w:val="22"/>
        </w:rPr>
        <w:t xml:space="preserve"> durante 2019 se produjeron 3.243 victimizaciones de menores (32,56% delitos sexuales). </w:t>
      </w:r>
      <w:r>
        <w:rPr>
          <w:rFonts w:ascii="Calibri" w:eastAsia="Calibri" w:hAnsi="Calibri" w:cs="Calibri"/>
          <w:b/>
          <w:sz w:val="22"/>
          <w:szCs w:val="22"/>
        </w:rPr>
        <w:t>Alta</w:t>
      </w:r>
      <w:r>
        <w:rPr>
          <w:rFonts w:ascii="Calibri" w:eastAsia="Calibri" w:hAnsi="Calibri" w:cs="Calibri"/>
          <w:b/>
          <w:color w:val="9900FF"/>
          <w:sz w:val="22"/>
          <w:szCs w:val="22"/>
        </w:rPr>
        <w:t xml:space="preserve"> </w:t>
      </w:r>
      <w:r>
        <w:rPr>
          <w:rFonts w:ascii="Calibri" w:eastAsia="Calibri" w:hAnsi="Calibri" w:cs="Calibri"/>
          <w:b/>
          <w:color w:val="000000"/>
          <w:sz w:val="22"/>
          <w:szCs w:val="22"/>
        </w:rPr>
        <w:t>impunidad</w:t>
      </w:r>
      <w:r>
        <w:rPr>
          <w:rFonts w:ascii="Calibri" w:eastAsia="Calibri" w:hAnsi="Calibri" w:cs="Calibri"/>
          <w:color w:val="000000"/>
          <w:sz w:val="22"/>
          <w:szCs w:val="22"/>
        </w:rPr>
        <w:t xml:space="preserve"> de los delitos sexuales: En 2018, solo un 29% de los detenidos fueron condenados (</w:t>
      </w:r>
      <w:r>
        <w:rPr>
          <w:rFonts w:ascii="Calibri" w:eastAsia="Calibri" w:hAnsi="Calibri" w:cs="Calibri"/>
          <w:color w:val="1155CC"/>
          <w:sz w:val="22"/>
          <w:szCs w:val="22"/>
          <w:u w:val="single"/>
        </w:rPr>
        <w:t>INE</w:t>
      </w:r>
      <w:r>
        <w:rPr>
          <w:rFonts w:ascii="Calibri" w:eastAsia="Calibri" w:hAnsi="Calibri" w:cs="Calibri"/>
          <w:color w:val="000000"/>
          <w:sz w:val="22"/>
          <w:szCs w:val="22"/>
        </w:rPr>
        <w:t xml:space="preserve">); un 84% de las </w:t>
      </w:r>
      <w:r>
        <w:rPr>
          <w:rFonts w:ascii="Calibri" w:eastAsia="Calibri" w:hAnsi="Calibri" w:cs="Calibri"/>
          <w:color w:val="1155CC"/>
          <w:sz w:val="22"/>
          <w:szCs w:val="22"/>
          <w:u w:val="single"/>
        </w:rPr>
        <w:t xml:space="preserve">Diligencias Previas </w:t>
      </w:r>
      <w:r>
        <w:rPr>
          <w:rFonts w:ascii="Calibri" w:eastAsia="Calibri" w:hAnsi="Calibri" w:cs="Calibri"/>
          <w:color w:val="000000"/>
          <w:sz w:val="22"/>
          <w:szCs w:val="22"/>
        </w:rPr>
        <w:t xml:space="preserve">no se resuelven (Fiscalía General del Estado), altas cifras de archivos. </w:t>
      </w:r>
      <w:r>
        <w:rPr>
          <w:rFonts w:ascii="Calibri" w:eastAsia="Calibri" w:hAnsi="Calibri" w:cs="Calibri"/>
          <w:b/>
          <w:sz w:val="22"/>
          <w:szCs w:val="22"/>
        </w:rPr>
        <w:t>Faltan Centros Especializados</w:t>
      </w:r>
      <w:r>
        <w:rPr>
          <w:rFonts w:ascii="Calibri" w:eastAsia="Calibri" w:hAnsi="Calibri" w:cs="Calibri"/>
          <w:sz w:val="22"/>
          <w:szCs w:val="22"/>
        </w:rPr>
        <w:t xml:space="preserve"> para atender a las víctimas de agresión sexual y violación abiertos las 24h/365 días,</w:t>
      </w:r>
      <w:r>
        <w:rPr>
          <w:rFonts w:ascii="Calibri" w:eastAsia="Calibri" w:hAnsi="Calibri" w:cs="Calibri"/>
          <w:color w:val="000000"/>
          <w:sz w:val="22"/>
          <w:szCs w:val="22"/>
        </w:rPr>
        <w:t xml:space="preserve"> sólo la mitad de las CCAA tienen centros especializados y no se garantiza atención por igual ni siquiera en una misma provincia </w:t>
      </w:r>
      <w:hyperlink r:id="rId36">
        <w:r>
          <w:rPr>
            <w:rFonts w:ascii="Calibri" w:eastAsia="Calibri" w:hAnsi="Calibri" w:cs="Calibri"/>
            <w:color w:val="103CC0"/>
            <w:sz w:val="22"/>
            <w:szCs w:val="22"/>
            <w:u w:val="single"/>
          </w:rPr>
          <w:t>desprotegiendo a las víctimas</w:t>
        </w:r>
      </w:hyperlink>
      <w:r>
        <w:rPr>
          <w:rFonts w:ascii="Calibri" w:eastAsia="Calibri" w:hAnsi="Calibri" w:cs="Calibri"/>
          <w:color w:val="000000"/>
          <w:sz w:val="22"/>
          <w:szCs w:val="22"/>
        </w:rPr>
        <w:t xml:space="preserve">, especialmente con discapacidad y rurales. </w:t>
      </w:r>
      <w:r>
        <w:rPr>
          <w:rFonts w:ascii="Calibri" w:eastAsia="Calibri" w:hAnsi="Calibri" w:cs="Calibri"/>
          <w:sz w:val="22"/>
          <w:szCs w:val="22"/>
        </w:rPr>
        <w:t xml:space="preserve">Respecto a la violencia y acoso sexual en </w:t>
      </w:r>
      <w:r>
        <w:rPr>
          <w:rFonts w:ascii="Calibri" w:eastAsia="Calibri" w:hAnsi="Calibri" w:cs="Calibri"/>
          <w:b/>
          <w:sz w:val="22"/>
          <w:szCs w:val="22"/>
        </w:rPr>
        <w:t>empresas</w:t>
      </w:r>
      <w:r>
        <w:rPr>
          <w:rFonts w:ascii="Calibri" w:eastAsia="Calibri" w:hAnsi="Calibri" w:cs="Calibri"/>
          <w:sz w:val="22"/>
          <w:szCs w:val="22"/>
        </w:rPr>
        <w:t>, se tiende a ignorar o culpar a la víctima (hasta el suicidio, caso</w:t>
      </w:r>
      <w:r w:rsidR="00DA4C55">
        <w:rPr>
          <w:rFonts w:ascii="Calibri" w:eastAsia="Calibri" w:hAnsi="Calibri" w:cs="Calibri"/>
          <w:sz w:val="22"/>
          <w:szCs w:val="22"/>
        </w:rPr>
        <w:t xml:space="preserve"> V.R. 2019)</w:t>
      </w:r>
      <w:r>
        <w:rPr>
          <w:rFonts w:ascii="Calibri" w:eastAsia="Calibri" w:hAnsi="Calibri" w:cs="Calibri"/>
          <w:color w:val="9900FF"/>
          <w:sz w:val="22"/>
          <w:szCs w:val="22"/>
        </w:rPr>
        <w:t xml:space="preserve"> </w:t>
      </w:r>
      <w:r>
        <w:rPr>
          <w:rFonts w:ascii="Calibri" w:eastAsia="Calibri" w:hAnsi="Calibri" w:cs="Calibri"/>
          <w:sz w:val="22"/>
          <w:szCs w:val="22"/>
        </w:rPr>
        <w:t xml:space="preserve">a pesar de que </w:t>
      </w:r>
      <w:r>
        <w:rPr>
          <w:rFonts w:ascii="Calibri" w:eastAsia="Calibri" w:hAnsi="Calibri" w:cs="Calibri"/>
          <w:b/>
          <w:sz w:val="22"/>
          <w:szCs w:val="22"/>
        </w:rPr>
        <w:t>todas están obligadas a contar con un protocolo contra el acoso sexual</w:t>
      </w:r>
      <w:r>
        <w:rPr>
          <w:rFonts w:ascii="Calibri" w:eastAsia="Calibri" w:hAnsi="Calibri" w:cs="Calibri"/>
          <w:sz w:val="22"/>
          <w:szCs w:val="22"/>
        </w:rPr>
        <w:t xml:space="preserve">. Respecto a las </w:t>
      </w:r>
      <w:r>
        <w:rPr>
          <w:rFonts w:ascii="Calibri" w:eastAsia="Calibri" w:hAnsi="Calibri" w:cs="Calibri"/>
          <w:b/>
          <w:sz w:val="22"/>
          <w:szCs w:val="22"/>
        </w:rPr>
        <w:t>mujeres privadas de libertad</w:t>
      </w:r>
      <w:r>
        <w:rPr>
          <w:rFonts w:ascii="Calibri" w:eastAsia="Calibri" w:hAnsi="Calibri" w:cs="Calibri"/>
          <w:sz w:val="22"/>
          <w:szCs w:val="22"/>
        </w:rPr>
        <w:t xml:space="preserve"> no se incluye evaluación de la historia de violencia de género en los protocolos y entrevistas psicosocial y sanitarias</w:t>
      </w:r>
      <w:r>
        <w:rPr>
          <w:rFonts w:ascii="Calibri" w:eastAsia="Calibri" w:hAnsi="Calibri" w:cs="Calibri"/>
          <w:color w:val="0000FF"/>
          <w:sz w:val="22"/>
          <w:szCs w:val="22"/>
        </w:rPr>
        <w:t xml:space="preserve"> (</w:t>
      </w:r>
      <w:hyperlink r:id="rId37">
        <w:r>
          <w:rPr>
            <w:rFonts w:ascii="Calibri" w:eastAsia="Calibri" w:hAnsi="Calibri" w:cs="Calibri"/>
            <w:color w:val="000080"/>
            <w:sz w:val="22"/>
            <w:szCs w:val="22"/>
            <w:u w:val="single"/>
          </w:rPr>
          <w:t>Defensor del Pueblo, 2020</w:t>
        </w:r>
      </w:hyperlink>
      <w:r>
        <w:rPr>
          <w:rFonts w:ascii="Calibri" w:eastAsia="Calibri" w:hAnsi="Calibri" w:cs="Calibri"/>
          <w:color w:val="0000FF"/>
          <w:sz w:val="22"/>
          <w:szCs w:val="22"/>
        </w:rPr>
        <w:t xml:space="preserve">). </w:t>
      </w:r>
    </w:p>
    <w:p w:rsidR="00652BAB" w:rsidRDefault="007E6FE4">
      <w:pPr>
        <w:shd w:val="clear" w:color="auto" w:fill="FFFFFF"/>
        <w:spacing w:after="240" w:line="276" w:lineRule="auto"/>
        <w:ind w:left="0" w:right="77" w:hanging="2"/>
        <w:jc w:val="both"/>
        <w:rPr>
          <w:rFonts w:ascii="Calibri" w:eastAsia="Calibri" w:hAnsi="Calibri" w:cs="Calibri"/>
          <w:color w:val="713B7A"/>
          <w:sz w:val="24"/>
          <w:szCs w:val="24"/>
        </w:rPr>
      </w:pPr>
      <w:r>
        <w:rPr>
          <w:rFonts w:ascii="Calibri" w:eastAsia="Calibri" w:hAnsi="Calibri" w:cs="Calibri"/>
          <w:b/>
          <w:color w:val="713B7A"/>
          <w:sz w:val="24"/>
          <w:szCs w:val="24"/>
        </w:rPr>
        <w:t>Preocupa:</w:t>
      </w:r>
    </w:p>
    <w:p w:rsidR="00652BAB" w:rsidRDefault="007E6FE4">
      <w:pPr>
        <w:numPr>
          <w:ilvl w:val="0"/>
          <w:numId w:val="1"/>
        </w:numPr>
        <w:shd w:val="clear" w:color="auto" w:fill="FFFFFF"/>
        <w:spacing w:after="120" w:line="276" w:lineRule="auto"/>
        <w:ind w:right="77" w:hanging="2"/>
        <w:jc w:val="both"/>
        <w:rPr>
          <w:rFonts w:ascii="Calibri" w:eastAsia="Calibri" w:hAnsi="Calibri" w:cs="Calibri"/>
          <w:color w:val="9900FF"/>
          <w:sz w:val="22"/>
          <w:szCs w:val="22"/>
        </w:rPr>
      </w:pPr>
      <w:r>
        <w:rPr>
          <w:rFonts w:ascii="Calibri" w:eastAsia="Calibri" w:hAnsi="Calibri" w:cs="Calibri"/>
          <w:sz w:val="22"/>
          <w:szCs w:val="22"/>
        </w:rPr>
        <w:t xml:space="preserve">Normalización de </w:t>
      </w:r>
      <w:r>
        <w:rPr>
          <w:rFonts w:ascii="Calibri" w:eastAsia="Calibri" w:hAnsi="Calibri" w:cs="Calibri"/>
          <w:b/>
          <w:sz w:val="22"/>
          <w:szCs w:val="22"/>
        </w:rPr>
        <w:t>discursos negacionistas</w:t>
      </w:r>
      <w:r>
        <w:rPr>
          <w:rFonts w:ascii="Calibri" w:eastAsia="Calibri" w:hAnsi="Calibri" w:cs="Calibri"/>
          <w:sz w:val="22"/>
          <w:szCs w:val="22"/>
        </w:rPr>
        <w:t xml:space="preserve"> en medios de comunicación y parlamentos (</w:t>
      </w:r>
      <w:r w:rsidR="00456709">
        <w:rPr>
          <w:rFonts w:ascii="Calibri" w:eastAsia="Calibri" w:hAnsi="Calibri" w:cs="Calibri"/>
          <w:sz w:val="22"/>
          <w:szCs w:val="22"/>
        </w:rPr>
        <w:t>F.S. VOX</w:t>
      </w:r>
      <w:r>
        <w:rPr>
          <w:rFonts w:ascii="Calibri" w:eastAsia="Calibri" w:hAnsi="Calibri" w:cs="Calibri"/>
          <w:sz w:val="22"/>
          <w:szCs w:val="22"/>
        </w:rPr>
        <w:t xml:space="preserve">) que impactan en discursos sociales. </w:t>
      </w:r>
      <w:r>
        <w:rPr>
          <w:rFonts w:ascii="Calibri" w:eastAsia="Calibri" w:hAnsi="Calibri" w:cs="Calibri"/>
          <w:b/>
          <w:sz w:val="22"/>
          <w:szCs w:val="22"/>
        </w:rPr>
        <w:t>Creciente negación de la VdG entre jóvenes</w:t>
      </w:r>
      <w:r>
        <w:rPr>
          <w:rFonts w:ascii="Calibri" w:eastAsia="Calibri" w:hAnsi="Calibri" w:cs="Calibri"/>
          <w:sz w:val="22"/>
          <w:szCs w:val="22"/>
        </w:rPr>
        <w:t>: 1 de cada 5 adolescentes y jóvenes varones</w:t>
      </w:r>
      <w:r>
        <w:rPr>
          <w:rFonts w:ascii="Calibri" w:eastAsia="Calibri" w:hAnsi="Calibri" w:cs="Calibri"/>
          <w:b/>
          <w:sz w:val="22"/>
          <w:szCs w:val="22"/>
        </w:rPr>
        <w:t xml:space="preserve"> </w:t>
      </w:r>
      <w:r>
        <w:rPr>
          <w:rFonts w:ascii="Calibri" w:eastAsia="Calibri" w:hAnsi="Calibri" w:cs="Calibri"/>
          <w:sz w:val="22"/>
          <w:szCs w:val="22"/>
        </w:rPr>
        <w:t>(15- 29 años) cree que la violencia de género no existe y que es un "invento ideológico", doblando datos de 2017 (</w:t>
      </w:r>
      <w:hyperlink r:id="rId38">
        <w:r>
          <w:rPr>
            <w:rFonts w:ascii="Calibri" w:eastAsia="Calibri" w:hAnsi="Calibri" w:cs="Calibri"/>
            <w:color w:val="1155CC"/>
            <w:sz w:val="22"/>
            <w:szCs w:val="22"/>
            <w:u w:val="single"/>
          </w:rPr>
          <w:t>Barómetro Juventud y Género 2021</w:t>
        </w:r>
      </w:hyperlink>
      <w:r>
        <w:rPr>
          <w:rFonts w:ascii="Calibri" w:eastAsia="Calibri" w:hAnsi="Calibri" w:cs="Calibri"/>
          <w:sz w:val="22"/>
          <w:szCs w:val="22"/>
        </w:rPr>
        <w:t>).</w:t>
      </w:r>
    </w:p>
    <w:p w:rsidR="00652BAB" w:rsidRDefault="007E6FE4">
      <w:pPr>
        <w:numPr>
          <w:ilvl w:val="0"/>
          <w:numId w:val="1"/>
        </w:numPr>
        <w:shd w:val="clear" w:color="auto" w:fill="FFFFFF"/>
        <w:spacing w:after="120" w:line="276" w:lineRule="auto"/>
        <w:ind w:right="77" w:hanging="2"/>
        <w:jc w:val="both"/>
        <w:rPr>
          <w:rFonts w:ascii="Calibri" w:eastAsia="Calibri" w:hAnsi="Calibri" w:cs="Calibri"/>
          <w:color w:val="9900FF"/>
          <w:sz w:val="22"/>
          <w:szCs w:val="22"/>
        </w:rPr>
      </w:pPr>
      <w:r>
        <w:rPr>
          <w:rFonts w:ascii="Calibri" w:eastAsia="Calibri" w:hAnsi="Calibri" w:cs="Calibri"/>
          <w:sz w:val="22"/>
          <w:szCs w:val="22"/>
        </w:rPr>
        <w:lastRenderedPageBreak/>
        <w:t xml:space="preserve">Incremento de </w:t>
      </w:r>
      <w:r>
        <w:rPr>
          <w:rFonts w:ascii="Calibri" w:eastAsia="Calibri" w:hAnsi="Calibri" w:cs="Calibri"/>
          <w:b/>
          <w:sz w:val="22"/>
          <w:szCs w:val="22"/>
        </w:rPr>
        <w:t xml:space="preserve">violencia sexual entre jóvenes: </w:t>
      </w:r>
      <w:r>
        <w:rPr>
          <w:rFonts w:ascii="Calibri" w:eastAsia="Calibri" w:hAnsi="Calibri" w:cs="Calibri"/>
          <w:sz w:val="22"/>
          <w:szCs w:val="22"/>
        </w:rPr>
        <w:t>Entre enero-marzo 2021</w:t>
      </w:r>
      <w:r>
        <w:rPr>
          <w:rFonts w:ascii="Calibri" w:eastAsia="Calibri" w:hAnsi="Calibri" w:cs="Calibri"/>
          <w:color w:val="9900FF"/>
          <w:sz w:val="22"/>
          <w:szCs w:val="22"/>
        </w:rPr>
        <w:t xml:space="preserve"> </w:t>
      </w:r>
      <w:hyperlink r:id="rId39">
        <w:r>
          <w:rPr>
            <w:rFonts w:ascii="Calibri" w:eastAsia="Calibri" w:hAnsi="Calibri" w:cs="Calibri"/>
            <w:color w:val="1155CC"/>
            <w:sz w:val="22"/>
            <w:szCs w:val="22"/>
            <w:u w:val="single"/>
          </w:rPr>
          <w:t>la mitad de víctimas en Cataluña eran menores</w:t>
        </w:r>
      </w:hyperlink>
      <w:r>
        <w:rPr>
          <w:rFonts w:ascii="Calibri" w:eastAsia="Calibri" w:hAnsi="Calibri" w:cs="Calibri"/>
          <w:color w:val="9900FF"/>
          <w:sz w:val="22"/>
          <w:szCs w:val="22"/>
        </w:rPr>
        <w:t>.</w:t>
      </w:r>
    </w:p>
    <w:p w:rsidR="00652BAB" w:rsidRDefault="007E6FE4">
      <w:pPr>
        <w:numPr>
          <w:ilvl w:val="0"/>
          <w:numId w:val="1"/>
        </w:numPr>
        <w:shd w:val="clear" w:color="auto" w:fill="FFFFFF"/>
        <w:spacing w:after="120" w:line="276" w:lineRule="auto"/>
        <w:ind w:right="77" w:hanging="2"/>
        <w:jc w:val="both"/>
        <w:rPr>
          <w:rFonts w:ascii="Calibri" w:eastAsia="Calibri" w:hAnsi="Calibri" w:cs="Calibri"/>
          <w:color w:val="9900FF"/>
          <w:sz w:val="22"/>
          <w:szCs w:val="22"/>
        </w:rPr>
      </w:pPr>
      <w:r>
        <w:rPr>
          <w:rFonts w:ascii="Calibri" w:eastAsia="Calibri" w:hAnsi="Calibri" w:cs="Calibri"/>
          <w:sz w:val="22"/>
          <w:szCs w:val="22"/>
        </w:rPr>
        <w:t xml:space="preserve">Creciente </w:t>
      </w:r>
      <w:r>
        <w:rPr>
          <w:rFonts w:ascii="Calibri" w:eastAsia="Calibri" w:hAnsi="Calibri" w:cs="Calibri"/>
          <w:b/>
          <w:sz w:val="22"/>
          <w:szCs w:val="22"/>
        </w:rPr>
        <w:t xml:space="preserve">uso de </w:t>
      </w:r>
      <w:r>
        <w:rPr>
          <w:rFonts w:ascii="Calibri" w:eastAsia="Calibri" w:hAnsi="Calibri" w:cs="Calibri"/>
          <w:sz w:val="22"/>
          <w:szCs w:val="22"/>
        </w:rPr>
        <w:t xml:space="preserve">sumisión química (1 de cada 3) y </w:t>
      </w:r>
      <w:r>
        <w:rPr>
          <w:rFonts w:ascii="Calibri" w:eastAsia="Calibri" w:hAnsi="Calibri" w:cs="Calibri"/>
          <w:b/>
          <w:sz w:val="22"/>
          <w:szCs w:val="22"/>
        </w:rPr>
        <w:t>agresiones sexuales en grupo</w:t>
      </w:r>
      <w:r>
        <w:rPr>
          <w:rFonts w:ascii="Calibri" w:eastAsia="Calibri" w:hAnsi="Calibri" w:cs="Calibri"/>
          <w:sz w:val="22"/>
          <w:szCs w:val="22"/>
        </w:rPr>
        <w:t xml:space="preserve"> (el doble de 2019)</w:t>
      </w:r>
      <w:r>
        <w:rPr>
          <w:rFonts w:ascii="Calibri" w:eastAsia="Calibri" w:hAnsi="Calibri" w:cs="Calibri"/>
          <w:b/>
          <w:sz w:val="22"/>
          <w:szCs w:val="22"/>
        </w:rPr>
        <w:t xml:space="preserve"> y falta de recursos </w:t>
      </w:r>
      <w:r>
        <w:rPr>
          <w:rFonts w:ascii="Calibri" w:eastAsia="Calibri" w:hAnsi="Calibri" w:cs="Calibri"/>
          <w:sz w:val="22"/>
          <w:szCs w:val="22"/>
        </w:rPr>
        <w:t>tal como</w:t>
      </w:r>
      <w:r>
        <w:rPr>
          <w:rFonts w:ascii="Calibri" w:eastAsia="Calibri" w:hAnsi="Calibri" w:cs="Calibri"/>
          <w:color w:val="9900FF"/>
          <w:sz w:val="22"/>
          <w:szCs w:val="22"/>
        </w:rPr>
        <w:t xml:space="preserve"> </w:t>
      </w:r>
      <w:hyperlink r:id="rId40">
        <w:r>
          <w:rPr>
            <w:rFonts w:ascii="Calibri" w:eastAsia="Calibri" w:hAnsi="Calibri" w:cs="Calibri"/>
            <w:color w:val="1155CC"/>
            <w:sz w:val="22"/>
            <w:szCs w:val="22"/>
            <w:u w:val="single"/>
          </w:rPr>
          <w:t>denuncia el Hospital Clínic de Barcelona</w:t>
        </w:r>
      </w:hyperlink>
      <w:r>
        <w:rPr>
          <w:rFonts w:ascii="Calibri" w:eastAsia="Calibri" w:hAnsi="Calibri" w:cs="Calibri"/>
          <w:color w:val="9900FF"/>
          <w:sz w:val="22"/>
          <w:szCs w:val="22"/>
        </w:rPr>
        <w:t xml:space="preserve">. </w:t>
      </w:r>
    </w:p>
    <w:p w:rsidR="00652BAB" w:rsidRDefault="007E6FE4">
      <w:pPr>
        <w:numPr>
          <w:ilvl w:val="0"/>
          <w:numId w:val="1"/>
        </w:numPr>
        <w:shd w:val="clear" w:color="auto" w:fill="FFFFFF"/>
        <w:spacing w:after="120" w:line="276" w:lineRule="auto"/>
        <w:ind w:right="77" w:hanging="2"/>
        <w:jc w:val="both"/>
        <w:rPr>
          <w:rFonts w:ascii="Calibri" w:eastAsia="Calibri" w:hAnsi="Calibri" w:cs="Calibri"/>
          <w:color w:val="9900FF"/>
          <w:sz w:val="22"/>
          <w:szCs w:val="22"/>
        </w:rPr>
      </w:pPr>
      <w:r>
        <w:rPr>
          <w:rFonts w:ascii="Calibri" w:eastAsia="Calibri" w:hAnsi="Calibri" w:cs="Calibri"/>
          <w:sz w:val="22"/>
          <w:szCs w:val="22"/>
        </w:rPr>
        <w:t xml:space="preserve">Incremento </w:t>
      </w:r>
      <w:r>
        <w:rPr>
          <w:rFonts w:ascii="Calibri" w:eastAsia="Calibri" w:hAnsi="Calibri" w:cs="Calibri"/>
          <w:b/>
          <w:sz w:val="22"/>
          <w:szCs w:val="22"/>
        </w:rPr>
        <w:t>violencia vicaria</w:t>
      </w:r>
      <w:r>
        <w:rPr>
          <w:rFonts w:ascii="Calibri" w:eastAsia="Calibri" w:hAnsi="Calibri" w:cs="Calibri"/>
          <w:sz w:val="22"/>
          <w:szCs w:val="22"/>
        </w:rPr>
        <w:t>: 3 en 2020 y 7 en 2021 (</w:t>
      </w:r>
      <w:r>
        <w:rPr>
          <w:rFonts w:ascii="Calibri" w:eastAsia="Calibri" w:hAnsi="Calibri" w:cs="Calibri"/>
          <w:color w:val="000000"/>
          <w:sz w:val="22"/>
          <w:szCs w:val="22"/>
          <w:highlight w:val="white"/>
        </w:rPr>
        <w:t>en el 57% de los casos existían denuncias previas</w:t>
      </w:r>
      <w:r>
        <w:rPr>
          <w:rFonts w:ascii="Calibri" w:eastAsia="Calibri" w:hAnsi="Calibri" w:cs="Calibri"/>
          <w:sz w:val="22"/>
          <w:szCs w:val="22"/>
        </w:rPr>
        <w:t>).</w:t>
      </w:r>
    </w:p>
    <w:p w:rsidR="00652BAB" w:rsidRDefault="007E6FE4">
      <w:pPr>
        <w:numPr>
          <w:ilvl w:val="0"/>
          <w:numId w:val="1"/>
        </w:numPr>
        <w:shd w:val="clear" w:color="auto" w:fill="FFFFFF"/>
        <w:spacing w:after="120" w:line="276" w:lineRule="auto"/>
        <w:ind w:right="77" w:hanging="2"/>
        <w:jc w:val="both"/>
        <w:rPr>
          <w:rFonts w:ascii="Calibri" w:eastAsia="Calibri" w:hAnsi="Calibri" w:cs="Calibri"/>
          <w:color w:val="9900FF"/>
          <w:sz w:val="22"/>
          <w:szCs w:val="22"/>
        </w:rPr>
      </w:pPr>
      <w:r>
        <w:rPr>
          <w:rFonts w:ascii="Calibri" w:eastAsia="Calibri" w:hAnsi="Calibri" w:cs="Calibri"/>
          <w:b/>
          <w:sz w:val="22"/>
          <w:szCs w:val="22"/>
        </w:rPr>
        <w:t>Bajo número de denuncias</w:t>
      </w:r>
      <w:r>
        <w:rPr>
          <w:rFonts w:ascii="Calibri" w:eastAsia="Calibri" w:hAnsi="Calibri" w:cs="Calibri"/>
          <w:sz w:val="22"/>
          <w:szCs w:val="22"/>
        </w:rPr>
        <w:t>:</w:t>
      </w:r>
      <w:r>
        <w:rPr>
          <w:rFonts w:ascii="Calibri" w:eastAsia="Calibri" w:hAnsi="Calibri" w:cs="Calibri"/>
          <w:color w:val="9900FF"/>
          <w:sz w:val="22"/>
          <w:szCs w:val="22"/>
        </w:rPr>
        <w:t xml:space="preserve"> </w:t>
      </w:r>
      <w:hyperlink r:id="rId41">
        <w:r>
          <w:rPr>
            <w:rFonts w:ascii="Calibri" w:eastAsia="Calibri" w:hAnsi="Calibri" w:cs="Calibri"/>
            <w:color w:val="1155CC"/>
            <w:sz w:val="22"/>
            <w:szCs w:val="22"/>
            <w:u w:val="single"/>
          </w:rPr>
          <w:t>sólo 9 de las 43 asesinadas en 2021 habían interpuesto denuncia contra su agresor</w:t>
        </w:r>
      </w:hyperlink>
      <w:r>
        <w:rPr>
          <w:rFonts w:ascii="Calibri" w:eastAsia="Calibri" w:hAnsi="Calibri" w:cs="Calibri"/>
          <w:color w:val="9900FF"/>
          <w:sz w:val="22"/>
          <w:szCs w:val="22"/>
        </w:rPr>
        <w:t>.</w:t>
      </w:r>
    </w:p>
    <w:p w:rsidR="00652BAB" w:rsidRDefault="007E6FE4">
      <w:pPr>
        <w:numPr>
          <w:ilvl w:val="0"/>
          <w:numId w:val="1"/>
        </w:numPr>
        <w:shd w:val="clear" w:color="auto" w:fill="FFFFFF"/>
        <w:spacing w:after="120" w:line="276" w:lineRule="auto"/>
        <w:ind w:right="77" w:hanging="2"/>
        <w:jc w:val="both"/>
        <w:rPr>
          <w:rFonts w:ascii="Calibri" w:eastAsia="Calibri" w:hAnsi="Calibri" w:cs="Calibri"/>
          <w:sz w:val="22"/>
          <w:szCs w:val="22"/>
        </w:rPr>
      </w:pPr>
      <w:r>
        <w:rPr>
          <w:rFonts w:ascii="Calibri" w:eastAsia="Calibri" w:hAnsi="Calibri" w:cs="Calibri"/>
          <w:sz w:val="22"/>
          <w:szCs w:val="22"/>
        </w:rPr>
        <w:t>La posibilidad legal de que condenados por VdG puedan ejercer como abogados de oficio en VdG.</w:t>
      </w:r>
    </w:p>
    <w:p w:rsidR="00652BAB" w:rsidRDefault="007E6FE4">
      <w:pPr>
        <w:numPr>
          <w:ilvl w:val="0"/>
          <w:numId w:val="1"/>
        </w:numPr>
        <w:shd w:val="clear" w:color="auto" w:fill="FFFFFF"/>
        <w:spacing w:after="120" w:line="276" w:lineRule="auto"/>
        <w:ind w:right="77" w:hanging="2"/>
        <w:jc w:val="both"/>
        <w:rPr>
          <w:rFonts w:ascii="Calibri" w:eastAsia="Calibri" w:hAnsi="Calibri" w:cs="Calibri"/>
          <w:sz w:val="22"/>
          <w:szCs w:val="22"/>
        </w:rPr>
      </w:pPr>
      <w:r>
        <w:rPr>
          <w:rFonts w:ascii="Calibri" w:eastAsia="Calibri" w:hAnsi="Calibri" w:cs="Calibri"/>
          <w:sz w:val="22"/>
          <w:szCs w:val="22"/>
        </w:rPr>
        <w:t>Ataques en RRSS, espacios académicos y manifestaciones 8M por transactivistas, apoyadas por representantes institucionales.</w:t>
      </w:r>
    </w:p>
    <w:p w:rsidR="00652BAB" w:rsidRDefault="007E6FE4">
      <w:pPr>
        <w:shd w:val="clear" w:color="auto" w:fill="FFFFFF"/>
        <w:ind w:left="0" w:right="1792" w:hanging="2"/>
        <w:rPr>
          <w:rFonts w:ascii="Calibri" w:eastAsia="Calibri" w:hAnsi="Calibri" w:cs="Calibri"/>
          <w:color w:val="000000"/>
          <w:sz w:val="18"/>
          <w:szCs w:val="18"/>
        </w:rPr>
      </w:pPr>
      <w:r>
        <w:rPr>
          <w:rFonts w:ascii="Calibri" w:eastAsia="Calibri" w:hAnsi="Calibri" w:cs="Calibri"/>
          <w:b/>
          <w:sz w:val="18"/>
          <w:szCs w:val="18"/>
        </w:rPr>
        <w:t>Cuadro 1:</w:t>
      </w:r>
      <w:r>
        <w:rPr>
          <w:rFonts w:ascii="Calibri" w:eastAsia="Calibri" w:hAnsi="Calibri" w:cs="Calibri"/>
          <w:b/>
          <w:sz w:val="18"/>
          <w:szCs w:val="18"/>
        </w:rPr>
        <w:tab/>
      </w:r>
      <w:r>
        <w:rPr>
          <w:rFonts w:ascii="Calibri" w:eastAsia="Calibri" w:hAnsi="Calibri" w:cs="Calibri"/>
          <w:b/>
          <w:sz w:val="18"/>
          <w:szCs w:val="18"/>
        </w:rPr>
        <w:tab/>
      </w:r>
      <w:r>
        <w:rPr>
          <w:rFonts w:ascii="Calibri" w:eastAsia="Calibri" w:hAnsi="Calibri" w:cs="Calibri"/>
          <w:b/>
          <w:sz w:val="18"/>
          <w:szCs w:val="18"/>
        </w:rPr>
        <w:tab/>
      </w:r>
      <w:r>
        <w:rPr>
          <w:rFonts w:ascii="Calibri" w:eastAsia="Calibri" w:hAnsi="Calibri" w:cs="Calibri"/>
          <w:b/>
          <w:sz w:val="18"/>
          <w:szCs w:val="18"/>
        </w:rPr>
        <w:tab/>
      </w:r>
      <w:r>
        <w:rPr>
          <w:rFonts w:ascii="Calibri" w:eastAsia="Calibri" w:hAnsi="Calibri" w:cs="Calibri"/>
          <w:b/>
          <w:sz w:val="18"/>
          <w:szCs w:val="18"/>
        </w:rPr>
        <w:tab/>
      </w:r>
      <w:r>
        <w:rPr>
          <w:rFonts w:ascii="Calibri" w:eastAsia="Calibri" w:hAnsi="Calibri" w:cs="Calibri"/>
          <w:b/>
          <w:sz w:val="18"/>
          <w:szCs w:val="18"/>
        </w:rPr>
        <w:tab/>
      </w:r>
      <w:r>
        <w:rPr>
          <w:rFonts w:ascii="Calibri" w:eastAsia="Calibri" w:hAnsi="Calibri" w:cs="Calibri"/>
          <w:b/>
          <w:color w:val="000000"/>
          <w:sz w:val="18"/>
          <w:szCs w:val="18"/>
        </w:rPr>
        <w:t>Cuadro 2:</w:t>
      </w:r>
      <w:r>
        <w:rPr>
          <w:noProof/>
          <w:lang w:eastAsia="es-ES" w:bidi="ar-SA"/>
        </w:rPr>
        <w:drawing>
          <wp:anchor distT="0" distB="0" distL="114300" distR="114300" simplePos="0" relativeHeight="251658240" behindDoc="0" locked="0" layoutInCell="1" hidden="0" allowOverlap="1">
            <wp:simplePos x="0" y="0"/>
            <wp:positionH relativeFrom="column">
              <wp:posOffset>2996565</wp:posOffset>
            </wp:positionH>
            <wp:positionV relativeFrom="paragraph">
              <wp:posOffset>192405</wp:posOffset>
            </wp:positionV>
            <wp:extent cx="3107690" cy="1947545"/>
            <wp:effectExtent l="0" t="0" r="0" b="0"/>
            <wp:wrapSquare wrapText="bothSides" distT="0" distB="0" distL="114300" distR="114300"/>
            <wp:docPr id="1030"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42"/>
                    <a:srcRect l="21968" t="28791" r="25726" b="22528"/>
                    <a:stretch>
                      <a:fillRect/>
                    </a:stretch>
                  </pic:blipFill>
                  <pic:spPr>
                    <a:xfrm>
                      <a:off x="0" y="0"/>
                      <a:ext cx="3107690" cy="1947545"/>
                    </a:xfrm>
                    <a:prstGeom prst="rect">
                      <a:avLst/>
                    </a:prstGeom>
                    <a:ln/>
                  </pic:spPr>
                </pic:pic>
              </a:graphicData>
            </a:graphic>
          </wp:anchor>
        </w:drawing>
      </w:r>
    </w:p>
    <w:p w:rsidR="00652BAB" w:rsidRDefault="007E6FE4">
      <w:pPr>
        <w:shd w:val="clear" w:color="auto" w:fill="FFFFFF"/>
        <w:spacing w:after="120" w:line="276" w:lineRule="auto"/>
        <w:ind w:left="0" w:right="77" w:hanging="2"/>
        <w:jc w:val="both"/>
        <w:rPr>
          <w:rFonts w:ascii="Arial" w:eastAsia="Arial" w:hAnsi="Arial" w:cs="Arial"/>
          <w:sz w:val="13"/>
          <w:szCs w:val="13"/>
        </w:rPr>
      </w:pPr>
      <w:r>
        <w:rPr>
          <w:noProof/>
          <w:lang w:eastAsia="es-ES" w:bidi="ar-SA"/>
        </w:rPr>
        <w:drawing>
          <wp:anchor distT="0" distB="0" distL="114300" distR="114300" simplePos="0" relativeHeight="251659264" behindDoc="0" locked="0" layoutInCell="1" hidden="0" allowOverlap="1">
            <wp:simplePos x="0" y="0"/>
            <wp:positionH relativeFrom="column">
              <wp:posOffset>-27939</wp:posOffset>
            </wp:positionH>
            <wp:positionV relativeFrom="paragraph">
              <wp:posOffset>104140</wp:posOffset>
            </wp:positionV>
            <wp:extent cx="2980055" cy="1896745"/>
            <wp:effectExtent l="0" t="0" r="0" b="0"/>
            <wp:wrapSquare wrapText="bothSides" distT="0" distB="0" distL="114300" distR="114300"/>
            <wp:docPr id="103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43"/>
                    <a:srcRect l="22296" t="23188" r="32624" b="13613"/>
                    <a:stretch>
                      <a:fillRect/>
                    </a:stretch>
                  </pic:blipFill>
                  <pic:spPr>
                    <a:xfrm>
                      <a:off x="0" y="0"/>
                      <a:ext cx="2980055" cy="1896745"/>
                    </a:xfrm>
                    <a:prstGeom prst="rect">
                      <a:avLst/>
                    </a:prstGeom>
                    <a:ln/>
                  </pic:spPr>
                </pic:pic>
              </a:graphicData>
            </a:graphic>
          </wp:anchor>
        </w:drawing>
      </w:r>
    </w:p>
    <w:p w:rsidR="00652BAB" w:rsidRDefault="007E6FE4">
      <w:pPr>
        <w:shd w:val="clear" w:color="auto" w:fill="FFFFFF"/>
        <w:ind w:left="0" w:right="-1" w:hanging="2"/>
        <w:jc w:val="both"/>
        <w:rPr>
          <w:rFonts w:ascii="Calibri" w:eastAsia="Calibri" w:hAnsi="Calibri" w:cs="Calibri"/>
          <w:color w:val="0000FF"/>
          <w:sz w:val="16"/>
          <w:szCs w:val="16"/>
        </w:rPr>
      </w:pPr>
      <w:r>
        <w:rPr>
          <w:rFonts w:ascii="Calibri" w:eastAsia="Calibri" w:hAnsi="Calibri" w:cs="Calibri"/>
          <w:color w:val="00000A"/>
          <w:sz w:val="16"/>
          <w:szCs w:val="16"/>
        </w:rPr>
        <w:t xml:space="preserve">AP: Audiencias provinciales. JG: Juzgados de Guardia. JP: Jugados de lo Penal. JM: Juzgados de Menores. JVM: Juzgados de Violencia sobre la Mujer. OyMP: Órdenes y medidas de protección </w:t>
      </w:r>
    </w:p>
    <w:p w:rsidR="00652BAB" w:rsidRDefault="007E6FE4">
      <w:pPr>
        <w:shd w:val="clear" w:color="auto" w:fill="FFFFFF"/>
        <w:spacing w:after="240"/>
        <w:ind w:left="0" w:right="77" w:hanging="2"/>
        <w:jc w:val="both"/>
        <w:rPr>
          <w:rFonts w:ascii="Calibri" w:eastAsia="Calibri" w:hAnsi="Calibri" w:cs="Calibri"/>
          <w:sz w:val="16"/>
          <w:szCs w:val="16"/>
        </w:rPr>
      </w:pPr>
      <w:r>
        <w:rPr>
          <w:rFonts w:ascii="Calibri" w:eastAsia="Calibri" w:hAnsi="Calibri" w:cs="Calibri"/>
          <w:sz w:val="16"/>
          <w:szCs w:val="16"/>
        </w:rPr>
        <w:t>Fuente: Consejo General del Poder Judicial.</w:t>
      </w:r>
    </w:p>
    <w:p w:rsidR="00652BAB" w:rsidRDefault="00652BAB">
      <w:pPr>
        <w:shd w:val="clear" w:color="auto" w:fill="FFFFFF"/>
        <w:spacing w:after="240"/>
        <w:ind w:left="0" w:hanging="2"/>
        <w:jc w:val="both"/>
        <w:rPr>
          <w:rFonts w:ascii="Calibri" w:eastAsia="Calibri" w:hAnsi="Calibri" w:cs="Calibri"/>
          <w:color w:val="713B7A"/>
          <w:sz w:val="24"/>
          <w:szCs w:val="24"/>
        </w:rPr>
      </w:pPr>
    </w:p>
    <w:p w:rsidR="00652BAB" w:rsidRDefault="007E6FE4">
      <w:pPr>
        <w:shd w:val="clear" w:color="auto" w:fill="FFFFFF"/>
        <w:spacing w:after="240"/>
        <w:ind w:left="0" w:hanging="2"/>
        <w:jc w:val="both"/>
        <w:rPr>
          <w:rFonts w:ascii="Calibri" w:eastAsia="Calibri" w:hAnsi="Calibri" w:cs="Calibri"/>
          <w:color w:val="713B7A"/>
          <w:sz w:val="24"/>
          <w:szCs w:val="24"/>
        </w:rPr>
      </w:pPr>
      <w:r>
        <w:rPr>
          <w:rFonts w:ascii="Calibri" w:eastAsia="Calibri" w:hAnsi="Calibri" w:cs="Calibri"/>
          <w:b/>
          <w:color w:val="713B7A"/>
          <w:sz w:val="24"/>
          <w:szCs w:val="24"/>
        </w:rPr>
        <w:t>11 y 12 TRATA Y EXPLOTACIÓN DE LA PROSTITUCIÓN (ARTÍCULO 6)</w:t>
      </w:r>
    </w:p>
    <w:p w:rsidR="00652BAB" w:rsidRDefault="007E6FE4">
      <w:pPr>
        <w:shd w:val="clear" w:color="auto" w:fill="FFFFFF"/>
        <w:spacing w:after="240" w:line="276" w:lineRule="auto"/>
        <w:ind w:left="0" w:hanging="2"/>
        <w:jc w:val="both"/>
        <w:rPr>
          <w:rFonts w:ascii="Calibri" w:eastAsia="Calibri" w:hAnsi="Calibri" w:cs="Calibri"/>
          <w:color w:val="713B7A"/>
          <w:sz w:val="24"/>
          <w:szCs w:val="24"/>
        </w:rPr>
      </w:pPr>
      <w:r>
        <w:rPr>
          <w:rFonts w:ascii="Calibri" w:eastAsia="Calibri" w:hAnsi="Calibri" w:cs="Calibri"/>
          <w:b/>
          <w:sz w:val="22"/>
          <w:szCs w:val="22"/>
        </w:rPr>
        <w:t xml:space="preserve">No se ha materializado una legislación específica </w:t>
      </w:r>
      <w:r>
        <w:rPr>
          <w:rFonts w:ascii="Calibri" w:eastAsia="Calibri" w:hAnsi="Calibri" w:cs="Calibri"/>
          <w:sz w:val="22"/>
          <w:szCs w:val="22"/>
        </w:rPr>
        <w:t xml:space="preserve">incumpliendo la Observación final párr. 23ª, y Eje 8 del PEVG. </w:t>
      </w:r>
      <w:r>
        <w:rPr>
          <w:rFonts w:ascii="Calibri" w:eastAsia="Calibri" w:hAnsi="Calibri" w:cs="Calibri"/>
          <w:b/>
          <w:sz w:val="22"/>
          <w:szCs w:val="22"/>
        </w:rPr>
        <w:t xml:space="preserve">Deficiencias </w:t>
      </w:r>
      <w:r>
        <w:rPr>
          <w:rFonts w:ascii="Calibri" w:eastAsia="Calibri" w:hAnsi="Calibri" w:cs="Calibri"/>
          <w:sz w:val="22"/>
          <w:szCs w:val="22"/>
        </w:rPr>
        <w:t>en el</w:t>
      </w:r>
      <w:r>
        <w:rPr>
          <w:rFonts w:ascii="Calibri" w:eastAsia="Calibri" w:hAnsi="Calibri" w:cs="Calibri"/>
          <w:b/>
          <w:sz w:val="22"/>
          <w:szCs w:val="22"/>
        </w:rPr>
        <w:t xml:space="preserve"> Plan Integral de lucha contra la Trata de mujeres y Niñas con fines de Explotación Sexual 2015-2018: </w:t>
      </w:r>
      <w:r>
        <w:rPr>
          <w:rFonts w:ascii="Calibri" w:eastAsia="Calibri" w:hAnsi="Calibri" w:cs="Calibri"/>
          <w:sz w:val="22"/>
          <w:szCs w:val="22"/>
        </w:rPr>
        <w:t xml:space="preserve">Imprecisión sobre recursos y presupuesto; carencia de acciones de comunicación y coordinación con países de víctimas y tratantes; ausencia de la mención de víctimas con discapacidad física y/o intelectual; ausencia de recursos y políticas de reinserción o reparación (RG 19); Reconociendo el alto riesgo para las mujeres de la despenalización de actividades vinculadas con el proxenetismo (Ley Orgánica 10/1995) continúa sin abordarse adecuadamente; Al no tener rango de ley, no es de obligado cumplimiento. El 41,45% de las medidas no se implementaron por falta de competencia y de reformas legislativas no aprobadas (decomiso de bienes y productos del delito, ley de protección de testigos). Implementación incompleta de la Ley 4/2015, de 17 de abril, del </w:t>
      </w:r>
      <w:r>
        <w:rPr>
          <w:rFonts w:ascii="Calibri" w:eastAsia="Calibri" w:hAnsi="Calibri" w:cs="Calibri"/>
          <w:i/>
          <w:sz w:val="22"/>
          <w:szCs w:val="22"/>
        </w:rPr>
        <w:t>Estatuto de la Víctima del Delito</w:t>
      </w:r>
      <w:r>
        <w:rPr>
          <w:rFonts w:ascii="Calibri" w:eastAsia="Calibri" w:hAnsi="Calibri" w:cs="Calibri"/>
          <w:sz w:val="22"/>
          <w:szCs w:val="22"/>
        </w:rPr>
        <w:t xml:space="preserve"> relativa a la respuesta jurídica y social y atención específica a las víctimas.</w:t>
      </w:r>
      <w:r>
        <w:rPr>
          <w:rFonts w:ascii="Calibri" w:eastAsia="Calibri" w:hAnsi="Calibri" w:cs="Calibri"/>
          <w:b/>
          <w:sz w:val="22"/>
          <w:szCs w:val="22"/>
        </w:rPr>
        <w:t xml:space="preserve"> No existe Mecanismo Nacional de Derivación</w:t>
      </w:r>
      <w:r>
        <w:rPr>
          <w:rFonts w:ascii="Calibri" w:eastAsia="Calibri" w:hAnsi="Calibri" w:cs="Calibri"/>
          <w:sz w:val="22"/>
          <w:szCs w:val="22"/>
        </w:rPr>
        <w:t xml:space="preserve"> para coordinar la derivación rápida entre CCAA, menoscabando la protección, seguridad y recuperación de las víctimas; el </w:t>
      </w:r>
      <w:r>
        <w:rPr>
          <w:rFonts w:ascii="Calibri" w:eastAsia="Calibri" w:hAnsi="Calibri" w:cs="Calibri"/>
          <w:sz w:val="22"/>
          <w:szCs w:val="22"/>
        </w:rPr>
        <w:lastRenderedPageBreak/>
        <w:t>acceso a los recursos para víctimas es heterogéneo y los criterios de actuación policial en la identificación de víctimas dispares en las CCAA.</w:t>
      </w:r>
    </w:p>
    <w:p w:rsidR="00652BAB" w:rsidRDefault="007E6FE4">
      <w:pPr>
        <w:shd w:val="clear" w:color="auto" w:fill="FFFFFF"/>
        <w:spacing w:after="240" w:line="276" w:lineRule="auto"/>
        <w:ind w:left="0" w:hanging="2"/>
        <w:jc w:val="both"/>
        <w:rPr>
          <w:rFonts w:ascii="Calibri" w:eastAsia="Calibri" w:hAnsi="Calibri" w:cs="Calibri"/>
          <w:color w:val="713B7A"/>
          <w:sz w:val="24"/>
          <w:szCs w:val="24"/>
        </w:rPr>
      </w:pPr>
      <w:r>
        <w:rPr>
          <w:rFonts w:ascii="Calibri" w:eastAsia="Calibri" w:hAnsi="Calibri" w:cs="Calibri"/>
          <w:sz w:val="22"/>
          <w:szCs w:val="22"/>
        </w:rPr>
        <w:t>Ampliación del Plan de Contingencia ante COVID19 con medidas adicionales a víctimas de Trata sexual y prostitución, aunque descartando su acceso al Ingreso Mínimo Vital. Ausencia de procedimientos y protocolos para mejora y seguimiento de la prevención, formación, detección y atención. Las intervenciones policiales y judiciales omiten la discapacidad como factor de vulnerabilidad o factor agravante.</w:t>
      </w:r>
    </w:p>
    <w:p w:rsidR="00652BAB" w:rsidRDefault="007E6FE4">
      <w:pPr>
        <w:shd w:val="clear" w:color="auto" w:fill="FFFFFF"/>
        <w:spacing w:after="240" w:line="276" w:lineRule="auto"/>
        <w:ind w:left="0" w:hanging="2"/>
        <w:jc w:val="both"/>
        <w:rPr>
          <w:rFonts w:ascii="Calibri" w:eastAsia="Calibri" w:hAnsi="Calibri" w:cs="Calibri"/>
          <w:color w:val="713B7A"/>
          <w:sz w:val="24"/>
          <w:szCs w:val="24"/>
        </w:rPr>
      </w:pPr>
      <w:r>
        <w:rPr>
          <w:rFonts w:ascii="Calibri" w:eastAsia="Calibri" w:hAnsi="Calibri" w:cs="Calibri"/>
          <w:b/>
          <w:sz w:val="22"/>
          <w:szCs w:val="22"/>
        </w:rPr>
        <w:t xml:space="preserve">Carencia </w:t>
      </w:r>
      <w:r>
        <w:rPr>
          <w:rFonts w:ascii="Calibri" w:eastAsia="Calibri" w:hAnsi="Calibri" w:cs="Calibri"/>
          <w:sz w:val="22"/>
          <w:szCs w:val="22"/>
        </w:rPr>
        <w:t xml:space="preserve">de marco normativo en materia de </w:t>
      </w:r>
      <w:r>
        <w:rPr>
          <w:rFonts w:ascii="Calibri" w:eastAsia="Calibri" w:hAnsi="Calibri" w:cs="Calibri"/>
          <w:b/>
          <w:sz w:val="22"/>
          <w:szCs w:val="22"/>
        </w:rPr>
        <w:t>publicidad</w:t>
      </w:r>
      <w:r>
        <w:rPr>
          <w:rFonts w:ascii="Calibri" w:eastAsia="Calibri" w:hAnsi="Calibri" w:cs="Calibri"/>
          <w:sz w:val="22"/>
          <w:szCs w:val="22"/>
        </w:rPr>
        <w:t xml:space="preserve"> de prostitución (en RRSS, plataformas de mensajería…) e</w:t>
      </w:r>
      <w:r>
        <w:rPr>
          <w:rFonts w:ascii="Calibri" w:eastAsia="Calibri" w:hAnsi="Calibri" w:cs="Calibri"/>
          <w:b/>
          <w:sz w:val="22"/>
          <w:szCs w:val="22"/>
        </w:rPr>
        <w:t xml:space="preserve"> investigación </w:t>
      </w:r>
      <w:r>
        <w:rPr>
          <w:rFonts w:ascii="Calibri" w:eastAsia="Calibri" w:hAnsi="Calibri" w:cs="Calibri"/>
          <w:sz w:val="22"/>
          <w:szCs w:val="22"/>
        </w:rPr>
        <w:t>para abordar la trata en relación a la industria del sexo, la prostitución y proxenetismo</w:t>
      </w:r>
      <w:r>
        <w:rPr>
          <w:rFonts w:ascii="Calibri" w:eastAsia="Calibri" w:hAnsi="Calibri" w:cs="Calibri"/>
          <w:b/>
          <w:sz w:val="22"/>
          <w:szCs w:val="22"/>
        </w:rPr>
        <w:t xml:space="preserve"> </w:t>
      </w:r>
      <w:r>
        <w:rPr>
          <w:rFonts w:ascii="Calibri" w:eastAsia="Calibri" w:hAnsi="Calibri" w:cs="Calibri"/>
          <w:sz w:val="22"/>
          <w:szCs w:val="22"/>
        </w:rPr>
        <w:t>en línea con las Recomendaciones CEDAW/C/ESP/CO/6, párr.22-23</w:t>
      </w:r>
      <w:r>
        <w:rPr>
          <w:rFonts w:ascii="Calibri" w:eastAsia="Calibri" w:hAnsi="Calibri" w:cs="Calibri"/>
          <w:color w:val="800080"/>
          <w:sz w:val="22"/>
          <w:szCs w:val="22"/>
        </w:rPr>
        <w:t xml:space="preserve">. </w:t>
      </w:r>
      <w:r>
        <w:rPr>
          <w:rFonts w:ascii="Calibri" w:eastAsia="Calibri" w:hAnsi="Calibri" w:cs="Calibri"/>
          <w:b/>
          <w:sz w:val="22"/>
          <w:szCs w:val="22"/>
        </w:rPr>
        <w:t>No existen medidas eficaces para desalentar la demanda de prostitución</w:t>
      </w:r>
      <w:r>
        <w:rPr>
          <w:rFonts w:ascii="Calibri" w:eastAsia="Calibri" w:hAnsi="Calibri" w:cs="Calibri"/>
          <w:sz w:val="22"/>
          <w:szCs w:val="22"/>
        </w:rPr>
        <w:t xml:space="preserve"> (Art. 18 Directiva 2011/36/UE y CEDAW RG 38, 2020, p.30). Elevado consumo de prostitución (primer país europeo y tercero a nivel mundial, ONU, 2017-2018) y uno de los destinos principales de Trata (EUROPOL, 2016). El 90% de los delitos de trata están vinculados a la prostitución, un 32% más que la media mundial (</w:t>
      </w:r>
      <w:hyperlink r:id="rId44">
        <w:r>
          <w:rPr>
            <w:rFonts w:ascii="Calibri" w:eastAsia="Calibri" w:hAnsi="Calibri" w:cs="Calibri"/>
            <w:color w:val="000080"/>
            <w:sz w:val="22"/>
            <w:szCs w:val="22"/>
            <w:u w:val="single"/>
          </w:rPr>
          <w:t>Unidad de Extranjería-Fiscalía General del Estado</w:t>
        </w:r>
      </w:hyperlink>
      <w:r>
        <w:rPr>
          <w:rFonts w:ascii="Calibri" w:eastAsia="Calibri" w:hAnsi="Calibri" w:cs="Calibri"/>
          <w:sz w:val="22"/>
          <w:szCs w:val="22"/>
        </w:rPr>
        <w:t>, 2018) y más del 80% de las mujeres prostituidas en España lo hacen forzadas (</w:t>
      </w:r>
      <w:hyperlink r:id="rId45">
        <w:r>
          <w:rPr>
            <w:rFonts w:ascii="Calibri" w:eastAsia="Calibri" w:hAnsi="Calibri" w:cs="Calibri"/>
            <w:color w:val="000080"/>
            <w:sz w:val="22"/>
            <w:szCs w:val="22"/>
            <w:u w:val="single"/>
          </w:rPr>
          <w:t>Policía Nacional, 2020</w:t>
        </w:r>
      </w:hyperlink>
      <w:r>
        <w:rPr>
          <w:rFonts w:ascii="Calibri" w:eastAsia="Calibri" w:hAnsi="Calibri" w:cs="Calibri"/>
          <w:sz w:val="22"/>
          <w:szCs w:val="22"/>
        </w:rPr>
        <w:t>).</w:t>
      </w:r>
    </w:p>
    <w:p w:rsidR="00652BAB" w:rsidRDefault="007E6FE4">
      <w:pPr>
        <w:shd w:val="clear" w:color="auto" w:fill="FFFFFF"/>
        <w:spacing w:after="240" w:line="276" w:lineRule="auto"/>
        <w:ind w:left="0" w:hanging="2"/>
        <w:jc w:val="both"/>
        <w:rPr>
          <w:rFonts w:ascii="Calibri" w:eastAsia="Calibri" w:hAnsi="Calibri" w:cs="Calibri"/>
          <w:color w:val="713B7A"/>
          <w:sz w:val="24"/>
          <w:szCs w:val="24"/>
        </w:rPr>
      </w:pPr>
      <w:r>
        <w:rPr>
          <w:rFonts w:ascii="Calibri" w:eastAsia="Calibri" w:hAnsi="Calibri" w:cs="Calibri"/>
          <w:sz w:val="22"/>
          <w:szCs w:val="22"/>
        </w:rPr>
        <w:t xml:space="preserve">Las instituciones públicas no cuentan con datos propios, gestionados por el </w:t>
      </w:r>
      <w:r>
        <w:rPr>
          <w:rFonts w:ascii="Calibri" w:eastAsia="Calibri" w:hAnsi="Calibri" w:cs="Calibri"/>
          <w:i/>
          <w:sz w:val="22"/>
          <w:szCs w:val="22"/>
        </w:rPr>
        <w:t>Centro de Inteligencia contra el Terrorismo y Crimen Organizado</w:t>
      </w:r>
      <w:r>
        <w:rPr>
          <w:rFonts w:ascii="Calibri" w:eastAsia="Calibri" w:hAnsi="Calibri" w:cs="Calibri"/>
          <w:sz w:val="22"/>
          <w:szCs w:val="22"/>
        </w:rPr>
        <w:t xml:space="preserve"> (CITCO) ligando la definición y clasificación de víctimas a consideraciones jurídico-penales excluyendo a las que no denuncian o no son reconocidas reduciendo el número de víctimas identificadas por las ONGs, que detectaron y atendieron a 13.317 mujeres en 2018, 4.302 de ellas con indicios de trata sexual y 9.028 víctimas de explotación sexual (DGVG, 2018). Casi el 100% de subsaharianas llegadas en pateras son víctimas de trata (según Fiscalía, en MZC, 2016). La tasa de víctimas de explotación sexual detectadas en España en 2020 fue de 0,34 por 100.000 habitantes (91% mujeres), la mitad con respecto a 2019 (0,63) el 96% de ellas, mujeres y niñas (</w:t>
      </w:r>
      <w:hyperlink r:id="rId46">
        <w:r>
          <w:rPr>
            <w:rFonts w:ascii="Calibri" w:eastAsia="Calibri" w:hAnsi="Calibri" w:cs="Calibri"/>
            <w:color w:val="000000"/>
            <w:sz w:val="22"/>
            <w:szCs w:val="22"/>
            <w:u w:val="single"/>
          </w:rPr>
          <w:t>INE</w:t>
        </w:r>
      </w:hyperlink>
      <w:r>
        <w:rPr>
          <w:rFonts w:ascii="Calibri" w:eastAsia="Calibri" w:hAnsi="Calibri" w:cs="Calibri"/>
          <w:sz w:val="22"/>
          <w:szCs w:val="22"/>
        </w:rPr>
        <w:t>). En 2020, un año en el que desciende la detección de trata sexual, el 75,21% de las diligencias previas incoadas se referían a estos delitos frente al 19,75% laboral, el 5,12% por trata con fines de cometer delitos y el 1,70% mendicidad (</w:t>
      </w:r>
      <w:hyperlink r:id="rId47">
        <w:r>
          <w:rPr>
            <w:rFonts w:ascii="Calibri" w:eastAsia="Calibri" w:hAnsi="Calibri" w:cs="Calibri"/>
            <w:color w:val="000080"/>
            <w:sz w:val="22"/>
            <w:szCs w:val="22"/>
            <w:u w:val="single"/>
          </w:rPr>
          <w:t>Memoria Fiscalía 2021</w:t>
        </w:r>
      </w:hyperlink>
      <w:r>
        <w:rPr>
          <w:rFonts w:ascii="Calibri" w:eastAsia="Calibri" w:hAnsi="Calibri" w:cs="Calibri"/>
          <w:color w:val="800080"/>
          <w:sz w:val="22"/>
          <w:szCs w:val="22"/>
        </w:rPr>
        <w:t xml:space="preserve">). </w:t>
      </w:r>
      <w:r>
        <w:rPr>
          <w:rFonts w:ascii="Calibri" w:eastAsia="Calibri" w:hAnsi="Calibri" w:cs="Calibri"/>
          <w:sz w:val="22"/>
          <w:szCs w:val="22"/>
        </w:rPr>
        <w:t>Los feminicidios en el sistema prostitucional no forman parte de las estadísticas oficiales de víctimas mortales por VG (53 asesinadas en 2010-2019, Feminicidio.net).</w:t>
      </w:r>
    </w:p>
    <w:p w:rsidR="00652BAB" w:rsidRDefault="007E6FE4">
      <w:pPr>
        <w:shd w:val="clear" w:color="auto" w:fill="FFFFFF"/>
        <w:spacing w:after="240" w:line="276" w:lineRule="auto"/>
        <w:ind w:left="0" w:right="77" w:hanging="2"/>
        <w:jc w:val="both"/>
        <w:rPr>
          <w:rFonts w:ascii="Calibri" w:eastAsia="Calibri" w:hAnsi="Calibri" w:cs="Calibri"/>
          <w:color w:val="713B7A"/>
          <w:sz w:val="24"/>
          <w:szCs w:val="24"/>
        </w:rPr>
      </w:pPr>
      <w:r>
        <w:rPr>
          <w:rFonts w:ascii="Calibri" w:eastAsia="Calibri" w:hAnsi="Calibri" w:cs="Calibri"/>
          <w:b/>
          <w:color w:val="713B7A"/>
          <w:sz w:val="24"/>
          <w:szCs w:val="24"/>
        </w:rPr>
        <w:t>Preocupa:</w:t>
      </w:r>
    </w:p>
    <w:p w:rsidR="00652BAB" w:rsidRDefault="007E6FE4">
      <w:pPr>
        <w:numPr>
          <w:ilvl w:val="0"/>
          <w:numId w:val="1"/>
        </w:numPr>
        <w:shd w:val="clear" w:color="auto" w:fill="FFFFFF"/>
        <w:spacing w:after="120" w:line="276" w:lineRule="auto"/>
        <w:ind w:right="77" w:hanging="2"/>
        <w:jc w:val="both"/>
        <w:rPr>
          <w:rFonts w:ascii="Calibri" w:eastAsia="Calibri" w:hAnsi="Calibri" w:cs="Calibri"/>
          <w:sz w:val="22"/>
          <w:szCs w:val="22"/>
        </w:rPr>
      </w:pPr>
      <w:r>
        <w:rPr>
          <w:rFonts w:ascii="Calibri" w:eastAsia="Calibri" w:hAnsi="Calibri" w:cs="Calibri"/>
          <w:sz w:val="22"/>
          <w:szCs w:val="22"/>
        </w:rPr>
        <w:t>El art. 177bis del Código Penal imposibilita acreditar situaciones abusivas.</w:t>
      </w:r>
    </w:p>
    <w:p w:rsidR="00652BAB" w:rsidRDefault="007E6FE4">
      <w:pPr>
        <w:numPr>
          <w:ilvl w:val="0"/>
          <w:numId w:val="1"/>
        </w:numPr>
        <w:shd w:val="clear" w:color="auto" w:fill="FFFFFF"/>
        <w:spacing w:after="120" w:line="276" w:lineRule="auto"/>
        <w:ind w:right="77" w:hanging="2"/>
        <w:jc w:val="both"/>
        <w:rPr>
          <w:rFonts w:ascii="Calibri" w:eastAsia="Calibri" w:hAnsi="Calibri" w:cs="Calibri"/>
          <w:sz w:val="22"/>
          <w:szCs w:val="22"/>
        </w:rPr>
      </w:pPr>
      <w:r>
        <w:rPr>
          <w:rFonts w:ascii="Calibri" w:eastAsia="Calibri" w:hAnsi="Calibri" w:cs="Calibri"/>
          <w:sz w:val="22"/>
          <w:szCs w:val="22"/>
        </w:rPr>
        <w:t>No se ha adoptado una definición amplia de proxenetismo para velar por el adecuado enjuiciamiento de quienes explotan la prostitución.</w:t>
      </w:r>
    </w:p>
    <w:p w:rsidR="00652BAB" w:rsidRDefault="007E6FE4">
      <w:pPr>
        <w:numPr>
          <w:ilvl w:val="0"/>
          <w:numId w:val="1"/>
        </w:numPr>
        <w:shd w:val="clear" w:color="auto" w:fill="FFFFFF"/>
        <w:spacing w:after="120" w:line="276" w:lineRule="auto"/>
        <w:ind w:right="77" w:hanging="2"/>
        <w:jc w:val="both"/>
        <w:rPr>
          <w:rFonts w:ascii="Calibri" w:eastAsia="Calibri" w:hAnsi="Calibri" w:cs="Calibri"/>
          <w:sz w:val="22"/>
          <w:szCs w:val="22"/>
        </w:rPr>
      </w:pPr>
      <w:r>
        <w:rPr>
          <w:rFonts w:ascii="Calibri" w:eastAsia="Calibri" w:hAnsi="Calibri" w:cs="Calibri"/>
          <w:sz w:val="22"/>
          <w:szCs w:val="22"/>
        </w:rPr>
        <w:t>La demanda, factor causal, sigue sin abordarse eficazmente.</w:t>
      </w:r>
    </w:p>
    <w:p w:rsidR="00652BAB" w:rsidRDefault="007E6FE4">
      <w:pPr>
        <w:numPr>
          <w:ilvl w:val="0"/>
          <w:numId w:val="1"/>
        </w:numPr>
        <w:shd w:val="clear" w:color="auto" w:fill="FFFFFF"/>
        <w:spacing w:after="120" w:line="276" w:lineRule="auto"/>
        <w:ind w:right="77" w:hanging="2"/>
        <w:jc w:val="both"/>
        <w:rPr>
          <w:rFonts w:ascii="Calibri" w:eastAsia="Calibri" w:hAnsi="Calibri" w:cs="Calibri"/>
          <w:sz w:val="22"/>
          <w:szCs w:val="22"/>
        </w:rPr>
      </w:pPr>
      <w:r>
        <w:rPr>
          <w:rFonts w:ascii="Calibri" w:eastAsia="Calibri" w:hAnsi="Calibri" w:cs="Calibri"/>
          <w:sz w:val="22"/>
          <w:szCs w:val="22"/>
        </w:rPr>
        <w:t>Uso de la tecnología digital: para captar mujeres y niñas vulnerables para su explotación online (proxenetismo 2.0), para incrementar demanda de contenido pedófilo.</w:t>
      </w:r>
    </w:p>
    <w:p w:rsidR="00652BAB" w:rsidRDefault="007E6FE4">
      <w:pPr>
        <w:numPr>
          <w:ilvl w:val="0"/>
          <w:numId w:val="1"/>
        </w:numPr>
        <w:shd w:val="clear" w:color="auto" w:fill="FFFFFF"/>
        <w:spacing w:after="120" w:line="276" w:lineRule="auto"/>
        <w:ind w:right="77" w:hanging="2"/>
        <w:jc w:val="both"/>
        <w:rPr>
          <w:rFonts w:ascii="Calibri" w:eastAsia="Calibri" w:hAnsi="Calibri" w:cs="Calibri"/>
          <w:sz w:val="22"/>
          <w:szCs w:val="22"/>
        </w:rPr>
      </w:pPr>
      <w:r>
        <w:rPr>
          <w:rFonts w:ascii="Calibri" w:eastAsia="Calibri" w:hAnsi="Calibri" w:cs="Calibri"/>
          <w:sz w:val="22"/>
          <w:szCs w:val="22"/>
        </w:rPr>
        <w:t>Captación y explotación sexual de menores tuteladas en algunas CCAA.</w:t>
      </w:r>
    </w:p>
    <w:p w:rsidR="00652BAB" w:rsidRDefault="007E6FE4">
      <w:pPr>
        <w:numPr>
          <w:ilvl w:val="0"/>
          <w:numId w:val="1"/>
        </w:numPr>
        <w:shd w:val="clear" w:color="auto" w:fill="FFFFFF"/>
        <w:spacing w:after="120" w:line="276" w:lineRule="auto"/>
        <w:ind w:right="77" w:hanging="2"/>
        <w:jc w:val="both"/>
        <w:rPr>
          <w:rFonts w:ascii="Calibri" w:eastAsia="Calibri" w:hAnsi="Calibri" w:cs="Calibri"/>
          <w:sz w:val="22"/>
          <w:szCs w:val="22"/>
        </w:rPr>
      </w:pPr>
      <w:r>
        <w:rPr>
          <w:rFonts w:ascii="Calibri" w:eastAsia="Calibri" w:hAnsi="Calibri" w:cs="Calibri"/>
          <w:sz w:val="22"/>
          <w:szCs w:val="22"/>
        </w:rPr>
        <w:t xml:space="preserve">En los últimos 3 años el protocolo de detección de víctimas se ha activado solo en 6 ocasiones (Defensor del Pueblo, 2021). En 2021, una mujer permaneció retenida en el aeropuerto de Barajas casi 2 </w:t>
      </w:r>
      <w:r>
        <w:rPr>
          <w:rFonts w:ascii="Calibri" w:eastAsia="Calibri" w:hAnsi="Calibri" w:cs="Calibri"/>
          <w:sz w:val="22"/>
          <w:szCs w:val="22"/>
        </w:rPr>
        <w:lastRenderedPageBreak/>
        <w:t>meses antes de ser entrevistada a pesar de indicios de trata.</w:t>
      </w:r>
    </w:p>
    <w:p w:rsidR="00652BAB" w:rsidRDefault="00652BAB">
      <w:pPr>
        <w:shd w:val="clear" w:color="auto" w:fill="FFFFFF"/>
        <w:spacing w:after="120" w:line="276" w:lineRule="auto"/>
        <w:ind w:left="0" w:hanging="2"/>
        <w:jc w:val="both"/>
        <w:rPr>
          <w:rFonts w:ascii="Arial" w:eastAsia="Arial" w:hAnsi="Arial" w:cs="Arial"/>
          <w:color w:val="0432FF"/>
          <w:sz w:val="24"/>
          <w:szCs w:val="24"/>
        </w:rPr>
      </w:pPr>
    </w:p>
    <w:p w:rsidR="00652BAB" w:rsidRDefault="007E6FE4">
      <w:pPr>
        <w:shd w:val="clear" w:color="auto" w:fill="FFFFFF"/>
        <w:spacing w:after="240"/>
        <w:ind w:left="0" w:hanging="2"/>
        <w:jc w:val="both"/>
        <w:rPr>
          <w:rFonts w:ascii="Calibri" w:eastAsia="Calibri" w:hAnsi="Calibri" w:cs="Calibri"/>
        </w:rPr>
      </w:pPr>
      <w:r>
        <w:br w:type="page"/>
      </w:r>
      <w:r>
        <w:rPr>
          <w:rFonts w:ascii="Calibri" w:eastAsia="Calibri" w:hAnsi="Calibri" w:cs="Calibri"/>
          <w:b/>
        </w:rPr>
        <w:lastRenderedPageBreak/>
        <w:t>Anexo 1:</w:t>
      </w:r>
    </w:p>
    <w:tbl>
      <w:tblPr>
        <w:tblStyle w:val="a"/>
        <w:tblW w:w="8743"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489"/>
        <w:gridCol w:w="935"/>
        <w:gridCol w:w="1015"/>
        <w:gridCol w:w="1035"/>
        <w:gridCol w:w="1049"/>
        <w:gridCol w:w="1049"/>
        <w:gridCol w:w="977"/>
        <w:gridCol w:w="1194"/>
      </w:tblGrid>
      <w:tr w:rsidR="00652BAB">
        <w:trPr>
          <w:trHeight w:val="131"/>
        </w:trPr>
        <w:tc>
          <w:tcPr>
            <w:tcW w:w="8743" w:type="dxa"/>
            <w:gridSpan w:val="8"/>
            <w:shd w:val="clear" w:color="auto" w:fill="713B7A"/>
            <w:vAlign w:val="center"/>
          </w:tcPr>
          <w:p w:rsidR="00652BAB" w:rsidRDefault="007E6FE4">
            <w:pPr>
              <w:ind w:left="0" w:hanging="2"/>
              <w:jc w:val="center"/>
              <w:rPr>
                <w:rFonts w:ascii="Calibri" w:eastAsia="Calibri" w:hAnsi="Calibri" w:cs="Calibri"/>
                <w:color w:val="FFFFFF"/>
              </w:rPr>
            </w:pPr>
            <w:r>
              <w:rPr>
                <w:rFonts w:ascii="Calibri" w:eastAsia="Calibri" w:hAnsi="Calibri" w:cs="Calibri"/>
                <w:color w:val="FFFFFF"/>
              </w:rPr>
              <w:t>ESCRITOS DE ACUSACIÓN FORMULADOS EN 2020</w:t>
            </w:r>
          </w:p>
        </w:tc>
      </w:tr>
      <w:tr w:rsidR="00652BAB">
        <w:trPr>
          <w:cantSplit/>
          <w:trHeight w:val="26"/>
        </w:trPr>
        <w:tc>
          <w:tcPr>
            <w:tcW w:w="1489" w:type="dxa"/>
            <w:vMerge w:val="restart"/>
            <w:vAlign w:val="center"/>
          </w:tcPr>
          <w:p w:rsidR="00652BAB" w:rsidRDefault="007E6FE4">
            <w:pPr>
              <w:ind w:left="0" w:hanging="2"/>
              <w:jc w:val="center"/>
              <w:rPr>
                <w:rFonts w:ascii="Calibri" w:eastAsia="Calibri" w:hAnsi="Calibri" w:cs="Calibri"/>
                <w:color w:val="000000"/>
              </w:rPr>
            </w:pPr>
            <w:r>
              <w:rPr>
                <w:rFonts w:ascii="Calibri" w:eastAsia="Calibri" w:hAnsi="Calibri" w:cs="Calibri"/>
                <w:color w:val="000000"/>
              </w:rPr>
              <w:t>Modalidad</w:t>
            </w:r>
          </w:p>
        </w:tc>
        <w:tc>
          <w:tcPr>
            <w:tcW w:w="935" w:type="dxa"/>
            <w:vMerge w:val="restart"/>
            <w:vAlign w:val="center"/>
          </w:tcPr>
          <w:p w:rsidR="00652BAB" w:rsidRDefault="007E6FE4">
            <w:pPr>
              <w:ind w:left="0" w:hanging="2"/>
              <w:jc w:val="center"/>
              <w:rPr>
                <w:rFonts w:ascii="Calibri" w:eastAsia="Calibri" w:hAnsi="Calibri" w:cs="Calibri"/>
                <w:color w:val="000000"/>
              </w:rPr>
            </w:pPr>
            <w:r>
              <w:rPr>
                <w:rFonts w:ascii="Calibri" w:eastAsia="Calibri" w:hAnsi="Calibri" w:cs="Calibri"/>
                <w:color w:val="000000"/>
              </w:rPr>
              <w:t>Escritos</w:t>
            </w:r>
          </w:p>
        </w:tc>
        <w:tc>
          <w:tcPr>
            <w:tcW w:w="3099" w:type="dxa"/>
            <w:gridSpan w:val="3"/>
            <w:vAlign w:val="center"/>
          </w:tcPr>
          <w:p w:rsidR="00652BAB" w:rsidRDefault="007E6FE4">
            <w:pPr>
              <w:ind w:left="0" w:hanging="2"/>
              <w:jc w:val="center"/>
              <w:rPr>
                <w:rFonts w:ascii="Calibri" w:eastAsia="Calibri" w:hAnsi="Calibri" w:cs="Calibri"/>
                <w:color w:val="000000"/>
              </w:rPr>
            </w:pPr>
            <w:r>
              <w:rPr>
                <w:rFonts w:ascii="Calibri" w:eastAsia="Calibri" w:hAnsi="Calibri" w:cs="Calibri"/>
                <w:color w:val="000000"/>
              </w:rPr>
              <w:t>Víctimas</w:t>
            </w:r>
          </w:p>
        </w:tc>
        <w:tc>
          <w:tcPr>
            <w:tcW w:w="3220" w:type="dxa"/>
            <w:gridSpan w:val="3"/>
            <w:vAlign w:val="center"/>
          </w:tcPr>
          <w:p w:rsidR="00652BAB" w:rsidRDefault="007E6FE4">
            <w:pPr>
              <w:ind w:left="0" w:hanging="2"/>
              <w:jc w:val="center"/>
              <w:rPr>
                <w:rFonts w:ascii="Calibri" w:eastAsia="Calibri" w:hAnsi="Calibri" w:cs="Calibri"/>
                <w:color w:val="000000"/>
              </w:rPr>
            </w:pPr>
            <w:r>
              <w:rPr>
                <w:rFonts w:ascii="Calibri" w:eastAsia="Calibri" w:hAnsi="Calibri" w:cs="Calibri"/>
                <w:color w:val="000000"/>
              </w:rPr>
              <w:t>Acusados</w:t>
            </w:r>
          </w:p>
        </w:tc>
      </w:tr>
      <w:tr w:rsidR="00652BAB">
        <w:trPr>
          <w:cantSplit/>
          <w:trHeight w:val="84"/>
        </w:trPr>
        <w:tc>
          <w:tcPr>
            <w:tcW w:w="1489" w:type="dxa"/>
            <w:vMerge/>
            <w:vAlign w:val="center"/>
          </w:tcPr>
          <w:p w:rsidR="00652BAB" w:rsidRDefault="00652BAB">
            <w:pPr>
              <w:pBdr>
                <w:top w:val="nil"/>
                <w:left w:val="nil"/>
                <w:bottom w:val="nil"/>
                <w:right w:val="nil"/>
                <w:between w:val="nil"/>
              </w:pBdr>
              <w:spacing w:line="276" w:lineRule="auto"/>
              <w:ind w:left="0" w:hanging="2"/>
              <w:rPr>
                <w:rFonts w:ascii="Calibri" w:eastAsia="Calibri" w:hAnsi="Calibri" w:cs="Calibri"/>
                <w:color w:val="000000"/>
              </w:rPr>
            </w:pPr>
          </w:p>
        </w:tc>
        <w:tc>
          <w:tcPr>
            <w:tcW w:w="935" w:type="dxa"/>
            <w:vMerge/>
            <w:vAlign w:val="center"/>
          </w:tcPr>
          <w:p w:rsidR="00652BAB" w:rsidRDefault="00652BAB">
            <w:pPr>
              <w:pBdr>
                <w:top w:val="nil"/>
                <w:left w:val="nil"/>
                <w:bottom w:val="nil"/>
                <w:right w:val="nil"/>
                <w:between w:val="nil"/>
              </w:pBdr>
              <w:spacing w:line="276" w:lineRule="auto"/>
              <w:ind w:left="0" w:hanging="2"/>
              <w:rPr>
                <w:rFonts w:ascii="Calibri" w:eastAsia="Calibri" w:hAnsi="Calibri" w:cs="Calibri"/>
                <w:color w:val="000000"/>
              </w:rPr>
            </w:pPr>
          </w:p>
        </w:tc>
        <w:tc>
          <w:tcPr>
            <w:tcW w:w="2050" w:type="dxa"/>
            <w:gridSpan w:val="2"/>
            <w:vAlign w:val="center"/>
          </w:tcPr>
          <w:p w:rsidR="00652BAB" w:rsidRDefault="007E6FE4">
            <w:pPr>
              <w:ind w:left="0" w:hanging="2"/>
              <w:jc w:val="center"/>
              <w:rPr>
                <w:rFonts w:ascii="Calibri" w:eastAsia="Calibri" w:hAnsi="Calibri" w:cs="Calibri"/>
                <w:color w:val="000000"/>
              </w:rPr>
            </w:pPr>
            <w:r>
              <w:rPr>
                <w:rFonts w:ascii="Calibri" w:eastAsia="Calibri" w:hAnsi="Calibri" w:cs="Calibri"/>
                <w:color w:val="000000"/>
              </w:rPr>
              <w:t>Mujeres</w:t>
            </w:r>
          </w:p>
        </w:tc>
        <w:tc>
          <w:tcPr>
            <w:tcW w:w="1049" w:type="dxa"/>
            <w:vAlign w:val="center"/>
          </w:tcPr>
          <w:p w:rsidR="00652BAB" w:rsidRDefault="007E6FE4">
            <w:pPr>
              <w:ind w:left="0" w:hanging="2"/>
              <w:jc w:val="center"/>
              <w:rPr>
                <w:rFonts w:ascii="Calibri" w:eastAsia="Calibri" w:hAnsi="Calibri" w:cs="Calibri"/>
                <w:color w:val="000000"/>
              </w:rPr>
            </w:pPr>
            <w:r>
              <w:rPr>
                <w:rFonts w:ascii="Calibri" w:eastAsia="Calibri" w:hAnsi="Calibri" w:cs="Calibri"/>
                <w:color w:val="000000"/>
              </w:rPr>
              <w:t>Hombres</w:t>
            </w:r>
          </w:p>
        </w:tc>
        <w:tc>
          <w:tcPr>
            <w:tcW w:w="3220" w:type="dxa"/>
            <w:gridSpan w:val="3"/>
            <w:vAlign w:val="center"/>
          </w:tcPr>
          <w:p w:rsidR="00652BAB" w:rsidRDefault="00652BAB">
            <w:pPr>
              <w:pBdr>
                <w:top w:val="nil"/>
                <w:left w:val="nil"/>
                <w:bottom w:val="nil"/>
                <w:right w:val="nil"/>
                <w:between w:val="nil"/>
              </w:pBdr>
              <w:ind w:left="0" w:hanging="2"/>
              <w:jc w:val="center"/>
              <w:rPr>
                <w:rFonts w:ascii="Calibri" w:eastAsia="Calibri" w:hAnsi="Calibri" w:cs="Calibri"/>
                <w:color w:val="000000"/>
              </w:rPr>
            </w:pPr>
          </w:p>
        </w:tc>
      </w:tr>
      <w:tr w:rsidR="00652BAB">
        <w:trPr>
          <w:cantSplit/>
          <w:trHeight w:val="204"/>
        </w:trPr>
        <w:tc>
          <w:tcPr>
            <w:tcW w:w="1489" w:type="dxa"/>
            <w:vMerge/>
            <w:vAlign w:val="center"/>
          </w:tcPr>
          <w:p w:rsidR="00652BAB" w:rsidRDefault="00652BAB">
            <w:pPr>
              <w:pBdr>
                <w:top w:val="nil"/>
                <w:left w:val="nil"/>
                <w:bottom w:val="nil"/>
                <w:right w:val="nil"/>
                <w:between w:val="nil"/>
              </w:pBdr>
              <w:spacing w:line="276" w:lineRule="auto"/>
              <w:ind w:left="0" w:hanging="2"/>
              <w:rPr>
                <w:rFonts w:ascii="Calibri" w:eastAsia="Calibri" w:hAnsi="Calibri" w:cs="Calibri"/>
                <w:color w:val="000000"/>
              </w:rPr>
            </w:pPr>
          </w:p>
        </w:tc>
        <w:tc>
          <w:tcPr>
            <w:tcW w:w="935" w:type="dxa"/>
            <w:vMerge/>
            <w:vAlign w:val="center"/>
          </w:tcPr>
          <w:p w:rsidR="00652BAB" w:rsidRDefault="00652BAB">
            <w:pPr>
              <w:pBdr>
                <w:top w:val="nil"/>
                <w:left w:val="nil"/>
                <w:bottom w:val="nil"/>
                <w:right w:val="nil"/>
                <w:between w:val="nil"/>
              </w:pBdr>
              <w:spacing w:line="276" w:lineRule="auto"/>
              <w:ind w:left="0" w:hanging="2"/>
              <w:rPr>
                <w:rFonts w:ascii="Calibri" w:eastAsia="Calibri" w:hAnsi="Calibri" w:cs="Calibri"/>
                <w:color w:val="000000"/>
              </w:rPr>
            </w:pPr>
          </w:p>
        </w:tc>
        <w:tc>
          <w:tcPr>
            <w:tcW w:w="1015" w:type="dxa"/>
            <w:vAlign w:val="center"/>
          </w:tcPr>
          <w:p w:rsidR="00652BAB" w:rsidRDefault="007E6FE4">
            <w:pPr>
              <w:ind w:left="0" w:hanging="2"/>
              <w:jc w:val="center"/>
              <w:rPr>
                <w:rFonts w:ascii="Calibri" w:eastAsia="Calibri" w:hAnsi="Calibri" w:cs="Calibri"/>
                <w:color w:val="000000"/>
              </w:rPr>
            </w:pPr>
            <w:r>
              <w:rPr>
                <w:rFonts w:ascii="Calibri" w:eastAsia="Calibri" w:hAnsi="Calibri" w:cs="Calibri"/>
                <w:color w:val="000000"/>
              </w:rPr>
              <w:t>Mayores</w:t>
            </w:r>
          </w:p>
        </w:tc>
        <w:tc>
          <w:tcPr>
            <w:tcW w:w="1035" w:type="dxa"/>
            <w:vAlign w:val="center"/>
          </w:tcPr>
          <w:p w:rsidR="00652BAB" w:rsidRDefault="007E6FE4">
            <w:pPr>
              <w:ind w:left="0" w:hanging="2"/>
              <w:jc w:val="center"/>
              <w:rPr>
                <w:rFonts w:ascii="Calibri" w:eastAsia="Calibri" w:hAnsi="Calibri" w:cs="Calibri"/>
                <w:color w:val="000000"/>
              </w:rPr>
            </w:pPr>
            <w:r>
              <w:rPr>
                <w:rFonts w:ascii="Calibri" w:eastAsia="Calibri" w:hAnsi="Calibri" w:cs="Calibri"/>
                <w:color w:val="000000"/>
              </w:rPr>
              <w:t>Menores</w:t>
            </w:r>
          </w:p>
        </w:tc>
        <w:tc>
          <w:tcPr>
            <w:tcW w:w="1049" w:type="dxa"/>
            <w:vAlign w:val="center"/>
          </w:tcPr>
          <w:p w:rsidR="00652BAB" w:rsidRDefault="007E6FE4">
            <w:pPr>
              <w:ind w:left="0" w:hanging="2"/>
              <w:jc w:val="center"/>
              <w:rPr>
                <w:rFonts w:ascii="Calibri" w:eastAsia="Calibri" w:hAnsi="Calibri" w:cs="Calibri"/>
                <w:color w:val="000000"/>
              </w:rPr>
            </w:pPr>
            <w:r>
              <w:rPr>
                <w:rFonts w:ascii="Calibri" w:eastAsia="Calibri" w:hAnsi="Calibri" w:cs="Calibri"/>
                <w:color w:val="000000"/>
              </w:rPr>
              <w:t>Mayores</w:t>
            </w:r>
          </w:p>
        </w:tc>
        <w:tc>
          <w:tcPr>
            <w:tcW w:w="1049" w:type="dxa"/>
            <w:vAlign w:val="center"/>
          </w:tcPr>
          <w:p w:rsidR="00652BAB" w:rsidRDefault="007E6FE4">
            <w:pPr>
              <w:ind w:left="0" w:hanging="2"/>
              <w:jc w:val="center"/>
              <w:rPr>
                <w:rFonts w:ascii="Calibri" w:eastAsia="Calibri" w:hAnsi="Calibri" w:cs="Calibri"/>
                <w:color w:val="000000"/>
              </w:rPr>
            </w:pPr>
            <w:r>
              <w:rPr>
                <w:rFonts w:ascii="Calibri" w:eastAsia="Calibri" w:hAnsi="Calibri" w:cs="Calibri"/>
                <w:color w:val="000000"/>
              </w:rPr>
              <w:t>Hombres</w:t>
            </w:r>
          </w:p>
        </w:tc>
        <w:tc>
          <w:tcPr>
            <w:tcW w:w="977" w:type="dxa"/>
            <w:vAlign w:val="center"/>
          </w:tcPr>
          <w:p w:rsidR="00652BAB" w:rsidRDefault="007E6FE4">
            <w:pPr>
              <w:ind w:left="0" w:hanging="2"/>
              <w:jc w:val="center"/>
              <w:rPr>
                <w:rFonts w:ascii="Calibri" w:eastAsia="Calibri" w:hAnsi="Calibri" w:cs="Calibri"/>
                <w:color w:val="000000"/>
              </w:rPr>
            </w:pPr>
            <w:r>
              <w:rPr>
                <w:rFonts w:ascii="Calibri" w:eastAsia="Calibri" w:hAnsi="Calibri" w:cs="Calibri"/>
                <w:color w:val="000000"/>
              </w:rPr>
              <w:t>Mujeres</w:t>
            </w:r>
          </w:p>
        </w:tc>
        <w:tc>
          <w:tcPr>
            <w:tcW w:w="1194" w:type="dxa"/>
            <w:vAlign w:val="center"/>
          </w:tcPr>
          <w:p w:rsidR="00652BAB" w:rsidRDefault="007E6FE4">
            <w:pPr>
              <w:ind w:left="0" w:hanging="2"/>
              <w:jc w:val="center"/>
              <w:rPr>
                <w:rFonts w:ascii="Calibri" w:eastAsia="Calibri" w:hAnsi="Calibri" w:cs="Calibri"/>
                <w:color w:val="000000"/>
              </w:rPr>
            </w:pPr>
            <w:r>
              <w:rPr>
                <w:rFonts w:ascii="Calibri" w:eastAsia="Calibri" w:hAnsi="Calibri" w:cs="Calibri"/>
                <w:color w:val="000000"/>
              </w:rPr>
              <w:t>P. Jurídicas</w:t>
            </w:r>
          </w:p>
        </w:tc>
      </w:tr>
      <w:tr w:rsidR="00652BAB">
        <w:trPr>
          <w:trHeight w:val="131"/>
        </w:trPr>
        <w:tc>
          <w:tcPr>
            <w:tcW w:w="1489" w:type="dxa"/>
            <w:vAlign w:val="center"/>
          </w:tcPr>
          <w:p w:rsidR="00652BAB" w:rsidRDefault="007E6FE4">
            <w:pPr>
              <w:ind w:left="0" w:hanging="2"/>
              <w:jc w:val="center"/>
              <w:rPr>
                <w:rFonts w:ascii="Calibri" w:eastAsia="Calibri" w:hAnsi="Calibri" w:cs="Calibri"/>
                <w:color w:val="000000"/>
              </w:rPr>
            </w:pPr>
            <w:r>
              <w:rPr>
                <w:rFonts w:ascii="Calibri" w:eastAsia="Calibri" w:hAnsi="Calibri" w:cs="Calibri"/>
                <w:color w:val="000000"/>
              </w:rPr>
              <w:t>Sexual</w:t>
            </w:r>
          </w:p>
        </w:tc>
        <w:tc>
          <w:tcPr>
            <w:tcW w:w="935" w:type="dxa"/>
            <w:vAlign w:val="center"/>
          </w:tcPr>
          <w:p w:rsidR="00652BAB" w:rsidRDefault="007E6FE4">
            <w:pPr>
              <w:ind w:left="0" w:hanging="2"/>
              <w:jc w:val="center"/>
              <w:rPr>
                <w:rFonts w:ascii="Calibri" w:eastAsia="Calibri" w:hAnsi="Calibri" w:cs="Calibri"/>
                <w:color w:val="000000"/>
              </w:rPr>
            </w:pPr>
            <w:r>
              <w:rPr>
                <w:rFonts w:ascii="Calibri" w:eastAsia="Calibri" w:hAnsi="Calibri" w:cs="Calibri"/>
                <w:color w:val="000000"/>
              </w:rPr>
              <w:t>34</w:t>
            </w:r>
          </w:p>
        </w:tc>
        <w:tc>
          <w:tcPr>
            <w:tcW w:w="1015" w:type="dxa"/>
            <w:vAlign w:val="center"/>
          </w:tcPr>
          <w:p w:rsidR="00652BAB" w:rsidRDefault="007E6FE4">
            <w:pPr>
              <w:ind w:left="0" w:hanging="2"/>
              <w:jc w:val="center"/>
              <w:rPr>
                <w:rFonts w:ascii="Calibri" w:eastAsia="Calibri" w:hAnsi="Calibri" w:cs="Calibri"/>
                <w:color w:val="000000"/>
              </w:rPr>
            </w:pPr>
            <w:r>
              <w:rPr>
                <w:rFonts w:ascii="Calibri" w:eastAsia="Calibri" w:hAnsi="Calibri" w:cs="Calibri"/>
                <w:color w:val="000000"/>
              </w:rPr>
              <w:t>79</w:t>
            </w:r>
          </w:p>
        </w:tc>
        <w:tc>
          <w:tcPr>
            <w:tcW w:w="1035" w:type="dxa"/>
            <w:vAlign w:val="center"/>
          </w:tcPr>
          <w:p w:rsidR="00652BAB" w:rsidRDefault="007E6FE4">
            <w:pPr>
              <w:ind w:left="0" w:hanging="2"/>
              <w:jc w:val="center"/>
              <w:rPr>
                <w:rFonts w:ascii="Calibri" w:eastAsia="Calibri" w:hAnsi="Calibri" w:cs="Calibri"/>
                <w:color w:val="000000"/>
              </w:rPr>
            </w:pPr>
            <w:r>
              <w:rPr>
                <w:rFonts w:ascii="Calibri" w:eastAsia="Calibri" w:hAnsi="Calibri" w:cs="Calibri"/>
                <w:color w:val="000000"/>
              </w:rPr>
              <w:t>5</w:t>
            </w:r>
          </w:p>
        </w:tc>
        <w:tc>
          <w:tcPr>
            <w:tcW w:w="1049" w:type="dxa"/>
            <w:vAlign w:val="center"/>
          </w:tcPr>
          <w:p w:rsidR="00652BAB" w:rsidRDefault="007E6FE4">
            <w:pPr>
              <w:ind w:left="0" w:hanging="2"/>
              <w:jc w:val="center"/>
              <w:rPr>
                <w:rFonts w:ascii="Calibri" w:eastAsia="Calibri" w:hAnsi="Calibri" w:cs="Calibri"/>
                <w:color w:val="000000"/>
              </w:rPr>
            </w:pPr>
            <w:r>
              <w:rPr>
                <w:rFonts w:ascii="Calibri" w:eastAsia="Calibri" w:hAnsi="Calibri" w:cs="Calibri"/>
                <w:color w:val="000000"/>
              </w:rPr>
              <w:t>0</w:t>
            </w:r>
          </w:p>
        </w:tc>
        <w:tc>
          <w:tcPr>
            <w:tcW w:w="1049" w:type="dxa"/>
            <w:vAlign w:val="center"/>
          </w:tcPr>
          <w:p w:rsidR="00652BAB" w:rsidRDefault="007E6FE4">
            <w:pPr>
              <w:ind w:left="0" w:hanging="2"/>
              <w:jc w:val="center"/>
              <w:rPr>
                <w:rFonts w:ascii="Calibri" w:eastAsia="Calibri" w:hAnsi="Calibri" w:cs="Calibri"/>
                <w:color w:val="000000"/>
              </w:rPr>
            </w:pPr>
            <w:r>
              <w:rPr>
                <w:rFonts w:ascii="Calibri" w:eastAsia="Calibri" w:hAnsi="Calibri" w:cs="Calibri"/>
                <w:color w:val="000000"/>
              </w:rPr>
              <w:t>55</w:t>
            </w:r>
          </w:p>
        </w:tc>
        <w:tc>
          <w:tcPr>
            <w:tcW w:w="977" w:type="dxa"/>
            <w:vAlign w:val="center"/>
          </w:tcPr>
          <w:p w:rsidR="00652BAB" w:rsidRDefault="007E6FE4">
            <w:pPr>
              <w:ind w:left="0" w:hanging="2"/>
              <w:jc w:val="center"/>
              <w:rPr>
                <w:rFonts w:ascii="Calibri" w:eastAsia="Calibri" w:hAnsi="Calibri" w:cs="Calibri"/>
                <w:color w:val="000000"/>
              </w:rPr>
            </w:pPr>
            <w:r>
              <w:rPr>
                <w:rFonts w:ascii="Calibri" w:eastAsia="Calibri" w:hAnsi="Calibri" w:cs="Calibri"/>
                <w:color w:val="000000"/>
              </w:rPr>
              <w:t>53</w:t>
            </w:r>
          </w:p>
        </w:tc>
        <w:tc>
          <w:tcPr>
            <w:tcW w:w="1194" w:type="dxa"/>
            <w:vAlign w:val="center"/>
          </w:tcPr>
          <w:p w:rsidR="00652BAB" w:rsidRDefault="007E6FE4">
            <w:pPr>
              <w:ind w:left="0" w:hanging="2"/>
              <w:jc w:val="center"/>
              <w:rPr>
                <w:rFonts w:ascii="Calibri" w:eastAsia="Calibri" w:hAnsi="Calibri" w:cs="Calibri"/>
                <w:color w:val="000000"/>
              </w:rPr>
            </w:pPr>
            <w:r>
              <w:rPr>
                <w:rFonts w:ascii="Calibri" w:eastAsia="Calibri" w:hAnsi="Calibri" w:cs="Calibri"/>
                <w:color w:val="000000"/>
              </w:rPr>
              <w:t>2</w:t>
            </w:r>
          </w:p>
        </w:tc>
      </w:tr>
      <w:tr w:rsidR="00652BAB">
        <w:trPr>
          <w:trHeight w:val="131"/>
        </w:trPr>
        <w:tc>
          <w:tcPr>
            <w:tcW w:w="1489" w:type="dxa"/>
            <w:vAlign w:val="center"/>
          </w:tcPr>
          <w:p w:rsidR="00652BAB" w:rsidRDefault="007E6FE4">
            <w:pPr>
              <w:ind w:left="0" w:hanging="2"/>
              <w:jc w:val="center"/>
              <w:rPr>
                <w:rFonts w:ascii="Calibri" w:eastAsia="Calibri" w:hAnsi="Calibri" w:cs="Calibri"/>
                <w:color w:val="000000"/>
              </w:rPr>
            </w:pPr>
            <w:r>
              <w:rPr>
                <w:rFonts w:ascii="Calibri" w:eastAsia="Calibri" w:hAnsi="Calibri" w:cs="Calibri"/>
                <w:color w:val="000000"/>
              </w:rPr>
              <w:t>Laboral</w:t>
            </w:r>
          </w:p>
        </w:tc>
        <w:tc>
          <w:tcPr>
            <w:tcW w:w="935" w:type="dxa"/>
            <w:vAlign w:val="center"/>
          </w:tcPr>
          <w:p w:rsidR="00652BAB" w:rsidRDefault="007E6FE4">
            <w:pPr>
              <w:ind w:left="0" w:hanging="2"/>
              <w:jc w:val="center"/>
              <w:rPr>
                <w:rFonts w:ascii="Calibri" w:eastAsia="Calibri" w:hAnsi="Calibri" w:cs="Calibri"/>
                <w:color w:val="000000"/>
              </w:rPr>
            </w:pPr>
            <w:r>
              <w:rPr>
                <w:rFonts w:ascii="Calibri" w:eastAsia="Calibri" w:hAnsi="Calibri" w:cs="Calibri"/>
                <w:color w:val="000000"/>
              </w:rPr>
              <w:t>5</w:t>
            </w:r>
          </w:p>
        </w:tc>
        <w:tc>
          <w:tcPr>
            <w:tcW w:w="1015" w:type="dxa"/>
            <w:vAlign w:val="center"/>
          </w:tcPr>
          <w:p w:rsidR="00652BAB" w:rsidRDefault="007E6FE4">
            <w:pPr>
              <w:ind w:left="0" w:hanging="2"/>
              <w:jc w:val="center"/>
              <w:rPr>
                <w:rFonts w:ascii="Calibri" w:eastAsia="Calibri" w:hAnsi="Calibri" w:cs="Calibri"/>
                <w:color w:val="000000"/>
              </w:rPr>
            </w:pPr>
            <w:r>
              <w:rPr>
                <w:rFonts w:ascii="Calibri" w:eastAsia="Calibri" w:hAnsi="Calibri" w:cs="Calibri"/>
                <w:color w:val="000000"/>
              </w:rPr>
              <w:t>0</w:t>
            </w:r>
          </w:p>
        </w:tc>
        <w:tc>
          <w:tcPr>
            <w:tcW w:w="1035" w:type="dxa"/>
            <w:vAlign w:val="center"/>
          </w:tcPr>
          <w:p w:rsidR="00652BAB" w:rsidRDefault="007E6FE4">
            <w:pPr>
              <w:ind w:left="0" w:hanging="2"/>
              <w:jc w:val="center"/>
              <w:rPr>
                <w:rFonts w:ascii="Calibri" w:eastAsia="Calibri" w:hAnsi="Calibri" w:cs="Calibri"/>
                <w:color w:val="000000"/>
              </w:rPr>
            </w:pPr>
            <w:r>
              <w:rPr>
                <w:rFonts w:ascii="Calibri" w:eastAsia="Calibri" w:hAnsi="Calibri" w:cs="Calibri"/>
                <w:color w:val="000000"/>
              </w:rPr>
              <w:t>5</w:t>
            </w:r>
          </w:p>
        </w:tc>
        <w:tc>
          <w:tcPr>
            <w:tcW w:w="1049" w:type="dxa"/>
            <w:vAlign w:val="center"/>
          </w:tcPr>
          <w:p w:rsidR="00652BAB" w:rsidRDefault="007E6FE4">
            <w:pPr>
              <w:ind w:left="0" w:hanging="2"/>
              <w:jc w:val="center"/>
              <w:rPr>
                <w:rFonts w:ascii="Calibri" w:eastAsia="Calibri" w:hAnsi="Calibri" w:cs="Calibri"/>
                <w:color w:val="000000"/>
              </w:rPr>
            </w:pPr>
            <w:r>
              <w:rPr>
                <w:rFonts w:ascii="Calibri" w:eastAsia="Calibri" w:hAnsi="Calibri" w:cs="Calibri"/>
                <w:color w:val="000000"/>
              </w:rPr>
              <w:t>20</w:t>
            </w:r>
          </w:p>
        </w:tc>
        <w:tc>
          <w:tcPr>
            <w:tcW w:w="1049" w:type="dxa"/>
            <w:vAlign w:val="center"/>
          </w:tcPr>
          <w:p w:rsidR="00652BAB" w:rsidRDefault="007E6FE4">
            <w:pPr>
              <w:ind w:left="0" w:hanging="2"/>
              <w:jc w:val="center"/>
              <w:rPr>
                <w:rFonts w:ascii="Calibri" w:eastAsia="Calibri" w:hAnsi="Calibri" w:cs="Calibri"/>
                <w:color w:val="000000"/>
              </w:rPr>
            </w:pPr>
            <w:r>
              <w:rPr>
                <w:rFonts w:ascii="Calibri" w:eastAsia="Calibri" w:hAnsi="Calibri" w:cs="Calibri"/>
                <w:color w:val="000000"/>
              </w:rPr>
              <w:t>9</w:t>
            </w:r>
          </w:p>
        </w:tc>
        <w:tc>
          <w:tcPr>
            <w:tcW w:w="977" w:type="dxa"/>
            <w:vAlign w:val="center"/>
          </w:tcPr>
          <w:p w:rsidR="00652BAB" w:rsidRDefault="007E6FE4">
            <w:pPr>
              <w:ind w:left="0" w:hanging="2"/>
              <w:jc w:val="center"/>
              <w:rPr>
                <w:rFonts w:ascii="Calibri" w:eastAsia="Calibri" w:hAnsi="Calibri" w:cs="Calibri"/>
                <w:color w:val="000000"/>
              </w:rPr>
            </w:pPr>
            <w:r>
              <w:rPr>
                <w:rFonts w:ascii="Calibri" w:eastAsia="Calibri" w:hAnsi="Calibri" w:cs="Calibri"/>
                <w:color w:val="000000"/>
              </w:rPr>
              <w:t>3</w:t>
            </w:r>
          </w:p>
        </w:tc>
        <w:tc>
          <w:tcPr>
            <w:tcW w:w="1194" w:type="dxa"/>
            <w:vAlign w:val="center"/>
          </w:tcPr>
          <w:p w:rsidR="00652BAB" w:rsidRDefault="007E6FE4">
            <w:pPr>
              <w:ind w:left="0" w:hanging="2"/>
              <w:jc w:val="center"/>
              <w:rPr>
                <w:rFonts w:ascii="Calibri" w:eastAsia="Calibri" w:hAnsi="Calibri" w:cs="Calibri"/>
                <w:color w:val="000000"/>
              </w:rPr>
            </w:pPr>
            <w:r>
              <w:rPr>
                <w:rFonts w:ascii="Calibri" w:eastAsia="Calibri" w:hAnsi="Calibri" w:cs="Calibri"/>
                <w:color w:val="000000"/>
              </w:rPr>
              <w:t>0</w:t>
            </w:r>
          </w:p>
        </w:tc>
      </w:tr>
      <w:tr w:rsidR="00652BAB">
        <w:trPr>
          <w:trHeight w:val="131"/>
        </w:trPr>
        <w:tc>
          <w:tcPr>
            <w:tcW w:w="1489" w:type="dxa"/>
            <w:vAlign w:val="center"/>
          </w:tcPr>
          <w:p w:rsidR="00652BAB" w:rsidRDefault="007E6FE4">
            <w:pPr>
              <w:ind w:left="0" w:hanging="2"/>
              <w:jc w:val="center"/>
              <w:rPr>
                <w:rFonts w:ascii="Calibri" w:eastAsia="Calibri" w:hAnsi="Calibri" w:cs="Calibri"/>
                <w:color w:val="000000"/>
              </w:rPr>
            </w:pPr>
            <w:r>
              <w:rPr>
                <w:rFonts w:ascii="Calibri" w:eastAsia="Calibri" w:hAnsi="Calibri" w:cs="Calibri"/>
                <w:color w:val="000000"/>
              </w:rPr>
              <w:t>Mendicidad</w:t>
            </w:r>
          </w:p>
        </w:tc>
        <w:tc>
          <w:tcPr>
            <w:tcW w:w="935" w:type="dxa"/>
            <w:vAlign w:val="center"/>
          </w:tcPr>
          <w:p w:rsidR="00652BAB" w:rsidRDefault="007E6FE4">
            <w:pPr>
              <w:ind w:left="0" w:hanging="2"/>
              <w:jc w:val="center"/>
              <w:rPr>
                <w:rFonts w:ascii="Calibri" w:eastAsia="Calibri" w:hAnsi="Calibri" w:cs="Calibri"/>
                <w:color w:val="000000"/>
              </w:rPr>
            </w:pPr>
            <w:r>
              <w:rPr>
                <w:rFonts w:ascii="Calibri" w:eastAsia="Calibri" w:hAnsi="Calibri" w:cs="Calibri"/>
                <w:color w:val="000000"/>
              </w:rPr>
              <w:t>1</w:t>
            </w:r>
          </w:p>
        </w:tc>
        <w:tc>
          <w:tcPr>
            <w:tcW w:w="1015" w:type="dxa"/>
            <w:vAlign w:val="center"/>
          </w:tcPr>
          <w:p w:rsidR="00652BAB" w:rsidRDefault="007E6FE4">
            <w:pPr>
              <w:ind w:left="0" w:hanging="2"/>
              <w:jc w:val="center"/>
              <w:rPr>
                <w:rFonts w:ascii="Calibri" w:eastAsia="Calibri" w:hAnsi="Calibri" w:cs="Calibri"/>
                <w:color w:val="000000"/>
              </w:rPr>
            </w:pPr>
            <w:r>
              <w:rPr>
                <w:rFonts w:ascii="Calibri" w:eastAsia="Calibri" w:hAnsi="Calibri" w:cs="Calibri"/>
                <w:color w:val="000000"/>
              </w:rPr>
              <w:t>0</w:t>
            </w:r>
          </w:p>
        </w:tc>
        <w:tc>
          <w:tcPr>
            <w:tcW w:w="1035" w:type="dxa"/>
            <w:vAlign w:val="center"/>
          </w:tcPr>
          <w:p w:rsidR="00652BAB" w:rsidRDefault="007E6FE4">
            <w:pPr>
              <w:ind w:left="0" w:hanging="2"/>
              <w:jc w:val="center"/>
              <w:rPr>
                <w:rFonts w:ascii="Calibri" w:eastAsia="Calibri" w:hAnsi="Calibri" w:cs="Calibri"/>
                <w:color w:val="000000"/>
              </w:rPr>
            </w:pPr>
            <w:r>
              <w:rPr>
                <w:rFonts w:ascii="Calibri" w:eastAsia="Calibri" w:hAnsi="Calibri" w:cs="Calibri"/>
                <w:color w:val="000000"/>
              </w:rPr>
              <w:t>1</w:t>
            </w:r>
          </w:p>
        </w:tc>
        <w:tc>
          <w:tcPr>
            <w:tcW w:w="1049" w:type="dxa"/>
            <w:vAlign w:val="center"/>
          </w:tcPr>
          <w:p w:rsidR="00652BAB" w:rsidRDefault="007E6FE4">
            <w:pPr>
              <w:ind w:left="0" w:hanging="2"/>
              <w:jc w:val="center"/>
              <w:rPr>
                <w:rFonts w:ascii="Calibri" w:eastAsia="Calibri" w:hAnsi="Calibri" w:cs="Calibri"/>
                <w:color w:val="000000"/>
              </w:rPr>
            </w:pPr>
            <w:r>
              <w:rPr>
                <w:rFonts w:ascii="Calibri" w:eastAsia="Calibri" w:hAnsi="Calibri" w:cs="Calibri"/>
                <w:color w:val="000000"/>
              </w:rPr>
              <w:t>0</w:t>
            </w:r>
          </w:p>
        </w:tc>
        <w:tc>
          <w:tcPr>
            <w:tcW w:w="1049" w:type="dxa"/>
            <w:vAlign w:val="center"/>
          </w:tcPr>
          <w:p w:rsidR="00652BAB" w:rsidRDefault="007E6FE4">
            <w:pPr>
              <w:ind w:left="0" w:hanging="2"/>
              <w:jc w:val="center"/>
              <w:rPr>
                <w:rFonts w:ascii="Calibri" w:eastAsia="Calibri" w:hAnsi="Calibri" w:cs="Calibri"/>
                <w:color w:val="000000"/>
              </w:rPr>
            </w:pPr>
            <w:r>
              <w:rPr>
                <w:rFonts w:ascii="Calibri" w:eastAsia="Calibri" w:hAnsi="Calibri" w:cs="Calibri"/>
                <w:color w:val="000000"/>
              </w:rPr>
              <w:t>1</w:t>
            </w:r>
          </w:p>
        </w:tc>
        <w:tc>
          <w:tcPr>
            <w:tcW w:w="977" w:type="dxa"/>
            <w:vAlign w:val="center"/>
          </w:tcPr>
          <w:p w:rsidR="00652BAB" w:rsidRDefault="007E6FE4">
            <w:pPr>
              <w:ind w:left="0" w:hanging="2"/>
              <w:jc w:val="center"/>
              <w:rPr>
                <w:rFonts w:ascii="Calibri" w:eastAsia="Calibri" w:hAnsi="Calibri" w:cs="Calibri"/>
                <w:color w:val="000000"/>
              </w:rPr>
            </w:pPr>
            <w:r>
              <w:rPr>
                <w:rFonts w:ascii="Calibri" w:eastAsia="Calibri" w:hAnsi="Calibri" w:cs="Calibri"/>
                <w:color w:val="000000"/>
              </w:rPr>
              <w:t>1</w:t>
            </w:r>
          </w:p>
        </w:tc>
        <w:tc>
          <w:tcPr>
            <w:tcW w:w="1194" w:type="dxa"/>
            <w:vAlign w:val="center"/>
          </w:tcPr>
          <w:p w:rsidR="00652BAB" w:rsidRDefault="007E6FE4">
            <w:pPr>
              <w:ind w:left="0" w:hanging="2"/>
              <w:jc w:val="center"/>
              <w:rPr>
                <w:rFonts w:ascii="Calibri" w:eastAsia="Calibri" w:hAnsi="Calibri" w:cs="Calibri"/>
                <w:color w:val="000000"/>
              </w:rPr>
            </w:pPr>
            <w:r>
              <w:rPr>
                <w:rFonts w:ascii="Calibri" w:eastAsia="Calibri" w:hAnsi="Calibri" w:cs="Calibri"/>
                <w:color w:val="000000"/>
              </w:rPr>
              <w:t>0</w:t>
            </w:r>
          </w:p>
        </w:tc>
      </w:tr>
      <w:tr w:rsidR="00652BAB">
        <w:trPr>
          <w:trHeight w:val="131"/>
        </w:trPr>
        <w:tc>
          <w:tcPr>
            <w:tcW w:w="1489" w:type="dxa"/>
            <w:vAlign w:val="center"/>
          </w:tcPr>
          <w:p w:rsidR="00652BAB" w:rsidRDefault="007E6FE4">
            <w:pPr>
              <w:ind w:left="0" w:hanging="2"/>
              <w:jc w:val="center"/>
              <w:rPr>
                <w:rFonts w:ascii="Calibri" w:eastAsia="Calibri" w:hAnsi="Calibri" w:cs="Calibri"/>
                <w:color w:val="000000"/>
              </w:rPr>
            </w:pPr>
            <w:r>
              <w:rPr>
                <w:rFonts w:ascii="Calibri" w:eastAsia="Calibri" w:hAnsi="Calibri" w:cs="Calibri"/>
                <w:color w:val="000000"/>
              </w:rPr>
              <w:t>Act. Delict.</w:t>
            </w:r>
          </w:p>
        </w:tc>
        <w:tc>
          <w:tcPr>
            <w:tcW w:w="935" w:type="dxa"/>
            <w:vAlign w:val="center"/>
          </w:tcPr>
          <w:p w:rsidR="00652BAB" w:rsidRDefault="007E6FE4">
            <w:pPr>
              <w:ind w:left="0" w:hanging="2"/>
              <w:jc w:val="center"/>
              <w:rPr>
                <w:rFonts w:ascii="Calibri" w:eastAsia="Calibri" w:hAnsi="Calibri" w:cs="Calibri"/>
                <w:color w:val="000000"/>
              </w:rPr>
            </w:pPr>
            <w:r>
              <w:rPr>
                <w:rFonts w:ascii="Calibri" w:eastAsia="Calibri" w:hAnsi="Calibri" w:cs="Calibri"/>
                <w:color w:val="000000"/>
              </w:rPr>
              <w:t>1</w:t>
            </w:r>
          </w:p>
        </w:tc>
        <w:tc>
          <w:tcPr>
            <w:tcW w:w="1015" w:type="dxa"/>
            <w:vAlign w:val="center"/>
          </w:tcPr>
          <w:p w:rsidR="00652BAB" w:rsidRDefault="007E6FE4">
            <w:pPr>
              <w:ind w:left="0" w:hanging="2"/>
              <w:jc w:val="center"/>
              <w:rPr>
                <w:rFonts w:ascii="Calibri" w:eastAsia="Calibri" w:hAnsi="Calibri" w:cs="Calibri"/>
                <w:color w:val="000000"/>
              </w:rPr>
            </w:pPr>
            <w:r>
              <w:rPr>
                <w:rFonts w:ascii="Calibri" w:eastAsia="Calibri" w:hAnsi="Calibri" w:cs="Calibri"/>
                <w:color w:val="000000"/>
              </w:rPr>
              <w:t>0</w:t>
            </w:r>
          </w:p>
        </w:tc>
        <w:tc>
          <w:tcPr>
            <w:tcW w:w="1035" w:type="dxa"/>
            <w:vAlign w:val="center"/>
          </w:tcPr>
          <w:p w:rsidR="00652BAB" w:rsidRDefault="007E6FE4">
            <w:pPr>
              <w:ind w:left="0" w:hanging="2"/>
              <w:jc w:val="center"/>
              <w:rPr>
                <w:rFonts w:ascii="Calibri" w:eastAsia="Calibri" w:hAnsi="Calibri" w:cs="Calibri"/>
                <w:color w:val="000000"/>
              </w:rPr>
            </w:pPr>
            <w:r>
              <w:rPr>
                <w:rFonts w:ascii="Calibri" w:eastAsia="Calibri" w:hAnsi="Calibri" w:cs="Calibri"/>
                <w:color w:val="000000"/>
              </w:rPr>
              <w:t>0</w:t>
            </w:r>
          </w:p>
        </w:tc>
        <w:tc>
          <w:tcPr>
            <w:tcW w:w="1049" w:type="dxa"/>
            <w:vAlign w:val="center"/>
          </w:tcPr>
          <w:p w:rsidR="00652BAB" w:rsidRDefault="007E6FE4">
            <w:pPr>
              <w:ind w:left="0" w:hanging="2"/>
              <w:jc w:val="center"/>
              <w:rPr>
                <w:rFonts w:ascii="Calibri" w:eastAsia="Calibri" w:hAnsi="Calibri" w:cs="Calibri"/>
                <w:color w:val="000000"/>
              </w:rPr>
            </w:pPr>
            <w:r>
              <w:rPr>
                <w:rFonts w:ascii="Calibri" w:eastAsia="Calibri" w:hAnsi="Calibri" w:cs="Calibri"/>
                <w:color w:val="000000"/>
              </w:rPr>
              <w:t>10</w:t>
            </w:r>
          </w:p>
        </w:tc>
        <w:tc>
          <w:tcPr>
            <w:tcW w:w="1049" w:type="dxa"/>
            <w:vAlign w:val="center"/>
          </w:tcPr>
          <w:p w:rsidR="00652BAB" w:rsidRDefault="007E6FE4">
            <w:pPr>
              <w:ind w:left="0" w:hanging="2"/>
              <w:jc w:val="center"/>
              <w:rPr>
                <w:rFonts w:ascii="Calibri" w:eastAsia="Calibri" w:hAnsi="Calibri" w:cs="Calibri"/>
                <w:color w:val="000000"/>
              </w:rPr>
            </w:pPr>
            <w:r>
              <w:rPr>
                <w:rFonts w:ascii="Calibri" w:eastAsia="Calibri" w:hAnsi="Calibri" w:cs="Calibri"/>
                <w:color w:val="000000"/>
              </w:rPr>
              <w:t>6</w:t>
            </w:r>
          </w:p>
        </w:tc>
        <w:tc>
          <w:tcPr>
            <w:tcW w:w="977" w:type="dxa"/>
            <w:vAlign w:val="center"/>
          </w:tcPr>
          <w:p w:rsidR="00652BAB" w:rsidRDefault="007E6FE4">
            <w:pPr>
              <w:ind w:left="0" w:hanging="2"/>
              <w:jc w:val="center"/>
              <w:rPr>
                <w:rFonts w:ascii="Calibri" w:eastAsia="Calibri" w:hAnsi="Calibri" w:cs="Calibri"/>
                <w:color w:val="000000"/>
              </w:rPr>
            </w:pPr>
            <w:r>
              <w:rPr>
                <w:rFonts w:ascii="Calibri" w:eastAsia="Calibri" w:hAnsi="Calibri" w:cs="Calibri"/>
                <w:color w:val="000000"/>
              </w:rPr>
              <w:t>0</w:t>
            </w:r>
          </w:p>
        </w:tc>
        <w:tc>
          <w:tcPr>
            <w:tcW w:w="1194" w:type="dxa"/>
            <w:vAlign w:val="center"/>
          </w:tcPr>
          <w:p w:rsidR="00652BAB" w:rsidRDefault="007E6FE4">
            <w:pPr>
              <w:ind w:left="0" w:hanging="2"/>
              <w:jc w:val="center"/>
              <w:rPr>
                <w:rFonts w:ascii="Calibri" w:eastAsia="Calibri" w:hAnsi="Calibri" w:cs="Calibri"/>
                <w:color w:val="000000"/>
              </w:rPr>
            </w:pPr>
            <w:r>
              <w:rPr>
                <w:rFonts w:ascii="Calibri" w:eastAsia="Calibri" w:hAnsi="Calibri" w:cs="Calibri"/>
                <w:color w:val="000000"/>
              </w:rPr>
              <w:t>0</w:t>
            </w:r>
          </w:p>
        </w:tc>
      </w:tr>
    </w:tbl>
    <w:p w:rsidR="00652BAB" w:rsidRDefault="0046460C">
      <w:pPr>
        <w:shd w:val="clear" w:color="auto" w:fill="FFFFFF"/>
        <w:spacing w:before="120" w:after="240"/>
        <w:ind w:left="0" w:hanging="2"/>
        <w:jc w:val="both"/>
        <w:rPr>
          <w:rFonts w:ascii="Calibri" w:eastAsia="Calibri" w:hAnsi="Calibri" w:cs="Calibri"/>
          <w:color w:val="0432FF"/>
          <w:sz w:val="16"/>
          <w:szCs w:val="16"/>
        </w:rPr>
      </w:pPr>
      <w:hyperlink r:id="rId48">
        <w:r w:rsidR="007E6FE4">
          <w:rPr>
            <w:rFonts w:ascii="Calibri" w:eastAsia="Calibri" w:hAnsi="Calibri" w:cs="Calibri"/>
            <w:color w:val="000080"/>
            <w:sz w:val="16"/>
            <w:szCs w:val="16"/>
            <w:u w:val="single"/>
          </w:rPr>
          <w:t>Fuente: Memoria 2020 Fiscalía General del Estado 2020</w:t>
        </w:r>
      </w:hyperlink>
    </w:p>
    <w:p w:rsidR="00652BAB" w:rsidRDefault="00652BAB">
      <w:pPr>
        <w:shd w:val="clear" w:color="auto" w:fill="FFFFFF"/>
        <w:spacing w:after="240"/>
        <w:ind w:left="0" w:hanging="2"/>
        <w:jc w:val="both"/>
        <w:rPr>
          <w:rFonts w:ascii="Calibri" w:eastAsia="Calibri" w:hAnsi="Calibri" w:cs="Calibri"/>
          <w:color w:val="713B7A"/>
          <w:sz w:val="24"/>
          <w:szCs w:val="24"/>
        </w:rPr>
      </w:pPr>
    </w:p>
    <w:p w:rsidR="00652BAB" w:rsidRDefault="007E6FE4">
      <w:pPr>
        <w:shd w:val="clear" w:color="auto" w:fill="FFFFFF"/>
        <w:spacing w:after="240"/>
        <w:ind w:left="0" w:hanging="2"/>
        <w:jc w:val="both"/>
        <w:rPr>
          <w:rFonts w:ascii="Calibri" w:eastAsia="Calibri" w:hAnsi="Calibri" w:cs="Calibri"/>
          <w:color w:val="713B7A"/>
          <w:sz w:val="24"/>
          <w:szCs w:val="24"/>
        </w:rPr>
      </w:pPr>
      <w:r>
        <w:rPr>
          <w:rFonts w:ascii="Calibri" w:eastAsia="Calibri" w:hAnsi="Calibri" w:cs="Calibri"/>
          <w:b/>
          <w:color w:val="713B7A"/>
          <w:sz w:val="24"/>
          <w:szCs w:val="24"/>
        </w:rPr>
        <w:t>18-19 SALUD, DERECHOS SEXUALES Y REPRODUCTIVOS (ARTÍCULO 12)</w:t>
      </w:r>
    </w:p>
    <w:p w:rsidR="00652BAB" w:rsidRDefault="007E6FE4">
      <w:pPr>
        <w:widowControl/>
        <w:pBdr>
          <w:top w:val="nil"/>
          <w:left w:val="nil"/>
          <w:bottom w:val="nil"/>
          <w:right w:val="nil"/>
          <w:between w:val="nil"/>
        </w:pBdr>
        <w:spacing w:after="240" w:line="276" w:lineRule="auto"/>
        <w:ind w:left="0" w:hanging="2"/>
        <w:jc w:val="both"/>
        <w:rPr>
          <w:rFonts w:ascii="Calibri" w:eastAsia="Calibri" w:hAnsi="Calibri" w:cs="Calibri"/>
          <w:color w:val="000000"/>
          <w:sz w:val="22"/>
          <w:szCs w:val="22"/>
        </w:rPr>
      </w:pPr>
      <w:r>
        <w:rPr>
          <w:rFonts w:ascii="Calibri" w:eastAsia="Calibri" w:hAnsi="Calibri" w:cs="Calibri"/>
          <w:color w:val="000000"/>
          <w:sz w:val="22"/>
          <w:szCs w:val="22"/>
        </w:rPr>
        <w:t xml:space="preserve">El Sistema Sanitario Público (SNS) español </w:t>
      </w:r>
      <w:r>
        <w:rPr>
          <w:rFonts w:ascii="Calibri" w:eastAsia="Calibri" w:hAnsi="Calibri" w:cs="Calibri"/>
          <w:b/>
          <w:color w:val="000000"/>
          <w:sz w:val="22"/>
          <w:szCs w:val="22"/>
        </w:rPr>
        <w:t>no garantiza actualmente el acceso universal a la atención sanitaria</w:t>
      </w:r>
      <w:r>
        <w:rPr>
          <w:rFonts w:ascii="Calibri" w:eastAsia="Calibri" w:hAnsi="Calibri" w:cs="Calibri"/>
          <w:color w:val="000000"/>
          <w:sz w:val="22"/>
          <w:szCs w:val="22"/>
        </w:rPr>
        <w:t xml:space="preserve"> para migrantes </w:t>
      </w:r>
      <w:r>
        <w:rPr>
          <w:rFonts w:ascii="Calibri" w:eastAsia="Calibri" w:hAnsi="Calibri" w:cs="Calibri"/>
          <w:b/>
          <w:color w:val="000000"/>
          <w:sz w:val="22"/>
          <w:szCs w:val="22"/>
        </w:rPr>
        <w:t>en situación administrativa irregular.</w:t>
      </w:r>
      <w:r>
        <w:rPr>
          <w:rFonts w:ascii="Calibri" w:eastAsia="Calibri" w:hAnsi="Calibri" w:cs="Calibri"/>
          <w:color w:val="000000"/>
          <w:sz w:val="22"/>
          <w:szCs w:val="22"/>
        </w:rPr>
        <w:t xml:space="preserve"> </w:t>
      </w:r>
    </w:p>
    <w:p w:rsidR="00652BAB" w:rsidRDefault="007E6FE4">
      <w:pPr>
        <w:widowControl/>
        <w:pBdr>
          <w:top w:val="nil"/>
          <w:left w:val="nil"/>
          <w:bottom w:val="nil"/>
          <w:right w:val="nil"/>
          <w:between w:val="nil"/>
        </w:pBdr>
        <w:spacing w:after="240" w:line="276" w:lineRule="auto"/>
        <w:ind w:left="0" w:hanging="2"/>
        <w:jc w:val="both"/>
        <w:rPr>
          <w:rFonts w:ascii="Calibri" w:eastAsia="Calibri" w:hAnsi="Calibri" w:cs="Calibri"/>
          <w:color w:val="000000"/>
          <w:sz w:val="22"/>
          <w:szCs w:val="22"/>
        </w:rPr>
      </w:pPr>
      <w:r>
        <w:rPr>
          <w:rFonts w:ascii="Calibri" w:eastAsia="Calibri" w:hAnsi="Calibri" w:cs="Calibri"/>
          <w:b/>
          <w:color w:val="000000"/>
          <w:sz w:val="22"/>
          <w:szCs w:val="22"/>
        </w:rPr>
        <w:t>Deficiente información y formación del personal</w:t>
      </w:r>
      <w:r>
        <w:rPr>
          <w:rFonts w:ascii="Calibri" w:eastAsia="Calibri" w:hAnsi="Calibri" w:cs="Calibri"/>
          <w:color w:val="000000"/>
          <w:sz w:val="22"/>
          <w:szCs w:val="22"/>
        </w:rPr>
        <w:t xml:space="preserve"> sanitario sobre salud sexual y reproductiva (SSR) en general y, en especial, la orientada a mujeres lesbianas y bisexuales. Escasa percepción de riesgo en enfermedades de transmisión sexual, infradiagnóstico y mayor dificultad a medidas de prevención </w:t>
      </w:r>
      <w:r>
        <w:rPr>
          <w:rFonts w:ascii="Calibri" w:eastAsia="Calibri" w:hAnsi="Calibri" w:cs="Calibri"/>
          <w:color w:val="000000"/>
          <w:sz w:val="22"/>
          <w:szCs w:val="22"/>
          <w:highlight w:val="white"/>
        </w:rPr>
        <w:t xml:space="preserve">orientados a </w:t>
      </w:r>
      <w:r>
        <w:rPr>
          <w:rFonts w:ascii="Calibri" w:eastAsia="Calibri" w:hAnsi="Calibri" w:cs="Calibri"/>
          <w:b/>
          <w:color w:val="000000"/>
          <w:sz w:val="22"/>
          <w:szCs w:val="22"/>
          <w:highlight w:val="white"/>
        </w:rPr>
        <w:t>mujeres lesbianas y bisexuales</w:t>
      </w:r>
      <w:r>
        <w:rPr>
          <w:rFonts w:ascii="Calibri" w:eastAsia="Calibri" w:hAnsi="Calibri" w:cs="Calibri"/>
          <w:color w:val="000000"/>
          <w:sz w:val="22"/>
          <w:szCs w:val="22"/>
          <w:highlight w:val="white"/>
        </w:rPr>
        <w:t xml:space="preserve"> (</w:t>
      </w:r>
      <w:hyperlink r:id="rId49">
        <w:r>
          <w:rPr>
            <w:rFonts w:ascii="Calibri" w:eastAsia="Calibri" w:hAnsi="Calibri" w:cs="Calibri"/>
            <w:i/>
            <w:color w:val="000080"/>
            <w:sz w:val="22"/>
            <w:szCs w:val="22"/>
            <w:highlight w:val="white"/>
            <w:u w:val="single"/>
          </w:rPr>
          <w:t>Accem, 2019</w:t>
        </w:r>
      </w:hyperlink>
      <w:r>
        <w:rPr>
          <w:rFonts w:ascii="Calibri" w:eastAsia="Calibri" w:hAnsi="Calibri" w:cs="Calibri"/>
          <w:i/>
          <w:color w:val="000000"/>
          <w:sz w:val="22"/>
          <w:szCs w:val="22"/>
          <w:highlight w:val="white"/>
        </w:rPr>
        <w:t>)</w:t>
      </w:r>
      <w:r>
        <w:rPr>
          <w:rFonts w:ascii="Calibri" w:eastAsia="Calibri" w:hAnsi="Calibri" w:cs="Calibri"/>
          <w:color w:val="000000"/>
          <w:sz w:val="22"/>
          <w:szCs w:val="22"/>
          <w:highlight w:val="white"/>
        </w:rPr>
        <w:t>.</w:t>
      </w:r>
    </w:p>
    <w:p w:rsidR="00652BAB" w:rsidRDefault="0046460C">
      <w:pPr>
        <w:widowControl/>
        <w:pBdr>
          <w:top w:val="nil"/>
          <w:left w:val="nil"/>
          <w:bottom w:val="nil"/>
          <w:right w:val="nil"/>
          <w:between w:val="nil"/>
        </w:pBdr>
        <w:spacing w:after="240" w:line="276" w:lineRule="auto"/>
        <w:ind w:left="0" w:hanging="2"/>
        <w:jc w:val="both"/>
        <w:rPr>
          <w:rFonts w:ascii="Calibri" w:eastAsia="Calibri" w:hAnsi="Calibri" w:cs="Calibri"/>
          <w:color w:val="000000"/>
          <w:sz w:val="22"/>
          <w:szCs w:val="22"/>
        </w:rPr>
      </w:pPr>
      <w:hyperlink r:id="rId50">
        <w:r w:rsidR="007E6FE4">
          <w:rPr>
            <w:rFonts w:ascii="Calibri" w:eastAsia="Calibri" w:hAnsi="Calibri" w:cs="Calibri"/>
            <w:b/>
            <w:color w:val="000080"/>
            <w:sz w:val="22"/>
            <w:szCs w:val="22"/>
            <w:u w:val="single"/>
          </w:rPr>
          <w:t>Sesgos de género en la atención sanitaria</w:t>
        </w:r>
      </w:hyperlink>
      <w:r w:rsidR="007E6FE4">
        <w:rPr>
          <w:rFonts w:ascii="Calibri" w:eastAsia="Calibri" w:hAnsi="Calibri" w:cs="Calibri"/>
          <w:b/>
          <w:color w:val="0000FF"/>
          <w:sz w:val="22"/>
          <w:szCs w:val="22"/>
        </w:rPr>
        <w:t xml:space="preserve">, </w:t>
      </w:r>
      <w:r w:rsidR="007E6FE4">
        <w:rPr>
          <w:rFonts w:ascii="Calibri" w:eastAsia="Calibri" w:hAnsi="Calibri" w:cs="Calibri"/>
          <w:b/>
          <w:color w:val="000000"/>
          <w:sz w:val="22"/>
          <w:szCs w:val="22"/>
        </w:rPr>
        <w:t xml:space="preserve">Investigación clínica y epidemiológica, </w:t>
      </w:r>
      <w:r w:rsidR="007E6FE4">
        <w:rPr>
          <w:rFonts w:ascii="Calibri" w:eastAsia="Calibri" w:hAnsi="Calibri" w:cs="Calibri"/>
          <w:color w:val="000000"/>
          <w:sz w:val="22"/>
          <w:szCs w:val="22"/>
        </w:rPr>
        <w:t xml:space="preserve">especialmente durante la pandemia COVID19. Desconocimiento y falta de estudio de síntomas diferentes entre mujeres y hombres en más enfermedades que provocan un diagnóstico y tratamiento tardíos no ajustados a la anatomofisiología de las mujeres como en el Párkinson. Hay protocolos sanitarios para diagnosticar y tratar precozmente en mujeres que no se traducen en la práctica ya que las mujeres siguen teniendo </w:t>
      </w:r>
      <w:r w:rsidR="007E6FE4">
        <w:rPr>
          <w:rFonts w:ascii="Calibri" w:eastAsia="Calibri" w:hAnsi="Calibri" w:cs="Calibri"/>
          <w:b/>
          <w:color w:val="000000"/>
          <w:sz w:val="22"/>
          <w:szCs w:val="22"/>
        </w:rPr>
        <w:t>mayor morbimortalidad</w:t>
      </w:r>
      <w:r w:rsidR="007E6FE4">
        <w:rPr>
          <w:rFonts w:ascii="Calibri" w:eastAsia="Calibri" w:hAnsi="Calibri" w:cs="Calibri"/>
          <w:color w:val="000000"/>
          <w:sz w:val="22"/>
          <w:szCs w:val="22"/>
        </w:rPr>
        <w:t xml:space="preserve">, persistiendo una brecha de mortalidad cardiovascular. Desconocimiento e infradiagnóstico de enfermedades específicas de las mujeres (endometriosis). En el </w:t>
      </w:r>
      <w:r w:rsidR="007E6FE4">
        <w:rPr>
          <w:rFonts w:ascii="Calibri" w:eastAsia="Calibri" w:hAnsi="Calibri" w:cs="Calibri"/>
          <w:i/>
          <w:color w:val="000000"/>
          <w:sz w:val="22"/>
          <w:szCs w:val="22"/>
        </w:rPr>
        <w:t>Síndrome de Malestar</w:t>
      </w:r>
      <w:r w:rsidR="007E6FE4">
        <w:rPr>
          <w:rFonts w:ascii="Calibri" w:eastAsia="Calibri" w:hAnsi="Calibri" w:cs="Calibri"/>
          <w:color w:val="000000"/>
          <w:sz w:val="22"/>
          <w:szCs w:val="22"/>
        </w:rPr>
        <w:t xml:space="preserve">, las mujeres presentan mayor probabilidad de ser diagnosticadas de ansiedad o depresión, prescribiéndoles psicofármacos e hipnosedantes sin evaluar otras posibles causas o enfermedades fisiológicas. </w:t>
      </w:r>
      <w:r w:rsidR="007E6FE4">
        <w:rPr>
          <w:rFonts w:ascii="Calibri" w:eastAsia="Calibri" w:hAnsi="Calibri" w:cs="Calibri"/>
          <w:b/>
          <w:color w:val="000000"/>
          <w:sz w:val="22"/>
          <w:szCs w:val="22"/>
        </w:rPr>
        <w:t>Sobrediagnóstico de fibromialgia</w:t>
      </w:r>
      <w:r w:rsidR="007E6FE4">
        <w:rPr>
          <w:rFonts w:ascii="Calibri" w:eastAsia="Calibri" w:hAnsi="Calibri" w:cs="Calibri"/>
          <w:color w:val="000000"/>
          <w:sz w:val="22"/>
          <w:szCs w:val="22"/>
        </w:rPr>
        <w:t xml:space="preserve"> y dolores idiopáticos sin estudios específicos que lo avalen o descarten otras enfermedades. Recursos asistenciales y formación de profesionales en cuanto a terapias no farmacológicas insuficientes. Falta de perspectiva feminista y desatención en la prevención, diagnóstico, intervención y seguimiento de los </w:t>
      </w:r>
      <w:r w:rsidR="007E6FE4">
        <w:rPr>
          <w:rFonts w:ascii="Calibri" w:eastAsia="Calibri" w:hAnsi="Calibri" w:cs="Calibri"/>
          <w:b/>
          <w:color w:val="000000"/>
          <w:sz w:val="22"/>
          <w:szCs w:val="22"/>
        </w:rPr>
        <w:t>Trastornos de la Conducta Alimentaria,</w:t>
      </w:r>
      <w:r w:rsidR="007E6FE4">
        <w:rPr>
          <w:rFonts w:ascii="Calibri" w:eastAsia="Calibri" w:hAnsi="Calibri" w:cs="Calibri"/>
          <w:color w:val="000000"/>
          <w:sz w:val="22"/>
          <w:szCs w:val="22"/>
        </w:rPr>
        <w:t xml:space="preserve"> que afectan mayoritariamente a niñas y mujeres y que presentan un alto índice de cronicidad y mortalidad, agravado durante la COVID19. Dificultad de acceso a una atención sanitaria pública o seguimiento tras el alta médica.</w:t>
      </w:r>
    </w:p>
    <w:p w:rsidR="00652BAB" w:rsidRDefault="007E6FE4">
      <w:pPr>
        <w:widowControl/>
        <w:pBdr>
          <w:top w:val="nil"/>
          <w:left w:val="nil"/>
          <w:bottom w:val="nil"/>
          <w:right w:val="nil"/>
          <w:between w:val="nil"/>
        </w:pBdr>
        <w:spacing w:after="240" w:line="276" w:lineRule="auto"/>
        <w:ind w:left="0" w:hanging="2"/>
        <w:jc w:val="both"/>
        <w:rPr>
          <w:rFonts w:ascii="Calibri" w:eastAsia="Calibri" w:hAnsi="Calibri" w:cs="Calibri"/>
          <w:color w:val="000000"/>
          <w:sz w:val="22"/>
          <w:szCs w:val="22"/>
        </w:rPr>
      </w:pPr>
      <w:r>
        <w:rPr>
          <w:rFonts w:ascii="Calibri" w:eastAsia="Calibri" w:hAnsi="Calibri" w:cs="Calibri"/>
          <w:b/>
          <w:color w:val="000000"/>
          <w:sz w:val="22"/>
          <w:szCs w:val="22"/>
        </w:rPr>
        <w:t>Impactos de la VG:</w:t>
      </w:r>
      <w:r>
        <w:rPr>
          <w:rFonts w:ascii="Calibri" w:eastAsia="Calibri" w:hAnsi="Calibri" w:cs="Calibri"/>
          <w:color w:val="000000"/>
          <w:sz w:val="22"/>
          <w:szCs w:val="22"/>
        </w:rPr>
        <w:t xml:space="preserve"> El 57,3% de mujeres ha sufrido algún tipo de violencia. A consecuencia de la VG, el 46,6% de mujeres en pareja ha sufrido lesiones, un 70% tiene consecuencias psicológicas y un 17,5% presenta alguna discapacidad (2021).</w:t>
      </w:r>
    </w:p>
    <w:p w:rsidR="00652BAB" w:rsidRDefault="007E6FE4">
      <w:pPr>
        <w:widowControl/>
        <w:pBdr>
          <w:top w:val="nil"/>
          <w:left w:val="nil"/>
          <w:bottom w:val="nil"/>
          <w:right w:val="nil"/>
          <w:between w:val="nil"/>
        </w:pBdr>
        <w:spacing w:after="240" w:line="276" w:lineRule="auto"/>
        <w:ind w:left="0" w:hanging="2"/>
        <w:jc w:val="both"/>
        <w:rPr>
          <w:rFonts w:ascii="Calibri" w:eastAsia="Calibri" w:hAnsi="Calibri" w:cs="Calibri"/>
          <w:color w:val="000000"/>
          <w:sz w:val="22"/>
          <w:szCs w:val="22"/>
          <w:highlight w:val="white"/>
        </w:rPr>
      </w:pPr>
      <w:r>
        <w:rPr>
          <w:rFonts w:ascii="Calibri" w:eastAsia="Calibri" w:hAnsi="Calibri" w:cs="Calibri"/>
          <w:b/>
          <w:color w:val="000000"/>
          <w:sz w:val="22"/>
          <w:szCs w:val="22"/>
        </w:rPr>
        <w:lastRenderedPageBreak/>
        <w:t>Impacto de las condiciones laborales</w:t>
      </w:r>
      <w:r>
        <w:rPr>
          <w:rFonts w:ascii="Calibri" w:eastAsia="Calibri" w:hAnsi="Calibri" w:cs="Calibri"/>
          <w:b/>
          <w:color w:val="0000FF"/>
          <w:sz w:val="22"/>
          <w:szCs w:val="22"/>
        </w:rPr>
        <w:t xml:space="preserve"> </w:t>
      </w:r>
      <w:r>
        <w:rPr>
          <w:rFonts w:ascii="Calibri" w:eastAsia="Calibri" w:hAnsi="Calibri" w:cs="Calibri"/>
          <w:color w:val="000000"/>
          <w:sz w:val="22"/>
          <w:szCs w:val="22"/>
          <w:highlight w:val="white"/>
        </w:rPr>
        <w:t>(precariedad feminizada)</w:t>
      </w:r>
      <w:r>
        <w:rPr>
          <w:rFonts w:ascii="Calibri" w:eastAsia="Calibri" w:hAnsi="Calibri" w:cs="Calibri"/>
          <w:b/>
          <w:color w:val="0000FF"/>
          <w:sz w:val="22"/>
          <w:szCs w:val="22"/>
        </w:rPr>
        <w:t xml:space="preserve"> </w:t>
      </w:r>
      <w:r>
        <w:rPr>
          <w:rFonts w:ascii="Calibri" w:eastAsia="Calibri" w:hAnsi="Calibri" w:cs="Calibri"/>
          <w:color w:val="000000"/>
          <w:sz w:val="22"/>
          <w:szCs w:val="22"/>
        </w:rPr>
        <w:t>sobre la salud,</w:t>
      </w:r>
      <w:r>
        <w:rPr>
          <w:rFonts w:ascii="Calibri" w:eastAsia="Calibri" w:hAnsi="Calibri" w:cs="Calibri"/>
          <w:b/>
          <w:color w:val="0000FF"/>
          <w:sz w:val="22"/>
          <w:szCs w:val="22"/>
        </w:rPr>
        <w:t xml:space="preserve"> </w:t>
      </w:r>
      <w:r>
        <w:rPr>
          <w:rFonts w:ascii="Calibri" w:eastAsia="Calibri" w:hAnsi="Calibri" w:cs="Calibri"/>
          <w:color w:val="000000"/>
          <w:sz w:val="22"/>
          <w:szCs w:val="22"/>
        </w:rPr>
        <w:t xml:space="preserve">especialmente durante el confinamiento (teletrabajo, stress, conciliación, ansiedad) </w:t>
      </w:r>
      <w:r>
        <w:rPr>
          <w:rFonts w:ascii="Calibri" w:eastAsia="Calibri" w:hAnsi="Calibri" w:cs="Calibri"/>
          <w:color w:val="000000"/>
          <w:sz w:val="22"/>
          <w:szCs w:val="22"/>
          <w:highlight w:val="white"/>
        </w:rPr>
        <w:t xml:space="preserve">sobre la salud física y mental. La relación del cáncer de mama con trabajos que conllevan exposición a agentes químicos requiere una investigación en profundidad. </w:t>
      </w:r>
    </w:p>
    <w:p w:rsidR="00652BAB" w:rsidRDefault="007E6FE4">
      <w:pPr>
        <w:widowControl/>
        <w:pBdr>
          <w:top w:val="nil"/>
          <w:left w:val="nil"/>
          <w:bottom w:val="nil"/>
          <w:right w:val="nil"/>
          <w:between w:val="nil"/>
        </w:pBdr>
        <w:spacing w:after="240" w:line="276" w:lineRule="auto"/>
        <w:ind w:left="0" w:hanging="2"/>
        <w:jc w:val="both"/>
        <w:rPr>
          <w:rFonts w:ascii="Calibri" w:eastAsia="Calibri" w:hAnsi="Calibri" w:cs="Calibri"/>
          <w:color w:val="000000"/>
          <w:sz w:val="22"/>
          <w:szCs w:val="22"/>
        </w:rPr>
      </w:pPr>
      <w:r>
        <w:rPr>
          <w:rFonts w:ascii="Calibri" w:eastAsia="Calibri" w:hAnsi="Calibri" w:cs="Calibri"/>
          <w:color w:val="000000"/>
          <w:sz w:val="22"/>
          <w:szCs w:val="22"/>
        </w:rPr>
        <w:t xml:space="preserve">La </w:t>
      </w:r>
      <w:r>
        <w:rPr>
          <w:rFonts w:ascii="Calibri" w:eastAsia="Calibri" w:hAnsi="Calibri" w:cs="Calibri"/>
          <w:b/>
          <w:color w:val="000000"/>
          <w:sz w:val="22"/>
          <w:szCs w:val="22"/>
        </w:rPr>
        <w:t>SSR</w:t>
      </w:r>
      <w:r>
        <w:rPr>
          <w:rFonts w:ascii="Calibri" w:eastAsia="Calibri" w:hAnsi="Calibri" w:cs="Calibri"/>
          <w:b/>
          <w:color w:val="0000FF"/>
          <w:sz w:val="22"/>
          <w:szCs w:val="22"/>
        </w:rPr>
        <w:t xml:space="preserve"> </w:t>
      </w:r>
      <w:r>
        <w:rPr>
          <w:rFonts w:ascii="Calibri" w:eastAsia="Calibri" w:hAnsi="Calibri" w:cs="Calibri"/>
          <w:color w:val="000000"/>
          <w:sz w:val="22"/>
          <w:szCs w:val="22"/>
          <w:highlight w:val="white"/>
        </w:rPr>
        <w:t xml:space="preserve">no está incorporada en la educación afectivo sexual en el currículum educativo. La </w:t>
      </w:r>
      <w:r>
        <w:rPr>
          <w:rFonts w:ascii="Calibri" w:eastAsia="Calibri" w:hAnsi="Calibri" w:cs="Calibri"/>
          <w:b/>
          <w:color w:val="000000"/>
          <w:sz w:val="22"/>
          <w:szCs w:val="22"/>
          <w:highlight w:val="white"/>
        </w:rPr>
        <w:t>accesibilidad a métodos anticonceptivos es variable</w:t>
      </w:r>
      <w:r>
        <w:rPr>
          <w:rFonts w:ascii="Calibri" w:eastAsia="Calibri" w:hAnsi="Calibri" w:cs="Calibri"/>
          <w:color w:val="000000"/>
          <w:sz w:val="22"/>
          <w:szCs w:val="22"/>
          <w:highlight w:val="white"/>
        </w:rPr>
        <w:t xml:space="preserve">, existiendo dificultades especialmente para mujeres en situación administrativa irregular. Financiación parcial de métodos hormonales y nula para los de barrera. Acceso irregular a anticoncepción de urgencia. La </w:t>
      </w:r>
      <w:r>
        <w:rPr>
          <w:rFonts w:ascii="Calibri" w:eastAsia="Calibri" w:hAnsi="Calibri" w:cs="Calibri"/>
          <w:b/>
          <w:color w:val="000000"/>
          <w:sz w:val="22"/>
          <w:szCs w:val="22"/>
          <w:highlight w:val="white"/>
        </w:rPr>
        <w:t>interrupción voluntaria del embarazo</w:t>
      </w:r>
      <w:r>
        <w:rPr>
          <w:rFonts w:ascii="Calibri" w:eastAsia="Calibri" w:hAnsi="Calibri" w:cs="Calibri"/>
          <w:color w:val="000000"/>
          <w:sz w:val="22"/>
          <w:szCs w:val="22"/>
          <w:highlight w:val="white"/>
        </w:rPr>
        <w:t xml:space="preserve"> (IVE), limitada para menores de 17 años. no está asegurada en la sanidad pública: sólo el 11,2% se realizan en el sector público en 2021, 10,40% en 2015, frente al 88,26% del sector privado, con financiación pública, variando según territorios. A las </w:t>
      </w:r>
      <w:r>
        <w:rPr>
          <w:rFonts w:ascii="Calibri" w:eastAsia="Calibri" w:hAnsi="Calibri" w:cs="Calibri"/>
          <w:b/>
          <w:color w:val="000000"/>
          <w:sz w:val="22"/>
          <w:szCs w:val="22"/>
          <w:highlight w:val="white"/>
        </w:rPr>
        <w:t>mujeres extranjeras</w:t>
      </w:r>
      <w:r>
        <w:rPr>
          <w:rFonts w:ascii="Calibri" w:eastAsia="Calibri" w:hAnsi="Calibri" w:cs="Calibri"/>
          <w:color w:val="000000"/>
          <w:sz w:val="22"/>
          <w:szCs w:val="22"/>
          <w:highlight w:val="white"/>
        </w:rPr>
        <w:t xml:space="preserve"> les resulta más complicado acceder a métodos anticonceptivos de emergencia o profilaxis post-exposición (barreras idiomáticas, culturales, legales…). Representan el 33,27% de mujeres que se someten al aborto. Inadecuada regulación de la </w:t>
      </w:r>
      <w:r>
        <w:rPr>
          <w:rFonts w:ascii="Calibri" w:eastAsia="Calibri" w:hAnsi="Calibri" w:cs="Calibri"/>
          <w:b/>
          <w:color w:val="000000"/>
          <w:sz w:val="22"/>
          <w:szCs w:val="22"/>
          <w:highlight w:val="white"/>
        </w:rPr>
        <w:t>objeción de conciencia</w:t>
      </w:r>
      <w:r>
        <w:rPr>
          <w:rFonts w:ascii="Calibri" w:eastAsia="Calibri" w:hAnsi="Calibri" w:cs="Calibri"/>
          <w:color w:val="000000"/>
          <w:sz w:val="22"/>
          <w:szCs w:val="22"/>
          <w:highlight w:val="white"/>
        </w:rPr>
        <w:t xml:space="preserve">. </w:t>
      </w:r>
      <w:r>
        <w:rPr>
          <w:rFonts w:ascii="Calibri" w:eastAsia="Calibri" w:hAnsi="Calibri" w:cs="Calibri"/>
          <w:b/>
          <w:color w:val="000000"/>
          <w:sz w:val="22"/>
          <w:szCs w:val="22"/>
          <w:highlight w:val="white"/>
        </w:rPr>
        <w:t>Acoso a clínicas</w:t>
      </w:r>
      <w:r>
        <w:rPr>
          <w:rFonts w:ascii="Calibri" w:eastAsia="Calibri" w:hAnsi="Calibri" w:cs="Calibri"/>
          <w:color w:val="000000"/>
          <w:sz w:val="22"/>
          <w:szCs w:val="22"/>
          <w:highlight w:val="white"/>
        </w:rPr>
        <w:t xml:space="preserve"> por parte de grupos antiabortistas y a las mujeres que acuden por parte de grupos antiabortistas: </w:t>
      </w:r>
      <w:r>
        <w:rPr>
          <w:rFonts w:ascii="Calibri" w:eastAsia="Calibri" w:hAnsi="Calibri" w:cs="Calibri"/>
          <w:i/>
          <w:color w:val="000000"/>
          <w:sz w:val="22"/>
          <w:szCs w:val="22"/>
          <w:highlight w:val="white"/>
        </w:rPr>
        <w:t>Hazte Oír</w:t>
      </w:r>
      <w:r>
        <w:rPr>
          <w:rFonts w:ascii="Calibri" w:eastAsia="Calibri" w:hAnsi="Calibri" w:cs="Calibri"/>
          <w:color w:val="000000"/>
          <w:sz w:val="22"/>
          <w:szCs w:val="22"/>
          <w:highlight w:val="white"/>
        </w:rPr>
        <w:t xml:space="preserve"> además del acoso a abierto un centro antiaborto enfrente de una Clínica en Madrid. </w:t>
      </w:r>
      <w:r>
        <w:rPr>
          <w:rFonts w:ascii="Calibri" w:eastAsia="Calibri" w:hAnsi="Calibri" w:cs="Calibri"/>
          <w:b/>
          <w:color w:val="000000"/>
          <w:sz w:val="22"/>
          <w:szCs w:val="22"/>
        </w:rPr>
        <w:t>Elevado número de cesáreas</w:t>
      </w:r>
      <w:r>
        <w:rPr>
          <w:rFonts w:ascii="Calibri" w:eastAsia="Calibri" w:hAnsi="Calibri" w:cs="Calibri"/>
          <w:color w:val="000000"/>
          <w:sz w:val="22"/>
          <w:szCs w:val="22"/>
        </w:rPr>
        <w:t xml:space="preserve"> (25% de partos en 2018 frente al 10-15% recomendado por la OMS), siendo mayor en sector privado. Infantilización y falta de evidencia científica en la práctica gineco-obstétrica. Difícil acceso a la asistencia especializada. España lidera el mercado europeo de clínicas dedicadas a la </w:t>
      </w:r>
      <w:r>
        <w:rPr>
          <w:rFonts w:ascii="Calibri" w:eastAsia="Calibri" w:hAnsi="Calibri" w:cs="Calibri"/>
          <w:b/>
          <w:color w:val="000000"/>
          <w:sz w:val="22"/>
          <w:szCs w:val="22"/>
        </w:rPr>
        <w:t>reproducción asistida</w:t>
      </w:r>
      <w:r>
        <w:rPr>
          <w:rFonts w:ascii="Calibri" w:eastAsia="Calibri" w:hAnsi="Calibri" w:cs="Calibri"/>
          <w:color w:val="000000"/>
          <w:sz w:val="22"/>
          <w:szCs w:val="22"/>
        </w:rPr>
        <w:t xml:space="preserve"> en relación a su población, siendo por esta vía el 9,8% de los nacimientos en 2018. El uso de estas técnicas para parejas de mujeres mediante el </w:t>
      </w:r>
      <w:r>
        <w:rPr>
          <w:rFonts w:ascii="Calibri" w:eastAsia="Calibri" w:hAnsi="Calibri" w:cs="Calibri"/>
          <w:b/>
          <w:color w:val="000000"/>
          <w:sz w:val="22"/>
          <w:szCs w:val="22"/>
        </w:rPr>
        <w:t>método ROPA</w:t>
      </w:r>
      <w:r>
        <w:rPr>
          <w:rFonts w:ascii="Calibri" w:eastAsia="Calibri" w:hAnsi="Calibri" w:cs="Calibri"/>
          <w:color w:val="000000"/>
          <w:sz w:val="22"/>
          <w:szCs w:val="22"/>
        </w:rPr>
        <w:t xml:space="preserve"> (Recepción de Ovocitos de la Pareja), requiere el matrimonio, excluyendo a parejas de hecho, para que se proceda al reconocimiento de la maternidad de ambas.</w:t>
      </w:r>
    </w:p>
    <w:p w:rsidR="00652BAB" w:rsidRDefault="007E6FE4">
      <w:pPr>
        <w:widowControl/>
        <w:pBdr>
          <w:top w:val="nil"/>
          <w:left w:val="nil"/>
          <w:bottom w:val="nil"/>
          <w:right w:val="nil"/>
          <w:between w:val="nil"/>
        </w:pBdr>
        <w:spacing w:after="240" w:line="276" w:lineRule="auto"/>
        <w:ind w:left="0" w:right="238" w:hanging="2"/>
        <w:jc w:val="both"/>
        <w:rPr>
          <w:rFonts w:ascii="Calibri" w:eastAsia="Calibri" w:hAnsi="Calibri" w:cs="Calibri"/>
          <w:color w:val="000000"/>
          <w:sz w:val="22"/>
          <w:szCs w:val="22"/>
        </w:rPr>
      </w:pPr>
      <w:r>
        <w:rPr>
          <w:rFonts w:ascii="Calibri" w:eastAsia="Calibri" w:hAnsi="Calibri" w:cs="Calibri"/>
          <w:color w:val="000000"/>
          <w:sz w:val="22"/>
          <w:szCs w:val="22"/>
        </w:rPr>
        <w:t xml:space="preserve">No se garantiza en su totalidad la prestación de servicios y tratamiento a mujeres con </w:t>
      </w:r>
      <w:r>
        <w:rPr>
          <w:rFonts w:ascii="Calibri" w:eastAsia="Calibri" w:hAnsi="Calibri" w:cs="Calibri"/>
          <w:b/>
          <w:color w:val="000000"/>
          <w:sz w:val="22"/>
          <w:szCs w:val="22"/>
        </w:rPr>
        <w:t>VIH/Sida</w:t>
      </w:r>
      <w:r>
        <w:rPr>
          <w:rFonts w:ascii="Calibri" w:eastAsia="Calibri" w:hAnsi="Calibri" w:cs="Calibri"/>
          <w:color w:val="000000"/>
          <w:sz w:val="22"/>
          <w:szCs w:val="22"/>
        </w:rPr>
        <w:t xml:space="preserve"> en situación administrativa irregular. En población general, de los nuevos casos (2018) el 14,7% son mujeres y de los diagnósticos tardíos son el 56,9%, la transmisión heterosexual constituye un 82,2% de los nuevos diagnósticos, el 56,1% de estos son de mujeres extranjeras. </w:t>
      </w:r>
    </w:p>
    <w:p w:rsidR="00652BAB" w:rsidRDefault="007E6FE4">
      <w:pPr>
        <w:widowControl/>
        <w:pBdr>
          <w:top w:val="nil"/>
          <w:left w:val="nil"/>
          <w:bottom w:val="nil"/>
          <w:right w:val="nil"/>
          <w:between w:val="nil"/>
        </w:pBdr>
        <w:spacing w:after="240" w:line="276" w:lineRule="auto"/>
        <w:ind w:left="0" w:right="238" w:hanging="2"/>
        <w:jc w:val="both"/>
        <w:rPr>
          <w:rFonts w:ascii="Calibri" w:eastAsia="Calibri" w:hAnsi="Calibri" w:cs="Calibri"/>
          <w:color w:val="000000"/>
          <w:sz w:val="22"/>
          <w:szCs w:val="22"/>
        </w:rPr>
      </w:pPr>
      <w:bookmarkStart w:id="2" w:name="_heading=h.30j0zll" w:colFirst="0" w:colLast="0"/>
      <w:bookmarkEnd w:id="2"/>
      <w:r>
        <w:rPr>
          <w:rFonts w:ascii="Calibri" w:eastAsia="Calibri" w:hAnsi="Calibri" w:cs="Calibri"/>
          <w:b/>
          <w:color w:val="000000"/>
          <w:sz w:val="22"/>
          <w:szCs w:val="22"/>
        </w:rPr>
        <w:t>Aplicación irregular</w:t>
      </w:r>
      <w:r>
        <w:rPr>
          <w:rFonts w:ascii="Calibri" w:eastAsia="Calibri" w:hAnsi="Calibri" w:cs="Calibri"/>
          <w:color w:val="000000"/>
          <w:sz w:val="22"/>
          <w:szCs w:val="22"/>
        </w:rPr>
        <w:t xml:space="preserve"> del Protocolo estatal contra la </w:t>
      </w:r>
      <w:r>
        <w:rPr>
          <w:rFonts w:ascii="Calibri" w:eastAsia="Calibri" w:hAnsi="Calibri" w:cs="Calibri"/>
          <w:b/>
          <w:color w:val="000000"/>
          <w:sz w:val="22"/>
          <w:szCs w:val="22"/>
        </w:rPr>
        <w:t xml:space="preserve">mutilación genital femenina </w:t>
      </w:r>
      <w:r>
        <w:rPr>
          <w:rFonts w:ascii="Calibri" w:eastAsia="Calibri" w:hAnsi="Calibri" w:cs="Calibri"/>
          <w:i/>
          <w:color w:val="000000"/>
          <w:sz w:val="22"/>
          <w:szCs w:val="22"/>
        </w:rPr>
        <w:t>(</w:t>
      </w:r>
      <w:hyperlink r:id="rId51">
        <w:r>
          <w:rPr>
            <w:rFonts w:ascii="Calibri" w:eastAsia="Calibri" w:hAnsi="Calibri" w:cs="Calibri"/>
            <w:i/>
            <w:color w:val="000080"/>
            <w:sz w:val="22"/>
            <w:szCs w:val="22"/>
            <w:u w:val="single"/>
          </w:rPr>
          <w:t>MSSSI 2015</w:t>
        </w:r>
      </w:hyperlink>
      <w:r>
        <w:rPr>
          <w:rFonts w:ascii="Calibri" w:eastAsia="Calibri" w:hAnsi="Calibri" w:cs="Calibri"/>
          <w:i/>
          <w:color w:val="000000"/>
          <w:sz w:val="22"/>
          <w:szCs w:val="22"/>
        </w:rPr>
        <w:t>)</w:t>
      </w:r>
      <w:r>
        <w:rPr>
          <w:rFonts w:ascii="Calibri" w:eastAsia="Calibri" w:hAnsi="Calibri" w:cs="Calibri"/>
          <w:color w:val="000000"/>
          <w:sz w:val="22"/>
          <w:szCs w:val="22"/>
        </w:rPr>
        <w:t xml:space="preserve">: </w:t>
      </w:r>
      <w:hyperlink r:id="rId52">
        <w:r>
          <w:rPr>
            <w:rFonts w:ascii="Calibri" w:eastAsia="Calibri" w:hAnsi="Calibri" w:cs="Calibri"/>
            <w:color w:val="000080"/>
            <w:sz w:val="22"/>
            <w:szCs w:val="22"/>
            <w:u w:val="single"/>
          </w:rPr>
          <w:t>en 2018 más de 15.000 niñas estaban en riesgo</w:t>
        </w:r>
      </w:hyperlink>
      <w:r>
        <w:rPr>
          <w:rFonts w:ascii="Calibri" w:eastAsia="Calibri" w:hAnsi="Calibri" w:cs="Calibri"/>
          <w:color w:val="000000"/>
          <w:sz w:val="22"/>
          <w:szCs w:val="22"/>
        </w:rPr>
        <w:t>. Falta de formación de profesionales para la atención de mujeres mutiladas.</w:t>
      </w:r>
    </w:p>
    <w:p w:rsidR="00652BAB" w:rsidRDefault="00652BAB">
      <w:pPr>
        <w:shd w:val="clear" w:color="auto" w:fill="FFFFFF"/>
        <w:spacing w:after="240" w:line="276" w:lineRule="auto"/>
        <w:ind w:left="0" w:hanging="2"/>
        <w:jc w:val="both"/>
        <w:rPr>
          <w:rFonts w:ascii="Calibri" w:eastAsia="Calibri" w:hAnsi="Calibri" w:cs="Calibri"/>
          <w:color w:val="0000FF"/>
          <w:sz w:val="22"/>
          <w:szCs w:val="22"/>
        </w:rPr>
      </w:pPr>
    </w:p>
    <w:p w:rsidR="00652BAB" w:rsidRDefault="007E6FE4">
      <w:pPr>
        <w:shd w:val="clear" w:color="auto" w:fill="FFFFFF"/>
        <w:spacing w:after="240"/>
        <w:ind w:left="0" w:hanging="2"/>
        <w:jc w:val="both"/>
        <w:rPr>
          <w:rFonts w:ascii="Calibri" w:eastAsia="Calibri" w:hAnsi="Calibri" w:cs="Calibri"/>
          <w:color w:val="713B7A"/>
          <w:sz w:val="24"/>
          <w:szCs w:val="24"/>
        </w:rPr>
      </w:pPr>
      <w:r>
        <w:rPr>
          <w:rFonts w:ascii="Calibri" w:eastAsia="Calibri" w:hAnsi="Calibri" w:cs="Calibri"/>
          <w:b/>
          <w:color w:val="713B7A"/>
          <w:sz w:val="24"/>
          <w:szCs w:val="24"/>
        </w:rPr>
        <w:t>15- 7- 8 -EDUCACIÓN (Art.10)</w:t>
      </w:r>
    </w:p>
    <w:p w:rsidR="00652BAB" w:rsidRDefault="007E6FE4">
      <w:pPr>
        <w:widowControl/>
        <w:pBdr>
          <w:top w:val="nil"/>
          <w:left w:val="nil"/>
          <w:bottom w:val="nil"/>
          <w:right w:val="nil"/>
          <w:between w:val="nil"/>
        </w:pBdr>
        <w:spacing w:after="240" w:line="276" w:lineRule="auto"/>
        <w:ind w:left="0" w:right="284" w:hanging="2"/>
        <w:jc w:val="both"/>
        <w:rPr>
          <w:rFonts w:ascii="Calibri" w:eastAsia="Calibri" w:hAnsi="Calibri" w:cs="Calibri"/>
          <w:color w:val="000000"/>
          <w:sz w:val="22"/>
          <w:szCs w:val="22"/>
        </w:rPr>
      </w:pPr>
      <w:r>
        <w:rPr>
          <w:rFonts w:ascii="Calibri" w:eastAsia="Calibri" w:hAnsi="Calibri" w:cs="Calibri"/>
          <w:b/>
          <w:color w:val="713B7A"/>
          <w:sz w:val="22"/>
          <w:szCs w:val="22"/>
        </w:rPr>
        <w:t>No se desarrolla una legislación realmente igualitaria:</w:t>
      </w:r>
      <w:r>
        <w:rPr>
          <w:rFonts w:ascii="Calibri" w:eastAsia="Calibri" w:hAnsi="Calibri" w:cs="Calibri"/>
          <w:color w:val="000000"/>
          <w:sz w:val="22"/>
          <w:szCs w:val="22"/>
        </w:rPr>
        <w:t> </w:t>
      </w:r>
      <w:r>
        <w:rPr>
          <w:rFonts w:ascii="Calibri" w:eastAsia="Calibri" w:hAnsi="Calibri" w:cs="Calibri"/>
          <w:color w:val="333333"/>
          <w:sz w:val="22"/>
          <w:szCs w:val="22"/>
          <w:highlight w:val="white"/>
        </w:rPr>
        <w:t>Valoramos los avances de la nueva ley educativa (LOMLOE) pero adolece de déficits estructurales como: mantenimiento de estereotipos sexistas y roles de géneros, tergiversación de la educación afectivo-sexual, y un currículum alejado de una concepción coeducativa real y de una perspectiva integral feminista. En 2022, esta ley sigue aún sin desarrollar e implementar.</w:t>
      </w:r>
    </w:p>
    <w:p w:rsidR="00652BAB" w:rsidRDefault="007E6FE4">
      <w:pPr>
        <w:widowControl/>
        <w:pBdr>
          <w:top w:val="nil"/>
          <w:left w:val="nil"/>
          <w:bottom w:val="nil"/>
          <w:right w:val="nil"/>
          <w:between w:val="nil"/>
        </w:pBdr>
        <w:spacing w:after="240" w:line="276" w:lineRule="auto"/>
        <w:ind w:left="0" w:right="284" w:hanging="2"/>
        <w:jc w:val="both"/>
        <w:rPr>
          <w:rFonts w:ascii="Calibri" w:eastAsia="Calibri" w:hAnsi="Calibri" w:cs="Calibri"/>
          <w:color w:val="333333"/>
          <w:sz w:val="22"/>
          <w:szCs w:val="22"/>
          <w:highlight w:val="white"/>
        </w:rPr>
      </w:pPr>
      <w:r>
        <w:rPr>
          <w:rFonts w:ascii="Calibri" w:eastAsia="Calibri" w:hAnsi="Calibri" w:cs="Calibri"/>
          <w:b/>
          <w:color w:val="713B7A"/>
          <w:sz w:val="22"/>
          <w:szCs w:val="22"/>
        </w:rPr>
        <w:t>Se estanca el derecho a la educación:</w:t>
      </w:r>
      <w:r>
        <w:rPr>
          <w:rFonts w:ascii="Calibri" w:eastAsia="Calibri" w:hAnsi="Calibri" w:cs="Calibri"/>
          <w:color w:val="000000"/>
          <w:sz w:val="22"/>
          <w:szCs w:val="22"/>
        </w:rPr>
        <w:t xml:space="preserve"> A pesar de los compromisos, la</w:t>
      </w:r>
      <w:r>
        <w:rPr>
          <w:rFonts w:ascii="Calibri" w:eastAsia="Calibri" w:hAnsi="Calibri" w:cs="Calibri"/>
          <w:color w:val="000000"/>
          <w:sz w:val="22"/>
          <w:szCs w:val="22"/>
          <w:highlight w:val="white"/>
        </w:rPr>
        <w:t xml:space="preserve"> </w:t>
      </w:r>
      <w:r>
        <w:rPr>
          <w:rFonts w:ascii="Calibri" w:eastAsia="Calibri" w:hAnsi="Calibri" w:cs="Calibri"/>
          <w:color w:val="333333"/>
          <w:sz w:val="22"/>
          <w:szCs w:val="22"/>
          <w:highlight w:val="white"/>
        </w:rPr>
        <w:t>Educación Infantil 0-3 años universal y gratuita</w:t>
      </w:r>
      <w:r>
        <w:rPr>
          <w:rFonts w:ascii="Calibri" w:eastAsia="Calibri" w:hAnsi="Calibri" w:cs="Calibri"/>
          <w:color w:val="333333"/>
          <w:sz w:val="22"/>
          <w:szCs w:val="22"/>
        </w:rPr>
        <w:t xml:space="preserve"> es aún un objetivo por cumplir.</w:t>
      </w:r>
      <w:r>
        <w:rPr>
          <w:rFonts w:ascii="Calibri" w:eastAsia="Calibri" w:hAnsi="Calibri" w:cs="Calibri"/>
          <w:color w:val="333333"/>
          <w:sz w:val="22"/>
          <w:szCs w:val="22"/>
          <w:highlight w:val="white"/>
        </w:rPr>
        <w:t xml:space="preserve"> En los PGE 2021 se prevé un fondo de</w:t>
      </w:r>
      <w:r>
        <w:rPr>
          <w:rFonts w:ascii="Calibri" w:eastAsia="Calibri" w:hAnsi="Calibri" w:cs="Calibri"/>
          <w:color w:val="333333"/>
          <w:sz w:val="22"/>
          <w:szCs w:val="22"/>
        </w:rPr>
        <w:t xml:space="preserve"> 202 mll. €</w:t>
      </w:r>
      <w:r>
        <w:rPr>
          <w:rFonts w:ascii="Calibri" w:eastAsia="Calibri" w:hAnsi="Calibri" w:cs="Calibri"/>
          <w:b/>
          <w:color w:val="333333"/>
          <w:sz w:val="22"/>
          <w:szCs w:val="22"/>
        </w:rPr>
        <w:t xml:space="preserve"> </w:t>
      </w:r>
      <w:r>
        <w:rPr>
          <w:rFonts w:ascii="Calibri" w:eastAsia="Calibri" w:hAnsi="Calibri" w:cs="Calibri"/>
          <w:color w:val="333333"/>
          <w:sz w:val="22"/>
          <w:szCs w:val="22"/>
          <w:highlight w:val="white"/>
        </w:rPr>
        <w:t xml:space="preserve">de financiación </w:t>
      </w:r>
      <w:r>
        <w:rPr>
          <w:rFonts w:ascii="Calibri" w:eastAsia="Calibri" w:hAnsi="Calibri" w:cs="Calibri"/>
          <w:color w:val="333333"/>
          <w:sz w:val="22"/>
          <w:szCs w:val="22"/>
          <w:highlight w:val="white"/>
        </w:rPr>
        <w:lastRenderedPageBreak/>
        <w:t>que no garantiza su universalización</w:t>
      </w:r>
      <w:r>
        <w:rPr>
          <w:rFonts w:ascii="Calibri" w:eastAsia="Calibri" w:hAnsi="Calibri" w:cs="Calibri"/>
          <w:color w:val="333333"/>
          <w:sz w:val="22"/>
          <w:szCs w:val="22"/>
        </w:rPr>
        <w:t>, requiriéndose, al menos, 2.898 mll. € para cubrir el 72%</w:t>
      </w:r>
      <w:r>
        <w:rPr>
          <w:rFonts w:ascii="Calibri" w:eastAsia="Calibri" w:hAnsi="Calibri" w:cs="Calibri"/>
          <w:color w:val="333333"/>
          <w:sz w:val="22"/>
          <w:szCs w:val="22"/>
          <w:highlight w:val="white"/>
        </w:rPr>
        <w:t xml:space="preserve"> de esta etapa educativa. N</w:t>
      </w:r>
      <w:r>
        <w:rPr>
          <w:rFonts w:ascii="Calibri" w:eastAsia="Calibri" w:hAnsi="Calibri" w:cs="Calibri"/>
          <w:color w:val="333333"/>
          <w:sz w:val="22"/>
          <w:szCs w:val="22"/>
        </w:rPr>
        <w:t xml:space="preserve">o hay </w:t>
      </w:r>
      <w:r>
        <w:rPr>
          <w:rFonts w:ascii="Calibri" w:eastAsia="Calibri" w:hAnsi="Calibri" w:cs="Calibri"/>
          <w:color w:val="333333"/>
          <w:sz w:val="22"/>
          <w:szCs w:val="22"/>
          <w:highlight w:val="white"/>
        </w:rPr>
        <w:t xml:space="preserve">avances significativos respecto a la mejora de la implantación en la etapa de 15-18 años. Se acusa más aún en los territorios rurales. Si bien hay un </w:t>
      </w:r>
      <w:r>
        <w:rPr>
          <w:rFonts w:ascii="Calibri" w:eastAsia="Calibri" w:hAnsi="Calibri" w:cs="Calibri"/>
          <w:b/>
          <w:color w:val="333333"/>
          <w:sz w:val="22"/>
          <w:szCs w:val="22"/>
          <w:highlight w:val="white"/>
        </w:rPr>
        <w:t>ligero incremento presupuestario</w:t>
      </w:r>
      <w:r>
        <w:rPr>
          <w:rFonts w:ascii="Calibri" w:eastAsia="Calibri" w:hAnsi="Calibri" w:cs="Calibri"/>
          <w:color w:val="333333"/>
          <w:sz w:val="22"/>
          <w:szCs w:val="22"/>
          <w:highlight w:val="white"/>
        </w:rPr>
        <w:t xml:space="preserve"> en el conjunto de las CCAA para financiación educativa de las etapas infantil 3-5, primaria y secundaria, sigue sin recuperar el nivel previo a la crisis financiera. Atención a la </w:t>
      </w:r>
      <w:r>
        <w:rPr>
          <w:rFonts w:ascii="Calibri" w:eastAsia="Calibri" w:hAnsi="Calibri" w:cs="Calibri"/>
          <w:b/>
          <w:color w:val="333333"/>
          <w:sz w:val="22"/>
          <w:szCs w:val="22"/>
          <w:highlight w:val="white"/>
        </w:rPr>
        <w:t>Igualdad</w:t>
      </w:r>
      <w:r>
        <w:rPr>
          <w:rFonts w:ascii="Calibri" w:eastAsia="Calibri" w:hAnsi="Calibri" w:cs="Calibri"/>
          <w:color w:val="333333"/>
          <w:sz w:val="22"/>
          <w:szCs w:val="22"/>
          <w:highlight w:val="white"/>
        </w:rPr>
        <w:t xml:space="preserve"> y </w:t>
      </w:r>
      <w:r>
        <w:rPr>
          <w:rFonts w:ascii="Calibri" w:eastAsia="Calibri" w:hAnsi="Calibri" w:cs="Calibri"/>
          <w:b/>
          <w:color w:val="333333"/>
          <w:sz w:val="22"/>
          <w:szCs w:val="22"/>
          <w:highlight w:val="white"/>
        </w:rPr>
        <w:t>cumplimiento desigual</w:t>
      </w:r>
      <w:r>
        <w:rPr>
          <w:rFonts w:ascii="Calibri" w:eastAsia="Calibri" w:hAnsi="Calibri" w:cs="Calibri"/>
          <w:color w:val="333333"/>
          <w:sz w:val="22"/>
          <w:szCs w:val="22"/>
          <w:highlight w:val="white"/>
        </w:rPr>
        <w:t xml:space="preserve"> de la legislación estatal en las políticas educativas públicas según CCAA, respecto a: formación especializada del profesorado en materia de igualdad, programas y acciones en los centros educativos para favorecer la igualdad. </w:t>
      </w:r>
    </w:p>
    <w:p w:rsidR="00652BAB" w:rsidRDefault="007E6FE4">
      <w:pPr>
        <w:widowControl/>
        <w:pBdr>
          <w:top w:val="nil"/>
          <w:left w:val="nil"/>
          <w:bottom w:val="nil"/>
          <w:right w:val="nil"/>
          <w:between w:val="nil"/>
        </w:pBdr>
        <w:spacing w:after="240" w:line="276" w:lineRule="auto"/>
        <w:ind w:left="0" w:right="284" w:hanging="2"/>
        <w:jc w:val="both"/>
        <w:rPr>
          <w:rFonts w:ascii="Calibri" w:eastAsia="Calibri" w:hAnsi="Calibri" w:cs="Calibri"/>
          <w:color w:val="000000"/>
          <w:sz w:val="22"/>
          <w:szCs w:val="22"/>
        </w:rPr>
      </w:pPr>
      <w:r>
        <w:rPr>
          <w:rFonts w:ascii="Calibri" w:eastAsia="Calibri" w:hAnsi="Calibri" w:cs="Calibri"/>
          <w:b/>
          <w:color w:val="713B7A"/>
          <w:sz w:val="22"/>
          <w:szCs w:val="22"/>
          <w:highlight w:val="white"/>
        </w:rPr>
        <w:t>Abandono escolar temprano como factor de riesgo para las niñas:</w:t>
      </w:r>
      <w:r>
        <w:rPr>
          <w:rFonts w:ascii="Calibri" w:eastAsia="Calibri" w:hAnsi="Calibri" w:cs="Calibri"/>
          <w:b/>
          <w:color w:val="0000FF"/>
          <w:sz w:val="22"/>
          <w:szCs w:val="22"/>
          <w:highlight w:val="white"/>
        </w:rPr>
        <w:t xml:space="preserve"> </w:t>
      </w:r>
      <w:r>
        <w:rPr>
          <w:rFonts w:ascii="Calibri" w:eastAsia="Calibri" w:hAnsi="Calibri" w:cs="Calibri"/>
          <w:color w:val="000000"/>
          <w:sz w:val="22"/>
          <w:szCs w:val="22"/>
        </w:rPr>
        <w:t>E</w:t>
      </w:r>
      <w:r>
        <w:rPr>
          <w:rFonts w:ascii="Calibri" w:eastAsia="Calibri" w:hAnsi="Calibri" w:cs="Calibri"/>
          <w:color w:val="333333"/>
          <w:sz w:val="22"/>
          <w:szCs w:val="22"/>
        </w:rPr>
        <w:t>n 2020 la cifra de abandono temprano de la educación-formación en España es la más alta de la UE-27 (8,0%), solo superado por Bulgaria, Malta y Rumanía. Entre los hombres asciende al 20,2% y en las mujeres al 11,6%. Entre 2010-2020 se ha reducido el abandono 12 p.p, lo que se traduce en una disminución del 43,1%. La reducción del abandono femenino es inferior a la del masculino, (en términos absolutos 11 p.p. para las mujeres y 13,3 p.p. hombres), si bien en términos relativos la reducción respecto a 2010 es superior en las mujeres (48,6% frente al 39,7%) </w:t>
      </w:r>
      <w:r>
        <w:rPr>
          <w:rFonts w:ascii="Calibri" w:eastAsia="Calibri" w:hAnsi="Calibri" w:cs="Calibri"/>
          <w:color w:val="000000"/>
          <w:sz w:val="22"/>
          <w:szCs w:val="22"/>
        </w:rPr>
        <w:t>(</w:t>
      </w:r>
      <w:r>
        <w:rPr>
          <w:rFonts w:ascii="Calibri" w:eastAsia="Calibri" w:hAnsi="Calibri" w:cs="Calibri"/>
          <w:color w:val="333333"/>
          <w:sz w:val="22"/>
          <w:szCs w:val="22"/>
          <w:highlight w:val="white"/>
        </w:rPr>
        <w:t>Instituto Nacional de Estadística-</w:t>
      </w:r>
      <w:r>
        <w:rPr>
          <w:rFonts w:ascii="Calibri" w:eastAsia="Calibri" w:hAnsi="Calibri" w:cs="Calibri"/>
          <w:color w:val="000000"/>
          <w:sz w:val="22"/>
          <w:szCs w:val="22"/>
        </w:rPr>
        <w:t xml:space="preserve">INE). </w:t>
      </w:r>
    </w:p>
    <w:p w:rsidR="00652BAB" w:rsidRDefault="007E6FE4">
      <w:pPr>
        <w:widowControl/>
        <w:pBdr>
          <w:top w:val="nil"/>
          <w:left w:val="nil"/>
          <w:bottom w:val="nil"/>
          <w:right w:val="nil"/>
          <w:between w:val="nil"/>
        </w:pBdr>
        <w:spacing w:after="240" w:line="276" w:lineRule="auto"/>
        <w:ind w:left="0" w:right="284" w:hanging="2"/>
        <w:jc w:val="both"/>
        <w:rPr>
          <w:rFonts w:ascii="Calibri" w:eastAsia="Calibri" w:hAnsi="Calibri" w:cs="Calibri"/>
          <w:color w:val="000000"/>
          <w:sz w:val="22"/>
          <w:szCs w:val="22"/>
        </w:rPr>
      </w:pPr>
      <w:r>
        <w:rPr>
          <w:rFonts w:ascii="Calibri" w:eastAsia="Calibri" w:hAnsi="Calibri" w:cs="Calibri"/>
          <w:color w:val="333333"/>
          <w:sz w:val="22"/>
          <w:szCs w:val="22"/>
        </w:rPr>
        <w:t xml:space="preserve">En 2020, el 60,2% de la población española entre 16-74 años tenía </w:t>
      </w:r>
      <w:r>
        <w:rPr>
          <w:rFonts w:ascii="Calibri" w:eastAsia="Calibri" w:hAnsi="Calibri" w:cs="Calibri"/>
          <w:b/>
          <w:color w:val="333333"/>
          <w:sz w:val="22"/>
          <w:szCs w:val="22"/>
        </w:rPr>
        <w:t>competencias digitales</w:t>
      </w:r>
      <w:r>
        <w:rPr>
          <w:rFonts w:ascii="Calibri" w:eastAsia="Calibri" w:hAnsi="Calibri" w:cs="Calibri"/>
          <w:color w:val="333333"/>
          <w:sz w:val="22"/>
          <w:szCs w:val="22"/>
        </w:rPr>
        <w:t xml:space="preserve"> básicas (62,6% hombres, 58% mujeres). </w:t>
      </w:r>
      <w:r>
        <w:rPr>
          <w:rFonts w:ascii="Calibri" w:eastAsia="Calibri" w:hAnsi="Calibri" w:cs="Calibri"/>
          <w:color w:val="333333"/>
          <w:sz w:val="22"/>
          <w:szCs w:val="22"/>
          <w:highlight w:val="white"/>
        </w:rPr>
        <w:t xml:space="preserve">Aunque en la franja de 16 a 24 años se esté alcanzando la igualdad en el acceso a las TIC, no se ha salvado la brecha digital histórica que arrastran las mujeres, y es especialmente gravosa en los hogares que ingresan menos de 900 €: más del 40% no tienen ordenador y algunos siquiera internet. </w:t>
      </w:r>
    </w:p>
    <w:p w:rsidR="00652BAB" w:rsidRDefault="007E6FE4">
      <w:pPr>
        <w:widowControl/>
        <w:pBdr>
          <w:top w:val="nil"/>
          <w:left w:val="nil"/>
          <w:bottom w:val="nil"/>
          <w:right w:val="nil"/>
          <w:between w:val="nil"/>
        </w:pBdr>
        <w:spacing w:after="240" w:line="276" w:lineRule="auto"/>
        <w:ind w:left="0" w:right="284" w:hanging="2"/>
        <w:jc w:val="both"/>
        <w:rPr>
          <w:rFonts w:ascii="Calibri" w:eastAsia="Calibri" w:hAnsi="Calibri" w:cs="Calibri"/>
          <w:color w:val="000000"/>
          <w:sz w:val="22"/>
          <w:szCs w:val="22"/>
        </w:rPr>
      </w:pPr>
      <w:r>
        <w:rPr>
          <w:rFonts w:ascii="Calibri" w:eastAsia="Calibri" w:hAnsi="Calibri" w:cs="Calibri"/>
          <w:b/>
          <w:color w:val="713B7A"/>
          <w:sz w:val="22"/>
          <w:szCs w:val="22"/>
        </w:rPr>
        <w:t>Limitaciones y restricciones en la educación:</w:t>
      </w:r>
      <w:r>
        <w:rPr>
          <w:rFonts w:ascii="Calibri" w:eastAsia="Calibri" w:hAnsi="Calibri" w:cs="Calibri"/>
          <w:b/>
          <w:color w:val="0000FF"/>
          <w:sz w:val="22"/>
          <w:szCs w:val="22"/>
        </w:rPr>
        <w:t xml:space="preserve"> </w:t>
      </w:r>
      <w:r>
        <w:rPr>
          <w:rFonts w:ascii="Calibri" w:eastAsia="Calibri" w:hAnsi="Calibri" w:cs="Calibri"/>
          <w:color w:val="333333"/>
          <w:sz w:val="22"/>
          <w:szCs w:val="22"/>
        </w:rPr>
        <w:t xml:space="preserve">Siguen </w:t>
      </w:r>
      <w:r>
        <w:rPr>
          <w:rFonts w:ascii="Calibri" w:eastAsia="Calibri" w:hAnsi="Calibri" w:cs="Calibri"/>
          <w:b/>
          <w:color w:val="333333"/>
          <w:sz w:val="22"/>
          <w:szCs w:val="22"/>
        </w:rPr>
        <w:t>sin tomarse medidas para eliminar los sesgos por sexo</w:t>
      </w:r>
      <w:r>
        <w:rPr>
          <w:rFonts w:ascii="Calibri" w:eastAsia="Calibri" w:hAnsi="Calibri" w:cs="Calibri"/>
          <w:color w:val="333333"/>
          <w:sz w:val="22"/>
          <w:szCs w:val="22"/>
        </w:rPr>
        <w:t xml:space="preserve"> en la elección académica. En la implementación de la LOMLOE, se deben crear orientaciones y esquemas de aprendizaje financiados dirigidos específicamente a alentar a las niñas y mujeres a la formación de aprendizajes STEM (ciencia, tecnología, ingeniería y matemáticas) y a los varones a la formación de aprendizajes en asistencia sanitaria y social. En la actualidad la atención a dichas actuaciones depende de la voluntad de cada CCAA.</w:t>
      </w:r>
    </w:p>
    <w:p w:rsidR="00652BAB" w:rsidRDefault="007E6FE4">
      <w:pPr>
        <w:widowControl/>
        <w:pBdr>
          <w:top w:val="nil"/>
          <w:left w:val="nil"/>
          <w:bottom w:val="nil"/>
          <w:right w:val="nil"/>
          <w:between w:val="nil"/>
        </w:pBdr>
        <w:spacing w:after="240" w:line="276" w:lineRule="auto"/>
        <w:ind w:left="0" w:right="284" w:hanging="2"/>
        <w:jc w:val="both"/>
        <w:rPr>
          <w:rFonts w:ascii="Calibri" w:eastAsia="Calibri" w:hAnsi="Calibri" w:cs="Calibri"/>
          <w:color w:val="333333"/>
          <w:sz w:val="22"/>
          <w:szCs w:val="22"/>
        </w:rPr>
      </w:pPr>
      <w:r>
        <w:rPr>
          <w:rFonts w:ascii="Calibri" w:eastAsia="Calibri" w:hAnsi="Calibri" w:cs="Calibri"/>
          <w:color w:val="333333"/>
          <w:sz w:val="22"/>
          <w:szCs w:val="22"/>
        </w:rPr>
        <w:t xml:space="preserve">Con la nueva LOMLOE continuarán existiendo </w:t>
      </w:r>
      <w:r>
        <w:rPr>
          <w:rFonts w:ascii="Calibri" w:eastAsia="Calibri" w:hAnsi="Calibri" w:cs="Calibri"/>
          <w:b/>
          <w:color w:val="333333"/>
          <w:sz w:val="22"/>
          <w:szCs w:val="22"/>
        </w:rPr>
        <w:t>centros educativos segregados por sexo</w:t>
      </w:r>
      <w:r>
        <w:rPr>
          <w:rFonts w:ascii="Calibri" w:eastAsia="Calibri" w:hAnsi="Calibri" w:cs="Calibri"/>
          <w:color w:val="333333"/>
          <w:sz w:val="22"/>
          <w:szCs w:val="22"/>
        </w:rPr>
        <w:t xml:space="preserve">. No se han desarrollado medidas suficientes para la </w:t>
      </w:r>
      <w:r>
        <w:rPr>
          <w:rFonts w:ascii="Calibri" w:eastAsia="Calibri" w:hAnsi="Calibri" w:cs="Calibri"/>
          <w:b/>
          <w:color w:val="333333"/>
          <w:sz w:val="22"/>
          <w:szCs w:val="22"/>
        </w:rPr>
        <w:t>eliminación de los estereotipos de género</w:t>
      </w:r>
      <w:r>
        <w:rPr>
          <w:rFonts w:ascii="Calibri" w:eastAsia="Calibri" w:hAnsi="Calibri" w:cs="Calibri"/>
          <w:color w:val="333333"/>
          <w:sz w:val="22"/>
          <w:szCs w:val="22"/>
        </w:rPr>
        <w:t xml:space="preserve">. Por el contrario, la “identidad de género” ha penetrado en las escuelas con materiales y actividades educativas que profundizan en el reforzamiento de estereotipos y roles sexistas. Es necesario que la educación para la </w:t>
      </w:r>
      <w:r>
        <w:rPr>
          <w:rFonts w:ascii="Calibri" w:eastAsia="Calibri" w:hAnsi="Calibri" w:cs="Calibri"/>
          <w:b/>
          <w:color w:val="333333"/>
          <w:sz w:val="22"/>
          <w:szCs w:val="22"/>
        </w:rPr>
        <w:t>igualdad de oportunidades entre mujeres y hombres y la educación afectivo-sexual en el currículo educativo</w:t>
      </w:r>
      <w:r>
        <w:rPr>
          <w:rFonts w:ascii="Calibri" w:eastAsia="Calibri" w:hAnsi="Calibri" w:cs="Calibri"/>
          <w:color w:val="333333"/>
          <w:sz w:val="22"/>
          <w:szCs w:val="22"/>
        </w:rPr>
        <w:t>, que prevé la nueva Ley Orgánica (LOMLOE), se despliegue y desarrolle en el currículo, en las prácticas de aula, en la organización de la escuela y en todos los programas y líneas del sistema.</w:t>
      </w:r>
    </w:p>
    <w:p w:rsidR="00652BAB" w:rsidRDefault="00652BAB">
      <w:pPr>
        <w:widowControl/>
        <w:pBdr>
          <w:top w:val="nil"/>
          <w:left w:val="nil"/>
          <w:bottom w:val="nil"/>
          <w:right w:val="nil"/>
          <w:between w:val="nil"/>
        </w:pBdr>
        <w:spacing w:after="120" w:line="276" w:lineRule="auto"/>
        <w:ind w:left="0" w:right="286" w:hanging="2"/>
        <w:jc w:val="both"/>
        <w:rPr>
          <w:rFonts w:ascii="Arial" w:eastAsia="Arial" w:hAnsi="Arial" w:cs="Arial"/>
          <w:color w:val="333333"/>
          <w:sz w:val="22"/>
          <w:szCs w:val="22"/>
        </w:rPr>
      </w:pPr>
    </w:p>
    <w:p w:rsidR="00652BAB" w:rsidRDefault="007E6FE4">
      <w:pPr>
        <w:shd w:val="clear" w:color="auto" w:fill="FFFFFF"/>
        <w:spacing w:after="240"/>
        <w:ind w:left="0" w:hanging="2"/>
        <w:jc w:val="both"/>
        <w:rPr>
          <w:rFonts w:ascii="Calibri" w:eastAsia="Calibri" w:hAnsi="Calibri" w:cs="Calibri"/>
          <w:color w:val="713B7A"/>
          <w:sz w:val="24"/>
          <w:szCs w:val="24"/>
        </w:rPr>
      </w:pPr>
      <w:r>
        <w:rPr>
          <w:rFonts w:ascii="Calibri" w:eastAsia="Calibri" w:hAnsi="Calibri" w:cs="Calibri"/>
          <w:b/>
          <w:color w:val="713B7A"/>
          <w:sz w:val="24"/>
          <w:szCs w:val="24"/>
        </w:rPr>
        <w:t>16 y 17 DERECHOS ECONÓMICOS Y LABORALES</w:t>
      </w:r>
    </w:p>
    <w:p w:rsidR="00652BAB" w:rsidRDefault="007E6FE4">
      <w:pPr>
        <w:widowControl/>
        <w:shd w:val="clear" w:color="auto" w:fill="FFFFFF"/>
        <w:spacing w:after="240" w:line="276" w:lineRule="auto"/>
        <w:ind w:left="0" w:right="83" w:hanging="2"/>
        <w:jc w:val="both"/>
        <w:rPr>
          <w:rFonts w:ascii="Calibri" w:eastAsia="Calibri" w:hAnsi="Calibri" w:cs="Calibri"/>
          <w:sz w:val="22"/>
          <w:szCs w:val="22"/>
        </w:rPr>
      </w:pPr>
      <w:r>
        <w:rPr>
          <w:rFonts w:ascii="Calibri" w:eastAsia="Calibri" w:hAnsi="Calibri" w:cs="Calibri"/>
          <w:color w:val="000000"/>
          <w:sz w:val="22"/>
          <w:szCs w:val="22"/>
        </w:rPr>
        <w:t xml:space="preserve">El </w:t>
      </w:r>
      <w:r>
        <w:rPr>
          <w:rFonts w:ascii="Calibri" w:eastAsia="Calibri" w:hAnsi="Calibri" w:cs="Calibri"/>
          <w:color w:val="1155CC"/>
          <w:sz w:val="22"/>
          <w:szCs w:val="22"/>
          <w:u w:val="single"/>
        </w:rPr>
        <w:t>Real Decreto–ley 6/2019, de 1 de marzo, de medidas urgentes para garantizar la igualdad</w:t>
      </w:r>
      <w:r>
        <w:rPr>
          <w:rFonts w:ascii="Calibri" w:eastAsia="Calibri" w:hAnsi="Calibri" w:cs="Calibri"/>
          <w:color w:val="1155CC"/>
          <w:sz w:val="22"/>
          <w:szCs w:val="22"/>
        </w:rPr>
        <w:t xml:space="preserve"> </w:t>
      </w:r>
      <w:r>
        <w:rPr>
          <w:rFonts w:ascii="Calibri" w:eastAsia="Calibri" w:hAnsi="Calibri" w:cs="Calibri"/>
          <w:color w:val="1155CC"/>
          <w:sz w:val="22"/>
          <w:szCs w:val="22"/>
          <w:u w:val="single"/>
        </w:rPr>
        <w:t>de trato y oportunidades entre mujeres y hombres en el empleo</w:t>
      </w:r>
      <w:r>
        <w:rPr>
          <w:rFonts w:ascii="Calibri" w:eastAsia="Calibri" w:hAnsi="Calibri" w:cs="Calibri"/>
          <w:color w:val="000000"/>
          <w:sz w:val="22"/>
          <w:szCs w:val="22"/>
        </w:rPr>
        <w:t xml:space="preserve">, y su reglamento aprobado en octubre de 2020, son las únicas normas aprobadas para corregir </w:t>
      </w:r>
      <w:r>
        <w:rPr>
          <w:rFonts w:ascii="Calibri" w:eastAsia="Calibri" w:hAnsi="Calibri" w:cs="Calibri"/>
          <w:b/>
          <w:color w:val="000000"/>
          <w:sz w:val="22"/>
          <w:szCs w:val="22"/>
        </w:rPr>
        <w:t xml:space="preserve">discriminaciones </w:t>
      </w:r>
      <w:r>
        <w:rPr>
          <w:rFonts w:ascii="Calibri" w:eastAsia="Calibri" w:hAnsi="Calibri" w:cs="Calibri"/>
          <w:b/>
          <w:color w:val="800080"/>
          <w:sz w:val="22"/>
          <w:szCs w:val="22"/>
        </w:rPr>
        <w:t>estructurales</w:t>
      </w:r>
      <w:r>
        <w:rPr>
          <w:rFonts w:ascii="Calibri" w:eastAsia="Calibri" w:hAnsi="Calibri" w:cs="Calibri"/>
          <w:b/>
          <w:color w:val="000000"/>
          <w:sz w:val="22"/>
          <w:szCs w:val="22"/>
        </w:rPr>
        <w:t xml:space="preserve"> existentes</w:t>
      </w:r>
      <w:r>
        <w:rPr>
          <w:rFonts w:ascii="Calibri" w:eastAsia="Calibri" w:hAnsi="Calibri" w:cs="Calibri"/>
          <w:color w:val="000000"/>
          <w:sz w:val="22"/>
          <w:szCs w:val="22"/>
        </w:rPr>
        <w:t>: </w:t>
      </w:r>
      <w:r>
        <w:rPr>
          <w:rFonts w:ascii="Calibri" w:eastAsia="Calibri" w:hAnsi="Calibri" w:cs="Calibri"/>
          <w:sz w:val="22"/>
          <w:szCs w:val="22"/>
        </w:rPr>
        <w:t xml:space="preserve">Una </w:t>
      </w:r>
      <w:r>
        <w:rPr>
          <w:rFonts w:ascii="Calibri" w:eastAsia="Calibri" w:hAnsi="Calibri" w:cs="Calibri"/>
          <w:b/>
          <w:sz w:val="22"/>
          <w:szCs w:val="22"/>
        </w:rPr>
        <w:t xml:space="preserve">mayor temporalidad y parcialidad en el empleo, brecha salarial y mayor tasa de desempleo </w:t>
      </w:r>
      <w:r>
        <w:rPr>
          <w:rFonts w:ascii="Calibri" w:eastAsia="Calibri" w:hAnsi="Calibri" w:cs="Calibri"/>
          <w:sz w:val="22"/>
          <w:szCs w:val="22"/>
        </w:rPr>
        <w:t xml:space="preserve">(en 2018 las mujeres </w:t>
      </w:r>
      <w:r>
        <w:rPr>
          <w:rFonts w:ascii="Calibri" w:eastAsia="Calibri" w:hAnsi="Calibri" w:cs="Calibri"/>
          <w:sz w:val="22"/>
          <w:szCs w:val="22"/>
        </w:rPr>
        <w:lastRenderedPageBreak/>
        <w:t>suponían el 51,86% y en 2020 52,43%)</w:t>
      </w:r>
      <w:r>
        <w:rPr>
          <w:rFonts w:ascii="Calibri" w:eastAsia="Calibri" w:hAnsi="Calibri" w:cs="Calibri"/>
          <w:b/>
          <w:sz w:val="22"/>
          <w:szCs w:val="22"/>
        </w:rPr>
        <w:t xml:space="preserve"> que penaliza doblemente a las mujeres</w:t>
      </w:r>
      <w:r>
        <w:rPr>
          <w:rFonts w:ascii="Calibri" w:eastAsia="Calibri" w:hAnsi="Calibri" w:cs="Calibri"/>
          <w:sz w:val="22"/>
          <w:szCs w:val="22"/>
        </w:rPr>
        <w:t>: durante su vida laboral por bajos ingresos y después para acceder a la pensión. </w:t>
      </w:r>
    </w:p>
    <w:p w:rsidR="00652BAB" w:rsidRDefault="007E6FE4">
      <w:pPr>
        <w:widowControl/>
        <w:shd w:val="clear" w:color="auto" w:fill="FFFFFF"/>
        <w:spacing w:after="240" w:line="276" w:lineRule="auto"/>
        <w:ind w:left="0" w:right="71" w:hanging="2"/>
        <w:jc w:val="both"/>
        <w:rPr>
          <w:rFonts w:ascii="Calibri" w:eastAsia="Calibri" w:hAnsi="Calibri" w:cs="Calibri"/>
          <w:color w:val="000000"/>
          <w:sz w:val="22"/>
          <w:szCs w:val="22"/>
        </w:rPr>
      </w:pPr>
      <w:r>
        <w:rPr>
          <w:rFonts w:ascii="Calibri" w:eastAsia="Calibri" w:hAnsi="Calibri" w:cs="Calibri"/>
          <w:b/>
          <w:color w:val="000000"/>
          <w:sz w:val="22"/>
          <w:szCs w:val="22"/>
        </w:rPr>
        <w:t xml:space="preserve">La brecha salarial se mantiene, </w:t>
      </w:r>
      <w:r>
        <w:rPr>
          <w:rFonts w:ascii="Calibri" w:eastAsia="Calibri" w:hAnsi="Calibri" w:cs="Calibri"/>
          <w:color w:val="000000"/>
          <w:sz w:val="22"/>
          <w:szCs w:val="22"/>
        </w:rPr>
        <w:t>descendiendo lentamente del 22,86% en 2015 al 19,50% en 2019 (</w:t>
      </w:r>
      <w:hyperlink r:id="rId53">
        <w:r>
          <w:rPr>
            <w:rFonts w:ascii="Calibri" w:eastAsia="Calibri" w:hAnsi="Calibri" w:cs="Calibri"/>
            <w:color w:val="000080"/>
            <w:sz w:val="22"/>
            <w:szCs w:val="22"/>
            <w:u w:val="single"/>
          </w:rPr>
          <w:t>INE, 2019</w:t>
        </w:r>
      </w:hyperlink>
      <w:r>
        <w:rPr>
          <w:rFonts w:ascii="Calibri" w:eastAsia="Calibri" w:hAnsi="Calibri" w:cs="Calibri"/>
          <w:color w:val="000000"/>
          <w:sz w:val="22"/>
          <w:szCs w:val="22"/>
        </w:rPr>
        <w:t xml:space="preserve">); las diferencias resultan mayores al aumentar la edad de lo/as trabajadore/as, y en las jornadas a tiempo parcial (el 96% de quienes trabajaban media jornada eran mujeres en 2019). El descenso de la brecha ocurre porque los salarios de hombres descienden, acortándose las diferencias entre hombres y mujeres, no por adopción de medidas correctoras de la brecha. </w:t>
      </w:r>
    </w:p>
    <w:p w:rsidR="00652BAB" w:rsidRDefault="007E6FE4">
      <w:pPr>
        <w:widowControl/>
        <w:shd w:val="clear" w:color="auto" w:fill="FFFFFF"/>
        <w:spacing w:after="240" w:line="276" w:lineRule="auto"/>
        <w:ind w:left="0" w:right="76" w:hanging="2"/>
        <w:jc w:val="both"/>
        <w:rPr>
          <w:rFonts w:ascii="Calibri" w:eastAsia="Calibri" w:hAnsi="Calibri" w:cs="Calibri"/>
          <w:color w:val="000000"/>
          <w:sz w:val="22"/>
          <w:szCs w:val="22"/>
        </w:rPr>
      </w:pPr>
      <w:r>
        <w:rPr>
          <w:rFonts w:ascii="Calibri" w:eastAsia="Calibri" w:hAnsi="Calibri" w:cs="Calibri"/>
          <w:color w:val="000000"/>
          <w:sz w:val="22"/>
          <w:szCs w:val="22"/>
        </w:rPr>
        <w:t xml:space="preserve">Además, la </w:t>
      </w:r>
      <w:r>
        <w:rPr>
          <w:rFonts w:ascii="Calibri" w:eastAsia="Calibri" w:hAnsi="Calibri" w:cs="Calibri"/>
          <w:b/>
          <w:color w:val="000000"/>
          <w:sz w:val="22"/>
          <w:szCs w:val="22"/>
        </w:rPr>
        <w:t>precariedad laboral</w:t>
      </w:r>
      <w:r>
        <w:rPr>
          <w:rFonts w:ascii="Calibri" w:eastAsia="Calibri" w:hAnsi="Calibri" w:cs="Calibri"/>
          <w:color w:val="000000"/>
          <w:sz w:val="22"/>
          <w:szCs w:val="22"/>
        </w:rPr>
        <w:t xml:space="preserve"> afecta más a las mujeres. Las mujeres suponen el 63,9% de trabajadores con </w:t>
      </w:r>
      <w:r>
        <w:rPr>
          <w:rFonts w:ascii="Calibri" w:eastAsia="Calibri" w:hAnsi="Calibri" w:cs="Calibri"/>
          <w:i/>
          <w:color w:val="000000"/>
          <w:sz w:val="22"/>
          <w:szCs w:val="22"/>
        </w:rPr>
        <w:t>ganancia baja</w:t>
      </w:r>
      <w:r>
        <w:rPr>
          <w:rFonts w:ascii="Calibri" w:eastAsia="Calibri" w:hAnsi="Calibri" w:cs="Calibri"/>
          <w:color w:val="000000"/>
          <w:sz w:val="22"/>
          <w:szCs w:val="22"/>
        </w:rPr>
        <w:t xml:space="preserve"> en 2019: Primeramente, la población femenina ocupa principalmente puestos de trabajo en los sectores peor valorados y retribuidos, y con mayores índices de precariedad. </w:t>
      </w:r>
      <w:r>
        <w:rPr>
          <w:rFonts w:ascii="Calibri" w:eastAsia="Calibri" w:hAnsi="Calibri" w:cs="Calibri"/>
          <w:sz w:val="22"/>
          <w:szCs w:val="22"/>
        </w:rPr>
        <w:t>Esto se debe fundamentalmente a la terciarización del empleo femenino concentrándose en sectores como comercio (17%), sanidad (15,4%), educación (9,9%) y hostelería (8,4%) (INE, 2020). En seg</w:t>
      </w:r>
      <w:r>
        <w:rPr>
          <w:rFonts w:ascii="Calibri" w:eastAsia="Calibri" w:hAnsi="Calibri" w:cs="Calibri"/>
          <w:color w:val="000000"/>
          <w:sz w:val="22"/>
          <w:szCs w:val="22"/>
        </w:rPr>
        <w:t xml:space="preserve">undo lugar, las actividades no remuneradas (tareas domésticas y cuidado) son asumidas por mujeres, limitando su acceso al empleo o interrumpiendo su jornada laboral y proyección profesional: Las mujeres </w:t>
      </w:r>
      <w:r>
        <w:rPr>
          <w:rFonts w:ascii="Calibri" w:eastAsia="Calibri" w:hAnsi="Calibri" w:cs="Calibri"/>
          <w:b/>
          <w:color w:val="000000"/>
          <w:sz w:val="22"/>
          <w:szCs w:val="22"/>
        </w:rPr>
        <w:t xml:space="preserve">constituían </w:t>
      </w:r>
      <w:r>
        <w:rPr>
          <w:rFonts w:ascii="Calibri" w:eastAsia="Calibri" w:hAnsi="Calibri" w:cs="Calibri"/>
          <w:color w:val="000000"/>
          <w:sz w:val="22"/>
          <w:szCs w:val="22"/>
        </w:rPr>
        <w:t>en 2020 el 49% de la población inactiva</w:t>
      </w:r>
      <w:r>
        <w:rPr>
          <w:rFonts w:ascii="Calibri" w:eastAsia="Calibri" w:hAnsi="Calibri" w:cs="Calibri"/>
          <w:b/>
          <w:color w:val="000000"/>
          <w:sz w:val="22"/>
          <w:szCs w:val="22"/>
        </w:rPr>
        <w:t xml:space="preserve">; </w:t>
      </w:r>
      <w:r>
        <w:rPr>
          <w:rFonts w:ascii="Calibri" w:eastAsia="Calibri" w:hAnsi="Calibri" w:cs="Calibri"/>
          <w:color w:val="000000"/>
          <w:sz w:val="22"/>
          <w:szCs w:val="22"/>
        </w:rPr>
        <w:t>pero el 93,2% de las que son forzadas por dedicarse al cuidado de personas dependientes</w:t>
      </w:r>
      <w:r>
        <w:rPr>
          <w:rFonts w:ascii="Calibri" w:eastAsia="Calibri" w:hAnsi="Calibri" w:cs="Calibri"/>
          <w:b/>
          <w:color w:val="000000"/>
          <w:sz w:val="22"/>
          <w:szCs w:val="22"/>
        </w:rPr>
        <w:t xml:space="preserve"> </w:t>
      </w:r>
      <w:r>
        <w:rPr>
          <w:rFonts w:ascii="Calibri" w:eastAsia="Calibri" w:hAnsi="Calibri" w:cs="Calibri"/>
          <w:color w:val="000000"/>
          <w:sz w:val="22"/>
          <w:szCs w:val="22"/>
        </w:rPr>
        <w:t xml:space="preserve">(EPA INE 2019). En 2017 entró en vigor el permiso de paternidad y con equiparación para ambos progenitores a 16 semanas en 2021. No obstante, las tareas de cuidados siguen recayendo en mujeres: </w:t>
      </w:r>
      <w:r>
        <w:rPr>
          <w:rFonts w:ascii="Calibri" w:eastAsia="Calibri" w:hAnsi="Calibri" w:cs="Calibri"/>
          <w:color w:val="800080"/>
          <w:sz w:val="22"/>
          <w:szCs w:val="22"/>
        </w:rPr>
        <w:t>en 2019</w:t>
      </w:r>
      <w:r>
        <w:rPr>
          <w:rFonts w:ascii="Calibri" w:eastAsia="Calibri" w:hAnsi="Calibri" w:cs="Calibri"/>
          <w:b/>
          <w:color w:val="800080"/>
          <w:sz w:val="22"/>
          <w:szCs w:val="22"/>
        </w:rPr>
        <w:t>,</w:t>
      </w:r>
      <w:r>
        <w:rPr>
          <w:rFonts w:ascii="Calibri" w:eastAsia="Calibri" w:hAnsi="Calibri" w:cs="Calibri"/>
          <w:b/>
          <w:color w:val="000000"/>
          <w:sz w:val="22"/>
          <w:szCs w:val="22"/>
        </w:rPr>
        <w:t xml:space="preserve"> 9 de cada 10 excedencias para cuidado de familiares son solicitadas por mujeres </w:t>
      </w:r>
      <w:r>
        <w:rPr>
          <w:rFonts w:ascii="Calibri" w:eastAsia="Calibri" w:hAnsi="Calibri" w:cs="Calibri"/>
          <w:color w:val="000000"/>
          <w:sz w:val="22"/>
          <w:szCs w:val="22"/>
        </w:rPr>
        <w:t>(Secretaría de Estado de Seguridad Social). </w:t>
      </w:r>
    </w:p>
    <w:p w:rsidR="00652BAB" w:rsidRDefault="007E6FE4">
      <w:pPr>
        <w:widowControl/>
        <w:shd w:val="clear" w:color="auto" w:fill="FFFFFF"/>
        <w:spacing w:after="240" w:line="276" w:lineRule="auto"/>
        <w:ind w:left="0" w:hanging="2"/>
        <w:jc w:val="both"/>
        <w:rPr>
          <w:rFonts w:ascii="Calibri" w:eastAsia="Calibri" w:hAnsi="Calibri" w:cs="Calibri"/>
          <w:sz w:val="22"/>
          <w:szCs w:val="22"/>
        </w:rPr>
      </w:pPr>
      <w:r>
        <w:rPr>
          <w:rFonts w:ascii="Calibri" w:eastAsia="Calibri" w:hAnsi="Calibri" w:cs="Calibri"/>
          <w:color w:val="000000"/>
          <w:sz w:val="22"/>
          <w:szCs w:val="22"/>
        </w:rPr>
        <w:t xml:space="preserve">El </w:t>
      </w:r>
      <w:r>
        <w:rPr>
          <w:rFonts w:ascii="Calibri" w:eastAsia="Calibri" w:hAnsi="Calibri" w:cs="Calibri"/>
          <w:b/>
          <w:color w:val="000000"/>
          <w:sz w:val="22"/>
          <w:szCs w:val="22"/>
        </w:rPr>
        <w:t>trabajo del hogar y cuidados</w:t>
      </w:r>
      <w:r>
        <w:rPr>
          <w:rFonts w:ascii="Calibri" w:eastAsia="Calibri" w:hAnsi="Calibri" w:cs="Calibri"/>
          <w:color w:val="000000"/>
          <w:sz w:val="22"/>
          <w:szCs w:val="22"/>
        </w:rPr>
        <w:t xml:space="preserve"> está integrado en un 89% por mujeres, migrantes y españolas. De las 630.000 mujeres del sector, más de la tercera parte</w:t>
      </w:r>
      <w:r>
        <w:rPr>
          <w:rFonts w:ascii="Calibri" w:eastAsia="Calibri" w:hAnsi="Calibri" w:cs="Calibri"/>
          <w:color w:val="FF0000"/>
          <w:sz w:val="22"/>
          <w:szCs w:val="22"/>
        </w:rPr>
        <w:t xml:space="preserve"> </w:t>
      </w:r>
      <w:r>
        <w:rPr>
          <w:rFonts w:ascii="Calibri" w:eastAsia="Calibri" w:hAnsi="Calibri" w:cs="Calibri"/>
          <w:color w:val="000000"/>
          <w:sz w:val="22"/>
          <w:szCs w:val="22"/>
        </w:rPr>
        <w:t xml:space="preserve">se encuentra en la economía sumergida, vulnerándose sus derechos laborales. El 45% de las trabajadoras del hogar y cuidados se encuentra en régimen de interna; se desconoce cuál es el porcentaje que se encuentra afiliada a la Seguridad Social. No existe base de datos del Servicio Público de Empleo Estatal (SEPE). La </w:t>
      </w:r>
      <w:r>
        <w:rPr>
          <w:rFonts w:ascii="Calibri" w:eastAsia="Calibri" w:hAnsi="Calibri" w:cs="Calibri"/>
          <w:color w:val="1155CC"/>
          <w:sz w:val="22"/>
          <w:szCs w:val="22"/>
          <w:u w:val="single"/>
        </w:rPr>
        <w:t>Ley 27/2011</w:t>
      </w:r>
      <w:r>
        <w:rPr>
          <w:rFonts w:ascii="Calibri" w:eastAsia="Calibri" w:hAnsi="Calibri" w:cs="Calibri"/>
          <w:color w:val="000000"/>
          <w:sz w:val="22"/>
          <w:szCs w:val="22"/>
        </w:rPr>
        <w:t xml:space="preserve">, que introdujo el “Sistema Especial” de cotización para Empleados de Hogar al Régimen General, no ha incluido los cambios demandados por asociaciones de trabajadoras del Hogar y cuidados. Faltan cambios para equiparar las trabajadoras del hogar al régimen general, pues carecen de derechos a prestación por desempleo y Fondo de Garantía Salarial; pueden ser despedidas por desistimiento con menor compensación. El sector del empleo de Hogar no está en la Ley de Prevención de Riesgos Laborales. Tienen una </w:t>
      </w:r>
      <w:r>
        <w:rPr>
          <w:rFonts w:ascii="Calibri" w:eastAsia="Calibri" w:hAnsi="Calibri" w:cs="Calibri"/>
          <w:b/>
          <w:color w:val="000000"/>
          <w:sz w:val="22"/>
          <w:szCs w:val="22"/>
        </w:rPr>
        <w:t xml:space="preserve">mayor exposición a situaciones de acoso, abuso y violencia, </w:t>
      </w:r>
      <w:r>
        <w:rPr>
          <w:rFonts w:ascii="Calibri" w:eastAsia="Calibri" w:hAnsi="Calibri" w:cs="Calibri"/>
          <w:color w:val="000000"/>
          <w:sz w:val="22"/>
          <w:szCs w:val="22"/>
        </w:rPr>
        <w:t xml:space="preserve">incluida sexual, en el ámbito privado de los hogares contratantes, </w:t>
      </w:r>
      <w:r>
        <w:rPr>
          <w:rFonts w:ascii="Calibri" w:eastAsia="Calibri" w:hAnsi="Calibri" w:cs="Calibri"/>
          <w:sz w:val="22"/>
          <w:szCs w:val="22"/>
        </w:rPr>
        <w:t>agravado durante la pandemia; una</w:t>
      </w:r>
      <w:r>
        <w:rPr>
          <w:rFonts w:ascii="Calibri" w:eastAsia="Calibri" w:hAnsi="Calibri" w:cs="Calibri"/>
          <w:color w:val="800080"/>
          <w:sz w:val="22"/>
          <w:szCs w:val="22"/>
        </w:rPr>
        <w:t xml:space="preserve"> </w:t>
      </w:r>
      <w:hyperlink r:id="rId54">
        <w:r>
          <w:rPr>
            <w:rFonts w:ascii="Calibri" w:eastAsia="Calibri" w:hAnsi="Calibri" w:cs="Calibri"/>
            <w:color w:val="000080"/>
            <w:sz w:val="22"/>
            <w:szCs w:val="22"/>
            <w:u w:val="single"/>
          </w:rPr>
          <w:t>violencia invisible y poco reconocida</w:t>
        </w:r>
      </w:hyperlink>
      <w:r>
        <w:rPr>
          <w:rFonts w:ascii="Calibri" w:eastAsia="Calibri" w:hAnsi="Calibri" w:cs="Calibri"/>
          <w:color w:val="000000"/>
          <w:sz w:val="22"/>
          <w:szCs w:val="22"/>
        </w:rPr>
        <w:t>. No hay Convenio Colectivo que regule las características especiales de este trabajo. Las agencias de colocación e intermediación actúan sin licencia y realizan cobros abusivos a las solicitantes de empleo. Faltan acciones positivas para la creación de cooperativas de trabajadoras del hogar y cuidados. No se consulta la opinión de empleadas organizadas en asociaciones, ni son invitadas a Mesas de Diálogo Social. </w:t>
      </w:r>
    </w:p>
    <w:p w:rsidR="00652BAB" w:rsidRDefault="007E6FE4">
      <w:pPr>
        <w:widowControl/>
        <w:pBdr>
          <w:top w:val="nil"/>
          <w:left w:val="nil"/>
          <w:bottom w:val="nil"/>
          <w:right w:val="nil"/>
          <w:between w:val="nil"/>
        </w:pBdr>
        <w:spacing w:after="240" w:line="276" w:lineRule="auto"/>
        <w:ind w:left="0" w:right="-62" w:hanging="2"/>
        <w:jc w:val="both"/>
        <w:rPr>
          <w:rFonts w:ascii="Calibri" w:eastAsia="Calibri" w:hAnsi="Calibri" w:cs="Calibri"/>
          <w:color w:val="333333"/>
          <w:sz w:val="22"/>
          <w:szCs w:val="22"/>
          <w:highlight w:val="white"/>
        </w:rPr>
      </w:pPr>
      <w:r>
        <w:rPr>
          <w:rFonts w:ascii="Calibri" w:eastAsia="Calibri" w:hAnsi="Calibri" w:cs="Calibri"/>
          <w:color w:val="000000"/>
          <w:sz w:val="22"/>
          <w:szCs w:val="22"/>
          <w:highlight w:val="white"/>
        </w:rPr>
        <w:t xml:space="preserve">En el año 2020, el 27,2% de las mujeres estaban en </w:t>
      </w:r>
      <w:r>
        <w:rPr>
          <w:rFonts w:ascii="Calibri" w:eastAsia="Calibri" w:hAnsi="Calibri" w:cs="Calibri"/>
          <w:b/>
          <w:color w:val="000000"/>
          <w:sz w:val="22"/>
          <w:szCs w:val="22"/>
          <w:highlight w:val="white"/>
        </w:rPr>
        <w:t>situación de riesgo de pobreza o exclusión social</w:t>
      </w:r>
      <w:r>
        <w:rPr>
          <w:rFonts w:ascii="Calibri" w:eastAsia="Calibri" w:hAnsi="Calibri" w:cs="Calibri"/>
          <w:color w:val="000000"/>
          <w:sz w:val="22"/>
          <w:szCs w:val="22"/>
          <w:highlight w:val="white"/>
        </w:rPr>
        <w:t xml:space="preserve"> frente al 25,6% de los hombres, correspondiendo a las mujeres menores de 16 años y las jóvenes (19-29 años) los mayores niveles (31,1% y 29,3%). El 49% de familias monoparentales se encuentran en riesgo de pobreza, y </w:t>
      </w:r>
      <w:r>
        <w:rPr>
          <w:rFonts w:ascii="Calibri" w:eastAsia="Calibri" w:hAnsi="Calibri" w:cs="Calibri"/>
          <w:color w:val="000000"/>
          <w:sz w:val="22"/>
          <w:szCs w:val="22"/>
          <w:highlight w:val="white"/>
        </w:rPr>
        <w:lastRenderedPageBreak/>
        <w:t>ocho de cada</w:t>
      </w:r>
      <w:r>
        <w:rPr>
          <w:rFonts w:ascii="Calibri" w:eastAsia="Calibri" w:hAnsi="Calibri" w:cs="Calibri"/>
          <w:color w:val="800080"/>
          <w:sz w:val="22"/>
          <w:szCs w:val="22"/>
          <w:highlight w:val="white"/>
        </w:rPr>
        <w:t xml:space="preserve"> </w:t>
      </w:r>
      <w:r>
        <w:rPr>
          <w:rFonts w:ascii="Calibri" w:eastAsia="Calibri" w:hAnsi="Calibri" w:cs="Calibri"/>
          <w:color w:val="000000"/>
          <w:sz w:val="22"/>
          <w:szCs w:val="22"/>
          <w:highlight w:val="white"/>
        </w:rPr>
        <w:t>diez hogares monoparentales están encabezados por mujeres (</w:t>
      </w:r>
      <w:hyperlink r:id="rId55">
        <w:r>
          <w:rPr>
            <w:rFonts w:ascii="Calibri" w:eastAsia="Calibri" w:hAnsi="Calibri" w:cs="Calibri"/>
            <w:color w:val="000080"/>
            <w:sz w:val="22"/>
            <w:szCs w:val="22"/>
            <w:highlight w:val="white"/>
            <w:u w:val="single"/>
          </w:rPr>
          <w:t>Alto Comisionado para la Lucha contra la Pobreza Infantil de España</w:t>
        </w:r>
      </w:hyperlink>
      <w:r>
        <w:rPr>
          <w:rFonts w:ascii="Calibri" w:eastAsia="Calibri" w:hAnsi="Calibri" w:cs="Calibri"/>
          <w:color w:val="333333"/>
          <w:sz w:val="22"/>
          <w:szCs w:val="22"/>
          <w:highlight w:val="white"/>
        </w:rPr>
        <w:t>, 2021).</w:t>
      </w:r>
    </w:p>
    <w:p w:rsidR="00652BAB" w:rsidRDefault="007E6FE4">
      <w:pPr>
        <w:widowControl/>
        <w:pBdr>
          <w:top w:val="nil"/>
          <w:left w:val="nil"/>
          <w:bottom w:val="nil"/>
          <w:right w:val="nil"/>
          <w:between w:val="nil"/>
        </w:pBdr>
        <w:spacing w:after="240" w:line="276" w:lineRule="auto"/>
        <w:ind w:left="0" w:right="-62" w:hanging="2"/>
        <w:jc w:val="both"/>
        <w:rPr>
          <w:rFonts w:ascii="Calibri" w:eastAsia="Calibri" w:hAnsi="Calibri" w:cs="Calibri"/>
          <w:color w:val="000000"/>
          <w:sz w:val="22"/>
          <w:szCs w:val="22"/>
        </w:rPr>
      </w:pPr>
      <w:r>
        <w:rPr>
          <w:rFonts w:ascii="Calibri" w:eastAsia="Calibri" w:hAnsi="Calibri" w:cs="Calibri"/>
          <w:color w:val="333333"/>
          <w:sz w:val="22"/>
          <w:szCs w:val="22"/>
          <w:highlight w:val="white"/>
        </w:rPr>
        <w:t>Un 40,4% de mujeres encuestadas en informe sobre acoso sexual en el ámbito laboral había sufrido acoso sexual (</w:t>
      </w:r>
      <w:hyperlink r:id="rId56">
        <w:r>
          <w:rPr>
            <w:rFonts w:ascii="Calibri" w:eastAsia="Calibri" w:hAnsi="Calibri" w:cs="Calibri"/>
            <w:color w:val="000080"/>
            <w:sz w:val="22"/>
            <w:szCs w:val="22"/>
            <w:highlight w:val="white"/>
            <w:u w:val="single"/>
          </w:rPr>
          <w:t>DGVG, 2021</w:t>
        </w:r>
      </w:hyperlink>
      <w:r>
        <w:rPr>
          <w:rFonts w:ascii="Calibri" w:eastAsia="Calibri" w:hAnsi="Calibri" w:cs="Calibri"/>
          <w:color w:val="333333"/>
          <w:sz w:val="22"/>
          <w:szCs w:val="22"/>
          <w:highlight w:val="white"/>
        </w:rPr>
        <w:t>).</w:t>
      </w:r>
    </w:p>
    <w:p w:rsidR="00652BAB" w:rsidRDefault="007E6FE4">
      <w:pPr>
        <w:widowControl/>
        <w:shd w:val="clear" w:color="auto" w:fill="FFFFFF"/>
        <w:spacing w:after="240"/>
        <w:ind w:left="0" w:hanging="2"/>
        <w:rPr>
          <w:rFonts w:ascii="Calibri" w:eastAsia="Calibri" w:hAnsi="Calibri" w:cs="Calibri"/>
          <w:color w:val="000000"/>
          <w:sz w:val="24"/>
          <w:szCs w:val="24"/>
        </w:rPr>
      </w:pPr>
      <w:r>
        <w:rPr>
          <w:rFonts w:ascii="Calibri" w:eastAsia="Calibri" w:hAnsi="Calibri" w:cs="Calibri"/>
          <w:b/>
          <w:color w:val="000000"/>
          <w:sz w:val="24"/>
          <w:szCs w:val="24"/>
        </w:rPr>
        <w:t>Cuadro 1: Tabla de brecha salarial por comunidades autónomas, 2019 </w:t>
      </w:r>
    </w:p>
    <w:p w:rsidR="00652BAB" w:rsidRDefault="007E6FE4">
      <w:pPr>
        <w:widowControl/>
        <w:shd w:val="clear" w:color="auto" w:fill="FFFFFF"/>
        <w:ind w:left="0" w:hanging="2"/>
        <w:jc w:val="center"/>
        <w:rPr>
          <w:sz w:val="24"/>
          <w:szCs w:val="24"/>
        </w:rPr>
      </w:pPr>
      <w:r>
        <w:rPr>
          <w:noProof/>
          <w:sz w:val="24"/>
          <w:szCs w:val="24"/>
          <w:lang w:eastAsia="es-ES" w:bidi="ar-SA"/>
        </w:rPr>
        <w:drawing>
          <wp:inline distT="0" distB="0" distL="114300" distR="114300">
            <wp:extent cx="4429760" cy="2826385"/>
            <wp:effectExtent l="0" t="0" r="0" b="0"/>
            <wp:docPr id="1028"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57"/>
                    <a:srcRect/>
                    <a:stretch>
                      <a:fillRect/>
                    </a:stretch>
                  </pic:blipFill>
                  <pic:spPr>
                    <a:xfrm>
                      <a:off x="0" y="0"/>
                      <a:ext cx="4429760" cy="2826385"/>
                    </a:xfrm>
                    <a:prstGeom prst="rect">
                      <a:avLst/>
                    </a:prstGeom>
                    <a:ln/>
                  </pic:spPr>
                </pic:pic>
              </a:graphicData>
            </a:graphic>
          </wp:inline>
        </w:drawing>
      </w:r>
    </w:p>
    <w:p w:rsidR="00652BAB" w:rsidRDefault="007E6FE4">
      <w:pPr>
        <w:widowControl/>
        <w:shd w:val="clear" w:color="auto" w:fill="FFFFFF"/>
        <w:ind w:left="0" w:hanging="2"/>
        <w:jc w:val="center"/>
        <w:rPr>
          <w:sz w:val="16"/>
          <w:szCs w:val="16"/>
        </w:rPr>
      </w:pPr>
      <w:r>
        <w:rPr>
          <w:rFonts w:ascii="Arial" w:eastAsia="Arial" w:hAnsi="Arial" w:cs="Arial"/>
          <w:color w:val="000000"/>
          <w:sz w:val="16"/>
          <w:szCs w:val="16"/>
        </w:rPr>
        <w:t>Fuente:</w:t>
      </w:r>
      <w:r>
        <w:rPr>
          <w:rFonts w:ascii="Arial" w:eastAsia="Arial" w:hAnsi="Arial" w:cs="Arial"/>
          <w:i/>
          <w:color w:val="000000"/>
          <w:sz w:val="16"/>
          <w:szCs w:val="16"/>
        </w:rPr>
        <w:t xml:space="preserve"> </w:t>
      </w:r>
      <w:hyperlink r:id="rId58">
        <w:r>
          <w:rPr>
            <w:rFonts w:ascii="Arial" w:eastAsia="Arial" w:hAnsi="Arial" w:cs="Arial"/>
            <w:color w:val="000080"/>
            <w:sz w:val="16"/>
            <w:szCs w:val="16"/>
            <w:u w:val="single"/>
          </w:rPr>
          <w:t>Encuesta Cuatrienal Estructura Salarial 2019</w:t>
        </w:r>
      </w:hyperlink>
    </w:p>
    <w:p w:rsidR="00652BAB" w:rsidRDefault="00652BAB">
      <w:pPr>
        <w:shd w:val="clear" w:color="auto" w:fill="FFFFFF"/>
        <w:spacing w:after="120" w:line="276" w:lineRule="auto"/>
        <w:ind w:left="0" w:hanging="2"/>
        <w:jc w:val="both"/>
        <w:rPr>
          <w:rFonts w:ascii="Arial" w:eastAsia="Arial" w:hAnsi="Arial" w:cs="Arial"/>
          <w:color w:val="0432FF"/>
          <w:sz w:val="22"/>
          <w:szCs w:val="22"/>
        </w:rPr>
      </w:pPr>
    </w:p>
    <w:p w:rsidR="00652BAB" w:rsidRDefault="00652BAB">
      <w:pPr>
        <w:shd w:val="clear" w:color="auto" w:fill="FFFFFF"/>
        <w:spacing w:after="240"/>
        <w:ind w:left="0" w:hanging="2"/>
        <w:jc w:val="both"/>
        <w:rPr>
          <w:rFonts w:ascii="Calibri" w:eastAsia="Calibri" w:hAnsi="Calibri" w:cs="Calibri"/>
          <w:color w:val="713B7A"/>
          <w:sz w:val="24"/>
          <w:szCs w:val="24"/>
        </w:rPr>
      </w:pPr>
    </w:p>
    <w:p w:rsidR="00652BAB" w:rsidRDefault="007E6FE4">
      <w:pPr>
        <w:shd w:val="clear" w:color="auto" w:fill="FFFFFF"/>
        <w:spacing w:after="240"/>
        <w:ind w:left="0" w:hanging="2"/>
        <w:jc w:val="both"/>
        <w:rPr>
          <w:rFonts w:ascii="Calibri" w:eastAsia="Calibri" w:hAnsi="Calibri" w:cs="Calibri"/>
          <w:color w:val="713B7A"/>
          <w:sz w:val="24"/>
          <w:szCs w:val="24"/>
        </w:rPr>
      </w:pPr>
      <w:r>
        <w:rPr>
          <w:rFonts w:ascii="Calibri" w:eastAsia="Calibri" w:hAnsi="Calibri" w:cs="Calibri"/>
          <w:b/>
          <w:color w:val="713B7A"/>
          <w:sz w:val="24"/>
          <w:szCs w:val="24"/>
        </w:rPr>
        <w:t>21 MUJERES REFUGIADAS Y SOLICITANTES DE ASILO</w:t>
      </w:r>
    </w:p>
    <w:p w:rsidR="00652BAB" w:rsidRDefault="007E6FE4">
      <w:pPr>
        <w:widowControl/>
        <w:pBdr>
          <w:top w:val="nil"/>
          <w:left w:val="nil"/>
          <w:bottom w:val="nil"/>
          <w:right w:val="nil"/>
          <w:between w:val="nil"/>
        </w:pBdr>
        <w:spacing w:after="240" w:line="276" w:lineRule="auto"/>
        <w:ind w:left="0" w:hanging="2"/>
        <w:jc w:val="both"/>
        <w:rPr>
          <w:rFonts w:ascii="Calibri" w:eastAsia="Calibri" w:hAnsi="Calibri" w:cs="Calibri"/>
          <w:color w:val="000000"/>
          <w:sz w:val="22"/>
          <w:szCs w:val="22"/>
        </w:rPr>
      </w:pPr>
      <w:r>
        <w:rPr>
          <w:rFonts w:ascii="Calibri" w:eastAsia="Calibri" w:hAnsi="Calibri" w:cs="Calibri"/>
          <w:b/>
          <w:color w:val="000000"/>
          <w:sz w:val="22"/>
          <w:szCs w:val="22"/>
        </w:rPr>
        <w:t>No aplicación</w:t>
      </w:r>
      <w:r>
        <w:rPr>
          <w:rFonts w:ascii="Calibri" w:eastAsia="Calibri" w:hAnsi="Calibri" w:cs="Calibri"/>
          <w:color w:val="000000"/>
          <w:sz w:val="22"/>
          <w:szCs w:val="22"/>
        </w:rPr>
        <w:t xml:space="preserve"> de las </w:t>
      </w:r>
      <w:r>
        <w:rPr>
          <w:rFonts w:ascii="Calibri" w:eastAsia="Calibri" w:hAnsi="Calibri" w:cs="Calibri"/>
          <w:b/>
          <w:color w:val="000000"/>
          <w:sz w:val="22"/>
          <w:szCs w:val="22"/>
        </w:rPr>
        <w:t>Observaciones nº 37</w:t>
      </w:r>
      <w:r>
        <w:rPr>
          <w:rFonts w:ascii="Calibri" w:eastAsia="Calibri" w:hAnsi="Calibri" w:cs="Calibri"/>
          <w:color w:val="000000"/>
          <w:sz w:val="22"/>
          <w:szCs w:val="22"/>
        </w:rPr>
        <w:t xml:space="preserve"> </w:t>
      </w:r>
      <w:r>
        <w:rPr>
          <w:rFonts w:ascii="Calibri" w:eastAsia="Calibri" w:hAnsi="Calibri" w:cs="Calibri"/>
          <w:b/>
          <w:color w:val="000000"/>
          <w:sz w:val="22"/>
          <w:szCs w:val="22"/>
        </w:rPr>
        <w:t xml:space="preserve">y 43 </w:t>
      </w:r>
      <w:r>
        <w:rPr>
          <w:rFonts w:ascii="Calibri" w:eastAsia="Calibri" w:hAnsi="Calibri" w:cs="Calibri"/>
          <w:color w:val="000000"/>
          <w:sz w:val="22"/>
          <w:szCs w:val="22"/>
        </w:rPr>
        <w:t>(CEDAW/C/ESP/CO/7-8, de 29 de julio 2015</w:t>
      </w:r>
      <w:r>
        <w:rPr>
          <w:rFonts w:ascii="Calibri" w:eastAsia="Calibri" w:hAnsi="Calibri" w:cs="Calibri"/>
          <w:color w:val="000000"/>
          <w:sz w:val="22"/>
          <w:szCs w:val="22"/>
          <w:vertAlign w:val="superscript"/>
        </w:rPr>
        <w:footnoteReference w:id="1"/>
      </w:r>
      <w:r>
        <w:rPr>
          <w:rFonts w:ascii="Calibri" w:eastAsia="Calibri" w:hAnsi="Calibri" w:cs="Calibri"/>
          <w:color w:val="000000"/>
          <w:sz w:val="22"/>
          <w:szCs w:val="22"/>
        </w:rPr>
        <w:t>).</w:t>
      </w:r>
      <w:r>
        <w:rPr>
          <w:rFonts w:ascii="Calibri" w:eastAsia="Calibri" w:hAnsi="Calibri" w:cs="Calibri"/>
          <w:b/>
          <w:color w:val="000000"/>
          <w:sz w:val="22"/>
          <w:szCs w:val="22"/>
        </w:rPr>
        <w:t xml:space="preserve"> </w:t>
      </w:r>
      <w:r>
        <w:rPr>
          <w:rFonts w:ascii="Calibri" w:eastAsia="Calibri" w:hAnsi="Calibri" w:cs="Calibri"/>
          <w:color w:val="000000"/>
          <w:sz w:val="22"/>
          <w:szCs w:val="22"/>
        </w:rPr>
        <w:t xml:space="preserve">Pendiente ratificación de Convención sobre Protección de los Derechos de Trabajadores Migrantes. Incumplimiento del desarrollo reglamentario de la Ley 12/2009, de 30 de octubre, reguladora del derecho de asilo y de la protección subsidiaria (art. 46), dificultando la reagrupación familiar, las solicitudes formuladas en misiones diplomáticas, los plazos en el procedimiento en frontera, la permanencia por razones humanitarias, la protección de mujeres en situación de especial vulnerabilidad, la asistencia jurídica y la libertad de circulación para desplazarse a la península de las solicitantes de asilo en Ceuta y Melilla. </w:t>
      </w:r>
      <w:r>
        <w:rPr>
          <w:rFonts w:ascii="Calibri" w:eastAsia="Calibri" w:hAnsi="Calibri" w:cs="Calibri"/>
          <w:b/>
          <w:color w:val="000000"/>
          <w:sz w:val="22"/>
          <w:szCs w:val="22"/>
        </w:rPr>
        <w:t xml:space="preserve">Incumplimiento de las Directivas 2013/32/UE y 2013/33/UE: </w:t>
      </w:r>
      <w:r>
        <w:rPr>
          <w:rFonts w:ascii="Calibri" w:eastAsia="Calibri" w:hAnsi="Calibri" w:cs="Calibri"/>
          <w:color w:val="000000"/>
          <w:sz w:val="22"/>
          <w:szCs w:val="22"/>
        </w:rPr>
        <w:t xml:space="preserve">Continúan practicándose </w:t>
      </w:r>
      <w:r>
        <w:rPr>
          <w:rFonts w:ascii="Calibri" w:eastAsia="Calibri" w:hAnsi="Calibri" w:cs="Calibri"/>
          <w:i/>
          <w:color w:val="000000"/>
          <w:sz w:val="22"/>
          <w:szCs w:val="22"/>
        </w:rPr>
        <w:t>devoluciones en caliente</w:t>
      </w:r>
      <w:r>
        <w:rPr>
          <w:rFonts w:ascii="Calibri" w:eastAsia="Calibri" w:hAnsi="Calibri" w:cs="Calibri"/>
          <w:color w:val="000000"/>
          <w:sz w:val="22"/>
          <w:szCs w:val="22"/>
        </w:rPr>
        <w:t xml:space="preserve"> sin realizar evaluación individual específica de género (CEAR). Respecto a niñas y/o mujeres</w:t>
      </w:r>
      <w:r>
        <w:rPr>
          <w:rFonts w:ascii="Calibri" w:eastAsia="Calibri" w:hAnsi="Calibri" w:cs="Calibri"/>
          <w:b/>
          <w:color w:val="000000"/>
          <w:sz w:val="22"/>
          <w:szCs w:val="22"/>
        </w:rPr>
        <w:t xml:space="preserve"> </w:t>
      </w:r>
      <w:r>
        <w:rPr>
          <w:rFonts w:ascii="Calibri" w:eastAsia="Calibri" w:hAnsi="Calibri" w:cs="Calibri"/>
          <w:color w:val="000000"/>
          <w:sz w:val="22"/>
          <w:szCs w:val="22"/>
        </w:rPr>
        <w:t xml:space="preserve">solicitantes de asilo, sus necesidades están cubiertas a través de Subvenciones para la protección internacional cofinanciadas por el </w:t>
      </w:r>
      <w:r>
        <w:rPr>
          <w:rFonts w:ascii="Calibri" w:eastAsia="Calibri" w:hAnsi="Calibri" w:cs="Calibri"/>
          <w:i/>
          <w:color w:val="000000"/>
          <w:sz w:val="22"/>
          <w:szCs w:val="22"/>
        </w:rPr>
        <w:t>Fondo de Asilo, Migración e Integración</w:t>
      </w:r>
      <w:r>
        <w:rPr>
          <w:rFonts w:ascii="Calibri" w:eastAsia="Calibri" w:hAnsi="Calibri" w:cs="Calibri"/>
          <w:color w:val="000000"/>
          <w:sz w:val="22"/>
          <w:szCs w:val="22"/>
        </w:rPr>
        <w:t xml:space="preserve"> (FAMI). Sin embargo, si su solicitud es denegada o el programa de acogida integral finaliza quedan totalmente desprotegidas, incumpliéndose la Directiva 2013/33/UE (art. 15.3).</w:t>
      </w:r>
    </w:p>
    <w:p w:rsidR="00652BAB" w:rsidRDefault="007E6FE4">
      <w:pPr>
        <w:widowControl/>
        <w:pBdr>
          <w:top w:val="nil"/>
          <w:left w:val="nil"/>
          <w:bottom w:val="nil"/>
          <w:right w:val="nil"/>
          <w:between w:val="nil"/>
        </w:pBdr>
        <w:spacing w:after="240" w:line="276" w:lineRule="auto"/>
        <w:ind w:left="0" w:hanging="2"/>
        <w:jc w:val="both"/>
        <w:rPr>
          <w:rFonts w:ascii="Calibri" w:eastAsia="Calibri" w:hAnsi="Calibri" w:cs="Calibri"/>
          <w:color w:val="000000"/>
          <w:sz w:val="22"/>
          <w:szCs w:val="22"/>
        </w:rPr>
      </w:pPr>
      <w:r>
        <w:rPr>
          <w:rFonts w:ascii="Calibri" w:eastAsia="Calibri" w:hAnsi="Calibri" w:cs="Calibri"/>
          <w:b/>
          <w:color w:val="000000"/>
          <w:sz w:val="22"/>
          <w:szCs w:val="22"/>
        </w:rPr>
        <w:lastRenderedPageBreak/>
        <w:t>Mejora pendiente</w:t>
      </w:r>
      <w:r>
        <w:rPr>
          <w:rFonts w:ascii="Calibri" w:eastAsia="Calibri" w:hAnsi="Calibri" w:cs="Calibri"/>
          <w:color w:val="000000"/>
          <w:sz w:val="22"/>
          <w:szCs w:val="22"/>
        </w:rPr>
        <w:t xml:space="preserve"> de los mecanismos para identificar a mujeres y niñas expuestas a situaciones de violencia en los movimientos mixtos, y de un sistema de asilo más eficaz. La </w:t>
      </w:r>
      <w:r>
        <w:rPr>
          <w:rFonts w:ascii="Calibri" w:eastAsia="Calibri" w:hAnsi="Calibri" w:cs="Calibri"/>
          <w:b/>
          <w:color w:val="000000"/>
          <w:sz w:val="22"/>
          <w:szCs w:val="22"/>
        </w:rPr>
        <w:t>OAR</w:t>
      </w:r>
      <w:r>
        <w:rPr>
          <w:rFonts w:ascii="Calibri" w:eastAsia="Calibri" w:hAnsi="Calibri" w:cs="Calibri"/>
          <w:color w:val="000000"/>
          <w:sz w:val="22"/>
          <w:szCs w:val="22"/>
          <w:vertAlign w:val="superscript"/>
        </w:rPr>
        <w:footnoteReference w:id="2"/>
      </w:r>
      <w:r>
        <w:rPr>
          <w:rFonts w:ascii="Calibri" w:eastAsia="Calibri" w:hAnsi="Calibri" w:cs="Calibri"/>
          <w:color w:val="000000"/>
          <w:sz w:val="22"/>
          <w:szCs w:val="22"/>
        </w:rPr>
        <w:t xml:space="preserve"> acometió un despido masivo de personal interino en 2018, y se mantuvo con insuficiente personal formado y con experiencia hasta resolver nuevas plazas de funcionario/as en 2020. Estas deficiencias se agravaron por el acelerado incremento</w:t>
      </w:r>
      <w:r>
        <w:rPr>
          <w:rFonts w:ascii="Calibri" w:eastAsia="Calibri" w:hAnsi="Calibri" w:cs="Calibri"/>
          <w:b/>
          <w:color w:val="000000"/>
          <w:sz w:val="22"/>
          <w:szCs w:val="22"/>
        </w:rPr>
        <w:t xml:space="preserve"> </w:t>
      </w:r>
      <w:r>
        <w:rPr>
          <w:rFonts w:ascii="Calibri" w:eastAsia="Calibri" w:hAnsi="Calibri" w:cs="Calibri"/>
          <w:color w:val="000000"/>
          <w:sz w:val="22"/>
          <w:szCs w:val="22"/>
        </w:rPr>
        <w:t xml:space="preserve">de solicitudes de protección internacional: En 2017 se formalizaron 31.740 solicitudes, en 2018 55.749, mientras que en 2019 ascendió a 118.446. En 2020 se redujo un 25% (88.826) debido al impacto del COVID-19 en el flujo global de personas. La espera para obtener cita para formalizar la solicitud de asilo se encuentra en </w:t>
      </w:r>
      <w:r>
        <w:rPr>
          <w:rFonts w:ascii="Calibri" w:eastAsia="Calibri" w:hAnsi="Calibri" w:cs="Calibri"/>
          <w:b/>
          <w:color w:val="000000"/>
          <w:sz w:val="22"/>
          <w:szCs w:val="22"/>
        </w:rPr>
        <w:t xml:space="preserve">máximos históricos de retraso, </w:t>
      </w:r>
      <w:r>
        <w:rPr>
          <w:rFonts w:ascii="Calibri" w:eastAsia="Calibri" w:hAnsi="Calibri" w:cs="Calibri"/>
          <w:color w:val="000000"/>
          <w:sz w:val="22"/>
          <w:szCs w:val="22"/>
        </w:rPr>
        <w:t>siendo necesaria una modificación en el procedimiento de recogida de datos, ya que actualmente la primera entrevista se lleva a cabo por fuerzas y cuerpos de seguridad del estado que no siempre tienen la formación necesaria. Mención aparte merece la excepcional situación que afecta a nacionales de Ucrania que obtienen inmediata regularización tras aprobar normativas de urgencia (Orden PCM/169/2022, de 9 de marzo; y, Orden PCM/170/2022, de 9 de marzo).</w:t>
      </w:r>
    </w:p>
    <w:p w:rsidR="00652BAB" w:rsidRDefault="007E6FE4">
      <w:pPr>
        <w:widowControl/>
        <w:pBdr>
          <w:top w:val="nil"/>
          <w:left w:val="nil"/>
          <w:bottom w:val="nil"/>
          <w:right w:val="nil"/>
          <w:between w:val="nil"/>
        </w:pBdr>
        <w:spacing w:after="240" w:line="276" w:lineRule="auto"/>
        <w:ind w:left="0" w:hanging="2"/>
        <w:jc w:val="both"/>
        <w:rPr>
          <w:rFonts w:ascii="Calibri" w:eastAsia="Calibri" w:hAnsi="Calibri" w:cs="Calibri"/>
          <w:color w:val="000000"/>
          <w:sz w:val="22"/>
          <w:szCs w:val="22"/>
        </w:rPr>
      </w:pPr>
      <w:r>
        <w:rPr>
          <w:rFonts w:ascii="Calibri" w:eastAsia="Calibri" w:hAnsi="Calibri" w:cs="Calibri"/>
          <w:color w:val="000000"/>
          <w:sz w:val="22"/>
          <w:szCs w:val="22"/>
        </w:rPr>
        <w:t xml:space="preserve">Son pocas las mujeres que consiguen asilo por </w:t>
      </w:r>
      <w:r>
        <w:rPr>
          <w:rFonts w:ascii="Calibri" w:eastAsia="Calibri" w:hAnsi="Calibri" w:cs="Calibri"/>
          <w:b/>
          <w:color w:val="000000"/>
          <w:sz w:val="22"/>
          <w:szCs w:val="22"/>
        </w:rPr>
        <w:t xml:space="preserve">persecución por razones de género y orientación sexual </w:t>
      </w:r>
      <w:r>
        <w:rPr>
          <w:rFonts w:ascii="Calibri" w:eastAsia="Calibri" w:hAnsi="Calibri" w:cs="Calibri"/>
          <w:color w:val="000000"/>
          <w:sz w:val="22"/>
          <w:szCs w:val="22"/>
        </w:rPr>
        <w:t xml:space="preserve">(Ley 12/2009, de 30 de octubre) debido a las dificultades de la prueba y a la interpretación de las circunstancias imperantes en el país de origen. </w:t>
      </w:r>
      <w:r>
        <w:rPr>
          <w:rFonts w:ascii="Calibri" w:eastAsia="Calibri" w:hAnsi="Calibri" w:cs="Calibri"/>
          <w:b/>
          <w:color w:val="000000"/>
          <w:sz w:val="22"/>
          <w:szCs w:val="22"/>
        </w:rPr>
        <w:t>Los datos oficiales no están desagregados por motivos</w:t>
      </w:r>
      <w:r>
        <w:rPr>
          <w:rFonts w:ascii="Calibri" w:eastAsia="Calibri" w:hAnsi="Calibri" w:cs="Calibri"/>
          <w:color w:val="000000"/>
          <w:sz w:val="22"/>
          <w:szCs w:val="22"/>
        </w:rPr>
        <w:t>, impidiendo conocer cuántas solicitan asilo por motivos de género, trata, violencia machista o matrimonio forzoso.</w:t>
      </w:r>
    </w:p>
    <w:p w:rsidR="00652BAB" w:rsidRDefault="007E6FE4">
      <w:pPr>
        <w:widowControl/>
        <w:pBdr>
          <w:top w:val="nil"/>
          <w:left w:val="nil"/>
          <w:bottom w:val="nil"/>
          <w:right w:val="nil"/>
          <w:between w:val="nil"/>
        </w:pBdr>
        <w:spacing w:after="240" w:line="276" w:lineRule="auto"/>
        <w:ind w:left="0" w:hanging="2"/>
        <w:jc w:val="both"/>
        <w:rPr>
          <w:rFonts w:ascii="Calibri" w:eastAsia="Calibri" w:hAnsi="Calibri" w:cs="Calibri"/>
          <w:color w:val="000000"/>
          <w:sz w:val="22"/>
          <w:szCs w:val="22"/>
        </w:rPr>
      </w:pPr>
      <w:r>
        <w:rPr>
          <w:rFonts w:ascii="Calibri" w:eastAsia="Calibri" w:hAnsi="Calibri" w:cs="Calibri"/>
          <w:color w:val="000000"/>
          <w:sz w:val="22"/>
          <w:szCs w:val="22"/>
        </w:rPr>
        <w:t xml:space="preserve">Las mujeres y menores que cruzan de manera irregular por frontera marítima son </w:t>
      </w:r>
      <w:r>
        <w:rPr>
          <w:rFonts w:ascii="Calibri" w:eastAsia="Calibri" w:hAnsi="Calibri" w:cs="Calibri"/>
          <w:b/>
          <w:color w:val="000000"/>
          <w:sz w:val="22"/>
          <w:szCs w:val="22"/>
        </w:rPr>
        <w:t xml:space="preserve">detenidas </w:t>
      </w:r>
      <w:r>
        <w:rPr>
          <w:rFonts w:ascii="Calibri" w:eastAsia="Calibri" w:hAnsi="Calibri" w:cs="Calibri"/>
          <w:color w:val="000000"/>
          <w:sz w:val="22"/>
          <w:szCs w:val="22"/>
        </w:rPr>
        <w:t xml:space="preserve">en dependencias policiales y permanecen en calabozos durante 72 horas para identificación, aunque sólo incurren en falta administrativa. Durante ese tiempo se vulneran sus DDHH. El Estado Español cuenta con </w:t>
      </w:r>
      <w:r>
        <w:rPr>
          <w:rFonts w:ascii="Calibri" w:eastAsia="Calibri" w:hAnsi="Calibri" w:cs="Calibri"/>
          <w:b/>
          <w:color w:val="000000"/>
          <w:sz w:val="22"/>
          <w:szCs w:val="22"/>
        </w:rPr>
        <w:t>CETIS</w:t>
      </w:r>
      <w:r>
        <w:rPr>
          <w:rFonts w:ascii="Calibri" w:eastAsia="Calibri" w:hAnsi="Calibri" w:cs="Calibri"/>
          <w:color w:val="000000"/>
          <w:sz w:val="22"/>
          <w:szCs w:val="22"/>
        </w:rPr>
        <w:t xml:space="preserve"> en las ciudades de Ceuta y Melilla que se encuentran colapsados, llegando a triplicar su capacidad y con deficiencias graves en seguridad y atención, poniendo en riesgo la integridad de las mujeres. Se mantiene la restricción de libertad de circulación para desplazarse a la península adoptado por la Secretaría de Estado de Seguridad (Ministerio del Interior), a pesar de que los Tribunales Superiores de Justicia de Andalucía y Madrid han declarado que su práctica es contraria a la legalidad</w:t>
      </w:r>
      <w:r>
        <w:rPr>
          <w:rFonts w:ascii="Calibri" w:eastAsia="Calibri" w:hAnsi="Calibri" w:cs="Calibri"/>
          <w:color w:val="000000"/>
          <w:sz w:val="22"/>
          <w:szCs w:val="22"/>
          <w:vertAlign w:val="superscript"/>
        </w:rPr>
        <w:footnoteReference w:id="3"/>
      </w:r>
      <w:r>
        <w:rPr>
          <w:rFonts w:ascii="Calibri" w:eastAsia="Calibri" w:hAnsi="Calibri" w:cs="Calibri"/>
          <w:color w:val="000000"/>
          <w:sz w:val="22"/>
          <w:szCs w:val="22"/>
        </w:rPr>
        <w:t>.</w:t>
      </w:r>
    </w:p>
    <w:p w:rsidR="00652BAB" w:rsidRDefault="007E6FE4">
      <w:pPr>
        <w:widowControl/>
        <w:pBdr>
          <w:top w:val="nil"/>
          <w:left w:val="nil"/>
          <w:bottom w:val="nil"/>
          <w:right w:val="nil"/>
          <w:between w:val="nil"/>
        </w:pBdr>
        <w:spacing w:after="240" w:line="276" w:lineRule="auto"/>
        <w:ind w:left="0" w:hanging="2"/>
        <w:jc w:val="both"/>
        <w:rPr>
          <w:rFonts w:ascii="Calibri" w:eastAsia="Calibri" w:hAnsi="Calibri" w:cs="Calibri"/>
          <w:color w:val="000000"/>
          <w:sz w:val="22"/>
          <w:szCs w:val="22"/>
        </w:rPr>
      </w:pPr>
      <w:r>
        <w:rPr>
          <w:rFonts w:ascii="Calibri" w:eastAsia="Calibri" w:hAnsi="Calibri" w:cs="Calibri"/>
          <w:color w:val="000000"/>
          <w:sz w:val="22"/>
          <w:szCs w:val="22"/>
        </w:rPr>
        <w:t xml:space="preserve">La modificación introducida con el Real Decreto-ley 9/2018, de 3 de agosto, de medidas urgentes para el desarrollo del Pacto de Estado contra la violencia de género, que permite acreditar situaciones de VG independientemente de denuncia, </w:t>
      </w:r>
      <w:r>
        <w:rPr>
          <w:rFonts w:ascii="Calibri" w:eastAsia="Calibri" w:hAnsi="Calibri" w:cs="Calibri"/>
          <w:b/>
          <w:color w:val="000000"/>
          <w:sz w:val="22"/>
          <w:szCs w:val="22"/>
        </w:rPr>
        <w:t>no ha ido acompañada de las necesarias modificaciones</w:t>
      </w:r>
      <w:r>
        <w:rPr>
          <w:rFonts w:ascii="Calibri" w:eastAsia="Calibri" w:hAnsi="Calibri" w:cs="Calibri"/>
          <w:color w:val="000000"/>
          <w:sz w:val="22"/>
          <w:szCs w:val="22"/>
        </w:rPr>
        <w:t xml:space="preserve"> del art. 31bis de la Ley Orgánica 4/2000,</w:t>
      </w:r>
      <w:r>
        <w:rPr>
          <w:rFonts w:ascii="Calibri" w:eastAsia="Calibri" w:hAnsi="Calibri" w:cs="Calibri"/>
          <w:b/>
          <w:color w:val="000000"/>
          <w:sz w:val="22"/>
          <w:szCs w:val="22"/>
        </w:rPr>
        <w:t xml:space="preserve"> </w:t>
      </w:r>
      <w:r>
        <w:rPr>
          <w:rFonts w:ascii="Calibri" w:eastAsia="Calibri" w:hAnsi="Calibri" w:cs="Calibri"/>
          <w:color w:val="000000"/>
          <w:sz w:val="22"/>
          <w:szCs w:val="22"/>
        </w:rPr>
        <w:t>de 11 de enero, sobre derechos y autorización provisional de residencia temporal y trabajo de la mujer extranjera en situación irregular en posesión del título habilitante que le acredita como víctima de VG.</w:t>
      </w:r>
    </w:p>
    <w:p w:rsidR="00652BAB" w:rsidRDefault="007E6FE4">
      <w:pPr>
        <w:shd w:val="clear" w:color="auto" w:fill="FFFFFF"/>
        <w:spacing w:after="240" w:line="276" w:lineRule="auto"/>
        <w:ind w:left="0" w:right="77" w:hanging="2"/>
        <w:jc w:val="both"/>
        <w:rPr>
          <w:rFonts w:ascii="Calibri" w:eastAsia="Calibri" w:hAnsi="Calibri" w:cs="Calibri"/>
          <w:color w:val="713B7A"/>
          <w:sz w:val="24"/>
          <w:szCs w:val="24"/>
        </w:rPr>
      </w:pPr>
      <w:r>
        <w:rPr>
          <w:rFonts w:ascii="Calibri" w:eastAsia="Calibri" w:hAnsi="Calibri" w:cs="Calibri"/>
          <w:b/>
          <w:color w:val="713B7A"/>
          <w:sz w:val="24"/>
          <w:szCs w:val="24"/>
        </w:rPr>
        <w:t>Preocupa:</w:t>
      </w:r>
    </w:p>
    <w:p w:rsidR="00652BAB" w:rsidRDefault="007E6FE4">
      <w:pPr>
        <w:numPr>
          <w:ilvl w:val="0"/>
          <w:numId w:val="1"/>
        </w:numPr>
        <w:shd w:val="clear" w:color="auto" w:fill="FFFFFF"/>
        <w:spacing w:line="276" w:lineRule="auto"/>
        <w:ind w:right="77" w:hanging="2"/>
        <w:jc w:val="both"/>
        <w:rPr>
          <w:rFonts w:ascii="Calibri" w:eastAsia="Calibri" w:hAnsi="Calibri" w:cs="Calibri"/>
          <w:sz w:val="22"/>
          <w:szCs w:val="22"/>
        </w:rPr>
      </w:pPr>
      <w:r>
        <w:rPr>
          <w:rFonts w:ascii="Calibri" w:eastAsia="Calibri" w:hAnsi="Calibri" w:cs="Calibri"/>
          <w:sz w:val="22"/>
          <w:szCs w:val="22"/>
        </w:rPr>
        <w:t xml:space="preserve">La actual normativa en materia de extranjería, orientada a la persecución y sin perspectiva de género, es la principal barrera estructural que impide una atención adecuada. </w:t>
      </w:r>
    </w:p>
    <w:p w:rsidR="00652BAB" w:rsidRDefault="007E6FE4">
      <w:pPr>
        <w:numPr>
          <w:ilvl w:val="0"/>
          <w:numId w:val="1"/>
        </w:numPr>
        <w:shd w:val="clear" w:color="auto" w:fill="FFFFFF"/>
        <w:spacing w:after="120" w:line="276" w:lineRule="auto"/>
        <w:ind w:right="77" w:hanging="2"/>
        <w:jc w:val="both"/>
        <w:rPr>
          <w:rFonts w:ascii="Calibri" w:eastAsia="Calibri" w:hAnsi="Calibri" w:cs="Calibri"/>
          <w:sz w:val="22"/>
          <w:szCs w:val="22"/>
        </w:rPr>
      </w:pPr>
      <w:r>
        <w:rPr>
          <w:rFonts w:ascii="Calibri" w:eastAsia="Calibri" w:hAnsi="Calibri" w:cs="Calibri"/>
          <w:sz w:val="22"/>
          <w:szCs w:val="22"/>
        </w:rPr>
        <w:t xml:space="preserve">Es necesario contar con recursos, servicios y programas que contemplen una </w:t>
      </w:r>
      <w:r>
        <w:rPr>
          <w:rFonts w:ascii="Calibri" w:eastAsia="Calibri" w:hAnsi="Calibri" w:cs="Calibri"/>
          <w:b/>
          <w:sz w:val="22"/>
          <w:szCs w:val="22"/>
        </w:rPr>
        <w:t>mirada interseccional</w:t>
      </w:r>
      <w:r>
        <w:rPr>
          <w:rFonts w:ascii="Calibri" w:eastAsia="Calibri" w:hAnsi="Calibri" w:cs="Calibri"/>
          <w:sz w:val="22"/>
          <w:szCs w:val="22"/>
        </w:rPr>
        <w:t xml:space="preserve"> y con una </w:t>
      </w:r>
      <w:r>
        <w:rPr>
          <w:rFonts w:ascii="Calibri" w:eastAsia="Calibri" w:hAnsi="Calibri" w:cs="Calibri"/>
          <w:b/>
          <w:sz w:val="22"/>
          <w:szCs w:val="22"/>
        </w:rPr>
        <w:t>perspectiva intercultural e integral de género que hoy en día no existe</w:t>
      </w:r>
      <w:r>
        <w:rPr>
          <w:rFonts w:ascii="Calibri" w:eastAsia="Calibri" w:hAnsi="Calibri" w:cs="Calibri"/>
          <w:sz w:val="22"/>
          <w:szCs w:val="22"/>
        </w:rPr>
        <w:t xml:space="preserve">, para lograr entornos </w:t>
      </w:r>
      <w:r>
        <w:rPr>
          <w:rFonts w:ascii="Calibri" w:eastAsia="Calibri" w:hAnsi="Calibri" w:cs="Calibri"/>
          <w:sz w:val="22"/>
          <w:szCs w:val="22"/>
        </w:rPr>
        <w:lastRenderedPageBreak/>
        <w:t>seguros de inmigración, asilo y acogida.</w:t>
      </w:r>
    </w:p>
    <w:p w:rsidR="00652BAB" w:rsidRDefault="00652BAB">
      <w:pPr>
        <w:widowControl/>
        <w:pBdr>
          <w:top w:val="nil"/>
          <w:left w:val="nil"/>
          <w:bottom w:val="nil"/>
          <w:right w:val="nil"/>
          <w:between w:val="nil"/>
        </w:pBdr>
        <w:spacing w:after="120" w:line="276" w:lineRule="auto"/>
        <w:ind w:left="0" w:hanging="2"/>
        <w:jc w:val="both"/>
        <w:rPr>
          <w:rFonts w:ascii="Arial" w:eastAsia="Arial" w:hAnsi="Arial" w:cs="Arial"/>
          <w:color w:val="000000"/>
          <w:sz w:val="22"/>
          <w:szCs w:val="22"/>
        </w:rPr>
      </w:pPr>
    </w:p>
    <w:p w:rsidR="00652BAB" w:rsidRDefault="007E6FE4">
      <w:pPr>
        <w:shd w:val="clear" w:color="auto" w:fill="FFFFFF"/>
        <w:spacing w:after="240"/>
        <w:ind w:left="0" w:hanging="2"/>
        <w:jc w:val="both"/>
        <w:rPr>
          <w:rFonts w:ascii="Calibri" w:eastAsia="Calibri" w:hAnsi="Calibri" w:cs="Calibri"/>
          <w:color w:val="713B7A"/>
          <w:sz w:val="24"/>
          <w:szCs w:val="24"/>
        </w:rPr>
      </w:pPr>
      <w:r>
        <w:rPr>
          <w:rFonts w:ascii="Calibri" w:eastAsia="Calibri" w:hAnsi="Calibri" w:cs="Calibri"/>
          <w:b/>
          <w:color w:val="713B7A"/>
          <w:sz w:val="24"/>
          <w:szCs w:val="24"/>
        </w:rPr>
        <w:t>PARTICIPACIÓN (art.7)</w:t>
      </w:r>
    </w:p>
    <w:p w:rsidR="00652BAB" w:rsidRDefault="007E6FE4">
      <w:pPr>
        <w:spacing w:after="240" w:line="276" w:lineRule="auto"/>
        <w:ind w:left="0" w:hanging="2"/>
        <w:jc w:val="both"/>
        <w:rPr>
          <w:rFonts w:ascii="Calibri" w:eastAsia="Calibri" w:hAnsi="Calibri" w:cs="Calibri"/>
          <w:sz w:val="22"/>
          <w:szCs w:val="22"/>
        </w:rPr>
      </w:pPr>
      <w:r>
        <w:rPr>
          <w:rFonts w:ascii="Calibri" w:eastAsia="Calibri" w:hAnsi="Calibri" w:cs="Calibri"/>
          <w:sz w:val="22"/>
          <w:szCs w:val="22"/>
        </w:rPr>
        <w:t xml:space="preserve">La CEDAW reconoce que la participación de las mujeres, en igualdad, resulta indispensable para la paz y un desarrollo pleno (art. 7, </w:t>
      </w:r>
      <w:hyperlink r:id="rId59">
        <w:r>
          <w:rPr>
            <w:rFonts w:ascii="Calibri" w:eastAsia="Calibri" w:hAnsi="Calibri" w:cs="Calibri"/>
            <w:color w:val="1155CC"/>
            <w:sz w:val="22"/>
            <w:szCs w:val="22"/>
            <w:u w:val="single"/>
          </w:rPr>
          <w:t>Recom Gral. nº23</w:t>
        </w:r>
      </w:hyperlink>
      <w:r>
        <w:rPr>
          <w:rFonts w:ascii="Calibri" w:eastAsia="Calibri" w:hAnsi="Calibri" w:cs="Calibri"/>
          <w:sz w:val="22"/>
          <w:szCs w:val="22"/>
        </w:rPr>
        <w:t>) e insta a adoptar medidas específicas (art.3). Otras marcos internacionales, ratificados por España, han profundizado en esta dimensión: (</w:t>
      </w:r>
      <w:hyperlink r:id="rId60">
        <w:r>
          <w:rPr>
            <w:rFonts w:ascii="Calibri" w:eastAsia="Calibri" w:hAnsi="Calibri" w:cs="Calibri"/>
            <w:i/>
            <w:color w:val="1155CC"/>
            <w:sz w:val="22"/>
            <w:szCs w:val="22"/>
            <w:u w:val="single"/>
          </w:rPr>
          <w:t>Declaración de Roma ODS16+</w:t>
        </w:r>
      </w:hyperlink>
      <w:r>
        <w:rPr>
          <w:rFonts w:ascii="Calibri" w:eastAsia="Calibri" w:hAnsi="Calibri" w:cs="Calibri"/>
          <w:sz w:val="22"/>
          <w:szCs w:val="22"/>
        </w:rPr>
        <w:t xml:space="preserve">, Agenda Eficacia </w:t>
      </w:r>
      <w:hyperlink r:id="rId61">
        <w:r>
          <w:rPr>
            <w:rFonts w:ascii="Calibri" w:eastAsia="Calibri" w:hAnsi="Calibri" w:cs="Calibri"/>
            <w:color w:val="1155CC"/>
            <w:sz w:val="22"/>
            <w:szCs w:val="22"/>
            <w:u w:val="single"/>
          </w:rPr>
          <w:t>Busan (2011</w:t>
        </w:r>
      </w:hyperlink>
      <w:r>
        <w:rPr>
          <w:rFonts w:ascii="Calibri" w:eastAsia="Calibri" w:hAnsi="Calibri" w:cs="Calibri"/>
          <w:sz w:val="22"/>
          <w:szCs w:val="22"/>
        </w:rPr>
        <w:t xml:space="preserve">), </w:t>
      </w:r>
      <w:hyperlink r:id="rId62">
        <w:r>
          <w:rPr>
            <w:rFonts w:ascii="Calibri" w:eastAsia="Calibri" w:hAnsi="Calibri" w:cs="Calibri"/>
            <w:color w:val="1155CC"/>
            <w:sz w:val="22"/>
            <w:szCs w:val="22"/>
            <w:u w:val="single"/>
          </w:rPr>
          <w:t>DAC Recomm on Enabling Civil Society</w:t>
        </w:r>
      </w:hyperlink>
      <w:r>
        <w:rPr>
          <w:rFonts w:ascii="Calibri" w:eastAsia="Calibri" w:hAnsi="Calibri" w:cs="Calibri"/>
          <w:sz w:val="22"/>
          <w:szCs w:val="22"/>
        </w:rPr>
        <w:t xml:space="preserve">, 2021). Se </w:t>
      </w:r>
      <w:r>
        <w:rPr>
          <w:rFonts w:ascii="Calibri" w:eastAsia="Calibri" w:hAnsi="Calibri" w:cs="Calibri"/>
          <w:b/>
          <w:sz w:val="22"/>
          <w:szCs w:val="22"/>
        </w:rPr>
        <w:t>vulnera este derecho a varios niveles</w:t>
      </w:r>
      <w:r>
        <w:rPr>
          <w:rFonts w:ascii="Calibri" w:eastAsia="Calibri" w:hAnsi="Calibri" w:cs="Calibri"/>
          <w:sz w:val="22"/>
          <w:szCs w:val="22"/>
        </w:rPr>
        <w:t>:</w:t>
      </w:r>
    </w:p>
    <w:p w:rsidR="00652BAB" w:rsidRDefault="007E6FE4">
      <w:pPr>
        <w:numPr>
          <w:ilvl w:val="0"/>
          <w:numId w:val="2"/>
        </w:numPr>
        <w:tabs>
          <w:tab w:val="left" w:pos="284"/>
        </w:tabs>
        <w:spacing w:after="240" w:line="276" w:lineRule="auto"/>
        <w:ind w:hanging="2"/>
        <w:jc w:val="both"/>
        <w:rPr>
          <w:rFonts w:ascii="Calibri" w:eastAsia="Calibri" w:hAnsi="Calibri" w:cs="Calibri"/>
          <w:sz w:val="22"/>
          <w:szCs w:val="22"/>
        </w:rPr>
      </w:pPr>
      <w:r>
        <w:rPr>
          <w:rFonts w:ascii="Calibri" w:eastAsia="Calibri" w:hAnsi="Calibri" w:cs="Calibri"/>
          <w:b/>
          <w:sz w:val="22"/>
          <w:szCs w:val="22"/>
        </w:rPr>
        <w:t xml:space="preserve"> Entornos cívicos desfavorables en territorios donde la ultraderecha (VOX) es clave para la gobernanza política: </w:t>
      </w:r>
      <w:r>
        <w:rPr>
          <w:rFonts w:ascii="Calibri" w:eastAsia="Calibri" w:hAnsi="Calibri" w:cs="Calibri"/>
          <w:b/>
          <w:color w:val="000000"/>
          <w:sz w:val="22"/>
          <w:szCs w:val="22"/>
        </w:rPr>
        <w:t>Vulneración Marcos y desmantelamiento de estru</w:t>
      </w:r>
      <w:r>
        <w:rPr>
          <w:rFonts w:ascii="Calibri" w:eastAsia="Calibri" w:hAnsi="Calibri" w:cs="Calibri"/>
          <w:b/>
          <w:sz w:val="22"/>
          <w:szCs w:val="22"/>
        </w:rPr>
        <w:t>cturas de igualdad</w:t>
      </w:r>
      <w:r>
        <w:rPr>
          <w:rFonts w:ascii="Calibri" w:eastAsia="Calibri" w:hAnsi="Calibri" w:cs="Calibri"/>
          <w:b/>
          <w:color w:val="000000"/>
          <w:sz w:val="22"/>
          <w:szCs w:val="22"/>
        </w:rPr>
        <w:t xml:space="preserve"> </w:t>
      </w:r>
      <w:r>
        <w:rPr>
          <w:rFonts w:ascii="Calibri" w:eastAsia="Calibri" w:hAnsi="Calibri" w:cs="Calibri"/>
          <w:color w:val="000000"/>
          <w:sz w:val="22"/>
          <w:szCs w:val="22"/>
        </w:rPr>
        <w:t>mediante</w:t>
      </w:r>
      <w:r>
        <w:rPr>
          <w:rFonts w:ascii="Calibri" w:eastAsia="Calibri" w:hAnsi="Calibri" w:cs="Calibri"/>
          <w:b/>
          <w:color w:val="000000"/>
          <w:sz w:val="22"/>
          <w:szCs w:val="22"/>
        </w:rPr>
        <w:t xml:space="preserve"> </w:t>
      </w:r>
      <w:hyperlink r:id="rId63">
        <w:r>
          <w:rPr>
            <w:rFonts w:ascii="Calibri" w:eastAsia="Calibri" w:hAnsi="Calibri" w:cs="Calibri"/>
            <w:color w:val="1154CC"/>
            <w:sz w:val="22"/>
            <w:szCs w:val="22"/>
            <w:u w:val="single"/>
          </w:rPr>
          <w:t>Acuerdos políticos</w:t>
        </w:r>
      </w:hyperlink>
      <w:hyperlink r:id="rId64">
        <w:r>
          <w:rPr>
            <w:rFonts w:ascii="Calibri" w:eastAsia="Calibri" w:hAnsi="Calibri" w:cs="Calibri"/>
            <w:color w:val="1154CC"/>
            <w:sz w:val="22"/>
            <w:szCs w:val="22"/>
          </w:rPr>
          <w:t xml:space="preserve"> y </w:t>
        </w:r>
      </w:hyperlink>
      <w:hyperlink r:id="rId65">
        <w:r>
          <w:rPr>
            <w:rFonts w:ascii="Calibri" w:eastAsia="Calibri" w:hAnsi="Calibri" w:cs="Calibri"/>
            <w:color w:val="000000"/>
            <w:sz w:val="22"/>
            <w:szCs w:val="22"/>
          </w:rPr>
          <w:t>medidas dirigidas a desmantelar tanto las políticas de igualdad y la lucha contra la VG como al tejido asociativo de mujeres y/o feminista</w:t>
        </w:r>
      </w:hyperlink>
      <w:r>
        <w:rPr>
          <w:rFonts w:ascii="Calibri" w:eastAsia="Calibri" w:hAnsi="Calibri" w:cs="Calibri"/>
          <w:color w:val="000000"/>
          <w:sz w:val="22"/>
          <w:szCs w:val="22"/>
        </w:rPr>
        <w:t xml:space="preserve">; </w:t>
      </w:r>
      <w:hyperlink r:id="rId66">
        <w:r>
          <w:rPr>
            <w:rFonts w:ascii="Calibri" w:eastAsia="Calibri" w:hAnsi="Calibri" w:cs="Calibri"/>
            <w:color w:val="1155CC"/>
            <w:sz w:val="22"/>
            <w:szCs w:val="22"/>
            <w:u w:val="single"/>
          </w:rPr>
          <w:t xml:space="preserve">eliminación de la Dirección general de Igualdad del Ayuntamiento de Madrid </w:t>
        </w:r>
      </w:hyperlink>
      <w:r>
        <w:rPr>
          <w:rFonts w:ascii="Calibri" w:eastAsia="Calibri" w:hAnsi="Calibri" w:cs="Calibri"/>
          <w:color w:val="000000"/>
          <w:sz w:val="22"/>
          <w:szCs w:val="22"/>
        </w:rPr>
        <w:t xml:space="preserve"> (</w:t>
      </w:r>
      <w:r>
        <w:rPr>
          <w:rFonts w:ascii="Calibri" w:eastAsia="Calibri" w:hAnsi="Calibri" w:cs="Calibri"/>
          <w:sz w:val="22"/>
          <w:szCs w:val="22"/>
        </w:rPr>
        <w:t>inicios de</w:t>
      </w:r>
      <w:r>
        <w:rPr>
          <w:rFonts w:ascii="Calibri" w:eastAsia="Calibri" w:hAnsi="Calibri" w:cs="Calibri"/>
          <w:color w:val="000000"/>
          <w:sz w:val="22"/>
          <w:szCs w:val="22"/>
        </w:rPr>
        <w:t xml:space="preserve"> 2021)</w:t>
      </w:r>
      <w:r>
        <w:rPr>
          <w:rFonts w:ascii="Calibri" w:eastAsia="Calibri" w:hAnsi="Calibri" w:cs="Calibri"/>
          <w:sz w:val="22"/>
          <w:szCs w:val="22"/>
        </w:rPr>
        <w:t xml:space="preserve">. </w:t>
      </w:r>
      <w:r>
        <w:rPr>
          <w:rFonts w:ascii="Calibri" w:eastAsia="Calibri" w:hAnsi="Calibri" w:cs="Calibri"/>
          <w:b/>
          <w:color w:val="000000"/>
          <w:sz w:val="22"/>
          <w:szCs w:val="22"/>
        </w:rPr>
        <w:t>Estrangulación de las asociaciones de mujeres</w:t>
      </w:r>
      <w:r>
        <w:rPr>
          <w:rFonts w:ascii="Calibri" w:eastAsia="Calibri" w:hAnsi="Calibri" w:cs="Calibri"/>
          <w:sz w:val="22"/>
          <w:szCs w:val="22"/>
          <w:vertAlign w:val="superscript"/>
        </w:rPr>
        <w:footnoteReference w:id="4"/>
      </w:r>
      <w:r>
        <w:rPr>
          <w:rFonts w:ascii="Calibri" w:eastAsia="Calibri" w:hAnsi="Calibri" w:cs="Calibri"/>
          <w:color w:val="000000"/>
          <w:sz w:val="22"/>
          <w:szCs w:val="22"/>
        </w:rPr>
        <w:t xml:space="preserve"> mediante</w:t>
      </w:r>
      <w:r>
        <w:rPr>
          <w:rFonts w:ascii="Calibri" w:eastAsia="Calibri" w:hAnsi="Calibri" w:cs="Calibri"/>
          <w:b/>
          <w:color w:val="000000"/>
          <w:sz w:val="22"/>
          <w:szCs w:val="22"/>
        </w:rPr>
        <w:t xml:space="preserve"> </w:t>
      </w:r>
      <w:r>
        <w:rPr>
          <w:rFonts w:ascii="Calibri" w:eastAsia="Calibri" w:hAnsi="Calibri" w:cs="Calibri"/>
          <w:color w:val="000000"/>
          <w:sz w:val="22"/>
          <w:szCs w:val="22"/>
        </w:rPr>
        <w:t>Anulaciones de  convocatorias de subvenciones</w:t>
      </w:r>
      <w:r>
        <w:rPr>
          <w:rFonts w:ascii="Calibri" w:eastAsia="Calibri" w:hAnsi="Calibri" w:cs="Calibri"/>
          <w:b/>
          <w:color w:val="000000"/>
          <w:sz w:val="22"/>
          <w:szCs w:val="22"/>
        </w:rPr>
        <w:t xml:space="preserve"> </w:t>
      </w:r>
      <w:r>
        <w:rPr>
          <w:rFonts w:ascii="Calibri" w:eastAsia="Calibri" w:hAnsi="Calibri" w:cs="Calibri"/>
          <w:color w:val="000000"/>
          <w:sz w:val="22"/>
          <w:szCs w:val="22"/>
        </w:rPr>
        <w:t>(2019, 2020 en Andalucía) a pesar de resoluciones provisionales favorables del IAM</w:t>
      </w:r>
      <w:r>
        <w:rPr>
          <w:rFonts w:ascii="Calibri" w:eastAsia="Calibri" w:hAnsi="Calibri" w:cs="Calibri"/>
          <w:sz w:val="22"/>
          <w:szCs w:val="22"/>
          <w:vertAlign w:val="superscript"/>
        </w:rPr>
        <w:footnoteReference w:id="5"/>
      </w:r>
      <w:r>
        <w:rPr>
          <w:rFonts w:ascii="Calibri" w:eastAsia="Calibri" w:hAnsi="Calibri" w:cs="Calibri"/>
          <w:color w:val="000000"/>
          <w:sz w:val="22"/>
          <w:szCs w:val="22"/>
        </w:rPr>
        <w:t xml:space="preserve"> afectando a las líneas de erradicación de VG, atención a mujeres en riesgo de exclusión social, fomento de participación social de las mujeres, promoción de la igualdad de género de </w:t>
      </w:r>
      <w:r>
        <w:rPr>
          <w:rFonts w:ascii="Calibri" w:eastAsia="Calibri" w:hAnsi="Calibri" w:cs="Calibri"/>
          <w:b/>
          <w:color w:val="000000"/>
          <w:sz w:val="22"/>
          <w:szCs w:val="22"/>
        </w:rPr>
        <w:t xml:space="preserve">250 </w:t>
      </w:r>
      <w:r>
        <w:rPr>
          <w:rFonts w:ascii="Calibri" w:eastAsia="Calibri" w:hAnsi="Calibri" w:cs="Calibri"/>
          <w:b/>
          <w:sz w:val="22"/>
          <w:szCs w:val="22"/>
        </w:rPr>
        <w:t>asociaciones</w:t>
      </w:r>
      <w:r>
        <w:rPr>
          <w:rFonts w:ascii="Calibri" w:eastAsia="Calibri" w:hAnsi="Calibri" w:cs="Calibri"/>
          <w:sz w:val="22"/>
          <w:szCs w:val="22"/>
        </w:rPr>
        <w:t xml:space="preserve"> de mujeres y feministas </w:t>
      </w:r>
      <w:r>
        <w:rPr>
          <w:rFonts w:ascii="Calibri" w:eastAsia="Calibri" w:hAnsi="Calibri" w:cs="Calibri"/>
          <w:color w:val="000000"/>
          <w:sz w:val="22"/>
          <w:szCs w:val="22"/>
        </w:rPr>
        <w:t xml:space="preserve">y desatendidas a cerca de 100.000 mujeres vulnerables, en riesgo de exclusión social, Trata y víctimas de VG en un contexto de crisis generalizada por el Covid. </w:t>
      </w:r>
      <w:r>
        <w:rPr>
          <w:rFonts w:ascii="Calibri" w:eastAsia="Calibri" w:hAnsi="Calibri" w:cs="Calibri"/>
          <w:b/>
          <w:color w:val="000000"/>
          <w:sz w:val="22"/>
          <w:szCs w:val="22"/>
        </w:rPr>
        <w:t xml:space="preserve">Las convocatorias de subvenciones de las otras áreas de gobierno se han resuelto sin incidentes. </w:t>
      </w:r>
    </w:p>
    <w:p w:rsidR="00652BAB" w:rsidRDefault="007E6FE4">
      <w:pPr>
        <w:numPr>
          <w:ilvl w:val="0"/>
          <w:numId w:val="2"/>
        </w:numPr>
        <w:tabs>
          <w:tab w:val="left" w:pos="284"/>
        </w:tabs>
        <w:spacing w:after="240" w:line="276" w:lineRule="auto"/>
        <w:ind w:right="142" w:hanging="2"/>
        <w:jc w:val="both"/>
        <w:rPr>
          <w:rFonts w:ascii="Calibri" w:eastAsia="Calibri" w:hAnsi="Calibri" w:cs="Calibri"/>
          <w:color w:val="3C4043"/>
          <w:sz w:val="22"/>
          <w:szCs w:val="22"/>
          <w:highlight w:val="white"/>
        </w:rPr>
      </w:pPr>
      <w:r>
        <w:rPr>
          <w:rFonts w:ascii="Calibri" w:eastAsia="Calibri" w:hAnsi="Calibri" w:cs="Calibri"/>
          <w:b/>
          <w:sz w:val="22"/>
          <w:szCs w:val="22"/>
        </w:rPr>
        <w:t xml:space="preserve">Obstáculos a la participación, transparencia y rendición de cuentas: </w:t>
      </w:r>
      <w:r>
        <w:rPr>
          <w:rFonts w:ascii="Calibri" w:eastAsia="Calibri" w:hAnsi="Calibri" w:cs="Calibri"/>
          <w:color w:val="000000"/>
          <w:sz w:val="22"/>
          <w:szCs w:val="22"/>
        </w:rPr>
        <w:t xml:space="preserve">El presidente de la Junta, que preside el Consejo Andaluz de Participación de las Mujeres (órgano que representa a más de 2.000 asociaciones </w:t>
      </w:r>
      <w:r>
        <w:rPr>
          <w:rFonts w:ascii="Calibri" w:eastAsia="Calibri" w:hAnsi="Calibri" w:cs="Calibri"/>
          <w:sz w:val="22"/>
          <w:szCs w:val="22"/>
        </w:rPr>
        <w:t>andaluzas),</w:t>
      </w:r>
      <w:r>
        <w:rPr>
          <w:rFonts w:ascii="Calibri" w:eastAsia="Calibri" w:hAnsi="Calibri" w:cs="Calibri"/>
          <w:color w:val="000000"/>
          <w:sz w:val="22"/>
          <w:szCs w:val="22"/>
        </w:rPr>
        <w:t xml:space="preserve"> rechaz</w:t>
      </w:r>
      <w:r>
        <w:rPr>
          <w:rFonts w:ascii="Calibri" w:eastAsia="Calibri" w:hAnsi="Calibri" w:cs="Calibri"/>
          <w:sz w:val="22"/>
          <w:szCs w:val="22"/>
        </w:rPr>
        <w:t>ó</w:t>
      </w:r>
      <w:r>
        <w:rPr>
          <w:rFonts w:ascii="Calibri" w:eastAsia="Calibri" w:hAnsi="Calibri" w:cs="Calibri"/>
          <w:color w:val="000000"/>
          <w:sz w:val="22"/>
          <w:szCs w:val="22"/>
        </w:rPr>
        <w:t xml:space="preserve"> reunirse con las asociaciones o dar explicaciones sobre anulación convocatoria 2019. </w:t>
      </w:r>
      <w:r>
        <w:rPr>
          <w:rFonts w:ascii="Calibri" w:eastAsia="Calibri" w:hAnsi="Calibri" w:cs="Calibri"/>
          <w:sz w:val="22"/>
          <w:szCs w:val="22"/>
        </w:rPr>
        <w:t xml:space="preserve">Desde la </w:t>
      </w:r>
      <w:r>
        <w:rPr>
          <w:rFonts w:ascii="Calibri" w:eastAsia="Calibri" w:hAnsi="Calibri" w:cs="Calibri"/>
          <w:b/>
          <w:sz w:val="22"/>
          <w:szCs w:val="22"/>
        </w:rPr>
        <w:t xml:space="preserve">Plataforma CEDAW-Estambul-Beijing (CEB) sombra, </w:t>
      </w:r>
      <w:r>
        <w:rPr>
          <w:rFonts w:ascii="Calibri" w:eastAsia="Calibri" w:hAnsi="Calibri" w:cs="Calibri"/>
          <w:sz w:val="22"/>
          <w:szCs w:val="22"/>
        </w:rPr>
        <w:t>que agrupa a más de 200 organizaciones de mujeres, de DDHH y feministas en el seguimiento de la aplicación de los mencionados marcos, se han dirigido más de una decena de</w:t>
      </w:r>
      <w:r>
        <w:rPr>
          <w:rFonts w:ascii="Calibri" w:eastAsia="Calibri" w:hAnsi="Calibri" w:cs="Calibri"/>
          <w:color w:val="FF0000"/>
          <w:sz w:val="22"/>
          <w:szCs w:val="22"/>
        </w:rPr>
        <w:t xml:space="preserve"> </w:t>
      </w:r>
      <w:r>
        <w:rPr>
          <w:rFonts w:ascii="Calibri" w:eastAsia="Calibri" w:hAnsi="Calibri" w:cs="Calibri"/>
          <w:sz w:val="22"/>
          <w:szCs w:val="22"/>
        </w:rPr>
        <w:t xml:space="preserve">solicitudes de reunión y/o de información que no han sido contestadas, por parte del Ministerio de Igualdad. Tampoco se rinden cuentas ni se informa a las organizaciones y redes feministas acerca de políticas/propuestas legislativas, y se incumplen los plazos oficiales para la presentación de informes sobre la aplicación de marcos de derechos (informe CEDAW, seguimiento II </w:t>
      </w:r>
      <w:r>
        <w:rPr>
          <w:rFonts w:ascii="Calibri" w:eastAsia="Calibri" w:hAnsi="Calibri" w:cs="Calibri"/>
          <w:i/>
          <w:sz w:val="22"/>
          <w:szCs w:val="22"/>
        </w:rPr>
        <w:t>Plan de Acción Nacional sobre Mujeres, Paz y Seguridad</w:t>
      </w:r>
      <w:r>
        <w:rPr>
          <w:rFonts w:ascii="Calibri" w:eastAsia="Calibri" w:hAnsi="Calibri" w:cs="Calibri"/>
          <w:sz w:val="22"/>
          <w:szCs w:val="22"/>
        </w:rPr>
        <w:t>), y no se traslada información sobre la exclusión en la consulta de candidaturas para la selección de expertas al Comité Grevio.</w:t>
      </w:r>
      <w:r>
        <w:rPr>
          <w:rFonts w:ascii="Calibri" w:eastAsia="Calibri" w:hAnsi="Calibri" w:cs="Calibri"/>
          <w:b/>
          <w:color w:val="3C4043"/>
          <w:sz w:val="22"/>
          <w:szCs w:val="22"/>
          <w:highlight w:val="white"/>
        </w:rPr>
        <w:t xml:space="preserve"> Debilitación de los espacios formales de participación de las Mujeres </w:t>
      </w:r>
      <w:r>
        <w:rPr>
          <w:rFonts w:ascii="Calibri" w:eastAsia="Calibri" w:hAnsi="Calibri" w:cs="Calibri"/>
          <w:color w:val="3C4043"/>
          <w:sz w:val="22"/>
          <w:szCs w:val="22"/>
          <w:highlight w:val="white"/>
        </w:rPr>
        <w:t>(Consejos de participación locales, autonómicos y estatales), organismos legales de</w:t>
      </w:r>
      <w:r>
        <w:rPr>
          <w:rFonts w:ascii="Calibri" w:eastAsia="Calibri" w:hAnsi="Calibri" w:cs="Calibri"/>
          <w:sz w:val="22"/>
          <w:szCs w:val="22"/>
        </w:rPr>
        <w:t xml:space="preserve"> participación, representación e incidencia política de la sociedad civil en el marco de las políticas de igualdad entre mujeres y hombres: Retrasos en convocatorias, usurpación de su función legal</w:t>
      </w:r>
      <w:r>
        <w:rPr>
          <w:rFonts w:ascii="Calibri" w:eastAsia="Calibri" w:hAnsi="Calibri" w:cs="Calibri"/>
          <w:b/>
          <w:sz w:val="22"/>
          <w:szCs w:val="22"/>
        </w:rPr>
        <w:t xml:space="preserve"> </w:t>
      </w:r>
      <w:r>
        <w:rPr>
          <w:rFonts w:ascii="Calibri" w:eastAsia="Calibri" w:hAnsi="Calibri" w:cs="Calibri"/>
          <w:sz w:val="22"/>
          <w:szCs w:val="22"/>
        </w:rPr>
        <w:t xml:space="preserve">de emitir informes previos a la elaboración de políticas, presupuestos, ayudas y subvenciones dependientes de los organismos de Igualdad. </w:t>
      </w:r>
    </w:p>
    <w:p w:rsidR="00652BAB" w:rsidRDefault="0046460C">
      <w:pPr>
        <w:numPr>
          <w:ilvl w:val="0"/>
          <w:numId w:val="2"/>
        </w:numPr>
        <w:tabs>
          <w:tab w:val="left" w:pos="284"/>
        </w:tabs>
        <w:spacing w:after="240" w:line="276" w:lineRule="auto"/>
        <w:ind w:right="142" w:hanging="2"/>
        <w:jc w:val="both"/>
        <w:rPr>
          <w:rFonts w:ascii="Calibri" w:eastAsia="Calibri" w:hAnsi="Calibri" w:cs="Calibri"/>
          <w:color w:val="3C4043"/>
          <w:sz w:val="22"/>
          <w:szCs w:val="22"/>
          <w:highlight w:val="white"/>
        </w:rPr>
      </w:pPr>
      <w:hyperlink r:id="rId67">
        <w:r w:rsidR="007E6FE4">
          <w:rPr>
            <w:rFonts w:ascii="Calibri" w:eastAsia="Calibri" w:hAnsi="Calibri" w:cs="Calibri"/>
            <w:b/>
            <w:color w:val="1155CC"/>
            <w:sz w:val="22"/>
            <w:szCs w:val="22"/>
            <w:u w:val="single"/>
          </w:rPr>
          <w:t>Ataques y acoso a las asociaciones de mujeres y/o feministas</w:t>
        </w:r>
      </w:hyperlink>
      <w:r w:rsidR="007E6FE4">
        <w:rPr>
          <w:rFonts w:ascii="Calibri" w:eastAsia="Calibri" w:hAnsi="Calibri" w:cs="Calibri"/>
          <w:color w:val="000000"/>
          <w:sz w:val="22"/>
          <w:szCs w:val="22"/>
        </w:rPr>
        <w:t>, vejaciones e insultos por parte de los partidos públicos, utilizando el altavoz ofrecido por las sedes parlamentarias y los medios de comunicación públicos,</w:t>
      </w:r>
      <w:r w:rsidR="007E6FE4">
        <w:rPr>
          <w:rFonts w:ascii="Calibri" w:eastAsia="Calibri" w:hAnsi="Calibri" w:cs="Calibri"/>
          <w:sz w:val="22"/>
          <w:szCs w:val="22"/>
        </w:rPr>
        <w:t xml:space="preserve"> que quedan impunes</w:t>
      </w:r>
      <w:r w:rsidR="007E6FE4">
        <w:rPr>
          <w:rFonts w:ascii="Calibri" w:eastAsia="Calibri" w:hAnsi="Calibri" w:cs="Calibri"/>
          <w:color w:val="000000"/>
          <w:sz w:val="22"/>
          <w:szCs w:val="22"/>
        </w:rPr>
        <w:t xml:space="preserve">. Tanto </w:t>
      </w:r>
      <w:r w:rsidR="007E6FE4">
        <w:rPr>
          <w:rFonts w:ascii="Calibri" w:eastAsia="Calibri" w:hAnsi="Calibri" w:cs="Calibri"/>
          <w:sz w:val="22"/>
          <w:szCs w:val="22"/>
        </w:rPr>
        <w:t xml:space="preserve">el </w:t>
      </w:r>
      <w:hyperlink r:id="rId68">
        <w:r w:rsidR="007E6FE4">
          <w:rPr>
            <w:rFonts w:ascii="Calibri" w:eastAsia="Calibri" w:hAnsi="Calibri" w:cs="Calibri"/>
            <w:color w:val="1155CC"/>
            <w:sz w:val="22"/>
            <w:szCs w:val="22"/>
            <w:u w:val="single"/>
          </w:rPr>
          <w:t>PP como Cs</w:t>
        </w:r>
      </w:hyperlink>
      <w:r w:rsidR="007E6FE4">
        <w:rPr>
          <w:rFonts w:ascii="Calibri" w:eastAsia="Calibri" w:hAnsi="Calibri" w:cs="Calibri"/>
          <w:sz w:val="22"/>
          <w:szCs w:val="22"/>
        </w:rPr>
        <w:t xml:space="preserve"> </w:t>
      </w:r>
      <w:r w:rsidR="007E6FE4">
        <w:rPr>
          <w:rFonts w:ascii="Calibri" w:eastAsia="Calibri" w:hAnsi="Calibri" w:cs="Calibri"/>
          <w:color w:val="000000"/>
          <w:sz w:val="22"/>
          <w:szCs w:val="22"/>
        </w:rPr>
        <w:t xml:space="preserve">han asumido el discurso impulsado por VOX sobre VdG y </w:t>
      </w:r>
      <w:r w:rsidR="007E6FE4">
        <w:rPr>
          <w:rFonts w:ascii="Calibri" w:eastAsia="Calibri" w:hAnsi="Calibri" w:cs="Calibri"/>
          <w:sz w:val="22"/>
          <w:szCs w:val="22"/>
        </w:rPr>
        <w:t xml:space="preserve">criminalizando a las </w:t>
      </w:r>
      <w:r w:rsidR="007E6FE4">
        <w:rPr>
          <w:rFonts w:ascii="Calibri" w:eastAsia="Calibri" w:hAnsi="Calibri" w:cs="Calibri"/>
          <w:color w:val="000000"/>
          <w:sz w:val="22"/>
          <w:szCs w:val="22"/>
        </w:rPr>
        <w:t>asociaciones de mujeres</w:t>
      </w:r>
      <w:r w:rsidR="007E6FE4">
        <w:rPr>
          <w:rFonts w:ascii="Calibri" w:eastAsia="Calibri" w:hAnsi="Calibri" w:cs="Calibri"/>
          <w:sz w:val="22"/>
          <w:szCs w:val="22"/>
        </w:rPr>
        <w:t>.</w:t>
      </w:r>
      <w:r w:rsidR="007E6FE4">
        <w:rPr>
          <w:rFonts w:ascii="Calibri" w:eastAsia="Calibri" w:hAnsi="Calibri" w:cs="Calibri"/>
          <w:b/>
          <w:color w:val="000000"/>
          <w:sz w:val="22"/>
          <w:szCs w:val="22"/>
        </w:rPr>
        <w:t xml:space="preserve"> </w:t>
      </w:r>
      <w:r w:rsidR="007E6FE4">
        <w:rPr>
          <w:rFonts w:ascii="Calibri" w:eastAsia="Calibri" w:hAnsi="Calibri" w:cs="Calibri"/>
          <w:color w:val="000000"/>
          <w:sz w:val="22"/>
          <w:szCs w:val="22"/>
        </w:rPr>
        <w:t>Insultos machistas y xenófobos a</w:t>
      </w:r>
      <w:r w:rsidR="007E6FE4">
        <w:rPr>
          <w:rFonts w:ascii="Calibri" w:eastAsia="Calibri" w:hAnsi="Calibri" w:cs="Calibri"/>
          <w:sz w:val="22"/>
          <w:szCs w:val="22"/>
        </w:rPr>
        <w:t xml:space="preserve"> </w:t>
      </w:r>
      <w:r w:rsidR="007E6FE4">
        <w:rPr>
          <w:rFonts w:ascii="Calibri" w:eastAsia="Calibri" w:hAnsi="Calibri" w:cs="Calibri"/>
          <w:color w:val="000000"/>
          <w:sz w:val="22"/>
          <w:szCs w:val="22"/>
        </w:rPr>
        <w:t xml:space="preserve">representantes políticas </w:t>
      </w:r>
      <w:r w:rsidR="00DA4C55">
        <w:rPr>
          <w:rFonts w:ascii="Calibri" w:eastAsia="Calibri" w:hAnsi="Calibri" w:cs="Calibri"/>
          <w:color w:val="000000"/>
          <w:sz w:val="22"/>
          <w:szCs w:val="22"/>
        </w:rPr>
        <w:t>(T.R., L.B., F.H.H.)</w:t>
      </w:r>
      <w:r w:rsidR="007E6FE4">
        <w:rPr>
          <w:rFonts w:ascii="Calibri" w:eastAsia="Calibri" w:hAnsi="Calibri" w:cs="Calibri"/>
          <w:color w:val="000000"/>
          <w:sz w:val="22"/>
          <w:szCs w:val="22"/>
        </w:rPr>
        <w:t xml:space="preserve">, y </w:t>
      </w:r>
      <w:r w:rsidR="007E6FE4">
        <w:rPr>
          <w:rFonts w:ascii="Calibri" w:eastAsia="Calibri" w:hAnsi="Calibri" w:cs="Calibri"/>
          <w:sz w:val="22"/>
          <w:szCs w:val="22"/>
        </w:rPr>
        <w:t xml:space="preserve">contra feministas (VOX) y </w:t>
      </w:r>
      <w:hyperlink r:id="rId69">
        <w:r w:rsidR="007E6FE4">
          <w:rPr>
            <w:rFonts w:ascii="Calibri" w:eastAsia="Calibri" w:hAnsi="Calibri" w:cs="Calibri"/>
            <w:color w:val="000080"/>
            <w:sz w:val="22"/>
            <w:szCs w:val="22"/>
            <w:u w:val="single"/>
          </w:rPr>
          <w:t>abolicionistas</w:t>
        </w:r>
      </w:hyperlink>
      <w:r w:rsidR="007E6FE4">
        <w:rPr>
          <w:rFonts w:ascii="Calibri" w:eastAsia="Calibri" w:hAnsi="Calibri" w:cs="Calibri"/>
          <w:sz w:val="22"/>
          <w:szCs w:val="22"/>
        </w:rPr>
        <w:t xml:space="preserve"> (representaciones institucionales, </w:t>
      </w:r>
      <w:r w:rsidR="007E6FE4">
        <w:rPr>
          <w:rFonts w:ascii="Calibri" w:eastAsia="Calibri" w:hAnsi="Calibri" w:cs="Calibri"/>
          <w:sz w:val="22"/>
          <w:szCs w:val="22"/>
          <w:highlight w:val="white"/>
        </w:rPr>
        <w:t>secretaria de Estado de Igualdad  o</w:t>
      </w:r>
      <w:r w:rsidR="007E6FE4">
        <w:rPr>
          <w:rFonts w:ascii="Calibri" w:eastAsia="Calibri" w:hAnsi="Calibri" w:cs="Calibri"/>
          <w:color w:val="9900FF"/>
          <w:sz w:val="22"/>
          <w:szCs w:val="22"/>
          <w:highlight w:val="white"/>
        </w:rPr>
        <w:t xml:space="preserve"> </w:t>
      </w:r>
      <w:hyperlink r:id="rId70">
        <w:r w:rsidR="007E6FE4">
          <w:rPr>
            <w:rFonts w:ascii="Calibri" w:eastAsia="Calibri" w:hAnsi="Calibri" w:cs="Calibri"/>
            <w:color w:val="1155CC"/>
            <w:sz w:val="22"/>
            <w:szCs w:val="22"/>
            <w:highlight w:val="white"/>
            <w:u w:val="single"/>
          </w:rPr>
          <w:t>desde entes públicos (RTVE)</w:t>
        </w:r>
      </w:hyperlink>
      <w:r w:rsidR="007E6FE4">
        <w:rPr>
          <w:rFonts w:ascii="Calibri" w:eastAsia="Calibri" w:hAnsi="Calibri" w:cs="Calibri"/>
          <w:color w:val="9900FF"/>
          <w:sz w:val="22"/>
          <w:szCs w:val="22"/>
          <w:highlight w:val="white"/>
        </w:rPr>
        <w:t>.</w:t>
      </w:r>
    </w:p>
    <w:p w:rsidR="00652BAB" w:rsidRDefault="007E6FE4">
      <w:pPr>
        <w:numPr>
          <w:ilvl w:val="0"/>
          <w:numId w:val="2"/>
        </w:numPr>
        <w:tabs>
          <w:tab w:val="left" w:pos="284"/>
        </w:tabs>
        <w:spacing w:after="240" w:line="276" w:lineRule="auto"/>
        <w:ind w:right="142" w:hanging="2"/>
        <w:jc w:val="both"/>
        <w:rPr>
          <w:rFonts w:ascii="Calibri" w:eastAsia="Calibri" w:hAnsi="Calibri" w:cs="Calibri"/>
          <w:sz w:val="22"/>
          <w:szCs w:val="22"/>
          <w:highlight w:val="white"/>
        </w:rPr>
      </w:pPr>
      <w:r>
        <w:rPr>
          <w:rFonts w:ascii="Calibri" w:eastAsia="Calibri" w:hAnsi="Calibri" w:cs="Calibri"/>
          <w:b/>
          <w:sz w:val="22"/>
          <w:szCs w:val="22"/>
        </w:rPr>
        <w:t>Judicialización: E</w:t>
      </w:r>
      <w:r>
        <w:rPr>
          <w:rFonts w:ascii="Calibri" w:eastAsia="Calibri" w:hAnsi="Calibri" w:cs="Calibri"/>
          <w:sz w:val="22"/>
          <w:szCs w:val="22"/>
        </w:rPr>
        <w:t xml:space="preserve">ntidades de extrema-derecha y ultra-católicos judicializan campañas de educación afectivo-sexual, DDSSRR y prevención de VG. </w:t>
      </w:r>
      <w:r>
        <w:rPr>
          <w:rFonts w:ascii="Calibri" w:eastAsia="Calibri" w:hAnsi="Calibri" w:cs="Calibri"/>
          <w:i/>
          <w:sz w:val="22"/>
          <w:szCs w:val="22"/>
        </w:rPr>
        <w:t>“Abogados Cristianos”</w:t>
      </w:r>
      <w:r>
        <w:rPr>
          <w:rFonts w:ascii="Calibri" w:eastAsia="Calibri" w:hAnsi="Calibri" w:cs="Calibri"/>
          <w:sz w:val="22"/>
          <w:szCs w:val="22"/>
        </w:rPr>
        <w:t xml:space="preserve"> ha denunciado cerca de 20 casos en 2020 una veintena utilizando </w:t>
      </w:r>
      <w:r>
        <w:rPr>
          <w:rFonts w:ascii="Calibri" w:eastAsia="Calibri" w:hAnsi="Calibri" w:cs="Calibri"/>
          <w:sz w:val="22"/>
          <w:szCs w:val="22"/>
          <w:highlight w:val="white"/>
        </w:rPr>
        <w:t xml:space="preserve">el art. 525 del Código Penal relativo a la </w:t>
      </w:r>
      <w:r>
        <w:rPr>
          <w:rFonts w:ascii="Calibri" w:eastAsia="Calibri" w:hAnsi="Calibri" w:cs="Calibri"/>
          <w:b/>
          <w:sz w:val="22"/>
          <w:szCs w:val="22"/>
          <w:highlight w:val="white"/>
        </w:rPr>
        <w:t>ofensa de los sentimientos religiosos</w:t>
      </w:r>
      <w:r>
        <w:rPr>
          <w:rFonts w:ascii="Calibri" w:eastAsia="Calibri" w:hAnsi="Calibri" w:cs="Calibri"/>
          <w:sz w:val="22"/>
          <w:szCs w:val="22"/>
          <w:highlight w:val="white"/>
        </w:rPr>
        <w:t xml:space="preserve"> (</w:t>
      </w:r>
      <w:hyperlink r:id="rId71" w:anchor="analytics-noticia:relacionada">
        <w:r>
          <w:rPr>
            <w:rFonts w:ascii="Calibri" w:eastAsia="Calibri" w:hAnsi="Calibri" w:cs="Calibri"/>
            <w:color w:val="1155CC"/>
            <w:sz w:val="22"/>
            <w:szCs w:val="22"/>
            <w:highlight w:val="white"/>
            <w:u w:val="single"/>
          </w:rPr>
          <w:t>denuncia a activistas y clinicas por el derecho al aborto desestimado por el Supremo en 2020</w:t>
        </w:r>
      </w:hyperlink>
      <w:r>
        <w:rPr>
          <w:rFonts w:ascii="Calibri" w:eastAsia="Calibri" w:hAnsi="Calibri" w:cs="Calibri"/>
          <w:sz w:val="22"/>
          <w:szCs w:val="22"/>
          <w:highlight w:val="white"/>
        </w:rPr>
        <w:t xml:space="preserve">; </w:t>
      </w:r>
      <w:r>
        <w:rPr>
          <w:rFonts w:ascii="Calibri" w:eastAsia="Calibri" w:hAnsi="Calibri" w:cs="Calibri"/>
          <w:color w:val="1154CC"/>
          <w:sz w:val="22"/>
          <w:szCs w:val="22"/>
          <w:u w:val="single"/>
        </w:rPr>
        <w:t xml:space="preserve">Juicio de la “Procesión del Coño </w:t>
      </w:r>
      <w:hyperlink r:id="rId72">
        <w:r>
          <w:rPr>
            <w:rFonts w:ascii="Calibri" w:eastAsia="Calibri" w:hAnsi="Calibri" w:cs="Calibri"/>
            <w:color w:val="1154CC"/>
            <w:sz w:val="22"/>
            <w:szCs w:val="22"/>
            <w:u w:val="single"/>
          </w:rPr>
          <w:t>Insumiso”</w:t>
        </w:r>
      </w:hyperlink>
      <w:r>
        <w:rPr>
          <w:rFonts w:ascii="Calibri" w:eastAsia="Calibri" w:hAnsi="Calibri" w:cs="Calibri"/>
          <w:color w:val="000000"/>
          <w:sz w:val="22"/>
          <w:szCs w:val="22"/>
        </w:rPr>
        <w:t xml:space="preserve"> (</w:t>
      </w:r>
      <w:hyperlink r:id="rId73">
        <w:r>
          <w:rPr>
            <w:rFonts w:ascii="Calibri" w:eastAsia="Calibri" w:hAnsi="Calibri" w:cs="Calibri"/>
            <w:color w:val="1154CC"/>
            <w:sz w:val="22"/>
            <w:szCs w:val="22"/>
            <w:u w:val="single"/>
          </w:rPr>
          <w:t>3 activistas absueltas en 2019</w:t>
        </w:r>
      </w:hyperlink>
      <w:hyperlink r:id="rId74">
        <w:r>
          <w:rPr>
            <w:rFonts w:ascii="Calibri" w:eastAsia="Calibri" w:hAnsi="Calibri" w:cs="Calibri"/>
            <w:color w:val="000000"/>
            <w:sz w:val="22"/>
            <w:szCs w:val="22"/>
          </w:rPr>
          <w:t>,</w:t>
        </w:r>
      </w:hyperlink>
      <w:r>
        <w:rPr>
          <w:rFonts w:ascii="Calibri" w:eastAsia="Calibri" w:hAnsi="Calibri" w:cs="Calibri"/>
          <w:color w:val="000000"/>
          <w:sz w:val="22"/>
          <w:szCs w:val="22"/>
        </w:rPr>
        <w:t xml:space="preserve"> </w:t>
      </w:r>
      <w:hyperlink r:id="rId75">
        <w:r>
          <w:rPr>
            <w:rFonts w:ascii="Calibri" w:eastAsia="Calibri" w:hAnsi="Calibri" w:cs="Calibri"/>
            <w:color w:val="1154CC"/>
            <w:sz w:val="22"/>
            <w:szCs w:val="22"/>
            <w:u w:val="single"/>
          </w:rPr>
          <w:t>1 condenada en Málaga,</w:t>
        </w:r>
      </w:hyperlink>
      <w:r>
        <w:rPr>
          <w:rFonts w:ascii="Calibri" w:eastAsia="Calibri" w:hAnsi="Calibri" w:cs="Calibri"/>
          <w:color w:val="000000"/>
          <w:sz w:val="22"/>
          <w:szCs w:val="22"/>
        </w:rPr>
        <w:t xml:space="preserve"> en noviembre 2020)</w:t>
      </w:r>
      <w:r>
        <w:rPr>
          <w:rFonts w:ascii="Calibri" w:eastAsia="Calibri" w:hAnsi="Calibri" w:cs="Calibri"/>
          <w:b/>
          <w:color w:val="000000"/>
          <w:sz w:val="22"/>
          <w:szCs w:val="22"/>
        </w:rPr>
        <w:t>.</w:t>
      </w:r>
      <w:r>
        <w:rPr>
          <w:rFonts w:ascii="Calibri" w:eastAsia="Calibri" w:hAnsi="Calibri" w:cs="Calibri"/>
          <w:b/>
          <w:sz w:val="22"/>
          <w:szCs w:val="22"/>
        </w:rPr>
        <w:t xml:space="preserve"> </w:t>
      </w:r>
      <w:hyperlink r:id="rId76">
        <w:r>
          <w:rPr>
            <w:rFonts w:ascii="Calibri" w:eastAsia="Calibri" w:hAnsi="Calibri" w:cs="Calibri"/>
            <w:b/>
            <w:color w:val="1155CC"/>
            <w:sz w:val="22"/>
            <w:szCs w:val="22"/>
            <w:u w:val="single"/>
          </w:rPr>
          <w:t xml:space="preserve">Denuncia falsa y falsedad documental </w:t>
        </w:r>
      </w:hyperlink>
      <w:r>
        <w:rPr>
          <w:rFonts w:ascii="Calibri" w:eastAsia="Calibri" w:hAnsi="Calibri" w:cs="Calibri"/>
          <w:sz w:val="22"/>
          <w:szCs w:val="22"/>
        </w:rPr>
        <w:t xml:space="preserve"> por parte de la policía </w:t>
      </w:r>
      <w:hyperlink r:id="rId77">
        <w:r>
          <w:rPr>
            <w:rFonts w:ascii="Calibri" w:eastAsia="Calibri" w:hAnsi="Calibri" w:cs="Calibri"/>
            <w:b/>
            <w:color w:val="1155CC"/>
            <w:sz w:val="22"/>
            <w:szCs w:val="22"/>
            <w:u w:val="single"/>
          </w:rPr>
          <w:t>contra la asociación “Infancia Libre”</w:t>
        </w:r>
      </w:hyperlink>
      <w:r>
        <w:rPr>
          <w:rFonts w:ascii="Calibri" w:eastAsia="Calibri" w:hAnsi="Calibri" w:cs="Calibri"/>
          <w:sz w:val="22"/>
          <w:szCs w:val="22"/>
        </w:rPr>
        <w:t xml:space="preserve">. Denuncias </w:t>
      </w:r>
      <w:r>
        <w:rPr>
          <w:rFonts w:ascii="Calibri" w:eastAsia="Calibri" w:hAnsi="Calibri" w:cs="Calibri"/>
          <w:color w:val="444444"/>
          <w:sz w:val="22"/>
          <w:szCs w:val="22"/>
          <w:highlight w:val="white"/>
        </w:rPr>
        <w:t xml:space="preserve">por </w:t>
      </w:r>
      <w:r>
        <w:rPr>
          <w:rFonts w:ascii="Calibri" w:eastAsia="Calibri" w:hAnsi="Calibri" w:cs="Calibri"/>
          <w:i/>
          <w:color w:val="444444"/>
          <w:sz w:val="22"/>
          <w:szCs w:val="22"/>
          <w:highlight w:val="white"/>
        </w:rPr>
        <w:t>incitación al odio,</w:t>
      </w:r>
      <w:r>
        <w:rPr>
          <w:rFonts w:ascii="Calibri" w:eastAsia="Calibri" w:hAnsi="Calibri" w:cs="Calibri"/>
          <w:color w:val="444444"/>
          <w:sz w:val="22"/>
          <w:szCs w:val="22"/>
          <w:highlight w:val="white"/>
        </w:rPr>
        <w:t xml:space="preserve"> boicots y censura </w:t>
      </w:r>
      <w:r>
        <w:rPr>
          <w:rFonts w:ascii="Calibri" w:eastAsia="Calibri" w:hAnsi="Calibri" w:cs="Calibri"/>
          <w:sz w:val="22"/>
          <w:szCs w:val="22"/>
        </w:rPr>
        <w:t xml:space="preserve">a académicas (ponentes </w:t>
      </w:r>
      <w:hyperlink r:id="rId78">
        <w:r>
          <w:rPr>
            <w:rFonts w:ascii="Calibri" w:eastAsia="Calibri" w:hAnsi="Calibri" w:cs="Calibri"/>
            <w:i/>
            <w:color w:val="1155CC"/>
            <w:sz w:val="22"/>
            <w:szCs w:val="22"/>
            <w:highlight w:val="white"/>
            <w:u w:val="single"/>
          </w:rPr>
          <w:t>Escuela Feminista Rosario de Acuña</w:t>
        </w:r>
      </w:hyperlink>
      <w:hyperlink r:id="rId79">
        <w:r>
          <w:rPr>
            <w:rFonts w:ascii="Calibri" w:eastAsia="Calibri" w:hAnsi="Calibri" w:cs="Calibri"/>
            <w:b/>
            <w:color w:val="1155CC"/>
            <w:sz w:val="22"/>
            <w:szCs w:val="22"/>
            <w:highlight w:val="white"/>
            <w:u w:val="single"/>
          </w:rPr>
          <w:t xml:space="preserve">, </w:t>
        </w:r>
      </w:hyperlink>
      <w:hyperlink r:id="rId80">
        <w:r>
          <w:rPr>
            <w:rFonts w:ascii="Calibri" w:eastAsia="Calibri" w:hAnsi="Calibri" w:cs="Calibri"/>
            <w:color w:val="1155CC"/>
            <w:sz w:val="22"/>
            <w:szCs w:val="22"/>
            <w:highlight w:val="white"/>
            <w:u w:val="single"/>
          </w:rPr>
          <w:t>julio 2019</w:t>
        </w:r>
      </w:hyperlink>
      <w:r>
        <w:rPr>
          <w:rFonts w:ascii="Calibri" w:eastAsia="Calibri" w:hAnsi="Calibri" w:cs="Calibri"/>
          <w:sz w:val="22"/>
          <w:szCs w:val="22"/>
        </w:rPr>
        <w:t>;</w:t>
      </w:r>
      <w:r w:rsidR="00DA4C55">
        <w:rPr>
          <w:rFonts w:ascii="Calibri" w:eastAsia="Calibri" w:hAnsi="Calibri" w:cs="Calibri"/>
          <w:sz w:val="22"/>
          <w:szCs w:val="22"/>
        </w:rPr>
        <w:t xml:space="preserve"> J.G.</w:t>
      </w:r>
      <w:hyperlink r:id="rId81">
        <w:r>
          <w:rPr>
            <w:rFonts w:ascii="Calibri" w:eastAsia="Calibri" w:hAnsi="Calibri" w:cs="Calibri"/>
            <w:color w:val="1155CC"/>
            <w:sz w:val="22"/>
            <w:szCs w:val="22"/>
            <w:u w:val="single"/>
          </w:rPr>
          <w:t xml:space="preserve"> UIB </w:t>
        </w:r>
      </w:hyperlink>
      <w:r>
        <w:rPr>
          <w:rFonts w:ascii="Calibri" w:eastAsia="Calibri" w:hAnsi="Calibri" w:cs="Calibri"/>
          <w:sz w:val="22"/>
          <w:szCs w:val="22"/>
        </w:rPr>
        <w:t>en 2022), a profesionales abolicionistas por parte del lobby transactivista (</w:t>
      </w:r>
      <w:r w:rsidR="00DA4C55">
        <w:rPr>
          <w:rFonts w:ascii="Calibri" w:eastAsia="Calibri" w:hAnsi="Calibri" w:cs="Calibri"/>
          <w:sz w:val="22"/>
          <w:szCs w:val="22"/>
        </w:rPr>
        <w:t>C.L.</w:t>
      </w:r>
      <w:r>
        <w:rPr>
          <w:rFonts w:ascii="Calibri" w:eastAsia="Calibri" w:hAnsi="Calibri" w:cs="Calibri"/>
          <w:sz w:val="22"/>
          <w:szCs w:val="22"/>
        </w:rPr>
        <w:t>).</w:t>
      </w:r>
    </w:p>
    <w:p w:rsidR="00652BAB" w:rsidRDefault="007E6FE4">
      <w:pPr>
        <w:numPr>
          <w:ilvl w:val="0"/>
          <w:numId w:val="2"/>
        </w:numPr>
        <w:tabs>
          <w:tab w:val="left" w:pos="284"/>
        </w:tabs>
        <w:spacing w:after="240" w:line="276" w:lineRule="auto"/>
        <w:ind w:right="142" w:hanging="2"/>
        <w:jc w:val="both"/>
        <w:rPr>
          <w:rFonts w:ascii="Calibri" w:eastAsia="Calibri" w:hAnsi="Calibri" w:cs="Calibri"/>
          <w:color w:val="3C4043"/>
          <w:sz w:val="22"/>
          <w:szCs w:val="22"/>
          <w:highlight w:val="white"/>
        </w:rPr>
      </w:pPr>
      <w:r>
        <w:rPr>
          <w:rFonts w:ascii="Calibri" w:eastAsia="Calibri" w:hAnsi="Calibri" w:cs="Calibri"/>
          <w:b/>
          <w:sz w:val="22"/>
          <w:szCs w:val="22"/>
        </w:rPr>
        <w:t>Políticas discriminatorias que generan inseguridad jurídica a las mujeres</w:t>
      </w:r>
      <w:r>
        <w:rPr>
          <w:rFonts w:ascii="Calibri" w:eastAsia="Calibri" w:hAnsi="Calibri" w:cs="Calibri"/>
          <w:b/>
          <w:color w:val="9900FF"/>
          <w:sz w:val="22"/>
          <w:szCs w:val="22"/>
        </w:rPr>
        <w:t xml:space="preserve"> </w:t>
      </w:r>
      <w:r>
        <w:rPr>
          <w:rFonts w:ascii="Calibri" w:eastAsia="Calibri" w:hAnsi="Calibri" w:cs="Calibri"/>
          <w:sz w:val="22"/>
          <w:szCs w:val="22"/>
        </w:rPr>
        <w:t>(</w:t>
      </w:r>
      <w:hyperlink r:id="rId82">
        <w:r>
          <w:rPr>
            <w:rFonts w:ascii="Calibri" w:eastAsia="Calibri" w:hAnsi="Calibri" w:cs="Calibri"/>
            <w:color w:val="000080"/>
            <w:sz w:val="22"/>
            <w:szCs w:val="22"/>
            <w:u w:val="single"/>
          </w:rPr>
          <w:t>Tribunal Constitucional, 2022</w:t>
        </w:r>
      </w:hyperlink>
      <w:r>
        <w:rPr>
          <w:rFonts w:ascii="Calibri" w:eastAsia="Calibri" w:hAnsi="Calibri" w:cs="Calibri"/>
          <w:sz w:val="22"/>
          <w:szCs w:val="22"/>
        </w:rPr>
        <w:t>).</w:t>
      </w:r>
    </w:p>
    <w:p w:rsidR="00652BAB" w:rsidRDefault="00652BAB">
      <w:pPr>
        <w:shd w:val="clear" w:color="auto" w:fill="FFFFFF"/>
        <w:spacing w:after="120" w:line="276" w:lineRule="auto"/>
        <w:ind w:left="0" w:hanging="2"/>
        <w:jc w:val="both"/>
        <w:rPr>
          <w:rFonts w:ascii="Arial" w:eastAsia="Arial" w:hAnsi="Arial" w:cs="Arial"/>
          <w:color w:val="011994"/>
          <w:sz w:val="22"/>
          <w:szCs w:val="22"/>
        </w:rPr>
      </w:pPr>
    </w:p>
    <w:p w:rsidR="00652BAB" w:rsidRDefault="007E6FE4">
      <w:pPr>
        <w:shd w:val="clear" w:color="auto" w:fill="FFFFFF"/>
        <w:spacing w:after="240"/>
        <w:ind w:left="0" w:hanging="2"/>
        <w:jc w:val="both"/>
        <w:rPr>
          <w:rFonts w:ascii="Calibri" w:eastAsia="Calibri" w:hAnsi="Calibri" w:cs="Calibri"/>
          <w:color w:val="713B7A"/>
          <w:sz w:val="24"/>
          <w:szCs w:val="24"/>
        </w:rPr>
      </w:pPr>
      <w:r>
        <w:rPr>
          <w:rFonts w:ascii="Calibri" w:eastAsia="Calibri" w:hAnsi="Calibri" w:cs="Calibri"/>
          <w:b/>
          <w:color w:val="713B7A"/>
          <w:sz w:val="24"/>
          <w:szCs w:val="24"/>
        </w:rPr>
        <w:t>IMPACTO COVID 19</w:t>
      </w:r>
    </w:p>
    <w:p w:rsidR="00652BAB" w:rsidRDefault="007E6FE4">
      <w:pPr>
        <w:shd w:val="clear" w:color="auto" w:fill="FFFFFF"/>
        <w:spacing w:after="240" w:line="276" w:lineRule="auto"/>
        <w:ind w:left="0" w:hanging="2"/>
        <w:jc w:val="both"/>
        <w:rPr>
          <w:rFonts w:ascii="Calibri" w:eastAsia="Calibri" w:hAnsi="Calibri" w:cs="Calibri"/>
          <w:sz w:val="22"/>
          <w:szCs w:val="22"/>
        </w:rPr>
      </w:pPr>
      <w:r>
        <w:rPr>
          <w:rFonts w:ascii="Calibri" w:eastAsia="Calibri" w:hAnsi="Calibri" w:cs="Calibri"/>
          <w:b/>
          <w:sz w:val="22"/>
          <w:szCs w:val="22"/>
        </w:rPr>
        <w:t>Sobrecarga de trabajo de cuidados:</w:t>
      </w:r>
      <w:r>
        <w:rPr>
          <w:rFonts w:ascii="Calibri" w:eastAsia="Calibri" w:hAnsi="Calibri" w:cs="Calibri"/>
          <w:sz w:val="22"/>
          <w:szCs w:val="22"/>
        </w:rPr>
        <w:t xml:space="preserve"> Durante el confinamiento, aumentó la sobrecarga de mujeres por reducción o cierre de servicios y </w:t>
      </w:r>
      <w:r>
        <w:rPr>
          <w:rFonts w:ascii="Calibri" w:eastAsia="Calibri" w:hAnsi="Calibri" w:cs="Calibri"/>
          <w:b/>
          <w:sz w:val="22"/>
          <w:szCs w:val="22"/>
        </w:rPr>
        <w:t>Teletrabajo:</w:t>
      </w:r>
      <w:r>
        <w:rPr>
          <w:rFonts w:ascii="Calibri" w:eastAsia="Calibri" w:hAnsi="Calibri" w:cs="Calibri"/>
          <w:sz w:val="22"/>
          <w:szCs w:val="22"/>
        </w:rPr>
        <w:t xml:space="preserve"> Las mujeres que han teletrabajado durante la pandemia han asumido un 29% más de responsabilidad que los hombres en el cuidado de personas dependientes, soportando un 20% más de fatiga mental y un 16% más de estrés que los hombres durante el confinamiento. A una de cada cinco mujeres le ha faltado espacio, equipamiento y/o privacidad para realizar el trabajo a distancia</w:t>
      </w:r>
      <w:r>
        <w:rPr>
          <w:rFonts w:ascii="Calibri" w:eastAsia="Calibri" w:hAnsi="Calibri" w:cs="Calibri"/>
          <w:sz w:val="22"/>
          <w:szCs w:val="22"/>
          <w:vertAlign w:val="superscript"/>
        </w:rPr>
        <w:footnoteReference w:id="6"/>
      </w:r>
      <w:r>
        <w:rPr>
          <w:rFonts w:ascii="Calibri" w:eastAsia="Calibri" w:hAnsi="Calibri" w:cs="Calibri"/>
          <w:sz w:val="22"/>
          <w:szCs w:val="22"/>
        </w:rPr>
        <w:t>. El teletrabajo ha afectado negativamente a las mujeres con discapacidad activas laboralmente. No se realizaron campañas institucionales para promover la corresponsabilidad hasta marzo 2021</w:t>
      </w:r>
      <w:r>
        <w:rPr>
          <w:rFonts w:ascii="Calibri" w:eastAsia="Calibri" w:hAnsi="Calibri" w:cs="Calibri"/>
          <w:sz w:val="22"/>
          <w:szCs w:val="22"/>
          <w:vertAlign w:val="superscript"/>
        </w:rPr>
        <w:footnoteReference w:id="7"/>
      </w:r>
      <w:r>
        <w:rPr>
          <w:rFonts w:ascii="Calibri" w:eastAsia="Calibri" w:hAnsi="Calibri" w:cs="Calibri"/>
          <w:sz w:val="22"/>
          <w:szCs w:val="22"/>
        </w:rPr>
        <w:t xml:space="preserve">. </w:t>
      </w:r>
      <w:r>
        <w:rPr>
          <w:rFonts w:ascii="Calibri" w:eastAsia="Calibri" w:hAnsi="Calibri" w:cs="Calibri"/>
          <w:b/>
          <w:sz w:val="22"/>
          <w:szCs w:val="22"/>
        </w:rPr>
        <w:t>Precariedad laboral:</w:t>
      </w:r>
      <w:r>
        <w:rPr>
          <w:rFonts w:ascii="Calibri" w:eastAsia="Calibri" w:hAnsi="Calibri" w:cs="Calibri"/>
          <w:sz w:val="22"/>
          <w:szCs w:val="22"/>
        </w:rPr>
        <w:t xml:space="preserve"> La COVID-19 agravó inicialmente la desigualdad en el empleo</w:t>
      </w:r>
      <w:r>
        <w:rPr>
          <w:rFonts w:ascii="Calibri" w:eastAsia="Calibri" w:hAnsi="Calibri" w:cs="Calibri"/>
          <w:sz w:val="22"/>
          <w:szCs w:val="22"/>
          <w:vertAlign w:val="superscript"/>
        </w:rPr>
        <w:footnoteReference w:id="8"/>
      </w:r>
      <w:r>
        <w:rPr>
          <w:rFonts w:ascii="Calibri" w:eastAsia="Calibri" w:hAnsi="Calibri" w:cs="Calibri"/>
          <w:sz w:val="22"/>
          <w:szCs w:val="22"/>
        </w:rPr>
        <w:t>. En los primeros trimestres de la pandemia se produjo un incremento mayor en la tasa de paro de las mujeres —de 1,8 pp. hasta el 7,4%— que en la de los hombres —de 1,2 pp. hasta el 13,4%—, por ser mayoritarias en los empleos directamente afectados</w:t>
      </w:r>
      <w:r>
        <w:rPr>
          <w:rFonts w:ascii="Calibri" w:eastAsia="Calibri" w:hAnsi="Calibri" w:cs="Calibri"/>
          <w:sz w:val="22"/>
          <w:szCs w:val="22"/>
          <w:vertAlign w:val="superscript"/>
        </w:rPr>
        <w:footnoteReference w:id="9"/>
      </w:r>
      <w:r>
        <w:rPr>
          <w:rFonts w:ascii="Calibri" w:eastAsia="Calibri" w:hAnsi="Calibri" w:cs="Calibri"/>
          <w:sz w:val="22"/>
          <w:szCs w:val="22"/>
        </w:rPr>
        <w:t xml:space="preserve">. Un sector especialmente afectado fue el de las casi 600.000 </w:t>
      </w:r>
      <w:r>
        <w:rPr>
          <w:rFonts w:ascii="Calibri" w:eastAsia="Calibri" w:hAnsi="Calibri" w:cs="Calibri"/>
          <w:b/>
          <w:sz w:val="22"/>
          <w:szCs w:val="22"/>
        </w:rPr>
        <w:t>trabajadoras de hogar</w:t>
      </w:r>
      <w:r>
        <w:rPr>
          <w:rFonts w:ascii="Calibri" w:eastAsia="Calibri" w:hAnsi="Calibri" w:cs="Calibri"/>
          <w:sz w:val="22"/>
          <w:szCs w:val="22"/>
        </w:rPr>
        <w:t>, de las que una de cada tres vive bajo el umbral de la pobreza. Aproximadamente el 30% carecen de contrato no pudiendo acogerse al subsidio temporal</w:t>
      </w:r>
      <w:r>
        <w:rPr>
          <w:rFonts w:ascii="Calibri" w:eastAsia="Calibri" w:hAnsi="Calibri" w:cs="Calibri"/>
          <w:sz w:val="22"/>
          <w:szCs w:val="22"/>
          <w:vertAlign w:val="superscript"/>
        </w:rPr>
        <w:footnoteReference w:id="10"/>
      </w:r>
      <w:r>
        <w:rPr>
          <w:rFonts w:ascii="Calibri" w:eastAsia="Calibri" w:hAnsi="Calibri" w:cs="Calibri"/>
          <w:sz w:val="22"/>
          <w:szCs w:val="22"/>
        </w:rPr>
        <w:t xml:space="preserve">. En 2020, la implantación de </w:t>
      </w:r>
      <w:r>
        <w:rPr>
          <w:rFonts w:ascii="Calibri" w:eastAsia="Calibri" w:hAnsi="Calibri" w:cs="Calibri"/>
          <w:b/>
          <w:sz w:val="22"/>
          <w:szCs w:val="22"/>
        </w:rPr>
        <w:t>planes de igualdad</w:t>
      </w:r>
      <w:r>
        <w:rPr>
          <w:rFonts w:ascii="Calibri" w:eastAsia="Calibri" w:hAnsi="Calibri" w:cs="Calibri"/>
          <w:sz w:val="22"/>
          <w:szCs w:val="22"/>
        </w:rPr>
        <w:t xml:space="preserve"> en las empresas españolas descendió un 25% respecto a 2019, y las políticas de conciliación se redujeron un 12%. </w:t>
      </w:r>
      <w:r>
        <w:rPr>
          <w:rFonts w:ascii="Calibri" w:eastAsia="Calibri" w:hAnsi="Calibri" w:cs="Calibri"/>
          <w:b/>
          <w:sz w:val="22"/>
          <w:szCs w:val="22"/>
        </w:rPr>
        <w:t xml:space="preserve">Familias monoparentales: </w:t>
      </w:r>
      <w:r>
        <w:rPr>
          <w:rFonts w:ascii="Calibri" w:eastAsia="Calibri" w:hAnsi="Calibri" w:cs="Calibri"/>
          <w:sz w:val="22"/>
          <w:szCs w:val="22"/>
        </w:rPr>
        <w:t xml:space="preserve">Las familias monomarentales suponían en 2019 el 81% del total de familias monoparentales. La falta de medidas específicas genera mucha vulnerabilidad. El 48% de las familias monomarentales necesitan </w:t>
      </w:r>
      <w:r>
        <w:rPr>
          <w:rFonts w:ascii="Calibri" w:eastAsia="Calibri" w:hAnsi="Calibri" w:cs="Calibri"/>
          <w:sz w:val="22"/>
          <w:szCs w:val="22"/>
        </w:rPr>
        <w:lastRenderedPageBreak/>
        <w:t>ayudas para hacer frente a la situación sobrevenida por la epidemia y el 27% reconoce que no puede costear los gastos de alimentación</w:t>
      </w:r>
      <w:r>
        <w:rPr>
          <w:rFonts w:ascii="Calibri" w:eastAsia="Calibri" w:hAnsi="Calibri" w:cs="Calibri"/>
          <w:sz w:val="22"/>
          <w:szCs w:val="22"/>
          <w:vertAlign w:val="superscript"/>
        </w:rPr>
        <w:footnoteReference w:id="11"/>
      </w:r>
      <w:r>
        <w:rPr>
          <w:rFonts w:ascii="Calibri" w:eastAsia="Calibri" w:hAnsi="Calibri" w:cs="Calibri"/>
          <w:sz w:val="22"/>
          <w:szCs w:val="22"/>
        </w:rPr>
        <w:t xml:space="preserve">. </w:t>
      </w:r>
      <w:r>
        <w:rPr>
          <w:rFonts w:ascii="Calibri" w:eastAsia="Calibri" w:hAnsi="Calibri" w:cs="Calibri"/>
          <w:b/>
          <w:sz w:val="22"/>
          <w:szCs w:val="22"/>
        </w:rPr>
        <w:t xml:space="preserve">Brecha digital: </w:t>
      </w:r>
      <w:r>
        <w:rPr>
          <w:rFonts w:ascii="Calibri" w:eastAsia="Calibri" w:hAnsi="Calibri" w:cs="Calibri"/>
          <w:sz w:val="22"/>
          <w:szCs w:val="22"/>
        </w:rPr>
        <w:t xml:space="preserve">La sustitución de servicios presenciales por virtuales incidió en el aumento del riesgo y la vulnerabilidad, incluida la relativa a la VG. Las cuestiones administrativas relacionadas con Extranjería y solicitud de ayudas sociales se han dificultado aún más. </w:t>
      </w:r>
      <w:r>
        <w:rPr>
          <w:rFonts w:ascii="Calibri" w:eastAsia="Calibri" w:hAnsi="Calibri" w:cs="Calibri"/>
          <w:b/>
          <w:sz w:val="22"/>
          <w:szCs w:val="22"/>
        </w:rPr>
        <w:t xml:space="preserve">Salud: </w:t>
      </w:r>
      <w:r>
        <w:rPr>
          <w:rFonts w:ascii="Calibri" w:eastAsia="Calibri" w:hAnsi="Calibri" w:cs="Calibri"/>
          <w:sz w:val="22"/>
          <w:szCs w:val="22"/>
        </w:rPr>
        <w:t>La pandemia ha impactado en las mujeres por su condición de cuidadoras y profesionales sanitarias. Más del 80% de profesionales en el ámbito de los cuidados y más del 90% de las cuidadoras a domicilio son mujeres. En el sector sanitario el 75% de las personas infectadas de marzo a junio de 2020 fueron mujeres. No se recogieron datos desagregados por sexo de personas cuidadoras contagiadas. Desde finales de mayo 2020 las fuentes del Ministerio de Sanidad redujeron la publicación de los datos desagregados por sexo, en los signos/síntomas de COVID19 y en los de morbilidad asociada, incumpliendo la LO 3/2007 y derivando en un subregistro de casos y fallecimientos por COVID19 en mujeres, al ser los procesos respiratorios más frecuentes en hombres y las mujeres hospitalizadas con menor frecuencia. Tampoco se computaron los datos de mortalidad ni de morbilidad en residencias o domicilios de ancianos desagregados por sexo. En el periodo comprendido entre mayo – septiembre 2021, el exceso de mortalidad de mujeres mayores de 65 años superó al de los hombres</w:t>
      </w:r>
      <w:r>
        <w:rPr>
          <w:rFonts w:ascii="Calibri" w:eastAsia="Calibri" w:hAnsi="Calibri" w:cs="Calibri"/>
          <w:sz w:val="22"/>
          <w:szCs w:val="22"/>
          <w:vertAlign w:val="superscript"/>
        </w:rPr>
        <w:footnoteReference w:id="12"/>
      </w:r>
      <w:r>
        <w:rPr>
          <w:rFonts w:ascii="Calibri" w:eastAsia="Calibri" w:hAnsi="Calibri" w:cs="Calibri"/>
          <w:sz w:val="22"/>
          <w:szCs w:val="22"/>
        </w:rPr>
        <w:t xml:space="preserve">. Ausencia de estudios previos del impacto de las vacunas en las mujeres. El 79% de las mujeres presentan COVID persistente. 11 provincias no notificaron ningún aborto en su territorio, lo que supone que todas las mujeres tuvieron que desplazarse para realizarlos, por escasez de medicamentos e interrupciones en las cadenas de suministros o el cierre de fronteras. </w:t>
      </w:r>
      <w:r>
        <w:rPr>
          <w:rFonts w:ascii="Calibri" w:eastAsia="Calibri" w:hAnsi="Calibri" w:cs="Calibri"/>
          <w:b/>
          <w:sz w:val="22"/>
          <w:szCs w:val="22"/>
        </w:rPr>
        <w:t xml:space="preserve">Pandemia y migración: </w:t>
      </w:r>
      <w:r>
        <w:rPr>
          <w:rFonts w:ascii="Calibri" w:eastAsia="Calibri" w:hAnsi="Calibri" w:cs="Calibri"/>
          <w:sz w:val="22"/>
          <w:szCs w:val="22"/>
        </w:rPr>
        <w:t xml:space="preserve">Exclusión de migrantes en situación administrativa irregular en los planes de contingencia (se estima alrededor de 200.000 mujeres en 2019). Un 75% de la población asistida con carácter de emergencia fueron mujeres migrantes, generalmente con hijas/os a su cargo, al no contar con ninguna fuente de ingresos por las restricciones de movilidad y no acceder a ayudas sociales gubernamentales. La pandemia ha provocado una enorme necesidad de atención psicológica (fobia social, depresión, intentos de suicidio, etc.) entre la población migrante vulnerable que no es cubierta por el sistema público de salud. </w:t>
      </w:r>
      <w:r>
        <w:rPr>
          <w:rFonts w:ascii="Calibri" w:eastAsia="Calibri" w:hAnsi="Calibri" w:cs="Calibri"/>
          <w:b/>
          <w:sz w:val="22"/>
          <w:szCs w:val="22"/>
        </w:rPr>
        <w:t>Plan de Recuperación, Transformación y Resiliencia</w:t>
      </w:r>
      <w:r>
        <w:rPr>
          <w:rFonts w:ascii="Calibri" w:eastAsia="Calibri" w:hAnsi="Calibri" w:cs="Calibri"/>
          <w:b/>
          <w:sz w:val="22"/>
          <w:szCs w:val="22"/>
          <w:vertAlign w:val="superscript"/>
        </w:rPr>
        <w:footnoteReference w:id="13"/>
      </w:r>
      <w:r>
        <w:rPr>
          <w:rFonts w:ascii="Calibri" w:eastAsia="Calibri" w:hAnsi="Calibri" w:cs="Calibri"/>
          <w:b/>
          <w:sz w:val="22"/>
          <w:szCs w:val="22"/>
        </w:rPr>
        <w:t xml:space="preserve">: </w:t>
      </w:r>
      <w:r>
        <w:rPr>
          <w:rFonts w:ascii="Calibri" w:eastAsia="Calibri" w:hAnsi="Calibri" w:cs="Calibri"/>
          <w:sz w:val="22"/>
          <w:szCs w:val="22"/>
        </w:rPr>
        <w:t>La igualdad de género se señala como uno de los ejes del Plan. Sin embargo, del total de 26.634 millones de euros de los fondos europeos (</w:t>
      </w:r>
      <w:r>
        <w:rPr>
          <w:rFonts w:ascii="Calibri" w:eastAsia="Calibri" w:hAnsi="Calibri" w:cs="Calibri"/>
          <w:i/>
          <w:sz w:val="22"/>
          <w:szCs w:val="22"/>
        </w:rPr>
        <w:t>Next Generation EU</w:t>
      </w:r>
      <w:r>
        <w:rPr>
          <w:rFonts w:ascii="Calibri" w:eastAsia="Calibri" w:hAnsi="Calibri" w:cs="Calibri"/>
          <w:sz w:val="22"/>
          <w:szCs w:val="22"/>
        </w:rPr>
        <w:t>) incluidos en los Presupuestos Generales del Estado de 2021, tan solo 48,6mill. fueron gestionados por el Ministerio de Igualdad. Cabe destacar que de las siete medidas emblemáticas de este Plan (</w:t>
      </w:r>
      <w:r>
        <w:rPr>
          <w:rFonts w:ascii="Calibri" w:eastAsia="Calibri" w:hAnsi="Calibri" w:cs="Calibri"/>
          <w:i/>
          <w:sz w:val="22"/>
          <w:szCs w:val="22"/>
        </w:rPr>
        <w:t>flagship initiatives</w:t>
      </w:r>
      <w:r>
        <w:rPr>
          <w:rFonts w:ascii="Calibri" w:eastAsia="Calibri" w:hAnsi="Calibri" w:cs="Calibri"/>
          <w:sz w:val="22"/>
          <w:szCs w:val="22"/>
        </w:rPr>
        <w:t>) tan solo una (</w:t>
      </w:r>
      <w:r>
        <w:rPr>
          <w:rFonts w:ascii="Calibri" w:eastAsia="Calibri" w:hAnsi="Calibri" w:cs="Calibri"/>
          <w:i/>
          <w:sz w:val="22"/>
          <w:szCs w:val="22"/>
        </w:rPr>
        <w:t>Reskill&amp;Upskill</w:t>
      </w:r>
      <w:r>
        <w:rPr>
          <w:rFonts w:ascii="Calibri" w:eastAsia="Calibri" w:hAnsi="Calibri" w:cs="Calibri"/>
          <w:sz w:val="22"/>
          <w:szCs w:val="22"/>
        </w:rPr>
        <w:t>) tiene entre sus impactos objetivos a las mujeres.</w:t>
      </w:r>
    </w:p>
    <w:p w:rsidR="00652BAB" w:rsidRDefault="00652BAB">
      <w:pPr>
        <w:shd w:val="clear" w:color="auto" w:fill="FFFFFF"/>
        <w:spacing w:after="240" w:line="276" w:lineRule="auto"/>
        <w:ind w:left="0" w:hanging="2"/>
        <w:jc w:val="both"/>
        <w:rPr>
          <w:rFonts w:ascii="Calibri" w:eastAsia="Calibri" w:hAnsi="Calibri" w:cs="Calibri"/>
          <w:sz w:val="22"/>
          <w:szCs w:val="22"/>
        </w:rPr>
      </w:pPr>
    </w:p>
    <w:sectPr w:rsidR="00652BAB">
      <w:headerReference w:type="even" r:id="rId83"/>
      <w:headerReference w:type="default" r:id="rId84"/>
      <w:footerReference w:type="even" r:id="rId85"/>
      <w:footerReference w:type="default" r:id="rId86"/>
      <w:headerReference w:type="first" r:id="rId87"/>
      <w:footerReference w:type="first" r:id="rId88"/>
      <w:pgSz w:w="11906" w:h="16838"/>
      <w:pgMar w:top="2269" w:right="1080" w:bottom="1134" w:left="108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6460C" w:rsidRDefault="0046460C">
      <w:pPr>
        <w:spacing w:line="240" w:lineRule="auto"/>
        <w:ind w:left="0" w:hanging="2"/>
      </w:pPr>
      <w:r>
        <w:separator/>
      </w:r>
    </w:p>
  </w:endnote>
  <w:endnote w:type="continuationSeparator" w:id="0">
    <w:p w:rsidR="0046460C" w:rsidRDefault="0046460C">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Noto Sans Symbols">
    <w:altName w:val="Times New Roman"/>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52BAB" w:rsidRDefault="00652BAB">
    <w:pPr>
      <w:shd w:val="clear" w:color="auto" w:fill="FFFFFF"/>
      <w:spacing w:line="276" w:lineRule="auto"/>
      <w:ind w:left="0" w:hanging="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52BAB" w:rsidRDefault="00652BAB">
    <w:pPr>
      <w:widowControl/>
      <w:shd w:val="clear" w:color="auto" w:fill="FFFFFF"/>
      <w:tabs>
        <w:tab w:val="right" w:pos="9020"/>
      </w:tabs>
      <w:ind w:left="0" w:hanging="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52BAB" w:rsidRDefault="00652BAB">
    <w:pPr>
      <w:pBdr>
        <w:top w:val="nil"/>
        <w:left w:val="nil"/>
        <w:bottom w:val="nil"/>
        <w:right w:val="nil"/>
        <w:between w:val="nil"/>
      </w:pBdr>
      <w:tabs>
        <w:tab w:val="center" w:pos="4819"/>
        <w:tab w:val="right" w:pos="9638"/>
      </w:tabs>
      <w:spacing w:line="240" w:lineRule="auto"/>
      <w:ind w:left="0" w:hanging="2"/>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6460C" w:rsidRDefault="0046460C">
      <w:pPr>
        <w:spacing w:line="240" w:lineRule="auto"/>
        <w:ind w:left="0" w:hanging="2"/>
      </w:pPr>
      <w:r>
        <w:separator/>
      </w:r>
    </w:p>
  </w:footnote>
  <w:footnote w:type="continuationSeparator" w:id="0">
    <w:p w:rsidR="0046460C" w:rsidRDefault="0046460C">
      <w:pPr>
        <w:spacing w:line="240" w:lineRule="auto"/>
        <w:ind w:left="0" w:hanging="2"/>
      </w:pPr>
      <w:r>
        <w:continuationSeparator/>
      </w:r>
    </w:p>
  </w:footnote>
  <w:footnote w:id="1">
    <w:p w:rsidR="00652BAB" w:rsidRDefault="007E6FE4">
      <w:pPr>
        <w:widowControl/>
        <w:pBdr>
          <w:top w:val="nil"/>
          <w:left w:val="nil"/>
          <w:bottom w:val="nil"/>
          <w:right w:val="nil"/>
          <w:between w:val="nil"/>
        </w:pBdr>
        <w:spacing w:line="276" w:lineRule="auto"/>
        <w:ind w:left="0" w:hanging="2"/>
        <w:jc w:val="both"/>
        <w:rPr>
          <w:rFonts w:ascii="Calibri" w:eastAsia="Calibri" w:hAnsi="Calibri" w:cs="Calibri"/>
          <w:color w:val="000000"/>
          <w:sz w:val="16"/>
          <w:szCs w:val="16"/>
        </w:rPr>
      </w:pPr>
      <w:r>
        <w:rPr>
          <w:vertAlign w:val="superscript"/>
        </w:rPr>
        <w:footnoteRef/>
      </w:r>
      <w:r>
        <w:rPr>
          <w:rFonts w:ascii="Calibri" w:eastAsia="Calibri" w:hAnsi="Calibri" w:cs="Calibri"/>
          <w:color w:val="000000"/>
          <w:sz w:val="16"/>
          <w:szCs w:val="16"/>
        </w:rPr>
        <w:t xml:space="preserve"> CEDAW/C/ESP/CO/7-8, de 29 de julio 2015 </w:t>
      </w:r>
    </w:p>
  </w:footnote>
  <w:footnote w:id="2">
    <w:p w:rsidR="00652BAB" w:rsidRDefault="007E6FE4">
      <w:pPr>
        <w:pBdr>
          <w:top w:val="nil"/>
          <w:left w:val="nil"/>
          <w:bottom w:val="nil"/>
          <w:right w:val="nil"/>
          <w:between w:val="nil"/>
        </w:pBdr>
        <w:spacing w:line="240" w:lineRule="auto"/>
        <w:ind w:left="0" w:hanging="2"/>
        <w:rPr>
          <w:rFonts w:ascii="Calibri" w:eastAsia="Calibri" w:hAnsi="Calibri" w:cs="Calibri"/>
          <w:color w:val="000000"/>
          <w:sz w:val="16"/>
          <w:szCs w:val="16"/>
        </w:rPr>
      </w:pPr>
      <w:r>
        <w:rPr>
          <w:vertAlign w:val="superscript"/>
        </w:rPr>
        <w:footnoteRef/>
      </w:r>
      <w:r>
        <w:rPr>
          <w:rFonts w:ascii="Calibri" w:eastAsia="Calibri" w:hAnsi="Calibri" w:cs="Calibri"/>
          <w:color w:val="000000"/>
          <w:sz w:val="16"/>
          <w:szCs w:val="16"/>
        </w:rPr>
        <w:t xml:space="preserve"> Oficina de Asilo y Refugio.</w:t>
      </w:r>
    </w:p>
  </w:footnote>
  <w:footnote w:id="3">
    <w:p w:rsidR="00652BAB" w:rsidRDefault="007E6FE4">
      <w:pPr>
        <w:pBdr>
          <w:top w:val="nil"/>
          <w:left w:val="nil"/>
          <w:bottom w:val="nil"/>
          <w:right w:val="nil"/>
          <w:between w:val="nil"/>
        </w:pBdr>
        <w:spacing w:line="240" w:lineRule="auto"/>
        <w:ind w:left="0" w:hanging="2"/>
        <w:jc w:val="both"/>
        <w:rPr>
          <w:rFonts w:ascii="Calibri" w:eastAsia="Calibri" w:hAnsi="Calibri" w:cs="Calibri"/>
          <w:color w:val="000000"/>
          <w:sz w:val="16"/>
          <w:szCs w:val="16"/>
        </w:rPr>
      </w:pPr>
      <w:r>
        <w:rPr>
          <w:vertAlign w:val="superscript"/>
        </w:rPr>
        <w:footnoteRef/>
      </w:r>
      <w:r>
        <w:rPr>
          <w:rFonts w:ascii="Calibri" w:eastAsia="Calibri" w:hAnsi="Calibri" w:cs="Calibri"/>
          <w:color w:val="000000"/>
          <w:sz w:val="16"/>
          <w:szCs w:val="16"/>
        </w:rPr>
        <w:t xml:space="preserve"> STSJ de Andalucía, Sevilla (Sala de lo Contencioso-Administrativo, Sección 4ª) n.º 1177/2010, de 25 octubre, y la STSJ de Madrid (Sala de lo Contencioso-Administrativo, Sección 1ª) n.º 667/2017, de 29 septiembre.</w:t>
      </w:r>
    </w:p>
  </w:footnote>
  <w:footnote w:id="4">
    <w:p w:rsidR="00652BAB" w:rsidRDefault="007E6FE4">
      <w:pPr>
        <w:ind w:left="0" w:hanging="2"/>
        <w:jc w:val="both"/>
        <w:rPr>
          <w:rFonts w:ascii="Calibri" w:eastAsia="Calibri" w:hAnsi="Calibri" w:cs="Calibri"/>
          <w:sz w:val="16"/>
          <w:szCs w:val="16"/>
        </w:rPr>
      </w:pPr>
      <w:r>
        <w:rPr>
          <w:vertAlign w:val="superscript"/>
        </w:rPr>
        <w:footnoteRef/>
      </w:r>
      <w:r>
        <w:rPr>
          <w:rFonts w:ascii="Calibri" w:eastAsia="Calibri" w:hAnsi="Calibri" w:cs="Calibri"/>
          <w:sz w:val="16"/>
          <w:szCs w:val="16"/>
        </w:rPr>
        <w:t xml:space="preserve"> La supresión de las subvenciones a las llamadas </w:t>
      </w:r>
      <w:r>
        <w:rPr>
          <w:rFonts w:ascii="Calibri" w:eastAsia="Calibri" w:hAnsi="Calibri" w:cs="Calibri"/>
          <w:i/>
          <w:sz w:val="16"/>
          <w:szCs w:val="16"/>
        </w:rPr>
        <w:t>“ONGs ideológicas</w:t>
      </w:r>
      <w:r>
        <w:rPr>
          <w:rFonts w:ascii="Calibri" w:eastAsia="Calibri" w:hAnsi="Calibri" w:cs="Calibri"/>
          <w:sz w:val="16"/>
          <w:szCs w:val="16"/>
        </w:rPr>
        <w:t xml:space="preserve">” es uno de los puntos impuestos por VOX para su apoyo en Andalucía, admitido y respaldado por PP y Cs (ver </w:t>
      </w:r>
      <w:hyperlink r:id="rId1">
        <w:r>
          <w:rPr>
            <w:rFonts w:ascii="Calibri" w:eastAsia="Calibri" w:hAnsi="Calibri" w:cs="Calibri"/>
            <w:color w:val="1154CC"/>
            <w:sz w:val="16"/>
            <w:szCs w:val="16"/>
            <w:u w:val="single"/>
          </w:rPr>
          <w:t>agenda VOX</w:t>
        </w:r>
      </w:hyperlink>
      <w:hyperlink r:id="rId2">
        <w:r>
          <w:rPr>
            <w:rFonts w:ascii="Calibri" w:eastAsia="Calibri" w:hAnsi="Calibri" w:cs="Calibri"/>
            <w:color w:val="000080"/>
            <w:sz w:val="16"/>
            <w:szCs w:val="16"/>
            <w:u w:val="single"/>
          </w:rPr>
          <w:t>,</w:t>
        </w:r>
      </w:hyperlink>
      <w:r>
        <w:rPr>
          <w:rFonts w:ascii="Calibri" w:eastAsia="Calibri" w:hAnsi="Calibri" w:cs="Calibri"/>
          <w:sz w:val="16"/>
          <w:szCs w:val="16"/>
        </w:rPr>
        <w:t xml:space="preserve"> pto 3).</w:t>
      </w:r>
    </w:p>
  </w:footnote>
  <w:footnote w:id="5">
    <w:p w:rsidR="00652BAB" w:rsidRDefault="007E6FE4">
      <w:pPr>
        <w:ind w:left="0" w:hanging="2"/>
        <w:jc w:val="both"/>
        <w:rPr>
          <w:rFonts w:ascii="Calibri" w:eastAsia="Calibri" w:hAnsi="Calibri" w:cs="Calibri"/>
          <w:sz w:val="16"/>
          <w:szCs w:val="16"/>
        </w:rPr>
      </w:pPr>
      <w:r>
        <w:rPr>
          <w:vertAlign w:val="superscript"/>
        </w:rPr>
        <w:footnoteRef/>
      </w:r>
      <w:r>
        <w:rPr>
          <w:rFonts w:ascii="Calibri" w:eastAsia="Calibri" w:hAnsi="Calibri" w:cs="Calibri"/>
          <w:sz w:val="16"/>
          <w:szCs w:val="16"/>
        </w:rPr>
        <w:t xml:space="preserve"> Instituto Andaluz de la Mujer.</w:t>
      </w:r>
    </w:p>
  </w:footnote>
  <w:footnote w:id="6">
    <w:p w:rsidR="00652BAB" w:rsidRDefault="007E6FE4">
      <w:pPr>
        <w:pBdr>
          <w:top w:val="nil"/>
          <w:left w:val="nil"/>
          <w:bottom w:val="nil"/>
          <w:right w:val="nil"/>
          <w:between w:val="nil"/>
        </w:pBdr>
        <w:spacing w:line="240" w:lineRule="auto"/>
        <w:ind w:left="0" w:hanging="2"/>
        <w:rPr>
          <w:rFonts w:ascii="Calibri" w:eastAsia="Calibri" w:hAnsi="Calibri" w:cs="Calibri"/>
          <w:color w:val="000000"/>
          <w:sz w:val="16"/>
          <w:szCs w:val="16"/>
        </w:rPr>
      </w:pPr>
      <w:r>
        <w:rPr>
          <w:vertAlign w:val="superscript"/>
        </w:rPr>
        <w:footnoteRef/>
      </w:r>
      <w:r>
        <w:rPr>
          <w:rFonts w:ascii="Calibri" w:eastAsia="Calibri" w:hAnsi="Calibri" w:cs="Calibri"/>
          <w:color w:val="000000"/>
          <w:sz w:val="16"/>
          <w:szCs w:val="16"/>
        </w:rPr>
        <w:t xml:space="preserve"> Estudio sobre impacto de género del teletrabajo a raíz del COVID-19. Fórum de Política Feminista, 2020.</w:t>
      </w:r>
    </w:p>
  </w:footnote>
  <w:footnote w:id="7">
    <w:p w:rsidR="00652BAB" w:rsidRDefault="007E6FE4">
      <w:pPr>
        <w:shd w:val="clear" w:color="auto" w:fill="FFFFFF"/>
        <w:ind w:left="0" w:hanging="2"/>
        <w:jc w:val="both"/>
        <w:rPr>
          <w:rFonts w:ascii="Calibri" w:eastAsia="Calibri" w:hAnsi="Calibri" w:cs="Calibri"/>
          <w:sz w:val="16"/>
          <w:szCs w:val="16"/>
        </w:rPr>
      </w:pPr>
      <w:r>
        <w:rPr>
          <w:vertAlign w:val="superscript"/>
        </w:rPr>
        <w:footnoteRef/>
      </w:r>
      <w:r>
        <w:rPr>
          <w:rFonts w:ascii="Calibri" w:eastAsia="Calibri" w:hAnsi="Calibri" w:cs="Calibri"/>
          <w:sz w:val="16"/>
          <w:szCs w:val="16"/>
        </w:rPr>
        <w:t xml:space="preserve"> Cuando se aprobó el</w:t>
      </w:r>
      <w:r>
        <w:rPr>
          <w:rFonts w:ascii="Calibri" w:eastAsia="Calibri" w:hAnsi="Calibri" w:cs="Calibri"/>
          <w:i/>
          <w:sz w:val="16"/>
          <w:szCs w:val="16"/>
        </w:rPr>
        <w:t xml:space="preserve"> Plan Corresponsables</w:t>
      </w:r>
      <w:r>
        <w:rPr>
          <w:rFonts w:ascii="Calibri" w:eastAsia="Calibri" w:hAnsi="Calibri" w:cs="Calibri"/>
          <w:sz w:val="16"/>
          <w:szCs w:val="16"/>
        </w:rPr>
        <w:t>, con dotación presupuestaria de 190 millones € anuales para el desarrollo de actuaciones y/o prestaciones orientadas a facilitar la conciliación familiar.</w:t>
      </w:r>
    </w:p>
  </w:footnote>
  <w:footnote w:id="8">
    <w:p w:rsidR="00652BAB" w:rsidRDefault="007E6FE4">
      <w:pPr>
        <w:pBdr>
          <w:top w:val="nil"/>
          <w:left w:val="nil"/>
          <w:bottom w:val="nil"/>
          <w:right w:val="nil"/>
          <w:between w:val="nil"/>
        </w:pBdr>
        <w:spacing w:line="240" w:lineRule="auto"/>
        <w:ind w:left="0" w:hanging="2"/>
        <w:rPr>
          <w:rFonts w:ascii="Calibri" w:eastAsia="Calibri" w:hAnsi="Calibri" w:cs="Calibri"/>
          <w:color w:val="000000"/>
          <w:sz w:val="16"/>
          <w:szCs w:val="16"/>
        </w:rPr>
      </w:pPr>
      <w:r>
        <w:rPr>
          <w:vertAlign w:val="superscript"/>
        </w:rPr>
        <w:footnoteRef/>
      </w:r>
      <w:r>
        <w:rPr>
          <w:rFonts w:ascii="Calibri" w:eastAsia="Calibri" w:hAnsi="Calibri" w:cs="Calibri"/>
          <w:color w:val="000000"/>
          <w:sz w:val="16"/>
          <w:szCs w:val="16"/>
        </w:rPr>
        <w:t xml:space="preserve"> El empleo disminuyó en el segundo trimestre de 2020 en 527.800 hombres y 546.200 mujeres.</w:t>
      </w:r>
    </w:p>
  </w:footnote>
  <w:footnote w:id="9">
    <w:p w:rsidR="00652BAB" w:rsidRDefault="007E6FE4">
      <w:pPr>
        <w:pBdr>
          <w:top w:val="nil"/>
          <w:left w:val="nil"/>
          <w:bottom w:val="nil"/>
          <w:right w:val="nil"/>
          <w:between w:val="nil"/>
        </w:pBdr>
        <w:spacing w:line="240" w:lineRule="auto"/>
        <w:ind w:left="0" w:hanging="2"/>
        <w:jc w:val="both"/>
        <w:rPr>
          <w:rFonts w:ascii="Calibri" w:eastAsia="Calibri" w:hAnsi="Calibri" w:cs="Calibri"/>
          <w:color w:val="000000"/>
          <w:sz w:val="16"/>
          <w:szCs w:val="16"/>
        </w:rPr>
      </w:pPr>
      <w:r>
        <w:rPr>
          <w:vertAlign w:val="superscript"/>
        </w:rPr>
        <w:footnoteRef/>
      </w:r>
      <w:r>
        <w:rPr>
          <w:rFonts w:ascii="Calibri" w:eastAsia="Calibri" w:hAnsi="Calibri" w:cs="Calibri"/>
          <w:color w:val="000000"/>
          <w:sz w:val="16"/>
          <w:szCs w:val="16"/>
        </w:rPr>
        <w:t xml:space="preserve"> El sector más afectado fue Servicios donde las mujeres son mayoritarias, con 816.900 personas ocupadas menos.</w:t>
      </w:r>
    </w:p>
  </w:footnote>
  <w:footnote w:id="10">
    <w:p w:rsidR="00652BAB" w:rsidRDefault="007E6FE4">
      <w:pPr>
        <w:pBdr>
          <w:top w:val="nil"/>
          <w:left w:val="nil"/>
          <w:bottom w:val="nil"/>
          <w:right w:val="nil"/>
          <w:between w:val="nil"/>
        </w:pBdr>
        <w:spacing w:line="240" w:lineRule="auto"/>
        <w:ind w:left="0" w:hanging="2"/>
        <w:rPr>
          <w:rFonts w:ascii="Calibri" w:eastAsia="Calibri" w:hAnsi="Calibri" w:cs="Calibri"/>
          <w:color w:val="000000"/>
          <w:sz w:val="16"/>
          <w:szCs w:val="16"/>
        </w:rPr>
      </w:pPr>
      <w:r>
        <w:rPr>
          <w:vertAlign w:val="superscript"/>
        </w:rPr>
        <w:footnoteRef/>
      </w:r>
      <w:r>
        <w:rPr>
          <w:rFonts w:ascii="Calibri" w:eastAsia="Calibri" w:hAnsi="Calibri" w:cs="Calibri"/>
          <w:color w:val="000000"/>
          <w:sz w:val="16"/>
          <w:szCs w:val="16"/>
        </w:rPr>
        <w:t xml:space="preserve"> Art.30 del R.D 11/2020.</w:t>
      </w:r>
    </w:p>
  </w:footnote>
  <w:footnote w:id="11">
    <w:p w:rsidR="00652BAB" w:rsidRDefault="007E6FE4">
      <w:pPr>
        <w:pBdr>
          <w:top w:val="nil"/>
          <w:left w:val="nil"/>
          <w:bottom w:val="nil"/>
          <w:right w:val="nil"/>
          <w:between w:val="nil"/>
        </w:pBdr>
        <w:spacing w:line="240" w:lineRule="auto"/>
        <w:ind w:left="0" w:hanging="2"/>
        <w:rPr>
          <w:rFonts w:ascii="Calibri" w:eastAsia="Calibri" w:hAnsi="Calibri" w:cs="Calibri"/>
          <w:color w:val="000000"/>
          <w:sz w:val="16"/>
          <w:szCs w:val="16"/>
        </w:rPr>
      </w:pPr>
      <w:r>
        <w:rPr>
          <w:vertAlign w:val="superscript"/>
        </w:rPr>
        <w:footnoteRef/>
      </w:r>
      <w:r>
        <w:rPr>
          <w:rFonts w:ascii="Calibri" w:eastAsia="Calibri" w:hAnsi="Calibri" w:cs="Calibri"/>
          <w:color w:val="000000"/>
          <w:sz w:val="16"/>
          <w:szCs w:val="16"/>
        </w:rPr>
        <w:t xml:space="preserve"> Coordinadora de la Red Estatal de Familias Monomarentales, FAMS, 15 de mayo de 2020.</w:t>
      </w:r>
    </w:p>
  </w:footnote>
  <w:footnote w:id="12">
    <w:p w:rsidR="00652BAB" w:rsidRDefault="007E6FE4">
      <w:pPr>
        <w:pBdr>
          <w:top w:val="nil"/>
          <w:left w:val="nil"/>
          <w:bottom w:val="nil"/>
          <w:right w:val="nil"/>
          <w:between w:val="nil"/>
        </w:pBdr>
        <w:spacing w:line="240" w:lineRule="auto"/>
        <w:ind w:left="0" w:hanging="2"/>
        <w:jc w:val="both"/>
        <w:rPr>
          <w:rFonts w:ascii="Calibri" w:eastAsia="Calibri" w:hAnsi="Calibri" w:cs="Calibri"/>
          <w:color w:val="000000"/>
          <w:sz w:val="16"/>
          <w:szCs w:val="16"/>
        </w:rPr>
      </w:pPr>
      <w:r>
        <w:rPr>
          <w:vertAlign w:val="superscript"/>
        </w:rPr>
        <w:footnoteRef/>
      </w:r>
      <w:r>
        <w:rPr>
          <w:rFonts w:ascii="Calibri" w:eastAsia="Calibri" w:hAnsi="Calibri" w:cs="Calibri"/>
          <w:color w:val="000000"/>
          <w:sz w:val="16"/>
          <w:szCs w:val="16"/>
        </w:rPr>
        <w:t xml:space="preserve"> Periodo 9-18 junio 2021: 9,5% exceso de mortalidad en mujeres y 5,1% en hombres. Periodo 19/07-13/09 2021: 15% exceso de mortalidad en mujeres y 14% en hombres.</w:t>
      </w:r>
    </w:p>
  </w:footnote>
  <w:footnote w:id="13">
    <w:p w:rsidR="00652BAB" w:rsidRDefault="007E6FE4">
      <w:pPr>
        <w:pBdr>
          <w:top w:val="nil"/>
          <w:left w:val="nil"/>
          <w:bottom w:val="nil"/>
          <w:right w:val="nil"/>
          <w:between w:val="nil"/>
        </w:pBdr>
        <w:spacing w:line="240" w:lineRule="auto"/>
        <w:ind w:left="0" w:hanging="2"/>
        <w:jc w:val="both"/>
        <w:rPr>
          <w:rFonts w:ascii="Calibri" w:eastAsia="Calibri" w:hAnsi="Calibri" w:cs="Calibri"/>
          <w:color w:val="000000"/>
        </w:rPr>
      </w:pPr>
      <w:r>
        <w:rPr>
          <w:vertAlign w:val="superscript"/>
        </w:rPr>
        <w:footnoteRef/>
      </w:r>
      <w:r>
        <w:rPr>
          <w:rFonts w:ascii="Calibri" w:eastAsia="Calibri" w:hAnsi="Calibri" w:cs="Calibri"/>
          <w:color w:val="000000"/>
          <w:sz w:val="16"/>
          <w:szCs w:val="16"/>
        </w:rPr>
        <w:t xml:space="preserve"> Aprobado por el ECOFIN el 13 julio 2021.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52BAB" w:rsidRDefault="00652BAB">
    <w:pPr>
      <w:widowControl/>
      <w:shd w:val="clear" w:color="auto" w:fill="FFFFFF"/>
      <w:tabs>
        <w:tab w:val="right" w:pos="9020"/>
      </w:tabs>
      <w:ind w:left="0" w:hanging="2"/>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52BAB" w:rsidRDefault="007E6FE4">
    <w:pPr>
      <w:pBdr>
        <w:top w:val="nil"/>
        <w:left w:val="nil"/>
        <w:bottom w:val="nil"/>
        <w:right w:val="nil"/>
        <w:between w:val="nil"/>
      </w:pBdr>
      <w:tabs>
        <w:tab w:val="center" w:pos="4819"/>
        <w:tab w:val="right" w:pos="9638"/>
      </w:tabs>
      <w:spacing w:line="240" w:lineRule="auto"/>
      <w:ind w:left="0" w:hanging="2"/>
      <w:rPr>
        <w:color w:val="000000"/>
      </w:rPr>
    </w:pPr>
    <w:r>
      <w:rPr>
        <w:noProof/>
        <w:lang w:eastAsia="es-ES" w:bidi="ar-SA"/>
      </w:rPr>
      <w:drawing>
        <wp:anchor distT="0" distB="0" distL="0" distR="0" simplePos="0" relativeHeight="251658240" behindDoc="1" locked="0" layoutInCell="1" hidden="0" allowOverlap="1">
          <wp:simplePos x="0" y="0"/>
          <wp:positionH relativeFrom="column">
            <wp:posOffset>-668019</wp:posOffset>
          </wp:positionH>
          <wp:positionV relativeFrom="paragraph">
            <wp:posOffset>-457199</wp:posOffset>
          </wp:positionV>
          <wp:extent cx="7556500" cy="10693400"/>
          <wp:effectExtent l="0" t="0" r="0" b="0"/>
          <wp:wrapNone/>
          <wp:docPr id="102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556500" cy="10693400"/>
                  </a:xfrm>
                  <a:prstGeom prst="rect">
                    <a:avLst/>
                  </a:prstGeom>
                  <a:ln/>
                </pic:spPr>
              </pic:pic>
            </a:graphicData>
          </a:graphic>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52BAB" w:rsidRDefault="007E6FE4">
    <w:pPr>
      <w:pBdr>
        <w:top w:val="nil"/>
        <w:left w:val="nil"/>
        <w:bottom w:val="nil"/>
        <w:right w:val="nil"/>
        <w:between w:val="nil"/>
      </w:pBdr>
      <w:tabs>
        <w:tab w:val="center" w:pos="4819"/>
        <w:tab w:val="right" w:pos="9638"/>
      </w:tabs>
      <w:spacing w:line="240" w:lineRule="auto"/>
      <w:ind w:left="0" w:hanging="2"/>
      <w:rPr>
        <w:color w:val="000000"/>
      </w:rPr>
    </w:pPr>
    <w:r>
      <w:rPr>
        <w:noProof/>
        <w:lang w:eastAsia="es-ES" w:bidi="ar-SA"/>
      </w:rPr>
      <w:drawing>
        <wp:anchor distT="0" distB="0" distL="114300" distR="114300" simplePos="0" relativeHeight="251659264" behindDoc="0" locked="0" layoutInCell="1" hidden="0" allowOverlap="1">
          <wp:simplePos x="0" y="0"/>
          <wp:positionH relativeFrom="column">
            <wp:posOffset>3811</wp:posOffset>
          </wp:positionH>
          <wp:positionV relativeFrom="paragraph">
            <wp:posOffset>0</wp:posOffset>
          </wp:positionV>
          <wp:extent cx="7562850" cy="10696575"/>
          <wp:effectExtent l="0" t="0" r="0" b="0"/>
          <wp:wrapSquare wrapText="bothSides" distT="0" distB="0" distL="114300" distR="114300"/>
          <wp:docPr id="102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562850" cy="10696575"/>
                  </a:xfrm>
                  <a:prstGeom prst="rect">
                    <a:avLst/>
                  </a:prstGeom>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9D39C4"/>
    <w:multiLevelType w:val="multilevel"/>
    <w:tmpl w:val="B08A0FCA"/>
    <w:lvl w:ilvl="0">
      <w:start w:val="1"/>
      <w:numFmt w:val="bullet"/>
      <w:lvlText w:val="●"/>
      <w:lvlJc w:val="left"/>
      <w:pPr>
        <w:ind w:left="0" w:firstLine="0"/>
      </w:pPr>
      <w:rPr>
        <w:rFonts w:ascii="Noto Sans Symbols" w:eastAsia="Noto Sans Symbols" w:hAnsi="Noto Sans Symbols" w:cs="Noto Sans Symbols"/>
        <w:color w:val="49B766"/>
        <w:u w:val="none"/>
        <w:vertAlign w:val="baseline"/>
      </w:rPr>
    </w:lvl>
    <w:lvl w:ilvl="1">
      <w:start w:val="1"/>
      <w:numFmt w:val="bullet"/>
      <w:lvlText w:val="-"/>
      <w:lvlJc w:val="left"/>
      <w:pPr>
        <w:ind w:left="1095" w:hanging="360"/>
      </w:pPr>
      <w:rPr>
        <w:rFonts w:ascii="Noto Sans Symbols" w:eastAsia="Noto Sans Symbols" w:hAnsi="Noto Sans Symbols" w:cs="Noto Sans Symbols"/>
        <w:u w:val="none"/>
        <w:vertAlign w:val="baseline"/>
      </w:rPr>
    </w:lvl>
    <w:lvl w:ilvl="2">
      <w:start w:val="1"/>
      <w:numFmt w:val="bullet"/>
      <w:lvlText w:val="-"/>
      <w:lvlJc w:val="left"/>
      <w:pPr>
        <w:ind w:left="1815" w:hanging="360"/>
      </w:pPr>
      <w:rPr>
        <w:rFonts w:ascii="Noto Sans Symbols" w:eastAsia="Noto Sans Symbols" w:hAnsi="Noto Sans Symbols" w:cs="Noto Sans Symbols"/>
        <w:u w:val="none"/>
        <w:vertAlign w:val="baseline"/>
      </w:rPr>
    </w:lvl>
    <w:lvl w:ilvl="3">
      <w:start w:val="1"/>
      <w:numFmt w:val="bullet"/>
      <w:lvlText w:val="-"/>
      <w:lvlJc w:val="left"/>
      <w:pPr>
        <w:ind w:left="2535" w:hanging="360"/>
      </w:pPr>
      <w:rPr>
        <w:rFonts w:ascii="Noto Sans Symbols" w:eastAsia="Noto Sans Symbols" w:hAnsi="Noto Sans Symbols" w:cs="Noto Sans Symbols"/>
        <w:u w:val="none"/>
        <w:vertAlign w:val="baseline"/>
      </w:rPr>
    </w:lvl>
    <w:lvl w:ilvl="4">
      <w:start w:val="1"/>
      <w:numFmt w:val="bullet"/>
      <w:lvlText w:val="-"/>
      <w:lvlJc w:val="left"/>
      <w:pPr>
        <w:ind w:left="3255" w:hanging="360"/>
      </w:pPr>
      <w:rPr>
        <w:rFonts w:ascii="Noto Sans Symbols" w:eastAsia="Noto Sans Symbols" w:hAnsi="Noto Sans Symbols" w:cs="Noto Sans Symbols"/>
        <w:u w:val="none"/>
        <w:vertAlign w:val="baseline"/>
      </w:rPr>
    </w:lvl>
    <w:lvl w:ilvl="5">
      <w:start w:val="1"/>
      <w:numFmt w:val="bullet"/>
      <w:lvlText w:val="-"/>
      <w:lvlJc w:val="left"/>
      <w:pPr>
        <w:ind w:left="3975" w:hanging="360"/>
      </w:pPr>
      <w:rPr>
        <w:rFonts w:ascii="Noto Sans Symbols" w:eastAsia="Noto Sans Symbols" w:hAnsi="Noto Sans Symbols" w:cs="Noto Sans Symbols"/>
        <w:u w:val="none"/>
        <w:vertAlign w:val="baseline"/>
      </w:rPr>
    </w:lvl>
    <w:lvl w:ilvl="6">
      <w:start w:val="1"/>
      <w:numFmt w:val="bullet"/>
      <w:lvlText w:val="-"/>
      <w:lvlJc w:val="left"/>
      <w:pPr>
        <w:ind w:left="4695" w:hanging="360"/>
      </w:pPr>
      <w:rPr>
        <w:rFonts w:ascii="Noto Sans Symbols" w:eastAsia="Noto Sans Symbols" w:hAnsi="Noto Sans Symbols" w:cs="Noto Sans Symbols"/>
        <w:u w:val="none"/>
        <w:vertAlign w:val="baseline"/>
      </w:rPr>
    </w:lvl>
    <w:lvl w:ilvl="7">
      <w:start w:val="1"/>
      <w:numFmt w:val="bullet"/>
      <w:lvlText w:val="-"/>
      <w:lvlJc w:val="left"/>
      <w:pPr>
        <w:ind w:left="5415" w:hanging="360"/>
      </w:pPr>
      <w:rPr>
        <w:rFonts w:ascii="Noto Sans Symbols" w:eastAsia="Noto Sans Symbols" w:hAnsi="Noto Sans Symbols" w:cs="Noto Sans Symbols"/>
        <w:u w:val="none"/>
        <w:vertAlign w:val="baseline"/>
      </w:rPr>
    </w:lvl>
    <w:lvl w:ilvl="8">
      <w:start w:val="1"/>
      <w:numFmt w:val="bullet"/>
      <w:lvlText w:val="-"/>
      <w:lvlJc w:val="left"/>
      <w:pPr>
        <w:ind w:left="6135" w:hanging="360"/>
      </w:pPr>
      <w:rPr>
        <w:rFonts w:ascii="Noto Sans Symbols" w:eastAsia="Noto Sans Symbols" w:hAnsi="Noto Sans Symbols" w:cs="Noto Sans Symbols"/>
        <w:u w:val="none"/>
        <w:vertAlign w:val="baseline"/>
      </w:rPr>
    </w:lvl>
  </w:abstractNum>
  <w:abstractNum w:abstractNumId="1" w15:restartNumberingAfterBreak="0">
    <w:nsid w:val="7ECF0CFF"/>
    <w:multiLevelType w:val="multilevel"/>
    <w:tmpl w:val="6DEA1D5E"/>
    <w:lvl w:ilvl="0">
      <w:start w:val="1"/>
      <w:numFmt w:val="bullet"/>
      <w:lvlText w:val="●"/>
      <w:lvlJc w:val="left"/>
      <w:pPr>
        <w:ind w:left="0" w:firstLine="0"/>
      </w:pPr>
      <w:rPr>
        <w:rFonts w:ascii="Noto Sans Symbols" w:eastAsia="Noto Sans Symbols" w:hAnsi="Noto Sans Symbols" w:cs="Noto Sans Symbols"/>
        <w:color w:val="49B766"/>
        <w:u w:val="none"/>
        <w:vertAlign w:val="baseline"/>
      </w:rPr>
    </w:lvl>
    <w:lvl w:ilvl="1">
      <w:start w:val="1"/>
      <w:numFmt w:val="bullet"/>
      <w:lvlText w:val="-"/>
      <w:lvlJc w:val="left"/>
      <w:pPr>
        <w:ind w:left="1095" w:hanging="360"/>
      </w:pPr>
      <w:rPr>
        <w:rFonts w:ascii="Noto Sans Symbols" w:eastAsia="Noto Sans Symbols" w:hAnsi="Noto Sans Symbols" w:cs="Noto Sans Symbols"/>
        <w:u w:val="none"/>
        <w:vertAlign w:val="baseline"/>
      </w:rPr>
    </w:lvl>
    <w:lvl w:ilvl="2">
      <w:start w:val="1"/>
      <w:numFmt w:val="bullet"/>
      <w:lvlText w:val="-"/>
      <w:lvlJc w:val="left"/>
      <w:pPr>
        <w:ind w:left="1815" w:hanging="360"/>
      </w:pPr>
      <w:rPr>
        <w:rFonts w:ascii="Noto Sans Symbols" w:eastAsia="Noto Sans Symbols" w:hAnsi="Noto Sans Symbols" w:cs="Noto Sans Symbols"/>
        <w:u w:val="none"/>
        <w:vertAlign w:val="baseline"/>
      </w:rPr>
    </w:lvl>
    <w:lvl w:ilvl="3">
      <w:start w:val="1"/>
      <w:numFmt w:val="bullet"/>
      <w:lvlText w:val="-"/>
      <w:lvlJc w:val="left"/>
      <w:pPr>
        <w:ind w:left="2535" w:hanging="360"/>
      </w:pPr>
      <w:rPr>
        <w:rFonts w:ascii="Noto Sans Symbols" w:eastAsia="Noto Sans Symbols" w:hAnsi="Noto Sans Symbols" w:cs="Noto Sans Symbols"/>
        <w:u w:val="none"/>
        <w:vertAlign w:val="baseline"/>
      </w:rPr>
    </w:lvl>
    <w:lvl w:ilvl="4">
      <w:start w:val="1"/>
      <w:numFmt w:val="bullet"/>
      <w:lvlText w:val="-"/>
      <w:lvlJc w:val="left"/>
      <w:pPr>
        <w:ind w:left="3255" w:hanging="360"/>
      </w:pPr>
      <w:rPr>
        <w:rFonts w:ascii="Noto Sans Symbols" w:eastAsia="Noto Sans Symbols" w:hAnsi="Noto Sans Symbols" w:cs="Noto Sans Symbols"/>
        <w:u w:val="none"/>
        <w:vertAlign w:val="baseline"/>
      </w:rPr>
    </w:lvl>
    <w:lvl w:ilvl="5">
      <w:start w:val="1"/>
      <w:numFmt w:val="bullet"/>
      <w:lvlText w:val="-"/>
      <w:lvlJc w:val="left"/>
      <w:pPr>
        <w:ind w:left="3975" w:hanging="360"/>
      </w:pPr>
      <w:rPr>
        <w:rFonts w:ascii="Noto Sans Symbols" w:eastAsia="Noto Sans Symbols" w:hAnsi="Noto Sans Symbols" w:cs="Noto Sans Symbols"/>
        <w:u w:val="none"/>
        <w:vertAlign w:val="baseline"/>
      </w:rPr>
    </w:lvl>
    <w:lvl w:ilvl="6">
      <w:start w:val="1"/>
      <w:numFmt w:val="bullet"/>
      <w:lvlText w:val="-"/>
      <w:lvlJc w:val="left"/>
      <w:pPr>
        <w:ind w:left="4695" w:hanging="360"/>
      </w:pPr>
      <w:rPr>
        <w:rFonts w:ascii="Noto Sans Symbols" w:eastAsia="Noto Sans Symbols" w:hAnsi="Noto Sans Symbols" w:cs="Noto Sans Symbols"/>
        <w:u w:val="none"/>
        <w:vertAlign w:val="baseline"/>
      </w:rPr>
    </w:lvl>
    <w:lvl w:ilvl="7">
      <w:start w:val="1"/>
      <w:numFmt w:val="bullet"/>
      <w:lvlText w:val="-"/>
      <w:lvlJc w:val="left"/>
      <w:pPr>
        <w:ind w:left="5415" w:hanging="360"/>
      </w:pPr>
      <w:rPr>
        <w:rFonts w:ascii="Noto Sans Symbols" w:eastAsia="Noto Sans Symbols" w:hAnsi="Noto Sans Symbols" w:cs="Noto Sans Symbols"/>
        <w:u w:val="none"/>
        <w:vertAlign w:val="baseline"/>
      </w:rPr>
    </w:lvl>
    <w:lvl w:ilvl="8">
      <w:start w:val="1"/>
      <w:numFmt w:val="bullet"/>
      <w:lvlText w:val="-"/>
      <w:lvlJc w:val="left"/>
      <w:pPr>
        <w:ind w:left="6135" w:hanging="360"/>
      </w:pPr>
      <w:rPr>
        <w:rFonts w:ascii="Noto Sans Symbols" w:eastAsia="Noto Sans Symbols" w:hAnsi="Noto Sans Symbols" w:cs="Noto Sans Symbols"/>
        <w:u w:val="none"/>
        <w:vertAlign w:val="baseli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2BAB"/>
    <w:rsid w:val="00456709"/>
    <w:rsid w:val="0046460C"/>
    <w:rsid w:val="00652BAB"/>
    <w:rsid w:val="007E6FE4"/>
    <w:rsid w:val="00C44605"/>
    <w:rsid w:val="00DA4C55"/>
    <w:rsid w:val="00F655B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A015F04-DEC5-447C-A6A2-8E855FC2D5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pacing w:line="1" w:lineRule="atLeast"/>
      <w:ind w:leftChars="-1" w:left="-1" w:hangingChars="1" w:hanging="1"/>
      <w:textDirection w:val="btLr"/>
      <w:textAlignment w:val="top"/>
      <w:outlineLvl w:val="0"/>
    </w:pPr>
    <w:rPr>
      <w:position w:val="-1"/>
      <w:lang w:eastAsia="hi-IN" w:bidi="hi-IN"/>
    </w:rPr>
  </w:style>
  <w:style w:type="paragraph" w:styleId="Ttulo1">
    <w:name w:val="heading 1"/>
    <w:basedOn w:val="Normal"/>
    <w:next w:val="Textoindependiente"/>
    <w:pPr>
      <w:keepNext/>
      <w:keepLines/>
      <w:spacing w:before="480" w:after="120" w:line="100" w:lineRule="atLeast"/>
    </w:pPr>
    <w:rPr>
      <w:b/>
      <w:sz w:val="48"/>
      <w:szCs w:val="48"/>
    </w:rPr>
  </w:style>
  <w:style w:type="paragraph" w:styleId="Ttulo2">
    <w:name w:val="heading 2"/>
    <w:basedOn w:val="Normal"/>
    <w:next w:val="Textoindependiente"/>
    <w:pPr>
      <w:keepNext/>
      <w:keepLines/>
      <w:spacing w:before="360" w:after="80" w:line="100" w:lineRule="atLeast"/>
      <w:outlineLvl w:val="1"/>
    </w:pPr>
    <w:rPr>
      <w:b/>
      <w:sz w:val="36"/>
      <w:szCs w:val="36"/>
    </w:rPr>
  </w:style>
  <w:style w:type="paragraph" w:styleId="Ttulo3">
    <w:name w:val="heading 3"/>
    <w:basedOn w:val="Normal"/>
    <w:next w:val="Textoindependiente"/>
    <w:pPr>
      <w:keepNext/>
      <w:keepLines/>
      <w:spacing w:before="280" w:after="80" w:line="100" w:lineRule="atLeast"/>
      <w:outlineLvl w:val="2"/>
    </w:pPr>
    <w:rPr>
      <w:b/>
      <w:sz w:val="28"/>
      <w:szCs w:val="28"/>
    </w:rPr>
  </w:style>
  <w:style w:type="paragraph" w:styleId="Ttulo4">
    <w:name w:val="heading 4"/>
    <w:basedOn w:val="Normal"/>
    <w:next w:val="Textoindependiente"/>
    <w:pPr>
      <w:keepNext/>
      <w:keepLines/>
      <w:spacing w:before="240" w:after="40" w:line="100" w:lineRule="atLeast"/>
      <w:outlineLvl w:val="3"/>
    </w:pPr>
    <w:rPr>
      <w:b/>
      <w:sz w:val="24"/>
      <w:szCs w:val="24"/>
    </w:rPr>
  </w:style>
  <w:style w:type="paragraph" w:styleId="Ttulo5">
    <w:name w:val="heading 5"/>
    <w:basedOn w:val="Normal"/>
    <w:next w:val="Textoindependiente"/>
    <w:pPr>
      <w:keepNext/>
      <w:keepLines/>
      <w:spacing w:before="220" w:after="40" w:line="100" w:lineRule="atLeast"/>
      <w:outlineLvl w:val="4"/>
    </w:pPr>
    <w:rPr>
      <w:b/>
      <w:sz w:val="22"/>
      <w:szCs w:val="22"/>
    </w:rPr>
  </w:style>
  <w:style w:type="paragraph" w:styleId="Ttulo6">
    <w:name w:val="heading 6"/>
    <w:basedOn w:val="Normal"/>
    <w:next w:val="Textoindependiente"/>
    <w:pPr>
      <w:keepNext/>
      <w:keepLines/>
      <w:spacing w:before="200" w:after="40" w:line="100" w:lineRule="atLeast"/>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pPr>
      <w:keepNext/>
      <w:keepLines/>
      <w:spacing w:before="480" w:after="120"/>
    </w:pPr>
    <w:rPr>
      <w:b/>
      <w:sz w:val="72"/>
      <w:szCs w:val="72"/>
    </w:rPr>
  </w:style>
  <w:style w:type="character" w:customStyle="1" w:styleId="ListLabel1">
    <w:name w:val="ListLabel 1"/>
    <w:rPr>
      <w:w w:val="100"/>
      <w:position w:val="-1"/>
      <w:u w:val="none"/>
      <w:effect w:val="none"/>
      <w:vertAlign w:val="baseline"/>
      <w:cs w:val="0"/>
      <w:em w:val="none"/>
    </w:rPr>
  </w:style>
  <w:style w:type="character" w:styleId="Hipervnculo">
    <w:name w:val="Hyperlink"/>
    <w:rPr>
      <w:color w:val="000080"/>
      <w:w w:val="100"/>
      <w:position w:val="-1"/>
      <w:u w:val="single"/>
      <w:effect w:val="none"/>
      <w:vertAlign w:val="baseline"/>
      <w:cs w:val="0"/>
      <w:em w:val="none"/>
    </w:rPr>
  </w:style>
  <w:style w:type="paragraph" w:customStyle="1" w:styleId="Encabezado1">
    <w:name w:val="Encabezado1"/>
    <w:basedOn w:val="Normal"/>
    <w:next w:val="Textoindependiente"/>
    <w:pPr>
      <w:keepNext/>
      <w:spacing w:before="240" w:after="120"/>
    </w:pPr>
    <w:rPr>
      <w:rFonts w:ascii="Arial" w:eastAsia="Microsoft YaHei" w:hAnsi="Arial" w:cs="Lucida Sans"/>
      <w:sz w:val="28"/>
      <w:szCs w:val="28"/>
    </w:rPr>
  </w:style>
  <w:style w:type="paragraph" w:styleId="Textoindependiente">
    <w:name w:val="Body Text"/>
    <w:basedOn w:val="Normal"/>
    <w:pPr>
      <w:spacing w:after="120"/>
    </w:pPr>
  </w:style>
  <w:style w:type="paragraph" w:styleId="Lista">
    <w:name w:val="List"/>
    <w:basedOn w:val="Textoindependiente"/>
  </w:style>
  <w:style w:type="paragraph" w:customStyle="1" w:styleId="Etiqueta">
    <w:name w:val="Etiqueta"/>
    <w:basedOn w:val="Normal"/>
    <w:pPr>
      <w:suppressLineNumbers/>
      <w:spacing w:before="120" w:after="120"/>
    </w:pPr>
    <w:rPr>
      <w:i/>
      <w:iCs/>
      <w:sz w:val="24"/>
      <w:szCs w:val="24"/>
    </w:rPr>
  </w:style>
  <w:style w:type="paragraph" w:customStyle="1" w:styleId="ndice">
    <w:name w:val="Índice"/>
    <w:basedOn w:val="Normal"/>
    <w:pPr>
      <w:suppressLineNumbers/>
    </w:pPr>
  </w:style>
  <w:style w:type="paragraph" w:customStyle="1" w:styleId="Ttulo">
    <w:name w:val="Título"/>
    <w:basedOn w:val="Normal"/>
    <w:next w:val="Subttulo"/>
    <w:pPr>
      <w:keepNext/>
      <w:keepLines/>
      <w:spacing w:before="480" w:after="120" w:line="100" w:lineRule="atLeast"/>
    </w:pPr>
    <w:rPr>
      <w:b/>
      <w:bCs/>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paragraph" w:styleId="Encabezado">
    <w:name w:val="header"/>
    <w:basedOn w:val="Normal"/>
    <w:pPr>
      <w:suppressLineNumbers/>
      <w:tabs>
        <w:tab w:val="center" w:pos="4819"/>
        <w:tab w:val="right" w:pos="9638"/>
      </w:tabs>
    </w:pPr>
  </w:style>
  <w:style w:type="paragraph" w:styleId="Piedepgina">
    <w:name w:val="footer"/>
    <w:basedOn w:val="Normal"/>
    <w:pPr>
      <w:suppressLineNumbers/>
      <w:tabs>
        <w:tab w:val="center" w:pos="4819"/>
        <w:tab w:val="right" w:pos="9638"/>
      </w:tabs>
    </w:pPr>
  </w:style>
  <w:style w:type="paragraph" w:styleId="Textodeglobo">
    <w:name w:val="Balloon Text"/>
    <w:basedOn w:val="Normal"/>
    <w:rPr>
      <w:rFonts w:ascii="Tahoma" w:eastAsia="SimSun" w:hAnsi="Tahoma" w:cs="Tahoma"/>
      <w:sz w:val="16"/>
      <w:szCs w:val="16"/>
    </w:rPr>
  </w:style>
  <w:style w:type="character" w:styleId="Refdenotaalpie">
    <w:name w:val="footnote reference"/>
    <w:rPr>
      <w:w w:val="100"/>
      <w:position w:val="-1"/>
      <w:effect w:val="none"/>
      <w:vertAlign w:val="superscript"/>
      <w:cs w:val="0"/>
      <w:em w:val="none"/>
    </w:rPr>
  </w:style>
  <w:style w:type="character" w:customStyle="1" w:styleId="Caracteresdenotaalpie">
    <w:name w:val="Caracteres de nota al pie"/>
    <w:rPr>
      <w:w w:val="100"/>
      <w:position w:val="-1"/>
      <w:effect w:val="none"/>
      <w:vertAlign w:val="baseline"/>
      <w:cs w:val="0"/>
      <w:em w:val="none"/>
    </w:rPr>
  </w:style>
  <w:style w:type="paragraph" w:styleId="NormalWeb">
    <w:name w:val="Normal (Web)"/>
    <w:basedOn w:val="Normal"/>
    <w:pPr>
      <w:widowControl/>
      <w:suppressAutoHyphens/>
      <w:spacing w:before="100" w:beforeAutospacing="1" w:after="119"/>
    </w:pPr>
    <w:rPr>
      <w:sz w:val="24"/>
      <w:szCs w:val="24"/>
      <w:lang w:eastAsia="es-ES" w:bidi="ar-SA"/>
    </w:rPr>
  </w:style>
  <w:style w:type="paragraph" w:styleId="Textonotapie">
    <w:name w:val="footnote text"/>
    <w:basedOn w:val="Normal"/>
  </w:style>
  <w:style w:type="character" w:styleId="Refdecomentario">
    <w:name w:val="annotation reference"/>
    <w:rPr>
      <w:w w:val="100"/>
      <w:position w:val="-1"/>
      <w:sz w:val="16"/>
      <w:szCs w:val="16"/>
      <w:effect w:val="none"/>
      <w:vertAlign w:val="baseline"/>
      <w:cs w:val="0"/>
      <w:em w:val="none"/>
    </w:rPr>
  </w:style>
  <w:style w:type="paragraph" w:styleId="Textocomentario">
    <w:name w:val="annotation text"/>
    <w:basedOn w:val="Normal"/>
  </w:style>
  <w:style w:type="paragraph" w:styleId="Asuntodelcomentario">
    <w:name w:val="annotation subject"/>
    <w:basedOn w:val="Textocomentario"/>
    <w:next w:val="Textocomentario"/>
    <w:rPr>
      <w:b/>
      <w:bCs/>
    </w:rPr>
  </w:style>
  <w:style w:type="character" w:styleId="Hipervnculovisitado">
    <w:name w:val="FollowedHyperlink"/>
    <w:rPr>
      <w:color w:val="800080"/>
      <w:w w:val="100"/>
      <w:position w:val="-1"/>
      <w:u w:val="single"/>
      <w:effect w:val="none"/>
      <w:vertAlign w:val="baseline"/>
      <w:cs w:val="0"/>
      <w:em w:val="none"/>
    </w:rPr>
  </w:style>
  <w:style w:type="paragraph" w:customStyle="1" w:styleId="general-parrafo-1">
    <w:name w:val="general-parrafo-1"/>
    <w:basedOn w:val="Normal"/>
    <w:pPr>
      <w:widowControl/>
      <w:suppressAutoHyphens/>
      <w:spacing w:before="100" w:beforeAutospacing="1" w:after="100" w:afterAutospacing="1"/>
    </w:pPr>
    <w:rPr>
      <w:sz w:val="24"/>
      <w:szCs w:val="24"/>
      <w:lang w:eastAsia="es-ES" w:bidi="ar-SA"/>
    </w:rPr>
  </w:style>
  <w:style w:type="paragraph" w:customStyle="1" w:styleId="tabla-cabecera-parrafo-1">
    <w:name w:val="tabla-cabecera-parrafo-1"/>
    <w:basedOn w:val="Normal"/>
    <w:pPr>
      <w:widowControl/>
      <w:suppressAutoHyphens/>
      <w:spacing w:before="100" w:beforeAutospacing="1" w:after="100" w:afterAutospacing="1"/>
    </w:pPr>
    <w:rPr>
      <w:sz w:val="24"/>
      <w:szCs w:val="24"/>
      <w:lang w:eastAsia="es-ES" w:bidi="ar-SA"/>
    </w:rPr>
  </w:style>
  <w:style w:type="paragraph" w:customStyle="1" w:styleId="tabla-cuerpo-parrafo-1-izq">
    <w:name w:val="tabla-cuerpo-parrafo-1-izq"/>
    <w:basedOn w:val="Normal"/>
    <w:pPr>
      <w:widowControl/>
      <w:suppressAutoHyphens/>
      <w:spacing w:before="100" w:beforeAutospacing="1" w:after="100" w:afterAutospacing="1"/>
    </w:pPr>
    <w:rPr>
      <w:sz w:val="24"/>
      <w:szCs w:val="24"/>
      <w:lang w:eastAsia="es-ES" w:bidi="ar-SA"/>
    </w:rPr>
  </w:style>
  <w:style w:type="paragraph" w:customStyle="1" w:styleId="tabla-cuerpo-parrafo-1-cent">
    <w:name w:val="tabla-cuerpo-parrafo-1-cent"/>
    <w:basedOn w:val="Normal"/>
    <w:pPr>
      <w:widowControl/>
      <w:suppressAutoHyphens/>
      <w:spacing w:before="100" w:beforeAutospacing="1" w:after="100" w:afterAutospacing="1"/>
    </w:pPr>
    <w:rPr>
      <w:sz w:val="24"/>
      <w:szCs w:val="24"/>
      <w:lang w:eastAsia="es-ES" w:bidi="ar-SA"/>
    </w:rPr>
  </w:style>
  <w:style w:type="character" w:styleId="nfasis">
    <w:name w:val="Emphasis"/>
    <w:rPr>
      <w:i/>
      <w:iCs/>
      <w:w w:val="100"/>
      <w:position w:val="-1"/>
      <w:effect w:val="none"/>
      <w:vertAlign w:val="baseline"/>
      <w:cs w:val="0"/>
      <w:em w:val="none"/>
    </w:rPr>
  </w:style>
  <w:style w:type="table" w:styleId="Tablaconcuadrcula">
    <w:name w:val="Table Grid"/>
    <w:basedOn w:val="Tablanormal"/>
    <w:pPr>
      <w:suppressAutoHyphens/>
      <w:spacing w:line="1" w:lineRule="atLeast"/>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
    <w:basedOn w:val="TableNormal"/>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boe.es/buscar/act.php?id=BOE-A-2004-21760" TargetMode="External"/><Relationship Id="rId18" Type="http://schemas.openxmlformats.org/officeDocument/2006/relationships/hyperlink" Target="https://confilegal.com/20200730-el-tc-exige-a-los-jueces-de-violencia-de-genero-que-hagan-una-instruccion-suficiente-y-eficaz-antes-de-archivar-denuncias/" TargetMode="External"/><Relationship Id="rId26" Type="http://schemas.openxmlformats.org/officeDocument/2006/relationships/hyperlink" Target="https://violenciagenero.igualdad.gob.es/violenciaEnCifras/macroencuesta2015/Macroencuesta2019/home.htm" TargetMode="External"/><Relationship Id="rId39" Type="http://schemas.openxmlformats.org/officeDocument/2006/relationships/hyperlink" Target="https://www.elperiodico.com/es/sociedad/20211113/mitad-victimas-violencia-sexual-catalunya-12845071" TargetMode="External"/><Relationship Id="rId21" Type="http://schemas.openxmlformats.org/officeDocument/2006/relationships/hyperlink" Target="https://www.abc.es/sociedad/abci-juez-no-aprecia-violencia-abuso-sexual-nina-5-anos-porque-no-opuso-resistencia-201703171239_noticia.html" TargetMode="External"/><Relationship Id="rId34" Type="http://schemas.openxmlformats.org/officeDocument/2006/relationships/hyperlink" Target="https://www.elmundo.es/andalucia/sevilla/2019/11/26/5ddcfbcd21efa0ca3c8b462c.html" TargetMode="External"/><Relationship Id="rId42" Type="http://schemas.openxmlformats.org/officeDocument/2006/relationships/image" Target="media/image1.png"/><Relationship Id="rId47" Type="http://schemas.openxmlformats.org/officeDocument/2006/relationships/hyperlink" Target="https://www.fiscal.es/memorias/memoria2021/FISCALIA_SITE/index.html" TargetMode="External"/><Relationship Id="rId50" Type="http://schemas.openxmlformats.org/officeDocument/2006/relationships/hyperlink" Target="https://escueladesalud.castillalamancha.es/sites/escueladesalud.castillalamancha.es/files/easp_nsp_sesgos_genero_nueva_sp_vinculado.pdf" TargetMode="External"/><Relationship Id="rId55" Type="http://schemas.openxmlformats.org/officeDocument/2006/relationships/hyperlink" Target="https://www.comisionadopobrezainfantil.gob.es/sites/default/files/Informe%20monomarentales%20mini.pdf" TargetMode="External"/><Relationship Id="rId63" Type="http://schemas.openxmlformats.org/officeDocument/2006/relationships/hyperlink" Target="https://www.eldiario.es/andalucia/documento-pp-cs-vox-andalucia_1_1504418.html" TargetMode="External"/><Relationship Id="rId68" Type="http://schemas.openxmlformats.org/officeDocument/2006/relationships/hyperlink" Target="https://www.eldiario.es/andalucia/pp-cs-vox-chirinquitos-ideologicos_1_1521192.html" TargetMode="External"/><Relationship Id="rId76" Type="http://schemas.openxmlformats.org/officeDocument/2006/relationships/hyperlink" Target="https://cadenaser.com/ser/2021/02/04/tribunales/1612469233_547425.html" TargetMode="External"/><Relationship Id="rId84" Type="http://schemas.openxmlformats.org/officeDocument/2006/relationships/header" Target="header2.xml"/><Relationship Id="rId89"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hyperlink" Target="https://www.publico.es/politica/supremo-acaba-proceso-judicial-abogados-cristianos-activista-favor-aborto.html" TargetMode="External"/><Relationship Id="rId2" Type="http://schemas.openxmlformats.org/officeDocument/2006/relationships/numbering" Target="numbering.xml"/><Relationship Id="rId16" Type="http://schemas.openxmlformats.org/officeDocument/2006/relationships/hyperlink" Target="https://boe.gob.es/buscar/doc.php?lang=es&amp;id=BOE-A-2019-2975" TargetMode="External"/><Relationship Id="rId29" Type="http://schemas.openxmlformats.org/officeDocument/2006/relationships/hyperlink" Target="https://www.elmundo.es/espana/2021/11/18/619650f521efa001418b45af.html" TargetMode="External"/><Relationship Id="rId11" Type="http://schemas.openxmlformats.org/officeDocument/2006/relationships/hyperlink" Target="https://www.separadasydivorciadas.org/salvemos-al-centro-de-atencion-y-recuperacion-integral-de-mujeres-maltratadas-y-sus-hijas-e-hijos/" TargetMode="External"/><Relationship Id="rId24" Type="http://schemas.openxmlformats.org/officeDocument/2006/relationships/hyperlink" Target="https://www.eldia.es/sociedad/2022/04/05/igualdad-apremia-mejorar-coordinacion-judicial-64665123.html" TargetMode="External"/><Relationship Id="rId32" Type="http://schemas.openxmlformats.org/officeDocument/2006/relationships/hyperlink" Target="https://www.savethechildren.es/sites/default/files/2021-11/Los_abusos_sexuales_hacia_la_infancia_en_ESP.pdf" TargetMode="External"/><Relationship Id="rId37" Type="http://schemas.openxmlformats.org/officeDocument/2006/relationships/hyperlink" Target="https://www.defensordelpueblo.es/wp-content/uploads/2021/06/Informe_2020_MNP.pdf" TargetMode="External"/><Relationship Id="rId40" Type="http://schemas.openxmlformats.org/officeDocument/2006/relationships/hyperlink" Target="https://www.laopiniondemurcia.es/sociedad/2021/11/26/clinic-detecta-violaciones-grupales-han-59998604.html?fbclid=IwAR3PoWrWmiyF3fK7V_1AWdSGXDInbtaiJYujIRiBW_Yc5qH2ckz_lyeBBv8" TargetMode="External"/><Relationship Id="rId45" Type="http://schemas.openxmlformats.org/officeDocument/2006/relationships/hyperlink" Target="https://youtu.be/UplFAehI6po" TargetMode="External"/><Relationship Id="rId53" Type="http://schemas.openxmlformats.org/officeDocument/2006/relationships/hyperlink" Target="https://ine.es/dyngs/INEbase/es/operacion.htm?c=Estadistica_C&amp;cid=1254736177025&amp;menu=ultiDatos&amp;idp=1254735976596" TargetMode="External"/><Relationship Id="rId58" Type="http://schemas.openxmlformats.org/officeDocument/2006/relationships/hyperlink" Target="https://www.ine.es/prensa/ees_2019.pdf" TargetMode="External"/><Relationship Id="rId66" Type="http://schemas.openxmlformats.org/officeDocument/2006/relationships/hyperlink" Target="https://www.publico.es/politica/almeida-elimina-direccion-general-igualdad-ayuntamiento-madrid.html" TargetMode="External"/><Relationship Id="rId74" Type="http://schemas.openxmlformats.org/officeDocument/2006/relationships/hyperlink" Target="https://www.eldiario.es/opinion/zona-critica/juicio-cono-insumiso-sentencia-absuelve_129_1314233.html" TargetMode="External"/><Relationship Id="rId79" Type="http://schemas.openxmlformats.org/officeDocument/2006/relationships/hyperlink" Target="https://tribunafeminista.org/2019/07/las-1-000-primeras-firmas-en-24-horas-en-defensa-del-feminismo/" TargetMode="External"/><Relationship Id="rId87" Type="http://schemas.openxmlformats.org/officeDocument/2006/relationships/header" Target="header3.xml"/><Relationship Id="rId5" Type="http://schemas.openxmlformats.org/officeDocument/2006/relationships/webSettings" Target="webSettings.xml"/><Relationship Id="rId61" Type="http://schemas.openxmlformats.org/officeDocument/2006/relationships/hyperlink" Target="https://www.oecd.org/dac/effectiveness/49650200.pdf" TargetMode="External"/><Relationship Id="rId82" Type="http://schemas.openxmlformats.org/officeDocument/2006/relationships/hyperlink" Target="https://www.poderjudicial.es/stfls/CGPJ/COMISI%C3%93N%20DE%20ESTUDIOS%20E%20INFORMES/INFORMES%20DE%20LEY/FICHERO/20220420%20Informe%20al%20proyecto%20Ley%20igualdad%20personas%20trans%20y%20garant%C3%ADa%20derechos%20personas%20LGTBI%20v2.pdf" TargetMode="External"/><Relationship Id="rId90" Type="http://schemas.openxmlformats.org/officeDocument/2006/relationships/theme" Target="theme/theme1.xml"/><Relationship Id="rId19" Type="http://schemas.openxmlformats.org/officeDocument/2006/relationships/hyperlink" Target="https://www.poderjudicial.es/cgpj/es/Temas/Estadistica-Judicial/Estadistica-por-temas/Datos-penales--civiles-y-laborales/Violencia-domestica-y-Violencia-de-genero/Datos-sobre-Violencia-sobre-la-mujer-en-la-estadistica-del-CGPJ/" TargetMode="External"/><Relationship Id="rId4" Type="http://schemas.openxmlformats.org/officeDocument/2006/relationships/settings" Target="settings.xml"/><Relationship Id="rId9" Type="http://schemas.openxmlformats.org/officeDocument/2006/relationships/hyperlink" Target="https://www.juntadeandalucia.es/boja/2020/228/12.html" TargetMode="External"/><Relationship Id="rId14" Type="http://schemas.openxmlformats.org/officeDocument/2006/relationships/hyperlink" Target="https://ws097.juntadeandalucia.es/ventanilla/index.php/iframe/?url=https://juntadeandalucia.es/boja/2021/38/36" TargetMode="External"/><Relationship Id="rId22" Type="http://schemas.openxmlformats.org/officeDocument/2006/relationships/hyperlink" Target="https://www.pikaramagazine.com/2021/05/dos-anos-del-caso-infancia-libre-mas-unidad-entre-afectadas-pero-mas-dureza-institucional/" TargetMode="External"/><Relationship Id="rId27" Type="http://schemas.openxmlformats.org/officeDocument/2006/relationships/hyperlink" Target="http://riberdis.cedid.es/bitstream/handle/11181/6218/La_violencia_contra_las_mujeres_con_discapacidad.pdf?sequence=1&amp;rd=003187550140378" TargetMode="External"/><Relationship Id="rId30" Type="http://schemas.openxmlformats.org/officeDocument/2006/relationships/hyperlink" Target="https://www.elmundo.es/espana/2021/11/18/619650f521efa001418b45af.html" TargetMode="External"/><Relationship Id="rId35" Type="http://schemas.openxmlformats.org/officeDocument/2006/relationships/hyperlink" Target="http://www.interior.gob.es/web/archivos-y-documentacion/informe-sobre-la-cibercriminalidad-en-espana" TargetMode="External"/><Relationship Id="rId43" Type="http://schemas.openxmlformats.org/officeDocument/2006/relationships/image" Target="media/image2.png"/><Relationship Id="rId48" Type="http://schemas.openxmlformats.org/officeDocument/2006/relationships/hyperlink" Target="https://www.fiscal.es/memorias/memoria2021/FISCALIA_SITE/index.html" TargetMode="External"/><Relationship Id="rId56" Type="http://schemas.openxmlformats.org/officeDocument/2006/relationships/hyperlink" Target="https://violenciagenero.igualdad.gob.es/violenciaEnCifras/estudios/investigaciones/2021/pdfs/estudioacososexual1.pdf" TargetMode="External"/><Relationship Id="rId64" Type="http://schemas.openxmlformats.org/officeDocument/2006/relationships/hyperlink" Target="https://www.eldiario.es/andalucia/documento-pp-cs-vox-andalucia_1_1504418.html" TargetMode="External"/><Relationship Id="rId69" Type="http://schemas.openxmlformats.org/officeDocument/2006/relationships/hyperlink" Target="https://elcomun.es/2020/03/09/grupos-de-transactivistas-agreden-a-feministas-abolicionistas-en-barcelona-y-madrid/" TargetMode="External"/><Relationship Id="rId77" Type="http://schemas.openxmlformats.org/officeDocument/2006/relationships/hyperlink" Target="https://cadenaser.com/ser/2021/02/04/tribunales/1612469233_547425.html" TargetMode="External"/><Relationship Id="rId8" Type="http://schemas.openxmlformats.org/officeDocument/2006/relationships/hyperlink" Target="https://violenciagenero.igualdad.gob.es/pactoEstado/docs/Documento_Refundido_PEVG_2.pdf" TargetMode="External"/><Relationship Id="rId51" Type="http://schemas.openxmlformats.org/officeDocument/2006/relationships/hyperlink" Target="https://www.sanidad.gob.es/organizacion/sns/planCalidadSNS/pdf/equidad/Protocolo_MGF_vers5feb2015.pdf" TargetMode="External"/><Relationship Id="rId72" Type="http://schemas.openxmlformats.org/officeDocument/2006/relationships/hyperlink" Target="https://www.publico.es/sociedad/cono-insumiso-claves-juicio-cono-insumiso-jueves-ve-juzgado-sevilla.html" TargetMode="External"/><Relationship Id="rId80" Type="http://schemas.openxmlformats.org/officeDocument/2006/relationships/hyperlink" Target="https://tribunafeminista.org/2019/07/las-1-000-primeras-firmas-en-24-horas-en-defensa-del-feminismo/" TargetMode="External"/><Relationship Id="rId85" Type="http://schemas.openxmlformats.org/officeDocument/2006/relationships/footer" Target="footer1.xml"/><Relationship Id="rId3" Type="http://schemas.openxmlformats.org/officeDocument/2006/relationships/styles" Target="styles.xml"/><Relationship Id="rId12" Type="http://schemas.openxmlformats.org/officeDocument/2006/relationships/hyperlink" Target="https://www.boe.es/buscar/doc.php?id=BOE-A-2018-11135" TargetMode="External"/><Relationship Id="rId17" Type="http://schemas.openxmlformats.org/officeDocument/2006/relationships/hyperlink" Target="https://www.boe.es/buscar/doc.php?id=BOE-A-2018-17988" TargetMode="External"/><Relationship Id="rId25" Type="http://schemas.openxmlformats.org/officeDocument/2006/relationships/hyperlink" Target="https://www.womenslinkworldwide.org/files/3045/sentencia-angela-tribunal-supremo.pdf" TargetMode="External"/><Relationship Id="rId33" Type="http://schemas.openxmlformats.org/officeDocument/2006/relationships/hyperlink" Target="https://okdiario.com/baleares/estos-son-casos-abusos-menores-baleares-que-mision-europea-investigara-armengol-8592487" TargetMode="External"/><Relationship Id="rId38" Type="http://schemas.openxmlformats.org/officeDocument/2006/relationships/hyperlink" Target="https://www.fad.es/wp-content/uploads/2021/09/PresentacionBarometroGenero_290921.pptx.pdf" TargetMode="External"/><Relationship Id="rId46" Type="http://schemas.openxmlformats.org/officeDocument/2006/relationships/hyperlink" Target="https://www.ine.es/dyngs/ODS/es/indicador.htm?id=5281" TargetMode="External"/><Relationship Id="rId59" Type="http://schemas.openxmlformats.org/officeDocument/2006/relationships/hyperlink" Target="https://tbinternet.ohchr.org/Treaties/CEDAW/Shared%20Documents/1_Global/INT_CEDAW_GEC_4736_S.pdf" TargetMode="External"/><Relationship Id="rId67" Type="http://schemas.openxmlformats.org/officeDocument/2006/relationships/hyperlink" Target="https://www.huffingtonpost.es/entry/manifiesto-agresiones-feministas_es_5fe0f410c5b607e6348d2f25" TargetMode="External"/><Relationship Id="rId20" Type="http://schemas.openxmlformats.org/officeDocument/2006/relationships/hyperlink" Target="https://mujeresjuristasthemis.org/phocadownload/DEFINITIVO_SEGUNDO_INFORME_COPA_PERSPECTIVA_FEMINISTA_JURIDICA_PSICOLOGICA_08_03_2021.pdf" TargetMode="External"/><Relationship Id="rId41" Type="http://schemas.openxmlformats.org/officeDocument/2006/relationships/hyperlink" Target="https://www.defensordelpueblo.es/wp-content/uploads/2022/03/Informe_anual_2021.pdf" TargetMode="External"/><Relationship Id="rId54" Type="http://schemas.openxmlformats.org/officeDocument/2006/relationships/hyperlink" Target="https://www.elsaltodiario.com/trabajo-domestico/empleadas-domesticas-abuso-sexual-incidencia-vulnerabilidad" TargetMode="External"/><Relationship Id="rId62" Type="http://schemas.openxmlformats.org/officeDocument/2006/relationships/hyperlink" Target="https://21a29bf8-528b-4043-b9dc-caa23e5a1907.usrfiles.com/ugd/21a29b_28465aa1649c4f35aa726fa18146e7d4.pdf" TargetMode="External"/><Relationship Id="rId70" Type="http://schemas.openxmlformats.org/officeDocument/2006/relationships/hyperlink" Target="https://www.elespanol.com/mujer/actualidad/20210301/rtve-disculpa-insultos-colaborador-feministas-ley-trans/562694913_0.html" TargetMode="External"/><Relationship Id="rId75" Type="http://schemas.openxmlformats.org/officeDocument/2006/relationships/hyperlink" Target="https://www.eldiario.es/andalucia/malaga/absolucion-cono-insumiso-condena-chumino-rebelde-jueces-discrepan-procesiones-satiricas-reforma-ley-aborto_1_6457505.html" TargetMode="External"/><Relationship Id="rId83" Type="http://schemas.openxmlformats.org/officeDocument/2006/relationships/header" Target="header1.xml"/><Relationship Id="rId88"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boe.es/diario_boe/txt.php?id=BOE-A-2015-8222" TargetMode="External"/><Relationship Id="rId23" Type="http://schemas.openxmlformats.org/officeDocument/2006/relationships/hyperlink" Target="https://www.publico.es/sociedad/justicia-sigue-obligando-menores-visitar-padres-condenados-violencia-genero.html" TargetMode="External"/><Relationship Id="rId28" Type="http://schemas.openxmlformats.org/officeDocument/2006/relationships/hyperlink" Target="https://www.elmundo.es/espana/2021/11/18/619650f521efa001418b45af.html" TargetMode="External"/><Relationship Id="rId36" Type="http://schemas.openxmlformats.org/officeDocument/2006/relationships/hyperlink" Target="https://bit.ly/3mLZWmx" TargetMode="External"/><Relationship Id="rId49" Type="http://schemas.openxmlformats.org/officeDocument/2006/relationships/hyperlink" Target="https://www.accem.es/wp-content/uploads/2019/12/EstudioEtnograficoSituacionLGTBIMigranteSalud-2019-1.pdf" TargetMode="External"/><Relationship Id="rId57" Type="http://schemas.openxmlformats.org/officeDocument/2006/relationships/image" Target="media/image3.png"/><Relationship Id="rId10" Type="http://schemas.openxmlformats.org/officeDocument/2006/relationships/hyperlink" Target="https://www.eldiario.es/catalunya/unica-entidad-catalana-atiende-gratis-victimas-agresion-sexual-cierra-falta-ayudas-publicas_1_9037529.html" TargetMode="External"/><Relationship Id="rId31" Type="http://schemas.openxmlformats.org/officeDocument/2006/relationships/hyperlink" Target="https://www.elmundo.es/espana/2021/11/18/619650f521efa001418b45af.html" TargetMode="External"/><Relationship Id="rId44" Type="http://schemas.openxmlformats.org/officeDocument/2006/relationships/hyperlink" Target="https://www.fiscal.es/" TargetMode="External"/><Relationship Id="rId52" Type="http://schemas.openxmlformats.org/officeDocument/2006/relationships/hyperlink" Target="https://violenciagenero.igualdad.gob.es/violenciaEnCifras/estudios/investigaciones/2020/pdfs/Estudio_MGF.pdf" TargetMode="External"/><Relationship Id="rId60" Type="http://schemas.openxmlformats.org/officeDocument/2006/relationships/hyperlink" Target="https://tapnetwork2030.org/wp-content/uploads/2019/05/Rome-Civil-Society-Declaration-on-SDG16-FINAL.pdf" TargetMode="External"/><Relationship Id="rId65" Type="http://schemas.openxmlformats.org/officeDocument/2006/relationships/hyperlink" Target="https://www.eldiario.es/andalucia/documento-pp-cs-vox-andalucia_1_1504418.html" TargetMode="External"/><Relationship Id="rId73" Type="http://schemas.openxmlformats.org/officeDocument/2006/relationships/hyperlink" Target="https://www.eldiario.es/opinion/zona-critica/juicio-cono-insumiso-sentencia-absuelve_129_1314233.html" TargetMode="External"/><Relationship Id="rId78" Type="http://schemas.openxmlformats.org/officeDocument/2006/relationships/hyperlink" Target="https://tribunafeminista.org/2019/07/las-1-000-primeras-firmas-en-24-horas-en-defensa-del-feminismo/" TargetMode="External"/><Relationship Id="rId81" Type="http://schemas.openxmlformats.org/officeDocument/2006/relationships/hyperlink" Target="https://www.ultimahora.es/noticias/local/2022/04/07/1719721/polemica-uib-por-conferencia-sobre-transexualidad.html" TargetMode="External"/><Relationship Id="rId86" Type="http://schemas.openxmlformats.org/officeDocument/2006/relationships/footer" Target="footer2.xml"/></Relationships>
</file>

<file path=word/_rels/footnotes.xml.rels><?xml version="1.0" encoding="UTF-8" standalone="yes"?>
<Relationships xmlns="http://schemas.openxmlformats.org/package/2006/relationships"><Relationship Id="rId2" Type="http://schemas.openxmlformats.org/officeDocument/2006/relationships/hyperlink" Target="https://issuu.com/clambertucci/docs/propuesta-vox-andalucia/4" TargetMode="External"/><Relationship Id="rId1" Type="http://schemas.openxmlformats.org/officeDocument/2006/relationships/hyperlink" Target="https://issuu.com/clambertucci/docs/propuesta-vox-andalucia/4"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gNDuhptY0t7Qn3qmvV+6ExUEIqiQ==">AMUW2mVhMG2C+BqjkpQzdM3O3Bhapnf007BNPcGifOwIxeJxqqDUAmR4XP15nAqZ/5/gSDK6u8fxeYu1avUiXQwy7H1wJPHfn2Zu99MUOZ2gkHWyzVlJhEcDu/aluEFt65/Qq8pUd4jp</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1</Pages>
  <Words>7505</Words>
  <Characters>41283</Characters>
  <Application>Microsoft Office Word</Application>
  <DocSecurity>0</DocSecurity>
  <Lines>344</Lines>
  <Paragraphs>97</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48691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CEIM</dc:creator>
  <cp:lastModifiedBy>Usuario</cp:lastModifiedBy>
  <cp:revision>5</cp:revision>
  <dcterms:created xsi:type="dcterms:W3CDTF">2022-09-13T17:23:00Z</dcterms:created>
  <dcterms:modified xsi:type="dcterms:W3CDTF">2023-05-04T16:21:00Z</dcterms:modified>
</cp:coreProperties>
</file>