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C10FE0" w14:textId="2ECBF437" w:rsidR="00D8375D" w:rsidRPr="00D17EE0" w:rsidRDefault="00D8375D" w:rsidP="00D17EE0">
      <w:pPr>
        <w:jc w:val="both"/>
        <w:rPr>
          <w:rFonts w:ascii="Times New Roman" w:hAnsi="Times New Roman" w:cs="Times New Roman"/>
          <w:sz w:val="20"/>
          <w:szCs w:val="20"/>
        </w:rPr>
      </w:pPr>
    </w:p>
    <w:p w14:paraId="123766CD" w14:textId="77777777" w:rsidR="00D8375D" w:rsidRPr="00D17EE0" w:rsidRDefault="00D8375D" w:rsidP="00D17EE0">
      <w:pPr>
        <w:jc w:val="both"/>
        <w:rPr>
          <w:rFonts w:ascii="Times New Roman" w:hAnsi="Times New Roman" w:cs="Times New Roman"/>
          <w:sz w:val="20"/>
          <w:szCs w:val="20"/>
        </w:rPr>
      </w:pPr>
    </w:p>
    <w:tbl>
      <w:tblPr>
        <w:tblStyle w:val="Tablaconcuadrcula"/>
        <w:tblW w:w="10530" w:type="dxa"/>
        <w:tblInd w:w="-725" w:type="dxa"/>
        <w:tblLook w:val="04A0" w:firstRow="1" w:lastRow="0" w:firstColumn="1" w:lastColumn="0" w:noHBand="0" w:noVBand="1"/>
      </w:tblPr>
      <w:tblGrid>
        <w:gridCol w:w="1620"/>
        <w:gridCol w:w="8910"/>
      </w:tblGrid>
      <w:tr w:rsidR="00CA6CA3" w:rsidRPr="00CB67B3" w14:paraId="62AF12BB" w14:textId="77777777" w:rsidTr="00D17EE0">
        <w:tc>
          <w:tcPr>
            <w:tcW w:w="1620" w:type="dxa"/>
            <w:shd w:val="clear" w:color="auto" w:fill="B4C6E7" w:themeFill="accent1" w:themeFillTint="66"/>
          </w:tcPr>
          <w:p w14:paraId="07FADC57" w14:textId="023359D0" w:rsidR="00D8375D" w:rsidRPr="00CB67B3" w:rsidRDefault="00D8375D" w:rsidP="00D17EE0">
            <w:pPr>
              <w:jc w:val="center"/>
              <w:rPr>
                <w:rFonts w:ascii="Times New Roman" w:hAnsi="Times New Roman" w:cs="Times New Roman"/>
                <w:b/>
                <w:bCs/>
                <w:sz w:val="20"/>
                <w:szCs w:val="20"/>
              </w:rPr>
            </w:pPr>
            <w:r w:rsidRPr="00CB67B3">
              <w:rPr>
                <w:rFonts w:ascii="Times New Roman" w:hAnsi="Times New Roman" w:cs="Times New Roman"/>
                <w:b/>
                <w:bCs/>
                <w:sz w:val="20"/>
                <w:szCs w:val="20"/>
              </w:rPr>
              <w:t>Sentencia de Corte Constitucional</w:t>
            </w:r>
          </w:p>
        </w:tc>
        <w:tc>
          <w:tcPr>
            <w:tcW w:w="8910" w:type="dxa"/>
            <w:shd w:val="clear" w:color="auto" w:fill="B4C6E7" w:themeFill="accent1" w:themeFillTint="66"/>
          </w:tcPr>
          <w:p w14:paraId="3DE3AEA0" w14:textId="46283A58" w:rsidR="00D8375D" w:rsidRPr="00CB67B3" w:rsidRDefault="00D8375D" w:rsidP="00D17EE0">
            <w:pPr>
              <w:jc w:val="center"/>
              <w:rPr>
                <w:rFonts w:ascii="Times New Roman" w:hAnsi="Times New Roman" w:cs="Times New Roman"/>
                <w:b/>
                <w:bCs/>
                <w:sz w:val="20"/>
                <w:szCs w:val="20"/>
              </w:rPr>
            </w:pPr>
            <w:r w:rsidRPr="00CB67B3">
              <w:rPr>
                <w:rFonts w:ascii="Times New Roman" w:hAnsi="Times New Roman" w:cs="Times New Roman"/>
                <w:b/>
                <w:bCs/>
                <w:sz w:val="20"/>
                <w:szCs w:val="20"/>
              </w:rPr>
              <w:t>Temas tratados</w:t>
            </w:r>
          </w:p>
        </w:tc>
      </w:tr>
      <w:tr w:rsidR="00CA6CA3" w:rsidRPr="00CB67B3" w14:paraId="4FD70D4C" w14:textId="77777777" w:rsidTr="00D17EE0">
        <w:tc>
          <w:tcPr>
            <w:tcW w:w="1620" w:type="dxa"/>
          </w:tcPr>
          <w:p w14:paraId="5E122180" w14:textId="2EFC8AAC" w:rsidR="00D8375D" w:rsidRPr="00CB67B3" w:rsidRDefault="00D8375D" w:rsidP="00D17EE0">
            <w:pPr>
              <w:jc w:val="both"/>
              <w:rPr>
                <w:rFonts w:ascii="Times New Roman" w:hAnsi="Times New Roman" w:cs="Times New Roman"/>
                <w:sz w:val="20"/>
                <w:szCs w:val="20"/>
              </w:rPr>
            </w:pPr>
            <w:r w:rsidRPr="00CB67B3">
              <w:rPr>
                <w:rFonts w:ascii="Times New Roman" w:hAnsi="Times New Roman" w:cs="Times New Roman"/>
                <w:sz w:val="20"/>
                <w:szCs w:val="20"/>
              </w:rPr>
              <w:t>Sentencia 9-17-CN/19, de 9 de julio de 2019. </w:t>
            </w:r>
          </w:p>
          <w:p w14:paraId="5CDDC5E7" w14:textId="77777777" w:rsidR="00D8375D" w:rsidRPr="00CB67B3" w:rsidRDefault="00D8375D" w:rsidP="00D17EE0">
            <w:pPr>
              <w:jc w:val="both"/>
              <w:rPr>
                <w:rFonts w:ascii="Times New Roman" w:hAnsi="Times New Roman" w:cs="Times New Roman"/>
                <w:sz w:val="20"/>
                <w:szCs w:val="20"/>
              </w:rPr>
            </w:pPr>
          </w:p>
          <w:p w14:paraId="72E63B75" w14:textId="77777777" w:rsidR="00D8375D" w:rsidRPr="00CB67B3" w:rsidRDefault="00D8375D" w:rsidP="00D17EE0">
            <w:pPr>
              <w:jc w:val="both"/>
              <w:rPr>
                <w:rFonts w:ascii="Times New Roman" w:hAnsi="Times New Roman" w:cs="Times New Roman"/>
                <w:sz w:val="20"/>
                <w:szCs w:val="20"/>
              </w:rPr>
            </w:pPr>
          </w:p>
          <w:p w14:paraId="716E6B45" w14:textId="64CBA0D7" w:rsidR="00D8375D" w:rsidRPr="00CB67B3" w:rsidRDefault="00D8375D" w:rsidP="00D17EE0">
            <w:pPr>
              <w:jc w:val="both"/>
              <w:rPr>
                <w:rFonts w:ascii="Times New Roman" w:hAnsi="Times New Roman" w:cs="Times New Roman"/>
                <w:sz w:val="20"/>
                <w:szCs w:val="20"/>
              </w:rPr>
            </w:pPr>
          </w:p>
        </w:tc>
        <w:tc>
          <w:tcPr>
            <w:tcW w:w="8910" w:type="dxa"/>
          </w:tcPr>
          <w:p w14:paraId="35FDCCFA" w14:textId="154988E0" w:rsidR="00D8375D" w:rsidRPr="00CB67B3" w:rsidRDefault="00D8375D" w:rsidP="00D17EE0">
            <w:pPr>
              <w:jc w:val="both"/>
              <w:rPr>
                <w:rFonts w:ascii="Times New Roman" w:hAnsi="Times New Roman" w:cs="Times New Roman"/>
                <w:sz w:val="20"/>
                <w:szCs w:val="20"/>
              </w:rPr>
            </w:pPr>
            <w:r w:rsidRPr="00CB67B3">
              <w:rPr>
                <w:rFonts w:ascii="Times New Roman" w:hAnsi="Times New Roman" w:cs="Times New Roman"/>
                <w:sz w:val="20"/>
                <w:szCs w:val="20"/>
              </w:rPr>
              <w:t>Respecto del principio de especialidad relativo a los derechos de NNA, el cual se encuentra previsto en el art. 40 de la Convención de los Derechos del Niño y que alude a que los estados deben crear leyes, procedimientos y órganos especializados para NNA, la CC desarrolló temas relacionados con la justicia especializada para adolescentes infractores y señaló que existe la obligación del Estado de “organizar una justicia especializada para adolescentes infractores, diferenciada de la justicia de niñez y adolescencia que protege derechos y de la justicia penal de adultos”.</w:t>
            </w:r>
          </w:p>
          <w:p w14:paraId="34162004" w14:textId="1E336D88" w:rsidR="00D8375D" w:rsidRPr="00CB67B3" w:rsidRDefault="00D8375D" w:rsidP="00D17EE0">
            <w:pPr>
              <w:jc w:val="both"/>
              <w:rPr>
                <w:rFonts w:ascii="Times New Roman" w:hAnsi="Times New Roman" w:cs="Times New Roman"/>
                <w:sz w:val="20"/>
                <w:szCs w:val="20"/>
              </w:rPr>
            </w:pPr>
          </w:p>
        </w:tc>
      </w:tr>
      <w:tr w:rsidR="00CA6CA3" w:rsidRPr="00CB67B3" w14:paraId="4F6B23D8" w14:textId="77777777" w:rsidTr="00D17EE0">
        <w:tc>
          <w:tcPr>
            <w:tcW w:w="1620" w:type="dxa"/>
          </w:tcPr>
          <w:p w14:paraId="08260045" w14:textId="589F3941" w:rsidR="00D8375D" w:rsidRPr="00CB67B3" w:rsidRDefault="00D8375D" w:rsidP="00D17EE0">
            <w:pPr>
              <w:jc w:val="both"/>
              <w:rPr>
                <w:rFonts w:ascii="Times New Roman" w:hAnsi="Times New Roman" w:cs="Times New Roman"/>
                <w:sz w:val="20"/>
                <w:szCs w:val="20"/>
              </w:rPr>
            </w:pPr>
            <w:r w:rsidRPr="00CB67B3">
              <w:rPr>
                <w:rFonts w:ascii="Times New Roman" w:hAnsi="Times New Roman" w:cs="Times New Roman"/>
                <w:sz w:val="20"/>
                <w:szCs w:val="20"/>
              </w:rPr>
              <w:t xml:space="preserve">Sentencia 207-11-JH/20, de 22 de julio de 2020. </w:t>
            </w:r>
          </w:p>
        </w:tc>
        <w:tc>
          <w:tcPr>
            <w:tcW w:w="8910" w:type="dxa"/>
          </w:tcPr>
          <w:p w14:paraId="34E4FA82" w14:textId="7179CAC1" w:rsidR="00D8375D" w:rsidRPr="00CB67B3" w:rsidRDefault="00D8375D" w:rsidP="00D17EE0">
            <w:pPr>
              <w:jc w:val="both"/>
              <w:rPr>
                <w:rFonts w:ascii="Times New Roman" w:hAnsi="Times New Roman" w:cs="Times New Roman"/>
                <w:sz w:val="20"/>
                <w:szCs w:val="20"/>
              </w:rPr>
            </w:pPr>
            <w:r w:rsidRPr="00CB67B3">
              <w:rPr>
                <w:rFonts w:ascii="Times New Roman" w:hAnsi="Times New Roman" w:cs="Times New Roman"/>
                <w:sz w:val="20"/>
                <w:szCs w:val="20"/>
              </w:rPr>
              <w:t>La Corte estableció estándares a ser observados en los procesos de juzgamiento de adolescentes infractores y señaló que: “los operadores de justicia deben aplicar el principio del interés superior del niño y la doctrina de la protección integral como principios rectores respecto de cualquier decisión o medida adoptada en relación con los adolescentes en conflicto con la ley penal”.</w:t>
            </w:r>
          </w:p>
        </w:tc>
      </w:tr>
      <w:tr w:rsidR="00CA6CA3" w:rsidRPr="00CB67B3" w14:paraId="0AFBCE37" w14:textId="77777777" w:rsidTr="00D17EE0">
        <w:tc>
          <w:tcPr>
            <w:tcW w:w="1620" w:type="dxa"/>
          </w:tcPr>
          <w:p w14:paraId="5C4AEE68" w14:textId="3754666B" w:rsidR="00D8375D" w:rsidRPr="00CB67B3" w:rsidRDefault="00C308C9" w:rsidP="00D17EE0">
            <w:pPr>
              <w:jc w:val="both"/>
              <w:rPr>
                <w:rFonts w:ascii="Times New Roman" w:hAnsi="Times New Roman" w:cs="Times New Roman"/>
                <w:sz w:val="20"/>
                <w:szCs w:val="20"/>
              </w:rPr>
            </w:pPr>
            <w:r w:rsidRPr="00CB67B3">
              <w:rPr>
                <w:rFonts w:ascii="Times New Roman" w:hAnsi="Times New Roman" w:cs="Times New Roman"/>
                <w:sz w:val="20"/>
                <w:szCs w:val="20"/>
              </w:rPr>
              <w:t>Sentencia 9-19-CN/21, de 02 de junio de 2021.</w:t>
            </w:r>
          </w:p>
        </w:tc>
        <w:tc>
          <w:tcPr>
            <w:tcW w:w="8910" w:type="dxa"/>
          </w:tcPr>
          <w:p w14:paraId="1CF5ADBD" w14:textId="77777777" w:rsidR="00C308C9" w:rsidRPr="00CB67B3" w:rsidRDefault="00C308C9" w:rsidP="00D17EE0">
            <w:pPr>
              <w:jc w:val="both"/>
              <w:rPr>
                <w:rFonts w:ascii="Times New Roman" w:hAnsi="Times New Roman" w:cs="Times New Roman"/>
                <w:sz w:val="20"/>
                <w:szCs w:val="20"/>
              </w:rPr>
            </w:pPr>
            <w:r w:rsidRPr="00CB67B3">
              <w:rPr>
                <w:rFonts w:ascii="Times New Roman" w:hAnsi="Times New Roman" w:cs="Times New Roman"/>
                <w:sz w:val="20"/>
                <w:szCs w:val="20"/>
              </w:rPr>
              <w:t>En esta sentencia se ratificaron los criterios establecidos en la sentencia anterior. Se agregó que el Consejo de la Judicatura debe contar con un número suficiente de juzgadores especializados en justicia para adolescentes infractores, incluso en los casos de flagrancia.</w:t>
            </w:r>
          </w:p>
          <w:p w14:paraId="41A8FCEC" w14:textId="5EB5B54B" w:rsidR="00D8375D" w:rsidRPr="00CB67B3" w:rsidRDefault="00C308C9" w:rsidP="00D17EE0">
            <w:pPr>
              <w:jc w:val="both"/>
              <w:rPr>
                <w:rFonts w:ascii="Times New Roman" w:hAnsi="Times New Roman" w:cs="Times New Roman"/>
                <w:sz w:val="20"/>
                <w:szCs w:val="20"/>
              </w:rPr>
            </w:pPr>
            <w:r w:rsidRPr="00CB67B3">
              <w:rPr>
                <w:rFonts w:ascii="Times New Roman" w:hAnsi="Times New Roman" w:cs="Times New Roman"/>
                <w:sz w:val="20"/>
                <w:szCs w:val="20"/>
              </w:rPr>
              <w:br/>
            </w:r>
          </w:p>
        </w:tc>
      </w:tr>
      <w:tr w:rsidR="00CA6CA3" w:rsidRPr="00CB67B3" w14:paraId="28606257" w14:textId="77777777" w:rsidTr="00D17EE0">
        <w:tc>
          <w:tcPr>
            <w:tcW w:w="1620" w:type="dxa"/>
          </w:tcPr>
          <w:p w14:paraId="7922DDB5" w14:textId="4461E371" w:rsidR="00D8375D" w:rsidRPr="00CB67B3" w:rsidRDefault="009A4E13" w:rsidP="00D17EE0">
            <w:pPr>
              <w:jc w:val="both"/>
              <w:rPr>
                <w:rFonts w:ascii="Times New Roman" w:hAnsi="Times New Roman" w:cs="Times New Roman"/>
                <w:sz w:val="20"/>
                <w:szCs w:val="20"/>
              </w:rPr>
            </w:pPr>
            <w:r w:rsidRPr="00CB67B3">
              <w:rPr>
                <w:rFonts w:ascii="Times New Roman" w:hAnsi="Times New Roman" w:cs="Times New Roman"/>
                <w:sz w:val="20"/>
                <w:szCs w:val="20"/>
              </w:rPr>
              <w:t>Sentencia 68-18-SEP-CC, de 21 de febrero del 2018</w:t>
            </w:r>
          </w:p>
        </w:tc>
        <w:tc>
          <w:tcPr>
            <w:tcW w:w="8910" w:type="dxa"/>
          </w:tcPr>
          <w:p w14:paraId="49A05EC4" w14:textId="70E9790F" w:rsidR="00D8375D" w:rsidRPr="00CB67B3" w:rsidRDefault="009A4E13" w:rsidP="00D17EE0">
            <w:pPr>
              <w:jc w:val="both"/>
              <w:rPr>
                <w:rFonts w:ascii="Times New Roman" w:hAnsi="Times New Roman" w:cs="Times New Roman"/>
                <w:sz w:val="20"/>
                <w:szCs w:val="20"/>
              </w:rPr>
            </w:pPr>
            <w:r w:rsidRPr="00CB67B3">
              <w:rPr>
                <w:rFonts w:ascii="Times New Roman" w:hAnsi="Times New Roman" w:cs="Times New Roman"/>
                <w:sz w:val="20"/>
                <w:szCs w:val="20"/>
              </w:rPr>
              <w:t>Con respecto a la protección a los NNA como titulares de derechos, la CC ha señalado que los niños, niñas y adolescentes no solo son sujetos de protección especial sino “sujetos de derechos y garantías, lo que conlleva al otorgamiento de una protección especial para asegurar su desarrollo integral y el ejercicio pleno de sus derechos”.</w:t>
            </w:r>
            <w:r w:rsidRPr="00CB67B3">
              <w:rPr>
                <w:rFonts w:ascii="Times New Roman" w:hAnsi="Times New Roman" w:cs="Times New Roman"/>
                <w:sz w:val="20"/>
                <w:szCs w:val="20"/>
              </w:rPr>
              <w:br/>
            </w:r>
          </w:p>
        </w:tc>
      </w:tr>
      <w:tr w:rsidR="009A4E13" w:rsidRPr="00CB67B3" w14:paraId="557E77BC" w14:textId="77777777" w:rsidTr="00D17EE0">
        <w:tc>
          <w:tcPr>
            <w:tcW w:w="1620" w:type="dxa"/>
          </w:tcPr>
          <w:p w14:paraId="14A974FB" w14:textId="67C80DD5" w:rsidR="009A4E13" w:rsidRPr="00CB67B3" w:rsidRDefault="009A4E13" w:rsidP="00D17EE0">
            <w:pPr>
              <w:jc w:val="both"/>
              <w:rPr>
                <w:rFonts w:ascii="Times New Roman" w:hAnsi="Times New Roman" w:cs="Times New Roman"/>
                <w:sz w:val="20"/>
                <w:szCs w:val="20"/>
              </w:rPr>
            </w:pPr>
            <w:r w:rsidRPr="00CB67B3">
              <w:rPr>
                <w:rFonts w:ascii="Times New Roman" w:hAnsi="Times New Roman" w:cs="Times New Roman"/>
                <w:sz w:val="20"/>
                <w:szCs w:val="20"/>
              </w:rPr>
              <w:t>Sentencia 3-18-PJO-CC, de 27 de junio de 2018. </w:t>
            </w:r>
          </w:p>
        </w:tc>
        <w:tc>
          <w:tcPr>
            <w:tcW w:w="8910" w:type="dxa"/>
          </w:tcPr>
          <w:p w14:paraId="43F97EB3" w14:textId="60937FF7" w:rsidR="009A4E13" w:rsidRPr="00CB67B3" w:rsidRDefault="009A4E13" w:rsidP="00D17EE0">
            <w:pPr>
              <w:jc w:val="both"/>
              <w:rPr>
                <w:rFonts w:ascii="Times New Roman" w:hAnsi="Times New Roman" w:cs="Times New Roman"/>
                <w:sz w:val="20"/>
                <w:szCs w:val="20"/>
              </w:rPr>
            </w:pPr>
            <w:r w:rsidRPr="00CB67B3">
              <w:rPr>
                <w:rFonts w:ascii="Times New Roman" w:hAnsi="Times New Roman" w:cs="Times New Roman"/>
                <w:sz w:val="20"/>
                <w:szCs w:val="20"/>
              </w:rPr>
              <w:t xml:space="preserve">La Corte señaló que “el y la adolescente, como sujeto de derechos, es titular de prerrogativas reconocidas en la Constitución y los instrumentos internacionales de derechos humanos, lo cual implica la consideración de que los derechos de las y los adolescentes no deben pasar por un proceso de concesión por parte de los adultos, sino que estos les son atribuibles por el sólo hecho de ser seres humanos. Por lo tanto, la vulnerabilidad del adolescente ya no puede ser excusa para limitar sus derechos y su capacidad para ejercerlos, colocándolo en una “...condición de inferior categoría” a la de los adultos”.       </w:t>
            </w:r>
            <w:r w:rsidRPr="00CB67B3">
              <w:rPr>
                <w:rFonts w:ascii="Times New Roman" w:hAnsi="Times New Roman" w:cs="Times New Roman"/>
                <w:sz w:val="20"/>
                <w:szCs w:val="20"/>
              </w:rPr>
              <w:br/>
            </w:r>
          </w:p>
        </w:tc>
      </w:tr>
      <w:tr w:rsidR="009A4E13" w:rsidRPr="00CB67B3" w14:paraId="7959E3F6" w14:textId="77777777" w:rsidTr="00D17EE0">
        <w:tc>
          <w:tcPr>
            <w:tcW w:w="1620" w:type="dxa"/>
          </w:tcPr>
          <w:p w14:paraId="58C140B3" w14:textId="22057F70" w:rsidR="009A4E13" w:rsidRPr="00CB67B3" w:rsidRDefault="009A4E13" w:rsidP="00D17EE0">
            <w:pPr>
              <w:jc w:val="both"/>
              <w:rPr>
                <w:rFonts w:ascii="Times New Roman" w:hAnsi="Times New Roman" w:cs="Times New Roman"/>
                <w:sz w:val="20"/>
                <w:szCs w:val="20"/>
              </w:rPr>
            </w:pPr>
            <w:r w:rsidRPr="00CB67B3">
              <w:rPr>
                <w:rFonts w:ascii="Times New Roman" w:hAnsi="Times New Roman" w:cs="Times New Roman"/>
                <w:sz w:val="20"/>
                <w:szCs w:val="20"/>
              </w:rPr>
              <w:t>Sentencia 12-19-CN/19, de 12 de noviembre del 2019.</w:t>
            </w:r>
          </w:p>
        </w:tc>
        <w:tc>
          <w:tcPr>
            <w:tcW w:w="8910" w:type="dxa"/>
          </w:tcPr>
          <w:p w14:paraId="08DBF530" w14:textId="0F16DB13" w:rsidR="009A4E13" w:rsidRPr="00CB67B3" w:rsidRDefault="009A4E13" w:rsidP="00D17EE0">
            <w:pPr>
              <w:jc w:val="both"/>
              <w:rPr>
                <w:rFonts w:ascii="Times New Roman" w:hAnsi="Times New Roman" w:cs="Times New Roman"/>
                <w:sz w:val="20"/>
                <w:szCs w:val="20"/>
              </w:rPr>
            </w:pPr>
            <w:r w:rsidRPr="00CB67B3">
              <w:rPr>
                <w:rFonts w:ascii="Times New Roman" w:hAnsi="Times New Roman" w:cs="Times New Roman"/>
                <w:sz w:val="20"/>
                <w:szCs w:val="20"/>
              </w:rPr>
              <w:t xml:space="preserve">En la línea del reconocimiento de las niñas, niños y adolescentes como sujetos y titulares de derechos, la CC ha sido enfática en disponer que en todos los procesos que afecten a NNA estos deben ser escuchados. Así, por ejemplo, en esta sentencia dijo que el juzgador tiene la obligación de ofrecer a las y los adolescentes la información adecuada respecto de los fines y la consecuencia de esta etapa procesal, así como su derecho a ser escuchados en un ambiente que no le resulte hostil y que esté libre de presiones.   </w:t>
            </w:r>
          </w:p>
        </w:tc>
      </w:tr>
      <w:tr w:rsidR="009A4E13" w:rsidRPr="00CB67B3" w14:paraId="36BD4744" w14:textId="77777777" w:rsidTr="00D17EE0">
        <w:tc>
          <w:tcPr>
            <w:tcW w:w="1620" w:type="dxa"/>
          </w:tcPr>
          <w:p w14:paraId="6FC457E9" w14:textId="30980347" w:rsidR="009A4E13" w:rsidRPr="00CB67B3" w:rsidRDefault="009A4E13" w:rsidP="00D17EE0">
            <w:pPr>
              <w:jc w:val="both"/>
              <w:rPr>
                <w:rFonts w:ascii="Times New Roman" w:hAnsi="Times New Roman" w:cs="Times New Roman"/>
                <w:sz w:val="20"/>
                <w:szCs w:val="20"/>
              </w:rPr>
            </w:pPr>
            <w:r w:rsidRPr="00CB67B3">
              <w:rPr>
                <w:rFonts w:ascii="Times New Roman" w:hAnsi="Times New Roman" w:cs="Times New Roman"/>
                <w:sz w:val="20"/>
                <w:szCs w:val="20"/>
              </w:rPr>
              <w:t xml:space="preserve">Sentencia 42-21-CN/22, de 27 de enero de 2022.    </w:t>
            </w:r>
          </w:p>
        </w:tc>
        <w:tc>
          <w:tcPr>
            <w:tcW w:w="8910" w:type="dxa"/>
          </w:tcPr>
          <w:p w14:paraId="4F22D873" w14:textId="77777777" w:rsidR="009A4E13" w:rsidRPr="00CB67B3" w:rsidRDefault="009A4E13" w:rsidP="00D17EE0">
            <w:pPr>
              <w:jc w:val="both"/>
              <w:rPr>
                <w:rFonts w:ascii="Times New Roman" w:hAnsi="Times New Roman" w:cs="Times New Roman"/>
                <w:sz w:val="20"/>
                <w:szCs w:val="20"/>
              </w:rPr>
            </w:pPr>
            <w:r w:rsidRPr="00CB67B3">
              <w:rPr>
                <w:rFonts w:ascii="Times New Roman" w:hAnsi="Times New Roman" w:cs="Times New Roman"/>
                <w:sz w:val="20"/>
                <w:szCs w:val="20"/>
              </w:rPr>
              <w:t>El criterio sobre el derecho a ser escuchados fue confirmado en esta sentencia, la Corte dispuso que: “Las juezas y jueces que conozcan solicitudes de cambio del orden de los apellidos de niñas, niños o adolescentes por alegadas afectaciones a la integridad.</w:t>
            </w:r>
          </w:p>
          <w:p w14:paraId="5A6D8612" w14:textId="3365455D" w:rsidR="009A4E13" w:rsidRPr="00CB67B3" w:rsidRDefault="009A4E13" w:rsidP="00D17EE0">
            <w:pPr>
              <w:jc w:val="both"/>
              <w:rPr>
                <w:rFonts w:ascii="Times New Roman" w:hAnsi="Times New Roman" w:cs="Times New Roman"/>
                <w:sz w:val="20"/>
                <w:szCs w:val="20"/>
              </w:rPr>
            </w:pPr>
          </w:p>
        </w:tc>
      </w:tr>
      <w:tr w:rsidR="009A4E13" w:rsidRPr="00CB67B3" w14:paraId="1EB40A5F" w14:textId="77777777" w:rsidTr="00D17EE0">
        <w:tc>
          <w:tcPr>
            <w:tcW w:w="1620" w:type="dxa"/>
          </w:tcPr>
          <w:p w14:paraId="1663D6AB" w14:textId="1498CA53" w:rsidR="009A4E13" w:rsidRPr="00CB67B3" w:rsidRDefault="009A4E13" w:rsidP="00D17EE0">
            <w:pPr>
              <w:jc w:val="both"/>
              <w:rPr>
                <w:rFonts w:ascii="Times New Roman" w:hAnsi="Times New Roman" w:cs="Times New Roman"/>
                <w:sz w:val="20"/>
                <w:szCs w:val="20"/>
              </w:rPr>
            </w:pPr>
            <w:r w:rsidRPr="00CB67B3">
              <w:rPr>
                <w:rFonts w:ascii="Times New Roman" w:hAnsi="Times New Roman" w:cs="Times New Roman"/>
                <w:sz w:val="20"/>
                <w:szCs w:val="20"/>
              </w:rPr>
              <w:t>Sentencia 2691-18-EP/21, de 10 de marzo de 2021.     </w:t>
            </w:r>
          </w:p>
        </w:tc>
        <w:tc>
          <w:tcPr>
            <w:tcW w:w="8910" w:type="dxa"/>
          </w:tcPr>
          <w:p w14:paraId="0F2F253B" w14:textId="2D00D930" w:rsidR="009A4E13" w:rsidRPr="00CB67B3" w:rsidRDefault="009A4E13" w:rsidP="00D17EE0">
            <w:pPr>
              <w:jc w:val="both"/>
              <w:rPr>
                <w:rFonts w:ascii="Times New Roman" w:hAnsi="Times New Roman" w:cs="Times New Roman"/>
                <w:sz w:val="20"/>
                <w:szCs w:val="20"/>
              </w:rPr>
            </w:pPr>
            <w:r w:rsidRPr="00CB67B3">
              <w:rPr>
                <w:rFonts w:ascii="Times New Roman" w:hAnsi="Times New Roman" w:cs="Times New Roman"/>
                <w:sz w:val="20"/>
                <w:szCs w:val="20"/>
              </w:rPr>
              <w:t xml:space="preserve">En esta sentencia la Corte acogió las cinco medidas ejemplificativas del Comité de los Derechos del Niño para efectos de garantizar la observancia del derecho de los niños, niñas y adolescentes a ser escuchados, que consisten en: i) explicar cómo, cuándo y dónde serán escuchados; </w:t>
            </w:r>
            <w:proofErr w:type="spellStart"/>
            <w:r w:rsidRPr="00CB67B3">
              <w:rPr>
                <w:rFonts w:ascii="Times New Roman" w:hAnsi="Times New Roman" w:cs="Times New Roman"/>
                <w:sz w:val="20"/>
                <w:szCs w:val="20"/>
              </w:rPr>
              <w:t>ii</w:t>
            </w:r>
            <w:proofErr w:type="spellEnd"/>
            <w:r w:rsidRPr="00CB67B3">
              <w:rPr>
                <w:rFonts w:ascii="Times New Roman" w:hAnsi="Times New Roman" w:cs="Times New Roman"/>
                <w:sz w:val="20"/>
                <w:szCs w:val="20"/>
              </w:rPr>
              <w:t xml:space="preserve">) adaptación del entorno donde serán escuchados; </w:t>
            </w:r>
            <w:proofErr w:type="spellStart"/>
            <w:r w:rsidRPr="00CB67B3">
              <w:rPr>
                <w:rFonts w:ascii="Times New Roman" w:hAnsi="Times New Roman" w:cs="Times New Roman"/>
                <w:sz w:val="20"/>
                <w:szCs w:val="20"/>
              </w:rPr>
              <w:t>iii</w:t>
            </w:r>
            <w:proofErr w:type="spellEnd"/>
            <w:r w:rsidRPr="00CB67B3">
              <w:rPr>
                <w:rFonts w:ascii="Times New Roman" w:hAnsi="Times New Roman" w:cs="Times New Roman"/>
                <w:sz w:val="20"/>
                <w:szCs w:val="20"/>
              </w:rPr>
              <w:t xml:space="preserve">) evaluación de la capacidad del niño de formarse un juicio propio; </w:t>
            </w:r>
            <w:proofErr w:type="spellStart"/>
            <w:r w:rsidRPr="00CB67B3">
              <w:rPr>
                <w:rFonts w:ascii="Times New Roman" w:hAnsi="Times New Roman" w:cs="Times New Roman"/>
                <w:sz w:val="20"/>
                <w:szCs w:val="20"/>
              </w:rPr>
              <w:t>iv</w:t>
            </w:r>
            <w:proofErr w:type="spellEnd"/>
            <w:r w:rsidRPr="00CB67B3">
              <w:rPr>
                <w:rFonts w:ascii="Times New Roman" w:hAnsi="Times New Roman" w:cs="Times New Roman"/>
                <w:sz w:val="20"/>
                <w:szCs w:val="20"/>
              </w:rPr>
              <w:t xml:space="preserve">) explicación del resultado del proceso y cómo sus opiniones fueron tomadas en cuenta; y, v) posibilidad de dirigir quejas. Además, estableció la obligación de los jueces de evaluar, en razón de las circunstancias específicas de cada niño, niña y/o adolescente, su interés superior para acordar la participación de éste dentro de procesos similares.  </w:t>
            </w:r>
          </w:p>
        </w:tc>
      </w:tr>
      <w:tr w:rsidR="009A4E13" w:rsidRPr="00CB67B3" w14:paraId="3E5B26CA" w14:textId="77777777" w:rsidTr="00D17EE0">
        <w:tc>
          <w:tcPr>
            <w:tcW w:w="1620" w:type="dxa"/>
          </w:tcPr>
          <w:p w14:paraId="6EE36AD8" w14:textId="0893BD56" w:rsidR="009A4E13" w:rsidRPr="00CB67B3" w:rsidRDefault="009A4E13" w:rsidP="00D17EE0">
            <w:pPr>
              <w:jc w:val="both"/>
              <w:rPr>
                <w:rFonts w:ascii="Times New Roman" w:hAnsi="Times New Roman" w:cs="Times New Roman"/>
                <w:sz w:val="20"/>
                <w:szCs w:val="20"/>
              </w:rPr>
            </w:pPr>
            <w:r w:rsidRPr="00CB67B3">
              <w:rPr>
                <w:rFonts w:ascii="Times New Roman" w:hAnsi="Times New Roman" w:cs="Times New Roman"/>
                <w:sz w:val="20"/>
                <w:szCs w:val="20"/>
              </w:rPr>
              <w:t xml:space="preserve">Sentencia 525-14-EP/20, de 8 de enero de 2020.   </w:t>
            </w:r>
          </w:p>
        </w:tc>
        <w:tc>
          <w:tcPr>
            <w:tcW w:w="8910" w:type="dxa"/>
          </w:tcPr>
          <w:p w14:paraId="2586C5B3" w14:textId="67037816" w:rsidR="009A4E13" w:rsidRPr="00CB67B3" w:rsidRDefault="009A4E13" w:rsidP="00D17EE0">
            <w:pPr>
              <w:jc w:val="both"/>
              <w:rPr>
                <w:rFonts w:ascii="Times New Roman" w:hAnsi="Times New Roman" w:cs="Times New Roman"/>
                <w:sz w:val="20"/>
                <w:szCs w:val="20"/>
              </w:rPr>
            </w:pPr>
            <w:r w:rsidRPr="00CB67B3">
              <w:rPr>
                <w:rFonts w:ascii="Times New Roman" w:hAnsi="Times New Roman" w:cs="Times New Roman"/>
                <w:sz w:val="20"/>
                <w:szCs w:val="20"/>
              </w:rPr>
              <w:t xml:space="preserve">Sentencia 525-14-EP/20, de 8 de enero de 2020.   La Corte se ha referido al interés superior de NNA en los siguientes términos: "En cuanto al principio del interés superior del niño, el artículo 44 de la Constitución de la República y el artículo 3.1 de la Convención sobre los Derechos del Niño reconocen el derecho a que se considere y tenga en cuenta de manera primordial este principio en todas las medidas o decisiones que afecten, tanto en la esfera pública como privada, al niño o niña. Este principio debe aplicarse como un concepto </w:t>
            </w:r>
            <w:r w:rsidRPr="00CB67B3">
              <w:rPr>
                <w:rFonts w:ascii="Times New Roman" w:hAnsi="Times New Roman" w:cs="Times New Roman"/>
                <w:sz w:val="20"/>
                <w:szCs w:val="20"/>
              </w:rPr>
              <w:lastRenderedPageBreak/>
              <w:t>dinámico, en tanto debe evaluarse de manera adecuada en cada contexto y caso particular. En términos del Comité de Derechos del Niño, el principio del interés superior debe entenderse como un derecho sustantivo, un principio jurídico interpretativo fundamental y como una norma de procedimiento. Este último implica que siempre que se tenga que tomar una decisión que afecte a una niña o niño en concreto, se deberá incluir una estimación de las posibles repercusiones (positivas o negativas) de la decisión en la niña o niño interesado".</w:t>
            </w:r>
            <w:r w:rsidRPr="00CB67B3">
              <w:rPr>
                <w:rFonts w:ascii="Times New Roman" w:hAnsi="Times New Roman" w:cs="Times New Roman"/>
                <w:sz w:val="20"/>
                <w:szCs w:val="20"/>
              </w:rPr>
              <w:br/>
              <w:t xml:space="preserve">Desarrollo de derechos de los NNA  </w:t>
            </w:r>
            <w:r w:rsidRPr="00CB67B3">
              <w:rPr>
                <w:rFonts w:ascii="Times New Roman" w:hAnsi="Times New Roman" w:cs="Times New Roman"/>
                <w:sz w:val="20"/>
                <w:szCs w:val="20"/>
              </w:rPr>
              <w:br/>
            </w:r>
          </w:p>
        </w:tc>
      </w:tr>
      <w:tr w:rsidR="009A4E13" w:rsidRPr="00CB67B3" w14:paraId="691EC458" w14:textId="77777777" w:rsidTr="00D17EE0">
        <w:tc>
          <w:tcPr>
            <w:tcW w:w="1620" w:type="dxa"/>
          </w:tcPr>
          <w:p w14:paraId="4474627C" w14:textId="0BCB5579" w:rsidR="009A4E13" w:rsidRPr="00CB67B3" w:rsidRDefault="009A4E13" w:rsidP="00D17EE0">
            <w:pPr>
              <w:jc w:val="both"/>
              <w:rPr>
                <w:rFonts w:ascii="Times New Roman" w:hAnsi="Times New Roman" w:cs="Times New Roman"/>
                <w:sz w:val="20"/>
                <w:szCs w:val="20"/>
              </w:rPr>
            </w:pPr>
            <w:r w:rsidRPr="00CB67B3">
              <w:rPr>
                <w:rFonts w:ascii="Times New Roman" w:hAnsi="Times New Roman" w:cs="Times New Roman"/>
                <w:sz w:val="20"/>
                <w:szCs w:val="20"/>
              </w:rPr>
              <w:lastRenderedPageBreak/>
              <w:t xml:space="preserve">Sentencia 1497-20-JP/21, de 21de diciembre de 2021.    </w:t>
            </w:r>
          </w:p>
        </w:tc>
        <w:tc>
          <w:tcPr>
            <w:tcW w:w="8910" w:type="dxa"/>
          </w:tcPr>
          <w:p w14:paraId="3FF3054A" w14:textId="6AD86C9B" w:rsidR="009A4E13" w:rsidRPr="00CB67B3" w:rsidRDefault="009A4E13" w:rsidP="00D17EE0">
            <w:pPr>
              <w:jc w:val="both"/>
              <w:rPr>
                <w:rFonts w:ascii="Times New Roman" w:hAnsi="Times New Roman" w:cs="Times New Roman"/>
                <w:sz w:val="20"/>
                <w:szCs w:val="20"/>
              </w:rPr>
            </w:pPr>
            <w:r w:rsidRPr="00CB67B3">
              <w:rPr>
                <w:rFonts w:ascii="Times New Roman" w:hAnsi="Times New Roman" w:cs="Times New Roman"/>
                <w:sz w:val="20"/>
                <w:szCs w:val="20"/>
              </w:rPr>
              <w:t xml:space="preserve">La Corte declaró la vulneración del derecho a la educación en la dimensión formal de la accesibilidad, pues destacó que el Estado debe evitar trabas innecesarias que impidan el goce del derecho a la educación y evaluar los requisitos desde un punto de vista contextual, razonable y objetivo. También analizó el impacto del acceso tardío de la niña G.N.A.R. en su desarrollo integral y autónomo. La Corte precisó que impedir a una niña el acceso oportuno a la educación afecta el libre desarrollo de su personalidad, así como su crecimiento como individuo autónomo.  </w:t>
            </w:r>
            <w:r w:rsidRPr="00CB67B3">
              <w:rPr>
                <w:rFonts w:ascii="Times New Roman" w:hAnsi="Times New Roman" w:cs="Times New Roman"/>
                <w:sz w:val="20"/>
                <w:szCs w:val="20"/>
              </w:rPr>
              <w:br/>
            </w:r>
          </w:p>
        </w:tc>
      </w:tr>
      <w:tr w:rsidR="009A4E13" w:rsidRPr="00CB67B3" w14:paraId="4FD24F00" w14:textId="77777777" w:rsidTr="00D17EE0">
        <w:tc>
          <w:tcPr>
            <w:tcW w:w="1620" w:type="dxa"/>
          </w:tcPr>
          <w:p w14:paraId="36098350" w14:textId="675E535B" w:rsidR="009A4E13" w:rsidRPr="00CB67B3" w:rsidRDefault="009A4E13" w:rsidP="00D17EE0">
            <w:pPr>
              <w:jc w:val="both"/>
              <w:rPr>
                <w:rFonts w:ascii="Times New Roman" w:hAnsi="Times New Roman" w:cs="Times New Roman"/>
                <w:sz w:val="20"/>
                <w:szCs w:val="20"/>
              </w:rPr>
            </w:pPr>
            <w:r w:rsidRPr="00CB67B3">
              <w:rPr>
                <w:rFonts w:ascii="Times New Roman" w:hAnsi="Times New Roman" w:cs="Times New Roman"/>
                <w:sz w:val="20"/>
                <w:szCs w:val="20"/>
              </w:rPr>
              <w:t>Sentencia 28-15-IN/21, de 24 de noviembre de 2021.   </w:t>
            </w:r>
          </w:p>
        </w:tc>
        <w:tc>
          <w:tcPr>
            <w:tcW w:w="8910" w:type="dxa"/>
          </w:tcPr>
          <w:p w14:paraId="42A803F3" w14:textId="77777777" w:rsidR="00574B47" w:rsidRPr="00CB67B3" w:rsidRDefault="009A4E13" w:rsidP="00D17EE0">
            <w:pPr>
              <w:jc w:val="both"/>
              <w:rPr>
                <w:rFonts w:ascii="Times New Roman" w:hAnsi="Times New Roman" w:cs="Times New Roman"/>
                <w:sz w:val="20"/>
                <w:szCs w:val="20"/>
              </w:rPr>
            </w:pPr>
            <w:r w:rsidRPr="00CB67B3">
              <w:rPr>
                <w:rFonts w:ascii="Times New Roman" w:hAnsi="Times New Roman" w:cs="Times New Roman"/>
                <w:sz w:val="20"/>
                <w:szCs w:val="20"/>
              </w:rPr>
              <w:t>La Corte estableció parámetros provisionales para evaluar, caso por caso, el encargo de la tenencia de los NNA y dijo que bajo ningún caso el juez o jueza podrá fundar su decisión en el género de los progenitores o en su capacidad económica. “Los lineamientos no deben ser considerados como una lista taxativa de condiciones que satisfactoriamente cumplan el interés superior de NNA. Se deberá evaluar cada caso, de acuerdo al contexto y utilizando como base todos los elementos establecidos en la presente decisión, sin considerar que unos tienen mayor jerarquía que otros”. Las directrices señaladas por la CC, son:</w:t>
            </w:r>
          </w:p>
          <w:p w14:paraId="6D54954E" w14:textId="77777777" w:rsidR="00574B47" w:rsidRPr="00CB67B3" w:rsidRDefault="009A4E13" w:rsidP="00D17EE0">
            <w:pPr>
              <w:pStyle w:val="Prrafodelista"/>
              <w:numPr>
                <w:ilvl w:val="0"/>
                <w:numId w:val="6"/>
              </w:numPr>
              <w:jc w:val="both"/>
              <w:rPr>
                <w:rFonts w:ascii="Times New Roman" w:hAnsi="Times New Roman" w:cs="Times New Roman"/>
                <w:sz w:val="20"/>
                <w:szCs w:val="20"/>
              </w:rPr>
            </w:pPr>
            <w:r w:rsidRPr="00CB67B3">
              <w:rPr>
                <w:rFonts w:ascii="Times New Roman" w:hAnsi="Times New Roman" w:cs="Times New Roman"/>
                <w:sz w:val="20"/>
                <w:szCs w:val="20"/>
              </w:rPr>
              <w:t>Se tomará en consideración, principalmente, la opinión de NNA, sus deseos y emociones, considerando su derecho a ser escuchados, según su edad y grado de madurez</w:t>
            </w:r>
            <w:r w:rsidR="00574B47" w:rsidRPr="00CB67B3">
              <w:rPr>
                <w:rFonts w:ascii="Times New Roman" w:hAnsi="Times New Roman" w:cs="Times New Roman"/>
                <w:sz w:val="20"/>
                <w:szCs w:val="20"/>
              </w:rPr>
              <w:t>.</w:t>
            </w:r>
          </w:p>
          <w:p w14:paraId="64E49DFF" w14:textId="77777777" w:rsidR="00574B47" w:rsidRPr="00CB67B3" w:rsidRDefault="009A4E13" w:rsidP="00D17EE0">
            <w:pPr>
              <w:pStyle w:val="Prrafodelista"/>
              <w:numPr>
                <w:ilvl w:val="0"/>
                <w:numId w:val="6"/>
              </w:numPr>
              <w:jc w:val="both"/>
              <w:rPr>
                <w:rFonts w:ascii="Times New Roman" w:hAnsi="Times New Roman" w:cs="Times New Roman"/>
                <w:sz w:val="20"/>
                <w:szCs w:val="20"/>
              </w:rPr>
            </w:pPr>
            <w:r w:rsidRPr="00CB67B3">
              <w:rPr>
                <w:rFonts w:ascii="Times New Roman" w:hAnsi="Times New Roman" w:cs="Times New Roman"/>
                <w:sz w:val="20"/>
                <w:szCs w:val="20"/>
              </w:rPr>
              <w:t>Se considerará la presencia de un cuidador sensible y emocionalmente disponible para satisfacer las necesidades generales, físicas, emocionales y educativas del NN</w:t>
            </w:r>
            <w:r w:rsidR="00574B47" w:rsidRPr="00CB67B3">
              <w:rPr>
                <w:rFonts w:ascii="Times New Roman" w:hAnsi="Times New Roman" w:cs="Times New Roman"/>
                <w:sz w:val="20"/>
                <w:szCs w:val="20"/>
              </w:rPr>
              <w:t>A.</w:t>
            </w:r>
          </w:p>
          <w:p w14:paraId="38959757" w14:textId="77777777" w:rsidR="00574B47" w:rsidRPr="00CB67B3" w:rsidRDefault="009A4E13" w:rsidP="00D17EE0">
            <w:pPr>
              <w:pStyle w:val="Prrafodelista"/>
              <w:numPr>
                <w:ilvl w:val="0"/>
                <w:numId w:val="6"/>
              </w:numPr>
              <w:jc w:val="both"/>
              <w:rPr>
                <w:rFonts w:ascii="Times New Roman" w:hAnsi="Times New Roman" w:cs="Times New Roman"/>
                <w:sz w:val="20"/>
                <w:szCs w:val="20"/>
              </w:rPr>
            </w:pPr>
            <w:r w:rsidRPr="00CB67B3">
              <w:rPr>
                <w:rFonts w:ascii="Times New Roman" w:hAnsi="Times New Roman" w:cs="Times New Roman"/>
                <w:sz w:val="20"/>
                <w:szCs w:val="20"/>
              </w:rPr>
              <w:t>Con la debida diligencia, se debe tomar todas las medidas necesarias para descartar la amenaza, existencia o el antecedente de violencia física, psicológica, doméstica, económica - patrimonial y vicaria</w:t>
            </w:r>
            <w:r w:rsidR="00574B47" w:rsidRPr="00CB67B3">
              <w:rPr>
                <w:rFonts w:ascii="Times New Roman" w:hAnsi="Times New Roman" w:cs="Times New Roman"/>
                <w:sz w:val="20"/>
                <w:szCs w:val="20"/>
              </w:rPr>
              <w:t>.</w:t>
            </w:r>
          </w:p>
          <w:p w14:paraId="00BA8F19" w14:textId="77777777" w:rsidR="00574B47" w:rsidRPr="00CB67B3" w:rsidRDefault="009A4E13" w:rsidP="00D17EE0">
            <w:pPr>
              <w:pStyle w:val="Prrafodelista"/>
              <w:numPr>
                <w:ilvl w:val="0"/>
                <w:numId w:val="6"/>
              </w:numPr>
              <w:jc w:val="both"/>
              <w:rPr>
                <w:rFonts w:ascii="Times New Roman" w:hAnsi="Times New Roman" w:cs="Times New Roman"/>
                <w:sz w:val="20"/>
                <w:szCs w:val="20"/>
              </w:rPr>
            </w:pPr>
            <w:r w:rsidRPr="00CB67B3">
              <w:rPr>
                <w:rFonts w:ascii="Times New Roman" w:hAnsi="Times New Roman" w:cs="Times New Roman"/>
                <w:sz w:val="20"/>
                <w:szCs w:val="20"/>
              </w:rPr>
              <w:t>Se encargará la tenencia procurando mantener la continuidad en la vida de los NNA, considerando el domicilio de ambos progenitores, atendiendo a la estabilidad y a las rutinas que han mantenido hasta la separación o divorcio de los padres.</w:t>
            </w:r>
          </w:p>
          <w:p w14:paraId="7F71F090" w14:textId="77777777" w:rsidR="00574B47" w:rsidRPr="00CB67B3" w:rsidRDefault="009A4E13" w:rsidP="00D17EE0">
            <w:pPr>
              <w:pStyle w:val="Prrafodelista"/>
              <w:numPr>
                <w:ilvl w:val="0"/>
                <w:numId w:val="6"/>
              </w:numPr>
              <w:jc w:val="both"/>
              <w:rPr>
                <w:rFonts w:ascii="Times New Roman" w:hAnsi="Times New Roman" w:cs="Times New Roman"/>
                <w:sz w:val="20"/>
                <w:szCs w:val="20"/>
              </w:rPr>
            </w:pPr>
            <w:r w:rsidRPr="00CB67B3">
              <w:rPr>
                <w:rFonts w:ascii="Times New Roman" w:hAnsi="Times New Roman" w:cs="Times New Roman"/>
                <w:sz w:val="20"/>
                <w:szCs w:val="20"/>
              </w:rPr>
              <w:t>Se considerará la dedicación brindada y la relación que existía con el padre y madre, antes de producirse la separación o divorcio.</w:t>
            </w:r>
          </w:p>
          <w:p w14:paraId="4B9D8319" w14:textId="77777777" w:rsidR="00574B47" w:rsidRPr="00CB67B3" w:rsidRDefault="009A4E13" w:rsidP="00D17EE0">
            <w:pPr>
              <w:pStyle w:val="Prrafodelista"/>
              <w:numPr>
                <w:ilvl w:val="0"/>
                <w:numId w:val="6"/>
              </w:numPr>
              <w:jc w:val="both"/>
              <w:rPr>
                <w:rFonts w:ascii="Times New Roman" w:hAnsi="Times New Roman" w:cs="Times New Roman"/>
                <w:sz w:val="20"/>
                <w:szCs w:val="20"/>
              </w:rPr>
            </w:pPr>
            <w:r w:rsidRPr="00CB67B3">
              <w:rPr>
                <w:rFonts w:ascii="Times New Roman" w:hAnsi="Times New Roman" w:cs="Times New Roman"/>
                <w:sz w:val="20"/>
                <w:szCs w:val="20"/>
              </w:rPr>
              <w:t>Se respetará la identidad de NNA.      Se observará la aptitud e idoneidad de los padres para satisfacer el bienestar de NNA, lo que involucra brindar un entorno adecuado dependiendo de su edad, cuidado, protección y seguridad.</w:t>
            </w:r>
          </w:p>
          <w:p w14:paraId="5728A7E7" w14:textId="77777777" w:rsidR="00574B47" w:rsidRPr="00CB67B3" w:rsidRDefault="009A4E13" w:rsidP="00D17EE0">
            <w:pPr>
              <w:pStyle w:val="Prrafodelista"/>
              <w:numPr>
                <w:ilvl w:val="0"/>
                <w:numId w:val="6"/>
              </w:numPr>
              <w:jc w:val="both"/>
              <w:rPr>
                <w:rFonts w:ascii="Times New Roman" w:hAnsi="Times New Roman" w:cs="Times New Roman"/>
                <w:sz w:val="20"/>
                <w:szCs w:val="20"/>
              </w:rPr>
            </w:pPr>
            <w:r w:rsidRPr="00CB67B3">
              <w:rPr>
                <w:rFonts w:ascii="Times New Roman" w:hAnsi="Times New Roman" w:cs="Times New Roman"/>
                <w:sz w:val="20"/>
                <w:szCs w:val="20"/>
              </w:rPr>
              <w:t>Se analizará cualquier daño que hayan sufrido NNA o que potencialmente puedan sufrir</w:t>
            </w:r>
            <w:r w:rsidR="00574B47" w:rsidRPr="00CB67B3">
              <w:rPr>
                <w:rFonts w:ascii="Times New Roman" w:hAnsi="Times New Roman" w:cs="Times New Roman"/>
                <w:sz w:val="20"/>
                <w:szCs w:val="20"/>
              </w:rPr>
              <w:t>.</w:t>
            </w:r>
          </w:p>
          <w:p w14:paraId="5C910E45" w14:textId="77777777" w:rsidR="00574B47" w:rsidRPr="00CB67B3" w:rsidRDefault="009A4E13" w:rsidP="00D17EE0">
            <w:pPr>
              <w:pStyle w:val="Prrafodelista"/>
              <w:numPr>
                <w:ilvl w:val="0"/>
                <w:numId w:val="6"/>
              </w:numPr>
              <w:jc w:val="both"/>
              <w:rPr>
                <w:rFonts w:ascii="Times New Roman" w:hAnsi="Times New Roman" w:cs="Times New Roman"/>
                <w:sz w:val="20"/>
                <w:szCs w:val="20"/>
              </w:rPr>
            </w:pPr>
            <w:r w:rsidRPr="00CB67B3">
              <w:rPr>
                <w:rFonts w:ascii="Times New Roman" w:hAnsi="Times New Roman" w:cs="Times New Roman"/>
                <w:sz w:val="20"/>
                <w:szCs w:val="20"/>
              </w:rPr>
              <w:t>Se reparará en las actitudes de cooperación de ambos progenitores, garantizando el mantenimiento de relaciones y la preservación del entorno familiar.</w:t>
            </w:r>
          </w:p>
          <w:p w14:paraId="61D9BB4E" w14:textId="77777777" w:rsidR="00574B47" w:rsidRPr="00CB67B3" w:rsidRDefault="009A4E13" w:rsidP="00D17EE0">
            <w:pPr>
              <w:pStyle w:val="Prrafodelista"/>
              <w:numPr>
                <w:ilvl w:val="0"/>
                <w:numId w:val="6"/>
              </w:numPr>
              <w:jc w:val="both"/>
              <w:rPr>
                <w:rFonts w:ascii="Times New Roman" w:hAnsi="Times New Roman" w:cs="Times New Roman"/>
                <w:sz w:val="20"/>
                <w:szCs w:val="20"/>
              </w:rPr>
            </w:pPr>
            <w:r w:rsidRPr="00CB67B3">
              <w:rPr>
                <w:rFonts w:ascii="Times New Roman" w:hAnsi="Times New Roman" w:cs="Times New Roman"/>
                <w:sz w:val="20"/>
                <w:szCs w:val="20"/>
              </w:rPr>
              <w:t>Se estudiará el vínculo afectivo que se ha formado entre el hijo o hija, sus padres, y su familia ampliada</w:t>
            </w:r>
            <w:r w:rsidR="00574B47" w:rsidRPr="00CB67B3">
              <w:rPr>
                <w:rFonts w:ascii="Times New Roman" w:hAnsi="Times New Roman" w:cs="Times New Roman"/>
                <w:sz w:val="20"/>
                <w:szCs w:val="20"/>
              </w:rPr>
              <w:t>.</w:t>
            </w:r>
          </w:p>
          <w:p w14:paraId="23A32EC5" w14:textId="77777777" w:rsidR="00574B47" w:rsidRPr="00CB67B3" w:rsidRDefault="009A4E13" w:rsidP="00D17EE0">
            <w:pPr>
              <w:pStyle w:val="Prrafodelista"/>
              <w:numPr>
                <w:ilvl w:val="0"/>
                <w:numId w:val="6"/>
              </w:numPr>
              <w:jc w:val="both"/>
              <w:rPr>
                <w:rFonts w:ascii="Times New Roman" w:hAnsi="Times New Roman" w:cs="Times New Roman"/>
                <w:sz w:val="20"/>
                <w:szCs w:val="20"/>
              </w:rPr>
            </w:pPr>
            <w:r w:rsidRPr="00CB67B3">
              <w:rPr>
                <w:rFonts w:ascii="Times New Roman" w:hAnsi="Times New Roman" w:cs="Times New Roman"/>
                <w:sz w:val="20"/>
                <w:szCs w:val="20"/>
              </w:rPr>
              <w:t xml:space="preserve">Se contemplará cualquier otro factor como edad, contexto, grado de madurez, experiencia, pertenencia a un grupo minoritario, existencia de una discapacidad física, sensorial o intelectual y el contexto social y cultural de NNA que sirva para determinar su interés superior.                           </w:t>
            </w:r>
          </w:p>
          <w:p w14:paraId="30CE8A1A" w14:textId="77777777" w:rsidR="00574B47" w:rsidRPr="00CB67B3" w:rsidRDefault="009A4E13" w:rsidP="00D17EE0">
            <w:pPr>
              <w:pStyle w:val="Prrafodelista"/>
              <w:numPr>
                <w:ilvl w:val="0"/>
                <w:numId w:val="6"/>
              </w:numPr>
              <w:jc w:val="both"/>
              <w:rPr>
                <w:rFonts w:ascii="Times New Roman" w:hAnsi="Times New Roman" w:cs="Times New Roman"/>
                <w:sz w:val="20"/>
                <w:szCs w:val="20"/>
              </w:rPr>
            </w:pPr>
            <w:r w:rsidRPr="00CB67B3">
              <w:rPr>
                <w:rFonts w:ascii="Times New Roman" w:hAnsi="Times New Roman" w:cs="Times New Roman"/>
                <w:sz w:val="20"/>
                <w:szCs w:val="20"/>
              </w:rPr>
              <w:t xml:space="preserve">Se podrá contar con informes elaborados por el equipo técnico de las unidades de familia, mismos que deberán ayudar a tomar una decisión sobre el interés superior de NNA, pero no serán el único elemento a considerar. </w:t>
            </w:r>
          </w:p>
          <w:p w14:paraId="25FF57A6" w14:textId="761578F7" w:rsidR="009A4E13" w:rsidRPr="00CB67B3" w:rsidRDefault="009A4E13" w:rsidP="00D17EE0">
            <w:pPr>
              <w:pStyle w:val="Prrafodelista"/>
              <w:numPr>
                <w:ilvl w:val="0"/>
                <w:numId w:val="6"/>
              </w:numPr>
              <w:jc w:val="both"/>
              <w:rPr>
                <w:rFonts w:ascii="Times New Roman" w:hAnsi="Times New Roman" w:cs="Times New Roman"/>
                <w:sz w:val="20"/>
                <w:szCs w:val="20"/>
              </w:rPr>
            </w:pPr>
            <w:r w:rsidRPr="00CB67B3">
              <w:rPr>
                <w:rFonts w:ascii="Times New Roman" w:hAnsi="Times New Roman" w:cs="Times New Roman"/>
                <w:sz w:val="20"/>
                <w:szCs w:val="20"/>
              </w:rPr>
              <w:t xml:space="preserve">La sentencia deberá estar motivada, de tal forma que se explique cómo se tomaron en cuenta </w:t>
            </w:r>
            <w:proofErr w:type="gramStart"/>
            <w:r w:rsidRPr="00CB67B3">
              <w:rPr>
                <w:rFonts w:ascii="Times New Roman" w:hAnsi="Times New Roman" w:cs="Times New Roman"/>
                <w:sz w:val="20"/>
                <w:szCs w:val="20"/>
              </w:rPr>
              <w:t xml:space="preserve">los </w:t>
            </w:r>
            <w:r w:rsidR="00574B47" w:rsidRPr="00CB67B3">
              <w:rPr>
                <w:rFonts w:ascii="Times New Roman" w:hAnsi="Times New Roman" w:cs="Times New Roman"/>
                <w:sz w:val="20"/>
                <w:szCs w:val="20"/>
              </w:rPr>
              <w:t xml:space="preserve"> </w:t>
            </w:r>
            <w:r w:rsidRPr="00CB67B3">
              <w:rPr>
                <w:rFonts w:ascii="Times New Roman" w:hAnsi="Times New Roman" w:cs="Times New Roman"/>
                <w:sz w:val="20"/>
                <w:szCs w:val="20"/>
              </w:rPr>
              <w:t>parámetros</w:t>
            </w:r>
            <w:proofErr w:type="gramEnd"/>
            <w:r w:rsidRPr="00CB67B3">
              <w:rPr>
                <w:rFonts w:ascii="Times New Roman" w:hAnsi="Times New Roman" w:cs="Times New Roman"/>
                <w:sz w:val="20"/>
                <w:szCs w:val="20"/>
              </w:rPr>
              <w:t xml:space="preserve"> antes referidos.          </w:t>
            </w:r>
            <w:r w:rsidRPr="00CB67B3">
              <w:rPr>
                <w:rFonts w:ascii="Times New Roman" w:hAnsi="Times New Roman" w:cs="Times New Roman"/>
                <w:sz w:val="20"/>
                <w:szCs w:val="20"/>
              </w:rPr>
              <w:br/>
            </w:r>
          </w:p>
        </w:tc>
      </w:tr>
      <w:tr w:rsidR="009A4E13" w:rsidRPr="00CB67B3" w14:paraId="4D0085EE" w14:textId="77777777" w:rsidTr="00D17EE0">
        <w:tc>
          <w:tcPr>
            <w:tcW w:w="1620" w:type="dxa"/>
          </w:tcPr>
          <w:p w14:paraId="12DB1CB3" w14:textId="5A240CE4" w:rsidR="009A4E13" w:rsidRPr="00CB67B3" w:rsidRDefault="00574B47" w:rsidP="00D17EE0">
            <w:pPr>
              <w:jc w:val="both"/>
              <w:rPr>
                <w:rFonts w:ascii="Times New Roman" w:hAnsi="Times New Roman" w:cs="Times New Roman"/>
                <w:sz w:val="20"/>
                <w:szCs w:val="20"/>
              </w:rPr>
            </w:pPr>
            <w:r w:rsidRPr="00CB67B3">
              <w:rPr>
                <w:rFonts w:ascii="Times New Roman" w:hAnsi="Times New Roman" w:cs="Times New Roman"/>
                <w:sz w:val="20"/>
                <w:szCs w:val="20"/>
              </w:rPr>
              <w:t>Sentencia 13-18-CN/21, de 15 de diciembre 2021. </w:t>
            </w:r>
          </w:p>
        </w:tc>
        <w:tc>
          <w:tcPr>
            <w:tcW w:w="8910" w:type="dxa"/>
          </w:tcPr>
          <w:p w14:paraId="7AE8B8A5" w14:textId="08A26C5E" w:rsidR="009A4E13" w:rsidRPr="00CB67B3" w:rsidRDefault="00574B47" w:rsidP="00D17EE0">
            <w:pPr>
              <w:jc w:val="both"/>
              <w:rPr>
                <w:rFonts w:ascii="Times New Roman" w:hAnsi="Times New Roman" w:cs="Times New Roman"/>
                <w:sz w:val="20"/>
                <w:szCs w:val="20"/>
              </w:rPr>
            </w:pPr>
            <w:r w:rsidRPr="00CB67B3">
              <w:rPr>
                <w:rFonts w:ascii="Times New Roman" w:hAnsi="Times New Roman" w:cs="Times New Roman"/>
                <w:sz w:val="20"/>
                <w:szCs w:val="20"/>
              </w:rPr>
              <w:t xml:space="preserve">En el marco de una consulta de norma que señalaba que en los delitos sexuales, el consentimiento dado por la víctima menor de dieciocho años de edad es irrelevante, la CC señaló que la norma consultada ignora que podrían existir relaciones sexuales consentidas entre adolescentes entre 14 y 18 años, lo cual afectaría el goce y ejercicio de sus derechos al libre desarrollo de la personalidad, a tomar decisiones libres, informadas, voluntarias y responsables sobre su sexualidad, vida y orientación sexual, y a su intimidad personal. La Corte </w:t>
            </w:r>
            <w:r w:rsidRPr="00CB67B3">
              <w:rPr>
                <w:rFonts w:ascii="Times New Roman" w:hAnsi="Times New Roman" w:cs="Times New Roman"/>
                <w:sz w:val="20"/>
                <w:szCs w:val="20"/>
              </w:rPr>
              <w:lastRenderedPageBreak/>
              <w:t>estableció que la evaluación del consentimiento es relevante para establecer si existe una conducta que debe ser penalmente sancionable o si es el resultado de la evolución de las facultades para ejercer sus derechos. A partir de la doctrina de la protección integral y mediante el test de proporcionalidad, la CC determinó que la norma consultada, al generalizar que el consentimiento en todo acto sexual realizado por una persona menor de dieciocho años es irrelevante, desconoce su calidad de sujetos de derechos; ya que, en la medida en que desarrollan su capacidad y madurez para ejercerlos, pueden mantener relaciones sexuales consentidas, libres e informadas. Además, estableció parámetros para valorar si tal consentimiento es válido o se encuentra viciado.</w:t>
            </w:r>
            <w:r w:rsidRPr="00CB67B3">
              <w:rPr>
                <w:rFonts w:ascii="Times New Roman" w:hAnsi="Times New Roman" w:cs="Times New Roman"/>
                <w:sz w:val="20"/>
                <w:szCs w:val="20"/>
              </w:rPr>
              <w:br/>
            </w:r>
          </w:p>
        </w:tc>
      </w:tr>
      <w:tr w:rsidR="009A4E13" w:rsidRPr="00CB67B3" w14:paraId="333FD383" w14:textId="77777777" w:rsidTr="00D17EE0">
        <w:tc>
          <w:tcPr>
            <w:tcW w:w="1620" w:type="dxa"/>
          </w:tcPr>
          <w:p w14:paraId="6044ED45" w14:textId="464DA9C4" w:rsidR="009A4E13" w:rsidRPr="00CB67B3" w:rsidRDefault="00574B47" w:rsidP="00D17EE0">
            <w:pPr>
              <w:jc w:val="both"/>
              <w:rPr>
                <w:rFonts w:ascii="Times New Roman" w:hAnsi="Times New Roman" w:cs="Times New Roman"/>
                <w:sz w:val="20"/>
                <w:szCs w:val="20"/>
              </w:rPr>
            </w:pPr>
            <w:r w:rsidRPr="00CB67B3">
              <w:rPr>
                <w:rFonts w:ascii="Times New Roman" w:hAnsi="Times New Roman" w:cs="Times New Roman"/>
                <w:sz w:val="20"/>
                <w:szCs w:val="20"/>
              </w:rPr>
              <w:lastRenderedPageBreak/>
              <w:t>Sentencia 2467-17-EP/22, de 20 de julio de 2022.     </w:t>
            </w:r>
          </w:p>
        </w:tc>
        <w:tc>
          <w:tcPr>
            <w:tcW w:w="8910" w:type="dxa"/>
          </w:tcPr>
          <w:p w14:paraId="4F4F60C2" w14:textId="28971000" w:rsidR="009A4E13" w:rsidRPr="00CB67B3" w:rsidRDefault="00574B47" w:rsidP="00D17EE0">
            <w:pPr>
              <w:jc w:val="both"/>
              <w:rPr>
                <w:rFonts w:ascii="Times New Roman" w:hAnsi="Times New Roman" w:cs="Times New Roman"/>
                <w:sz w:val="20"/>
                <w:szCs w:val="20"/>
              </w:rPr>
            </w:pPr>
            <w:r w:rsidRPr="00CB67B3">
              <w:rPr>
                <w:rFonts w:ascii="Times New Roman" w:hAnsi="Times New Roman" w:cs="Times New Roman"/>
                <w:sz w:val="20"/>
                <w:szCs w:val="20"/>
              </w:rPr>
              <w:t xml:space="preserve">La Corte señaló estándares sobre la diligencia reforzada en la investigación de casos de violencia sexual contra NNA, señalando que, entre otros aspectos, implica que: i) la declaración de la víctima se realice en un ambiente cómodo y seguro, que le brinde privacidad y confianza; </w:t>
            </w:r>
            <w:proofErr w:type="spellStart"/>
            <w:r w:rsidRPr="00CB67B3">
              <w:rPr>
                <w:rFonts w:ascii="Times New Roman" w:hAnsi="Times New Roman" w:cs="Times New Roman"/>
                <w:sz w:val="20"/>
                <w:szCs w:val="20"/>
              </w:rPr>
              <w:t>ii</w:t>
            </w:r>
            <w:proofErr w:type="spellEnd"/>
            <w:r w:rsidRPr="00CB67B3">
              <w:rPr>
                <w:rFonts w:ascii="Times New Roman" w:hAnsi="Times New Roman" w:cs="Times New Roman"/>
                <w:sz w:val="20"/>
                <w:szCs w:val="20"/>
              </w:rPr>
              <w:t xml:space="preserve">) la declaración de la víctima se registre de forma tal que se evite o limite la necesidad de su repetición; </w:t>
            </w:r>
            <w:proofErr w:type="spellStart"/>
            <w:r w:rsidRPr="00CB67B3">
              <w:rPr>
                <w:rFonts w:ascii="Times New Roman" w:hAnsi="Times New Roman" w:cs="Times New Roman"/>
                <w:sz w:val="20"/>
                <w:szCs w:val="20"/>
              </w:rPr>
              <w:t>iii</w:t>
            </w:r>
            <w:proofErr w:type="spellEnd"/>
            <w:r w:rsidRPr="00CB67B3">
              <w:rPr>
                <w:rFonts w:ascii="Times New Roman" w:hAnsi="Times New Roman" w:cs="Times New Roman"/>
                <w:sz w:val="20"/>
                <w:szCs w:val="20"/>
              </w:rPr>
              <w:t xml:space="preserve">) se brinde atención médica, sanitaria y psicológica a la víctima, tanto de emergencia como de forma continuada si así se requiere, mediante un protocolo de atención cuyo objetivo sea reducir las consecuencias de la violación; </w:t>
            </w:r>
            <w:proofErr w:type="spellStart"/>
            <w:r w:rsidRPr="00CB67B3">
              <w:rPr>
                <w:rFonts w:ascii="Times New Roman" w:hAnsi="Times New Roman" w:cs="Times New Roman"/>
                <w:sz w:val="20"/>
                <w:szCs w:val="20"/>
              </w:rPr>
              <w:t>iv</w:t>
            </w:r>
            <w:proofErr w:type="spellEnd"/>
            <w:r w:rsidRPr="00CB67B3">
              <w:rPr>
                <w:rFonts w:ascii="Times New Roman" w:hAnsi="Times New Roman" w:cs="Times New Roman"/>
                <w:sz w:val="20"/>
                <w:szCs w:val="20"/>
              </w:rPr>
              <w:t>) se realice un examen médico y psicológico completo y detallado por personal idóneo y capacitado, en lo posible del sexo que la víctima indique, ofreciéndole que sea acompañada por alguien de su confianza si así lo desea; v) se documenten y coordinen los actos investigativos y se maneje diligentemente la prueba, tomando muestras suficientes, realizando estudios para determinar la posible autoría del hecho, asegurando otras pruebas como la ropa de la víctima, la investigación inmediata del lugar de los hechos y garantizando la correcta cadena de custodia, y vi) se brinde acceso a asistencia jurídica a la víctima durante todas las etapas del proceso.</w:t>
            </w:r>
          </w:p>
        </w:tc>
      </w:tr>
      <w:tr w:rsidR="009A4E13" w:rsidRPr="00CB67B3" w14:paraId="3FDEAF03" w14:textId="77777777" w:rsidTr="00D17EE0">
        <w:tc>
          <w:tcPr>
            <w:tcW w:w="1620" w:type="dxa"/>
          </w:tcPr>
          <w:p w14:paraId="1D6C94A6" w14:textId="5AFF1FEB" w:rsidR="009A4E13" w:rsidRPr="00CB67B3" w:rsidRDefault="00574B47" w:rsidP="00D17EE0">
            <w:pPr>
              <w:jc w:val="both"/>
              <w:rPr>
                <w:rFonts w:ascii="Times New Roman" w:hAnsi="Times New Roman" w:cs="Times New Roman"/>
                <w:sz w:val="20"/>
                <w:szCs w:val="20"/>
              </w:rPr>
            </w:pPr>
            <w:r w:rsidRPr="00CB67B3">
              <w:rPr>
                <w:rFonts w:ascii="Times New Roman" w:hAnsi="Times New Roman" w:cs="Times New Roman"/>
                <w:sz w:val="20"/>
                <w:szCs w:val="20"/>
              </w:rPr>
              <w:t>Sentencia 184-18-SEP-CC, de 29 de mayo de 2018.   </w:t>
            </w:r>
          </w:p>
        </w:tc>
        <w:tc>
          <w:tcPr>
            <w:tcW w:w="8910" w:type="dxa"/>
          </w:tcPr>
          <w:p w14:paraId="698F7740" w14:textId="1540335C" w:rsidR="009A4E13" w:rsidRPr="00CB67B3" w:rsidRDefault="00574B47" w:rsidP="00D17EE0">
            <w:pPr>
              <w:jc w:val="both"/>
              <w:rPr>
                <w:rFonts w:ascii="Times New Roman" w:hAnsi="Times New Roman" w:cs="Times New Roman"/>
                <w:sz w:val="20"/>
                <w:szCs w:val="20"/>
              </w:rPr>
            </w:pPr>
            <w:r w:rsidRPr="00CB67B3">
              <w:rPr>
                <w:rFonts w:ascii="Times New Roman" w:hAnsi="Times New Roman" w:cs="Times New Roman"/>
                <w:sz w:val="20"/>
                <w:szCs w:val="20"/>
              </w:rPr>
              <w:t>La Corte desarrolló el derecho a la identidad y derecho a la nacionalidad de NNA y señaló que se entiende que el derecho a la identidad se encuentra íntimamente ligado al registro y obtención de una nacionalidad, que permita a las personas, especialmente niños y niñas, la individualización y protección jurídica de sus derechos. El derecho a poseer una nacionalidad es fundamental en la protección del interés superior del niño, en cuanto la nacionalidad es el fundamento de la personalidad jurídica, capacidad política y civil de las personas sobre la cual se dispone su existencia jurídica y el disfrute de su protección, tanto de las facultades inherentes a la dignidad humana como de aquellos derechos propios de niños y niñas en consideración a su especial condición de vulnerabilidad.</w:t>
            </w:r>
          </w:p>
        </w:tc>
      </w:tr>
      <w:tr w:rsidR="00574B47" w:rsidRPr="00CB67B3" w14:paraId="74F61A83" w14:textId="77777777" w:rsidTr="00D17EE0">
        <w:tc>
          <w:tcPr>
            <w:tcW w:w="1620" w:type="dxa"/>
          </w:tcPr>
          <w:p w14:paraId="340937F2" w14:textId="306FA043" w:rsidR="00574B47" w:rsidRPr="00CB67B3" w:rsidRDefault="00574B47" w:rsidP="00D17EE0">
            <w:pPr>
              <w:jc w:val="both"/>
              <w:rPr>
                <w:rFonts w:ascii="Times New Roman" w:hAnsi="Times New Roman" w:cs="Times New Roman"/>
                <w:sz w:val="20"/>
                <w:szCs w:val="20"/>
              </w:rPr>
            </w:pPr>
            <w:r w:rsidRPr="00CB67B3">
              <w:rPr>
                <w:rFonts w:ascii="Times New Roman" w:hAnsi="Times New Roman" w:cs="Times New Roman"/>
                <w:sz w:val="20"/>
                <w:szCs w:val="20"/>
              </w:rPr>
              <w:t>Sentencia 003-18-PJO-CC, de 27 de junio de 2018.      </w:t>
            </w:r>
          </w:p>
        </w:tc>
        <w:tc>
          <w:tcPr>
            <w:tcW w:w="8910" w:type="dxa"/>
          </w:tcPr>
          <w:p w14:paraId="60B40379" w14:textId="2CFAE6A9" w:rsidR="00574B47" w:rsidRPr="00CB67B3" w:rsidRDefault="00574B47" w:rsidP="00D17EE0">
            <w:pPr>
              <w:jc w:val="both"/>
              <w:rPr>
                <w:rFonts w:ascii="Times New Roman" w:hAnsi="Times New Roman" w:cs="Times New Roman"/>
                <w:sz w:val="20"/>
                <w:szCs w:val="20"/>
              </w:rPr>
            </w:pPr>
            <w:r w:rsidRPr="00CB67B3">
              <w:rPr>
                <w:rFonts w:ascii="Times New Roman" w:hAnsi="Times New Roman" w:cs="Times New Roman"/>
                <w:sz w:val="20"/>
                <w:szCs w:val="20"/>
              </w:rPr>
              <w:t xml:space="preserve">Esta sentencia ya fue mencionada en el apartado anterior, sin embargo en esta sección se la resalta por el desarrollo de estándares sobre el derecho a una educación integral para la vida afectiva y sexual de manera que posibilite el bienestar y desarrollo de la persona y el ejercicio de la sexualidad en forma plena, libre, voluntaria e informada “(...) la sociedad o la familia en relación con los derechos sexuales de las y los adolescentes deben permitir una expresión normal de ese impulso sexual, dejando de lado las prohibiciones, represiones y sanciones que regían anteriormente este ámbito y por el contrario, en ejercicio del rol de garantes que ostentan, deben asegurar que las decisiones adoptadas por las y los adolescentes en el ámbito de su salud sexual sean efectivamente libres, responsables, informadas y voluntarias, con todo lo que ello implica. La intervención de los padres, madres o la persona a cuyo cuidado se encuentran, sobre los derechos sexuales y reproductivos de las y los adolescentes, debe encaminarse a dotarles de la guía y las herramientas necesarias y suficientes que les permitan adoptar decisiones libres, informadas y responsables. Por lo tanto, corresponde únicamente a la o el adolescente decidir sobre su vida y salud sexual y reproductiva, fundamentando sus decisiones en las herramientas otorgadas por el Estado, la sociedad y la familia, para la adopción de decisiones libres, informadas y responsables”.  </w:t>
            </w:r>
          </w:p>
        </w:tc>
      </w:tr>
      <w:tr w:rsidR="00574B47" w:rsidRPr="00CB67B3" w14:paraId="1212676F" w14:textId="77777777" w:rsidTr="00D17EE0">
        <w:tc>
          <w:tcPr>
            <w:tcW w:w="1620" w:type="dxa"/>
          </w:tcPr>
          <w:p w14:paraId="3F861E57" w14:textId="1CAFF496" w:rsidR="00574B47" w:rsidRPr="00CB67B3" w:rsidRDefault="00574B47" w:rsidP="00D17EE0">
            <w:pPr>
              <w:jc w:val="both"/>
              <w:rPr>
                <w:rFonts w:ascii="Times New Roman" w:hAnsi="Times New Roman" w:cs="Times New Roman"/>
                <w:sz w:val="20"/>
                <w:szCs w:val="20"/>
              </w:rPr>
            </w:pPr>
            <w:r w:rsidRPr="00CB67B3">
              <w:rPr>
                <w:rFonts w:ascii="Times New Roman" w:hAnsi="Times New Roman" w:cs="Times New Roman"/>
                <w:sz w:val="20"/>
                <w:szCs w:val="20"/>
              </w:rPr>
              <w:t xml:space="preserve">Sentencia 689-19-EP/20, de 22 de julio de 2020.   </w:t>
            </w:r>
          </w:p>
        </w:tc>
        <w:tc>
          <w:tcPr>
            <w:tcW w:w="8910" w:type="dxa"/>
          </w:tcPr>
          <w:p w14:paraId="1746CC25" w14:textId="42F06DC5" w:rsidR="00574B47" w:rsidRPr="00CB67B3" w:rsidRDefault="00574B47" w:rsidP="00D17EE0">
            <w:pPr>
              <w:jc w:val="both"/>
              <w:rPr>
                <w:rFonts w:ascii="Times New Roman" w:hAnsi="Times New Roman" w:cs="Times New Roman"/>
                <w:sz w:val="20"/>
                <w:szCs w:val="20"/>
              </w:rPr>
            </w:pPr>
            <w:r w:rsidRPr="00CB67B3">
              <w:rPr>
                <w:rFonts w:ascii="Times New Roman" w:hAnsi="Times New Roman" w:cs="Times New Roman"/>
                <w:sz w:val="20"/>
                <w:szCs w:val="20"/>
              </w:rPr>
              <w:t>La CC indicó que afectar la estabilidad laboral reforzada de los padres, madres o personas cuidadoras de NNA con discapacidad, provoca una vulneración a los derechos a una protección reforzada como persona con discapacidad, a la atención prioritaria y la salud de NNA, pues dicha estabilidad es condición indispensable para satisfacer la atención y cuidado, que en diferentes ámbitos requieren NNA con discapacidad.</w:t>
            </w:r>
            <w:r w:rsidRPr="00CB67B3">
              <w:rPr>
                <w:rFonts w:ascii="Times New Roman" w:hAnsi="Times New Roman" w:cs="Times New Roman"/>
                <w:sz w:val="20"/>
                <w:szCs w:val="20"/>
              </w:rPr>
              <w:br/>
              <w:t xml:space="preserve">  </w:t>
            </w:r>
            <w:r w:rsidRPr="00CB67B3">
              <w:rPr>
                <w:rFonts w:ascii="Times New Roman" w:hAnsi="Times New Roman" w:cs="Times New Roman"/>
                <w:sz w:val="20"/>
                <w:szCs w:val="20"/>
              </w:rPr>
              <w:br/>
            </w:r>
          </w:p>
        </w:tc>
      </w:tr>
      <w:tr w:rsidR="00574B47" w:rsidRPr="00CB67B3" w14:paraId="449139CF" w14:textId="77777777" w:rsidTr="00D17EE0">
        <w:tc>
          <w:tcPr>
            <w:tcW w:w="1620" w:type="dxa"/>
          </w:tcPr>
          <w:p w14:paraId="2209EC0E" w14:textId="3D5ED566" w:rsidR="00574B47" w:rsidRPr="00CB67B3" w:rsidRDefault="00574B47" w:rsidP="00D17EE0">
            <w:pPr>
              <w:jc w:val="both"/>
              <w:rPr>
                <w:rFonts w:ascii="Times New Roman" w:hAnsi="Times New Roman" w:cs="Times New Roman"/>
                <w:sz w:val="20"/>
                <w:szCs w:val="20"/>
              </w:rPr>
            </w:pPr>
            <w:r w:rsidRPr="00CB67B3">
              <w:rPr>
                <w:rFonts w:ascii="Times New Roman" w:hAnsi="Times New Roman" w:cs="Times New Roman"/>
                <w:sz w:val="20"/>
                <w:szCs w:val="20"/>
              </w:rPr>
              <w:t xml:space="preserve">Sentencia 639-19-JP/20, de 21 de octubre 2020.     </w:t>
            </w:r>
          </w:p>
        </w:tc>
        <w:tc>
          <w:tcPr>
            <w:tcW w:w="8910" w:type="dxa"/>
          </w:tcPr>
          <w:p w14:paraId="7CDD22DB" w14:textId="1733E82D" w:rsidR="00574B47" w:rsidRPr="00CB67B3" w:rsidRDefault="00574B47" w:rsidP="00D17EE0">
            <w:pPr>
              <w:jc w:val="both"/>
              <w:rPr>
                <w:rFonts w:ascii="Times New Roman" w:hAnsi="Times New Roman" w:cs="Times New Roman"/>
                <w:sz w:val="20"/>
                <w:szCs w:val="20"/>
              </w:rPr>
            </w:pPr>
            <w:r w:rsidRPr="00CB67B3">
              <w:rPr>
                <w:rFonts w:ascii="Times New Roman" w:hAnsi="Times New Roman" w:cs="Times New Roman"/>
                <w:sz w:val="20"/>
                <w:szCs w:val="20"/>
              </w:rPr>
              <w:t>La Corte estableció parámetros para el tratamiento de casos relacionados con NNA en contextos de movilidad humana y dijo que se debe: (i) Tratar acorde a su condición de niña o niño y, en caso de duda sobre la edad, considerarlo como menor de edad si es que no se puede determinar la edad por otros medios. (</w:t>
            </w:r>
            <w:proofErr w:type="spellStart"/>
            <w:r w:rsidRPr="00CB67B3">
              <w:rPr>
                <w:rFonts w:ascii="Times New Roman" w:hAnsi="Times New Roman" w:cs="Times New Roman"/>
                <w:sz w:val="20"/>
                <w:szCs w:val="20"/>
              </w:rPr>
              <w:t>ii</w:t>
            </w:r>
            <w:proofErr w:type="spellEnd"/>
            <w:r w:rsidRPr="00CB67B3">
              <w:rPr>
                <w:rFonts w:ascii="Times New Roman" w:hAnsi="Times New Roman" w:cs="Times New Roman"/>
                <w:sz w:val="20"/>
                <w:szCs w:val="20"/>
              </w:rPr>
              <w:t>) Brindar protección si es que el niño o niña no se encuentra acompañada por una persona adulta encargada de su protección. (</w:t>
            </w:r>
            <w:proofErr w:type="spellStart"/>
            <w:r w:rsidRPr="00CB67B3">
              <w:rPr>
                <w:rFonts w:ascii="Times New Roman" w:hAnsi="Times New Roman" w:cs="Times New Roman"/>
                <w:sz w:val="20"/>
                <w:szCs w:val="20"/>
              </w:rPr>
              <w:t>iii</w:t>
            </w:r>
            <w:proofErr w:type="spellEnd"/>
            <w:r w:rsidRPr="00CB67B3">
              <w:rPr>
                <w:rFonts w:ascii="Times New Roman" w:hAnsi="Times New Roman" w:cs="Times New Roman"/>
                <w:sz w:val="20"/>
                <w:szCs w:val="20"/>
              </w:rPr>
              <w:t>) Considerar si el niño o niña está en condición de ser persona refugiada, apátrida o en situación de vulnerabilidad, para garantizar la protección que fuere necesaria a sus derechos. (</w:t>
            </w:r>
            <w:proofErr w:type="spellStart"/>
            <w:r w:rsidRPr="00CB67B3">
              <w:rPr>
                <w:rFonts w:ascii="Times New Roman" w:hAnsi="Times New Roman" w:cs="Times New Roman"/>
                <w:sz w:val="20"/>
                <w:szCs w:val="20"/>
              </w:rPr>
              <w:t>iv</w:t>
            </w:r>
            <w:proofErr w:type="spellEnd"/>
            <w:r w:rsidRPr="00CB67B3">
              <w:rPr>
                <w:rFonts w:ascii="Times New Roman" w:hAnsi="Times New Roman" w:cs="Times New Roman"/>
                <w:sz w:val="20"/>
                <w:szCs w:val="20"/>
              </w:rPr>
              <w:t xml:space="preserve">) Asegurar la </w:t>
            </w:r>
            <w:r w:rsidRPr="00CB67B3">
              <w:rPr>
                <w:rFonts w:ascii="Times New Roman" w:hAnsi="Times New Roman" w:cs="Times New Roman"/>
                <w:sz w:val="20"/>
                <w:szCs w:val="20"/>
              </w:rPr>
              <w:lastRenderedPageBreak/>
              <w:t xml:space="preserve">confidencialidad de la información.  </w:t>
            </w:r>
            <w:r w:rsidRPr="00CB67B3">
              <w:rPr>
                <w:rFonts w:ascii="Times New Roman" w:hAnsi="Times New Roman" w:cs="Times New Roman"/>
                <w:sz w:val="20"/>
                <w:szCs w:val="20"/>
              </w:rPr>
              <w:br/>
            </w:r>
          </w:p>
          <w:p w14:paraId="71B1943F" w14:textId="77777777" w:rsidR="00574B47" w:rsidRPr="00CB67B3" w:rsidRDefault="00574B47" w:rsidP="00D17EE0">
            <w:pPr>
              <w:jc w:val="both"/>
              <w:rPr>
                <w:rFonts w:ascii="Times New Roman" w:hAnsi="Times New Roman" w:cs="Times New Roman"/>
                <w:sz w:val="20"/>
                <w:szCs w:val="20"/>
              </w:rPr>
            </w:pPr>
          </w:p>
        </w:tc>
      </w:tr>
      <w:tr w:rsidR="00574B47" w:rsidRPr="00CB67B3" w14:paraId="45D52524" w14:textId="77777777" w:rsidTr="00D17EE0">
        <w:tc>
          <w:tcPr>
            <w:tcW w:w="1620" w:type="dxa"/>
          </w:tcPr>
          <w:p w14:paraId="20C6CD9B" w14:textId="3620A2E3" w:rsidR="00574B47" w:rsidRPr="00CB67B3" w:rsidRDefault="00574B47" w:rsidP="00D17EE0">
            <w:pPr>
              <w:jc w:val="both"/>
              <w:rPr>
                <w:rFonts w:ascii="Times New Roman" w:hAnsi="Times New Roman" w:cs="Times New Roman"/>
                <w:sz w:val="20"/>
                <w:szCs w:val="20"/>
              </w:rPr>
            </w:pPr>
            <w:r w:rsidRPr="00CB67B3">
              <w:rPr>
                <w:rFonts w:ascii="Times New Roman" w:hAnsi="Times New Roman" w:cs="Times New Roman"/>
                <w:sz w:val="20"/>
                <w:szCs w:val="20"/>
              </w:rPr>
              <w:lastRenderedPageBreak/>
              <w:t>Sentencia 202-19-JH/21, de 24 de febrero 2021.   </w:t>
            </w:r>
          </w:p>
        </w:tc>
        <w:tc>
          <w:tcPr>
            <w:tcW w:w="8910" w:type="dxa"/>
          </w:tcPr>
          <w:p w14:paraId="05CA8822" w14:textId="4CD22D4C" w:rsidR="00574B47" w:rsidRPr="00CB67B3" w:rsidRDefault="00574B47" w:rsidP="00D17EE0">
            <w:pPr>
              <w:jc w:val="both"/>
              <w:rPr>
                <w:rFonts w:ascii="Times New Roman" w:hAnsi="Times New Roman" w:cs="Times New Roman"/>
                <w:sz w:val="20"/>
                <w:szCs w:val="20"/>
              </w:rPr>
            </w:pPr>
            <w:r w:rsidRPr="00CB67B3">
              <w:rPr>
                <w:rFonts w:ascii="Times New Roman" w:hAnsi="Times New Roman" w:cs="Times New Roman"/>
                <w:sz w:val="20"/>
                <w:szCs w:val="20"/>
              </w:rPr>
              <w:t>La CC analizó y desarrolló el alcance de la acción de hábeas corpus correctivo cuando se ha dispuesto el acogimiento institucional como medida de protección; el derecho a un debido cuidado de los niños, niñas y adolescentes; así como las personas y entidades responsables de garantizarlo, en función del principio de interés superior, de los derechos al desarrollo integral y a ser escuchado; y, determinó la reparación integral que procede en estos casos. Adicionalmente, la Corte consideró ciertos aspectos del sistema jurídico ecuatoriano que tienen relación directa con los derechos de los niños, niñas y adolescentes, tales como la doctrina de la protección integral, la prohibición de discriminación y la desigualdad estructural que afectan a personas en situación de extrema vulnerabilidad, el derecho a la libertad y a la excepcionalidad de la institucionalización.</w:t>
            </w:r>
            <w:r w:rsidRPr="00CB67B3">
              <w:rPr>
                <w:rFonts w:ascii="Times New Roman" w:hAnsi="Times New Roman" w:cs="Times New Roman"/>
                <w:sz w:val="20"/>
                <w:szCs w:val="20"/>
              </w:rPr>
              <w:br/>
              <w:t xml:space="preserve">  </w:t>
            </w:r>
            <w:r w:rsidRPr="00CB67B3">
              <w:rPr>
                <w:rFonts w:ascii="Times New Roman" w:hAnsi="Times New Roman" w:cs="Times New Roman"/>
                <w:sz w:val="20"/>
                <w:szCs w:val="20"/>
              </w:rPr>
              <w:br/>
            </w:r>
          </w:p>
        </w:tc>
      </w:tr>
      <w:tr w:rsidR="00574B47" w:rsidRPr="00CB67B3" w14:paraId="456B74DE" w14:textId="77777777" w:rsidTr="00D17EE0">
        <w:tc>
          <w:tcPr>
            <w:tcW w:w="1620" w:type="dxa"/>
          </w:tcPr>
          <w:p w14:paraId="3599669C" w14:textId="599625A3" w:rsidR="00574B47" w:rsidRPr="00CB67B3" w:rsidRDefault="00574B47" w:rsidP="00D17EE0">
            <w:pPr>
              <w:jc w:val="both"/>
              <w:rPr>
                <w:rFonts w:ascii="Times New Roman" w:hAnsi="Times New Roman" w:cs="Times New Roman"/>
                <w:sz w:val="20"/>
                <w:szCs w:val="20"/>
              </w:rPr>
            </w:pPr>
            <w:r w:rsidRPr="00CB67B3">
              <w:rPr>
                <w:rFonts w:ascii="Times New Roman" w:hAnsi="Times New Roman" w:cs="Times New Roman"/>
                <w:sz w:val="20"/>
                <w:szCs w:val="20"/>
              </w:rPr>
              <w:t>Sentencia 456-20-JP/21, de 10 de noviembre 2021.     </w:t>
            </w:r>
          </w:p>
        </w:tc>
        <w:tc>
          <w:tcPr>
            <w:tcW w:w="8910" w:type="dxa"/>
          </w:tcPr>
          <w:p w14:paraId="0C72C31F" w14:textId="7363E005" w:rsidR="00574B47" w:rsidRPr="00CB67B3" w:rsidRDefault="00574B47" w:rsidP="00D17EE0">
            <w:pPr>
              <w:jc w:val="both"/>
              <w:rPr>
                <w:rFonts w:ascii="Times New Roman" w:hAnsi="Times New Roman" w:cs="Times New Roman"/>
                <w:sz w:val="20"/>
                <w:szCs w:val="20"/>
              </w:rPr>
            </w:pPr>
            <w:r w:rsidRPr="00CB67B3">
              <w:rPr>
                <w:rFonts w:ascii="Times New Roman" w:hAnsi="Times New Roman" w:cs="Times New Roman"/>
                <w:sz w:val="20"/>
                <w:szCs w:val="20"/>
              </w:rPr>
              <w:t xml:space="preserve">La CC examinó el caso de una estudiante que, debido al reenvío de fotos íntimas de una compañera de colegio desde su teléfono (sexting), fue sancionada con la suspensión y retiro de su dispositivo electrónico. La Corte declaró la vulneración del debido proceso y precisó que la decisión de suspender la educación debe ser proporcional, cumplir un fin holístico e incluir actividades reflexivas y restaurativas en la convivencia escolar. La CC analizó los procedimientos sancionatorios en el ámbito educativo, a la luz de la justicia restaurativa y el derecho al debido proceso y sus garantías, en cuatro partes: 1) hechos, definición y tipos de sexting; 2) las comunidades de aprendizaje, la justicia restaurativa y sus principios, y, los códigos de convivencia; 3) el derecho al debido proceso en contextos educativos, entre otros, el derecho de los NNA a ser escuchados, en observancia al trámite propio; y 4) la reparación integral.  </w:t>
            </w:r>
            <w:r w:rsidRPr="00CB67B3">
              <w:rPr>
                <w:rFonts w:ascii="Times New Roman" w:hAnsi="Times New Roman" w:cs="Times New Roman"/>
                <w:sz w:val="20"/>
                <w:szCs w:val="20"/>
              </w:rPr>
              <w:br/>
            </w:r>
          </w:p>
          <w:p w14:paraId="590239AD" w14:textId="77777777" w:rsidR="00574B47" w:rsidRPr="00CB67B3" w:rsidRDefault="00574B47" w:rsidP="00D17EE0">
            <w:pPr>
              <w:jc w:val="both"/>
              <w:rPr>
                <w:rFonts w:ascii="Times New Roman" w:hAnsi="Times New Roman" w:cs="Times New Roman"/>
                <w:sz w:val="20"/>
                <w:szCs w:val="20"/>
              </w:rPr>
            </w:pPr>
          </w:p>
        </w:tc>
      </w:tr>
      <w:tr w:rsidR="00574B47" w:rsidRPr="00CB67B3" w14:paraId="15F8EE75" w14:textId="77777777" w:rsidTr="00D17EE0">
        <w:tc>
          <w:tcPr>
            <w:tcW w:w="1620" w:type="dxa"/>
          </w:tcPr>
          <w:p w14:paraId="2FD7A396" w14:textId="75A48E8A" w:rsidR="00574B47" w:rsidRPr="00CB67B3" w:rsidRDefault="00574B47" w:rsidP="00D17EE0">
            <w:pPr>
              <w:jc w:val="both"/>
              <w:rPr>
                <w:rFonts w:ascii="Times New Roman" w:hAnsi="Times New Roman" w:cs="Times New Roman"/>
                <w:sz w:val="20"/>
                <w:szCs w:val="20"/>
              </w:rPr>
            </w:pPr>
            <w:r w:rsidRPr="00CB67B3">
              <w:rPr>
                <w:rFonts w:ascii="Times New Roman" w:hAnsi="Times New Roman" w:cs="Times New Roman"/>
                <w:sz w:val="20"/>
                <w:szCs w:val="20"/>
              </w:rPr>
              <w:t>Sentencia 456-20-JP/21, de 10 de noviembre 2021.     </w:t>
            </w:r>
          </w:p>
        </w:tc>
        <w:tc>
          <w:tcPr>
            <w:tcW w:w="8910" w:type="dxa"/>
          </w:tcPr>
          <w:p w14:paraId="7EAB8ACE" w14:textId="1A8EDC42" w:rsidR="00574B47" w:rsidRPr="00CB67B3" w:rsidRDefault="00574B47" w:rsidP="00D17EE0">
            <w:pPr>
              <w:jc w:val="both"/>
              <w:rPr>
                <w:rFonts w:ascii="Times New Roman" w:hAnsi="Times New Roman" w:cs="Times New Roman"/>
                <w:sz w:val="20"/>
                <w:szCs w:val="20"/>
              </w:rPr>
            </w:pPr>
            <w:r w:rsidRPr="00CB67B3">
              <w:rPr>
                <w:rFonts w:ascii="Times New Roman" w:hAnsi="Times New Roman" w:cs="Times New Roman"/>
                <w:sz w:val="20"/>
                <w:szCs w:val="20"/>
              </w:rPr>
              <w:t xml:space="preserve">La CC examinó el caso de una estudiante que, debido al reenvío de fotos íntimas de una compañera de colegio desde su teléfono (sexting), fue sancionada con la suspensión y retiro de su dispositivo electrónico. La Corte declaró la vulneración del debido proceso y precisó que la decisión de suspender la educación debe ser proporcional, cumplir un fin holístico e incluir actividades reflexivas y restaurativas en la convivencia escolar. La CC analizó los procedimientos sancionatorios en el ámbito educativo, a la luz de la justicia restaurativa y el derecho al debido proceso y sus garantías, en cuatro partes: 1) hechos, definición y tipos de sexting; 2) las comunidades de aprendizaje, la justicia restaurativa y sus principios, y, los códigos de convivencia; 3) el derecho al debido proceso en contextos educativos, entre otros, el derecho de los NNA a ser escuchados, en observancia al trámite propio; y 4) la reparación integral.  </w:t>
            </w:r>
          </w:p>
        </w:tc>
      </w:tr>
      <w:tr w:rsidR="00574B47" w:rsidRPr="00CB67B3" w14:paraId="08DC405B" w14:textId="77777777" w:rsidTr="00D17EE0">
        <w:tc>
          <w:tcPr>
            <w:tcW w:w="1620" w:type="dxa"/>
          </w:tcPr>
          <w:p w14:paraId="45C225F4" w14:textId="2856F841" w:rsidR="00574B47" w:rsidRPr="00CB67B3" w:rsidRDefault="00574B47" w:rsidP="00D17EE0">
            <w:pPr>
              <w:jc w:val="both"/>
              <w:rPr>
                <w:rFonts w:ascii="Times New Roman" w:hAnsi="Times New Roman" w:cs="Times New Roman"/>
                <w:sz w:val="20"/>
                <w:szCs w:val="20"/>
              </w:rPr>
            </w:pPr>
            <w:r w:rsidRPr="00CB67B3">
              <w:rPr>
                <w:rFonts w:ascii="Times New Roman" w:hAnsi="Times New Roman" w:cs="Times New Roman"/>
                <w:sz w:val="20"/>
                <w:szCs w:val="20"/>
              </w:rPr>
              <w:t>Sentencia 13-18-CN/21, de 15 de diciembre de 2021</w:t>
            </w:r>
          </w:p>
        </w:tc>
        <w:tc>
          <w:tcPr>
            <w:tcW w:w="8910" w:type="dxa"/>
          </w:tcPr>
          <w:p w14:paraId="4436E42C" w14:textId="3EF7CBFE" w:rsidR="00574B47" w:rsidRPr="00CB67B3" w:rsidRDefault="00574B47" w:rsidP="00D17EE0">
            <w:pPr>
              <w:jc w:val="both"/>
              <w:rPr>
                <w:rFonts w:ascii="Times New Roman" w:hAnsi="Times New Roman" w:cs="Times New Roman"/>
                <w:sz w:val="20"/>
                <w:szCs w:val="20"/>
              </w:rPr>
            </w:pPr>
            <w:r w:rsidRPr="00CB67B3">
              <w:rPr>
                <w:rFonts w:ascii="Times New Roman" w:hAnsi="Times New Roman" w:cs="Times New Roman"/>
                <w:sz w:val="20"/>
                <w:szCs w:val="20"/>
              </w:rPr>
              <w:t>La Corte declaró la inconstitucionalidad aditiva del art. 175 numeral 5 del COIP, la cual prescribía que, para efectos de determinar la existencia de delitos sexuales contra adolescentes, el consentimiento es irrelevante. Además, estableció que la evaluación del consentimiento es relevante para determinar si existe una conducta que debe ser penalmente sancionable o si es el resultado de la evolución de las facultades para ejercer sus derechos. A partir de la doctrina de la protección integral y mediante el test de proporcionalidad, la Corte señaló que la norma consultada, al generalizar que el consentimiento en todo acto sexual realizado por una persona menor de dieciocho años es irrelevante, desconoce su calidad de sujeto de derechos; ya que, en la medida en que desarrollan su capacidad y madurez para ejercerlos, pueden mantener relaciones sexuales consentidas, libres e informadas. Se establecieron parámetros para valorar si tal consentimiento es válido o se encuentra viciado. Con efectos generales y hacia futuro, la Corte determinó que el texto del art. 175 numeral 5 del COIP será el siguiente: “Art. 175.- Disposiciones comunes a los delitos contra la integridad sexual y reproductiva. - Para los delitos previstos en esta Sección se observarán las siguientes disposiciones comunes: (…) 5. En los delitos sexuales, el consentimiento dado por la víctima menor de dieciocho años de edad es irrelevante, excepto en los casos de personas mayores de catorce años que se encuentren en capacidad de consentir en una relación sexual”.</w:t>
            </w:r>
          </w:p>
        </w:tc>
      </w:tr>
      <w:tr w:rsidR="00574B47" w:rsidRPr="00CB67B3" w14:paraId="37D0792D" w14:textId="77777777" w:rsidTr="00D17EE0">
        <w:tc>
          <w:tcPr>
            <w:tcW w:w="1620" w:type="dxa"/>
          </w:tcPr>
          <w:p w14:paraId="192D91EC" w14:textId="17A91CD6" w:rsidR="00574B47" w:rsidRPr="00CB67B3" w:rsidRDefault="00574B47" w:rsidP="00D17EE0">
            <w:pPr>
              <w:jc w:val="both"/>
              <w:rPr>
                <w:rFonts w:ascii="Times New Roman" w:hAnsi="Times New Roman" w:cs="Times New Roman"/>
                <w:sz w:val="20"/>
                <w:szCs w:val="20"/>
              </w:rPr>
            </w:pPr>
            <w:r w:rsidRPr="00CB67B3">
              <w:rPr>
                <w:rFonts w:ascii="Times New Roman" w:hAnsi="Times New Roman" w:cs="Times New Roman"/>
                <w:sz w:val="20"/>
                <w:szCs w:val="20"/>
              </w:rPr>
              <w:t>Sentencia 785-20-JP/22, de 19 de enero 2022.   </w:t>
            </w:r>
          </w:p>
        </w:tc>
        <w:tc>
          <w:tcPr>
            <w:tcW w:w="8910" w:type="dxa"/>
          </w:tcPr>
          <w:p w14:paraId="15F0348E" w14:textId="32704238" w:rsidR="00574B47" w:rsidRPr="00CB67B3" w:rsidRDefault="00574B47" w:rsidP="00D17EE0">
            <w:pPr>
              <w:jc w:val="both"/>
              <w:rPr>
                <w:rFonts w:ascii="Times New Roman" w:hAnsi="Times New Roman" w:cs="Times New Roman"/>
                <w:sz w:val="20"/>
                <w:szCs w:val="20"/>
              </w:rPr>
            </w:pPr>
            <w:r w:rsidRPr="00CB67B3">
              <w:rPr>
                <w:rFonts w:ascii="Times New Roman" w:hAnsi="Times New Roman" w:cs="Times New Roman"/>
                <w:sz w:val="20"/>
                <w:szCs w:val="20"/>
              </w:rPr>
              <w:t xml:space="preserve">La Corte examinó una acción de protección presentada por el padre de un estudiante que fue sometido a un proceso disciplinario por haber creado una cuenta en la red social Instagram de memes sobre su institución educativa. Este organismo declaró vulnerados los derechos del estudiante al debido proceso, en las garantías de ser escuchado y que su opinión sea seriamente considerada y de prohibición de </w:t>
            </w:r>
            <w:proofErr w:type="spellStart"/>
            <w:r w:rsidRPr="00CB67B3">
              <w:rPr>
                <w:rFonts w:ascii="Times New Roman" w:hAnsi="Times New Roman" w:cs="Times New Roman"/>
                <w:sz w:val="20"/>
                <w:szCs w:val="20"/>
              </w:rPr>
              <w:t>autoincriminarse</w:t>
            </w:r>
            <w:proofErr w:type="spellEnd"/>
            <w:r w:rsidRPr="00CB67B3">
              <w:rPr>
                <w:rFonts w:ascii="Times New Roman" w:hAnsi="Times New Roman" w:cs="Times New Roman"/>
                <w:sz w:val="20"/>
                <w:szCs w:val="20"/>
              </w:rPr>
              <w:t xml:space="preserve">, a la libertad de expresión y a la tutela judicial efectiva. La Corte analizó los procedimientos sancionatorios en el ámbito educativo, en función de los siguientes aspectos: 1) hechos del caso; 2) derecho al debido proceso en procesos disciplinarios en contextos educativos, derecho a ser escuchado, a la defensa, a no </w:t>
            </w:r>
            <w:proofErr w:type="spellStart"/>
            <w:r w:rsidRPr="00CB67B3">
              <w:rPr>
                <w:rFonts w:ascii="Times New Roman" w:hAnsi="Times New Roman" w:cs="Times New Roman"/>
                <w:sz w:val="20"/>
                <w:szCs w:val="20"/>
              </w:rPr>
              <w:t>autoincriminarse</w:t>
            </w:r>
            <w:proofErr w:type="spellEnd"/>
            <w:r w:rsidRPr="00CB67B3">
              <w:rPr>
                <w:rFonts w:ascii="Times New Roman" w:hAnsi="Times New Roman" w:cs="Times New Roman"/>
                <w:sz w:val="20"/>
                <w:szCs w:val="20"/>
              </w:rPr>
              <w:t xml:space="preserve"> </w:t>
            </w:r>
            <w:r w:rsidRPr="00CB67B3">
              <w:rPr>
                <w:rFonts w:ascii="Times New Roman" w:hAnsi="Times New Roman" w:cs="Times New Roman"/>
                <w:sz w:val="20"/>
                <w:szCs w:val="20"/>
              </w:rPr>
              <w:lastRenderedPageBreak/>
              <w:t>y el principio de interés superior del niño; 3) derecho a la libertad de expresión en el internet y redes sociales en contextos educativos; 4) derecho a la tutela judicial efectiva; y, 5) reparaciones.</w:t>
            </w:r>
            <w:r w:rsidRPr="00CB67B3">
              <w:rPr>
                <w:rFonts w:ascii="Times New Roman" w:hAnsi="Times New Roman" w:cs="Times New Roman"/>
                <w:sz w:val="20"/>
                <w:szCs w:val="20"/>
              </w:rPr>
              <w:br/>
              <w:t>En archivo adjunto el informe. </w:t>
            </w:r>
          </w:p>
          <w:p w14:paraId="0443CB07" w14:textId="77777777" w:rsidR="00574B47" w:rsidRPr="00CB67B3" w:rsidRDefault="00574B47" w:rsidP="00D17EE0">
            <w:pPr>
              <w:jc w:val="both"/>
              <w:rPr>
                <w:rFonts w:ascii="Times New Roman" w:hAnsi="Times New Roman" w:cs="Times New Roman"/>
                <w:sz w:val="20"/>
                <w:szCs w:val="20"/>
              </w:rPr>
            </w:pPr>
          </w:p>
        </w:tc>
      </w:tr>
    </w:tbl>
    <w:p w14:paraId="5C48A049" w14:textId="72C0AFC1" w:rsidR="00D8375D" w:rsidRPr="00D17EE0" w:rsidRDefault="00D8375D" w:rsidP="00D17EE0">
      <w:pPr>
        <w:jc w:val="both"/>
        <w:rPr>
          <w:rFonts w:ascii="Times New Roman" w:hAnsi="Times New Roman" w:cs="Times New Roman"/>
          <w:sz w:val="20"/>
          <w:szCs w:val="20"/>
        </w:rPr>
      </w:pPr>
    </w:p>
    <w:p w14:paraId="6BA3D13D" w14:textId="69CC438E" w:rsidR="00D8375D" w:rsidRPr="00D17EE0" w:rsidRDefault="00D8375D" w:rsidP="00D17EE0">
      <w:pPr>
        <w:jc w:val="both"/>
        <w:rPr>
          <w:rFonts w:ascii="Times New Roman" w:hAnsi="Times New Roman" w:cs="Times New Roman"/>
          <w:sz w:val="20"/>
          <w:szCs w:val="20"/>
        </w:rPr>
      </w:pPr>
      <w:r w:rsidRPr="00D17EE0">
        <w:rPr>
          <w:rFonts w:ascii="Times New Roman" w:hAnsi="Times New Roman" w:cs="Times New Roman"/>
          <w:sz w:val="20"/>
          <w:szCs w:val="20"/>
        </w:rPr>
        <w:br/>
      </w:r>
    </w:p>
    <w:p w14:paraId="36C6F2D4" w14:textId="77777777" w:rsidR="00D8375D" w:rsidRPr="00D17EE0" w:rsidRDefault="00D8375D" w:rsidP="00D17EE0">
      <w:pPr>
        <w:jc w:val="both"/>
        <w:rPr>
          <w:rFonts w:ascii="Times New Roman" w:hAnsi="Times New Roman" w:cs="Times New Roman"/>
          <w:sz w:val="20"/>
          <w:szCs w:val="20"/>
        </w:rPr>
      </w:pPr>
    </w:p>
    <w:sectPr w:rsidR="00D8375D" w:rsidRPr="00D17EE0" w:rsidSect="00CA6CA3">
      <w:headerReference w:type="default" r:id="rId7"/>
      <w:footerReference w:type="default" r:id="rId8"/>
      <w:pgSz w:w="12240" w:h="15840"/>
      <w:pgMar w:top="1417" w:right="540" w:bottom="1417"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6957F6" w14:textId="77777777" w:rsidR="00E83A28" w:rsidRDefault="00E83A28" w:rsidP="00D17EE0">
      <w:pPr>
        <w:spacing w:after="0" w:line="240" w:lineRule="auto"/>
      </w:pPr>
      <w:r>
        <w:separator/>
      </w:r>
    </w:p>
  </w:endnote>
  <w:endnote w:type="continuationSeparator" w:id="0">
    <w:p w14:paraId="1A8F094F" w14:textId="77777777" w:rsidR="00E83A28" w:rsidRDefault="00E83A28" w:rsidP="00D17E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9493534"/>
      <w:docPartObj>
        <w:docPartGallery w:val="Page Numbers (Bottom of Page)"/>
        <w:docPartUnique/>
      </w:docPartObj>
    </w:sdtPr>
    <w:sdtEndPr/>
    <w:sdtContent>
      <w:p w14:paraId="31014843" w14:textId="77C5C7A9" w:rsidR="00D17EE0" w:rsidRDefault="00D17EE0">
        <w:pPr>
          <w:pStyle w:val="Piedepgina"/>
          <w:jc w:val="center"/>
        </w:pPr>
        <w:r>
          <w:fldChar w:fldCharType="begin"/>
        </w:r>
        <w:r>
          <w:instrText>PAGE   \* MERGEFORMAT</w:instrText>
        </w:r>
        <w:r>
          <w:fldChar w:fldCharType="separate"/>
        </w:r>
        <w:r>
          <w:rPr>
            <w:lang w:val="es-ES"/>
          </w:rPr>
          <w:t>2</w:t>
        </w:r>
        <w:r>
          <w:fldChar w:fldCharType="end"/>
        </w:r>
      </w:p>
    </w:sdtContent>
  </w:sdt>
  <w:p w14:paraId="7B8B8738" w14:textId="77777777" w:rsidR="00D17EE0" w:rsidRDefault="00D17EE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295871" w14:textId="77777777" w:rsidR="00E83A28" w:rsidRDefault="00E83A28" w:rsidP="00D17EE0">
      <w:pPr>
        <w:spacing w:after="0" w:line="240" w:lineRule="auto"/>
      </w:pPr>
      <w:r>
        <w:separator/>
      </w:r>
    </w:p>
  </w:footnote>
  <w:footnote w:type="continuationSeparator" w:id="0">
    <w:p w14:paraId="588ED775" w14:textId="77777777" w:rsidR="00E83A28" w:rsidRDefault="00E83A28" w:rsidP="00D17E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774099" w14:textId="33E0E16C" w:rsidR="00D17EE0" w:rsidRPr="00A42E7E" w:rsidRDefault="00A42E7E" w:rsidP="00A42E7E">
    <w:pPr>
      <w:pStyle w:val="Encabezado"/>
      <w:rPr>
        <w:rFonts w:ascii="Times New Roman" w:hAnsi="Times New Roman" w:cs="Times New Roman"/>
        <w:sz w:val="20"/>
        <w:szCs w:val="20"/>
      </w:rPr>
    </w:pPr>
    <w:r w:rsidRPr="00A42E7E">
      <w:rPr>
        <w:rFonts w:ascii="Times New Roman" w:hAnsi="Times New Roman" w:cs="Times New Roman"/>
        <w:sz w:val="20"/>
        <w:szCs w:val="20"/>
      </w:rPr>
      <w:t xml:space="preserve">Anexo </w:t>
    </w:r>
    <w:r w:rsidR="00D565F5">
      <w:rPr>
        <w:rFonts w:ascii="Times New Roman" w:hAnsi="Times New Roman" w:cs="Times New Roman"/>
        <w:sz w:val="20"/>
        <w:szCs w:val="20"/>
      </w:rPr>
      <w:t>4</w:t>
    </w:r>
    <w:r w:rsidRPr="00A42E7E">
      <w:rPr>
        <w:rFonts w:ascii="Times New Roman" w:hAnsi="Times New Roman" w:cs="Times New Roman"/>
        <w:sz w:val="20"/>
        <w:szCs w:val="20"/>
      </w:rPr>
      <w:t xml:space="preserve"> párrafo 4 </w:t>
    </w:r>
    <w:proofErr w:type="gramStart"/>
    <w:r w:rsidRPr="00A42E7E">
      <w:rPr>
        <w:rFonts w:ascii="Times New Roman" w:hAnsi="Times New Roman" w:cs="Times New Roman"/>
        <w:sz w:val="20"/>
        <w:szCs w:val="20"/>
      </w:rPr>
      <w:t>b)_</w:t>
    </w:r>
    <w:proofErr w:type="gramEnd"/>
    <w:r w:rsidRPr="00A42E7E">
      <w:rPr>
        <w:rFonts w:ascii="Times New Roman" w:hAnsi="Times New Roman" w:cs="Times New Roman"/>
        <w:sz w:val="20"/>
        <w:szCs w:val="20"/>
      </w:rPr>
      <w:t>sentencias Corte Constitucional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E83FFA"/>
    <w:multiLevelType w:val="hybridMultilevel"/>
    <w:tmpl w:val="EA149E66"/>
    <w:lvl w:ilvl="0" w:tplc="540A000B">
      <w:start w:val="1"/>
      <w:numFmt w:val="bullet"/>
      <w:lvlText w:val=""/>
      <w:lvlJc w:val="left"/>
      <w:pPr>
        <w:ind w:left="720" w:hanging="360"/>
      </w:pPr>
      <w:rPr>
        <w:rFonts w:ascii="Wingdings" w:hAnsi="Wingdings"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1" w15:restartNumberingAfterBreak="0">
    <w:nsid w:val="297C2433"/>
    <w:multiLevelType w:val="hybridMultilevel"/>
    <w:tmpl w:val="F83A9600"/>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2" w15:restartNumberingAfterBreak="0">
    <w:nsid w:val="2BED60BC"/>
    <w:multiLevelType w:val="hybridMultilevel"/>
    <w:tmpl w:val="F9860D40"/>
    <w:lvl w:ilvl="0" w:tplc="540A000B">
      <w:start w:val="1"/>
      <w:numFmt w:val="bullet"/>
      <w:lvlText w:val=""/>
      <w:lvlJc w:val="left"/>
      <w:pPr>
        <w:ind w:left="720" w:hanging="360"/>
      </w:pPr>
      <w:rPr>
        <w:rFonts w:ascii="Wingdings" w:hAnsi="Wingdings"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3" w15:restartNumberingAfterBreak="0">
    <w:nsid w:val="3E2C4FAE"/>
    <w:multiLevelType w:val="hybridMultilevel"/>
    <w:tmpl w:val="2F2C3378"/>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4" w15:restartNumberingAfterBreak="0">
    <w:nsid w:val="42AB68AB"/>
    <w:multiLevelType w:val="hybridMultilevel"/>
    <w:tmpl w:val="5E4E697A"/>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5" w15:restartNumberingAfterBreak="0">
    <w:nsid w:val="45453B4E"/>
    <w:multiLevelType w:val="hybridMultilevel"/>
    <w:tmpl w:val="A45019C4"/>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375D"/>
    <w:rsid w:val="00574B47"/>
    <w:rsid w:val="009A4E13"/>
    <w:rsid w:val="00A42E7E"/>
    <w:rsid w:val="00AD09C3"/>
    <w:rsid w:val="00B954AE"/>
    <w:rsid w:val="00C308C9"/>
    <w:rsid w:val="00CA6CA3"/>
    <w:rsid w:val="00CB67B3"/>
    <w:rsid w:val="00D17EE0"/>
    <w:rsid w:val="00D565F5"/>
    <w:rsid w:val="00D8375D"/>
    <w:rsid w:val="00E83A28"/>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16885"/>
  <w15:chartTrackingRefBased/>
  <w15:docId w15:val="{C8E5C187-EC6E-44C2-AB3E-E2E64FD3C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375D"/>
  </w:style>
  <w:style w:type="paragraph" w:styleId="Ttulo1">
    <w:name w:val="heading 1"/>
    <w:basedOn w:val="Normal"/>
    <w:next w:val="Normal"/>
    <w:link w:val="Ttulo1Car"/>
    <w:uiPriority w:val="9"/>
    <w:qFormat/>
    <w:rsid w:val="00CA6CA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D837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D8375D"/>
    <w:rPr>
      <w:color w:val="0563C1" w:themeColor="hyperlink"/>
      <w:u w:val="single"/>
    </w:rPr>
  </w:style>
  <w:style w:type="character" w:styleId="Mencinsinresolver">
    <w:name w:val="Unresolved Mention"/>
    <w:basedOn w:val="Fuentedeprrafopredeter"/>
    <w:uiPriority w:val="99"/>
    <w:semiHidden/>
    <w:unhideWhenUsed/>
    <w:rsid w:val="00D8375D"/>
    <w:rPr>
      <w:color w:val="605E5C"/>
      <w:shd w:val="clear" w:color="auto" w:fill="E1DFDD"/>
    </w:rPr>
  </w:style>
  <w:style w:type="character" w:styleId="Hipervnculovisitado">
    <w:name w:val="FollowedHyperlink"/>
    <w:basedOn w:val="Fuentedeprrafopredeter"/>
    <w:uiPriority w:val="99"/>
    <w:semiHidden/>
    <w:unhideWhenUsed/>
    <w:rsid w:val="00D8375D"/>
    <w:rPr>
      <w:color w:val="954F72" w:themeColor="followedHyperlink"/>
      <w:u w:val="single"/>
    </w:rPr>
  </w:style>
  <w:style w:type="character" w:customStyle="1" w:styleId="Ttulo1Car">
    <w:name w:val="Título 1 Car"/>
    <w:basedOn w:val="Fuentedeprrafopredeter"/>
    <w:link w:val="Ttulo1"/>
    <w:uiPriority w:val="9"/>
    <w:rsid w:val="00CA6CA3"/>
    <w:rPr>
      <w:rFonts w:asciiTheme="majorHAnsi" w:eastAsiaTheme="majorEastAsia" w:hAnsiTheme="majorHAnsi" w:cstheme="majorBidi"/>
      <w:color w:val="2F5496" w:themeColor="accent1" w:themeShade="BF"/>
      <w:sz w:val="32"/>
      <w:szCs w:val="32"/>
    </w:rPr>
  </w:style>
  <w:style w:type="paragraph" w:styleId="Sinespaciado">
    <w:name w:val="No Spacing"/>
    <w:uiPriority w:val="1"/>
    <w:qFormat/>
    <w:rsid w:val="00CA6CA3"/>
    <w:pPr>
      <w:spacing w:after="0" w:line="240" w:lineRule="auto"/>
    </w:pPr>
  </w:style>
  <w:style w:type="character" w:styleId="Textoennegrita">
    <w:name w:val="Strong"/>
    <w:basedOn w:val="Fuentedeprrafopredeter"/>
    <w:uiPriority w:val="22"/>
    <w:qFormat/>
    <w:rsid w:val="00CA6CA3"/>
    <w:rPr>
      <w:b/>
      <w:bCs/>
    </w:rPr>
  </w:style>
  <w:style w:type="paragraph" w:styleId="Prrafodelista">
    <w:name w:val="List Paragraph"/>
    <w:basedOn w:val="Normal"/>
    <w:uiPriority w:val="34"/>
    <w:qFormat/>
    <w:rsid w:val="009A4E13"/>
    <w:pPr>
      <w:ind w:left="720"/>
      <w:contextualSpacing/>
    </w:pPr>
  </w:style>
  <w:style w:type="paragraph" w:styleId="Encabezado">
    <w:name w:val="header"/>
    <w:basedOn w:val="Normal"/>
    <w:link w:val="EncabezadoCar"/>
    <w:uiPriority w:val="99"/>
    <w:unhideWhenUsed/>
    <w:rsid w:val="00D17EE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17EE0"/>
  </w:style>
  <w:style w:type="paragraph" w:styleId="Piedepgina">
    <w:name w:val="footer"/>
    <w:basedOn w:val="Normal"/>
    <w:link w:val="PiedepginaCar"/>
    <w:uiPriority w:val="99"/>
    <w:unhideWhenUsed/>
    <w:rsid w:val="00D17EE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17E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5</Pages>
  <Words>3170</Words>
  <Characters>17439</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Almeida Unda</dc:creator>
  <cp:keywords/>
  <dc:description/>
  <cp:lastModifiedBy>Alexandra Almeida Unda</cp:lastModifiedBy>
  <cp:revision>5</cp:revision>
  <dcterms:created xsi:type="dcterms:W3CDTF">2023-05-25T03:09:00Z</dcterms:created>
  <dcterms:modified xsi:type="dcterms:W3CDTF">2023-06-03T04:56:00Z</dcterms:modified>
</cp:coreProperties>
</file>