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10"/>
        <w:gridCol w:w="6308"/>
      </w:tblGrid>
      <w:tr w:rsidR="00012A52" w:rsidRPr="003977C8" w:rsidTr="00F625BD">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12A52" w:rsidRPr="003977C8" w:rsidRDefault="00012A52" w:rsidP="00E00E0F">
            <w:pPr>
              <w:spacing w:line="240" w:lineRule="auto"/>
              <w:rPr>
                <w:rFonts w:asciiTheme="minorHAnsi" w:eastAsia="Times New Roman" w:hAnsiTheme="minorHAnsi" w:cs="Arial"/>
                <w:color w:val="000000" w:themeColor="text1"/>
                <w:lang w:eastAsia="es-CL"/>
              </w:rPr>
            </w:pPr>
            <w:r w:rsidRPr="003977C8">
              <w:rPr>
                <w:rFonts w:asciiTheme="minorHAnsi" w:eastAsia="Times New Roman" w:hAnsiTheme="minorHAnsi" w:cs="Arial"/>
                <w:noProof/>
                <w:color w:val="000000" w:themeColor="text1"/>
                <w:lang w:eastAsia="es-CL"/>
              </w:rPr>
              <w:drawing>
                <wp:inline distT="0" distB="0" distL="0" distR="0" wp14:anchorId="3743CD51" wp14:editId="3F287ECF">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2A52" w:rsidRPr="003977C8" w:rsidRDefault="00012A52" w:rsidP="00E00E0F">
            <w:pPr>
              <w:spacing w:line="240" w:lineRule="auto"/>
              <w:jc w:val="center"/>
              <w:rPr>
                <w:rFonts w:asciiTheme="minorHAnsi" w:eastAsia="Times New Roman" w:hAnsiTheme="minorHAnsi" w:cs="Arial"/>
                <w:b/>
                <w:bCs/>
                <w:color w:val="000000" w:themeColor="text1"/>
                <w:lang w:eastAsia="es-CL"/>
              </w:rPr>
            </w:pPr>
            <w:r w:rsidRPr="003977C8">
              <w:rPr>
                <w:rFonts w:asciiTheme="minorHAnsi" w:eastAsia="Times New Roman" w:hAnsiTheme="minorHAnsi" w:cs="Arial"/>
                <w:b/>
                <w:bCs/>
                <w:color w:val="000000" w:themeColor="text1"/>
                <w:lang w:eastAsia="es-CL"/>
              </w:rPr>
              <w:t xml:space="preserve">Informe Complementario sobre la aplicación de la Convención Internacional sobre </w:t>
            </w:r>
            <w:r w:rsidRPr="00012A52">
              <w:rPr>
                <w:rFonts w:asciiTheme="minorHAnsi" w:eastAsia="Times New Roman" w:hAnsiTheme="minorHAnsi" w:cs="Arial"/>
                <w:b/>
                <w:bCs/>
                <w:color w:val="000000" w:themeColor="text1"/>
                <w:lang w:eastAsia="es-CL"/>
              </w:rPr>
              <w:t xml:space="preserve">la protección de los derechos de </w:t>
            </w:r>
            <w:r>
              <w:rPr>
                <w:rFonts w:asciiTheme="minorHAnsi" w:eastAsia="Times New Roman" w:hAnsiTheme="minorHAnsi" w:cs="Arial"/>
                <w:b/>
                <w:bCs/>
                <w:color w:val="000000" w:themeColor="text1"/>
                <w:lang w:eastAsia="es-CL"/>
              </w:rPr>
              <w:t>t</w:t>
            </w:r>
            <w:r w:rsidRPr="00012A52">
              <w:rPr>
                <w:rFonts w:asciiTheme="minorHAnsi" w:eastAsia="Times New Roman" w:hAnsiTheme="minorHAnsi" w:cs="Arial"/>
                <w:b/>
                <w:bCs/>
                <w:color w:val="000000" w:themeColor="text1"/>
                <w:lang w:eastAsia="es-CL"/>
              </w:rPr>
              <w:t>odos/as los/as Trabajadores/as Migratorios/as y de sus Familias</w:t>
            </w:r>
          </w:p>
          <w:p w:rsidR="00012A52" w:rsidRPr="003977C8" w:rsidRDefault="00012A52" w:rsidP="00E00E0F">
            <w:pPr>
              <w:spacing w:line="240" w:lineRule="auto"/>
              <w:jc w:val="center"/>
              <w:rPr>
                <w:rFonts w:asciiTheme="minorHAnsi" w:eastAsia="Times New Roman" w:hAnsiTheme="minorHAnsi" w:cs="Arial"/>
                <w:b/>
                <w:bCs/>
                <w:color w:val="000000" w:themeColor="text1"/>
                <w:lang w:eastAsia="es-CL"/>
              </w:rPr>
            </w:pPr>
          </w:p>
          <w:p w:rsidR="00012A52" w:rsidRPr="003977C8" w:rsidRDefault="00012A52" w:rsidP="00E00E0F">
            <w:pPr>
              <w:spacing w:line="240" w:lineRule="auto"/>
              <w:jc w:val="center"/>
              <w:rPr>
                <w:rFonts w:asciiTheme="minorHAnsi" w:eastAsia="Times New Roman" w:hAnsiTheme="minorHAnsi" w:cs="Arial"/>
                <w:b/>
                <w:bCs/>
                <w:color w:val="000000" w:themeColor="text1"/>
                <w:lang w:eastAsia="es-CL"/>
              </w:rPr>
            </w:pPr>
            <w:r>
              <w:rPr>
                <w:rFonts w:asciiTheme="minorHAnsi" w:eastAsia="Times New Roman" w:hAnsiTheme="minorHAnsi" w:cs="Arial"/>
                <w:b/>
                <w:bCs/>
                <w:color w:val="000000" w:themeColor="text1"/>
                <w:lang w:eastAsia="es-CL"/>
              </w:rPr>
              <w:t>Segundo I</w:t>
            </w:r>
            <w:r w:rsidRPr="003977C8">
              <w:rPr>
                <w:rFonts w:asciiTheme="minorHAnsi" w:eastAsia="Times New Roman" w:hAnsiTheme="minorHAnsi" w:cs="Arial"/>
                <w:b/>
                <w:bCs/>
                <w:color w:val="000000" w:themeColor="text1"/>
                <w:lang w:eastAsia="es-CL"/>
              </w:rPr>
              <w:t xml:space="preserve">nforme </w:t>
            </w:r>
            <w:r>
              <w:rPr>
                <w:rFonts w:asciiTheme="minorHAnsi" w:eastAsia="Times New Roman" w:hAnsiTheme="minorHAnsi" w:cs="Arial"/>
                <w:b/>
                <w:bCs/>
                <w:color w:val="000000" w:themeColor="text1"/>
                <w:lang w:eastAsia="es-CL"/>
              </w:rPr>
              <w:t>P</w:t>
            </w:r>
            <w:r w:rsidRPr="003977C8">
              <w:rPr>
                <w:rFonts w:asciiTheme="minorHAnsi" w:eastAsia="Times New Roman" w:hAnsiTheme="minorHAnsi" w:cs="Arial"/>
                <w:b/>
                <w:bCs/>
                <w:color w:val="000000" w:themeColor="text1"/>
                <w:lang w:eastAsia="es-CL"/>
              </w:rPr>
              <w:t>eriódico</w:t>
            </w:r>
            <w:r>
              <w:rPr>
                <w:rFonts w:asciiTheme="minorHAnsi" w:eastAsia="Times New Roman" w:hAnsiTheme="minorHAnsi" w:cs="Arial"/>
                <w:b/>
                <w:bCs/>
                <w:color w:val="000000" w:themeColor="text1"/>
                <w:lang w:eastAsia="es-CL"/>
              </w:rPr>
              <w:t xml:space="preserve"> de Chile</w:t>
            </w:r>
          </w:p>
          <w:p w:rsidR="00012A52" w:rsidRPr="003977C8" w:rsidRDefault="00012A52" w:rsidP="00E00E0F">
            <w:pPr>
              <w:spacing w:line="240" w:lineRule="auto"/>
              <w:jc w:val="center"/>
              <w:rPr>
                <w:rFonts w:asciiTheme="minorHAnsi" w:eastAsia="Times New Roman" w:hAnsiTheme="minorHAnsi" w:cs="Arial"/>
                <w:bCs/>
                <w:i/>
                <w:color w:val="000000" w:themeColor="text1"/>
                <w:lang w:eastAsia="es-CL"/>
              </w:rPr>
            </w:pPr>
          </w:p>
          <w:p w:rsidR="00012A52" w:rsidRPr="003977C8" w:rsidRDefault="00012A52" w:rsidP="00E00E0F">
            <w:pPr>
              <w:spacing w:line="240" w:lineRule="auto"/>
              <w:jc w:val="center"/>
              <w:rPr>
                <w:rFonts w:asciiTheme="minorHAnsi" w:eastAsia="Times New Roman" w:hAnsiTheme="minorHAnsi" w:cs="Arial"/>
                <w:b/>
                <w:bCs/>
                <w:color w:val="000000" w:themeColor="text1"/>
                <w:lang w:eastAsia="es-CL"/>
              </w:rPr>
            </w:pPr>
            <w:r w:rsidRPr="003977C8">
              <w:rPr>
                <w:rFonts w:asciiTheme="minorHAnsi" w:eastAsia="Times New Roman" w:hAnsiTheme="minorHAnsi" w:cs="Arial"/>
                <w:bCs/>
                <w:i/>
                <w:color w:val="000000" w:themeColor="text1"/>
                <w:lang w:eastAsia="es-CL"/>
              </w:rPr>
              <w:t>Informe elaborado por el Instituto Nacional de Derechos Humanos de Chile</w:t>
            </w:r>
            <w:r w:rsidRPr="003977C8">
              <w:rPr>
                <w:rStyle w:val="Refdenotaalpie"/>
                <w:rFonts w:asciiTheme="minorHAnsi" w:eastAsia="Times New Roman" w:hAnsiTheme="minorHAnsi" w:cs="Arial"/>
                <w:bCs/>
                <w:i/>
                <w:color w:val="000000" w:themeColor="text1"/>
                <w:lang w:eastAsia="es-CL"/>
              </w:rPr>
              <w:footnoteReference w:id="1"/>
            </w:r>
          </w:p>
        </w:tc>
      </w:tr>
    </w:tbl>
    <w:p w:rsidR="00012A52" w:rsidRPr="003977C8" w:rsidRDefault="00012A52" w:rsidP="00E00E0F">
      <w:pPr>
        <w:spacing w:line="240" w:lineRule="auto"/>
        <w:rPr>
          <w:rFonts w:asciiTheme="minorHAnsi" w:hAnsiTheme="minorHAnsi"/>
          <w:color w:val="000000" w:themeColor="text1"/>
        </w:rPr>
      </w:pPr>
    </w:p>
    <w:p w:rsidR="00012A52" w:rsidRPr="003977C8" w:rsidRDefault="00012A52" w:rsidP="00E00E0F">
      <w:pPr>
        <w:spacing w:line="240" w:lineRule="auto"/>
        <w:rPr>
          <w:rFonts w:asciiTheme="minorHAnsi" w:hAnsiTheme="minorHAnsi"/>
          <w:color w:val="000000" w:themeColor="text1"/>
        </w:rPr>
      </w:pPr>
    </w:p>
    <w:p w:rsidR="00012A52" w:rsidRPr="003977C8" w:rsidRDefault="00012A52" w:rsidP="00E00E0F">
      <w:pPr>
        <w:snapToGrid w:val="0"/>
        <w:spacing w:line="240" w:lineRule="auto"/>
        <w:mirrorIndents/>
        <w:rPr>
          <w:rFonts w:asciiTheme="minorHAnsi" w:hAnsiTheme="minorHAnsi"/>
          <w:b/>
          <w:color w:val="000000" w:themeColor="text1"/>
        </w:rPr>
      </w:pPr>
      <w:r w:rsidRPr="003977C8">
        <w:rPr>
          <w:rFonts w:asciiTheme="minorHAnsi" w:hAnsiTheme="minorHAnsi"/>
          <w:b/>
          <w:color w:val="000000" w:themeColor="text1"/>
        </w:rPr>
        <w:t>Aspectos preliminares</w:t>
      </w:r>
    </w:p>
    <w:p w:rsidR="00012A52" w:rsidRPr="003977C8" w:rsidRDefault="00012A52" w:rsidP="00E00E0F">
      <w:pPr>
        <w:snapToGrid w:val="0"/>
        <w:spacing w:line="240" w:lineRule="auto"/>
        <w:mirrorIndents/>
        <w:rPr>
          <w:rFonts w:asciiTheme="minorHAnsi" w:hAnsiTheme="minorHAnsi"/>
          <w:i/>
          <w:color w:val="000000" w:themeColor="text1"/>
        </w:rPr>
      </w:pPr>
    </w:p>
    <w:p w:rsidR="00816957" w:rsidRPr="00E00E0F" w:rsidRDefault="00012A52" w:rsidP="00E00E0F">
      <w:pPr>
        <w:pStyle w:val="Prrafodelista"/>
        <w:numPr>
          <w:ilvl w:val="0"/>
          <w:numId w:val="1"/>
        </w:numPr>
        <w:snapToGrid w:val="0"/>
        <w:spacing w:line="240" w:lineRule="auto"/>
        <w:contextualSpacing w:val="0"/>
        <w:mirrorIndents/>
      </w:pPr>
      <w:r w:rsidRPr="00E00E0F">
        <w:rPr>
          <w:color w:val="000000" w:themeColor="text1"/>
        </w:rPr>
        <w:t xml:space="preserve">Mediante el presente informe, el Instituto Nacional de Derechos Humanos (INDH), organismo autónomo del Estado, creado por la Ley N° 20.405 del año 2009, cuya misión es la promoción y protección de los derechos humanos de las personas que habitan en Chile, efectúa el seguimiento a las observaciones que el Comité de Protección de los Derechos de Todos/as los Trabajadores/as Migratorios/as y de sus Familiares realizó al Estado de Chile en </w:t>
      </w:r>
      <w:r w:rsidR="00816957" w:rsidRPr="00E00E0F">
        <w:rPr>
          <w:color w:val="000000" w:themeColor="text1"/>
        </w:rPr>
        <w:t>octubre</w:t>
      </w:r>
      <w:r w:rsidRPr="00E00E0F">
        <w:rPr>
          <w:color w:val="000000" w:themeColor="text1"/>
        </w:rPr>
        <w:t xml:space="preserve"> de 201</w:t>
      </w:r>
      <w:r w:rsidR="00816957" w:rsidRPr="00E00E0F">
        <w:rPr>
          <w:color w:val="000000" w:themeColor="text1"/>
        </w:rPr>
        <w:t>1</w:t>
      </w:r>
      <w:r w:rsidRPr="00E00E0F">
        <w:rPr>
          <w:color w:val="000000" w:themeColor="text1"/>
        </w:rPr>
        <w:t xml:space="preserve"> (</w:t>
      </w:r>
      <w:r w:rsidR="00816957" w:rsidRPr="00E00E0F">
        <w:rPr>
          <w:color w:val="000000" w:themeColor="text1"/>
        </w:rPr>
        <w:t>CMW/C/CHL/CO/1</w:t>
      </w:r>
      <w:r w:rsidRPr="00E00E0F">
        <w:rPr>
          <w:color w:val="000000" w:themeColor="text1"/>
        </w:rPr>
        <w:t xml:space="preserve">). Este documento tiene como propósito otorgar información relevante sobre los avances y las materias pendientes respecto a la aplicación de la Convención </w:t>
      </w:r>
      <w:r w:rsidR="00A51850" w:rsidRPr="00E00E0F">
        <w:rPr>
          <w:color w:val="000000" w:themeColor="text1"/>
        </w:rPr>
        <w:t xml:space="preserve">Internacional sobre la protección de los derechos de todos/as los/as Trabajadores/as Migratorios/as y de sus Familias </w:t>
      </w:r>
      <w:r w:rsidRPr="00E00E0F">
        <w:rPr>
          <w:color w:val="000000" w:themeColor="text1"/>
        </w:rPr>
        <w:t xml:space="preserve">en el país, con la finalidad de que estos antecedentes sean considerados en el </w:t>
      </w:r>
      <w:r w:rsidR="00A51850" w:rsidRPr="00E00E0F">
        <w:rPr>
          <w:color w:val="000000" w:themeColor="text1"/>
        </w:rPr>
        <w:t xml:space="preserve">32° período de sesiones a realizarse entre el 30 de marzo y el 9 de abril de 2020, </w:t>
      </w:r>
      <w:r w:rsidR="00D63295" w:rsidRPr="00E00E0F">
        <w:rPr>
          <w:color w:val="000000" w:themeColor="text1"/>
        </w:rPr>
        <w:t xml:space="preserve">fecha </w:t>
      </w:r>
      <w:r w:rsidR="00A51850" w:rsidRPr="00E00E0F">
        <w:rPr>
          <w:color w:val="000000" w:themeColor="text1"/>
        </w:rPr>
        <w:t>en que se examinará el segundo informe periódico de Chile.</w:t>
      </w:r>
      <w:r w:rsidR="00A51850" w:rsidRPr="003977C8">
        <w:rPr>
          <w:rStyle w:val="Refdenotaalpie"/>
          <w:color w:val="000000" w:themeColor="text1"/>
        </w:rPr>
        <w:footnoteReference w:id="2"/>
      </w:r>
      <w:r w:rsidR="00816957" w:rsidRPr="00E00E0F">
        <w:rPr>
          <w:color w:val="000000" w:themeColor="text1"/>
        </w:rPr>
        <w:t xml:space="preserve"> </w:t>
      </w:r>
    </w:p>
    <w:p w:rsidR="00E00E0F" w:rsidRDefault="00E00E0F" w:rsidP="00E00E0F">
      <w:pPr>
        <w:pStyle w:val="Prrafodelista"/>
        <w:snapToGrid w:val="0"/>
        <w:spacing w:line="240" w:lineRule="auto"/>
        <w:ind w:left="360"/>
        <w:contextualSpacing w:val="0"/>
        <w:mirrorIndents/>
      </w:pPr>
    </w:p>
    <w:p w:rsidR="00816957" w:rsidRDefault="00816957" w:rsidP="00E00E0F">
      <w:pPr>
        <w:snapToGrid w:val="0"/>
        <w:spacing w:line="240" w:lineRule="auto"/>
        <w:mirrorIndents/>
      </w:pPr>
    </w:p>
    <w:p w:rsidR="004E289C" w:rsidRPr="004E289C" w:rsidRDefault="004E289C" w:rsidP="00E00E0F">
      <w:pPr>
        <w:pStyle w:val="Prrafodelista"/>
        <w:numPr>
          <w:ilvl w:val="0"/>
          <w:numId w:val="4"/>
        </w:numPr>
        <w:snapToGrid w:val="0"/>
        <w:spacing w:line="240" w:lineRule="auto"/>
        <w:mirrorIndents/>
        <w:rPr>
          <w:b/>
          <w:bCs/>
        </w:rPr>
      </w:pPr>
      <w:r w:rsidRPr="004E289C">
        <w:rPr>
          <w:b/>
          <w:bCs/>
        </w:rPr>
        <w:t>Medidas generales de aplicación (artículos 73 y 84)</w:t>
      </w:r>
    </w:p>
    <w:p w:rsidR="004E289C" w:rsidRDefault="004E289C" w:rsidP="00E00E0F">
      <w:pPr>
        <w:snapToGrid w:val="0"/>
        <w:spacing w:line="240" w:lineRule="auto"/>
        <w:mirrorIndents/>
        <w:rPr>
          <w:b/>
          <w:bCs/>
        </w:rPr>
      </w:pPr>
    </w:p>
    <w:p w:rsidR="00816957" w:rsidRDefault="004E289C" w:rsidP="00E00E0F">
      <w:pPr>
        <w:snapToGrid w:val="0"/>
        <w:spacing w:line="240" w:lineRule="auto"/>
        <w:mirrorIndents/>
        <w:rPr>
          <w:b/>
          <w:bCs/>
        </w:rPr>
      </w:pPr>
      <w:r w:rsidRPr="004E289C">
        <w:rPr>
          <w:b/>
          <w:bCs/>
        </w:rPr>
        <w:t>Legislación y aplicación</w:t>
      </w:r>
    </w:p>
    <w:p w:rsidR="004E289C" w:rsidRPr="004E289C" w:rsidRDefault="004E289C" w:rsidP="00E00E0F">
      <w:pPr>
        <w:snapToGrid w:val="0"/>
        <w:spacing w:line="240" w:lineRule="auto"/>
        <w:mirrorIndents/>
        <w:rPr>
          <w:b/>
          <w:bCs/>
        </w:rPr>
      </w:pPr>
    </w:p>
    <w:p w:rsidR="004E289C" w:rsidRPr="00D16E33" w:rsidRDefault="004E289C" w:rsidP="00E00E0F">
      <w:pPr>
        <w:pStyle w:val="Prrafodelista"/>
        <w:numPr>
          <w:ilvl w:val="0"/>
          <w:numId w:val="1"/>
        </w:numPr>
        <w:spacing w:line="240" w:lineRule="auto"/>
        <w:rPr>
          <w:color w:val="000000" w:themeColor="text1"/>
          <w:lang w:eastAsia="es-CL"/>
        </w:rPr>
      </w:pPr>
      <w:r w:rsidRPr="003977C8">
        <w:rPr>
          <w:color w:val="000000" w:themeColor="text1"/>
        </w:rPr>
        <w:t>Actualmente se tramita en el parlament</w:t>
      </w:r>
      <w:r w:rsidRPr="00AB0AF9">
        <w:rPr>
          <w:color w:val="000000" w:themeColor="text1"/>
        </w:rPr>
        <w:t>o el Proyecto de Ley de Migración y Extranjería (</w:t>
      </w:r>
      <w:r w:rsidRPr="003977C8">
        <w:rPr>
          <w:color w:val="000000" w:themeColor="text1"/>
        </w:rPr>
        <w:t>Boletín 8970-06)</w:t>
      </w:r>
      <w:r>
        <w:rPr>
          <w:color w:val="000000" w:themeColor="text1"/>
        </w:rPr>
        <w:t xml:space="preserve">, el cual </w:t>
      </w:r>
      <w:r w:rsidRPr="003977C8">
        <w:rPr>
          <w:color w:val="000000" w:themeColor="text1"/>
        </w:rPr>
        <w:t>se encuentra en segundo trámite constitucional</w:t>
      </w:r>
      <w:r>
        <w:rPr>
          <w:color w:val="000000" w:themeColor="text1"/>
        </w:rPr>
        <w:t xml:space="preserve"> en el Senado</w:t>
      </w:r>
      <w:r w:rsidRPr="003977C8">
        <w:rPr>
          <w:color w:val="000000" w:themeColor="text1"/>
        </w:rPr>
        <w:t xml:space="preserve">. </w:t>
      </w:r>
      <w:r>
        <w:rPr>
          <w:color w:val="000000" w:themeColor="text1"/>
        </w:rPr>
        <w:t>La iniciativa</w:t>
      </w:r>
      <w:r w:rsidRPr="003977C8">
        <w:rPr>
          <w:color w:val="000000" w:themeColor="text1"/>
        </w:rPr>
        <w:t xml:space="preserve"> constituye un importante avance</w:t>
      </w:r>
      <w:r>
        <w:rPr>
          <w:color w:val="000000" w:themeColor="text1"/>
        </w:rPr>
        <w:t xml:space="preserve"> en lo que refiere a la incorporación en la normativa interna de los </w:t>
      </w:r>
      <w:r w:rsidRPr="00D65150">
        <w:rPr>
          <w:color w:val="000000" w:themeColor="text1"/>
        </w:rPr>
        <w:t>estándares internacionales de derechos humanos en la materia, hecho que se valora positivamente.</w:t>
      </w:r>
      <w:r>
        <w:rPr>
          <w:color w:val="000000" w:themeColor="text1"/>
        </w:rPr>
        <w:t xml:space="preserve"> </w:t>
      </w:r>
      <w:r w:rsidRPr="00D65150">
        <w:rPr>
          <w:color w:val="000000" w:themeColor="text1"/>
        </w:rPr>
        <w:t xml:space="preserve">Sin perjuicio de ello, el INDH ha precisado </w:t>
      </w:r>
      <w:r w:rsidRPr="00D16E33">
        <w:rPr>
          <w:color w:val="000000" w:themeColor="text1"/>
        </w:rPr>
        <w:t xml:space="preserve">que contiene algunas normas para abordar la migración que podrían producir situaciones en las que no se garanticen los derechos humanos de las personas migrantes que viven en el país, por lo cual se ha recomendado: permitir que las personas puedan optar a una visa por motivos laborales aun cuando no la hayan solicitado en el país de origen previamente a su llegada a Chile; eliminar el requisito de  permanecer en el país de manera continua por al menos 24 meses para acceder a prestaciones de seguridad social y beneficios de cargo fiscal; explicitar que las visas consulares deben fundarse sobre la base de criterios objetivos y razonables, teniendo presente el principio de proporcionalidad y el respeto de derechos humanos; abordar la naturaleza amplia del principio </w:t>
      </w:r>
      <w:r w:rsidRPr="00D16E33">
        <w:rPr>
          <w:color w:val="000000" w:themeColor="text1"/>
        </w:rPr>
        <w:lastRenderedPageBreak/>
        <w:t>de no devolución, mencionándolo explícitamente en los artículos referentes a prohibiciones de ingreso y procedimientos de expulsión o "devolución asistida"; excluir de las prohibiciones de ingreso a aquellas personas que habiendo cometido delitos ya cumplieron su condena, así como a aquellas que mantienen procesos judiciales pendientes, de manera de respetar el derecho a la reinserción social y a la presunción de inocencia, respectivamente; crear una institucionalidad migratoria basada en la protección y respeto de los derechos de las personas migrantes que cuente con los recursos adecuados para enfrentar los nuevos desafíos que presentan los crecientes flujos migratorios.</w:t>
      </w:r>
      <w:r w:rsidRPr="00D16E33">
        <w:rPr>
          <w:rStyle w:val="Refdenotaalpie"/>
          <w:color w:val="000000" w:themeColor="text1"/>
        </w:rPr>
        <w:footnoteReference w:id="3"/>
      </w:r>
      <w:r w:rsidR="00343539">
        <w:rPr>
          <w:color w:val="000000" w:themeColor="text1"/>
        </w:rPr>
        <w:t xml:space="preserve"> </w:t>
      </w:r>
      <w:r w:rsidRPr="00D16E33">
        <w:rPr>
          <w:rStyle w:val="Refdenotaalpie"/>
          <w:color w:val="000000" w:themeColor="text1"/>
        </w:rPr>
        <w:footnoteReference w:id="4"/>
      </w:r>
    </w:p>
    <w:p w:rsidR="007C643A" w:rsidRPr="001D5FDF" w:rsidRDefault="007C643A" w:rsidP="00E00E0F">
      <w:pPr>
        <w:pStyle w:val="Prrafodelista"/>
        <w:numPr>
          <w:ilvl w:val="0"/>
          <w:numId w:val="1"/>
        </w:numPr>
        <w:spacing w:line="240" w:lineRule="auto"/>
      </w:pPr>
      <w:r>
        <w:t xml:space="preserve">Hasta la fecha, </w:t>
      </w:r>
      <w:bookmarkStart w:id="0" w:name="_Hlk34321147"/>
      <w:r>
        <w:t>el Estado no ha formulado la declaración prevista en los artículos 76 y 77 de la Convención.</w:t>
      </w:r>
      <w:bookmarkEnd w:id="0"/>
      <w:r>
        <w:t xml:space="preserve"> El INDH no cuenta con información relativa a la voluntad del Ejecutivo para declarar el reconocimiento de competencia del Comité para recibir denuncias respecto de otros Estados ni comunicaciones individuales. </w:t>
      </w:r>
    </w:p>
    <w:p w:rsidR="004E289C" w:rsidRDefault="004E289C" w:rsidP="00E00E0F">
      <w:pPr>
        <w:snapToGrid w:val="0"/>
        <w:spacing w:line="240" w:lineRule="auto"/>
        <w:mirrorIndents/>
      </w:pPr>
    </w:p>
    <w:p w:rsidR="00E20F49" w:rsidRDefault="00E20F49" w:rsidP="00E00E0F">
      <w:pPr>
        <w:snapToGrid w:val="0"/>
        <w:spacing w:line="240" w:lineRule="auto"/>
        <w:mirrorIndents/>
      </w:pPr>
    </w:p>
    <w:p w:rsidR="00CF39AE" w:rsidRDefault="004E289C" w:rsidP="00E00E0F">
      <w:pPr>
        <w:spacing w:line="240" w:lineRule="auto"/>
        <w:rPr>
          <w:rFonts w:asciiTheme="minorHAnsi" w:hAnsiTheme="minorHAnsi"/>
          <w:b/>
          <w:color w:val="000000" w:themeColor="text1"/>
        </w:rPr>
      </w:pPr>
      <w:r w:rsidRPr="004E289C">
        <w:rPr>
          <w:rFonts w:asciiTheme="minorHAnsi" w:hAnsiTheme="minorHAnsi"/>
          <w:b/>
          <w:color w:val="000000" w:themeColor="text1"/>
        </w:rPr>
        <w:t>Recopilación de datos</w:t>
      </w:r>
    </w:p>
    <w:p w:rsidR="004E289C" w:rsidRPr="003977C8" w:rsidRDefault="004E289C" w:rsidP="00E00E0F">
      <w:pPr>
        <w:spacing w:line="240" w:lineRule="auto"/>
        <w:rPr>
          <w:rFonts w:asciiTheme="minorHAnsi" w:hAnsiTheme="minorHAnsi"/>
          <w:color w:val="000000" w:themeColor="text1"/>
        </w:rPr>
      </w:pPr>
    </w:p>
    <w:p w:rsidR="00CF39AE" w:rsidRPr="003977C8" w:rsidRDefault="00CF39AE" w:rsidP="00E00E0F">
      <w:pPr>
        <w:pStyle w:val="Prrafodelista"/>
        <w:numPr>
          <w:ilvl w:val="0"/>
          <w:numId w:val="1"/>
        </w:numPr>
        <w:spacing w:line="240" w:lineRule="auto"/>
        <w:rPr>
          <w:color w:val="000000" w:themeColor="text1"/>
        </w:rPr>
      </w:pPr>
      <w:r w:rsidRPr="003977C8">
        <w:rPr>
          <w:color w:val="000000" w:themeColor="text1"/>
        </w:rPr>
        <w:t xml:space="preserve">La </w:t>
      </w:r>
      <w:r w:rsidRPr="00AB0AF9">
        <w:rPr>
          <w:color w:val="000000" w:themeColor="text1"/>
        </w:rPr>
        <w:t>medición censal de</w:t>
      </w:r>
      <w:r w:rsidRPr="003977C8">
        <w:rPr>
          <w:color w:val="000000" w:themeColor="text1"/>
        </w:rPr>
        <w:t xml:space="preserve"> 2017 incluyó preguntas que permiten contar con estadísticas nacionales respecto </w:t>
      </w:r>
      <w:r w:rsidR="007C643A">
        <w:rPr>
          <w:color w:val="000000" w:themeColor="text1"/>
        </w:rPr>
        <w:t>a</w:t>
      </w:r>
      <w:r w:rsidRPr="003977C8">
        <w:rPr>
          <w:color w:val="000000" w:themeColor="text1"/>
        </w:rPr>
        <w:t xml:space="preserve"> la cantidad de personas </w:t>
      </w:r>
      <w:r w:rsidR="007C643A" w:rsidRPr="003977C8">
        <w:rPr>
          <w:color w:val="000000" w:themeColor="text1"/>
        </w:rPr>
        <w:t>nacidas en el extranjero</w:t>
      </w:r>
      <w:r w:rsidRPr="003977C8">
        <w:rPr>
          <w:color w:val="000000" w:themeColor="text1"/>
        </w:rPr>
        <w:t xml:space="preserve"> que residen en el país (4,35% </w:t>
      </w:r>
      <w:r w:rsidR="00D40671">
        <w:rPr>
          <w:color w:val="000000" w:themeColor="text1"/>
        </w:rPr>
        <w:t>de la población nacional</w:t>
      </w:r>
      <w:r w:rsidRPr="003977C8">
        <w:rPr>
          <w:color w:val="000000" w:themeColor="text1"/>
        </w:rPr>
        <w:t>)</w:t>
      </w:r>
      <w:r w:rsidRPr="003977C8">
        <w:rPr>
          <w:rStyle w:val="Refdenotaalpie"/>
          <w:color w:val="000000" w:themeColor="text1"/>
        </w:rPr>
        <w:footnoteReference w:id="5"/>
      </w:r>
      <w:r w:rsidRPr="003977C8">
        <w:rPr>
          <w:color w:val="000000" w:themeColor="text1"/>
        </w:rPr>
        <w:t>. La Encuesta de Caracterización Socioeconómica 2017 (CASEN), también consideró consultas para determinar a la población migrante</w:t>
      </w:r>
      <w:r w:rsidRPr="003977C8">
        <w:rPr>
          <w:rStyle w:val="Refdenotaalpie"/>
          <w:color w:val="000000" w:themeColor="text1"/>
        </w:rPr>
        <w:footnoteReference w:id="6"/>
      </w:r>
      <w:r w:rsidRPr="003977C8">
        <w:rPr>
          <w:color w:val="000000" w:themeColor="text1"/>
        </w:rPr>
        <w:t>, otorgando información</w:t>
      </w:r>
      <w:r w:rsidR="006104DB">
        <w:rPr>
          <w:color w:val="000000" w:themeColor="text1"/>
        </w:rPr>
        <w:t xml:space="preserve"> relevante</w:t>
      </w:r>
      <w:r w:rsidRPr="003977C8">
        <w:rPr>
          <w:color w:val="000000" w:themeColor="text1"/>
        </w:rPr>
        <w:t xml:space="preserve"> </w:t>
      </w:r>
      <w:r w:rsidR="006104DB">
        <w:rPr>
          <w:color w:val="000000" w:themeColor="text1"/>
        </w:rPr>
        <w:t xml:space="preserve">en lo que refiere a </w:t>
      </w:r>
      <w:r w:rsidRPr="003977C8">
        <w:rPr>
          <w:color w:val="000000" w:themeColor="text1"/>
        </w:rPr>
        <w:t xml:space="preserve">ingresos, </w:t>
      </w:r>
      <w:r w:rsidR="006104DB">
        <w:rPr>
          <w:color w:val="000000" w:themeColor="text1"/>
        </w:rPr>
        <w:t>empleo</w:t>
      </w:r>
      <w:r w:rsidRPr="003977C8">
        <w:rPr>
          <w:color w:val="000000" w:themeColor="text1"/>
        </w:rPr>
        <w:t>, seguridad social, salud, educación y vivienda desagregados</w:t>
      </w:r>
      <w:r w:rsidR="006104DB">
        <w:rPr>
          <w:color w:val="000000" w:themeColor="text1"/>
        </w:rPr>
        <w:t xml:space="preserve"> según sexo</w:t>
      </w:r>
      <w:r w:rsidRPr="003977C8">
        <w:rPr>
          <w:color w:val="000000" w:themeColor="text1"/>
        </w:rPr>
        <w:t xml:space="preserve">. </w:t>
      </w:r>
    </w:p>
    <w:p w:rsidR="00EC44F8" w:rsidRDefault="00EC44F8" w:rsidP="00E00E0F">
      <w:pPr>
        <w:spacing w:line="240" w:lineRule="auto"/>
      </w:pPr>
    </w:p>
    <w:p w:rsidR="004E289C" w:rsidRDefault="004E289C" w:rsidP="00E00E0F">
      <w:pPr>
        <w:spacing w:line="240" w:lineRule="auto"/>
      </w:pPr>
      <w:bookmarkStart w:id="1" w:name="_Hlk33611796"/>
    </w:p>
    <w:p w:rsidR="00294CBA" w:rsidRDefault="004E289C" w:rsidP="00E1164D">
      <w:pPr>
        <w:pStyle w:val="Prrafodelista"/>
        <w:numPr>
          <w:ilvl w:val="0"/>
          <w:numId w:val="4"/>
        </w:numPr>
        <w:spacing w:line="240" w:lineRule="auto"/>
        <w:rPr>
          <w:b/>
          <w:bCs/>
        </w:rPr>
      </w:pPr>
      <w:r w:rsidRPr="00294CBA">
        <w:rPr>
          <w:b/>
          <w:bCs/>
        </w:rPr>
        <w:t>Principios generales (artículos 7 y 83)</w:t>
      </w:r>
    </w:p>
    <w:p w:rsidR="00E1164D" w:rsidRPr="00E1164D" w:rsidRDefault="00E1164D" w:rsidP="00E1164D">
      <w:pPr>
        <w:pStyle w:val="Prrafodelista"/>
        <w:spacing w:line="240" w:lineRule="auto"/>
        <w:rPr>
          <w:b/>
          <w:bCs/>
        </w:rPr>
      </w:pPr>
    </w:p>
    <w:p w:rsidR="0089385A" w:rsidRDefault="004E289C" w:rsidP="00E00E0F">
      <w:pPr>
        <w:spacing w:line="240" w:lineRule="auto"/>
        <w:rPr>
          <w:b/>
          <w:bCs/>
        </w:rPr>
      </w:pPr>
      <w:r w:rsidRPr="004E289C">
        <w:rPr>
          <w:b/>
          <w:bCs/>
        </w:rPr>
        <w:t>No discriminación</w:t>
      </w:r>
    </w:p>
    <w:p w:rsidR="00294CBA" w:rsidRPr="004E289C" w:rsidRDefault="00294CBA" w:rsidP="00E00E0F">
      <w:pPr>
        <w:spacing w:line="240" w:lineRule="auto"/>
        <w:rPr>
          <w:b/>
          <w:bCs/>
        </w:rPr>
      </w:pPr>
    </w:p>
    <w:p w:rsidR="00883E36" w:rsidRDefault="00883E36" w:rsidP="00E00E0F">
      <w:pPr>
        <w:spacing w:line="240" w:lineRule="auto"/>
        <w:rPr>
          <w:i/>
          <w:iCs/>
        </w:rPr>
      </w:pPr>
      <w:r w:rsidRPr="00883E36">
        <w:rPr>
          <w:i/>
          <w:iCs/>
        </w:rPr>
        <w:t>Situación general</w:t>
      </w:r>
    </w:p>
    <w:p w:rsidR="00883E36" w:rsidRPr="00883E36" w:rsidRDefault="00883E36" w:rsidP="00E00E0F">
      <w:pPr>
        <w:spacing w:line="240" w:lineRule="auto"/>
        <w:rPr>
          <w:i/>
          <w:iCs/>
        </w:rPr>
      </w:pPr>
    </w:p>
    <w:p w:rsidR="009C527A" w:rsidRDefault="00CF39AE" w:rsidP="00E00E0F">
      <w:pPr>
        <w:pStyle w:val="Prrafodelista"/>
        <w:numPr>
          <w:ilvl w:val="0"/>
          <w:numId w:val="1"/>
        </w:numPr>
        <w:spacing w:line="240" w:lineRule="auto"/>
      </w:pPr>
      <w:r>
        <w:t xml:space="preserve">El año 2017, el INDH </w:t>
      </w:r>
      <w:r w:rsidR="00883E36">
        <w:t>apli</w:t>
      </w:r>
      <w:r>
        <w:t>có una encuesta de opinión de representación nacional cuyo objeto primordial fue “recoger las percepciones que tiene la población chilena en general acerca de las personas migrantes […] de modo de identificar las formas en que la discriminación racial se manifiesta a nivel discursivo y cuán asentadas se encuentran en la opinión pública”.</w:t>
      </w:r>
      <w:r>
        <w:rPr>
          <w:rStyle w:val="Refdenotaalpie"/>
        </w:rPr>
        <w:footnoteReference w:id="7"/>
      </w:r>
      <w:r w:rsidR="00294CBA">
        <w:t xml:space="preserve"> </w:t>
      </w:r>
      <w:r w:rsidR="009C527A">
        <w:t>En relación a las manifestaciones del racismo en torno al trabajo, el “un 47,1% de la población está completamente o algo de acuerdo en que los ‘migrantes les quitan el trabajo a los chilenos’”.</w:t>
      </w:r>
      <w:r w:rsidR="009C527A">
        <w:rPr>
          <w:rStyle w:val="Refdenotaalpie"/>
        </w:rPr>
        <w:footnoteReference w:id="8"/>
      </w:r>
      <w:r w:rsidR="009C527A">
        <w:t xml:space="preserve"> Adicionalmente, </w:t>
      </w:r>
      <w:r w:rsidR="00883E36">
        <w:t>el estudio demuestra que gran parte de la población ha ”</w:t>
      </w:r>
      <w:r w:rsidR="009C527A">
        <w:t xml:space="preserve">presenciado o sabido, </w:t>
      </w:r>
      <w:r w:rsidR="009C527A">
        <w:lastRenderedPageBreak/>
        <w:t>al menos alguna vez, de hechos</w:t>
      </w:r>
      <w:r w:rsidR="00883E36">
        <w:t xml:space="preserve"> </w:t>
      </w:r>
      <w:r w:rsidR="009C527A">
        <w:t>contra inmigrantes como menosprecio (76%), burlas,</w:t>
      </w:r>
      <w:r w:rsidR="00883E36">
        <w:t xml:space="preserve"> </w:t>
      </w:r>
      <w:r w:rsidR="009C527A">
        <w:t>(78,3%), intimidaciones (66,5%), escupitajos (54,2%), insultos</w:t>
      </w:r>
      <w:r w:rsidR="00883E36">
        <w:t xml:space="preserve"> </w:t>
      </w:r>
      <w:r w:rsidR="009C527A">
        <w:t>(79,8%), golpes (69,5%), agresiones sexuales (44,5%),</w:t>
      </w:r>
      <w:r w:rsidR="00883E36">
        <w:t xml:space="preserve"> </w:t>
      </w:r>
      <w:r w:rsidR="009C527A">
        <w:t>apuñalamientos (58,7%) y asesinatos (51,9%)</w:t>
      </w:r>
      <w:r w:rsidR="00883E36">
        <w:t>”</w:t>
      </w:r>
      <w:r w:rsidR="00883E36">
        <w:rPr>
          <w:rStyle w:val="Refdenotaalpie"/>
        </w:rPr>
        <w:footnoteReference w:id="9"/>
      </w:r>
      <w:r w:rsidR="00883E36">
        <w:t xml:space="preserve"> </w:t>
      </w:r>
      <w:r w:rsidR="00F625BD">
        <w:t>a lo que se suma</w:t>
      </w:r>
      <w:r w:rsidR="00883E36">
        <w:t xml:space="preserve"> “</w:t>
      </w:r>
      <w:r w:rsidR="009C527A">
        <w:t>un 47,3% considera que en algunos casos estos provocan</w:t>
      </w:r>
      <w:r w:rsidR="00883E36">
        <w:t xml:space="preserve"> </w:t>
      </w:r>
      <w:r w:rsidR="009C527A">
        <w:t>las situaciones de violencia, y un 10% señala que las</w:t>
      </w:r>
      <w:r w:rsidR="00883E36">
        <w:t xml:space="preserve"> </w:t>
      </w:r>
      <w:r w:rsidR="009C527A">
        <w:t>actitudes de los inmigrantes son la causa de la violencia</w:t>
      </w:r>
      <w:r w:rsidR="00883E36">
        <w:t xml:space="preserve"> </w:t>
      </w:r>
      <w:r w:rsidR="009C527A">
        <w:t>que experimentan</w:t>
      </w:r>
      <w:r w:rsidR="00883E36">
        <w:t>”</w:t>
      </w:r>
      <w:r w:rsidR="00883E36">
        <w:rPr>
          <w:rStyle w:val="Refdenotaalpie"/>
        </w:rPr>
        <w:footnoteReference w:id="10"/>
      </w:r>
      <w:r w:rsidR="009C527A">
        <w:t>.</w:t>
      </w:r>
    </w:p>
    <w:p w:rsidR="003748C5" w:rsidRPr="003977C8" w:rsidRDefault="00883E36" w:rsidP="00E00E0F">
      <w:pPr>
        <w:pStyle w:val="Prrafodelista"/>
        <w:numPr>
          <w:ilvl w:val="0"/>
          <w:numId w:val="1"/>
        </w:numPr>
        <w:spacing w:line="240" w:lineRule="auto"/>
        <w:rPr>
          <w:color w:val="000000" w:themeColor="text1"/>
        </w:rPr>
      </w:pPr>
      <w:r>
        <w:rPr>
          <w:color w:val="000000" w:themeColor="text1"/>
        </w:rPr>
        <w:t>En el mismo sentido,</w:t>
      </w:r>
      <w:r w:rsidR="00294CBA">
        <w:rPr>
          <w:color w:val="000000" w:themeColor="text1"/>
        </w:rPr>
        <w:t xml:space="preserve"> </w:t>
      </w:r>
      <w:r w:rsidR="003748C5">
        <w:rPr>
          <w:color w:val="000000" w:themeColor="text1"/>
        </w:rPr>
        <w:t>datos de la Encuesta CASEN realizada el año 2017</w:t>
      </w:r>
      <w:r w:rsidR="00294CBA">
        <w:rPr>
          <w:color w:val="000000" w:themeColor="text1"/>
        </w:rPr>
        <w:t xml:space="preserve"> indican que</w:t>
      </w:r>
      <w:r w:rsidR="003748C5" w:rsidRPr="003977C8">
        <w:rPr>
          <w:color w:val="000000" w:themeColor="text1"/>
        </w:rPr>
        <w:t xml:space="preserve"> un 32,2% de los hogares en que el jefe/a de hogar es migrante declaró que alguno/a de sus integrantes fue discriminado o tratado/a injustamente</w:t>
      </w:r>
      <w:r w:rsidR="003748C5">
        <w:rPr>
          <w:color w:val="000000" w:themeColor="text1"/>
        </w:rPr>
        <w:t xml:space="preserve"> en el último año</w:t>
      </w:r>
      <w:r w:rsidR="003748C5" w:rsidRPr="003977C8">
        <w:rPr>
          <w:color w:val="000000" w:themeColor="text1"/>
        </w:rPr>
        <w:t>, en comparación al 12,7% de hogares chilenos</w:t>
      </w:r>
      <w:r w:rsidR="003748C5" w:rsidRPr="003977C8">
        <w:rPr>
          <w:rStyle w:val="Refdenotaalpie"/>
          <w:color w:val="000000" w:themeColor="text1"/>
        </w:rPr>
        <w:footnoteReference w:id="11"/>
      </w:r>
      <w:r w:rsidR="003748C5" w:rsidRPr="003977C8">
        <w:rPr>
          <w:color w:val="000000" w:themeColor="text1"/>
        </w:rPr>
        <w:t>.</w:t>
      </w:r>
    </w:p>
    <w:p w:rsidR="00AB0AF9" w:rsidRPr="00AB0AF9" w:rsidRDefault="00AB0AF9" w:rsidP="00E00E0F">
      <w:pPr>
        <w:pStyle w:val="Prrafodelista"/>
        <w:numPr>
          <w:ilvl w:val="0"/>
          <w:numId w:val="1"/>
        </w:numPr>
        <w:spacing w:line="240" w:lineRule="auto"/>
      </w:pPr>
      <w:r>
        <w:t xml:space="preserve">Por </w:t>
      </w:r>
      <w:r w:rsidRPr="00AB0AF9">
        <w:t>otro lado, p</w:t>
      </w:r>
      <w:r w:rsidRPr="00AB0AF9">
        <w:rPr>
          <w:color w:val="000000" w:themeColor="text1"/>
        </w:rPr>
        <w:t>reocupan al INDH las disposiciones administrativas que podrían restringir derechos a las personas haitianas residentes en el país</w:t>
      </w:r>
      <w:r w:rsidRPr="00AB0AF9">
        <w:rPr>
          <w:i/>
          <w:iCs/>
          <w:color w:val="000000" w:themeColor="text1"/>
          <w:lang w:val="es-ES"/>
        </w:rPr>
        <w:t xml:space="preserve"> y </w:t>
      </w:r>
      <w:r w:rsidRPr="00AB0AF9">
        <w:rPr>
          <w:iCs/>
          <w:color w:val="000000" w:themeColor="text1"/>
          <w:lang w:val="es-ES"/>
        </w:rPr>
        <w:t>“generar tratos diferenciados por nacionalidad, los cuales si no se fundamentan adecuadamente podrían estimarse como discriminatorios […]</w:t>
      </w:r>
      <w:r w:rsidRPr="00AB0AF9">
        <w:rPr>
          <w:color w:val="000000" w:themeColor="text1"/>
          <w:lang w:val="es-ES"/>
        </w:rPr>
        <w:t>”.</w:t>
      </w:r>
      <w:r w:rsidRPr="003977C8">
        <w:rPr>
          <w:rStyle w:val="Refdenotaalpie"/>
          <w:color w:val="000000" w:themeColor="text1"/>
          <w:lang w:val="es-ES"/>
        </w:rPr>
        <w:footnoteReference w:id="12"/>
      </w:r>
      <w:r w:rsidRPr="00AB0AF9">
        <w:rPr>
          <w:color w:val="000000" w:themeColor="text1"/>
          <w:lang w:val="es-ES"/>
        </w:rPr>
        <w:t xml:space="preserve"> </w:t>
      </w:r>
      <w:r w:rsidRPr="00AB0AF9">
        <w:rPr>
          <w:color w:val="000000" w:themeColor="text1"/>
        </w:rPr>
        <w:t xml:space="preserve">Por un parte, en 2018 comenzó a implementarse el denominado </w:t>
      </w:r>
      <w:bookmarkStart w:id="3" w:name="_Hlk21446906"/>
      <w:r w:rsidRPr="00AB0AF9">
        <w:rPr>
          <w:color w:val="000000" w:themeColor="text1"/>
        </w:rPr>
        <w:t xml:space="preserve">“Plan humanitario de regreso ordenado”, que permite el retorno de personas extranjeras que de forma voluntaria manifiesten su intención de regresar a su país, el cual en su primera etapa ha dado prioridad al retorno de personas haitianas, prohibiéndoles expresamente el reingreso a Chile durante 9 años. La Ley de Extranjería (Decreto Ley N° 1.094) y su Reglamento (Decreto N°597), regulan las prohibiciones e impedimentos de ingreso al país, </w:t>
      </w:r>
      <w:bookmarkEnd w:id="3"/>
      <w:r w:rsidRPr="00AB0AF9">
        <w:rPr>
          <w:color w:val="000000" w:themeColor="text1"/>
        </w:rPr>
        <w:t xml:space="preserve">dentro de las cuales no se </w:t>
      </w:r>
      <w:r w:rsidRPr="00D62FFC">
        <w:rPr>
          <w:color w:val="000000" w:themeColor="text1"/>
        </w:rPr>
        <w:t xml:space="preserve">reconoce </w:t>
      </w:r>
      <w:r w:rsidR="00D62FFC">
        <w:rPr>
          <w:color w:val="000000" w:themeColor="text1"/>
        </w:rPr>
        <w:t>la</w:t>
      </w:r>
      <w:r w:rsidR="00E35CA3">
        <w:rPr>
          <w:color w:val="000000" w:themeColor="text1"/>
        </w:rPr>
        <w:t xml:space="preserve"> </w:t>
      </w:r>
      <w:r w:rsidRPr="00AB0AF9">
        <w:rPr>
          <w:color w:val="000000" w:themeColor="text1"/>
        </w:rPr>
        <w:t>posibilidad de crear una nueva prohibición a partir de una declaración jurada o cualquier otra forma de acuerdo entre la persona extranjera habitante en Chile y la autoridad competente. Por otra parte, en 2018 se estableció un visado consular de turismo para personas haitianas, sin una explicación suficiente para fundamentar la distinción por nacionalidad, el cual se otorga por un máximo de 30 días - mientras para el resto de los países el visado turístico tiene una duración de 90 días- y con la prohibición de realizar actividades remuneradas durante toda la estadía.</w:t>
      </w:r>
    </w:p>
    <w:p w:rsidR="003748C5" w:rsidRDefault="003748C5" w:rsidP="00E00E0F">
      <w:pPr>
        <w:pStyle w:val="Prrafodelista"/>
        <w:spacing w:line="240" w:lineRule="auto"/>
        <w:ind w:left="360"/>
      </w:pPr>
    </w:p>
    <w:p w:rsidR="007C643A" w:rsidRDefault="007C643A" w:rsidP="00E00E0F">
      <w:pPr>
        <w:pStyle w:val="Prrafodelista"/>
        <w:spacing w:line="240" w:lineRule="auto"/>
        <w:ind w:left="360"/>
      </w:pPr>
    </w:p>
    <w:p w:rsidR="00CF39AE" w:rsidRDefault="00CF39AE" w:rsidP="00E00E0F">
      <w:pPr>
        <w:spacing w:line="240" w:lineRule="auto"/>
        <w:rPr>
          <w:i/>
          <w:iCs/>
        </w:rPr>
      </w:pPr>
      <w:r w:rsidRPr="00883E36">
        <w:rPr>
          <w:i/>
          <w:iCs/>
        </w:rPr>
        <w:t>Marco normativo contra la discriminación y la xenofobia</w:t>
      </w:r>
    </w:p>
    <w:p w:rsidR="00883E36" w:rsidRPr="00883E36" w:rsidRDefault="00883E36" w:rsidP="00E00E0F">
      <w:pPr>
        <w:spacing w:line="240" w:lineRule="auto"/>
        <w:rPr>
          <w:i/>
          <w:iCs/>
        </w:rPr>
      </w:pPr>
    </w:p>
    <w:p w:rsidR="004E289C" w:rsidRDefault="00C145C8" w:rsidP="00E00E0F">
      <w:pPr>
        <w:pStyle w:val="Prrafodelista"/>
        <w:numPr>
          <w:ilvl w:val="0"/>
          <w:numId w:val="1"/>
        </w:numPr>
        <w:spacing w:line="240" w:lineRule="auto"/>
      </w:pPr>
      <w:r w:rsidRPr="00762F9C">
        <w:t>En 2012, fue publicada la Ley N° 20.609 que establece medid</w:t>
      </w:r>
      <w:r>
        <w:t>as contra la discriminación, la cual</w:t>
      </w:r>
      <w:r w:rsidRPr="00762F9C">
        <w:t xml:space="preserve"> proscribe expresamente cualquier acto u omisión, tanto de particulares como de agentes del Estado, que importe alguna distinción, exclusión o restricción que carezca de justificación razonable, y que cause privación, perturbación o amenaza en el ejercicio de los derechos fundamentales, en particular cuando se funden en motivos como la raza o la etnia, la nacionalidad o el idioma, entre otras categorías sospechosas de discriminación; uno de los aspectos fundamentales de esta ley es el establecimiento de la acción de no discriminación arbitraria, en virtud de la cual l</w:t>
      </w:r>
      <w:r>
        <w:t>a</w:t>
      </w:r>
      <w:r w:rsidRPr="00762F9C">
        <w:t xml:space="preserve">s </w:t>
      </w:r>
      <w:r>
        <w:t>personas directamente afectada</w:t>
      </w:r>
      <w:r w:rsidRPr="00762F9C">
        <w:t xml:space="preserve">s por un acto u omisión que importe discriminación pueden acudir a los juzgados civiles a fin de restablecer el imperio del derecho. En 2016, fue modificado el artículo 2° del Código del Trabajo, en virtud del cual también se prohíbe la discriminación en contextos laborales; con esta modificación, se ampliaron las categorías sospechosas de discriminación, entre las cuales se encuentra la raza, el color, la nacionalidad, la ascendencia nacional y el idioma; en el mismo Código del Trabajo se </w:t>
      </w:r>
      <w:r w:rsidRPr="00762F9C">
        <w:lastRenderedPageBreak/>
        <w:t>establece un procedimiento de tutela, en virtud del cual un trabajador afectado por un hecho de discriminación puede acudir a los juzgados del trabajo para poner fin a la situación de vulneración.</w:t>
      </w:r>
    </w:p>
    <w:p w:rsidR="00C145C8" w:rsidRDefault="00C145C8" w:rsidP="00E00E0F">
      <w:pPr>
        <w:pStyle w:val="Prrafodelista"/>
        <w:spacing w:line="240" w:lineRule="auto"/>
        <w:ind w:left="360"/>
      </w:pPr>
      <w:r>
        <w:t>A pesar de estos avances normativos en lo que respecta al establecimiento de un concepto de discriminación y categorías prohibidas, tanto la Ley N° 20.609 como la modificación del Código del Trabajo carecen de obligaciones para que el Estado y los particulares (en este caso, los empleadores) desarrollen medidas, acciones y campañas tendientes a prevenir</w:t>
      </w:r>
      <w:r w:rsidR="00883E36">
        <w:t xml:space="preserve"> y </w:t>
      </w:r>
      <w:r>
        <w:t>e</w:t>
      </w:r>
      <w:r w:rsidR="00883E36">
        <w:t>rradicar</w:t>
      </w:r>
      <w:r>
        <w:t xml:space="preserve"> las actitudes discriminatorias y la estigmatización social contra las y los trabajadores migrantes y sus familias.</w:t>
      </w:r>
      <w:r>
        <w:rPr>
          <w:rStyle w:val="Refdenotaalpie"/>
        </w:rPr>
        <w:footnoteReference w:id="13"/>
      </w:r>
    </w:p>
    <w:p w:rsidR="00CF39AE" w:rsidRDefault="00CF39AE" w:rsidP="00E00E0F">
      <w:pPr>
        <w:spacing w:line="240" w:lineRule="auto"/>
      </w:pPr>
    </w:p>
    <w:p w:rsidR="00AB0AF9" w:rsidRDefault="00AB0AF9" w:rsidP="00E00E0F">
      <w:pPr>
        <w:spacing w:line="240" w:lineRule="auto"/>
        <w:rPr>
          <w:b/>
          <w:bCs/>
        </w:rPr>
      </w:pPr>
    </w:p>
    <w:p w:rsidR="00CF39AE" w:rsidRPr="00883E36" w:rsidRDefault="00CF39AE" w:rsidP="00E00E0F">
      <w:pPr>
        <w:spacing w:line="240" w:lineRule="auto"/>
        <w:rPr>
          <w:b/>
          <w:bCs/>
        </w:rPr>
      </w:pPr>
      <w:r w:rsidRPr="00883E36">
        <w:rPr>
          <w:b/>
          <w:bCs/>
        </w:rPr>
        <w:t>Discursos de odio e incitación a la violencia</w:t>
      </w:r>
    </w:p>
    <w:p w:rsidR="00883E36" w:rsidRPr="00883E36" w:rsidRDefault="00883E36" w:rsidP="00E00E0F">
      <w:pPr>
        <w:spacing w:line="240" w:lineRule="auto"/>
        <w:rPr>
          <w:i/>
          <w:iCs/>
        </w:rPr>
      </w:pPr>
    </w:p>
    <w:p w:rsidR="004E289C" w:rsidRDefault="00CF39AE" w:rsidP="00E00E0F">
      <w:pPr>
        <w:pStyle w:val="Prrafodelista"/>
        <w:numPr>
          <w:ilvl w:val="0"/>
          <w:numId w:val="1"/>
        </w:numPr>
        <w:spacing w:line="240" w:lineRule="auto"/>
        <w:rPr>
          <w:color w:val="000000" w:themeColor="text1"/>
        </w:rPr>
      </w:pPr>
      <w:r>
        <w:t>Durante la última década se han presentado distintos proyectos de ley para definir y sancionar la expresión de discursos de odio y la incitación a la violencia, sin que ninguno de ellos hubiere sido concluido para convertirse en ley de la República.</w:t>
      </w:r>
      <w:r>
        <w:rPr>
          <w:rStyle w:val="Refdenotaalpie"/>
        </w:rPr>
        <w:footnoteReference w:id="14"/>
      </w:r>
      <w:r w:rsidR="004E289C">
        <w:t xml:space="preserve"> </w:t>
      </w:r>
      <w:r w:rsidR="004E289C" w:rsidRPr="004E289C">
        <w:rPr>
          <w:color w:val="000000" w:themeColor="text1"/>
        </w:rPr>
        <w:t>Este déficit normativo genera una carencia de información estadística sobre investigaciones, juicios y sentencias sobre delitos relacionados a los actos referidos.</w:t>
      </w:r>
    </w:p>
    <w:p w:rsidR="00883E36" w:rsidRPr="004E289C" w:rsidRDefault="00883E36" w:rsidP="00E00E0F">
      <w:pPr>
        <w:pStyle w:val="Prrafodelista"/>
        <w:spacing w:line="240" w:lineRule="auto"/>
        <w:ind w:left="360"/>
        <w:rPr>
          <w:color w:val="000000" w:themeColor="text1"/>
        </w:rPr>
      </w:pPr>
    </w:p>
    <w:p w:rsidR="00CF39AE" w:rsidRDefault="00CF39AE" w:rsidP="00E00E0F">
      <w:pPr>
        <w:spacing w:line="240" w:lineRule="auto"/>
      </w:pPr>
    </w:p>
    <w:p w:rsidR="00867BE9" w:rsidRDefault="00867BE9" w:rsidP="00E00E0F">
      <w:pPr>
        <w:pStyle w:val="Prrafodelista"/>
        <w:numPr>
          <w:ilvl w:val="0"/>
          <w:numId w:val="4"/>
        </w:numPr>
        <w:spacing w:line="240" w:lineRule="auto"/>
        <w:rPr>
          <w:b/>
          <w:bCs/>
        </w:rPr>
      </w:pPr>
      <w:r w:rsidRPr="00867BE9">
        <w:rPr>
          <w:b/>
          <w:bCs/>
        </w:rPr>
        <w:t>Derechos humanos de todos los trabajadores migratorios y de sus familiares, tanto en situación regular como irregular (arts. 8 a 35)</w:t>
      </w:r>
    </w:p>
    <w:p w:rsidR="00883E36" w:rsidRPr="00867BE9" w:rsidRDefault="00883E36" w:rsidP="00E00E0F">
      <w:pPr>
        <w:pStyle w:val="Prrafodelista"/>
        <w:spacing w:line="240" w:lineRule="auto"/>
        <w:rPr>
          <w:b/>
          <w:bCs/>
        </w:rPr>
      </w:pPr>
    </w:p>
    <w:p w:rsidR="00867BE9" w:rsidRDefault="00867BE9" w:rsidP="00E00E0F">
      <w:pPr>
        <w:spacing w:line="240" w:lineRule="auto"/>
        <w:rPr>
          <w:b/>
          <w:bCs/>
        </w:rPr>
      </w:pPr>
      <w:r w:rsidRPr="00867BE9">
        <w:rPr>
          <w:b/>
          <w:bCs/>
        </w:rPr>
        <w:t>Gestión de las fronteras y migrantes en tránsito</w:t>
      </w:r>
    </w:p>
    <w:p w:rsidR="00450E62" w:rsidRDefault="00450E62" w:rsidP="00E00E0F">
      <w:pPr>
        <w:spacing w:line="240" w:lineRule="auto"/>
        <w:rPr>
          <w:b/>
          <w:bCs/>
        </w:rPr>
      </w:pPr>
    </w:p>
    <w:p w:rsidR="00AB0AF9" w:rsidRDefault="00450E62" w:rsidP="00E00E0F">
      <w:pPr>
        <w:pStyle w:val="Prrafodelista"/>
        <w:numPr>
          <w:ilvl w:val="0"/>
          <w:numId w:val="1"/>
        </w:numPr>
        <w:spacing w:line="240" w:lineRule="auto"/>
      </w:pPr>
      <w:r w:rsidRPr="00BB09F8">
        <w:t>A través de visitas realizadas a pasos fronterizos en el año 2018, el INDH constató prácticas de discrecionales de rechazo al ingreso de personas migrantes el país, basados en requisitos de solvencia económica y otr</w:t>
      </w:r>
      <w:r w:rsidR="00BB09F8" w:rsidRPr="00BB09F8">
        <w:t>as exigencias</w:t>
      </w:r>
      <w:r w:rsidRPr="00BB09F8">
        <w:t xml:space="preserve"> </w:t>
      </w:r>
      <w:r w:rsidR="00BB09F8" w:rsidRPr="00BB09F8">
        <w:t>de naturaleza subjetiva que quedan exclusivamente a criterio de los/as funcionarios/as actuantes, pues</w:t>
      </w:r>
      <w:r w:rsidRPr="00BB09F8">
        <w:t xml:space="preserve"> no se encuentran contenidos en la normativa vigente. </w:t>
      </w:r>
      <w:r w:rsidR="00E5604B">
        <w:t xml:space="preserve">Adicionalmente, se observó que las resoluciones de rechazo en frontera no se notifican por escrito, viéndose vulnerado el derecho a impugnar la denegación de ingreso ante un tribunal u otra autoridad independiente y efectiva. A lo anterior se suman </w:t>
      </w:r>
      <w:r w:rsidR="00E5604B" w:rsidRPr="00E5604B">
        <w:t xml:space="preserve">múltiples denuncias </w:t>
      </w:r>
      <w:r w:rsidR="00E5604B">
        <w:t xml:space="preserve">recibidas por el INDH durante el desarrollo de la observación respecto a </w:t>
      </w:r>
      <w:r w:rsidR="00E5604B" w:rsidRPr="00E5604B">
        <w:t xml:space="preserve">situaciones de discriminación y xenofobia </w:t>
      </w:r>
      <w:r w:rsidR="00E5604B">
        <w:t>de parte de funcionarios/as de la Policía de Investigaciones.</w:t>
      </w:r>
      <w:r w:rsidR="00362516">
        <w:rPr>
          <w:rStyle w:val="Refdenotaalpie"/>
        </w:rPr>
        <w:footnoteReference w:id="15"/>
      </w:r>
    </w:p>
    <w:p w:rsidR="00AB0AF9" w:rsidRDefault="00362516" w:rsidP="00E00E0F">
      <w:pPr>
        <w:pStyle w:val="Prrafodelista"/>
        <w:numPr>
          <w:ilvl w:val="0"/>
          <w:numId w:val="1"/>
        </w:numPr>
        <w:spacing w:line="240" w:lineRule="auto"/>
        <w:rPr>
          <w:iCs/>
          <w:color w:val="000000" w:themeColor="text1"/>
          <w:lang w:val="es-ES"/>
        </w:rPr>
      </w:pPr>
      <w:r>
        <w:rPr>
          <w:iCs/>
          <w:color w:val="000000" w:themeColor="text1"/>
          <w:lang w:val="es-ES"/>
        </w:rPr>
        <w:t xml:space="preserve">El INDH reitera la información reportada al Comité </w:t>
      </w:r>
      <w:r w:rsidR="00343539" w:rsidRPr="00343539">
        <w:rPr>
          <w:iCs/>
          <w:color w:val="000000" w:themeColor="text1"/>
          <w:lang w:val="es-ES"/>
        </w:rPr>
        <w:t>para la Eliminación de la Discriminación Racial</w:t>
      </w:r>
      <w:r w:rsidR="00343539">
        <w:rPr>
          <w:iCs/>
          <w:color w:val="000000" w:themeColor="text1"/>
          <w:lang w:val="es-ES"/>
        </w:rPr>
        <w:t>, respecto a los hechos ocurridos a mitad del año pasado en la frontera norte del país: “[e]</w:t>
      </w:r>
      <w:r w:rsidR="00AB0AF9" w:rsidRPr="00AB0AF9">
        <w:rPr>
          <w:iCs/>
          <w:color w:val="000000" w:themeColor="text1"/>
          <w:lang w:val="es-ES"/>
        </w:rPr>
        <w:t>l 20 de junio de 2019, se estableció un visado consular de turismo para personas venezolanas, el cual se sumó al ya existente visado humanitario establecido en abril de 2018.</w:t>
      </w:r>
      <w:r w:rsidR="00AB0AF9" w:rsidRPr="003977C8">
        <w:rPr>
          <w:rStyle w:val="Refdenotaalpie"/>
          <w:iCs/>
          <w:color w:val="000000" w:themeColor="text1"/>
          <w:lang w:val="es-ES"/>
        </w:rPr>
        <w:footnoteReference w:id="16"/>
      </w:r>
      <w:r w:rsidR="00AB0AF9" w:rsidRPr="00AB0AF9">
        <w:rPr>
          <w:iCs/>
          <w:color w:val="000000" w:themeColor="text1"/>
          <w:lang w:val="es-ES"/>
        </w:rPr>
        <w:t xml:space="preserve"> La medida </w:t>
      </w:r>
      <w:r w:rsidR="00AB0AF9" w:rsidRPr="00AB0AF9">
        <w:rPr>
          <w:iCs/>
          <w:color w:val="000000" w:themeColor="text1"/>
          <w:lang w:val="es-ES"/>
        </w:rPr>
        <w:lastRenderedPageBreak/>
        <w:t xml:space="preserve">generó que un grupo de aproximadamente 300 personas, todas de nacionalidad venezolana, incluyendo familias con lactantes, niños/as y adolescentes, permaneciera en la línea de la concordia -dentro del territorio nacional y próxima al paso fronterizo de Chacalluta-, pernoctando en uno de los carriles de la carretera por aproximadamente dos semanas, mientras gestionaban los visados requeridos, pues señalaban no contar con medios económicos para mantenerse en </w:t>
      </w:r>
      <w:r w:rsidR="00AB0AF9">
        <w:rPr>
          <w:iCs/>
          <w:color w:val="000000" w:themeColor="text1"/>
          <w:lang w:val="es-ES"/>
        </w:rPr>
        <w:t xml:space="preserve">la ciudad de </w:t>
      </w:r>
      <w:r w:rsidR="00AB0AF9" w:rsidRPr="00AB0AF9">
        <w:rPr>
          <w:iCs/>
          <w:color w:val="000000" w:themeColor="text1"/>
          <w:lang w:val="es-ES"/>
        </w:rPr>
        <w:t>Tacna</w:t>
      </w:r>
      <w:r w:rsidR="00AB0AF9">
        <w:rPr>
          <w:iCs/>
          <w:color w:val="000000" w:themeColor="text1"/>
          <w:lang w:val="es-ES"/>
        </w:rPr>
        <w:t>, localizada en Perú,</w:t>
      </w:r>
      <w:r w:rsidR="00AB0AF9" w:rsidRPr="00AB0AF9">
        <w:rPr>
          <w:iCs/>
          <w:color w:val="000000" w:themeColor="text1"/>
          <w:lang w:val="es-ES"/>
        </w:rPr>
        <w:t xml:space="preserve"> donde se encuentra el consulado chileno más cercano. A raíz de esta situación, el INDH realizó una visita al paso fronterizo de Chacalluta</w:t>
      </w:r>
      <w:r w:rsidR="00AB0AF9" w:rsidRPr="00AB0AF9">
        <w:rPr>
          <w:rStyle w:val="Refdenotaalpie"/>
          <w:iCs/>
          <w:color w:val="000000" w:themeColor="text1"/>
          <w:lang w:val="es-ES"/>
        </w:rPr>
        <w:footnoteReference w:id="17"/>
      </w:r>
      <w:r w:rsidR="00AB0AF9" w:rsidRPr="00AB0AF9">
        <w:rPr>
          <w:iCs/>
          <w:color w:val="000000" w:themeColor="text1"/>
          <w:lang w:val="es-ES"/>
        </w:rPr>
        <w:t>, constatando la vulneración de los derechos a la alimentación, a la salud, al acceso al agua y condiciones de vida digna (abrigo y alojamiento) de las personas que se encontraban en situación de calle a la espera de ingresar al país, así como los riesgos que enfrentaban de ser víctimas de redes de tráfico o trata de personas pues una proporción significativa no portaba la documentación requerida para el visado, ya sea pasaporte vigente o certificado de antecedentes penales.</w:t>
      </w:r>
      <w:r w:rsidR="00AB0AF9" w:rsidRPr="003977C8">
        <w:rPr>
          <w:rStyle w:val="Refdenotaalpie"/>
          <w:iCs/>
          <w:color w:val="000000" w:themeColor="text1"/>
          <w:lang w:val="es-ES"/>
        </w:rPr>
        <w:footnoteReference w:id="18"/>
      </w:r>
      <w:r w:rsidR="00AB0AF9" w:rsidRPr="00AB0AF9">
        <w:rPr>
          <w:iCs/>
          <w:color w:val="000000" w:themeColor="text1"/>
          <w:lang w:val="es-ES"/>
        </w:rPr>
        <w:t xml:space="preserve"> Por otra parte, se ha evidenciado que el nuevo visado podría obstaculizar la reunificación familiar y el ingreso de niños, niñas y adolescentes que llegan a encontrarse con sus madres o padres residentes en el país.</w:t>
      </w:r>
      <w:r w:rsidR="00AB0AF9" w:rsidRPr="003977C8">
        <w:rPr>
          <w:rStyle w:val="Refdenotaalpie"/>
          <w:iCs/>
          <w:color w:val="000000" w:themeColor="text1"/>
          <w:lang w:val="es-ES"/>
        </w:rPr>
        <w:footnoteReference w:id="19"/>
      </w:r>
      <w:r w:rsidR="00AB0AF9">
        <w:rPr>
          <w:iCs/>
          <w:color w:val="000000" w:themeColor="text1"/>
          <w:lang w:val="es-ES"/>
        </w:rPr>
        <w:t xml:space="preserve"> </w:t>
      </w:r>
      <w:r w:rsidR="00AB0AF9" w:rsidRPr="00AB0AF9">
        <w:rPr>
          <w:iCs/>
          <w:color w:val="000000" w:themeColor="text1"/>
          <w:lang w:val="es-ES"/>
        </w:rPr>
        <w:t>Cabe mencionar que hubo obstáculos a la labor institucional desempeñada por el INDH en frontera, los cuales fueron denunciados en la Comisión de Gobierno Interior de la Cámara de Diputados en el mes de julio.</w:t>
      </w:r>
      <w:r w:rsidR="00343539">
        <w:rPr>
          <w:iCs/>
          <w:color w:val="000000" w:themeColor="text1"/>
          <w:lang w:val="es-ES"/>
        </w:rPr>
        <w:t>”</w:t>
      </w:r>
      <w:r w:rsidR="00AB0AF9" w:rsidRPr="00343539">
        <w:rPr>
          <w:rStyle w:val="Refdenotaalpie"/>
          <w:iCs/>
          <w:color w:val="000000" w:themeColor="text1"/>
          <w:lang w:val="es-ES"/>
        </w:rPr>
        <w:footnoteReference w:id="20"/>
      </w:r>
      <w:r w:rsidR="00343539">
        <w:rPr>
          <w:iCs/>
          <w:color w:val="000000" w:themeColor="text1"/>
          <w:lang w:val="es-ES"/>
        </w:rPr>
        <w:t xml:space="preserve"> </w:t>
      </w:r>
      <w:r w:rsidR="00343539" w:rsidRPr="00343539">
        <w:rPr>
          <w:rStyle w:val="Refdenotaalpie"/>
          <w:iCs/>
          <w:color w:val="000000" w:themeColor="text1"/>
          <w:lang w:val="es-ES"/>
        </w:rPr>
        <w:footnoteReference w:id="21"/>
      </w:r>
    </w:p>
    <w:p w:rsidR="00B05E0B" w:rsidRPr="00AB0AF9" w:rsidRDefault="00B05E0B" w:rsidP="00E00E0F">
      <w:pPr>
        <w:pStyle w:val="Prrafodelista"/>
        <w:numPr>
          <w:ilvl w:val="0"/>
          <w:numId w:val="1"/>
        </w:numPr>
        <w:spacing w:line="240" w:lineRule="auto"/>
        <w:rPr>
          <w:iCs/>
          <w:color w:val="000000" w:themeColor="text1"/>
          <w:lang w:val="es-ES"/>
        </w:rPr>
      </w:pPr>
      <w:r>
        <w:rPr>
          <w:iCs/>
          <w:color w:val="000000" w:themeColor="text1"/>
          <w:lang w:val="es-ES"/>
        </w:rPr>
        <w:t xml:space="preserve">Respecto al ingreso de personas migrantes por pasos no habilitados, se constata un aumento considerable en los últimos años. Si en el año 2017 se registraron </w:t>
      </w:r>
      <w:r w:rsidRPr="00B05E0B">
        <w:rPr>
          <w:iCs/>
          <w:color w:val="000000" w:themeColor="text1"/>
          <w:lang w:val="es-ES"/>
        </w:rPr>
        <w:t>2.905</w:t>
      </w:r>
      <w:r>
        <w:rPr>
          <w:iCs/>
          <w:color w:val="000000" w:themeColor="text1"/>
          <w:lang w:val="es-ES"/>
        </w:rPr>
        <w:t xml:space="preserve"> casos, para el año 2018 </w:t>
      </w:r>
      <w:r w:rsidR="00090CC5">
        <w:rPr>
          <w:iCs/>
          <w:color w:val="000000" w:themeColor="text1"/>
          <w:lang w:val="es-ES"/>
        </w:rPr>
        <w:t xml:space="preserve">la cifra se duplicó y alcanzó los </w:t>
      </w:r>
      <w:r w:rsidRPr="00B05E0B">
        <w:rPr>
          <w:iCs/>
          <w:color w:val="000000" w:themeColor="text1"/>
          <w:lang w:val="es-ES"/>
        </w:rPr>
        <w:t>6.310</w:t>
      </w:r>
      <w:r w:rsidR="00090CC5">
        <w:rPr>
          <w:iCs/>
          <w:color w:val="000000" w:themeColor="text1"/>
          <w:lang w:val="es-ES"/>
        </w:rPr>
        <w:t xml:space="preserve"> casos, ocurriendo nuevamente un alza significativa en año 2019, situándose en los </w:t>
      </w:r>
      <w:r w:rsidRPr="00B05E0B">
        <w:rPr>
          <w:iCs/>
          <w:color w:val="000000" w:themeColor="text1"/>
          <w:lang w:val="es-ES"/>
        </w:rPr>
        <w:t>8.048</w:t>
      </w:r>
      <w:r w:rsidR="00090CC5">
        <w:rPr>
          <w:iCs/>
          <w:color w:val="000000" w:themeColor="text1"/>
          <w:lang w:val="es-ES"/>
        </w:rPr>
        <w:t xml:space="preserve"> casos.</w:t>
      </w:r>
      <w:r w:rsidR="00090CC5">
        <w:rPr>
          <w:rStyle w:val="Refdenotaalpie"/>
          <w:iCs/>
          <w:color w:val="000000" w:themeColor="text1"/>
          <w:lang w:val="es-ES"/>
        </w:rPr>
        <w:footnoteReference w:id="22"/>
      </w:r>
    </w:p>
    <w:p w:rsidR="00F625BD" w:rsidRDefault="00F625BD" w:rsidP="00E00E0F">
      <w:pPr>
        <w:spacing w:line="240" w:lineRule="auto"/>
      </w:pPr>
    </w:p>
    <w:p w:rsidR="00E81374" w:rsidRDefault="00E81374" w:rsidP="00E00E0F">
      <w:pPr>
        <w:spacing w:line="240" w:lineRule="auto"/>
        <w:rPr>
          <w:b/>
          <w:bCs/>
        </w:rPr>
      </w:pPr>
    </w:p>
    <w:p w:rsidR="004F4E4D" w:rsidRDefault="004F4E4D" w:rsidP="00E00E0F">
      <w:pPr>
        <w:spacing w:line="240" w:lineRule="auto"/>
        <w:rPr>
          <w:b/>
          <w:bCs/>
        </w:rPr>
      </w:pPr>
      <w:r w:rsidRPr="004F4E4D">
        <w:rPr>
          <w:b/>
          <w:bCs/>
        </w:rPr>
        <w:t>Procedimientos vigentes sobre solicitantes de asilo y otras personas con necesidades de protección internacional que llegan a las zonas fronterizas</w:t>
      </w:r>
    </w:p>
    <w:p w:rsidR="00E81374" w:rsidRPr="004F4E4D" w:rsidRDefault="00E81374" w:rsidP="00E00E0F">
      <w:pPr>
        <w:spacing w:line="240" w:lineRule="auto"/>
        <w:rPr>
          <w:b/>
          <w:bCs/>
        </w:rPr>
      </w:pPr>
    </w:p>
    <w:p w:rsidR="00E81374" w:rsidRDefault="00343539" w:rsidP="00E00E0F">
      <w:pPr>
        <w:pStyle w:val="Prrafodelista"/>
        <w:numPr>
          <w:ilvl w:val="0"/>
          <w:numId w:val="1"/>
        </w:numPr>
        <w:spacing w:line="240" w:lineRule="auto"/>
        <w:rPr>
          <w:color w:val="000000" w:themeColor="text1"/>
        </w:rPr>
      </w:pPr>
      <w:r>
        <w:rPr>
          <w:color w:val="000000" w:themeColor="text1"/>
        </w:rPr>
        <w:t>“</w:t>
      </w:r>
      <w:r w:rsidR="00E81374" w:rsidRPr="00E81374">
        <w:rPr>
          <w:color w:val="000000" w:themeColor="text1"/>
        </w:rPr>
        <w:t xml:space="preserve">En materia de refugio, el INDH ha constatado numerosos casos de personas de diversas procedencias, incluyendo Venezuela, Colombia y Cuba, en que las autoridades les impiden sin </w:t>
      </w:r>
      <w:r w:rsidR="00E81374" w:rsidRPr="00E81374">
        <w:rPr>
          <w:color w:val="000000" w:themeColor="text1"/>
        </w:rPr>
        <w:lastRenderedPageBreak/>
        <w:t xml:space="preserve">fundamento el acceso al procedimiento de determinación de la condición </w:t>
      </w:r>
      <w:r w:rsidR="00E81374" w:rsidRPr="00E81374">
        <w:rPr>
          <w:color w:val="0D0D0D" w:themeColor="text1" w:themeTint="F2"/>
        </w:rPr>
        <w:t xml:space="preserve">de refugiado/a a través de la práctica de preadmisibilidad, un accionar fuera de ley que obstaculiza los requerimientos de asilo a través de la imposición de requisitos no contemplados en la Ley N° 20.430 o su reglamento, o de la negativa injustificada para acceder al procedimiento de solicitud del estatuto de persona refugiada. </w:t>
      </w:r>
      <w:r w:rsidR="00E81374" w:rsidRPr="001F05EE">
        <w:rPr>
          <w:color w:val="000000" w:themeColor="text1"/>
        </w:rPr>
        <w:t>Como consecuencia, desde el año 2018 el INDH ha interpuesto 35 acciones de protección, de las cuales 19 han sido acogidas, declarándose ilegal el procedimiento realizado por la autoridad respecto a 221 personas solicitantes de asilo.</w:t>
      </w:r>
      <w:r>
        <w:rPr>
          <w:color w:val="000000" w:themeColor="text1"/>
        </w:rPr>
        <w:t>”</w:t>
      </w:r>
      <w:r>
        <w:rPr>
          <w:rStyle w:val="Refdenotaalpie"/>
          <w:color w:val="000000" w:themeColor="text1"/>
        </w:rPr>
        <w:footnoteReference w:id="23"/>
      </w:r>
    </w:p>
    <w:p w:rsidR="00D62FFC" w:rsidRPr="00E81374" w:rsidRDefault="00D62FFC" w:rsidP="00D62FFC">
      <w:pPr>
        <w:pStyle w:val="Prrafodelista"/>
        <w:spacing w:line="240" w:lineRule="auto"/>
        <w:ind w:left="360"/>
        <w:rPr>
          <w:color w:val="000000" w:themeColor="text1"/>
        </w:rPr>
      </w:pPr>
      <w:r>
        <w:rPr>
          <w:color w:val="000000" w:themeColor="text1"/>
        </w:rPr>
        <w:t>En relación a los datos oficiales disponibles, cabe mencionar que las solicitudes de asilo en puntos fronterizos disminuyeron significativamente en los últimos meses</w:t>
      </w:r>
      <w:r w:rsidR="0092683A">
        <w:rPr>
          <w:color w:val="000000" w:themeColor="text1"/>
        </w:rPr>
        <w:t xml:space="preserve"> del año pasado</w:t>
      </w:r>
      <w:r>
        <w:rPr>
          <w:color w:val="000000" w:themeColor="text1"/>
        </w:rPr>
        <w:t>. Así, mientras en el primer semestre del año 2019 se registraron un total de 16.900</w:t>
      </w:r>
      <w:r w:rsidR="0092683A">
        <w:rPr>
          <w:color w:val="000000" w:themeColor="text1"/>
        </w:rPr>
        <w:t xml:space="preserve"> solicitudes de refugio, en el segundo semestre descendieron a un total de 33.</w:t>
      </w:r>
      <w:r w:rsidR="00343539">
        <w:rPr>
          <w:rStyle w:val="Refdenotaalpie"/>
          <w:color w:val="000000" w:themeColor="text1"/>
        </w:rPr>
        <w:footnoteReference w:id="24"/>
      </w:r>
    </w:p>
    <w:p w:rsidR="004F4E4D" w:rsidRDefault="004F4E4D" w:rsidP="00E00E0F">
      <w:pPr>
        <w:spacing w:line="240" w:lineRule="auto"/>
      </w:pPr>
    </w:p>
    <w:p w:rsidR="00F0595A" w:rsidRDefault="00F0595A" w:rsidP="00E00E0F">
      <w:pPr>
        <w:spacing w:line="240" w:lineRule="auto"/>
        <w:rPr>
          <w:b/>
          <w:bCs/>
        </w:rPr>
      </w:pPr>
    </w:p>
    <w:p w:rsidR="00867BE9" w:rsidRDefault="00867BE9" w:rsidP="00E00E0F">
      <w:pPr>
        <w:spacing w:line="240" w:lineRule="auto"/>
        <w:rPr>
          <w:b/>
          <w:bCs/>
        </w:rPr>
      </w:pPr>
      <w:r w:rsidRPr="00867BE9">
        <w:rPr>
          <w:b/>
          <w:bCs/>
        </w:rPr>
        <w:t>Expulsión (art. 22)</w:t>
      </w:r>
    </w:p>
    <w:p w:rsidR="00867BE9" w:rsidRDefault="00867BE9" w:rsidP="00E00E0F">
      <w:pPr>
        <w:spacing w:line="240" w:lineRule="auto"/>
      </w:pPr>
    </w:p>
    <w:p w:rsidR="00BE2E84" w:rsidRPr="00BE2E84" w:rsidRDefault="00BE2E84" w:rsidP="00E00E0F">
      <w:pPr>
        <w:spacing w:after="160" w:line="240" w:lineRule="auto"/>
        <w:rPr>
          <w:i/>
          <w:iCs/>
        </w:rPr>
      </w:pPr>
      <w:r w:rsidRPr="00BE2E84">
        <w:rPr>
          <w:i/>
          <w:iCs/>
        </w:rPr>
        <w:t>Situación general y acciones del INDH</w:t>
      </w:r>
    </w:p>
    <w:p w:rsidR="0058490B" w:rsidRDefault="0048084D" w:rsidP="0058490B">
      <w:pPr>
        <w:pStyle w:val="Prrafodelista"/>
        <w:numPr>
          <w:ilvl w:val="0"/>
          <w:numId w:val="1"/>
        </w:numPr>
        <w:spacing w:line="240" w:lineRule="auto"/>
      </w:pPr>
      <w:r>
        <w:t xml:space="preserve">El número de expulsiones administrativas, </w:t>
      </w:r>
      <w:r w:rsidR="0058490B" w:rsidRPr="0058490B">
        <w:t>determinadas por el Ministerio del Interior</w:t>
      </w:r>
      <w:r w:rsidR="0058490B">
        <w:t xml:space="preserve"> en base a las</w:t>
      </w:r>
      <w:r w:rsidR="0058490B" w:rsidRPr="0058490B">
        <w:t xml:space="preserve"> diferentes causales estipuladas en el D</w:t>
      </w:r>
      <w:r w:rsidR="0058490B">
        <w:t xml:space="preserve">ecreto </w:t>
      </w:r>
      <w:r w:rsidR="00651F83">
        <w:t xml:space="preserve">Ley </w:t>
      </w:r>
      <w:r w:rsidR="00651F83" w:rsidRPr="0058490B">
        <w:t>N</w:t>
      </w:r>
      <w:r w:rsidR="0058490B">
        <w:t>°</w:t>
      </w:r>
      <w:r w:rsidR="0058490B" w:rsidRPr="0058490B">
        <w:t xml:space="preserve">1.094, </w:t>
      </w:r>
      <w:r w:rsidR="000F3281">
        <w:t>ha aumentado sostenidamente desde el año 2015 y se</w:t>
      </w:r>
      <w:r w:rsidR="0058490B">
        <w:t xml:space="preserve"> duplic</w:t>
      </w:r>
      <w:r w:rsidR="00651F83">
        <w:t>ó</w:t>
      </w:r>
      <w:r w:rsidR="0058490B">
        <w:t xml:space="preserve"> el año 2019 </w:t>
      </w:r>
      <w:r w:rsidR="00651F83">
        <w:t>(</w:t>
      </w:r>
      <w:r w:rsidR="00651F83" w:rsidRPr="00651F83">
        <w:t>3.307</w:t>
      </w:r>
      <w:r w:rsidR="00651F83">
        <w:t xml:space="preserve"> casos) </w:t>
      </w:r>
      <w:r w:rsidR="0058490B">
        <w:t>en relación al año anterior</w:t>
      </w:r>
      <w:r w:rsidR="00651F83">
        <w:t xml:space="preserve"> (</w:t>
      </w:r>
      <w:r w:rsidR="00651F83" w:rsidRPr="00651F83">
        <w:t>6.702</w:t>
      </w:r>
      <w:r w:rsidR="00651F83">
        <w:t xml:space="preserve"> casos)</w:t>
      </w:r>
      <w:r w:rsidR="000F3281">
        <w:t>.</w:t>
      </w:r>
      <w:r w:rsidR="000F3281">
        <w:rPr>
          <w:rStyle w:val="Refdenotaalpie"/>
        </w:rPr>
        <w:footnoteReference w:id="25"/>
      </w:r>
    </w:p>
    <w:p w:rsidR="00BE2E84" w:rsidRPr="00244231" w:rsidRDefault="00BE2E84" w:rsidP="00E00E0F">
      <w:pPr>
        <w:pStyle w:val="Prrafodelista"/>
        <w:numPr>
          <w:ilvl w:val="0"/>
          <w:numId w:val="1"/>
        </w:numPr>
        <w:spacing w:line="240" w:lineRule="auto"/>
      </w:pPr>
      <w:r w:rsidRPr="00244231">
        <w:t>En relación a la detención y expulsión de</w:t>
      </w:r>
      <w:r>
        <w:t xml:space="preserve"> personas </w:t>
      </w:r>
      <w:r w:rsidRPr="00244231">
        <w:t xml:space="preserve">migrantes, el INDH ha recurrido ante la respectiva Corte de Apelaciones a través de acciones constitucionales de amparo, alegando la ilegalidad y arbitrariedad de la orden de expulsión, en función de los antecedentes de arraigo familiar, social y laboral que pueda tener la persona migrante en el país, y en atención a los principios de proporcionalidad de la sanción administrativa, y de reunificación familiar e interés superior del niño cuando </w:t>
      </w:r>
      <w:r>
        <w:t>corresponda</w:t>
      </w:r>
      <w:r w:rsidRPr="00244231">
        <w:t>. Durante el año 2018</w:t>
      </w:r>
      <w:r>
        <w:t xml:space="preserve"> y 2019</w:t>
      </w:r>
      <w:r w:rsidRPr="00244231">
        <w:t>, se interpus</w:t>
      </w:r>
      <w:r>
        <w:t>ieron</w:t>
      </w:r>
      <w:r w:rsidRPr="00244231">
        <w:t xml:space="preserve"> un total de </w:t>
      </w:r>
      <w:r>
        <w:t>33</w:t>
      </w:r>
      <w:r w:rsidRPr="00244231">
        <w:t xml:space="preserve"> acciones constitucionales de amparo, de las cuales se acogieron 1</w:t>
      </w:r>
      <w:r>
        <w:t>8</w:t>
      </w:r>
      <w:r w:rsidRPr="00244231">
        <w:t xml:space="preserve">, </w:t>
      </w:r>
      <w:r>
        <w:t>se rechazaron</w:t>
      </w:r>
      <w:r w:rsidRPr="00244231">
        <w:t xml:space="preserve"> </w:t>
      </w:r>
      <w:r>
        <w:t>14</w:t>
      </w:r>
      <w:r w:rsidRPr="00244231">
        <w:t xml:space="preserve"> acciones</w:t>
      </w:r>
      <w:r>
        <w:t xml:space="preserve"> y en una de las causas la Corte respectiva se declaró incompetente</w:t>
      </w:r>
      <w:r w:rsidRPr="00244231">
        <w:t xml:space="preserve">. </w:t>
      </w:r>
      <w:r w:rsidR="00203D99">
        <w:t xml:space="preserve">En general, </w:t>
      </w:r>
      <w:r w:rsidR="00203D99">
        <w:rPr>
          <w:color w:val="000000" w:themeColor="text1"/>
        </w:rPr>
        <w:t>l</w:t>
      </w:r>
      <w:r w:rsidR="00203D99" w:rsidRPr="00203D99">
        <w:rPr>
          <w:color w:val="000000" w:themeColor="text1"/>
        </w:rPr>
        <w:t>as expulsiones se han caracterizado por una alta exposición mediática, al conformarse grupos que</w:t>
      </w:r>
      <w:r w:rsidR="00203D99">
        <w:rPr>
          <w:color w:val="000000" w:themeColor="text1"/>
        </w:rPr>
        <w:t xml:space="preserve"> son</w:t>
      </w:r>
      <w:r w:rsidR="00203D99" w:rsidRPr="00203D99">
        <w:rPr>
          <w:color w:val="000000" w:themeColor="text1"/>
        </w:rPr>
        <w:t xml:space="preserve"> expuestos a la prensa, </w:t>
      </w:r>
      <w:r w:rsidR="00203D99">
        <w:rPr>
          <w:color w:val="000000" w:themeColor="text1"/>
        </w:rPr>
        <w:t>afectando</w:t>
      </w:r>
      <w:r w:rsidR="00203D99" w:rsidRPr="00203D99">
        <w:rPr>
          <w:color w:val="000000" w:themeColor="text1"/>
        </w:rPr>
        <w:t xml:space="preserve"> la dignidad de las personas</w:t>
      </w:r>
      <w:r w:rsidR="00203D99">
        <w:rPr>
          <w:color w:val="000000" w:themeColor="text1"/>
        </w:rPr>
        <w:t>.</w:t>
      </w:r>
    </w:p>
    <w:p w:rsidR="00BE2E84" w:rsidRDefault="00BE2E84" w:rsidP="00E00E0F">
      <w:pPr>
        <w:pStyle w:val="Prrafodelista"/>
        <w:numPr>
          <w:ilvl w:val="0"/>
          <w:numId w:val="1"/>
        </w:numPr>
        <w:spacing w:line="240" w:lineRule="auto"/>
      </w:pPr>
      <w:r w:rsidRPr="00244231">
        <w:t>Con ocasión de la acción constitucional de amparo Rol N° 476-2019</w:t>
      </w:r>
      <w:r>
        <w:t>,</w:t>
      </w:r>
      <w:r w:rsidRPr="00244231">
        <w:t xml:space="preserve"> interpuesta ante la Corte de Apelaciones de Santiago con fecha 27 de junio de 2019, el INDH presentó </w:t>
      </w:r>
      <w:r>
        <w:t xml:space="preserve">una </w:t>
      </w:r>
      <w:r w:rsidRPr="00244231">
        <w:t xml:space="preserve">denuncia ante el Ministerio Público respecto de hechos sucedidos </w:t>
      </w:r>
      <w:r>
        <w:t>el</w:t>
      </w:r>
      <w:r w:rsidRPr="00244231">
        <w:t xml:space="preserve"> 26 de marzo de 2019, </w:t>
      </w:r>
      <w:r>
        <w:t>cuando</w:t>
      </w:r>
      <w:r w:rsidRPr="00244231">
        <w:t xml:space="preserve"> funcionarios de </w:t>
      </w:r>
      <w:r>
        <w:t xml:space="preserve">la </w:t>
      </w:r>
      <w:r w:rsidRPr="00244231">
        <w:t>Policía de Investigaciones de Chile</w:t>
      </w:r>
      <w:r>
        <w:t xml:space="preserve"> (PDI)</w:t>
      </w:r>
      <w:r w:rsidRPr="00244231">
        <w:t>, haciendo uso de actuaciones engañosas, citaron a diferentes personas de nacionalidad colombiana al Cuartel de Policía Internacional y Migraciones con la finalidad de poder “ayudarlos en su proceso de regularización migratoria”, o bien, concurrieron directamente hasta sus domicilios, previa cita por teléfono. Sin embargo, una vez que los</w:t>
      </w:r>
      <w:r>
        <w:t>/as</w:t>
      </w:r>
      <w:r w:rsidRPr="00244231">
        <w:t xml:space="preserve"> ciudadanos</w:t>
      </w:r>
      <w:r>
        <w:t>/as</w:t>
      </w:r>
      <w:r w:rsidRPr="00244231">
        <w:t xml:space="preserve"> colombianos</w:t>
      </w:r>
      <w:r>
        <w:t>/as</w:t>
      </w:r>
      <w:r w:rsidRPr="00244231">
        <w:t xml:space="preserve"> llegaron hasta el aludido cuartel policial, o bien fueron contactados</w:t>
      </w:r>
      <w:r>
        <w:t>/as</w:t>
      </w:r>
      <w:r w:rsidRPr="00244231">
        <w:t xml:space="preserve"> en sus respectivos domicilios, fueron detenidos</w:t>
      </w:r>
      <w:r>
        <w:t>/as</w:t>
      </w:r>
      <w:r w:rsidRPr="00244231">
        <w:t>, permaneciendo bajo custodia policial en el señalado cuartel durante todo el día y siendo expulsados</w:t>
      </w:r>
      <w:r>
        <w:t>/as</w:t>
      </w:r>
      <w:r w:rsidRPr="00244231">
        <w:t xml:space="preserve"> del país </w:t>
      </w:r>
      <w:r w:rsidRPr="00244231">
        <w:lastRenderedPageBreak/>
        <w:t>en vuelo directo a Bogotá de la Fuerza Aérea de Chile</w:t>
      </w:r>
      <w:r>
        <w:t xml:space="preserve">, </w:t>
      </w:r>
      <w:r w:rsidRPr="00244231">
        <w:t>con fecha 27 de marzo de 2019. Dicha denuncia se encuentra actualmente en proceso de investigación ante la Fiscalía de Delitos de Alta Complejidad de la Fiscalía Metropolitana Centro Norte</w:t>
      </w:r>
      <w:r>
        <w:t>.</w:t>
      </w:r>
      <w:r>
        <w:rPr>
          <w:rStyle w:val="Refdenotaalpie"/>
        </w:rPr>
        <w:footnoteReference w:id="26"/>
      </w:r>
    </w:p>
    <w:p w:rsidR="00203D99" w:rsidRDefault="00203D99" w:rsidP="00E00E0F">
      <w:pPr>
        <w:pStyle w:val="Prrafodelista"/>
        <w:spacing w:line="240" w:lineRule="auto"/>
        <w:ind w:left="360"/>
      </w:pPr>
    </w:p>
    <w:p w:rsidR="00BE2E84" w:rsidRPr="00560A9C" w:rsidRDefault="00BE2E84" w:rsidP="00E00E0F">
      <w:pPr>
        <w:spacing w:line="240" w:lineRule="auto"/>
      </w:pPr>
    </w:p>
    <w:p w:rsidR="00BE2E84" w:rsidRPr="00BE2E84" w:rsidRDefault="00BE2E84" w:rsidP="00E00E0F">
      <w:pPr>
        <w:spacing w:after="160" w:line="240" w:lineRule="auto"/>
        <w:rPr>
          <w:i/>
          <w:iCs/>
        </w:rPr>
      </w:pPr>
      <w:r w:rsidRPr="00E60E87">
        <w:rPr>
          <w:i/>
          <w:iCs/>
        </w:rPr>
        <w:t xml:space="preserve">Detención y expulsión de personas haitianas </w:t>
      </w:r>
      <w:r w:rsidR="008470FE" w:rsidRPr="00E60E87">
        <w:rPr>
          <w:i/>
          <w:iCs/>
        </w:rPr>
        <w:t xml:space="preserve">ocurridas en el año </w:t>
      </w:r>
      <w:r w:rsidRPr="00E60E87">
        <w:rPr>
          <w:i/>
          <w:iCs/>
        </w:rPr>
        <w:t>2018</w:t>
      </w:r>
      <w:r w:rsidR="00E60E87">
        <w:rPr>
          <w:rStyle w:val="Refdenotaalpie"/>
          <w:i/>
          <w:iCs/>
        </w:rPr>
        <w:footnoteReference w:id="27"/>
      </w:r>
    </w:p>
    <w:p w:rsidR="00BE2E84" w:rsidRDefault="00BE2E84" w:rsidP="00E00E0F">
      <w:pPr>
        <w:pStyle w:val="Prrafodelista"/>
        <w:numPr>
          <w:ilvl w:val="0"/>
          <w:numId w:val="1"/>
        </w:numPr>
        <w:spacing w:line="240" w:lineRule="auto"/>
      </w:pPr>
      <w:r w:rsidRPr="00244231">
        <w:t>El día 6 de marzo de 2018, un grupo de funcionarios del INDH se trasladó hasta el Aeropuerto Internacional de Santiago para conocer la situación que afectaba a 55 personas de nacionalidad haitiana. Durante esos cuatro días, este grupo de personas permaneció en una reducida instalación correspondiente a una sala de embarque del aeropuerto, a la espera de la resolución sobre autorización de ingreso o el reembarque por parte de la autoridad pertinente.</w:t>
      </w:r>
    </w:p>
    <w:p w:rsidR="00203D99" w:rsidRDefault="00BE2E84" w:rsidP="00E00E0F">
      <w:pPr>
        <w:pStyle w:val="Prrafodelista"/>
        <w:spacing w:line="240" w:lineRule="auto"/>
        <w:ind w:left="360"/>
      </w:pPr>
      <w:r>
        <w:t xml:space="preserve">En virtud de la visita efectuada por el INDH, </w:t>
      </w:r>
      <w:r w:rsidRPr="00244231">
        <w:t>se pudo constatar que estas 55 personas no habían podido cubrir sus necesidades más básicas, ya que no contaban con acceso a baños para poder asearse, además no se les había suministrado alimentos. Se comprobó además que dos mujeres se encontraban enfermas, y que otras tantas estaban semi</w:t>
      </w:r>
      <w:r>
        <w:t xml:space="preserve"> </w:t>
      </w:r>
      <w:r w:rsidRPr="00244231">
        <w:t xml:space="preserve">desmayadas por la falta de </w:t>
      </w:r>
      <w:r>
        <w:t>comida</w:t>
      </w:r>
      <w:r w:rsidRPr="00244231">
        <w:t>. Durante ese periodo tampoco se les permitió acceder a sus equipajes, por lo cual estas personas no pudieron cambiarse de vestimenta ni acceder a ningún utensilio personal.</w:t>
      </w:r>
    </w:p>
    <w:p w:rsidR="00203D99" w:rsidRDefault="00BE2E84" w:rsidP="00E00E0F">
      <w:pPr>
        <w:pStyle w:val="Prrafodelista"/>
        <w:spacing w:line="240" w:lineRule="auto"/>
        <w:ind w:left="360"/>
      </w:pPr>
      <w:r w:rsidRPr="00244231">
        <w:t xml:space="preserve">Consultado el personal de Policía de Investigaciones </w:t>
      </w:r>
      <w:r>
        <w:t xml:space="preserve">(PDI) </w:t>
      </w:r>
      <w:r w:rsidRPr="00244231">
        <w:t>sobre los motivos de la retención de estos/as ciudadanos/as haitianos/as, respond</w:t>
      </w:r>
      <w:r>
        <w:t>ieron</w:t>
      </w:r>
      <w:r w:rsidRPr="00244231">
        <w:t xml:space="preserve"> al equipo</w:t>
      </w:r>
      <w:r>
        <w:t xml:space="preserve"> del</w:t>
      </w:r>
      <w:r w:rsidRPr="00244231">
        <w:t xml:space="preserve"> INDH que a todos/as ellos/ellas se les ha</w:t>
      </w:r>
      <w:r>
        <w:t>bía</w:t>
      </w:r>
      <w:r w:rsidRPr="00244231">
        <w:t xml:space="preserve"> negado la visa de turismo puesto que las reservas hoteleras eran falsas y/o no comprendían todo el período de permanencia de las personas en el país. Cabe agregar que el personal chequeó al momento de ingreso solamente por teléfono la veracidad de las reservas hoteleras, sin ningún fundamento legal, aplicando un requisito adicional de ingreso al país no contemplado en la ley, y que en la práctica no se aplicaría a ningún otro turista a menos que sea haitiano, por lo cual, además de ilegal, el actuar de la Policía result</w:t>
      </w:r>
      <w:r>
        <w:t>ó ser</w:t>
      </w:r>
      <w:r w:rsidRPr="00244231">
        <w:t xml:space="preserve"> arbitrario y discriminatorio. Cabe agregar que todos los ciudadanos y ciudadanas haitianos/as traían a los menos $1000 USD consigo.</w:t>
      </w:r>
    </w:p>
    <w:p w:rsidR="00203D99" w:rsidRDefault="00BE2E84" w:rsidP="00E00E0F">
      <w:pPr>
        <w:pStyle w:val="Prrafodelista"/>
        <w:spacing w:line="240" w:lineRule="auto"/>
        <w:ind w:left="360"/>
      </w:pPr>
      <w:r w:rsidRPr="00244231">
        <w:t>Dicha situación se repitió los días 19 de marzo, donde h</w:t>
      </w:r>
      <w:r>
        <w:t>ubo</w:t>
      </w:r>
      <w:r w:rsidRPr="00244231">
        <w:t xml:space="preserve"> 18 personas de nacionalidad haitiana en la misma situación</w:t>
      </w:r>
      <w:r>
        <w:t xml:space="preserve"> ya descrita</w:t>
      </w:r>
      <w:r w:rsidR="00401FD9">
        <w:t>;</w:t>
      </w:r>
      <w:r w:rsidRPr="00244231">
        <w:t xml:space="preserve"> el día 23 de marzo, </w:t>
      </w:r>
      <w:r>
        <w:t>con</w:t>
      </w:r>
      <w:r w:rsidRPr="00244231">
        <w:t xml:space="preserve"> 13 personas de nacionalidad haitiana esperando para ser reembarcada</w:t>
      </w:r>
      <w:r>
        <w:t>s,</w:t>
      </w:r>
      <w:r w:rsidRPr="00244231">
        <w:t xml:space="preserve"> y el día 27 de marzo, donde h</w:t>
      </w:r>
      <w:r>
        <w:t>ubo</w:t>
      </w:r>
      <w:r w:rsidRPr="00244231">
        <w:t xml:space="preserve"> 3 personas de nacionalidad haitiana con prohibición de ingreso al país.  </w:t>
      </w:r>
    </w:p>
    <w:p w:rsidR="00BE2E84" w:rsidRDefault="00BE2E84" w:rsidP="00E00E0F">
      <w:pPr>
        <w:pStyle w:val="Prrafodelista"/>
        <w:spacing w:line="240" w:lineRule="auto"/>
        <w:ind w:left="360"/>
      </w:pPr>
      <w:r w:rsidRPr="00244231">
        <w:t>En función de estos antecedentes,</w:t>
      </w:r>
      <w:r>
        <w:t xml:space="preserve"> el</w:t>
      </w:r>
      <w:r w:rsidRPr="00244231">
        <w:t xml:space="preserve"> INDH interpuso una acción constitucional de protección, alegando ilegalidad y arbitrariedad de parte de </w:t>
      </w:r>
      <w:r>
        <w:t xml:space="preserve">la </w:t>
      </w:r>
      <w:r w:rsidRPr="00244231">
        <w:t xml:space="preserve">PDI, </w:t>
      </w:r>
      <w:bookmarkStart w:id="5" w:name="_Hlk33801098"/>
      <w:r>
        <w:t>y</w:t>
      </w:r>
      <w:r w:rsidRPr="00244231">
        <w:t xml:space="preserve"> la infracción </w:t>
      </w:r>
      <w:r>
        <w:t>de</w:t>
      </w:r>
      <w:r w:rsidRPr="00244231">
        <w:t xml:space="preserve"> los derecho</w:t>
      </w:r>
      <w:r>
        <w:t>s</w:t>
      </w:r>
      <w:r w:rsidRPr="00244231">
        <w:t xml:space="preserve"> a la vida, a la integridad física y psíquica, igualdad ante la </w:t>
      </w:r>
      <w:r>
        <w:t>l</w:t>
      </w:r>
      <w:r w:rsidRPr="00244231">
        <w:t>ey, debido proceso</w:t>
      </w:r>
      <w:bookmarkEnd w:id="5"/>
      <w:r w:rsidRPr="00244231">
        <w:t>. Con fecha 21 de agosto de 2018, la Corte de Apelaciones de Santiago</w:t>
      </w:r>
      <w:r>
        <w:t>,</w:t>
      </w:r>
      <w:r w:rsidRPr="00244231">
        <w:t xml:space="preserve"> en causa Rol N° 22.865-2018, rechazó la acción constitucional de protección, señalando en su sentencia que por una parte los actos constitutivos de la conducta impugnada habían perdido oportunidad, </w:t>
      </w:r>
      <w:r>
        <w:t xml:space="preserve">pues las personas afectadas ya no se encontraban en el país, </w:t>
      </w:r>
      <w:r w:rsidRPr="00244231">
        <w:t>por lo que no exist</w:t>
      </w:r>
      <w:r>
        <w:t>ía</w:t>
      </w:r>
      <w:r w:rsidRPr="00244231">
        <w:t xml:space="preserve"> actuación u omisión ilegal o arbitraria alguna respecto de la cual deb</w:t>
      </w:r>
      <w:r>
        <w:t>ieron</w:t>
      </w:r>
      <w:r w:rsidRPr="00244231">
        <w:t xml:space="preserve"> adoptarse medidas mediante </w:t>
      </w:r>
      <w:r>
        <w:t>reparatorias</w:t>
      </w:r>
      <w:r w:rsidRPr="00244231">
        <w:t xml:space="preserve">. Dicha decisión fue confirmada por la Corte Suprema de </w:t>
      </w:r>
      <w:r>
        <w:t>Justicia</w:t>
      </w:r>
      <w:r w:rsidRPr="00244231">
        <w:t>, en causa Rol N° 22.168-2018</w:t>
      </w:r>
      <w:r w:rsidR="008470FE">
        <w:t>.</w:t>
      </w:r>
    </w:p>
    <w:p w:rsidR="008470FE" w:rsidRDefault="008470FE" w:rsidP="00E00E0F">
      <w:pPr>
        <w:pStyle w:val="Prrafodelista"/>
        <w:spacing w:line="240" w:lineRule="auto"/>
        <w:ind w:left="360"/>
      </w:pPr>
    </w:p>
    <w:p w:rsidR="00BE2E84" w:rsidRDefault="00BE2E84" w:rsidP="00E00E0F">
      <w:pPr>
        <w:spacing w:line="240" w:lineRule="auto"/>
        <w:rPr>
          <w:b/>
          <w:bCs/>
        </w:rPr>
      </w:pPr>
    </w:p>
    <w:p w:rsidR="00F0595A" w:rsidRDefault="00F0595A" w:rsidP="00E00E0F">
      <w:pPr>
        <w:spacing w:line="240" w:lineRule="auto"/>
        <w:rPr>
          <w:b/>
          <w:bCs/>
        </w:rPr>
      </w:pPr>
    </w:p>
    <w:p w:rsidR="00F0595A" w:rsidRDefault="00F0595A" w:rsidP="00E00E0F">
      <w:pPr>
        <w:spacing w:line="240" w:lineRule="auto"/>
        <w:rPr>
          <w:b/>
          <w:bCs/>
        </w:rPr>
      </w:pPr>
    </w:p>
    <w:p w:rsidR="00F0595A" w:rsidRDefault="00F0595A" w:rsidP="00E00E0F">
      <w:pPr>
        <w:spacing w:line="240" w:lineRule="auto"/>
        <w:rPr>
          <w:b/>
          <w:bCs/>
        </w:rPr>
      </w:pPr>
    </w:p>
    <w:p w:rsidR="00867BE9" w:rsidRDefault="00867BE9" w:rsidP="00E00E0F">
      <w:pPr>
        <w:spacing w:line="240" w:lineRule="auto"/>
        <w:rPr>
          <w:b/>
          <w:bCs/>
        </w:rPr>
      </w:pPr>
      <w:r w:rsidRPr="00867BE9">
        <w:rPr>
          <w:b/>
          <w:bCs/>
        </w:rPr>
        <w:lastRenderedPageBreak/>
        <w:t>Remuneración y condiciones de trabajo (art. 25)</w:t>
      </w:r>
    </w:p>
    <w:p w:rsidR="001A769B" w:rsidRDefault="001A769B" w:rsidP="00E00E0F">
      <w:pPr>
        <w:spacing w:line="240" w:lineRule="auto"/>
        <w:rPr>
          <w:b/>
          <w:bCs/>
        </w:rPr>
      </w:pPr>
    </w:p>
    <w:p w:rsidR="00033328" w:rsidRPr="00033328" w:rsidRDefault="00033328" w:rsidP="00E00E0F">
      <w:pPr>
        <w:spacing w:line="240" w:lineRule="auto"/>
        <w:rPr>
          <w:i/>
          <w:iCs/>
        </w:rPr>
      </w:pPr>
      <w:r w:rsidRPr="00033328">
        <w:rPr>
          <w:i/>
          <w:iCs/>
        </w:rPr>
        <w:t>Condiciones generales de empleo</w:t>
      </w:r>
    </w:p>
    <w:p w:rsidR="00033328" w:rsidRPr="00867BE9" w:rsidRDefault="00033328" w:rsidP="00E00E0F">
      <w:pPr>
        <w:spacing w:line="240" w:lineRule="auto"/>
        <w:rPr>
          <w:b/>
          <w:bCs/>
        </w:rPr>
      </w:pPr>
    </w:p>
    <w:p w:rsidR="00033328" w:rsidRDefault="00033328" w:rsidP="00E00E0F">
      <w:pPr>
        <w:pStyle w:val="Prrafodelista"/>
        <w:numPr>
          <w:ilvl w:val="0"/>
          <w:numId w:val="1"/>
        </w:numPr>
        <w:spacing w:line="240" w:lineRule="auto"/>
      </w:pPr>
      <w:r>
        <w:t xml:space="preserve">De acuerdo a la Encuesta CASEN 2017, la tasa de participación laboral en la población migrante es de 89,8% para los varones y de 73,6% para las mujeres. Conforme a los datos de la Encuesta Nacional de Empleo del trimestre noviembre 2019-enero 2020, </w:t>
      </w:r>
      <w:r w:rsidRPr="00C145C8">
        <w:t xml:space="preserve">el 7,6% de la población en edad de trabajar (15 años y más) corresponde a personas extranjeras, lo que equivale a 1.169.775 personas, </w:t>
      </w:r>
      <w:r>
        <w:t>cifras que representan</w:t>
      </w:r>
      <w:r w:rsidRPr="00C145C8">
        <w:t xml:space="preserve"> un crecimiento del 66,9% desde el trimestre enero-marzo de 2017</w:t>
      </w:r>
      <w:r>
        <w:t>.</w:t>
      </w:r>
      <w:r>
        <w:rPr>
          <w:rStyle w:val="Refdenotaalpie"/>
        </w:rPr>
        <w:footnoteReference w:id="28"/>
      </w:r>
      <w:r>
        <w:t xml:space="preserve"> </w:t>
      </w:r>
    </w:p>
    <w:p w:rsidR="00033328" w:rsidRDefault="00033328" w:rsidP="00E00E0F">
      <w:pPr>
        <w:pStyle w:val="Prrafodelista"/>
        <w:numPr>
          <w:ilvl w:val="0"/>
          <w:numId w:val="1"/>
        </w:numPr>
        <w:spacing w:line="240" w:lineRule="auto"/>
        <w:rPr>
          <w:color w:val="000000" w:themeColor="text1"/>
        </w:rPr>
      </w:pPr>
      <w:r w:rsidRPr="003748C5">
        <w:rPr>
          <w:color w:val="000000" w:themeColor="text1"/>
        </w:rPr>
        <w:t>Persisten disposiciones que limitan los derechos de las personas migrantes en el ámbito laboral. Las empresas que cuenten con más de 25 trabajadores/as deben estar compuestas en un 85% de chilenos/as,</w:t>
      </w:r>
      <w:r w:rsidRPr="00C774EA">
        <w:rPr>
          <w:vertAlign w:val="superscript"/>
        </w:rPr>
        <w:footnoteReference w:id="29"/>
      </w:r>
      <w:r w:rsidRPr="003748C5">
        <w:rPr>
          <w:color w:val="000000" w:themeColor="text1"/>
        </w:rPr>
        <w:t xml:space="preserve"> como lo establece el Código del Trabajo en sus artículos 19</w:t>
      </w:r>
      <w:r>
        <w:rPr>
          <w:rStyle w:val="Refdenotaalpie"/>
          <w:color w:val="000000" w:themeColor="text1"/>
        </w:rPr>
        <w:footnoteReference w:id="30"/>
      </w:r>
      <w:r w:rsidRPr="003748C5">
        <w:rPr>
          <w:color w:val="000000" w:themeColor="text1"/>
        </w:rPr>
        <w:t xml:space="preserve"> y 20</w:t>
      </w:r>
      <w:r>
        <w:rPr>
          <w:rStyle w:val="Refdenotaalpie"/>
          <w:color w:val="000000" w:themeColor="text1"/>
        </w:rPr>
        <w:footnoteReference w:id="31"/>
      </w:r>
      <w:r w:rsidRPr="003748C5">
        <w:rPr>
          <w:color w:val="000000" w:themeColor="text1"/>
        </w:rPr>
        <w:t>.</w:t>
      </w:r>
    </w:p>
    <w:p w:rsidR="00033328" w:rsidRDefault="00033328" w:rsidP="00E00E0F">
      <w:pPr>
        <w:pStyle w:val="Prrafodelista"/>
        <w:spacing w:line="240" w:lineRule="auto"/>
        <w:ind w:left="360"/>
      </w:pPr>
      <w:r w:rsidRPr="003748C5">
        <w:rPr>
          <w:color w:val="000000" w:themeColor="text1"/>
        </w:rPr>
        <w:t xml:space="preserve">De acuerdo al último informe comparado del proyecto de ley de migración y extranjería (Boletín 8970-06), de 22 de julio de 2019, este contiene ciertas modificaciones al Código del Trabajo, sin embargo, no se contemplan disposiciones que terminen con las limitaciones de los artículos 19 y 20, explicadas anteriormente. No obstante, el proyecto establece una nueva excepción al artículo 19 respecto de la obligación de contratar al menos a un 85% de trabajadores nacionales, sumando a las </w:t>
      </w:r>
      <w:r w:rsidRPr="0059750B">
        <w:t>empresas que desarrollen actividades estacionales o de temporada y que requieran un incremento sustantivo de su personal durante dicha estación o temporada.</w:t>
      </w:r>
      <w:r>
        <w:t xml:space="preserve"> El proyecto de ley de migración y extranjería modifica, también, el artículo 20 del Código del Trabajo para excluir del cómputo de trabajadores migrantes a las personas extranjeras </w:t>
      </w:r>
      <w:r w:rsidRPr="0059750B">
        <w:t>cuyo permiso de residencia o permanencia tenga un plazo de estadía menor a un año y no permita postular a la residencia definitiva</w:t>
      </w:r>
      <w:r>
        <w:t>.</w:t>
      </w:r>
    </w:p>
    <w:p w:rsidR="00033328" w:rsidRDefault="00033328" w:rsidP="00E00E0F">
      <w:pPr>
        <w:pStyle w:val="Prrafodelista"/>
        <w:spacing w:line="240" w:lineRule="auto"/>
        <w:ind w:left="360"/>
      </w:pPr>
    </w:p>
    <w:p w:rsidR="00033328" w:rsidRPr="003748C5" w:rsidRDefault="00033328" w:rsidP="00E00E0F">
      <w:pPr>
        <w:pStyle w:val="Prrafodelista"/>
        <w:spacing w:line="240" w:lineRule="auto"/>
        <w:ind w:left="360"/>
        <w:rPr>
          <w:color w:val="000000" w:themeColor="text1"/>
        </w:rPr>
      </w:pPr>
    </w:p>
    <w:p w:rsidR="00EC44F8" w:rsidRPr="00F625BD" w:rsidRDefault="00C145C8" w:rsidP="00E00E0F">
      <w:pPr>
        <w:spacing w:line="240" w:lineRule="auto"/>
        <w:rPr>
          <w:i/>
          <w:iCs/>
        </w:rPr>
      </w:pPr>
      <w:r w:rsidRPr="00F625BD">
        <w:rPr>
          <w:i/>
          <w:iCs/>
        </w:rPr>
        <w:t>T</w:t>
      </w:r>
      <w:r w:rsidR="00EC44F8" w:rsidRPr="00F625BD">
        <w:rPr>
          <w:i/>
          <w:iCs/>
        </w:rPr>
        <w:t>rabajadoras domésticas migrantes</w:t>
      </w:r>
    </w:p>
    <w:p w:rsidR="001A769B" w:rsidRPr="009F1290" w:rsidRDefault="001A769B" w:rsidP="00E00E0F">
      <w:pPr>
        <w:spacing w:line="240" w:lineRule="auto"/>
        <w:rPr>
          <w:b/>
          <w:bCs/>
        </w:rPr>
      </w:pPr>
    </w:p>
    <w:p w:rsidR="001A769B" w:rsidRDefault="009F1290" w:rsidP="00E00E0F">
      <w:pPr>
        <w:pStyle w:val="Prrafodelista"/>
        <w:numPr>
          <w:ilvl w:val="0"/>
          <w:numId w:val="1"/>
        </w:numPr>
        <w:spacing w:line="240" w:lineRule="auto"/>
      </w:pPr>
      <w:r>
        <w:t xml:space="preserve">El 27 de octubre de 2014, fue publicada la Ley N° 20.786 que modifica la jornada, descanso y composición de la remuneración de los trabajadores de casa particular, y prohíbe la exigencia de uniforme en lugares públicos. Entre las modificaciones más relevantes introducidas al Código </w:t>
      </w:r>
      <w:r>
        <w:lastRenderedPageBreak/>
        <w:t xml:space="preserve">del Trabajo por esta ley, cuentan: i. se establece expresamente que el contrato de trabajo debe constar por escrito; ii. desde que se otorga el contrato, la parte empleadora tiene un plazo de quince días para inscribirlo en la Inspección del Trabajo; iii. dado lo anterior, la Inspección del Trabajo puede fiscalizar las condiciones en que se prestan estos servicios en el domicilio indicado en el contrato; iv. se iguala la jornada laboral de las trabajadoras de cada particular al resto de las y los trabajadores (45 horas a la semana, como máximo); iv. se iguala el ingreso mínimo de las trabajadoras de casa particular a lo previsto para una jornada ordinaria de trabajo, y en el caso de las trabajadoras “puertas adentro”, se prohíbe que se les descuente del salario los conceptos de alimentación y alojamiento. </w:t>
      </w:r>
    </w:p>
    <w:p w:rsidR="001A769B" w:rsidRDefault="001A769B" w:rsidP="00E00E0F">
      <w:pPr>
        <w:pStyle w:val="Prrafodelista"/>
        <w:numPr>
          <w:ilvl w:val="0"/>
          <w:numId w:val="1"/>
        </w:numPr>
        <w:spacing w:line="240" w:lineRule="auto"/>
      </w:pPr>
      <w:r>
        <w:t>Conforme a datos publicados por el Ministerio del Trabajo y Previsión Social, a octubre de 2019,</w:t>
      </w:r>
      <w:r w:rsidRPr="001B06AB">
        <w:t xml:space="preserve"> casi 1 de cada 10 mujeres </w:t>
      </w:r>
      <w:r>
        <w:t xml:space="preserve">empleadas </w:t>
      </w:r>
      <w:r w:rsidRPr="001B06AB">
        <w:t xml:space="preserve">en Chile es trabajadora de casa particular, </w:t>
      </w:r>
      <w:r>
        <w:t>llegando a un número</w:t>
      </w:r>
      <w:r w:rsidRPr="001B06AB">
        <w:t xml:space="preserve"> 296.548</w:t>
      </w:r>
      <w:r>
        <w:t xml:space="preserve"> mujeres;</w:t>
      </w:r>
      <w:r w:rsidRPr="001B06AB">
        <w:t xml:space="preserve"> de las cuales 250.143 (84,4%) son puertas afuera y 46.405 (15,6%)</w:t>
      </w:r>
      <w:r>
        <w:t>,</w:t>
      </w:r>
      <w:r w:rsidRPr="001B06AB">
        <w:t xml:space="preserve"> puertas adentro. La mayoría </w:t>
      </w:r>
      <w:r>
        <w:t>de estas trabajadoras son chilenas</w:t>
      </w:r>
      <w:r w:rsidRPr="001B06AB">
        <w:t xml:space="preserve">, mientras que el 10% </w:t>
      </w:r>
      <w:r>
        <w:t>corresponde a</w:t>
      </w:r>
      <w:r w:rsidRPr="001B06AB">
        <w:t xml:space="preserve"> </w:t>
      </w:r>
      <w:r>
        <w:t xml:space="preserve">mujeres </w:t>
      </w:r>
      <w:r w:rsidRPr="001B06AB">
        <w:t>migrantes, principalmente peruanas, colombianas, bolivianas, ecuatorianas y venezolanas.</w:t>
      </w:r>
      <w:r>
        <w:rPr>
          <w:rStyle w:val="Refdenotaalpie"/>
        </w:rPr>
        <w:footnoteReference w:id="32"/>
      </w:r>
    </w:p>
    <w:p w:rsidR="002D6618" w:rsidRDefault="002D6618" w:rsidP="00E00E0F">
      <w:pPr>
        <w:pStyle w:val="Prrafodelista"/>
        <w:numPr>
          <w:ilvl w:val="0"/>
          <w:numId w:val="1"/>
        </w:numPr>
        <w:spacing w:line="240" w:lineRule="auto"/>
      </w:pPr>
      <w:r>
        <w:t>De acuerdo a cifras entregadas por el Gobierno, desde la entrada en vigencia de la Ley N° 20.786 (2015) el registro de contratos de trabajadoras de casa particular</w:t>
      </w:r>
      <w:r w:rsidR="001A769B">
        <w:t xml:space="preserve"> hasta octubre de 2019</w:t>
      </w:r>
      <w:r>
        <w:t xml:space="preserve"> ha aumentado en un 27%.</w:t>
      </w:r>
      <w:r>
        <w:rPr>
          <w:rStyle w:val="Refdenotaalpie"/>
        </w:rPr>
        <w:footnoteReference w:id="33"/>
      </w:r>
      <w:r>
        <w:t xml:space="preserve"> Conforme al mismo reporte del Ejecutivo, en el período ya indicado han disminuido las denuncias por vulneraciones a los derechos de las trabajadoras de casa particular, pues mientras en 2015 fueron 2.406 denuncias, en 2018 se registraron 1.329 y a octubre de 2019, existían 550. Entre los principales motivos de denuncia, destacan: cotizaciones impagas y falta de otorgamiento del contrato de trabajo. </w:t>
      </w:r>
    </w:p>
    <w:p w:rsidR="001A769B" w:rsidRDefault="002D6618" w:rsidP="00E00E0F">
      <w:pPr>
        <w:pStyle w:val="Prrafodelista"/>
        <w:spacing w:line="240" w:lineRule="auto"/>
        <w:ind w:left="360"/>
      </w:pPr>
      <w:r>
        <w:t>En términos más amplios, de acuerdo al último Boletín estadístico de informalidad laboral, publicado el 5 de febrero de 2020 por el Instituto Nacional de Estadísticas, en el trimestre octubre-diciembre de 2019 la tasa de ocupación informal llegó al 30,4%, creciendo en 0,7 puntos en un período de 12 meses. De acuerdo a la misma fuente, los hogares como empleadores registraron las mayores tasas de ocupación informal, llegando al 54,5%.</w:t>
      </w:r>
      <w:r>
        <w:rPr>
          <w:rStyle w:val="Refdenotaalpie"/>
        </w:rPr>
        <w:footnoteReference w:id="34"/>
      </w:r>
    </w:p>
    <w:p w:rsidR="00867BE9" w:rsidRDefault="001A769B" w:rsidP="00E00E0F">
      <w:pPr>
        <w:pStyle w:val="Prrafodelista"/>
        <w:spacing w:line="240" w:lineRule="auto"/>
        <w:ind w:left="360"/>
      </w:pPr>
      <w:r>
        <w:t>Cabe mencionar que estos datos no se encuentran desagregados por nacionalidad y no permiten conocer la situación específica de las trabajadoras de casa particular migrantes.</w:t>
      </w:r>
    </w:p>
    <w:p w:rsidR="001A769B" w:rsidRDefault="001A769B" w:rsidP="00E00E0F">
      <w:pPr>
        <w:pStyle w:val="Prrafodelista"/>
        <w:spacing w:line="240" w:lineRule="auto"/>
        <w:ind w:left="360"/>
      </w:pPr>
    </w:p>
    <w:p w:rsidR="001F05EE" w:rsidRDefault="001F05EE" w:rsidP="00E00E0F">
      <w:pPr>
        <w:spacing w:line="240" w:lineRule="auto"/>
        <w:rPr>
          <w:b/>
          <w:bCs/>
        </w:rPr>
      </w:pPr>
    </w:p>
    <w:p w:rsidR="007C643A" w:rsidRDefault="00867BE9" w:rsidP="00E00E0F">
      <w:pPr>
        <w:spacing w:line="240" w:lineRule="auto"/>
        <w:rPr>
          <w:b/>
          <w:bCs/>
        </w:rPr>
      </w:pPr>
      <w:r w:rsidRPr="00867BE9">
        <w:rPr>
          <w:b/>
          <w:bCs/>
        </w:rPr>
        <w:t>Derecho a afiliarse a sindicatos y a participar en las reuniones sindicales (art. 26)</w:t>
      </w:r>
    </w:p>
    <w:p w:rsidR="001A769B" w:rsidRPr="007C643A" w:rsidRDefault="001A769B" w:rsidP="00E00E0F">
      <w:pPr>
        <w:spacing w:line="240" w:lineRule="auto"/>
        <w:rPr>
          <w:b/>
          <w:bCs/>
        </w:rPr>
      </w:pPr>
    </w:p>
    <w:p w:rsidR="00AB2121" w:rsidRDefault="00AB2121" w:rsidP="00E00E0F">
      <w:pPr>
        <w:pStyle w:val="Prrafodelista"/>
        <w:numPr>
          <w:ilvl w:val="0"/>
          <w:numId w:val="1"/>
        </w:numPr>
        <w:spacing w:line="240" w:lineRule="auto"/>
      </w:pPr>
      <w:r>
        <w:t xml:space="preserve">Las normas que regulan a las organizaciones sindicales, establecidas en el Libro III del Código del Trabajo, así como las relativas a las asociaciones de funcionarios y funcionarias de la Administración del Estado dispuestas en la Ley 19.296, no contemplan limitaciones para que las personas migrantes puedan afiliarse a ellas. Sin perjuicio de esta situación, los informes del Consejo Superior Laboral, organismo encargado de evaluar la implementación de la Ley N° </w:t>
      </w:r>
      <w:r>
        <w:lastRenderedPageBreak/>
        <w:t>20.940, que moderniza el sistema de relaciones laborales, publicada en el año 2016, no incluyen dentro de sus análisis de tasa de si</w:t>
      </w:r>
      <w:r w:rsidR="00AB724F">
        <w:t>ndicalización de</w:t>
      </w:r>
      <w:r>
        <w:t xml:space="preserve"> trabajadoras y trabajadores migrantes. </w:t>
      </w:r>
    </w:p>
    <w:p w:rsidR="00D321BE" w:rsidRDefault="00D321BE" w:rsidP="00E00E0F">
      <w:pPr>
        <w:spacing w:line="240" w:lineRule="auto"/>
      </w:pPr>
    </w:p>
    <w:p w:rsidR="001F05EE" w:rsidRDefault="001F05EE" w:rsidP="00E00E0F">
      <w:pPr>
        <w:spacing w:line="240" w:lineRule="auto"/>
        <w:rPr>
          <w:b/>
          <w:bCs/>
        </w:rPr>
      </w:pPr>
    </w:p>
    <w:p w:rsidR="00EC44F8" w:rsidRDefault="00867BE9" w:rsidP="00E00E0F">
      <w:pPr>
        <w:spacing w:line="240" w:lineRule="auto"/>
        <w:rPr>
          <w:b/>
          <w:bCs/>
        </w:rPr>
      </w:pPr>
      <w:r w:rsidRPr="00867BE9">
        <w:rPr>
          <w:b/>
          <w:bCs/>
        </w:rPr>
        <w:t>Seguridad social (art. 27)</w:t>
      </w:r>
    </w:p>
    <w:p w:rsidR="001A769B" w:rsidRPr="00744612" w:rsidRDefault="001A769B" w:rsidP="00E00E0F">
      <w:pPr>
        <w:spacing w:line="240" w:lineRule="auto"/>
        <w:rPr>
          <w:b/>
          <w:bCs/>
        </w:rPr>
      </w:pPr>
    </w:p>
    <w:p w:rsidR="00D321BE" w:rsidRDefault="00744612" w:rsidP="00E00E0F">
      <w:pPr>
        <w:pStyle w:val="Prrafodelista"/>
        <w:numPr>
          <w:ilvl w:val="0"/>
          <w:numId w:val="1"/>
        </w:numPr>
        <w:spacing w:line="240" w:lineRule="auto"/>
        <w:rPr>
          <w:color w:val="000000" w:themeColor="text1"/>
        </w:rPr>
      </w:pPr>
      <w:r>
        <w:rPr>
          <w:color w:val="000000" w:themeColor="text1"/>
        </w:rPr>
        <w:t>Cifras de la encuesta CASEN 2017 dan cuenta que u</w:t>
      </w:r>
      <w:r w:rsidRPr="00744612">
        <w:rPr>
          <w:color w:val="000000" w:themeColor="text1"/>
        </w:rPr>
        <w:t>n 73,9% de la población migrante cotiza en el sistema previsional</w:t>
      </w:r>
      <w:r w:rsidR="00163E5B">
        <w:rPr>
          <w:rStyle w:val="Refdenotaalpie"/>
          <w:color w:val="000000" w:themeColor="text1"/>
        </w:rPr>
        <w:footnoteReference w:id="35"/>
      </w:r>
      <w:r>
        <w:rPr>
          <w:color w:val="000000" w:themeColor="text1"/>
        </w:rPr>
        <w:t>, sin embargo,</w:t>
      </w:r>
      <w:r w:rsidR="00D321BE" w:rsidRPr="003977C8">
        <w:rPr>
          <w:color w:val="000000" w:themeColor="text1"/>
        </w:rPr>
        <w:t xml:space="preserve"> sólo </w:t>
      </w:r>
      <w:r>
        <w:rPr>
          <w:color w:val="000000" w:themeColor="text1"/>
        </w:rPr>
        <w:t xml:space="preserve">aquellas que </w:t>
      </w:r>
      <w:r w:rsidRPr="003977C8">
        <w:rPr>
          <w:color w:val="000000" w:themeColor="text1"/>
        </w:rPr>
        <w:t xml:space="preserve">cuentan con un título técnico o profesional </w:t>
      </w:r>
      <w:r w:rsidR="00D321BE" w:rsidRPr="003977C8">
        <w:rPr>
          <w:color w:val="000000" w:themeColor="text1"/>
        </w:rPr>
        <w:t xml:space="preserve">pueden retirar los fondos de pensión que ahorraron en su cuenta de capitalización individual </w:t>
      </w:r>
      <w:r>
        <w:rPr>
          <w:color w:val="000000" w:themeColor="text1"/>
        </w:rPr>
        <w:t>para transferirlos</w:t>
      </w:r>
      <w:r w:rsidR="00D321BE" w:rsidRPr="003977C8">
        <w:rPr>
          <w:color w:val="000000" w:themeColor="text1"/>
        </w:rPr>
        <w:t xml:space="preserve"> a sus países de origen</w:t>
      </w:r>
      <w:r>
        <w:rPr>
          <w:color w:val="000000" w:themeColor="text1"/>
        </w:rPr>
        <w:t xml:space="preserve"> y otros de su elección</w:t>
      </w:r>
      <w:r w:rsidR="00D321BE" w:rsidRPr="003977C8">
        <w:rPr>
          <w:color w:val="000000" w:themeColor="text1"/>
        </w:rPr>
        <w:t>.</w:t>
      </w:r>
      <w:r w:rsidR="00D321BE" w:rsidRPr="003977C8">
        <w:rPr>
          <w:rStyle w:val="Refdenotaalpie"/>
          <w:color w:val="000000" w:themeColor="text1"/>
        </w:rPr>
        <w:footnoteReference w:id="36"/>
      </w:r>
    </w:p>
    <w:p w:rsidR="00867BE9" w:rsidRDefault="00867BE9" w:rsidP="00E00E0F">
      <w:pPr>
        <w:spacing w:line="240" w:lineRule="auto"/>
        <w:rPr>
          <w:b/>
          <w:bCs/>
        </w:rPr>
      </w:pPr>
    </w:p>
    <w:p w:rsidR="00867BE9" w:rsidRPr="00867BE9" w:rsidRDefault="00867BE9" w:rsidP="00E00E0F">
      <w:pPr>
        <w:spacing w:line="240" w:lineRule="auto"/>
        <w:rPr>
          <w:b/>
          <w:bCs/>
        </w:rPr>
      </w:pPr>
      <w:r w:rsidRPr="00867BE9">
        <w:rPr>
          <w:b/>
          <w:bCs/>
        </w:rPr>
        <w:t>Atención médica (art. 28)</w:t>
      </w:r>
    </w:p>
    <w:p w:rsidR="00867BE9" w:rsidRPr="00867BE9" w:rsidRDefault="00867BE9" w:rsidP="00E00E0F">
      <w:pPr>
        <w:pStyle w:val="Prrafodelista"/>
        <w:spacing w:line="240" w:lineRule="auto"/>
        <w:ind w:left="360"/>
        <w:rPr>
          <w:color w:val="000000" w:themeColor="text1"/>
        </w:rPr>
      </w:pPr>
    </w:p>
    <w:p w:rsidR="00363DC1" w:rsidRPr="00363DC1" w:rsidRDefault="00363DC1" w:rsidP="00E00E0F">
      <w:pPr>
        <w:pStyle w:val="Prrafodelista"/>
        <w:numPr>
          <w:ilvl w:val="0"/>
          <w:numId w:val="1"/>
        </w:numPr>
        <w:spacing w:line="240" w:lineRule="auto"/>
        <w:rPr>
          <w:color w:val="000000" w:themeColor="text1"/>
        </w:rPr>
      </w:pPr>
      <w:r w:rsidRPr="00363DC1">
        <w:rPr>
          <w:color w:val="000000" w:themeColor="text1"/>
        </w:rPr>
        <w:t xml:space="preserve">Cifras disponibles para el año 2017 indican que el 15,8% de las personas migrantes carece de previsión de salud, en contraste al 2,3% de la población nacional. </w:t>
      </w:r>
      <w:r>
        <w:rPr>
          <w:color w:val="000000" w:themeColor="text1"/>
        </w:rPr>
        <w:t>Reconociendo la persistencia</w:t>
      </w:r>
      <w:r w:rsidRPr="00363DC1">
        <w:rPr>
          <w:color w:val="000000" w:themeColor="text1"/>
        </w:rPr>
        <w:t xml:space="preserve"> de esta brecha, </w:t>
      </w:r>
      <w:r>
        <w:rPr>
          <w:color w:val="000000" w:themeColor="text1"/>
        </w:rPr>
        <w:t>e</w:t>
      </w:r>
      <w:r w:rsidRPr="00363DC1">
        <w:rPr>
          <w:color w:val="000000" w:themeColor="text1"/>
        </w:rPr>
        <w:t>l INDH valora positivamente la publicación en marzo de 2016 del Decreto Supremo Nº67</w:t>
      </w:r>
      <w:r>
        <w:rPr>
          <w:rStyle w:val="Refdenotaalpie"/>
          <w:color w:val="000000" w:themeColor="text1"/>
        </w:rPr>
        <w:footnoteReference w:id="37"/>
      </w:r>
      <w:r w:rsidRPr="00363DC1">
        <w:rPr>
          <w:color w:val="000000" w:themeColor="text1"/>
        </w:rPr>
        <w:t xml:space="preserve"> que permite que las personas migrantes carentes de recursos sin documentos o sin permisos de residencia puedan atenderse de forma gratuita en el sistema de salud público durante el plazo de un año. </w:t>
      </w:r>
    </w:p>
    <w:p w:rsidR="00B80F31" w:rsidRDefault="00363DC1" w:rsidP="00E00E0F">
      <w:pPr>
        <w:pStyle w:val="Prrafodelista"/>
        <w:spacing w:line="240" w:lineRule="auto"/>
        <w:ind w:left="360"/>
        <w:rPr>
          <w:color w:val="000000" w:themeColor="text1"/>
        </w:rPr>
      </w:pPr>
      <w:r>
        <w:rPr>
          <w:color w:val="000000" w:themeColor="text1"/>
        </w:rPr>
        <w:t>A este avance se suman l</w:t>
      </w:r>
      <w:r w:rsidR="00300328" w:rsidRPr="00997B4B">
        <w:rPr>
          <w:color w:val="000000" w:themeColor="text1"/>
        </w:rPr>
        <w:t>a</w:t>
      </w:r>
      <w:r w:rsidR="00300328">
        <w:rPr>
          <w:color w:val="000000" w:themeColor="text1"/>
        </w:rPr>
        <w:t>s disposiciones administrativas vigentes</w:t>
      </w:r>
      <w:r w:rsidR="00997B4B" w:rsidRPr="00997B4B">
        <w:rPr>
          <w:color w:val="000000" w:themeColor="text1"/>
        </w:rPr>
        <w:t xml:space="preserve"> </w:t>
      </w:r>
      <w:r>
        <w:rPr>
          <w:color w:val="000000" w:themeColor="text1"/>
        </w:rPr>
        <w:t xml:space="preserve">que </w:t>
      </w:r>
      <w:r w:rsidR="00997B4B" w:rsidRPr="00997B4B">
        <w:rPr>
          <w:color w:val="000000" w:themeColor="text1"/>
        </w:rPr>
        <w:t>asegura</w:t>
      </w:r>
      <w:r w:rsidR="00300328">
        <w:rPr>
          <w:color w:val="000000" w:themeColor="text1"/>
        </w:rPr>
        <w:t>n</w:t>
      </w:r>
      <w:r w:rsidR="00997B4B" w:rsidRPr="00997B4B">
        <w:rPr>
          <w:color w:val="000000" w:themeColor="text1"/>
        </w:rPr>
        <w:t xml:space="preserve"> la atención médica de urgencia </w:t>
      </w:r>
      <w:r w:rsidR="00300328">
        <w:rPr>
          <w:color w:val="000000" w:themeColor="text1"/>
        </w:rPr>
        <w:t xml:space="preserve">que implique riesgo vital </w:t>
      </w:r>
      <w:r w:rsidR="00997B4B" w:rsidRPr="00997B4B">
        <w:rPr>
          <w:color w:val="000000" w:themeColor="text1"/>
        </w:rPr>
        <w:t xml:space="preserve">a las personas migrantes en situación irregular, y el acceso de las mujeres embarazadas y de los/as niños/as y adolescentes, con independencia de su condición migratoria, a la atención de la salud. </w:t>
      </w:r>
    </w:p>
    <w:p w:rsidR="00163E5B" w:rsidRPr="00B80F31" w:rsidRDefault="00997B4B" w:rsidP="00E00E0F">
      <w:pPr>
        <w:pStyle w:val="Prrafodelista"/>
        <w:spacing w:line="240" w:lineRule="auto"/>
        <w:ind w:left="360"/>
        <w:rPr>
          <w:color w:val="000000" w:themeColor="text1"/>
        </w:rPr>
      </w:pPr>
      <w:r>
        <w:rPr>
          <w:color w:val="000000" w:themeColor="text1"/>
        </w:rPr>
        <w:t>Sin perjuicio de ello, se carece de registros oficiales que permitan evaluar</w:t>
      </w:r>
      <w:r w:rsidRPr="00997B4B">
        <w:rPr>
          <w:color w:val="000000" w:themeColor="text1"/>
        </w:rPr>
        <w:t xml:space="preserve"> el grado de cumplimiento de estas disposiciones en las </w:t>
      </w:r>
      <w:r w:rsidR="00C145C8">
        <w:rPr>
          <w:color w:val="000000" w:themeColor="text1"/>
        </w:rPr>
        <w:t xml:space="preserve">diferentes </w:t>
      </w:r>
      <w:r w:rsidRPr="00997B4B">
        <w:rPr>
          <w:color w:val="000000" w:themeColor="text1"/>
        </w:rPr>
        <w:t>regiones del país</w:t>
      </w:r>
      <w:r>
        <w:rPr>
          <w:color w:val="000000" w:themeColor="text1"/>
        </w:rPr>
        <w:t>.</w:t>
      </w:r>
      <w:r>
        <w:rPr>
          <w:rStyle w:val="Refdenotaalpie"/>
          <w:color w:val="000000" w:themeColor="text1"/>
        </w:rPr>
        <w:footnoteReference w:id="38"/>
      </w:r>
      <w:r w:rsidR="00300328">
        <w:rPr>
          <w:color w:val="000000" w:themeColor="text1"/>
        </w:rPr>
        <w:t xml:space="preserve"> </w:t>
      </w:r>
      <w:r w:rsidR="00B80F31">
        <w:rPr>
          <w:color w:val="000000" w:themeColor="text1"/>
        </w:rPr>
        <w:t xml:space="preserve">Del mismo modo, </w:t>
      </w:r>
      <w:r w:rsidR="00C145C8">
        <w:rPr>
          <w:color w:val="000000" w:themeColor="text1"/>
        </w:rPr>
        <w:t xml:space="preserve">y considerando </w:t>
      </w:r>
      <w:r w:rsidR="00B80F31">
        <w:rPr>
          <w:color w:val="000000" w:themeColor="text1"/>
        </w:rPr>
        <w:t xml:space="preserve">que la mayoría de </w:t>
      </w:r>
      <w:r w:rsidR="00B80F31" w:rsidRPr="00B80F31">
        <w:rPr>
          <w:color w:val="000000" w:themeColor="text1"/>
        </w:rPr>
        <w:t>las mujeres migrantes están en plena edad</w:t>
      </w:r>
      <w:r w:rsidR="00B80F31">
        <w:rPr>
          <w:color w:val="000000" w:themeColor="text1"/>
        </w:rPr>
        <w:t xml:space="preserve"> </w:t>
      </w:r>
      <w:r w:rsidR="00B80F31" w:rsidRPr="00B80F31">
        <w:rPr>
          <w:color w:val="000000" w:themeColor="text1"/>
        </w:rPr>
        <w:t>reproductiva</w:t>
      </w:r>
      <w:r w:rsidR="00C145C8">
        <w:rPr>
          <w:color w:val="000000" w:themeColor="text1"/>
        </w:rPr>
        <w:t xml:space="preserve">, se carece de información respecto de su acceso </w:t>
      </w:r>
      <w:r w:rsidR="00D40671">
        <w:rPr>
          <w:color w:val="000000" w:themeColor="text1"/>
        </w:rPr>
        <w:t xml:space="preserve">efectivo </w:t>
      </w:r>
      <w:r w:rsidR="00C145C8">
        <w:rPr>
          <w:color w:val="000000" w:themeColor="text1"/>
        </w:rPr>
        <w:t>a prestaciones</w:t>
      </w:r>
      <w:r w:rsidR="00B80F31" w:rsidRPr="00B80F31">
        <w:rPr>
          <w:color w:val="000000" w:themeColor="text1"/>
        </w:rPr>
        <w:t xml:space="preserve"> </w:t>
      </w:r>
      <w:r w:rsidR="00C145C8">
        <w:rPr>
          <w:color w:val="000000" w:themeColor="text1"/>
        </w:rPr>
        <w:t xml:space="preserve">de salud </w:t>
      </w:r>
      <w:r w:rsidR="00B80F31" w:rsidRPr="00B80F31">
        <w:rPr>
          <w:color w:val="000000" w:themeColor="text1"/>
        </w:rPr>
        <w:t>que van más</w:t>
      </w:r>
      <w:r w:rsidR="00B80F31">
        <w:rPr>
          <w:color w:val="000000" w:themeColor="text1"/>
        </w:rPr>
        <w:t xml:space="preserve"> </w:t>
      </w:r>
      <w:r w:rsidR="00B80F31" w:rsidRPr="00B80F31">
        <w:rPr>
          <w:color w:val="000000" w:themeColor="text1"/>
        </w:rPr>
        <w:t>allá de</w:t>
      </w:r>
      <w:r w:rsidR="00D40671">
        <w:rPr>
          <w:color w:val="000000" w:themeColor="text1"/>
        </w:rPr>
        <w:t xml:space="preserve"> las etapas de</w:t>
      </w:r>
      <w:r w:rsidR="00B80F31" w:rsidRPr="00B80F31">
        <w:rPr>
          <w:color w:val="000000" w:themeColor="text1"/>
        </w:rPr>
        <w:t xml:space="preserve"> prenatal, parto y puerperio, como </w:t>
      </w:r>
      <w:r w:rsidR="00D40671">
        <w:rPr>
          <w:color w:val="000000" w:themeColor="text1"/>
        </w:rPr>
        <w:t xml:space="preserve">por ejemplo, </w:t>
      </w:r>
      <w:r w:rsidR="00C145C8">
        <w:rPr>
          <w:color w:val="000000" w:themeColor="text1"/>
        </w:rPr>
        <w:t>l</w:t>
      </w:r>
      <w:r w:rsidR="00B80F31" w:rsidRPr="00B80F31">
        <w:rPr>
          <w:color w:val="000000" w:themeColor="text1"/>
        </w:rPr>
        <w:t>a información</w:t>
      </w:r>
      <w:r w:rsidR="00C145C8">
        <w:rPr>
          <w:color w:val="000000" w:themeColor="text1"/>
        </w:rPr>
        <w:t xml:space="preserve"> y suministro de</w:t>
      </w:r>
      <w:r w:rsidR="00B80F31" w:rsidRPr="00B80F31">
        <w:rPr>
          <w:color w:val="000000" w:themeColor="text1"/>
        </w:rPr>
        <w:t xml:space="preserve"> anticonceptivos, </w:t>
      </w:r>
      <w:r w:rsidR="00C145C8">
        <w:rPr>
          <w:color w:val="000000" w:themeColor="text1"/>
        </w:rPr>
        <w:t xml:space="preserve">exámenes preventivos como Papanicolau o mamografías, </w:t>
      </w:r>
      <w:r w:rsidR="00B80F31" w:rsidRPr="00B80F31">
        <w:rPr>
          <w:color w:val="000000" w:themeColor="text1"/>
        </w:rPr>
        <w:t>y atención</w:t>
      </w:r>
      <w:r w:rsidR="00B80F31">
        <w:rPr>
          <w:color w:val="000000" w:themeColor="text1"/>
        </w:rPr>
        <w:t xml:space="preserve"> </w:t>
      </w:r>
      <w:r w:rsidR="00B80F31" w:rsidRPr="00B80F31">
        <w:rPr>
          <w:color w:val="000000" w:themeColor="text1"/>
        </w:rPr>
        <w:t>a enfermedades de transmisión sexual, incluido el VIH/SIDA,</w:t>
      </w:r>
      <w:r w:rsidR="00B80F31">
        <w:rPr>
          <w:color w:val="000000" w:themeColor="text1"/>
        </w:rPr>
        <w:t xml:space="preserve"> </w:t>
      </w:r>
      <w:r w:rsidR="00B80F31" w:rsidRPr="00B80F31">
        <w:rPr>
          <w:color w:val="000000" w:themeColor="text1"/>
        </w:rPr>
        <w:t>entre otras.</w:t>
      </w:r>
    </w:p>
    <w:p w:rsidR="00B80F31" w:rsidRDefault="00B80F31" w:rsidP="00E00E0F">
      <w:pPr>
        <w:pStyle w:val="Prrafodelista"/>
        <w:spacing w:line="240" w:lineRule="auto"/>
        <w:ind w:left="360"/>
        <w:rPr>
          <w:color w:val="000000" w:themeColor="text1"/>
        </w:rPr>
      </w:pPr>
    </w:p>
    <w:p w:rsidR="001F05EE" w:rsidRDefault="001F05EE" w:rsidP="00E00E0F">
      <w:pPr>
        <w:spacing w:line="240" w:lineRule="auto"/>
        <w:rPr>
          <w:b/>
          <w:bCs/>
        </w:rPr>
      </w:pPr>
    </w:p>
    <w:p w:rsidR="00867BE9" w:rsidRDefault="00867BE9" w:rsidP="00E00E0F">
      <w:pPr>
        <w:spacing w:line="240" w:lineRule="auto"/>
        <w:rPr>
          <w:b/>
          <w:bCs/>
        </w:rPr>
      </w:pPr>
      <w:r w:rsidRPr="00867BE9">
        <w:rPr>
          <w:b/>
          <w:bCs/>
        </w:rPr>
        <w:t>Inscripción de los nacimientos y nacionalidad (art. 29)</w:t>
      </w:r>
    </w:p>
    <w:p w:rsidR="001A769B" w:rsidRDefault="001A769B" w:rsidP="00E00E0F">
      <w:pPr>
        <w:spacing w:line="240" w:lineRule="auto"/>
        <w:rPr>
          <w:b/>
          <w:bCs/>
        </w:rPr>
      </w:pPr>
    </w:p>
    <w:p w:rsidR="00D321BE" w:rsidRPr="003977C8" w:rsidRDefault="00D321BE" w:rsidP="00E00E0F">
      <w:pPr>
        <w:pStyle w:val="Prrafodelista"/>
        <w:numPr>
          <w:ilvl w:val="0"/>
          <w:numId w:val="1"/>
        </w:numPr>
        <w:spacing w:line="240" w:lineRule="auto"/>
        <w:rPr>
          <w:color w:val="000000" w:themeColor="text1"/>
        </w:rPr>
      </w:pPr>
      <w:r w:rsidRPr="003977C8">
        <w:rPr>
          <w:color w:val="000000" w:themeColor="text1"/>
        </w:rPr>
        <w:t xml:space="preserve">En 2015, diversas organizaciones de la sociedad civil y académicas presentaron una acción constitucional de protección ante la Corte Suprema para que se </w:t>
      </w:r>
      <w:r w:rsidRPr="003977C8">
        <w:rPr>
          <w:b/>
          <w:bCs/>
          <w:color w:val="000000" w:themeColor="text1"/>
        </w:rPr>
        <w:t>reconociera la nacionalidad chilena de 161 hijos e hijas de personas extranjeras transeúntes</w:t>
      </w:r>
      <w:r w:rsidRPr="003977C8">
        <w:rPr>
          <w:color w:val="000000" w:themeColor="text1"/>
        </w:rPr>
        <w:t xml:space="preserve"> (se estima que el universo de </w:t>
      </w:r>
      <w:r w:rsidRPr="003977C8">
        <w:rPr>
          <w:color w:val="000000" w:themeColor="text1"/>
        </w:rPr>
        <w:lastRenderedPageBreak/>
        <w:t xml:space="preserve">personas en esta situación podría llegar a 3.500). La Corte determinó que esas 161 personas fueran inscritas como chilenas, terminando de tal modo su situación de apatridia y, además, ordenó al Servicio Nacional de Registro Civil e Identificación realizar una búsqueda del resto de las personas en dicha condición. Para efectos de difundir el cambio de criterio administrativo se conformó una instancia interinstitucional en que participan organismos de gobierno, ACNUR y el INDH. Por otra parte, el año 2018 Chile ratificó la Convención sobre el Estatuto de los Apátridas de 1954 y la Convención para Reducir los Casos de Apatridia de 1961, lo que representa un importante avance en la materia. </w:t>
      </w:r>
    </w:p>
    <w:p w:rsidR="00D321BE" w:rsidRDefault="00D321BE" w:rsidP="00E00E0F">
      <w:pPr>
        <w:spacing w:line="240" w:lineRule="auto"/>
      </w:pPr>
    </w:p>
    <w:p w:rsidR="001F05EE" w:rsidRDefault="001F05EE" w:rsidP="00E00E0F">
      <w:pPr>
        <w:spacing w:line="240" w:lineRule="auto"/>
        <w:rPr>
          <w:b/>
          <w:bCs/>
        </w:rPr>
      </w:pPr>
    </w:p>
    <w:p w:rsidR="00867BE9" w:rsidRDefault="00867BE9" w:rsidP="00E00E0F">
      <w:pPr>
        <w:spacing w:line="240" w:lineRule="auto"/>
        <w:rPr>
          <w:b/>
          <w:bCs/>
        </w:rPr>
      </w:pPr>
      <w:r w:rsidRPr="003D60CF">
        <w:rPr>
          <w:b/>
          <w:bCs/>
        </w:rPr>
        <w:t>Educación (art. 30)</w:t>
      </w:r>
    </w:p>
    <w:p w:rsidR="001A769B" w:rsidRDefault="001A769B" w:rsidP="00E00E0F">
      <w:pPr>
        <w:spacing w:line="240" w:lineRule="auto"/>
        <w:rPr>
          <w:b/>
          <w:bCs/>
        </w:rPr>
      </w:pPr>
    </w:p>
    <w:p w:rsidR="00F162F9" w:rsidRDefault="00F162F9" w:rsidP="00E00E0F">
      <w:pPr>
        <w:pStyle w:val="Prrafodelista"/>
        <w:numPr>
          <w:ilvl w:val="0"/>
          <w:numId w:val="1"/>
        </w:numPr>
        <w:spacing w:line="240" w:lineRule="auto"/>
        <w:rPr>
          <w:color w:val="000000" w:themeColor="text1"/>
        </w:rPr>
      </w:pPr>
      <w:r w:rsidRPr="00C0445A">
        <w:rPr>
          <w:color w:val="000000" w:themeColor="text1"/>
        </w:rPr>
        <w:t>Respecto al acceso a la educación, un 76,4% de los niños y niñas migrantes asiste a la educación básica y un 59,6% a la educación media, 15 puntos porcentuales por debajo del promedio nacional</w:t>
      </w:r>
      <w:r w:rsidR="00C0445A">
        <w:rPr>
          <w:rStyle w:val="Refdenotaalpie"/>
          <w:color w:val="000000" w:themeColor="text1"/>
        </w:rPr>
        <w:footnoteReference w:id="39"/>
      </w:r>
      <w:r w:rsidRPr="00C0445A">
        <w:rPr>
          <w:color w:val="000000" w:themeColor="text1"/>
        </w:rPr>
        <w:t xml:space="preserve">. </w:t>
      </w:r>
      <w:r w:rsidR="00C0445A">
        <w:rPr>
          <w:color w:val="000000" w:themeColor="text1"/>
        </w:rPr>
        <w:t>Se estima que la t</w:t>
      </w:r>
      <w:r w:rsidR="00C0445A" w:rsidRPr="00C0445A">
        <w:rPr>
          <w:color w:val="000000" w:themeColor="text1"/>
        </w:rPr>
        <w:t xml:space="preserve">asa de prevalencia de </w:t>
      </w:r>
      <w:r w:rsidR="00C0445A">
        <w:rPr>
          <w:color w:val="000000" w:themeColor="text1"/>
        </w:rPr>
        <w:t xml:space="preserve">la </w:t>
      </w:r>
      <w:r w:rsidR="00C0445A" w:rsidRPr="00C0445A">
        <w:rPr>
          <w:color w:val="000000" w:themeColor="text1"/>
        </w:rPr>
        <w:t xml:space="preserve">deserción escolar </w:t>
      </w:r>
      <w:r w:rsidR="00C0445A">
        <w:rPr>
          <w:color w:val="000000" w:themeColor="text1"/>
        </w:rPr>
        <w:t xml:space="preserve">de migrantes </w:t>
      </w:r>
      <w:r w:rsidR="00C0445A" w:rsidRPr="00C0445A">
        <w:rPr>
          <w:color w:val="000000" w:themeColor="text1"/>
        </w:rPr>
        <w:t xml:space="preserve">es 13,1% </w:t>
      </w:r>
      <w:r w:rsidR="00C0445A">
        <w:rPr>
          <w:color w:val="000000" w:themeColor="text1"/>
        </w:rPr>
        <w:t>en comparación al</w:t>
      </w:r>
      <w:r w:rsidR="00C0445A" w:rsidRPr="00C0445A">
        <w:rPr>
          <w:color w:val="000000" w:themeColor="text1"/>
        </w:rPr>
        <w:t xml:space="preserve"> 3,3%</w:t>
      </w:r>
      <w:r w:rsidR="00C0445A">
        <w:rPr>
          <w:rStyle w:val="Refdenotaalpie"/>
          <w:color w:val="000000" w:themeColor="text1"/>
        </w:rPr>
        <w:footnoteReference w:id="40"/>
      </w:r>
      <w:r w:rsidR="00C0445A">
        <w:rPr>
          <w:color w:val="000000" w:themeColor="text1"/>
        </w:rPr>
        <w:t xml:space="preserve"> de la media nacional</w:t>
      </w:r>
      <w:r w:rsidR="00C0445A">
        <w:rPr>
          <w:rStyle w:val="Refdenotaalpie"/>
          <w:color w:val="000000" w:themeColor="text1"/>
        </w:rPr>
        <w:footnoteReference w:id="41"/>
      </w:r>
      <w:r w:rsidR="00C0445A">
        <w:rPr>
          <w:color w:val="000000" w:themeColor="text1"/>
        </w:rPr>
        <w:t xml:space="preserve">. Respecto a la educación superior, </w:t>
      </w:r>
      <w:r w:rsidRPr="00C0445A">
        <w:rPr>
          <w:color w:val="000000" w:themeColor="text1"/>
        </w:rPr>
        <w:t xml:space="preserve">un 11,4% de los y las jóvenes migrantes entre 18 y 24 años asiste a </w:t>
      </w:r>
      <w:r w:rsidR="00C0445A">
        <w:rPr>
          <w:color w:val="000000" w:themeColor="text1"/>
        </w:rPr>
        <w:t>establecimientos de este tipo</w:t>
      </w:r>
      <w:r w:rsidRPr="00C0445A">
        <w:rPr>
          <w:color w:val="000000" w:themeColor="text1"/>
        </w:rPr>
        <w:t>, en comparación al 38,8% de jóvenes nacidos/as en Chile.</w:t>
      </w:r>
      <w:r w:rsidR="001B4AE8">
        <w:rPr>
          <w:rStyle w:val="Refdenotaalpie"/>
          <w:color w:val="000000" w:themeColor="text1"/>
        </w:rPr>
        <w:footnoteReference w:id="42"/>
      </w:r>
    </w:p>
    <w:p w:rsidR="00C0445A" w:rsidRPr="00C0445A" w:rsidRDefault="00C0445A" w:rsidP="00E00E0F">
      <w:pPr>
        <w:pStyle w:val="Prrafodelista"/>
        <w:numPr>
          <w:ilvl w:val="0"/>
          <w:numId w:val="1"/>
        </w:numPr>
        <w:shd w:val="clear" w:color="auto" w:fill="FFFFFF"/>
        <w:spacing w:line="240" w:lineRule="auto"/>
        <w:rPr>
          <w:rFonts w:eastAsia="Times New Roman" w:cs="Calibri"/>
          <w:lang w:eastAsia="es-CL"/>
        </w:rPr>
      </w:pPr>
      <w:r>
        <w:rPr>
          <w:rFonts w:eastAsia="Times New Roman" w:cs="Calibri"/>
          <w:lang w:eastAsia="es-CL"/>
        </w:rPr>
        <w:t>E</w:t>
      </w:r>
      <w:r w:rsidRPr="00C0445A">
        <w:rPr>
          <w:rFonts w:eastAsia="Times New Roman" w:cs="Calibri"/>
          <w:lang w:eastAsia="es-CL"/>
        </w:rPr>
        <w:t xml:space="preserve">l Estado de Chile asegura a todas las niñas, niños y adolescentes el ingreso y mantención en la educación preescolar, básica y media, con independencia del estatus migratorio de sus padres. Esta medida ha sido extendida en la última década para dar reconocimiento de estudios desarrollados en Haití, país que no forma parte del Convenio Andrés Bello de convalidación de estudios. Sin embargo, la regularización de la documentación de estudios, en la práctica, es un proceso lento, que </w:t>
      </w:r>
      <w:r w:rsidR="003D60CF">
        <w:rPr>
          <w:rFonts w:eastAsia="Times New Roman" w:cs="Calibri"/>
          <w:lang w:eastAsia="es-CL"/>
        </w:rPr>
        <w:t>podría tener</w:t>
      </w:r>
      <w:r w:rsidRPr="00C0445A">
        <w:rPr>
          <w:rFonts w:eastAsia="Times New Roman" w:cs="Calibri"/>
          <w:lang w:eastAsia="es-CL"/>
        </w:rPr>
        <w:t xml:space="preserve"> efectos negativos en la continuidad de estudios. </w:t>
      </w:r>
    </w:p>
    <w:p w:rsidR="00C0445A" w:rsidRPr="00C0445A" w:rsidRDefault="00C0445A" w:rsidP="00E00E0F">
      <w:pPr>
        <w:pStyle w:val="Prrafodelista"/>
        <w:numPr>
          <w:ilvl w:val="0"/>
          <w:numId w:val="1"/>
        </w:numPr>
        <w:shd w:val="clear" w:color="auto" w:fill="FFFFFF"/>
        <w:spacing w:line="240" w:lineRule="auto"/>
        <w:rPr>
          <w:rFonts w:eastAsia="Times New Roman" w:cs="Calibri"/>
          <w:lang w:eastAsia="es-CL"/>
        </w:rPr>
      </w:pPr>
      <w:r w:rsidRPr="00C0445A">
        <w:rPr>
          <w:rFonts w:eastAsia="Times New Roman" w:cs="Calibri"/>
          <w:lang w:eastAsia="es-CL"/>
        </w:rPr>
        <w:t xml:space="preserve">En lo que respecta a educación superior, el Estado de Chile ha generado nuevas políticas orientadas a mejorar el acceso de los y las estudiantes vulnerables y cumplir con la implementación progresiva de la gratuidad, no obstante, en su implementación, se ha generado un trato </w:t>
      </w:r>
      <w:r w:rsidR="003D60CF">
        <w:rPr>
          <w:rFonts w:eastAsia="Times New Roman" w:cs="Calibri"/>
          <w:lang w:eastAsia="es-CL"/>
        </w:rPr>
        <w:t>diferenciado</w:t>
      </w:r>
      <w:r w:rsidRPr="00C0445A">
        <w:rPr>
          <w:rFonts w:eastAsia="Times New Roman" w:cs="Calibri"/>
          <w:lang w:eastAsia="es-CL"/>
        </w:rPr>
        <w:t xml:space="preserve"> para los y las estudiantes migrantes que han cursado y egresado de la educación media en Chile.  </w:t>
      </w:r>
      <w:r w:rsidRPr="00C0445A">
        <w:rPr>
          <w:rFonts w:cstheme="minorHAnsi"/>
        </w:rPr>
        <w:t xml:space="preserve">Preocupa el hecho de que durante </w:t>
      </w:r>
      <w:r w:rsidRPr="00C0445A">
        <w:rPr>
          <w:rFonts w:eastAsia="Times New Roman" w:cs="Calibri"/>
          <w:lang w:eastAsia="es-CL"/>
        </w:rPr>
        <w:t>el año 2017 el INDH recibió la denuncia de que a lo menos 224 estudiantes extranjeros</w:t>
      </w:r>
      <w:r w:rsidR="003D60CF">
        <w:rPr>
          <w:rFonts w:eastAsia="Times New Roman" w:cs="Calibri"/>
          <w:lang w:eastAsia="es-CL"/>
        </w:rPr>
        <w:t>/as</w:t>
      </w:r>
      <w:r w:rsidRPr="00C0445A">
        <w:rPr>
          <w:rFonts w:eastAsia="Times New Roman" w:cs="Calibri"/>
          <w:lang w:eastAsia="es-CL"/>
        </w:rPr>
        <w:t xml:space="preserve"> fueron rechazados</w:t>
      </w:r>
      <w:r w:rsidR="003D60CF">
        <w:rPr>
          <w:rFonts w:eastAsia="Times New Roman" w:cs="Calibri"/>
          <w:lang w:eastAsia="es-CL"/>
        </w:rPr>
        <w:t>/as</w:t>
      </w:r>
      <w:r w:rsidRPr="00C0445A">
        <w:rPr>
          <w:rFonts w:eastAsia="Times New Roman" w:cs="Calibri"/>
          <w:lang w:eastAsia="es-CL"/>
        </w:rPr>
        <w:t xml:space="preserve"> </w:t>
      </w:r>
      <w:r w:rsidR="003D60CF">
        <w:rPr>
          <w:rFonts w:eastAsia="Times New Roman" w:cs="Calibri"/>
          <w:lang w:eastAsia="es-CL"/>
        </w:rPr>
        <w:t xml:space="preserve">en sus postulaciones a la gratuidad universitaria </w:t>
      </w:r>
      <w:r w:rsidRPr="00C0445A">
        <w:rPr>
          <w:rFonts w:eastAsia="Times New Roman" w:cs="Calibri"/>
          <w:lang w:eastAsia="es-CL"/>
        </w:rPr>
        <w:t>por no contar con residencia definitiva en Chile, aun siendo parte del 50% de la población con menores ingresos. Lo dicho, ocurre porque los plazos administrativos no son compatibles con la situación que viven las y los jóvenes migrantes egresados de educación media, tanto en la validación de estudios para participar en los procesos de selección universitaria como para postular a la gratuidad: La actual visa de estudios otorga al estudiante migrante una residencia temporaria, renovable cada dos años mientras se mantenga como alumno regular, y sólo puede solicitar la permanencia definitiva con el certificado de licencia de enseñanza media otorgado por el Ministerio de Educación, en el mes de diciembre del año que egresan. No obstante, la postulación a la gratuidad es en el mes de octubre, de modo que se está exigiendo a las y los estudiantes migrantes un requisito imposible de cumplir. Similar situación ocurre con los plazos de apelación</w:t>
      </w:r>
      <w:r w:rsidR="001B4AE8">
        <w:rPr>
          <w:rFonts w:eastAsia="Times New Roman" w:cs="Calibri"/>
          <w:lang w:eastAsia="es-CL"/>
        </w:rPr>
        <w:t>.</w:t>
      </w:r>
      <w:r w:rsidR="001B4AE8">
        <w:rPr>
          <w:rStyle w:val="Refdenotaalpie"/>
          <w:rFonts w:eastAsia="Times New Roman" w:cs="Calibri"/>
          <w:lang w:eastAsia="es-CL"/>
        </w:rPr>
        <w:footnoteReference w:id="43"/>
      </w:r>
    </w:p>
    <w:p w:rsidR="00B56724" w:rsidRPr="000A64F0" w:rsidRDefault="00867BE9" w:rsidP="00E00E0F">
      <w:pPr>
        <w:pStyle w:val="Prrafodelista"/>
        <w:numPr>
          <w:ilvl w:val="0"/>
          <w:numId w:val="4"/>
        </w:numPr>
        <w:spacing w:line="240" w:lineRule="auto"/>
        <w:rPr>
          <w:b/>
          <w:bCs/>
        </w:rPr>
      </w:pPr>
      <w:r w:rsidRPr="000A64F0">
        <w:rPr>
          <w:b/>
          <w:bCs/>
        </w:rPr>
        <w:lastRenderedPageBreak/>
        <w:t xml:space="preserve">Otros derechos de </w:t>
      </w:r>
      <w:r w:rsidR="000A64F0">
        <w:rPr>
          <w:b/>
          <w:bCs/>
        </w:rPr>
        <w:t xml:space="preserve">las y </w:t>
      </w:r>
      <w:r w:rsidRPr="000A64F0">
        <w:rPr>
          <w:b/>
          <w:bCs/>
        </w:rPr>
        <w:t>los trabajadores migratorios y de sus familiares que estén documentados o se encuentren en situación regular (arts. 36 a 56)</w:t>
      </w:r>
    </w:p>
    <w:p w:rsidR="000A64F0" w:rsidRDefault="000A64F0" w:rsidP="00E00E0F">
      <w:pPr>
        <w:spacing w:line="240" w:lineRule="auto"/>
        <w:rPr>
          <w:b/>
          <w:bCs/>
        </w:rPr>
      </w:pPr>
    </w:p>
    <w:p w:rsidR="005A1023" w:rsidRDefault="005A1023" w:rsidP="00E00E0F">
      <w:pPr>
        <w:spacing w:line="240" w:lineRule="auto"/>
        <w:rPr>
          <w:b/>
          <w:bCs/>
        </w:rPr>
      </w:pPr>
      <w:r w:rsidRPr="00D778C6">
        <w:rPr>
          <w:b/>
          <w:bCs/>
        </w:rPr>
        <w:t>Acceso a la vivienda (art. 43)</w:t>
      </w:r>
    </w:p>
    <w:p w:rsidR="005A1023" w:rsidRPr="00D778C6" w:rsidRDefault="005A1023" w:rsidP="00E00E0F">
      <w:pPr>
        <w:spacing w:line="240" w:lineRule="auto"/>
        <w:rPr>
          <w:b/>
          <w:bCs/>
        </w:rPr>
      </w:pPr>
    </w:p>
    <w:p w:rsidR="00A51ED8" w:rsidRPr="00A51ED8" w:rsidRDefault="005A1023" w:rsidP="00E00E0F">
      <w:pPr>
        <w:pStyle w:val="Prrafodelista"/>
        <w:numPr>
          <w:ilvl w:val="0"/>
          <w:numId w:val="1"/>
        </w:numPr>
        <w:spacing w:line="240" w:lineRule="auto"/>
      </w:pPr>
      <w:r w:rsidRPr="00D778C6">
        <w:rPr>
          <w:color w:val="000000" w:themeColor="text1"/>
        </w:rPr>
        <w:t xml:space="preserve">Las personas migrantes enfrentan graves discriminaciones en el acceso a la vivienda (cobros de arriendos abusivos, dificultades de acceder a programas de subsidio, denegación de acceso a la vivienda </w:t>
      </w:r>
      <w:r>
        <w:rPr>
          <w:color w:val="000000" w:themeColor="text1"/>
        </w:rPr>
        <w:t>en razón de su</w:t>
      </w:r>
      <w:r w:rsidRPr="00D778C6">
        <w:rPr>
          <w:color w:val="000000" w:themeColor="text1"/>
        </w:rPr>
        <w:t xml:space="preserve"> país de origen, etc.). Ante las dificultades de acceso, una proporción significativa vive en precarias condiciones de habitabilidad, ya sea en campamentos o en cités</w:t>
      </w:r>
      <w:r>
        <w:rPr>
          <w:rStyle w:val="Refdenotaalpie"/>
          <w:color w:val="000000" w:themeColor="text1"/>
        </w:rPr>
        <w:footnoteReference w:id="44"/>
      </w:r>
      <w:r w:rsidRPr="00D778C6">
        <w:rPr>
          <w:color w:val="000000" w:themeColor="text1"/>
        </w:rPr>
        <w:t>.</w:t>
      </w:r>
      <w:r>
        <w:rPr>
          <w:color w:val="000000" w:themeColor="text1"/>
        </w:rPr>
        <w:t xml:space="preserve"> Dado este contexto, e</w:t>
      </w:r>
      <w:r w:rsidRPr="00D778C6">
        <w:rPr>
          <w:color w:val="000000" w:themeColor="text1"/>
        </w:rPr>
        <w:t>l hacinamiento asciende al 20,6% de los hogares de personas migrantes, 15 puntos porcentuales mayor que la media nacional.</w:t>
      </w:r>
      <w:r w:rsidRPr="00D778C6">
        <w:rPr>
          <w:rStyle w:val="Refdenotaalpie"/>
          <w:color w:val="000000" w:themeColor="text1"/>
        </w:rPr>
        <w:footnoteReference w:id="45"/>
      </w:r>
      <w:r w:rsidRPr="00D778C6">
        <w:rPr>
          <w:color w:val="000000" w:themeColor="text1"/>
        </w:rPr>
        <w:t xml:space="preserve">  </w:t>
      </w:r>
    </w:p>
    <w:p w:rsidR="00A51ED8" w:rsidRPr="005A1023" w:rsidRDefault="005A1023" w:rsidP="00E00E0F">
      <w:pPr>
        <w:pStyle w:val="Prrafodelista"/>
        <w:spacing w:line="240" w:lineRule="auto"/>
        <w:ind w:left="360"/>
      </w:pPr>
      <w:r w:rsidRPr="005A1023">
        <w:t>Un caso emblemático</w:t>
      </w:r>
      <w:r>
        <w:t xml:space="preserve"> en materia de precariedad habitacional de personas migrantes corresponde al Cerro Chuño, campamento </w:t>
      </w:r>
      <w:r w:rsidR="00A51ED8">
        <w:t xml:space="preserve">ubicado en la ciudad de Arica y </w:t>
      </w:r>
      <w:r>
        <w:t>emplazado sobre</w:t>
      </w:r>
      <w:r w:rsidRPr="005A1023">
        <w:t xml:space="preserve"> toneladas de material tóxico que fueron traídos en los años 80 desde Suecia y que, de acuerdo con varios estudios, han contaminado a centenares de habitantes con arsénico y plomo.</w:t>
      </w:r>
      <w:r>
        <w:t xml:space="preserve"> </w:t>
      </w:r>
      <w:r w:rsidR="00A51ED8">
        <w:t xml:space="preserve">Se estima que en el lugar habitan aproximadamente 2000 personas, de las cuales la mitad serían migrantes. </w:t>
      </w:r>
      <w:r w:rsidR="001B4AE8">
        <w:t>El Ejecutivo ha informado al INDH que d</w:t>
      </w:r>
      <w:r w:rsidR="00A51ED8">
        <w:t xml:space="preserve">urante el año 2020 se desarrollará un desalojo en distintas etapas, y si bien el Estado ha ofrecido alternativas de reubicación y ayuda </w:t>
      </w:r>
      <w:r w:rsidR="00A51ED8" w:rsidRPr="001B4AE8">
        <w:t>económica, la población migrante en situación irregular no podrá acceder a estos programas de apoyo.</w:t>
      </w:r>
    </w:p>
    <w:p w:rsidR="005A1023" w:rsidRDefault="005A1023" w:rsidP="00E00E0F">
      <w:pPr>
        <w:spacing w:line="240" w:lineRule="auto"/>
        <w:rPr>
          <w:b/>
          <w:bCs/>
          <w:highlight w:val="green"/>
        </w:rPr>
      </w:pPr>
    </w:p>
    <w:p w:rsidR="00A51ED8" w:rsidRDefault="00A51ED8" w:rsidP="00E00E0F">
      <w:pPr>
        <w:spacing w:line="240" w:lineRule="auto"/>
        <w:rPr>
          <w:b/>
          <w:bCs/>
          <w:highlight w:val="green"/>
        </w:rPr>
      </w:pPr>
    </w:p>
    <w:p w:rsidR="00867BE9" w:rsidRDefault="00867BE9" w:rsidP="00E00E0F">
      <w:pPr>
        <w:spacing w:line="240" w:lineRule="auto"/>
        <w:rPr>
          <w:b/>
          <w:bCs/>
        </w:rPr>
      </w:pPr>
      <w:r w:rsidRPr="00FC2AA6">
        <w:rPr>
          <w:b/>
          <w:bCs/>
        </w:rPr>
        <w:t>Reunificación familiar (art. 44)</w:t>
      </w:r>
    </w:p>
    <w:p w:rsidR="00FC2AA6" w:rsidRPr="000A64F0" w:rsidRDefault="00FC2AA6" w:rsidP="00E00E0F">
      <w:pPr>
        <w:spacing w:line="240" w:lineRule="auto"/>
        <w:rPr>
          <w:b/>
          <w:bCs/>
        </w:rPr>
      </w:pPr>
    </w:p>
    <w:p w:rsidR="00FC2AA6" w:rsidRDefault="00FC2AA6" w:rsidP="00E00E0F">
      <w:pPr>
        <w:pStyle w:val="Prrafodelista"/>
        <w:numPr>
          <w:ilvl w:val="0"/>
          <w:numId w:val="1"/>
        </w:numPr>
        <w:spacing w:line="240" w:lineRule="auto"/>
      </w:pPr>
      <w:r>
        <w:t xml:space="preserve">A través del monitoreo en pasos fronterizos, el INDH ha observado que los niños, niñas y adolescentes de nacionalidad venezolana con padres o madres que residen regularmente en Chile constituyen un grupo particularmente vulnerable, pues </w:t>
      </w:r>
      <w:r w:rsidRPr="00E81374">
        <w:t>se</w:t>
      </w:r>
      <w:r>
        <w:t xml:space="preserve"> les prohíbe el ingreso</w:t>
      </w:r>
      <w:r w:rsidRPr="00E81374">
        <w:t xml:space="preserve"> por no contar con la denominada “visa de responsabilidad democrática” exig</w:t>
      </w:r>
      <w:r>
        <w:t>ida a</w:t>
      </w:r>
      <w:r w:rsidRPr="00E81374">
        <w:t xml:space="preserve"> </w:t>
      </w:r>
      <w:r>
        <w:t>las y</w:t>
      </w:r>
      <w:r w:rsidRPr="00E81374">
        <w:t xml:space="preserve"> los ciudadanos venezolanos</w:t>
      </w:r>
      <w:r>
        <w:t xml:space="preserve">. </w:t>
      </w:r>
      <w:r w:rsidRPr="00E81374">
        <w:t xml:space="preserve">Cabe mencionar que, en la mayoría de los casos, los padres </w:t>
      </w:r>
      <w:r>
        <w:t xml:space="preserve">y madres </w:t>
      </w:r>
      <w:r w:rsidRPr="00E81374">
        <w:t>se encontraban viviendo en Chile, trabajando y con permisos de residencia válidos, y que habían dejado a sus hijos</w:t>
      </w:r>
      <w:r>
        <w:t>/as</w:t>
      </w:r>
      <w:r w:rsidRPr="00E81374">
        <w:t xml:space="preserve"> al cuidado de un familiar en su país de origen o en un tercer país. </w:t>
      </w:r>
      <w:r>
        <w:t xml:space="preserve">Además, en varios casos ya se habían iniciado los trámites </w:t>
      </w:r>
      <w:r w:rsidRPr="00E81374">
        <w:t>de</w:t>
      </w:r>
      <w:r>
        <w:t xml:space="preserve">l visado </w:t>
      </w:r>
      <w:r w:rsidR="001F05EE">
        <w:t xml:space="preserve">requerido, </w:t>
      </w:r>
      <w:r w:rsidR="001F05EE" w:rsidRPr="00E81374">
        <w:t>pero</w:t>
      </w:r>
      <w:r w:rsidRPr="00E81374">
        <w:t xml:space="preserve"> debido a la excesiva demora de la tramitación (entre 8 meses y un año según los testimonios recabados</w:t>
      </w:r>
      <w:r w:rsidR="001F05EE">
        <w:t>)</w:t>
      </w:r>
      <w:r>
        <w:t xml:space="preserve"> intentaban que sus hijos/as ingresaran al país aun</w:t>
      </w:r>
      <w:r w:rsidRPr="00E81374">
        <w:t xml:space="preserve"> antes de que la visa fuese aprobada.</w:t>
      </w:r>
      <w:r w:rsidR="00E60E87">
        <w:rPr>
          <w:rStyle w:val="Refdenotaalpie"/>
        </w:rPr>
        <w:footnoteReference w:id="46"/>
      </w:r>
      <w:r w:rsidRPr="00E81374">
        <w:t xml:space="preserve"> </w:t>
      </w:r>
    </w:p>
    <w:p w:rsidR="000A64F0" w:rsidRPr="001F05EE" w:rsidRDefault="00DB4391" w:rsidP="00E00E0F">
      <w:pPr>
        <w:pStyle w:val="Prrafodelista"/>
        <w:numPr>
          <w:ilvl w:val="0"/>
          <w:numId w:val="4"/>
        </w:numPr>
        <w:spacing w:line="240" w:lineRule="auto"/>
        <w:rPr>
          <w:b/>
          <w:bCs/>
        </w:rPr>
      </w:pPr>
      <w:r w:rsidRPr="001F05EE">
        <w:rPr>
          <w:b/>
          <w:bCs/>
        </w:rPr>
        <w:t>Promoción de condiciones satisfactorias, equitativas, dignas y lícitas en relación con la migración internacional de los trabajadores y sus familiares</w:t>
      </w:r>
      <w:r w:rsidR="00C0445A" w:rsidRPr="001F05EE">
        <w:rPr>
          <w:b/>
          <w:bCs/>
        </w:rPr>
        <w:t xml:space="preserve"> </w:t>
      </w:r>
      <w:r w:rsidRPr="001F05EE">
        <w:rPr>
          <w:b/>
          <w:bCs/>
        </w:rPr>
        <w:t>(arts. 64 a 71)</w:t>
      </w:r>
    </w:p>
    <w:p w:rsidR="003748C5" w:rsidRDefault="00867BE9" w:rsidP="00E00E0F">
      <w:pPr>
        <w:spacing w:line="240" w:lineRule="auto"/>
        <w:rPr>
          <w:b/>
          <w:bCs/>
        </w:rPr>
      </w:pPr>
      <w:r w:rsidRPr="000A64F0">
        <w:rPr>
          <w:b/>
          <w:bCs/>
        </w:rPr>
        <w:lastRenderedPageBreak/>
        <w:t>Movimientos y empleo ilegales o clandestinos de los trabajadores migratorios en situación irregular (art. 68)</w:t>
      </w:r>
    </w:p>
    <w:p w:rsidR="000A64F0" w:rsidRPr="000A64F0" w:rsidRDefault="000A64F0" w:rsidP="00E00E0F">
      <w:pPr>
        <w:spacing w:line="240" w:lineRule="auto"/>
        <w:rPr>
          <w:b/>
          <w:bCs/>
        </w:rPr>
      </w:pPr>
    </w:p>
    <w:p w:rsidR="001E4C04" w:rsidRPr="001F05EE" w:rsidRDefault="001F05EE" w:rsidP="00E00E0F">
      <w:pPr>
        <w:spacing w:line="240" w:lineRule="auto"/>
        <w:rPr>
          <w:i/>
          <w:iCs/>
        </w:rPr>
      </w:pPr>
      <w:r w:rsidRPr="00F34CBA">
        <w:rPr>
          <w:i/>
          <w:iCs/>
        </w:rPr>
        <w:t>Situación general</w:t>
      </w:r>
      <w:r>
        <w:rPr>
          <w:i/>
          <w:iCs/>
        </w:rPr>
        <w:t xml:space="preserve"> en materia de t</w:t>
      </w:r>
      <w:r w:rsidR="00EC44F8" w:rsidRPr="001F05EE">
        <w:rPr>
          <w:i/>
          <w:iCs/>
        </w:rPr>
        <w:t>rata y tráfico de personas</w:t>
      </w:r>
    </w:p>
    <w:p w:rsidR="00F34CBA" w:rsidRDefault="00F34CBA" w:rsidP="00E00E0F">
      <w:pPr>
        <w:spacing w:line="240" w:lineRule="auto"/>
        <w:rPr>
          <w:b/>
          <w:bCs/>
        </w:rPr>
      </w:pPr>
    </w:p>
    <w:p w:rsidR="00F34CBA" w:rsidRDefault="00F34CBA" w:rsidP="00E00E0F">
      <w:pPr>
        <w:pStyle w:val="Prrafodelista"/>
        <w:numPr>
          <w:ilvl w:val="0"/>
          <w:numId w:val="1"/>
        </w:numPr>
        <w:spacing w:line="240" w:lineRule="auto"/>
      </w:pPr>
      <w:r>
        <w:t>El número de víctimas de trata y tráfico de personas ha aumentado significativamente en los últimos años</w:t>
      </w:r>
      <w:r w:rsidR="001C504A">
        <w:t xml:space="preserve">: </w:t>
      </w:r>
      <w:r>
        <w:t>en 2016 se consignan 85 casos, en el año 2017 se registraron 126 casos, en 2018 habrían ocurrido 205 casos y durante el año 2019 se informan 309 casos.</w:t>
      </w:r>
      <w:r>
        <w:rPr>
          <w:rStyle w:val="Refdenotaalpie"/>
        </w:rPr>
        <w:footnoteReference w:id="47"/>
      </w:r>
    </w:p>
    <w:p w:rsidR="001F05EE" w:rsidRPr="00565660" w:rsidRDefault="001F05EE" w:rsidP="00E00E0F">
      <w:pPr>
        <w:pStyle w:val="Prrafodelista"/>
        <w:spacing w:line="240" w:lineRule="auto"/>
        <w:ind w:left="360"/>
      </w:pPr>
    </w:p>
    <w:p w:rsidR="001E4C04" w:rsidRPr="001E4C04" w:rsidRDefault="001E4C04" w:rsidP="00E00E0F">
      <w:pPr>
        <w:spacing w:after="160" w:line="240" w:lineRule="auto"/>
        <w:rPr>
          <w:i/>
          <w:iCs/>
        </w:rPr>
      </w:pPr>
      <w:r w:rsidRPr="001E4C04">
        <w:rPr>
          <w:i/>
          <w:iCs/>
        </w:rPr>
        <w:t>Marco regulatorio e intervenciones judiciales del INDH</w:t>
      </w:r>
    </w:p>
    <w:p w:rsidR="004F4E4D" w:rsidRPr="004F4E4D" w:rsidRDefault="001E4C04" w:rsidP="00E00E0F">
      <w:pPr>
        <w:pStyle w:val="Prrafodelista"/>
        <w:numPr>
          <w:ilvl w:val="0"/>
          <w:numId w:val="1"/>
        </w:numPr>
        <w:spacing w:line="240" w:lineRule="auto"/>
      </w:pPr>
      <w:r w:rsidRPr="00565660">
        <w:t xml:space="preserve">El delito de tráfico ilícito de migrantes y trata de personas fue introducido en </w:t>
      </w:r>
      <w:r>
        <w:t>el</w:t>
      </w:r>
      <w:r w:rsidRPr="00565660">
        <w:t xml:space="preserve"> ordenamiento jurídico nacional mediante la dictación de la Ley N° 20.507, publicada con fecha 08 de abril de 2011</w:t>
      </w:r>
      <w:r w:rsidR="004F4E4D">
        <w:t xml:space="preserve">, lo que </w:t>
      </w:r>
      <w:r w:rsidR="004F4E4D" w:rsidRPr="005201AA">
        <w:rPr>
          <w:color w:val="000000" w:themeColor="text1"/>
        </w:rPr>
        <w:t>representa un significativo avance tanto en la tipificación, investigación y sanción del delito</w:t>
      </w:r>
      <w:r w:rsidRPr="00565660">
        <w:t>.</w:t>
      </w:r>
      <w:r w:rsidRPr="00230AC6">
        <w:t xml:space="preserve"> </w:t>
      </w:r>
      <w:r w:rsidR="004F4E4D">
        <w:rPr>
          <w:color w:val="000000" w:themeColor="text1"/>
        </w:rPr>
        <w:t>En esta materia, el INDH considera que</w:t>
      </w:r>
      <w:r w:rsidR="004F4E4D" w:rsidRPr="005201AA">
        <w:rPr>
          <w:color w:val="000000" w:themeColor="text1"/>
        </w:rPr>
        <w:t xml:space="preserve"> persisten </w:t>
      </w:r>
      <w:r w:rsidR="004F4E4D">
        <w:rPr>
          <w:color w:val="000000" w:themeColor="text1"/>
        </w:rPr>
        <w:t xml:space="preserve">los siguientes </w:t>
      </w:r>
      <w:r w:rsidR="004F4E4D" w:rsidRPr="005201AA">
        <w:rPr>
          <w:color w:val="000000" w:themeColor="text1"/>
        </w:rPr>
        <w:t>desafíos: avanzar en la tipificación de la trata interna; realizar modificaciones legislativas que permitan la adecuada sanción de conductas constitutivas de trata de personas, específicamente en el contexto de explotación laboral de niños, niñas y adolescentes; generar estadísticas de las denuncias recibidas, investigadas y número de sentencias condenatorias obtenidas; generación de estrategias integradas y multisectoriales para su prevención; formación de personal técnico especializado en materia de trata de personas; fortalecer la protección a víctimas de trata de personas y ampliar la cobertura nacional de los lugares de acogida temporal; fortalecer las intervenciones en materia de rehabilitación e integración social de las víctimas, específicamente acceso a salud física y psicológica, empleo y vivienda; agilizar la reunificación familiar para las víctimas que optan por permanecer en Chile; e informar, educar y sensibilizar a la población en relación al delito de trata de personas</w:t>
      </w:r>
      <w:r w:rsidR="004F4E4D" w:rsidRPr="003977C8">
        <w:rPr>
          <w:rStyle w:val="Refdenotaalpie"/>
          <w:color w:val="000000" w:themeColor="text1"/>
        </w:rPr>
        <w:footnoteReference w:id="48"/>
      </w:r>
      <w:r w:rsidR="004F4E4D" w:rsidRPr="005201AA">
        <w:rPr>
          <w:color w:val="000000" w:themeColor="text1"/>
        </w:rPr>
        <w:t xml:space="preserve">. </w:t>
      </w:r>
    </w:p>
    <w:p w:rsidR="004E339A" w:rsidRDefault="001E4C04" w:rsidP="00E00E0F">
      <w:pPr>
        <w:pStyle w:val="Prrafodelista"/>
        <w:numPr>
          <w:ilvl w:val="0"/>
          <w:numId w:val="1"/>
        </w:numPr>
        <w:spacing w:line="240" w:lineRule="auto"/>
      </w:pPr>
      <w:r w:rsidRPr="00565660">
        <w:t xml:space="preserve">Respecto de acciones constitutivas de trata de personas, </w:t>
      </w:r>
      <w:r>
        <w:t xml:space="preserve">desde su creación el </w:t>
      </w:r>
      <w:r w:rsidRPr="00565660">
        <w:t xml:space="preserve">INDH ha intervenido en 18 ocasiones actuando como querellante institucional, </w:t>
      </w:r>
      <w:r w:rsidR="004E339A">
        <w:t xml:space="preserve">de los cuales 10 corresponden a trata con fines de explotación laboral y 8 a trata con fines de explotación sexual, </w:t>
      </w:r>
      <w:r w:rsidRPr="00565660">
        <w:t xml:space="preserve">representando </w:t>
      </w:r>
      <w:r w:rsidR="004E339A">
        <w:t xml:space="preserve">a </w:t>
      </w:r>
      <w:r w:rsidRPr="00565660">
        <w:t xml:space="preserve">un total de 262 víctimas. Hasta el presente, existen 12 sentencias condenatorias, </w:t>
      </w:r>
      <w:r>
        <w:t>dos</w:t>
      </w:r>
      <w:r w:rsidRPr="00565660">
        <w:t xml:space="preserve"> sentencias absolutorias, </w:t>
      </w:r>
      <w:r>
        <w:t>un</w:t>
      </w:r>
      <w:r w:rsidRPr="00565660">
        <w:t xml:space="preserve"> </w:t>
      </w:r>
      <w:r>
        <w:t>s</w:t>
      </w:r>
      <w:r w:rsidRPr="00565660">
        <w:t xml:space="preserve">obreseimiento definitivo y </w:t>
      </w:r>
      <w:r>
        <w:t>tres</w:t>
      </w:r>
      <w:r w:rsidRPr="00565660">
        <w:t xml:space="preserve"> causas actualmente en tramitación. </w:t>
      </w:r>
    </w:p>
    <w:p w:rsidR="004F4E4D" w:rsidRDefault="004E339A" w:rsidP="00E00E0F">
      <w:pPr>
        <w:pStyle w:val="Prrafodelista"/>
        <w:spacing w:line="240" w:lineRule="auto"/>
        <w:ind w:left="360"/>
      </w:pPr>
      <w:r w:rsidRPr="00565660">
        <w:t xml:space="preserve">Respecto del delito de tráfico ilícito de migrantes, </w:t>
      </w:r>
      <w:r>
        <w:t xml:space="preserve">el </w:t>
      </w:r>
      <w:r w:rsidRPr="00565660">
        <w:t xml:space="preserve">INDH ha intervenido en </w:t>
      </w:r>
      <w:r>
        <w:t>diez</w:t>
      </w:r>
      <w:r w:rsidRPr="00565660">
        <w:t xml:space="preserve"> juicios, actuando como querellante institucional, respecto de los cuales </w:t>
      </w:r>
      <w:r>
        <w:t>cinco</w:t>
      </w:r>
      <w:r w:rsidRPr="00565660">
        <w:t xml:space="preserve"> han resultado con </w:t>
      </w:r>
      <w:r>
        <w:t>s</w:t>
      </w:r>
      <w:r w:rsidRPr="00565660">
        <w:t xml:space="preserve">entencias </w:t>
      </w:r>
      <w:r>
        <w:t>c</w:t>
      </w:r>
      <w:r w:rsidRPr="00565660">
        <w:t>ondenatorias</w:t>
      </w:r>
      <w:r>
        <w:t>,</w:t>
      </w:r>
      <w:r w:rsidRPr="00223CAA">
        <w:rPr>
          <w:rFonts w:cs="Times New Roman (Cuerpo en alfa"/>
          <w:vertAlign w:val="superscript"/>
        </w:rPr>
        <w:footnoteReference w:id="49"/>
      </w:r>
      <w:r w:rsidRPr="00565660">
        <w:t xml:space="preserve"> </w:t>
      </w:r>
      <w:r>
        <w:t>uno</w:t>
      </w:r>
      <w:r w:rsidRPr="00565660">
        <w:t xml:space="preserve"> con sobreseimiento temporal y </w:t>
      </w:r>
      <w:r>
        <w:t>cuatro</w:t>
      </w:r>
      <w:r w:rsidRPr="00565660">
        <w:t xml:space="preserve"> </w:t>
      </w:r>
      <w:r>
        <w:t>continúan en</w:t>
      </w:r>
      <w:r w:rsidRPr="00565660">
        <w:t xml:space="preserve"> tramitación</w:t>
      </w:r>
      <w:r>
        <w:t>.</w:t>
      </w:r>
    </w:p>
    <w:p w:rsidR="00F0595A" w:rsidRDefault="00F0595A" w:rsidP="00E00E0F">
      <w:pPr>
        <w:spacing w:line="240" w:lineRule="auto"/>
        <w:rPr>
          <w:b/>
          <w:bCs/>
        </w:rPr>
      </w:pPr>
    </w:p>
    <w:p w:rsidR="00F0595A" w:rsidRDefault="00F0595A" w:rsidP="00E00E0F">
      <w:pPr>
        <w:spacing w:line="240" w:lineRule="auto"/>
        <w:rPr>
          <w:b/>
          <w:bCs/>
        </w:rPr>
      </w:pPr>
    </w:p>
    <w:p w:rsidR="00F0595A" w:rsidRDefault="00F0595A" w:rsidP="00E00E0F">
      <w:pPr>
        <w:spacing w:line="240" w:lineRule="auto"/>
        <w:rPr>
          <w:b/>
          <w:bCs/>
        </w:rPr>
      </w:pPr>
    </w:p>
    <w:p w:rsidR="00F0595A" w:rsidRDefault="00F0595A" w:rsidP="00E00E0F">
      <w:pPr>
        <w:spacing w:line="240" w:lineRule="auto"/>
        <w:rPr>
          <w:b/>
          <w:bCs/>
        </w:rPr>
      </w:pPr>
    </w:p>
    <w:p w:rsidR="00F0595A" w:rsidRDefault="00F0595A" w:rsidP="00E00E0F">
      <w:pPr>
        <w:spacing w:line="240" w:lineRule="auto"/>
        <w:rPr>
          <w:b/>
          <w:bCs/>
        </w:rPr>
      </w:pPr>
    </w:p>
    <w:p w:rsidR="00DB4391" w:rsidRDefault="00DB4391" w:rsidP="00E00E0F">
      <w:pPr>
        <w:spacing w:line="240" w:lineRule="auto"/>
        <w:rPr>
          <w:b/>
          <w:bCs/>
        </w:rPr>
      </w:pPr>
      <w:r w:rsidRPr="000A64F0">
        <w:rPr>
          <w:b/>
          <w:bCs/>
        </w:rPr>
        <w:lastRenderedPageBreak/>
        <w:t>Medidas relativas a las y los trabajadores migratorios en situación irregular (art. 69)</w:t>
      </w:r>
    </w:p>
    <w:p w:rsidR="006A6A85" w:rsidRPr="000A64F0" w:rsidRDefault="006A6A85" w:rsidP="00E00E0F">
      <w:pPr>
        <w:spacing w:line="240" w:lineRule="auto"/>
        <w:rPr>
          <w:b/>
          <w:bCs/>
          <w:highlight w:val="yellow"/>
        </w:rPr>
      </w:pPr>
    </w:p>
    <w:p w:rsidR="006A6A85" w:rsidRPr="006A6A85" w:rsidRDefault="006A6A85" w:rsidP="00E00E0F">
      <w:pPr>
        <w:pStyle w:val="Prrafodelista"/>
        <w:numPr>
          <w:ilvl w:val="0"/>
          <w:numId w:val="1"/>
        </w:numPr>
        <w:spacing w:line="240" w:lineRule="auto"/>
        <w:rPr>
          <w:lang w:val="es-ES"/>
        </w:rPr>
      </w:pPr>
      <w:r>
        <w:rPr>
          <w:lang w:val="es-ES"/>
        </w:rPr>
        <w:t>En abril de 2018 se inició un proceso masivo de regularización migratoria.</w:t>
      </w:r>
      <w:r w:rsidR="00E40161">
        <w:rPr>
          <w:rStyle w:val="Refdenotaalpie"/>
          <w:lang w:val="es-ES"/>
        </w:rPr>
        <w:footnoteReference w:id="50"/>
      </w:r>
      <w:r>
        <w:rPr>
          <w:lang w:val="es-ES"/>
        </w:rPr>
        <w:t xml:space="preserve"> </w:t>
      </w:r>
      <w:r w:rsidRPr="006A6A85">
        <w:rPr>
          <w:lang w:val="es-ES"/>
        </w:rPr>
        <w:t xml:space="preserve">El </w:t>
      </w:r>
      <w:bookmarkStart w:id="6" w:name="_Hlk34306831"/>
      <w:r w:rsidRPr="006A6A85">
        <w:rPr>
          <w:lang w:val="es-ES"/>
        </w:rPr>
        <w:t xml:space="preserve">Departamento de Extranjería y Migración </w:t>
      </w:r>
      <w:bookmarkEnd w:id="6"/>
      <w:r>
        <w:rPr>
          <w:lang w:val="es-ES"/>
        </w:rPr>
        <w:t xml:space="preserve">ha </w:t>
      </w:r>
      <w:r w:rsidRPr="006A6A85">
        <w:rPr>
          <w:lang w:val="es-ES"/>
        </w:rPr>
        <w:t>informa</w:t>
      </w:r>
      <w:r>
        <w:rPr>
          <w:lang w:val="es-ES"/>
        </w:rPr>
        <w:t>do</w:t>
      </w:r>
      <w:r w:rsidRPr="006A6A85">
        <w:rPr>
          <w:lang w:val="es-ES"/>
        </w:rPr>
        <w:t xml:space="preserve"> que al 22 de julio de 2019 se habían inscrito 155</w:t>
      </w:r>
      <w:r>
        <w:rPr>
          <w:lang w:val="es-ES"/>
        </w:rPr>
        <w:t>.</w:t>
      </w:r>
      <w:r w:rsidRPr="006A6A85">
        <w:rPr>
          <w:lang w:val="es-ES"/>
        </w:rPr>
        <w:t>707 personas,</w:t>
      </w:r>
      <w:r w:rsidR="00E40161">
        <w:rPr>
          <w:lang w:val="es-ES"/>
        </w:rPr>
        <w:t xml:space="preserve"> otorgándose </w:t>
      </w:r>
      <w:r w:rsidR="00E40161" w:rsidRPr="00E40161">
        <w:rPr>
          <w:lang w:val="es-ES"/>
        </w:rPr>
        <w:t xml:space="preserve">Visas Temporarias de Regularización Extraordinarias </w:t>
      </w:r>
      <w:r w:rsidR="00E40161">
        <w:rPr>
          <w:lang w:val="es-ES"/>
        </w:rPr>
        <w:t xml:space="preserve">a </w:t>
      </w:r>
      <w:r w:rsidRPr="006A6A85">
        <w:rPr>
          <w:lang w:val="es-ES"/>
        </w:rPr>
        <w:t>131</w:t>
      </w:r>
      <w:r w:rsidR="00E40161">
        <w:rPr>
          <w:lang w:val="es-ES"/>
        </w:rPr>
        <w:t>.</w:t>
      </w:r>
      <w:r w:rsidRPr="006A6A85">
        <w:rPr>
          <w:lang w:val="es-ES"/>
        </w:rPr>
        <w:t>500</w:t>
      </w:r>
      <w:r w:rsidR="00E40161">
        <w:rPr>
          <w:lang w:val="es-ES"/>
        </w:rPr>
        <w:t xml:space="preserve"> </w:t>
      </w:r>
      <w:r w:rsidR="0044524F">
        <w:rPr>
          <w:lang w:val="es-ES"/>
        </w:rPr>
        <w:t xml:space="preserve">personas </w:t>
      </w:r>
      <w:r w:rsidR="00E40161">
        <w:rPr>
          <w:lang w:val="es-ES"/>
        </w:rPr>
        <w:t>que cumplían los requisitos</w:t>
      </w:r>
      <w:r w:rsidR="00F34235">
        <w:rPr>
          <w:lang w:val="es-ES"/>
        </w:rPr>
        <w:t>.</w:t>
      </w:r>
      <w:r w:rsidR="00F34235">
        <w:rPr>
          <w:rStyle w:val="Refdenotaalpie"/>
        </w:rPr>
        <w:footnoteReference w:id="51"/>
      </w:r>
      <w:r w:rsidR="00F34235">
        <w:rPr>
          <w:lang w:val="es-ES"/>
        </w:rPr>
        <w:t xml:space="preserve"> Posteriormente, el Ejecutivo amplió el plazo para acceder proceso de regularización</w:t>
      </w:r>
      <w:r w:rsidR="00F34235" w:rsidRPr="00F34235">
        <w:t xml:space="preserve"> </w:t>
      </w:r>
      <w:r w:rsidR="00F34235" w:rsidRPr="00F34235">
        <w:rPr>
          <w:lang w:val="es-ES"/>
        </w:rPr>
        <w:t xml:space="preserve">hasta el 22 de octubre de </w:t>
      </w:r>
      <w:r w:rsidR="00F34235" w:rsidRPr="00E1164D">
        <w:rPr>
          <w:lang w:val="es-ES"/>
        </w:rPr>
        <w:t xml:space="preserve">2019. Hasta </w:t>
      </w:r>
      <w:r w:rsidR="00E1164D" w:rsidRPr="00E1164D">
        <w:rPr>
          <w:lang w:val="es-ES"/>
        </w:rPr>
        <w:t>febrero</w:t>
      </w:r>
      <w:r w:rsidR="00E1164D">
        <w:rPr>
          <w:lang w:val="es-ES"/>
        </w:rPr>
        <w:t xml:space="preserve"> de 2020,</w:t>
      </w:r>
      <w:r w:rsidR="00F34235">
        <w:rPr>
          <w:lang w:val="es-ES"/>
        </w:rPr>
        <w:t xml:space="preserve"> no existe información pública sobre los resultados finales del proceso de regularización, incluyendo el total de los visados otorgados</w:t>
      </w:r>
      <w:r w:rsidR="004B5B01">
        <w:rPr>
          <w:lang w:val="es-ES"/>
        </w:rPr>
        <w:t xml:space="preserve"> y </w:t>
      </w:r>
      <w:r w:rsidR="00F34235">
        <w:rPr>
          <w:lang w:val="es-ES"/>
        </w:rPr>
        <w:t>rechazados</w:t>
      </w:r>
      <w:r w:rsidR="001E4C04">
        <w:rPr>
          <w:lang w:val="es-ES"/>
        </w:rPr>
        <w:t xml:space="preserve"> desagregados por nacionalidad</w:t>
      </w:r>
      <w:r w:rsidR="004B5B01">
        <w:rPr>
          <w:lang w:val="es-ES"/>
        </w:rPr>
        <w:t>, los criterios generales que fundamentan dichas resoluciones</w:t>
      </w:r>
      <w:r w:rsidR="00F34235">
        <w:rPr>
          <w:lang w:val="es-ES"/>
        </w:rPr>
        <w:t xml:space="preserve"> y la existencia de mecanismos de apelación</w:t>
      </w:r>
      <w:r w:rsidR="004B5B01">
        <w:rPr>
          <w:lang w:val="es-ES"/>
        </w:rPr>
        <w:t xml:space="preserve"> para la reconsideración de estas decisiones.</w:t>
      </w:r>
    </w:p>
    <w:p w:rsidR="006A6A85" w:rsidRDefault="006A6A85" w:rsidP="00E00E0F">
      <w:pPr>
        <w:spacing w:line="240" w:lineRule="auto"/>
        <w:rPr>
          <w:lang w:val="es-ES"/>
        </w:rPr>
      </w:pPr>
    </w:p>
    <w:bookmarkEnd w:id="1"/>
    <w:p w:rsidR="001B4AE8" w:rsidRDefault="001B4AE8">
      <w:pPr>
        <w:spacing w:after="160" w:line="259" w:lineRule="auto"/>
        <w:jc w:val="left"/>
        <w:rPr>
          <w:b/>
          <w:bCs/>
        </w:rPr>
      </w:pPr>
      <w:r>
        <w:rPr>
          <w:b/>
          <w:bCs/>
        </w:rPr>
        <w:br w:type="page"/>
      </w:r>
    </w:p>
    <w:p w:rsidR="00E00E0F" w:rsidRPr="00E00E0F" w:rsidRDefault="00E00E0F" w:rsidP="00E00E0F">
      <w:pPr>
        <w:spacing w:after="160" w:line="240" w:lineRule="auto"/>
        <w:rPr>
          <w:b/>
          <w:bCs/>
        </w:rPr>
      </w:pPr>
      <w:r w:rsidRPr="00E00E0F">
        <w:rPr>
          <w:b/>
          <w:bCs/>
        </w:rPr>
        <w:lastRenderedPageBreak/>
        <w:t>RECOMENDACIONES</w:t>
      </w:r>
    </w:p>
    <w:p w:rsidR="00E00E0F" w:rsidRDefault="00E00E0F" w:rsidP="00E00E0F">
      <w:pPr>
        <w:spacing w:after="160" w:line="240" w:lineRule="auto"/>
      </w:pPr>
    </w:p>
    <w:p w:rsidR="00E00E0F" w:rsidRPr="00E00E0F" w:rsidRDefault="00E00E0F" w:rsidP="00E00E0F">
      <w:pPr>
        <w:pStyle w:val="Prrafodelista"/>
        <w:numPr>
          <w:ilvl w:val="0"/>
          <w:numId w:val="5"/>
        </w:numPr>
        <w:spacing w:line="240" w:lineRule="auto"/>
        <w:ind w:left="705"/>
        <w:rPr>
          <w:color w:val="000000" w:themeColor="text1"/>
          <w:lang w:val="es-ES"/>
        </w:rPr>
      </w:pPr>
      <w:r w:rsidRPr="00E00E0F">
        <w:rPr>
          <w:color w:val="000000" w:themeColor="text1"/>
          <w:lang w:val="es-ES"/>
        </w:rPr>
        <w:t>El INDH reitera a los poderes colegisladores la urgencia de contar con un marco regulatorio e institucionalidad especializada en materia de migración, esto, con el fin de implementar medidas que contribuyan a la igualdad de derechos y no discriminación, dar cabal cumplimiento a lo prescrito en la Convención Internacional sobre Protección de los Derechos de todos los Trabajadores Migratorios y de sus Familiares.</w:t>
      </w:r>
    </w:p>
    <w:p w:rsidR="00E00E0F" w:rsidRPr="00E00E0F" w:rsidRDefault="00E00E0F" w:rsidP="00E00E0F">
      <w:pPr>
        <w:pStyle w:val="Prrafodelista"/>
        <w:spacing w:line="240" w:lineRule="auto"/>
        <w:ind w:left="705"/>
        <w:rPr>
          <w:color w:val="000000" w:themeColor="text1"/>
          <w:lang w:val="es-ES"/>
        </w:rPr>
      </w:pPr>
    </w:p>
    <w:p w:rsidR="00E00E0F" w:rsidRPr="00E00E0F" w:rsidRDefault="00E00E0F" w:rsidP="00E00E0F">
      <w:pPr>
        <w:pStyle w:val="Prrafodelista"/>
        <w:numPr>
          <w:ilvl w:val="0"/>
          <w:numId w:val="5"/>
        </w:numPr>
        <w:spacing w:line="240" w:lineRule="auto"/>
        <w:ind w:left="705"/>
        <w:rPr>
          <w:bCs/>
          <w:color w:val="000000" w:themeColor="text1"/>
        </w:rPr>
      </w:pPr>
      <w:r w:rsidRPr="00E00E0F">
        <w:rPr>
          <w:bCs/>
          <w:color w:val="000000" w:themeColor="text1"/>
        </w:rPr>
        <w:t>El INDH llama el Poder Ejecutivo a formular la declaración prevista en los artículos 76 y 77 de la Convención, como un medio para contar con más herramientas jurídicas para garantizar los derechos humanos en el país.</w:t>
      </w:r>
    </w:p>
    <w:p w:rsidR="00E00E0F" w:rsidRPr="00E00E0F" w:rsidRDefault="00E00E0F" w:rsidP="00E00E0F">
      <w:pPr>
        <w:pStyle w:val="Prrafodelista"/>
        <w:spacing w:line="240" w:lineRule="auto"/>
        <w:ind w:left="705"/>
        <w:rPr>
          <w:color w:val="000000" w:themeColor="text1"/>
          <w:lang w:val="es-ES"/>
        </w:rPr>
      </w:pPr>
    </w:p>
    <w:p w:rsidR="00E00E0F" w:rsidRPr="001B4AE8" w:rsidRDefault="00E00E0F" w:rsidP="00E00E0F">
      <w:pPr>
        <w:pStyle w:val="Prrafodelista"/>
        <w:numPr>
          <w:ilvl w:val="0"/>
          <w:numId w:val="5"/>
        </w:numPr>
        <w:spacing w:line="240" w:lineRule="auto"/>
        <w:ind w:left="705"/>
        <w:rPr>
          <w:color w:val="000000" w:themeColor="text1"/>
        </w:rPr>
      </w:pPr>
      <w:r w:rsidRPr="001B4AE8">
        <w:rPr>
          <w:color w:val="000000" w:themeColor="text1"/>
        </w:rPr>
        <w:t xml:space="preserve">El INDH recomienda a todos los organismos estatales responsables de la producción de información estadística, implementar la desagregación de los datos que </w:t>
      </w:r>
      <w:r w:rsidR="002A0C0E" w:rsidRPr="001B4AE8">
        <w:rPr>
          <w:color w:val="000000" w:themeColor="text1"/>
        </w:rPr>
        <w:t xml:space="preserve">permitan conocer la existencia o no de </w:t>
      </w:r>
      <w:r w:rsidRPr="001B4AE8">
        <w:rPr>
          <w:color w:val="000000" w:themeColor="text1"/>
        </w:rPr>
        <w:t>múltiples formas de discriminación que enfrentan las personas migrantes. Específicamente se solicita su desagregación por sexo, edad, situación de discapacidad, nacionalidad, origen étnico y racial, y diversidad sexual.</w:t>
      </w:r>
    </w:p>
    <w:p w:rsidR="00E00E0F" w:rsidRPr="00E00E0F" w:rsidRDefault="00E00E0F" w:rsidP="00E00E0F">
      <w:pPr>
        <w:pStyle w:val="Prrafodelista"/>
        <w:ind w:left="360"/>
        <w:rPr>
          <w:color w:val="000000" w:themeColor="text1"/>
        </w:rPr>
      </w:pPr>
    </w:p>
    <w:p w:rsidR="00E00E0F" w:rsidRPr="00E00E0F" w:rsidRDefault="00E00E0F" w:rsidP="00E00E0F">
      <w:pPr>
        <w:pStyle w:val="Prrafodelista"/>
        <w:numPr>
          <w:ilvl w:val="0"/>
          <w:numId w:val="5"/>
        </w:numPr>
        <w:spacing w:line="240" w:lineRule="auto"/>
        <w:ind w:left="705"/>
        <w:rPr>
          <w:color w:val="000000" w:themeColor="text1"/>
        </w:rPr>
      </w:pPr>
      <w:r w:rsidRPr="00E00E0F">
        <w:rPr>
          <w:color w:val="000000" w:themeColor="text1"/>
        </w:rPr>
        <w:t>Adecuar la Ley N° 20.609 que establece medidas contra la discriminación, especificando la obligación del Estado de prevenir la discriminación, reparar a las víctimas e implementar medidas especiales que garanticen el goce pleno e igualdad de derechos de todos los colectivos, incluyendo la población migrante.</w:t>
      </w:r>
    </w:p>
    <w:p w:rsidR="00E00E0F" w:rsidRPr="00E00E0F" w:rsidRDefault="00E00E0F" w:rsidP="00E00E0F">
      <w:pPr>
        <w:pStyle w:val="Prrafodelista"/>
        <w:ind w:left="360"/>
        <w:rPr>
          <w:color w:val="0D0D0D" w:themeColor="text1" w:themeTint="F2"/>
        </w:rPr>
      </w:pPr>
    </w:p>
    <w:p w:rsidR="00D01150"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El INDH recomienda reforzar, mediante campañas públicas y del sistema educativo, la valoración de la diversidad cultural y del aporte a la riqueza nacional que entrega la población migrante.</w:t>
      </w:r>
    </w:p>
    <w:p w:rsidR="00D01150" w:rsidRPr="00D01150" w:rsidRDefault="00D01150" w:rsidP="00D01150">
      <w:pPr>
        <w:pStyle w:val="Prrafodelista"/>
        <w:rPr>
          <w:color w:val="000000" w:themeColor="text1"/>
          <w:lang w:val="es-ES"/>
        </w:rPr>
      </w:pPr>
    </w:p>
    <w:p w:rsidR="00E00E0F" w:rsidRPr="00D01150" w:rsidRDefault="00D01150" w:rsidP="00D01150">
      <w:pPr>
        <w:pStyle w:val="Prrafodelista"/>
        <w:numPr>
          <w:ilvl w:val="0"/>
          <w:numId w:val="5"/>
        </w:numPr>
        <w:spacing w:line="240" w:lineRule="auto"/>
        <w:ind w:left="705"/>
        <w:rPr>
          <w:color w:val="000000" w:themeColor="text1"/>
          <w:lang w:val="es-ES"/>
        </w:rPr>
      </w:pPr>
      <w:r w:rsidRPr="00D01150">
        <w:rPr>
          <w:color w:val="000000" w:themeColor="text1"/>
          <w:lang w:val="es-ES"/>
        </w:rPr>
        <w:t>El INDH recomienda al Poder Ejecutivo modificar el carácter consular de las visas de turismo establecidas para las personas migrantes de origen haitiano, en la medida que —en atención a la situación social de dicho país— los requisitos establecidos para su tramitación no han sido suficientemente fundados y pueden exponerlos a un contexto de mayor vulnerabilidad, irregularidad y potenciales circunstancias de trata o tráfico ilícito.</w:t>
      </w:r>
      <w:r w:rsidRPr="003977C8">
        <w:rPr>
          <w:rStyle w:val="Refdenotaalpie"/>
          <w:color w:val="000000" w:themeColor="text1"/>
          <w:lang w:val="es-ES"/>
        </w:rPr>
        <w:footnoteReference w:id="52"/>
      </w:r>
      <w:r w:rsidR="0041700B">
        <w:rPr>
          <w:color w:val="000000" w:themeColor="text1"/>
          <w:lang w:val="es-ES"/>
        </w:rPr>
        <w:t xml:space="preserve"> </w:t>
      </w:r>
      <w:r>
        <w:rPr>
          <w:color w:val="000000" w:themeColor="text1"/>
          <w:lang w:val="es-ES"/>
        </w:rPr>
        <w:t>A</w:t>
      </w:r>
      <w:r w:rsidR="00E00E0F" w:rsidRPr="00D01150">
        <w:rPr>
          <w:color w:val="000000" w:themeColor="text1"/>
          <w:lang w:val="es-ES"/>
        </w:rPr>
        <w:t>demás, se llama a revisar las prohibiciones e impedimentos de ingreso al país para las personas que se acogen al “Plan humanitario de regreso ordenado”.</w:t>
      </w:r>
      <w:r w:rsidR="0041700B">
        <w:rPr>
          <w:rStyle w:val="Refdenotaalpie"/>
          <w:color w:val="000000" w:themeColor="text1"/>
          <w:lang w:val="es-ES"/>
        </w:rPr>
        <w:footnoteReference w:id="53"/>
      </w:r>
    </w:p>
    <w:p w:rsidR="00E00E0F" w:rsidRPr="00E00E0F" w:rsidRDefault="00E00E0F" w:rsidP="00D01150">
      <w:pPr>
        <w:pStyle w:val="Prrafodelista"/>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rPr>
      </w:pPr>
      <w:r w:rsidRPr="00E00E0F">
        <w:rPr>
          <w:color w:val="0D0D0D" w:themeColor="text1" w:themeTint="F2"/>
        </w:rPr>
        <w:t>Tipificar como delito toda difusión de ideas, incitación, actos de violencia o toda incitación a cometer tales actos basadas en el odio racial y la xenofobia.</w:t>
      </w:r>
    </w:p>
    <w:p w:rsidR="00E00E0F" w:rsidRPr="00E00E0F" w:rsidRDefault="00E00E0F" w:rsidP="00D01150">
      <w:pPr>
        <w:spacing w:line="240" w:lineRule="auto"/>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 xml:space="preserve">El INDH exhorta al Estado a promover y proteger los derechos humanos de las personas migrantes en el contexto de la gobernanza de las fronteras, incluyendo estos derechos en la legislación nacional, en los acuerdos internacionales y en las actividades formativas de los/as funcionarios/as a cargo de la gestión fronteriza. Se insta a desarrollar todas las </w:t>
      </w:r>
      <w:r w:rsidRPr="00E00E0F">
        <w:rPr>
          <w:color w:val="000000" w:themeColor="text1"/>
          <w:lang w:val="es-ES"/>
        </w:rPr>
        <w:lastRenderedPageBreak/>
        <w:t>medidas necesarias para evitar que los requisitos de ingreso al país sean de naturaleza subjetiva y que queden exclusivamente a criterio de los/as funcionarios/as actuantes, la apreciación sobre su cumplimiento.</w:t>
      </w:r>
    </w:p>
    <w:p w:rsidR="00E00E0F" w:rsidRPr="00E00E0F" w:rsidRDefault="00E00E0F" w:rsidP="00D01150">
      <w:pPr>
        <w:spacing w:line="240" w:lineRule="auto"/>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El INDH recomienda al Poder Ejecutivo extender el beneficio de las visas de responsabilidad democrática a todos los países de la región que se encuentran en situación de violencia generalizada, agresión extranjera, conflictos internos, la violación masiva de derechos humanos u otra circunstancia que haya perturbado gravemente el orden público del país, con la finalidad de dar un acceso equitativo a la protección del Estado de Chile a personas afectada en esos contextos.</w:t>
      </w:r>
      <w:r w:rsidRPr="00E00E0F">
        <w:rPr>
          <w:rStyle w:val="Refdenotaalpie"/>
          <w:color w:val="000000" w:themeColor="text1"/>
          <w:lang w:val="es-ES"/>
        </w:rPr>
        <w:footnoteReference w:id="54"/>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rPr>
      </w:pPr>
      <w:r w:rsidRPr="00E00E0F">
        <w:rPr>
          <w:color w:val="000000" w:themeColor="text1"/>
        </w:rPr>
        <w:t>El Ejecutivo debe garantizar que las solicitudes de refugio se tramiten de conformidad con la ley, eliminado la práctica de preadmisibilidad y asegurando que la tramitación en todas sus etapas cumpla con los debidos requisitos formales de manera de facilitar la apelación oportuna.</w:t>
      </w:r>
      <w:r w:rsidR="0041700B">
        <w:rPr>
          <w:rStyle w:val="Refdenotaalpie"/>
          <w:color w:val="000000" w:themeColor="text1"/>
        </w:rPr>
        <w:footnoteReference w:id="55"/>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Se recomienda asegurar a las personas sujetas a procesos de deportación el ejercicio efectivo de su derecho a ser oídas, a contar con una representación adecuada y a un plazo adecuado para interponer recursos contra las decisiones de expulsión. Del mismo modo, antes de dictar actos de expulsión y/o medidas de abandono se llama a considerar los derechos consagrados en la Convención de Derechos del Niño, el principio de reunificación familiar, el principio de igualdad y no discriminación, situaciones especiales frente a personas que fueron víctimas del delito de tráfico ilícito de migrantes o trata de personas y el resguardo de derechos de los grupos de especial protección.</w:t>
      </w:r>
      <w:r w:rsidR="00F0595A">
        <w:rPr>
          <w:rStyle w:val="Refdenotaalpie"/>
          <w:color w:val="000000" w:themeColor="text1"/>
          <w:lang w:val="es-ES"/>
        </w:rPr>
        <w:footnoteReference w:id="56"/>
      </w:r>
      <w:r w:rsidRPr="00E00E0F">
        <w:rPr>
          <w:color w:val="000000" w:themeColor="text1"/>
          <w:lang w:val="es-ES"/>
        </w:rPr>
        <w:t xml:space="preserve"> </w:t>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El INDH recomienda fortalecer la fiscalización que realiza la Inspección del Trabajo del cumplimiento de la Ley N° 20.786, específicamente en lo relativo a la escrituración de contratos, duración de la jornada de trabajo, pago de remuneraciones y cotizaciones previsionales, y respeto a los feriados legales y descansos. Además, se recomienda difundir y garantizar el acceso a los mecanismos de presentación de denuncias por abusos y malos tratos contra empleadores/as de trabajadoras domésticas migrantes, de manera que los hechos sean efectivamente investigados y sancionados.</w:t>
      </w:r>
    </w:p>
    <w:p w:rsidR="00E00E0F" w:rsidRPr="00E00E0F" w:rsidRDefault="00E00E0F" w:rsidP="00D01150">
      <w:pPr>
        <w:spacing w:line="240" w:lineRule="auto"/>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El INDH insta al Estado a formular políticas públicas que garanticen los derechos humanos de todas las personas migrantes y el acceso a prestaciones sociales en igualdad de condiciones que los nacionales, y en el caso de niños, niñas y adolescentes, sin distinción respecto a su condición migratoria o la de sus madres o padres.</w:t>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 xml:space="preserve">El INDH llama a adecuar plenamente la legislación nacional en materia de trata y tráfico de personas a los instrumentos internacionales, redoblando los esfuerzos de capacitación de los distintos agentes del sistema penal para dar aplicación adecuada a estos estándares, </w:t>
      </w:r>
      <w:r w:rsidRPr="00E00E0F">
        <w:rPr>
          <w:color w:val="000000" w:themeColor="text1"/>
          <w:lang w:val="es-ES"/>
        </w:rPr>
        <w:lastRenderedPageBreak/>
        <w:t>incrementando la efectividad del sistema de justicia para investigar y sancionar los delitos de trata de personas y tráfico de migrantes.</w:t>
      </w:r>
      <w:r w:rsidRPr="00E00E0F">
        <w:rPr>
          <w:color w:val="000000" w:themeColor="text1"/>
        </w:rPr>
        <w:t xml:space="preserve"> </w:t>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color w:val="000000" w:themeColor="text1"/>
          <w:lang w:val="es-ES"/>
        </w:rPr>
      </w:pPr>
      <w:r w:rsidRPr="00E00E0F">
        <w:rPr>
          <w:color w:val="000000" w:themeColor="text1"/>
          <w:lang w:val="es-ES"/>
        </w:rPr>
        <w:t>El INDH recomienda al Ministerio del Interior y Seguridad Pública garantizar, por medio del Registro Civil e Identificación y el Departamento de Extranjería y Migración, que se otorgue la nacionalidad chilena a todas las personas que tienen derecho a esta.</w:t>
      </w:r>
    </w:p>
    <w:p w:rsidR="00E00E0F" w:rsidRPr="00E00E0F" w:rsidRDefault="00E00E0F" w:rsidP="00D01150">
      <w:pPr>
        <w:pStyle w:val="Prrafodelista"/>
        <w:spacing w:line="240" w:lineRule="auto"/>
        <w:ind w:left="0"/>
        <w:rPr>
          <w:color w:val="000000" w:themeColor="text1"/>
          <w:lang w:val="es-ES"/>
        </w:rPr>
      </w:pPr>
    </w:p>
    <w:p w:rsidR="00E00E0F" w:rsidRPr="001B4AE8" w:rsidRDefault="00E00E0F" w:rsidP="00D01150">
      <w:pPr>
        <w:pStyle w:val="Prrafodelista"/>
        <w:numPr>
          <w:ilvl w:val="0"/>
          <w:numId w:val="5"/>
        </w:numPr>
        <w:spacing w:line="240" w:lineRule="auto"/>
        <w:ind w:left="705"/>
        <w:rPr>
          <w:color w:val="000000" w:themeColor="text1"/>
          <w:lang w:val="es-ES"/>
        </w:rPr>
      </w:pPr>
      <w:r w:rsidRPr="001B4AE8">
        <w:rPr>
          <w:color w:val="000000" w:themeColor="text1"/>
          <w:lang w:val="es-ES"/>
        </w:rPr>
        <w:t xml:space="preserve">El </w:t>
      </w:r>
      <w:r w:rsidR="002A0C0E" w:rsidRPr="001B4AE8">
        <w:rPr>
          <w:color w:val="000000" w:themeColor="text1"/>
          <w:lang w:val="es-ES"/>
        </w:rPr>
        <w:t xml:space="preserve">INDH reitera la recomendación al </w:t>
      </w:r>
      <w:r w:rsidRPr="001B4AE8">
        <w:rPr>
          <w:color w:val="000000" w:themeColor="text1"/>
          <w:lang w:val="es-ES"/>
        </w:rPr>
        <w:t>Poder Ejecutivo</w:t>
      </w:r>
      <w:r w:rsidR="002A0C0E" w:rsidRPr="001B4AE8">
        <w:rPr>
          <w:color w:val="000000" w:themeColor="text1"/>
          <w:lang w:val="es-ES"/>
        </w:rPr>
        <w:t>, en relación a su deber de</w:t>
      </w:r>
      <w:r w:rsidRPr="001B4AE8">
        <w:rPr>
          <w:color w:val="000000" w:themeColor="text1"/>
          <w:lang w:val="es-ES"/>
        </w:rPr>
        <w:t xml:space="preserve"> impulsar una fiscalización activa que prevenga la vulneración de derechos de la población migrante, particularmente aquella que no tiene su situación migratoria regularizada. Especial atención debe darse a las relaciones laborales, así como al cumplimiento de las disposiciones en salud y educación.</w:t>
      </w:r>
      <w:r w:rsidRPr="001B4AE8">
        <w:rPr>
          <w:rStyle w:val="Refdenotaalpie"/>
          <w:color w:val="000000" w:themeColor="text1"/>
          <w:lang w:val="es-ES"/>
        </w:rPr>
        <w:footnoteReference w:id="57"/>
      </w:r>
    </w:p>
    <w:p w:rsidR="00E00E0F" w:rsidRPr="00E00E0F" w:rsidRDefault="00E00E0F" w:rsidP="00D01150">
      <w:pPr>
        <w:pStyle w:val="Prrafodelista"/>
        <w:spacing w:line="240" w:lineRule="auto"/>
        <w:ind w:left="0"/>
        <w:rPr>
          <w:color w:val="000000" w:themeColor="text1"/>
          <w:lang w:val="es-ES"/>
        </w:rPr>
      </w:pPr>
    </w:p>
    <w:p w:rsidR="00E00E0F" w:rsidRPr="00E00E0F" w:rsidRDefault="00E00E0F" w:rsidP="00D01150">
      <w:pPr>
        <w:pStyle w:val="Prrafodelista"/>
        <w:numPr>
          <w:ilvl w:val="0"/>
          <w:numId w:val="5"/>
        </w:numPr>
        <w:spacing w:line="240" w:lineRule="auto"/>
        <w:ind w:left="705"/>
        <w:rPr>
          <w:lang w:val="es-ES"/>
        </w:rPr>
      </w:pPr>
      <w:r w:rsidRPr="00E00E0F">
        <w:rPr>
          <w:lang w:val="es-ES"/>
        </w:rPr>
        <w:t>El INDH llama a adecuar plenamente la legislación nacional en materia de trata y tráfico de personas a los instrumentos internacionales, redoblando los esfuerzos de capacitación de los distintos agentes del sistema penal para dar aplicación adecuada a estos estándares, incrementando la efectividad del sistema de justicia para investigar y sancionar los delitos de trata de personas y tráfico de migrantes.</w:t>
      </w:r>
    </w:p>
    <w:p w:rsidR="00E00E0F" w:rsidRPr="002637BD" w:rsidRDefault="00E00E0F" w:rsidP="00D01150">
      <w:pPr>
        <w:pStyle w:val="Prrafodelista"/>
        <w:spacing w:line="240" w:lineRule="auto"/>
        <w:ind w:left="345"/>
        <w:rPr>
          <w:color w:val="000000" w:themeColor="text1"/>
          <w:lang w:val="es-ES"/>
        </w:rPr>
      </w:pPr>
    </w:p>
    <w:p w:rsidR="00E00E0F" w:rsidRPr="003977C8" w:rsidRDefault="00E00E0F" w:rsidP="00E00E0F">
      <w:pPr>
        <w:spacing w:line="240" w:lineRule="auto"/>
        <w:rPr>
          <w:rFonts w:asciiTheme="minorHAnsi" w:hAnsiTheme="minorHAnsi"/>
          <w:b/>
          <w:color w:val="000000" w:themeColor="text1"/>
        </w:rPr>
      </w:pPr>
    </w:p>
    <w:p w:rsidR="00E00E0F" w:rsidRPr="002637BD" w:rsidRDefault="00E00E0F" w:rsidP="00E00E0F">
      <w:pPr>
        <w:spacing w:line="240" w:lineRule="auto"/>
        <w:rPr>
          <w:rFonts w:asciiTheme="minorHAnsi" w:hAnsiTheme="minorHAnsi"/>
          <w:b/>
          <w:color w:val="000000" w:themeColor="text1"/>
        </w:rPr>
      </w:pPr>
    </w:p>
    <w:p w:rsidR="00E00E0F" w:rsidRDefault="00E00E0F" w:rsidP="00E00E0F"/>
    <w:p w:rsidR="00E00E0F" w:rsidRDefault="00E00E0F" w:rsidP="00E00E0F">
      <w:pPr>
        <w:spacing w:after="160" w:line="240" w:lineRule="auto"/>
        <w:jc w:val="left"/>
      </w:pPr>
    </w:p>
    <w:p w:rsidR="00E00E0F" w:rsidRDefault="00E00E0F" w:rsidP="00E00E0F">
      <w:pPr>
        <w:spacing w:after="160" w:line="240" w:lineRule="auto"/>
        <w:jc w:val="left"/>
      </w:pPr>
    </w:p>
    <w:p w:rsidR="00E00E0F" w:rsidRDefault="00E00E0F" w:rsidP="00E00E0F">
      <w:pPr>
        <w:spacing w:after="160" w:line="240" w:lineRule="auto"/>
        <w:jc w:val="left"/>
      </w:pPr>
    </w:p>
    <w:sectPr w:rsidR="00E00E0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6F07" w:rsidRDefault="00116F07" w:rsidP="00012A52">
      <w:pPr>
        <w:spacing w:line="240" w:lineRule="auto"/>
      </w:pPr>
      <w:r>
        <w:separator/>
      </w:r>
    </w:p>
  </w:endnote>
  <w:endnote w:type="continuationSeparator" w:id="0">
    <w:p w:rsidR="00116F07" w:rsidRDefault="00116F07" w:rsidP="00012A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altName w:val="Courier New"/>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uerpo en alfa">
    <w:panose1 w:val="020206030504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6378286"/>
      <w:docPartObj>
        <w:docPartGallery w:val="Page Numbers (Bottom of Page)"/>
        <w:docPartUnique/>
      </w:docPartObj>
    </w:sdtPr>
    <w:sdtEndPr/>
    <w:sdtContent>
      <w:p w:rsidR="00F34CBA" w:rsidRDefault="00F34CBA">
        <w:pPr>
          <w:pStyle w:val="Piedepgina"/>
          <w:jc w:val="center"/>
        </w:pPr>
        <w:r>
          <w:fldChar w:fldCharType="begin"/>
        </w:r>
        <w:r>
          <w:instrText>PAGE   \* MERGEFORMAT</w:instrText>
        </w:r>
        <w:r>
          <w:fldChar w:fldCharType="separate"/>
        </w:r>
        <w:r>
          <w:rPr>
            <w:lang w:val="es-ES"/>
          </w:rPr>
          <w:t>2</w:t>
        </w:r>
        <w:r>
          <w:fldChar w:fldCharType="end"/>
        </w:r>
      </w:p>
    </w:sdtContent>
  </w:sdt>
  <w:p w:rsidR="00F34CBA" w:rsidRDefault="00F34C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6F07" w:rsidRDefault="00116F07" w:rsidP="00012A52">
      <w:pPr>
        <w:spacing w:line="240" w:lineRule="auto"/>
      </w:pPr>
      <w:r>
        <w:separator/>
      </w:r>
    </w:p>
  </w:footnote>
  <w:footnote w:type="continuationSeparator" w:id="0">
    <w:p w:rsidR="00116F07" w:rsidRDefault="00116F07" w:rsidP="00012A52">
      <w:pPr>
        <w:spacing w:line="240" w:lineRule="auto"/>
      </w:pPr>
      <w:r>
        <w:continuationSeparator/>
      </w:r>
    </w:p>
  </w:footnote>
  <w:footnote w:id="1">
    <w:p w:rsidR="00F34CBA" w:rsidRPr="001C40E7" w:rsidRDefault="00F34CBA" w:rsidP="00012A52">
      <w:pPr>
        <w:pStyle w:val="Textonotapie"/>
        <w:rPr>
          <w:rFonts w:asciiTheme="minorHAnsi" w:hAnsiTheme="minorHAnsi"/>
          <w:color w:val="000000" w:themeColor="text1"/>
        </w:rPr>
      </w:pPr>
      <w:r w:rsidRPr="0027484D">
        <w:rPr>
          <w:rStyle w:val="Refdenotaalpie"/>
          <w:rFonts w:asciiTheme="minorHAnsi" w:hAnsiTheme="minorHAnsi"/>
          <w:color w:val="000000" w:themeColor="text1"/>
        </w:rPr>
        <w:footnoteRef/>
      </w:r>
      <w:r w:rsidRPr="0027484D">
        <w:rPr>
          <w:rFonts w:asciiTheme="minorHAnsi" w:hAnsiTheme="minorHAnsi"/>
          <w:color w:val="000000" w:themeColor="text1"/>
        </w:rPr>
        <w:t xml:space="preserve"> Aprobado por el Consejo del INDH el </w:t>
      </w:r>
      <w:r w:rsidR="0027484D" w:rsidRPr="0027484D">
        <w:rPr>
          <w:rFonts w:asciiTheme="minorHAnsi" w:hAnsiTheme="minorHAnsi"/>
          <w:color w:val="000000" w:themeColor="text1"/>
        </w:rPr>
        <w:t>16 de marzo de 2020</w:t>
      </w:r>
      <w:r w:rsidRPr="0027484D">
        <w:rPr>
          <w:rFonts w:asciiTheme="minorHAnsi" w:hAnsiTheme="minorHAnsi"/>
          <w:color w:val="000000" w:themeColor="text1"/>
        </w:rPr>
        <w:t xml:space="preserve">, en la sesión ordinaria N° </w:t>
      </w:r>
      <w:r w:rsidR="0027484D" w:rsidRPr="0027484D">
        <w:rPr>
          <w:rFonts w:asciiTheme="minorHAnsi" w:hAnsiTheme="minorHAnsi"/>
          <w:color w:val="000000" w:themeColor="text1"/>
        </w:rPr>
        <w:t>535</w:t>
      </w:r>
      <w:r w:rsidRPr="0027484D">
        <w:rPr>
          <w:rFonts w:asciiTheme="minorHAnsi" w:hAnsiTheme="minorHAnsi"/>
          <w:color w:val="000000" w:themeColor="text1"/>
        </w:rPr>
        <w:t>.</w:t>
      </w:r>
    </w:p>
  </w:footnote>
  <w:footnote w:id="2">
    <w:p w:rsidR="00F34CBA" w:rsidRPr="001C40E7" w:rsidRDefault="00F34CBA" w:rsidP="00A51850">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sidRPr="001C40E7">
        <w:rPr>
          <w:rFonts w:asciiTheme="minorHAnsi" w:hAnsiTheme="minorHAnsi"/>
          <w:color w:val="000000" w:themeColor="text1"/>
        </w:rPr>
        <w:t>El artículo 3°, numeral 8 de la Ley N° 20.405, establece que le corresponderá al Instituto “Cooperar con las Naciones Unidas, las instituciones regionales y las instituciones de otros países que sean competentes, en la promoción y protección de los derechos humanos, informando de ello al Ministerio de Relaciones Exteriores."</w:t>
      </w:r>
    </w:p>
  </w:footnote>
  <w:footnote w:id="3">
    <w:p w:rsidR="00F34CBA" w:rsidRPr="007A441E" w:rsidRDefault="00F34CBA" w:rsidP="004E289C">
      <w:pPr>
        <w:pStyle w:val="Textonotapie"/>
        <w:rPr>
          <w:lang w:val="es-ES"/>
        </w:rPr>
      </w:pPr>
      <w:r>
        <w:rPr>
          <w:rStyle w:val="Refdenotaalpie"/>
        </w:rPr>
        <w:footnoteRef/>
      </w:r>
      <w:r>
        <w:t xml:space="preserve"> </w:t>
      </w:r>
      <w:r>
        <w:t>I</w:t>
      </w:r>
      <w:r w:rsidRPr="007A441E">
        <w:t xml:space="preserve">NDH (2018). Informe sobre Proyecto de Ley de Migraciones y Extranjería (Boletín 8970-06). Disponible en: </w:t>
      </w:r>
      <w:hyperlink r:id="rId1" w:history="1">
        <w:r w:rsidRPr="004224DB">
          <w:rPr>
            <w:rStyle w:val="Hipervnculo"/>
          </w:rPr>
          <w:t>https://bibliotecadigital.indh.cl/handle/123456789/1138</w:t>
        </w:r>
      </w:hyperlink>
      <w:r>
        <w:t xml:space="preserve"> </w:t>
      </w:r>
    </w:p>
  </w:footnote>
  <w:footnote w:id="4">
    <w:p w:rsidR="00F34CBA" w:rsidRPr="00140F78" w:rsidRDefault="00F34CBA" w:rsidP="004E289C">
      <w:pPr>
        <w:pStyle w:val="Textonotapie"/>
        <w:rPr>
          <w:rFonts w:asciiTheme="minorHAnsi" w:hAnsiTheme="minorHAnsi"/>
          <w:color w:val="000000" w:themeColor="text1"/>
        </w:rPr>
      </w:pPr>
      <w:r>
        <w:rPr>
          <w:rStyle w:val="Refdenotaalpie"/>
        </w:rPr>
        <w:footnoteRef/>
      </w:r>
      <w:r>
        <w:t xml:space="preserve"> </w:t>
      </w:r>
      <w:r w:rsidRPr="001C40E7">
        <w:rPr>
          <w:rFonts w:asciiTheme="minorHAnsi" w:hAnsiTheme="minorHAnsi"/>
          <w:color w:val="000000" w:themeColor="text1"/>
        </w:rPr>
        <w:t xml:space="preserve">INDH (2018). Informe Anual Situación de los Derechos Humanos en Chile. </w:t>
      </w:r>
      <w:r w:rsidRPr="00140F78">
        <w:rPr>
          <w:rFonts w:asciiTheme="minorHAnsi" w:hAnsiTheme="minorHAnsi"/>
          <w:color w:val="000000" w:themeColor="text1"/>
        </w:rPr>
        <w:t>Derechos de las</w:t>
      </w:r>
      <w:r>
        <w:rPr>
          <w:rFonts w:asciiTheme="minorHAnsi" w:hAnsiTheme="minorHAnsi"/>
          <w:color w:val="000000" w:themeColor="text1"/>
        </w:rPr>
        <w:t xml:space="preserve"> </w:t>
      </w:r>
      <w:r w:rsidRPr="00140F78">
        <w:rPr>
          <w:rFonts w:asciiTheme="minorHAnsi" w:hAnsiTheme="minorHAnsi"/>
          <w:color w:val="000000" w:themeColor="text1"/>
        </w:rPr>
        <w:t>personas migrantes</w:t>
      </w:r>
      <w:r>
        <w:rPr>
          <w:rFonts w:asciiTheme="minorHAnsi" w:hAnsiTheme="minorHAnsi"/>
          <w:color w:val="000000" w:themeColor="text1"/>
        </w:rPr>
        <w:t xml:space="preserve"> </w:t>
      </w:r>
      <w:r w:rsidRPr="00140F78">
        <w:rPr>
          <w:rFonts w:asciiTheme="minorHAnsi" w:hAnsiTheme="minorHAnsi"/>
          <w:color w:val="000000" w:themeColor="text1"/>
        </w:rPr>
        <w:t>y la nueva política</w:t>
      </w:r>
      <w:r>
        <w:rPr>
          <w:rFonts w:asciiTheme="minorHAnsi" w:hAnsiTheme="minorHAnsi"/>
          <w:color w:val="000000" w:themeColor="text1"/>
        </w:rPr>
        <w:t xml:space="preserve"> </w:t>
      </w:r>
      <w:r w:rsidRPr="00140F78">
        <w:rPr>
          <w:rFonts w:asciiTheme="minorHAnsi" w:hAnsiTheme="minorHAnsi"/>
          <w:color w:val="000000" w:themeColor="text1"/>
        </w:rPr>
        <w:t>migratoria</w:t>
      </w:r>
      <w:r w:rsidRPr="001C40E7">
        <w:rPr>
          <w:rFonts w:asciiTheme="minorHAnsi" w:hAnsiTheme="minorHAnsi"/>
          <w:color w:val="000000" w:themeColor="text1"/>
        </w:rPr>
        <w:t xml:space="preserve">. pp. </w:t>
      </w:r>
      <w:r>
        <w:rPr>
          <w:rFonts w:asciiTheme="minorHAnsi" w:hAnsiTheme="minorHAnsi"/>
          <w:color w:val="000000" w:themeColor="text1"/>
        </w:rPr>
        <w:t>75-79</w:t>
      </w:r>
      <w:r w:rsidRPr="001C40E7">
        <w:rPr>
          <w:rFonts w:asciiTheme="minorHAnsi" w:hAnsiTheme="minorHAnsi"/>
          <w:color w:val="000000" w:themeColor="text1"/>
        </w:rPr>
        <w:t>.</w:t>
      </w:r>
      <w:r>
        <w:t xml:space="preserve"> </w:t>
      </w:r>
    </w:p>
  </w:footnote>
  <w:footnote w:id="5">
    <w:p w:rsidR="00F34CBA" w:rsidRDefault="00F34CBA" w:rsidP="00CF39AE">
      <w:pPr>
        <w:pStyle w:val="Textonotapie"/>
      </w:pPr>
      <w:r w:rsidRPr="000F320A">
        <w:rPr>
          <w:rStyle w:val="Refdenotaalpie"/>
        </w:rPr>
        <w:footnoteRef/>
      </w:r>
      <w:r w:rsidRPr="000F320A">
        <w:t xml:space="preserve"> </w:t>
      </w:r>
      <w:r w:rsidRPr="000F320A">
        <w:t xml:space="preserve">Instituto Nacional de Estadísticas (2018). Síntesis resultados Censo 2017. Disponible en: </w:t>
      </w:r>
      <w:hyperlink r:id="rId2" w:history="1">
        <w:r w:rsidRPr="000F320A">
          <w:rPr>
            <w:rStyle w:val="Hipervnculo"/>
          </w:rPr>
          <w:t>http://www.censo2017.cl/descargas/home/sintesis-de-resultados-censo2017.pdf</w:t>
        </w:r>
      </w:hyperlink>
      <w:r>
        <w:t xml:space="preserve"> </w:t>
      </w:r>
    </w:p>
  </w:footnote>
  <w:footnote w:id="6">
    <w:p w:rsidR="00F34CBA" w:rsidRPr="001C40E7" w:rsidRDefault="00F34CBA" w:rsidP="00CF39AE">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sidRPr="001C40E7">
        <w:rPr>
          <w:rFonts w:asciiTheme="minorHAnsi" w:hAnsiTheme="minorHAnsi"/>
          <w:color w:val="000000" w:themeColor="text1"/>
        </w:rPr>
        <w:t xml:space="preserve">Ministerio de Desarrollo Social. (2017). Cuestionario Encuesta CASEN.  Disponible en: </w:t>
      </w:r>
      <w:hyperlink r:id="rId3" w:history="1">
        <w:r w:rsidRPr="001C40E7">
          <w:rPr>
            <w:rStyle w:val="Hipervnculo"/>
            <w:rFonts w:asciiTheme="minorHAnsi" w:hAnsiTheme="minorHAnsi"/>
            <w:color w:val="000000" w:themeColor="text1"/>
          </w:rPr>
          <w:t>http://observatorio.ministeriodesarrollosocial.gob.cl/casenmultidimensional/casen/docs/Cuestionario_Casen2017.pdf</w:t>
        </w:r>
      </w:hyperlink>
    </w:p>
  </w:footnote>
  <w:footnote w:id="7">
    <w:p w:rsidR="00F34CBA" w:rsidRDefault="00F34CBA" w:rsidP="00CF39AE">
      <w:pPr>
        <w:pStyle w:val="Textonotapie"/>
      </w:pPr>
      <w:r>
        <w:rPr>
          <w:rStyle w:val="Refdenotaalpie"/>
        </w:rPr>
        <w:footnoteRef/>
      </w:r>
      <w:r>
        <w:t xml:space="preserve"> INDH (2017). Informe Anual sobre la situación de los derechos humanos en Chile, p. 22. </w:t>
      </w:r>
    </w:p>
  </w:footnote>
  <w:footnote w:id="8">
    <w:p w:rsidR="00F34CBA" w:rsidRDefault="00F34CBA" w:rsidP="009C527A">
      <w:pPr>
        <w:pStyle w:val="Textonotapie"/>
      </w:pPr>
      <w:r>
        <w:rPr>
          <w:rStyle w:val="Refdenotaalpie"/>
        </w:rPr>
        <w:footnoteRef/>
      </w:r>
      <w:r>
        <w:t xml:space="preserve"> </w:t>
      </w:r>
      <w:r w:rsidR="00412613">
        <w:t>Ibid</w:t>
      </w:r>
      <w:r>
        <w:t>, p. 25.</w:t>
      </w:r>
    </w:p>
  </w:footnote>
  <w:footnote w:id="9">
    <w:p w:rsidR="00F34CBA" w:rsidRDefault="00F34CBA">
      <w:pPr>
        <w:pStyle w:val="Textonotapie"/>
      </w:pPr>
      <w:r>
        <w:rPr>
          <w:rStyle w:val="Refdenotaalpie"/>
        </w:rPr>
        <w:footnoteRef/>
      </w:r>
      <w:r>
        <w:t xml:space="preserve"> </w:t>
      </w:r>
      <w:r w:rsidR="00412613">
        <w:t xml:space="preserve">Ibid, </w:t>
      </w:r>
      <w:r w:rsidR="00D62FFC">
        <w:t>p</w:t>
      </w:r>
      <w:r>
        <w:t>. 28.</w:t>
      </w:r>
    </w:p>
  </w:footnote>
  <w:footnote w:id="10">
    <w:p w:rsidR="00F34CBA" w:rsidRDefault="00F34CBA">
      <w:pPr>
        <w:pStyle w:val="Textonotapie"/>
      </w:pPr>
      <w:r>
        <w:rPr>
          <w:rStyle w:val="Refdenotaalpie"/>
        </w:rPr>
        <w:footnoteRef/>
      </w:r>
      <w:r>
        <w:t xml:space="preserve"> </w:t>
      </w:r>
      <w:r w:rsidR="00D62FFC">
        <w:t xml:space="preserve">Ídem. </w:t>
      </w:r>
    </w:p>
  </w:footnote>
  <w:footnote w:id="11">
    <w:p w:rsidR="00F34CBA" w:rsidRPr="001C40E7" w:rsidRDefault="00F34CBA" w:rsidP="003748C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bookmarkStart w:id="2" w:name="_Hlk34391057"/>
      <w:r w:rsidRPr="001C40E7">
        <w:rPr>
          <w:rFonts w:asciiTheme="minorHAnsi" w:hAnsiTheme="minorHAnsi"/>
          <w:color w:val="000000" w:themeColor="text1"/>
        </w:rPr>
        <w:t>Ministerio de Desarrollo Social (2018). Inmigrantes, Síntesis de resultados CASEN 2017.</w:t>
      </w:r>
      <w:bookmarkEnd w:id="2"/>
    </w:p>
  </w:footnote>
  <w:footnote w:id="12">
    <w:p w:rsidR="00F34CBA" w:rsidRPr="001C40E7" w:rsidRDefault="00F34CBA" w:rsidP="00AB0AF9">
      <w:pPr>
        <w:pStyle w:val="Textonotapie"/>
        <w:rPr>
          <w:rFonts w:asciiTheme="minorHAnsi" w:hAnsiTheme="minorHAnsi" w:cstheme="minorBid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sidRPr="001C40E7">
        <w:rPr>
          <w:rFonts w:asciiTheme="minorHAnsi" w:hAnsiTheme="minorHAnsi"/>
          <w:color w:val="000000" w:themeColor="text1"/>
        </w:rPr>
        <w:t>INDH (2018). Informe sobre Proyecto de Ley de Migraciones y Extranjería (Boletín 8970-06).</w:t>
      </w:r>
      <w:r>
        <w:rPr>
          <w:rFonts w:asciiTheme="minorHAnsi" w:hAnsiTheme="minorHAnsi"/>
          <w:color w:val="000000" w:themeColor="text1"/>
        </w:rPr>
        <w:t xml:space="preserve"> Disponible en: </w:t>
      </w:r>
      <w:hyperlink r:id="rId4" w:history="1">
        <w:r w:rsidRPr="005D45CD">
          <w:rPr>
            <w:rStyle w:val="Hipervnculo"/>
            <w:rFonts w:asciiTheme="minorHAnsi" w:hAnsiTheme="minorHAnsi"/>
          </w:rPr>
          <w:t>https://bibliotecadigital.indh.cl/handle/123456789/1138</w:t>
        </w:r>
      </w:hyperlink>
    </w:p>
  </w:footnote>
  <w:footnote w:id="13">
    <w:p w:rsidR="00F34CBA" w:rsidRDefault="00F34CBA" w:rsidP="00C145C8">
      <w:pPr>
        <w:pStyle w:val="Textonotapie"/>
      </w:pPr>
      <w:r>
        <w:rPr>
          <w:rStyle w:val="Refdenotaalpie"/>
        </w:rPr>
        <w:footnoteRef/>
      </w:r>
      <w:r>
        <w:t xml:space="preserve"> </w:t>
      </w:r>
      <w:r>
        <w:t xml:space="preserve">INDH (2012). Informe Anual sobre la situación de los derechos humanos en Chile, p. 109 y ss. INDH (2018). Principales informes del INDH al Parlamento, p. 42. </w:t>
      </w:r>
    </w:p>
  </w:footnote>
  <w:footnote w:id="14">
    <w:p w:rsidR="00F34CBA" w:rsidRDefault="00F34CBA" w:rsidP="00CF39AE">
      <w:pPr>
        <w:pStyle w:val="Textonotapie"/>
      </w:pPr>
      <w:r>
        <w:rPr>
          <w:rStyle w:val="Refdenotaalpie"/>
        </w:rPr>
        <w:footnoteRef/>
      </w:r>
      <w:r>
        <w:t xml:space="preserve"> </w:t>
      </w:r>
      <w:r>
        <w:t xml:space="preserve">Proyecto de ley que modifica el Código Penal para incorporar el delito de incitación al odio o a la violencia contra personas que indica (boletín 11331-07); presentado el 19 de julio de 2017; último avance: 20 de julio de 2017. Proyecto de ley que tipifica la incitación a la violencia (boletín 11424-17); presentado el 6 de septiembre de 2017; último avance: 9 de enero de 2020. </w:t>
      </w:r>
    </w:p>
  </w:footnote>
  <w:footnote w:id="15">
    <w:p w:rsidR="00362516" w:rsidRDefault="00362516">
      <w:pPr>
        <w:pStyle w:val="Textonotapie"/>
      </w:pPr>
      <w:r>
        <w:rPr>
          <w:rStyle w:val="Refdenotaalpie"/>
        </w:rPr>
        <w:footnoteRef/>
      </w:r>
      <w:r>
        <w:t xml:space="preserve"> </w:t>
      </w:r>
      <w:r w:rsidRPr="001C40E7">
        <w:rPr>
          <w:rFonts w:asciiTheme="minorHAnsi" w:hAnsiTheme="minorHAnsi"/>
          <w:color w:val="000000" w:themeColor="text1"/>
        </w:rPr>
        <w:t>INDH. (201</w:t>
      </w:r>
      <w:r>
        <w:rPr>
          <w:rFonts w:asciiTheme="minorHAnsi" w:hAnsiTheme="minorHAnsi"/>
          <w:color w:val="000000" w:themeColor="text1"/>
        </w:rPr>
        <w:t>9</w:t>
      </w:r>
      <w:r w:rsidRPr="001C40E7">
        <w:rPr>
          <w:rFonts w:asciiTheme="minorHAnsi" w:hAnsiTheme="minorHAnsi"/>
          <w:color w:val="000000" w:themeColor="text1"/>
        </w:rPr>
        <w:t>). Informe Programa Derechos Humanos, Función Policial y Orden Público 201</w:t>
      </w:r>
      <w:r>
        <w:rPr>
          <w:rFonts w:asciiTheme="minorHAnsi" w:hAnsiTheme="minorHAnsi"/>
          <w:color w:val="000000" w:themeColor="text1"/>
        </w:rPr>
        <w:t>8</w:t>
      </w:r>
      <w:r w:rsidRPr="001C40E7">
        <w:rPr>
          <w:rFonts w:asciiTheme="minorHAnsi" w:hAnsiTheme="minorHAnsi"/>
          <w:color w:val="000000" w:themeColor="text1"/>
        </w:rPr>
        <w:t>. p. 1</w:t>
      </w:r>
      <w:r>
        <w:rPr>
          <w:rFonts w:asciiTheme="minorHAnsi" w:hAnsiTheme="minorHAnsi"/>
          <w:color w:val="000000" w:themeColor="text1"/>
        </w:rPr>
        <w:t>99-261.</w:t>
      </w:r>
    </w:p>
  </w:footnote>
  <w:footnote w:id="16">
    <w:p w:rsidR="00F34CBA" w:rsidRPr="001C40E7" w:rsidRDefault="00F34CBA" w:rsidP="00AB0AF9">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Decreto número 237, de fecha 20 de junio del 2019, del Ministerio del Interior y Seguridad Pública, que Establece Visto Consular de Turismo a nacionales de la República Bolivariana de Venezuela, </w:t>
      </w:r>
      <w:r w:rsidRPr="001C40E7">
        <w:rPr>
          <w:rFonts w:asciiTheme="minorHAnsi" w:hAnsiTheme="minorHAnsi"/>
          <w:color w:val="000000" w:themeColor="text1"/>
        </w:rPr>
        <w:t>y Oficio circular Nº 96, de fecha 9 de abril del 2018 del Subsecretario de Relaciones Exteriores que instruye el otorgamiento a nacionales de la República Bolivariana de Venezuela de un Visado de Responsabilidad Democrática.</w:t>
      </w:r>
    </w:p>
  </w:footnote>
  <w:footnote w:id="17">
    <w:p w:rsidR="00F34CBA" w:rsidRDefault="00F34CBA" w:rsidP="00AB0AF9">
      <w:pPr>
        <w:pStyle w:val="Textonotapie"/>
      </w:pPr>
      <w:r>
        <w:rPr>
          <w:rStyle w:val="Refdenotaalpie"/>
        </w:rPr>
        <w:footnoteRef/>
      </w:r>
      <w:r>
        <w:t xml:space="preserve"> </w:t>
      </w:r>
      <w:r>
        <w:t xml:space="preserve">El asunto fue tratado por el Consejo del INDH en la sesión ordinaria N°491, de fecha 8 de julio de 2019, disponible en: </w:t>
      </w:r>
      <w:hyperlink r:id="rId5" w:history="1">
        <w:r w:rsidRPr="00ED55D3">
          <w:rPr>
            <w:rStyle w:val="Hipervnculo"/>
          </w:rPr>
          <w:t>https://bit.ly/2q2kM93</w:t>
        </w:r>
      </w:hyperlink>
      <w:r>
        <w:t xml:space="preserve">. </w:t>
      </w:r>
    </w:p>
  </w:footnote>
  <w:footnote w:id="18">
    <w:p w:rsidR="00F34CBA" w:rsidRPr="006A1AC3" w:rsidRDefault="00F34CBA" w:rsidP="00AB0AF9">
      <w:pPr>
        <w:pStyle w:val="Textonotapie"/>
      </w:pPr>
      <w:r>
        <w:rPr>
          <w:rStyle w:val="Refdenotaalpie"/>
        </w:rPr>
        <w:footnoteRef/>
      </w:r>
      <w:r w:rsidRPr="006A1AC3">
        <w:t xml:space="preserve"> </w:t>
      </w:r>
      <w:r w:rsidRPr="006A1AC3">
        <w:t>INDH, “Declaración Consejo ante Situación de Venezolanos/as en las Fronteras</w:t>
      </w:r>
      <w:r>
        <w:t>”, 1 de julio de 2019. Disponible en:</w:t>
      </w:r>
      <w:r w:rsidRPr="006A1AC3">
        <w:t xml:space="preserve"> </w:t>
      </w:r>
      <w:hyperlink r:id="rId6" w:history="1">
        <w:r w:rsidRPr="006A1AC3">
          <w:rPr>
            <w:rStyle w:val="Hipervnculo"/>
          </w:rPr>
          <w:t>https://www.indh.cl/declaracion-consejo-indh/</w:t>
        </w:r>
      </w:hyperlink>
    </w:p>
  </w:footnote>
  <w:footnote w:id="19">
    <w:p w:rsidR="00F34CBA" w:rsidRPr="001C40E7" w:rsidRDefault="00F34CBA" w:rsidP="00AB0AF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Pr>
          <w:rFonts w:asciiTheme="minorHAnsi" w:hAnsiTheme="minorHAnsi"/>
          <w:color w:val="000000" w:themeColor="text1"/>
        </w:rPr>
        <w:t>INDH, “</w:t>
      </w:r>
      <w:r w:rsidRPr="00DA6524">
        <w:rPr>
          <w:rFonts w:asciiTheme="minorHAnsi" w:hAnsiTheme="minorHAnsi"/>
          <w:color w:val="000000" w:themeColor="text1"/>
        </w:rPr>
        <w:t>Gestiones del INDH logran rencuentro entre niños venezolanos y su madre</w:t>
      </w:r>
      <w:r>
        <w:rPr>
          <w:rFonts w:asciiTheme="minorHAnsi" w:hAnsiTheme="minorHAnsi"/>
          <w:color w:val="000000" w:themeColor="text1"/>
        </w:rPr>
        <w:t xml:space="preserve">”, 11 de octubre de 2019. Disponible en: </w:t>
      </w:r>
      <w:hyperlink r:id="rId7" w:history="1">
        <w:r w:rsidRPr="005D45CD">
          <w:rPr>
            <w:rStyle w:val="Hipervnculo"/>
            <w:rFonts w:asciiTheme="minorHAnsi" w:hAnsiTheme="minorHAnsi"/>
          </w:rPr>
          <w:t>https://www.indh.cl/gestiones-del-indh-logran-rencuentro-entre-ninos-venezolanos-y-su-madre/</w:t>
        </w:r>
      </w:hyperlink>
      <w:r>
        <w:rPr>
          <w:rFonts w:asciiTheme="minorHAnsi" w:hAnsiTheme="minorHAnsi"/>
          <w:color w:val="000000" w:themeColor="text1"/>
        </w:rPr>
        <w:t xml:space="preserve"> </w:t>
      </w:r>
    </w:p>
  </w:footnote>
  <w:footnote w:id="20">
    <w:p w:rsidR="00F34CBA" w:rsidRDefault="00F34CBA" w:rsidP="00AB0AF9">
      <w:pPr>
        <w:pStyle w:val="Textonotapie"/>
      </w:pPr>
      <w:r>
        <w:rPr>
          <w:rStyle w:val="Refdenotaalpie"/>
        </w:rPr>
        <w:footnoteRef/>
      </w:r>
      <w:r>
        <w:t xml:space="preserve"> </w:t>
      </w:r>
      <w:r w:rsidRPr="00F073E5">
        <w:t>Con fecha 5 de julio de 2019, un vehículo institucional del INDH se trasladó al complejo fronterizo Chacalluta para fiscalizar el cumplimiento de la sentencia de la Corte de Apelaciones de Arica, que el 28 de junio, dispuso que se acogiera a tramitación la solicitud de refugio de un ciudadano venezolano. En la oportunidad, Carabineros cursó una infracción al vehículo institucional por la supuesta negativa a detenerse. Llevados los antecedentes al Juzgado de Policía Local de Arica, el tribunal no dio por acreditada la infracción, dejándola sin efecto.</w:t>
      </w:r>
    </w:p>
  </w:footnote>
  <w:footnote w:id="21">
    <w:p w:rsidR="00343539" w:rsidRDefault="00343539" w:rsidP="00343539">
      <w:pPr>
        <w:pStyle w:val="Textonotapie"/>
      </w:pPr>
      <w:r>
        <w:rPr>
          <w:rStyle w:val="Refdenotaalpie"/>
        </w:rPr>
        <w:footnoteRef/>
      </w:r>
      <w:r>
        <w:t xml:space="preserve"> </w:t>
      </w:r>
      <w:r>
        <w:t>INDH (2019). Informe Complementario sobre la aplicación de la Convención Internacional sobre la Eliminación de todas las Formas de Discriminación Racial (CERD), informes periódicos 22º y 23º combinados, párr. 40.</w:t>
      </w:r>
    </w:p>
  </w:footnote>
  <w:footnote w:id="22">
    <w:p w:rsidR="00090CC5" w:rsidRDefault="00090CC5">
      <w:pPr>
        <w:pStyle w:val="Textonotapie"/>
      </w:pPr>
      <w:r>
        <w:rPr>
          <w:rStyle w:val="Refdenotaalpie"/>
        </w:rPr>
        <w:footnoteRef/>
      </w:r>
      <w:r>
        <w:t xml:space="preserve"> </w:t>
      </w:r>
      <w:bookmarkStart w:id="4" w:name="_Hlk34390940"/>
      <w:r w:rsidRPr="00090CC5">
        <w:t xml:space="preserve">Información otorgada por la Policía de Investigaciones </w:t>
      </w:r>
      <w:bookmarkEnd w:id="4"/>
      <w:r w:rsidRPr="00090CC5">
        <w:t xml:space="preserve">a la solicitud realizada por la Ley N°20.285 </w:t>
      </w:r>
      <w:r>
        <w:t>sobre acceso a la información pública</w:t>
      </w:r>
      <w:r w:rsidRPr="00090CC5">
        <w:t xml:space="preserve"> por el Servicio Jesuita a Migrantes.</w:t>
      </w:r>
    </w:p>
  </w:footnote>
  <w:footnote w:id="23">
    <w:p w:rsidR="00343539" w:rsidRDefault="00343539">
      <w:pPr>
        <w:pStyle w:val="Textonotapie"/>
      </w:pPr>
      <w:r>
        <w:rPr>
          <w:rStyle w:val="Refdenotaalpie"/>
        </w:rPr>
        <w:footnoteRef/>
      </w:r>
      <w:r>
        <w:t xml:space="preserve"> INDH (2019). Informe Complementario sobre la aplicación de la Convención Internacional sobre la Eliminación de todas las Formas de Discriminación Racial (CERD), informes periódicos 22º y 23º combinados, párr. 44.</w:t>
      </w:r>
    </w:p>
  </w:footnote>
  <w:footnote w:id="24">
    <w:p w:rsidR="00343539" w:rsidRDefault="00343539">
      <w:pPr>
        <w:pStyle w:val="Textonotapie"/>
      </w:pPr>
      <w:r>
        <w:rPr>
          <w:rStyle w:val="Refdenotaalpie"/>
        </w:rPr>
        <w:footnoteRef/>
      </w:r>
      <w:r>
        <w:t xml:space="preserve"> </w:t>
      </w:r>
      <w:r w:rsidRPr="00090CC5">
        <w:t xml:space="preserve">Información otorgada por la Policía de Investigaciones a la solicitud </w:t>
      </w:r>
      <w:r>
        <w:t xml:space="preserve">AD 010T0008999 </w:t>
      </w:r>
      <w:r w:rsidRPr="00090CC5">
        <w:t xml:space="preserve">realizada por la Ley N°20.285 </w:t>
      </w:r>
      <w:r>
        <w:t>sobre acceso a la información pública</w:t>
      </w:r>
      <w:r w:rsidRPr="00090CC5">
        <w:t xml:space="preserve"> por el Servicio Jesuita a Migrantes.</w:t>
      </w:r>
    </w:p>
  </w:footnote>
  <w:footnote w:id="25">
    <w:p w:rsidR="000F3281" w:rsidRDefault="000F3281">
      <w:pPr>
        <w:pStyle w:val="Textonotapie"/>
      </w:pPr>
      <w:r>
        <w:rPr>
          <w:rStyle w:val="Refdenotaalpie"/>
        </w:rPr>
        <w:footnoteRef/>
      </w:r>
      <w:r>
        <w:t xml:space="preserve"> </w:t>
      </w:r>
      <w:r w:rsidRPr="000F3281">
        <w:t>Información otorgada por la Subsecretaría del Interior a la solicitud realizada por la Ley N°20.285 sobre acceso a la información pública por el Servicio Jesuita a Migrantes</w:t>
      </w:r>
    </w:p>
  </w:footnote>
  <w:footnote w:id="26">
    <w:p w:rsidR="00F34CBA" w:rsidRDefault="00F34CBA">
      <w:pPr>
        <w:pStyle w:val="Textonotapie"/>
      </w:pPr>
      <w:r>
        <w:rPr>
          <w:rStyle w:val="Refdenotaalpie"/>
        </w:rPr>
        <w:footnoteRef/>
      </w:r>
      <w:r>
        <w:t xml:space="preserve"> Causa </w:t>
      </w:r>
      <w:r w:rsidRPr="00BE2E84">
        <w:t>RUC N°1900789663-0.</w:t>
      </w:r>
    </w:p>
  </w:footnote>
  <w:footnote w:id="27">
    <w:p w:rsidR="00E60E87" w:rsidRDefault="00E60E87">
      <w:pPr>
        <w:pStyle w:val="Textonotapie"/>
      </w:pPr>
      <w:r>
        <w:rPr>
          <w:rStyle w:val="Refdenotaalpie"/>
        </w:rPr>
        <w:footnoteRef/>
      </w:r>
      <w:r>
        <w:t xml:space="preserve"> Información reportada por la Unidad Jurídica Judicial del INDH.</w:t>
      </w:r>
    </w:p>
  </w:footnote>
  <w:footnote w:id="28">
    <w:p w:rsidR="00033328" w:rsidRPr="00D005D1" w:rsidRDefault="00033328" w:rsidP="00033328">
      <w:pPr>
        <w:pStyle w:val="Textonotapie"/>
      </w:pPr>
      <w:r w:rsidRPr="00D005D1">
        <w:rPr>
          <w:rStyle w:val="Refdenotaalpie"/>
        </w:rPr>
        <w:footnoteRef/>
      </w:r>
      <w:r w:rsidRPr="00D005D1">
        <w:t xml:space="preserve"> INE. INE publica resultados de la Encuesta Nacional de Empleo del trimestre noviembre 2019-enero 2020. Disponible en: </w:t>
      </w:r>
      <w:hyperlink r:id="rId8" w:history="1">
        <w:r w:rsidRPr="00D005D1">
          <w:rPr>
            <w:color w:val="0000FF"/>
            <w:u w:val="single"/>
          </w:rPr>
          <w:t>https://www.ine.cl/estadisticas/sociales/mercado-laboral/ocupacion-y-desocupacion/2020/02/28/ine-publica-resultados-de-la-encuesta-nacional-de-empleo-del-trimestre-noviembre-2019-enero-2020</w:t>
        </w:r>
      </w:hyperlink>
      <w:r>
        <w:t xml:space="preserve"> </w:t>
      </w:r>
    </w:p>
  </w:footnote>
  <w:footnote w:id="29">
    <w:p w:rsidR="00033328" w:rsidRPr="001C40E7" w:rsidRDefault="00033328" w:rsidP="00033328">
      <w:pPr>
        <w:pStyle w:val="Textonotapie"/>
        <w:rPr>
          <w:color w:val="000000" w:themeColor="text1"/>
        </w:rPr>
      </w:pPr>
      <w:r w:rsidRPr="001C40E7">
        <w:rPr>
          <w:rStyle w:val="Refdenotaalpie"/>
          <w:color w:val="000000" w:themeColor="text1"/>
        </w:rPr>
        <w:footnoteRef/>
      </w:r>
      <w:r w:rsidRPr="001C40E7">
        <w:rPr>
          <w:color w:val="000000" w:themeColor="text1"/>
        </w:rPr>
        <w:t xml:space="preserve"> INDH. (2013) Informe Complementario Comité para la Eliminación de la Discriminación Racial, párr. 90.</w:t>
      </w:r>
    </w:p>
  </w:footnote>
  <w:footnote w:id="30">
    <w:p w:rsidR="00033328" w:rsidRPr="004D7D56" w:rsidRDefault="00033328" w:rsidP="00033328">
      <w:pPr>
        <w:pStyle w:val="Encabezado"/>
        <w:rPr>
          <w:rFonts w:asciiTheme="minorHAnsi" w:hAnsiTheme="minorHAnsi" w:cstheme="minorHAnsi"/>
          <w:sz w:val="20"/>
        </w:rPr>
      </w:pPr>
      <w:r w:rsidRPr="004D7D56">
        <w:rPr>
          <w:rStyle w:val="Refdenotaalpie"/>
          <w:rFonts w:asciiTheme="minorHAnsi" w:hAnsiTheme="minorHAnsi" w:cstheme="minorHAnsi"/>
          <w:sz w:val="20"/>
        </w:rPr>
        <w:footnoteRef/>
      </w:r>
      <w:r w:rsidRPr="004D7D56">
        <w:rPr>
          <w:rFonts w:asciiTheme="minorHAnsi" w:hAnsiTheme="minorHAnsi" w:cstheme="minorHAnsi"/>
          <w:sz w:val="20"/>
        </w:rPr>
        <w:t xml:space="preserve"> Art. 19. El ochenta y cinco por ciento, a lo menos, de los trabajadores que sirvan a un mismo empleador será de nacionalidad chilena. Se exceptúa de esta disposición el empleador que no ocupa más de veinticinco trabajadores.</w:t>
      </w:r>
    </w:p>
  </w:footnote>
  <w:footnote w:id="31">
    <w:p w:rsidR="00033328" w:rsidRPr="004D7D56" w:rsidRDefault="00033328" w:rsidP="00033328">
      <w:pPr>
        <w:pStyle w:val="Encabezado"/>
        <w:rPr>
          <w:rFonts w:asciiTheme="minorHAnsi" w:hAnsiTheme="minorHAnsi" w:cstheme="minorHAnsi"/>
          <w:sz w:val="20"/>
        </w:rPr>
      </w:pPr>
      <w:r w:rsidRPr="004D7D56">
        <w:rPr>
          <w:rStyle w:val="Refdenotaalpie"/>
          <w:rFonts w:asciiTheme="minorHAnsi" w:hAnsiTheme="minorHAnsi" w:cstheme="minorHAnsi"/>
          <w:sz w:val="20"/>
        </w:rPr>
        <w:footnoteRef/>
      </w:r>
      <w:r w:rsidRPr="004D7D56">
        <w:rPr>
          <w:rFonts w:asciiTheme="minorHAnsi" w:hAnsiTheme="minorHAnsi" w:cstheme="minorHAnsi"/>
          <w:sz w:val="20"/>
        </w:rPr>
        <w:t xml:space="preserve">  Art. 20. Para computar la proporción a que se refiere el artículo anterior, se seguirán las reglas que a continuación se expresan: </w:t>
      </w:r>
    </w:p>
    <w:p w:rsidR="00033328" w:rsidRPr="004D7D56" w:rsidRDefault="00033328" w:rsidP="00033328">
      <w:pPr>
        <w:pStyle w:val="Encabezado"/>
        <w:rPr>
          <w:rFonts w:asciiTheme="minorHAnsi" w:hAnsiTheme="minorHAnsi" w:cstheme="minorHAnsi"/>
          <w:sz w:val="20"/>
        </w:rPr>
      </w:pPr>
      <w:r w:rsidRPr="004D7D56">
        <w:rPr>
          <w:rFonts w:asciiTheme="minorHAnsi" w:hAnsiTheme="minorHAnsi" w:cstheme="minorHAnsi"/>
          <w:sz w:val="20"/>
        </w:rPr>
        <w:t>1.-se tomará en cuenta el número total de trabajadores que un empleador ocupe dentro del territorio nacional y no el de las distintas sucursales separadamente;</w:t>
      </w:r>
    </w:p>
    <w:p w:rsidR="00033328" w:rsidRPr="004D7D56" w:rsidRDefault="00033328" w:rsidP="00033328">
      <w:pPr>
        <w:pStyle w:val="Encabezado"/>
        <w:rPr>
          <w:rFonts w:asciiTheme="minorHAnsi" w:hAnsiTheme="minorHAnsi" w:cstheme="minorHAnsi"/>
          <w:sz w:val="20"/>
        </w:rPr>
      </w:pPr>
      <w:r w:rsidRPr="004D7D56">
        <w:rPr>
          <w:rFonts w:asciiTheme="minorHAnsi" w:hAnsiTheme="minorHAnsi" w:cstheme="minorHAnsi"/>
          <w:sz w:val="20"/>
        </w:rPr>
        <w:t xml:space="preserve">2.-se excluirá al personal técnico especialista; </w:t>
      </w:r>
    </w:p>
    <w:p w:rsidR="00033328" w:rsidRPr="004D7D56" w:rsidRDefault="00033328" w:rsidP="00033328">
      <w:pPr>
        <w:pStyle w:val="Encabezado"/>
        <w:rPr>
          <w:rFonts w:asciiTheme="minorHAnsi" w:hAnsiTheme="minorHAnsi" w:cstheme="minorHAnsi"/>
          <w:sz w:val="20"/>
        </w:rPr>
      </w:pPr>
      <w:r w:rsidRPr="004D7D56">
        <w:rPr>
          <w:rFonts w:asciiTheme="minorHAnsi" w:hAnsiTheme="minorHAnsi" w:cstheme="minorHAnsi"/>
          <w:sz w:val="20"/>
        </w:rPr>
        <w:t>3.-se tendrá como chileno al extranjero cuyo cónyuge o conviviente civil o sus hijos sean chilenos o que sea viudo o viuda de cónyuge chil</w:t>
      </w:r>
      <w:r w:rsidRPr="000F3281">
        <w:rPr>
          <w:rFonts w:asciiTheme="minorHAnsi" w:hAnsiTheme="minorHAnsi" w:cstheme="minorHAnsi"/>
          <w:sz w:val="20"/>
        </w:rPr>
        <w:t xml:space="preserve">eno, </w:t>
      </w:r>
      <w:r w:rsidR="000F3281" w:rsidRPr="000F3281">
        <w:rPr>
          <w:rFonts w:asciiTheme="minorHAnsi" w:hAnsiTheme="minorHAnsi" w:cstheme="minorHAnsi"/>
          <w:sz w:val="20"/>
        </w:rPr>
        <w:t>y</w:t>
      </w:r>
    </w:p>
    <w:p w:rsidR="00033328" w:rsidRPr="004D7D56" w:rsidRDefault="00033328" w:rsidP="00033328">
      <w:pPr>
        <w:pStyle w:val="Textonotapie"/>
        <w:rPr>
          <w:rFonts w:cstheme="minorHAnsi"/>
        </w:rPr>
      </w:pPr>
      <w:r w:rsidRPr="004D7D56">
        <w:rPr>
          <w:rFonts w:cstheme="minorHAnsi"/>
        </w:rPr>
        <w:t>4.-se considerará también como chilenos a los extranjeros residentes por más de cinco años en el país, sin tomarse en cuenta las ausencias accidentale</w:t>
      </w:r>
      <w:r w:rsidRPr="000F3281">
        <w:rPr>
          <w:rFonts w:cstheme="minorHAnsi"/>
        </w:rPr>
        <w:t>s.</w:t>
      </w:r>
    </w:p>
  </w:footnote>
  <w:footnote w:id="32">
    <w:p w:rsidR="00F34CBA" w:rsidRDefault="00F34CBA" w:rsidP="001A769B">
      <w:pPr>
        <w:pStyle w:val="Textonotapie"/>
      </w:pPr>
      <w:r>
        <w:rPr>
          <w:rStyle w:val="Refdenotaalpie"/>
        </w:rPr>
        <w:footnoteRef/>
      </w:r>
      <w:r>
        <w:t xml:space="preserve"> Ministerio del Trabajo y Previsión Social. </w:t>
      </w:r>
      <w:r w:rsidRPr="00E547D8">
        <w:rPr>
          <w:i/>
          <w:iCs/>
        </w:rPr>
        <w:t>27% aumenta el registro de contratos de trabajadoras de casa particular en la Dirección del Trabajo</w:t>
      </w:r>
      <w:r>
        <w:t xml:space="preserve">. Disponible en: </w:t>
      </w:r>
      <w:hyperlink r:id="rId9" w:history="1">
        <w:r>
          <w:rPr>
            <w:rStyle w:val="Hipervnculo"/>
          </w:rPr>
          <w:t>https://www.mintrab.gob.cl/27-aumenta-el-registro-de-contratos-de-las-trabajadoras-de-casa-particular-en-la-direccion-del-trabajo/</w:t>
        </w:r>
      </w:hyperlink>
      <w:r>
        <w:t>]</w:t>
      </w:r>
    </w:p>
  </w:footnote>
  <w:footnote w:id="33">
    <w:p w:rsidR="00F34CBA" w:rsidRDefault="00F34CBA" w:rsidP="002D6618">
      <w:pPr>
        <w:pStyle w:val="Textonotapie"/>
      </w:pPr>
      <w:r>
        <w:rPr>
          <w:rStyle w:val="Refdenotaalpie"/>
        </w:rPr>
        <w:footnoteRef/>
      </w:r>
      <w:r>
        <w:t xml:space="preserve"> Ministerio del Trabajo y Previsión Social. </w:t>
      </w:r>
      <w:r w:rsidRPr="00E547D8">
        <w:rPr>
          <w:i/>
          <w:iCs/>
        </w:rPr>
        <w:t>27% aumenta el registro de contratos de trabajadoras de casa particular en la Dirección del Trabajo</w:t>
      </w:r>
      <w:r>
        <w:t xml:space="preserve">. Disponible en: </w:t>
      </w:r>
      <w:hyperlink r:id="rId10" w:history="1">
        <w:r>
          <w:rPr>
            <w:rStyle w:val="Hipervnculo"/>
          </w:rPr>
          <w:t>https://www.mintrab.gob.cl/27-aumenta-el-registro-de-contratos-de-las-trabajadoras-de-casa-particular-en-la-direccion-del-trabajo/</w:t>
        </w:r>
      </w:hyperlink>
      <w:r>
        <w:t>]</w:t>
      </w:r>
    </w:p>
  </w:footnote>
  <w:footnote w:id="34">
    <w:p w:rsidR="00F34CBA" w:rsidRDefault="00F34CBA" w:rsidP="002D6618">
      <w:pPr>
        <w:pStyle w:val="Textonotapie"/>
      </w:pPr>
      <w:r>
        <w:rPr>
          <w:rStyle w:val="Refdenotaalpie"/>
        </w:rPr>
        <w:footnoteRef/>
      </w:r>
      <w:r>
        <w:t xml:space="preserve"> INE. Boletín estadístico: informalidad laboral, edición número 9, 5 de febrero de 2020. Disponible en: </w:t>
      </w:r>
      <w:hyperlink r:id="rId11" w:history="1">
        <w:r>
          <w:rPr>
            <w:rStyle w:val="Hipervnculo"/>
          </w:rPr>
          <w:t>https://www.ine.cl/docs/default-source/informalidad-y-condiciones-laborales/boletines/2019/boletin-informalidad-laboral-trimestre-octubre-diciembre-de-2019.pdf?sfvrsn=53805c87_4</w:t>
        </w:r>
      </w:hyperlink>
      <w:r>
        <w:t>]</w:t>
      </w:r>
    </w:p>
  </w:footnote>
  <w:footnote w:id="35">
    <w:p w:rsidR="00F34CBA" w:rsidRDefault="00F34CBA">
      <w:pPr>
        <w:pStyle w:val="Textonotapie"/>
      </w:pPr>
      <w:r>
        <w:rPr>
          <w:rStyle w:val="Refdenotaalpie"/>
        </w:rPr>
        <w:footnoteRef/>
      </w:r>
      <w:r>
        <w:t xml:space="preserve"> </w:t>
      </w:r>
      <w:r w:rsidRPr="001C40E7">
        <w:rPr>
          <w:rFonts w:asciiTheme="minorHAnsi" w:hAnsiTheme="minorHAnsi"/>
          <w:color w:val="000000" w:themeColor="text1"/>
        </w:rPr>
        <w:t>Ministerio de Desarrollo Social (2018). Inmigrantes, Síntesis de resultados CASEN 2017.</w:t>
      </w:r>
    </w:p>
  </w:footnote>
  <w:footnote w:id="36">
    <w:p w:rsidR="00F34CBA" w:rsidRPr="001C40E7" w:rsidRDefault="00F34CBA" w:rsidP="00D321BE">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Ley N° 18.156 que Establece exención o devolución de cotizaciones previsionales a los técnicos extranjeros y a las empresas que los contraten bajo esa misma ley.</w:t>
      </w:r>
    </w:p>
  </w:footnote>
  <w:footnote w:id="37">
    <w:p w:rsidR="00F34CBA" w:rsidRDefault="00F34CBA" w:rsidP="00363DC1">
      <w:pPr>
        <w:pStyle w:val="Textonotapie"/>
      </w:pPr>
      <w:r>
        <w:rPr>
          <w:rStyle w:val="Refdenotaalpie"/>
        </w:rPr>
        <w:footnoteRef/>
      </w:r>
      <w:r>
        <w:t xml:space="preserve"> </w:t>
      </w:r>
      <w:r w:rsidRPr="00300328">
        <w:t>Decreto Supremo Nº</w:t>
      </w:r>
      <w:r w:rsidR="000F3281" w:rsidRPr="00300328">
        <w:t>67 que</w:t>
      </w:r>
      <w:r w:rsidRPr="00300328">
        <w:t xml:space="preserve"> fija la circunstancia y mecanismo para acreditar a las personas carentes de recursos como beneficiario de FONASA, Seguro Público</w:t>
      </w:r>
      <w:r>
        <w:t xml:space="preserve">. </w:t>
      </w:r>
      <w:r w:rsidRPr="00363DC1">
        <w:t>La modificación del Decreto Supremo Nº110 incorpora como cuarta circunstancia de acreditación de carencia recursos para la calificación de beneficiario del FONASA tramo A, a las personas inmigrantes que carecen de documentos o permisos de residencia</w:t>
      </w:r>
      <w:r w:rsidR="000F3281" w:rsidRPr="00363DC1">
        <w:t>.</w:t>
      </w:r>
      <w:r w:rsidRPr="00363DC1">
        <w:t xml:space="preserve"> Esta modificación se funda en instrumentos internacionales de Derechos Humanos, la Constitución de Chile, el DFL N°1 del 2005, la Ley Nº 18.469, dos dictámenes de Contraloría General de la República del 2013 y 2015 y un fallo de tribunales de Antofagasta del 2015</w:t>
      </w:r>
    </w:p>
  </w:footnote>
  <w:footnote w:id="38">
    <w:p w:rsidR="00F34CBA" w:rsidRDefault="00F34CBA">
      <w:pPr>
        <w:pStyle w:val="Textonotapie"/>
      </w:pPr>
      <w:r>
        <w:rPr>
          <w:rStyle w:val="Refdenotaalpie"/>
        </w:rPr>
        <w:footnoteRef/>
      </w:r>
      <w:r>
        <w:t xml:space="preserve"> </w:t>
      </w:r>
      <w:r w:rsidR="000F3281" w:rsidRPr="00D778C6">
        <w:t>INDH. (201</w:t>
      </w:r>
      <w:r w:rsidR="000F3281">
        <w:t>1</w:t>
      </w:r>
      <w:r w:rsidR="000F3281" w:rsidRPr="00D778C6">
        <w:t>). Informe Anual sobre la situación de los derechos humanos en Chile 201</w:t>
      </w:r>
      <w:r w:rsidR="000F3281">
        <w:t>1</w:t>
      </w:r>
      <w:r w:rsidR="000F3281" w:rsidRPr="00D778C6">
        <w:t xml:space="preserve">, p. </w:t>
      </w:r>
      <w:r w:rsidR="000F3281">
        <w:t>210.</w:t>
      </w:r>
    </w:p>
  </w:footnote>
  <w:footnote w:id="39">
    <w:p w:rsidR="00C0445A" w:rsidRDefault="00C0445A">
      <w:pPr>
        <w:pStyle w:val="Textonotapie"/>
      </w:pPr>
      <w:r>
        <w:rPr>
          <w:rStyle w:val="Refdenotaalpie"/>
        </w:rPr>
        <w:footnoteRef/>
      </w:r>
      <w:r>
        <w:t xml:space="preserve"> </w:t>
      </w:r>
      <w:r w:rsidR="000F3281" w:rsidRPr="001C40E7">
        <w:rPr>
          <w:rFonts w:asciiTheme="minorHAnsi" w:hAnsiTheme="minorHAnsi"/>
          <w:color w:val="000000" w:themeColor="text1"/>
        </w:rPr>
        <w:t>Ministerio de Desarrollo Social (2018). Inmigrantes, Síntesis de resultados CASEN 2017.</w:t>
      </w:r>
    </w:p>
  </w:footnote>
  <w:footnote w:id="40">
    <w:p w:rsidR="00C0445A" w:rsidRPr="001B4AE8" w:rsidRDefault="00C0445A" w:rsidP="00C0445A">
      <w:pPr>
        <w:pStyle w:val="Textonotapie"/>
      </w:pPr>
      <w:r>
        <w:rPr>
          <w:rStyle w:val="Refdenotaalpie"/>
        </w:rPr>
        <w:footnoteRef/>
      </w:r>
      <w:r>
        <w:t xml:space="preserve"> </w:t>
      </w:r>
      <w:r w:rsidR="000F3281">
        <w:t>Estimación e</w:t>
      </w:r>
      <w:r>
        <w:t>laborad</w:t>
      </w:r>
      <w:r w:rsidR="000F3281">
        <w:t>a</w:t>
      </w:r>
      <w:r>
        <w:t xml:space="preserve"> por </w:t>
      </w:r>
      <w:r w:rsidR="000F3281">
        <w:t xml:space="preserve">el Servicio Jesuita a Migrantes </w:t>
      </w:r>
      <w:r>
        <w:t xml:space="preserve">a partir de </w:t>
      </w:r>
      <w:r w:rsidR="001B4AE8">
        <w:t>la Encuesta C</w:t>
      </w:r>
      <w:r>
        <w:t>asen 2017</w:t>
      </w:r>
      <w:r w:rsidR="001B4AE8">
        <w:t xml:space="preserve">. Disponible en: </w:t>
      </w:r>
      <w:r w:rsidR="001B4AE8" w:rsidRPr="001B4AE8">
        <w:t xml:space="preserve">https://www.migracionenchile.cl/  </w:t>
      </w:r>
      <w:r w:rsidRPr="001B4AE8">
        <w:t xml:space="preserve"> </w:t>
      </w:r>
    </w:p>
  </w:footnote>
  <w:footnote w:id="41">
    <w:p w:rsidR="00C0445A" w:rsidRPr="001B4AE8" w:rsidRDefault="00C0445A">
      <w:pPr>
        <w:pStyle w:val="Textonotapie"/>
      </w:pPr>
      <w:r w:rsidRPr="001B4AE8">
        <w:rPr>
          <w:rStyle w:val="Refdenotaalpie"/>
        </w:rPr>
        <w:footnoteRef/>
      </w:r>
      <w:r w:rsidRPr="001B4AE8">
        <w:t xml:space="preserve"> </w:t>
      </w:r>
      <w:r w:rsidR="001B4AE8" w:rsidRPr="001B4AE8">
        <w:rPr>
          <w:rFonts w:asciiTheme="minorHAnsi" w:hAnsiTheme="minorHAnsi"/>
          <w:color w:val="000000" w:themeColor="text1"/>
        </w:rPr>
        <w:t>Ministerio de Desarrollo Social (2018). Inmigrantes, Síntesis de resultados CASEN 2017</w:t>
      </w:r>
    </w:p>
  </w:footnote>
  <w:footnote w:id="42">
    <w:p w:rsidR="001B4AE8" w:rsidRDefault="001B4AE8">
      <w:pPr>
        <w:pStyle w:val="Textonotapie"/>
      </w:pPr>
      <w:r>
        <w:rPr>
          <w:rStyle w:val="Refdenotaalpie"/>
        </w:rPr>
        <w:footnoteRef/>
      </w:r>
      <w:r>
        <w:t xml:space="preserve"> </w:t>
      </w:r>
      <w:r w:rsidRPr="001B4AE8">
        <w:t>Ídem.</w:t>
      </w:r>
    </w:p>
  </w:footnote>
  <w:footnote w:id="43">
    <w:p w:rsidR="001B4AE8" w:rsidRDefault="001B4AE8">
      <w:pPr>
        <w:pStyle w:val="Textonotapie"/>
      </w:pPr>
      <w:r>
        <w:rPr>
          <w:rStyle w:val="Refdenotaalpie"/>
        </w:rPr>
        <w:footnoteRef/>
      </w:r>
      <w:r>
        <w:t xml:space="preserve"> </w:t>
      </w:r>
      <w:r w:rsidRPr="001B4AE8">
        <w:t>Durante el año 2017, e</w:t>
      </w:r>
      <w:r w:rsidRPr="001B4AE8">
        <w:rPr>
          <w:rFonts w:eastAsia="Times New Roman" w:cs="Calibri"/>
          <w:lang w:eastAsia="es-CL"/>
        </w:rPr>
        <w:t>l INDH ofició en dos ocasiones al Ministerio de Educación con el fin de evaluar la generación mecanismos que evitaran la reiteración de situaciones discriminatorias y/o vulneradoras del derecho a la educación de personas migrantes: O</w:t>
      </w:r>
      <w:r w:rsidRPr="001B4AE8">
        <w:rPr>
          <w:rFonts w:eastAsia="Times New Roman" w:cs="Arial"/>
          <w:lang w:eastAsia="es-CL"/>
        </w:rPr>
        <w:t>ficio número 156 de 13 de marzo 2017, y Oficio</w:t>
      </w:r>
      <w:r w:rsidRPr="001B4AE8">
        <w:rPr>
          <w:rFonts w:eastAsia="Times New Roman"/>
          <w:lang w:eastAsia="es-CL"/>
        </w:rPr>
        <w:t> </w:t>
      </w:r>
      <w:r w:rsidRPr="001B4AE8">
        <w:rPr>
          <w:rFonts w:eastAsia="Times New Roman" w:cs="Arial"/>
          <w:lang w:eastAsia="es-CL"/>
        </w:rPr>
        <w:t xml:space="preserve">número 694 de 27 de septiembre del 2017. </w:t>
      </w:r>
      <w:r w:rsidRPr="001B4AE8">
        <w:rPr>
          <w:rFonts w:eastAsia="Times New Roman" w:cs="Calibri"/>
          <w:lang w:eastAsia="es-CL"/>
        </w:rPr>
        <w:t>Sin embargo, no se recibió respuesta, ni se conoce que se haya tomado medidas al respecto.</w:t>
      </w:r>
    </w:p>
  </w:footnote>
  <w:footnote w:id="44">
    <w:p w:rsidR="005A1023" w:rsidRDefault="005A1023" w:rsidP="005A1023">
      <w:pPr>
        <w:pStyle w:val="Textonotapie"/>
      </w:pPr>
      <w:r>
        <w:rPr>
          <w:rStyle w:val="Refdenotaalpie"/>
        </w:rPr>
        <w:footnoteRef/>
      </w:r>
      <w:r>
        <w:t xml:space="preserve"> </w:t>
      </w:r>
      <w:r w:rsidRPr="00D778C6">
        <w:t xml:space="preserve">Los </w:t>
      </w:r>
      <w:r w:rsidRPr="00D778C6">
        <w:t>denominados conventillos o cités “corresponden a viviendas mínimas –en tamaño y calidad– agrupadas en un pasaje compartido, y en general construidas por la beneficencia pública de fines del siglo XIX y principios del siglo XX. Se caracterizan por tener un mal estado de conservación y una deficiente calidad de servicios higiénicos. En la actualidad son habitadas por familias en su mayoría inmigrantes que habitan normalmente hacinadas, las que experimentan condiciones de arrendamiento usualmente arbitrarias y/o insuficientemente reguladas.” INDH. (2013). Informe Anual sobre la situación de los derechos humanos en Chile 2013, p. 197</w:t>
      </w:r>
      <w:r>
        <w:t>.</w:t>
      </w:r>
    </w:p>
  </w:footnote>
  <w:footnote w:id="45">
    <w:p w:rsidR="005A1023" w:rsidRPr="001C40E7" w:rsidRDefault="005A1023" w:rsidP="005A102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sidR="001B4AE8" w:rsidRPr="001B4AE8">
        <w:rPr>
          <w:rFonts w:asciiTheme="minorHAnsi" w:hAnsiTheme="minorHAnsi"/>
          <w:color w:val="000000" w:themeColor="text1"/>
        </w:rPr>
        <w:t>Ministerio de Desarrollo Social (2018). Inmigrantes, Síntesis de resultados CASEN 2017</w:t>
      </w:r>
    </w:p>
  </w:footnote>
  <w:footnote w:id="46">
    <w:p w:rsidR="00E60E87" w:rsidRDefault="00E60E87">
      <w:pPr>
        <w:pStyle w:val="Textonotapie"/>
      </w:pPr>
      <w:r>
        <w:rPr>
          <w:rStyle w:val="Refdenotaalpie"/>
        </w:rPr>
        <w:footnoteRef/>
      </w:r>
      <w:r>
        <w:t xml:space="preserve"> </w:t>
      </w:r>
      <w:r>
        <w:t xml:space="preserve">Información levantada </w:t>
      </w:r>
      <w:r w:rsidR="0041700B">
        <w:t xml:space="preserve">por el INDH </w:t>
      </w:r>
      <w:r>
        <w:t xml:space="preserve">en el marco de </w:t>
      </w:r>
      <w:r w:rsidR="0041700B">
        <w:t>la ejecución del proyecto financiado por la</w:t>
      </w:r>
      <w:r w:rsidR="0041700B" w:rsidRPr="0041700B">
        <w:t xml:space="preserve"> Agencia de Naciones Unidas para los Refugiados (ACNUR)</w:t>
      </w:r>
      <w:r w:rsidR="0041700B">
        <w:t>.</w:t>
      </w:r>
    </w:p>
  </w:footnote>
  <w:footnote w:id="47">
    <w:p w:rsidR="00F34CBA" w:rsidRDefault="00F34CBA" w:rsidP="00F34CBA">
      <w:pPr>
        <w:pStyle w:val="Textonotapie"/>
      </w:pPr>
      <w:r>
        <w:rPr>
          <w:rStyle w:val="Refdenotaalpie"/>
        </w:rPr>
        <w:footnoteRef/>
      </w:r>
      <w:r>
        <w:t xml:space="preserve"> </w:t>
      </w:r>
      <w:r>
        <w:t>Información otorgada por la Policía de Investigaciones a la solicitud realizada por la Ley</w:t>
      </w:r>
      <w:r w:rsidRPr="002D361A">
        <w:t xml:space="preserve"> </w:t>
      </w:r>
      <w:r>
        <w:t>N°</w:t>
      </w:r>
      <w:r w:rsidRPr="002D361A">
        <w:t>20.285</w:t>
      </w:r>
      <w:r>
        <w:t xml:space="preserve"> </w:t>
      </w:r>
      <w:r w:rsidRPr="002D361A">
        <w:t xml:space="preserve">de Transparencia </w:t>
      </w:r>
      <w:r>
        <w:t xml:space="preserve">por el Servicio Jesuita a Migrantes. </w:t>
      </w:r>
    </w:p>
  </w:footnote>
  <w:footnote w:id="48">
    <w:p w:rsidR="004F4E4D" w:rsidRDefault="004F4E4D" w:rsidP="004F4E4D">
      <w:pPr>
        <w:pStyle w:val="Textonotapie"/>
      </w:pPr>
      <w:r w:rsidRPr="0002777E">
        <w:rPr>
          <w:rStyle w:val="Refdenotaalpie"/>
        </w:rPr>
        <w:footnoteRef/>
      </w:r>
      <w:r w:rsidRPr="0002777E">
        <w:t xml:space="preserve"> </w:t>
      </w:r>
      <w:r w:rsidRPr="0002777E">
        <w:t>El INDH se ha referido a los desafíos en materia de trata y tráfico de personas en sus informes complementarios al Comité CERD (2013), CEDAW (2018) y Comité contra la Tortura (2018).</w:t>
      </w:r>
      <w:r>
        <w:t xml:space="preserve"> </w:t>
      </w:r>
    </w:p>
  </w:footnote>
  <w:footnote w:id="49">
    <w:p w:rsidR="00F34CBA" w:rsidRDefault="00F34CBA" w:rsidP="004E339A">
      <w:pPr>
        <w:pStyle w:val="Textonotapie"/>
      </w:pPr>
      <w:r>
        <w:rPr>
          <w:rStyle w:val="Refdenotaalpie"/>
        </w:rPr>
        <w:footnoteRef/>
      </w:r>
      <w:r>
        <w:t xml:space="preserve"> </w:t>
      </w:r>
      <w:r>
        <w:t>Causa RIT 2471.2015 Juzgado de Garantía de Curicó; Causa RIT 582-2012 Juzgado de Garantía de Santa Cruz; Causa RIT 2667-2016 Juzgado de Garantía de Arica; Causa RIT 760 Juzgado de Garantía de Molina; Causa RIT 6628-2015 Juzgado de Garantía de Arica.</w:t>
      </w:r>
    </w:p>
  </w:footnote>
  <w:footnote w:id="50">
    <w:p w:rsidR="00F34CBA" w:rsidRDefault="00F34CBA" w:rsidP="00E40161">
      <w:pPr>
        <w:pStyle w:val="Textonotapie"/>
      </w:pPr>
      <w:r>
        <w:rPr>
          <w:rStyle w:val="Refdenotaalpie"/>
        </w:rPr>
        <w:footnoteRef/>
      </w:r>
      <w:r>
        <w:t xml:space="preserve"> </w:t>
      </w:r>
      <w:r>
        <w:t>Resolución Exenta N°1.965, del 9 de abril del 2018, del Ministerio del Interior y Seguridad Pública, que dispone el procedimiento de regularización extraordinaria de permanencia en el país a extranjeros que indica.</w:t>
      </w:r>
    </w:p>
  </w:footnote>
  <w:footnote w:id="51">
    <w:p w:rsidR="00F34CBA" w:rsidRPr="001533A7" w:rsidRDefault="00F34CBA" w:rsidP="001B4AE8">
      <w:pPr>
        <w:pStyle w:val="Textonotapie"/>
        <w:rPr>
          <w:lang w:val="es-ES"/>
        </w:rPr>
      </w:pPr>
      <w:r>
        <w:rPr>
          <w:rStyle w:val="Refdenotaalpie"/>
        </w:rPr>
        <w:footnoteRef/>
      </w:r>
      <w:r>
        <w:t xml:space="preserve"> </w:t>
      </w:r>
      <w:r w:rsidR="001B4AE8">
        <w:t xml:space="preserve">Departamento de Extranjería y Migración, “Gobierno hizo importante anuncio para inscritos en Proceso de Regularización”, </w:t>
      </w:r>
      <w:r w:rsidR="001B4AE8" w:rsidRPr="001B4AE8">
        <w:t>9 julio</w:t>
      </w:r>
      <w:r w:rsidR="001B4AE8">
        <w:t xml:space="preserve"> de</w:t>
      </w:r>
      <w:r w:rsidR="001B4AE8" w:rsidRPr="001B4AE8">
        <w:t xml:space="preserve"> 2019</w:t>
      </w:r>
      <w:r w:rsidR="001B4AE8">
        <w:t>. Disponible en:</w:t>
      </w:r>
      <w:r w:rsidR="001B4AE8" w:rsidRPr="001B4AE8">
        <w:t xml:space="preserve"> </w:t>
      </w:r>
      <w:r w:rsidR="001B4AE8">
        <w:t xml:space="preserve"> </w:t>
      </w:r>
      <w:hyperlink r:id="rId12" w:history="1">
        <w:r w:rsidR="001B4AE8" w:rsidRPr="00BC4E54">
          <w:rPr>
            <w:rStyle w:val="Hipervnculo"/>
          </w:rPr>
          <w:t>https://www.extranjeria.gob.cl/noticias/gobierno-hizo-importante-anuncio-para-inscritos-en-proceso-de-regularizacion/</w:t>
        </w:r>
      </w:hyperlink>
      <w:r>
        <w:rPr>
          <w:lang w:val="es-ES"/>
        </w:rPr>
        <w:t xml:space="preserve"> </w:t>
      </w:r>
    </w:p>
  </w:footnote>
  <w:footnote w:id="52">
    <w:p w:rsidR="00D01150" w:rsidRDefault="00D01150" w:rsidP="00D01150">
      <w:pPr>
        <w:pStyle w:val="Textonotapie"/>
      </w:pPr>
      <w:r>
        <w:rPr>
          <w:rStyle w:val="Refdenotaalpie"/>
        </w:rPr>
        <w:footnoteRef/>
      </w:r>
      <w:r>
        <w:t xml:space="preserve"> </w:t>
      </w:r>
      <w:r w:rsidR="00F0595A" w:rsidRPr="00F0595A">
        <w:t>INDH. (201</w:t>
      </w:r>
      <w:r w:rsidR="00F0595A">
        <w:t>8</w:t>
      </w:r>
      <w:r w:rsidR="00F0595A" w:rsidRPr="00F0595A">
        <w:t>). Informe Anual sobre la situación de los derechos humanos en Chile 201</w:t>
      </w:r>
      <w:r w:rsidR="00F0595A">
        <w:t>8</w:t>
      </w:r>
      <w:r w:rsidR="00F0595A" w:rsidRPr="00F0595A">
        <w:t xml:space="preserve">, p. </w:t>
      </w:r>
      <w:r w:rsidRPr="0002777E">
        <w:t>87</w:t>
      </w:r>
      <w:r>
        <w:t>.</w:t>
      </w:r>
    </w:p>
  </w:footnote>
  <w:footnote w:id="53">
    <w:p w:rsidR="0041700B" w:rsidRDefault="0041700B">
      <w:pPr>
        <w:pStyle w:val="Textonotapie"/>
      </w:pPr>
      <w:r>
        <w:rPr>
          <w:rStyle w:val="Refdenotaalpie"/>
        </w:rPr>
        <w:footnoteRef/>
      </w:r>
      <w:r w:rsidR="00F0595A">
        <w:t xml:space="preserve"> </w:t>
      </w:r>
      <w:r w:rsidR="00F0595A" w:rsidRPr="00F0595A">
        <w:t>INDH.</w:t>
      </w:r>
      <w:bookmarkStart w:id="7" w:name="_GoBack"/>
      <w:bookmarkEnd w:id="7"/>
      <w:r w:rsidR="00F0595A">
        <w:t xml:space="preserve"> </w:t>
      </w:r>
      <w:r w:rsidR="00F0595A" w:rsidRPr="00F0595A">
        <w:t>(201</w:t>
      </w:r>
      <w:r w:rsidR="00F0595A">
        <w:t>9</w:t>
      </w:r>
      <w:r w:rsidR="00F0595A" w:rsidRPr="00F0595A">
        <w:t xml:space="preserve">). </w:t>
      </w:r>
      <w:r>
        <w:t>Informe Complementario sobre la aplicación de la Convención Internacional sobre la Eliminación de todas las Formas de Discriminación Racial (CERD), informes periódicos 22º y 23º combinados, p. 25.</w:t>
      </w:r>
    </w:p>
  </w:footnote>
  <w:footnote w:id="54">
    <w:p w:rsidR="00E00E0F" w:rsidRDefault="00E00E0F" w:rsidP="00E00E0F">
      <w:pPr>
        <w:pStyle w:val="Textonotapie"/>
      </w:pPr>
      <w:r>
        <w:rPr>
          <w:rStyle w:val="Refdenotaalpie"/>
        </w:rPr>
        <w:footnoteRef/>
      </w:r>
      <w:r>
        <w:t xml:space="preserve"> </w:t>
      </w:r>
      <w:r w:rsidR="00F0595A" w:rsidRPr="00F0595A">
        <w:t>INDH. (201</w:t>
      </w:r>
      <w:r w:rsidR="00F0595A">
        <w:t>8</w:t>
      </w:r>
      <w:r w:rsidR="00F0595A" w:rsidRPr="00F0595A">
        <w:t>). Informe Anual sobre la situación de los derechos humanos en Chile 201</w:t>
      </w:r>
      <w:r w:rsidR="00F0595A">
        <w:t>8</w:t>
      </w:r>
      <w:r w:rsidR="00F0595A" w:rsidRPr="00F0595A">
        <w:t xml:space="preserve">, p. </w:t>
      </w:r>
      <w:r w:rsidR="00F0595A" w:rsidRPr="0002777E">
        <w:t>87</w:t>
      </w:r>
      <w:r w:rsidR="00F0595A">
        <w:t>.</w:t>
      </w:r>
    </w:p>
  </w:footnote>
  <w:footnote w:id="55">
    <w:p w:rsidR="0041700B" w:rsidRDefault="0041700B">
      <w:pPr>
        <w:pStyle w:val="Textonotapie"/>
      </w:pPr>
      <w:r>
        <w:rPr>
          <w:rStyle w:val="Refdenotaalpie"/>
        </w:rPr>
        <w:footnoteRef/>
      </w:r>
      <w:r>
        <w:t xml:space="preserve"> </w:t>
      </w:r>
      <w:r w:rsidR="00F0595A" w:rsidRPr="00F0595A">
        <w:t>INDH. (201</w:t>
      </w:r>
      <w:r w:rsidR="00F0595A">
        <w:t>0</w:t>
      </w:r>
      <w:r w:rsidR="00F0595A" w:rsidRPr="00F0595A">
        <w:t>). Informe Anual sobre la situación de los derechos humanos en Chile 201</w:t>
      </w:r>
      <w:r w:rsidR="00F0595A">
        <w:t>0</w:t>
      </w:r>
      <w:r w:rsidR="00F0595A" w:rsidRPr="00F0595A">
        <w:t xml:space="preserve">, p. </w:t>
      </w:r>
      <w:r w:rsidRPr="0041700B">
        <w:t>166</w:t>
      </w:r>
      <w:r w:rsidR="00F0595A">
        <w:t>.</w:t>
      </w:r>
    </w:p>
  </w:footnote>
  <w:footnote w:id="56">
    <w:p w:rsidR="00F0595A" w:rsidRDefault="00F0595A" w:rsidP="00F0595A">
      <w:pPr>
        <w:pStyle w:val="Textonotapie"/>
      </w:pPr>
      <w:r>
        <w:rPr>
          <w:rStyle w:val="Refdenotaalpie"/>
        </w:rPr>
        <w:footnoteRef/>
      </w:r>
      <w:r>
        <w:t xml:space="preserve"> </w:t>
      </w:r>
      <w:r w:rsidRPr="00F0595A">
        <w:t>INDH.</w:t>
      </w:r>
      <w:r>
        <w:t xml:space="preserve"> </w:t>
      </w:r>
      <w:r w:rsidRPr="00F0595A">
        <w:t>(201</w:t>
      </w:r>
      <w:r>
        <w:t>9</w:t>
      </w:r>
      <w:r w:rsidRPr="00F0595A">
        <w:t xml:space="preserve">). </w:t>
      </w:r>
      <w:r>
        <w:t>Informe Complementario sobre la aplicación de la Convención Internacional sobre la Eliminación de todas las Formas de Discriminación Racial (CERD), informes periódicos 22º y 23º combinados, p. 26.</w:t>
      </w:r>
    </w:p>
  </w:footnote>
  <w:footnote w:id="57">
    <w:p w:rsidR="00E00E0F" w:rsidRDefault="00E00E0F" w:rsidP="00E00E0F">
      <w:pPr>
        <w:pStyle w:val="Textonotapie"/>
      </w:pPr>
      <w:r>
        <w:rPr>
          <w:rStyle w:val="Refdenotaalpie"/>
        </w:rPr>
        <w:footnoteRef/>
      </w:r>
      <w:r>
        <w:t xml:space="preserve"> </w:t>
      </w:r>
      <w:r w:rsidR="001B4AE8" w:rsidRPr="00D778C6">
        <w:t>INDH. (201</w:t>
      </w:r>
      <w:r w:rsidR="001B4AE8">
        <w:t>1</w:t>
      </w:r>
      <w:r w:rsidR="001B4AE8" w:rsidRPr="00D778C6">
        <w:t>). Informe Anual sobre la situación de los derechos humanos en Chile 201</w:t>
      </w:r>
      <w:r w:rsidR="001B4AE8">
        <w:t>1</w:t>
      </w:r>
      <w:r w:rsidR="001B4AE8" w:rsidRPr="00D778C6">
        <w:t xml:space="preserve">, p. </w:t>
      </w:r>
      <w:r w:rsidR="001B4AE8">
        <w:t>2</w:t>
      </w:r>
      <w:r>
        <w:t>73-274</w:t>
      </w:r>
      <w:r w:rsidR="001B4AE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F3A64"/>
    <w:multiLevelType w:val="hybridMultilevel"/>
    <w:tmpl w:val="AD3445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2D20A45"/>
    <w:multiLevelType w:val="hybridMultilevel"/>
    <w:tmpl w:val="20F4A510"/>
    <w:lvl w:ilvl="0" w:tplc="DE9EF3C2">
      <w:start w:val="1"/>
      <w:numFmt w:val="decimal"/>
      <w:lvlText w:val="%1."/>
      <w:lvlJc w:val="left"/>
      <w:pPr>
        <w:ind w:left="360" w:hanging="360"/>
      </w:pPr>
      <w:rPr>
        <w:rFonts w:asciiTheme="minorHAnsi" w:hAnsiTheme="minorHAnsi" w:hint="default"/>
        <w:sz w:val="22"/>
        <w:szCs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40750554"/>
    <w:multiLevelType w:val="hybridMultilevel"/>
    <w:tmpl w:val="CC743106"/>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AC411AF"/>
    <w:multiLevelType w:val="hybridMultilevel"/>
    <w:tmpl w:val="CC743106"/>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5EB751EE"/>
    <w:multiLevelType w:val="multilevel"/>
    <w:tmpl w:val="07C698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B1F4BAF"/>
    <w:multiLevelType w:val="hybridMultilevel"/>
    <w:tmpl w:val="CC743106"/>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74687FCD"/>
    <w:multiLevelType w:val="hybridMultilevel"/>
    <w:tmpl w:val="A0E01DD6"/>
    <w:lvl w:ilvl="0" w:tplc="2D70AB5E">
      <w:start w:val="1"/>
      <w:numFmt w:val="upperRoman"/>
      <w:lvlText w:val="%1."/>
      <w:lvlJc w:val="left"/>
      <w:pPr>
        <w:ind w:left="720" w:hanging="72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7" w15:restartNumberingAfterBreak="0">
    <w:nsid w:val="7A404263"/>
    <w:multiLevelType w:val="hybridMultilevel"/>
    <w:tmpl w:val="987E81A8"/>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7BCB733B"/>
    <w:multiLevelType w:val="hybridMultilevel"/>
    <w:tmpl w:val="5344DD4E"/>
    <w:lvl w:ilvl="0" w:tplc="B784B1E0">
      <w:start w:val="3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4"/>
  </w:num>
  <w:num w:numId="4">
    <w:abstractNumId w:val="6"/>
  </w:num>
  <w:num w:numId="5">
    <w:abstractNumId w:val="7"/>
  </w:num>
  <w:num w:numId="6">
    <w:abstractNumId w:val="5"/>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A52"/>
    <w:rsid w:val="00012A52"/>
    <w:rsid w:val="00033328"/>
    <w:rsid w:val="00047FD3"/>
    <w:rsid w:val="00056E6D"/>
    <w:rsid w:val="00063C54"/>
    <w:rsid w:val="00090CC5"/>
    <w:rsid w:val="000A64F0"/>
    <w:rsid w:val="000F0BBA"/>
    <w:rsid w:val="000F3281"/>
    <w:rsid w:val="00116F07"/>
    <w:rsid w:val="00136F06"/>
    <w:rsid w:val="00163E5B"/>
    <w:rsid w:val="001A769B"/>
    <w:rsid w:val="001B4AE8"/>
    <w:rsid w:val="001C504A"/>
    <w:rsid w:val="001E4C04"/>
    <w:rsid w:val="001F05EE"/>
    <w:rsid w:val="00201FCF"/>
    <w:rsid w:val="00203D99"/>
    <w:rsid w:val="00213104"/>
    <w:rsid w:val="0027484D"/>
    <w:rsid w:val="00294CBA"/>
    <w:rsid w:val="002A0C0E"/>
    <w:rsid w:val="002D361A"/>
    <w:rsid w:val="002D6618"/>
    <w:rsid w:val="002F34FB"/>
    <w:rsid w:val="00300328"/>
    <w:rsid w:val="003313D7"/>
    <w:rsid w:val="00343539"/>
    <w:rsid w:val="00362516"/>
    <w:rsid w:val="00363DC1"/>
    <w:rsid w:val="003748C5"/>
    <w:rsid w:val="003D5DEC"/>
    <w:rsid w:val="003D60CF"/>
    <w:rsid w:val="003D60F6"/>
    <w:rsid w:val="00401FD9"/>
    <w:rsid w:val="00412613"/>
    <w:rsid w:val="0041700B"/>
    <w:rsid w:val="00421C65"/>
    <w:rsid w:val="0044524F"/>
    <w:rsid w:val="00450E62"/>
    <w:rsid w:val="0048084D"/>
    <w:rsid w:val="004B5B01"/>
    <w:rsid w:val="004E289C"/>
    <w:rsid w:val="004E339A"/>
    <w:rsid w:val="004F02DB"/>
    <w:rsid w:val="004F4E4D"/>
    <w:rsid w:val="00560881"/>
    <w:rsid w:val="005628AC"/>
    <w:rsid w:val="0058490B"/>
    <w:rsid w:val="005A1023"/>
    <w:rsid w:val="005D7FE3"/>
    <w:rsid w:val="006104DB"/>
    <w:rsid w:val="00651F83"/>
    <w:rsid w:val="006648D3"/>
    <w:rsid w:val="006A6A85"/>
    <w:rsid w:val="00744612"/>
    <w:rsid w:val="007C643A"/>
    <w:rsid w:val="007E3A64"/>
    <w:rsid w:val="00816957"/>
    <w:rsid w:val="008470FE"/>
    <w:rsid w:val="00867BE9"/>
    <w:rsid w:val="00883E36"/>
    <w:rsid w:val="0089385A"/>
    <w:rsid w:val="008E2BBA"/>
    <w:rsid w:val="008F53A8"/>
    <w:rsid w:val="0092683A"/>
    <w:rsid w:val="00997B4B"/>
    <w:rsid w:val="009C527A"/>
    <w:rsid w:val="009F1290"/>
    <w:rsid w:val="00A51850"/>
    <w:rsid w:val="00A51ED8"/>
    <w:rsid w:val="00AB0AF9"/>
    <w:rsid w:val="00AB2121"/>
    <w:rsid w:val="00AB724F"/>
    <w:rsid w:val="00B05E0B"/>
    <w:rsid w:val="00B56724"/>
    <w:rsid w:val="00B63A7E"/>
    <w:rsid w:val="00B80F31"/>
    <w:rsid w:val="00BB09F8"/>
    <w:rsid w:val="00BE2E84"/>
    <w:rsid w:val="00C0445A"/>
    <w:rsid w:val="00C145C8"/>
    <w:rsid w:val="00CF39AE"/>
    <w:rsid w:val="00D01150"/>
    <w:rsid w:val="00D16E33"/>
    <w:rsid w:val="00D321BE"/>
    <w:rsid w:val="00D33133"/>
    <w:rsid w:val="00D3640F"/>
    <w:rsid w:val="00D40671"/>
    <w:rsid w:val="00D62FFC"/>
    <w:rsid w:val="00D63295"/>
    <w:rsid w:val="00D65150"/>
    <w:rsid w:val="00D778C6"/>
    <w:rsid w:val="00DB4391"/>
    <w:rsid w:val="00E00E0F"/>
    <w:rsid w:val="00E1164D"/>
    <w:rsid w:val="00E20F49"/>
    <w:rsid w:val="00E35CA3"/>
    <w:rsid w:val="00E40161"/>
    <w:rsid w:val="00E43CB9"/>
    <w:rsid w:val="00E5604B"/>
    <w:rsid w:val="00E60E87"/>
    <w:rsid w:val="00E81374"/>
    <w:rsid w:val="00EC44F8"/>
    <w:rsid w:val="00F0595A"/>
    <w:rsid w:val="00F162F9"/>
    <w:rsid w:val="00F34235"/>
    <w:rsid w:val="00F34CBA"/>
    <w:rsid w:val="00F625BD"/>
    <w:rsid w:val="00FC2AA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A6CA"/>
  <w15:chartTrackingRefBased/>
  <w15:docId w15:val="{CCD3315D-7DE1-438B-883C-EC99EF4A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2A52"/>
    <w:pPr>
      <w:spacing w:after="0" w:line="276" w:lineRule="auto"/>
      <w:jc w:val="both"/>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f1"/>
    <w:basedOn w:val="Normal"/>
    <w:link w:val="TextonotapieCar"/>
    <w:uiPriority w:val="99"/>
    <w:unhideWhenUsed/>
    <w:qFormat/>
    <w:rsid w:val="00012A52"/>
    <w:pPr>
      <w:spacing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qFormat/>
    <w:rsid w:val="00012A52"/>
    <w:rPr>
      <w:rFonts w:ascii="Calibri" w:eastAsia="Calibri" w:hAnsi="Calibri" w:cs="Times New Roman"/>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uiPriority w:val="99"/>
    <w:unhideWhenUsed/>
    <w:qFormat/>
    <w:rsid w:val="00012A52"/>
    <w:rPr>
      <w:vertAlign w:val="superscript"/>
    </w:rPr>
  </w:style>
  <w:style w:type="paragraph" w:styleId="Prrafodelista">
    <w:name w:val="List Paragraph"/>
    <w:basedOn w:val="Normal"/>
    <w:uiPriority w:val="34"/>
    <w:qFormat/>
    <w:rsid w:val="00012A52"/>
    <w:pPr>
      <w:ind w:left="720"/>
      <w:contextualSpacing/>
    </w:pPr>
    <w:rPr>
      <w:rFonts w:asciiTheme="minorHAnsi" w:eastAsiaTheme="minorHAnsi" w:hAnsiTheme="minorHAnsi" w:cstheme="minorBidi"/>
    </w:rPr>
  </w:style>
  <w:style w:type="paragraph" w:styleId="Textodeglobo">
    <w:name w:val="Balloon Text"/>
    <w:basedOn w:val="Normal"/>
    <w:link w:val="TextodegloboCar"/>
    <w:uiPriority w:val="99"/>
    <w:semiHidden/>
    <w:unhideWhenUsed/>
    <w:rsid w:val="0021310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3104"/>
    <w:rPr>
      <w:rFonts w:ascii="Segoe UI" w:eastAsia="Calibri" w:hAnsi="Segoe UI" w:cs="Segoe UI"/>
      <w:sz w:val="18"/>
      <w:szCs w:val="18"/>
    </w:rPr>
  </w:style>
  <w:style w:type="character" w:styleId="Hipervnculo">
    <w:name w:val="Hyperlink"/>
    <w:basedOn w:val="Fuentedeprrafopredeter"/>
    <w:uiPriority w:val="99"/>
    <w:unhideWhenUsed/>
    <w:rsid w:val="007E3A64"/>
    <w:rPr>
      <w:color w:val="0563C1" w:themeColor="hyperlink"/>
      <w:u w:val="single"/>
    </w:rPr>
  </w:style>
  <w:style w:type="character" w:styleId="Mencinsinresolver">
    <w:name w:val="Unresolved Mention"/>
    <w:basedOn w:val="Fuentedeprrafopredeter"/>
    <w:uiPriority w:val="99"/>
    <w:semiHidden/>
    <w:unhideWhenUsed/>
    <w:rsid w:val="007E3A64"/>
    <w:rPr>
      <w:color w:val="605E5C"/>
      <w:shd w:val="clear" w:color="auto" w:fill="E1DFDD"/>
    </w:rPr>
  </w:style>
  <w:style w:type="paragraph" w:styleId="Encabezado">
    <w:name w:val="header"/>
    <w:basedOn w:val="Normal"/>
    <w:link w:val="EncabezadoCar"/>
    <w:rsid w:val="00C145C8"/>
    <w:pPr>
      <w:tabs>
        <w:tab w:val="center" w:pos="4252"/>
        <w:tab w:val="right" w:pos="8504"/>
      </w:tabs>
      <w:spacing w:line="240" w:lineRule="auto"/>
    </w:pPr>
    <w:rPr>
      <w:rFonts w:ascii="Arial" w:eastAsia="Times New Roman" w:hAnsi="Arial"/>
      <w:szCs w:val="20"/>
      <w:lang w:val="es-ES" w:eastAsia="es-ES"/>
    </w:rPr>
  </w:style>
  <w:style w:type="character" w:customStyle="1" w:styleId="EncabezadoCar">
    <w:name w:val="Encabezado Car"/>
    <w:basedOn w:val="Fuentedeprrafopredeter"/>
    <w:link w:val="Encabezado"/>
    <w:rsid w:val="00C145C8"/>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294CB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94CBA"/>
    <w:rPr>
      <w:rFonts w:ascii="Calibri" w:eastAsia="Calibri" w:hAnsi="Calibri" w:cs="Times New Roman"/>
    </w:rPr>
  </w:style>
  <w:style w:type="paragraph" w:styleId="Descripcin">
    <w:name w:val="caption"/>
    <w:basedOn w:val="Normal"/>
    <w:next w:val="Normal"/>
    <w:uiPriority w:val="35"/>
    <w:unhideWhenUsed/>
    <w:qFormat/>
    <w:rsid w:val="00BE2E84"/>
    <w:pPr>
      <w:spacing w:after="200" w:line="240" w:lineRule="auto"/>
      <w:jc w:val="left"/>
    </w:pPr>
    <w:rPr>
      <w:rFonts w:asciiTheme="minorHAnsi" w:eastAsiaTheme="minorHAnsi" w:hAnsiTheme="minorHAnsi" w:cstheme="minorBidi"/>
      <w:i/>
      <w:iCs/>
      <w:color w:val="44546A" w:themeColor="text2"/>
      <w:sz w:val="18"/>
      <w:szCs w:val="18"/>
    </w:rPr>
  </w:style>
  <w:style w:type="character" w:styleId="Hipervnculovisitado">
    <w:name w:val="FollowedHyperlink"/>
    <w:basedOn w:val="Fuentedeprrafopredeter"/>
    <w:uiPriority w:val="99"/>
    <w:semiHidden/>
    <w:unhideWhenUsed/>
    <w:rsid w:val="00E401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ine.cl/estadisticas/sociales/mercado-laboral/ocupacion-y-desocupacion/2020/02/28/ine-publica-resultados-de-la-encuesta-nacional-de-empleo-del-trimestre-noviembre-2019-enero-2020" TargetMode="External"/><Relationship Id="rId3" Type="http://schemas.openxmlformats.org/officeDocument/2006/relationships/hyperlink" Target="http://observatorio.ministeriodesarrollosocial.gob.cl/casenmultidimensional/casen/docs/Cuestionario_Casen2017.pdf" TargetMode="External"/><Relationship Id="rId7" Type="http://schemas.openxmlformats.org/officeDocument/2006/relationships/hyperlink" Target="https://www.indh.cl/gestiones-del-indh-logran-rencuentro-entre-ninos-venezolanos-y-su-madre/" TargetMode="External"/><Relationship Id="rId12" Type="http://schemas.openxmlformats.org/officeDocument/2006/relationships/hyperlink" Target="https://www.extranjeria.gob.cl/noticias/gobierno-hizo-importante-anuncio-para-inscritos-en-proceso-de-regularizacion/" TargetMode="External"/><Relationship Id="rId2" Type="http://schemas.openxmlformats.org/officeDocument/2006/relationships/hyperlink" Target="http://www.censo2017.cl/descargas/home/sintesis-de-resultados-censo2017.pdf" TargetMode="External"/><Relationship Id="rId1" Type="http://schemas.openxmlformats.org/officeDocument/2006/relationships/hyperlink" Target="https://bibliotecadigital.indh.cl/handle/123456789/1138" TargetMode="External"/><Relationship Id="rId6" Type="http://schemas.openxmlformats.org/officeDocument/2006/relationships/hyperlink" Target="https://www.indh.cl/declaracion-consejo-indh/" TargetMode="External"/><Relationship Id="rId11" Type="http://schemas.openxmlformats.org/officeDocument/2006/relationships/hyperlink" Target="https://www.ine.cl/docs/default-source/informalidad-y-condiciones-laborales/boletines/2019/boletin-informalidad-laboral-trimestre-octubre-diciembre-de-2019.pdf?sfvrsn=53805c87_4" TargetMode="External"/><Relationship Id="rId5" Type="http://schemas.openxmlformats.org/officeDocument/2006/relationships/hyperlink" Target="https://bit.ly/2q2kM93" TargetMode="External"/><Relationship Id="rId10" Type="http://schemas.openxmlformats.org/officeDocument/2006/relationships/hyperlink" Target="https://www.mintrab.gob.cl/27-aumenta-el-registro-de-contratos-de-las-trabajadoras-de-casa-particular-en-la-direccion-del-trabajo/" TargetMode="External"/><Relationship Id="rId4" Type="http://schemas.openxmlformats.org/officeDocument/2006/relationships/hyperlink" Target="https://bibliotecadigital.indh.cl/handle/123456789/1138" TargetMode="External"/><Relationship Id="rId9" Type="http://schemas.openxmlformats.org/officeDocument/2006/relationships/hyperlink" Target="https://www.mintrab.gob.cl/27-aumenta-el-registro-de-contratos-de-las-trabajadoras-de-casa-particular-en-la-direccion-del-trabaj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1FB770-30BE-E543-835C-ED441EBF8161}">
  <ds:schemaRefs>
    <ds:schemaRef ds:uri="http://schemas.openxmlformats.org/officeDocument/2006/bibliography"/>
  </ds:schemaRefs>
</ds:datastoreItem>
</file>

<file path=customXml/itemProps2.xml><?xml version="1.0" encoding="utf-8"?>
<ds:datastoreItem xmlns:ds="http://schemas.openxmlformats.org/officeDocument/2006/customXml" ds:itemID="{E3F2C8A8-6711-46F9-914F-FA90BD3BF9E3}"/>
</file>

<file path=customXml/itemProps3.xml><?xml version="1.0" encoding="utf-8"?>
<ds:datastoreItem xmlns:ds="http://schemas.openxmlformats.org/officeDocument/2006/customXml" ds:itemID="{C5E105D0-62F9-4649-B2C3-2114237E5596}"/>
</file>

<file path=customXml/itemProps4.xml><?xml version="1.0" encoding="utf-8"?>
<ds:datastoreItem xmlns:ds="http://schemas.openxmlformats.org/officeDocument/2006/customXml" ds:itemID="{E3360CB6-4B19-44B3-8F52-80DD33E37B82}"/>
</file>

<file path=docProps/app.xml><?xml version="1.0" encoding="utf-8"?>
<Properties xmlns="http://schemas.openxmlformats.org/officeDocument/2006/extended-properties" xmlns:vt="http://schemas.openxmlformats.org/officeDocument/2006/docPropsVTypes">
  <Template>Normal.dotm</Template>
  <TotalTime>2</TotalTime>
  <Pages>17</Pages>
  <Words>6413</Words>
  <Characters>36687</Characters>
  <Application>Microsoft Office Word</Application>
  <DocSecurity>0</DocSecurity>
  <Lines>733</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Usuario de Microsoft Office</cp:lastModifiedBy>
  <cp:revision>2</cp:revision>
  <dcterms:created xsi:type="dcterms:W3CDTF">2020-03-17T20:53:00Z</dcterms:created>
  <dcterms:modified xsi:type="dcterms:W3CDTF">2020-03-17T20:53:00Z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