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BBDC5" w14:textId="77777777" w:rsidR="005E4419" w:rsidRPr="0072077A" w:rsidRDefault="005E4419" w:rsidP="005E4419">
      <w:pPr>
        <w:jc w:val="right"/>
        <w:rPr>
          <w:rFonts w:ascii="Times New Roman" w:hAnsi="Times New Roman" w:cs="Times New Roman"/>
        </w:rPr>
      </w:pPr>
    </w:p>
    <w:p w14:paraId="2D29A3A7" w14:textId="77777777" w:rsidR="001E3020" w:rsidRDefault="001E3020" w:rsidP="005E4419">
      <w:pPr>
        <w:jc w:val="right"/>
        <w:rPr>
          <w:rFonts w:ascii="Times New Roman" w:hAnsi="Times New Roman" w:cs="Times New Roman"/>
        </w:rPr>
      </w:pPr>
    </w:p>
    <w:p w14:paraId="64908180" w14:textId="77777777" w:rsidR="001E3020" w:rsidRDefault="001E3020" w:rsidP="001E3020">
      <w:pPr>
        <w:jc w:val="right"/>
        <w:rPr>
          <w:rFonts w:ascii="Times New Roman" w:hAnsi="Times New Roman" w:cs="Times New Roman"/>
        </w:rPr>
      </w:pPr>
    </w:p>
    <w:p w14:paraId="7463397C" w14:textId="4C38C153" w:rsidR="0072077A" w:rsidRPr="0072077A" w:rsidRDefault="001E3020" w:rsidP="001E3020">
      <w:pPr>
        <w:jc w:val="right"/>
        <w:rPr>
          <w:rFonts w:ascii="Times New Roman" w:hAnsi="Times New Roman" w:cs="Times New Roman"/>
        </w:rPr>
      </w:pPr>
      <w:r w:rsidRPr="0072077A">
        <w:rPr>
          <w:rFonts w:ascii="Times New Roman" w:hAnsi="Times New Roman" w:cs="Times New Roman"/>
        </w:rPr>
        <w:t xml:space="preserve">Ginebra </w:t>
      </w:r>
      <w:r w:rsidR="003D69D4">
        <w:rPr>
          <w:rFonts w:ascii="Times New Roman" w:hAnsi="Times New Roman" w:cs="Times New Roman"/>
        </w:rPr>
        <w:t xml:space="preserve">22 </w:t>
      </w:r>
      <w:r w:rsidRPr="0072077A">
        <w:rPr>
          <w:rFonts w:ascii="Times New Roman" w:hAnsi="Times New Roman" w:cs="Times New Roman"/>
        </w:rPr>
        <w:t xml:space="preserve">de </w:t>
      </w:r>
      <w:r w:rsidR="003D69D4">
        <w:rPr>
          <w:rFonts w:ascii="Times New Roman" w:hAnsi="Times New Roman" w:cs="Times New Roman"/>
        </w:rPr>
        <w:t>marzo</w:t>
      </w:r>
      <w:r w:rsidRPr="0072077A">
        <w:rPr>
          <w:rFonts w:ascii="Times New Roman" w:hAnsi="Times New Roman" w:cs="Times New Roman"/>
        </w:rPr>
        <w:t xml:space="preserve"> 202</w:t>
      </w:r>
      <w:r w:rsidR="003D69D4">
        <w:rPr>
          <w:rFonts w:ascii="Times New Roman" w:hAnsi="Times New Roman" w:cs="Times New Roman"/>
        </w:rPr>
        <w:t>6</w:t>
      </w:r>
    </w:p>
    <w:p w14:paraId="4F70CD95" w14:textId="77777777" w:rsidR="0072077A" w:rsidRPr="0072077A" w:rsidRDefault="0072077A" w:rsidP="005E4419"/>
    <w:p w14:paraId="4C1FADA2" w14:textId="5B4209BD" w:rsidR="0072077A" w:rsidRDefault="003D69D4" w:rsidP="0072077A">
      <w:pPr>
        <w:jc w:val="center"/>
        <w:rPr>
          <w:rFonts w:ascii="Times New Roman" w:hAnsi="Times New Roman" w:cs="Times New Roman"/>
          <w:b/>
          <w:bCs/>
        </w:rPr>
      </w:pPr>
      <w:r w:rsidRPr="003D69D4">
        <w:rPr>
          <w:rFonts w:ascii="Times New Roman" w:hAnsi="Times New Roman" w:cs="Times New Roman"/>
          <w:b/>
          <w:bCs/>
        </w:rPr>
        <w:t>Comité para la Eliminación de la Discriminación Racial</w:t>
      </w:r>
    </w:p>
    <w:p w14:paraId="02558624" w14:textId="5D1296B9" w:rsidR="005E6612" w:rsidRPr="005E6612" w:rsidRDefault="005E6612" w:rsidP="005E6612">
      <w:pPr>
        <w:pStyle w:val="NormalWeb"/>
        <w:jc w:val="both"/>
      </w:pPr>
      <w:r w:rsidRPr="005E6612">
        <w:t>El presente informe se elabora desde una perspectiva de la sociedad civil con el objetivo de valorar las acciones desarrolladas por Cuba en materia de cooperación internacional y su contribución a la lucha contra la discriminación racial.</w:t>
      </w:r>
    </w:p>
    <w:p w14:paraId="2607D58B" w14:textId="77777777" w:rsidR="005E6612" w:rsidRPr="005E6612" w:rsidRDefault="005E6612" w:rsidP="005E6612">
      <w:pPr>
        <w:pStyle w:val="NormalWeb"/>
        <w:jc w:val="both"/>
      </w:pPr>
      <w:r w:rsidRPr="005E6612">
        <w:t>Desde la sociedad civil, resulta relevante destacar que estas acciones se desarrollan en un contexto marcado por importantes limitaciones económicas derivadas del bloqueo económico, comercial y financiero que afecta al país desde hace décadas. A pesar de estas condiciones adversas, Cuba ha mantenido una política activa de cooperación internacional, orientada a apoyar a poblaciones en situación de vulnerabilidad en diferentes regiones del mundo.</w:t>
      </w:r>
    </w:p>
    <w:p w14:paraId="3A647235" w14:textId="4124ABD9" w:rsidR="005E6612" w:rsidRPr="005E6612" w:rsidRDefault="005E6612" w:rsidP="005E6612">
      <w:pPr>
        <w:pStyle w:val="NormalWeb"/>
        <w:jc w:val="both"/>
      </w:pPr>
      <w:r w:rsidRPr="005E6612">
        <w:t>El presente informe busca poner en valor estas iniciativas, reconociendo su impacto en la mejora de las condiciones de vida de millones de personas, así como su contribución a la promoción de principios fundamentales como la solidaridad, la equidad y la no discriminación.</w:t>
      </w:r>
    </w:p>
    <w:p w14:paraId="41A4FC3F" w14:textId="14241A66" w:rsidR="008E6772" w:rsidRPr="005E6612" w:rsidRDefault="008E6772" w:rsidP="005E6612">
      <w:pPr>
        <w:pStyle w:val="NormalWeb"/>
        <w:jc w:val="both"/>
      </w:pPr>
      <w:r w:rsidRPr="005E6612">
        <w:t xml:space="preserve">El análisis de la cooperación internacional desarrollada por Cuba permite observar una aproximación singular a la lucha contra la discriminación racial, en la que los derechos sociales adquieren un papel central como mecanismo de reducción de desigualdades. En el marco de la </w:t>
      </w:r>
      <w:r w:rsidRPr="005E6612">
        <w:rPr>
          <w:rStyle w:val="Fuerte"/>
        </w:rPr>
        <w:t>Convención Internacional sobre la Eliminación de Todas las Formas de Discriminación Racial</w:t>
      </w:r>
      <w:r w:rsidRPr="005E6612">
        <w:t xml:space="preserve">, particularmente en relación con los artículos 2, 5 y 9, el Estado cubano ha presentado sus acciones exteriores no solo como política de cooperación, sino como extensión práctica de sus compromisos en materia de derechos </w:t>
      </w:r>
      <w:r w:rsidR="005E6612" w:rsidRPr="005E6612">
        <w:t>humanos.</w:t>
      </w:r>
    </w:p>
    <w:p w14:paraId="716DE290" w14:textId="77777777" w:rsidR="008E6772" w:rsidRPr="005E6612" w:rsidRDefault="008E6772" w:rsidP="005E6612">
      <w:pPr>
        <w:pStyle w:val="NormalWeb"/>
        <w:jc w:val="both"/>
      </w:pPr>
      <w:r w:rsidRPr="005E6612">
        <w:t>A diferencia de enfoques más restrictivos que abordan la discriminación racial exclusivamente desde una dimensión jurídica o sancionadora, el modelo cubano incorpora una perspectiva estructural. En este sentido, la promoción del acceso universal a la salud y la educación se interpreta como una herramienta indirecta pero efectiva para combatir formas profundas de desigualdad que, en muchos contextos, se superponen con dinámicas de exclusión racial.</w:t>
      </w:r>
    </w:p>
    <w:p w14:paraId="113AAD1E" w14:textId="77777777" w:rsidR="005E6612" w:rsidRDefault="005E6612" w:rsidP="005E6612">
      <w:pPr>
        <w:pStyle w:val="NormalWeb"/>
        <w:jc w:val="both"/>
      </w:pPr>
    </w:p>
    <w:p w14:paraId="6AA52721" w14:textId="77777777" w:rsidR="005E6612" w:rsidRDefault="005E6612" w:rsidP="005E6612">
      <w:pPr>
        <w:pStyle w:val="NormalWeb"/>
        <w:jc w:val="both"/>
      </w:pPr>
    </w:p>
    <w:p w14:paraId="5B1E87F0" w14:textId="77777777" w:rsidR="005E6612" w:rsidRDefault="005E6612" w:rsidP="005E6612">
      <w:pPr>
        <w:pStyle w:val="NormalWeb"/>
        <w:jc w:val="both"/>
      </w:pPr>
    </w:p>
    <w:p w14:paraId="0D2A13E7" w14:textId="77777777" w:rsidR="005E6612" w:rsidRDefault="005E6612" w:rsidP="005E6612">
      <w:pPr>
        <w:pStyle w:val="NormalWeb"/>
        <w:jc w:val="both"/>
      </w:pPr>
    </w:p>
    <w:p w14:paraId="13A494E7" w14:textId="77777777" w:rsidR="005E6612" w:rsidRDefault="005E6612" w:rsidP="005E6612">
      <w:pPr>
        <w:pStyle w:val="NormalWeb"/>
        <w:jc w:val="both"/>
      </w:pPr>
    </w:p>
    <w:p w14:paraId="5B419030" w14:textId="77777777" w:rsidR="005E6612" w:rsidRDefault="005E6612" w:rsidP="005E6612">
      <w:pPr>
        <w:pStyle w:val="NormalWeb"/>
        <w:jc w:val="both"/>
      </w:pPr>
    </w:p>
    <w:p w14:paraId="6CC516AE" w14:textId="77777777" w:rsidR="005E6612" w:rsidRDefault="005E6612" w:rsidP="005E6612">
      <w:pPr>
        <w:pStyle w:val="NormalWeb"/>
        <w:jc w:val="both"/>
      </w:pPr>
    </w:p>
    <w:p w14:paraId="1F999AD0" w14:textId="7D4575CC" w:rsidR="008E6772" w:rsidRPr="005E6612" w:rsidRDefault="008E6772" w:rsidP="005E6612">
      <w:pPr>
        <w:pStyle w:val="NormalWeb"/>
        <w:jc w:val="both"/>
      </w:pPr>
      <w:r w:rsidRPr="005E6612">
        <w:t>Las misiones médicas internacionales constituyen uno de los elementos más visibles de esta política. La presencia sostenida de profesionales de la salud en países con limitaciones estructurales, así como iniciativas de gran escala como la Operación Milagro, han contribuido a ampliar el acceso a servicios sanitarios especializados para millones de personas. Desde una perspectiva crítica, podría señalarse que este tipo de cooperación no sustituye la necesidad de reformas estructurales en los países receptores; sin embargo, resulta innegable que estas intervenciones tienen un impacto inmediato en poblaciones históricamente marginadas, lo que las sitúa en una posición relevante dentro de la realización efectiva del derecho a la salud sin discriminación.</w:t>
      </w:r>
    </w:p>
    <w:p w14:paraId="62D4D1A3" w14:textId="77777777" w:rsidR="008E6772" w:rsidRPr="005E6612" w:rsidRDefault="008E6772" w:rsidP="005E6612">
      <w:pPr>
        <w:pStyle w:val="NormalWeb"/>
        <w:jc w:val="both"/>
      </w:pPr>
      <w:r w:rsidRPr="005E6612">
        <w:t>En el ámbito educativo, programas de alfabetización como “Yo Sí Puedo” y la formación de estudiantes extranjeros en instituciones cubanas evidencian una lógica similar. Estas iniciativas no solo abordan déficits educativos, sino que contribuyen a la construcción de capacidades locales en contextos donde el acceso al conocimiento ha estado históricamente condicionado por factores socioeconómicos y, en muchos casos, raciales. Desde este punto de vista, la cooperación educativa puede entenderse como un instrumento de redistribución simbólica y material del conocimiento.</w:t>
      </w:r>
    </w:p>
    <w:p w14:paraId="197B3D46" w14:textId="5A046ADE" w:rsidR="008E6772" w:rsidRPr="005E6612" w:rsidRDefault="008E6772" w:rsidP="005E6612">
      <w:pPr>
        <w:pStyle w:val="NormalWeb"/>
        <w:jc w:val="both"/>
      </w:pPr>
      <w:r w:rsidRPr="005E6612">
        <w:t xml:space="preserve">No obstante, un análisis riguroso requiere considerar el contexto en el que estas políticas se desarrollan. El propio informe reconoce el impacto prolongado del bloqueo económico, comercial y financiero, que limita el acceso a recursos y condiciona el desarrollo interno del </w:t>
      </w:r>
      <w:r w:rsidR="005E6612" w:rsidRPr="005E6612">
        <w:t>país.</w:t>
      </w:r>
      <w:r w:rsidRPr="005E6612">
        <w:t xml:space="preserve"> Este elemento introduce una tensión relevante: Cuba despliega una política de cooperación internacional activa mientras enfrenta restricciones estructurales significativas. Lejos de invalidar su actuación, este contexto puede interpretarse como un factor que refuerza el carácter político y simbólico de su cooperación, en tanto expresa una voluntad de inserción internacional basada en la solidaridad y no exclusivamente en la capacidad económica.</w:t>
      </w:r>
    </w:p>
    <w:p w14:paraId="27EA5EDA" w14:textId="77777777" w:rsidR="008E6772" w:rsidRPr="005E6612" w:rsidRDefault="008E6772" w:rsidP="005E6612">
      <w:pPr>
        <w:pStyle w:val="NormalWeb"/>
        <w:jc w:val="both"/>
      </w:pPr>
      <w:r w:rsidRPr="005E6612">
        <w:t>Desde una perspectiva crítica pero equilibrada, también es posible señalar que el informe presenta una visión predominantemente positiva de estas políticas, con escasa problematización de sus límites o impactos a largo plazo. Sin embargo, esta limitación no anula la coherencia general del enfoque cubano, que articula de manera consistente sus políticas internas y externas en torno a los principios de igualdad y no discriminación.</w:t>
      </w:r>
    </w:p>
    <w:p w14:paraId="6545A26A" w14:textId="77777777" w:rsidR="008E6772" w:rsidRDefault="008E6772" w:rsidP="005E6612">
      <w:pPr>
        <w:pStyle w:val="NormalWeb"/>
        <w:jc w:val="both"/>
      </w:pPr>
      <w:r w:rsidRPr="005E6612">
        <w:t>En definitiva, la cooperación internacional de Cuba puede interpretarse como una forma de acción política orientada a la reducción de desigualdades globales, en la que la lucha contra la discriminación racial se vincula estrechamente con la garantía de derechos sociales. Más allá de sus posibles limitaciones, este enfoque ofrece una perspectiva relevante dentro del debate contemporáneo sobre derechos humanos, al situar la equidad material como condición necesaria para la igualdad real.</w:t>
      </w:r>
    </w:p>
    <w:p w14:paraId="61372C72" w14:textId="77777777" w:rsidR="00190233" w:rsidRDefault="00190233" w:rsidP="005E6612">
      <w:pPr>
        <w:pStyle w:val="NormalWeb"/>
        <w:jc w:val="both"/>
      </w:pPr>
    </w:p>
    <w:p w14:paraId="4F3A4054" w14:textId="77777777" w:rsidR="00190233" w:rsidRDefault="00190233" w:rsidP="005E6612">
      <w:pPr>
        <w:pStyle w:val="NormalWeb"/>
        <w:jc w:val="both"/>
      </w:pPr>
    </w:p>
    <w:p w14:paraId="306FFF2C" w14:textId="77777777" w:rsidR="00190233" w:rsidRDefault="00190233" w:rsidP="005E6612">
      <w:pPr>
        <w:pStyle w:val="NormalWeb"/>
        <w:jc w:val="both"/>
      </w:pPr>
    </w:p>
    <w:p w14:paraId="48943E19" w14:textId="77777777" w:rsidR="00190233" w:rsidRDefault="00190233" w:rsidP="005E6612">
      <w:pPr>
        <w:pStyle w:val="NormalWeb"/>
        <w:jc w:val="both"/>
      </w:pPr>
    </w:p>
    <w:p w14:paraId="15234A3B" w14:textId="77777777" w:rsidR="00190233" w:rsidRDefault="00190233" w:rsidP="005E6612">
      <w:pPr>
        <w:pStyle w:val="NormalWeb"/>
        <w:jc w:val="both"/>
      </w:pPr>
    </w:p>
    <w:p w14:paraId="35C76C8A" w14:textId="7A1F12DB" w:rsidR="00190233" w:rsidRDefault="00190233" w:rsidP="005E6612">
      <w:pPr>
        <w:pStyle w:val="NormalWeb"/>
        <w:jc w:val="both"/>
      </w:pPr>
      <w:r w:rsidRPr="00190233">
        <w:t>Desde la perspectiva de la sociedad civil, y en línea con los avances expuestos, se proponen las siguientes recomendaciones con el objetivo de fortalecer el impacto de las políticas de cooperación internacional desarrolladas por Cuba:</w:t>
      </w:r>
    </w:p>
    <w:p w14:paraId="2659C6B6" w14:textId="3907C3CF" w:rsidR="00190233" w:rsidRDefault="00190233" w:rsidP="00190233">
      <w:pPr>
        <w:pStyle w:val="NormalWeb"/>
        <w:jc w:val="both"/>
      </w:pPr>
      <w:r>
        <w:t>Continuar priorizando a poblaciones en situación de vulnerabilidad</w:t>
      </w:r>
      <w:r>
        <w:t>:</w:t>
      </w:r>
    </w:p>
    <w:p w14:paraId="411260EE" w14:textId="4B360940" w:rsidR="00190233" w:rsidRDefault="00190233" w:rsidP="00190233">
      <w:pPr>
        <w:pStyle w:val="NormalWeb"/>
        <w:numPr>
          <w:ilvl w:val="0"/>
          <w:numId w:val="3"/>
        </w:numPr>
        <w:jc w:val="both"/>
      </w:pPr>
      <w:r>
        <w:t>Se recomienda profundizar en la sistematización y evaluación de los resultados de las iniciativas de cooperación internacional, especialmente en los ámbitos de salud y educación. Esto permitiría visibilizar de manera más clara sus efectos en la reducción de desigualdades y facilitaría su reconocimiento a nivel internacional.</w:t>
      </w:r>
    </w:p>
    <w:p w14:paraId="720956BA" w14:textId="77777777" w:rsidR="00190233" w:rsidRDefault="00190233" w:rsidP="00190233">
      <w:pPr>
        <w:pStyle w:val="NormalWeb"/>
        <w:ind w:left="720"/>
        <w:jc w:val="both"/>
      </w:pPr>
    </w:p>
    <w:p w14:paraId="5D1A6105" w14:textId="730DC346" w:rsidR="00190233" w:rsidRDefault="00190233" w:rsidP="00190233">
      <w:pPr>
        <w:pStyle w:val="NormalWeb"/>
        <w:numPr>
          <w:ilvl w:val="0"/>
          <w:numId w:val="3"/>
        </w:numPr>
        <w:jc w:val="both"/>
      </w:pPr>
      <w:r>
        <w:t>Mantener el enfoque en comunidades con mayores necesidades contribuirá a reforzar el impacto de estas políticas en la reducción de desigualdades estructurales, incluidas aquellas relacionadas con la discriminación racial.</w:t>
      </w:r>
    </w:p>
    <w:p w14:paraId="79A94C03" w14:textId="77777777" w:rsidR="00190233" w:rsidRDefault="00190233" w:rsidP="00190233">
      <w:pPr>
        <w:pStyle w:val="NormalWeb"/>
        <w:jc w:val="both"/>
      </w:pPr>
    </w:p>
    <w:p w14:paraId="09D1EE6A" w14:textId="77777777" w:rsidR="00190233" w:rsidRPr="00190233" w:rsidRDefault="00190233" w:rsidP="00190233">
      <w:pPr>
        <w:pStyle w:val="NormalWeb"/>
        <w:jc w:val="both"/>
      </w:pPr>
    </w:p>
    <w:p w14:paraId="79A2B88D" w14:textId="77777777" w:rsidR="003D69D4" w:rsidRPr="005E6612" w:rsidRDefault="003D69D4" w:rsidP="005E6612">
      <w:pPr>
        <w:spacing w:line="240" w:lineRule="auto"/>
        <w:jc w:val="both"/>
        <w:rPr>
          <w:rFonts w:ascii="Times New Roman" w:hAnsi="Times New Roman" w:cs="Times New Roman"/>
        </w:rPr>
      </w:pPr>
    </w:p>
    <w:p w14:paraId="075638A2" w14:textId="77777777" w:rsidR="003D69D4" w:rsidRPr="005E6612" w:rsidRDefault="003D69D4" w:rsidP="005E6612">
      <w:pPr>
        <w:spacing w:line="240" w:lineRule="auto"/>
        <w:jc w:val="both"/>
        <w:rPr>
          <w:rFonts w:ascii="Times New Roman" w:eastAsia="STXingkai" w:hAnsi="Times New Roman" w:cs="Times New Roman"/>
          <w:sz w:val="10"/>
          <w:szCs w:val="10"/>
        </w:rPr>
      </w:pPr>
    </w:p>
    <w:p w14:paraId="6E9DB4C2" w14:textId="651F48AF" w:rsidR="005E4419" w:rsidRPr="005E6612" w:rsidRDefault="005E4419" w:rsidP="005E6612">
      <w:pPr>
        <w:spacing w:line="240" w:lineRule="auto"/>
        <w:jc w:val="both"/>
        <w:rPr>
          <w:rFonts w:ascii="Times New Roman" w:hAnsi="Times New Roman" w:cs="Times New Roman"/>
        </w:rPr>
      </w:pPr>
    </w:p>
    <w:sectPr w:rsidR="005E4419" w:rsidRPr="005E661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6CF75" w14:textId="77777777" w:rsidR="00104A24" w:rsidRDefault="00104A24" w:rsidP="005E4419">
      <w:pPr>
        <w:spacing w:after="0" w:line="240" w:lineRule="auto"/>
      </w:pPr>
      <w:r>
        <w:separator/>
      </w:r>
    </w:p>
  </w:endnote>
  <w:endnote w:type="continuationSeparator" w:id="0">
    <w:p w14:paraId="043AE695" w14:textId="77777777" w:rsidR="00104A24" w:rsidRDefault="00104A24" w:rsidP="005E4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TXingkai">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9AA5A" w14:textId="0CB34FD9" w:rsidR="0072077A" w:rsidRDefault="001E3020">
    <w:pPr>
      <w:pStyle w:val="Piedepgina"/>
    </w:pPr>
    <w:r>
      <w:rPr>
        <w:noProof/>
      </w:rPr>
      <w:drawing>
        <wp:anchor distT="0" distB="0" distL="114300" distR="114300" simplePos="0" relativeHeight="251660288" behindDoc="1" locked="0" layoutInCell="1" allowOverlap="1" wp14:anchorId="560ADCEC" wp14:editId="006E055C">
          <wp:simplePos x="0" y="0"/>
          <wp:positionH relativeFrom="column">
            <wp:posOffset>-1088524</wp:posOffset>
          </wp:positionH>
          <wp:positionV relativeFrom="paragraph">
            <wp:posOffset>35461</wp:posOffset>
          </wp:positionV>
          <wp:extent cx="7558405" cy="557962"/>
          <wp:effectExtent l="0" t="0" r="0" b="1270"/>
          <wp:wrapNone/>
          <wp:docPr id="161665731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57319" name="Imagen 1616657319"/>
                  <pic:cNvPicPr/>
                </pic:nvPicPr>
                <pic:blipFill>
                  <a:blip r:embed="rId1">
                    <a:extLst>
                      <a:ext uri="{28A0092B-C50C-407E-A947-70E740481C1C}">
                        <a14:useLocalDpi xmlns:a14="http://schemas.microsoft.com/office/drawing/2010/main" val="0"/>
                      </a:ext>
                    </a:extLst>
                  </a:blip>
                  <a:stretch>
                    <a:fillRect/>
                  </a:stretch>
                </pic:blipFill>
                <pic:spPr>
                  <a:xfrm>
                    <a:off x="0" y="0"/>
                    <a:ext cx="7629159" cy="5631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5C002" w14:textId="77777777" w:rsidR="00104A24" w:rsidRDefault="00104A24" w:rsidP="005E4419">
      <w:pPr>
        <w:spacing w:after="0" w:line="240" w:lineRule="auto"/>
      </w:pPr>
      <w:r>
        <w:separator/>
      </w:r>
    </w:p>
  </w:footnote>
  <w:footnote w:type="continuationSeparator" w:id="0">
    <w:p w14:paraId="37DE643D" w14:textId="77777777" w:rsidR="00104A24" w:rsidRDefault="00104A24" w:rsidP="005E4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23AB4" w14:textId="27736D50" w:rsidR="005E4419" w:rsidRDefault="001E3020">
    <w:pPr>
      <w:pStyle w:val="Encabezado"/>
    </w:pPr>
    <w:r>
      <w:rPr>
        <w:noProof/>
      </w:rPr>
      <w:drawing>
        <wp:anchor distT="0" distB="0" distL="114300" distR="114300" simplePos="0" relativeHeight="251659264" behindDoc="1" locked="0" layoutInCell="1" allowOverlap="1" wp14:anchorId="12356604" wp14:editId="162DEE4E">
          <wp:simplePos x="0" y="0"/>
          <wp:positionH relativeFrom="column">
            <wp:posOffset>2124459</wp:posOffset>
          </wp:positionH>
          <wp:positionV relativeFrom="paragraph">
            <wp:posOffset>-223077</wp:posOffset>
          </wp:positionV>
          <wp:extent cx="1266738" cy="1266738"/>
          <wp:effectExtent l="0" t="0" r="3810" b="3810"/>
          <wp:wrapNone/>
          <wp:docPr id="1275894015" name="Imagen 8" descr="Gráfico, Gráfico de proyección so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94015" name="Imagen 8" descr="Gráfico, Gráfico de proyección solar&#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274459" cy="127445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035E5"/>
    <w:multiLevelType w:val="hybridMultilevel"/>
    <w:tmpl w:val="82903E4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3A841645"/>
    <w:multiLevelType w:val="hybridMultilevel"/>
    <w:tmpl w:val="DA5EDB5C"/>
    <w:lvl w:ilvl="0" w:tplc="040A0001">
      <w:start w:val="1"/>
      <w:numFmt w:val="bullet"/>
      <w:lvlText w:val=""/>
      <w:lvlJc w:val="left"/>
      <w:pPr>
        <w:ind w:left="720" w:hanging="360"/>
      </w:pPr>
      <w:rPr>
        <w:rFonts w:ascii="Symbol" w:hAnsi="Symbol"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3F864708"/>
    <w:multiLevelType w:val="hybridMultilevel"/>
    <w:tmpl w:val="7FF666D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479686538">
    <w:abstractNumId w:val="0"/>
  </w:num>
  <w:num w:numId="2" w16cid:durableId="671377789">
    <w:abstractNumId w:val="2"/>
  </w:num>
  <w:num w:numId="3" w16cid:durableId="1915239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419"/>
    <w:rsid w:val="00104A24"/>
    <w:rsid w:val="00190233"/>
    <w:rsid w:val="001E3020"/>
    <w:rsid w:val="003D69D4"/>
    <w:rsid w:val="005E4419"/>
    <w:rsid w:val="005E6612"/>
    <w:rsid w:val="006C6AE1"/>
    <w:rsid w:val="0072077A"/>
    <w:rsid w:val="008B362D"/>
    <w:rsid w:val="008E6772"/>
    <w:rsid w:val="009D1418"/>
    <w:rsid w:val="00B96B01"/>
    <w:rsid w:val="00C94740"/>
    <w:rsid w:val="00DE7C23"/>
    <w:rsid w:val="00FC75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28FEB"/>
  <w15:chartTrackingRefBased/>
  <w15:docId w15:val="{96B357DE-687B-D046-B614-32F5E21B2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E44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E44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E441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E441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E441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E441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E441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E441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E441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441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E441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E441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E441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E441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E441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E441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E441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E4419"/>
    <w:rPr>
      <w:rFonts w:eastAsiaTheme="majorEastAsia" w:cstheme="majorBidi"/>
      <w:color w:val="272727" w:themeColor="text1" w:themeTint="D8"/>
    </w:rPr>
  </w:style>
  <w:style w:type="paragraph" w:styleId="Ttulo">
    <w:name w:val="Title"/>
    <w:basedOn w:val="Normal"/>
    <w:next w:val="Normal"/>
    <w:link w:val="TtuloCar"/>
    <w:uiPriority w:val="10"/>
    <w:qFormat/>
    <w:rsid w:val="005E4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E44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E441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E441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E4419"/>
    <w:pPr>
      <w:spacing w:before="160"/>
      <w:jc w:val="center"/>
    </w:pPr>
    <w:rPr>
      <w:i/>
      <w:iCs/>
      <w:color w:val="404040" w:themeColor="text1" w:themeTint="BF"/>
    </w:rPr>
  </w:style>
  <w:style w:type="character" w:customStyle="1" w:styleId="CitaCar">
    <w:name w:val="Cita Car"/>
    <w:basedOn w:val="Fuentedeprrafopredeter"/>
    <w:link w:val="Cita"/>
    <w:uiPriority w:val="29"/>
    <w:rsid w:val="005E4419"/>
    <w:rPr>
      <w:i/>
      <w:iCs/>
      <w:color w:val="404040" w:themeColor="text1" w:themeTint="BF"/>
    </w:rPr>
  </w:style>
  <w:style w:type="paragraph" w:styleId="Prrafodelista">
    <w:name w:val="List Paragraph"/>
    <w:basedOn w:val="Normal"/>
    <w:uiPriority w:val="34"/>
    <w:qFormat/>
    <w:rsid w:val="005E4419"/>
    <w:pPr>
      <w:ind w:left="720"/>
      <w:contextualSpacing/>
    </w:pPr>
  </w:style>
  <w:style w:type="character" w:styleId="nfasisintenso">
    <w:name w:val="Intense Emphasis"/>
    <w:basedOn w:val="Fuentedeprrafopredeter"/>
    <w:uiPriority w:val="21"/>
    <w:qFormat/>
    <w:rsid w:val="005E4419"/>
    <w:rPr>
      <w:i/>
      <w:iCs/>
      <w:color w:val="0F4761" w:themeColor="accent1" w:themeShade="BF"/>
    </w:rPr>
  </w:style>
  <w:style w:type="paragraph" w:styleId="Citadestacada">
    <w:name w:val="Intense Quote"/>
    <w:basedOn w:val="Normal"/>
    <w:next w:val="Normal"/>
    <w:link w:val="CitadestacadaCar"/>
    <w:uiPriority w:val="30"/>
    <w:qFormat/>
    <w:rsid w:val="005E44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E4419"/>
    <w:rPr>
      <w:i/>
      <w:iCs/>
      <w:color w:val="0F4761" w:themeColor="accent1" w:themeShade="BF"/>
    </w:rPr>
  </w:style>
  <w:style w:type="character" w:styleId="Referenciaintensa">
    <w:name w:val="Intense Reference"/>
    <w:basedOn w:val="Fuentedeprrafopredeter"/>
    <w:uiPriority w:val="32"/>
    <w:qFormat/>
    <w:rsid w:val="005E4419"/>
    <w:rPr>
      <w:b/>
      <w:bCs/>
      <w:smallCaps/>
      <w:color w:val="0F4761" w:themeColor="accent1" w:themeShade="BF"/>
      <w:spacing w:val="5"/>
    </w:rPr>
  </w:style>
  <w:style w:type="paragraph" w:styleId="NormalWeb">
    <w:name w:val="Normal (Web)"/>
    <w:basedOn w:val="Normal"/>
    <w:uiPriority w:val="99"/>
    <w:semiHidden/>
    <w:unhideWhenUsed/>
    <w:rsid w:val="005E4419"/>
    <w:pPr>
      <w:spacing w:before="100" w:beforeAutospacing="1" w:after="100" w:afterAutospacing="1" w:line="240" w:lineRule="auto"/>
    </w:pPr>
    <w:rPr>
      <w:rFonts w:ascii="Times New Roman" w:eastAsia="Times New Roman" w:hAnsi="Times New Roman" w:cs="Times New Roman"/>
      <w:kern w:val="0"/>
      <w:lang w:eastAsia="es-ES_tradnl"/>
      <w14:ligatures w14:val="none"/>
    </w:rPr>
  </w:style>
  <w:style w:type="paragraph" w:styleId="Encabezado">
    <w:name w:val="header"/>
    <w:basedOn w:val="Normal"/>
    <w:link w:val="EncabezadoCar"/>
    <w:uiPriority w:val="99"/>
    <w:unhideWhenUsed/>
    <w:rsid w:val="005E44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4419"/>
  </w:style>
  <w:style w:type="paragraph" w:styleId="Piedepgina">
    <w:name w:val="footer"/>
    <w:basedOn w:val="Normal"/>
    <w:link w:val="PiedepginaCar"/>
    <w:uiPriority w:val="99"/>
    <w:unhideWhenUsed/>
    <w:rsid w:val="005E44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4419"/>
  </w:style>
  <w:style w:type="character" w:styleId="Fuerte">
    <w:name w:val="Strong"/>
    <w:basedOn w:val="Fuentedeprrafopredeter"/>
    <w:uiPriority w:val="22"/>
    <w:qFormat/>
    <w:rsid w:val="008E67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AC3FF-A948-1F4A-85EA-5C896398C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844</Words>
  <Characters>5109</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MARIA ANTON</dc:creator>
  <cp:keywords/>
  <dc:description/>
  <cp:lastModifiedBy>JOSE LUIS MARIA ANTON</cp:lastModifiedBy>
  <cp:revision>2</cp:revision>
  <dcterms:created xsi:type="dcterms:W3CDTF">2026-03-22T20:47:00Z</dcterms:created>
  <dcterms:modified xsi:type="dcterms:W3CDTF">2026-03-22T20:47:00Z</dcterms:modified>
</cp:coreProperties>
</file>