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80" w:rsidRDefault="00F31580">
      <w:pPr>
        <w:spacing w:line="240" w:lineRule="auto"/>
        <w:jc w:val="both"/>
        <w:rPr>
          <w:rFonts w:ascii="Slabo 27px" w:eastAsia="Slabo 27px" w:hAnsi="Slabo 27px" w:cs="Slabo 27px"/>
          <w:sz w:val="24"/>
          <w:szCs w:val="24"/>
        </w:rPr>
      </w:pPr>
      <w:bookmarkStart w:id="0" w:name="_heading=h.7p9yxed1ou8q" w:colFirst="0" w:colLast="0"/>
      <w:bookmarkStart w:id="1" w:name="_GoBack"/>
      <w:bookmarkEnd w:id="0"/>
      <w:bookmarkEnd w:id="1"/>
    </w:p>
    <w:tbl>
      <w:tblPr>
        <w:tblStyle w:val="a0"/>
        <w:tblW w:w="9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7"/>
        <w:gridCol w:w="4987"/>
      </w:tblGrid>
      <w:tr w:rsidR="00F31580">
        <w:tc>
          <w:tcPr>
            <w:tcW w:w="4987" w:type="dxa"/>
            <w:shd w:val="clear" w:color="auto" w:fill="auto"/>
            <w:tcMar>
              <w:top w:w="100" w:type="dxa"/>
              <w:left w:w="100" w:type="dxa"/>
              <w:bottom w:w="100" w:type="dxa"/>
              <w:right w:w="100" w:type="dxa"/>
            </w:tcMar>
          </w:tcPr>
          <w:p w:rsidR="00F31580" w:rsidRDefault="00156FC1">
            <w:pPr>
              <w:widowControl w:val="0"/>
              <w:pBdr>
                <w:top w:val="nil"/>
                <w:left w:val="nil"/>
                <w:bottom w:val="nil"/>
                <w:right w:val="nil"/>
                <w:between w:val="nil"/>
              </w:pBdr>
              <w:spacing w:after="0" w:line="240" w:lineRule="auto"/>
              <w:jc w:val="center"/>
              <w:rPr>
                <w:rFonts w:ascii="Slabo 27px" w:eastAsia="Slabo 27px" w:hAnsi="Slabo 27px" w:cs="Slabo 27px"/>
                <w:sz w:val="24"/>
                <w:szCs w:val="24"/>
              </w:rPr>
            </w:pPr>
            <w:r>
              <w:rPr>
                <w:noProof/>
                <w:lang w:val="en-GB"/>
              </w:rPr>
              <w:drawing>
                <wp:anchor distT="57150" distB="57150" distL="57150" distR="57150" simplePos="0" relativeHeight="251658240" behindDoc="0" locked="0" layoutInCell="1" hidden="0" allowOverlap="1">
                  <wp:simplePos x="0" y="0"/>
                  <wp:positionH relativeFrom="column">
                    <wp:posOffset>-9524</wp:posOffset>
                  </wp:positionH>
                  <wp:positionV relativeFrom="paragraph">
                    <wp:posOffset>647700</wp:posOffset>
                  </wp:positionV>
                  <wp:extent cx="2723288" cy="1418561"/>
                  <wp:effectExtent l="0" t="0" r="0" b="0"/>
                  <wp:wrapSquare wrapText="bothSides" distT="57150" distB="57150" distL="57150" distR="57150"/>
                  <wp:docPr id="3" name="image1.png" descr="SALAM DHR"/>
                  <wp:cNvGraphicFramePr/>
                  <a:graphic xmlns:a="http://schemas.openxmlformats.org/drawingml/2006/main">
                    <a:graphicData uri="http://schemas.openxmlformats.org/drawingml/2006/picture">
                      <pic:pic xmlns:pic="http://schemas.openxmlformats.org/drawingml/2006/picture">
                        <pic:nvPicPr>
                          <pic:cNvPr id="0" name="image1.png" descr="SALAM DHR"/>
                          <pic:cNvPicPr preferRelativeResize="0"/>
                        </pic:nvPicPr>
                        <pic:blipFill>
                          <a:blip r:embed="rId8"/>
                          <a:srcRect/>
                          <a:stretch>
                            <a:fillRect/>
                          </a:stretch>
                        </pic:blipFill>
                        <pic:spPr>
                          <a:xfrm>
                            <a:off x="0" y="0"/>
                            <a:ext cx="2723288" cy="1418561"/>
                          </a:xfrm>
                          <a:prstGeom prst="rect">
                            <a:avLst/>
                          </a:prstGeom>
                          <a:ln/>
                        </pic:spPr>
                      </pic:pic>
                    </a:graphicData>
                  </a:graphic>
                </wp:anchor>
              </w:drawing>
            </w:r>
          </w:p>
        </w:tc>
        <w:tc>
          <w:tcPr>
            <w:tcW w:w="4987" w:type="dxa"/>
            <w:shd w:val="clear" w:color="auto" w:fill="auto"/>
            <w:tcMar>
              <w:top w:w="100" w:type="dxa"/>
              <w:left w:w="100" w:type="dxa"/>
              <w:bottom w:w="100" w:type="dxa"/>
              <w:right w:w="100" w:type="dxa"/>
            </w:tcMar>
          </w:tcPr>
          <w:p w:rsidR="00F31580" w:rsidRDefault="00156FC1">
            <w:pPr>
              <w:widowControl w:val="0"/>
              <w:pBdr>
                <w:top w:val="nil"/>
                <w:left w:val="nil"/>
                <w:bottom w:val="nil"/>
                <w:right w:val="nil"/>
                <w:between w:val="nil"/>
              </w:pBdr>
              <w:spacing w:after="0" w:line="240" w:lineRule="auto"/>
              <w:jc w:val="center"/>
              <w:rPr>
                <w:rFonts w:ascii="Slabo 27px" w:eastAsia="Slabo 27px" w:hAnsi="Slabo 27px" w:cs="Slabo 27px"/>
                <w:sz w:val="24"/>
                <w:szCs w:val="24"/>
              </w:rPr>
            </w:pPr>
            <w:r>
              <w:rPr>
                <w:rFonts w:ascii="Slabo 27px" w:eastAsia="Slabo 27px" w:hAnsi="Slabo 27px" w:cs="Slabo 27px"/>
                <w:noProof/>
                <w:sz w:val="24"/>
                <w:szCs w:val="24"/>
                <w:lang w:val="en-GB"/>
              </w:rPr>
              <w:drawing>
                <wp:inline distT="114300" distB="114300" distL="114300" distR="114300">
                  <wp:extent cx="3028950" cy="2921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028950" cy="2921000"/>
                          </a:xfrm>
                          <a:prstGeom prst="rect">
                            <a:avLst/>
                          </a:prstGeom>
                          <a:ln/>
                        </pic:spPr>
                      </pic:pic>
                    </a:graphicData>
                  </a:graphic>
                </wp:inline>
              </w:drawing>
            </w:r>
          </w:p>
        </w:tc>
      </w:tr>
    </w:tbl>
    <w:p w:rsidR="00F31580" w:rsidRDefault="00F31580">
      <w:pPr>
        <w:spacing w:line="240" w:lineRule="auto"/>
        <w:jc w:val="both"/>
        <w:rPr>
          <w:rFonts w:ascii="Slabo 27px" w:eastAsia="Slabo 27px" w:hAnsi="Slabo 27px" w:cs="Slabo 27px"/>
          <w:b/>
          <w:sz w:val="24"/>
          <w:szCs w:val="24"/>
        </w:rPr>
      </w:pPr>
    </w:p>
    <w:p w:rsidR="00F31580" w:rsidRDefault="00156FC1">
      <w:pPr>
        <w:spacing w:line="240" w:lineRule="auto"/>
        <w:jc w:val="center"/>
        <w:rPr>
          <w:rFonts w:ascii="Slabo 27px" w:eastAsia="Slabo 27px" w:hAnsi="Slabo 27px" w:cs="Slabo 27px"/>
          <w:b/>
          <w:sz w:val="36"/>
          <w:szCs w:val="36"/>
        </w:rPr>
      </w:pPr>
      <w:r>
        <w:rPr>
          <w:rFonts w:ascii="Slabo 27px" w:eastAsia="Slabo 27px" w:hAnsi="Slabo 27px" w:cs="Slabo 27px"/>
          <w:b/>
          <w:sz w:val="36"/>
          <w:szCs w:val="36"/>
        </w:rPr>
        <w:t>Salam for Democracy and Human Rights &amp;</w:t>
      </w:r>
    </w:p>
    <w:p w:rsidR="00F31580" w:rsidRDefault="00156FC1">
      <w:pPr>
        <w:spacing w:line="240" w:lineRule="auto"/>
        <w:jc w:val="center"/>
        <w:rPr>
          <w:rFonts w:ascii="Slabo 27px" w:eastAsia="Slabo 27px" w:hAnsi="Slabo 27px" w:cs="Slabo 27px"/>
          <w:b/>
          <w:sz w:val="36"/>
          <w:szCs w:val="36"/>
        </w:rPr>
      </w:pPr>
      <w:r>
        <w:rPr>
          <w:rFonts w:ascii="Slabo 27px" w:eastAsia="Slabo 27px" w:hAnsi="Slabo 27px" w:cs="Slabo 27px"/>
          <w:b/>
          <w:sz w:val="36"/>
          <w:szCs w:val="36"/>
        </w:rPr>
        <w:t>Rights Realization Centre</w:t>
      </w:r>
    </w:p>
    <w:p w:rsidR="00F31580" w:rsidRDefault="00156FC1">
      <w:pPr>
        <w:spacing w:after="0" w:line="240" w:lineRule="auto"/>
        <w:jc w:val="center"/>
        <w:rPr>
          <w:rFonts w:ascii="Slabo 27px" w:eastAsia="Slabo 27px" w:hAnsi="Slabo 27px" w:cs="Slabo 27px"/>
          <w:b/>
          <w:sz w:val="28"/>
          <w:szCs w:val="28"/>
        </w:rPr>
      </w:pPr>
      <w:r>
        <w:rPr>
          <w:rFonts w:ascii="Slabo 27px" w:eastAsia="Slabo 27px" w:hAnsi="Slabo 27px" w:cs="Slabo 27px"/>
          <w:b/>
          <w:sz w:val="28"/>
          <w:szCs w:val="28"/>
        </w:rPr>
        <w:t xml:space="preserve">Comments on the Government of Bahrain’s implementation of the Convention on the Elimination of All forms of Discrimination against Women (CEDAW) </w:t>
      </w:r>
    </w:p>
    <w:p w:rsidR="00F31580" w:rsidRDefault="00156FC1">
      <w:pPr>
        <w:spacing w:after="0" w:line="240" w:lineRule="auto"/>
        <w:jc w:val="center"/>
        <w:rPr>
          <w:rFonts w:ascii="Slabo 27px" w:eastAsia="Slabo 27px" w:hAnsi="Slabo 27px" w:cs="Slabo 27px"/>
          <w:sz w:val="28"/>
          <w:szCs w:val="28"/>
        </w:rPr>
      </w:pPr>
      <w:r>
        <w:rPr>
          <w:rFonts w:ascii="Slabo 27px" w:eastAsia="Slabo 27px" w:hAnsi="Slabo 27px" w:cs="Slabo 27px"/>
          <w:b/>
          <w:sz w:val="28"/>
          <w:szCs w:val="28"/>
        </w:rPr>
        <w:t>Cycle IV - May 2021</w:t>
      </w:r>
      <w:r>
        <w:rPr>
          <w:rFonts w:ascii="Slabo 27px" w:eastAsia="Slabo 27px" w:hAnsi="Slabo 27px" w:cs="Slabo 27px"/>
          <w:b/>
          <w:sz w:val="28"/>
          <w:szCs w:val="28"/>
          <w:vertAlign w:val="superscript"/>
        </w:rPr>
        <w:footnoteReference w:id="1"/>
      </w:r>
    </w:p>
    <w:p w:rsidR="00F31580" w:rsidRDefault="00156FC1">
      <w:pPr>
        <w:spacing w:after="0" w:line="240" w:lineRule="auto"/>
        <w:jc w:val="both"/>
        <w:rPr>
          <w:rFonts w:ascii="Slabo 27px" w:eastAsia="Slabo 27px" w:hAnsi="Slabo 27px" w:cs="Slabo 27px"/>
          <w:sz w:val="24"/>
          <w:szCs w:val="24"/>
        </w:rPr>
      </w:pPr>
      <w:r>
        <w:br w:type="page"/>
      </w:r>
    </w:p>
    <w:p w:rsidR="00F31580" w:rsidRDefault="00F31580">
      <w:pPr>
        <w:spacing w:after="0" w:line="240" w:lineRule="auto"/>
        <w:jc w:val="both"/>
        <w:rPr>
          <w:rFonts w:ascii="Slabo 27px" w:eastAsia="Slabo 27px" w:hAnsi="Slabo 27px" w:cs="Slabo 27px"/>
          <w:sz w:val="24"/>
          <w:szCs w:val="24"/>
        </w:rPr>
      </w:pPr>
    </w:p>
    <w:tbl>
      <w:tblPr>
        <w:tblStyle w:val="a1"/>
        <w:tblW w:w="9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4"/>
      </w:tblGrid>
      <w:tr w:rsidR="00F31580">
        <w:tc>
          <w:tcPr>
            <w:tcW w:w="9974" w:type="dxa"/>
            <w:shd w:val="clear" w:color="auto" w:fill="D9D9D9"/>
            <w:tcMar>
              <w:top w:w="100" w:type="dxa"/>
              <w:left w:w="100" w:type="dxa"/>
              <w:bottom w:w="100" w:type="dxa"/>
              <w:right w:w="100" w:type="dxa"/>
            </w:tcMar>
          </w:tcPr>
          <w:p w:rsidR="00F31580" w:rsidRDefault="00F31580">
            <w:pPr>
              <w:widowControl w:val="0"/>
              <w:pBdr>
                <w:top w:val="nil"/>
                <w:left w:val="nil"/>
                <w:bottom w:val="nil"/>
                <w:right w:val="nil"/>
                <w:between w:val="nil"/>
              </w:pBdr>
              <w:spacing w:after="0" w:line="240" w:lineRule="auto"/>
              <w:rPr>
                <w:rFonts w:ascii="Slabo 27px" w:eastAsia="Slabo 27px" w:hAnsi="Slabo 27px" w:cs="Slabo 27px"/>
                <w:sz w:val="24"/>
                <w:szCs w:val="24"/>
              </w:rPr>
            </w:pPr>
          </w:p>
          <w:sdt>
            <w:sdtPr>
              <w:id w:val="2052878102"/>
              <w:docPartObj>
                <w:docPartGallery w:val="Table of Contents"/>
                <w:docPartUnique/>
              </w:docPartObj>
            </w:sdtPr>
            <w:sdtEndPr/>
            <w:sdtContent>
              <w:p w:rsidR="00F31580" w:rsidRDefault="00156FC1">
                <w:pPr>
                  <w:tabs>
                    <w:tab w:val="right" w:pos="9972"/>
                  </w:tabs>
                  <w:spacing w:before="80" w:line="240" w:lineRule="auto"/>
                  <w:rPr>
                    <w:rFonts w:ascii="Slabo 27px" w:eastAsia="Slabo 27px" w:hAnsi="Slabo 27px" w:cs="Slabo 27px"/>
                  </w:rPr>
                </w:pPr>
                <w:r>
                  <w:fldChar w:fldCharType="begin"/>
                </w:r>
                <w:r>
                  <w:instrText xml:space="preserve"> TOC \h \u \z </w:instrText>
                </w:r>
                <w:r>
                  <w:fldChar w:fldCharType="separate"/>
                </w:r>
                <w:hyperlink w:anchor="_heading=h.2et92p0">
                  <w:r>
                    <w:rPr>
                      <w:rFonts w:ascii="Slabo 27px" w:eastAsia="Slabo 27px" w:hAnsi="Slabo 27px" w:cs="Slabo 27px"/>
                    </w:rPr>
                    <w:t>Introduction</w:t>
                  </w:r>
                </w:hyperlink>
                <w:r>
                  <w:rPr>
                    <w:rFonts w:ascii="Slabo 27px" w:eastAsia="Slabo 27px" w:hAnsi="Slabo 27px" w:cs="Slabo 27px"/>
                  </w:rPr>
                  <w:tab/>
                </w:r>
                <w:r>
                  <w:fldChar w:fldCharType="begin"/>
                </w:r>
                <w:r>
                  <w:instrText xml:space="preserve"> PAGEREF _heading=h.2et92p0 \h </w:instrText>
                </w:r>
                <w:r>
                  <w:fldChar w:fldCharType="separate"/>
                </w:r>
                <w:r>
                  <w:rPr>
                    <w:rFonts w:ascii="Slabo 27px" w:eastAsia="Slabo 27px" w:hAnsi="Slabo 27px" w:cs="Slabo 27px"/>
                  </w:rPr>
                  <w:t>2</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tyjcwt">
                  <w:r>
                    <w:rPr>
                      <w:rFonts w:ascii="Slabo 27px" w:eastAsia="Slabo 27px" w:hAnsi="Slabo 27px" w:cs="Slabo 27px"/>
                    </w:rPr>
                    <w:t>Political will, the  scope and place of the Covenant in domestic law, reservations and accountability (Articles 2 [reservation], 3 , 9 [reservatio</w:t>
                  </w:r>
                  <w:r>
                    <w:rPr>
                      <w:rFonts w:ascii="Slabo 27px" w:eastAsia="Slabo 27px" w:hAnsi="Slabo 27px" w:cs="Slabo 27px"/>
                    </w:rPr>
                    <w:t>n], 15 [reservation] and 16 [reservation])</w:t>
                  </w:r>
                </w:hyperlink>
                <w:r>
                  <w:rPr>
                    <w:rFonts w:ascii="Slabo 27px" w:eastAsia="Slabo 27px" w:hAnsi="Slabo 27px" w:cs="Slabo 27px"/>
                  </w:rPr>
                  <w:tab/>
                </w:r>
                <w:r>
                  <w:fldChar w:fldCharType="begin"/>
                </w:r>
                <w:r>
                  <w:instrText xml:space="preserve"> PAGEREF _heading=h.tyjcwt \h </w:instrText>
                </w:r>
                <w:r>
                  <w:fldChar w:fldCharType="separate"/>
                </w:r>
                <w:r>
                  <w:rPr>
                    <w:rFonts w:ascii="Slabo 27px" w:eastAsia="Slabo 27px" w:hAnsi="Slabo 27px" w:cs="Slabo 27px"/>
                  </w:rPr>
                  <w:t>2</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2jxsxqh">
                  <w:r>
                    <w:rPr>
                      <w:rFonts w:ascii="Slabo 27px" w:eastAsia="Slabo 27px" w:hAnsi="Slabo 27px" w:cs="Slabo 27px"/>
                    </w:rPr>
                    <w:t>Intersectional factors and corollary human rights violations of othe</w:t>
                  </w:r>
                  <w:r>
                    <w:rPr>
                      <w:rFonts w:ascii="Slabo 27px" w:eastAsia="Slabo 27px" w:hAnsi="Slabo 27px" w:cs="Slabo 27px"/>
                    </w:rPr>
                    <w:t>r covenants that impact on implementation of the Covenant</w:t>
                  </w:r>
                </w:hyperlink>
                <w:r>
                  <w:rPr>
                    <w:rFonts w:ascii="Slabo 27px" w:eastAsia="Slabo 27px" w:hAnsi="Slabo 27px" w:cs="Slabo 27px"/>
                  </w:rPr>
                  <w:tab/>
                </w:r>
                <w:r>
                  <w:fldChar w:fldCharType="begin"/>
                </w:r>
                <w:r>
                  <w:instrText xml:space="preserve"> PAGEREF _heading=h.2jxsxqh \h </w:instrText>
                </w:r>
                <w:r>
                  <w:fldChar w:fldCharType="separate"/>
                </w:r>
                <w:r>
                  <w:rPr>
                    <w:rFonts w:ascii="Slabo 27px" w:eastAsia="Slabo 27px" w:hAnsi="Slabo 27px" w:cs="Slabo 27px"/>
                  </w:rPr>
                  <w:t>3</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49x2ik5">
                  <w:r>
                    <w:rPr>
                      <w:rFonts w:ascii="Slabo 27px" w:eastAsia="Slabo 27px" w:hAnsi="Slabo 27px" w:cs="Slabo 27px"/>
                    </w:rPr>
                    <w:t>Inaccurate representation of consultation and engag</w:t>
                  </w:r>
                  <w:r>
                    <w:rPr>
                      <w:rFonts w:ascii="Slabo 27px" w:eastAsia="Slabo 27px" w:hAnsi="Slabo 27px" w:cs="Slabo 27px"/>
                    </w:rPr>
                    <w:t>ement with civil society, circulation of information relating to the Covenant, including in relation to the use of quotas</w:t>
                  </w:r>
                </w:hyperlink>
                <w:r>
                  <w:rPr>
                    <w:rFonts w:ascii="Slabo 27px" w:eastAsia="Slabo 27px" w:hAnsi="Slabo 27px" w:cs="Slabo 27px"/>
                  </w:rPr>
                  <w:tab/>
                </w:r>
                <w:r>
                  <w:fldChar w:fldCharType="begin"/>
                </w:r>
                <w:r>
                  <w:instrText xml:space="preserve"> PAGEREF _heading=h.49x2ik5 \h </w:instrText>
                </w:r>
                <w:r>
                  <w:fldChar w:fldCharType="separate"/>
                </w:r>
                <w:r>
                  <w:rPr>
                    <w:rFonts w:ascii="Slabo 27px" w:eastAsia="Slabo 27px" w:hAnsi="Slabo 27px" w:cs="Slabo 27px"/>
                  </w:rPr>
                  <w:t>5</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3l18frh">
                  <w:r>
                    <w:rPr>
                      <w:rFonts w:ascii="Slabo 27px" w:eastAsia="Slabo 27px" w:hAnsi="Slabo 27px" w:cs="Slabo 27px"/>
                    </w:rPr>
                    <w:t>On the National Institution for Human Rights (NIHR) (Article 2 [reservation], 3, 4, 5, 10, 11 and others)</w:t>
                  </w:r>
                </w:hyperlink>
                <w:r>
                  <w:rPr>
                    <w:rFonts w:ascii="Slabo 27px" w:eastAsia="Slabo 27px" w:hAnsi="Slabo 27px" w:cs="Slabo 27px"/>
                  </w:rPr>
                  <w:tab/>
                </w:r>
                <w:r>
                  <w:fldChar w:fldCharType="begin"/>
                </w:r>
                <w:r>
                  <w:instrText xml:space="preserve"> PAGEREF _heading=h.3l18frh \h </w:instrText>
                </w:r>
                <w:r>
                  <w:fldChar w:fldCharType="separate"/>
                </w:r>
                <w:r>
                  <w:rPr>
                    <w:rFonts w:ascii="Slabo 27px" w:eastAsia="Slabo 27px" w:hAnsi="Slabo 27px" w:cs="Slabo 27px"/>
                  </w:rPr>
                  <w:t>6</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sqyw64">
                  <w:r>
                    <w:rPr>
                      <w:rFonts w:ascii="Slabo 27px" w:eastAsia="Slabo 27px" w:hAnsi="Slabo 27px" w:cs="Slabo 27px"/>
                    </w:rPr>
                    <w:t>Violence against women (Articles 2 [reservation], 3, 4, 15 [reservation])</w:t>
                  </w:r>
                </w:hyperlink>
                <w:r>
                  <w:rPr>
                    <w:rFonts w:ascii="Slabo 27px" w:eastAsia="Slabo 27px" w:hAnsi="Slabo 27px" w:cs="Slabo 27px"/>
                  </w:rPr>
                  <w:tab/>
                </w:r>
                <w:r>
                  <w:fldChar w:fldCharType="begin"/>
                </w:r>
                <w:r>
                  <w:instrText xml:space="preserve"> PAGEREF _heading=h.sqyw64 \h </w:instrText>
                </w:r>
                <w:r>
                  <w:fldChar w:fldCharType="separate"/>
                </w:r>
                <w:r>
                  <w:rPr>
                    <w:rFonts w:ascii="Slabo 27px" w:eastAsia="Slabo 27px" w:hAnsi="Slabo 27px" w:cs="Slabo 27px"/>
                  </w:rPr>
                  <w:t>7</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4h042r0">
                  <w:r>
                    <w:rPr>
                      <w:rFonts w:ascii="Slabo 27px" w:eastAsia="Slabo 27px" w:hAnsi="Slabo 27px" w:cs="Slabo 27px"/>
                    </w:rPr>
                    <w:t xml:space="preserve">Apparent inaction in response </w:t>
                  </w:r>
                  <w:r>
                    <w:rPr>
                      <w:rFonts w:ascii="Slabo 27px" w:eastAsia="Slabo 27px" w:hAnsi="Slabo 27px" w:cs="Slabo 27px"/>
                    </w:rPr>
                    <w:t>to trafficking by United States military personnel (Article 6)</w:t>
                  </w:r>
                </w:hyperlink>
                <w:r>
                  <w:rPr>
                    <w:rFonts w:ascii="Slabo 27px" w:eastAsia="Slabo 27px" w:hAnsi="Slabo 27px" w:cs="Slabo 27px"/>
                  </w:rPr>
                  <w:tab/>
                </w:r>
                <w:r>
                  <w:fldChar w:fldCharType="begin"/>
                </w:r>
                <w:r>
                  <w:instrText xml:space="preserve"> PAGEREF _heading=h.4h042r0 \h </w:instrText>
                </w:r>
                <w:r>
                  <w:fldChar w:fldCharType="separate"/>
                </w:r>
                <w:r>
                  <w:rPr>
                    <w:rFonts w:ascii="Slabo 27px" w:eastAsia="Slabo 27px" w:hAnsi="Slabo 27px" w:cs="Slabo 27px"/>
                  </w:rPr>
                  <w:t>8</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1baon6m">
                  <w:r>
                    <w:rPr>
                      <w:rFonts w:ascii="Slabo 27px" w:eastAsia="Slabo 27px" w:hAnsi="Slabo 27px" w:cs="Slabo 27px"/>
                    </w:rPr>
                    <w:t>Denial of the existence of women human rights d</w:t>
                  </w:r>
                  <w:r>
                    <w:rPr>
                      <w:rFonts w:ascii="Slabo 27px" w:eastAsia="Slabo 27px" w:hAnsi="Slabo 27px" w:cs="Slabo 27px"/>
                    </w:rPr>
                    <w:t>efenders (Articles 2 [reservation], 3, 5, 11 and 15 [reservation])</w:t>
                  </w:r>
                </w:hyperlink>
                <w:r>
                  <w:rPr>
                    <w:rFonts w:ascii="Slabo 27px" w:eastAsia="Slabo 27px" w:hAnsi="Slabo 27px" w:cs="Slabo 27px"/>
                  </w:rPr>
                  <w:tab/>
                </w:r>
                <w:r>
                  <w:fldChar w:fldCharType="begin"/>
                </w:r>
                <w:r>
                  <w:instrText xml:space="preserve"> PAGEREF _heading=h.1baon6m \h </w:instrText>
                </w:r>
                <w:r>
                  <w:fldChar w:fldCharType="separate"/>
                </w:r>
                <w:r>
                  <w:rPr>
                    <w:rFonts w:ascii="Slabo 27px" w:eastAsia="Slabo 27px" w:hAnsi="Slabo 27px" w:cs="Slabo 27px"/>
                  </w:rPr>
                  <w:t>9</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319y80a">
                  <w:r>
                    <w:rPr>
                      <w:rFonts w:ascii="Slabo 27px" w:eastAsia="Slabo 27px" w:hAnsi="Slabo 27px" w:cs="Slabo 27px"/>
                    </w:rPr>
                    <w:t>Justification of torture and ill treatment of a woman human rights defender (Articles, 2, 3, 4, 12 and 15)</w:t>
                  </w:r>
                </w:hyperlink>
                <w:r>
                  <w:rPr>
                    <w:rFonts w:ascii="Slabo 27px" w:eastAsia="Slabo 27px" w:hAnsi="Slabo 27px" w:cs="Slabo 27px"/>
                  </w:rPr>
                  <w:tab/>
                </w:r>
                <w:r>
                  <w:fldChar w:fldCharType="begin"/>
                </w:r>
                <w:r>
                  <w:instrText xml:space="preserve"> PAGEREF _heading=h.319y80a \h </w:instrText>
                </w:r>
                <w:r>
                  <w:fldChar w:fldCharType="separate"/>
                </w:r>
                <w:r>
                  <w:rPr>
                    <w:rFonts w:ascii="Slabo 27px" w:eastAsia="Slabo 27px" w:hAnsi="Slabo 27px" w:cs="Slabo 27px"/>
                  </w:rPr>
                  <w:t>9</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1tuee74">
                  <w:r>
                    <w:rPr>
                      <w:rFonts w:ascii="Slabo 27px" w:eastAsia="Slabo 27px" w:hAnsi="Slabo 27px" w:cs="Slabo 27px"/>
                    </w:rPr>
                    <w:t xml:space="preserve">On </w:t>
                  </w:r>
                  <w:r>
                    <w:rPr>
                      <w:rFonts w:ascii="Slabo 27px" w:eastAsia="Slabo 27px" w:hAnsi="Slabo 27px" w:cs="Slabo 27px"/>
                    </w:rPr>
                    <w:t>Marriage and effective dependency (Articles 3, 15 and 16)</w:t>
                  </w:r>
                </w:hyperlink>
                <w:r>
                  <w:rPr>
                    <w:rFonts w:ascii="Slabo 27px" w:eastAsia="Slabo 27px" w:hAnsi="Slabo 27px" w:cs="Slabo 27px"/>
                  </w:rPr>
                  <w:tab/>
                </w:r>
                <w:r>
                  <w:fldChar w:fldCharType="begin"/>
                </w:r>
                <w:r>
                  <w:instrText xml:space="preserve"> PAGEREF _heading=h.1tuee74 \h </w:instrText>
                </w:r>
                <w:r>
                  <w:fldChar w:fldCharType="separate"/>
                </w:r>
                <w:r>
                  <w:rPr>
                    <w:rFonts w:ascii="Slabo 27px" w:eastAsia="Slabo 27px" w:hAnsi="Slabo 27px" w:cs="Slabo 27px"/>
                  </w:rPr>
                  <w:t>10</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2koq656">
                  <w:r>
                    <w:rPr>
                      <w:rFonts w:ascii="Slabo 27px" w:eastAsia="Slabo 27px" w:hAnsi="Slabo 27px" w:cs="Slabo 27px"/>
                    </w:rPr>
                    <w:t>On Nationality and conferral of nationality by wome</w:t>
                  </w:r>
                  <w:r>
                    <w:rPr>
                      <w:rFonts w:ascii="Slabo 27px" w:eastAsia="Slabo 27px" w:hAnsi="Slabo 27px" w:cs="Slabo 27px"/>
                    </w:rPr>
                    <w:t>n (Articles 2 [reservation], 3 , 9 [reservation], and 15)</w:t>
                  </w:r>
                </w:hyperlink>
                <w:r>
                  <w:rPr>
                    <w:rFonts w:ascii="Slabo 27px" w:eastAsia="Slabo 27px" w:hAnsi="Slabo 27px" w:cs="Slabo 27px"/>
                  </w:rPr>
                  <w:tab/>
                </w:r>
                <w:r>
                  <w:fldChar w:fldCharType="begin"/>
                </w:r>
                <w:r>
                  <w:instrText xml:space="preserve"> PAGEREF _heading=h.2koq656 \h </w:instrText>
                </w:r>
                <w:r>
                  <w:fldChar w:fldCharType="separate"/>
                </w:r>
                <w:r>
                  <w:rPr>
                    <w:rFonts w:ascii="Slabo 27px" w:eastAsia="Slabo 27px" w:hAnsi="Slabo 27px" w:cs="Slabo 27px"/>
                  </w:rPr>
                  <w:t>11</w:t>
                </w:r>
                <w:r>
                  <w:fldChar w:fldCharType="end"/>
                </w:r>
              </w:p>
              <w:p w:rsidR="00F31580" w:rsidRDefault="00156FC1">
                <w:pPr>
                  <w:tabs>
                    <w:tab w:val="right" w:pos="9972"/>
                  </w:tabs>
                  <w:spacing w:before="200" w:line="240" w:lineRule="auto"/>
                  <w:rPr>
                    <w:rFonts w:ascii="Slabo 27px" w:eastAsia="Slabo 27px" w:hAnsi="Slabo 27px" w:cs="Slabo 27px"/>
                  </w:rPr>
                </w:pPr>
                <w:hyperlink w:anchor="_heading=h.2y3w247">
                  <w:r>
                    <w:rPr>
                      <w:rFonts w:ascii="Slabo 27px" w:eastAsia="Slabo 27px" w:hAnsi="Slabo 27px" w:cs="Slabo 27px"/>
                    </w:rPr>
                    <w:t>On Inheritance (Article 2 and 15 [reservations])</w:t>
                  </w:r>
                </w:hyperlink>
                <w:r>
                  <w:rPr>
                    <w:rFonts w:ascii="Slabo 27px" w:eastAsia="Slabo 27px" w:hAnsi="Slabo 27px" w:cs="Slabo 27px"/>
                  </w:rPr>
                  <w:tab/>
                </w:r>
                <w:r>
                  <w:fldChar w:fldCharType="begin"/>
                </w:r>
                <w:r>
                  <w:instrText xml:space="preserve"> P</w:instrText>
                </w:r>
                <w:r>
                  <w:instrText xml:space="preserve">AGEREF _heading=h.2y3w247 \h </w:instrText>
                </w:r>
                <w:r>
                  <w:fldChar w:fldCharType="separate"/>
                </w:r>
                <w:r>
                  <w:rPr>
                    <w:rFonts w:ascii="Slabo 27px" w:eastAsia="Slabo 27px" w:hAnsi="Slabo 27px" w:cs="Slabo 27px"/>
                  </w:rPr>
                  <w:t>11</w:t>
                </w:r>
                <w:r>
                  <w:fldChar w:fldCharType="end"/>
                </w:r>
              </w:p>
              <w:p w:rsidR="00F31580" w:rsidRDefault="00156FC1">
                <w:pPr>
                  <w:tabs>
                    <w:tab w:val="right" w:pos="9972"/>
                  </w:tabs>
                  <w:spacing w:before="200" w:after="80" w:line="240" w:lineRule="auto"/>
                  <w:rPr>
                    <w:rFonts w:ascii="Slabo 27px" w:eastAsia="Slabo 27px" w:hAnsi="Slabo 27px" w:cs="Slabo 27px"/>
                  </w:rPr>
                </w:pPr>
                <w:hyperlink w:anchor="_heading=h.1d96cc0">
                  <w:r>
                    <w:rPr>
                      <w:rFonts w:ascii="Slabo 27px" w:eastAsia="Slabo 27px" w:hAnsi="Slabo 27px" w:cs="Slabo 27px"/>
                    </w:rPr>
                    <w:t>Matters arising in and from divorce (Articles 2 [reservation], 3, 5, 15 [reservation] and 16 [reservation])</w:t>
                  </w:r>
                </w:hyperlink>
                <w:r>
                  <w:rPr>
                    <w:rFonts w:ascii="Slabo 27px" w:eastAsia="Slabo 27px" w:hAnsi="Slabo 27px" w:cs="Slabo 27px"/>
                  </w:rPr>
                  <w:tab/>
                </w:r>
                <w:r>
                  <w:fldChar w:fldCharType="begin"/>
                </w:r>
                <w:r>
                  <w:instrText xml:space="preserve"> PAGEREF _heading=h.1d96cc0 \h </w:instrText>
                </w:r>
                <w:r>
                  <w:fldChar w:fldCharType="separate"/>
                </w:r>
                <w:r>
                  <w:rPr>
                    <w:rFonts w:ascii="Slabo 27px" w:eastAsia="Slabo 27px" w:hAnsi="Slabo 27px" w:cs="Slabo 27px"/>
                  </w:rPr>
                  <w:t>12</w:t>
                </w:r>
                <w:r>
                  <w:fldChar w:fldCharType="end"/>
                </w:r>
                <w:r>
                  <w:fldChar w:fldCharType="end"/>
                </w:r>
              </w:p>
            </w:sdtContent>
          </w:sdt>
          <w:p w:rsidR="00F31580" w:rsidRDefault="00F31580">
            <w:pPr>
              <w:widowControl w:val="0"/>
              <w:pBdr>
                <w:top w:val="nil"/>
                <w:left w:val="nil"/>
                <w:bottom w:val="nil"/>
                <w:right w:val="nil"/>
                <w:between w:val="nil"/>
              </w:pBdr>
              <w:spacing w:after="0" w:line="240" w:lineRule="auto"/>
              <w:rPr>
                <w:rFonts w:ascii="Slabo 27px" w:eastAsia="Slabo 27px" w:hAnsi="Slabo 27px" w:cs="Slabo 27px"/>
                <w:sz w:val="24"/>
                <w:szCs w:val="24"/>
              </w:rPr>
            </w:pPr>
          </w:p>
        </w:tc>
      </w:tr>
    </w:tbl>
    <w:p w:rsidR="00F31580" w:rsidRDefault="00156FC1">
      <w:pPr>
        <w:pStyle w:val="Heading1"/>
        <w:spacing w:after="0" w:line="240" w:lineRule="auto"/>
        <w:jc w:val="both"/>
        <w:rPr>
          <w:rFonts w:ascii="Slabo 27px" w:eastAsia="Slabo 27px" w:hAnsi="Slabo 27px" w:cs="Slabo 27px"/>
          <w:sz w:val="28"/>
          <w:szCs w:val="28"/>
        </w:rPr>
      </w:pPr>
      <w:bookmarkStart w:id="2" w:name="_heading=h.2et92p0" w:colFirst="0" w:colLast="0"/>
      <w:bookmarkEnd w:id="2"/>
      <w:r>
        <w:rPr>
          <w:rFonts w:ascii="Slabo 27px" w:eastAsia="Slabo 27px" w:hAnsi="Slabo 27px" w:cs="Slabo 27px"/>
          <w:sz w:val="28"/>
          <w:szCs w:val="28"/>
        </w:rPr>
        <w:t>Introduction</w:t>
      </w:r>
    </w:p>
    <w:p w:rsidR="00F31580" w:rsidRDefault="00F31580">
      <w:pPr>
        <w:spacing w:after="0" w:line="240" w:lineRule="auto"/>
        <w:jc w:val="both"/>
        <w:rPr>
          <w:rFonts w:ascii="Slabo 27px" w:eastAsia="Slabo 27px" w:hAnsi="Slabo 27px" w:cs="Slabo 27px"/>
          <w:sz w:val="24"/>
          <w:szCs w:val="24"/>
        </w:rPr>
      </w:pPr>
    </w:p>
    <w:p w:rsidR="00F31580" w:rsidRDefault="00156FC1">
      <w:pPr>
        <w:numPr>
          <w:ilvl w:val="0"/>
          <w:numId w:val="11"/>
        </w:numPr>
        <w:spacing w:after="0" w:line="240" w:lineRule="auto"/>
        <w:ind w:left="566"/>
        <w:jc w:val="both"/>
        <w:rPr>
          <w:rFonts w:ascii="Slabo 27px" w:eastAsia="Slabo 27px" w:hAnsi="Slabo 27px" w:cs="Slabo 27px"/>
          <w:sz w:val="24"/>
          <w:szCs w:val="24"/>
        </w:rPr>
      </w:pPr>
      <w:r>
        <w:rPr>
          <w:rFonts w:ascii="Slabo 27px" w:eastAsia="Slabo 27px" w:hAnsi="Slabo 27px" w:cs="Slabo 27px"/>
          <w:sz w:val="24"/>
          <w:szCs w:val="24"/>
        </w:rPr>
        <w:t>Salam for Democracy and Human Rights (SALAM DHR) is a non-governmental organisation (NGO) whose members are based in the United Kingdom,Germany, France, Lebanon. Its work focuses, mainly, on Bahrain and the Gulf and the issue of statelessness / deprivation</w:t>
      </w:r>
      <w:r>
        <w:rPr>
          <w:rFonts w:ascii="Slabo 27px" w:eastAsia="Slabo 27px" w:hAnsi="Slabo 27px" w:cs="Slabo 27px"/>
          <w:sz w:val="24"/>
          <w:szCs w:val="24"/>
        </w:rPr>
        <w:t xml:space="preserve"> of citizenship. Formally registered in the UK, France and Switzerland, it has supporters in Bahrain, where it is unable to register. As part of its </w:t>
      </w:r>
      <w:hyperlink r:id="rId10">
        <w:r>
          <w:rPr>
            <w:rFonts w:ascii="Slabo 27px" w:eastAsia="Slabo 27px" w:hAnsi="Slabo 27px" w:cs="Slabo 27px"/>
            <w:sz w:val="24"/>
            <w:szCs w:val="24"/>
            <w:u w:val="single"/>
          </w:rPr>
          <w:t>mission</w:t>
        </w:r>
      </w:hyperlink>
      <w:r>
        <w:rPr>
          <w:rFonts w:ascii="Slabo 27px" w:eastAsia="Slabo 27px" w:hAnsi="Slabo 27px" w:cs="Slabo 27px"/>
          <w:sz w:val="24"/>
          <w:szCs w:val="24"/>
        </w:rPr>
        <w:t>, SALAM DHR endeavours to preserve universal pri</w:t>
      </w:r>
      <w:r>
        <w:rPr>
          <w:rFonts w:ascii="Slabo 27px" w:eastAsia="Slabo 27px" w:hAnsi="Slabo 27px" w:cs="Slabo 27px"/>
          <w:sz w:val="24"/>
          <w:szCs w:val="24"/>
        </w:rPr>
        <w:t xml:space="preserve">nciples of dignity and respect by shielding democracy and human rights. The NGO conducts research, produces reports and recommendations. It builds coalitions including through its membership of, amongst others, </w:t>
      </w:r>
      <w:hyperlink r:id="rId11">
        <w:r>
          <w:rPr>
            <w:rFonts w:ascii="Slabo 27px" w:eastAsia="Slabo 27px" w:hAnsi="Slabo 27px" w:cs="Slabo 27px"/>
            <w:sz w:val="24"/>
            <w:szCs w:val="24"/>
            <w:u w:val="single"/>
          </w:rPr>
          <w:t>CIVICUS</w:t>
        </w:r>
      </w:hyperlink>
      <w:r>
        <w:rPr>
          <w:rFonts w:ascii="Slabo 27px" w:eastAsia="Slabo 27px" w:hAnsi="Slabo 27px" w:cs="Slabo 27px"/>
          <w:sz w:val="24"/>
          <w:szCs w:val="24"/>
        </w:rPr>
        <w:t xml:space="preserve"> and </w:t>
      </w:r>
      <w:hyperlink r:id="rId12">
        <w:r>
          <w:rPr>
            <w:rFonts w:ascii="Slabo 27px" w:eastAsia="Slabo 27px" w:hAnsi="Slabo 27px" w:cs="Slabo 27px"/>
            <w:sz w:val="24"/>
            <w:szCs w:val="24"/>
            <w:u w:val="single"/>
          </w:rPr>
          <w:t>World Coalition Against the Death Penalty</w:t>
        </w:r>
      </w:hyperlink>
      <w:r>
        <w:rPr>
          <w:rFonts w:ascii="Slabo 27px" w:eastAsia="Slabo 27px" w:hAnsi="Slabo 27px" w:cs="Slabo 27px"/>
          <w:sz w:val="24"/>
          <w:szCs w:val="24"/>
        </w:rPr>
        <w:t xml:space="preserve">. SALAM DHR’s organisational </w:t>
      </w:r>
      <w:hyperlink r:id="rId13">
        <w:r>
          <w:rPr>
            <w:rFonts w:ascii="Slabo 27px" w:eastAsia="Slabo 27px" w:hAnsi="Slabo 27px" w:cs="Slabo 27px"/>
            <w:sz w:val="24"/>
            <w:szCs w:val="24"/>
            <w:u w:val="single"/>
          </w:rPr>
          <w:t>annual report</w:t>
        </w:r>
      </w:hyperlink>
      <w:r>
        <w:rPr>
          <w:rFonts w:ascii="Slabo 27px" w:eastAsia="Slabo 27px" w:hAnsi="Slabo 27px" w:cs="Slabo 27px"/>
          <w:sz w:val="24"/>
          <w:szCs w:val="24"/>
        </w:rPr>
        <w:t xml:space="preserve"> details its activities in 2020.</w:t>
      </w:r>
    </w:p>
    <w:p w:rsidR="00F31580" w:rsidRDefault="00156FC1">
      <w:pPr>
        <w:numPr>
          <w:ilvl w:val="0"/>
          <w:numId w:val="11"/>
        </w:numPr>
        <w:spacing w:after="0" w:line="240" w:lineRule="auto"/>
        <w:ind w:left="566"/>
        <w:jc w:val="both"/>
        <w:rPr>
          <w:rFonts w:ascii="Slabo 27px" w:eastAsia="Slabo 27px" w:hAnsi="Slabo 27px" w:cs="Slabo 27px"/>
          <w:sz w:val="24"/>
          <w:szCs w:val="24"/>
        </w:rPr>
      </w:pPr>
      <w:r>
        <w:rPr>
          <w:rFonts w:ascii="Slabo 27px" w:eastAsia="Slabo 27px" w:hAnsi="Slabo 27px" w:cs="Slabo 27px"/>
          <w:sz w:val="24"/>
          <w:szCs w:val="24"/>
        </w:rPr>
        <w:t>Rights Realization Centr</w:t>
      </w:r>
      <w:r>
        <w:rPr>
          <w:rFonts w:ascii="Slabo 27px" w:eastAsia="Slabo 27px" w:hAnsi="Slabo 27px" w:cs="Slabo 27px"/>
          <w:sz w:val="24"/>
          <w:szCs w:val="24"/>
        </w:rPr>
        <w:t>e (RRC), UK charity number 1178519, was registered in 2018. It seeks to promote &amp; protect international human rights standards in the Middle East &amp; North Africa &amp; Horn of Africa regions. It conducts outreach &amp; training; research &amp; advocacy &amp; uses social me</w:t>
      </w:r>
      <w:r>
        <w:rPr>
          <w:rFonts w:ascii="Slabo 27px" w:eastAsia="Slabo 27px" w:hAnsi="Slabo 27px" w:cs="Slabo 27px"/>
          <w:sz w:val="24"/>
          <w:szCs w:val="24"/>
        </w:rPr>
        <w:t>dia as well as individual casework to fulfill its mandate. It works mainly with other NGOs.</w:t>
      </w:r>
    </w:p>
    <w:p w:rsidR="00F31580" w:rsidRDefault="00F31580">
      <w:pPr>
        <w:spacing w:after="0" w:line="240" w:lineRule="auto"/>
        <w:jc w:val="both"/>
        <w:rPr>
          <w:rFonts w:ascii="Slabo 27px" w:eastAsia="Slabo 27px" w:hAnsi="Slabo 27px" w:cs="Slabo 27px"/>
          <w:sz w:val="24"/>
          <w:szCs w:val="24"/>
        </w:rPr>
      </w:pPr>
    </w:p>
    <w:p w:rsidR="00F31580" w:rsidRDefault="00156FC1">
      <w:pPr>
        <w:numPr>
          <w:ilvl w:val="0"/>
          <w:numId w:val="11"/>
        </w:numPr>
        <w:spacing w:after="0" w:line="240" w:lineRule="auto"/>
        <w:ind w:left="566"/>
        <w:jc w:val="both"/>
        <w:rPr>
          <w:rFonts w:ascii="Slabo 27px" w:eastAsia="Slabo 27px" w:hAnsi="Slabo 27px" w:cs="Slabo 27px"/>
          <w:sz w:val="24"/>
          <w:szCs w:val="24"/>
        </w:rPr>
      </w:pPr>
      <w:r>
        <w:rPr>
          <w:rFonts w:ascii="Slabo 27px" w:eastAsia="Slabo 27px" w:hAnsi="Slabo 27px" w:cs="Slabo 27px"/>
          <w:sz w:val="24"/>
          <w:szCs w:val="24"/>
        </w:rPr>
        <w:t xml:space="preserve">The following text for the Committee (henceforth, the Committee) on the Elimination of All Forms of Discrimination against Women  of  sets out SALAM DHR and RRC - the authors’ - principal </w:t>
      </w:r>
      <w:r>
        <w:rPr>
          <w:rFonts w:ascii="Slabo 27px" w:eastAsia="Slabo 27px" w:hAnsi="Slabo 27px" w:cs="Slabo 27px"/>
          <w:sz w:val="24"/>
          <w:szCs w:val="24"/>
        </w:rPr>
        <w:lastRenderedPageBreak/>
        <w:t>concerns regarding implementation by the Government of Bahrain (GoB)</w:t>
      </w:r>
      <w:r>
        <w:rPr>
          <w:rFonts w:ascii="Slabo 27px" w:eastAsia="Slabo 27px" w:hAnsi="Slabo 27px" w:cs="Slabo 27px"/>
          <w:sz w:val="24"/>
          <w:szCs w:val="24"/>
        </w:rPr>
        <w:t xml:space="preserve"> of its treaty obligations as a state party to the Convention (herafter, Covenant) on the Elimination of All Forms of Discrimination against Women in advance of consideration of the GoB’s implementation of the Covenant, scheduled - at the time of writing -</w:t>
      </w:r>
      <w:r>
        <w:rPr>
          <w:rFonts w:ascii="Slabo 27px" w:eastAsia="Slabo 27px" w:hAnsi="Slabo 27px" w:cs="Slabo 27px"/>
          <w:sz w:val="24"/>
          <w:szCs w:val="24"/>
        </w:rPr>
        <w:t xml:space="preserve"> for November 2021. The authors set out concerns thematically, and we reference the relevant article of the Covenant that we believe are involved in each subheading title</w:t>
      </w:r>
    </w:p>
    <w:p w:rsidR="00F31580" w:rsidRDefault="00F31580">
      <w:pPr>
        <w:spacing w:after="0" w:line="240" w:lineRule="auto"/>
        <w:jc w:val="both"/>
        <w:rPr>
          <w:rFonts w:ascii="Slabo 27px" w:eastAsia="Slabo 27px" w:hAnsi="Slabo 27px" w:cs="Slabo 27px"/>
          <w:sz w:val="24"/>
          <w:szCs w:val="24"/>
        </w:rPr>
      </w:pPr>
    </w:p>
    <w:p w:rsidR="00F31580" w:rsidRDefault="00156FC1">
      <w:pPr>
        <w:pStyle w:val="Heading1"/>
        <w:spacing w:after="0" w:line="240" w:lineRule="auto"/>
        <w:jc w:val="both"/>
        <w:rPr>
          <w:rFonts w:ascii="Slabo 27px" w:eastAsia="Slabo 27px" w:hAnsi="Slabo 27px" w:cs="Slabo 27px"/>
          <w:sz w:val="28"/>
          <w:szCs w:val="28"/>
        </w:rPr>
      </w:pPr>
      <w:bookmarkStart w:id="3" w:name="_heading=h.tyjcwt" w:colFirst="0" w:colLast="0"/>
      <w:bookmarkEnd w:id="3"/>
      <w:r>
        <w:rPr>
          <w:rFonts w:ascii="Slabo 27px" w:eastAsia="Slabo 27px" w:hAnsi="Slabo 27px" w:cs="Slabo 27px"/>
          <w:sz w:val="28"/>
          <w:szCs w:val="28"/>
        </w:rPr>
        <w:t>Political will, the  scope and place of the Covenant in domestic law, reservations a</w:t>
      </w:r>
      <w:r>
        <w:rPr>
          <w:rFonts w:ascii="Slabo 27px" w:eastAsia="Slabo 27px" w:hAnsi="Slabo 27px" w:cs="Slabo 27px"/>
          <w:sz w:val="28"/>
          <w:szCs w:val="28"/>
        </w:rPr>
        <w:t>nd accountability (Articles 2 [reservation], 3 , 9 [reservation], 15 [reservation] and 16 [reservation])</w:t>
      </w:r>
    </w:p>
    <w:p w:rsidR="00F31580" w:rsidRDefault="00F31580">
      <w:pPr>
        <w:spacing w:after="0" w:line="240" w:lineRule="auto"/>
        <w:jc w:val="both"/>
        <w:rPr>
          <w:rFonts w:ascii="Slabo 27px" w:eastAsia="Slabo 27px" w:hAnsi="Slabo 27px" w:cs="Slabo 27px"/>
          <w:sz w:val="24"/>
          <w:szCs w:val="24"/>
        </w:rPr>
      </w:pPr>
      <w:bookmarkStart w:id="4" w:name="_heading=h.3dy6vkm" w:colFirst="0" w:colLast="0"/>
      <w:bookmarkEnd w:id="4"/>
    </w:p>
    <w:p w:rsidR="00F31580" w:rsidRDefault="00156FC1">
      <w:pPr>
        <w:numPr>
          <w:ilvl w:val="0"/>
          <w:numId w:val="11"/>
        </w:numPr>
        <w:spacing w:after="0" w:line="240" w:lineRule="auto"/>
        <w:ind w:left="566" w:hanging="566"/>
        <w:jc w:val="both"/>
        <w:rPr>
          <w:rFonts w:ascii="Slabo 27px" w:eastAsia="Slabo 27px" w:hAnsi="Slabo 27px" w:cs="Slabo 27px"/>
          <w:sz w:val="24"/>
          <w:szCs w:val="24"/>
        </w:rPr>
      </w:pPr>
      <w:bookmarkStart w:id="5" w:name="_heading=h.1t3h5sf" w:colFirst="0" w:colLast="0"/>
      <w:bookmarkEnd w:id="5"/>
      <w:r>
        <w:rPr>
          <w:rFonts w:ascii="Slabo 27px" w:eastAsia="Slabo 27px" w:hAnsi="Slabo 27px" w:cs="Slabo 27px"/>
          <w:sz w:val="24"/>
          <w:szCs w:val="24"/>
        </w:rPr>
        <w:t>SALAM DHR and RRC are concerned that, despite over a decade of engagement, including by way of specific states at the Universal Periodic Review, the G</w:t>
      </w:r>
      <w:r>
        <w:rPr>
          <w:rFonts w:ascii="Slabo 27px" w:eastAsia="Slabo 27px" w:hAnsi="Slabo 27px" w:cs="Slabo 27px"/>
          <w:sz w:val="24"/>
          <w:szCs w:val="24"/>
        </w:rPr>
        <w:t>oB’s reservations in respect to articles 2 and 16 continue serve to place the GoB outside the scope of application of the Covenant itself and therefore are against the object and purpose of the Covenant. The authors acknowledge that the state party’s repor</w:t>
      </w:r>
      <w:r>
        <w:rPr>
          <w:rFonts w:ascii="Slabo 27px" w:eastAsia="Slabo 27px" w:hAnsi="Slabo 27px" w:cs="Slabo 27px"/>
          <w:sz w:val="24"/>
          <w:szCs w:val="24"/>
        </w:rPr>
        <w:t>t explains in paragraph 13 that: “Bahrain reaffirms its commitment to the Convention [...] in a manner consistent with Islamic sharia.”</w:t>
      </w:r>
      <w:r>
        <w:rPr>
          <w:rFonts w:ascii="Slabo 27px" w:eastAsia="Slabo 27px" w:hAnsi="Slabo 27px" w:cs="Slabo 27px"/>
          <w:sz w:val="24"/>
          <w:szCs w:val="24"/>
          <w:vertAlign w:val="superscript"/>
        </w:rPr>
        <w:footnoteReference w:id="2"/>
      </w:r>
      <w:r>
        <w:rPr>
          <w:rFonts w:ascii="Slabo 27px" w:eastAsia="Slabo 27px" w:hAnsi="Slabo 27px" w:cs="Slabo 27px"/>
          <w:sz w:val="24"/>
          <w:szCs w:val="24"/>
        </w:rPr>
        <w:t xml:space="preserve"> Paragraph 52 of the GoB’s report to the Committee responds to the recommendation to review the reservation with a view </w:t>
      </w:r>
      <w:r>
        <w:rPr>
          <w:rFonts w:ascii="Slabo 27px" w:eastAsia="Slabo 27px" w:hAnsi="Slabo 27px" w:cs="Slabo 27px"/>
          <w:sz w:val="24"/>
          <w:szCs w:val="24"/>
        </w:rPr>
        <w:t>to withdrawing them, by adding that:</w:t>
      </w:r>
    </w:p>
    <w:p w:rsidR="00F31580" w:rsidRDefault="00F31580">
      <w:pPr>
        <w:spacing w:after="0" w:line="240" w:lineRule="auto"/>
        <w:jc w:val="both"/>
        <w:rPr>
          <w:rFonts w:ascii="Slabo 27px" w:eastAsia="Slabo 27px" w:hAnsi="Slabo 27px" w:cs="Slabo 27px"/>
          <w:sz w:val="24"/>
          <w:szCs w:val="24"/>
        </w:rPr>
      </w:pPr>
      <w:bookmarkStart w:id="6" w:name="_heading=h.4d34og8" w:colFirst="0" w:colLast="0"/>
      <w:bookmarkEnd w:id="6"/>
    </w:p>
    <w:p w:rsidR="00F31580" w:rsidRDefault="00156FC1">
      <w:pPr>
        <w:spacing w:after="0" w:line="240" w:lineRule="auto"/>
        <w:ind w:left="1133" w:right="1133"/>
        <w:jc w:val="both"/>
        <w:rPr>
          <w:rFonts w:ascii="Slabo 27px" w:eastAsia="Slabo 27px" w:hAnsi="Slabo 27px" w:cs="Slabo 27px"/>
          <w:i/>
          <w:sz w:val="24"/>
          <w:szCs w:val="24"/>
        </w:rPr>
      </w:pPr>
      <w:bookmarkStart w:id="7" w:name="_heading=h.2s8eyo1" w:colFirst="0" w:colLast="0"/>
      <w:bookmarkEnd w:id="7"/>
      <w:r>
        <w:rPr>
          <w:rFonts w:ascii="Slabo 27px" w:eastAsia="Slabo 27px" w:hAnsi="Slabo 27px" w:cs="Slabo 27px"/>
          <w:i/>
          <w:sz w:val="24"/>
          <w:szCs w:val="24"/>
        </w:rPr>
        <w:t>“Bahrain wishes to reiterate that it fulfils its obligations [...] in a manner compatible with Islamic sharia. In other words, its reservation to those articles is maintained only inasmuch as they conflict with Islamic</w:t>
      </w:r>
      <w:r>
        <w:rPr>
          <w:rFonts w:ascii="Slabo 27px" w:eastAsia="Slabo 27px" w:hAnsi="Slabo 27px" w:cs="Slabo 27px"/>
          <w:i/>
          <w:sz w:val="24"/>
          <w:szCs w:val="24"/>
        </w:rPr>
        <w:t xml:space="preserve"> sharia and it does not detract from the essence of the Convention or from the principle of equality of rights and duties between men and women.”</w:t>
      </w:r>
    </w:p>
    <w:p w:rsidR="00F31580" w:rsidRDefault="00F31580">
      <w:pPr>
        <w:spacing w:after="0" w:line="240" w:lineRule="auto"/>
        <w:jc w:val="both"/>
        <w:rPr>
          <w:rFonts w:ascii="Slabo 27px" w:eastAsia="Slabo 27px" w:hAnsi="Slabo 27px" w:cs="Slabo 27px"/>
          <w:sz w:val="24"/>
          <w:szCs w:val="24"/>
        </w:rPr>
      </w:pPr>
      <w:bookmarkStart w:id="8" w:name="_heading=h.17dp8vu" w:colFirst="0" w:colLast="0"/>
      <w:bookmarkEnd w:id="8"/>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9" w:name="_heading=h.3rdcrjn" w:colFirst="0" w:colLast="0"/>
      <w:bookmarkEnd w:id="9"/>
      <w:r>
        <w:rPr>
          <w:rFonts w:ascii="Slabo 27px" w:eastAsia="Slabo 27px" w:hAnsi="Slabo 27px" w:cs="Slabo 27px"/>
          <w:sz w:val="24"/>
          <w:szCs w:val="24"/>
        </w:rPr>
        <w:t xml:space="preserve">Yet the GoB’s twisting, convoluted assertions serve only to re-state and embed the broad, generalised nature </w:t>
      </w:r>
      <w:r>
        <w:rPr>
          <w:rFonts w:ascii="Slabo 27px" w:eastAsia="Slabo 27px" w:hAnsi="Slabo 27px" w:cs="Slabo 27px"/>
          <w:sz w:val="24"/>
          <w:szCs w:val="24"/>
        </w:rPr>
        <w:t xml:space="preserve">of its reservation. Further, the measures set out in paragraphs 53 and 54 of the state party’s report, that legislature passed Decree-Law No. 70 of 2014 to amend certain provisions of Decree-Law No. 5 of 2002 and that the GoB’s Ministry of Foreign Affairs </w:t>
      </w:r>
      <w:r>
        <w:rPr>
          <w:rFonts w:ascii="Slabo 27px" w:eastAsia="Slabo 27px" w:hAnsi="Slabo 27px" w:cs="Slabo 27px"/>
          <w:sz w:val="24"/>
          <w:szCs w:val="24"/>
        </w:rPr>
        <w:t>had contacted the United Nations to explain “</w:t>
      </w:r>
      <w:r>
        <w:rPr>
          <w:rFonts w:ascii="Slabo 27px" w:eastAsia="Slabo 27px" w:hAnsi="Slabo 27px" w:cs="Slabo 27px"/>
          <w:i/>
          <w:sz w:val="24"/>
          <w:szCs w:val="24"/>
        </w:rPr>
        <w:t>provisions to reword some of the reservations to the Convention</w:t>
      </w:r>
      <w:r>
        <w:rPr>
          <w:rFonts w:ascii="Slabo 27px" w:eastAsia="Slabo 27px" w:hAnsi="Slabo 27px" w:cs="Slabo 27px"/>
          <w:sz w:val="24"/>
          <w:szCs w:val="24"/>
        </w:rPr>
        <w:t xml:space="preserve">” continues to fall short of specific recommendations raised for many years. </w:t>
      </w:r>
    </w:p>
    <w:p w:rsidR="00F31580" w:rsidRDefault="00F31580">
      <w:pPr>
        <w:spacing w:after="0" w:line="240" w:lineRule="auto"/>
        <w:jc w:val="both"/>
        <w:rPr>
          <w:rFonts w:ascii="Slabo 27px" w:eastAsia="Slabo 27px" w:hAnsi="Slabo 27px" w:cs="Slabo 27px"/>
          <w:sz w:val="24"/>
          <w:szCs w:val="24"/>
        </w:rPr>
      </w:pPr>
      <w:bookmarkStart w:id="10" w:name="_heading=h.26in1rg" w:colFirst="0" w:colLast="0"/>
      <w:bookmarkEnd w:id="10"/>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11" w:name="_heading=h.lnxbz9" w:colFirst="0" w:colLast="0"/>
      <w:bookmarkEnd w:id="11"/>
      <w:r>
        <w:rPr>
          <w:rFonts w:ascii="Slabo 27px" w:eastAsia="Slabo 27px" w:hAnsi="Slabo 27px" w:cs="Slabo 27px"/>
          <w:sz w:val="24"/>
          <w:szCs w:val="24"/>
        </w:rPr>
        <w:t>The GoB’s reservation to article 29 of the Covenant, further, seeks t</w:t>
      </w:r>
      <w:r>
        <w:rPr>
          <w:rFonts w:ascii="Slabo 27px" w:eastAsia="Slabo 27px" w:hAnsi="Slabo 27px" w:cs="Slabo 27px"/>
          <w:sz w:val="24"/>
          <w:szCs w:val="24"/>
        </w:rPr>
        <w:t>o place the GoB above accountability for its implementation of the Covenant, by implying that it is accountable to no other, equal, contracting party save itself and the non-binding recommendations made to it by the Committee, which it has repeatedly chose</w:t>
      </w:r>
      <w:r>
        <w:rPr>
          <w:rFonts w:ascii="Slabo 27px" w:eastAsia="Slabo 27px" w:hAnsi="Slabo 27px" w:cs="Slabo 27px"/>
          <w:sz w:val="24"/>
          <w:szCs w:val="24"/>
        </w:rPr>
        <w:t xml:space="preserve">n not to implement. </w:t>
      </w:r>
    </w:p>
    <w:p w:rsidR="00F31580" w:rsidRDefault="00F31580">
      <w:pPr>
        <w:spacing w:after="0" w:line="240" w:lineRule="auto"/>
        <w:jc w:val="both"/>
        <w:rPr>
          <w:rFonts w:ascii="Slabo 27px" w:eastAsia="Slabo 27px" w:hAnsi="Slabo 27px" w:cs="Slabo 27px"/>
          <w:sz w:val="24"/>
          <w:szCs w:val="24"/>
        </w:rPr>
      </w:pPr>
      <w:bookmarkStart w:id="12" w:name="_heading=h.35nkun2" w:colFirst="0" w:colLast="0"/>
      <w:bookmarkEnd w:id="12"/>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 to:</w:t>
      </w:r>
    </w:p>
    <w:p w:rsidR="00F31580" w:rsidRDefault="00156FC1">
      <w:pPr>
        <w:numPr>
          <w:ilvl w:val="0"/>
          <w:numId w:val="8"/>
        </w:numPr>
        <w:spacing w:after="0" w:line="240" w:lineRule="auto"/>
        <w:jc w:val="both"/>
        <w:rPr>
          <w:rFonts w:ascii="Slabo 27px" w:eastAsia="Slabo 27px" w:hAnsi="Slabo 27px" w:cs="Slabo 27px"/>
          <w:b/>
          <w:i/>
          <w:sz w:val="24"/>
          <w:szCs w:val="24"/>
        </w:rPr>
      </w:pPr>
      <w:bookmarkStart w:id="13" w:name="_heading=h.1ksv4uv" w:colFirst="0" w:colLast="0"/>
      <w:bookmarkEnd w:id="13"/>
      <w:r>
        <w:rPr>
          <w:rFonts w:ascii="Slabo 27px" w:eastAsia="Slabo 27px" w:hAnsi="Slabo 27px" w:cs="Slabo 27px"/>
          <w:b/>
          <w:i/>
          <w:sz w:val="24"/>
          <w:szCs w:val="24"/>
        </w:rPr>
        <w:t>Address this issue in the current cycle and to seek, as required, information from the International Court of Justice as to how this apparent contradiction can now be addressed by the state party; and to provide guidance to independent advocacy bodies as t</w:t>
      </w:r>
      <w:r>
        <w:rPr>
          <w:rFonts w:ascii="Slabo 27px" w:eastAsia="Slabo 27px" w:hAnsi="Slabo 27px" w:cs="Slabo 27px"/>
          <w:b/>
          <w:i/>
          <w:sz w:val="24"/>
          <w:szCs w:val="24"/>
        </w:rPr>
        <w:t>o how to understand this provision and whether it provides Bahrain with an enduring reason not to make good on treaty obligations.</w:t>
      </w:r>
    </w:p>
    <w:p w:rsidR="00F31580" w:rsidRDefault="00F31580">
      <w:pPr>
        <w:spacing w:after="0" w:line="240" w:lineRule="auto"/>
        <w:jc w:val="both"/>
        <w:rPr>
          <w:rFonts w:ascii="Slabo 27px" w:eastAsia="Slabo 27px" w:hAnsi="Slabo 27px" w:cs="Slabo 27px"/>
          <w:sz w:val="24"/>
          <w:szCs w:val="24"/>
        </w:rPr>
      </w:pPr>
      <w:bookmarkStart w:id="14" w:name="_heading=h.44sinio" w:colFirst="0" w:colLast="0"/>
      <w:bookmarkEnd w:id="14"/>
    </w:p>
    <w:p w:rsidR="00F31580" w:rsidRDefault="00156FC1">
      <w:pPr>
        <w:pStyle w:val="Heading1"/>
        <w:spacing w:after="0" w:line="240" w:lineRule="auto"/>
        <w:jc w:val="both"/>
        <w:rPr>
          <w:rFonts w:ascii="Slabo 27px" w:eastAsia="Slabo 27px" w:hAnsi="Slabo 27px" w:cs="Slabo 27px"/>
          <w:sz w:val="28"/>
          <w:szCs w:val="28"/>
        </w:rPr>
      </w:pPr>
      <w:bookmarkStart w:id="15" w:name="_heading=h.2jxsxqh" w:colFirst="0" w:colLast="0"/>
      <w:bookmarkEnd w:id="15"/>
      <w:r>
        <w:rPr>
          <w:rFonts w:ascii="Slabo 27px" w:eastAsia="Slabo 27px" w:hAnsi="Slabo 27px" w:cs="Slabo 27px"/>
          <w:sz w:val="28"/>
          <w:szCs w:val="28"/>
        </w:rPr>
        <w:t>Intersectional factors and corollary human rights violations of other covenants that impact on implementation of the Covenan</w:t>
      </w:r>
      <w:r>
        <w:rPr>
          <w:rFonts w:ascii="Slabo 27px" w:eastAsia="Slabo 27px" w:hAnsi="Slabo 27px" w:cs="Slabo 27px"/>
          <w:sz w:val="28"/>
          <w:szCs w:val="28"/>
        </w:rPr>
        <w:t>t</w:t>
      </w:r>
    </w:p>
    <w:p w:rsidR="00F31580" w:rsidRDefault="00F31580">
      <w:pPr>
        <w:spacing w:after="0" w:line="240" w:lineRule="auto"/>
        <w:jc w:val="both"/>
        <w:rPr>
          <w:rFonts w:ascii="Slabo 27px" w:eastAsia="Slabo 27px" w:hAnsi="Slabo 27px" w:cs="Slabo 27px"/>
          <w:sz w:val="24"/>
          <w:szCs w:val="24"/>
        </w:rPr>
      </w:pPr>
      <w:bookmarkStart w:id="16" w:name="_heading=h.z337ya" w:colFirst="0" w:colLast="0"/>
      <w:bookmarkEnd w:id="16"/>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17" w:name="_heading=h.3j2qqm3" w:colFirst="0" w:colLast="0"/>
      <w:bookmarkEnd w:id="17"/>
      <w:r>
        <w:rPr>
          <w:rFonts w:ascii="Slabo 27px" w:eastAsia="Slabo 27px" w:hAnsi="Slabo 27px" w:cs="Slabo 27px"/>
          <w:sz w:val="24"/>
          <w:szCs w:val="24"/>
        </w:rPr>
        <w:t>Arbitrary restrictions imposed by the GoB in relation to freedom of association adversely impacts on implementation of the Covenant. SALAM DHR and RRC are therefore concerned that the GoB and Supreme Council for Women’s reliance on engagement with parliame</w:t>
      </w:r>
      <w:r>
        <w:rPr>
          <w:rFonts w:ascii="Slabo 27px" w:eastAsia="Slabo 27px" w:hAnsi="Slabo 27px" w:cs="Slabo 27px"/>
          <w:sz w:val="24"/>
          <w:szCs w:val="24"/>
        </w:rPr>
        <w:t>nt members and bodies as informing the implementation of the Covenant in Bahrain is flawed and undermines effective implementation of the Covenant.</w:t>
      </w:r>
      <w:r>
        <w:rPr>
          <w:rFonts w:ascii="Slabo 27px" w:eastAsia="Slabo 27px" w:hAnsi="Slabo 27px" w:cs="Slabo 27px"/>
          <w:sz w:val="24"/>
          <w:szCs w:val="24"/>
          <w:vertAlign w:val="superscript"/>
        </w:rPr>
        <w:footnoteReference w:id="3"/>
      </w:r>
      <w:r>
        <w:rPr>
          <w:rFonts w:ascii="Slabo 27px" w:eastAsia="Slabo 27px" w:hAnsi="Slabo 27px" w:cs="Slabo 27px"/>
          <w:sz w:val="24"/>
          <w:szCs w:val="24"/>
        </w:rPr>
        <w:t xml:space="preserve"> The Committee must recognise, for example, that the GoB has tortured at least two former parliamentarians.</w:t>
      </w:r>
      <w:r>
        <w:rPr>
          <w:rFonts w:ascii="Slabo 27px" w:eastAsia="Slabo 27px" w:hAnsi="Slabo 27px" w:cs="Slabo 27px"/>
          <w:sz w:val="24"/>
          <w:szCs w:val="24"/>
          <w:vertAlign w:val="superscript"/>
        </w:rPr>
        <w:footnoteReference w:id="4"/>
      </w:r>
      <w:r>
        <w:rPr>
          <w:rFonts w:ascii="Slabo 27px" w:eastAsia="Slabo 27px" w:hAnsi="Slabo 27px" w:cs="Slabo 27px"/>
          <w:sz w:val="24"/>
          <w:szCs w:val="24"/>
        </w:rPr>
        <w:t xml:space="preserve"> Moreover, in 2017 the GoB confirmed the forced dissolution of the largest political association, al-Wefaq while in March 2017 the Minister of Justice filed a lawsuit against a smaller, secular opposition group Wa’ad for violating the Law on Political Asso</w:t>
      </w:r>
      <w:r>
        <w:rPr>
          <w:rFonts w:ascii="Slabo 27px" w:eastAsia="Slabo 27px" w:hAnsi="Slabo 27px" w:cs="Slabo 27px"/>
          <w:sz w:val="24"/>
          <w:szCs w:val="24"/>
        </w:rPr>
        <w:t>ciations. In May, the High Administrative Court ordered the dissolution of this party and the liquidation of its assets. In October the Appeal Court upheld the verdict. The GoB continues to detain al-Wefaq leader, Sheikh Ali Salman, whom Amnesty Internatio</w:t>
      </w:r>
      <w:r>
        <w:rPr>
          <w:rFonts w:ascii="Slabo 27px" w:eastAsia="Slabo 27px" w:hAnsi="Slabo 27px" w:cs="Slabo 27px"/>
          <w:sz w:val="24"/>
          <w:szCs w:val="24"/>
        </w:rPr>
        <w:t>nal terms a prisoner of conscience. In March 2017, the GoB charged former Secretary General of Wa’ad, Ebrahim Sharif, in relation to peaceful expressions of his conscientiously held beliefs, including by way of his posting on Twitter, including of an Amnes</w:t>
      </w:r>
      <w:r>
        <w:rPr>
          <w:rFonts w:ascii="Slabo 27px" w:eastAsia="Slabo 27px" w:hAnsi="Slabo 27px" w:cs="Slabo 27px"/>
          <w:sz w:val="24"/>
          <w:szCs w:val="24"/>
        </w:rPr>
        <w:t>ty International graphic and a tweet criticizing the lack of democracy in Bahrain.</w:t>
      </w:r>
      <w:r>
        <w:rPr>
          <w:rFonts w:ascii="Slabo 27px" w:eastAsia="Slabo 27px" w:hAnsi="Slabo 27px" w:cs="Slabo 27px"/>
          <w:sz w:val="24"/>
          <w:szCs w:val="24"/>
          <w:vertAlign w:val="superscript"/>
        </w:rPr>
        <w:footnoteReference w:id="5"/>
      </w:r>
      <w:r>
        <w:rPr>
          <w:rFonts w:ascii="Slabo 27px" w:eastAsia="Slabo 27px" w:hAnsi="Slabo 27px" w:cs="Slabo 27px"/>
          <w:sz w:val="24"/>
          <w:szCs w:val="24"/>
        </w:rPr>
        <w:t xml:space="preserve"> The authorities released him in June 2015. </w:t>
      </w:r>
    </w:p>
    <w:p w:rsidR="00F31580" w:rsidRDefault="00F31580">
      <w:pPr>
        <w:spacing w:after="0" w:line="240" w:lineRule="auto"/>
        <w:jc w:val="both"/>
        <w:rPr>
          <w:rFonts w:ascii="Slabo 27px" w:eastAsia="Slabo 27px" w:hAnsi="Slabo 27px" w:cs="Slabo 27px"/>
          <w:sz w:val="24"/>
          <w:szCs w:val="24"/>
        </w:rPr>
      </w:pPr>
      <w:bookmarkStart w:id="18" w:name="_heading=h.1y810tw" w:colFirst="0" w:colLast="0"/>
      <w:bookmarkEnd w:id="18"/>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19" w:name="_heading=h.4i7ojhp" w:colFirst="0" w:colLast="0"/>
      <w:bookmarkEnd w:id="19"/>
      <w:r>
        <w:rPr>
          <w:rFonts w:ascii="Slabo 27px" w:eastAsia="Slabo 27px" w:hAnsi="Slabo 27px" w:cs="Slabo 27px"/>
          <w:sz w:val="24"/>
          <w:szCs w:val="24"/>
        </w:rPr>
        <w:t>Accordingly, the arbitrary imposition of restrictions on who can stand for parliament erodes democratic legitimacy and adversel</w:t>
      </w:r>
      <w:r>
        <w:rPr>
          <w:rFonts w:ascii="Slabo 27px" w:eastAsia="Slabo 27px" w:hAnsi="Slabo 27px" w:cs="Slabo 27px"/>
          <w:sz w:val="24"/>
          <w:szCs w:val="24"/>
        </w:rPr>
        <w:t>y impacts on the implementation of the Covenant. Therefore the assertion made in paragraph 42 of the state party’s report, that it is an ‘achievement’ and ongoing activity that the GoB is “</w:t>
      </w:r>
      <w:r>
        <w:rPr>
          <w:rFonts w:ascii="Slabo 27px" w:eastAsia="Slabo 27px" w:hAnsi="Slabo 27px" w:cs="Slabo 27px"/>
          <w:i/>
          <w:sz w:val="24"/>
          <w:szCs w:val="24"/>
        </w:rPr>
        <w:t>Cooperating with the legislature [...] by submitting opinions and p</w:t>
      </w:r>
      <w:r>
        <w:rPr>
          <w:rFonts w:ascii="Slabo 27px" w:eastAsia="Slabo 27px" w:hAnsi="Slabo 27px" w:cs="Slabo 27px"/>
          <w:i/>
          <w:sz w:val="24"/>
          <w:szCs w:val="24"/>
        </w:rPr>
        <w:t>roposals regarding laws to the Council of Representatives and the Consultative Council</w:t>
      </w:r>
      <w:r>
        <w:rPr>
          <w:rFonts w:ascii="Slabo 27px" w:eastAsia="Slabo 27px" w:hAnsi="Slabo 27px" w:cs="Slabo 27px"/>
          <w:sz w:val="24"/>
          <w:szCs w:val="24"/>
        </w:rPr>
        <w:t>” must be understood in the light of the selected nature of many, capable, members of parliament, on account of state-imposed policy.</w:t>
      </w:r>
    </w:p>
    <w:p w:rsidR="00F31580" w:rsidRDefault="00F31580">
      <w:pPr>
        <w:spacing w:after="0" w:line="240" w:lineRule="auto"/>
        <w:jc w:val="both"/>
        <w:rPr>
          <w:rFonts w:ascii="Slabo 27px" w:eastAsia="Slabo 27px" w:hAnsi="Slabo 27px" w:cs="Slabo 27px"/>
          <w:sz w:val="24"/>
          <w:szCs w:val="24"/>
        </w:rPr>
      </w:pPr>
      <w:bookmarkStart w:id="20" w:name="_heading=h.2xcytpi" w:colFirst="0" w:colLast="0"/>
      <w:bookmarkEnd w:id="20"/>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21" w:name="_heading=h.1ci93xb" w:colFirst="0" w:colLast="0"/>
      <w:bookmarkEnd w:id="21"/>
      <w:r>
        <w:rPr>
          <w:rFonts w:ascii="Slabo 27px" w:eastAsia="Slabo 27px" w:hAnsi="Slabo 27px" w:cs="Slabo 27px"/>
          <w:sz w:val="24"/>
          <w:szCs w:val="24"/>
        </w:rPr>
        <w:t xml:space="preserve">The authors are likewise concerned </w:t>
      </w:r>
      <w:r>
        <w:rPr>
          <w:rFonts w:ascii="Slabo 27px" w:eastAsia="Slabo 27px" w:hAnsi="Slabo 27px" w:cs="Slabo 27px"/>
          <w:sz w:val="24"/>
          <w:szCs w:val="24"/>
        </w:rPr>
        <w:t>that religious-based discrimination in, for example, employment, likewise impacts on implementation of the Covenant. Paragraph 73 of the state party’s report asserts, citing the Constitution of the Kingdom of Bahrain, that “[...] women may stand for electi</w:t>
      </w:r>
      <w:r>
        <w:rPr>
          <w:rFonts w:ascii="Slabo 27px" w:eastAsia="Slabo 27px" w:hAnsi="Slabo 27px" w:cs="Slabo 27px"/>
          <w:sz w:val="24"/>
          <w:szCs w:val="24"/>
        </w:rPr>
        <w:t>on, vote and exercise their political rights”; paragraph 18 reminds the Committee that the Constitution states that all citizens, both men and women:</w:t>
      </w:r>
    </w:p>
    <w:p w:rsidR="00F31580" w:rsidRDefault="00F31580">
      <w:pPr>
        <w:spacing w:after="0" w:line="240" w:lineRule="auto"/>
        <w:jc w:val="both"/>
        <w:rPr>
          <w:rFonts w:ascii="Slabo 27px" w:eastAsia="Slabo 27px" w:hAnsi="Slabo 27px" w:cs="Slabo 27px"/>
          <w:sz w:val="24"/>
          <w:szCs w:val="24"/>
        </w:rPr>
      </w:pPr>
      <w:bookmarkStart w:id="22" w:name="_heading=h.3whwml4" w:colFirst="0" w:colLast="0"/>
      <w:bookmarkEnd w:id="22"/>
    </w:p>
    <w:p w:rsidR="00F31580" w:rsidRDefault="00156FC1">
      <w:pPr>
        <w:spacing w:after="0" w:line="240" w:lineRule="auto"/>
        <w:ind w:left="1133" w:right="1133"/>
        <w:jc w:val="both"/>
        <w:rPr>
          <w:rFonts w:ascii="Slabo 27px" w:eastAsia="Slabo 27px" w:hAnsi="Slabo 27px" w:cs="Slabo 27px"/>
          <w:i/>
          <w:sz w:val="24"/>
          <w:szCs w:val="24"/>
        </w:rPr>
      </w:pPr>
      <w:bookmarkStart w:id="23" w:name="_heading=h.2bn6wsx" w:colFirst="0" w:colLast="0"/>
      <w:bookmarkEnd w:id="23"/>
      <w:r>
        <w:rPr>
          <w:rFonts w:ascii="Slabo 27px" w:eastAsia="Slabo 27px" w:hAnsi="Slabo 27px" w:cs="Slabo 27px"/>
          <w:i/>
          <w:sz w:val="24"/>
          <w:szCs w:val="24"/>
        </w:rPr>
        <w:t>“have the right to participate in economic activity as workers or as employers, within a framework of com</w:t>
      </w:r>
      <w:r>
        <w:rPr>
          <w:rFonts w:ascii="Slabo 27px" w:eastAsia="Slabo 27px" w:hAnsi="Slabo 27px" w:cs="Slabo 27px"/>
          <w:i/>
          <w:sz w:val="24"/>
          <w:szCs w:val="24"/>
        </w:rPr>
        <w:t>prehensive legal equality that takes account of economic principles, rules of social justice and the human right to choose the most fitting form of work on the basis of skill without restricting one profession or field of activity to one sex at the expense</w:t>
      </w:r>
      <w:r>
        <w:rPr>
          <w:rFonts w:ascii="Slabo 27px" w:eastAsia="Slabo 27px" w:hAnsi="Slabo 27px" w:cs="Slabo 27px"/>
          <w:i/>
          <w:sz w:val="24"/>
          <w:szCs w:val="24"/>
        </w:rPr>
        <w:t xml:space="preserve"> of the other.”</w:t>
      </w:r>
    </w:p>
    <w:p w:rsidR="00F31580" w:rsidRDefault="00F31580">
      <w:pPr>
        <w:spacing w:after="0" w:line="240" w:lineRule="auto"/>
        <w:jc w:val="both"/>
        <w:rPr>
          <w:rFonts w:ascii="Slabo 27px" w:eastAsia="Slabo 27px" w:hAnsi="Slabo 27px" w:cs="Slabo 27px"/>
          <w:sz w:val="24"/>
          <w:szCs w:val="24"/>
        </w:rPr>
      </w:pPr>
      <w:bookmarkStart w:id="24" w:name="_heading=h.qsh70q" w:colFirst="0" w:colLast="0"/>
      <w:bookmarkEnd w:id="24"/>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25" w:name="_heading=h.3as4poj" w:colFirst="0" w:colLast="0"/>
      <w:bookmarkEnd w:id="25"/>
      <w:r>
        <w:rPr>
          <w:rFonts w:ascii="Slabo 27px" w:eastAsia="Slabo 27px" w:hAnsi="Slabo 27px" w:cs="Slabo 27px"/>
          <w:sz w:val="24"/>
          <w:szCs w:val="24"/>
        </w:rPr>
        <w:t xml:space="preserve">The same paragraph reminds the reader that, “[...] </w:t>
      </w:r>
      <w:r>
        <w:rPr>
          <w:rFonts w:ascii="Slabo 27px" w:eastAsia="Slabo 27px" w:hAnsi="Slabo 27px" w:cs="Slabo 27px"/>
          <w:i/>
          <w:sz w:val="24"/>
          <w:szCs w:val="24"/>
        </w:rPr>
        <w:t xml:space="preserve">article 16 (b) of the Constitution states that ‘citizens are equally entitled to occupy public service posts, in line with conditions established by law’ </w:t>
      </w:r>
      <w:r>
        <w:rPr>
          <w:rFonts w:ascii="Slabo 27px" w:eastAsia="Slabo 27px" w:hAnsi="Slabo 27px" w:cs="Slabo 27px"/>
          <w:sz w:val="24"/>
          <w:szCs w:val="24"/>
        </w:rPr>
        <w:t>[...]” Yet, as the International L</w:t>
      </w:r>
      <w:r>
        <w:rPr>
          <w:rFonts w:ascii="Slabo 27px" w:eastAsia="Slabo 27px" w:hAnsi="Slabo 27px" w:cs="Slabo 27px"/>
          <w:sz w:val="24"/>
          <w:szCs w:val="24"/>
        </w:rPr>
        <w:t>abour Organisation (ILO)’s Committee of Experts on the Application of Conventions and Recommendation (CEACR) has found in respect to Article 1(1)(a) of ILO’s Discrimination (Employment and Occupation) Convention, 1958 (No. 111), “</w:t>
      </w:r>
      <w:r>
        <w:rPr>
          <w:rFonts w:ascii="Slabo 27px" w:eastAsia="Slabo 27px" w:hAnsi="Slabo 27px" w:cs="Slabo 27px"/>
          <w:i/>
          <w:sz w:val="24"/>
          <w:szCs w:val="24"/>
        </w:rPr>
        <w:t>discrimination on a religi</w:t>
      </w:r>
      <w:r>
        <w:rPr>
          <w:rFonts w:ascii="Slabo 27px" w:eastAsia="Slabo 27px" w:hAnsi="Slabo 27px" w:cs="Slabo 27px"/>
          <w:i/>
          <w:sz w:val="24"/>
          <w:szCs w:val="24"/>
        </w:rPr>
        <w:t>ous basis is the major form of discrimination in the country and that it is ongoing on a large scale both in the private and the public sectors.</w:t>
      </w:r>
      <w:r>
        <w:rPr>
          <w:rFonts w:ascii="Slabo 27px" w:eastAsia="Slabo 27px" w:hAnsi="Slabo 27px" w:cs="Slabo 27px"/>
          <w:sz w:val="24"/>
          <w:szCs w:val="24"/>
        </w:rPr>
        <w:t>”</w:t>
      </w:r>
      <w:r>
        <w:rPr>
          <w:rFonts w:ascii="Slabo 27px" w:eastAsia="Slabo 27px" w:hAnsi="Slabo 27px" w:cs="Slabo 27px"/>
          <w:sz w:val="24"/>
          <w:szCs w:val="24"/>
          <w:vertAlign w:val="superscript"/>
        </w:rPr>
        <w:footnoteReference w:id="6"/>
      </w:r>
      <w:r>
        <w:rPr>
          <w:rFonts w:ascii="Slabo 27px" w:eastAsia="Slabo 27px" w:hAnsi="Slabo 27px" w:cs="Slabo 27px"/>
          <w:sz w:val="24"/>
          <w:szCs w:val="24"/>
        </w:rPr>
        <w:t xml:space="preserve"> The ILO’s CEACR reminded the GoB that while laws against discrimination existed, “it is also important for th</w:t>
      </w:r>
      <w:r>
        <w:rPr>
          <w:rFonts w:ascii="Slabo 27px" w:eastAsia="Slabo 27px" w:hAnsi="Slabo 27px" w:cs="Slabo 27px"/>
          <w:sz w:val="24"/>
          <w:szCs w:val="24"/>
        </w:rPr>
        <w:t>e law to be fully and strictly applied in practice”, a view which evokes the state of women’s rights legislation in Bahrain. The ILO’s CEACR called on the GoB “</w:t>
      </w:r>
      <w:r>
        <w:rPr>
          <w:rFonts w:ascii="Slabo 27px" w:eastAsia="Slabo 27px" w:hAnsi="Slabo 27px" w:cs="Slabo 27px"/>
          <w:i/>
          <w:sz w:val="24"/>
          <w:szCs w:val="24"/>
        </w:rPr>
        <w:t xml:space="preserve">to take proactive steps to foster respect and tolerance in society of all religious communities </w:t>
      </w:r>
      <w:r>
        <w:rPr>
          <w:rFonts w:ascii="Slabo 27px" w:eastAsia="Slabo 27px" w:hAnsi="Slabo 27px" w:cs="Slabo 27px"/>
          <w:i/>
          <w:sz w:val="24"/>
          <w:szCs w:val="24"/>
        </w:rPr>
        <w:t>and to raise awareness of the existing legislation and mechanisms available for workers who consider that they have been subject to discrimination.</w:t>
      </w:r>
      <w:r>
        <w:rPr>
          <w:rFonts w:ascii="Slabo 27px" w:eastAsia="Slabo 27px" w:hAnsi="Slabo 27px" w:cs="Slabo 27px"/>
          <w:sz w:val="24"/>
          <w:szCs w:val="24"/>
        </w:rPr>
        <w:t>” Similarly, the July 2018 Concluding Observations of the Human Rights Committee (HRC) likewise expressed con</w:t>
      </w:r>
      <w:r>
        <w:rPr>
          <w:rFonts w:ascii="Slabo 27px" w:eastAsia="Slabo 27px" w:hAnsi="Slabo 27px" w:cs="Slabo 27px"/>
          <w:sz w:val="24"/>
          <w:szCs w:val="24"/>
        </w:rPr>
        <w:t>cern “at reports that members of the Shia community have been subjected to restrictions of their rights to worship and profess their religious beliefs and that liberty of conscience is not effectively guaranteed (art. 18).” The HRC  called on the GoB to st</w:t>
      </w:r>
      <w:r>
        <w:rPr>
          <w:rFonts w:ascii="Slabo 27px" w:eastAsia="Slabo 27px" w:hAnsi="Slabo 27px" w:cs="Slabo 27px"/>
          <w:sz w:val="24"/>
          <w:szCs w:val="24"/>
        </w:rPr>
        <w:t>ep “[...] up its efforts to ensure that the Shia population is fairly represented in the public and political spheres. The State party should take immediate steps to ensure that the Shia population is effectively protected from discrimination in every fiel</w:t>
      </w:r>
      <w:r>
        <w:rPr>
          <w:rFonts w:ascii="Slabo 27px" w:eastAsia="Slabo 27px" w:hAnsi="Slabo 27px" w:cs="Slabo 27px"/>
          <w:sz w:val="24"/>
          <w:szCs w:val="24"/>
        </w:rPr>
        <w:t>d.”</w:t>
      </w:r>
      <w:r>
        <w:rPr>
          <w:rFonts w:ascii="Slabo 27px" w:eastAsia="Slabo 27px" w:hAnsi="Slabo 27px" w:cs="Slabo 27px"/>
          <w:sz w:val="24"/>
          <w:szCs w:val="24"/>
          <w:vertAlign w:val="superscript"/>
        </w:rPr>
        <w:footnoteReference w:id="7"/>
      </w:r>
    </w:p>
    <w:p w:rsidR="00F31580" w:rsidRDefault="00156FC1">
      <w:pPr>
        <w:pStyle w:val="Heading1"/>
        <w:spacing w:after="0" w:line="240" w:lineRule="auto"/>
        <w:jc w:val="both"/>
        <w:rPr>
          <w:rFonts w:ascii="Slabo 27px" w:eastAsia="Slabo 27px" w:hAnsi="Slabo 27px" w:cs="Slabo 27px"/>
          <w:sz w:val="28"/>
          <w:szCs w:val="28"/>
        </w:rPr>
      </w:pPr>
      <w:bookmarkStart w:id="26" w:name="_heading=h.49x2ik5" w:colFirst="0" w:colLast="0"/>
      <w:bookmarkEnd w:id="26"/>
      <w:r>
        <w:rPr>
          <w:rFonts w:ascii="Slabo 27px" w:eastAsia="Slabo 27px" w:hAnsi="Slabo 27px" w:cs="Slabo 27px"/>
          <w:sz w:val="28"/>
          <w:szCs w:val="28"/>
        </w:rPr>
        <w:t>Inaccurate representation of consultation and engagement with civil society, circulation of information relating to the Covenant, including in relation to the use of quotas</w:t>
      </w:r>
    </w:p>
    <w:p w:rsidR="00F31580" w:rsidRDefault="00F31580">
      <w:pPr>
        <w:spacing w:after="0" w:line="240" w:lineRule="auto"/>
        <w:jc w:val="both"/>
        <w:rPr>
          <w:rFonts w:ascii="Slabo 27px" w:eastAsia="Slabo 27px" w:hAnsi="Slabo 27px" w:cs="Slabo 27px"/>
          <w:b/>
          <w:sz w:val="24"/>
          <w:szCs w:val="24"/>
        </w:rPr>
      </w:pPr>
      <w:bookmarkStart w:id="27" w:name="_heading=h.2p2csry" w:colFirst="0" w:colLast="0"/>
      <w:bookmarkEnd w:id="27"/>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28" w:name="_heading=h.147n2zr" w:colFirst="0" w:colLast="0"/>
      <w:bookmarkEnd w:id="28"/>
      <w:r>
        <w:rPr>
          <w:rFonts w:ascii="Slabo 27px" w:eastAsia="Slabo 27px" w:hAnsi="Slabo 27px" w:cs="Slabo 27px"/>
          <w:sz w:val="24"/>
          <w:szCs w:val="24"/>
        </w:rPr>
        <w:t xml:space="preserve">In the state party’s report, under the heading </w:t>
      </w:r>
      <w:r>
        <w:rPr>
          <w:rFonts w:ascii="Slabo 27px" w:eastAsia="Slabo 27px" w:hAnsi="Slabo 27px" w:cs="Slabo 27px"/>
          <w:i/>
          <w:sz w:val="24"/>
          <w:szCs w:val="24"/>
        </w:rPr>
        <w:t xml:space="preserve">Mechanism and methodology </w:t>
      </w:r>
      <w:r>
        <w:rPr>
          <w:rFonts w:ascii="Slabo 27px" w:eastAsia="Slabo 27px" w:hAnsi="Slabo 27px" w:cs="Slabo 27px"/>
          <w:sz w:val="24"/>
          <w:szCs w:val="24"/>
        </w:rPr>
        <w:t>used to draft the fourth periodic report of Bahrain, the GoB asserts, in paragraph 8, that the Supreme Council for Women, the author of the GoB report “</w:t>
      </w:r>
      <w:r>
        <w:rPr>
          <w:rFonts w:ascii="Slabo 27px" w:eastAsia="Slabo 27px" w:hAnsi="Slabo 27px" w:cs="Slabo 27px"/>
          <w:i/>
          <w:sz w:val="24"/>
          <w:szCs w:val="24"/>
        </w:rPr>
        <w:t>was careful to consult with all competent official (sic) bodies in order to obtain the necessary data an</w:t>
      </w:r>
      <w:r>
        <w:rPr>
          <w:rFonts w:ascii="Slabo 27px" w:eastAsia="Slabo 27px" w:hAnsi="Slabo 27px" w:cs="Slabo 27px"/>
          <w:i/>
          <w:sz w:val="24"/>
          <w:szCs w:val="24"/>
        </w:rPr>
        <w:t>d to learn about the difficulties and challenges they had faced and their current and future operations</w:t>
      </w:r>
      <w:r>
        <w:rPr>
          <w:rFonts w:ascii="Slabo 27px" w:eastAsia="Slabo 27px" w:hAnsi="Slabo 27px" w:cs="Slabo 27px"/>
          <w:sz w:val="24"/>
          <w:szCs w:val="24"/>
        </w:rPr>
        <w:t>” and that:</w:t>
      </w:r>
    </w:p>
    <w:p w:rsidR="00F31580" w:rsidRDefault="00F31580">
      <w:pPr>
        <w:spacing w:after="0" w:line="240" w:lineRule="auto"/>
        <w:jc w:val="both"/>
        <w:rPr>
          <w:rFonts w:ascii="Slabo 27px" w:eastAsia="Slabo 27px" w:hAnsi="Slabo 27px" w:cs="Slabo 27px"/>
          <w:sz w:val="24"/>
          <w:szCs w:val="24"/>
        </w:rPr>
      </w:pPr>
      <w:bookmarkStart w:id="29" w:name="_heading=h.3o7alnk" w:colFirst="0" w:colLast="0"/>
      <w:bookmarkEnd w:id="29"/>
    </w:p>
    <w:p w:rsidR="00F31580" w:rsidRDefault="00156FC1">
      <w:pPr>
        <w:spacing w:after="0" w:line="240" w:lineRule="auto"/>
        <w:ind w:left="1133" w:right="1133"/>
        <w:jc w:val="both"/>
        <w:rPr>
          <w:rFonts w:ascii="Slabo 27px" w:eastAsia="Slabo 27px" w:hAnsi="Slabo 27px" w:cs="Slabo 27px"/>
          <w:i/>
          <w:sz w:val="24"/>
          <w:szCs w:val="24"/>
        </w:rPr>
      </w:pPr>
      <w:bookmarkStart w:id="30" w:name="_heading=h.23ckvvd" w:colFirst="0" w:colLast="0"/>
      <w:bookmarkEnd w:id="30"/>
      <w:r>
        <w:rPr>
          <w:rFonts w:ascii="Slabo 27px" w:eastAsia="Slabo 27px" w:hAnsi="Slabo 27px" w:cs="Slabo 27px"/>
          <w:i/>
          <w:sz w:val="24"/>
          <w:szCs w:val="24"/>
        </w:rPr>
        <w:t>“The Council also consulted and coordinated with the National Human Rights Institution, the legislature, the Bahrain Women Union, women’s ci</w:t>
      </w:r>
      <w:r>
        <w:rPr>
          <w:rFonts w:ascii="Slabo 27px" w:eastAsia="Slabo 27px" w:hAnsi="Slabo 27px" w:cs="Slabo 27px"/>
          <w:i/>
          <w:sz w:val="24"/>
          <w:szCs w:val="24"/>
        </w:rPr>
        <w:t>vil society organizations and professional bodies in order to canvass their views and hear their comments on the third periodic and its concluding observations. All of that was taken into account when drafting the present report.”</w:t>
      </w:r>
    </w:p>
    <w:p w:rsidR="00F31580" w:rsidRDefault="00F31580">
      <w:pPr>
        <w:spacing w:after="0" w:line="240" w:lineRule="auto"/>
        <w:jc w:val="both"/>
        <w:rPr>
          <w:rFonts w:ascii="Slabo 27px" w:eastAsia="Slabo 27px" w:hAnsi="Slabo 27px" w:cs="Slabo 27px"/>
          <w:sz w:val="24"/>
          <w:szCs w:val="24"/>
        </w:rPr>
      </w:pPr>
      <w:bookmarkStart w:id="31" w:name="_heading=h.ihv636" w:colFirst="0" w:colLast="0"/>
      <w:bookmarkEnd w:id="31"/>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32" w:name="_heading=h.32hioqz" w:colFirst="0" w:colLast="0"/>
      <w:bookmarkEnd w:id="32"/>
      <w:r>
        <w:rPr>
          <w:rFonts w:ascii="Slabo 27px" w:eastAsia="Slabo 27px" w:hAnsi="Slabo 27px" w:cs="Slabo 27px"/>
          <w:sz w:val="24"/>
          <w:szCs w:val="24"/>
        </w:rPr>
        <w:t>The authors are concerne</w:t>
      </w:r>
      <w:r>
        <w:rPr>
          <w:rFonts w:ascii="Slabo 27px" w:eastAsia="Slabo 27px" w:hAnsi="Slabo 27px" w:cs="Slabo 27px"/>
          <w:sz w:val="24"/>
          <w:szCs w:val="24"/>
        </w:rPr>
        <w:t>d that this assertion is inaccurate and methodologically flawed: a government body that consults other government bodies cannot independently determine the character of implementation of the treaty. The GoB asserts that it consulted women’s civil society o</w:t>
      </w:r>
      <w:r>
        <w:rPr>
          <w:rFonts w:ascii="Slabo 27px" w:eastAsia="Slabo 27px" w:hAnsi="Slabo 27px" w:cs="Slabo 27px"/>
          <w:sz w:val="24"/>
          <w:szCs w:val="24"/>
        </w:rPr>
        <w:t>rganisations but does not provide any information about who they were, or even if they did consult and chose not to have their identity revealed.</w:t>
      </w:r>
    </w:p>
    <w:p w:rsidR="00F31580" w:rsidRDefault="00F31580">
      <w:pPr>
        <w:spacing w:after="0" w:line="240" w:lineRule="auto"/>
        <w:jc w:val="both"/>
        <w:rPr>
          <w:rFonts w:ascii="Slabo 27px" w:eastAsia="Slabo 27px" w:hAnsi="Slabo 27px" w:cs="Slabo 27px"/>
          <w:sz w:val="24"/>
          <w:szCs w:val="24"/>
        </w:rPr>
      </w:pPr>
      <w:bookmarkStart w:id="33" w:name="_heading=h.1hmsyys" w:colFirst="0" w:colLast="0"/>
      <w:bookmarkEnd w:id="33"/>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34" w:name="_heading=h.41mghml" w:colFirst="0" w:colLast="0"/>
      <w:bookmarkEnd w:id="34"/>
      <w:r>
        <w:rPr>
          <w:rFonts w:ascii="Slabo 27px" w:eastAsia="Slabo 27px" w:hAnsi="Slabo 27px" w:cs="Slabo 27px"/>
          <w:sz w:val="24"/>
          <w:szCs w:val="24"/>
        </w:rPr>
        <w:t>According to information available to SALAM DHR and the RRC, the government and  Supreme Council for Women ch</w:t>
      </w:r>
      <w:r>
        <w:rPr>
          <w:rFonts w:ascii="Slabo 27px" w:eastAsia="Slabo 27px" w:hAnsi="Slabo 27px" w:cs="Slabo 27px"/>
          <w:sz w:val="24"/>
          <w:szCs w:val="24"/>
        </w:rPr>
        <w:t>ose not to consult independent human rights organisations such as SALAM DHR but also, the Bahrain Centre for Human Rights (BCHR), Amnesty International (AI), Human Rights Watch (HRW), Americans for the Defence of Human Rights in Bahrain (ADHRB), Bahrain In</w:t>
      </w:r>
      <w:r>
        <w:rPr>
          <w:rFonts w:ascii="Slabo 27px" w:eastAsia="Slabo 27px" w:hAnsi="Slabo 27px" w:cs="Slabo 27px"/>
          <w:sz w:val="24"/>
          <w:szCs w:val="24"/>
        </w:rPr>
        <w:t>stitute for Rights and Democracy (BIRD) or the Gulf Centre for Human Rights (GCHR). Accordingly, SALAM DHR and RRC are concerned that the government and Supreme Council for Women’s assertions regarding consultation relating to the rights of women in Bahrai</w:t>
      </w:r>
      <w:r>
        <w:rPr>
          <w:rFonts w:ascii="Slabo 27px" w:eastAsia="Slabo 27px" w:hAnsi="Slabo 27px" w:cs="Slabo 27px"/>
          <w:sz w:val="24"/>
          <w:szCs w:val="24"/>
        </w:rPr>
        <w:t>n serves to misdirect the Committee and other stakeholders with regard to the true situation in the country: assertion is not the same as actually doing but rather suggests an ‘operationalisation’ of the human rights narrative for political ends, rather th</w:t>
      </w:r>
      <w:r>
        <w:rPr>
          <w:rFonts w:ascii="Slabo 27px" w:eastAsia="Slabo 27px" w:hAnsi="Slabo 27px" w:cs="Slabo 27px"/>
          <w:sz w:val="24"/>
          <w:szCs w:val="24"/>
        </w:rPr>
        <w:t>an for one related to the human rights of women.</w:t>
      </w:r>
    </w:p>
    <w:p w:rsidR="00F31580" w:rsidRDefault="00F31580">
      <w:pPr>
        <w:spacing w:after="0" w:line="240" w:lineRule="auto"/>
        <w:jc w:val="both"/>
        <w:rPr>
          <w:rFonts w:ascii="Slabo 27px" w:eastAsia="Slabo 27px" w:hAnsi="Slabo 27px" w:cs="Slabo 27px"/>
          <w:sz w:val="24"/>
          <w:szCs w:val="24"/>
        </w:rPr>
      </w:pPr>
      <w:bookmarkStart w:id="35" w:name="_heading=h.2grqrue" w:colFirst="0" w:colLast="0"/>
      <w:bookmarkEnd w:id="35"/>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36" w:name="_heading=h.vx1227" w:colFirst="0" w:colLast="0"/>
      <w:bookmarkEnd w:id="36"/>
      <w:r>
        <w:rPr>
          <w:rFonts w:ascii="Slabo 27px" w:eastAsia="Slabo 27px" w:hAnsi="Slabo 27px" w:cs="Slabo 27px"/>
          <w:sz w:val="24"/>
          <w:szCs w:val="24"/>
        </w:rPr>
        <w:t xml:space="preserve">The authors are likewise concerned over section </w:t>
      </w:r>
      <w:r>
        <w:rPr>
          <w:rFonts w:ascii="Slabo 27px" w:eastAsia="Slabo 27px" w:hAnsi="Slabo 27px" w:cs="Slabo 27px"/>
          <w:i/>
          <w:sz w:val="24"/>
          <w:szCs w:val="24"/>
        </w:rPr>
        <w:t>D. Cooperation with the Committee and progress made</w:t>
      </w:r>
      <w:r>
        <w:rPr>
          <w:rFonts w:ascii="Slabo 27px" w:eastAsia="Slabo 27px" w:hAnsi="Slabo 27px" w:cs="Slabo 27px"/>
          <w:sz w:val="24"/>
          <w:szCs w:val="24"/>
        </w:rPr>
        <w:t xml:space="preserve"> of the state party’s report. Paragraph 42 states that the GoB has “</w:t>
      </w:r>
      <w:r>
        <w:rPr>
          <w:rFonts w:ascii="Slabo 27px" w:eastAsia="Slabo 27px" w:hAnsi="Slabo 27px" w:cs="Slabo 27px"/>
          <w:i/>
          <w:sz w:val="24"/>
          <w:szCs w:val="24"/>
        </w:rPr>
        <w:t>Ongoing coordination with civil society</w:t>
      </w:r>
      <w:r>
        <w:rPr>
          <w:rFonts w:ascii="Slabo 27px" w:eastAsia="Slabo 27px" w:hAnsi="Slabo 27px" w:cs="Slabo 27px"/>
          <w:i/>
          <w:sz w:val="24"/>
          <w:szCs w:val="24"/>
        </w:rPr>
        <w:t xml:space="preserve"> bodies with a view to promoting their social role in raising awareness about concepts and methodologies associated with gender balance and equal opportunity</w:t>
      </w:r>
      <w:r>
        <w:rPr>
          <w:rFonts w:ascii="Slabo 27px" w:eastAsia="Slabo 27px" w:hAnsi="Slabo 27px" w:cs="Slabo 27px"/>
          <w:sz w:val="24"/>
          <w:szCs w:val="24"/>
        </w:rPr>
        <w:t>” yet none of the organisations named above are aware of any engagement with them or indeed any ind</w:t>
      </w:r>
      <w:r>
        <w:rPr>
          <w:rFonts w:ascii="Slabo 27px" w:eastAsia="Slabo 27px" w:hAnsi="Slabo 27px" w:cs="Slabo 27px"/>
          <w:sz w:val="24"/>
          <w:szCs w:val="24"/>
        </w:rPr>
        <w:t xml:space="preserve">ividual women human rights defenders in the country. </w:t>
      </w:r>
    </w:p>
    <w:p w:rsidR="00F31580" w:rsidRDefault="00F31580">
      <w:pPr>
        <w:spacing w:after="0" w:line="240" w:lineRule="auto"/>
        <w:jc w:val="both"/>
        <w:rPr>
          <w:rFonts w:ascii="Slabo 27px" w:eastAsia="Slabo 27px" w:hAnsi="Slabo 27px" w:cs="Slabo 27px"/>
          <w:sz w:val="24"/>
          <w:szCs w:val="24"/>
        </w:rPr>
      </w:pPr>
      <w:bookmarkStart w:id="37" w:name="_heading=h.3fwokq0" w:colFirst="0" w:colLast="0"/>
      <w:bookmarkEnd w:id="37"/>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38" w:name="_heading=h.1v1yuxt" w:colFirst="0" w:colLast="0"/>
      <w:bookmarkEnd w:id="38"/>
      <w:r>
        <w:rPr>
          <w:rFonts w:ascii="Slabo 27px" w:eastAsia="Slabo 27px" w:hAnsi="Slabo 27px" w:cs="Slabo 27px"/>
          <w:sz w:val="24"/>
          <w:szCs w:val="24"/>
        </w:rPr>
        <w:t>The authors are concerned that the Supreme Council for Women’s rejection of the efficacy and power of quotas flies in the face of tens of countries’ experience and that its out-of-hand rejection is bas</w:t>
      </w:r>
      <w:r>
        <w:rPr>
          <w:rFonts w:ascii="Slabo 27px" w:eastAsia="Slabo 27px" w:hAnsi="Slabo 27px" w:cs="Slabo 27px"/>
          <w:sz w:val="24"/>
          <w:szCs w:val="24"/>
        </w:rPr>
        <w:t>ed, itself, on discrimination against women and a failure to implement Article 2 of the Covenant. SALAM DHR notes, too, that the GoB does not set out the basis for its assertion in, inter alia, paragraph 73 of the state party’s report, namely that:</w:t>
      </w:r>
    </w:p>
    <w:p w:rsidR="00F31580" w:rsidRDefault="00F31580">
      <w:pPr>
        <w:spacing w:after="0" w:line="240" w:lineRule="auto"/>
        <w:jc w:val="both"/>
        <w:rPr>
          <w:rFonts w:ascii="Slabo 27px" w:eastAsia="Slabo 27px" w:hAnsi="Slabo 27px" w:cs="Slabo 27px"/>
          <w:sz w:val="24"/>
          <w:szCs w:val="24"/>
        </w:rPr>
      </w:pPr>
      <w:bookmarkStart w:id="39" w:name="_heading=h.4f1mdlm" w:colFirst="0" w:colLast="0"/>
      <w:bookmarkEnd w:id="39"/>
    </w:p>
    <w:p w:rsidR="00F31580" w:rsidRDefault="00156FC1">
      <w:pPr>
        <w:spacing w:after="0" w:line="240" w:lineRule="auto"/>
        <w:ind w:left="1133" w:right="1133"/>
        <w:jc w:val="both"/>
        <w:rPr>
          <w:rFonts w:ascii="Slabo 27px" w:eastAsia="Slabo 27px" w:hAnsi="Slabo 27px" w:cs="Slabo 27px"/>
          <w:sz w:val="24"/>
          <w:szCs w:val="24"/>
        </w:rPr>
      </w:pPr>
      <w:bookmarkStart w:id="40" w:name="_heading=h.2u6wntf" w:colFirst="0" w:colLast="0"/>
      <w:bookmarkEnd w:id="40"/>
      <w:r>
        <w:rPr>
          <w:rFonts w:ascii="Slabo 27px" w:eastAsia="Slabo 27px" w:hAnsi="Slabo 27px" w:cs="Slabo 27px"/>
          <w:i/>
          <w:sz w:val="24"/>
          <w:szCs w:val="24"/>
        </w:rPr>
        <w:t>“[...] the Committee’s concerns about de facto or substantive equality between women and men in areas where women are underrepresented or disadvantaged, including in political life, decision-making bodies and the private sector, do not represent the realit</w:t>
      </w:r>
      <w:r>
        <w:rPr>
          <w:rFonts w:ascii="Slabo 27px" w:eastAsia="Slabo 27px" w:hAnsi="Slabo 27px" w:cs="Slabo 27px"/>
          <w:i/>
          <w:sz w:val="24"/>
          <w:szCs w:val="24"/>
        </w:rPr>
        <w:t>y of Bahraini women, either directly or indirectly.”</w:t>
      </w:r>
    </w:p>
    <w:p w:rsidR="00F31580" w:rsidRDefault="00F31580">
      <w:pPr>
        <w:spacing w:after="0" w:line="240" w:lineRule="auto"/>
        <w:ind w:firstLine="720"/>
        <w:jc w:val="both"/>
        <w:rPr>
          <w:rFonts w:ascii="Slabo 27px" w:eastAsia="Slabo 27px" w:hAnsi="Slabo 27px" w:cs="Slabo 27px"/>
          <w:sz w:val="24"/>
          <w:szCs w:val="24"/>
        </w:rPr>
      </w:pPr>
      <w:bookmarkStart w:id="41" w:name="_heading=h.19c6y18" w:colFirst="0" w:colLast="0"/>
      <w:bookmarkEnd w:id="41"/>
    </w:p>
    <w:p w:rsidR="00F31580" w:rsidRDefault="00156FC1">
      <w:pPr>
        <w:spacing w:after="0" w:line="240" w:lineRule="auto"/>
        <w:ind w:firstLine="720"/>
        <w:jc w:val="both"/>
        <w:rPr>
          <w:rFonts w:ascii="Slabo 27px" w:eastAsia="Slabo 27px" w:hAnsi="Slabo 27px" w:cs="Slabo 27px"/>
          <w:sz w:val="24"/>
          <w:szCs w:val="24"/>
        </w:rPr>
      </w:pPr>
      <w:bookmarkStart w:id="42" w:name="_heading=h.3tbugp1" w:colFirst="0" w:colLast="0"/>
      <w:bookmarkEnd w:id="42"/>
      <w:r>
        <w:rPr>
          <w:rFonts w:ascii="Slabo 27px" w:eastAsia="Slabo 27px" w:hAnsi="Slabo 27px" w:cs="Slabo 27px"/>
          <w:sz w:val="24"/>
          <w:szCs w:val="24"/>
        </w:rPr>
        <w:t>Paragraph 74 likewise asserts that:</w:t>
      </w:r>
    </w:p>
    <w:p w:rsidR="00F31580" w:rsidRDefault="00F31580">
      <w:pPr>
        <w:spacing w:after="0" w:line="240" w:lineRule="auto"/>
        <w:jc w:val="both"/>
        <w:rPr>
          <w:rFonts w:ascii="Slabo 27px" w:eastAsia="Slabo 27px" w:hAnsi="Slabo 27px" w:cs="Slabo 27px"/>
          <w:sz w:val="24"/>
          <w:szCs w:val="24"/>
        </w:rPr>
      </w:pPr>
      <w:bookmarkStart w:id="43" w:name="_heading=h.28h4qwu" w:colFirst="0" w:colLast="0"/>
      <w:bookmarkEnd w:id="43"/>
    </w:p>
    <w:p w:rsidR="00F31580" w:rsidRDefault="00156FC1">
      <w:pPr>
        <w:spacing w:after="0" w:line="240" w:lineRule="auto"/>
        <w:ind w:left="1133" w:right="1133"/>
        <w:jc w:val="both"/>
        <w:rPr>
          <w:rFonts w:ascii="Slabo 27px" w:eastAsia="Slabo 27px" w:hAnsi="Slabo 27px" w:cs="Slabo 27px"/>
          <w:i/>
          <w:sz w:val="24"/>
          <w:szCs w:val="24"/>
        </w:rPr>
      </w:pPr>
      <w:bookmarkStart w:id="44" w:name="_heading=h.nmf14n" w:colFirst="0" w:colLast="0"/>
      <w:bookmarkEnd w:id="44"/>
      <w:r>
        <w:rPr>
          <w:rFonts w:ascii="Slabo 27px" w:eastAsia="Slabo 27px" w:hAnsi="Slabo 27px" w:cs="Slabo 27px"/>
          <w:i/>
          <w:sz w:val="24"/>
          <w:szCs w:val="24"/>
        </w:rPr>
        <w:t>“The equality of men and women in political and public life is enshrined in the Constitution and practical reality has shown that Bahraini women are not in need of a</w:t>
      </w:r>
      <w:r>
        <w:rPr>
          <w:rFonts w:ascii="Slabo 27px" w:eastAsia="Slabo 27px" w:hAnsi="Slabo 27px" w:cs="Slabo 27px"/>
          <w:i/>
          <w:sz w:val="24"/>
          <w:szCs w:val="24"/>
        </w:rPr>
        <w:t xml:space="preserve"> quota system as they can, on the basis of their own abilities, gain access to parliament and to municipal councils.”</w:t>
      </w:r>
    </w:p>
    <w:p w:rsidR="00F31580" w:rsidRDefault="00F31580">
      <w:pPr>
        <w:spacing w:after="0" w:line="240" w:lineRule="auto"/>
        <w:jc w:val="both"/>
        <w:rPr>
          <w:rFonts w:ascii="Slabo 27px" w:eastAsia="Slabo 27px" w:hAnsi="Slabo 27px" w:cs="Slabo 27px"/>
          <w:sz w:val="24"/>
          <w:szCs w:val="24"/>
        </w:rPr>
      </w:pPr>
      <w:bookmarkStart w:id="45" w:name="_heading=h.37m2jsg" w:colFirst="0" w:colLast="0"/>
      <w:bookmarkEnd w:id="45"/>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46" w:name="_heading=h.1mrcu09" w:colFirst="0" w:colLast="0"/>
      <w:bookmarkEnd w:id="46"/>
      <w:r>
        <w:rPr>
          <w:rFonts w:ascii="Slabo 27px" w:eastAsia="Slabo 27px" w:hAnsi="Slabo 27px" w:cs="Slabo 27px"/>
          <w:sz w:val="24"/>
          <w:szCs w:val="24"/>
        </w:rPr>
        <w:t>While it is the case that women in Bahrain have benefitted from their own and government action, the experience of scores of other countr</w:t>
      </w:r>
      <w:r>
        <w:rPr>
          <w:rFonts w:ascii="Slabo 27px" w:eastAsia="Slabo 27px" w:hAnsi="Slabo 27px" w:cs="Slabo 27px"/>
          <w:sz w:val="24"/>
          <w:szCs w:val="24"/>
        </w:rPr>
        <w:t xml:space="preserve">ies has been that quotas advance women’s rights and equality. The GoB does not explain how Bahrain is an exception in this regard. </w:t>
      </w:r>
    </w:p>
    <w:p w:rsidR="00F31580" w:rsidRDefault="00F31580">
      <w:pPr>
        <w:spacing w:after="0" w:line="240" w:lineRule="auto"/>
        <w:jc w:val="both"/>
        <w:rPr>
          <w:rFonts w:ascii="Slabo 27px" w:eastAsia="Slabo 27px" w:hAnsi="Slabo 27px" w:cs="Slabo 27px"/>
          <w:sz w:val="24"/>
          <w:szCs w:val="24"/>
        </w:rPr>
      </w:pPr>
      <w:bookmarkStart w:id="47" w:name="_heading=h.46r0co2" w:colFirst="0" w:colLast="0"/>
      <w:bookmarkEnd w:id="47"/>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48" w:name="_heading=h.2lwamvv" w:colFirst="0" w:colLast="0"/>
      <w:bookmarkEnd w:id="48"/>
      <w:r>
        <w:rPr>
          <w:rFonts w:ascii="Slabo 27px" w:eastAsia="Slabo 27px" w:hAnsi="Slabo 27px" w:cs="Slabo 27px"/>
          <w:sz w:val="24"/>
          <w:szCs w:val="24"/>
        </w:rPr>
        <w:t>In light of documented restrictions on freedom of expression, discrmination against the Shi’a community and in respect to w</w:t>
      </w:r>
      <w:r>
        <w:rPr>
          <w:rFonts w:ascii="Slabo 27px" w:eastAsia="Slabo 27px" w:hAnsi="Slabo 27px" w:cs="Slabo 27px"/>
          <w:sz w:val="24"/>
          <w:szCs w:val="24"/>
        </w:rPr>
        <w:t>omen themselves, SALAM DHR and RRC, set out above, express concern over the accuracy of the assertion in paragraph 48 of the state party’s report that “</w:t>
      </w:r>
      <w:r>
        <w:rPr>
          <w:rFonts w:ascii="Slabo 27px" w:eastAsia="Slabo 27px" w:hAnsi="Slabo 27px" w:cs="Slabo 27px"/>
          <w:i/>
          <w:sz w:val="24"/>
          <w:szCs w:val="24"/>
        </w:rPr>
        <w:t>The legislature has demonstrated a clear commitment to the implementation of the Convention  [...]</w:t>
      </w:r>
      <w:r>
        <w:rPr>
          <w:rFonts w:ascii="Slabo 27px" w:eastAsia="Slabo 27px" w:hAnsi="Slabo 27px" w:cs="Slabo 27px"/>
          <w:sz w:val="24"/>
          <w:szCs w:val="24"/>
        </w:rPr>
        <w:t xml:space="preserve">” and </w:t>
      </w:r>
      <w:r>
        <w:rPr>
          <w:rFonts w:ascii="Slabo 27px" w:eastAsia="Slabo 27px" w:hAnsi="Slabo 27px" w:cs="Slabo 27px"/>
          <w:sz w:val="24"/>
          <w:szCs w:val="24"/>
        </w:rPr>
        <w:t xml:space="preserve">the measures it sets out. In order to make such an assertion, the GoB would need show greater freedom of association, less religious discrimination and less discrimination against women. </w:t>
      </w:r>
    </w:p>
    <w:p w:rsidR="00F31580" w:rsidRDefault="00156FC1">
      <w:pPr>
        <w:pStyle w:val="Heading1"/>
        <w:spacing w:after="0" w:line="240" w:lineRule="auto"/>
        <w:jc w:val="both"/>
        <w:rPr>
          <w:rFonts w:ascii="Slabo 27px" w:eastAsia="Slabo 27px" w:hAnsi="Slabo 27px" w:cs="Slabo 27px"/>
          <w:sz w:val="28"/>
          <w:szCs w:val="28"/>
        </w:rPr>
      </w:pPr>
      <w:bookmarkStart w:id="49" w:name="_heading=h.3l18frh" w:colFirst="0" w:colLast="0"/>
      <w:bookmarkEnd w:id="49"/>
      <w:r>
        <w:rPr>
          <w:rFonts w:ascii="Slabo 27px" w:eastAsia="Slabo 27px" w:hAnsi="Slabo 27px" w:cs="Slabo 27px"/>
          <w:sz w:val="28"/>
          <w:szCs w:val="28"/>
        </w:rPr>
        <w:t>On the National Institution for Human Rights (NIHR) (Article 2 [rese</w:t>
      </w:r>
      <w:r>
        <w:rPr>
          <w:rFonts w:ascii="Slabo 27px" w:eastAsia="Slabo 27px" w:hAnsi="Slabo 27px" w:cs="Slabo 27px"/>
          <w:sz w:val="28"/>
          <w:szCs w:val="28"/>
        </w:rPr>
        <w:t>rvation], 3, 4, 5, 10, 11 and others)</w:t>
      </w:r>
    </w:p>
    <w:p w:rsidR="00F31580" w:rsidRDefault="00F31580">
      <w:pPr>
        <w:spacing w:after="0" w:line="240" w:lineRule="auto"/>
        <w:jc w:val="both"/>
        <w:rPr>
          <w:rFonts w:ascii="Slabo 27px" w:eastAsia="Slabo 27px" w:hAnsi="Slabo 27px" w:cs="Slabo 27px"/>
          <w:sz w:val="24"/>
          <w:szCs w:val="24"/>
        </w:rPr>
      </w:pPr>
      <w:bookmarkStart w:id="50" w:name="_heading=h.206ipza" w:colFirst="0" w:colLast="0"/>
      <w:bookmarkEnd w:id="50"/>
    </w:p>
    <w:p w:rsidR="00F31580" w:rsidRDefault="00156FC1">
      <w:pPr>
        <w:numPr>
          <w:ilvl w:val="0"/>
          <w:numId w:val="11"/>
        </w:numPr>
        <w:spacing w:after="0" w:line="240" w:lineRule="auto"/>
        <w:ind w:hanging="720"/>
        <w:jc w:val="both"/>
        <w:rPr>
          <w:rFonts w:ascii="Slabo 27px" w:eastAsia="Slabo 27px" w:hAnsi="Slabo 27px" w:cs="Slabo 27px"/>
          <w:sz w:val="24"/>
          <w:szCs w:val="24"/>
        </w:rPr>
      </w:pPr>
      <w:bookmarkStart w:id="51" w:name="_heading=h.4k668n3" w:colFirst="0" w:colLast="0"/>
      <w:bookmarkEnd w:id="51"/>
      <w:r>
        <w:rPr>
          <w:rFonts w:ascii="Slabo 27px" w:eastAsia="Slabo 27px" w:hAnsi="Slabo 27px" w:cs="Slabo 27px"/>
          <w:sz w:val="24"/>
          <w:szCs w:val="24"/>
        </w:rPr>
        <w:t>Paragraph 210 of the state party’s report asserts that the NIHR is</w:t>
      </w:r>
      <w:r>
        <w:rPr>
          <w:rFonts w:ascii="Slabo 27px" w:eastAsia="Slabo 27px" w:hAnsi="Slabo 27px" w:cs="Slabo 27px"/>
          <w:i/>
          <w:sz w:val="24"/>
          <w:szCs w:val="24"/>
        </w:rPr>
        <w:t xml:space="preserve"> “fully independent and is not subject to the oversight of any other agency or institution</w:t>
      </w:r>
      <w:r>
        <w:rPr>
          <w:rFonts w:ascii="Slabo 27px" w:eastAsia="Slabo 27px" w:hAnsi="Slabo 27px" w:cs="Slabo 27px"/>
          <w:sz w:val="24"/>
          <w:szCs w:val="24"/>
        </w:rPr>
        <w:t>”. It has nevertheless rejected engagement with SALAM DHR fol</w:t>
      </w:r>
      <w:r>
        <w:rPr>
          <w:rFonts w:ascii="Slabo 27px" w:eastAsia="Slabo 27px" w:hAnsi="Slabo 27px" w:cs="Slabo 27px"/>
          <w:sz w:val="24"/>
          <w:szCs w:val="24"/>
        </w:rPr>
        <w:t>lowing emails raising concerns rooted in international human rights standards, while the NIHR appears unwilling or unable to take a leading role in reducing discromination against women, including by, inter alia, combating stereotypes. Similarly, it has fa</w:t>
      </w:r>
      <w:r>
        <w:rPr>
          <w:rFonts w:ascii="Slabo 27px" w:eastAsia="Slabo 27px" w:hAnsi="Slabo 27px" w:cs="Slabo 27px"/>
          <w:sz w:val="24"/>
          <w:szCs w:val="24"/>
        </w:rPr>
        <w:t xml:space="preserve">iled to publish statistics on complaints received by women or any measures taken upon its receipt of such complaints. </w:t>
      </w:r>
    </w:p>
    <w:p w:rsidR="00F31580" w:rsidRDefault="00F31580">
      <w:pPr>
        <w:spacing w:after="0" w:line="240" w:lineRule="auto"/>
        <w:jc w:val="both"/>
        <w:rPr>
          <w:rFonts w:ascii="Slabo 27px" w:eastAsia="Slabo 27px" w:hAnsi="Slabo 27px" w:cs="Slabo 27px"/>
          <w:sz w:val="24"/>
          <w:szCs w:val="24"/>
        </w:rPr>
      </w:pPr>
      <w:bookmarkStart w:id="52" w:name="_heading=h.2zbgiuw" w:colFirst="0" w:colLast="0"/>
      <w:bookmarkEnd w:id="52"/>
    </w:p>
    <w:p w:rsidR="00F31580" w:rsidRDefault="00156FC1">
      <w:pPr>
        <w:spacing w:after="0" w:line="240" w:lineRule="auto"/>
        <w:jc w:val="both"/>
        <w:rPr>
          <w:rFonts w:ascii="Slabo 27px" w:eastAsia="Slabo 27px" w:hAnsi="Slabo 27px" w:cs="Slabo 27px"/>
          <w:b/>
          <w:i/>
          <w:sz w:val="24"/>
          <w:szCs w:val="24"/>
        </w:rPr>
      </w:pPr>
      <w:bookmarkStart w:id="53" w:name="_heading=h.1egqt2p" w:colFirst="0" w:colLast="0"/>
      <w:bookmarkEnd w:id="53"/>
      <w:r>
        <w:rPr>
          <w:rFonts w:ascii="Slabo 27px" w:eastAsia="Slabo 27px" w:hAnsi="Slabo 27px" w:cs="Slabo 27px"/>
          <w:b/>
          <w:i/>
          <w:sz w:val="24"/>
          <w:szCs w:val="24"/>
        </w:rPr>
        <w:t>SALAM DHR calls on the Committee to:</w:t>
      </w:r>
    </w:p>
    <w:p w:rsidR="00F31580" w:rsidRDefault="00156FC1">
      <w:pPr>
        <w:numPr>
          <w:ilvl w:val="0"/>
          <w:numId w:val="4"/>
        </w:numPr>
        <w:spacing w:after="0" w:line="240" w:lineRule="auto"/>
        <w:jc w:val="both"/>
        <w:rPr>
          <w:rFonts w:ascii="Slabo 27px" w:eastAsia="Slabo 27px" w:hAnsi="Slabo 27px" w:cs="Slabo 27px"/>
          <w:b/>
          <w:i/>
          <w:sz w:val="24"/>
          <w:szCs w:val="24"/>
        </w:rPr>
      </w:pPr>
      <w:bookmarkStart w:id="54" w:name="_heading=h.3ygebqi" w:colFirst="0" w:colLast="0"/>
      <w:bookmarkEnd w:id="54"/>
      <w:r>
        <w:rPr>
          <w:rFonts w:ascii="Slabo 27px" w:eastAsia="Slabo 27px" w:hAnsi="Slabo 27px" w:cs="Slabo 27px"/>
          <w:b/>
          <w:i/>
          <w:sz w:val="24"/>
          <w:szCs w:val="24"/>
        </w:rPr>
        <w:t>Ensure that the GoB details the actions taken by the NIHR so as to be clear about its status, in practice.</w:t>
      </w:r>
    </w:p>
    <w:p w:rsidR="00F31580" w:rsidRDefault="00156FC1">
      <w:pPr>
        <w:pStyle w:val="Heading1"/>
        <w:spacing w:after="0" w:line="240" w:lineRule="auto"/>
        <w:jc w:val="both"/>
        <w:rPr>
          <w:rFonts w:ascii="Slabo 27px" w:eastAsia="Slabo 27px" w:hAnsi="Slabo 27px" w:cs="Slabo 27px"/>
          <w:sz w:val="28"/>
          <w:szCs w:val="28"/>
        </w:rPr>
      </w:pPr>
      <w:bookmarkStart w:id="55" w:name="_heading=h.sqyw64" w:colFirst="0" w:colLast="0"/>
      <w:bookmarkEnd w:id="55"/>
      <w:r>
        <w:rPr>
          <w:rFonts w:ascii="Slabo 27px" w:eastAsia="Slabo 27px" w:hAnsi="Slabo 27px" w:cs="Slabo 27px"/>
          <w:sz w:val="28"/>
          <w:szCs w:val="28"/>
        </w:rPr>
        <w:t>Violence against women (Articles 2 [reservation], 3, 4, 15 [reservation])</w:t>
      </w:r>
    </w:p>
    <w:p w:rsidR="00F31580" w:rsidRDefault="00F31580">
      <w:pPr>
        <w:spacing w:after="0" w:line="240" w:lineRule="auto"/>
        <w:jc w:val="both"/>
        <w:rPr>
          <w:rFonts w:ascii="Slabo 27px" w:eastAsia="Slabo 27px" w:hAnsi="Slabo 27px" w:cs="Slabo 27px"/>
          <w:sz w:val="24"/>
          <w:szCs w:val="24"/>
        </w:rPr>
      </w:pPr>
      <w:bookmarkStart w:id="56" w:name="_heading=h.3cqmetx" w:colFirst="0" w:colLast="0"/>
      <w:bookmarkEnd w:id="56"/>
    </w:p>
    <w:p w:rsidR="00F31580" w:rsidRDefault="00156FC1">
      <w:pPr>
        <w:spacing w:after="0" w:line="240" w:lineRule="auto"/>
        <w:ind w:left="708" w:hanging="708"/>
        <w:jc w:val="both"/>
        <w:rPr>
          <w:rFonts w:ascii="Slabo 27px" w:eastAsia="Slabo 27px" w:hAnsi="Slabo 27px" w:cs="Slabo 27px"/>
          <w:sz w:val="24"/>
          <w:szCs w:val="24"/>
        </w:rPr>
      </w:pPr>
      <w:bookmarkStart w:id="57" w:name="_heading=h.1rvwp1q" w:colFirst="0" w:colLast="0"/>
      <w:bookmarkEnd w:id="57"/>
      <w:r>
        <w:rPr>
          <w:rFonts w:ascii="Slabo 27px" w:eastAsia="Slabo 27px" w:hAnsi="Slabo 27px" w:cs="Slabo 27px"/>
          <w:sz w:val="24"/>
          <w:szCs w:val="24"/>
        </w:rPr>
        <w:t>18.</w:t>
      </w:r>
      <w:r>
        <w:rPr>
          <w:rFonts w:ascii="Slabo 27px" w:eastAsia="Slabo 27px" w:hAnsi="Slabo 27px" w:cs="Slabo 27px"/>
          <w:sz w:val="24"/>
          <w:szCs w:val="24"/>
        </w:rPr>
        <w:tab/>
      </w:r>
      <w:r>
        <w:rPr>
          <w:rFonts w:ascii="Slabo 27px" w:eastAsia="Slabo 27px" w:hAnsi="Slabo 27px" w:cs="Slabo 27px"/>
          <w:sz w:val="24"/>
          <w:szCs w:val="24"/>
        </w:rPr>
        <w:t>SALAM DHR and RRC are concerned that the Domestic Violence Act, Law 17 of 2015, and the Penal Code do not provide adequate safeguards to women’s safety and legitimise abuse. Article 353 of the Penal Code exempts rapists from prosecution and punishment if t</w:t>
      </w:r>
      <w:r>
        <w:rPr>
          <w:rFonts w:ascii="Slabo 27px" w:eastAsia="Slabo 27px" w:hAnsi="Slabo 27px" w:cs="Slabo 27px"/>
          <w:sz w:val="24"/>
          <w:szCs w:val="24"/>
        </w:rPr>
        <w:t>hey marry their victims. In this regard, in 2016, parliament moved to repeal the entire article, but the cabinet of the GoB rejected the proposal. Article 334 of the Penal Code also reduces penalties for perpetrators of so-called honor crimes.  Despite iss</w:t>
      </w:r>
      <w:r>
        <w:rPr>
          <w:rFonts w:ascii="Slabo 27px" w:eastAsia="Slabo 27px" w:hAnsi="Slabo 27px" w:cs="Slabo 27px"/>
          <w:sz w:val="24"/>
          <w:szCs w:val="24"/>
        </w:rPr>
        <w:t>uing the Law No. 17 of 2015 on protection against domestic violence, which identified acts of abuse in four types and allocated a definition for each, however regarding the penalties, it referred it to the general rules of the Penal Code, this is regarding</w:t>
      </w:r>
      <w:r>
        <w:rPr>
          <w:rFonts w:ascii="Slabo 27px" w:eastAsia="Slabo 27px" w:hAnsi="Slabo 27px" w:cs="Slabo 27px"/>
          <w:sz w:val="24"/>
          <w:szCs w:val="24"/>
        </w:rPr>
        <w:t xml:space="preserve"> the imposition of sanctions on perpetrators of domestic violence. It should be noted, too, that the Penal Code is free of any provision punishing the husband with spousal rape, although the Domestic Violence Act included the act of sexual abuse as a punis</w:t>
      </w:r>
      <w:r>
        <w:rPr>
          <w:rFonts w:ascii="Slabo 27px" w:eastAsia="Slabo 27px" w:hAnsi="Slabo 27px" w:cs="Slabo 27px"/>
          <w:sz w:val="24"/>
          <w:szCs w:val="24"/>
        </w:rPr>
        <w:t>hable act.</w:t>
      </w:r>
    </w:p>
    <w:p w:rsidR="00F31580" w:rsidRDefault="00F31580">
      <w:pPr>
        <w:spacing w:after="0" w:line="240" w:lineRule="auto"/>
        <w:ind w:left="708" w:hanging="708"/>
        <w:jc w:val="both"/>
        <w:rPr>
          <w:rFonts w:ascii="Slabo 27px" w:eastAsia="Slabo 27px" w:hAnsi="Slabo 27px" w:cs="Slabo 27px"/>
          <w:sz w:val="24"/>
          <w:szCs w:val="24"/>
        </w:rPr>
      </w:pPr>
      <w:bookmarkStart w:id="58" w:name="_heading=h.4bvk7pj" w:colFirst="0" w:colLast="0"/>
      <w:bookmarkEnd w:id="58"/>
    </w:p>
    <w:p w:rsidR="00F31580" w:rsidRDefault="00156FC1">
      <w:pPr>
        <w:spacing w:after="0" w:line="240" w:lineRule="auto"/>
        <w:ind w:left="708" w:hanging="708"/>
        <w:jc w:val="both"/>
        <w:rPr>
          <w:rFonts w:ascii="Slabo 27px" w:eastAsia="Slabo 27px" w:hAnsi="Slabo 27px" w:cs="Slabo 27px"/>
          <w:sz w:val="24"/>
          <w:szCs w:val="24"/>
        </w:rPr>
      </w:pPr>
      <w:bookmarkStart w:id="59" w:name="_heading=h.2r0uhxc" w:colFirst="0" w:colLast="0"/>
      <w:bookmarkEnd w:id="59"/>
      <w:r>
        <w:rPr>
          <w:rFonts w:ascii="Slabo 27px" w:eastAsia="Slabo 27px" w:hAnsi="Slabo 27px" w:cs="Slabo 27px"/>
          <w:sz w:val="24"/>
          <w:szCs w:val="24"/>
        </w:rPr>
        <w:t xml:space="preserve">19. </w:t>
      </w:r>
      <w:r>
        <w:rPr>
          <w:rFonts w:ascii="Slabo 27px" w:eastAsia="Slabo 27px" w:hAnsi="Slabo 27px" w:cs="Slabo 27px"/>
          <w:sz w:val="24"/>
          <w:szCs w:val="24"/>
        </w:rPr>
        <w:tab/>
        <w:t>Paragraphs 94 and 95 of the state party’s report set out aspects of legislation relating to violence against women, viz Domestic Violence Act No. 17 of 2015. Paragraph 104 describes the December 2017 launch of the “</w:t>
      </w:r>
      <w:r>
        <w:rPr>
          <w:rFonts w:ascii="Slabo 27px" w:eastAsia="Slabo 27px" w:hAnsi="Slabo 27px" w:cs="Slabo 27px"/>
          <w:i/>
          <w:sz w:val="24"/>
          <w:szCs w:val="24"/>
        </w:rPr>
        <w:t>national statistical dat</w:t>
      </w:r>
      <w:r>
        <w:rPr>
          <w:rFonts w:ascii="Slabo 27px" w:eastAsia="Slabo 27px" w:hAnsi="Slabo 27px" w:cs="Slabo 27px"/>
          <w:i/>
          <w:sz w:val="24"/>
          <w:szCs w:val="24"/>
        </w:rPr>
        <w:t>abase on domestic violence</w:t>
      </w:r>
      <w:r>
        <w:rPr>
          <w:rFonts w:ascii="Slabo 27px" w:eastAsia="Slabo 27px" w:hAnsi="Slabo 27px" w:cs="Slabo 27px"/>
          <w:sz w:val="24"/>
          <w:szCs w:val="24"/>
        </w:rPr>
        <w:t>”, noting the involvement of the Deputy Secretary-General of the United Nations, the Executive Director of UN‑Women and others. Yet on the UN Women landing page for Bahrain, the reader faces:</w:t>
      </w:r>
      <w:r>
        <w:rPr>
          <w:rFonts w:ascii="Slabo 27px" w:eastAsia="Slabo 27px" w:hAnsi="Slabo 27px" w:cs="Slabo 27px"/>
          <w:sz w:val="24"/>
          <w:szCs w:val="24"/>
          <w:vertAlign w:val="superscript"/>
        </w:rPr>
        <w:footnoteReference w:id="8"/>
      </w:r>
    </w:p>
    <w:p w:rsidR="00F31580" w:rsidRDefault="00F31580">
      <w:pPr>
        <w:spacing w:after="0" w:line="240" w:lineRule="auto"/>
        <w:jc w:val="both"/>
        <w:rPr>
          <w:rFonts w:ascii="Slabo 27px" w:eastAsia="Slabo 27px" w:hAnsi="Slabo 27px" w:cs="Slabo 27px"/>
          <w:sz w:val="24"/>
          <w:szCs w:val="24"/>
        </w:rPr>
      </w:pPr>
      <w:bookmarkStart w:id="60" w:name="_heading=h.1664s55" w:colFirst="0" w:colLast="0"/>
      <w:bookmarkEnd w:id="60"/>
    </w:p>
    <w:p w:rsidR="00F31580" w:rsidRDefault="00156FC1">
      <w:pPr>
        <w:spacing w:after="0" w:line="240" w:lineRule="auto"/>
        <w:ind w:left="1133" w:right="1133"/>
        <w:jc w:val="both"/>
        <w:rPr>
          <w:rFonts w:ascii="Slabo 27px" w:eastAsia="Slabo 27px" w:hAnsi="Slabo 27px" w:cs="Slabo 27px"/>
          <w:i/>
          <w:color w:val="0000FF"/>
          <w:sz w:val="24"/>
          <w:szCs w:val="24"/>
        </w:rPr>
      </w:pPr>
      <w:bookmarkStart w:id="61" w:name="_heading=h.3q5sasy" w:colFirst="0" w:colLast="0"/>
      <w:bookmarkEnd w:id="61"/>
      <w:r>
        <w:rPr>
          <w:rFonts w:ascii="Slabo 27px" w:eastAsia="Slabo 27px" w:hAnsi="Slabo 27px" w:cs="Slabo 27px"/>
          <w:i/>
          <w:color w:val="0000FF"/>
          <w:sz w:val="24"/>
          <w:szCs w:val="24"/>
        </w:rPr>
        <w:t>Prevalence Data on Different Forms o</w:t>
      </w:r>
      <w:r>
        <w:rPr>
          <w:rFonts w:ascii="Slabo 27px" w:eastAsia="Slabo 27px" w:hAnsi="Slabo 27px" w:cs="Slabo 27px"/>
          <w:i/>
          <w:color w:val="0000FF"/>
          <w:sz w:val="24"/>
          <w:szCs w:val="24"/>
        </w:rPr>
        <w:t>f Violence against Women:</w:t>
      </w:r>
    </w:p>
    <w:p w:rsidR="00F31580" w:rsidRDefault="00156FC1">
      <w:pPr>
        <w:spacing w:after="0" w:line="240" w:lineRule="auto"/>
        <w:ind w:left="1133" w:right="1133"/>
        <w:jc w:val="both"/>
        <w:rPr>
          <w:rFonts w:ascii="Slabo 27px" w:eastAsia="Slabo 27px" w:hAnsi="Slabo 27px" w:cs="Slabo 27px"/>
          <w:b/>
          <w:i/>
          <w:color w:val="0000FF"/>
          <w:sz w:val="24"/>
          <w:szCs w:val="24"/>
        </w:rPr>
      </w:pPr>
      <w:bookmarkStart w:id="62" w:name="_heading=h.25b2l0r" w:colFirst="0" w:colLast="0"/>
      <w:bookmarkEnd w:id="62"/>
      <w:r>
        <w:rPr>
          <w:rFonts w:ascii="Slabo 27px" w:eastAsia="Slabo 27px" w:hAnsi="Slabo 27px" w:cs="Slabo 27px"/>
          <w:i/>
          <w:color w:val="0000FF"/>
          <w:sz w:val="24"/>
          <w:szCs w:val="24"/>
        </w:rPr>
        <w:t>Lifetime Physical and/or Sexual Intimate Partner Violence :</w:t>
      </w:r>
      <w:r>
        <w:rPr>
          <w:rFonts w:ascii="Slabo 27px" w:eastAsia="Slabo 27px" w:hAnsi="Slabo 27px" w:cs="Slabo 27px"/>
          <w:b/>
          <w:i/>
          <w:color w:val="0000FF"/>
          <w:sz w:val="24"/>
          <w:szCs w:val="24"/>
        </w:rPr>
        <w:t>Official National Statistics Not Available</w:t>
      </w:r>
    </w:p>
    <w:p w:rsidR="00F31580" w:rsidRDefault="00156FC1">
      <w:pPr>
        <w:spacing w:after="0" w:line="240" w:lineRule="auto"/>
        <w:ind w:left="1133" w:right="1133"/>
        <w:jc w:val="both"/>
        <w:rPr>
          <w:rFonts w:ascii="Slabo 27px" w:eastAsia="Slabo 27px" w:hAnsi="Slabo 27px" w:cs="Slabo 27px"/>
          <w:b/>
          <w:i/>
          <w:color w:val="0000FF"/>
          <w:sz w:val="24"/>
          <w:szCs w:val="24"/>
        </w:rPr>
      </w:pPr>
      <w:bookmarkStart w:id="63" w:name="_heading=h.kgcv8k" w:colFirst="0" w:colLast="0"/>
      <w:bookmarkEnd w:id="63"/>
      <w:r>
        <w:rPr>
          <w:rFonts w:ascii="Slabo 27px" w:eastAsia="Slabo 27px" w:hAnsi="Slabo 27px" w:cs="Slabo 27px"/>
          <w:i/>
          <w:color w:val="0000FF"/>
          <w:sz w:val="24"/>
          <w:szCs w:val="24"/>
        </w:rPr>
        <w:t xml:space="preserve">Physical and/or Sexual Intimate Partner Violence in the last 12 months : </w:t>
      </w:r>
      <w:r>
        <w:rPr>
          <w:rFonts w:ascii="Slabo 27px" w:eastAsia="Slabo 27px" w:hAnsi="Slabo 27px" w:cs="Slabo 27px"/>
          <w:b/>
          <w:i/>
          <w:color w:val="0000FF"/>
          <w:sz w:val="24"/>
          <w:szCs w:val="24"/>
        </w:rPr>
        <w:t>Official National Statistics Not Available</w:t>
      </w:r>
    </w:p>
    <w:p w:rsidR="00F31580" w:rsidRDefault="00156FC1">
      <w:pPr>
        <w:spacing w:after="0" w:line="240" w:lineRule="auto"/>
        <w:ind w:left="1133" w:right="1133"/>
        <w:jc w:val="both"/>
        <w:rPr>
          <w:rFonts w:ascii="Slabo 27px" w:eastAsia="Slabo 27px" w:hAnsi="Slabo 27px" w:cs="Slabo 27px"/>
          <w:b/>
          <w:i/>
          <w:color w:val="0000FF"/>
          <w:sz w:val="24"/>
          <w:szCs w:val="24"/>
        </w:rPr>
      </w:pPr>
      <w:bookmarkStart w:id="64" w:name="_heading=h.34g0dwd" w:colFirst="0" w:colLast="0"/>
      <w:bookmarkEnd w:id="64"/>
      <w:r>
        <w:rPr>
          <w:rFonts w:ascii="Slabo 27px" w:eastAsia="Slabo 27px" w:hAnsi="Slabo 27px" w:cs="Slabo 27px"/>
          <w:i/>
          <w:color w:val="0000FF"/>
          <w:sz w:val="24"/>
          <w:szCs w:val="24"/>
        </w:rPr>
        <w:t xml:space="preserve">Lifetime Non-Partner Sexual Violence : </w:t>
      </w:r>
      <w:r>
        <w:rPr>
          <w:rFonts w:ascii="Slabo 27px" w:eastAsia="Slabo 27px" w:hAnsi="Slabo 27px" w:cs="Slabo 27px"/>
          <w:b/>
          <w:i/>
          <w:color w:val="0000FF"/>
          <w:sz w:val="24"/>
          <w:szCs w:val="24"/>
        </w:rPr>
        <w:t>Official National Statistics Not Available</w:t>
      </w:r>
    </w:p>
    <w:p w:rsidR="00F31580" w:rsidRDefault="00F31580">
      <w:pPr>
        <w:spacing w:after="0" w:line="240" w:lineRule="auto"/>
        <w:jc w:val="both"/>
        <w:rPr>
          <w:rFonts w:ascii="Slabo 27px" w:eastAsia="Slabo 27px" w:hAnsi="Slabo 27px" w:cs="Slabo 27px"/>
          <w:sz w:val="24"/>
          <w:szCs w:val="24"/>
        </w:rPr>
      </w:pPr>
      <w:bookmarkStart w:id="65" w:name="_heading=h.1jlao46" w:colFirst="0" w:colLast="0"/>
      <w:bookmarkEnd w:id="65"/>
    </w:p>
    <w:p w:rsidR="00F31580" w:rsidRDefault="00156FC1">
      <w:pPr>
        <w:spacing w:after="0" w:line="240" w:lineRule="auto"/>
        <w:jc w:val="both"/>
        <w:rPr>
          <w:rFonts w:ascii="Slabo 27px" w:eastAsia="Slabo 27px" w:hAnsi="Slabo 27px" w:cs="Slabo 27px"/>
          <w:sz w:val="24"/>
          <w:szCs w:val="24"/>
        </w:rPr>
      </w:pPr>
      <w:bookmarkStart w:id="66" w:name="_heading=h.43ky6rz" w:colFirst="0" w:colLast="0"/>
      <w:bookmarkEnd w:id="66"/>
      <w:r>
        <w:rPr>
          <w:rFonts w:ascii="Slabo 27px" w:eastAsia="Slabo 27px" w:hAnsi="Slabo 27px" w:cs="Slabo 27px"/>
          <w:sz w:val="24"/>
          <w:szCs w:val="24"/>
        </w:rPr>
        <w:t xml:space="preserve">20. </w:t>
      </w:r>
      <w:r>
        <w:rPr>
          <w:rFonts w:ascii="Slabo 27px" w:eastAsia="Slabo 27px" w:hAnsi="Slabo 27px" w:cs="Slabo 27px"/>
          <w:sz w:val="24"/>
          <w:szCs w:val="24"/>
        </w:rPr>
        <w:tab/>
        <w:t>On the other hand, the International Medical Journal reported:</w:t>
      </w:r>
    </w:p>
    <w:p w:rsidR="00F31580" w:rsidRDefault="00F31580">
      <w:pPr>
        <w:spacing w:after="0" w:line="240" w:lineRule="auto"/>
        <w:jc w:val="both"/>
        <w:rPr>
          <w:rFonts w:ascii="Slabo 27px" w:eastAsia="Slabo 27px" w:hAnsi="Slabo 27px" w:cs="Slabo 27px"/>
          <w:sz w:val="24"/>
          <w:szCs w:val="24"/>
        </w:rPr>
      </w:pPr>
      <w:bookmarkStart w:id="67" w:name="_heading=h.2iq8gzs" w:colFirst="0" w:colLast="0"/>
      <w:bookmarkEnd w:id="67"/>
    </w:p>
    <w:p w:rsidR="00F31580" w:rsidRDefault="00156FC1">
      <w:pPr>
        <w:spacing w:after="0" w:line="240" w:lineRule="auto"/>
        <w:ind w:left="1133" w:right="1133"/>
        <w:jc w:val="both"/>
        <w:rPr>
          <w:rFonts w:ascii="Slabo 27px" w:eastAsia="Slabo 27px" w:hAnsi="Slabo 27px" w:cs="Slabo 27px"/>
          <w:i/>
          <w:sz w:val="24"/>
          <w:szCs w:val="24"/>
        </w:rPr>
      </w:pPr>
      <w:bookmarkStart w:id="68" w:name="_heading=h.xvir7l" w:colFirst="0" w:colLast="0"/>
      <w:bookmarkEnd w:id="68"/>
      <w:r>
        <w:rPr>
          <w:rFonts w:ascii="Slabo 27px" w:eastAsia="Slabo 27px" w:hAnsi="Slabo 27px" w:cs="Slabo 27px"/>
          <w:i/>
          <w:sz w:val="24"/>
          <w:szCs w:val="24"/>
        </w:rPr>
        <w:t>“A cross-sectional study included 602 Bahraini women meeting the inclusion criteria, who were asked to s</w:t>
      </w:r>
      <w:r>
        <w:rPr>
          <w:rFonts w:ascii="Slabo 27px" w:eastAsia="Slabo 27px" w:hAnsi="Slabo 27px" w:cs="Slabo 27px"/>
          <w:i/>
          <w:sz w:val="24"/>
          <w:szCs w:val="24"/>
        </w:rPr>
        <w:t>hare any domestic abuse experience. A questionnaire comprising of 10 questions was used. The reliability of the screening tools was determined using Cronbach’s alpha test. The prevalence of domestic abuse among women attending primary health was 30.1%, whi</w:t>
      </w:r>
      <w:r>
        <w:rPr>
          <w:rFonts w:ascii="Slabo 27px" w:eastAsia="Slabo 27px" w:hAnsi="Slabo 27px" w:cs="Slabo 27px"/>
          <w:i/>
          <w:sz w:val="24"/>
          <w:szCs w:val="24"/>
        </w:rPr>
        <w:t>le the prevalence rate of more than one type of abuse is only 3.3%. Marital status and marriage duration are associated with a significant p-value. Abused women reported that the main perpetrator was the husband 64.3%, a sibling 21.7%, the father 20.9% and</w:t>
      </w:r>
      <w:r>
        <w:rPr>
          <w:rFonts w:ascii="Slabo 27px" w:eastAsia="Slabo 27px" w:hAnsi="Slabo 27px" w:cs="Slabo 27px"/>
          <w:i/>
          <w:sz w:val="24"/>
          <w:szCs w:val="24"/>
        </w:rPr>
        <w:t xml:space="preserve"> the mother 17.8%. The most significant risk factors for the abuser are either having an aggressive personality (34%) or having a history of previous childhood abuse (29.1%) Domestic violence is prevalent in Bahrain. National screening and education progra</w:t>
      </w:r>
      <w:r>
        <w:rPr>
          <w:rFonts w:ascii="Slabo 27px" w:eastAsia="Slabo 27px" w:hAnsi="Slabo 27px" w:cs="Slabo 27px"/>
          <w:i/>
          <w:sz w:val="24"/>
          <w:szCs w:val="24"/>
        </w:rPr>
        <w:t>ms should be implemented in order to protect women and minimize the consequences of domestic abuse.”</w:t>
      </w:r>
      <w:r>
        <w:rPr>
          <w:rFonts w:ascii="Slabo 27px" w:eastAsia="Slabo 27px" w:hAnsi="Slabo 27px" w:cs="Slabo 27px"/>
          <w:i/>
          <w:sz w:val="24"/>
          <w:szCs w:val="24"/>
          <w:vertAlign w:val="superscript"/>
        </w:rPr>
        <w:footnoteReference w:id="9"/>
      </w:r>
    </w:p>
    <w:p w:rsidR="00F31580" w:rsidRDefault="00F31580">
      <w:pPr>
        <w:spacing w:after="0" w:line="240" w:lineRule="auto"/>
        <w:jc w:val="both"/>
        <w:rPr>
          <w:rFonts w:ascii="Slabo 27px" w:eastAsia="Slabo 27px" w:hAnsi="Slabo 27px" w:cs="Slabo 27px"/>
          <w:sz w:val="24"/>
          <w:szCs w:val="24"/>
        </w:rPr>
      </w:pPr>
      <w:bookmarkStart w:id="69" w:name="_heading=h.3hv69ve" w:colFirst="0" w:colLast="0"/>
      <w:bookmarkEnd w:id="69"/>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 to:</w:t>
      </w:r>
    </w:p>
    <w:p w:rsidR="00F31580" w:rsidRDefault="00156FC1">
      <w:pPr>
        <w:numPr>
          <w:ilvl w:val="0"/>
          <w:numId w:val="1"/>
        </w:numPr>
        <w:spacing w:after="0" w:line="240" w:lineRule="auto"/>
        <w:ind w:left="1275"/>
        <w:jc w:val="both"/>
        <w:rPr>
          <w:rFonts w:ascii="Slabo 27px" w:eastAsia="Slabo 27px" w:hAnsi="Slabo 27px" w:cs="Slabo 27px"/>
          <w:b/>
          <w:i/>
          <w:sz w:val="24"/>
          <w:szCs w:val="24"/>
        </w:rPr>
      </w:pPr>
      <w:bookmarkStart w:id="70" w:name="_heading=h.1x0gk37" w:colFirst="0" w:colLast="0"/>
      <w:bookmarkEnd w:id="70"/>
      <w:r>
        <w:rPr>
          <w:rFonts w:ascii="Slabo 27px" w:eastAsia="Slabo 27px" w:hAnsi="Slabo 27px" w:cs="Slabo 27px"/>
          <w:b/>
          <w:i/>
          <w:sz w:val="24"/>
          <w:szCs w:val="24"/>
        </w:rPr>
        <w:t>Find out whether the GoB has, in fact, created a national statistical database on violence against women, and</w:t>
      </w:r>
      <w:r>
        <w:rPr>
          <w:rFonts w:ascii="Slabo 27px" w:eastAsia="Slabo 27px" w:hAnsi="Slabo 27px" w:cs="Slabo 27px"/>
          <w:b/>
          <w:i/>
          <w:sz w:val="24"/>
          <w:szCs w:val="24"/>
        </w:rPr>
        <w:t xml:space="preserve"> if so, the current status of the database; and if it is, in fact, in operation, who it is being operated, by whom and its methodological integrity. If it does not exist as presented, the Committee should explore why the GoB asserted its existence to the U</w:t>
      </w:r>
      <w:r>
        <w:rPr>
          <w:rFonts w:ascii="Slabo 27px" w:eastAsia="Slabo 27px" w:hAnsi="Slabo 27px" w:cs="Slabo 27px"/>
          <w:b/>
          <w:i/>
          <w:sz w:val="24"/>
          <w:szCs w:val="24"/>
        </w:rPr>
        <w:t xml:space="preserve">N. </w:t>
      </w:r>
    </w:p>
    <w:p w:rsidR="00F31580" w:rsidRDefault="00156FC1">
      <w:pPr>
        <w:pStyle w:val="Heading1"/>
        <w:spacing w:after="0" w:line="240" w:lineRule="auto"/>
        <w:jc w:val="both"/>
        <w:rPr>
          <w:rFonts w:ascii="Slabo 27px" w:eastAsia="Slabo 27px" w:hAnsi="Slabo 27px" w:cs="Slabo 27px"/>
          <w:sz w:val="28"/>
          <w:szCs w:val="28"/>
        </w:rPr>
      </w:pPr>
      <w:bookmarkStart w:id="71" w:name="_heading=h.4h042r0" w:colFirst="0" w:colLast="0"/>
      <w:bookmarkEnd w:id="71"/>
      <w:r>
        <w:rPr>
          <w:rFonts w:ascii="Slabo 27px" w:eastAsia="Slabo 27px" w:hAnsi="Slabo 27px" w:cs="Slabo 27px"/>
          <w:sz w:val="28"/>
          <w:szCs w:val="28"/>
        </w:rPr>
        <w:t>Apparent inaction in response to trafficking by United States military personnel (Article 6)</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ind w:left="1140" w:hanging="1140"/>
        <w:jc w:val="both"/>
        <w:rPr>
          <w:rFonts w:ascii="Slabo 27px" w:eastAsia="Slabo 27px" w:hAnsi="Slabo 27px" w:cs="Slabo 27px"/>
          <w:sz w:val="24"/>
          <w:szCs w:val="24"/>
        </w:rPr>
      </w:pPr>
      <w:r>
        <w:rPr>
          <w:rFonts w:ascii="Slabo 27px" w:eastAsia="Slabo 27px" w:hAnsi="Slabo 27px" w:cs="Slabo 27px"/>
          <w:sz w:val="24"/>
          <w:szCs w:val="24"/>
        </w:rPr>
        <w:t>21.</w:t>
      </w:r>
      <w:r>
        <w:rPr>
          <w:rFonts w:ascii="Slabo 27px" w:eastAsia="Slabo 27px" w:hAnsi="Slabo 27px" w:cs="Slabo 27px"/>
          <w:sz w:val="24"/>
          <w:szCs w:val="24"/>
        </w:rPr>
        <w:tab/>
      </w:r>
      <w:r>
        <w:rPr>
          <w:rFonts w:ascii="Slabo 27px" w:eastAsia="Slabo 27px" w:hAnsi="Slabo 27px" w:cs="Slabo 27px"/>
          <w:sz w:val="24"/>
          <w:szCs w:val="24"/>
        </w:rPr>
        <w:t>With respect to implementation of Article 6 of the Covenant, while not privy to the legal arrangements relative to the presence of (sovereign) United States (or other) military personnel in Bahrain, SALAM DHR and RRC could not find any expression of concer</w:t>
      </w:r>
      <w:r>
        <w:rPr>
          <w:rFonts w:ascii="Slabo 27px" w:eastAsia="Slabo 27px" w:hAnsi="Slabo 27px" w:cs="Slabo 27px"/>
          <w:sz w:val="24"/>
          <w:szCs w:val="24"/>
        </w:rPr>
        <w:t>n by the GoB in respect to the findings of a five-part series of investigative pieces published on 17 June 2020 by the Sightline Media Group’s MilitaryTimes.com - also called Naval Times, entitled Tinder, Sailor, Hooker, Pimp. They are accessible on YouTub</w:t>
      </w:r>
      <w:r>
        <w:rPr>
          <w:rFonts w:ascii="Slabo 27px" w:eastAsia="Slabo 27px" w:hAnsi="Slabo 27px" w:cs="Slabo 27px"/>
          <w:sz w:val="24"/>
          <w:szCs w:val="24"/>
        </w:rPr>
        <w:t xml:space="preserve">e at: </w:t>
      </w:r>
      <w:hyperlink r:id="rId14">
        <w:r>
          <w:rPr>
            <w:rFonts w:ascii="Slabo 27px" w:eastAsia="Slabo 27px" w:hAnsi="Slabo 27px" w:cs="Slabo 27px"/>
            <w:sz w:val="24"/>
            <w:szCs w:val="24"/>
            <w:u w:val="single"/>
          </w:rPr>
          <w:t>https://www.youtube.com/results?search_query=Tinder%2C+Sailor%2C+Hooker%2C+Pimp</w:t>
        </w:r>
      </w:hyperlink>
      <w:r>
        <w:rPr>
          <w:rFonts w:ascii="Slabo 27px" w:eastAsia="Slabo 27px" w:hAnsi="Slabo 27px" w:cs="Slabo 27px"/>
          <w:sz w:val="24"/>
          <w:szCs w:val="24"/>
        </w:rPr>
        <w:t xml:space="preserve">  (accessed 15 November 2020). The series - Part 1: They do sex and make</w:t>
      </w:r>
      <w:r>
        <w:rPr>
          <w:rFonts w:ascii="Slabo 27px" w:eastAsia="Slabo 27px" w:hAnsi="Slabo 27px" w:cs="Slabo 27px"/>
          <w:sz w:val="24"/>
          <w:szCs w:val="24"/>
        </w:rPr>
        <w:t xml:space="preserve"> u money; Part 2: The Informant; Part 3: She tried to fight; Part 4: She came to my room and Part 5: Unacceptable - set out a 2017/18 investigation by Naval Criminal Investigative Service (NCIS) of a web of activity relating to human trafficking, prostitut</w:t>
      </w:r>
      <w:r>
        <w:rPr>
          <w:rFonts w:ascii="Slabo 27px" w:eastAsia="Slabo 27px" w:hAnsi="Slabo 27px" w:cs="Slabo 27px"/>
          <w:sz w:val="24"/>
          <w:szCs w:val="24"/>
        </w:rPr>
        <w:t>ion and extortion. Naval and NCIS officials took action to end what appears to be criminal activity amongst United States 5th Fleet personnel. The Naval Times series concludes by noting that the Navy disciplined a total of 16 officials but added that speci</w:t>
      </w:r>
      <w:r>
        <w:rPr>
          <w:rFonts w:ascii="Slabo 27px" w:eastAsia="Slabo 27px" w:hAnsi="Slabo 27px" w:cs="Slabo 27px"/>
          <w:sz w:val="24"/>
          <w:szCs w:val="24"/>
        </w:rPr>
        <w:t>fic outcomes were not made public; and that there have been no new cases since September 2018. SALAM DHR and RRC’s overarching concern in this matter is the ability of the Government of Bahrain (GoB) to fulfill its international human rights obligations, s</w:t>
      </w:r>
      <w:r>
        <w:rPr>
          <w:rFonts w:ascii="Slabo 27px" w:eastAsia="Slabo 27px" w:hAnsi="Slabo 27px" w:cs="Slabo 27px"/>
          <w:sz w:val="24"/>
          <w:szCs w:val="24"/>
        </w:rPr>
        <w:t>uch as in relation to its obligations as a state party to the Convention on the Elimination of Discrimination against Women (CEDAW), to which the United States is also a state party.</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the RRC call on the Committee to:</w:t>
      </w:r>
    </w:p>
    <w:p w:rsidR="00F31580" w:rsidRDefault="00156FC1">
      <w:pPr>
        <w:numPr>
          <w:ilvl w:val="0"/>
          <w:numId w:val="6"/>
        </w:numPr>
        <w:spacing w:after="0" w:line="240" w:lineRule="auto"/>
        <w:ind w:left="1133"/>
        <w:jc w:val="both"/>
        <w:rPr>
          <w:rFonts w:ascii="Slabo 27px" w:eastAsia="Slabo 27px" w:hAnsi="Slabo 27px" w:cs="Slabo 27px"/>
          <w:b/>
          <w:i/>
          <w:sz w:val="24"/>
          <w:szCs w:val="24"/>
        </w:rPr>
      </w:pPr>
      <w:r>
        <w:rPr>
          <w:rFonts w:ascii="Slabo 27px" w:eastAsia="Slabo 27px" w:hAnsi="Slabo 27px" w:cs="Slabo 27px"/>
          <w:b/>
          <w:i/>
          <w:sz w:val="24"/>
          <w:szCs w:val="24"/>
        </w:rPr>
        <w:t xml:space="preserve">Urge the GoB to set out what actions it took to ensure that this matter, apparently under US jurisdiction, did not have secondary ramifications for the GoB and analogous criminal activity in Bahrain itself. </w:t>
      </w:r>
    </w:p>
    <w:p w:rsidR="00F31580" w:rsidRDefault="00156FC1">
      <w:pPr>
        <w:pStyle w:val="Heading1"/>
        <w:spacing w:after="0" w:line="240" w:lineRule="auto"/>
        <w:jc w:val="both"/>
        <w:rPr>
          <w:rFonts w:ascii="Slabo 27px" w:eastAsia="Slabo 27px" w:hAnsi="Slabo 27px" w:cs="Slabo 27px"/>
          <w:sz w:val="28"/>
          <w:szCs w:val="28"/>
        </w:rPr>
      </w:pPr>
      <w:bookmarkStart w:id="72" w:name="_heading=h.1baon6m" w:colFirst="0" w:colLast="0"/>
      <w:bookmarkEnd w:id="72"/>
      <w:r>
        <w:rPr>
          <w:rFonts w:ascii="Slabo 27px" w:eastAsia="Slabo 27px" w:hAnsi="Slabo 27px" w:cs="Slabo 27px"/>
          <w:sz w:val="28"/>
          <w:szCs w:val="28"/>
        </w:rPr>
        <w:t>Denial of the existence of women human rights de</w:t>
      </w:r>
      <w:r>
        <w:rPr>
          <w:rFonts w:ascii="Slabo 27px" w:eastAsia="Slabo 27px" w:hAnsi="Slabo 27px" w:cs="Slabo 27px"/>
          <w:sz w:val="28"/>
          <w:szCs w:val="28"/>
        </w:rPr>
        <w:t>fenders (Articles 2 [reservation], 3, 5, 11 and 15 [reservation])</w:t>
      </w:r>
    </w:p>
    <w:p w:rsidR="00F31580" w:rsidRDefault="00F31580">
      <w:pPr>
        <w:spacing w:after="0" w:line="240" w:lineRule="auto"/>
        <w:jc w:val="both"/>
        <w:rPr>
          <w:rFonts w:ascii="Slabo 27px" w:eastAsia="Slabo 27px" w:hAnsi="Slabo 27px" w:cs="Slabo 27px"/>
          <w:sz w:val="24"/>
          <w:szCs w:val="24"/>
        </w:rPr>
      </w:pPr>
      <w:bookmarkStart w:id="73" w:name="_heading=h.3vac5uf" w:colFirst="0" w:colLast="0"/>
      <w:bookmarkEnd w:id="73"/>
    </w:p>
    <w:p w:rsidR="00F31580" w:rsidRDefault="00156FC1">
      <w:pPr>
        <w:spacing w:after="0" w:line="240" w:lineRule="auto"/>
        <w:ind w:left="1133" w:hanging="1133"/>
        <w:jc w:val="both"/>
        <w:rPr>
          <w:rFonts w:ascii="Slabo 27px" w:eastAsia="Slabo 27px" w:hAnsi="Slabo 27px" w:cs="Slabo 27px"/>
          <w:sz w:val="24"/>
          <w:szCs w:val="24"/>
        </w:rPr>
      </w:pPr>
      <w:bookmarkStart w:id="74" w:name="_heading=h.2afmg28" w:colFirst="0" w:colLast="0"/>
      <w:bookmarkEnd w:id="74"/>
      <w:r>
        <w:rPr>
          <w:rFonts w:ascii="Slabo 27px" w:eastAsia="Slabo 27px" w:hAnsi="Slabo 27px" w:cs="Slabo 27px"/>
          <w:sz w:val="24"/>
          <w:szCs w:val="24"/>
        </w:rPr>
        <w:t xml:space="preserve">22. </w:t>
      </w:r>
      <w:r>
        <w:rPr>
          <w:rFonts w:ascii="Slabo 27px" w:eastAsia="Slabo 27px" w:hAnsi="Slabo 27px" w:cs="Slabo 27px"/>
          <w:sz w:val="24"/>
          <w:szCs w:val="24"/>
        </w:rPr>
        <w:tab/>
        <w:t>The authors are alarmed that Paragraph 138 of the state party’s report asserts that:“</w:t>
      </w:r>
      <w:r>
        <w:rPr>
          <w:rFonts w:ascii="Slabo 27px" w:eastAsia="Slabo 27px" w:hAnsi="Slabo 27px" w:cs="Slabo 27px"/>
          <w:i/>
          <w:sz w:val="24"/>
          <w:szCs w:val="24"/>
        </w:rPr>
        <w:t>[...]there are no so-called women human rights defenders but civil society institutions regulated b</w:t>
      </w:r>
      <w:r>
        <w:rPr>
          <w:rFonts w:ascii="Slabo 27px" w:eastAsia="Slabo 27px" w:hAnsi="Slabo 27px" w:cs="Slabo 27px"/>
          <w:i/>
          <w:sz w:val="24"/>
          <w:szCs w:val="24"/>
        </w:rPr>
        <w:t>y law.</w:t>
      </w:r>
      <w:r>
        <w:rPr>
          <w:rFonts w:ascii="Slabo 27px" w:eastAsia="Slabo 27px" w:hAnsi="Slabo 27px" w:cs="Slabo 27px"/>
          <w:sz w:val="24"/>
          <w:szCs w:val="24"/>
        </w:rPr>
        <w:t>” According to the landing page of the United Nations’ Special Rapporteur on the situation of human rights defenders, “</w:t>
      </w:r>
      <w:r>
        <w:rPr>
          <w:rFonts w:ascii="Slabo 27px" w:eastAsia="Slabo 27px" w:hAnsi="Slabo 27px" w:cs="Slabo 27px"/>
          <w:i/>
          <w:sz w:val="24"/>
          <w:szCs w:val="24"/>
        </w:rPr>
        <w:t>Human rights defenders (HRDs) are all persons, who individually or in association with others, act to promote or protect human righ</w:t>
      </w:r>
      <w:r>
        <w:rPr>
          <w:rFonts w:ascii="Slabo 27px" w:eastAsia="Slabo 27px" w:hAnsi="Slabo 27px" w:cs="Slabo 27px"/>
          <w:i/>
          <w:sz w:val="24"/>
          <w:szCs w:val="24"/>
        </w:rPr>
        <w:t>ts peacefully.</w:t>
      </w:r>
      <w:r>
        <w:rPr>
          <w:rFonts w:ascii="Slabo 27px" w:eastAsia="Slabo 27px" w:hAnsi="Slabo 27px" w:cs="Slabo 27px"/>
          <w:sz w:val="24"/>
          <w:szCs w:val="24"/>
        </w:rPr>
        <w:t xml:space="preserve">” Under </w:t>
      </w:r>
      <w:r>
        <w:rPr>
          <w:rFonts w:ascii="Slabo 27px" w:eastAsia="Slabo 27px" w:hAnsi="Slabo 27px" w:cs="Slabo 27px"/>
          <w:i/>
          <w:sz w:val="24"/>
          <w:szCs w:val="24"/>
        </w:rPr>
        <w:t>1. Defending human rights through professional activities – paid or voluntary</w:t>
      </w:r>
      <w:r>
        <w:rPr>
          <w:rFonts w:ascii="Slabo 27px" w:eastAsia="Slabo 27px" w:hAnsi="Slabo 27px" w:cs="Slabo 27px"/>
          <w:sz w:val="24"/>
          <w:szCs w:val="24"/>
        </w:rPr>
        <w:t xml:space="preserve">, the United Nations further states that: </w:t>
      </w:r>
    </w:p>
    <w:p w:rsidR="00F31580" w:rsidRDefault="00F31580">
      <w:pPr>
        <w:spacing w:after="0" w:line="240" w:lineRule="auto"/>
        <w:jc w:val="both"/>
        <w:rPr>
          <w:rFonts w:ascii="Slabo 27px" w:eastAsia="Slabo 27px" w:hAnsi="Slabo 27px" w:cs="Slabo 27px"/>
          <w:sz w:val="24"/>
          <w:szCs w:val="24"/>
        </w:rPr>
      </w:pPr>
      <w:bookmarkStart w:id="75" w:name="_heading=h.pkwqa1" w:colFirst="0" w:colLast="0"/>
      <w:bookmarkEnd w:id="75"/>
    </w:p>
    <w:p w:rsidR="00F31580" w:rsidRDefault="00156FC1">
      <w:pPr>
        <w:spacing w:after="0" w:line="240" w:lineRule="auto"/>
        <w:ind w:left="1133" w:right="1133"/>
        <w:jc w:val="both"/>
        <w:rPr>
          <w:rFonts w:ascii="Slabo 27px" w:eastAsia="Slabo 27px" w:hAnsi="Slabo 27px" w:cs="Slabo 27px"/>
          <w:i/>
          <w:sz w:val="24"/>
          <w:szCs w:val="24"/>
        </w:rPr>
      </w:pPr>
      <w:bookmarkStart w:id="76" w:name="_heading=h.39kk8xu" w:colFirst="0" w:colLast="0"/>
      <w:bookmarkEnd w:id="76"/>
      <w:r>
        <w:rPr>
          <w:rFonts w:ascii="Slabo 27px" w:eastAsia="Slabo 27px" w:hAnsi="Slabo 27px" w:cs="Slabo 27px"/>
          <w:i/>
          <w:sz w:val="24"/>
          <w:szCs w:val="24"/>
        </w:rPr>
        <w:t>“The most obvious human rights defenders are those whose daily work specifically involves the promotion and prote</w:t>
      </w:r>
      <w:r>
        <w:rPr>
          <w:rFonts w:ascii="Slabo 27px" w:eastAsia="Slabo 27px" w:hAnsi="Slabo 27px" w:cs="Slabo 27px"/>
          <w:i/>
          <w:sz w:val="24"/>
          <w:szCs w:val="24"/>
        </w:rPr>
        <w:t xml:space="preserve">ction of human rights, for example human rights monitors working with national human rights organizations, human rights ombudsmen or human rights lawyers.[..] However, what is most important in characterizing a person as a human rights defender is not the </w:t>
      </w:r>
      <w:r>
        <w:rPr>
          <w:rFonts w:ascii="Slabo 27px" w:eastAsia="Slabo 27px" w:hAnsi="Slabo 27px" w:cs="Slabo 27px"/>
          <w:i/>
          <w:sz w:val="24"/>
          <w:szCs w:val="24"/>
        </w:rPr>
        <w:t>person’s title or the name of the organization he or she works for, but rather the human rights character of the work undertaken.”</w:t>
      </w:r>
      <w:r>
        <w:rPr>
          <w:rFonts w:ascii="Slabo 27px" w:eastAsia="Slabo 27px" w:hAnsi="Slabo 27px" w:cs="Slabo 27px"/>
          <w:i/>
          <w:sz w:val="24"/>
          <w:szCs w:val="24"/>
          <w:vertAlign w:val="superscript"/>
        </w:rPr>
        <w:footnoteReference w:id="10"/>
      </w:r>
    </w:p>
    <w:p w:rsidR="00F31580" w:rsidRDefault="00F31580">
      <w:pPr>
        <w:spacing w:after="0" w:line="240" w:lineRule="auto"/>
        <w:jc w:val="both"/>
        <w:rPr>
          <w:rFonts w:ascii="Slabo 27px" w:eastAsia="Slabo 27px" w:hAnsi="Slabo 27px" w:cs="Slabo 27px"/>
          <w:sz w:val="24"/>
          <w:szCs w:val="24"/>
        </w:rPr>
      </w:pPr>
      <w:bookmarkStart w:id="77" w:name="_heading=h.1opuj5n" w:colFirst="0" w:colLast="0"/>
      <w:bookmarkEnd w:id="77"/>
    </w:p>
    <w:p w:rsidR="00F31580" w:rsidRDefault="00156FC1">
      <w:pPr>
        <w:spacing w:after="0" w:line="240" w:lineRule="auto"/>
        <w:ind w:left="1133" w:hanging="1133"/>
        <w:jc w:val="both"/>
        <w:rPr>
          <w:rFonts w:ascii="Slabo 27px" w:eastAsia="Slabo 27px" w:hAnsi="Slabo 27px" w:cs="Slabo 27px"/>
          <w:sz w:val="24"/>
          <w:szCs w:val="24"/>
        </w:rPr>
      </w:pPr>
      <w:bookmarkStart w:id="78" w:name="_heading=h.48pi1tg" w:colFirst="0" w:colLast="0"/>
      <w:bookmarkEnd w:id="78"/>
      <w:r>
        <w:rPr>
          <w:rFonts w:ascii="Slabo 27px" w:eastAsia="Slabo 27px" w:hAnsi="Slabo 27px" w:cs="Slabo 27px"/>
          <w:sz w:val="24"/>
          <w:szCs w:val="24"/>
        </w:rPr>
        <w:t xml:space="preserve">23. </w:t>
      </w:r>
      <w:r>
        <w:rPr>
          <w:rFonts w:ascii="Slabo 27px" w:eastAsia="Slabo 27px" w:hAnsi="Slabo 27px" w:cs="Slabo 27px"/>
          <w:sz w:val="24"/>
          <w:szCs w:val="24"/>
        </w:rPr>
        <w:tab/>
        <w:t xml:space="preserve">Furthermore, on the </w:t>
      </w:r>
      <w:r>
        <w:rPr>
          <w:rFonts w:ascii="Slabo 27px" w:eastAsia="Slabo 27px" w:hAnsi="Slabo 27px" w:cs="Slabo 27px"/>
          <w:i/>
          <w:sz w:val="24"/>
          <w:szCs w:val="24"/>
        </w:rPr>
        <w:t>About human rights defenders</w:t>
      </w:r>
      <w:r>
        <w:rPr>
          <w:rFonts w:ascii="Slabo 27px" w:eastAsia="Slabo 27px" w:hAnsi="Slabo 27px" w:cs="Slabo 27px"/>
          <w:sz w:val="24"/>
          <w:szCs w:val="24"/>
        </w:rPr>
        <w:t xml:space="preserve">, under </w:t>
      </w:r>
      <w:r>
        <w:rPr>
          <w:rFonts w:ascii="Slabo 27px" w:eastAsia="Slabo 27px" w:hAnsi="Slabo 27px" w:cs="Slabo 27px"/>
          <w:i/>
          <w:sz w:val="24"/>
          <w:szCs w:val="24"/>
        </w:rPr>
        <w:t>B. Who can be a human rights defender?</w:t>
      </w:r>
      <w:r>
        <w:rPr>
          <w:rFonts w:ascii="Slabo 27px" w:eastAsia="Slabo 27px" w:hAnsi="Slabo 27px" w:cs="Slabo 27px"/>
          <w:sz w:val="24"/>
          <w:szCs w:val="24"/>
        </w:rPr>
        <w:t xml:space="preserve"> the United Nations furt</w:t>
      </w:r>
      <w:r>
        <w:rPr>
          <w:rFonts w:ascii="Slabo 27px" w:eastAsia="Slabo 27px" w:hAnsi="Slabo 27px" w:cs="Slabo 27px"/>
          <w:sz w:val="24"/>
          <w:szCs w:val="24"/>
        </w:rPr>
        <w:t>her states that “</w:t>
      </w:r>
      <w:r>
        <w:rPr>
          <w:rFonts w:ascii="Slabo 27px" w:eastAsia="Slabo 27px" w:hAnsi="Slabo 27px" w:cs="Slabo 27px"/>
          <w:i/>
          <w:sz w:val="24"/>
          <w:szCs w:val="24"/>
        </w:rPr>
        <w:t>There is no specific definition of who is or can be a human rights defender.</w:t>
      </w:r>
      <w:r>
        <w:rPr>
          <w:rFonts w:ascii="Slabo 27px" w:eastAsia="Slabo 27px" w:hAnsi="Slabo 27px" w:cs="Slabo 27px"/>
          <w:sz w:val="24"/>
          <w:szCs w:val="24"/>
        </w:rPr>
        <w:t>”</w:t>
      </w:r>
      <w:r>
        <w:rPr>
          <w:rFonts w:ascii="Slabo 27px" w:eastAsia="Slabo 27px" w:hAnsi="Slabo 27px" w:cs="Slabo 27px"/>
          <w:sz w:val="24"/>
          <w:szCs w:val="24"/>
          <w:vertAlign w:val="superscript"/>
        </w:rPr>
        <w:footnoteReference w:id="11"/>
      </w:r>
    </w:p>
    <w:p w:rsidR="00F31580" w:rsidRDefault="00F31580">
      <w:pPr>
        <w:spacing w:after="0" w:line="240" w:lineRule="auto"/>
        <w:jc w:val="both"/>
        <w:rPr>
          <w:rFonts w:ascii="Slabo 27px" w:eastAsia="Slabo 27px" w:hAnsi="Slabo 27px" w:cs="Slabo 27px"/>
          <w:sz w:val="24"/>
          <w:szCs w:val="24"/>
        </w:rPr>
      </w:pPr>
      <w:bookmarkStart w:id="79" w:name="_heading=h.2nusc19" w:colFirst="0" w:colLast="0"/>
      <w:bookmarkEnd w:id="79"/>
    </w:p>
    <w:p w:rsidR="00F31580" w:rsidRDefault="00156FC1">
      <w:pPr>
        <w:spacing w:after="0" w:line="240" w:lineRule="auto"/>
        <w:jc w:val="both"/>
        <w:rPr>
          <w:rFonts w:ascii="Slabo 27px" w:eastAsia="Slabo 27px" w:hAnsi="Slabo 27px" w:cs="Slabo 27px"/>
          <w:b/>
          <w:i/>
          <w:sz w:val="24"/>
          <w:szCs w:val="24"/>
        </w:rPr>
      </w:pPr>
      <w:bookmarkStart w:id="80" w:name="_heading=h.1302m92" w:colFirst="0" w:colLast="0"/>
      <w:bookmarkEnd w:id="80"/>
      <w:r>
        <w:rPr>
          <w:rFonts w:ascii="Slabo 27px" w:eastAsia="Slabo 27px" w:hAnsi="Slabo 27px" w:cs="Slabo 27px"/>
          <w:b/>
          <w:i/>
          <w:sz w:val="24"/>
          <w:szCs w:val="24"/>
        </w:rPr>
        <w:t>SALAM DHR and RRC call on the Committee to:</w:t>
      </w:r>
    </w:p>
    <w:p w:rsidR="00F31580" w:rsidRDefault="00156FC1">
      <w:pPr>
        <w:numPr>
          <w:ilvl w:val="0"/>
          <w:numId w:val="10"/>
        </w:numPr>
        <w:spacing w:after="0" w:line="240" w:lineRule="auto"/>
        <w:ind w:left="1133"/>
        <w:jc w:val="both"/>
        <w:rPr>
          <w:rFonts w:ascii="Slabo 27px" w:eastAsia="Slabo 27px" w:hAnsi="Slabo 27px" w:cs="Slabo 27px"/>
          <w:b/>
          <w:i/>
          <w:sz w:val="24"/>
          <w:szCs w:val="24"/>
        </w:rPr>
      </w:pPr>
      <w:bookmarkStart w:id="81" w:name="_heading=h.3mzq4wv" w:colFirst="0" w:colLast="0"/>
      <w:bookmarkEnd w:id="81"/>
      <w:r>
        <w:rPr>
          <w:rFonts w:ascii="Slabo 27px" w:eastAsia="Slabo 27px" w:hAnsi="Slabo 27px" w:cs="Slabo 27px"/>
          <w:b/>
          <w:i/>
          <w:sz w:val="24"/>
          <w:szCs w:val="24"/>
        </w:rPr>
        <w:t>Provide information to the GoB so that they understand what human rights defenders are and that the GoB is not in a position to say who is and who is not a human rights defender, but that, rather, it, Bahraini society and the international community will k</w:t>
      </w:r>
      <w:r>
        <w:rPr>
          <w:rFonts w:ascii="Slabo 27px" w:eastAsia="Slabo 27px" w:hAnsi="Slabo 27px" w:cs="Slabo 27px"/>
          <w:b/>
          <w:i/>
          <w:sz w:val="24"/>
          <w:szCs w:val="24"/>
        </w:rPr>
        <w:t>now and recognise those persons by their actions and</w:t>
      </w:r>
    </w:p>
    <w:p w:rsidR="00F31580" w:rsidRDefault="00156FC1">
      <w:pPr>
        <w:numPr>
          <w:ilvl w:val="0"/>
          <w:numId w:val="10"/>
        </w:numPr>
        <w:spacing w:after="0" w:line="240" w:lineRule="auto"/>
        <w:ind w:left="1133"/>
        <w:jc w:val="both"/>
        <w:rPr>
          <w:rFonts w:ascii="Slabo 27px" w:eastAsia="Slabo 27px" w:hAnsi="Slabo 27px" w:cs="Slabo 27px"/>
          <w:b/>
          <w:i/>
          <w:sz w:val="24"/>
          <w:szCs w:val="24"/>
        </w:rPr>
      </w:pPr>
      <w:bookmarkStart w:id="82" w:name="_heading=h.2250f4o" w:colFirst="0" w:colLast="0"/>
      <w:bookmarkEnd w:id="82"/>
      <w:r>
        <w:rPr>
          <w:rFonts w:ascii="Slabo 27px" w:eastAsia="Slabo 27px" w:hAnsi="Slabo 27px" w:cs="Slabo 27px"/>
          <w:b/>
          <w:i/>
          <w:sz w:val="24"/>
          <w:szCs w:val="24"/>
        </w:rPr>
        <w:t>Urge the GoB to abide by international standards in relation to human rights defenders.</w:t>
      </w:r>
    </w:p>
    <w:p w:rsidR="00F31580" w:rsidRDefault="00156FC1">
      <w:pPr>
        <w:pStyle w:val="Heading1"/>
        <w:spacing w:after="0" w:line="240" w:lineRule="auto"/>
        <w:jc w:val="both"/>
        <w:rPr>
          <w:rFonts w:ascii="Slabo 27px" w:eastAsia="Slabo 27px" w:hAnsi="Slabo 27px" w:cs="Slabo 27px"/>
          <w:sz w:val="28"/>
          <w:szCs w:val="28"/>
        </w:rPr>
      </w:pPr>
      <w:bookmarkStart w:id="83" w:name="_heading=h.319y80a" w:colFirst="0" w:colLast="0"/>
      <w:bookmarkEnd w:id="83"/>
      <w:r>
        <w:rPr>
          <w:rFonts w:ascii="Slabo 27px" w:eastAsia="Slabo 27px" w:hAnsi="Slabo 27px" w:cs="Slabo 27px"/>
          <w:sz w:val="28"/>
          <w:szCs w:val="28"/>
        </w:rPr>
        <w:t>Justification of torture and ill treatment of a woman human rights defender (Articles, 2, 3, 4, 12 and 15)</w:t>
      </w:r>
    </w:p>
    <w:p w:rsidR="00F31580" w:rsidRDefault="00F31580">
      <w:pPr>
        <w:spacing w:after="0" w:line="240" w:lineRule="auto"/>
        <w:jc w:val="both"/>
        <w:rPr>
          <w:rFonts w:ascii="Slabo 27px" w:eastAsia="Slabo 27px" w:hAnsi="Slabo 27px" w:cs="Slabo 27px"/>
          <w:sz w:val="24"/>
          <w:szCs w:val="24"/>
        </w:rPr>
      </w:pPr>
      <w:bookmarkStart w:id="84" w:name="_heading=h.1gf8i83" w:colFirst="0" w:colLast="0"/>
      <w:bookmarkEnd w:id="84"/>
    </w:p>
    <w:p w:rsidR="00F31580" w:rsidRDefault="00156FC1">
      <w:pPr>
        <w:spacing w:after="0" w:line="240" w:lineRule="auto"/>
        <w:ind w:left="1133" w:hanging="1133"/>
        <w:jc w:val="both"/>
        <w:rPr>
          <w:rFonts w:ascii="Slabo 27px" w:eastAsia="Slabo 27px" w:hAnsi="Slabo 27px" w:cs="Slabo 27px"/>
          <w:sz w:val="24"/>
          <w:szCs w:val="24"/>
        </w:rPr>
      </w:pPr>
      <w:bookmarkStart w:id="85" w:name="_heading=h.40ew0vw" w:colFirst="0" w:colLast="0"/>
      <w:bookmarkEnd w:id="85"/>
      <w:r>
        <w:rPr>
          <w:rFonts w:ascii="Slabo 27px" w:eastAsia="Slabo 27px" w:hAnsi="Slabo 27px" w:cs="Slabo 27px"/>
          <w:sz w:val="24"/>
          <w:szCs w:val="24"/>
        </w:rPr>
        <w:t xml:space="preserve">24. </w:t>
      </w:r>
      <w:r>
        <w:rPr>
          <w:rFonts w:ascii="Slabo 27px" w:eastAsia="Slabo 27px" w:hAnsi="Slabo 27px" w:cs="Slabo 27px"/>
          <w:sz w:val="24"/>
          <w:szCs w:val="24"/>
        </w:rPr>
        <w:tab/>
        <w:t>Pa</w:t>
      </w:r>
      <w:r>
        <w:rPr>
          <w:rFonts w:ascii="Slabo 27px" w:eastAsia="Slabo 27px" w:hAnsi="Slabo 27px" w:cs="Slabo 27px"/>
          <w:sz w:val="24"/>
          <w:szCs w:val="24"/>
        </w:rPr>
        <w:t xml:space="preserve">ragraph 139 of the state party’s report asserts that it has “paid special attention to the allegations of some women that they were subjected to ill-treatment and intimidation by law enforcement personnel, to dismissals and suspensions, and to other forms </w:t>
      </w:r>
      <w:r>
        <w:rPr>
          <w:rFonts w:ascii="Slabo 27px" w:eastAsia="Slabo 27px" w:hAnsi="Slabo 27px" w:cs="Slabo 27px"/>
          <w:sz w:val="24"/>
          <w:szCs w:val="24"/>
        </w:rPr>
        <w:t>of retribution such as detention and revocation of nationality.” Paragraphs 139 to 143 set out measures that the GoB claims it has instituted to limit the practice of torture. Paragraph 144, not addressing the claims of women whow faced torture or ill trea</w:t>
      </w:r>
      <w:r>
        <w:rPr>
          <w:rFonts w:ascii="Slabo 27px" w:eastAsia="Slabo 27px" w:hAnsi="Slabo 27px" w:cs="Slabo 27px"/>
          <w:sz w:val="24"/>
          <w:szCs w:val="24"/>
        </w:rPr>
        <w:t>tment, asserts that “</w:t>
      </w:r>
      <w:r>
        <w:rPr>
          <w:rFonts w:ascii="Slabo 27px" w:eastAsia="Slabo 27px" w:hAnsi="Slabo 27px" w:cs="Slabo 27px"/>
          <w:i/>
          <w:sz w:val="24"/>
          <w:szCs w:val="24"/>
        </w:rPr>
        <w:t>they were in fact found guilty of criminal offences following due process of law and a fair trial, during which they enjoyed the safeguards guaranteed by law</w:t>
      </w:r>
      <w:r>
        <w:rPr>
          <w:rFonts w:ascii="Slabo 27px" w:eastAsia="Slabo 27px" w:hAnsi="Slabo 27px" w:cs="Slabo 27px"/>
          <w:sz w:val="24"/>
          <w:szCs w:val="24"/>
        </w:rPr>
        <w:t>.” UN Special Procedures have, for example, raised the case Ebtesam Abdullhusa</w:t>
      </w:r>
      <w:r>
        <w:rPr>
          <w:rFonts w:ascii="Slabo 27px" w:eastAsia="Slabo 27px" w:hAnsi="Slabo 27px" w:cs="Slabo 27px"/>
          <w:sz w:val="24"/>
          <w:szCs w:val="24"/>
        </w:rPr>
        <w:t>in Ali Alsaegh (OHCHR Special Procedures Communications Database, references BHR 8 and 9/2017, 4 and 13 July 2017. The government’s 8 August 2017 response to these communications, which denounces human rights activist as terrorism, likewise consists of ass</w:t>
      </w:r>
      <w:r>
        <w:rPr>
          <w:rFonts w:ascii="Slabo 27px" w:eastAsia="Slabo 27px" w:hAnsi="Slabo 27px" w:cs="Slabo 27px"/>
          <w:sz w:val="24"/>
          <w:szCs w:val="24"/>
        </w:rPr>
        <w:t>ertions that have not been supported by international human rights organisations: the government has, in short, sought to justify ill treatment of a human rights defenders in the name of security, despite the actions of the individual being remarkably tran</w:t>
      </w:r>
      <w:r>
        <w:rPr>
          <w:rFonts w:ascii="Slabo 27px" w:eastAsia="Slabo 27px" w:hAnsi="Slabo 27px" w:cs="Slabo 27px"/>
          <w:sz w:val="24"/>
          <w:szCs w:val="24"/>
        </w:rPr>
        <w:t xml:space="preserve">sparent. </w:t>
      </w:r>
    </w:p>
    <w:p w:rsidR="00F31580" w:rsidRDefault="00F31580">
      <w:pPr>
        <w:spacing w:after="0" w:line="240" w:lineRule="auto"/>
        <w:jc w:val="both"/>
        <w:rPr>
          <w:rFonts w:ascii="Slabo 27px" w:eastAsia="Slabo 27px" w:hAnsi="Slabo 27px" w:cs="Slabo 27px"/>
          <w:sz w:val="24"/>
          <w:szCs w:val="24"/>
        </w:rPr>
      </w:pPr>
      <w:bookmarkStart w:id="86" w:name="_heading=h.2fk6b3p" w:colFirst="0" w:colLast="0"/>
      <w:bookmarkEnd w:id="86"/>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 to:</w:t>
      </w:r>
    </w:p>
    <w:p w:rsidR="00F31580" w:rsidRDefault="00156FC1">
      <w:pPr>
        <w:numPr>
          <w:ilvl w:val="0"/>
          <w:numId w:val="2"/>
        </w:numPr>
        <w:spacing w:after="0" w:line="240" w:lineRule="auto"/>
        <w:ind w:left="1133"/>
        <w:jc w:val="both"/>
        <w:rPr>
          <w:rFonts w:ascii="Slabo 27px" w:eastAsia="Slabo 27px" w:hAnsi="Slabo 27px" w:cs="Slabo 27px"/>
          <w:b/>
          <w:i/>
          <w:sz w:val="24"/>
          <w:szCs w:val="24"/>
        </w:rPr>
      </w:pPr>
      <w:bookmarkStart w:id="87" w:name="_heading=h.upglbi" w:colFirst="0" w:colLast="0"/>
      <w:bookmarkEnd w:id="87"/>
      <w:r>
        <w:rPr>
          <w:rFonts w:ascii="Slabo 27px" w:eastAsia="Slabo 27px" w:hAnsi="Slabo 27px" w:cs="Slabo 27px"/>
          <w:b/>
          <w:i/>
          <w:sz w:val="24"/>
          <w:szCs w:val="24"/>
        </w:rPr>
        <w:t>Acknowledge the measures recently taken to limit the incidence of torture, but remind the GoB of 2017 recommendations made by the Committee against Torture and Other Cruel, Inhuman or Degrading Treatment or Punishment, in paragraphs 9 and 23 of its 2017 Co</w:t>
      </w:r>
      <w:r>
        <w:rPr>
          <w:rFonts w:ascii="Slabo 27px" w:eastAsia="Slabo 27px" w:hAnsi="Slabo 27px" w:cs="Slabo 27px"/>
          <w:b/>
          <w:i/>
          <w:sz w:val="24"/>
          <w:szCs w:val="24"/>
        </w:rPr>
        <w:t>ncluding Observations.</w:t>
      </w:r>
      <w:r>
        <w:rPr>
          <w:rFonts w:ascii="Slabo 27px" w:eastAsia="Slabo 27px" w:hAnsi="Slabo 27px" w:cs="Slabo 27px"/>
          <w:b/>
          <w:i/>
          <w:sz w:val="24"/>
          <w:szCs w:val="24"/>
          <w:vertAlign w:val="superscript"/>
        </w:rPr>
        <w:footnoteReference w:id="12"/>
      </w:r>
    </w:p>
    <w:p w:rsidR="00F31580" w:rsidRDefault="00156FC1">
      <w:pPr>
        <w:pStyle w:val="Heading1"/>
        <w:spacing w:after="0" w:line="240" w:lineRule="auto"/>
        <w:jc w:val="both"/>
        <w:rPr>
          <w:rFonts w:ascii="Slabo 27px" w:eastAsia="Slabo 27px" w:hAnsi="Slabo 27px" w:cs="Slabo 27px"/>
          <w:sz w:val="28"/>
          <w:szCs w:val="28"/>
        </w:rPr>
      </w:pPr>
      <w:bookmarkStart w:id="88" w:name="_heading=h.1tuee74" w:colFirst="0" w:colLast="0"/>
      <w:bookmarkEnd w:id="88"/>
      <w:r>
        <w:rPr>
          <w:rFonts w:ascii="Slabo 27px" w:eastAsia="Slabo 27px" w:hAnsi="Slabo 27px" w:cs="Slabo 27px"/>
          <w:sz w:val="28"/>
          <w:szCs w:val="28"/>
        </w:rPr>
        <w:t>On Marriage and effective dependency (Articles 3, 15 and 16)</w:t>
      </w:r>
    </w:p>
    <w:p w:rsidR="00F31580" w:rsidRDefault="00F31580">
      <w:pPr>
        <w:spacing w:after="0" w:line="240" w:lineRule="auto"/>
        <w:jc w:val="both"/>
        <w:rPr>
          <w:rFonts w:ascii="Slabo 27px" w:eastAsia="Slabo 27px" w:hAnsi="Slabo 27px" w:cs="Slabo 27px"/>
          <w:sz w:val="24"/>
          <w:szCs w:val="24"/>
        </w:rPr>
      </w:pPr>
      <w:bookmarkStart w:id="89" w:name="_heading=h.4du1wux" w:colFirst="0" w:colLast="0"/>
      <w:bookmarkEnd w:id="89"/>
    </w:p>
    <w:p w:rsidR="00F31580" w:rsidRDefault="00156FC1">
      <w:pPr>
        <w:spacing w:after="0" w:line="240" w:lineRule="auto"/>
        <w:ind w:left="1133" w:hanging="1133"/>
        <w:jc w:val="both"/>
        <w:rPr>
          <w:rFonts w:ascii="Slabo 27px" w:eastAsia="Slabo 27px" w:hAnsi="Slabo 27px" w:cs="Slabo 27px"/>
          <w:sz w:val="24"/>
          <w:szCs w:val="24"/>
        </w:rPr>
      </w:pPr>
      <w:bookmarkStart w:id="90" w:name="_heading=h.2szc72q" w:colFirst="0" w:colLast="0"/>
      <w:bookmarkEnd w:id="90"/>
      <w:r>
        <w:rPr>
          <w:rFonts w:ascii="Slabo 27px" w:eastAsia="Slabo 27px" w:hAnsi="Slabo 27px" w:cs="Slabo 27px"/>
          <w:sz w:val="24"/>
          <w:szCs w:val="24"/>
        </w:rPr>
        <w:t xml:space="preserve">25. </w:t>
      </w:r>
      <w:r>
        <w:rPr>
          <w:rFonts w:ascii="Slabo 27px" w:eastAsia="Slabo 27px" w:hAnsi="Slabo 27px" w:cs="Slabo 27px"/>
          <w:sz w:val="24"/>
          <w:szCs w:val="24"/>
        </w:rPr>
        <w:tab/>
        <w:t xml:space="preserve">SALAM DHR and RRC acknowledge that GoB law stipulates that 16 is the minimum age for marriage, except where permitted by court order. This issue is addressed in the </w:t>
      </w:r>
      <w:r>
        <w:rPr>
          <w:rFonts w:ascii="Slabo 27px" w:eastAsia="Slabo 27px" w:hAnsi="Slabo 27px" w:cs="Slabo 27px"/>
          <w:sz w:val="24"/>
          <w:szCs w:val="24"/>
        </w:rPr>
        <w:t>state party’s report in paragraph 201.</w:t>
      </w:r>
    </w:p>
    <w:p w:rsidR="00F31580" w:rsidRDefault="00F31580">
      <w:pPr>
        <w:spacing w:after="0" w:line="240" w:lineRule="auto"/>
        <w:ind w:left="1133" w:hanging="1133"/>
        <w:jc w:val="both"/>
        <w:rPr>
          <w:rFonts w:ascii="Slabo 27px" w:eastAsia="Slabo 27px" w:hAnsi="Slabo 27px" w:cs="Slabo 27px"/>
          <w:sz w:val="24"/>
          <w:szCs w:val="24"/>
        </w:rPr>
      </w:pPr>
      <w:bookmarkStart w:id="91" w:name="_heading=h.184mhaj" w:colFirst="0" w:colLast="0"/>
      <w:bookmarkEnd w:id="91"/>
    </w:p>
    <w:p w:rsidR="00F31580" w:rsidRDefault="00156FC1">
      <w:pPr>
        <w:spacing w:after="0" w:line="240" w:lineRule="auto"/>
        <w:ind w:left="1133" w:hanging="1133"/>
        <w:jc w:val="both"/>
        <w:rPr>
          <w:rFonts w:ascii="Slabo 27px" w:eastAsia="Slabo 27px" w:hAnsi="Slabo 27px" w:cs="Slabo 27px"/>
          <w:sz w:val="24"/>
          <w:szCs w:val="24"/>
        </w:rPr>
      </w:pPr>
      <w:bookmarkStart w:id="92" w:name="_heading=h.3s49zyc" w:colFirst="0" w:colLast="0"/>
      <w:bookmarkEnd w:id="92"/>
      <w:r>
        <w:rPr>
          <w:rFonts w:ascii="Slabo 27px" w:eastAsia="Slabo 27px" w:hAnsi="Slabo 27px" w:cs="Slabo 27px"/>
          <w:sz w:val="24"/>
          <w:szCs w:val="24"/>
        </w:rPr>
        <w:t xml:space="preserve">26. </w:t>
      </w:r>
      <w:r>
        <w:rPr>
          <w:rFonts w:ascii="Slabo 27px" w:eastAsia="Slabo 27px" w:hAnsi="Slabo 27px" w:cs="Slabo 27px"/>
          <w:sz w:val="24"/>
          <w:szCs w:val="24"/>
        </w:rPr>
        <w:tab/>
        <w:t>With respect to the designation of specific locations as - as described in paragraph 1999 of the state party’s report - appropriate judicial environment for Bahraini families, SALAM DHR amd RRC are concerned abo</w:t>
      </w:r>
      <w:r>
        <w:rPr>
          <w:rFonts w:ascii="Slabo 27px" w:eastAsia="Slabo 27px" w:hAnsi="Slabo 27px" w:cs="Slabo 27px"/>
          <w:sz w:val="24"/>
          <w:szCs w:val="24"/>
        </w:rPr>
        <w:t>ut the concept of women's dependency and obedience to men by imposing a “house of obedience” (Beit Al-Ta’a) on women who refrain from staying in their husband's chosen home or leaving to work if the husband does not agree to their work. The authors are con</w:t>
      </w:r>
      <w:r>
        <w:rPr>
          <w:rFonts w:ascii="Slabo 27px" w:eastAsia="Slabo 27px" w:hAnsi="Slabo 27px" w:cs="Slabo 27px"/>
          <w:sz w:val="24"/>
          <w:szCs w:val="24"/>
        </w:rPr>
        <w:t xml:space="preserve">cerned that if the wife refrains from “obeying” and recognizing the marital residence without legal justification, the husband may ask the judiciary to issue a ruling by forcibly returning her to the marital home and entering into “obedience” and that, in </w:t>
      </w:r>
      <w:r>
        <w:rPr>
          <w:rFonts w:ascii="Slabo 27px" w:eastAsia="Slabo 27px" w:hAnsi="Slabo 27px" w:cs="Slabo 27px"/>
          <w:sz w:val="24"/>
          <w:szCs w:val="24"/>
        </w:rPr>
        <w:t>such an instance, her alimony could be deprived if she refrains from implementing a court order to “obey” her husband.</w:t>
      </w:r>
    </w:p>
    <w:p w:rsidR="00F31580" w:rsidRDefault="00F31580">
      <w:pPr>
        <w:spacing w:after="0" w:line="240" w:lineRule="auto"/>
        <w:jc w:val="both"/>
        <w:rPr>
          <w:rFonts w:ascii="Slabo 27px" w:eastAsia="Slabo 27px" w:hAnsi="Slabo 27px" w:cs="Slabo 27px"/>
          <w:sz w:val="24"/>
          <w:szCs w:val="24"/>
        </w:rPr>
      </w:pPr>
      <w:bookmarkStart w:id="93" w:name="_heading=h.279ka65" w:colFirst="0" w:colLast="0"/>
      <w:bookmarkEnd w:id="93"/>
    </w:p>
    <w:p w:rsidR="00F31580" w:rsidRDefault="00156FC1">
      <w:pPr>
        <w:spacing w:after="0" w:line="240" w:lineRule="auto"/>
        <w:jc w:val="both"/>
        <w:rPr>
          <w:rFonts w:ascii="Slabo 27px" w:eastAsia="Slabo 27px" w:hAnsi="Slabo 27px" w:cs="Slabo 27px"/>
          <w:b/>
          <w:i/>
          <w:sz w:val="24"/>
          <w:szCs w:val="24"/>
        </w:rPr>
      </w:pPr>
      <w:bookmarkStart w:id="94" w:name="_heading=h.meukdy" w:colFirst="0" w:colLast="0"/>
      <w:bookmarkEnd w:id="94"/>
      <w:r>
        <w:rPr>
          <w:rFonts w:ascii="Slabo 27px" w:eastAsia="Slabo 27px" w:hAnsi="Slabo 27px" w:cs="Slabo 27px"/>
          <w:b/>
          <w:i/>
          <w:sz w:val="24"/>
          <w:szCs w:val="24"/>
        </w:rPr>
        <w:t>SALAM DHR and RRC call on the Committee to:</w:t>
      </w:r>
    </w:p>
    <w:p w:rsidR="00F31580" w:rsidRDefault="00156FC1">
      <w:pPr>
        <w:numPr>
          <w:ilvl w:val="0"/>
          <w:numId w:val="5"/>
        </w:numPr>
        <w:spacing w:after="0" w:line="240" w:lineRule="auto"/>
        <w:ind w:left="1133"/>
        <w:jc w:val="both"/>
        <w:rPr>
          <w:rFonts w:ascii="Slabo 27px" w:eastAsia="Slabo 27px" w:hAnsi="Slabo 27px" w:cs="Slabo 27px"/>
          <w:b/>
          <w:i/>
          <w:sz w:val="24"/>
          <w:szCs w:val="24"/>
        </w:rPr>
      </w:pPr>
      <w:bookmarkStart w:id="95" w:name="_heading=h.36ei31r" w:colFirst="0" w:colLast="0"/>
      <w:bookmarkEnd w:id="95"/>
      <w:r>
        <w:rPr>
          <w:rFonts w:ascii="Slabo 27px" w:eastAsia="Slabo 27px" w:hAnsi="Slabo 27px" w:cs="Slabo 27px"/>
          <w:b/>
          <w:i/>
          <w:sz w:val="24"/>
          <w:szCs w:val="24"/>
        </w:rPr>
        <w:t>Urge the government to enact express legal provisions requiring effective consent by females</w:t>
      </w:r>
      <w:r>
        <w:rPr>
          <w:rFonts w:ascii="Slabo 27px" w:eastAsia="Slabo 27px" w:hAnsi="Slabo 27px" w:cs="Slabo 27px"/>
          <w:b/>
          <w:i/>
          <w:sz w:val="24"/>
          <w:szCs w:val="24"/>
        </w:rPr>
        <w:t xml:space="preserve"> under the age of 16 with respect to marriage and that the required court order be informed by an objectively verifiable and independent assessment by social services regarding the character of consent given by the female.</w:t>
      </w:r>
    </w:p>
    <w:p w:rsidR="00F31580" w:rsidRDefault="00156FC1">
      <w:pPr>
        <w:numPr>
          <w:ilvl w:val="0"/>
          <w:numId w:val="5"/>
        </w:numPr>
        <w:spacing w:after="0" w:line="240" w:lineRule="auto"/>
        <w:ind w:left="1133"/>
        <w:jc w:val="both"/>
        <w:rPr>
          <w:rFonts w:ascii="Slabo 27px" w:eastAsia="Slabo 27px" w:hAnsi="Slabo 27px" w:cs="Slabo 27px"/>
          <w:b/>
          <w:i/>
          <w:sz w:val="24"/>
          <w:szCs w:val="24"/>
        </w:rPr>
      </w:pPr>
      <w:bookmarkStart w:id="96" w:name="_heading=h.1ljsd9k" w:colFirst="0" w:colLast="0"/>
      <w:bookmarkEnd w:id="96"/>
      <w:r>
        <w:rPr>
          <w:rFonts w:ascii="Slabo 27px" w:eastAsia="Slabo 27px" w:hAnsi="Slabo 27px" w:cs="Slabo 27px"/>
          <w:b/>
          <w:i/>
          <w:sz w:val="24"/>
          <w:szCs w:val="24"/>
        </w:rPr>
        <w:t>Explain the legal and practical a</w:t>
      </w:r>
      <w:r>
        <w:rPr>
          <w:rFonts w:ascii="Slabo 27px" w:eastAsia="Slabo 27px" w:hAnsi="Slabo 27px" w:cs="Slabo 27px"/>
          <w:b/>
          <w:i/>
          <w:sz w:val="24"/>
          <w:szCs w:val="24"/>
        </w:rPr>
        <w:t>pplication of the “house of obedience” (Beit Al-Ta’a) with a view to identifying variation from Covenant obligations.</w:t>
      </w:r>
    </w:p>
    <w:p w:rsidR="00F31580" w:rsidRDefault="00156FC1">
      <w:pPr>
        <w:pStyle w:val="Heading1"/>
        <w:spacing w:after="0" w:line="240" w:lineRule="auto"/>
        <w:jc w:val="both"/>
        <w:rPr>
          <w:rFonts w:ascii="Slabo 27px" w:eastAsia="Slabo 27px" w:hAnsi="Slabo 27px" w:cs="Slabo 27px"/>
          <w:sz w:val="28"/>
          <w:szCs w:val="28"/>
        </w:rPr>
      </w:pPr>
      <w:bookmarkStart w:id="97" w:name="_heading=h.2koq656" w:colFirst="0" w:colLast="0"/>
      <w:bookmarkEnd w:id="97"/>
      <w:r>
        <w:rPr>
          <w:rFonts w:ascii="Slabo 27px" w:eastAsia="Slabo 27px" w:hAnsi="Slabo 27px" w:cs="Slabo 27px"/>
          <w:sz w:val="28"/>
          <w:szCs w:val="28"/>
        </w:rPr>
        <w:t>On Nationality and conferral of nationality by women (Articles 2 [reservation], 3 , 9 [reservation], and 15)</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ind w:left="1133" w:hanging="1133"/>
        <w:jc w:val="both"/>
        <w:rPr>
          <w:rFonts w:ascii="Slabo 27px" w:eastAsia="Slabo 27px" w:hAnsi="Slabo 27px" w:cs="Slabo 27px"/>
          <w:sz w:val="24"/>
          <w:szCs w:val="24"/>
        </w:rPr>
      </w:pPr>
      <w:r>
        <w:rPr>
          <w:rFonts w:ascii="Slabo 27px" w:eastAsia="Slabo 27px" w:hAnsi="Slabo 27px" w:cs="Slabo 27px"/>
          <w:sz w:val="24"/>
          <w:szCs w:val="24"/>
        </w:rPr>
        <w:t xml:space="preserve">27. </w:t>
      </w:r>
      <w:r>
        <w:rPr>
          <w:rFonts w:ascii="Slabo 27px" w:eastAsia="Slabo 27px" w:hAnsi="Slabo 27px" w:cs="Slabo 27px"/>
          <w:sz w:val="24"/>
          <w:szCs w:val="24"/>
        </w:rPr>
        <w:tab/>
        <w:t>The authors are concern</w:t>
      </w:r>
      <w:r>
        <w:rPr>
          <w:rFonts w:ascii="Slabo 27px" w:eastAsia="Slabo 27px" w:hAnsi="Slabo 27px" w:cs="Slabo 27px"/>
          <w:sz w:val="24"/>
          <w:szCs w:val="24"/>
        </w:rPr>
        <w:t>ed that the GoB’s reservation to Article 9 provides for gender discrimination inherent in the Nationality Act, and which is contrary to the spirit and letter of the Covenant, including Article 15, to which the GoB has not lodged a reservation. Under the te</w:t>
      </w:r>
      <w:r>
        <w:rPr>
          <w:rFonts w:ascii="Slabo 27px" w:eastAsia="Slabo 27px" w:hAnsi="Slabo 27px" w:cs="Slabo 27px"/>
          <w:sz w:val="24"/>
          <w:szCs w:val="24"/>
        </w:rPr>
        <w:t>rms of the Nationality Act, a Bahrain woman who marries a non-Bahraini faces suspensions of heer citizenship. Nevertheless, this inherently discriminatory act is covered by Bahrain’s reservation to Article 9, Law No. 21 of 2014, enables female Bahrainis to</w:t>
      </w:r>
      <w:r>
        <w:rPr>
          <w:rFonts w:ascii="Slabo 27px" w:eastAsia="Slabo 27px" w:hAnsi="Slabo 27px" w:cs="Slabo 27px"/>
          <w:sz w:val="24"/>
          <w:szCs w:val="24"/>
        </w:rPr>
        <w:t xml:space="preserve"> retain their nationality if they acquire another nationality after obtaining the approval of the Minister of the Interior, but SALAM DHR does not have data on this practice.</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line="240" w:lineRule="auto"/>
        <w:ind w:left="1133" w:hanging="1133"/>
        <w:jc w:val="both"/>
        <w:rPr>
          <w:rFonts w:ascii="Slabo 27px" w:eastAsia="Slabo 27px" w:hAnsi="Slabo 27px" w:cs="Slabo 27px"/>
          <w:sz w:val="24"/>
          <w:szCs w:val="24"/>
        </w:rPr>
      </w:pPr>
      <w:bookmarkStart w:id="98" w:name="_heading=h.zu0gcz" w:colFirst="0" w:colLast="0"/>
      <w:bookmarkEnd w:id="98"/>
      <w:r>
        <w:rPr>
          <w:rFonts w:ascii="Slabo 27px" w:eastAsia="Slabo 27px" w:hAnsi="Slabo 27px" w:cs="Slabo 27px"/>
          <w:sz w:val="24"/>
          <w:szCs w:val="24"/>
        </w:rPr>
        <w:t xml:space="preserve">28. </w:t>
      </w:r>
      <w:r>
        <w:rPr>
          <w:rFonts w:ascii="Slabo 27px" w:eastAsia="Slabo 27px" w:hAnsi="Slabo 27px" w:cs="Slabo 27px"/>
          <w:sz w:val="24"/>
          <w:szCs w:val="24"/>
        </w:rPr>
        <w:tab/>
        <w:t>Paragraph 158 of the state party’s report sets out the legal position regar</w:t>
      </w:r>
      <w:r>
        <w:rPr>
          <w:rFonts w:ascii="Slabo 27px" w:eastAsia="Slabo 27px" w:hAnsi="Slabo 27px" w:cs="Slabo 27px"/>
          <w:sz w:val="24"/>
          <w:szCs w:val="24"/>
        </w:rPr>
        <w:t>ding the conferral of nationality by women, noting that Bahraini citizenship can only be conferred by women in the absence of information about the nationality of the father. While the government asserts that this is to prevent statelessness, paragraph 158</w:t>
      </w:r>
      <w:r>
        <w:rPr>
          <w:rFonts w:ascii="Slabo 27px" w:eastAsia="Slabo 27px" w:hAnsi="Slabo 27px" w:cs="Slabo 27px"/>
          <w:sz w:val="24"/>
          <w:szCs w:val="24"/>
        </w:rPr>
        <w:t xml:space="preserve"> cites the vague notion of “</w:t>
      </w:r>
      <w:r>
        <w:rPr>
          <w:rFonts w:ascii="Slabo 27px" w:eastAsia="Slabo 27px" w:hAnsi="Slabo 27px" w:cs="Slabo 27px"/>
          <w:i/>
          <w:sz w:val="24"/>
          <w:szCs w:val="24"/>
        </w:rPr>
        <w:t>preservation of State sovereignty</w:t>
      </w:r>
      <w:r>
        <w:rPr>
          <w:rFonts w:ascii="Slabo 27px" w:eastAsia="Slabo 27px" w:hAnsi="Slabo 27px" w:cs="Slabo 27px"/>
          <w:sz w:val="24"/>
          <w:szCs w:val="24"/>
        </w:rPr>
        <w:t>”in order to declare that women are not fit, of their own accord, to confer nationality. In the event of possible dual nationality in a legal framework which allows only one, it can be a matter f</w:t>
      </w:r>
      <w:r>
        <w:rPr>
          <w:rFonts w:ascii="Slabo 27px" w:eastAsia="Slabo 27px" w:hAnsi="Slabo 27px" w:cs="Slabo 27px"/>
          <w:sz w:val="24"/>
          <w:szCs w:val="24"/>
        </w:rPr>
        <w:t xml:space="preserve">or the child to decide upon the age of legal responsibility. This would be a principle that accords maximum freedom and rights to people while safeguarding state sovereignty. </w:t>
      </w:r>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 to:</w:t>
      </w:r>
    </w:p>
    <w:p w:rsidR="00F31580" w:rsidRDefault="00156FC1">
      <w:pPr>
        <w:numPr>
          <w:ilvl w:val="0"/>
          <w:numId w:val="3"/>
        </w:numPr>
        <w:spacing w:after="0" w:line="240" w:lineRule="auto"/>
        <w:ind w:left="1133"/>
        <w:jc w:val="both"/>
        <w:rPr>
          <w:rFonts w:ascii="Slabo 27px" w:eastAsia="Slabo 27px" w:hAnsi="Slabo 27px" w:cs="Slabo 27px"/>
          <w:b/>
          <w:i/>
          <w:sz w:val="24"/>
          <w:szCs w:val="24"/>
        </w:rPr>
      </w:pPr>
      <w:bookmarkStart w:id="99" w:name="_heading=h.3jtnz0s" w:colFirst="0" w:colLast="0"/>
      <w:bookmarkEnd w:id="99"/>
      <w:r>
        <w:rPr>
          <w:rFonts w:ascii="Slabo 27px" w:eastAsia="Slabo 27px" w:hAnsi="Slabo 27px" w:cs="Slabo 27px"/>
          <w:b/>
          <w:i/>
          <w:sz w:val="24"/>
          <w:szCs w:val="24"/>
        </w:rPr>
        <w:t xml:space="preserve">Urge the GoB to suspend the succession of half measures set out in the state party’s report, designed to express willingness to abide, editorially, to the terms of the Covenant, while not doing so, and to lift its reservation to Article 9 of the Covenant, </w:t>
      </w:r>
      <w:r>
        <w:rPr>
          <w:rFonts w:ascii="Slabo 27px" w:eastAsia="Slabo 27px" w:hAnsi="Slabo 27px" w:cs="Slabo 27px"/>
          <w:b/>
          <w:i/>
          <w:sz w:val="24"/>
          <w:szCs w:val="24"/>
        </w:rPr>
        <w:t xml:space="preserve">and, analogously, </w:t>
      </w:r>
    </w:p>
    <w:p w:rsidR="00F31580" w:rsidRDefault="00156FC1">
      <w:pPr>
        <w:numPr>
          <w:ilvl w:val="0"/>
          <w:numId w:val="3"/>
        </w:numPr>
        <w:spacing w:after="0" w:line="240" w:lineRule="auto"/>
        <w:ind w:left="1133"/>
        <w:jc w:val="both"/>
        <w:rPr>
          <w:rFonts w:ascii="Slabo 27px" w:eastAsia="Slabo 27px" w:hAnsi="Slabo 27px" w:cs="Slabo 27px"/>
          <w:b/>
          <w:i/>
          <w:sz w:val="24"/>
          <w:szCs w:val="24"/>
        </w:rPr>
      </w:pPr>
      <w:bookmarkStart w:id="100" w:name="_heading=h.1yyy98l" w:colFirst="0" w:colLast="0"/>
      <w:bookmarkEnd w:id="100"/>
      <w:r>
        <w:rPr>
          <w:rFonts w:ascii="Slabo 27px" w:eastAsia="Slabo 27px" w:hAnsi="Slabo 27px" w:cs="Slabo 27px"/>
          <w:b/>
          <w:i/>
          <w:sz w:val="24"/>
          <w:szCs w:val="24"/>
        </w:rPr>
        <w:t>Urge the government to end discrimination against women by allowing them to confer Bahraini citizenship to their children by way of an amendment in the Nationality Act and any other provision relating to the children.</w:t>
      </w:r>
    </w:p>
    <w:p w:rsidR="00F31580" w:rsidRDefault="00156FC1">
      <w:pPr>
        <w:pStyle w:val="Heading1"/>
        <w:spacing w:after="0" w:line="240" w:lineRule="auto"/>
        <w:jc w:val="both"/>
        <w:rPr>
          <w:rFonts w:ascii="Slabo 27px" w:eastAsia="Slabo 27px" w:hAnsi="Slabo 27px" w:cs="Slabo 27px"/>
          <w:sz w:val="28"/>
          <w:szCs w:val="28"/>
        </w:rPr>
      </w:pPr>
      <w:bookmarkStart w:id="101" w:name="_heading=h.2y3w247" w:colFirst="0" w:colLast="0"/>
      <w:bookmarkEnd w:id="101"/>
      <w:r>
        <w:rPr>
          <w:rFonts w:ascii="Slabo 27px" w:eastAsia="Slabo 27px" w:hAnsi="Slabo 27px" w:cs="Slabo 27px"/>
          <w:sz w:val="28"/>
          <w:szCs w:val="28"/>
        </w:rPr>
        <w:t>On Inheritance (Article 2 and 15 [reservations])</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ind w:left="1133" w:hanging="1133"/>
        <w:jc w:val="both"/>
        <w:rPr>
          <w:rFonts w:ascii="Slabo 27px" w:eastAsia="Slabo 27px" w:hAnsi="Slabo 27px" w:cs="Slabo 27px"/>
          <w:sz w:val="24"/>
          <w:szCs w:val="24"/>
        </w:rPr>
      </w:pPr>
      <w:r>
        <w:rPr>
          <w:rFonts w:ascii="Slabo 27px" w:eastAsia="Slabo 27px" w:hAnsi="Slabo 27px" w:cs="Slabo 27px"/>
          <w:sz w:val="24"/>
          <w:szCs w:val="24"/>
        </w:rPr>
        <w:t xml:space="preserve">29. </w:t>
      </w:r>
      <w:r>
        <w:rPr>
          <w:rFonts w:ascii="Slabo 27px" w:eastAsia="Slabo 27px" w:hAnsi="Slabo 27px" w:cs="Slabo 27px"/>
          <w:sz w:val="24"/>
          <w:szCs w:val="24"/>
        </w:rPr>
        <w:tab/>
        <w:t>As set out in paragraph 200 of the state party’s report, inheritance is regulated by religious denomination. As in other areas of civil law, this nevertheless remains a state decision and choice and th</w:t>
      </w:r>
      <w:r>
        <w:rPr>
          <w:rFonts w:ascii="Slabo 27px" w:eastAsia="Slabo 27px" w:hAnsi="Slabo 27px" w:cs="Slabo 27px"/>
          <w:sz w:val="24"/>
          <w:szCs w:val="24"/>
        </w:rPr>
        <w:t>e government can choose to impose state law over non-state Shari’a practice, as it does in the case of non-Muslims. As it stands, in inheritance the male gets twice as much as females.</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 to:</w:t>
      </w:r>
    </w:p>
    <w:p w:rsidR="00F31580" w:rsidRDefault="00156FC1">
      <w:pPr>
        <w:numPr>
          <w:ilvl w:val="0"/>
          <w:numId w:val="9"/>
        </w:numPr>
        <w:spacing w:after="0" w:line="240" w:lineRule="auto"/>
        <w:ind w:left="1133"/>
        <w:jc w:val="both"/>
        <w:rPr>
          <w:rFonts w:ascii="Slabo 27px" w:eastAsia="Slabo 27px" w:hAnsi="Slabo 27px" w:cs="Slabo 27px"/>
          <w:b/>
          <w:i/>
          <w:sz w:val="24"/>
          <w:szCs w:val="24"/>
        </w:rPr>
      </w:pPr>
      <w:r>
        <w:rPr>
          <w:rFonts w:ascii="Slabo 27px" w:eastAsia="Slabo 27px" w:hAnsi="Slabo 27px" w:cs="Slabo 27px"/>
          <w:b/>
          <w:i/>
          <w:sz w:val="24"/>
          <w:szCs w:val="24"/>
        </w:rPr>
        <w:t>Urge the GoB to actively a</w:t>
      </w:r>
      <w:r>
        <w:rPr>
          <w:rFonts w:ascii="Slabo 27px" w:eastAsia="Slabo 27px" w:hAnsi="Slabo 27px" w:cs="Slabo 27px"/>
          <w:b/>
          <w:i/>
          <w:sz w:val="24"/>
          <w:szCs w:val="24"/>
        </w:rPr>
        <w:t>nd publicly explore with faith communities the principle of gender equality in the case of inheritance, with a view to amending state law, and in line with the GoB’s self-professed intention to limit the scope of application of its reservations to the Cove</w:t>
      </w:r>
      <w:r>
        <w:rPr>
          <w:rFonts w:ascii="Slabo 27px" w:eastAsia="Slabo 27px" w:hAnsi="Slabo 27px" w:cs="Slabo 27px"/>
          <w:b/>
          <w:i/>
          <w:sz w:val="24"/>
          <w:szCs w:val="24"/>
        </w:rPr>
        <w:t xml:space="preserve">nant. </w:t>
      </w:r>
    </w:p>
    <w:p w:rsidR="00F31580" w:rsidRDefault="00156FC1">
      <w:pPr>
        <w:pStyle w:val="Heading1"/>
        <w:spacing w:after="0" w:line="240" w:lineRule="auto"/>
        <w:jc w:val="both"/>
        <w:rPr>
          <w:rFonts w:ascii="Slabo 27px" w:eastAsia="Slabo 27px" w:hAnsi="Slabo 27px" w:cs="Slabo 27px"/>
          <w:sz w:val="28"/>
          <w:szCs w:val="28"/>
        </w:rPr>
      </w:pPr>
      <w:bookmarkStart w:id="102" w:name="_heading=h.1d96cc0" w:colFirst="0" w:colLast="0"/>
      <w:bookmarkEnd w:id="102"/>
      <w:r>
        <w:rPr>
          <w:rFonts w:ascii="Slabo 27px" w:eastAsia="Slabo 27px" w:hAnsi="Slabo 27px" w:cs="Slabo 27px"/>
          <w:sz w:val="28"/>
          <w:szCs w:val="28"/>
        </w:rPr>
        <w:t>Matters arising in and from divorce (Articles 2 [reservation], 3, 5, 15 [reservation] and 16 [reservation])</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ind w:left="1133" w:hanging="1133"/>
        <w:jc w:val="both"/>
        <w:rPr>
          <w:rFonts w:ascii="Slabo 27px" w:eastAsia="Slabo 27px" w:hAnsi="Slabo 27px" w:cs="Slabo 27px"/>
          <w:sz w:val="24"/>
          <w:szCs w:val="24"/>
        </w:rPr>
      </w:pPr>
      <w:r>
        <w:rPr>
          <w:rFonts w:ascii="Slabo 27px" w:eastAsia="Slabo 27px" w:hAnsi="Slabo 27px" w:cs="Slabo 27px"/>
          <w:sz w:val="24"/>
          <w:szCs w:val="24"/>
        </w:rPr>
        <w:t xml:space="preserve">30. </w:t>
      </w:r>
      <w:r>
        <w:rPr>
          <w:rFonts w:ascii="Slabo 27px" w:eastAsia="Slabo 27px" w:hAnsi="Slabo 27px" w:cs="Slabo 27px"/>
          <w:sz w:val="24"/>
          <w:szCs w:val="24"/>
        </w:rPr>
        <w:tab/>
        <w:t>SALAM DHR and the RRC, echoing the Bahrain Centre for Human Rights, are concerned over restrictions imposed on women to seek divorce on</w:t>
      </w:r>
      <w:r>
        <w:rPr>
          <w:rFonts w:ascii="Slabo 27px" w:eastAsia="Slabo 27px" w:hAnsi="Slabo 27px" w:cs="Slabo 27px"/>
          <w:sz w:val="24"/>
          <w:szCs w:val="24"/>
        </w:rPr>
        <w:t xml:space="preserve"> the same terms as men, notably in respect to restrictions that may be linked to the marriage contract itself. This facet of a woman’s life is subject to GoB reservations on the application of the Covenant and constitutes an express decision by the GoB to </w:t>
      </w:r>
      <w:r>
        <w:rPr>
          <w:rFonts w:ascii="Slabo 27px" w:eastAsia="Slabo 27px" w:hAnsi="Slabo 27px" w:cs="Slabo 27px"/>
          <w:sz w:val="24"/>
          <w:szCs w:val="24"/>
        </w:rPr>
        <w:t>facilitate discrmination against women.</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ind w:left="1133" w:hanging="1133"/>
        <w:jc w:val="both"/>
        <w:rPr>
          <w:rFonts w:ascii="Slabo 27px" w:eastAsia="Slabo 27px" w:hAnsi="Slabo 27px" w:cs="Slabo 27px"/>
          <w:sz w:val="24"/>
          <w:szCs w:val="24"/>
        </w:rPr>
      </w:pPr>
      <w:r>
        <w:rPr>
          <w:rFonts w:ascii="Slabo 27px" w:eastAsia="Slabo 27px" w:hAnsi="Slabo 27px" w:cs="Slabo 27px"/>
          <w:sz w:val="24"/>
          <w:szCs w:val="24"/>
        </w:rPr>
        <w:t xml:space="preserve">31. </w:t>
      </w:r>
      <w:r>
        <w:rPr>
          <w:rFonts w:ascii="Slabo 27px" w:eastAsia="Slabo 27px" w:hAnsi="Slabo 27px" w:cs="Slabo 27px"/>
          <w:sz w:val="24"/>
          <w:szCs w:val="24"/>
        </w:rPr>
        <w:tab/>
        <w:t>In respect to the custody of children, SALAM DHR and RRC note that the state party’s report is silent, in the event of divorce. Bahraini family law recognizes the mother's right to custody of her children after</w:t>
      </w:r>
      <w:r>
        <w:rPr>
          <w:rFonts w:ascii="Slabo 27px" w:eastAsia="Slabo 27px" w:hAnsi="Slabo 27px" w:cs="Slabo 27px"/>
          <w:sz w:val="24"/>
          <w:szCs w:val="24"/>
        </w:rPr>
        <w:t xml:space="preserve"> divorce until they reach a certain age, designated as 15, where male and up to 17 or until marriage for females in respect to Sunni families; and up to 7 for a male or 9 for a female in the case of Ja’fari / Shi’a families. As put by the Bahrain Centre fo</w:t>
      </w:r>
      <w:r>
        <w:rPr>
          <w:rFonts w:ascii="Slabo 27px" w:eastAsia="Slabo 27px" w:hAnsi="Slabo 27px" w:cs="Slabo 27px"/>
          <w:sz w:val="24"/>
          <w:szCs w:val="24"/>
        </w:rPr>
        <w:t>r Human Rights in their alternative report, beyond these thresholds, children are given the choice of guardian, while judges also have the right to remove children from the custody of mothers following a remarriage.</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after="0" w:line="240" w:lineRule="auto"/>
        <w:jc w:val="both"/>
        <w:rPr>
          <w:rFonts w:ascii="Slabo 27px" w:eastAsia="Slabo 27px" w:hAnsi="Slabo 27px" w:cs="Slabo 27px"/>
          <w:b/>
          <w:i/>
          <w:sz w:val="24"/>
          <w:szCs w:val="24"/>
        </w:rPr>
      </w:pPr>
      <w:r>
        <w:rPr>
          <w:rFonts w:ascii="Slabo 27px" w:eastAsia="Slabo 27px" w:hAnsi="Slabo 27px" w:cs="Slabo 27px"/>
          <w:b/>
          <w:i/>
          <w:sz w:val="24"/>
          <w:szCs w:val="24"/>
        </w:rPr>
        <w:t>SALAM DHR and RRC call on the Committee</w:t>
      </w:r>
      <w:r>
        <w:rPr>
          <w:rFonts w:ascii="Slabo 27px" w:eastAsia="Slabo 27px" w:hAnsi="Slabo 27px" w:cs="Slabo 27px"/>
          <w:b/>
          <w:i/>
          <w:sz w:val="24"/>
          <w:szCs w:val="24"/>
        </w:rPr>
        <w:t xml:space="preserve"> to:</w:t>
      </w:r>
    </w:p>
    <w:p w:rsidR="00F31580" w:rsidRDefault="00156FC1">
      <w:pPr>
        <w:numPr>
          <w:ilvl w:val="0"/>
          <w:numId w:val="7"/>
        </w:numPr>
        <w:spacing w:after="0" w:line="240" w:lineRule="auto"/>
        <w:ind w:left="1133"/>
        <w:jc w:val="both"/>
        <w:rPr>
          <w:rFonts w:ascii="Slabo 27px" w:eastAsia="Slabo 27px" w:hAnsi="Slabo 27px" w:cs="Slabo 27px"/>
          <w:b/>
          <w:i/>
          <w:sz w:val="24"/>
          <w:szCs w:val="24"/>
        </w:rPr>
      </w:pPr>
      <w:r>
        <w:rPr>
          <w:rFonts w:ascii="Slabo 27px" w:eastAsia="Slabo 27px" w:hAnsi="Slabo 27px" w:cs="Slabo 27px"/>
          <w:b/>
          <w:i/>
          <w:sz w:val="24"/>
          <w:szCs w:val="24"/>
        </w:rPr>
        <w:t>Explore with the GoB the notion that a codified (secular) Personal Status Law, addressing, inter alia, divorce or child custody, could pave the way to outcomes more in line with the Covenant than in its absence.</w:t>
      </w:r>
    </w:p>
    <w:p w:rsidR="00F31580" w:rsidRDefault="00F31580">
      <w:pPr>
        <w:spacing w:after="0" w:line="240" w:lineRule="auto"/>
        <w:jc w:val="both"/>
        <w:rPr>
          <w:rFonts w:ascii="Slabo 27px" w:eastAsia="Slabo 27px" w:hAnsi="Slabo 27px" w:cs="Slabo 27px"/>
          <w:sz w:val="24"/>
          <w:szCs w:val="24"/>
        </w:rPr>
      </w:pPr>
    </w:p>
    <w:p w:rsidR="00F31580" w:rsidRDefault="00156FC1">
      <w:pPr>
        <w:spacing w:line="240" w:lineRule="auto"/>
        <w:jc w:val="both"/>
        <w:rPr>
          <w:rFonts w:ascii="Slabo 27px" w:eastAsia="Slabo 27px" w:hAnsi="Slabo 27px" w:cs="Slabo 27px"/>
          <w:sz w:val="20"/>
          <w:szCs w:val="20"/>
        </w:rPr>
      </w:pPr>
      <w:r>
        <w:rPr>
          <w:rFonts w:ascii="Slabo 27px" w:eastAsia="Slabo 27px" w:hAnsi="Slabo 27px" w:cs="Slabo 27px"/>
          <w:sz w:val="20"/>
          <w:szCs w:val="20"/>
        </w:rPr>
        <w:t>//end//</w:t>
      </w:r>
    </w:p>
    <w:sectPr w:rsidR="00F31580">
      <w:headerReference w:type="default" r:id="rId15"/>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6FC1">
      <w:pPr>
        <w:spacing w:after="0" w:line="240" w:lineRule="auto"/>
      </w:pPr>
      <w:r>
        <w:separator/>
      </w:r>
    </w:p>
  </w:endnote>
  <w:endnote w:type="continuationSeparator" w:id="0">
    <w:p w:rsidR="00000000" w:rsidRDefault="0015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labo 27px">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6FC1">
      <w:pPr>
        <w:spacing w:after="0" w:line="240" w:lineRule="auto"/>
      </w:pPr>
      <w:r>
        <w:separator/>
      </w:r>
    </w:p>
  </w:footnote>
  <w:footnote w:type="continuationSeparator" w:id="0">
    <w:p w:rsidR="00000000" w:rsidRDefault="00156FC1">
      <w:pPr>
        <w:spacing w:after="0" w:line="240" w:lineRule="auto"/>
      </w:pPr>
      <w:r>
        <w:continuationSeparator/>
      </w:r>
    </w:p>
  </w:footnote>
  <w:footnote w:id="1">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Drewery Dyke, Lena Haytham, Amy Whittle and Reem Zouheiry (in alphabetical order) prepared this text on behalf of Salam for Democracy and Human Rights; Drewery Dyke added comments on behalf of Rights Realization Centre</w:t>
      </w:r>
    </w:p>
  </w:footnote>
  <w:footnote w:id="2">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The GoB submitted its report for cycle IV on 1 March 2018. Referenced CEDAW/C/BHR/4, it can be accessed at </w:t>
      </w:r>
      <w:hyperlink r:id="rId1">
        <w:r>
          <w:rPr>
            <w:rFonts w:ascii="Slabo 27px" w:eastAsia="Slabo 27px" w:hAnsi="Slabo 27px" w:cs="Slabo 27px"/>
            <w:color w:val="1155CC"/>
            <w:sz w:val="20"/>
            <w:szCs w:val="20"/>
            <w:u w:val="single"/>
          </w:rPr>
          <w:t>http://bit.ly/BahCEDAW2018</w:t>
        </w:r>
      </w:hyperlink>
      <w:r>
        <w:rPr>
          <w:rFonts w:ascii="Slabo 27px" w:eastAsia="Slabo 27px" w:hAnsi="Slabo 27px" w:cs="Slabo 27px"/>
          <w:sz w:val="20"/>
          <w:szCs w:val="20"/>
        </w:rPr>
        <w:t xml:space="preserve"> </w:t>
      </w:r>
    </w:p>
  </w:footnote>
  <w:footnote w:id="3">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In relation to the state party’s engagement with parliament, see, inter alia, paragraph 42 of the state party’s report,  dated 1 March 2018. Referenced CEDAW/C/BHR/4, it can be accessed at </w:t>
      </w:r>
      <w:hyperlink r:id="rId2">
        <w:r>
          <w:rPr>
            <w:rFonts w:ascii="Slabo 27px" w:eastAsia="Slabo 27px" w:hAnsi="Slabo 27px" w:cs="Slabo 27px"/>
            <w:color w:val="1155CC"/>
            <w:sz w:val="20"/>
            <w:szCs w:val="20"/>
            <w:u w:val="single"/>
          </w:rPr>
          <w:t>http://bit.ly/BahCEDAW2018</w:t>
        </w:r>
      </w:hyperlink>
      <w:r>
        <w:rPr>
          <w:rFonts w:ascii="Slabo 27px" w:eastAsia="Slabo 27px" w:hAnsi="Slabo 27px" w:cs="Slabo 27px"/>
          <w:sz w:val="20"/>
          <w:szCs w:val="20"/>
        </w:rPr>
        <w:t>, accessed 20 May 2021</w:t>
      </w:r>
    </w:p>
  </w:footnote>
  <w:footnote w:id="4">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See: Inter-Parliamentary Union (IPU) and its January 2020 Human Rights Decision in relation to Jawad Fairooz and Matar Matar, the document of which can be accessed at: </w:t>
      </w:r>
      <w:hyperlink r:id="rId3">
        <w:r>
          <w:rPr>
            <w:rFonts w:ascii="Slabo 27px" w:eastAsia="Slabo 27px" w:hAnsi="Slabo 27px" w:cs="Slabo 27px"/>
            <w:color w:val="1155CC"/>
            <w:sz w:val="20"/>
            <w:szCs w:val="20"/>
            <w:u w:val="single"/>
          </w:rPr>
          <w:t>https://www.ipu.org/file/8793/download</w:t>
        </w:r>
      </w:hyperlink>
      <w:r>
        <w:rPr>
          <w:rFonts w:ascii="Slabo 27px" w:eastAsia="Slabo 27px" w:hAnsi="Slabo 27px" w:cs="Slabo 27px"/>
          <w:sz w:val="20"/>
          <w:szCs w:val="20"/>
        </w:rPr>
        <w:t xml:space="preserve">  (note: this takes you to a downloadable file). The case of Jawad Fairooz is also addressed at: </w:t>
      </w:r>
      <w:hyperlink r:id="rId4">
        <w:r>
          <w:rPr>
            <w:rFonts w:ascii="Slabo 27px" w:eastAsia="Slabo 27px" w:hAnsi="Slabo 27px" w:cs="Slabo 27px"/>
            <w:color w:val="1155CC"/>
            <w:sz w:val="20"/>
            <w:szCs w:val="20"/>
            <w:u w:val="single"/>
          </w:rPr>
          <w:t>https://www.ipu.org/news/features/human-rights-cases/2014-05/jawad-fairooz-bahrain</w:t>
        </w:r>
      </w:hyperlink>
      <w:r>
        <w:rPr>
          <w:rFonts w:ascii="Slabo 27px" w:eastAsia="Slabo 27px" w:hAnsi="Slabo 27px" w:cs="Slabo 27px"/>
          <w:sz w:val="20"/>
          <w:szCs w:val="20"/>
        </w:rPr>
        <w:t xml:space="preserve">  and the matter is titled:  Decision adopted by the Committee on the Human Rights of Parliamentarians at its 158th session (Geneva, 8 February 2019), re BHR03 - M</w:t>
      </w:r>
      <w:r>
        <w:rPr>
          <w:rFonts w:ascii="Slabo 27px" w:eastAsia="Slabo 27px" w:hAnsi="Slabo 27px" w:cs="Slabo 27px"/>
          <w:sz w:val="20"/>
          <w:szCs w:val="20"/>
        </w:rPr>
        <w:t>atar Ebrahim Matar and  BHR04 - Jawad Fairooz Ghuloom. The IPU states that the alleged human rights violations were: Torture, ill-treatment and other acts of violence; Arbitrary arrest and detention; Lack of fair-trial proceedings and Other violations: unl</w:t>
      </w:r>
      <w:r>
        <w:rPr>
          <w:rFonts w:ascii="Slabo 27px" w:eastAsia="Slabo 27px" w:hAnsi="Slabo 27px" w:cs="Slabo 27px"/>
          <w:sz w:val="20"/>
          <w:szCs w:val="20"/>
        </w:rPr>
        <w:t>awful revocation of citizenship.</w:t>
      </w:r>
    </w:p>
  </w:footnote>
  <w:footnote w:id="5">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Amnesty International, (Annual) Report 2017/18 - Bahrain, 22 February 2018; accessed via Refworld, at </w:t>
      </w:r>
      <w:hyperlink r:id="rId5">
        <w:r>
          <w:rPr>
            <w:rFonts w:ascii="Slabo 27px" w:eastAsia="Slabo 27px" w:hAnsi="Slabo 27px" w:cs="Slabo 27px"/>
            <w:color w:val="1155CC"/>
            <w:sz w:val="20"/>
            <w:szCs w:val="20"/>
            <w:u w:val="single"/>
          </w:rPr>
          <w:t>https://www.refworld.</w:t>
        </w:r>
        <w:r>
          <w:rPr>
            <w:rFonts w:ascii="Slabo 27px" w:eastAsia="Slabo 27px" w:hAnsi="Slabo 27px" w:cs="Slabo 27px"/>
            <w:color w:val="1155CC"/>
            <w:sz w:val="20"/>
            <w:szCs w:val="20"/>
            <w:u w:val="single"/>
          </w:rPr>
          <w:t>org/country,,,ANNUALREPORT,BHR,4562d8cf2,5a99394c4,0.html</w:t>
        </w:r>
      </w:hyperlink>
      <w:r>
        <w:rPr>
          <w:rFonts w:ascii="Slabo 27px" w:eastAsia="Slabo 27px" w:hAnsi="Slabo 27px" w:cs="Slabo 27px"/>
          <w:sz w:val="20"/>
          <w:szCs w:val="20"/>
        </w:rPr>
        <w:t xml:space="preserve"> , accessed 20 May 2021.</w:t>
      </w:r>
    </w:p>
  </w:footnote>
  <w:footnote w:id="6">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International Labour Organisation: Committee of Experts on the Application of Conventions and Recommendation, Discrimination (Employment and Occupation) Convention, 1958 (N</w:t>
      </w:r>
      <w:r>
        <w:rPr>
          <w:rFonts w:ascii="Slabo 27px" w:eastAsia="Slabo 27px" w:hAnsi="Slabo 27px" w:cs="Slabo 27px"/>
          <w:sz w:val="20"/>
          <w:szCs w:val="20"/>
        </w:rPr>
        <w:t xml:space="preserve">o. 111), response to Direct request (CEACR), adopted 2018, published 108th ILC session (2019), at: </w:t>
      </w:r>
      <w:hyperlink r:id="rId6">
        <w:r>
          <w:rPr>
            <w:rFonts w:ascii="Slabo 27px" w:eastAsia="Slabo 27px" w:hAnsi="Slabo 27px" w:cs="Slabo 27px"/>
            <w:color w:val="1155CC"/>
            <w:sz w:val="20"/>
            <w:szCs w:val="20"/>
            <w:u w:val="single"/>
          </w:rPr>
          <w:t>https://www.ilo.org/dyn/normlex/en/f?p=NORMLEXPUB</w:t>
        </w:r>
        <w:r>
          <w:rPr>
            <w:rFonts w:ascii="Slabo 27px" w:eastAsia="Slabo 27px" w:hAnsi="Slabo 27px" w:cs="Slabo 27px"/>
            <w:color w:val="1155CC"/>
            <w:sz w:val="20"/>
            <w:szCs w:val="20"/>
            <w:u w:val="single"/>
          </w:rPr>
          <w:t>:13100:0::NO::P13100_COMMENT_ID:3962136</w:t>
        </w:r>
      </w:hyperlink>
      <w:r>
        <w:rPr>
          <w:rFonts w:ascii="Slabo 27px" w:eastAsia="Slabo 27px" w:hAnsi="Slabo 27px" w:cs="Slabo 27px"/>
          <w:sz w:val="20"/>
          <w:szCs w:val="20"/>
        </w:rPr>
        <w:t xml:space="preserve"> , accessed 20 May 2021</w:t>
      </w:r>
    </w:p>
  </w:footnote>
  <w:footnote w:id="7">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United Nations: Human Rights Committee - Concluding observations on the initial report of Bahrain (CCPR/C/BHR/1), UN reference CCPR/C/BHR/CO/1, 15 November 2018, at: </w:t>
      </w:r>
      <w:hyperlink r:id="rId7">
        <w:r>
          <w:rPr>
            <w:rFonts w:ascii="Slabo 27px" w:eastAsia="Slabo 27px" w:hAnsi="Slabo 27px" w:cs="Slabo 27px"/>
            <w:color w:val="1155CC"/>
            <w:sz w:val="20"/>
            <w:szCs w:val="20"/>
            <w:u w:val="single"/>
          </w:rPr>
          <w:t>http://bit.ly/BH-CCPR-2018</w:t>
        </w:r>
      </w:hyperlink>
      <w:r>
        <w:rPr>
          <w:rFonts w:ascii="Slabo 27px" w:eastAsia="Slabo 27px" w:hAnsi="Slabo 27px" w:cs="Slabo 27px"/>
          <w:sz w:val="20"/>
          <w:szCs w:val="20"/>
        </w:rPr>
        <w:t xml:space="preserve"> , accessed 21 May 2021</w:t>
      </w:r>
    </w:p>
  </w:footnote>
  <w:footnote w:id="8">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See the undated page at </w:t>
      </w:r>
      <w:hyperlink r:id="rId8">
        <w:r>
          <w:rPr>
            <w:rFonts w:ascii="Slabo 27px" w:eastAsia="Slabo 27px" w:hAnsi="Slabo 27px" w:cs="Slabo 27px"/>
            <w:color w:val="1155CC"/>
            <w:sz w:val="20"/>
            <w:szCs w:val="20"/>
            <w:u w:val="single"/>
          </w:rPr>
          <w:t>https://evaw-global-database.unwomen.org/en/countries/asia/bahrain</w:t>
        </w:r>
      </w:hyperlink>
      <w:r>
        <w:rPr>
          <w:rFonts w:ascii="Slabo 27px" w:eastAsia="Slabo 27px" w:hAnsi="Slabo 27px" w:cs="Slabo 27px"/>
          <w:sz w:val="20"/>
          <w:szCs w:val="20"/>
        </w:rPr>
        <w:t xml:space="preserve"> , acce</w:t>
      </w:r>
      <w:r>
        <w:rPr>
          <w:rFonts w:ascii="Slabo 27px" w:eastAsia="Slabo 27px" w:hAnsi="Slabo 27px" w:cs="Slabo 27px"/>
          <w:sz w:val="20"/>
          <w:szCs w:val="20"/>
        </w:rPr>
        <w:t>ssed 23 May 2021</w:t>
      </w:r>
    </w:p>
  </w:footnote>
  <w:footnote w:id="9">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Cited as taken from Vol. 28, Issues, see the undated link: </w:t>
      </w:r>
      <w:hyperlink r:id="rId9">
        <w:r>
          <w:rPr>
            <w:rFonts w:ascii="Slabo 27px" w:eastAsia="Slabo 27px" w:hAnsi="Slabo 27px" w:cs="Slabo 27px"/>
            <w:color w:val="1155CC"/>
            <w:sz w:val="20"/>
            <w:szCs w:val="20"/>
            <w:u w:val="single"/>
          </w:rPr>
          <w:t>https://www.seronijihou.com/article/prevalence-of-domestic-violence-associated-risk-factors-among-adult-females-att</w:t>
        </w:r>
        <w:r>
          <w:rPr>
            <w:rFonts w:ascii="Slabo 27px" w:eastAsia="Slabo 27px" w:hAnsi="Slabo 27px" w:cs="Slabo 27px"/>
            <w:color w:val="1155CC"/>
            <w:sz w:val="20"/>
            <w:szCs w:val="20"/>
            <w:u w:val="single"/>
          </w:rPr>
          <w:t>ending-primary-care-in-the-kingdom-of-bahrain</w:t>
        </w:r>
      </w:hyperlink>
      <w:r>
        <w:rPr>
          <w:rFonts w:ascii="Slabo 27px" w:eastAsia="Slabo 27px" w:hAnsi="Slabo 27px" w:cs="Slabo 27px"/>
          <w:sz w:val="20"/>
          <w:szCs w:val="20"/>
        </w:rPr>
        <w:t xml:space="preserve"> accessed 23 May 2021. The article is scheduled for publication on 12 June 2021.</w:t>
      </w:r>
    </w:p>
    <w:p w:rsidR="00F31580" w:rsidRDefault="00F31580">
      <w:pPr>
        <w:spacing w:after="0" w:line="240" w:lineRule="auto"/>
        <w:rPr>
          <w:sz w:val="20"/>
          <w:szCs w:val="20"/>
        </w:rPr>
      </w:pPr>
    </w:p>
  </w:footnote>
  <w:footnote w:id="10">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See the undated </w:t>
      </w:r>
      <w:r>
        <w:rPr>
          <w:rFonts w:ascii="Slabo 27px" w:eastAsia="Slabo 27px" w:hAnsi="Slabo 27px" w:cs="Slabo 27px"/>
          <w:sz w:val="20"/>
          <w:szCs w:val="20"/>
        </w:rPr>
        <w:t xml:space="preserve">text at: </w:t>
      </w:r>
      <w:hyperlink r:id="rId10">
        <w:r>
          <w:rPr>
            <w:rFonts w:ascii="Slabo 27px" w:eastAsia="Slabo 27px" w:hAnsi="Slabo 27px" w:cs="Slabo 27px"/>
            <w:color w:val="1155CC"/>
            <w:sz w:val="20"/>
            <w:szCs w:val="20"/>
            <w:u w:val="single"/>
          </w:rPr>
          <w:t>http://bit.ly/SR-HRD</w:t>
        </w:r>
      </w:hyperlink>
      <w:r>
        <w:rPr>
          <w:rFonts w:ascii="Slabo 27px" w:eastAsia="Slabo 27px" w:hAnsi="Slabo 27px" w:cs="Slabo 27px"/>
          <w:sz w:val="20"/>
          <w:szCs w:val="20"/>
        </w:rPr>
        <w:t xml:space="preserve"> , accessed 23 May 2021</w:t>
      </w:r>
    </w:p>
  </w:footnote>
  <w:footnote w:id="11">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See the undated text at: </w:t>
      </w:r>
      <w:hyperlink r:id="rId11">
        <w:r>
          <w:rPr>
            <w:rFonts w:ascii="Slabo 27px" w:eastAsia="Slabo 27px" w:hAnsi="Slabo 27px" w:cs="Slabo 27px"/>
            <w:color w:val="1155CC"/>
            <w:sz w:val="20"/>
            <w:szCs w:val="20"/>
            <w:u w:val="single"/>
          </w:rPr>
          <w:t>https://www.ohchr.org/EN/Issues/SRHRDefenders/Pages</w:t>
        </w:r>
        <w:r>
          <w:rPr>
            <w:rFonts w:ascii="Slabo 27px" w:eastAsia="Slabo 27px" w:hAnsi="Slabo 27px" w:cs="Slabo 27px"/>
            <w:color w:val="1155CC"/>
            <w:sz w:val="20"/>
            <w:szCs w:val="20"/>
            <w:u w:val="single"/>
          </w:rPr>
          <w:t>/Defender.aspx</w:t>
        </w:r>
      </w:hyperlink>
      <w:r>
        <w:rPr>
          <w:rFonts w:ascii="Slabo 27px" w:eastAsia="Slabo 27px" w:hAnsi="Slabo 27px" w:cs="Slabo 27px"/>
          <w:sz w:val="20"/>
          <w:szCs w:val="20"/>
        </w:rPr>
        <w:t>, accessed 23 May 2021</w:t>
      </w:r>
    </w:p>
  </w:footnote>
  <w:footnote w:id="12">
    <w:p w:rsidR="00F31580" w:rsidRDefault="00156FC1">
      <w:pPr>
        <w:spacing w:after="0" w:line="240" w:lineRule="auto"/>
        <w:rPr>
          <w:rFonts w:ascii="Slabo 27px" w:eastAsia="Slabo 27px" w:hAnsi="Slabo 27px" w:cs="Slabo 27px"/>
          <w:sz w:val="20"/>
          <w:szCs w:val="20"/>
        </w:rPr>
      </w:pPr>
      <w:r>
        <w:rPr>
          <w:vertAlign w:val="superscript"/>
        </w:rPr>
        <w:footnoteRef/>
      </w:r>
      <w:r>
        <w:rPr>
          <w:rFonts w:ascii="Slabo 27px" w:eastAsia="Slabo 27px" w:hAnsi="Slabo 27px" w:cs="Slabo 27px"/>
          <w:sz w:val="20"/>
          <w:szCs w:val="20"/>
        </w:rPr>
        <w:t xml:space="preserve"> Concluding observations on the second and third periodic reports of Bahrain (CAT/C/BHR/2 and CAT/C/BHR/3), UN reference CAT/C/BHR/CO/2-3, 29 May 2017, at </w:t>
      </w:r>
      <w:hyperlink r:id="rId12">
        <w:r>
          <w:rPr>
            <w:rFonts w:ascii="Slabo 27px" w:eastAsia="Slabo 27px" w:hAnsi="Slabo 27px" w:cs="Slabo 27px"/>
            <w:color w:val="1155CC"/>
            <w:sz w:val="20"/>
            <w:szCs w:val="20"/>
            <w:u w:val="single"/>
          </w:rPr>
          <w:t>https://bit.ly/BH-CAT2017</w:t>
        </w:r>
      </w:hyperlink>
      <w:r>
        <w:rPr>
          <w:rFonts w:ascii="Slabo 27px" w:eastAsia="Slabo 27px" w:hAnsi="Slabo 27px" w:cs="Slabo 27px"/>
          <w:sz w:val="20"/>
          <w:szCs w:val="20"/>
        </w:rPr>
        <w:t xml:space="preserve"> , accessed 23 May 2021. For example, paragraph 9 states that [The State party should]:</w:t>
      </w:r>
      <w:r>
        <w:rPr>
          <w:rFonts w:ascii="Slabo 27px" w:eastAsia="Slabo 27px" w:hAnsi="Slabo 27px" w:cs="Slabo 27px"/>
          <w:i/>
          <w:sz w:val="20"/>
          <w:szCs w:val="20"/>
        </w:rPr>
        <w:t>(b) Strengthen measures to prevent acts of torture and ill-treatment in all places where persons are deprived of their liberty</w:t>
      </w:r>
      <w:r>
        <w:rPr>
          <w:rFonts w:ascii="Slabo 27px" w:eastAsia="Slabo 27px" w:hAnsi="Slabo 27px" w:cs="Slabo 27px"/>
          <w:sz w:val="20"/>
          <w:szCs w:val="20"/>
        </w:rPr>
        <w:t>; [and] (</w:t>
      </w:r>
      <w:r>
        <w:rPr>
          <w:rFonts w:ascii="Slabo 27px" w:eastAsia="Slabo 27px" w:hAnsi="Slabo 27px" w:cs="Slabo 27px"/>
          <w:i/>
          <w:sz w:val="20"/>
          <w:szCs w:val="20"/>
        </w:rPr>
        <w:t>c) Take v</w:t>
      </w:r>
      <w:r>
        <w:rPr>
          <w:rFonts w:ascii="Slabo 27px" w:eastAsia="Slabo 27px" w:hAnsi="Slabo 27px" w:cs="Slabo 27px"/>
          <w:i/>
          <w:sz w:val="20"/>
          <w:szCs w:val="20"/>
        </w:rPr>
        <w:t>igorous measures to eliminate impunity for acts of torture by holding alleged perpetrators accountable for such acts</w:t>
      </w:r>
      <w:r>
        <w:rPr>
          <w:rFonts w:ascii="Slabo 27px" w:eastAsia="Slabo 27px" w:hAnsi="Slabo 27px" w:cs="Slabo 27px"/>
          <w:sz w:val="20"/>
          <w:szCs w:val="20"/>
        </w:rPr>
        <w:t xml:space="preserve">. Paragraph 23 urges the GoB to </w:t>
      </w:r>
      <w:r>
        <w:rPr>
          <w:rFonts w:ascii="Slabo 27px" w:eastAsia="Slabo 27px" w:hAnsi="Slabo 27px" w:cs="Slabo 27px"/>
          <w:i/>
          <w:sz w:val="20"/>
          <w:szCs w:val="20"/>
        </w:rPr>
        <w:t>(d) Allow independent monitoring bodies, including international bodies, to carry out regular unannounced vi</w:t>
      </w:r>
      <w:r>
        <w:rPr>
          <w:rFonts w:ascii="Slabo 27px" w:eastAsia="Slabo 27px" w:hAnsi="Slabo 27px" w:cs="Slabo 27px"/>
          <w:i/>
          <w:sz w:val="20"/>
          <w:szCs w:val="20"/>
        </w:rPr>
        <w:t>sits to all places of detention and to meet in private with detained persons</w:t>
      </w:r>
      <w:r>
        <w:rPr>
          <w:rFonts w:ascii="Slabo 27px" w:eastAsia="Slabo 27px" w:hAnsi="Slabo 27px" w:cs="Slabo 27px"/>
          <w:sz w:val="20"/>
          <w:szCs w:val="20"/>
        </w:rPr>
        <w:t>. Recent measures do not do not even these, despite having been tabled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80" w:rsidRDefault="00156FC1">
    <w:pPr>
      <w:spacing w:after="0" w:line="240" w:lineRule="auto"/>
      <w:jc w:val="right"/>
      <w:rPr>
        <w:rFonts w:ascii="Slabo 27px" w:eastAsia="Slabo 27px" w:hAnsi="Slabo 27px" w:cs="Slabo 27px"/>
      </w:rPr>
    </w:pPr>
    <w:r>
      <w:rPr>
        <w:rFonts w:ascii="Slabo 27px" w:eastAsia="Slabo 27px" w:hAnsi="Slabo 27px" w:cs="Slabo 27px"/>
      </w:rPr>
      <w:fldChar w:fldCharType="begin"/>
    </w:r>
    <w:r>
      <w:rPr>
        <w:rFonts w:ascii="Slabo 27px" w:eastAsia="Slabo 27px" w:hAnsi="Slabo 27px" w:cs="Slabo 27px"/>
      </w:rPr>
      <w:instrText>PAGE</w:instrText>
    </w:r>
    <w:r>
      <w:rPr>
        <w:rFonts w:ascii="Slabo 27px" w:eastAsia="Slabo 27px" w:hAnsi="Slabo 27px" w:cs="Slabo 27px"/>
      </w:rPr>
      <w:fldChar w:fldCharType="separate"/>
    </w:r>
    <w:r>
      <w:rPr>
        <w:rFonts w:ascii="Slabo 27px" w:eastAsia="Slabo 27px" w:hAnsi="Slabo 27px" w:cs="Slabo 27px"/>
        <w:noProof/>
      </w:rPr>
      <w:t>1</w:t>
    </w:r>
    <w:r>
      <w:rPr>
        <w:rFonts w:ascii="Slabo 27px" w:eastAsia="Slabo 27px" w:hAnsi="Slabo 27px" w:cs="Slabo 27p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5BE"/>
    <w:multiLevelType w:val="multilevel"/>
    <w:tmpl w:val="349A5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B0397"/>
    <w:multiLevelType w:val="multilevel"/>
    <w:tmpl w:val="BDB09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4C6476"/>
    <w:multiLevelType w:val="multilevel"/>
    <w:tmpl w:val="AD0C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6440D"/>
    <w:multiLevelType w:val="multilevel"/>
    <w:tmpl w:val="D0E2F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75A55"/>
    <w:multiLevelType w:val="multilevel"/>
    <w:tmpl w:val="9412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17779"/>
    <w:multiLevelType w:val="multilevel"/>
    <w:tmpl w:val="6C486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B01C98"/>
    <w:multiLevelType w:val="multilevel"/>
    <w:tmpl w:val="52D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D7225"/>
    <w:multiLevelType w:val="multilevel"/>
    <w:tmpl w:val="6906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0F0547"/>
    <w:multiLevelType w:val="multilevel"/>
    <w:tmpl w:val="6B1EF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B81E2B"/>
    <w:multiLevelType w:val="multilevel"/>
    <w:tmpl w:val="3FB8D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80429B"/>
    <w:multiLevelType w:val="multilevel"/>
    <w:tmpl w:val="CE6A6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9"/>
  </w:num>
  <w:num w:numId="5">
    <w:abstractNumId w:val="8"/>
  </w:num>
  <w:num w:numId="6">
    <w:abstractNumId w:val="10"/>
  </w:num>
  <w:num w:numId="7">
    <w:abstractNumId w:val="3"/>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0"/>
    <w:rsid w:val="00156FC1"/>
    <w:rsid w:val="00F3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5C5D-A486-4CFB-A05E-D75C9063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lam-dhr.org/?p=4452"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ldcoali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cus.org/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lam-dhr.org/?page_id=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results?search_query=Tinder%2C+Sailor%2C+Hooker%2C+Pim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vaw-global-database.unwomen.org/en/countries/asia/bahrain" TargetMode="External"/><Relationship Id="rId3" Type="http://schemas.openxmlformats.org/officeDocument/2006/relationships/hyperlink" Target="https://www.ipu.org/file/8793/download" TargetMode="External"/><Relationship Id="rId7" Type="http://schemas.openxmlformats.org/officeDocument/2006/relationships/hyperlink" Target="http://bit.ly/BH-CCPR-2018" TargetMode="External"/><Relationship Id="rId12" Type="http://schemas.openxmlformats.org/officeDocument/2006/relationships/hyperlink" Target="https://bit.ly/BH-CAT2017" TargetMode="External"/><Relationship Id="rId2" Type="http://schemas.openxmlformats.org/officeDocument/2006/relationships/hyperlink" Target="http://bit.ly/BahCEDAW2018" TargetMode="External"/><Relationship Id="rId1" Type="http://schemas.openxmlformats.org/officeDocument/2006/relationships/hyperlink" Target="http://bit.ly/BahCEDAW2018" TargetMode="External"/><Relationship Id="rId6" Type="http://schemas.openxmlformats.org/officeDocument/2006/relationships/hyperlink" Target="https://www.ilo.org/dyn/normlex/en/f?p=NORMLEXPUB:13100:0::NO::P13100_COMMENT_ID:3962136" TargetMode="External"/><Relationship Id="rId11" Type="http://schemas.openxmlformats.org/officeDocument/2006/relationships/hyperlink" Target="https://www.ohchr.org/EN/Issues/SRHRDefenders/Pages/Defender.aspx" TargetMode="External"/><Relationship Id="rId5" Type="http://schemas.openxmlformats.org/officeDocument/2006/relationships/hyperlink" Target="https://www.refworld.org/country,,,ANNUALREPORT,BHR,4562d8cf2,5a99394c4,0.html" TargetMode="External"/><Relationship Id="rId10" Type="http://schemas.openxmlformats.org/officeDocument/2006/relationships/hyperlink" Target="http://bit.ly/SR-HRD" TargetMode="External"/><Relationship Id="rId4" Type="http://schemas.openxmlformats.org/officeDocument/2006/relationships/hyperlink" Target="https://www.ipu.org/news/features/human-rights-cases/2014-05/jawad-fairooz-bahrain" TargetMode="External"/><Relationship Id="rId9" Type="http://schemas.openxmlformats.org/officeDocument/2006/relationships/hyperlink" Target="https://www.seronijihou.com/article/prevalence-of-domestic-violence-associated-risk-factors-among-adult-females-attending-primary-care-in-the-kingdom-of-bah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ZV8y9RbqtTJyD4WnmTcVH2xkQ==">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254C135-0BEF-44D4-9BF0-D70748D19462}"/>
</file>

<file path=customXml/itemProps3.xml><?xml version="1.0" encoding="utf-8"?>
<ds:datastoreItem xmlns:ds="http://schemas.openxmlformats.org/officeDocument/2006/customXml" ds:itemID="{7C5CF890-8C6B-493A-9761-31D1D64BA7B5}"/>
</file>

<file path=customXml/itemProps4.xml><?xml version="1.0" encoding="utf-8"?>
<ds:datastoreItem xmlns:ds="http://schemas.openxmlformats.org/officeDocument/2006/customXml" ds:itemID="{FE086221-91A5-41EB-B4A2-31E018C21FA7}"/>
</file>

<file path=docProps/app.xml><?xml version="1.0" encoding="utf-8"?>
<Properties xmlns="http://schemas.openxmlformats.org/officeDocument/2006/extended-properties" xmlns:vt="http://schemas.openxmlformats.org/officeDocument/2006/docPropsVTypes">
  <Template>Normal.dotm</Template>
  <TotalTime>5</TotalTime>
  <Pages>12</Pages>
  <Words>4884</Words>
  <Characters>27842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SEERATHUN Jamila</dc:creator>
  <cp:lastModifiedBy>SEERATHUN Jamila</cp:lastModifiedBy>
  <cp:revision>2</cp:revision>
  <dcterms:created xsi:type="dcterms:W3CDTF">2021-07-23T08:26:00Z</dcterms:created>
  <dcterms:modified xsi:type="dcterms:W3CDTF">2021-07-23T08:26:00Z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