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726AF" w14:textId="77777777" w:rsidR="00C05D9B" w:rsidRPr="004B1E4E" w:rsidRDefault="00C05D9B" w:rsidP="00626C39">
      <w:pPr>
        <w:rPr>
          <w:color w:val="auto"/>
          <w:sz w:val="24"/>
          <w:szCs w:val="24"/>
        </w:rPr>
      </w:pPr>
    </w:p>
    <w:p w14:paraId="3C33CF95" w14:textId="77777777" w:rsidR="005403E3" w:rsidRPr="004B1E4E" w:rsidRDefault="005403E3" w:rsidP="00626C39">
      <w:pPr>
        <w:rPr>
          <w:color w:val="auto"/>
          <w:sz w:val="24"/>
          <w:szCs w:val="24"/>
        </w:rPr>
      </w:pPr>
    </w:p>
    <w:p w14:paraId="2AAF4FF6" w14:textId="77777777" w:rsidR="005403E3" w:rsidRPr="004B1E4E" w:rsidRDefault="005403E3" w:rsidP="00626C39">
      <w:pPr>
        <w:rPr>
          <w:color w:val="auto"/>
          <w:sz w:val="24"/>
          <w:szCs w:val="24"/>
        </w:rPr>
      </w:pPr>
    </w:p>
    <w:p w14:paraId="229B5920" w14:textId="3979B1A0" w:rsidR="00266AA3" w:rsidRDefault="3B0EFD26" w:rsidP="6E67D825">
      <w:pPr>
        <w:jc w:val="center"/>
        <w:rPr>
          <w:b/>
          <w:bCs/>
          <w:sz w:val="24"/>
          <w:szCs w:val="24"/>
        </w:rPr>
      </w:pPr>
      <w:r w:rsidRPr="6E67D825">
        <w:rPr>
          <w:b/>
          <w:bCs/>
          <w:sz w:val="24"/>
          <w:szCs w:val="24"/>
        </w:rPr>
        <w:t>Honduras’</w:t>
      </w:r>
      <w:r w:rsidR="004B1E4E" w:rsidRPr="6E67D825">
        <w:rPr>
          <w:b/>
          <w:bCs/>
          <w:sz w:val="24"/>
          <w:szCs w:val="24"/>
        </w:rPr>
        <w:t xml:space="preserve"> Compliance with </w:t>
      </w:r>
      <w:r w:rsidR="27B94B14" w:rsidRPr="6E67D825">
        <w:rPr>
          <w:b/>
          <w:bCs/>
          <w:sz w:val="24"/>
          <w:szCs w:val="24"/>
        </w:rPr>
        <w:t>the Convention on the Elimination of All Forms of Discrimination against Women</w:t>
      </w:r>
    </w:p>
    <w:p w14:paraId="3CB6E26A" w14:textId="101C62C8" w:rsidR="004B1E4E" w:rsidRPr="004B1E4E" w:rsidRDefault="00266AA3" w:rsidP="6E67D825">
      <w:pPr>
        <w:jc w:val="center"/>
        <w:rPr>
          <w:b/>
          <w:bCs/>
          <w:sz w:val="24"/>
          <w:szCs w:val="24"/>
        </w:rPr>
      </w:pPr>
      <w:r w:rsidRPr="6E67D825">
        <w:rPr>
          <w:b/>
          <w:bCs/>
          <w:sz w:val="24"/>
          <w:szCs w:val="24"/>
        </w:rPr>
        <w:t xml:space="preserve">Suggested List of Issues Relating to </w:t>
      </w:r>
      <w:r w:rsidR="21724F9B" w:rsidRPr="6E67D825">
        <w:rPr>
          <w:b/>
          <w:bCs/>
          <w:sz w:val="24"/>
          <w:szCs w:val="24"/>
        </w:rPr>
        <w:t>Violence Against Women</w:t>
      </w:r>
    </w:p>
    <w:p w14:paraId="4F18C26A" w14:textId="77777777" w:rsidR="004B1E4E" w:rsidRPr="004B1E4E" w:rsidRDefault="004B1E4E" w:rsidP="004B1E4E">
      <w:pPr>
        <w:jc w:val="center"/>
        <w:rPr>
          <w:sz w:val="24"/>
          <w:szCs w:val="24"/>
        </w:rPr>
      </w:pPr>
    </w:p>
    <w:p w14:paraId="03E74869" w14:textId="77777777" w:rsidR="004B1E4E" w:rsidRPr="00D25C36" w:rsidRDefault="004B1E4E" w:rsidP="004B1E4E">
      <w:pPr>
        <w:jc w:val="center"/>
        <w:rPr>
          <w:b/>
          <w:sz w:val="24"/>
          <w:szCs w:val="24"/>
        </w:rPr>
      </w:pPr>
      <w:r w:rsidRPr="00D25C36">
        <w:rPr>
          <w:b/>
          <w:sz w:val="24"/>
          <w:szCs w:val="24"/>
        </w:rPr>
        <w:t xml:space="preserve">Submitted by </w:t>
      </w:r>
      <w:r w:rsidR="00AA7FCB" w:rsidRPr="00D25C36">
        <w:rPr>
          <w:b/>
          <w:sz w:val="24"/>
          <w:szCs w:val="24"/>
        </w:rPr>
        <w:t>T</w:t>
      </w:r>
      <w:r w:rsidRPr="00D25C36">
        <w:rPr>
          <w:b/>
          <w:sz w:val="24"/>
          <w:szCs w:val="24"/>
        </w:rPr>
        <w:t>he Advocates for Human Rights</w:t>
      </w:r>
    </w:p>
    <w:p w14:paraId="5AD186D6" w14:textId="77777777" w:rsidR="004B1E4E" w:rsidRPr="004B1E4E" w:rsidRDefault="004B1E4E" w:rsidP="004B1E4E">
      <w:pPr>
        <w:jc w:val="center"/>
        <w:rPr>
          <w:sz w:val="24"/>
          <w:szCs w:val="24"/>
        </w:rPr>
      </w:pPr>
      <w:r w:rsidRPr="004B1E4E">
        <w:rPr>
          <w:sz w:val="24"/>
          <w:szCs w:val="24"/>
        </w:rPr>
        <w:t>a non-governmental organization in special consultative status with ECOSOC</w:t>
      </w:r>
      <w:r w:rsidR="00624A10">
        <w:rPr>
          <w:sz w:val="24"/>
          <w:szCs w:val="24"/>
        </w:rPr>
        <w:t xml:space="preserve"> since 1996</w:t>
      </w:r>
    </w:p>
    <w:p w14:paraId="332E9D67" w14:textId="77777777" w:rsidR="004B1E4E" w:rsidRPr="004B1E4E" w:rsidRDefault="004B1E4E" w:rsidP="004B1E4E">
      <w:pPr>
        <w:jc w:val="center"/>
        <w:rPr>
          <w:sz w:val="24"/>
          <w:szCs w:val="24"/>
        </w:rPr>
      </w:pPr>
    </w:p>
    <w:p w14:paraId="1E595435" w14:textId="77777777" w:rsidR="004B1E4E" w:rsidRPr="000C380B" w:rsidRDefault="00FF625A" w:rsidP="004B1E4E">
      <w:pPr>
        <w:jc w:val="center"/>
        <w:rPr>
          <w:b/>
          <w:sz w:val="24"/>
          <w:szCs w:val="24"/>
        </w:rPr>
      </w:pPr>
      <w:r>
        <w:rPr>
          <w:b/>
          <w:sz w:val="24"/>
          <w:szCs w:val="24"/>
        </w:rPr>
        <w:t>81st</w:t>
      </w:r>
      <w:r w:rsidR="004B1E4E" w:rsidRPr="000C380B">
        <w:rPr>
          <w:b/>
          <w:sz w:val="24"/>
          <w:szCs w:val="24"/>
        </w:rPr>
        <w:t xml:space="preserve"> Session of the </w:t>
      </w:r>
      <w:r>
        <w:rPr>
          <w:b/>
          <w:sz w:val="24"/>
          <w:szCs w:val="24"/>
        </w:rPr>
        <w:t>Convention on the Elimination of All Forms of Discrimination Against Women</w:t>
      </w:r>
      <w:r w:rsidR="00266AA3" w:rsidRPr="000C380B">
        <w:rPr>
          <w:b/>
          <w:sz w:val="24"/>
          <w:szCs w:val="24"/>
        </w:rPr>
        <w:t xml:space="preserve"> (Pre-Sessional Working Group)</w:t>
      </w:r>
    </w:p>
    <w:p w14:paraId="64003C49" w14:textId="653FBF39" w:rsidR="004B1E4E" w:rsidRPr="000C380B" w:rsidRDefault="41693299" w:rsidP="004B1E4E">
      <w:pPr>
        <w:jc w:val="center"/>
        <w:rPr>
          <w:b/>
          <w:sz w:val="24"/>
          <w:szCs w:val="24"/>
        </w:rPr>
      </w:pPr>
      <w:r w:rsidRPr="4BB1FC2A">
        <w:rPr>
          <w:b/>
          <w:bCs/>
          <w:sz w:val="24"/>
          <w:szCs w:val="24"/>
        </w:rPr>
        <w:t>12</w:t>
      </w:r>
      <w:r w:rsidR="00FF625A">
        <w:rPr>
          <w:b/>
          <w:sz w:val="24"/>
          <w:szCs w:val="24"/>
        </w:rPr>
        <w:t xml:space="preserve"> July 2021 – </w:t>
      </w:r>
      <w:r w:rsidR="4AA4AC33" w:rsidRPr="4BB1FC2A">
        <w:rPr>
          <w:b/>
          <w:bCs/>
          <w:sz w:val="24"/>
          <w:szCs w:val="24"/>
        </w:rPr>
        <w:t>16</w:t>
      </w:r>
      <w:r w:rsidR="00FF625A">
        <w:rPr>
          <w:b/>
          <w:sz w:val="24"/>
          <w:szCs w:val="24"/>
        </w:rPr>
        <w:t xml:space="preserve"> July 2021</w:t>
      </w:r>
    </w:p>
    <w:p w14:paraId="78159DD9" w14:textId="77777777" w:rsidR="001565F9" w:rsidRPr="004B1E4E" w:rsidRDefault="001565F9" w:rsidP="005132BB">
      <w:pPr>
        <w:rPr>
          <w:sz w:val="24"/>
          <w:szCs w:val="24"/>
          <w:lang w:val="es-ES"/>
        </w:rPr>
      </w:pPr>
    </w:p>
    <w:p w14:paraId="70558C29" w14:textId="77777777" w:rsidR="005132BB" w:rsidRPr="000C380B" w:rsidRDefault="000C380B" w:rsidP="000C380B">
      <w:pPr>
        <w:jc w:val="center"/>
        <w:rPr>
          <w:b/>
          <w:color w:val="auto"/>
          <w:sz w:val="24"/>
          <w:szCs w:val="24"/>
        </w:rPr>
      </w:pPr>
      <w:r w:rsidRPr="000C380B">
        <w:rPr>
          <w:b/>
          <w:color w:val="auto"/>
          <w:sz w:val="24"/>
          <w:szCs w:val="24"/>
        </w:rPr>
        <w:t xml:space="preserve">Submitted </w:t>
      </w:r>
      <w:r w:rsidR="00FF625A">
        <w:rPr>
          <w:b/>
          <w:color w:val="auto"/>
          <w:sz w:val="24"/>
          <w:szCs w:val="24"/>
        </w:rPr>
        <w:t>07</w:t>
      </w:r>
      <w:r w:rsidRPr="000C380B">
        <w:rPr>
          <w:b/>
          <w:color w:val="auto"/>
          <w:sz w:val="24"/>
          <w:szCs w:val="24"/>
        </w:rPr>
        <w:t xml:space="preserve"> </w:t>
      </w:r>
      <w:r w:rsidR="00FF625A">
        <w:rPr>
          <w:b/>
          <w:color w:val="auto"/>
          <w:sz w:val="24"/>
          <w:szCs w:val="24"/>
        </w:rPr>
        <w:t>June</w:t>
      </w:r>
      <w:r w:rsidRPr="000C380B">
        <w:rPr>
          <w:b/>
          <w:color w:val="auto"/>
          <w:sz w:val="24"/>
          <w:szCs w:val="24"/>
        </w:rPr>
        <w:t xml:space="preserve"> </w:t>
      </w:r>
      <w:r w:rsidR="00FF625A">
        <w:rPr>
          <w:b/>
          <w:color w:val="auto"/>
          <w:sz w:val="24"/>
          <w:szCs w:val="24"/>
        </w:rPr>
        <w:t>2021</w:t>
      </w:r>
    </w:p>
    <w:p w14:paraId="1CEEE454" w14:textId="77777777" w:rsidR="000C380B" w:rsidRPr="004B1E4E" w:rsidRDefault="000C380B" w:rsidP="00596B08">
      <w:pPr>
        <w:jc w:val="both"/>
        <w:rPr>
          <w:color w:val="auto"/>
          <w:sz w:val="24"/>
          <w:szCs w:val="24"/>
        </w:rPr>
      </w:pPr>
    </w:p>
    <w:p w14:paraId="13BA1F7E" w14:textId="02152509" w:rsidR="00AA281D" w:rsidRPr="00FF625A" w:rsidRDefault="004B1E4E" w:rsidP="00AA281D">
      <w:pPr>
        <w:jc w:val="both"/>
        <w:rPr>
          <w:b/>
          <w:bCs/>
          <w:sz w:val="24"/>
          <w:szCs w:val="24"/>
        </w:rPr>
      </w:pPr>
      <w:r w:rsidRPr="6E67D825">
        <w:rPr>
          <w:b/>
          <w:bCs/>
          <w:sz w:val="24"/>
          <w:szCs w:val="24"/>
        </w:rPr>
        <w:t xml:space="preserve">The Advocates for Human Rights </w:t>
      </w:r>
      <w:r w:rsidRPr="6E67D825">
        <w:rPr>
          <w:sz w:val="24"/>
          <w:szCs w:val="24"/>
        </w:rPr>
        <w:t>(The Advocates) is a volunteer-based non</w:t>
      </w:r>
      <w:r w:rsidR="00266AA3" w:rsidRPr="6E67D825">
        <w:rPr>
          <w:sz w:val="24"/>
          <w:szCs w:val="24"/>
        </w:rPr>
        <w:t>-</w:t>
      </w:r>
      <w:r w:rsidRPr="6E67D825">
        <w:rPr>
          <w:sz w:val="24"/>
          <w:szCs w:val="24"/>
        </w:rPr>
        <w:t xml:space="preserve">governmental organization committed to the impartial promotion and protection of international human rights standards and the rule of law. Established in 1983, The Advocates conducts a range of programs to promote human rights in the United States and around the world, </w:t>
      </w:r>
      <w:r w:rsidRPr="6E67D825">
        <w:rPr>
          <w:sz w:val="24"/>
          <w:szCs w:val="24"/>
          <w:lang w:val="es-ES"/>
        </w:rPr>
        <w:t>including</w:t>
      </w:r>
      <w:r w:rsidRPr="6E67D825">
        <w:rPr>
          <w:sz w:val="24"/>
          <w:szCs w:val="24"/>
        </w:rPr>
        <w:t xml:space="preserve"> monitoring and fact finding, direct legal representation, education and training, and publications. </w:t>
      </w:r>
      <w:r w:rsidR="00AA281D" w:rsidRPr="6E67D825">
        <w:rPr>
          <w:sz w:val="24"/>
          <w:szCs w:val="24"/>
        </w:rPr>
        <w:t>The Advocates is committed to ensuring human rights protection for women around the world. The Advocates has published more than 25 reports on violence against women as a human rights issue, provided consultation and commentary of draft laws on domestic violence, and trained lawyers, police, prosecutors, judges, and other law enforcement personnel to effectively implement new and existing laws on domestic violence.</w:t>
      </w:r>
      <w:r w:rsidR="41392418" w:rsidRPr="6E67D825">
        <w:rPr>
          <w:sz w:val="24"/>
          <w:szCs w:val="24"/>
        </w:rPr>
        <w:t xml:space="preserve"> The Advocates is the primary provider of legal services to low-income asylum seekers in the Upper Midwest region of the United States. Recently, a growing number of women from Honduras who have fled gender-based violence have requested legal assistance from The Advocates in seeking asylum in the United States.</w:t>
      </w:r>
    </w:p>
    <w:p w14:paraId="028E859F" w14:textId="77777777" w:rsidR="008214B4" w:rsidRPr="00AE35EF" w:rsidRDefault="008214B4" w:rsidP="00AA281D">
      <w:pPr>
        <w:jc w:val="both"/>
        <w:rPr>
          <w:sz w:val="24"/>
          <w:szCs w:val="24"/>
        </w:rPr>
      </w:pPr>
    </w:p>
    <w:p w14:paraId="30A8D072" w14:textId="77777777" w:rsidR="00AA281D" w:rsidRPr="00CC65F5" w:rsidRDefault="00AA281D" w:rsidP="00596B08">
      <w:pPr>
        <w:jc w:val="both"/>
        <w:rPr>
          <w:b/>
          <w:bCs/>
          <w:sz w:val="24"/>
          <w:szCs w:val="24"/>
        </w:rPr>
      </w:pPr>
    </w:p>
    <w:p w14:paraId="57517B48" w14:textId="77777777" w:rsidR="004B1E4E" w:rsidRPr="00CC65F5" w:rsidRDefault="004B1E4E" w:rsidP="00626C39">
      <w:pPr>
        <w:rPr>
          <w:b/>
          <w:bCs/>
          <w:color w:val="auto"/>
          <w:sz w:val="24"/>
          <w:szCs w:val="24"/>
        </w:rPr>
      </w:pPr>
    </w:p>
    <w:p w14:paraId="26A5AAE5" w14:textId="1766C5BA" w:rsidR="004B1E4E" w:rsidRPr="004B1E4E" w:rsidRDefault="004B1E4E" w:rsidP="3A2B0C48">
      <w:pPr>
        <w:jc w:val="center"/>
        <w:rPr>
          <w:color w:val="auto"/>
          <w:sz w:val="24"/>
          <w:szCs w:val="24"/>
        </w:rPr>
      </w:pPr>
      <w:r>
        <w:rPr>
          <w:color w:val="auto"/>
          <w:sz w:val="24"/>
          <w:szCs w:val="24"/>
        </w:rPr>
        <w:br w:type="page"/>
      </w:r>
    </w:p>
    <w:p w14:paraId="6BF37024" w14:textId="6CD38749" w:rsidR="004B1E4E" w:rsidRPr="004B1E4E" w:rsidRDefault="004B1E4E" w:rsidP="004B1E4E">
      <w:pPr>
        <w:jc w:val="center"/>
        <w:rPr>
          <w:b/>
          <w:caps/>
          <w:color w:val="auto"/>
          <w:sz w:val="24"/>
          <w:szCs w:val="24"/>
        </w:rPr>
      </w:pPr>
      <w:r w:rsidRPr="004B1E4E">
        <w:rPr>
          <w:b/>
          <w:caps/>
          <w:color w:val="auto"/>
          <w:sz w:val="24"/>
          <w:szCs w:val="24"/>
        </w:rPr>
        <w:lastRenderedPageBreak/>
        <w:t>Executive Summary</w:t>
      </w:r>
    </w:p>
    <w:p w14:paraId="7521FFFF" w14:textId="77777777" w:rsidR="004B1E4E" w:rsidRDefault="004B1E4E" w:rsidP="00626C39">
      <w:pPr>
        <w:rPr>
          <w:color w:val="auto"/>
          <w:sz w:val="24"/>
          <w:szCs w:val="24"/>
        </w:rPr>
      </w:pPr>
    </w:p>
    <w:p w14:paraId="1109E019" w14:textId="429B1774" w:rsidR="004B1E4E" w:rsidRDefault="2E032798" w:rsidP="6D419AB7">
      <w:pPr>
        <w:numPr>
          <w:ilvl w:val="0"/>
          <w:numId w:val="12"/>
        </w:numPr>
        <w:spacing w:after="120"/>
        <w:ind w:left="360"/>
        <w:jc w:val="both"/>
        <w:rPr>
          <w:color w:val="000000" w:themeColor="text1"/>
          <w:sz w:val="24"/>
          <w:szCs w:val="24"/>
        </w:rPr>
      </w:pPr>
      <w:r w:rsidRPr="6D419AB7">
        <w:rPr>
          <w:color w:val="000000" w:themeColor="text1"/>
          <w:sz w:val="24"/>
          <w:szCs w:val="24"/>
        </w:rPr>
        <w:t xml:space="preserve">Honduras has made </w:t>
      </w:r>
      <w:r w:rsidR="3A2F92D5" w:rsidRPr="6D419AB7">
        <w:rPr>
          <w:color w:val="000000" w:themeColor="text1"/>
          <w:sz w:val="24"/>
          <w:szCs w:val="24"/>
        </w:rPr>
        <w:t xml:space="preserve">some </w:t>
      </w:r>
      <w:r w:rsidRPr="6D419AB7">
        <w:rPr>
          <w:color w:val="000000" w:themeColor="text1"/>
          <w:sz w:val="24"/>
          <w:szCs w:val="24"/>
        </w:rPr>
        <w:t xml:space="preserve">improvements since its </w:t>
      </w:r>
      <w:r w:rsidR="6475A222" w:rsidRPr="6D419AB7">
        <w:rPr>
          <w:color w:val="000000" w:themeColor="text1"/>
          <w:sz w:val="24"/>
          <w:szCs w:val="24"/>
        </w:rPr>
        <w:t>most recent review</w:t>
      </w:r>
      <w:r w:rsidRPr="62C71F87" w:rsidDel="2E032798">
        <w:rPr>
          <w:color w:val="000000" w:themeColor="text1"/>
          <w:sz w:val="24"/>
          <w:szCs w:val="24"/>
        </w:rPr>
        <w:t xml:space="preserve"> </w:t>
      </w:r>
      <w:r w:rsidR="009B85C2" w:rsidRPr="6D419AB7">
        <w:rPr>
          <w:color w:val="000000" w:themeColor="text1"/>
          <w:sz w:val="24"/>
          <w:szCs w:val="24"/>
        </w:rPr>
        <w:t>by the Committee on the Elimination of Discrimination against Women</w:t>
      </w:r>
      <w:r w:rsidR="685A95A2" w:rsidRPr="6D419AB7">
        <w:rPr>
          <w:color w:val="000000" w:themeColor="text1"/>
          <w:sz w:val="24"/>
          <w:szCs w:val="24"/>
        </w:rPr>
        <w:t xml:space="preserve"> (Committee)</w:t>
      </w:r>
      <w:r w:rsidRPr="6D419AB7">
        <w:rPr>
          <w:color w:val="000000" w:themeColor="text1"/>
          <w:sz w:val="24"/>
          <w:szCs w:val="24"/>
        </w:rPr>
        <w:t>, but widespread and systematic violence against women persists. In 201</w:t>
      </w:r>
      <w:r w:rsidR="35A1EBDC" w:rsidRPr="6D419AB7">
        <w:rPr>
          <w:color w:val="000000" w:themeColor="text1"/>
          <w:sz w:val="24"/>
          <w:szCs w:val="24"/>
        </w:rPr>
        <w:t>9</w:t>
      </w:r>
      <w:r w:rsidRPr="6D419AB7">
        <w:rPr>
          <w:color w:val="000000" w:themeColor="text1"/>
          <w:sz w:val="24"/>
          <w:szCs w:val="24"/>
        </w:rPr>
        <w:t>,</w:t>
      </w:r>
      <w:r w:rsidRPr="62C71F87" w:rsidDel="0293619C">
        <w:rPr>
          <w:color w:val="000000" w:themeColor="text1"/>
          <w:sz w:val="24"/>
          <w:szCs w:val="24"/>
        </w:rPr>
        <w:t xml:space="preserve"> </w:t>
      </w:r>
      <w:r w:rsidR="4CB5AB7E" w:rsidRPr="6D419AB7">
        <w:rPr>
          <w:color w:val="000000" w:themeColor="text1"/>
          <w:sz w:val="24"/>
          <w:szCs w:val="24"/>
        </w:rPr>
        <w:t>the</w:t>
      </w:r>
      <w:r w:rsidR="0293619C" w:rsidRPr="6D419AB7">
        <w:rPr>
          <w:color w:val="000000" w:themeColor="text1"/>
          <w:sz w:val="24"/>
          <w:szCs w:val="24"/>
        </w:rPr>
        <w:t xml:space="preserve"> Report of the Working Group on the issue of discrimination against women in law and in practice noted </w:t>
      </w:r>
      <w:r w:rsidR="407AE9F2" w:rsidRPr="6D419AB7">
        <w:rPr>
          <w:color w:val="000000" w:themeColor="text1"/>
          <w:sz w:val="24"/>
          <w:szCs w:val="24"/>
        </w:rPr>
        <w:t>that</w:t>
      </w:r>
      <w:r w:rsidRPr="6D419AB7">
        <w:rPr>
          <w:color w:val="000000" w:themeColor="text1"/>
          <w:sz w:val="24"/>
          <w:szCs w:val="24"/>
        </w:rPr>
        <w:t xml:space="preserve"> “</w:t>
      </w:r>
      <w:r w:rsidR="114B2E0C" w:rsidRPr="62C71F87">
        <w:rPr>
          <w:color w:val="000000" w:themeColor="text1"/>
          <w:sz w:val="24"/>
          <w:szCs w:val="24"/>
        </w:rPr>
        <w:t>violence against women is rampant in the country, fuelled</w:t>
      </w:r>
      <w:r w:rsidR="114B2E0C" w:rsidRPr="6D419AB7">
        <w:rPr>
          <w:color w:val="000000" w:themeColor="text1"/>
          <w:sz w:val="24"/>
          <w:szCs w:val="24"/>
        </w:rPr>
        <w:t xml:space="preserve"> by inequality, insecurity and impunity, and the lack of socioeconomic opportunities.”</w:t>
      </w:r>
      <w:r w:rsidRPr="6D419AB7">
        <w:rPr>
          <w:color w:val="000000" w:themeColor="text1"/>
          <w:sz w:val="24"/>
          <w:szCs w:val="24"/>
        </w:rPr>
        <w:t>.</w:t>
      </w:r>
      <w:r w:rsidR="000A66B8" w:rsidRPr="6D419AB7">
        <w:rPr>
          <w:rStyle w:val="FootnoteReference"/>
          <w:color w:val="000000" w:themeColor="text1"/>
          <w:sz w:val="24"/>
          <w:szCs w:val="24"/>
        </w:rPr>
        <w:footnoteReference w:id="2"/>
      </w:r>
      <w:r w:rsidRPr="6D419AB7">
        <w:rPr>
          <w:color w:val="000000" w:themeColor="text1"/>
          <w:sz w:val="24"/>
          <w:szCs w:val="24"/>
        </w:rPr>
        <w:t xml:space="preserve"> Honduras has a high femicide rate; the Violence Observatory of the National Autonomous University of Honduras reported that in 2017, 338 women were murdered.</w:t>
      </w:r>
      <w:r w:rsidR="000A66B8" w:rsidRPr="6D419AB7">
        <w:rPr>
          <w:rStyle w:val="FootnoteReference"/>
          <w:color w:val="000000" w:themeColor="text1"/>
          <w:sz w:val="24"/>
          <w:szCs w:val="24"/>
        </w:rPr>
        <w:footnoteReference w:id="3"/>
      </w:r>
      <w:r w:rsidRPr="6D419AB7">
        <w:rPr>
          <w:color w:val="000000" w:themeColor="text1"/>
          <w:sz w:val="24"/>
          <w:szCs w:val="24"/>
        </w:rPr>
        <w:t xml:space="preserve"> These human rights violations largely occur with impunity; according to the </w:t>
      </w:r>
      <w:r w:rsidRPr="62C71F87">
        <w:rPr>
          <w:i/>
          <w:iCs/>
          <w:color w:val="000000" w:themeColor="text1"/>
          <w:sz w:val="24"/>
          <w:szCs w:val="24"/>
        </w:rPr>
        <w:t xml:space="preserve">Centro de Derechos de la Mujer </w:t>
      </w:r>
      <w:r w:rsidRPr="6D419AB7">
        <w:rPr>
          <w:color w:val="000000" w:themeColor="text1"/>
          <w:sz w:val="24"/>
          <w:szCs w:val="24"/>
        </w:rPr>
        <w:t>(CDM), in 95% of the femicides committed between 2017 and the first weeks of 2018, no person has been held accountable.</w:t>
      </w:r>
      <w:r w:rsidR="000A66B8" w:rsidRPr="6D419AB7">
        <w:rPr>
          <w:rStyle w:val="FootnoteReference"/>
          <w:color w:val="000000" w:themeColor="text1"/>
          <w:sz w:val="24"/>
          <w:szCs w:val="24"/>
        </w:rPr>
        <w:footnoteReference w:id="4"/>
      </w:r>
    </w:p>
    <w:p w14:paraId="3466E1A2" w14:textId="44F215E9" w:rsidR="004B1E4E" w:rsidRDefault="2E032798" w:rsidP="6D419AB7">
      <w:pPr>
        <w:numPr>
          <w:ilvl w:val="0"/>
          <w:numId w:val="12"/>
        </w:numPr>
        <w:spacing w:after="120"/>
        <w:ind w:left="360"/>
        <w:jc w:val="both"/>
        <w:rPr>
          <w:color w:val="000000" w:themeColor="text1"/>
          <w:sz w:val="24"/>
          <w:szCs w:val="24"/>
        </w:rPr>
      </w:pPr>
      <w:r w:rsidRPr="62C71F87">
        <w:rPr>
          <w:color w:val="000000" w:themeColor="text1"/>
          <w:sz w:val="24"/>
          <w:szCs w:val="24"/>
        </w:rPr>
        <w:t xml:space="preserve">This </w:t>
      </w:r>
      <w:r w:rsidR="7A99E30F" w:rsidRPr="62C71F87">
        <w:rPr>
          <w:color w:val="000000" w:themeColor="text1"/>
          <w:sz w:val="24"/>
          <w:szCs w:val="24"/>
        </w:rPr>
        <w:t>report includes</w:t>
      </w:r>
      <w:r w:rsidRPr="62C71F87">
        <w:rPr>
          <w:color w:val="000000" w:themeColor="text1"/>
          <w:sz w:val="24"/>
          <w:szCs w:val="24"/>
        </w:rPr>
        <w:t xml:space="preserve"> firsthand information gathered from former and current clients of The Advocates along with secondary source research.</w:t>
      </w:r>
    </w:p>
    <w:p w14:paraId="6EED4E80" w14:textId="73611F86" w:rsidR="4BB1FC2A" w:rsidRDefault="4BB1FC2A" w:rsidP="4BB1FC2A">
      <w:pPr>
        <w:spacing w:after="120"/>
        <w:jc w:val="center"/>
        <w:rPr>
          <w:b/>
          <w:bCs/>
          <w:color w:val="auto"/>
          <w:sz w:val="24"/>
          <w:szCs w:val="24"/>
        </w:rPr>
      </w:pPr>
    </w:p>
    <w:p w14:paraId="7070362E" w14:textId="050ACAA4" w:rsidR="008F2F99" w:rsidRPr="008F2F99" w:rsidRDefault="0D0DBCDA" w:rsidP="4BB1FC2A">
      <w:pPr>
        <w:spacing w:after="120"/>
        <w:jc w:val="center"/>
        <w:rPr>
          <w:b/>
          <w:color w:val="auto"/>
          <w:sz w:val="24"/>
          <w:szCs w:val="24"/>
        </w:rPr>
      </w:pPr>
      <w:r w:rsidRPr="6E67D825">
        <w:rPr>
          <w:b/>
          <w:bCs/>
          <w:color w:val="auto"/>
          <w:sz w:val="24"/>
          <w:szCs w:val="24"/>
        </w:rPr>
        <w:t xml:space="preserve">Honduras </w:t>
      </w:r>
      <w:r w:rsidR="008F2F99" w:rsidRPr="6E67D825">
        <w:rPr>
          <w:b/>
          <w:bCs/>
          <w:color w:val="auto"/>
          <w:sz w:val="24"/>
          <w:szCs w:val="24"/>
        </w:rPr>
        <w:t xml:space="preserve">fails to uphold its obligations under the </w:t>
      </w:r>
      <w:r w:rsidR="6C602F72" w:rsidRPr="6E67D825">
        <w:rPr>
          <w:b/>
          <w:bCs/>
          <w:color w:val="auto"/>
          <w:sz w:val="24"/>
          <w:szCs w:val="24"/>
        </w:rPr>
        <w:t>Convention</w:t>
      </w:r>
      <w:r w:rsidR="773E3F0C" w:rsidRPr="6E67D825">
        <w:rPr>
          <w:b/>
          <w:bCs/>
          <w:color w:val="auto"/>
          <w:sz w:val="24"/>
          <w:szCs w:val="24"/>
        </w:rPr>
        <w:t xml:space="preserve"> on the Elimination of Discrimination against Women (CEDAW)</w:t>
      </w:r>
      <w:r w:rsidR="6C602F72" w:rsidRPr="6E67D825">
        <w:rPr>
          <w:b/>
          <w:bCs/>
          <w:color w:val="auto"/>
          <w:sz w:val="24"/>
          <w:szCs w:val="24"/>
        </w:rPr>
        <w:t xml:space="preserve"> </w:t>
      </w:r>
    </w:p>
    <w:p w14:paraId="1BDB73C8" w14:textId="71CBF013" w:rsidR="004B1E4E" w:rsidRDefault="17F2FCD2" w:rsidP="6E67D825">
      <w:pPr>
        <w:keepNext/>
        <w:numPr>
          <w:ilvl w:val="0"/>
          <w:numId w:val="13"/>
        </w:numPr>
        <w:spacing w:before="240" w:after="120"/>
        <w:ind w:left="720" w:hanging="360"/>
        <w:rPr>
          <w:b/>
          <w:bCs/>
          <w:color w:val="auto"/>
          <w:sz w:val="24"/>
          <w:szCs w:val="24"/>
        </w:rPr>
      </w:pPr>
      <w:r w:rsidRPr="6E67D825">
        <w:rPr>
          <w:b/>
          <w:bCs/>
          <w:color w:val="auto"/>
          <w:sz w:val="24"/>
          <w:szCs w:val="24"/>
        </w:rPr>
        <w:t>Violence Against Women</w:t>
      </w:r>
    </w:p>
    <w:p w14:paraId="3B9482E4" w14:textId="50AA667B" w:rsidR="00974E48" w:rsidRDefault="57D52F17" w:rsidP="00974E48">
      <w:pPr>
        <w:numPr>
          <w:ilvl w:val="0"/>
          <w:numId w:val="12"/>
        </w:numPr>
        <w:spacing w:after="120"/>
        <w:ind w:left="360"/>
        <w:jc w:val="both"/>
        <w:rPr>
          <w:color w:val="auto"/>
          <w:sz w:val="24"/>
          <w:szCs w:val="24"/>
        </w:rPr>
      </w:pPr>
      <w:r>
        <w:rPr>
          <w:color w:val="auto"/>
          <w:sz w:val="24"/>
          <w:szCs w:val="24"/>
        </w:rPr>
        <w:t>As a State Party to CEDAW, Honduras is obligated to protect women from all forms of gender-based violence against women, including mental or sexual harm, threats, or other forms of coercion (Article 1,</w:t>
      </w:r>
      <w:r w:rsidR="28A57331">
        <w:rPr>
          <w:color w:val="auto"/>
          <w:sz w:val="24"/>
          <w:szCs w:val="24"/>
        </w:rPr>
        <w:t xml:space="preserve"> </w:t>
      </w:r>
      <w:r>
        <w:rPr>
          <w:color w:val="auto"/>
          <w:sz w:val="24"/>
          <w:szCs w:val="24"/>
        </w:rPr>
        <w:t>2).</w:t>
      </w:r>
      <w:r w:rsidR="00974E48" w:rsidRPr="6E67D825">
        <w:rPr>
          <w:rStyle w:val="FootnoteReference"/>
          <w:color w:val="auto"/>
          <w:sz w:val="24"/>
          <w:szCs w:val="24"/>
        </w:rPr>
        <w:footnoteReference w:id="5"/>
      </w:r>
      <w:r>
        <w:rPr>
          <w:color w:val="auto"/>
          <w:sz w:val="24"/>
          <w:szCs w:val="24"/>
        </w:rPr>
        <w:t xml:space="preserve"> </w:t>
      </w:r>
      <w:r w:rsidR="49D732BA">
        <w:rPr>
          <w:color w:val="auto"/>
          <w:sz w:val="24"/>
          <w:szCs w:val="24"/>
        </w:rPr>
        <w:t xml:space="preserve"> Moreover, Honduras is obligated to treat women and men equally before the law.</w:t>
      </w:r>
      <w:r w:rsidR="00974E48" w:rsidRPr="6E67D825">
        <w:rPr>
          <w:rStyle w:val="FootnoteReference"/>
          <w:color w:val="auto"/>
          <w:sz w:val="24"/>
          <w:szCs w:val="24"/>
        </w:rPr>
        <w:footnoteReference w:id="6"/>
      </w:r>
      <w:r w:rsidR="34EE1430" w:rsidRPr="6E67D825">
        <w:rPr>
          <w:rStyle w:val="FootnoteReference"/>
          <w:color w:val="auto"/>
          <w:sz w:val="24"/>
          <w:szCs w:val="24"/>
          <w:vertAlign w:val="baseline"/>
        </w:rPr>
        <w:t xml:space="preserve"> </w:t>
      </w:r>
    </w:p>
    <w:p w14:paraId="0A68B2B8" w14:textId="65120B68" w:rsidR="00451F2F" w:rsidRDefault="34EE1430" w:rsidP="00451F2F">
      <w:pPr>
        <w:numPr>
          <w:ilvl w:val="0"/>
          <w:numId w:val="12"/>
        </w:numPr>
        <w:spacing w:after="120"/>
        <w:ind w:left="360"/>
        <w:jc w:val="both"/>
        <w:rPr>
          <w:color w:val="auto"/>
          <w:sz w:val="24"/>
          <w:szCs w:val="24"/>
        </w:rPr>
      </w:pPr>
      <w:r w:rsidRPr="493B5071">
        <w:rPr>
          <w:rStyle w:val="FootnoteReference"/>
          <w:color w:val="auto"/>
          <w:sz w:val="24"/>
          <w:szCs w:val="24"/>
          <w:vertAlign w:val="baseline"/>
        </w:rPr>
        <w:t>In its 2016 Concluding Observations, the Committee welcomed</w:t>
      </w:r>
      <w:r w:rsidR="66DB3611" w:rsidRPr="493B5071">
        <w:rPr>
          <w:rStyle w:val="FootnoteReference"/>
          <w:color w:val="auto"/>
          <w:sz w:val="24"/>
          <w:szCs w:val="24"/>
          <w:vertAlign w:val="baseline"/>
        </w:rPr>
        <w:t xml:space="preserve"> Honduras’ progress in addressing gender-based violence against women though the adoption of the Second plan for gender equality and </w:t>
      </w:r>
      <w:r w:rsidR="5BFB2F3F" w:rsidRPr="493B5071">
        <w:rPr>
          <w:rStyle w:val="FootnoteReference"/>
          <w:color w:val="auto"/>
          <w:sz w:val="24"/>
          <w:szCs w:val="24"/>
          <w:vertAlign w:val="baseline"/>
        </w:rPr>
        <w:t>equ</w:t>
      </w:r>
      <w:r w:rsidR="5694A599" w:rsidRPr="493B5071">
        <w:rPr>
          <w:rStyle w:val="FootnoteReference"/>
          <w:color w:val="auto"/>
          <w:sz w:val="24"/>
          <w:szCs w:val="24"/>
          <w:vertAlign w:val="baseline"/>
        </w:rPr>
        <w:t>it</w:t>
      </w:r>
      <w:r w:rsidR="5BFB2F3F" w:rsidRPr="493B5071">
        <w:rPr>
          <w:rStyle w:val="FootnoteReference"/>
          <w:color w:val="auto"/>
          <w:sz w:val="24"/>
          <w:szCs w:val="24"/>
          <w:vertAlign w:val="baseline"/>
        </w:rPr>
        <w:t>y</w:t>
      </w:r>
      <w:r w:rsidR="66DB3611" w:rsidRPr="493B5071">
        <w:rPr>
          <w:rStyle w:val="FootnoteReference"/>
          <w:color w:val="auto"/>
          <w:sz w:val="24"/>
          <w:szCs w:val="24"/>
          <w:vertAlign w:val="baseline"/>
        </w:rPr>
        <w:t xml:space="preserve"> and the Nati</w:t>
      </w:r>
      <w:r w:rsidR="3C8CAA87" w:rsidRPr="493B5071">
        <w:rPr>
          <w:rStyle w:val="FootnoteReference"/>
          <w:color w:val="auto"/>
          <w:sz w:val="24"/>
          <w:szCs w:val="24"/>
          <w:vertAlign w:val="baseline"/>
        </w:rPr>
        <w:t>onal plan against violence against women.</w:t>
      </w:r>
      <w:r w:rsidR="00974E48" w:rsidRPr="6E67D825">
        <w:rPr>
          <w:rStyle w:val="FootnoteReference"/>
          <w:color w:val="auto"/>
          <w:sz w:val="24"/>
          <w:szCs w:val="24"/>
        </w:rPr>
        <w:footnoteReference w:id="7"/>
      </w:r>
      <w:r w:rsidR="43595A5E" w:rsidRPr="1439D4E8">
        <w:rPr>
          <w:rStyle w:val="FootnoteReference"/>
          <w:color w:val="auto"/>
          <w:sz w:val="24"/>
          <w:szCs w:val="24"/>
        </w:rPr>
        <w:t xml:space="preserve"> </w:t>
      </w:r>
      <w:r w:rsidR="75C5247E" w:rsidRPr="493B5071">
        <w:rPr>
          <w:color w:val="auto"/>
          <w:sz w:val="24"/>
          <w:szCs w:val="24"/>
        </w:rPr>
        <w:t>Despite this progress, the Committee expressed concern about the “persistent impunity for acts of violence against women, sexual violence</w:t>
      </w:r>
      <w:r w:rsidR="5F275DE4" w:rsidRPr="493B5071">
        <w:rPr>
          <w:color w:val="auto"/>
          <w:sz w:val="24"/>
          <w:szCs w:val="24"/>
        </w:rPr>
        <w:t xml:space="preserve"> and femicide” and “underreporting of violence against women, owing to the fear</w:t>
      </w:r>
      <w:r w:rsidR="2626779F" w:rsidRPr="493B5071">
        <w:rPr>
          <w:color w:val="auto"/>
          <w:sz w:val="24"/>
          <w:szCs w:val="24"/>
        </w:rPr>
        <w:t xml:space="preserve"> of retaliation and lack of trust in the authorities.”</w:t>
      </w:r>
      <w:r w:rsidR="00974E48" w:rsidRPr="6E67D825">
        <w:rPr>
          <w:rStyle w:val="FootnoteReference"/>
          <w:color w:val="auto"/>
          <w:sz w:val="24"/>
          <w:szCs w:val="24"/>
        </w:rPr>
        <w:footnoteReference w:id="8"/>
      </w:r>
    </w:p>
    <w:p w14:paraId="533F9042" w14:textId="77777777" w:rsidR="004C4C58" w:rsidRDefault="7E9A5347" w:rsidP="004C4C58">
      <w:pPr>
        <w:numPr>
          <w:ilvl w:val="0"/>
          <w:numId w:val="12"/>
        </w:numPr>
        <w:spacing w:after="120"/>
        <w:ind w:left="360"/>
        <w:jc w:val="both"/>
        <w:rPr>
          <w:color w:val="auto"/>
          <w:sz w:val="24"/>
          <w:szCs w:val="24"/>
        </w:rPr>
      </w:pPr>
      <w:r w:rsidRPr="00451F2F">
        <w:rPr>
          <w:color w:val="auto"/>
          <w:sz w:val="24"/>
          <w:szCs w:val="24"/>
        </w:rPr>
        <w:t>In the 2021 report submitted by Honduras, the State Party asserted that</w:t>
      </w:r>
      <w:r w:rsidR="16649E71" w:rsidRPr="00451F2F">
        <w:rPr>
          <w:color w:val="auto"/>
          <w:sz w:val="24"/>
          <w:szCs w:val="24"/>
        </w:rPr>
        <w:t xml:space="preserve"> the </w:t>
      </w:r>
      <w:r w:rsidR="04393F89" w:rsidRPr="00451F2F">
        <w:rPr>
          <w:color w:val="auto"/>
          <w:sz w:val="24"/>
          <w:szCs w:val="24"/>
        </w:rPr>
        <w:t xml:space="preserve">“judicial branch’s 2017-2021 Institutional Strategic Plan provides for steps to ensure transparent, impartial, </w:t>
      </w:r>
      <w:r w:rsidR="04393F89" w:rsidRPr="00451F2F">
        <w:rPr>
          <w:color w:val="auto"/>
          <w:sz w:val="24"/>
          <w:szCs w:val="24"/>
        </w:rPr>
        <w:lastRenderedPageBreak/>
        <w:t xml:space="preserve">modern and effective judicial services that promote </w:t>
      </w:r>
      <w:r w:rsidR="3FA3BCFB" w:rsidRPr="00451F2F">
        <w:rPr>
          <w:color w:val="auto"/>
          <w:sz w:val="24"/>
          <w:szCs w:val="24"/>
        </w:rPr>
        <w:t>certainty</w:t>
      </w:r>
      <w:r w:rsidR="04393F89" w:rsidRPr="00451F2F">
        <w:rPr>
          <w:color w:val="auto"/>
          <w:sz w:val="24"/>
          <w:szCs w:val="24"/>
        </w:rPr>
        <w:t xml:space="preserve"> and trust.”</w:t>
      </w:r>
      <w:r w:rsidR="00974E48" w:rsidRPr="6E67D825">
        <w:rPr>
          <w:rStyle w:val="FootnoteReference"/>
          <w:color w:val="auto"/>
          <w:sz w:val="24"/>
          <w:szCs w:val="24"/>
        </w:rPr>
        <w:footnoteReference w:id="9"/>
      </w:r>
      <w:r w:rsidR="177D9CC5" w:rsidRPr="00451F2F">
        <w:rPr>
          <w:rStyle w:val="FootnoteReference"/>
          <w:color w:val="auto"/>
          <w:sz w:val="24"/>
          <w:szCs w:val="24"/>
        </w:rPr>
        <w:t xml:space="preserve"> </w:t>
      </w:r>
      <w:r w:rsidR="177D9CC5" w:rsidRPr="00451F2F">
        <w:rPr>
          <w:rStyle w:val="FootnoteReference"/>
          <w:color w:val="auto"/>
          <w:sz w:val="24"/>
          <w:szCs w:val="24"/>
          <w:vertAlign w:val="baseline"/>
        </w:rPr>
        <w:t>Further, the State Party notes</w:t>
      </w:r>
      <w:r w:rsidR="5AA1BD3E" w:rsidRPr="00451F2F">
        <w:rPr>
          <w:rStyle w:val="FootnoteReference"/>
          <w:color w:val="auto"/>
          <w:sz w:val="24"/>
          <w:szCs w:val="24"/>
          <w:vertAlign w:val="baseline"/>
        </w:rPr>
        <w:t xml:space="preserve"> that the new criminal code frames femicide in the “context of unequal power relations between men and women based on </w:t>
      </w:r>
      <w:r w:rsidR="2C8C5039" w:rsidRPr="00451F2F">
        <w:rPr>
          <w:rStyle w:val="FootnoteReference"/>
          <w:color w:val="auto"/>
          <w:sz w:val="24"/>
          <w:szCs w:val="24"/>
          <w:vertAlign w:val="baseline"/>
        </w:rPr>
        <w:t>gender” and</w:t>
      </w:r>
      <w:r w:rsidR="5AA1BD3E" w:rsidRPr="00451F2F">
        <w:rPr>
          <w:rStyle w:val="FootnoteReference"/>
          <w:color w:val="auto"/>
          <w:sz w:val="24"/>
          <w:szCs w:val="24"/>
          <w:vertAlign w:val="baseline"/>
        </w:rPr>
        <w:t xml:space="preserve"> “establishes as the penalty a prison sentence of from 20 to 25 years.</w:t>
      </w:r>
      <w:r w:rsidR="1C383986" w:rsidRPr="00451F2F">
        <w:rPr>
          <w:rStyle w:val="FootnoteReference"/>
          <w:color w:val="auto"/>
          <w:sz w:val="24"/>
          <w:szCs w:val="24"/>
          <w:vertAlign w:val="baseline"/>
        </w:rPr>
        <w:t>”</w:t>
      </w:r>
      <w:r w:rsidR="00974E48" w:rsidRPr="6E67D825">
        <w:rPr>
          <w:rStyle w:val="FootnoteReference"/>
          <w:color w:val="auto"/>
          <w:sz w:val="24"/>
          <w:szCs w:val="24"/>
        </w:rPr>
        <w:footnoteReference w:id="10"/>
      </w:r>
    </w:p>
    <w:p w14:paraId="0F9B6BC4" w14:textId="20ED2151" w:rsidR="0034775A" w:rsidRPr="00AC047F" w:rsidRDefault="00AC047F" w:rsidP="0099548E">
      <w:pPr>
        <w:pStyle w:val="ListParagraph"/>
        <w:numPr>
          <w:ilvl w:val="0"/>
          <w:numId w:val="17"/>
        </w:numPr>
        <w:spacing w:after="120"/>
        <w:jc w:val="both"/>
        <w:rPr>
          <w:rFonts w:ascii="Times New Roman" w:hAnsi="Times New Roman"/>
          <w:sz w:val="24"/>
          <w:szCs w:val="24"/>
        </w:rPr>
      </w:pPr>
      <w:r w:rsidRPr="00AC047F">
        <w:rPr>
          <w:rFonts w:ascii="Times New Roman" w:hAnsi="Times New Roman"/>
          <w:sz w:val="24"/>
          <w:szCs w:val="24"/>
        </w:rPr>
        <w:t>Femicide</w:t>
      </w:r>
    </w:p>
    <w:p w14:paraId="0621156D" w14:textId="4A113FE6" w:rsidR="004C4C58" w:rsidRDefault="65E983FE" w:rsidP="004C4C58">
      <w:pPr>
        <w:numPr>
          <w:ilvl w:val="0"/>
          <w:numId w:val="12"/>
        </w:numPr>
        <w:spacing w:after="120"/>
        <w:ind w:left="360"/>
        <w:jc w:val="both"/>
        <w:rPr>
          <w:color w:val="auto"/>
          <w:sz w:val="24"/>
          <w:szCs w:val="24"/>
        </w:rPr>
      </w:pPr>
      <w:r w:rsidRPr="004C4C58">
        <w:rPr>
          <w:sz w:val="24"/>
          <w:szCs w:val="24"/>
        </w:rPr>
        <w:t>Despite these steps, v</w:t>
      </w:r>
      <w:r w:rsidR="6E848A43" w:rsidRPr="004C4C58">
        <w:rPr>
          <w:sz w:val="24"/>
          <w:szCs w:val="24"/>
        </w:rPr>
        <w:t xml:space="preserve">iolence against women remains a significant </w:t>
      </w:r>
      <w:r w:rsidR="106B789A" w:rsidRPr="004C4C58">
        <w:rPr>
          <w:sz w:val="24"/>
          <w:szCs w:val="24"/>
        </w:rPr>
        <w:t>problem</w:t>
      </w:r>
      <w:r w:rsidR="41E02D4A" w:rsidRPr="004C4C58">
        <w:rPr>
          <w:sz w:val="24"/>
          <w:szCs w:val="24"/>
        </w:rPr>
        <w:t xml:space="preserve"> </w:t>
      </w:r>
      <w:r w:rsidR="6E848A43" w:rsidRPr="004C4C58">
        <w:rPr>
          <w:sz w:val="24"/>
          <w:szCs w:val="24"/>
        </w:rPr>
        <w:t xml:space="preserve">in Honduras. </w:t>
      </w:r>
      <w:r w:rsidR="1E38784C" w:rsidRPr="004C4C58">
        <w:rPr>
          <w:sz w:val="24"/>
          <w:szCs w:val="24"/>
        </w:rPr>
        <w:t>Honduras has the second-highest rate of femicide in Latin America</w:t>
      </w:r>
      <w:r w:rsidR="6312F56D" w:rsidRPr="004C4C58">
        <w:rPr>
          <w:sz w:val="24"/>
          <w:szCs w:val="24"/>
        </w:rPr>
        <w:t xml:space="preserve"> </w:t>
      </w:r>
      <w:r w:rsidR="10F0744B" w:rsidRPr="004C4C58">
        <w:rPr>
          <w:sz w:val="24"/>
          <w:szCs w:val="24"/>
        </w:rPr>
        <w:t xml:space="preserve">with </w:t>
      </w:r>
      <w:r w:rsidR="0F394809" w:rsidRPr="004C4C58">
        <w:rPr>
          <w:sz w:val="24"/>
          <w:szCs w:val="24"/>
        </w:rPr>
        <w:t xml:space="preserve">a woman killed, on average, every 23 hours, and </w:t>
      </w:r>
      <w:r w:rsidR="1366AA94" w:rsidRPr="004C4C58">
        <w:rPr>
          <w:sz w:val="24"/>
          <w:szCs w:val="24"/>
        </w:rPr>
        <w:t xml:space="preserve">domestic partners </w:t>
      </w:r>
      <w:r w:rsidR="421811DD" w:rsidRPr="004C4C58">
        <w:rPr>
          <w:sz w:val="24"/>
          <w:szCs w:val="24"/>
        </w:rPr>
        <w:t>ma</w:t>
      </w:r>
      <w:r w:rsidR="5C280CBA" w:rsidRPr="004C4C58">
        <w:rPr>
          <w:sz w:val="24"/>
          <w:szCs w:val="24"/>
        </w:rPr>
        <w:t>king</w:t>
      </w:r>
      <w:r w:rsidR="421811DD" w:rsidRPr="004C4C58">
        <w:rPr>
          <w:sz w:val="24"/>
          <w:szCs w:val="24"/>
        </w:rPr>
        <w:t xml:space="preserve"> up</w:t>
      </w:r>
      <w:r w:rsidR="1366AA94" w:rsidRPr="004C4C58">
        <w:rPr>
          <w:sz w:val="24"/>
          <w:szCs w:val="24"/>
        </w:rPr>
        <w:t xml:space="preserve"> 60 percent of the perpetrators.</w:t>
      </w:r>
      <w:r w:rsidRPr="006F7D3D">
        <w:rPr>
          <w:rStyle w:val="FootnoteReference"/>
          <w:color w:val="auto"/>
          <w:sz w:val="24"/>
          <w:szCs w:val="24"/>
        </w:rPr>
        <w:footnoteReference w:id="11"/>
      </w:r>
      <w:r w:rsidR="38C06B0E" w:rsidRPr="004C4C58">
        <w:rPr>
          <w:rStyle w:val="FootnoteReference"/>
          <w:color w:val="auto"/>
          <w:sz w:val="24"/>
          <w:szCs w:val="24"/>
          <w:vertAlign w:val="baseline"/>
        </w:rPr>
        <w:t xml:space="preserve"> </w:t>
      </w:r>
    </w:p>
    <w:p w14:paraId="5D7CF23D" w14:textId="236938BA" w:rsidR="000A0D35" w:rsidRPr="00EC7C80" w:rsidRDefault="008619EB" w:rsidP="000A0D35">
      <w:pPr>
        <w:numPr>
          <w:ilvl w:val="0"/>
          <w:numId w:val="12"/>
        </w:numPr>
        <w:spacing w:after="120"/>
        <w:ind w:left="360"/>
        <w:jc w:val="both"/>
        <w:rPr>
          <w:color w:val="auto"/>
          <w:sz w:val="24"/>
          <w:szCs w:val="24"/>
        </w:rPr>
      </w:pPr>
      <w:r>
        <w:rPr>
          <w:color w:val="000000" w:themeColor="text1"/>
          <w:sz w:val="24"/>
          <w:szCs w:val="24"/>
        </w:rPr>
        <w:t xml:space="preserve">Violence against women is perpetrated both by private and public actors. </w:t>
      </w:r>
      <w:r w:rsidR="006648BE" w:rsidRPr="004C4C58">
        <w:rPr>
          <w:rStyle w:val="FootnoteReference"/>
          <w:color w:val="000000" w:themeColor="text1"/>
          <w:sz w:val="24"/>
          <w:szCs w:val="24"/>
          <w:vertAlign w:val="baseline"/>
        </w:rPr>
        <w:t>The February 2021</w:t>
      </w:r>
      <w:r w:rsidR="00462957" w:rsidRPr="004C4C58">
        <w:rPr>
          <w:color w:val="000000" w:themeColor="text1"/>
          <w:sz w:val="24"/>
          <w:szCs w:val="24"/>
        </w:rPr>
        <w:t xml:space="preserve"> femicide</w:t>
      </w:r>
      <w:r w:rsidR="006648BE" w:rsidRPr="004C4C58">
        <w:rPr>
          <w:rStyle w:val="FootnoteReference"/>
          <w:color w:val="000000" w:themeColor="text1"/>
          <w:sz w:val="24"/>
          <w:szCs w:val="24"/>
          <w:vertAlign w:val="baseline"/>
        </w:rPr>
        <w:t xml:space="preserve"> of Keyla Martínez Rodríguez drew international attention. Martínez Rodríguez, a nursing student who was arrested for violating </w:t>
      </w:r>
      <w:r w:rsidR="00462957" w:rsidRPr="004C4C58">
        <w:rPr>
          <w:color w:val="000000" w:themeColor="text1"/>
          <w:sz w:val="24"/>
          <w:szCs w:val="24"/>
        </w:rPr>
        <w:t xml:space="preserve">the national COVID-19 </w:t>
      </w:r>
      <w:r w:rsidR="006648BE" w:rsidRPr="004C4C58">
        <w:rPr>
          <w:rStyle w:val="FootnoteReference"/>
          <w:color w:val="000000" w:themeColor="text1"/>
          <w:sz w:val="24"/>
          <w:szCs w:val="24"/>
          <w:vertAlign w:val="baseline"/>
        </w:rPr>
        <w:t>curfew, died while in police custody of strangulation.</w:t>
      </w:r>
      <w:r w:rsidR="00083E48">
        <w:rPr>
          <w:rStyle w:val="FootnoteReference"/>
          <w:color w:val="000000" w:themeColor="text1"/>
          <w:sz w:val="24"/>
          <w:szCs w:val="24"/>
        </w:rPr>
        <w:footnoteReference w:id="12"/>
      </w:r>
    </w:p>
    <w:p w14:paraId="12E55B5D" w14:textId="213BFDE2" w:rsidR="00EC7C80" w:rsidRPr="00EC7C80" w:rsidRDefault="00EC7C80" w:rsidP="00EC7C80">
      <w:pPr>
        <w:pStyle w:val="ListParagraph"/>
        <w:numPr>
          <w:ilvl w:val="0"/>
          <w:numId w:val="17"/>
        </w:numPr>
        <w:spacing w:after="120"/>
        <w:jc w:val="both"/>
        <w:rPr>
          <w:rFonts w:ascii="Times New Roman" w:hAnsi="Times New Roman"/>
          <w:sz w:val="24"/>
          <w:szCs w:val="24"/>
        </w:rPr>
      </w:pPr>
      <w:r w:rsidRPr="00EC7C80">
        <w:rPr>
          <w:rFonts w:ascii="Times New Roman" w:hAnsi="Times New Roman"/>
          <w:sz w:val="24"/>
          <w:szCs w:val="24"/>
        </w:rPr>
        <w:t>Domestic Violence</w:t>
      </w:r>
    </w:p>
    <w:p w14:paraId="739BB11D" w14:textId="4468FD03" w:rsidR="00ED41DD" w:rsidRPr="000A0D35" w:rsidRDefault="00ED41DD" w:rsidP="000A0D35">
      <w:pPr>
        <w:numPr>
          <w:ilvl w:val="0"/>
          <w:numId w:val="12"/>
        </w:numPr>
        <w:spacing w:after="120"/>
        <w:ind w:left="360"/>
        <w:jc w:val="both"/>
        <w:rPr>
          <w:rStyle w:val="FootnoteReference"/>
          <w:color w:val="auto"/>
          <w:sz w:val="24"/>
          <w:szCs w:val="24"/>
          <w:vertAlign w:val="baseline"/>
        </w:rPr>
      </w:pPr>
      <w:r w:rsidRPr="000A0D35">
        <w:rPr>
          <w:color w:val="000000" w:themeColor="text1"/>
          <w:sz w:val="24"/>
          <w:szCs w:val="24"/>
        </w:rPr>
        <w:t>Alt</w:t>
      </w:r>
      <w:r w:rsidR="5E8A2C91" w:rsidRPr="000A0D35">
        <w:rPr>
          <w:color w:val="000000" w:themeColor="text1"/>
          <w:sz w:val="24"/>
          <w:szCs w:val="24"/>
        </w:rPr>
        <w:t>hough femicides fell by nearly 50 percent</w:t>
      </w:r>
      <w:r w:rsidRPr="000A0D35">
        <w:rPr>
          <w:color w:val="000000" w:themeColor="text1"/>
          <w:sz w:val="24"/>
          <w:szCs w:val="24"/>
        </w:rPr>
        <w:t xml:space="preserve"> during the COVID-19 pandemic</w:t>
      </w:r>
      <w:r w:rsidR="5E8A2C91" w:rsidRPr="000A0D35">
        <w:rPr>
          <w:color w:val="000000" w:themeColor="text1"/>
          <w:sz w:val="24"/>
          <w:szCs w:val="24"/>
        </w:rPr>
        <w:t>,</w:t>
      </w:r>
      <w:r w:rsidR="23803EAF" w:rsidRPr="000A0D35">
        <w:rPr>
          <w:color w:val="000000" w:themeColor="text1"/>
          <w:sz w:val="24"/>
          <w:szCs w:val="24"/>
        </w:rPr>
        <w:t xml:space="preserve"> </w:t>
      </w:r>
      <w:r w:rsidR="3B26698D" w:rsidRPr="000A0D35">
        <w:rPr>
          <w:color w:val="000000" w:themeColor="text1"/>
          <w:sz w:val="24"/>
          <w:szCs w:val="24"/>
        </w:rPr>
        <w:t xml:space="preserve">reports of </w:t>
      </w:r>
      <w:r w:rsidR="23803EAF" w:rsidRPr="000A0D35">
        <w:rPr>
          <w:color w:val="000000" w:themeColor="text1"/>
          <w:sz w:val="24"/>
          <w:szCs w:val="24"/>
        </w:rPr>
        <w:t>domestic violence greatly increased</w:t>
      </w:r>
      <w:r w:rsidR="7AD9875F" w:rsidRPr="000A0D35">
        <w:rPr>
          <w:color w:val="000000" w:themeColor="text1"/>
          <w:sz w:val="24"/>
          <w:szCs w:val="24"/>
        </w:rPr>
        <w:t>.</w:t>
      </w:r>
      <w:r w:rsidR="5E8A2C91" w:rsidRPr="6E67D825">
        <w:rPr>
          <w:rStyle w:val="FootnoteReference"/>
          <w:color w:val="000000" w:themeColor="text1"/>
          <w:sz w:val="24"/>
          <w:szCs w:val="24"/>
        </w:rPr>
        <w:footnoteReference w:id="13"/>
      </w:r>
      <w:r w:rsidR="6D4CCBEE" w:rsidRPr="000A0D35">
        <w:rPr>
          <w:rStyle w:val="FootnoteReference"/>
          <w:color w:val="000000" w:themeColor="text1"/>
          <w:sz w:val="24"/>
          <w:szCs w:val="24"/>
          <w:vertAlign w:val="baseline"/>
        </w:rPr>
        <w:t xml:space="preserve"> </w:t>
      </w:r>
      <w:r w:rsidR="3AEBC90C" w:rsidRPr="000A0D35">
        <w:rPr>
          <w:rStyle w:val="FootnoteReference"/>
          <w:color w:val="000000" w:themeColor="text1"/>
          <w:sz w:val="24"/>
          <w:szCs w:val="24"/>
          <w:vertAlign w:val="baseline"/>
        </w:rPr>
        <w:t>R</w:t>
      </w:r>
      <w:r w:rsidR="32F3C65B" w:rsidRPr="000A0D35">
        <w:rPr>
          <w:rStyle w:val="FootnoteReference"/>
          <w:color w:val="000000" w:themeColor="text1"/>
          <w:sz w:val="24"/>
          <w:szCs w:val="24"/>
          <w:vertAlign w:val="baseline"/>
        </w:rPr>
        <w:t xml:space="preserve">eports of domestic violence </w:t>
      </w:r>
      <w:r w:rsidR="6D4CCBEE" w:rsidRPr="000A0D35">
        <w:rPr>
          <w:rStyle w:val="FootnoteReference"/>
          <w:color w:val="000000" w:themeColor="text1"/>
          <w:sz w:val="24"/>
          <w:szCs w:val="24"/>
          <w:vertAlign w:val="baseline"/>
        </w:rPr>
        <w:t>to the National Emergency System’s call center</w:t>
      </w:r>
      <w:r w:rsidR="73107012" w:rsidRPr="000A0D35">
        <w:rPr>
          <w:rStyle w:val="FootnoteReference"/>
          <w:color w:val="000000" w:themeColor="text1"/>
          <w:sz w:val="24"/>
          <w:szCs w:val="24"/>
          <w:vertAlign w:val="baseline"/>
        </w:rPr>
        <w:t>, for example,</w:t>
      </w:r>
      <w:r w:rsidR="6672AFA0" w:rsidRPr="000A0D35">
        <w:rPr>
          <w:rStyle w:val="FootnoteReference"/>
          <w:color w:val="000000" w:themeColor="text1"/>
          <w:sz w:val="24"/>
          <w:szCs w:val="24"/>
          <w:vertAlign w:val="baseline"/>
        </w:rPr>
        <w:t xml:space="preserve"> </w:t>
      </w:r>
      <w:r w:rsidR="41F72FD0" w:rsidRPr="000A0D35">
        <w:rPr>
          <w:rStyle w:val="FootnoteReference"/>
          <w:color w:val="000000" w:themeColor="text1"/>
          <w:sz w:val="24"/>
          <w:szCs w:val="24"/>
          <w:vertAlign w:val="baseline"/>
        </w:rPr>
        <w:t xml:space="preserve">were expected to surpass 100,000 </w:t>
      </w:r>
      <w:r w:rsidR="021FEB69" w:rsidRPr="000A0D35">
        <w:rPr>
          <w:rStyle w:val="FootnoteReference"/>
          <w:color w:val="000000" w:themeColor="text1"/>
          <w:sz w:val="24"/>
          <w:szCs w:val="24"/>
          <w:vertAlign w:val="baseline"/>
        </w:rPr>
        <w:t>in 2020.</w:t>
      </w:r>
      <w:r w:rsidR="00F94FD3">
        <w:rPr>
          <w:rStyle w:val="FootnoteReference"/>
          <w:color w:val="000000" w:themeColor="text1"/>
          <w:sz w:val="24"/>
          <w:szCs w:val="24"/>
        </w:rPr>
        <w:footnoteReference w:id="14"/>
      </w:r>
    </w:p>
    <w:p w14:paraId="62992CCE" w14:textId="26A9EB82" w:rsidR="00703A1C" w:rsidRDefault="00EB540A" w:rsidP="00703A1C">
      <w:pPr>
        <w:numPr>
          <w:ilvl w:val="0"/>
          <w:numId w:val="12"/>
        </w:numPr>
        <w:spacing w:after="120"/>
        <w:ind w:left="360"/>
        <w:jc w:val="both"/>
        <w:rPr>
          <w:color w:val="000000" w:themeColor="text1"/>
          <w:sz w:val="24"/>
          <w:szCs w:val="24"/>
        </w:rPr>
      </w:pPr>
      <w:r>
        <w:rPr>
          <w:color w:val="000000" w:themeColor="text1"/>
          <w:sz w:val="24"/>
          <w:szCs w:val="24"/>
        </w:rPr>
        <w:t xml:space="preserve">Although there is a law to address violence against women, research shows that it has not effectively stemmed the rates of domestic violence. </w:t>
      </w:r>
      <w:r w:rsidR="2E5E99CD" w:rsidRPr="62C71F87">
        <w:rPr>
          <w:color w:val="000000" w:themeColor="text1"/>
          <w:sz w:val="24"/>
          <w:szCs w:val="24"/>
        </w:rPr>
        <w:t>The Latin America Working Group Education Fund found “no significant reduction of domestic violence” since the Reformed Law on Violence Against Women was implemented in 2006.</w:t>
      </w:r>
      <w:r w:rsidR="5E8A2C91" w:rsidRPr="62C71F87">
        <w:rPr>
          <w:rStyle w:val="FootnoteReference"/>
          <w:color w:val="000000" w:themeColor="text1"/>
          <w:sz w:val="24"/>
          <w:szCs w:val="24"/>
        </w:rPr>
        <w:footnoteReference w:id="15"/>
      </w:r>
      <w:r w:rsidR="2E5E99CD" w:rsidRPr="62C71F87">
        <w:rPr>
          <w:color w:val="000000" w:themeColor="text1"/>
          <w:sz w:val="24"/>
          <w:szCs w:val="24"/>
        </w:rPr>
        <w:t xml:space="preserve"> Data from the Honduran Courts of Peace and Letters show that between 2008 and 2015, Honduras experienced a 390% increase in cases of domestic violence.</w:t>
      </w:r>
      <w:r w:rsidR="5E8A2C91" w:rsidRPr="62C71F87">
        <w:rPr>
          <w:rStyle w:val="FootnoteReference"/>
          <w:color w:val="000000" w:themeColor="text1"/>
          <w:sz w:val="24"/>
          <w:szCs w:val="24"/>
        </w:rPr>
        <w:footnoteReference w:id="16"/>
      </w:r>
    </w:p>
    <w:p w14:paraId="1AECB967" w14:textId="0BC7E331" w:rsidR="00703A1C" w:rsidRPr="00703A1C" w:rsidRDefault="00703A1C" w:rsidP="00703A1C">
      <w:pPr>
        <w:pStyle w:val="ListParagraph"/>
        <w:numPr>
          <w:ilvl w:val="0"/>
          <w:numId w:val="17"/>
        </w:numPr>
        <w:spacing w:after="120"/>
        <w:jc w:val="both"/>
        <w:rPr>
          <w:rFonts w:ascii="Times New Roman" w:hAnsi="Times New Roman"/>
          <w:color w:val="000000" w:themeColor="text1"/>
          <w:sz w:val="24"/>
          <w:szCs w:val="24"/>
        </w:rPr>
      </w:pPr>
      <w:r w:rsidRPr="00703A1C">
        <w:rPr>
          <w:rFonts w:ascii="Times New Roman" w:hAnsi="Times New Roman"/>
          <w:color w:val="000000" w:themeColor="text1"/>
          <w:sz w:val="24"/>
          <w:szCs w:val="24"/>
        </w:rPr>
        <w:t>Lack of Accountability</w:t>
      </w:r>
    </w:p>
    <w:p w14:paraId="13043EDA" w14:textId="191B70BD" w:rsidR="00E3236A" w:rsidRDefault="18831ABF" w:rsidP="00E3236A">
      <w:pPr>
        <w:numPr>
          <w:ilvl w:val="0"/>
          <w:numId w:val="12"/>
        </w:numPr>
        <w:spacing w:after="120"/>
        <w:ind w:left="360"/>
        <w:jc w:val="both"/>
        <w:rPr>
          <w:color w:val="000000" w:themeColor="text1"/>
          <w:sz w:val="24"/>
          <w:szCs w:val="24"/>
        </w:rPr>
      </w:pPr>
      <w:r w:rsidRPr="6E67D825">
        <w:rPr>
          <w:color w:val="auto"/>
          <w:sz w:val="24"/>
          <w:szCs w:val="24"/>
        </w:rPr>
        <w:t>The UN Working Group on the Issue of Discrimination Against Women in Law</w:t>
      </w:r>
      <w:r w:rsidR="0D531E6D" w:rsidRPr="6E67D825">
        <w:rPr>
          <w:color w:val="auto"/>
          <w:sz w:val="24"/>
          <w:szCs w:val="24"/>
        </w:rPr>
        <w:t xml:space="preserve"> </w:t>
      </w:r>
      <w:r w:rsidRPr="6E67D825">
        <w:rPr>
          <w:color w:val="auto"/>
          <w:sz w:val="24"/>
          <w:szCs w:val="24"/>
        </w:rPr>
        <w:t>and Practice reported that the government had created gender units in police forces, the Inter-Institutional Commission on Femicide, and the C</w:t>
      </w:r>
      <w:r w:rsidR="00C75CD4">
        <w:rPr>
          <w:color w:val="auto"/>
          <w:sz w:val="24"/>
          <w:szCs w:val="24"/>
        </w:rPr>
        <w:t>iu</w:t>
      </w:r>
      <w:r w:rsidRPr="6E67D825">
        <w:rPr>
          <w:color w:val="auto"/>
          <w:sz w:val="24"/>
          <w:szCs w:val="24"/>
        </w:rPr>
        <w:t xml:space="preserve">dad Mujer services project to address gender-based </w:t>
      </w:r>
      <w:r w:rsidRPr="6E67D825">
        <w:rPr>
          <w:color w:val="auto"/>
          <w:sz w:val="24"/>
          <w:szCs w:val="24"/>
        </w:rPr>
        <w:lastRenderedPageBreak/>
        <w:t>violence against women.</w:t>
      </w:r>
      <w:r w:rsidRPr="6E67D825">
        <w:rPr>
          <w:rStyle w:val="FootnoteReference"/>
          <w:color w:val="auto"/>
          <w:sz w:val="24"/>
          <w:szCs w:val="24"/>
        </w:rPr>
        <w:footnoteReference w:id="17"/>
      </w:r>
      <w:r w:rsidR="209D74EE" w:rsidRPr="493B5071">
        <w:rPr>
          <w:rStyle w:val="FootnoteReference"/>
          <w:color w:val="auto"/>
          <w:sz w:val="24"/>
          <w:szCs w:val="24"/>
        </w:rPr>
        <w:t xml:space="preserve"> </w:t>
      </w:r>
      <w:r w:rsidRPr="6E67D825">
        <w:rPr>
          <w:color w:val="auto"/>
          <w:sz w:val="24"/>
          <w:szCs w:val="24"/>
        </w:rPr>
        <w:t xml:space="preserve">Despite these efforts, </w:t>
      </w:r>
      <w:r w:rsidR="00703352">
        <w:rPr>
          <w:color w:val="auto"/>
          <w:sz w:val="24"/>
          <w:szCs w:val="24"/>
        </w:rPr>
        <w:t xml:space="preserve">a general fear </w:t>
      </w:r>
      <w:r w:rsidRPr="6E67D825">
        <w:rPr>
          <w:color w:val="auto"/>
          <w:sz w:val="24"/>
          <w:szCs w:val="24"/>
        </w:rPr>
        <w:t>of reporting and lack of responsiveness to reports</w:t>
      </w:r>
      <w:r w:rsidR="00703352">
        <w:rPr>
          <w:color w:val="auto"/>
          <w:sz w:val="24"/>
          <w:szCs w:val="24"/>
        </w:rPr>
        <w:t xml:space="preserve"> contributes to </w:t>
      </w:r>
      <w:r w:rsidR="00FE6C52">
        <w:rPr>
          <w:color w:val="auto"/>
          <w:sz w:val="24"/>
          <w:szCs w:val="24"/>
        </w:rPr>
        <w:t>pervasive</w:t>
      </w:r>
      <w:r w:rsidR="00703352">
        <w:rPr>
          <w:color w:val="auto"/>
          <w:sz w:val="24"/>
          <w:szCs w:val="24"/>
        </w:rPr>
        <w:t xml:space="preserve"> domestic violence and femicides.</w:t>
      </w:r>
    </w:p>
    <w:p w14:paraId="52F02878" w14:textId="1BCFC1C8" w:rsidR="006648BE" w:rsidRPr="00E3236A" w:rsidRDefault="006648BE" w:rsidP="00E3236A">
      <w:pPr>
        <w:numPr>
          <w:ilvl w:val="0"/>
          <w:numId w:val="12"/>
        </w:numPr>
        <w:spacing w:after="120"/>
        <w:ind w:left="360"/>
        <w:jc w:val="both"/>
        <w:rPr>
          <w:rStyle w:val="FootnoteReference"/>
          <w:color w:val="000000" w:themeColor="text1"/>
          <w:sz w:val="24"/>
          <w:szCs w:val="24"/>
          <w:vertAlign w:val="baseline"/>
        </w:rPr>
      </w:pPr>
      <w:r w:rsidRPr="00E3236A">
        <w:rPr>
          <w:color w:val="auto"/>
          <w:sz w:val="24"/>
          <w:szCs w:val="24"/>
        </w:rPr>
        <w:t>L</w:t>
      </w:r>
      <w:r w:rsidRPr="00E3236A">
        <w:rPr>
          <w:rStyle w:val="FootnoteReference"/>
          <w:color w:val="auto"/>
          <w:sz w:val="24"/>
          <w:szCs w:val="24"/>
          <w:vertAlign w:val="baseline"/>
        </w:rPr>
        <w:t>ack of accountability exacerbates th</w:t>
      </w:r>
      <w:r w:rsidRPr="00E3236A">
        <w:rPr>
          <w:color w:val="auto"/>
          <w:sz w:val="24"/>
          <w:szCs w:val="24"/>
        </w:rPr>
        <w:t xml:space="preserve">e </w:t>
      </w:r>
      <w:r w:rsidRPr="00E3236A">
        <w:rPr>
          <w:rStyle w:val="FootnoteReference"/>
          <w:color w:val="auto"/>
          <w:sz w:val="24"/>
          <w:szCs w:val="24"/>
          <w:vertAlign w:val="baseline"/>
        </w:rPr>
        <w:t>problem</w:t>
      </w:r>
      <w:r w:rsidRPr="00E3236A">
        <w:rPr>
          <w:color w:val="auto"/>
          <w:sz w:val="24"/>
          <w:szCs w:val="24"/>
        </w:rPr>
        <w:t xml:space="preserve"> of femicide</w:t>
      </w:r>
      <w:r w:rsidRPr="00E3236A">
        <w:rPr>
          <w:rStyle w:val="FootnoteReference"/>
          <w:color w:val="auto"/>
          <w:sz w:val="24"/>
          <w:szCs w:val="24"/>
          <w:vertAlign w:val="baseline"/>
        </w:rPr>
        <w:t xml:space="preserve">. Perpetrators of femicide avoided </w:t>
      </w:r>
      <w:r w:rsidR="00A751AC">
        <w:rPr>
          <w:color w:val="auto"/>
          <w:sz w:val="24"/>
          <w:szCs w:val="24"/>
        </w:rPr>
        <w:t xml:space="preserve">punishment </w:t>
      </w:r>
      <w:r w:rsidRPr="00E3236A">
        <w:rPr>
          <w:rStyle w:val="FootnoteReference"/>
          <w:color w:val="auto"/>
          <w:sz w:val="24"/>
          <w:szCs w:val="24"/>
          <w:vertAlign w:val="baseline"/>
        </w:rPr>
        <w:t>in 90 percent of femicides over the last 15 years.</w:t>
      </w:r>
      <w:r w:rsidR="00CE251C">
        <w:rPr>
          <w:rStyle w:val="FootnoteReference"/>
          <w:color w:val="auto"/>
          <w:sz w:val="24"/>
          <w:szCs w:val="24"/>
        </w:rPr>
        <w:footnoteReference w:id="18"/>
      </w:r>
      <w:r w:rsidRPr="00E3236A">
        <w:rPr>
          <w:rStyle w:val="FootnoteReference"/>
          <w:color w:val="auto"/>
          <w:vertAlign w:val="baseline"/>
        </w:rPr>
        <w:t xml:space="preserve"> </w:t>
      </w:r>
      <w:r w:rsidRPr="00E3236A">
        <w:rPr>
          <w:rStyle w:val="FootnoteReference"/>
          <w:color w:val="auto"/>
          <w:sz w:val="24"/>
          <w:szCs w:val="24"/>
          <w:vertAlign w:val="baseline"/>
        </w:rPr>
        <w:t>High rates of impunity can be attributed to a lack of reporting due to economic dependence on the aggressor, delayed processing from law enforcement and judicial officials, insufficient training, and limited financial resources.</w:t>
      </w:r>
      <w:r w:rsidR="00CE251C">
        <w:rPr>
          <w:rStyle w:val="FootnoteReference"/>
          <w:color w:val="auto"/>
          <w:sz w:val="24"/>
          <w:szCs w:val="24"/>
        </w:rPr>
        <w:footnoteReference w:id="19"/>
      </w:r>
    </w:p>
    <w:p w14:paraId="5E6C7369" w14:textId="77777777" w:rsidR="006A1DF3" w:rsidRDefault="001D0B44" w:rsidP="6E67D825">
      <w:pPr>
        <w:numPr>
          <w:ilvl w:val="0"/>
          <w:numId w:val="12"/>
        </w:numPr>
        <w:spacing w:after="120"/>
        <w:ind w:left="360"/>
        <w:jc w:val="both"/>
        <w:rPr>
          <w:color w:val="000000" w:themeColor="text1"/>
          <w:sz w:val="24"/>
          <w:szCs w:val="24"/>
        </w:rPr>
      </w:pPr>
      <w:r w:rsidRPr="0CE34B87">
        <w:rPr>
          <w:color w:val="000000" w:themeColor="text1"/>
          <w:sz w:val="24"/>
          <w:szCs w:val="24"/>
        </w:rPr>
        <w:t xml:space="preserve">The experiences of The Advocates’ asylum clients illustrate </w:t>
      </w:r>
      <w:r w:rsidR="15B77BAA" w:rsidRPr="0CE34B87">
        <w:rPr>
          <w:color w:val="000000" w:themeColor="text1"/>
          <w:sz w:val="24"/>
          <w:szCs w:val="24"/>
        </w:rPr>
        <w:t xml:space="preserve">the failure of Honduran </w:t>
      </w:r>
      <w:r w:rsidR="00AF3676" w:rsidRPr="0CE34B87">
        <w:rPr>
          <w:color w:val="000000" w:themeColor="text1"/>
          <w:sz w:val="24"/>
          <w:szCs w:val="24"/>
        </w:rPr>
        <w:t>S</w:t>
      </w:r>
      <w:r w:rsidR="15B77BAA" w:rsidRPr="0CE34B87">
        <w:rPr>
          <w:color w:val="000000" w:themeColor="text1"/>
          <w:sz w:val="24"/>
          <w:szCs w:val="24"/>
        </w:rPr>
        <w:t xml:space="preserve">tate agencies to respond to complaints and adequately protect women. </w:t>
      </w:r>
      <w:r w:rsidR="00AF3676" w:rsidRPr="0CE34B87">
        <w:rPr>
          <w:color w:val="000000" w:themeColor="text1"/>
          <w:sz w:val="24"/>
          <w:szCs w:val="24"/>
        </w:rPr>
        <w:t>Ms. D is a 49-year-old Honduran woman who, along with</w:t>
      </w:r>
      <w:r w:rsidR="15B77BAA" w:rsidRPr="0CE34B87">
        <w:rPr>
          <w:color w:val="000000" w:themeColor="text1"/>
          <w:sz w:val="24"/>
          <w:szCs w:val="24"/>
        </w:rPr>
        <w:t xml:space="preserve"> her children</w:t>
      </w:r>
      <w:r w:rsidR="00AF3676" w:rsidRPr="0CE34B87">
        <w:rPr>
          <w:color w:val="000000" w:themeColor="text1"/>
          <w:sz w:val="24"/>
          <w:szCs w:val="24"/>
        </w:rPr>
        <w:t>,</w:t>
      </w:r>
      <w:r w:rsidR="15B77BAA" w:rsidRPr="0CE34B87">
        <w:rPr>
          <w:color w:val="000000" w:themeColor="text1"/>
          <w:sz w:val="24"/>
          <w:szCs w:val="24"/>
        </w:rPr>
        <w:t xml:space="preserve"> experienced physical and sexual abuse from her partner between 2004 and 2017. Her partner regularly beat and raped her</w:t>
      </w:r>
      <w:r w:rsidR="384AFEA9" w:rsidRPr="0CE34B87">
        <w:rPr>
          <w:color w:val="000000" w:themeColor="text1"/>
          <w:sz w:val="24"/>
          <w:szCs w:val="24"/>
        </w:rPr>
        <w:t xml:space="preserve"> </w:t>
      </w:r>
      <w:r w:rsidR="15B77BAA" w:rsidRPr="0CE34B87">
        <w:rPr>
          <w:color w:val="000000" w:themeColor="text1"/>
          <w:sz w:val="24"/>
          <w:szCs w:val="24"/>
        </w:rPr>
        <w:t>and on a number of occasions threatened her with his gun. After Ms. D ended the relationship, he continued to come to her house and attack her, refusing to accept that the relationship had ended. In 2017, Ms. D filed a human rights complaint with the National Directorate of Criminal Investigation (DGIC). She had resisted filing earlier due to threats from her partner that he would kill her if she tried to bring charges against him. In filing her complaint, Ms. D</w:t>
      </w:r>
      <w:r w:rsidR="5EAB2669" w:rsidRPr="0CE34B87">
        <w:rPr>
          <w:color w:val="000000" w:themeColor="text1"/>
          <w:sz w:val="24"/>
          <w:szCs w:val="24"/>
        </w:rPr>
        <w:t xml:space="preserve"> </w:t>
      </w:r>
      <w:r w:rsidR="15B77BAA" w:rsidRPr="0CE34B87">
        <w:rPr>
          <w:color w:val="000000" w:themeColor="text1"/>
          <w:sz w:val="24"/>
          <w:szCs w:val="24"/>
        </w:rPr>
        <w:t xml:space="preserve">wanted her partner to be arrested. The DGIC, a </w:t>
      </w:r>
      <w:r w:rsidR="00AF3676" w:rsidRPr="0CE34B87">
        <w:rPr>
          <w:color w:val="000000" w:themeColor="text1"/>
          <w:sz w:val="24"/>
          <w:szCs w:val="24"/>
        </w:rPr>
        <w:t>S</w:t>
      </w:r>
      <w:r w:rsidR="15B77BAA" w:rsidRPr="0CE34B87">
        <w:rPr>
          <w:color w:val="000000" w:themeColor="text1"/>
          <w:sz w:val="24"/>
          <w:szCs w:val="24"/>
        </w:rPr>
        <w:t>tate actor, did nothing in response to her complaint.</w:t>
      </w:r>
      <w:r w:rsidR="26E14DC9" w:rsidRPr="0CE34B87">
        <w:rPr>
          <w:color w:val="000000" w:themeColor="text1"/>
          <w:sz w:val="24"/>
          <w:szCs w:val="24"/>
        </w:rPr>
        <w:t xml:space="preserve"> </w:t>
      </w:r>
    </w:p>
    <w:p w14:paraId="772DE735" w14:textId="2277866B" w:rsidR="15B77BAA" w:rsidRDefault="15B77BAA" w:rsidP="6E67D825">
      <w:pPr>
        <w:numPr>
          <w:ilvl w:val="0"/>
          <w:numId w:val="12"/>
        </w:numPr>
        <w:spacing w:after="120"/>
        <w:ind w:left="360"/>
        <w:jc w:val="both"/>
        <w:rPr>
          <w:color w:val="000000" w:themeColor="text1"/>
          <w:sz w:val="24"/>
          <w:szCs w:val="24"/>
        </w:rPr>
      </w:pPr>
      <w:r w:rsidRPr="0CE34B87">
        <w:rPr>
          <w:color w:val="000000" w:themeColor="text1"/>
          <w:sz w:val="24"/>
          <w:szCs w:val="24"/>
        </w:rPr>
        <w:t>Ms. P is a Honduran woman whose case demonstrates the barriers women face in reporting abuse to state agencies. Ms. P met her boyfriend in 2016 when she was 16 and he was 18. After dating for two months, they moved in together. Her boyfriend became violent toward</w:t>
      </w:r>
      <w:r w:rsidR="6198B404" w:rsidRPr="0CE34B87">
        <w:rPr>
          <w:color w:val="000000" w:themeColor="text1"/>
          <w:sz w:val="24"/>
          <w:szCs w:val="24"/>
        </w:rPr>
        <w:t xml:space="preserve"> </w:t>
      </w:r>
      <w:r w:rsidRPr="0CE34B87">
        <w:rPr>
          <w:color w:val="000000" w:themeColor="text1"/>
          <w:sz w:val="24"/>
          <w:szCs w:val="24"/>
        </w:rPr>
        <w:t>her and began to abuse her</w:t>
      </w:r>
      <w:r w:rsidR="2C98A79B" w:rsidRPr="0CE34B87">
        <w:rPr>
          <w:color w:val="000000" w:themeColor="text1"/>
          <w:sz w:val="24"/>
          <w:szCs w:val="24"/>
        </w:rPr>
        <w:t xml:space="preserve"> </w:t>
      </w:r>
      <w:r w:rsidRPr="0CE34B87">
        <w:rPr>
          <w:color w:val="000000" w:themeColor="text1"/>
          <w:sz w:val="24"/>
          <w:szCs w:val="24"/>
        </w:rPr>
        <w:t>frequently. Her boyfriend was the head of the local gang. When the abuse began, he told her that it was because he “owned” her. The first time he abused her, he told her, “I am going to kill you.” He also hit their son. She went to the hospital two times after he had hit her head severely. He rarely let Ms. P leave the house and he prohibited her from seeing her family. She never sought police help because she was aware that gangs pay the police off.</w:t>
      </w:r>
    </w:p>
    <w:p w14:paraId="527FFEB1" w14:textId="1B7F733B" w:rsidR="00EA0EEB" w:rsidRDefault="00EA0EEB" w:rsidP="6E67D825">
      <w:pPr>
        <w:numPr>
          <w:ilvl w:val="0"/>
          <w:numId w:val="12"/>
        </w:numPr>
        <w:spacing w:after="120"/>
        <w:ind w:left="360"/>
        <w:jc w:val="both"/>
        <w:rPr>
          <w:b/>
          <w:bCs/>
          <w:color w:val="auto"/>
          <w:sz w:val="24"/>
          <w:szCs w:val="24"/>
        </w:rPr>
      </w:pPr>
      <w:r w:rsidRPr="0CE34B87">
        <w:rPr>
          <w:b/>
          <w:bCs/>
          <w:color w:val="auto"/>
          <w:sz w:val="24"/>
          <w:szCs w:val="24"/>
        </w:rPr>
        <w:t>Suggested questions</w:t>
      </w:r>
      <w:r w:rsidR="00524166" w:rsidRPr="0CE34B87">
        <w:rPr>
          <w:color w:val="auto"/>
          <w:sz w:val="24"/>
          <w:szCs w:val="24"/>
        </w:rPr>
        <w:t xml:space="preserve"> relating to </w:t>
      </w:r>
      <w:r w:rsidR="13B9B4D1" w:rsidRPr="0CE34B87">
        <w:rPr>
          <w:color w:val="auto"/>
          <w:sz w:val="24"/>
          <w:szCs w:val="24"/>
        </w:rPr>
        <w:t>violence against women</w:t>
      </w:r>
      <w:r w:rsidRPr="0CE34B87">
        <w:rPr>
          <w:color w:val="auto"/>
          <w:sz w:val="24"/>
          <w:szCs w:val="24"/>
        </w:rPr>
        <w:t>:</w:t>
      </w:r>
    </w:p>
    <w:p w14:paraId="479FA2EB" w14:textId="788D1457" w:rsidR="00415125" w:rsidRDefault="00415125" w:rsidP="6E67D825">
      <w:pPr>
        <w:numPr>
          <w:ilvl w:val="1"/>
          <w:numId w:val="12"/>
        </w:numPr>
        <w:jc w:val="both"/>
        <w:rPr>
          <w:color w:val="000000" w:themeColor="text1"/>
          <w:sz w:val="24"/>
          <w:szCs w:val="24"/>
        </w:rPr>
      </w:pPr>
      <w:r>
        <w:rPr>
          <w:sz w:val="24"/>
          <w:szCs w:val="24"/>
        </w:rPr>
        <w:t>Please provide information on the charges, acquittals, and sentences of domestic violence offenders.</w:t>
      </w:r>
    </w:p>
    <w:p w14:paraId="04EC62C5" w14:textId="5C65D0AA" w:rsidR="0659E1F8" w:rsidRDefault="0659E1F8" w:rsidP="6E67D825">
      <w:pPr>
        <w:numPr>
          <w:ilvl w:val="1"/>
          <w:numId w:val="12"/>
        </w:numPr>
        <w:jc w:val="both"/>
        <w:rPr>
          <w:color w:val="000000" w:themeColor="text1"/>
          <w:sz w:val="24"/>
          <w:szCs w:val="24"/>
        </w:rPr>
      </w:pPr>
      <w:r w:rsidRPr="0CE34B87">
        <w:rPr>
          <w:sz w:val="24"/>
          <w:szCs w:val="24"/>
        </w:rPr>
        <w:t>What policies and procedures are in place to ensure that victims of domestic violence are protected from their abusers, even without the involvement of criminal authorities? To what extent do these procedures allow for removal of the abuser, no contact in any way with the applicant, and for children to stay in the home with the applicant? What other measures does the State Party take to ensure the safety of victims of domestic violence apart from criminal measures?</w:t>
      </w:r>
    </w:p>
    <w:p w14:paraId="36FC993A" w14:textId="3E40C88F" w:rsidR="0659E1F8" w:rsidRDefault="0659E1F8" w:rsidP="6E67D825">
      <w:pPr>
        <w:numPr>
          <w:ilvl w:val="1"/>
          <w:numId w:val="12"/>
        </w:numPr>
        <w:jc w:val="both"/>
        <w:rPr>
          <w:color w:val="000000" w:themeColor="text1"/>
          <w:sz w:val="24"/>
          <w:szCs w:val="24"/>
        </w:rPr>
      </w:pPr>
      <w:r w:rsidRPr="0CE34B87">
        <w:rPr>
          <w:sz w:val="24"/>
          <w:szCs w:val="24"/>
        </w:rPr>
        <w:t>Please provide disaggregated data about domestic violence cases over the reporting period, separating cases by the gender, age, ethnic background, and relationships status of both the victim and the offender.</w:t>
      </w:r>
    </w:p>
    <w:p w14:paraId="49F7F19C" w14:textId="53BC27C9" w:rsidR="76DAE4E8" w:rsidRDefault="76DAE4E8" w:rsidP="6E67D825">
      <w:pPr>
        <w:numPr>
          <w:ilvl w:val="1"/>
          <w:numId w:val="12"/>
        </w:numPr>
        <w:jc w:val="both"/>
        <w:rPr>
          <w:color w:val="000000" w:themeColor="text1"/>
          <w:sz w:val="24"/>
          <w:szCs w:val="24"/>
        </w:rPr>
      </w:pPr>
      <w:r w:rsidRPr="0CE34B87">
        <w:rPr>
          <w:color w:val="000000" w:themeColor="text1"/>
          <w:sz w:val="24"/>
          <w:szCs w:val="24"/>
        </w:rPr>
        <w:lastRenderedPageBreak/>
        <w:t>Please provide disaggregated data about femicide cases over the reporting period, separating cases by the gender, age, ethnic background, and relationship status of both the victim and the offender.</w:t>
      </w:r>
    </w:p>
    <w:p w14:paraId="013CC526" w14:textId="03F22472" w:rsidR="553DE113" w:rsidRDefault="553DE113" w:rsidP="6E67D825">
      <w:pPr>
        <w:numPr>
          <w:ilvl w:val="1"/>
          <w:numId w:val="12"/>
        </w:numPr>
        <w:jc w:val="both"/>
        <w:rPr>
          <w:color w:val="000000" w:themeColor="text1"/>
          <w:sz w:val="24"/>
          <w:szCs w:val="24"/>
        </w:rPr>
      </w:pPr>
      <w:r w:rsidRPr="0CE34B87">
        <w:rPr>
          <w:sz w:val="24"/>
          <w:szCs w:val="24"/>
        </w:rPr>
        <w:t>Please provide information on the number of temporary preventive restraining orders issued by the police in the reporting period. Please also provide information about the preventive restraining orders issued by the court, as a percentage of the total respective cases initiated.</w:t>
      </w:r>
    </w:p>
    <w:p w14:paraId="1CD53262" w14:textId="7E09603B" w:rsidR="437E582B" w:rsidRDefault="437E582B" w:rsidP="6E67D825">
      <w:pPr>
        <w:numPr>
          <w:ilvl w:val="1"/>
          <w:numId w:val="12"/>
        </w:numPr>
        <w:jc w:val="both"/>
        <w:rPr>
          <w:color w:val="000000" w:themeColor="text1"/>
          <w:sz w:val="24"/>
          <w:szCs w:val="24"/>
        </w:rPr>
      </w:pPr>
      <w:r w:rsidRPr="493B5071">
        <w:rPr>
          <w:color w:val="000000" w:themeColor="text1"/>
          <w:sz w:val="24"/>
          <w:szCs w:val="24"/>
        </w:rPr>
        <w:t xml:space="preserve">How many shelter beds or positions are available to victims of domestic violence? </w:t>
      </w:r>
      <w:r w:rsidR="0659E1F8" w:rsidRPr="493B5071">
        <w:rPr>
          <w:color w:val="000000" w:themeColor="text1"/>
          <w:sz w:val="24"/>
          <w:szCs w:val="24"/>
        </w:rPr>
        <w:t xml:space="preserve">In addition to the seven shelters </w:t>
      </w:r>
      <w:r w:rsidR="0C85FCBB" w:rsidRPr="493B5071">
        <w:rPr>
          <w:color w:val="000000" w:themeColor="text1"/>
          <w:sz w:val="24"/>
          <w:szCs w:val="24"/>
        </w:rPr>
        <w:t>i</w:t>
      </w:r>
      <w:r w:rsidR="0659E1F8" w:rsidRPr="493B5071">
        <w:rPr>
          <w:color w:val="000000" w:themeColor="text1"/>
          <w:sz w:val="24"/>
          <w:szCs w:val="24"/>
        </w:rPr>
        <w:t>n the main cities, are there shelters accessible to individuals living in rural areas?</w:t>
      </w:r>
      <w:r w:rsidRPr="6E67D825">
        <w:rPr>
          <w:rStyle w:val="FootnoteReference"/>
          <w:color w:val="000000" w:themeColor="text1"/>
          <w:sz w:val="24"/>
          <w:szCs w:val="24"/>
        </w:rPr>
        <w:footnoteReference w:id="20"/>
      </w:r>
      <w:r w:rsidR="34E6C034" w:rsidRPr="493B5071">
        <w:rPr>
          <w:rStyle w:val="FootnoteReference"/>
          <w:color w:val="000000" w:themeColor="text1"/>
          <w:sz w:val="24"/>
          <w:szCs w:val="24"/>
          <w:vertAlign w:val="baseline"/>
        </w:rPr>
        <w:t xml:space="preserve"> </w:t>
      </w:r>
      <w:r w:rsidR="144E9C45" w:rsidRPr="493B5071">
        <w:rPr>
          <w:sz w:val="24"/>
          <w:szCs w:val="24"/>
        </w:rPr>
        <w:t>How does the State Party ensure that victims of domestic violence receive social and legal assistance proportionate to the scope of the need? What policies and procedures are in place to ensure that such assistance is accessible to victims and to minimize barriers to eligibility?</w:t>
      </w:r>
      <w:r w:rsidR="135E3E0C" w:rsidRPr="493B5071">
        <w:rPr>
          <w:sz w:val="24"/>
          <w:szCs w:val="24"/>
        </w:rPr>
        <w:t xml:space="preserve"> What forms of emergency financial assistance exist for victims of domestic violence?</w:t>
      </w:r>
    </w:p>
    <w:p w14:paraId="3343AE24" w14:textId="1924971A" w:rsidR="144E9C45" w:rsidRDefault="144E9C45" w:rsidP="6E67D825">
      <w:pPr>
        <w:numPr>
          <w:ilvl w:val="1"/>
          <w:numId w:val="12"/>
        </w:numPr>
        <w:jc w:val="both"/>
        <w:rPr>
          <w:color w:val="auto"/>
          <w:sz w:val="24"/>
          <w:szCs w:val="24"/>
        </w:rPr>
      </w:pPr>
      <w:r w:rsidRPr="0CE34B87">
        <w:rPr>
          <w:color w:val="auto"/>
          <w:sz w:val="24"/>
          <w:szCs w:val="24"/>
        </w:rPr>
        <w:t>What steps, if any, has the State Party taken to prioritize the safety of domestic violence victims during the coronavirus pandemic?</w:t>
      </w:r>
    </w:p>
    <w:p w14:paraId="25B84460" w14:textId="67BE08E1" w:rsidR="00F51AFD" w:rsidRPr="00E114C5" w:rsidRDefault="00F51AFD" w:rsidP="00006453">
      <w:pPr>
        <w:spacing w:before="240" w:after="120"/>
        <w:jc w:val="both"/>
        <w:rPr>
          <w:color w:val="000000" w:themeColor="text1"/>
        </w:rPr>
      </w:pPr>
    </w:p>
    <w:sectPr w:rsidR="00F51AFD" w:rsidRPr="00E114C5" w:rsidSect="004B1E4E">
      <w:headerReference w:type="default" r:id="rId11"/>
      <w:footerReference w:type="default" r:id="rId12"/>
      <w:headerReference w:type="first" r:id="rId13"/>
      <w:footerReference w:type="first" r:id="rId14"/>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FD06D" w14:textId="77777777" w:rsidR="0052143C" w:rsidRDefault="0052143C">
      <w:r>
        <w:separator/>
      </w:r>
    </w:p>
  </w:endnote>
  <w:endnote w:type="continuationSeparator" w:id="0">
    <w:p w14:paraId="27565453" w14:textId="77777777" w:rsidR="0052143C" w:rsidRDefault="0052143C">
      <w:r>
        <w:continuationSeparator/>
      </w:r>
    </w:p>
  </w:endnote>
  <w:endnote w:type="continuationNotice" w:id="1">
    <w:p w14:paraId="7CF6529C" w14:textId="77777777" w:rsidR="0052143C" w:rsidRDefault="00521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E842D" w14:textId="77777777" w:rsidR="00804604" w:rsidRDefault="0080460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596B08">
      <w:rPr>
        <w:noProof/>
      </w:rPr>
      <w:t>2</w:t>
    </w:r>
    <w:r>
      <w:rPr>
        <w:noProof/>
        <w:color w:val="2B579A"/>
        <w:shd w:val="clear" w:color="auto" w:fill="E6E6E6"/>
      </w:rPr>
      <w:fldChar w:fldCharType="end"/>
    </w:r>
  </w:p>
  <w:p w14:paraId="58619FE4" w14:textId="77777777" w:rsidR="00804604" w:rsidRPr="00C26130" w:rsidRDefault="00804604" w:rsidP="00C26130">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4F455" w14:textId="7C175D44" w:rsidR="00804604" w:rsidRPr="000F3447" w:rsidRDefault="0030436E" w:rsidP="000F3447">
    <w:pPr>
      <w:widowControl w:val="0"/>
      <w:jc w:val="center"/>
      <w:rPr>
        <w:color w:val="333333"/>
        <w:lang w:val="en"/>
      </w:rPr>
    </w:pPr>
    <w:r w:rsidRPr="000F3447">
      <w:rPr>
        <w:noProof/>
        <w:color w:val="800080"/>
        <w:shd w:val="clear" w:color="auto" w:fill="E6E6E6"/>
      </w:rPr>
      <mc:AlternateContent>
        <mc:Choice Requires="wps">
          <w:drawing>
            <wp:anchor distT="0" distB="0" distL="114300" distR="114300" simplePos="0" relativeHeight="251658241" behindDoc="0" locked="0" layoutInCell="1" allowOverlap="1" wp14:anchorId="55503B75" wp14:editId="5C672586">
              <wp:simplePos x="0" y="0"/>
              <wp:positionH relativeFrom="column">
                <wp:posOffset>-356235</wp:posOffset>
              </wp:positionH>
              <wp:positionV relativeFrom="paragraph">
                <wp:posOffset>132715</wp:posOffset>
              </wp:positionV>
              <wp:extent cx="6649720" cy="0"/>
              <wp:effectExtent l="5715" t="8890" r="12065"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97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w16sdtdh="http://schemas.microsoft.com/office/word/2020/wordml/sdtdatahash">
          <w:pict w14:anchorId="0E84A166">
            <v:line id="Line 1"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33" from="-28.05pt,10.45pt" to="495.55pt,10.45pt" w14:anchorId="6A63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"/>
          </w:pict>
        </mc:Fallback>
      </mc:AlternateContent>
    </w:r>
  </w:p>
  <w:p w14:paraId="398E6893" w14:textId="77777777" w:rsidR="00804604" w:rsidRPr="000F3447" w:rsidRDefault="00804604" w:rsidP="000F3447">
    <w:pPr>
      <w:widowControl w:val="0"/>
      <w:jc w:val="center"/>
      <w:rPr>
        <w:i/>
        <w:iCs/>
        <w:color w:val="542344"/>
        <w:lang w:val="en"/>
      </w:rPr>
    </w:pPr>
    <w:r w:rsidRPr="000F3447">
      <w:rPr>
        <w:color w:val="333333"/>
        <w:lang w:val="en"/>
      </w:rPr>
      <w:t>330 Second Avenue South • Suite 800 • Minneapo</w:t>
    </w:r>
    <w:r w:rsidR="000C380B" w:rsidRPr="000F3447">
      <w:rPr>
        <w:color w:val="333333"/>
        <w:lang w:val="en"/>
      </w:rPr>
      <w:t xml:space="preserve">lis, MN </w:t>
    </w:r>
    <w:r w:rsidRPr="000F3447">
      <w:rPr>
        <w:color w:val="333333"/>
        <w:lang w:val="en"/>
      </w:rPr>
      <w:t>55401</w:t>
    </w:r>
    <w:r w:rsidR="000C380B" w:rsidRPr="000F3447">
      <w:rPr>
        <w:color w:val="333333"/>
        <w:lang w:val="en"/>
      </w:rPr>
      <w:t xml:space="preserve"> </w:t>
    </w:r>
    <w:r w:rsidRPr="000F3447">
      <w:rPr>
        <w:color w:val="333333"/>
        <w:lang w:val="en"/>
      </w:rPr>
      <w:t>• USA</w:t>
    </w:r>
  </w:p>
  <w:p w14:paraId="274EA772" w14:textId="77777777" w:rsidR="00804604" w:rsidRPr="000F3447" w:rsidRDefault="00804604" w:rsidP="000F3447">
    <w:pPr>
      <w:widowControl w:val="0"/>
      <w:jc w:val="center"/>
      <w:rPr>
        <w:color w:val="333333"/>
        <w:lang w:val="en"/>
      </w:rPr>
    </w:pPr>
    <w:r w:rsidRPr="000F3447">
      <w:rPr>
        <w:color w:val="333333"/>
        <w:lang w:val="en"/>
      </w:rPr>
      <w:t>Tel</w:t>
    </w:r>
    <w:r w:rsidR="000F3447">
      <w:rPr>
        <w:color w:val="333333"/>
        <w:lang w:val="en"/>
      </w:rPr>
      <w:t xml:space="preserve">: </w:t>
    </w:r>
    <w:r w:rsidR="0009644E" w:rsidRPr="000F3447">
      <w:rPr>
        <w:color w:val="333333"/>
        <w:lang w:val="en"/>
      </w:rPr>
      <w:t>612-341-</w:t>
    </w:r>
    <w:r w:rsidR="00AD0AA1" w:rsidRPr="000F3447">
      <w:rPr>
        <w:color w:val="333333"/>
        <w:lang w:val="en"/>
      </w:rPr>
      <w:t>3302</w:t>
    </w:r>
    <w:r w:rsidRPr="000F3447">
      <w:rPr>
        <w:color w:val="333333"/>
        <w:lang w:val="en"/>
      </w:rPr>
      <w:t xml:space="preserve"> •</w:t>
    </w:r>
    <w:r w:rsidR="0009644E" w:rsidRPr="000F3447">
      <w:rPr>
        <w:color w:val="333333"/>
        <w:lang w:val="en"/>
      </w:rPr>
      <w:t xml:space="preserve"> Fax:  612-341-</w:t>
    </w:r>
    <w:r w:rsidRPr="000F3447">
      <w:rPr>
        <w:color w:val="333333"/>
        <w:lang w:val="en"/>
      </w:rPr>
      <w:t>2971 •</w:t>
    </w:r>
    <w:r w:rsidR="00AD0AA1" w:rsidRPr="000F3447">
      <w:rPr>
        <w:color w:val="333333"/>
        <w:lang w:val="en"/>
      </w:rPr>
      <w:t xml:space="preserve"> Email: hrights@advrights.org</w:t>
    </w:r>
    <w:r w:rsidRPr="000F3447">
      <w:rPr>
        <w:color w:val="333333"/>
        <w:lang w:val="en"/>
      </w:rPr>
      <w:t xml:space="preserve"> •</w:t>
    </w:r>
    <w:r w:rsidR="000F3447" w:rsidRPr="000F3447">
      <w:rPr>
        <w:color w:val="333333"/>
        <w:lang w:val="en"/>
      </w:rPr>
      <w:t xml:space="preserve"> </w:t>
    </w:r>
    <w:r w:rsidR="0009644E" w:rsidRPr="000F3447">
      <w:rPr>
        <w:color w:val="333333"/>
        <w:lang w:val="en"/>
      </w:rPr>
      <w:t>www.TheAdvocatesForHumanR</w:t>
    </w:r>
    <w:r w:rsidRPr="000F3447">
      <w:rPr>
        <w:color w:val="333333"/>
        <w:lang w:val="en"/>
      </w:rPr>
      <w:t>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8B276" w14:textId="77777777" w:rsidR="0052143C" w:rsidRDefault="0052143C">
      <w:r>
        <w:separator/>
      </w:r>
    </w:p>
  </w:footnote>
  <w:footnote w:type="continuationSeparator" w:id="0">
    <w:p w14:paraId="6094208A" w14:textId="77777777" w:rsidR="0052143C" w:rsidRDefault="0052143C">
      <w:r>
        <w:continuationSeparator/>
      </w:r>
    </w:p>
  </w:footnote>
  <w:footnote w:type="continuationNotice" w:id="1">
    <w:p w14:paraId="050BB6F2" w14:textId="77777777" w:rsidR="0052143C" w:rsidRDefault="0052143C"/>
  </w:footnote>
  <w:footnote w:id="2">
    <w:p w14:paraId="312F7173" w14:textId="57D88A52" w:rsidR="6E67D825" w:rsidRDefault="6E67D825" w:rsidP="007958FE">
      <w:pPr>
        <w:pStyle w:val="FootnoteText"/>
      </w:pPr>
      <w:r w:rsidRPr="6E67D825">
        <w:rPr>
          <w:rStyle w:val="FootnoteReference"/>
          <w:color w:val="000000" w:themeColor="text1"/>
        </w:rPr>
        <w:footnoteRef/>
      </w:r>
      <w:r w:rsidRPr="6E67D825">
        <w:rPr>
          <w:color w:val="000000" w:themeColor="text1"/>
        </w:rPr>
        <w:t xml:space="preserve"> </w:t>
      </w:r>
      <w:r w:rsidRPr="6E67D825">
        <w:t xml:space="preserve">Office of the High Commissioner for Human Rights, Report of the Working Group on the issue of discrimination against women in law and in practice, (May 8, 2019), U.N. Doc A/HRC/41/33/Add. 1, </w:t>
      </w:r>
      <w:r>
        <w:t>⁋ 53.</w:t>
      </w:r>
    </w:p>
  </w:footnote>
  <w:footnote w:id="3">
    <w:p w14:paraId="41D31251" w14:textId="45F20452" w:rsidR="6E67D825" w:rsidRDefault="6E67D825" w:rsidP="007958FE">
      <w:pPr>
        <w:pStyle w:val="FootnoteText"/>
        <w:rPr>
          <w:color w:val="000000" w:themeColor="text1"/>
        </w:rPr>
      </w:pPr>
      <w:r w:rsidRPr="6E67D825">
        <w:rPr>
          <w:rStyle w:val="FootnoteReference"/>
          <w:color w:val="000000" w:themeColor="text1"/>
        </w:rPr>
        <w:footnoteRef/>
      </w:r>
      <w:r w:rsidRPr="6E67D825">
        <w:rPr>
          <w:color w:val="000000" w:themeColor="text1"/>
        </w:rPr>
        <w:t xml:space="preserve"> </w:t>
      </w:r>
      <w:r w:rsidRPr="6E67D825">
        <w:t>Latin America Working Group Education Fund, “Left in the Dark: Violence Against Women and LGBTI Persons in Honduras and El Salvador,” accessed Jul. 18, 2019, https://www.lawg.org/left-in-the-dark-violence-againstwomen-and-lgbti-persons-in-honduras-and-el-salvador/.</w:t>
      </w:r>
    </w:p>
  </w:footnote>
  <w:footnote w:id="4">
    <w:p w14:paraId="0EE4B76F" w14:textId="34BA9BE7" w:rsidR="6E67D825" w:rsidRDefault="6E67D825" w:rsidP="007958FE">
      <w:pPr>
        <w:pStyle w:val="FootnoteText"/>
        <w:rPr>
          <w:color w:val="000000" w:themeColor="text1"/>
        </w:rPr>
      </w:pPr>
      <w:r w:rsidRPr="6E67D825">
        <w:rPr>
          <w:rStyle w:val="FootnoteReference"/>
          <w:color w:val="000000" w:themeColor="text1"/>
        </w:rPr>
        <w:footnoteRef/>
      </w:r>
      <w:r w:rsidRPr="6E67D825">
        <w:rPr>
          <w:color w:val="000000" w:themeColor="text1"/>
        </w:rPr>
        <w:t xml:space="preserve"> Ibid.</w:t>
      </w:r>
    </w:p>
  </w:footnote>
  <w:footnote w:id="5">
    <w:p w14:paraId="273F0C1A" w14:textId="6BE9BF60" w:rsidR="6E67D825" w:rsidRDefault="6E67D825" w:rsidP="007958FE">
      <w:pPr>
        <w:pStyle w:val="FootnoteText"/>
        <w:rPr>
          <w:color w:val="000000" w:themeColor="text1"/>
        </w:rPr>
      </w:pPr>
      <w:r w:rsidRPr="6E67D825">
        <w:rPr>
          <w:rStyle w:val="FootnoteReference"/>
          <w:color w:val="000000" w:themeColor="text1"/>
        </w:rPr>
        <w:footnoteRef/>
      </w:r>
      <w:r w:rsidRPr="6E67D825">
        <w:rPr>
          <w:color w:val="000000" w:themeColor="text1"/>
        </w:rPr>
        <w:t xml:space="preserve"> </w:t>
      </w:r>
      <w:r w:rsidRPr="6E67D825">
        <w:t>Convention on the Elimination of Discrimination Against Women, 1979, Art. 1.; Committee on the Elimination of Discrimination Against Women, General Recommendation No. 19: Violence Against Women, (1992) U.N. Doc. INT_CEDAW_GEC_3731_E, ¶ 6.</w:t>
      </w:r>
    </w:p>
  </w:footnote>
  <w:footnote w:id="6">
    <w:p w14:paraId="24D622C2" w14:textId="1CC8D2D8" w:rsidR="6E67D825" w:rsidRDefault="6E67D825" w:rsidP="007958FE">
      <w:pPr>
        <w:pStyle w:val="FootnoteText"/>
        <w:rPr>
          <w:color w:val="000000" w:themeColor="text1"/>
        </w:rPr>
      </w:pPr>
      <w:r w:rsidRPr="6E67D825">
        <w:rPr>
          <w:rStyle w:val="FootnoteReference"/>
          <w:color w:val="000000" w:themeColor="text1"/>
        </w:rPr>
        <w:footnoteRef/>
      </w:r>
      <w:r w:rsidRPr="6E67D825">
        <w:rPr>
          <w:color w:val="000000" w:themeColor="text1"/>
        </w:rPr>
        <w:t xml:space="preserve"> </w:t>
      </w:r>
      <w:r w:rsidRPr="6E67D825">
        <w:t>Convention on the Elimination of Discrimination Against Women, 1979, Art. 15.</w:t>
      </w:r>
    </w:p>
  </w:footnote>
  <w:footnote w:id="7">
    <w:p w14:paraId="67EA02FF" w14:textId="15BC12AE" w:rsidR="6E67D825" w:rsidRDefault="6E67D825" w:rsidP="007958FE">
      <w:pPr>
        <w:pStyle w:val="FootnoteText"/>
      </w:pPr>
      <w:r w:rsidRPr="6E67D825">
        <w:rPr>
          <w:rStyle w:val="FootnoteReference"/>
          <w:color w:val="000000" w:themeColor="text1"/>
        </w:rPr>
        <w:footnoteRef/>
      </w:r>
      <w:r w:rsidR="62C71F87" w:rsidRPr="6E67D825">
        <w:rPr>
          <w:color w:val="000000" w:themeColor="text1"/>
        </w:rPr>
        <w:t xml:space="preserve">  </w:t>
      </w:r>
      <w:r w:rsidR="62C71F87" w:rsidRPr="62C71F87">
        <w:rPr>
          <w:color w:val="000000" w:themeColor="text1"/>
        </w:rPr>
        <w:t>Committee on the Elimination of Discrimination against Women</w:t>
      </w:r>
      <w:r w:rsidR="62C71F87" w:rsidRPr="62C71F87">
        <w:rPr>
          <w:i/>
          <w:iCs/>
        </w:rPr>
        <w:t>, Concluding observations on the combined seventh and eighth periodic reports of Honduras, adopted by the Committee at its 1447</w:t>
      </w:r>
      <w:r w:rsidR="62C71F87" w:rsidRPr="62C71F87">
        <w:rPr>
          <w:i/>
          <w:iCs/>
          <w:vertAlign w:val="superscript"/>
        </w:rPr>
        <w:t>th</w:t>
      </w:r>
      <w:r w:rsidR="62C71F87" w:rsidRPr="62C71F87">
        <w:rPr>
          <w:i/>
          <w:iCs/>
        </w:rPr>
        <w:t xml:space="preserve"> and 1448</w:t>
      </w:r>
      <w:r w:rsidR="62C71F87" w:rsidRPr="62C71F87">
        <w:rPr>
          <w:i/>
          <w:iCs/>
          <w:vertAlign w:val="superscript"/>
        </w:rPr>
        <w:t>th</w:t>
      </w:r>
      <w:r w:rsidR="62C71F87" w:rsidRPr="62C71F87">
        <w:rPr>
          <w:i/>
          <w:iCs/>
        </w:rPr>
        <w:t xml:space="preserve"> meetings</w:t>
      </w:r>
      <w:r w:rsidR="62C71F87">
        <w:t xml:space="preserve"> (3 November 2016), U.N. Doc. CEDAW/C/HND/CO/7-8, ⁋ 5(a) and (b).</w:t>
      </w:r>
    </w:p>
  </w:footnote>
  <w:footnote w:id="8">
    <w:p w14:paraId="20EB0857" w14:textId="51E0F2FF" w:rsidR="6E67D825" w:rsidRDefault="6E67D825" w:rsidP="007958FE">
      <w:pPr>
        <w:pStyle w:val="FootnoteText"/>
        <w:rPr>
          <w:color w:val="000000" w:themeColor="text1"/>
        </w:rPr>
      </w:pPr>
      <w:r w:rsidRPr="6E67D825">
        <w:rPr>
          <w:rStyle w:val="FootnoteReference"/>
          <w:color w:val="000000" w:themeColor="text1"/>
        </w:rPr>
        <w:footnoteRef/>
      </w:r>
      <w:r w:rsidRPr="6E67D825">
        <w:rPr>
          <w:color w:val="000000" w:themeColor="text1"/>
        </w:rPr>
        <w:t xml:space="preserve"> Ibid., 22(a) and (d).</w:t>
      </w:r>
    </w:p>
  </w:footnote>
  <w:footnote w:id="9">
    <w:p w14:paraId="65441ADD" w14:textId="2159A366" w:rsidR="6E67D825" w:rsidRDefault="6E67D825" w:rsidP="007958FE">
      <w:pPr>
        <w:pStyle w:val="FootnoteText"/>
        <w:rPr>
          <w:color w:val="000000" w:themeColor="text1"/>
        </w:rPr>
      </w:pPr>
      <w:r w:rsidRPr="6E67D825">
        <w:rPr>
          <w:rStyle w:val="FootnoteReference"/>
          <w:color w:val="000000" w:themeColor="text1"/>
        </w:rPr>
        <w:footnoteRef/>
      </w:r>
      <w:r w:rsidRPr="6E67D825">
        <w:rPr>
          <w:color w:val="000000" w:themeColor="text1"/>
        </w:rPr>
        <w:t xml:space="preserve"> </w:t>
      </w:r>
      <w:r w:rsidRPr="6E67D825">
        <w:t>Committee on the Elimination of Discrimination against Women, Ninth periodic report submitted by Honduras under article 18 of the Convention, due in 2020, (17 December 2020), UN Doc. CEDAW/C/HND/9, ¶ 29.</w:t>
      </w:r>
    </w:p>
  </w:footnote>
  <w:footnote w:id="10">
    <w:p w14:paraId="24527D67" w14:textId="50470CF0" w:rsidR="6E67D825" w:rsidRDefault="6E67D825" w:rsidP="007958FE">
      <w:pPr>
        <w:pStyle w:val="FootnoteText"/>
      </w:pPr>
      <w:r w:rsidRPr="6E67D825">
        <w:rPr>
          <w:rStyle w:val="FootnoteReference"/>
          <w:color w:val="000000" w:themeColor="text1"/>
        </w:rPr>
        <w:footnoteRef/>
      </w:r>
      <w:r w:rsidR="00CA2188">
        <w:t xml:space="preserve"> Ibid</w:t>
      </w:r>
      <w:r w:rsidRPr="6E67D825">
        <w:t>, ¶ 92.</w:t>
      </w:r>
    </w:p>
  </w:footnote>
  <w:footnote w:id="11">
    <w:p w14:paraId="58864F42" w14:textId="74794AD2" w:rsidR="6E67D825" w:rsidRPr="001A338D" w:rsidRDefault="6E67D825" w:rsidP="001A338D">
      <w:pPr>
        <w:rPr>
          <w:sz w:val="24"/>
          <w:szCs w:val="24"/>
        </w:rPr>
      </w:pPr>
      <w:r w:rsidRPr="6E67D825">
        <w:rPr>
          <w:rStyle w:val="FootnoteReference"/>
          <w:color w:val="000000" w:themeColor="text1"/>
        </w:rPr>
        <w:footnoteRef/>
      </w:r>
      <w:r w:rsidR="493B5071" w:rsidRPr="6E67D825">
        <w:rPr>
          <w:color w:val="000000" w:themeColor="text1"/>
        </w:rPr>
        <w:t xml:space="preserve"> </w:t>
      </w:r>
      <w:r w:rsidR="493B5071" w:rsidRPr="00657FE4">
        <w:t>Human Rights Watch, “Honduras: Events of 2020,” accessed June 7, 2021, https://www.hrw.org/world-report/2021/country-chapters/honduras.</w:t>
      </w:r>
    </w:p>
  </w:footnote>
  <w:footnote w:id="12">
    <w:p w14:paraId="55BC286F" w14:textId="0B67E0F9" w:rsidR="00083E48" w:rsidRDefault="00083E48">
      <w:pPr>
        <w:pStyle w:val="FootnoteText"/>
      </w:pPr>
      <w:r>
        <w:rPr>
          <w:rStyle w:val="FootnoteReference"/>
        </w:rPr>
        <w:footnoteRef/>
      </w:r>
      <w:r>
        <w:t xml:space="preserve"> </w:t>
      </w:r>
      <w:r w:rsidR="00873C29">
        <w:t xml:space="preserve">Marlon González, “Honduras investigates police in case of murdered student,” </w:t>
      </w:r>
      <w:r w:rsidR="00C003A1">
        <w:t xml:space="preserve">accessed June 4, 2021, </w:t>
      </w:r>
      <w:r w:rsidR="001A338D" w:rsidRPr="6E67D825">
        <w:rPr>
          <w:color w:val="000000" w:themeColor="text1"/>
        </w:rPr>
        <w:t>https://apnews.com/article/tegucigalpa-honduras-health-coronavirus-pandemic-arrests-746174e9327b4fc22ae820e64e2ff4d8</w:t>
      </w:r>
      <w:r w:rsidR="00C003A1">
        <w:rPr>
          <w:color w:val="000000" w:themeColor="text1"/>
        </w:rPr>
        <w:t>.</w:t>
      </w:r>
    </w:p>
  </w:footnote>
  <w:footnote w:id="13">
    <w:p w14:paraId="42C6D9E7" w14:textId="40375285" w:rsidR="6E67D825" w:rsidRDefault="6E67D825" w:rsidP="007958FE">
      <w:pPr>
        <w:pStyle w:val="FootnoteText"/>
        <w:rPr>
          <w:color w:val="000000" w:themeColor="text1"/>
        </w:rPr>
      </w:pPr>
      <w:r w:rsidRPr="6E67D825">
        <w:rPr>
          <w:rStyle w:val="FootnoteReference"/>
          <w:color w:val="000000" w:themeColor="text1"/>
        </w:rPr>
        <w:footnoteRef/>
      </w:r>
      <w:r w:rsidR="62C71F87" w:rsidRPr="6E67D825">
        <w:rPr>
          <w:color w:val="000000" w:themeColor="text1"/>
        </w:rPr>
        <w:t xml:space="preserve"> U.S. Department of State</w:t>
      </w:r>
      <w:r w:rsidR="62C71F87" w:rsidRPr="62C71F87">
        <w:rPr>
          <w:color w:val="000000" w:themeColor="text1"/>
        </w:rPr>
        <w:t>, “2020 Country Report on Human Rights Practices: Honduras,” accessed June 3, 2021, https://www.state.gov/reports/2020-country-reports-on-human-rights-practices/honduras/.</w:t>
      </w:r>
    </w:p>
  </w:footnote>
  <w:footnote w:id="14">
    <w:p w14:paraId="403FAA02" w14:textId="03692A1D" w:rsidR="00F94FD3" w:rsidRDefault="00F94FD3">
      <w:pPr>
        <w:pStyle w:val="FootnoteText"/>
      </w:pPr>
      <w:r>
        <w:rPr>
          <w:rStyle w:val="FootnoteReference"/>
        </w:rPr>
        <w:footnoteRef/>
      </w:r>
      <w:r>
        <w:t xml:space="preserve"> Ibid.</w:t>
      </w:r>
    </w:p>
  </w:footnote>
  <w:footnote w:id="15">
    <w:p w14:paraId="148427CF" w14:textId="3761F17C" w:rsidR="62C71F87" w:rsidRDefault="62C71F87" w:rsidP="62C71F87">
      <w:pPr>
        <w:pStyle w:val="FootnoteText"/>
        <w:rPr>
          <w:color w:val="000000" w:themeColor="text1"/>
          <w:sz w:val="15"/>
          <w:szCs w:val="15"/>
        </w:rPr>
      </w:pPr>
      <w:r w:rsidRPr="62C71F87">
        <w:rPr>
          <w:rStyle w:val="FootnoteReference"/>
          <w:color w:val="000000" w:themeColor="text1"/>
        </w:rPr>
        <w:footnoteRef/>
      </w:r>
      <w:r w:rsidRPr="62C71F87">
        <w:rPr>
          <w:color w:val="000000" w:themeColor="text1"/>
        </w:rPr>
        <w:t xml:space="preserve"> </w:t>
      </w:r>
      <w:r w:rsidRPr="00BE5F1C">
        <w:t>Latin America Working Group Education Fund, “Left in the Dark: Violence Against Women and LGBTI Persons in Honduras and El Salvador,” accessed Jul. 18, 2019, https://www.lawg.org/left-in-the-dark-violence-against-women-and-lgbti-persons-in-honduras-and-el-salvador/.</w:t>
      </w:r>
    </w:p>
  </w:footnote>
  <w:footnote w:id="16">
    <w:p w14:paraId="170C836E" w14:textId="782B8F31" w:rsidR="62C71F87" w:rsidRDefault="62C71F87" w:rsidP="62C71F87">
      <w:pPr>
        <w:pStyle w:val="FootnoteText"/>
        <w:rPr>
          <w:color w:val="000000" w:themeColor="text1"/>
          <w:sz w:val="15"/>
          <w:szCs w:val="15"/>
        </w:rPr>
      </w:pPr>
      <w:r w:rsidRPr="62C71F87">
        <w:rPr>
          <w:rStyle w:val="FootnoteReference"/>
          <w:color w:val="000000" w:themeColor="text1"/>
        </w:rPr>
        <w:footnoteRef/>
      </w:r>
      <w:r w:rsidRPr="00D32267">
        <w:rPr>
          <w:color w:val="000000" w:themeColor="text1"/>
        </w:rPr>
        <w:t xml:space="preserve"> </w:t>
      </w:r>
      <w:r w:rsidRPr="00D32267">
        <w:t>Ibid.</w:t>
      </w:r>
    </w:p>
  </w:footnote>
  <w:footnote w:id="17">
    <w:p w14:paraId="6E5B7342" w14:textId="363A5001" w:rsidR="6E67D825" w:rsidRDefault="6E67D825" w:rsidP="007958FE">
      <w:pPr>
        <w:pStyle w:val="FootnoteText"/>
        <w:rPr>
          <w:color w:val="000000" w:themeColor="text1"/>
          <w:sz w:val="15"/>
          <w:szCs w:val="15"/>
        </w:rPr>
      </w:pPr>
      <w:r w:rsidRPr="6E67D825">
        <w:rPr>
          <w:rStyle w:val="FootnoteReference"/>
          <w:color w:val="000000" w:themeColor="text1"/>
        </w:rPr>
        <w:footnoteRef/>
      </w:r>
      <w:r w:rsidRPr="6E67D825">
        <w:rPr>
          <w:color w:val="000000" w:themeColor="text1"/>
        </w:rPr>
        <w:t xml:space="preserve"> </w:t>
      </w:r>
      <w:r w:rsidR="00F9460E">
        <w:rPr>
          <w:color w:val="000000" w:themeColor="text1"/>
        </w:rPr>
        <w:t>United Nations Human Rights Office of the High Commissioner, “</w:t>
      </w:r>
      <w:r w:rsidRPr="00D32267">
        <w:t>Honduras: Results from Women’s Rights Progress Long Overdue, Say Experts,</w:t>
      </w:r>
      <w:r w:rsidR="0010548F">
        <w:t>”</w:t>
      </w:r>
      <w:r w:rsidRPr="00D32267">
        <w:t xml:space="preserve"> Nov. 14, 2018, https://www.ohchr.org/en/NewsEvents/Pages/DisplayNews.aspx?NewsID=23875&amp;LangID=E.</w:t>
      </w:r>
    </w:p>
  </w:footnote>
  <w:footnote w:id="18">
    <w:p w14:paraId="12CC5C07" w14:textId="41EBCF65" w:rsidR="00CE251C" w:rsidRDefault="00CE251C">
      <w:pPr>
        <w:pStyle w:val="FootnoteText"/>
      </w:pPr>
      <w:r>
        <w:rPr>
          <w:rStyle w:val="FootnoteReference"/>
        </w:rPr>
        <w:footnoteRef/>
      </w:r>
      <w:r>
        <w:t xml:space="preserve"> </w:t>
      </w:r>
      <w:r w:rsidR="00AA3FCD">
        <w:t>U.S</w:t>
      </w:r>
      <w:r w:rsidR="00AB2282">
        <w:t xml:space="preserve"> Department of </w:t>
      </w:r>
      <w:r w:rsidRPr="6E67D825">
        <w:rPr>
          <w:color w:val="000000" w:themeColor="text1"/>
        </w:rPr>
        <w:t>State,</w:t>
      </w:r>
      <w:r w:rsidR="00900F82">
        <w:rPr>
          <w:color w:val="000000" w:themeColor="text1"/>
        </w:rPr>
        <w:t xml:space="preserve"> </w:t>
      </w:r>
      <w:r w:rsidR="0024128C">
        <w:rPr>
          <w:color w:val="000000" w:themeColor="text1"/>
        </w:rPr>
        <w:t>“</w:t>
      </w:r>
      <w:r w:rsidR="00900F82" w:rsidRPr="62C71F87">
        <w:rPr>
          <w:color w:val="000000" w:themeColor="text1"/>
        </w:rPr>
        <w:t>2020 Country Report on Human Rights Practices: Honduras</w:t>
      </w:r>
      <w:r w:rsidR="0024128C">
        <w:rPr>
          <w:color w:val="000000" w:themeColor="text1"/>
        </w:rPr>
        <w:t xml:space="preserve">”, </w:t>
      </w:r>
      <w:r w:rsidR="0024128C">
        <w:rPr>
          <w:i/>
          <w:iCs/>
          <w:color w:val="000000" w:themeColor="text1"/>
        </w:rPr>
        <w:t>supra</w:t>
      </w:r>
      <w:r w:rsidR="0024128C">
        <w:rPr>
          <w:color w:val="000000" w:themeColor="text1"/>
        </w:rPr>
        <w:t xml:space="preserve"> note</w:t>
      </w:r>
      <w:r w:rsidR="002F406C">
        <w:rPr>
          <w:color w:val="000000" w:themeColor="text1"/>
        </w:rPr>
        <w:t xml:space="preserve"> 12.</w:t>
      </w:r>
      <w:r w:rsidRPr="6E67D825">
        <w:rPr>
          <w:color w:val="000000" w:themeColor="text1"/>
        </w:rPr>
        <w:t xml:space="preserve"> </w:t>
      </w:r>
    </w:p>
  </w:footnote>
  <w:footnote w:id="19">
    <w:p w14:paraId="0E2DF277" w14:textId="2DE542E9" w:rsidR="00CE251C" w:rsidRDefault="00CE251C">
      <w:pPr>
        <w:pStyle w:val="FootnoteText"/>
      </w:pPr>
      <w:r>
        <w:rPr>
          <w:rStyle w:val="FootnoteReference"/>
        </w:rPr>
        <w:footnoteRef/>
      </w:r>
      <w:r>
        <w:t xml:space="preserve"> </w:t>
      </w:r>
      <w:r w:rsidR="00885094">
        <w:rPr>
          <w:color w:val="000000" w:themeColor="text1"/>
        </w:rPr>
        <w:t>Ibid.</w:t>
      </w:r>
    </w:p>
  </w:footnote>
  <w:footnote w:id="20">
    <w:p w14:paraId="3A880083" w14:textId="5D37A63C" w:rsidR="6E67D825" w:rsidRDefault="6E67D825" w:rsidP="007958FE">
      <w:pPr>
        <w:pStyle w:val="FootnoteText"/>
        <w:rPr>
          <w:color w:val="000000" w:themeColor="text1"/>
        </w:rPr>
      </w:pPr>
      <w:r w:rsidRPr="6E67D825">
        <w:rPr>
          <w:rStyle w:val="FootnoteReference"/>
          <w:color w:val="000000" w:themeColor="text1"/>
        </w:rPr>
        <w:footnoteRef/>
      </w:r>
      <w:r w:rsidR="00395A59">
        <w:t xml:space="preserve"> </w:t>
      </w:r>
      <w:r w:rsidR="00074C5C" w:rsidRPr="6E67D825">
        <w:t>Committee on the Elimination of Discrimination against Women, Ninth periodic report submitted by Honduras under article 18 of the Convention, due in 2020</w:t>
      </w:r>
      <w:r w:rsidRPr="6E67D825">
        <w:t>,</w:t>
      </w:r>
      <w:r w:rsidR="003F7CEC">
        <w:t xml:space="preserve"> </w:t>
      </w:r>
      <w:r w:rsidR="003F7CEC" w:rsidRPr="000F55F1">
        <w:rPr>
          <w:i/>
          <w:iCs/>
        </w:rPr>
        <w:t>supra</w:t>
      </w:r>
      <w:r w:rsidR="003F7CEC">
        <w:t xml:space="preserve"> note</w:t>
      </w:r>
      <w:r w:rsidR="003D69CC">
        <w:t xml:space="preserve"> 8,</w:t>
      </w:r>
      <w:r w:rsidRPr="6E67D825">
        <w:t xml:space="preserve"> ¶ 85.</w:t>
      </w:r>
    </w:p>
    <w:p w14:paraId="2BA067B6" w14:textId="60F622CE" w:rsidR="6E67D825" w:rsidRDefault="6E67D825" w:rsidP="6E67D825">
      <w:pPr>
        <w:pStyle w:val="FootnoteText"/>
        <w:rPr>
          <w:color w:val="000000" w:themeColor="text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5E984" w14:textId="77777777" w:rsidR="00804604" w:rsidRDefault="00804604" w:rsidP="00C26130">
    <w:pPr>
      <w:pStyle w:val="Header"/>
      <w:tabs>
        <w:tab w:val="left" w:pos="27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7978D" w14:textId="1E94F7AF" w:rsidR="00804604" w:rsidRDefault="0030436E">
    <w:pPr>
      <w:pStyle w:val="Header"/>
    </w:pPr>
    <w:r>
      <w:rPr>
        <w:noProof/>
        <w:color w:val="2B579A"/>
        <w:shd w:val="clear" w:color="auto" w:fill="E6E6E6"/>
      </w:rPr>
      <w:drawing>
        <wp:anchor distT="0" distB="0" distL="114300" distR="114300" simplePos="0" relativeHeight="251658240" behindDoc="1" locked="0" layoutInCell="1" allowOverlap="1" wp14:anchorId="25E174F2" wp14:editId="3B1E905C">
          <wp:simplePos x="0" y="0"/>
          <wp:positionH relativeFrom="column">
            <wp:posOffset>1829435</wp:posOffset>
          </wp:positionH>
          <wp:positionV relativeFrom="paragraph">
            <wp:posOffset>-84455</wp:posOffset>
          </wp:positionV>
          <wp:extent cx="2308225" cy="884555"/>
          <wp:effectExtent l="0" t="0" r="0" b="0"/>
          <wp:wrapTight wrapText="bothSides">
            <wp:wrapPolygon edited="0">
              <wp:start x="0" y="0"/>
              <wp:lineTo x="0" y="20933"/>
              <wp:lineTo x="21392" y="20933"/>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225" cy="884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5838"/>
    <w:multiLevelType w:val="hybridMultilevel"/>
    <w:tmpl w:val="11FA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61781"/>
    <w:multiLevelType w:val="hybridMultilevel"/>
    <w:tmpl w:val="73DE869C"/>
    <w:lvl w:ilvl="0" w:tplc="D8CE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C2376"/>
    <w:multiLevelType w:val="hybridMultilevel"/>
    <w:tmpl w:val="991C3848"/>
    <w:lvl w:ilvl="0" w:tplc="9670D4BC">
      <w:start w:val="1"/>
      <w:numFmt w:val="decimal"/>
      <w:lvlText w:val="%1."/>
      <w:lvlJc w:val="left"/>
      <w:pPr>
        <w:tabs>
          <w:tab w:val="num" w:pos="720"/>
        </w:tabs>
        <w:ind w:left="720" w:hanging="360"/>
      </w:pPr>
      <w:rPr>
        <w:b w:val="0"/>
      </w:rPr>
    </w:lvl>
    <w:lvl w:ilvl="1" w:tplc="109A5DFE">
      <w:start w:val="1"/>
      <w:numFmt w:val="decimal"/>
      <w:lvlText w:val="%2."/>
      <w:lvlJc w:val="left"/>
      <w:pPr>
        <w:tabs>
          <w:tab w:val="num" w:pos="1440"/>
        </w:tabs>
        <w:ind w:left="1440" w:hanging="360"/>
      </w:pPr>
    </w:lvl>
    <w:lvl w:ilvl="2" w:tplc="4A260800">
      <w:start w:val="1"/>
      <w:numFmt w:val="decimal"/>
      <w:lvlText w:val="%3."/>
      <w:lvlJc w:val="left"/>
      <w:pPr>
        <w:tabs>
          <w:tab w:val="num" w:pos="2160"/>
        </w:tabs>
        <w:ind w:left="2160" w:hanging="360"/>
      </w:pPr>
    </w:lvl>
    <w:lvl w:ilvl="3" w:tplc="52223D66">
      <w:start w:val="1"/>
      <w:numFmt w:val="decimal"/>
      <w:lvlText w:val="%4."/>
      <w:lvlJc w:val="left"/>
      <w:pPr>
        <w:tabs>
          <w:tab w:val="num" w:pos="2880"/>
        </w:tabs>
        <w:ind w:left="2880" w:hanging="360"/>
      </w:pPr>
    </w:lvl>
    <w:lvl w:ilvl="4" w:tplc="D0A6172E">
      <w:start w:val="1"/>
      <w:numFmt w:val="decimal"/>
      <w:lvlText w:val="%5."/>
      <w:lvlJc w:val="left"/>
      <w:pPr>
        <w:tabs>
          <w:tab w:val="num" w:pos="3600"/>
        </w:tabs>
        <w:ind w:left="3600" w:hanging="360"/>
      </w:pPr>
    </w:lvl>
    <w:lvl w:ilvl="5" w:tplc="B8564790">
      <w:start w:val="1"/>
      <w:numFmt w:val="decimal"/>
      <w:lvlText w:val="%6."/>
      <w:lvlJc w:val="left"/>
      <w:pPr>
        <w:tabs>
          <w:tab w:val="num" w:pos="4320"/>
        </w:tabs>
        <w:ind w:left="4320" w:hanging="360"/>
      </w:pPr>
    </w:lvl>
    <w:lvl w:ilvl="6" w:tplc="F154A354">
      <w:start w:val="1"/>
      <w:numFmt w:val="decimal"/>
      <w:lvlText w:val="%7."/>
      <w:lvlJc w:val="left"/>
      <w:pPr>
        <w:tabs>
          <w:tab w:val="num" w:pos="5040"/>
        </w:tabs>
        <w:ind w:left="5040" w:hanging="360"/>
      </w:pPr>
    </w:lvl>
    <w:lvl w:ilvl="7" w:tplc="3CC00626">
      <w:start w:val="1"/>
      <w:numFmt w:val="decimal"/>
      <w:lvlText w:val="%8."/>
      <w:lvlJc w:val="left"/>
      <w:pPr>
        <w:tabs>
          <w:tab w:val="num" w:pos="5760"/>
        </w:tabs>
        <w:ind w:left="5760" w:hanging="360"/>
      </w:pPr>
    </w:lvl>
    <w:lvl w:ilvl="8" w:tplc="5008A68C">
      <w:start w:val="1"/>
      <w:numFmt w:val="decimal"/>
      <w:lvlText w:val="%9."/>
      <w:lvlJc w:val="left"/>
      <w:pPr>
        <w:tabs>
          <w:tab w:val="num" w:pos="6480"/>
        </w:tabs>
        <w:ind w:left="6480" w:hanging="360"/>
      </w:pPr>
    </w:lvl>
  </w:abstractNum>
  <w:abstractNum w:abstractNumId="3" w15:restartNumberingAfterBreak="0">
    <w:nsid w:val="1D5153BE"/>
    <w:multiLevelType w:val="hybridMultilevel"/>
    <w:tmpl w:val="2088566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54799"/>
    <w:multiLevelType w:val="hybridMultilevel"/>
    <w:tmpl w:val="FFFFFFFF"/>
    <w:lvl w:ilvl="0" w:tplc="05BEBA56">
      <w:start w:val="1"/>
      <w:numFmt w:val="upperLetter"/>
      <w:lvlText w:val="%1."/>
      <w:lvlJc w:val="left"/>
      <w:pPr>
        <w:ind w:left="1080" w:hanging="360"/>
      </w:pPr>
    </w:lvl>
    <w:lvl w:ilvl="1" w:tplc="2578E3DC">
      <w:start w:val="1"/>
      <w:numFmt w:val="lowerLetter"/>
      <w:lvlText w:val="%2."/>
      <w:lvlJc w:val="left"/>
      <w:pPr>
        <w:ind w:left="1800" w:hanging="360"/>
      </w:pPr>
    </w:lvl>
    <w:lvl w:ilvl="2" w:tplc="F00C8A8A">
      <w:start w:val="1"/>
      <w:numFmt w:val="lowerRoman"/>
      <w:lvlText w:val="%3."/>
      <w:lvlJc w:val="right"/>
      <w:pPr>
        <w:ind w:left="2520" w:hanging="180"/>
      </w:pPr>
    </w:lvl>
    <w:lvl w:ilvl="3" w:tplc="67EC4EF4">
      <w:start w:val="1"/>
      <w:numFmt w:val="decimal"/>
      <w:lvlText w:val="%4."/>
      <w:lvlJc w:val="left"/>
      <w:pPr>
        <w:ind w:left="3240" w:hanging="360"/>
      </w:pPr>
    </w:lvl>
    <w:lvl w:ilvl="4" w:tplc="66C8625E">
      <w:start w:val="1"/>
      <w:numFmt w:val="lowerLetter"/>
      <w:lvlText w:val="%5."/>
      <w:lvlJc w:val="left"/>
      <w:pPr>
        <w:ind w:left="3960" w:hanging="360"/>
      </w:pPr>
    </w:lvl>
    <w:lvl w:ilvl="5" w:tplc="46D84594">
      <w:start w:val="1"/>
      <w:numFmt w:val="lowerRoman"/>
      <w:lvlText w:val="%6."/>
      <w:lvlJc w:val="right"/>
      <w:pPr>
        <w:ind w:left="4680" w:hanging="180"/>
      </w:pPr>
    </w:lvl>
    <w:lvl w:ilvl="6" w:tplc="938026A8">
      <w:start w:val="1"/>
      <w:numFmt w:val="decimal"/>
      <w:lvlText w:val="%7."/>
      <w:lvlJc w:val="left"/>
      <w:pPr>
        <w:ind w:left="5400" w:hanging="360"/>
      </w:pPr>
    </w:lvl>
    <w:lvl w:ilvl="7" w:tplc="3F78499E">
      <w:start w:val="1"/>
      <w:numFmt w:val="lowerLetter"/>
      <w:lvlText w:val="%8."/>
      <w:lvlJc w:val="left"/>
      <w:pPr>
        <w:ind w:left="6120" w:hanging="360"/>
      </w:pPr>
    </w:lvl>
    <w:lvl w:ilvl="8" w:tplc="C62881A8">
      <w:start w:val="1"/>
      <w:numFmt w:val="lowerRoman"/>
      <w:lvlText w:val="%9."/>
      <w:lvlJc w:val="right"/>
      <w:pPr>
        <w:ind w:left="6840" w:hanging="180"/>
      </w:pPr>
    </w:lvl>
  </w:abstractNum>
  <w:abstractNum w:abstractNumId="5" w15:restartNumberingAfterBreak="0">
    <w:nsid w:val="292073C0"/>
    <w:multiLevelType w:val="hybridMultilevel"/>
    <w:tmpl w:val="BE6A5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36084B"/>
    <w:multiLevelType w:val="hybridMultilevel"/>
    <w:tmpl w:val="56509BD8"/>
    <w:lvl w:ilvl="0" w:tplc="94145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A41173"/>
    <w:multiLevelType w:val="hybridMultilevel"/>
    <w:tmpl w:val="55727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5A46C4"/>
    <w:multiLevelType w:val="hybridMultilevel"/>
    <w:tmpl w:val="467A1396"/>
    <w:lvl w:ilvl="0" w:tplc="228E1F4E">
      <w:start w:val="255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2B20BE"/>
    <w:multiLevelType w:val="hybridMultilevel"/>
    <w:tmpl w:val="FFFFFFFF"/>
    <w:lvl w:ilvl="0" w:tplc="B80E91D0">
      <w:start w:val="1"/>
      <w:numFmt w:val="upperLetter"/>
      <w:lvlText w:val="%1."/>
      <w:lvlJc w:val="left"/>
      <w:pPr>
        <w:ind w:left="720" w:hanging="360"/>
      </w:pPr>
    </w:lvl>
    <w:lvl w:ilvl="1" w:tplc="5A2A5274">
      <w:start w:val="1"/>
      <w:numFmt w:val="lowerLetter"/>
      <w:lvlText w:val="%2."/>
      <w:lvlJc w:val="left"/>
      <w:pPr>
        <w:ind w:left="1440" w:hanging="360"/>
      </w:pPr>
    </w:lvl>
    <w:lvl w:ilvl="2" w:tplc="A6DE2750">
      <w:start w:val="1"/>
      <w:numFmt w:val="lowerRoman"/>
      <w:lvlText w:val="%3."/>
      <w:lvlJc w:val="right"/>
      <w:pPr>
        <w:ind w:left="2160" w:hanging="180"/>
      </w:pPr>
    </w:lvl>
    <w:lvl w:ilvl="3" w:tplc="B1FCC59A">
      <w:start w:val="1"/>
      <w:numFmt w:val="decimal"/>
      <w:lvlText w:val="%4."/>
      <w:lvlJc w:val="left"/>
      <w:pPr>
        <w:ind w:left="2880" w:hanging="360"/>
      </w:pPr>
    </w:lvl>
    <w:lvl w:ilvl="4" w:tplc="2BD859A6">
      <w:start w:val="1"/>
      <w:numFmt w:val="lowerLetter"/>
      <w:lvlText w:val="%5."/>
      <w:lvlJc w:val="left"/>
      <w:pPr>
        <w:ind w:left="3600" w:hanging="360"/>
      </w:pPr>
    </w:lvl>
    <w:lvl w:ilvl="5" w:tplc="A5EA6B8C">
      <w:start w:val="1"/>
      <w:numFmt w:val="lowerRoman"/>
      <w:lvlText w:val="%6."/>
      <w:lvlJc w:val="right"/>
      <w:pPr>
        <w:ind w:left="4320" w:hanging="180"/>
      </w:pPr>
    </w:lvl>
    <w:lvl w:ilvl="6" w:tplc="348AEBA8">
      <w:start w:val="1"/>
      <w:numFmt w:val="decimal"/>
      <w:lvlText w:val="%7."/>
      <w:lvlJc w:val="left"/>
      <w:pPr>
        <w:ind w:left="5040" w:hanging="360"/>
      </w:pPr>
    </w:lvl>
    <w:lvl w:ilvl="7" w:tplc="31D2B9BA">
      <w:start w:val="1"/>
      <w:numFmt w:val="lowerLetter"/>
      <w:lvlText w:val="%8."/>
      <w:lvlJc w:val="left"/>
      <w:pPr>
        <w:ind w:left="5760" w:hanging="360"/>
      </w:pPr>
    </w:lvl>
    <w:lvl w:ilvl="8" w:tplc="8E50329E">
      <w:start w:val="1"/>
      <w:numFmt w:val="lowerRoman"/>
      <w:lvlText w:val="%9."/>
      <w:lvlJc w:val="right"/>
      <w:pPr>
        <w:ind w:left="6480" w:hanging="180"/>
      </w:pPr>
    </w:lvl>
  </w:abstractNum>
  <w:abstractNum w:abstractNumId="10" w15:restartNumberingAfterBreak="0">
    <w:nsid w:val="4DB73C05"/>
    <w:multiLevelType w:val="hybridMultilevel"/>
    <w:tmpl w:val="FFFFFFFF"/>
    <w:lvl w:ilvl="0" w:tplc="AC129908">
      <w:start w:val="1"/>
      <w:numFmt w:val="upperLetter"/>
      <w:lvlText w:val="%1."/>
      <w:lvlJc w:val="left"/>
      <w:pPr>
        <w:ind w:left="1080" w:hanging="360"/>
      </w:pPr>
    </w:lvl>
    <w:lvl w:ilvl="1" w:tplc="74369C3A">
      <w:start w:val="1"/>
      <w:numFmt w:val="lowerLetter"/>
      <w:lvlText w:val="%2."/>
      <w:lvlJc w:val="left"/>
      <w:pPr>
        <w:ind w:left="1800" w:hanging="360"/>
      </w:pPr>
    </w:lvl>
    <w:lvl w:ilvl="2" w:tplc="0DB8AF3E">
      <w:start w:val="1"/>
      <w:numFmt w:val="lowerRoman"/>
      <w:lvlText w:val="%3."/>
      <w:lvlJc w:val="right"/>
      <w:pPr>
        <w:ind w:left="2520" w:hanging="180"/>
      </w:pPr>
    </w:lvl>
    <w:lvl w:ilvl="3" w:tplc="90C439D6">
      <w:start w:val="1"/>
      <w:numFmt w:val="decimal"/>
      <w:lvlText w:val="%4."/>
      <w:lvlJc w:val="left"/>
      <w:pPr>
        <w:ind w:left="3240" w:hanging="360"/>
      </w:pPr>
    </w:lvl>
    <w:lvl w:ilvl="4" w:tplc="20C47B24">
      <w:start w:val="1"/>
      <w:numFmt w:val="lowerLetter"/>
      <w:lvlText w:val="%5."/>
      <w:lvlJc w:val="left"/>
      <w:pPr>
        <w:ind w:left="3960" w:hanging="360"/>
      </w:pPr>
    </w:lvl>
    <w:lvl w:ilvl="5" w:tplc="B6C09662">
      <w:start w:val="1"/>
      <w:numFmt w:val="lowerRoman"/>
      <w:lvlText w:val="%6."/>
      <w:lvlJc w:val="right"/>
      <w:pPr>
        <w:ind w:left="4680" w:hanging="180"/>
      </w:pPr>
    </w:lvl>
    <w:lvl w:ilvl="6" w:tplc="A9165EE4">
      <w:start w:val="1"/>
      <w:numFmt w:val="decimal"/>
      <w:lvlText w:val="%7."/>
      <w:lvlJc w:val="left"/>
      <w:pPr>
        <w:ind w:left="5400" w:hanging="360"/>
      </w:pPr>
    </w:lvl>
    <w:lvl w:ilvl="7" w:tplc="EEC230E2">
      <w:start w:val="1"/>
      <w:numFmt w:val="lowerLetter"/>
      <w:lvlText w:val="%8."/>
      <w:lvlJc w:val="left"/>
      <w:pPr>
        <w:ind w:left="6120" w:hanging="360"/>
      </w:pPr>
    </w:lvl>
    <w:lvl w:ilvl="8" w:tplc="9C447EE6">
      <w:start w:val="1"/>
      <w:numFmt w:val="lowerRoman"/>
      <w:lvlText w:val="%9."/>
      <w:lvlJc w:val="right"/>
      <w:pPr>
        <w:ind w:left="6840" w:hanging="180"/>
      </w:pPr>
    </w:lvl>
  </w:abstractNum>
  <w:abstractNum w:abstractNumId="11" w15:restartNumberingAfterBreak="0">
    <w:nsid w:val="517115F3"/>
    <w:multiLevelType w:val="hybridMultilevel"/>
    <w:tmpl w:val="FFFFFFFF"/>
    <w:lvl w:ilvl="0" w:tplc="8C948236">
      <w:start w:val="1"/>
      <w:numFmt w:val="upperLetter"/>
      <w:lvlText w:val="%1."/>
      <w:lvlJc w:val="left"/>
      <w:pPr>
        <w:ind w:left="720" w:hanging="360"/>
      </w:pPr>
    </w:lvl>
    <w:lvl w:ilvl="1" w:tplc="D67AA136">
      <w:start w:val="1"/>
      <w:numFmt w:val="lowerLetter"/>
      <w:lvlText w:val="%2."/>
      <w:lvlJc w:val="left"/>
      <w:pPr>
        <w:ind w:left="1440" w:hanging="360"/>
      </w:pPr>
    </w:lvl>
    <w:lvl w:ilvl="2" w:tplc="31446304">
      <w:start w:val="1"/>
      <w:numFmt w:val="lowerRoman"/>
      <w:lvlText w:val="%3."/>
      <w:lvlJc w:val="right"/>
      <w:pPr>
        <w:ind w:left="2160" w:hanging="180"/>
      </w:pPr>
    </w:lvl>
    <w:lvl w:ilvl="3" w:tplc="F75C29C6">
      <w:start w:val="1"/>
      <w:numFmt w:val="decimal"/>
      <w:lvlText w:val="%4."/>
      <w:lvlJc w:val="left"/>
      <w:pPr>
        <w:ind w:left="2880" w:hanging="360"/>
      </w:pPr>
    </w:lvl>
    <w:lvl w:ilvl="4" w:tplc="18EC7012">
      <w:start w:val="1"/>
      <w:numFmt w:val="lowerLetter"/>
      <w:lvlText w:val="%5."/>
      <w:lvlJc w:val="left"/>
      <w:pPr>
        <w:ind w:left="3600" w:hanging="360"/>
      </w:pPr>
    </w:lvl>
    <w:lvl w:ilvl="5" w:tplc="DED07A32">
      <w:start w:val="1"/>
      <w:numFmt w:val="lowerRoman"/>
      <w:lvlText w:val="%6."/>
      <w:lvlJc w:val="right"/>
      <w:pPr>
        <w:ind w:left="4320" w:hanging="180"/>
      </w:pPr>
    </w:lvl>
    <w:lvl w:ilvl="6" w:tplc="4B0A0F8A">
      <w:start w:val="1"/>
      <w:numFmt w:val="decimal"/>
      <w:lvlText w:val="%7."/>
      <w:lvlJc w:val="left"/>
      <w:pPr>
        <w:ind w:left="5040" w:hanging="360"/>
      </w:pPr>
    </w:lvl>
    <w:lvl w:ilvl="7" w:tplc="83328D28">
      <w:start w:val="1"/>
      <w:numFmt w:val="lowerLetter"/>
      <w:lvlText w:val="%8."/>
      <w:lvlJc w:val="left"/>
      <w:pPr>
        <w:ind w:left="5760" w:hanging="360"/>
      </w:pPr>
    </w:lvl>
    <w:lvl w:ilvl="8" w:tplc="CA10668E">
      <w:start w:val="1"/>
      <w:numFmt w:val="lowerRoman"/>
      <w:lvlText w:val="%9."/>
      <w:lvlJc w:val="right"/>
      <w:pPr>
        <w:ind w:left="6480" w:hanging="180"/>
      </w:pPr>
    </w:lvl>
  </w:abstractNum>
  <w:abstractNum w:abstractNumId="12" w15:restartNumberingAfterBreak="0">
    <w:nsid w:val="55B41C3D"/>
    <w:multiLevelType w:val="hybridMultilevel"/>
    <w:tmpl w:val="087A7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FF20CB"/>
    <w:multiLevelType w:val="hybridMultilevel"/>
    <w:tmpl w:val="FFFFFFFF"/>
    <w:lvl w:ilvl="0" w:tplc="A4B89FCE">
      <w:numFmt w:val="none"/>
      <w:lvlText w:val=""/>
      <w:lvlJc w:val="left"/>
      <w:pPr>
        <w:tabs>
          <w:tab w:val="num" w:pos="360"/>
        </w:tabs>
      </w:pPr>
    </w:lvl>
    <w:lvl w:ilvl="1" w:tplc="292E2D40">
      <w:start w:val="1"/>
      <w:numFmt w:val="lowerLetter"/>
      <w:lvlText w:val="%2."/>
      <w:lvlJc w:val="left"/>
      <w:pPr>
        <w:ind w:left="1440" w:hanging="360"/>
      </w:pPr>
    </w:lvl>
    <w:lvl w:ilvl="2" w:tplc="7068D6A4">
      <w:start w:val="1"/>
      <w:numFmt w:val="lowerRoman"/>
      <w:lvlText w:val="%3."/>
      <w:lvlJc w:val="right"/>
      <w:pPr>
        <w:ind w:left="2160" w:hanging="180"/>
      </w:pPr>
    </w:lvl>
    <w:lvl w:ilvl="3" w:tplc="035062A4">
      <w:start w:val="1"/>
      <w:numFmt w:val="decimal"/>
      <w:lvlText w:val="%4."/>
      <w:lvlJc w:val="left"/>
      <w:pPr>
        <w:ind w:left="2880" w:hanging="360"/>
      </w:pPr>
    </w:lvl>
    <w:lvl w:ilvl="4" w:tplc="985A2EA8">
      <w:start w:val="1"/>
      <w:numFmt w:val="lowerLetter"/>
      <w:lvlText w:val="%5."/>
      <w:lvlJc w:val="left"/>
      <w:pPr>
        <w:ind w:left="3600" w:hanging="360"/>
      </w:pPr>
    </w:lvl>
    <w:lvl w:ilvl="5" w:tplc="6D3289CC">
      <w:start w:val="1"/>
      <w:numFmt w:val="lowerRoman"/>
      <w:lvlText w:val="%6."/>
      <w:lvlJc w:val="right"/>
      <w:pPr>
        <w:ind w:left="4320" w:hanging="180"/>
      </w:pPr>
    </w:lvl>
    <w:lvl w:ilvl="6" w:tplc="F9E09534">
      <w:start w:val="1"/>
      <w:numFmt w:val="decimal"/>
      <w:lvlText w:val="%7."/>
      <w:lvlJc w:val="left"/>
      <w:pPr>
        <w:ind w:left="5040" w:hanging="360"/>
      </w:pPr>
    </w:lvl>
    <w:lvl w:ilvl="7" w:tplc="8B52413E">
      <w:start w:val="1"/>
      <w:numFmt w:val="lowerLetter"/>
      <w:lvlText w:val="%8."/>
      <w:lvlJc w:val="left"/>
      <w:pPr>
        <w:ind w:left="5760" w:hanging="360"/>
      </w:pPr>
    </w:lvl>
    <w:lvl w:ilvl="8" w:tplc="44166F32">
      <w:start w:val="1"/>
      <w:numFmt w:val="lowerRoman"/>
      <w:lvlText w:val="%9."/>
      <w:lvlJc w:val="right"/>
      <w:pPr>
        <w:ind w:left="6480" w:hanging="180"/>
      </w:pPr>
    </w:lvl>
  </w:abstractNum>
  <w:abstractNum w:abstractNumId="14" w15:restartNumberingAfterBreak="0">
    <w:nsid w:val="657B7925"/>
    <w:multiLevelType w:val="hybridMultilevel"/>
    <w:tmpl w:val="B32E9BEC"/>
    <w:lvl w:ilvl="0" w:tplc="49F0D7A0">
      <w:start w:val="1"/>
      <w:numFmt w:val="upperLetter"/>
      <w:lvlText w:val="%1."/>
      <w:lvlJc w:val="left"/>
      <w:pPr>
        <w:ind w:left="720" w:hanging="360"/>
      </w:pPr>
    </w:lvl>
    <w:lvl w:ilvl="1" w:tplc="932A1F0E">
      <w:start w:val="1"/>
      <w:numFmt w:val="lowerLetter"/>
      <w:lvlText w:val="%2."/>
      <w:lvlJc w:val="left"/>
      <w:pPr>
        <w:ind w:left="1440" w:hanging="360"/>
      </w:pPr>
    </w:lvl>
    <w:lvl w:ilvl="2" w:tplc="A8A0A4C4">
      <w:start w:val="1"/>
      <w:numFmt w:val="lowerRoman"/>
      <w:lvlText w:val="%3."/>
      <w:lvlJc w:val="right"/>
      <w:pPr>
        <w:ind w:left="2160" w:hanging="180"/>
      </w:pPr>
    </w:lvl>
    <w:lvl w:ilvl="3" w:tplc="61E4DE22">
      <w:start w:val="1"/>
      <w:numFmt w:val="decimal"/>
      <w:lvlText w:val="%4."/>
      <w:lvlJc w:val="left"/>
      <w:pPr>
        <w:ind w:left="2880" w:hanging="360"/>
      </w:pPr>
    </w:lvl>
    <w:lvl w:ilvl="4" w:tplc="4D66BBDA">
      <w:start w:val="1"/>
      <w:numFmt w:val="lowerLetter"/>
      <w:lvlText w:val="%5."/>
      <w:lvlJc w:val="left"/>
      <w:pPr>
        <w:ind w:left="3600" w:hanging="360"/>
      </w:pPr>
    </w:lvl>
    <w:lvl w:ilvl="5" w:tplc="0A84CA88">
      <w:start w:val="1"/>
      <w:numFmt w:val="lowerRoman"/>
      <w:lvlText w:val="%6."/>
      <w:lvlJc w:val="right"/>
      <w:pPr>
        <w:ind w:left="4320" w:hanging="180"/>
      </w:pPr>
    </w:lvl>
    <w:lvl w:ilvl="6" w:tplc="52E48082">
      <w:start w:val="1"/>
      <w:numFmt w:val="decimal"/>
      <w:lvlText w:val="%7."/>
      <w:lvlJc w:val="left"/>
      <w:pPr>
        <w:ind w:left="5040" w:hanging="360"/>
      </w:pPr>
    </w:lvl>
    <w:lvl w:ilvl="7" w:tplc="7A3A7FC4">
      <w:start w:val="1"/>
      <w:numFmt w:val="lowerLetter"/>
      <w:lvlText w:val="%8."/>
      <w:lvlJc w:val="left"/>
      <w:pPr>
        <w:ind w:left="5760" w:hanging="360"/>
      </w:pPr>
    </w:lvl>
    <w:lvl w:ilvl="8" w:tplc="FC62D0A6">
      <w:start w:val="1"/>
      <w:numFmt w:val="lowerRoman"/>
      <w:lvlText w:val="%9."/>
      <w:lvlJc w:val="right"/>
      <w:pPr>
        <w:ind w:left="6480" w:hanging="180"/>
      </w:pPr>
    </w:lvl>
  </w:abstractNum>
  <w:abstractNum w:abstractNumId="15" w15:restartNumberingAfterBreak="0">
    <w:nsid w:val="667D1B3D"/>
    <w:multiLevelType w:val="hybridMultilevel"/>
    <w:tmpl w:val="73DE869C"/>
    <w:lvl w:ilvl="0" w:tplc="D8CEEDE0">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A90622"/>
    <w:multiLevelType w:val="hybridMultilevel"/>
    <w:tmpl w:val="F8686C24"/>
    <w:lvl w:ilvl="0" w:tplc="FD0E9C12">
      <w:start w:val="1"/>
      <w:numFmt w:val="decimal"/>
      <w:lvlText w:val="%1."/>
      <w:lvlJc w:val="left"/>
      <w:pPr>
        <w:ind w:left="720" w:hanging="360"/>
      </w:pPr>
    </w:lvl>
    <w:lvl w:ilvl="1" w:tplc="F3CEE1FE">
      <w:start w:val="1"/>
      <w:numFmt w:val="lowerLetter"/>
      <w:lvlText w:val="%2."/>
      <w:lvlJc w:val="left"/>
      <w:pPr>
        <w:ind w:left="1440" w:hanging="360"/>
      </w:pPr>
    </w:lvl>
    <w:lvl w:ilvl="2" w:tplc="63227D80">
      <w:start w:val="1"/>
      <w:numFmt w:val="lowerRoman"/>
      <w:lvlText w:val="%3."/>
      <w:lvlJc w:val="right"/>
      <w:pPr>
        <w:ind w:left="2160" w:hanging="180"/>
      </w:pPr>
    </w:lvl>
    <w:lvl w:ilvl="3" w:tplc="33746E5A">
      <w:start w:val="1"/>
      <w:numFmt w:val="decimal"/>
      <w:lvlText w:val="%4."/>
      <w:lvlJc w:val="left"/>
      <w:pPr>
        <w:ind w:left="2880" w:hanging="360"/>
      </w:pPr>
    </w:lvl>
    <w:lvl w:ilvl="4" w:tplc="DB3666D0">
      <w:start w:val="1"/>
      <w:numFmt w:val="lowerLetter"/>
      <w:lvlText w:val="%5."/>
      <w:lvlJc w:val="left"/>
      <w:pPr>
        <w:ind w:left="3600" w:hanging="360"/>
      </w:pPr>
    </w:lvl>
    <w:lvl w:ilvl="5" w:tplc="BEF2FD8C">
      <w:start w:val="1"/>
      <w:numFmt w:val="lowerRoman"/>
      <w:lvlText w:val="%6."/>
      <w:lvlJc w:val="right"/>
      <w:pPr>
        <w:ind w:left="4320" w:hanging="180"/>
      </w:pPr>
    </w:lvl>
    <w:lvl w:ilvl="6" w:tplc="847A9C88">
      <w:start w:val="1"/>
      <w:numFmt w:val="decimal"/>
      <w:lvlText w:val="%7."/>
      <w:lvlJc w:val="left"/>
      <w:pPr>
        <w:ind w:left="5040" w:hanging="360"/>
      </w:pPr>
    </w:lvl>
    <w:lvl w:ilvl="7" w:tplc="9F3C2B6C">
      <w:start w:val="1"/>
      <w:numFmt w:val="lowerLetter"/>
      <w:lvlText w:val="%8."/>
      <w:lvlJc w:val="left"/>
      <w:pPr>
        <w:ind w:left="5760" w:hanging="360"/>
      </w:pPr>
    </w:lvl>
    <w:lvl w:ilvl="8" w:tplc="22A80EC6">
      <w:start w:val="1"/>
      <w:numFmt w:val="lowerRoman"/>
      <w:lvlText w:val="%9."/>
      <w:lvlJc w:val="right"/>
      <w:pPr>
        <w:ind w:left="6480" w:hanging="180"/>
      </w:pPr>
    </w:lvl>
  </w:abstractNum>
  <w:num w:numId="1">
    <w:abstractNumId w:val="10"/>
  </w:num>
  <w:num w:numId="2">
    <w:abstractNumId w:val="11"/>
  </w:num>
  <w:num w:numId="3">
    <w:abstractNumId w:val="13"/>
  </w:num>
  <w:num w:numId="4">
    <w:abstractNumId w:val="14"/>
  </w:num>
  <w:num w:numId="5">
    <w:abstractNumId w:val="16"/>
  </w:num>
  <w:num w:numId="6">
    <w:abstractNumId w:val="7"/>
  </w:num>
  <w:num w:numId="7">
    <w:abstractNumId w:val="5"/>
  </w:num>
  <w:num w:numId="8">
    <w:abstractNumId w:val="1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3"/>
  </w:num>
  <w:num w:numId="13">
    <w:abstractNumId w:val="15"/>
  </w:num>
  <w:num w:numId="14">
    <w:abstractNumId w:val="1"/>
  </w:num>
  <w:num w:numId="15">
    <w:abstractNumId w:val="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C9"/>
    <w:rsid w:val="00006453"/>
    <w:rsid w:val="000251AB"/>
    <w:rsid w:val="00030F59"/>
    <w:rsid w:val="000342B6"/>
    <w:rsid w:val="00046377"/>
    <w:rsid w:val="00056CF5"/>
    <w:rsid w:val="000734A4"/>
    <w:rsid w:val="00074C5C"/>
    <w:rsid w:val="0008238F"/>
    <w:rsid w:val="00083E48"/>
    <w:rsid w:val="00085935"/>
    <w:rsid w:val="000910FC"/>
    <w:rsid w:val="0009644E"/>
    <w:rsid w:val="000A0D35"/>
    <w:rsid w:val="000A1F17"/>
    <w:rsid w:val="000A66B8"/>
    <w:rsid w:val="000B042D"/>
    <w:rsid w:val="000B4DB3"/>
    <w:rsid w:val="000C380B"/>
    <w:rsid w:val="000C6340"/>
    <w:rsid w:val="000E1DDC"/>
    <w:rsid w:val="000F1E67"/>
    <w:rsid w:val="000F3447"/>
    <w:rsid w:val="000F55F1"/>
    <w:rsid w:val="000F56E0"/>
    <w:rsid w:val="001008D1"/>
    <w:rsid w:val="0010548F"/>
    <w:rsid w:val="00111994"/>
    <w:rsid w:val="001215B4"/>
    <w:rsid w:val="00136514"/>
    <w:rsid w:val="00143423"/>
    <w:rsid w:val="00147EA4"/>
    <w:rsid w:val="001565F9"/>
    <w:rsid w:val="00160BDA"/>
    <w:rsid w:val="00172ACF"/>
    <w:rsid w:val="00181B2A"/>
    <w:rsid w:val="0018642B"/>
    <w:rsid w:val="001A338D"/>
    <w:rsid w:val="001A59C1"/>
    <w:rsid w:val="001A5ED5"/>
    <w:rsid w:val="001A7AF4"/>
    <w:rsid w:val="001B1AC4"/>
    <w:rsid w:val="001B27D7"/>
    <w:rsid w:val="001B46C2"/>
    <w:rsid w:val="001B5E1E"/>
    <w:rsid w:val="001B799A"/>
    <w:rsid w:val="001C42EB"/>
    <w:rsid w:val="001D0B44"/>
    <w:rsid w:val="001D4D68"/>
    <w:rsid w:val="001E2C27"/>
    <w:rsid w:val="00220D48"/>
    <w:rsid w:val="00237C8C"/>
    <w:rsid w:val="0024128C"/>
    <w:rsid w:val="00242F64"/>
    <w:rsid w:val="002439A3"/>
    <w:rsid w:val="00243E14"/>
    <w:rsid w:val="0025269D"/>
    <w:rsid w:val="00255789"/>
    <w:rsid w:val="00260D60"/>
    <w:rsid w:val="00266AA3"/>
    <w:rsid w:val="0026720F"/>
    <w:rsid w:val="00272519"/>
    <w:rsid w:val="002734D9"/>
    <w:rsid w:val="00282223"/>
    <w:rsid w:val="00291BE8"/>
    <w:rsid w:val="00294A8A"/>
    <w:rsid w:val="002A0797"/>
    <w:rsid w:val="002A4838"/>
    <w:rsid w:val="002C3580"/>
    <w:rsid w:val="002C57BC"/>
    <w:rsid w:val="002D36C6"/>
    <w:rsid w:val="002E34EA"/>
    <w:rsid w:val="002F3284"/>
    <w:rsid w:val="002F406C"/>
    <w:rsid w:val="0030436E"/>
    <w:rsid w:val="003046E7"/>
    <w:rsid w:val="00315C53"/>
    <w:rsid w:val="00322CB1"/>
    <w:rsid w:val="003369A6"/>
    <w:rsid w:val="00340484"/>
    <w:rsid w:val="00344140"/>
    <w:rsid w:val="00344556"/>
    <w:rsid w:val="00345B90"/>
    <w:rsid w:val="00346FD8"/>
    <w:rsid w:val="0034775A"/>
    <w:rsid w:val="0035378E"/>
    <w:rsid w:val="0035424D"/>
    <w:rsid w:val="003544CC"/>
    <w:rsid w:val="00365023"/>
    <w:rsid w:val="00390AC3"/>
    <w:rsid w:val="003937C6"/>
    <w:rsid w:val="00395A59"/>
    <w:rsid w:val="003A0BC2"/>
    <w:rsid w:val="003A1D3E"/>
    <w:rsid w:val="003A6F6D"/>
    <w:rsid w:val="003C1E49"/>
    <w:rsid w:val="003C60FE"/>
    <w:rsid w:val="003D69CC"/>
    <w:rsid w:val="003F7CEC"/>
    <w:rsid w:val="00415125"/>
    <w:rsid w:val="00415F7C"/>
    <w:rsid w:val="00417CE5"/>
    <w:rsid w:val="00430A63"/>
    <w:rsid w:val="00450118"/>
    <w:rsid w:val="00450405"/>
    <w:rsid w:val="00451F2F"/>
    <w:rsid w:val="00453314"/>
    <w:rsid w:val="00462957"/>
    <w:rsid w:val="004693B1"/>
    <w:rsid w:val="004748CB"/>
    <w:rsid w:val="00476CC4"/>
    <w:rsid w:val="004866AE"/>
    <w:rsid w:val="004A17D9"/>
    <w:rsid w:val="004A5B01"/>
    <w:rsid w:val="004A7D93"/>
    <w:rsid w:val="004A7FF9"/>
    <w:rsid w:val="004B1E4E"/>
    <w:rsid w:val="004B4CAF"/>
    <w:rsid w:val="004B73AF"/>
    <w:rsid w:val="004C4C58"/>
    <w:rsid w:val="004D0EA8"/>
    <w:rsid w:val="004D2568"/>
    <w:rsid w:val="004D3EE9"/>
    <w:rsid w:val="004E7176"/>
    <w:rsid w:val="004E783D"/>
    <w:rsid w:val="004F2465"/>
    <w:rsid w:val="004F34E5"/>
    <w:rsid w:val="005132BB"/>
    <w:rsid w:val="0052143C"/>
    <w:rsid w:val="00524166"/>
    <w:rsid w:val="00524C18"/>
    <w:rsid w:val="005336C2"/>
    <w:rsid w:val="00534C5B"/>
    <w:rsid w:val="005403E3"/>
    <w:rsid w:val="0055461C"/>
    <w:rsid w:val="00571EF6"/>
    <w:rsid w:val="00596B08"/>
    <w:rsid w:val="0059754B"/>
    <w:rsid w:val="005B0C1B"/>
    <w:rsid w:val="005C06FD"/>
    <w:rsid w:val="005C183B"/>
    <w:rsid w:val="005C58B6"/>
    <w:rsid w:val="005C5BF7"/>
    <w:rsid w:val="005D4EE6"/>
    <w:rsid w:val="005F2A19"/>
    <w:rsid w:val="0060568A"/>
    <w:rsid w:val="0061778F"/>
    <w:rsid w:val="0062152E"/>
    <w:rsid w:val="00624487"/>
    <w:rsid w:val="00624A10"/>
    <w:rsid w:val="00626C39"/>
    <w:rsid w:val="00643D7A"/>
    <w:rsid w:val="00646D29"/>
    <w:rsid w:val="00657FE4"/>
    <w:rsid w:val="0066318F"/>
    <w:rsid w:val="006648BE"/>
    <w:rsid w:val="006927DD"/>
    <w:rsid w:val="006A1DF3"/>
    <w:rsid w:val="006B3424"/>
    <w:rsid w:val="006B591C"/>
    <w:rsid w:val="006B7B89"/>
    <w:rsid w:val="006D39C4"/>
    <w:rsid w:val="006E7D5B"/>
    <w:rsid w:val="006F582F"/>
    <w:rsid w:val="006F7D3D"/>
    <w:rsid w:val="00701FF5"/>
    <w:rsid w:val="00703352"/>
    <w:rsid w:val="00703A1C"/>
    <w:rsid w:val="007143B8"/>
    <w:rsid w:val="007316AA"/>
    <w:rsid w:val="00741B9C"/>
    <w:rsid w:val="00757A1C"/>
    <w:rsid w:val="007637D8"/>
    <w:rsid w:val="00765EBC"/>
    <w:rsid w:val="0076B9CC"/>
    <w:rsid w:val="0077231B"/>
    <w:rsid w:val="00774643"/>
    <w:rsid w:val="007838DE"/>
    <w:rsid w:val="007958FE"/>
    <w:rsid w:val="007C4387"/>
    <w:rsid w:val="007D2FB7"/>
    <w:rsid w:val="007E79C4"/>
    <w:rsid w:val="007F23A8"/>
    <w:rsid w:val="00804604"/>
    <w:rsid w:val="0081221D"/>
    <w:rsid w:val="008214B4"/>
    <w:rsid w:val="00826961"/>
    <w:rsid w:val="00836428"/>
    <w:rsid w:val="00842072"/>
    <w:rsid w:val="00847C78"/>
    <w:rsid w:val="00852B97"/>
    <w:rsid w:val="00853ECC"/>
    <w:rsid w:val="008619EB"/>
    <w:rsid w:val="00870521"/>
    <w:rsid w:val="00873C29"/>
    <w:rsid w:val="0087642D"/>
    <w:rsid w:val="00885094"/>
    <w:rsid w:val="008856D7"/>
    <w:rsid w:val="0089523C"/>
    <w:rsid w:val="008A0F9E"/>
    <w:rsid w:val="008C3B9B"/>
    <w:rsid w:val="008C789C"/>
    <w:rsid w:val="008C7B1F"/>
    <w:rsid w:val="008C7B63"/>
    <w:rsid w:val="008F0BDD"/>
    <w:rsid w:val="008F20E3"/>
    <w:rsid w:val="008F2F99"/>
    <w:rsid w:val="008F6084"/>
    <w:rsid w:val="00900F82"/>
    <w:rsid w:val="009057C8"/>
    <w:rsid w:val="0093193B"/>
    <w:rsid w:val="00933DCE"/>
    <w:rsid w:val="00935067"/>
    <w:rsid w:val="00947170"/>
    <w:rsid w:val="00947B3D"/>
    <w:rsid w:val="00956E94"/>
    <w:rsid w:val="009627A1"/>
    <w:rsid w:val="00963B2F"/>
    <w:rsid w:val="009712FE"/>
    <w:rsid w:val="00974E48"/>
    <w:rsid w:val="009875AD"/>
    <w:rsid w:val="009924AF"/>
    <w:rsid w:val="0099548E"/>
    <w:rsid w:val="00996A22"/>
    <w:rsid w:val="009A7F71"/>
    <w:rsid w:val="009B51D7"/>
    <w:rsid w:val="009B85C2"/>
    <w:rsid w:val="009D3BEA"/>
    <w:rsid w:val="009D5161"/>
    <w:rsid w:val="009E4D16"/>
    <w:rsid w:val="009F12E2"/>
    <w:rsid w:val="009F3358"/>
    <w:rsid w:val="009F478B"/>
    <w:rsid w:val="009F69C1"/>
    <w:rsid w:val="00A21696"/>
    <w:rsid w:val="00A40EE1"/>
    <w:rsid w:val="00A423ED"/>
    <w:rsid w:val="00A536F3"/>
    <w:rsid w:val="00A64751"/>
    <w:rsid w:val="00A751AC"/>
    <w:rsid w:val="00A91D08"/>
    <w:rsid w:val="00AA281D"/>
    <w:rsid w:val="00AA3FCD"/>
    <w:rsid w:val="00AA6318"/>
    <w:rsid w:val="00AA7FCB"/>
    <w:rsid w:val="00AB2282"/>
    <w:rsid w:val="00AB59AE"/>
    <w:rsid w:val="00AB5BD9"/>
    <w:rsid w:val="00AC047F"/>
    <w:rsid w:val="00AD0AA1"/>
    <w:rsid w:val="00AE07A3"/>
    <w:rsid w:val="00AE372A"/>
    <w:rsid w:val="00AF3676"/>
    <w:rsid w:val="00B04CD7"/>
    <w:rsid w:val="00B275A9"/>
    <w:rsid w:val="00B35236"/>
    <w:rsid w:val="00B40DBF"/>
    <w:rsid w:val="00B44231"/>
    <w:rsid w:val="00B457C4"/>
    <w:rsid w:val="00B54060"/>
    <w:rsid w:val="00B544C7"/>
    <w:rsid w:val="00B71178"/>
    <w:rsid w:val="00B85693"/>
    <w:rsid w:val="00B914A2"/>
    <w:rsid w:val="00B9541E"/>
    <w:rsid w:val="00BA4CDE"/>
    <w:rsid w:val="00BB0488"/>
    <w:rsid w:val="00BB3ED5"/>
    <w:rsid w:val="00BB4AB9"/>
    <w:rsid w:val="00BC07C0"/>
    <w:rsid w:val="00BD3CFF"/>
    <w:rsid w:val="00BE59BD"/>
    <w:rsid w:val="00BE5F1C"/>
    <w:rsid w:val="00BE7278"/>
    <w:rsid w:val="00C003A1"/>
    <w:rsid w:val="00C0174A"/>
    <w:rsid w:val="00C05D9B"/>
    <w:rsid w:val="00C26130"/>
    <w:rsid w:val="00C315B6"/>
    <w:rsid w:val="00C376F3"/>
    <w:rsid w:val="00C4132F"/>
    <w:rsid w:val="00C436D6"/>
    <w:rsid w:val="00C463D2"/>
    <w:rsid w:val="00C62A44"/>
    <w:rsid w:val="00C75CD4"/>
    <w:rsid w:val="00C75F57"/>
    <w:rsid w:val="00C80A39"/>
    <w:rsid w:val="00C81936"/>
    <w:rsid w:val="00C84C4C"/>
    <w:rsid w:val="00CA2188"/>
    <w:rsid w:val="00CA7D78"/>
    <w:rsid w:val="00CB631F"/>
    <w:rsid w:val="00CC41B2"/>
    <w:rsid w:val="00CC5314"/>
    <w:rsid w:val="00CC65F5"/>
    <w:rsid w:val="00CE251C"/>
    <w:rsid w:val="00D0019C"/>
    <w:rsid w:val="00D123A8"/>
    <w:rsid w:val="00D17F80"/>
    <w:rsid w:val="00D25C36"/>
    <w:rsid w:val="00D3182B"/>
    <w:rsid w:val="00D32267"/>
    <w:rsid w:val="00D52AD6"/>
    <w:rsid w:val="00D73432"/>
    <w:rsid w:val="00D861C1"/>
    <w:rsid w:val="00D86901"/>
    <w:rsid w:val="00D92835"/>
    <w:rsid w:val="00D94424"/>
    <w:rsid w:val="00DA6DB6"/>
    <w:rsid w:val="00DB78EB"/>
    <w:rsid w:val="00DC0C59"/>
    <w:rsid w:val="00DC41C9"/>
    <w:rsid w:val="00DC5473"/>
    <w:rsid w:val="00DC7EBE"/>
    <w:rsid w:val="00DD2F76"/>
    <w:rsid w:val="00DE6FE8"/>
    <w:rsid w:val="00E114C5"/>
    <w:rsid w:val="00E13D93"/>
    <w:rsid w:val="00E15266"/>
    <w:rsid w:val="00E162F5"/>
    <w:rsid w:val="00E1643E"/>
    <w:rsid w:val="00E3230E"/>
    <w:rsid w:val="00E3236A"/>
    <w:rsid w:val="00E35775"/>
    <w:rsid w:val="00E63AA4"/>
    <w:rsid w:val="00E826D1"/>
    <w:rsid w:val="00E95CF7"/>
    <w:rsid w:val="00EA0EEB"/>
    <w:rsid w:val="00EB540A"/>
    <w:rsid w:val="00EC7C80"/>
    <w:rsid w:val="00ED2DCC"/>
    <w:rsid w:val="00ED41DD"/>
    <w:rsid w:val="00EF2BE5"/>
    <w:rsid w:val="00F042FA"/>
    <w:rsid w:val="00F22813"/>
    <w:rsid w:val="00F2442A"/>
    <w:rsid w:val="00F51AFD"/>
    <w:rsid w:val="00F612FF"/>
    <w:rsid w:val="00F6493F"/>
    <w:rsid w:val="00F72C6C"/>
    <w:rsid w:val="00F75663"/>
    <w:rsid w:val="00F811E7"/>
    <w:rsid w:val="00F9056C"/>
    <w:rsid w:val="00F9460E"/>
    <w:rsid w:val="00F94FD3"/>
    <w:rsid w:val="00F96059"/>
    <w:rsid w:val="00FA2944"/>
    <w:rsid w:val="00FB4891"/>
    <w:rsid w:val="00FC686F"/>
    <w:rsid w:val="00FC6D9A"/>
    <w:rsid w:val="00FC7FBE"/>
    <w:rsid w:val="00FE0378"/>
    <w:rsid w:val="00FE2347"/>
    <w:rsid w:val="00FE6C52"/>
    <w:rsid w:val="00FF0486"/>
    <w:rsid w:val="00FF066A"/>
    <w:rsid w:val="00FF625A"/>
    <w:rsid w:val="0129A583"/>
    <w:rsid w:val="01330D91"/>
    <w:rsid w:val="0186905A"/>
    <w:rsid w:val="0204C774"/>
    <w:rsid w:val="021FEB69"/>
    <w:rsid w:val="0246A5BE"/>
    <w:rsid w:val="0255150A"/>
    <w:rsid w:val="0293619C"/>
    <w:rsid w:val="0314099B"/>
    <w:rsid w:val="03E8A100"/>
    <w:rsid w:val="042F5E57"/>
    <w:rsid w:val="04393F89"/>
    <w:rsid w:val="04DA3D30"/>
    <w:rsid w:val="0520D86D"/>
    <w:rsid w:val="054799CE"/>
    <w:rsid w:val="05747C15"/>
    <w:rsid w:val="05769089"/>
    <w:rsid w:val="05772801"/>
    <w:rsid w:val="058DF2EE"/>
    <w:rsid w:val="0659E1F8"/>
    <w:rsid w:val="065A017D"/>
    <w:rsid w:val="07406D09"/>
    <w:rsid w:val="0803B13D"/>
    <w:rsid w:val="09EE6FE7"/>
    <w:rsid w:val="0B0B500A"/>
    <w:rsid w:val="0BCA3710"/>
    <w:rsid w:val="0BF1ACE5"/>
    <w:rsid w:val="0C85FCBB"/>
    <w:rsid w:val="0CCC26B8"/>
    <w:rsid w:val="0CE34B87"/>
    <w:rsid w:val="0D0DBCDA"/>
    <w:rsid w:val="0D531E6D"/>
    <w:rsid w:val="0E0AAC39"/>
    <w:rsid w:val="0E896A2D"/>
    <w:rsid w:val="0EDA9B5C"/>
    <w:rsid w:val="0F394809"/>
    <w:rsid w:val="0F53CC86"/>
    <w:rsid w:val="0F7663F2"/>
    <w:rsid w:val="0F778B6B"/>
    <w:rsid w:val="0F78054B"/>
    <w:rsid w:val="0FE6D2FE"/>
    <w:rsid w:val="106B789A"/>
    <w:rsid w:val="109A5957"/>
    <w:rsid w:val="10C9C63C"/>
    <w:rsid w:val="10F0744B"/>
    <w:rsid w:val="114B2E0C"/>
    <w:rsid w:val="1179C130"/>
    <w:rsid w:val="11A393EA"/>
    <w:rsid w:val="11C54073"/>
    <w:rsid w:val="12B9ED47"/>
    <w:rsid w:val="12FC6934"/>
    <w:rsid w:val="135E3E0C"/>
    <w:rsid w:val="1366AA94"/>
    <w:rsid w:val="13B9B4D1"/>
    <w:rsid w:val="13ED0EB9"/>
    <w:rsid w:val="1439D4E8"/>
    <w:rsid w:val="144E9C45"/>
    <w:rsid w:val="14BC79B9"/>
    <w:rsid w:val="14D5BD8B"/>
    <w:rsid w:val="15AB263E"/>
    <w:rsid w:val="15B77BAA"/>
    <w:rsid w:val="16649E71"/>
    <w:rsid w:val="166FFBD5"/>
    <w:rsid w:val="177D9CC5"/>
    <w:rsid w:val="17D4ECCD"/>
    <w:rsid w:val="17F2FCD2"/>
    <w:rsid w:val="1818EDA8"/>
    <w:rsid w:val="18831ABF"/>
    <w:rsid w:val="18970FC9"/>
    <w:rsid w:val="1984D315"/>
    <w:rsid w:val="1A479491"/>
    <w:rsid w:val="1AB2011E"/>
    <w:rsid w:val="1AB821CD"/>
    <w:rsid w:val="1B0F88F2"/>
    <w:rsid w:val="1B8D49C7"/>
    <w:rsid w:val="1BE4C27D"/>
    <w:rsid w:val="1BEEA852"/>
    <w:rsid w:val="1C101D57"/>
    <w:rsid w:val="1C1E3100"/>
    <w:rsid w:val="1C383986"/>
    <w:rsid w:val="1C3DDD26"/>
    <w:rsid w:val="1D83A209"/>
    <w:rsid w:val="1D8A78B3"/>
    <w:rsid w:val="1D8F8589"/>
    <w:rsid w:val="1D9CAF36"/>
    <w:rsid w:val="1DFFD4E5"/>
    <w:rsid w:val="1E38784C"/>
    <w:rsid w:val="1EBCAA6E"/>
    <w:rsid w:val="1FCEF245"/>
    <w:rsid w:val="1FF8754F"/>
    <w:rsid w:val="1FFAE924"/>
    <w:rsid w:val="200C1CBB"/>
    <w:rsid w:val="2014644D"/>
    <w:rsid w:val="2019DA31"/>
    <w:rsid w:val="204CCF2A"/>
    <w:rsid w:val="2073708E"/>
    <w:rsid w:val="209D74EE"/>
    <w:rsid w:val="20B5295B"/>
    <w:rsid w:val="20CCFB3E"/>
    <w:rsid w:val="20EE1D79"/>
    <w:rsid w:val="21724F9B"/>
    <w:rsid w:val="21AB3080"/>
    <w:rsid w:val="21C839A9"/>
    <w:rsid w:val="22103D68"/>
    <w:rsid w:val="22627979"/>
    <w:rsid w:val="228084DC"/>
    <w:rsid w:val="22888D9D"/>
    <w:rsid w:val="23803EAF"/>
    <w:rsid w:val="23D65A78"/>
    <w:rsid w:val="258EA5BF"/>
    <w:rsid w:val="25DA4B7D"/>
    <w:rsid w:val="2626779F"/>
    <w:rsid w:val="2650B29A"/>
    <w:rsid w:val="26E14DC9"/>
    <w:rsid w:val="27B94B14"/>
    <w:rsid w:val="2892D604"/>
    <w:rsid w:val="28A57331"/>
    <w:rsid w:val="28C90B37"/>
    <w:rsid w:val="28D57802"/>
    <w:rsid w:val="290567D3"/>
    <w:rsid w:val="2943E342"/>
    <w:rsid w:val="2970E6CF"/>
    <w:rsid w:val="297D7D7C"/>
    <w:rsid w:val="2989BC08"/>
    <w:rsid w:val="29BE826E"/>
    <w:rsid w:val="2A2D4B18"/>
    <w:rsid w:val="2A70E941"/>
    <w:rsid w:val="2AA37993"/>
    <w:rsid w:val="2ADF301F"/>
    <w:rsid w:val="2BA23F9C"/>
    <w:rsid w:val="2BAB7652"/>
    <w:rsid w:val="2C8C5039"/>
    <w:rsid w:val="2C98A79B"/>
    <w:rsid w:val="2D1CBB80"/>
    <w:rsid w:val="2D411D66"/>
    <w:rsid w:val="2E032798"/>
    <w:rsid w:val="2E240C58"/>
    <w:rsid w:val="2E5E99CD"/>
    <w:rsid w:val="2E824524"/>
    <w:rsid w:val="2F94D546"/>
    <w:rsid w:val="2F9D096D"/>
    <w:rsid w:val="2FD68A63"/>
    <w:rsid w:val="3013DC25"/>
    <w:rsid w:val="303F1693"/>
    <w:rsid w:val="3087D11A"/>
    <w:rsid w:val="30A46353"/>
    <w:rsid w:val="30D8E279"/>
    <w:rsid w:val="30F1D2F5"/>
    <w:rsid w:val="311946DC"/>
    <w:rsid w:val="31CC6078"/>
    <w:rsid w:val="32F3C65B"/>
    <w:rsid w:val="330B3765"/>
    <w:rsid w:val="3397368D"/>
    <w:rsid w:val="339DAE83"/>
    <w:rsid w:val="349026AE"/>
    <w:rsid w:val="34B858C8"/>
    <w:rsid w:val="34E65874"/>
    <w:rsid w:val="34E6C034"/>
    <w:rsid w:val="34EE1430"/>
    <w:rsid w:val="35A1EBDC"/>
    <w:rsid w:val="35FAB8E7"/>
    <w:rsid w:val="364D05EC"/>
    <w:rsid w:val="367FE906"/>
    <w:rsid w:val="37587533"/>
    <w:rsid w:val="37DB2EC1"/>
    <w:rsid w:val="3800EC60"/>
    <w:rsid w:val="3834B06C"/>
    <w:rsid w:val="384A76D6"/>
    <w:rsid w:val="384AFEA9"/>
    <w:rsid w:val="38A4B224"/>
    <w:rsid w:val="38C06B0E"/>
    <w:rsid w:val="38CE203E"/>
    <w:rsid w:val="38D55F3B"/>
    <w:rsid w:val="38EE9124"/>
    <w:rsid w:val="38F7D264"/>
    <w:rsid w:val="39B999CD"/>
    <w:rsid w:val="3A2B0C48"/>
    <w:rsid w:val="3A2F92D5"/>
    <w:rsid w:val="3A668A16"/>
    <w:rsid w:val="3A6DE4AE"/>
    <w:rsid w:val="3A8A6185"/>
    <w:rsid w:val="3A8F59B3"/>
    <w:rsid w:val="3ADAEC84"/>
    <w:rsid w:val="3AEBC90C"/>
    <w:rsid w:val="3B0EFD26"/>
    <w:rsid w:val="3B26698D"/>
    <w:rsid w:val="3B3AD37F"/>
    <w:rsid w:val="3B4010E9"/>
    <w:rsid w:val="3B6A08B2"/>
    <w:rsid w:val="3C5945E0"/>
    <w:rsid w:val="3C8CAA87"/>
    <w:rsid w:val="3CC3239F"/>
    <w:rsid w:val="3CE5C872"/>
    <w:rsid w:val="3CF3ED40"/>
    <w:rsid w:val="3D08FF8F"/>
    <w:rsid w:val="3D86D5B1"/>
    <w:rsid w:val="3DA92F07"/>
    <w:rsid w:val="3E948D9E"/>
    <w:rsid w:val="3F0DABC7"/>
    <w:rsid w:val="3F1EE34D"/>
    <w:rsid w:val="3FA3BCFB"/>
    <w:rsid w:val="4039C0F8"/>
    <w:rsid w:val="407AE9F2"/>
    <w:rsid w:val="40FE9B37"/>
    <w:rsid w:val="4128BAF4"/>
    <w:rsid w:val="41392418"/>
    <w:rsid w:val="41693299"/>
    <w:rsid w:val="418CEBC6"/>
    <w:rsid w:val="41E02D4A"/>
    <w:rsid w:val="41F72FD0"/>
    <w:rsid w:val="421811DD"/>
    <w:rsid w:val="422DD981"/>
    <w:rsid w:val="4236B5A5"/>
    <w:rsid w:val="425AAFC5"/>
    <w:rsid w:val="4273A780"/>
    <w:rsid w:val="42B65EA0"/>
    <w:rsid w:val="42FD628D"/>
    <w:rsid w:val="43023F80"/>
    <w:rsid w:val="43595A5E"/>
    <w:rsid w:val="437E582B"/>
    <w:rsid w:val="438EEACD"/>
    <w:rsid w:val="439A2DBD"/>
    <w:rsid w:val="439C4234"/>
    <w:rsid w:val="44302822"/>
    <w:rsid w:val="443B5B1D"/>
    <w:rsid w:val="44AF98C4"/>
    <w:rsid w:val="45317DE1"/>
    <w:rsid w:val="4534990C"/>
    <w:rsid w:val="459AB9E6"/>
    <w:rsid w:val="45FC2C17"/>
    <w:rsid w:val="46723A79"/>
    <w:rsid w:val="46A9027C"/>
    <w:rsid w:val="4737D60A"/>
    <w:rsid w:val="47A210C1"/>
    <w:rsid w:val="47C31F9E"/>
    <w:rsid w:val="47CFD7F9"/>
    <w:rsid w:val="47D958AE"/>
    <w:rsid w:val="48314CB7"/>
    <w:rsid w:val="490DF62E"/>
    <w:rsid w:val="493B5071"/>
    <w:rsid w:val="495BB9A7"/>
    <w:rsid w:val="49702832"/>
    <w:rsid w:val="49D732BA"/>
    <w:rsid w:val="4A226081"/>
    <w:rsid w:val="4A257068"/>
    <w:rsid w:val="4A341328"/>
    <w:rsid w:val="4AA4AC33"/>
    <w:rsid w:val="4B13A63C"/>
    <w:rsid w:val="4B45AB9C"/>
    <w:rsid w:val="4BA75419"/>
    <w:rsid w:val="4BB1FC2A"/>
    <w:rsid w:val="4BC059C2"/>
    <w:rsid w:val="4C2C6E93"/>
    <w:rsid w:val="4C7759CF"/>
    <w:rsid w:val="4CB5AB7E"/>
    <w:rsid w:val="4DA60127"/>
    <w:rsid w:val="4E132A30"/>
    <w:rsid w:val="4F3AE81D"/>
    <w:rsid w:val="4F867699"/>
    <w:rsid w:val="504E9108"/>
    <w:rsid w:val="51646E21"/>
    <w:rsid w:val="51697E60"/>
    <w:rsid w:val="51F35332"/>
    <w:rsid w:val="51FD6D40"/>
    <w:rsid w:val="5264887D"/>
    <w:rsid w:val="53246116"/>
    <w:rsid w:val="5330AECC"/>
    <w:rsid w:val="538F2393"/>
    <w:rsid w:val="538F730A"/>
    <w:rsid w:val="53FED4DE"/>
    <w:rsid w:val="5400F3EA"/>
    <w:rsid w:val="544F2A6E"/>
    <w:rsid w:val="5459BC6A"/>
    <w:rsid w:val="5468FF73"/>
    <w:rsid w:val="54A76A2D"/>
    <w:rsid w:val="54CA252A"/>
    <w:rsid w:val="5508AE82"/>
    <w:rsid w:val="553DE113"/>
    <w:rsid w:val="55B11219"/>
    <w:rsid w:val="55B3451C"/>
    <w:rsid w:val="55FA387B"/>
    <w:rsid w:val="55FF47B3"/>
    <w:rsid w:val="5694A599"/>
    <w:rsid w:val="56C9B332"/>
    <w:rsid w:val="56DDE8E1"/>
    <w:rsid w:val="56F8C42D"/>
    <w:rsid w:val="57D52F17"/>
    <w:rsid w:val="587F2BD2"/>
    <w:rsid w:val="5892CF21"/>
    <w:rsid w:val="58ADCF69"/>
    <w:rsid w:val="58E8B2DB"/>
    <w:rsid w:val="591B3230"/>
    <w:rsid w:val="59D0EB85"/>
    <w:rsid w:val="5AA1BD3E"/>
    <w:rsid w:val="5B2F72FB"/>
    <w:rsid w:val="5BC8A651"/>
    <w:rsid w:val="5BFB2F3F"/>
    <w:rsid w:val="5C280CBA"/>
    <w:rsid w:val="5C865A5C"/>
    <w:rsid w:val="5C95CD1E"/>
    <w:rsid w:val="5CE047CC"/>
    <w:rsid w:val="5DD23A5D"/>
    <w:rsid w:val="5E0E631A"/>
    <w:rsid w:val="5E2D9A03"/>
    <w:rsid w:val="5E57DF13"/>
    <w:rsid w:val="5E68E481"/>
    <w:rsid w:val="5E8A2C91"/>
    <w:rsid w:val="5EAB2669"/>
    <w:rsid w:val="5EF93300"/>
    <w:rsid w:val="5EFCC553"/>
    <w:rsid w:val="5F275DE4"/>
    <w:rsid w:val="5FFB057D"/>
    <w:rsid w:val="60443061"/>
    <w:rsid w:val="6114242B"/>
    <w:rsid w:val="6198B404"/>
    <w:rsid w:val="61B3B500"/>
    <w:rsid w:val="6206A362"/>
    <w:rsid w:val="621A70D0"/>
    <w:rsid w:val="62974E3E"/>
    <w:rsid w:val="62C71F87"/>
    <w:rsid w:val="6312F56D"/>
    <w:rsid w:val="6343F3E1"/>
    <w:rsid w:val="6407C8D8"/>
    <w:rsid w:val="6475A222"/>
    <w:rsid w:val="649959C7"/>
    <w:rsid w:val="649CC990"/>
    <w:rsid w:val="64A5C75B"/>
    <w:rsid w:val="6544867D"/>
    <w:rsid w:val="65521192"/>
    <w:rsid w:val="65A1AD3E"/>
    <w:rsid w:val="65A39939"/>
    <w:rsid w:val="65AE0D86"/>
    <w:rsid w:val="65D62905"/>
    <w:rsid w:val="65E983FE"/>
    <w:rsid w:val="6672AFA0"/>
    <w:rsid w:val="667EF380"/>
    <w:rsid w:val="66A9C353"/>
    <w:rsid w:val="66DB3611"/>
    <w:rsid w:val="6715090A"/>
    <w:rsid w:val="67611B7F"/>
    <w:rsid w:val="67791CA3"/>
    <w:rsid w:val="67B014B8"/>
    <w:rsid w:val="67BEB185"/>
    <w:rsid w:val="67E6C9C1"/>
    <w:rsid w:val="6834855F"/>
    <w:rsid w:val="6836FEEA"/>
    <w:rsid w:val="685A95A2"/>
    <w:rsid w:val="68E89099"/>
    <w:rsid w:val="6959A3E6"/>
    <w:rsid w:val="6992A195"/>
    <w:rsid w:val="69E20689"/>
    <w:rsid w:val="6A0223B5"/>
    <w:rsid w:val="6AABB448"/>
    <w:rsid w:val="6C0628D5"/>
    <w:rsid w:val="6C1CEB56"/>
    <w:rsid w:val="6C336569"/>
    <w:rsid w:val="6C602F72"/>
    <w:rsid w:val="6CBC15A2"/>
    <w:rsid w:val="6CCE00FD"/>
    <w:rsid w:val="6D1DA41D"/>
    <w:rsid w:val="6D419AB7"/>
    <w:rsid w:val="6D4CCBEE"/>
    <w:rsid w:val="6E1DD270"/>
    <w:rsid w:val="6E4CEA5B"/>
    <w:rsid w:val="6E67D825"/>
    <w:rsid w:val="6E848A43"/>
    <w:rsid w:val="6EF4733D"/>
    <w:rsid w:val="6F10DE61"/>
    <w:rsid w:val="6F201AEF"/>
    <w:rsid w:val="6FB8B9F9"/>
    <w:rsid w:val="6FBE3BDD"/>
    <w:rsid w:val="7051B475"/>
    <w:rsid w:val="70728F8E"/>
    <w:rsid w:val="70A09EEA"/>
    <w:rsid w:val="715A6B60"/>
    <w:rsid w:val="71F0D061"/>
    <w:rsid w:val="72055F12"/>
    <w:rsid w:val="73107012"/>
    <w:rsid w:val="74BD53BC"/>
    <w:rsid w:val="74CD75CD"/>
    <w:rsid w:val="75C5247E"/>
    <w:rsid w:val="75C713A1"/>
    <w:rsid w:val="765B354E"/>
    <w:rsid w:val="76DAE4E8"/>
    <w:rsid w:val="773E3F0C"/>
    <w:rsid w:val="778A2DF7"/>
    <w:rsid w:val="78C53AA9"/>
    <w:rsid w:val="7966A346"/>
    <w:rsid w:val="798F9D02"/>
    <w:rsid w:val="79CD3682"/>
    <w:rsid w:val="79FBA507"/>
    <w:rsid w:val="7A19F8B6"/>
    <w:rsid w:val="7A4BA8A1"/>
    <w:rsid w:val="7A99E30F"/>
    <w:rsid w:val="7AD9875F"/>
    <w:rsid w:val="7B2A9BCC"/>
    <w:rsid w:val="7C8DEEB5"/>
    <w:rsid w:val="7D51620D"/>
    <w:rsid w:val="7D7F836F"/>
    <w:rsid w:val="7D814D01"/>
    <w:rsid w:val="7DE5D6BE"/>
    <w:rsid w:val="7DEE9118"/>
    <w:rsid w:val="7E26AE83"/>
    <w:rsid w:val="7E773E54"/>
    <w:rsid w:val="7E9A5347"/>
    <w:rsid w:val="7F0E8744"/>
    <w:rsid w:val="7F1825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9B0F9"/>
  <w15:chartTrackingRefBased/>
  <w15:docId w15:val="{51AA2244-6724-467A-A08A-DAE30414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1C9"/>
    <w:rPr>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41C9"/>
    <w:pPr>
      <w:tabs>
        <w:tab w:val="center" w:pos="4320"/>
        <w:tab w:val="right" w:pos="8640"/>
      </w:tabs>
    </w:pPr>
  </w:style>
  <w:style w:type="paragraph" w:styleId="Footer">
    <w:name w:val="footer"/>
    <w:basedOn w:val="Normal"/>
    <w:link w:val="FooterChar"/>
    <w:uiPriority w:val="99"/>
    <w:rsid w:val="00DC41C9"/>
    <w:pPr>
      <w:tabs>
        <w:tab w:val="center" w:pos="4320"/>
        <w:tab w:val="right" w:pos="8640"/>
      </w:tabs>
    </w:pPr>
  </w:style>
  <w:style w:type="paragraph" w:styleId="BodyText">
    <w:name w:val="Body Text"/>
    <w:aliases w:val="bt"/>
    <w:basedOn w:val="Normal"/>
    <w:rsid w:val="004F34E5"/>
    <w:rPr>
      <w:color w:val="auto"/>
      <w:kern w:val="0"/>
      <w:sz w:val="24"/>
    </w:rPr>
  </w:style>
  <w:style w:type="character" w:styleId="Hyperlink">
    <w:name w:val="Hyperlink"/>
    <w:uiPriority w:val="99"/>
    <w:rsid w:val="004F34E5"/>
    <w:rPr>
      <w:color w:val="0000FF"/>
      <w:u w:val="single"/>
    </w:rPr>
  </w:style>
  <w:style w:type="paragraph" w:styleId="BalloonText">
    <w:name w:val="Balloon Text"/>
    <w:basedOn w:val="Normal"/>
    <w:semiHidden/>
    <w:rsid w:val="00136514"/>
    <w:rPr>
      <w:rFonts w:ascii="Tahoma" w:hAnsi="Tahoma" w:cs="Tahoma"/>
      <w:sz w:val="16"/>
      <w:szCs w:val="16"/>
    </w:rPr>
  </w:style>
  <w:style w:type="character" w:customStyle="1" w:styleId="cthomas">
    <w:name w:val="cthomas"/>
    <w:semiHidden/>
    <w:rsid w:val="002E34EA"/>
    <w:rPr>
      <w:rFonts w:ascii="Arial" w:hAnsi="Arial" w:cs="Arial"/>
      <w:color w:val="auto"/>
      <w:sz w:val="20"/>
      <w:szCs w:val="20"/>
    </w:rPr>
  </w:style>
  <w:style w:type="paragraph" w:styleId="NormalWeb">
    <w:name w:val="Normal (Web)"/>
    <w:basedOn w:val="Normal"/>
    <w:rsid w:val="002C57BC"/>
    <w:pPr>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2C57BC"/>
  </w:style>
  <w:style w:type="character" w:styleId="Strong">
    <w:name w:val="Strong"/>
    <w:qFormat/>
    <w:rsid w:val="002C57BC"/>
    <w:rPr>
      <w:b/>
      <w:bCs/>
    </w:rPr>
  </w:style>
  <w:style w:type="character" w:styleId="Emphasis">
    <w:name w:val="Emphasis"/>
    <w:uiPriority w:val="20"/>
    <w:qFormat/>
    <w:rsid w:val="002C57BC"/>
    <w:rPr>
      <w:i/>
      <w:iCs/>
    </w:rPr>
  </w:style>
  <w:style w:type="paragraph" w:styleId="BodyText2">
    <w:name w:val="Body Text 2"/>
    <w:basedOn w:val="Normal"/>
    <w:rsid w:val="007143B8"/>
    <w:pPr>
      <w:spacing w:after="120" w:line="480" w:lineRule="auto"/>
    </w:pPr>
  </w:style>
  <w:style w:type="paragraph" w:styleId="ListParagraph">
    <w:name w:val="List Paragraph"/>
    <w:basedOn w:val="Normal"/>
    <w:uiPriority w:val="99"/>
    <w:qFormat/>
    <w:rsid w:val="004D3EE9"/>
    <w:pPr>
      <w:spacing w:after="200" w:line="276" w:lineRule="auto"/>
      <w:ind w:left="720"/>
      <w:contextualSpacing/>
    </w:pPr>
    <w:rPr>
      <w:rFonts w:ascii="Calibri" w:eastAsia="Calibri" w:hAnsi="Calibri"/>
      <w:color w:val="auto"/>
      <w:kern w:val="0"/>
      <w:sz w:val="22"/>
      <w:szCs w:val="22"/>
    </w:rPr>
  </w:style>
  <w:style w:type="character" w:customStyle="1" w:styleId="FooterChar">
    <w:name w:val="Footer Char"/>
    <w:link w:val="Footer"/>
    <w:uiPriority w:val="99"/>
    <w:rsid w:val="004B1E4E"/>
    <w:rPr>
      <w:color w:val="000000"/>
      <w:kern w:val="28"/>
    </w:rPr>
  </w:style>
  <w:style w:type="paragraph" w:styleId="FootnoteText">
    <w:name w:val="footnote text"/>
    <w:basedOn w:val="Normal"/>
    <w:link w:val="FootnoteTextChar"/>
    <w:rsid w:val="00D17F80"/>
  </w:style>
  <w:style w:type="character" w:customStyle="1" w:styleId="FootnoteTextChar">
    <w:name w:val="Footnote Text Char"/>
    <w:link w:val="FootnoteText"/>
    <w:rsid w:val="00D17F80"/>
    <w:rPr>
      <w:color w:val="000000"/>
      <w:kern w:val="28"/>
    </w:rPr>
  </w:style>
  <w:style w:type="character" w:styleId="FootnoteReference">
    <w:name w:val="footnote reference"/>
    <w:rsid w:val="00D17F80"/>
    <w:rPr>
      <w:vertAlign w:val="superscript"/>
    </w:rPr>
  </w:style>
  <w:style w:type="character" w:styleId="CommentReference">
    <w:name w:val="annotation reference"/>
    <w:rsid w:val="00596B08"/>
    <w:rPr>
      <w:sz w:val="16"/>
      <w:szCs w:val="16"/>
    </w:rPr>
  </w:style>
  <w:style w:type="paragraph" w:styleId="CommentText">
    <w:name w:val="annotation text"/>
    <w:basedOn w:val="Normal"/>
    <w:link w:val="CommentTextChar"/>
    <w:rsid w:val="00596B08"/>
  </w:style>
  <w:style w:type="character" w:customStyle="1" w:styleId="CommentTextChar">
    <w:name w:val="Comment Text Char"/>
    <w:link w:val="CommentText"/>
    <w:rsid w:val="00596B08"/>
    <w:rPr>
      <w:color w:val="000000"/>
      <w:kern w:val="28"/>
    </w:rPr>
  </w:style>
  <w:style w:type="paragraph" w:styleId="CommentSubject">
    <w:name w:val="annotation subject"/>
    <w:basedOn w:val="CommentText"/>
    <w:next w:val="CommentText"/>
    <w:link w:val="CommentSubjectChar"/>
    <w:rsid w:val="00596B08"/>
    <w:rPr>
      <w:b/>
      <w:bCs/>
    </w:rPr>
  </w:style>
  <w:style w:type="character" w:customStyle="1" w:styleId="CommentSubjectChar">
    <w:name w:val="Comment Subject Char"/>
    <w:link w:val="CommentSubject"/>
    <w:rsid w:val="00596B08"/>
    <w:rPr>
      <w:b/>
      <w:bCs/>
      <w:color w:val="000000"/>
      <w:kern w:val="2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504726">
      <w:bodyDiv w:val="1"/>
      <w:marLeft w:val="0"/>
      <w:marRight w:val="0"/>
      <w:marTop w:val="0"/>
      <w:marBottom w:val="0"/>
      <w:divBdr>
        <w:top w:val="none" w:sz="0" w:space="0" w:color="auto"/>
        <w:left w:val="none" w:sz="0" w:space="0" w:color="auto"/>
        <w:bottom w:val="none" w:sz="0" w:space="0" w:color="auto"/>
        <w:right w:val="none" w:sz="0" w:space="0" w:color="auto"/>
      </w:divBdr>
    </w:div>
    <w:div w:id="1312754747">
      <w:bodyDiv w:val="1"/>
      <w:marLeft w:val="0"/>
      <w:marRight w:val="0"/>
      <w:marTop w:val="0"/>
      <w:marBottom w:val="0"/>
      <w:divBdr>
        <w:top w:val="none" w:sz="0" w:space="0" w:color="auto"/>
        <w:left w:val="none" w:sz="0" w:space="0" w:color="auto"/>
        <w:bottom w:val="none" w:sz="0" w:space="0" w:color="auto"/>
        <w:right w:val="none" w:sz="0" w:space="0" w:color="auto"/>
      </w:divBdr>
    </w:div>
    <w:div w:id="1624798998">
      <w:bodyDiv w:val="1"/>
      <w:marLeft w:val="0"/>
      <w:marRight w:val="0"/>
      <w:marTop w:val="0"/>
      <w:marBottom w:val="0"/>
      <w:divBdr>
        <w:top w:val="none" w:sz="0" w:space="0" w:color="auto"/>
        <w:left w:val="none" w:sz="0" w:space="0" w:color="auto"/>
        <w:bottom w:val="none" w:sz="0" w:space="0" w:color="auto"/>
        <w:right w:val="none" w:sz="0" w:space="0" w:color="auto"/>
      </w:divBdr>
    </w:div>
    <w:div w:id="19274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3D2D0-3DDC-4A0A-802E-D03F7FEE9EEE}">
  <ds:schemaRefs>
    <ds:schemaRef ds:uri="http://schemas.microsoft.com/sharepoint/v3/contenttype/forms"/>
  </ds:schemaRefs>
</ds:datastoreItem>
</file>

<file path=customXml/itemProps2.xml><?xml version="1.0" encoding="utf-8"?>
<ds:datastoreItem xmlns:ds="http://schemas.openxmlformats.org/officeDocument/2006/customXml" ds:itemID="{FC9887E4-AD0C-4B5D-82BC-0B56C47F189B}">
  <ds:schemaRefs>
    <ds:schemaRef ds:uri="http://schemas.microsoft.com/office/2006/metadata/longProperties"/>
  </ds:schemaRefs>
</ds:datastoreItem>
</file>

<file path=customXml/itemProps3.xml><?xml version="1.0" encoding="utf-8"?>
<ds:datastoreItem xmlns:ds="http://schemas.openxmlformats.org/officeDocument/2006/customXml" ds:itemID="{5749D1EB-96EF-406E-8787-C6F3ECA057D9}">
  <ds:schemaRefs>
    <ds:schemaRef ds:uri="http://schemas.openxmlformats.org/officeDocument/2006/bibliography"/>
  </ds:schemaRefs>
</ds:datastoreItem>
</file>

<file path=customXml/itemProps4.xml><?xml version="1.0" encoding="utf-8"?>
<ds:datastoreItem xmlns:ds="http://schemas.openxmlformats.org/officeDocument/2006/customXml" ds:itemID="{7A158AEC-A1AD-4C44-A28A-577EB0E7719F}"/>
</file>

<file path=customXml/itemProps5.xml><?xml version="1.0" encoding="utf-8"?>
<ds:datastoreItem xmlns:ds="http://schemas.openxmlformats.org/officeDocument/2006/customXml" ds:itemID="{7FEDF8F1-AD70-4313-B88C-296119711B4C}"/>
</file>

<file path=docProps/app.xml><?xml version="1.0" encoding="utf-8"?>
<Properties xmlns="http://schemas.openxmlformats.org/officeDocument/2006/extended-properties" xmlns:vt="http://schemas.openxmlformats.org/officeDocument/2006/docPropsVTypes">
  <Template>Normal.dotm</Template>
  <TotalTime>6</TotalTime>
  <Pages>5</Pages>
  <Words>1491</Words>
  <Characters>8505</Characters>
  <Application>Microsoft Office Word</Application>
  <DocSecurity>0</DocSecurity>
  <Lines>70</Lines>
  <Paragraphs>19</Paragraphs>
  <ScaleCrop>false</ScaleCrop>
  <Company>Minnesota Advocates for Human Rights</Company>
  <LinksUpToDate>false</LinksUpToDate>
  <CharactersWithSpaces>9977</CharactersWithSpaces>
  <SharedDoc>false</SharedDoc>
  <HLinks>
    <vt:vector size="6" baseType="variant">
      <vt:variant>
        <vt:i4>1638454</vt:i4>
      </vt:variant>
      <vt:variant>
        <vt:i4>0</vt:i4>
      </vt:variant>
      <vt:variant>
        <vt:i4>0</vt:i4>
      </vt:variant>
      <vt:variant>
        <vt:i4>5</vt:i4>
      </vt:variant>
      <vt:variant>
        <vt:lpwstr>mailto:cmickelson@advrights.org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Herder</dc:creator>
  <cp:keywords/>
  <cp:lastModifiedBy>Carter Mickelson</cp:lastModifiedBy>
  <cp:revision>5</cp:revision>
  <cp:lastPrinted>2011-09-16T18:52:00Z</cp:lastPrinted>
  <dcterms:created xsi:type="dcterms:W3CDTF">2021-06-08T16:41:00Z</dcterms:created>
  <dcterms:modified xsi:type="dcterms:W3CDTF">2021-06-08T16:47:00Z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189600.000000000</vt:lpwstr>
  </property>
  <property fmtid="{D5CDD505-2E9C-101B-9397-08002B2CF9AE}" pid="4" name="display_urn:schemas-microsoft-com:office:office#Author">
    <vt:lpwstr>BUILTIN\Administrators</vt:lpwstr>
  </property>
  <property fmtid="{D5CDD505-2E9C-101B-9397-08002B2CF9AE}" pid="5" name="display_urn:schemas-microsoft-com:office:office#SharedWithUsers">
    <vt:lpwstr>Amy Bergquist</vt:lpwstr>
  </property>
  <property fmtid="{D5CDD505-2E9C-101B-9397-08002B2CF9AE}" pid="6" name="SharedWithUsers">
    <vt:lpwstr>51;#Amy Bergquist</vt:lpwstr>
  </property>
  <property fmtid="{D5CDD505-2E9C-101B-9397-08002B2CF9AE}" pid="7" name="ContentTypeId">
    <vt:lpwstr>0x010100F397614B75B84E4C841CE911BA0CCB9D</vt:lpwstr>
  </property>
</Properties>
</file>