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D10795" w14:textId="77777777" w:rsidR="00FF10FA" w:rsidRDefault="00FF10FA" w:rsidP="00A52B2B">
      <w:pPr>
        <w:pStyle w:val="Title"/>
        <w:jc w:val="center"/>
        <w:rPr>
          <w:sz w:val="36"/>
          <w:szCs w:val="36"/>
          <w:highlight w:val="yellow"/>
        </w:rPr>
      </w:pPr>
    </w:p>
    <w:p w14:paraId="5BA5F10C" w14:textId="77777777" w:rsidR="008506C1" w:rsidRDefault="008506C1" w:rsidP="00A52B2B">
      <w:pPr>
        <w:pStyle w:val="Title"/>
        <w:jc w:val="center"/>
        <w:rPr>
          <w:sz w:val="36"/>
          <w:szCs w:val="36"/>
        </w:rPr>
      </w:pPr>
    </w:p>
    <w:p w14:paraId="081D49AE" w14:textId="77777777" w:rsidR="008506C1" w:rsidRDefault="008506C1" w:rsidP="00A52B2B">
      <w:pPr>
        <w:pStyle w:val="Title"/>
        <w:jc w:val="center"/>
        <w:rPr>
          <w:sz w:val="36"/>
          <w:szCs w:val="36"/>
        </w:rPr>
      </w:pPr>
    </w:p>
    <w:p w14:paraId="66A05666" w14:textId="77777777" w:rsidR="008506C1" w:rsidRDefault="008506C1" w:rsidP="00A52B2B">
      <w:pPr>
        <w:pStyle w:val="Title"/>
        <w:jc w:val="center"/>
        <w:rPr>
          <w:sz w:val="36"/>
          <w:szCs w:val="36"/>
        </w:rPr>
      </w:pPr>
    </w:p>
    <w:p w14:paraId="19936089" w14:textId="073738FA" w:rsidR="007578CE" w:rsidRPr="00A52B2B" w:rsidRDefault="001C27EC" w:rsidP="00A52B2B">
      <w:pPr>
        <w:pStyle w:val="Title"/>
        <w:jc w:val="center"/>
        <w:rPr>
          <w:sz w:val="36"/>
          <w:szCs w:val="36"/>
        </w:rPr>
      </w:pPr>
      <w:r>
        <w:rPr>
          <w:sz w:val="36"/>
          <w:szCs w:val="36"/>
        </w:rPr>
        <w:t>DJIBOUTI</w:t>
      </w:r>
      <w:r w:rsidR="007578CE" w:rsidRPr="00A52B2B">
        <w:rPr>
          <w:sz w:val="36"/>
          <w:szCs w:val="36"/>
        </w:rPr>
        <w:t>: A Brief on the Implementation of CEDAW Commitments from Articles 2</w:t>
      </w:r>
      <w:r w:rsidR="009F0E0D">
        <w:rPr>
          <w:sz w:val="36"/>
          <w:szCs w:val="36"/>
        </w:rPr>
        <w:t xml:space="preserve"> and </w:t>
      </w:r>
      <w:r w:rsidR="007578CE" w:rsidRPr="00A52B2B">
        <w:rPr>
          <w:sz w:val="36"/>
          <w:szCs w:val="36"/>
        </w:rPr>
        <w:t>16</w:t>
      </w:r>
    </w:p>
    <w:p w14:paraId="5D2850D8" w14:textId="4374C71D" w:rsidR="00A52B2B" w:rsidRDefault="00A52B2B" w:rsidP="00A52B2B"/>
    <w:p w14:paraId="26614687" w14:textId="3323BED6" w:rsidR="00FF10FA" w:rsidRPr="0024558B" w:rsidRDefault="00FF10FA" w:rsidP="00FF10FA">
      <w:pPr>
        <w:keepNext/>
        <w:keepLines/>
        <w:spacing w:before="0" w:after="0"/>
        <w:jc w:val="center"/>
        <w:outlineLvl w:val="0"/>
        <w:rPr>
          <w:rFonts w:asciiTheme="majorHAnsi" w:eastAsiaTheme="majorEastAsia" w:hAnsiTheme="majorHAnsi" w:cstheme="majorBidi"/>
          <w:i/>
          <w:iCs/>
          <w:color w:val="4A66AC" w:themeColor="accent1"/>
          <w:sz w:val="24"/>
          <w:szCs w:val="24"/>
        </w:rPr>
      </w:pPr>
      <w:bookmarkStart w:id="0" w:name="_Toc12626227"/>
      <w:bookmarkStart w:id="1" w:name="_Toc23330163"/>
      <w:bookmarkStart w:id="2" w:name="_Toc60999813"/>
      <w:bookmarkStart w:id="3" w:name="_Toc66968687"/>
      <w:bookmarkStart w:id="4" w:name="_Toc66968729"/>
      <w:bookmarkStart w:id="5" w:name="_Toc67044715"/>
      <w:bookmarkStart w:id="6" w:name="_Toc67642514"/>
      <w:r w:rsidRPr="0024558B">
        <w:rPr>
          <w:rFonts w:asciiTheme="majorHAnsi" w:eastAsiaTheme="majorEastAsia" w:hAnsiTheme="majorHAnsi" w:cstheme="majorBidi"/>
          <w:i/>
          <w:iCs/>
          <w:color w:val="4A66AC" w:themeColor="accent1"/>
          <w:sz w:val="24"/>
          <w:szCs w:val="24"/>
        </w:rPr>
        <w:t xml:space="preserve">Information for the Committee on </w:t>
      </w:r>
      <w:bookmarkEnd w:id="0"/>
      <w:bookmarkEnd w:id="1"/>
      <w:r>
        <w:rPr>
          <w:rFonts w:asciiTheme="majorHAnsi" w:eastAsiaTheme="majorEastAsia" w:hAnsiTheme="majorHAnsi" w:cstheme="majorBidi"/>
          <w:i/>
          <w:iCs/>
          <w:color w:val="4A66AC" w:themeColor="accent1"/>
          <w:sz w:val="24"/>
          <w:szCs w:val="24"/>
        </w:rPr>
        <w:t>the Elimination of Discrimination Against Women</w:t>
      </w:r>
      <w:bookmarkEnd w:id="2"/>
      <w:bookmarkEnd w:id="3"/>
      <w:bookmarkEnd w:id="4"/>
      <w:bookmarkEnd w:id="5"/>
      <w:bookmarkEnd w:id="6"/>
    </w:p>
    <w:p w14:paraId="7CDB7DC9" w14:textId="3D6D34CB" w:rsidR="00FF10FA" w:rsidRPr="0024558B" w:rsidRDefault="001C27EC" w:rsidP="00FF10FA">
      <w:pPr>
        <w:keepNext/>
        <w:keepLines/>
        <w:spacing w:before="0" w:after="0"/>
        <w:jc w:val="center"/>
        <w:outlineLvl w:val="0"/>
        <w:rPr>
          <w:rFonts w:asciiTheme="majorHAnsi" w:eastAsiaTheme="majorEastAsia" w:hAnsiTheme="majorHAnsi" w:cstheme="majorBidi"/>
          <w:i/>
          <w:iCs/>
          <w:color w:val="4A66AC" w:themeColor="accent1"/>
          <w:sz w:val="24"/>
          <w:szCs w:val="24"/>
        </w:rPr>
      </w:pPr>
      <w:bookmarkStart w:id="7" w:name="_Toc12626228"/>
      <w:bookmarkStart w:id="8" w:name="_Toc23330164"/>
      <w:bookmarkStart w:id="9" w:name="_Toc60999814"/>
      <w:bookmarkStart w:id="10" w:name="_Toc66968688"/>
      <w:bookmarkStart w:id="11" w:name="_Toc66968730"/>
      <w:bookmarkStart w:id="12" w:name="_Toc67044716"/>
      <w:bookmarkStart w:id="13" w:name="_Toc67642515"/>
      <w:r w:rsidRPr="003B788F">
        <w:rPr>
          <w:rFonts w:asciiTheme="majorHAnsi" w:eastAsiaTheme="majorEastAsia" w:hAnsiTheme="majorHAnsi" w:cstheme="majorBidi"/>
          <w:i/>
          <w:iCs/>
          <w:color w:val="4A66AC" w:themeColor="accent1"/>
          <w:sz w:val="24"/>
          <w:szCs w:val="24"/>
        </w:rPr>
        <w:t>81</w:t>
      </w:r>
      <w:r w:rsidRPr="003B788F">
        <w:rPr>
          <w:rFonts w:asciiTheme="majorHAnsi" w:eastAsiaTheme="majorEastAsia" w:hAnsiTheme="majorHAnsi" w:cstheme="majorBidi"/>
          <w:i/>
          <w:iCs/>
          <w:color w:val="4A66AC" w:themeColor="accent1"/>
          <w:sz w:val="24"/>
          <w:szCs w:val="24"/>
          <w:vertAlign w:val="superscript"/>
        </w:rPr>
        <w:t>st</w:t>
      </w:r>
      <w:r w:rsidR="00FF10FA" w:rsidRPr="0024558B">
        <w:rPr>
          <w:rFonts w:asciiTheme="majorHAnsi" w:eastAsiaTheme="majorEastAsia" w:hAnsiTheme="majorHAnsi" w:cstheme="majorBidi"/>
          <w:i/>
          <w:iCs/>
          <w:color w:val="4A66AC" w:themeColor="accent1"/>
          <w:sz w:val="24"/>
          <w:szCs w:val="24"/>
        </w:rPr>
        <w:t xml:space="preserve"> Pre-Session Working Group, </w:t>
      </w:r>
      <w:bookmarkEnd w:id="7"/>
      <w:bookmarkEnd w:id="8"/>
      <w:bookmarkEnd w:id="9"/>
      <w:bookmarkEnd w:id="10"/>
      <w:bookmarkEnd w:id="11"/>
      <w:bookmarkEnd w:id="12"/>
      <w:r w:rsidR="007F5367">
        <w:rPr>
          <w:rFonts w:asciiTheme="majorHAnsi" w:eastAsiaTheme="majorEastAsia" w:hAnsiTheme="majorHAnsi" w:cstheme="majorBidi"/>
          <w:i/>
          <w:iCs/>
          <w:color w:val="4A66AC" w:themeColor="accent1"/>
          <w:sz w:val="24"/>
          <w:szCs w:val="24"/>
        </w:rPr>
        <w:t>July 2021</w:t>
      </w:r>
      <w:bookmarkEnd w:id="13"/>
    </w:p>
    <w:p w14:paraId="2B6F186F" w14:textId="254ADC08" w:rsidR="00CF442E" w:rsidRDefault="00CF442E" w:rsidP="00CF442E"/>
    <w:p w14:paraId="43E7EF01" w14:textId="33C8D9DF" w:rsidR="00A52B2B" w:rsidRDefault="00A52B2B" w:rsidP="00CF442E"/>
    <w:p w14:paraId="3B5B180E" w14:textId="30B694F9" w:rsidR="00A52B2B" w:rsidRDefault="00A52B2B" w:rsidP="00CF442E"/>
    <w:p w14:paraId="677DDDA9" w14:textId="62AD87FD" w:rsidR="00A52B2B" w:rsidRDefault="00A52B2B" w:rsidP="00CF442E"/>
    <w:p w14:paraId="3646EED2" w14:textId="5A44B612" w:rsidR="00A52B2B" w:rsidRDefault="00A52B2B" w:rsidP="00CF442E"/>
    <w:p w14:paraId="1909AAD5" w14:textId="22EB5C23" w:rsidR="00A52B2B" w:rsidRDefault="00A52B2B" w:rsidP="00CF442E"/>
    <w:p w14:paraId="3A3A6B61" w14:textId="6E3638B5" w:rsidR="00A52B2B" w:rsidRDefault="00A52B2B" w:rsidP="00CF442E"/>
    <w:p w14:paraId="312A7B1B" w14:textId="45C17E52" w:rsidR="00A52B2B" w:rsidRDefault="00A52B2B" w:rsidP="00CF442E"/>
    <w:p w14:paraId="2B17DC84" w14:textId="4D738DCB" w:rsidR="00A52B2B" w:rsidRDefault="00A52B2B" w:rsidP="00CF442E"/>
    <w:p w14:paraId="6513766A" w14:textId="36B2C043" w:rsidR="00A52B2B" w:rsidRDefault="00A52B2B" w:rsidP="00CF442E"/>
    <w:p w14:paraId="02869892" w14:textId="0097BE6F" w:rsidR="00A52B2B" w:rsidRDefault="00A52B2B" w:rsidP="00CF442E"/>
    <w:p w14:paraId="3840BDA8" w14:textId="77777777" w:rsidR="00FF10FA" w:rsidRDefault="00FF10FA" w:rsidP="00CF442E"/>
    <w:p w14:paraId="032EFCFD" w14:textId="77777777" w:rsidR="00FF10FA" w:rsidRPr="0024558B" w:rsidRDefault="00FF10FA" w:rsidP="00FF10FA">
      <w:pPr>
        <w:keepNext/>
        <w:keepLines/>
        <w:spacing w:before="0" w:after="40" w:line="360" w:lineRule="auto"/>
        <w:jc w:val="center"/>
        <w:outlineLvl w:val="0"/>
        <w:rPr>
          <w:rFonts w:asciiTheme="majorHAnsi" w:eastAsiaTheme="majorEastAsia" w:hAnsiTheme="majorHAnsi" w:cstheme="majorBidi"/>
          <w:b/>
          <w:iCs/>
          <w:color w:val="4A66AC" w:themeColor="accent1"/>
          <w:sz w:val="24"/>
          <w:szCs w:val="24"/>
        </w:rPr>
      </w:pPr>
      <w:bookmarkStart w:id="14" w:name="_Toc53065025"/>
      <w:bookmarkStart w:id="15" w:name="_Toc53065047"/>
      <w:bookmarkStart w:id="16" w:name="_Toc53065076"/>
      <w:bookmarkStart w:id="17" w:name="_Toc53066332"/>
      <w:bookmarkStart w:id="18" w:name="_Toc53066387"/>
      <w:bookmarkStart w:id="19" w:name="_Toc60999815"/>
      <w:bookmarkStart w:id="20" w:name="_Toc66968689"/>
      <w:bookmarkStart w:id="21" w:name="_Toc66968731"/>
      <w:bookmarkStart w:id="22" w:name="_Toc67044717"/>
      <w:bookmarkStart w:id="23" w:name="_Toc67642516"/>
      <w:r w:rsidRPr="0024558B">
        <w:rPr>
          <w:rFonts w:asciiTheme="majorHAnsi" w:eastAsiaTheme="majorEastAsia" w:hAnsiTheme="majorHAnsi" w:cstheme="majorBidi"/>
          <w:b/>
          <w:iCs/>
          <w:color w:val="4A66AC" w:themeColor="accent1"/>
          <w:sz w:val="24"/>
          <w:szCs w:val="24"/>
        </w:rPr>
        <w:t>Submitted By</w:t>
      </w:r>
      <w:bookmarkEnd w:id="14"/>
      <w:bookmarkEnd w:id="15"/>
      <w:bookmarkEnd w:id="16"/>
      <w:bookmarkEnd w:id="17"/>
      <w:bookmarkEnd w:id="18"/>
      <w:bookmarkEnd w:id="19"/>
      <w:bookmarkEnd w:id="20"/>
      <w:bookmarkEnd w:id="21"/>
      <w:bookmarkEnd w:id="22"/>
      <w:bookmarkEnd w:id="23"/>
    </w:p>
    <w:p w14:paraId="3CAC324E" w14:textId="77777777" w:rsidR="00FF10FA" w:rsidRPr="0024558B" w:rsidRDefault="00FF10FA" w:rsidP="00FF10FA">
      <w:pPr>
        <w:keepNext/>
        <w:keepLines/>
        <w:spacing w:before="0" w:after="40" w:line="360" w:lineRule="auto"/>
        <w:jc w:val="center"/>
        <w:outlineLvl w:val="0"/>
        <w:rPr>
          <w:rFonts w:asciiTheme="majorHAnsi" w:eastAsiaTheme="majorEastAsia" w:hAnsiTheme="majorHAnsi" w:cstheme="majorBidi"/>
          <w:iCs/>
          <w:color w:val="4A66AC" w:themeColor="accent1"/>
          <w:sz w:val="24"/>
          <w:szCs w:val="24"/>
        </w:rPr>
      </w:pPr>
      <w:bookmarkStart w:id="24" w:name="_Toc53065026"/>
      <w:bookmarkStart w:id="25" w:name="_Toc53065048"/>
      <w:bookmarkStart w:id="26" w:name="_Toc53065077"/>
      <w:bookmarkStart w:id="27" w:name="_Toc53066333"/>
      <w:bookmarkStart w:id="28" w:name="_Toc53066388"/>
      <w:bookmarkStart w:id="29" w:name="_Toc60999816"/>
      <w:bookmarkStart w:id="30" w:name="_Toc66968690"/>
      <w:bookmarkStart w:id="31" w:name="_Toc66968732"/>
      <w:bookmarkStart w:id="32" w:name="_Toc67044718"/>
      <w:bookmarkStart w:id="33" w:name="_Toc67642517"/>
      <w:r w:rsidRPr="0024558B">
        <w:rPr>
          <w:rFonts w:asciiTheme="majorHAnsi" w:eastAsiaTheme="majorEastAsia" w:hAnsiTheme="majorHAnsi" w:cstheme="majorBidi"/>
          <w:iCs/>
          <w:color w:val="4A66AC" w:themeColor="accent1"/>
          <w:sz w:val="24"/>
          <w:szCs w:val="24"/>
        </w:rPr>
        <w:t>The WORLD Policy Analysis Center</w:t>
      </w:r>
      <w:bookmarkEnd w:id="24"/>
      <w:bookmarkEnd w:id="25"/>
      <w:bookmarkEnd w:id="26"/>
      <w:bookmarkEnd w:id="27"/>
      <w:bookmarkEnd w:id="28"/>
      <w:bookmarkEnd w:id="29"/>
      <w:bookmarkEnd w:id="30"/>
      <w:bookmarkEnd w:id="31"/>
      <w:bookmarkEnd w:id="32"/>
      <w:bookmarkEnd w:id="33"/>
    </w:p>
    <w:p w14:paraId="35129D40" w14:textId="77777777" w:rsidR="00FF10FA" w:rsidRPr="0024558B" w:rsidRDefault="00FF10FA" w:rsidP="00FF10FA">
      <w:pPr>
        <w:keepNext/>
        <w:keepLines/>
        <w:spacing w:before="0" w:after="40" w:line="360" w:lineRule="auto"/>
        <w:jc w:val="center"/>
        <w:outlineLvl w:val="0"/>
        <w:rPr>
          <w:rFonts w:asciiTheme="majorHAnsi" w:eastAsiaTheme="majorEastAsia" w:hAnsiTheme="majorHAnsi" w:cstheme="majorBidi"/>
          <w:iCs/>
          <w:color w:val="4A66AC" w:themeColor="accent1"/>
          <w:sz w:val="24"/>
          <w:szCs w:val="24"/>
        </w:rPr>
      </w:pPr>
      <w:bookmarkStart w:id="34" w:name="_Toc53065027"/>
      <w:bookmarkStart w:id="35" w:name="_Toc53065049"/>
      <w:bookmarkStart w:id="36" w:name="_Toc53065078"/>
      <w:bookmarkStart w:id="37" w:name="_Toc53066334"/>
      <w:bookmarkStart w:id="38" w:name="_Toc53066389"/>
      <w:bookmarkStart w:id="39" w:name="_Toc60999817"/>
      <w:bookmarkStart w:id="40" w:name="_Toc66968691"/>
      <w:bookmarkStart w:id="41" w:name="_Toc66968733"/>
      <w:bookmarkStart w:id="42" w:name="_Toc67044719"/>
      <w:bookmarkStart w:id="43" w:name="_Toc67642518"/>
      <w:r w:rsidRPr="0024558B">
        <w:rPr>
          <w:rFonts w:asciiTheme="majorHAnsi" w:eastAsiaTheme="majorEastAsia" w:hAnsiTheme="majorHAnsi" w:cstheme="majorBidi"/>
          <w:iCs/>
          <w:color w:val="4A66AC" w:themeColor="accent1"/>
          <w:sz w:val="24"/>
          <w:szCs w:val="24"/>
        </w:rPr>
        <w:t>University of California, Los Angeles</w:t>
      </w:r>
      <w:bookmarkEnd w:id="34"/>
      <w:bookmarkEnd w:id="35"/>
      <w:bookmarkEnd w:id="36"/>
      <w:bookmarkEnd w:id="37"/>
      <w:bookmarkEnd w:id="38"/>
      <w:bookmarkEnd w:id="39"/>
      <w:bookmarkEnd w:id="40"/>
      <w:bookmarkEnd w:id="41"/>
      <w:bookmarkEnd w:id="42"/>
      <w:bookmarkEnd w:id="43"/>
      <w:r w:rsidRPr="0024558B">
        <w:rPr>
          <w:rFonts w:asciiTheme="majorHAnsi" w:eastAsiaTheme="majorEastAsia" w:hAnsiTheme="majorHAnsi" w:cstheme="majorBidi"/>
          <w:iCs/>
          <w:color w:val="4A66AC" w:themeColor="accent1"/>
          <w:sz w:val="24"/>
          <w:szCs w:val="24"/>
        </w:rPr>
        <w:t xml:space="preserve"> </w:t>
      </w:r>
    </w:p>
    <w:p w14:paraId="491EB2E3" w14:textId="39C178B8" w:rsidR="00A52B2B" w:rsidRDefault="00A52B2B" w:rsidP="00CF442E"/>
    <w:p w14:paraId="4E4104E8" w14:textId="2F661EDC" w:rsidR="00A52B2B" w:rsidRDefault="00A52B2B" w:rsidP="00CF442E"/>
    <w:p w14:paraId="7BBAAAF2" w14:textId="6C917A80" w:rsidR="00A52B2B" w:rsidRDefault="00A52B2B" w:rsidP="00CF442E"/>
    <w:p w14:paraId="24157CBC" w14:textId="77777777" w:rsidR="009F0E0D" w:rsidRDefault="009F0E0D" w:rsidP="00CF442E"/>
    <w:sdt>
      <w:sdtPr>
        <w:rPr>
          <w:caps w:val="0"/>
          <w:color w:val="auto"/>
          <w:spacing w:val="0"/>
          <w:sz w:val="20"/>
          <w:szCs w:val="20"/>
        </w:rPr>
        <w:id w:val="-1578275761"/>
        <w:docPartObj>
          <w:docPartGallery w:val="Table of Contents"/>
          <w:docPartUnique/>
        </w:docPartObj>
      </w:sdtPr>
      <w:sdtEndPr>
        <w:rPr>
          <w:b/>
          <w:bCs/>
          <w:noProof/>
        </w:rPr>
      </w:sdtEndPr>
      <w:sdtContent>
        <w:p w14:paraId="12E02DC1" w14:textId="49431BEE" w:rsidR="00DC3D8E" w:rsidRPr="001C27EC" w:rsidRDefault="00DC3D8E">
          <w:pPr>
            <w:pStyle w:val="TOCHeading"/>
            <w:rPr>
              <w:b/>
              <w:bCs/>
            </w:rPr>
          </w:pPr>
          <w:r w:rsidRPr="001C27EC">
            <w:rPr>
              <w:b/>
              <w:bCs/>
            </w:rPr>
            <w:t>Table of Contents</w:t>
          </w:r>
        </w:p>
        <w:p w14:paraId="472F8145" w14:textId="77777777" w:rsidR="007B059A" w:rsidRDefault="007B059A">
          <w:pPr>
            <w:pStyle w:val="TOC1"/>
            <w:tabs>
              <w:tab w:val="right" w:leader="dot" w:pos="9350"/>
            </w:tabs>
          </w:pPr>
        </w:p>
        <w:p w14:paraId="2A8AA78D" w14:textId="12265443" w:rsidR="003B788F" w:rsidRDefault="00DC3D8E">
          <w:pPr>
            <w:pStyle w:val="TOC1"/>
            <w:tabs>
              <w:tab w:val="right" w:leader="dot" w:pos="9350"/>
            </w:tabs>
            <w:rPr>
              <w:noProof/>
              <w:sz w:val="22"/>
              <w:szCs w:val="22"/>
            </w:rPr>
          </w:pPr>
          <w:r>
            <w:fldChar w:fldCharType="begin"/>
          </w:r>
          <w:r>
            <w:instrText xml:space="preserve"> TOC \o "1-3" \h \z \u </w:instrText>
          </w:r>
          <w:r>
            <w:fldChar w:fldCharType="separate"/>
          </w:r>
          <w:hyperlink w:anchor="_Toc67642519" w:history="1">
            <w:r w:rsidR="003B788F" w:rsidRPr="00FC1F1D">
              <w:rPr>
                <w:rStyle w:val="Hyperlink"/>
                <w:b/>
                <w:bCs/>
                <w:noProof/>
              </w:rPr>
              <w:t>Introduction</w:t>
            </w:r>
            <w:r w:rsidR="003B788F">
              <w:rPr>
                <w:noProof/>
                <w:webHidden/>
              </w:rPr>
              <w:tab/>
            </w:r>
            <w:r w:rsidR="003B788F">
              <w:rPr>
                <w:noProof/>
                <w:webHidden/>
              </w:rPr>
              <w:fldChar w:fldCharType="begin"/>
            </w:r>
            <w:r w:rsidR="003B788F">
              <w:rPr>
                <w:noProof/>
                <w:webHidden/>
              </w:rPr>
              <w:instrText xml:space="preserve"> PAGEREF _Toc67642519 \h </w:instrText>
            </w:r>
            <w:r w:rsidR="003B788F">
              <w:rPr>
                <w:noProof/>
                <w:webHidden/>
              </w:rPr>
            </w:r>
            <w:r w:rsidR="003B788F">
              <w:rPr>
                <w:noProof/>
                <w:webHidden/>
              </w:rPr>
              <w:fldChar w:fldCharType="separate"/>
            </w:r>
            <w:r w:rsidR="003B788F">
              <w:rPr>
                <w:noProof/>
                <w:webHidden/>
              </w:rPr>
              <w:t>2</w:t>
            </w:r>
            <w:r w:rsidR="003B788F">
              <w:rPr>
                <w:noProof/>
                <w:webHidden/>
              </w:rPr>
              <w:fldChar w:fldCharType="end"/>
            </w:r>
          </w:hyperlink>
        </w:p>
        <w:p w14:paraId="37599372" w14:textId="77777777" w:rsidR="0025694F" w:rsidRDefault="0025694F">
          <w:pPr>
            <w:pStyle w:val="TOC1"/>
            <w:tabs>
              <w:tab w:val="right" w:leader="dot" w:pos="9350"/>
            </w:tabs>
            <w:rPr>
              <w:rStyle w:val="Hyperlink"/>
              <w:rFonts w:eastAsia="Times New Roman"/>
              <w:b/>
              <w:bCs/>
              <w:noProof/>
            </w:rPr>
          </w:pPr>
        </w:p>
        <w:p w14:paraId="244A895E" w14:textId="3B2296D8" w:rsidR="003B788F" w:rsidRDefault="0025694F">
          <w:pPr>
            <w:pStyle w:val="TOC1"/>
            <w:tabs>
              <w:tab w:val="right" w:leader="dot" w:pos="9350"/>
            </w:tabs>
            <w:rPr>
              <w:noProof/>
              <w:sz w:val="22"/>
              <w:szCs w:val="22"/>
            </w:rPr>
          </w:pPr>
          <w:hyperlink w:anchor="_Toc67642520" w:history="1">
            <w:r w:rsidR="003B788F" w:rsidRPr="00FC1F1D">
              <w:rPr>
                <w:rStyle w:val="Hyperlink"/>
                <w:rFonts w:eastAsia="Times New Roman"/>
                <w:b/>
                <w:bCs/>
                <w:noProof/>
              </w:rPr>
              <w:t>Detail of Legislative Findings</w:t>
            </w:r>
            <w:r w:rsidR="003B788F">
              <w:rPr>
                <w:noProof/>
                <w:webHidden/>
              </w:rPr>
              <w:tab/>
            </w:r>
            <w:r w:rsidR="003B788F">
              <w:rPr>
                <w:noProof/>
                <w:webHidden/>
              </w:rPr>
              <w:fldChar w:fldCharType="begin"/>
            </w:r>
            <w:r w:rsidR="003B788F">
              <w:rPr>
                <w:noProof/>
                <w:webHidden/>
              </w:rPr>
              <w:instrText xml:space="preserve"> PAGEREF _Toc67642520 \h </w:instrText>
            </w:r>
            <w:r w:rsidR="003B788F">
              <w:rPr>
                <w:noProof/>
                <w:webHidden/>
              </w:rPr>
            </w:r>
            <w:r w:rsidR="003B788F">
              <w:rPr>
                <w:noProof/>
                <w:webHidden/>
              </w:rPr>
              <w:fldChar w:fldCharType="separate"/>
            </w:r>
            <w:r w:rsidR="003B788F">
              <w:rPr>
                <w:noProof/>
                <w:webHidden/>
              </w:rPr>
              <w:t>3</w:t>
            </w:r>
            <w:r w:rsidR="003B788F">
              <w:rPr>
                <w:noProof/>
                <w:webHidden/>
              </w:rPr>
              <w:fldChar w:fldCharType="end"/>
            </w:r>
          </w:hyperlink>
        </w:p>
        <w:p w14:paraId="5A849704" w14:textId="081E0E9B" w:rsidR="003B788F" w:rsidRDefault="008506C1">
          <w:pPr>
            <w:pStyle w:val="TOC2"/>
            <w:tabs>
              <w:tab w:val="left" w:pos="660"/>
              <w:tab w:val="right" w:leader="dot" w:pos="9350"/>
            </w:tabs>
            <w:rPr>
              <w:noProof/>
              <w:sz w:val="22"/>
              <w:szCs w:val="22"/>
            </w:rPr>
          </w:pPr>
          <w:hyperlink w:anchor="_Toc67642521" w:history="1">
            <w:r w:rsidR="003B788F" w:rsidRPr="00FC1F1D">
              <w:rPr>
                <w:rStyle w:val="Hyperlink"/>
                <w:rFonts w:ascii="Calibri Light" w:eastAsia="Times New Roman" w:hAnsi="Calibri Light" w:cs="Times New Roman"/>
                <w:bCs/>
                <w:noProof/>
              </w:rPr>
              <w:t>1.</w:t>
            </w:r>
            <w:r w:rsidR="003B788F">
              <w:rPr>
                <w:noProof/>
                <w:sz w:val="22"/>
                <w:szCs w:val="22"/>
              </w:rPr>
              <w:tab/>
            </w:r>
            <w:r w:rsidR="003B788F" w:rsidRPr="00FC1F1D">
              <w:rPr>
                <w:rStyle w:val="Hyperlink"/>
                <w:rFonts w:ascii="Calibri Light" w:eastAsia="Times New Roman" w:hAnsi="Calibri Light" w:cs="Times New Roman"/>
                <w:bCs/>
                <w:noProof/>
              </w:rPr>
              <w:t>Child Marriage (Articles 16, 2)</w:t>
            </w:r>
            <w:r w:rsidR="003B788F">
              <w:rPr>
                <w:noProof/>
                <w:webHidden/>
              </w:rPr>
              <w:tab/>
            </w:r>
            <w:r w:rsidR="003B788F">
              <w:rPr>
                <w:noProof/>
                <w:webHidden/>
              </w:rPr>
              <w:fldChar w:fldCharType="begin"/>
            </w:r>
            <w:r w:rsidR="003B788F">
              <w:rPr>
                <w:noProof/>
                <w:webHidden/>
              </w:rPr>
              <w:instrText xml:space="preserve"> PAGEREF _Toc67642521 \h </w:instrText>
            </w:r>
            <w:r w:rsidR="003B788F">
              <w:rPr>
                <w:noProof/>
                <w:webHidden/>
              </w:rPr>
            </w:r>
            <w:r w:rsidR="003B788F">
              <w:rPr>
                <w:noProof/>
                <w:webHidden/>
              </w:rPr>
              <w:fldChar w:fldCharType="separate"/>
            </w:r>
            <w:r w:rsidR="003B788F">
              <w:rPr>
                <w:noProof/>
                <w:webHidden/>
              </w:rPr>
              <w:t>3</w:t>
            </w:r>
            <w:r w:rsidR="003B788F">
              <w:rPr>
                <w:noProof/>
                <w:webHidden/>
              </w:rPr>
              <w:fldChar w:fldCharType="end"/>
            </w:r>
          </w:hyperlink>
        </w:p>
        <w:p w14:paraId="3D47F12C" w14:textId="2BA25350" w:rsidR="00DC3D8E" w:rsidRDefault="00DC3D8E">
          <w:r>
            <w:rPr>
              <w:b/>
              <w:bCs/>
              <w:noProof/>
            </w:rPr>
            <w:fldChar w:fldCharType="end"/>
          </w:r>
        </w:p>
      </w:sdtContent>
    </w:sdt>
    <w:p w14:paraId="0EF0E280" w14:textId="77777777" w:rsidR="00157053" w:rsidRDefault="00157053" w:rsidP="00CF442E">
      <w:pPr>
        <w:rPr>
          <w:b/>
        </w:rPr>
      </w:pPr>
    </w:p>
    <w:p w14:paraId="359E40B9" w14:textId="030B1738" w:rsidR="00CF442E" w:rsidRDefault="00CF442E"/>
    <w:p w14:paraId="5B867B83" w14:textId="513D24F6" w:rsidR="003E044E" w:rsidRDefault="003E044E"/>
    <w:p w14:paraId="31BFD014" w14:textId="0C6C39E1" w:rsidR="003E044E" w:rsidRDefault="003E044E"/>
    <w:p w14:paraId="2EF52995" w14:textId="7FB9FE04" w:rsidR="00FF10FA" w:rsidRDefault="00FF10FA"/>
    <w:p w14:paraId="1D52E5BA" w14:textId="6A243A4E" w:rsidR="00FF10FA" w:rsidRDefault="00FF10FA" w:rsidP="003B788F">
      <w:pPr>
        <w:jc w:val="center"/>
      </w:pPr>
    </w:p>
    <w:p w14:paraId="0ADDA3BF" w14:textId="50B7151C" w:rsidR="00FF10FA" w:rsidRDefault="00FF10FA"/>
    <w:p w14:paraId="1AB1A273" w14:textId="1740C812" w:rsidR="00FF10FA" w:rsidRDefault="00FF10FA"/>
    <w:p w14:paraId="2B48241F" w14:textId="03C50D80" w:rsidR="00FF10FA" w:rsidRDefault="00FF10FA"/>
    <w:p w14:paraId="39A389D1" w14:textId="483CD40D" w:rsidR="00FF10FA" w:rsidRDefault="00FF10FA"/>
    <w:p w14:paraId="609FC34C" w14:textId="73086797" w:rsidR="00FF10FA" w:rsidRDefault="00FF10FA"/>
    <w:p w14:paraId="247AF7C1" w14:textId="0B86C251" w:rsidR="00DC3D8E" w:rsidRDefault="00DC3D8E"/>
    <w:p w14:paraId="4BD95F70" w14:textId="6D2F2680" w:rsidR="001C27EC" w:rsidRDefault="001C27EC"/>
    <w:p w14:paraId="44E4DC09" w14:textId="1ADA0F87" w:rsidR="001C27EC" w:rsidRDefault="001C27EC"/>
    <w:p w14:paraId="3A9261BF" w14:textId="1CBC9C9A" w:rsidR="001C27EC" w:rsidRDefault="001C27EC"/>
    <w:p w14:paraId="0AD08CFA" w14:textId="7DBCFBCD" w:rsidR="001C27EC" w:rsidRDefault="001C27EC"/>
    <w:p w14:paraId="5614F563" w14:textId="7D16B200" w:rsidR="001C27EC" w:rsidRDefault="001C27EC"/>
    <w:p w14:paraId="6AB79E70" w14:textId="21461305" w:rsidR="001C27EC" w:rsidRDefault="001C27EC"/>
    <w:p w14:paraId="1854629D" w14:textId="4E914368" w:rsidR="001C27EC" w:rsidRDefault="001C27EC"/>
    <w:p w14:paraId="6DFC156D" w14:textId="77777777" w:rsidR="00BF3538" w:rsidRDefault="00BF3538"/>
    <w:p w14:paraId="5FFEFF48" w14:textId="3B1020A2" w:rsidR="00DC3D8E" w:rsidRPr="001C27EC" w:rsidRDefault="001C27EC" w:rsidP="001C27EC">
      <w:pPr>
        <w:pStyle w:val="Heading1"/>
        <w:rPr>
          <w:b/>
          <w:bCs/>
        </w:rPr>
      </w:pPr>
      <w:bookmarkStart w:id="44" w:name="_Toc67642519"/>
      <w:r w:rsidRPr="001C27EC">
        <w:rPr>
          <w:b/>
          <w:bCs/>
        </w:rPr>
        <w:lastRenderedPageBreak/>
        <w:t>Introduction</w:t>
      </w:r>
      <w:bookmarkEnd w:id="44"/>
    </w:p>
    <w:p w14:paraId="63D9000C" w14:textId="5E1C6EE0" w:rsidR="003860C9" w:rsidRPr="00A52B2B" w:rsidRDefault="003860C9" w:rsidP="00CF442E">
      <w:pPr>
        <w:rPr>
          <w:sz w:val="22"/>
          <w:szCs w:val="22"/>
        </w:rPr>
      </w:pPr>
      <w:r w:rsidRPr="00A52B2B">
        <w:rPr>
          <w:color w:val="000000"/>
          <w:sz w:val="22"/>
          <w:szCs w:val="22"/>
        </w:rPr>
        <w:t xml:space="preserve">The WORLD Policy Analysis Center, based at the University of California, Los Angeles, </w:t>
      </w:r>
      <w:r w:rsidR="005E6E48" w:rsidRPr="00A52B2B">
        <w:rPr>
          <w:color w:val="000000"/>
          <w:sz w:val="22"/>
          <w:szCs w:val="22"/>
        </w:rPr>
        <w:t>captures</w:t>
      </w:r>
      <w:r w:rsidR="002118F1" w:rsidRPr="00A52B2B">
        <w:rPr>
          <w:color w:val="000000"/>
          <w:sz w:val="22"/>
          <w:szCs w:val="22"/>
        </w:rPr>
        <w:t xml:space="preserve"> </w:t>
      </w:r>
      <w:r w:rsidR="002118F1" w:rsidRPr="00A52B2B">
        <w:rPr>
          <w:rFonts w:ascii="Calibri" w:hAnsi="Calibri"/>
          <w:sz w:val="22"/>
          <w:szCs w:val="22"/>
        </w:rPr>
        <w:t>quantitative policy data on more than 2,000 indicators that matter to</w:t>
      </w:r>
      <w:r w:rsidR="006306D0" w:rsidRPr="00A52B2B">
        <w:rPr>
          <w:rFonts w:ascii="Calibri" w:hAnsi="Calibri"/>
          <w:sz w:val="22"/>
          <w:szCs w:val="22"/>
        </w:rPr>
        <w:t xml:space="preserve"> equality,</w:t>
      </w:r>
      <w:r w:rsidR="002118F1" w:rsidRPr="00A52B2B">
        <w:rPr>
          <w:rFonts w:ascii="Calibri" w:hAnsi="Calibri"/>
          <w:sz w:val="22"/>
          <w:szCs w:val="22"/>
        </w:rPr>
        <w:t xml:space="preserve"> health, and well-being. We</w:t>
      </w:r>
      <w:r w:rsidR="002118F1" w:rsidRPr="00A52B2B">
        <w:rPr>
          <w:color w:val="000000"/>
          <w:sz w:val="22"/>
          <w:szCs w:val="22"/>
        </w:rPr>
        <w:t xml:space="preserve"> </w:t>
      </w:r>
      <w:r w:rsidRPr="00A52B2B">
        <w:rPr>
          <w:color w:val="000000"/>
          <w:sz w:val="22"/>
          <w:szCs w:val="22"/>
        </w:rPr>
        <w:t>strive to improv</w:t>
      </w:r>
      <w:r w:rsidR="00246EC7" w:rsidRPr="00A52B2B">
        <w:rPr>
          <w:color w:val="000000"/>
          <w:sz w:val="22"/>
          <w:szCs w:val="22"/>
        </w:rPr>
        <w:t>e</w:t>
      </w:r>
      <w:r w:rsidRPr="00A52B2B">
        <w:rPr>
          <w:color w:val="000000"/>
          <w:sz w:val="22"/>
          <w:szCs w:val="22"/>
        </w:rPr>
        <w:t xml:space="preserve"> the quantity and quality of globally comparative data available to policymakers, citizens, national governments, intergovernmental organizations, civil society, and researchers for all 193 UN member states. </w:t>
      </w:r>
      <w:r w:rsidR="002118F1" w:rsidRPr="00A52B2B">
        <w:rPr>
          <w:sz w:val="22"/>
          <w:szCs w:val="22"/>
        </w:rPr>
        <w:t xml:space="preserve">We submit </w:t>
      </w:r>
      <w:r w:rsidRPr="00A52B2B">
        <w:rPr>
          <w:sz w:val="22"/>
          <w:szCs w:val="22"/>
        </w:rPr>
        <w:t xml:space="preserve">the following brief in advance of the </w:t>
      </w:r>
      <w:r w:rsidR="001C27EC">
        <w:rPr>
          <w:sz w:val="22"/>
          <w:szCs w:val="22"/>
        </w:rPr>
        <w:t>81</w:t>
      </w:r>
      <w:r w:rsidR="001C27EC" w:rsidRPr="001C27EC">
        <w:rPr>
          <w:sz w:val="22"/>
          <w:szCs w:val="22"/>
          <w:vertAlign w:val="superscript"/>
        </w:rPr>
        <w:t>st</w:t>
      </w:r>
      <w:r w:rsidR="005E6E48" w:rsidRPr="00A52B2B">
        <w:rPr>
          <w:sz w:val="22"/>
          <w:szCs w:val="22"/>
        </w:rPr>
        <w:t xml:space="preserve"> </w:t>
      </w:r>
      <w:r w:rsidRPr="00A52B2B">
        <w:rPr>
          <w:sz w:val="22"/>
          <w:szCs w:val="22"/>
        </w:rPr>
        <w:t xml:space="preserve">Pre-Sessional Working Group of the Committee </w:t>
      </w:r>
      <w:r w:rsidR="00FD3248" w:rsidRPr="00A52B2B">
        <w:rPr>
          <w:sz w:val="22"/>
          <w:szCs w:val="22"/>
        </w:rPr>
        <w:t>on the</w:t>
      </w:r>
      <w:r w:rsidR="00B617D6" w:rsidRPr="00A52B2B">
        <w:rPr>
          <w:sz w:val="22"/>
          <w:szCs w:val="22"/>
        </w:rPr>
        <w:t xml:space="preserve"> Elimination of Discrimination a</w:t>
      </w:r>
      <w:r w:rsidR="00FD3248" w:rsidRPr="00A52B2B">
        <w:rPr>
          <w:sz w:val="22"/>
          <w:szCs w:val="22"/>
        </w:rPr>
        <w:t>gainst Women</w:t>
      </w:r>
      <w:r w:rsidRPr="00A52B2B">
        <w:rPr>
          <w:sz w:val="22"/>
          <w:szCs w:val="22"/>
        </w:rPr>
        <w:t xml:space="preserve">.  </w:t>
      </w:r>
    </w:p>
    <w:p w14:paraId="16E3BC28" w14:textId="39A50A91" w:rsidR="003860C9" w:rsidRPr="00A52B2B" w:rsidRDefault="003860C9" w:rsidP="00CF442E">
      <w:pPr>
        <w:rPr>
          <w:sz w:val="22"/>
          <w:szCs w:val="22"/>
        </w:rPr>
      </w:pPr>
      <w:r w:rsidRPr="00A52B2B">
        <w:rPr>
          <w:sz w:val="22"/>
          <w:szCs w:val="22"/>
        </w:rPr>
        <w:t xml:space="preserve">This brief will focus on </w:t>
      </w:r>
      <w:r w:rsidR="003A6D58" w:rsidRPr="00A52B2B">
        <w:rPr>
          <w:sz w:val="22"/>
          <w:szCs w:val="22"/>
        </w:rPr>
        <w:t>the following</w:t>
      </w:r>
      <w:r w:rsidRPr="00A52B2B">
        <w:rPr>
          <w:sz w:val="22"/>
          <w:szCs w:val="22"/>
        </w:rPr>
        <w:t xml:space="preserve"> are</w:t>
      </w:r>
      <w:r w:rsidR="00CF442E" w:rsidRPr="00A52B2B">
        <w:rPr>
          <w:sz w:val="22"/>
          <w:szCs w:val="22"/>
        </w:rPr>
        <w:t>a</w:t>
      </w:r>
      <w:r w:rsidRPr="00A52B2B">
        <w:rPr>
          <w:sz w:val="22"/>
          <w:szCs w:val="22"/>
        </w:rPr>
        <w:t>:</w:t>
      </w:r>
    </w:p>
    <w:p w14:paraId="27795A8D" w14:textId="48CB7290" w:rsidR="00355056" w:rsidRDefault="00355056" w:rsidP="0096441A">
      <w:pPr>
        <w:pStyle w:val="ListParagraph"/>
        <w:numPr>
          <w:ilvl w:val="0"/>
          <w:numId w:val="2"/>
        </w:numPr>
        <w:rPr>
          <w:color w:val="000000" w:themeColor="text1"/>
          <w:sz w:val="22"/>
          <w:szCs w:val="22"/>
        </w:rPr>
      </w:pPr>
      <w:r w:rsidRPr="00A52B2B">
        <w:rPr>
          <w:color w:val="000000" w:themeColor="text1"/>
          <w:sz w:val="22"/>
          <w:szCs w:val="22"/>
        </w:rPr>
        <w:t>Child Marriage</w:t>
      </w:r>
      <w:r w:rsidR="002118F1" w:rsidRPr="00A52B2B">
        <w:rPr>
          <w:color w:val="000000" w:themeColor="text1"/>
          <w:sz w:val="22"/>
          <w:szCs w:val="22"/>
        </w:rPr>
        <w:t xml:space="preserve"> (Articles 16, 2)</w:t>
      </w:r>
    </w:p>
    <w:p w14:paraId="1813A411" w14:textId="5264EA35" w:rsidR="00FD208D" w:rsidRPr="00A52B2B" w:rsidRDefault="00FD208D" w:rsidP="00827695">
      <w:pPr>
        <w:rPr>
          <w:sz w:val="22"/>
          <w:szCs w:val="22"/>
        </w:rPr>
      </w:pPr>
      <w:r w:rsidRPr="00A52B2B">
        <w:rPr>
          <w:sz w:val="22"/>
          <w:szCs w:val="22"/>
        </w:rPr>
        <w:t xml:space="preserve">We have collected and analyzed information on rights, laws, and policies in these areas for all 193 UN member states using a variety of sources, including primary national legal sources (e.g. </w:t>
      </w:r>
      <w:r w:rsidR="00BD77ED" w:rsidRPr="00A52B2B">
        <w:rPr>
          <w:sz w:val="22"/>
          <w:szCs w:val="22"/>
        </w:rPr>
        <w:t>original legislation and constitutions</w:t>
      </w:r>
      <w:r w:rsidRPr="00A52B2B">
        <w:rPr>
          <w:sz w:val="22"/>
          <w:szCs w:val="22"/>
        </w:rPr>
        <w:t xml:space="preserve">), national reports on policies and laws to the United Nations and official global and regional bodies, and secondary sources where clarification or corroboration of primary data is needed. Using a rigorous double-coding process, we create original databases which distill thousands of pages of text to highlight the essential features of each right, law, or policy. These original databases are the reference for </w:t>
      </w:r>
      <w:r w:rsidR="00827695" w:rsidRPr="00A52B2B">
        <w:rPr>
          <w:sz w:val="22"/>
          <w:szCs w:val="22"/>
        </w:rPr>
        <w:t>the following brief</w:t>
      </w:r>
      <w:r w:rsidRPr="00A52B2B">
        <w:rPr>
          <w:sz w:val="22"/>
          <w:szCs w:val="22"/>
        </w:rPr>
        <w:t>.</w:t>
      </w:r>
      <w:r w:rsidR="00827695" w:rsidRPr="00A52B2B">
        <w:rPr>
          <w:sz w:val="22"/>
          <w:szCs w:val="22"/>
        </w:rPr>
        <w:t xml:space="preserve"> When drafting each brief, we perform a series of additional verifications to ensure the data provided reflects the current constitutional and legal landscape of a country.</w:t>
      </w:r>
    </w:p>
    <w:p w14:paraId="70FDDFCE" w14:textId="098966E2" w:rsidR="00DC3D8E" w:rsidRDefault="00DC3D8E" w:rsidP="00BE6DF8">
      <w:pPr>
        <w:rPr>
          <w:sz w:val="22"/>
          <w:szCs w:val="22"/>
        </w:rPr>
      </w:pPr>
      <w:bookmarkStart w:id="45" w:name="_Hlk43805467"/>
      <w:r w:rsidRPr="00DC3D8E">
        <w:rPr>
          <w:sz w:val="22"/>
          <w:szCs w:val="22"/>
        </w:rPr>
        <w:t>In this report</w:t>
      </w:r>
      <w:r w:rsidR="008506C1">
        <w:rPr>
          <w:sz w:val="22"/>
          <w:szCs w:val="22"/>
        </w:rPr>
        <w:t>,</w:t>
      </w:r>
      <w:r w:rsidRPr="00DC3D8E">
        <w:rPr>
          <w:sz w:val="22"/>
          <w:szCs w:val="22"/>
        </w:rPr>
        <w:t xml:space="preserve"> we</w:t>
      </w:r>
      <w:r w:rsidR="00BF3538">
        <w:rPr>
          <w:sz w:val="22"/>
          <w:szCs w:val="22"/>
        </w:rPr>
        <w:t xml:space="preserve"> provide a summary of our legislative findings</w:t>
      </w:r>
      <w:r w:rsidR="003B788F">
        <w:rPr>
          <w:sz w:val="22"/>
          <w:szCs w:val="22"/>
        </w:rPr>
        <w:t>. We then</w:t>
      </w:r>
      <w:r w:rsidR="00BF3538">
        <w:rPr>
          <w:sz w:val="22"/>
          <w:szCs w:val="22"/>
        </w:rPr>
        <w:t xml:space="preserve"> </w:t>
      </w:r>
      <w:bookmarkStart w:id="46" w:name="_Hlk61000146"/>
      <w:r w:rsidR="00AB4F29">
        <w:rPr>
          <w:sz w:val="22"/>
          <w:szCs w:val="22"/>
        </w:rPr>
        <w:t xml:space="preserve">outline </w:t>
      </w:r>
      <w:r w:rsidRPr="00DC3D8E">
        <w:rPr>
          <w:sz w:val="22"/>
          <w:szCs w:val="22"/>
        </w:rPr>
        <w:t xml:space="preserve">suggested questions for the Committee to ask </w:t>
      </w:r>
      <w:r w:rsidR="001C27EC">
        <w:rPr>
          <w:sz w:val="22"/>
          <w:szCs w:val="22"/>
        </w:rPr>
        <w:t>Djibouti</w:t>
      </w:r>
      <w:r w:rsidR="003B788F">
        <w:rPr>
          <w:sz w:val="22"/>
          <w:szCs w:val="22"/>
        </w:rPr>
        <w:t>,</w:t>
      </w:r>
      <w:r w:rsidR="0025507E">
        <w:rPr>
          <w:sz w:val="22"/>
          <w:szCs w:val="22"/>
        </w:rPr>
        <w:t xml:space="preserve"> </w:t>
      </w:r>
      <w:r w:rsidRPr="00DC3D8E">
        <w:rPr>
          <w:sz w:val="22"/>
          <w:szCs w:val="22"/>
        </w:rPr>
        <w:t xml:space="preserve">and topics we hope the Committee will address in its concluding observations. </w:t>
      </w:r>
      <w:bookmarkEnd w:id="46"/>
      <w:r w:rsidRPr="00DC3D8E">
        <w:rPr>
          <w:sz w:val="22"/>
          <w:szCs w:val="22"/>
        </w:rPr>
        <w:t xml:space="preserve">We hope the Committee will recommend that </w:t>
      </w:r>
      <w:r w:rsidR="001C27EC">
        <w:rPr>
          <w:sz w:val="22"/>
          <w:szCs w:val="22"/>
        </w:rPr>
        <w:t>Djibouti</w:t>
      </w:r>
      <w:r w:rsidRPr="00DC3D8E">
        <w:rPr>
          <w:sz w:val="22"/>
          <w:szCs w:val="22"/>
        </w:rPr>
        <w:t xml:space="preserve"> address any gaps in consultation and collaboration with relevant stakeholders, including civil society organizations. We also hope the Committee will recommend that </w:t>
      </w:r>
      <w:r w:rsidR="001C27EC">
        <w:rPr>
          <w:sz w:val="22"/>
          <w:szCs w:val="22"/>
        </w:rPr>
        <w:t>Djibouti</w:t>
      </w:r>
      <w:r w:rsidRPr="00DC3D8E">
        <w:rPr>
          <w:sz w:val="22"/>
          <w:szCs w:val="22"/>
        </w:rPr>
        <w:t xml:space="preserve"> work with stakeholders to overcome any obstacles in implementing </w:t>
      </w:r>
      <w:r w:rsidR="0048095C">
        <w:rPr>
          <w:sz w:val="22"/>
          <w:szCs w:val="22"/>
        </w:rPr>
        <w:t xml:space="preserve">existing </w:t>
      </w:r>
      <w:r w:rsidRPr="00DC3D8E">
        <w:rPr>
          <w:sz w:val="22"/>
          <w:szCs w:val="22"/>
        </w:rPr>
        <w:t>provisions.</w:t>
      </w:r>
    </w:p>
    <w:bookmarkEnd w:id="45"/>
    <w:p w14:paraId="22CD25CD" w14:textId="6D1CE37A" w:rsidR="00ED4891" w:rsidRDefault="00ED4891" w:rsidP="00ED4891">
      <w:pPr>
        <w:rPr>
          <w:b/>
          <w:i/>
        </w:rPr>
      </w:pPr>
    </w:p>
    <w:p w14:paraId="7DBD910B" w14:textId="77777777" w:rsidR="00DF6F0C" w:rsidRDefault="00DF6F0C" w:rsidP="00ED4891">
      <w:pPr>
        <w:rPr>
          <w:b/>
          <w:i/>
        </w:rPr>
      </w:pPr>
    </w:p>
    <w:p w14:paraId="6020C1F4" w14:textId="0B933C96" w:rsidR="00ED4891" w:rsidRDefault="00ED4891" w:rsidP="00ED4891">
      <w:pPr>
        <w:rPr>
          <w:b/>
          <w:i/>
        </w:rPr>
      </w:pPr>
    </w:p>
    <w:p w14:paraId="2A880D27" w14:textId="77777777" w:rsidR="001256AC" w:rsidRDefault="001256AC" w:rsidP="00ED4891">
      <w:pPr>
        <w:rPr>
          <w:b/>
          <w:i/>
        </w:rPr>
      </w:pPr>
    </w:p>
    <w:p w14:paraId="59C0980E" w14:textId="43884548" w:rsidR="001C27EC" w:rsidRDefault="001C27EC" w:rsidP="00ED4891">
      <w:pPr>
        <w:rPr>
          <w:b/>
          <w:i/>
        </w:rPr>
      </w:pPr>
    </w:p>
    <w:p w14:paraId="5DD6BF30" w14:textId="127171BA" w:rsidR="003B788F" w:rsidRDefault="003B788F" w:rsidP="00ED4891">
      <w:pPr>
        <w:rPr>
          <w:b/>
          <w:i/>
        </w:rPr>
      </w:pPr>
    </w:p>
    <w:p w14:paraId="2524A585" w14:textId="77777777" w:rsidR="003B788F" w:rsidRDefault="003B788F" w:rsidP="00ED4891">
      <w:pPr>
        <w:rPr>
          <w:b/>
          <w:i/>
        </w:rPr>
      </w:pPr>
    </w:p>
    <w:p w14:paraId="39AE841D" w14:textId="77777777" w:rsidR="001C27EC" w:rsidRDefault="001C27EC" w:rsidP="00ED4891">
      <w:pPr>
        <w:rPr>
          <w:b/>
          <w:i/>
        </w:rPr>
      </w:pPr>
    </w:p>
    <w:p w14:paraId="4448E9B0" w14:textId="77777777" w:rsidR="00A86978" w:rsidRDefault="00A86978" w:rsidP="00ED4891">
      <w:pPr>
        <w:rPr>
          <w:b/>
          <w:i/>
        </w:rPr>
      </w:pPr>
    </w:p>
    <w:p w14:paraId="5C2A9063" w14:textId="346670D7" w:rsidR="00FA45F7" w:rsidRPr="00A52B2B" w:rsidRDefault="00623047" w:rsidP="00A52B2B">
      <w:pPr>
        <w:pStyle w:val="Heading1"/>
        <w:rPr>
          <w:rFonts w:eastAsia="Times New Roman"/>
          <w:b/>
          <w:bCs/>
        </w:rPr>
      </w:pPr>
      <w:bookmarkStart w:id="47" w:name="_Toc67642520"/>
      <w:bookmarkStart w:id="48" w:name="_Hlk55550733"/>
      <w:r w:rsidRPr="00A52B2B">
        <w:rPr>
          <w:rFonts w:eastAsia="Times New Roman"/>
          <w:b/>
          <w:bCs/>
        </w:rPr>
        <w:lastRenderedPageBreak/>
        <w:t xml:space="preserve">Detail of Legislative </w:t>
      </w:r>
      <w:r w:rsidR="00FA45F7" w:rsidRPr="00A52B2B">
        <w:rPr>
          <w:rFonts w:eastAsia="Times New Roman"/>
          <w:b/>
          <w:bCs/>
        </w:rPr>
        <w:t>Findings</w:t>
      </w:r>
      <w:bookmarkEnd w:id="47"/>
    </w:p>
    <w:bookmarkEnd w:id="48"/>
    <w:p w14:paraId="047F1EEB" w14:textId="77777777" w:rsidR="007B059A" w:rsidRDefault="007B059A" w:rsidP="001256AC">
      <w:pPr>
        <w:rPr>
          <w:sz w:val="22"/>
          <w:szCs w:val="22"/>
        </w:rPr>
      </w:pPr>
    </w:p>
    <w:p w14:paraId="5CE7FB63" w14:textId="09EE9498" w:rsidR="00FF10FA" w:rsidRPr="001256AC" w:rsidRDefault="00FA45F7" w:rsidP="001256AC">
      <w:pPr>
        <w:rPr>
          <w:sz w:val="22"/>
          <w:szCs w:val="22"/>
        </w:rPr>
      </w:pPr>
      <w:r w:rsidRPr="00A52B2B">
        <w:rPr>
          <w:sz w:val="22"/>
          <w:szCs w:val="22"/>
        </w:rPr>
        <w:t>While the following review is systematic and rigorous, we recognize that there may be laws or policies governing these areas that we have not captured</w:t>
      </w:r>
      <w:r w:rsidR="007F5367">
        <w:rPr>
          <w:sz w:val="22"/>
          <w:szCs w:val="22"/>
        </w:rPr>
        <w:t>,</w:t>
      </w:r>
      <w:r w:rsidRPr="00A52B2B">
        <w:rPr>
          <w:sz w:val="22"/>
          <w:szCs w:val="22"/>
        </w:rPr>
        <w:t xml:space="preserve"> including new legislation or policies that have not yet been published globally.</w:t>
      </w:r>
    </w:p>
    <w:p w14:paraId="313C200D" w14:textId="6E3B83F7" w:rsidR="00FA45F7" w:rsidRPr="003C541A" w:rsidRDefault="00FF10FA" w:rsidP="00DC3D8E">
      <w:pPr>
        <w:keepNext/>
        <w:keepLines/>
        <w:numPr>
          <w:ilvl w:val="0"/>
          <w:numId w:val="4"/>
        </w:numPr>
        <w:pBdr>
          <w:bottom w:val="single" w:sz="6" w:space="1" w:color="auto"/>
        </w:pBdr>
        <w:spacing w:before="40" w:after="0" w:line="259" w:lineRule="auto"/>
        <w:ind w:left="360"/>
        <w:outlineLvl w:val="1"/>
        <w:rPr>
          <w:rFonts w:ascii="Calibri Light" w:eastAsia="Times New Roman" w:hAnsi="Calibri Light" w:cs="Times New Roman"/>
          <w:bCs/>
          <w:color w:val="2E74B5"/>
          <w:sz w:val="26"/>
          <w:szCs w:val="26"/>
        </w:rPr>
      </w:pPr>
      <w:bookmarkStart w:id="49" w:name="_Toc67642521"/>
      <w:r w:rsidRPr="003C541A">
        <w:rPr>
          <w:rFonts w:ascii="Calibri Light" w:eastAsia="Times New Roman" w:hAnsi="Calibri Light" w:cs="Times New Roman"/>
          <w:bCs/>
          <w:color w:val="2E74B5"/>
          <w:sz w:val="26"/>
          <w:szCs w:val="26"/>
        </w:rPr>
        <w:t>Child Marriage (Articles 16, 2)</w:t>
      </w:r>
      <w:bookmarkEnd w:id="49"/>
    </w:p>
    <w:p w14:paraId="6AA66F7B" w14:textId="05A2CEB2" w:rsidR="00FA45F7" w:rsidRPr="00FF10FA" w:rsidRDefault="00FA45F7" w:rsidP="00FF10FA">
      <w:pPr>
        <w:rPr>
          <w:sz w:val="22"/>
          <w:szCs w:val="22"/>
        </w:rPr>
      </w:pPr>
      <w:r w:rsidRPr="00FF10FA">
        <w:rPr>
          <w:sz w:val="22"/>
          <w:szCs w:val="22"/>
        </w:rPr>
        <w:t>Child marriage disproportionately affects girls, often leading to social, economic, educational, and health inequalities, which States Parties have committed to eliminating. Article 16</w:t>
      </w:r>
      <w:r w:rsidR="002874BF" w:rsidRPr="00FF10FA">
        <w:rPr>
          <w:sz w:val="22"/>
          <w:szCs w:val="22"/>
        </w:rPr>
        <w:t>.2</w:t>
      </w:r>
      <w:r w:rsidRPr="00FF10FA">
        <w:rPr>
          <w:sz w:val="22"/>
          <w:szCs w:val="22"/>
        </w:rPr>
        <w:t xml:space="preserve"> of the Convention calls on States Parties to legislate a minimum age of marriage and prohibit the marriage of children. Additionally, disparities in the legal minimum age of marriage between girls and boys contravenes Article 2</w:t>
      </w:r>
      <w:r w:rsidR="000345E3" w:rsidRPr="00FF10FA">
        <w:rPr>
          <w:sz w:val="22"/>
          <w:szCs w:val="22"/>
        </w:rPr>
        <w:t>(a)</w:t>
      </w:r>
      <w:r w:rsidRPr="00FF10FA">
        <w:rPr>
          <w:sz w:val="22"/>
          <w:szCs w:val="22"/>
        </w:rPr>
        <w:t xml:space="preserve"> of the Convention, which commits States Parties to </w:t>
      </w:r>
      <w:r w:rsidRPr="00FF10FA">
        <w:rPr>
          <w:i/>
          <w:sz w:val="22"/>
          <w:szCs w:val="22"/>
        </w:rPr>
        <w:t>“</w:t>
      </w:r>
      <w:r w:rsidRPr="00FF10FA">
        <w:rPr>
          <w:sz w:val="22"/>
          <w:szCs w:val="22"/>
        </w:rPr>
        <w:t>embody the principle of the equality of men and women” in their “national constitutions or other appropriate legislation</w:t>
      </w:r>
      <w:r w:rsidRPr="00FF10FA">
        <w:rPr>
          <w:i/>
          <w:sz w:val="22"/>
          <w:szCs w:val="22"/>
        </w:rPr>
        <w:t>”.</w:t>
      </w:r>
    </w:p>
    <w:p w14:paraId="0BCBD9CB" w14:textId="773C99BB" w:rsidR="00FF10FA" w:rsidRPr="001256AC" w:rsidRDefault="00FA45F7" w:rsidP="00FA45F7">
      <w:pPr>
        <w:rPr>
          <w:sz w:val="22"/>
          <w:szCs w:val="22"/>
        </w:rPr>
      </w:pPr>
      <w:r w:rsidRPr="00FF10FA">
        <w:rPr>
          <w:sz w:val="22"/>
          <w:szCs w:val="22"/>
        </w:rPr>
        <w:t>We systematically reviewed national civil codes and child-related legislation for all 193 UN member states to determine whether national legislation established a minimum age of marriage for both girls and boys generally, with parental consent, and under religious and customary law. We reviewed all legislation available through the Lexadin World Law Guide, Foreign Law Guide, International Labo</w:t>
      </w:r>
      <w:r w:rsidR="008506C1">
        <w:rPr>
          <w:sz w:val="22"/>
          <w:szCs w:val="22"/>
        </w:rPr>
        <w:t>u</w:t>
      </w:r>
      <w:r w:rsidRPr="00FF10FA">
        <w:rPr>
          <w:sz w:val="22"/>
          <w:szCs w:val="22"/>
        </w:rPr>
        <w:t>r Organization’s NATLEX database, regional sources, and official country websites.</w:t>
      </w:r>
    </w:p>
    <w:p w14:paraId="4ABA7282" w14:textId="6E2622BE" w:rsidR="00FF10FA" w:rsidRDefault="0016138B" w:rsidP="00FF10FA">
      <w:pPr>
        <w:keepNext/>
        <w:keepLines/>
        <w:spacing w:before="40" w:afterLines="100" w:after="240"/>
        <w:outlineLvl w:val="3"/>
        <w:rPr>
          <w:rFonts w:ascii="Calibri Light" w:eastAsia="Times New Roman" w:hAnsi="Calibri Light" w:cs="Times New Roman"/>
          <w:i/>
          <w:iCs/>
          <w:color w:val="2E74B5"/>
          <w:sz w:val="22"/>
          <w:szCs w:val="22"/>
        </w:rPr>
      </w:pPr>
      <w:r w:rsidRPr="0016138B">
        <w:rPr>
          <w:rFonts w:ascii="Calibri Light" w:eastAsia="Times New Roman" w:hAnsi="Calibri Light" w:cs="Times New Roman"/>
          <w:i/>
          <w:iCs/>
          <w:color w:val="2E74B5"/>
          <w:sz w:val="22"/>
          <w:szCs w:val="22"/>
        </w:rPr>
        <w:t>DJIBOUTI</w:t>
      </w:r>
      <w:r w:rsidR="00FF10FA" w:rsidRPr="0016138B">
        <w:rPr>
          <w:rFonts w:ascii="Calibri Light" w:eastAsia="Times New Roman" w:hAnsi="Calibri Light" w:cs="Times New Roman"/>
          <w:i/>
          <w:iCs/>
          <w:color w:val="2E74B5"/>
          <w:sz w:val="22"/>
          <w:szCs w:val="22"/>
        </w:rPr>
        <w:t>’S</w:t>
      </w:r>
      <w:r w:rsidR="00FF10FA" w:rsidRPr="005E4090">
        <w:rPr>
          <w:rFonts w:ascii="Calibri Light" w:eastAsia="Times New Roman" w:hAnsi="Calibri Light" w:cs="Times New Roman"/>
          <w:i/>
          <w:iCs/>
          <w:color w:val="2E74B5"/>
          <w:sz w:val="22"/>
          <w:szCs w:val="22"/>
        </w:rPr>
        <w:t xml:space="preserve"> LEGISLATIVE PROV</w:t>
      </w:r>
      <w:r w:rsidR="003C541A">
        <w:rPr>
          <w:rFonts w:ascii="Calibri Light" w:eastAsia="Times New Roman" w:hAnsi="Calibri Light" w:cs="Times New Roman"/>
          <w:i/>
          <w:iCs/>
          <w:color w:val="2E74B5"/>
          <w:sz w:val="22"/>
          <w:szCs w:val="22"/>
        </w:rPr>
        <w:t>I</w:t>
      </w:r>
      <w:r w:rsidR="00FF10FA" w:rsidRPr="005E4090">
        <w:rPr>
          <w:rFonts w:ascii="Calibri Light" w:eastAsia="Times New Roman" w:hAnsi="Calibri Light" w:cs="Times New Roman"/>
          <w:i/>
          <w:iCs/>
          <w:color w:val="2E74B5"/>
          <w:sz w:val="22"/>
          <w:szCs w:val="22"/>
        </w:rPr>
        <w:t xml:space="preserve">SIONS: </w:t>
      </w:r>
      <w:r w:rsidR="007F5367">
        <w:rPr>
          <w:rFonts w:ascii="Calibri Light" w:eastAsia="Times New Roman" w:hAnsi="Calibri Light" w:cs="Times New Roman"/>
          <w:i/>
          <w:iCs/>
          <w:color w:val="2E74B5"/>
          <w:sz w:val="22"/>
          <w:szCs w:val="22"/>
        </w:rPr>
        <w:t xml:space="preserve">NEED TO </w:t>
      </w:r>
      <w:r w:rsidR="00A97577">
        <w:rPr>
          <w:rFonts w:ascii="Calibri Light" w:eastAsia="Times New Roman" w:hAnsi="Calibri Light" w:cs="Times New Roman"/>
          <w:i/>
          <w:iCs/>
          <w:color w:val="2E74B5"/>
          <w:sz w:val="22"/>
          <w:szCs w:val="22"/>
        </w:rPr>
        <w:t>REMOVE ALL EXCEPTIONS TO THE MINIMUM AGE OF MARRIAGE</w:t>
      </w:r>
      <w:r w:rsidR="00AB4F29">
        <w:rPr>
          <w:rFonts w:ascii="Calibri Light" w:eastAsia="Times New Roman" w:hAnsi="Calibri Light" w:cs="Times New Roman"/>
          <w:i/>
          <w:iCs/>
          <w:color w:val="2E74B5"/>
          <w:sz w:val="22"/>
          <w:szCs w:val="22"/>
        </w:rPr>
        <w:t xml:space="preserve"> </w:t>
      </w:r>
    </w:p>
    <w:p w14:paraId="35B51A19" w14:textId="3C07A933" w:rsidR="003B2805" w:rsidRDefault="001256AC" w:rsidP="00BF3538">
      <w:pPr>
        <w:rPr>
          <w:sz w:val="22"/>
          <w:szCs w:val="22"/>
        </w:rPr>
      </w:pPr>
      <w:r>
        <w:rPr>
          <w:sz w:val="22"/>
          <w:szCs w:val="22"/>
        </w:rPr>
        <w:t xml:space="preserve">Based on our review, Djibouti has two laws governing marriage rights. Both the Civil Code and the Family Code require that girls and boys be at least 18 years old to marry. However, </w:t>
      </w:r>
      <w:r w:rsidR="00B4279F">
        <w:rPr>
          <w:sz w:val="22"/>
          <w:szCs w:val="22"/>
        </w:rPr>
        <w:t>the Family Code</w:t>
      </w:r>
      <w:r>
        <w:rPr>
          <w:sz w:val="22"/>
          <w:szCs w:val="22"/>
        </w:rPr>
        <w:t xml:space="preserve"> </w:t>
      </w:r>
      <w:r w:rsidR="00B4279F">
        <w:rPr>
          <w:sz w:val="22"/>
          <w:szCs w:val="22"/>
        </w:rPr>
        <w:t xml:space="preserve">permits the marriage of </w:t>
      </w:r>
      <w:r>
        <w:rPr>
          <w:sz w:val="22"/>
          <w:szCs w:val="22"/>
        </w:rPr>
        <w:t xml:space="preserve">children under the age of 18 with parental </w:t>
      </w:r>
      <w:r w:rsidR="00FF4D9F">
        <w:rPr>
          <w:sz w:val="22"/>
          <w:szCs w:val="22"/>
        </w:rPr>
        <w:t xml:space="preserve">consent, </w:t>
      </w:r>
      <w:r w:rsidR="00B4279F">
        <w:rPr>
          <w:sz w:val="22"/>
          <w:szCs w:val="22"/>
        </w:rPr>
        <w:t xml:space="preserve">and the Civil Code allows children under the age of 18 to marry with both parental and </w:t>
      </w:r>
      <w:r w:rsidR="00FF4D9F">
        <w:rPr>
          <w:sz w:val="22"/>
          <w:szCs w:val="22"/>
        </w:rPr>
        <w:t>judicial consent</w:t>
      </w:r>
      <w:r>
        <w:rPr>
          <w:sz w:val="22"/>
          <w:szCs w:val="22"/>
        </w:rPr>
        <w:t xml:space="preserve">. </w:t>
      </w:r>
      <w:r w:rsidR="0027122E">
        <w:rPr>
          <w:sz w:val="22"/>
          <w:szCs w:val="22"/>
        </w:rPr>
        <w:t xml:space="preserve">There is no minimum age of marriage associated with these exceptions, </w:t>
      </w:r>
      <w:r w:rsidR="00885ACA">
        <w:rPr>
          <w:sz w:val="22"/>
          <w:szCs w:val="22"/>
        </w:rPr>
        <w:t xml:space="preserve">thus children of any age </w:t>
      </w:r>
      <w:r w:rsidR="004D6EBD">
        <w:rPr>
          <w:sz w:val="22"/>
          <w:szCs w:val="22"/>
        </w:rPr>
        <w:t>can</w:t>
      </w:r>
      <w:r w:rsidR="00885ACA">
        <w:rPr>
          <w:sz w:val="22"/>
          <w:szCs w:val="22"/>
        </w:rPr>
        <w:t xml:space="preserve"> be married with parental or judicial consent. </w:t>
      </w:r>
    </w:p>
    <w:p w14:paraId="56569093" w14:textId="380CB015" w:rsidR="00454D31" w:rsidRPr="007B059A" w:rsidRDefault="00454D31" w:rsidP="00454D31">
      <w:pPr>
        <w:pStyle w:val="NoSpacing"/>
        <w:ind w:left="720"/>
        <w:rPr>
          <w:b/>
          <w:bCs/>
          <w:i/>
          <w:iCs/>
          <w:sz w:val="22"/>
          <w:szCs w:val="22"/>
          <w:lang w:val="fr-CA"/>
        </w:rPr>
      </w:pPr>
      <w:r w:rsidRPr="007B059A">
        <w:rPr>
          <w:b/>
          <w:bCs/>
          <w:i/>
          <w:iCs/>
          <w:sz w:val="22"/>
          <w:szCs w:val="22"/>
          <w:lang w:val="fr-CA"/>
        </w:rPr>
        <w:t>Civil Code</w:t>
      </w:r>
      <w:r w:rsidR="0048095C" w:rsidRPr="007B059A">
        <w:rPr>
          <w:b/>
          <w:bCs/>
          <w:i/>
          <w:iCs/>
          <w:sz w:val="22"/>
          <w:szCs w:val="22"/>
          <w:lang w:val="fr-CA"/>
        </w:rPr>
        <w:t xml:space="preserve"> of Djibouti</w:t>
      </w:r>
    </w:p>
    <w:p w14:paraId="049FFD02" w14:textId="77777777" w:rsidR="00454D31" w:rsidRPr="00454D31" w:rsidRDefault="00454D31" w:rsidP="00454D31">
      <w:pPr>
        <w:pStyle w:val="NoSpacing"/>
        <w:ind w:left="720"/>
        <w:rPr>
          <w:i/>
          <w:iCs/>
          <w:sz w:val="22"/>
          <w:szCs w:val="22"/>
          <w:lang w:val="fr-CM"/>
        </w:rPr>
      </w:pPr>
      <w:r w:rsidRPr="00454D31">
        <w:rPr>
          <w:i/>
          <w:iCs/>
          <w:sz w:val="22"/>
          <w:szCs w:val="22"/>
          <w:lang w:val="fr-CM"/>
        </w:rPr>
        <w:t>Article 163</w:t>
      </w:r>
    </w:p>
    <w:p w14:paraId="08B9F605" w14:textId="77777777" w:rsidR="00454D31" w:rsidRPr="00454D31" w:rsidRDefault="00454D31" w:rsidP="00454D31">
      <w:pPr>
        <w:pStyle w:val="NoSpacing"/>
        <w:ind w:left="720"/>
        <w:rPr>
          <w:i/>
          <w:iCs/>
          <w:sz w:val="22"/>
          <w:szCs w:val="22"/>
          <w:lang w:val="fr-CM"/>
        </w:rPr>
      </w:pPr>
      <w:r w:rsidRPr="00454D31">
        <w:rPr>
          <w:i/>
          <w:iCs/>
          <w:sz w:val="22"/>
          <w:szCs w:val="22"/>
          <w:lang w:val="fr-CM"/>
        </w:rPr>
        <w:t>L’homme et la femme ne peuvent contracter mariage avant dix-huit ans révolus.</w:t>
      </w:r>
    </w:p>
    <w:p w14:paraId="1BCCC602" w14:textId="4C3ACC31" w:rsidR="00454D31" w:rsidRPr="00454D31" w:rsidRDefault="00454D31" w:rsidP="00454D31">
      <w:pPr>
        <w:pStyle w:val="NoSpacing"/>
        <w:ind w:left="720"/>
        <w:rPr>
          <w:i/>
          <w:iCs/>
          <w:sz w:val="22"/>
          <w:szCs w:val="22"/>
          <w:lang w:val="fr-CM"/>
        </w:rPr>
      </w:pPr>
      <w:r w:rsidRPr="00454D31">
        <w:rPr>
          <w:i/>
          <w:iCs/>
          <w:sz w:val="22"/>
          <w:szCs w:val="22"/>
          <w:lang w:val="fr-CM"/>
        </w:rPr>
        <w:t>Néanmoins, il est loisible au procureur de la République du lieu de célébration du mariage, d’accorder des dispenses d’âge pour des motifs sérieux.</w:t>
      </w:r>
    </w:p>
    <w:p w14:paraId="6D8C3D66" w14:textId="77777777" w:rsidR="00454D31" w:rsidRPr="00454D31" w:rsidRDefault="00454D31" w:rsidP="00454D31">
      <w:pPr>
        <w:pStyle w:val="NoSpacing"/>
        <w:ind w:left="720"/>
        <w:rPr>
          <w:i/>
          <w:iCs/>
          <w:sz w:val="22"/>
          <w:szCs w:val="22"/>
          <w:lang w:val="fr-CM"/>
        </w:rPr>
      </w:pPr>
      <w:r w:rsidRPr="00454D31">
        <w:rPr>
          <w:i/>
          <w:iCs/>
          <w:sz w:val="22"/>
          <w:szCs w:val="22"/>
          <w:lang w:val="fr-CM"/>
        </w:rPr>
        <w:t>L’officier de l’état civil reçoit la déclaration des futurs époux s’ils entendent que leur union soit régie par les dispositions du présent code, faute de quoi elle le sera par le code de la famille.</w:t>
      </w:r>
    </w:p>
    <w:p w14:paraId="5246A790" w14:textId="77777777" w:rsidR="00454D31" w:rsidRPr="00454D31" w:rsidRDefault="00454D31" w:rsidP="00454D31">
      <w:pPr>
        <w:pStyle w:val="NoSpacing"/>
        <w:ind w:left="720"/>
        <w:rPr>
          <w:i/>
          <w:iCs/>
          <w:sz w:val="22"/>
          <w:szCs w:val="22"/>
          <w:lang w:val="fr-CM"/>
        </w:rPr>
      </w:pPr>
    </w:p>
    <w:p w14:paraId="625568BC" w14:textId="3C143043" w:rsidR="00454D31" w:rsidRPr="00454D31" w:rsidRDefault="00454D31" w:rsidP="00454D31">
      <w:pPr>
        <w:pStyle w:val="NoSpacing"/>
        <w:ind w:left="720"/>
        <w:rPr>
          <w:i/>
          <w:iCs/>
          <w:sz w:val="22"/>
          <w:szCs w:val="22"/>
          <w:lang w:val="fr-CM"/>
        </w:rPr>
      </w:pPr>
      <w:r w:rsidRPr="00454D31">
        <w:rPr>
          <w:i/>
          <w:iCs/>
          <w:sz w:val="22"/>
          <w:szCs w:val="22"/>
          <w:lang w:val="fr-CM"/>
        </w:rPr>
        <w:t>Article 166</w:t>
      </w:r>
    </w:p>
    <w:p w14:paraId="019FDC87" w14:textId="77777777" w:rsidR="00454D31" w:rsidRPr="00454D31" w:rsidRDefault="00454D31" w:rsidP="00454D31">
      <w:pPr>
        <w:pStyle w:val="NoSpacing"/>
        <w:ind w:left="720"/>
        <w:rPr>
          <w:i/>
          <w:iCs/>
          <w:sz w:val="22"/>
          <w:szCs w:val="22"/>
          <w:lang w:val="fr-CM"/>
        </w:rPr>
      </w:pPr>
      <w:r w:rsidRPr="00454D31">
        <w:rPr>
          <w:i/>
          <w:iCs/>
          <w:sz w:val="22"/>
          <w:szCs w:val="22"/>
          <w:lang w:val="fr-CM"/>
        </w:rPr>
        <w:t>Les mineurs ne peuvent contracter mariage sans le consentement de leurs père et mère.</w:t>
      </w:r>
    </w:p>
    <w:p w14:paraId="6CDBCD8E" w14:textId="77777777" w:rsidR="00454D31" w:rsidRPr="00454D31" w:rsidRDefault="00454D31" w:rsidP="00454D31">
      <w:pPr>
        <w:pStyle w:val="NoSpacing"/>
        <w:ind w:left="720"/>
        <w:rPr>
          <w:i/>
          <w:iCs/>
          <w:sz w:val="22"/>
          <w:szCs w:val="22"/>
          <w:lang w:val="fr-CM"/>
        </w:rPr>
      </w:pPr>
      <w:r w:rsidRPr="00454D31">
        <w:rPr>
          <w:i/>
          <w:iCs/>
          <w:sz w:val="22"/>
          <w:szCs w:val="22"/>
          <w:lang w:val="fr-CM"/>
        </w:rPr>
        <w:lastRenderedPageBreak/>
        <w:t>En cas de dissentiment entre le père et la mère, ce partage emporte consentement.</w:t>
      </w:r>
    </w:p>
    <w:p w14:paraId="3B6CCCD4" w14:textId="092068A4" w:rsidR="00454D31" w:rsidRPr="00454D31" w:rsidRDefault="00454D31" w:rsidP="00454D31">
      <w:pPr>
        <w:pStyle w:val="NoSpacing"/>
        <w:ind w:left="720"/>
        <w:rPr>
          <w:sz w:val="22"/>
          <w:szCs w:val="22"/>
          <w:lang w:val="fr-CM"/>
        </w:rPr>
      </w:pPr>
      <w:r w:rsidRPr="00454D31">
        <w:rPr>
          <w:i/>
          <w:iCs/>
          <w:sz w:val="22"/>
          <w:szCs w:val="22"/>
          <w:lang w:val="fr-CM"/>
        </w:rPr>
        <w:t>En cas de refus des deux parents et de persistance de l’intention matrimoniale des deux mineurs,</w:t>
      </w:r>
      <w:r>
        <w:rPr>
          <w:i/>
          <w:iCs/>
          <w:sz w:val="22"/>
          <w:szCs w:val="22"/>
          <w:lang w:val="fr-CM"/>
        </w:rPr>
        <w:t xml:space="preserve"> </w:t>
      </w:r>
      <w:r w:rsidRPr="00454D31">
        <w:rPr>
          <w:i/>
          <w:iCs/>
          <w:sz w:val="22"/>
          <w:szCs w:val="22"/>
          <w:lang w:val="fr-CM"/>
        </w:rPr>
        <w:t>le mariage est autorisé par le juge.</w:t>
      </w:r>
    </w:p>
    <w:p w14:paraId="7B970FA2" w14:textId="0F6D5F3F" w:rsidR="00FF10FA" w:rsidRPr="00454D31" w:rsidRDefault="00FF10FA" w:rsidP="001256AC">
      <w:pPr>
        <w:pStyle w:val="NoSpacing"/>
        <w:rPr>
          <w:i/>
          <w:iCs/>
          <w:sz w:val="22"/>
          <w:szCs w:val="22"/>
          <w:lang w:val="fr-CM"/>
        </w:rPr>
      </w:pPr>
    </w:p>
    <w:p w14:paraId="2ACD0708" w14:textId="1861E8E9" w:rsidR="00FF10FA" w:rsidRPr="003B788F" w:rsidRDefault="00454D31" w:rsidP="00BE6DF8">
      <w:pPr>
        <w:pStyle w:val="NoSpacing"/>
        <w:rPr>
          <w:b/>
          <w:bCs/>
          <w:i/>
          <w:sz w:val="22"/>
          <w:szCs w:val="22"/>
        </w:rPr>
      </w:pPr>
      <w:r w:rsidRPr="001256AC">
        <w:rPr>
          <w:b/>
          <w:bCs/>
          <w:i/>
          <w:sz w:val="22"/>
          <w:szCs w:val="22"/>
          <w:lang w:val="fr-CM"/>
        </w:rPr>
        <w:tab/>
      </w:r>
      <w:r w:rsidRPr="003B788F">
        <w:rPr>
          <w:b/>
          <w:bCs/>
          <w:i/>
          <w:sz w:val="22"/>
          <w:szCs w:val="22"/>
        </w:rPr>
        <w:t>Family Code</w:t>
      </w:r>
      <w:r w:rsidR="0048095C" w:rsidRPr="003B788F">
        <w:rPr>
          <w:b/>
          <w:bCs/>
          <w:i/>
          <w:sz w:val="22"/>
          <w:szCs w:val="22"/>
        </w:rPr>
        <w:t xml:space="preserve"> of Djibouti</w:t>
      </w:r>
    </w:p>
    <w:p w14:paraId="542820E9" w14:textId="435EECB6" w:rsidR="00AE72D3" w:rsidRPr="003B788F" w:rsidRDefault="00AE72D3" w:rsidP="00454D31">
      <w:pPr>
        <w:pStyle w:val="NoSpacing"/>
        <w:ind w:left="720"/>
        <w:rPr>
          <w:i/>
          <w:sz w:val="22"/>
          <w:szCs w:val="22"/>
        </w:rPr>
      </w:pPr>
      <w:r w:rsidRPr="003B788F">
        <w:rPr>
          <w:i/>
          <w:sz w:val="22"/>
          <w:szCs w:val="22"/>
        </w:rPr>
        <w:t>Article 7</w:t>
      </w:r>
    </w:p>
    <w:p w14:paraId="2BABE1E1" w14:textId="71CCAF04" w:rsidR="00AE72D3" w:rsidRPr="00AE72D3" w:rsidRDefault="00AE72D3" w:rsidP="00454D31">
      <w:pPr>
        <w:pStyle w:val="NoSpacing"/>
        <w:ind w:left="720"/>
        <w:rPr>
          <w:i/>
          <w:sz w:val="22"/>
          <w:szCs w:val="22"/>
          <w:lang w:val="fr-CM"/>
        </w:rPr>
      </w:pPr>
      <w:r w:rsidRPr="00AE72D3">
        <w:rPr>
          <w:i/>
          <w:sz w:val="22"/>
          <w:szCs w:val="22"/>
          <w:lang w:val="fr-CM"/>
        </w:rPr>
        <w:t>[…]</w:t>
      </w:r>
    </w:p>
    <w:p w14:paraId="5463174D" w14:textId="241DB2B9" w:rsidR="00AE72D3" w:rsidRPr="00AE72D3" w:rsidRDefault="00AE72D3" w:rsidP="00454D31">
      <w:pPr>
        <w:pStyle w:val="NoSpacing"/>
        <w:ind w:left="720"/>
        <w:rPr>
          <w:rFonts w:cs="Garamond"/>
          <w:i/>
          <w:color w:val="000000"/>
          <w:sz w:val="23"/>
          <w:szCs w:val="23"/>
          <w:lang w:val="fr-CM"/>
        </w:rPr>
      </w:pPr>
      <w:r w:rsidRPr="00AE72D3">
        <w:rPr>
          <w:rFonts w:cs="Garamond"/>
          <w:i/>
          <w:color w:val="000000"/>
          <w:sz w:val="23"/>
          <w:szCs w:val="23"/>
          <w:lang w:val="fr-CM"/>
        </w:rPr>
        <w:t>Le mariage n’est formé que par le consentement des deux époux et du tuteur de la femme.</w:t>
      </w:r>
    </w:p>
    <w:p w14:paraId="225E1EDA" w14:textId="5008D235" w:rsidR="00AE72D3" w:rsidRPr="00AE72D3" w:rsidRDefault="00AE72D3" w:rsidP="00454D31">
      <w:pPr>
        <w:pStyle w:val="NoSpacing"/>
        <w:ind w:left="720"/>
        <w:rPr>
          <w:rFonts w:cs="Garamond"/>
          <w:i/>
          <w:color w:val="000000"/>
          <w:sz w:val="23"/>
          <w:szCs w:val="23"/>
          <w:lang w:val="fr-CM"/>
        </w:rPr>
      </w:pPr>
      <w:r w:rsidRPr="00AE72D3">
        <w:rPr>
          <w:rFonts w:cs="Garamond"/>
          <w:i/>
          <w:color w:val="000000"/>
          <w:sz w:val="23"/>
          <w:szCs w:val="23"/>
          <w:lang w:val="fr-CM"/>
        </w:rPr>
        <w:t>[…]</w:t>
      </w:r>
    </w:p>
    <w:p w14:paraId="7D751A09" w14:textId="77777777" w:rsidR="00AE72D3" w:rsidRPr="00AE72D3" w:rsidRDefault="00AE72D3" w:rsidP="00454D31">
      <w:pPr>
        <w:pStyle w:val="NoSpacing"/>
        <w:ind w:left="720"/>
        <w:rPr>
          <w:i/>
          <w:sz w:val="22"/>
          <w:szCs w:val="22"/>
          <w:lang w:val="fr-CM"/>
        </w:rPr>
      </w:pPr>
    </w:p>
    <w:p w14:paraId="0ABFB736" w14:textId="1654F42D" w:rsidR="00454D31" w:rsidRPr="00454D31" w:rsidRDefault="00454D31" w:rsidP="00454D31">
      <w:pPr>
        <w:pStyle w:val="NoSpacing"/>
        <w:ind w:left="720"/>
        <w:rPr>
          <w:i/>
          <w:sz w:val="22"/>
          <w:szCs w:val="22"/>
          <w:lang w:val="fr-CM"/>
        </w:rPr>
      </w:pPr>
      <w:r w:rsidRPr="00454D31">
        <w:rPr>
          <w:i/>
          <w:sz w:val="22"/>
          <w:szCs w:val="22"/>
          <w:lang w:val="fr-CM"/>
        </w:rPr>
        <w:t>Article 13</w:t>
      </w:r>
    </w:p>
    <w:p w14:paraId="77E44DA8" w14:textId="77777777" w:rsidR="00454D31" w:rsidRPr="00454D31" w:rsidRDefault="00454D31" w:rsidP="00454D31">
      <w:pPr>
        <w:pStyle w:val="NoSpacing"/>
        <w:ind w:left="720"/>
        <w:rPr>
          <w:i/>
          <w:sz w:val="22"/>
          <w:szCs w:val="22"/>
          <w:lang w:val="fr-CM"/>
        </w:rPr>
      </w:pPr>
      <w:r w:rsidRPr="00454D31">
        <w:rPr>
          <w:i/>
          <w:sz w:val="22"/>
          <w:szCs w:val="22"/>
          <w:lang w:val="fr-CM"/>
        </w:rPr>
        <w:t>Les deux futurs époux ne doivent pas se trouver dans l’un des cas d’empêchement prévus par la loi.</w:t>
      </w:r>
    </w:p>
    <w:p w14:paraId="0C842B55" w14:textId="77777777" w:rsidR="00454D31" w:rsidRPr="00454D31" w:rsidRDefault="00454D31" w:rsidP="00454D31">
      <w:pPr>
        <w:pStyle w:val="NoSpacing"/>
        <w:ind w:left="720"/>
        <w:rPr>
          <w:i/>
          <w:sz w:val="22"/>
          <w:szCs w:val="22"/>
          <w:lang w:val="fr-CM"/>
        </w:rPr>
      </w:pPr>
      <w:r w:rsidRPr="00454D31">
        <w:rPr>
          <w:i/>
          <w:sz w:val="22"/>
          <w:szCs w:val="22"/>
          <w:lang w:val="fr-CM"/>
        </w:rPr>
        <w:t>Les futurs époux doivent avoir l’âge de 18 ans révolu pour contracter mariage.</w:t>
      </w:r>
    </w:p>
    <w:p w14:paraId="2D0A5888" w14:textId="77777777" w:rsidR="00454D31" w:rsidRDefault="00454D31" w:rsidP="00454D31">
      <w:pPr>
        <w:pStyle w:val="NoSpacing"/>
        <w:ind w:left="720"/>
        <w:rPr>
          <w:i/>
          <w:sz w:val="22"/>
          <w:szCs w:val="22"/>
          <w:lang w:val="fr-CM"/>
        </w:rPr>
      </w:pPr>
    </w:p>
    <w:p w14:paraId="457F14C0" w14:textId="3B8C7443" w:rsidR="00454D31" w:rsidRPr="00454D31" w:rsidRDefault="00454D31" w:rsidP="00454D31">
      <w:pPr>
        <w:pStyle w:val="NoSpacing"/>
        <w:ind w:left="720"/>
        <w:rPr>
          <w:i/>
          <w:sz w:val="22"/>
          <w:szCs w:val="22"/>
          <w:lang w:val="fr-CM"/>
        </w:rPr>
      </w:pPr>
      <w:r w:rsidRPr="00454D31">
        <w:rPr>
          <w:i/>
          <w:sz w:val="22"/>
          <w:szCs w:val="22"/>
          <w:lang w:val="fr-CM"/>
        </w:rPr>
        <w:t>Article 14</w:t>
      </w:r>
    </w:p>
    <w:p w14:paraId="374BDE6B" w14:textId="77777777" w:rsidR="00454D31" w:rsidRPr="00454D31" w:rsidRDefault="00454D31" w:rsidP="00454D31">
      <w:pPr>
        <w:pStyle w:val="NoSpacing"/>
        <w:ind w:left="720"/>
        <w:rPr>
          <w:i/>
          <w:sz w:val="22"/>
          <w:szCs w:val="22"/>
          <w:lang w:val="fr-CM"/>
        </w:rPr>
      </w:pPr>
      <w:r w:rsidRPr="00454D31">
        <w:rPr>
          <w:i/>
          <w:sz w:val="22"/>
          <w:szCs w:val="22"/>
          <w:lang w:val="fr-CM"/>
        </w:rPr>
        <w:t>Le mariage des mineurs qui n’ont pas atteint l’âge de la majorité légale est subordonné au consentement de leurs tuteurs.</w:t>
      </w:r>
    </w:p>
    <w:p w14:paraId="74A09273" w14:textId="77777777" w:rsidR="00454D31" w:rsidRPr="00454D31" w:rsidRDefault="00454D31" w:rsidP="00454D31">
      <w:pPr>
        <w:pStyle w:val="NoSpacing"/>
        <w:ind w:left="720"/>
        <w:rPr>
          <w:i/>
          <w:sz w:val="22"/>
          <w:szCs w:val="22"/>
          <w:lang w:val="fr-CM"/>
        </w:rPr>
      </w:pPr>
      <w:r w:rsidRPr="00454D31">
        <w:rPr>
          <w:i/>
          <w:sz w:val="22"/>
          <w:szCs w:val="22"/>
          <w:lang w:val="fr-CM"/>
        </w:rPr>
        <w:t>En cas de refus des tuteurs et de persistance des deux futurs conjoints, le mariage est autorisé par le juge.</w:t>
      </w:r>
    </w:p>
    <w:p w14:paraId="088C9CE8" w14:textId="77777777" w:rsidR="00454D31" w:rsidRDefault="00454D31" w:rsidP="00454D31">
      <w:pPr>
        <w:pStyle w:val="NoSpacing"/>
        <w:ind w:left="720"/>
        <w:rPr>
          <w:i/>
          <w:sz w:val="22"/>
          <w:szCs w:val="22"/>
          <w:lang w:val="fr-CM"/>
        </w:rPr>
      </w:pPr>
    </w:p>
    <w:p w14:paraId="6AE0D183" w14:textId="00F31581" w:rsidR="00454D31" w:rsidRPr="00454D31" w:rsidRDefault="00454D31" w:rsidP="00454D31">
      <w:pPr>
        <w:pStyle w:val="NoSpacing"/>
        <w:ind w:left="720"/>
        <w:rPr>
          <w:i/>
          <w:sz w:val="22"/>
          <w:szCs w:val="22"/>
          <w:lang w:val="fr-CM"/>
        </w:rPr>
      </w:pPr>
      <w:r w:rsidRPr="00454D31">
        <w:rPr>
          <w:i/>
          <w:sz w:val="22"/>
          <w:szCs w:val="22"/>
          <w:lang w:val="fr-CM"/>
        </w:rPr>
        <w:t>Article 16 :</w:t>
      </w:r>
    </w:p>
    <w:p w14:paraId="00D5C9A8" w14:textId="4DD28367" w:rsidR="00454D31" w:rsidRPr="00454D31" w:rsidRDefault="00454D31" w:rsidP="00454D31">
      <w:pPr>
        <w:pStyle w:val="NoSpacing"/>
        <w:ind w:left="720"/>
        <w:rPr>
          <w:i/>
          <w:sz w:val="22"/>
          <w:szCs w:val="22"/>
          <w:lang w:val="fr-CM"/>
        </w:rPr>
      </w:pPr>
      <w:r w:rsidRPr="00454D31">
        <w:rPr>
          <w:i/>
          <w:sz w:val="22"/>
          <w:szCs w:val="22"/>
          <w:lang w:val="fr-CM"/>
        </w:rPr>
        <w:t>Le père ou son mandataire, le grand-père ou son mandataire consent au mariage de l’enfant mineur, qu’il soit de sexe masculin ou féminin et ce conformément aux dispositions de l’article 14.</w:t>
      </w:r>
    </w:p>
    <w:p w14:paraId="51DE35C5" w14:textId="54C1AB0B" w:rsidR="00FF10FA" w:rsidRPr="00454D31" w:rsidRDefault="00FF10FA" w:rsidP="00BE6DF8">
      <w:pPr>
        <w:pStyle w:val="NoSpacing"/>
        <w:rPr>
          <w:i/>
          <w:lang w:val="fr-CM"/>
        </w:rPr>
      </w:pPr>
      <w:bookmarkStart w:id="50" w:name="_GoBack"/>
      <w:bookmarkEnd w:id="50"/>
    </w:p>
    <w:p w14:paraId="5EC52258" w14:textId="77777777" w:rsidR="00AB4F29" w:rsidRPr="00AB4F29" w:rsidRDefault="00AB4F29" w:rsidP="00AB4F29">
      <w:pPr>
        <w:spacing w:before="0" w:after="160"/>
        <w:rPr>
          <w:rFonts w:ascii="Calibri" w:eastAsia="Calibri" w:hAnsi="Calibri" w:cs="Times New Roman"/>
          <w:b/>
          <w:color w:val="000000"/>
          <w:sz w:val="22"/>
          <w:szCs w:val="22"/>
        </w:rPr>
      </w:pPr>
      <w:r w:rsidRPr="00AB4F29">
        <w:rPr>
          <w:rFonts w:ascii="Calibri" w:eastAsia="Calibri" w:hAnsi="Calibri" w:cs="Times New Roman"/>
          <w:b/>
          <w:color w:val="000000"/>
          <w:sz w:val="22"/>
          <w:szCs w:val="22"/>
        </w:rPr>
        <w:t>We hope the Committee will:</w:t>
      </w:r>
    </w:p>
    <w:p w14:paraId="4BC36202" w14:textId="1E9221B7" w:rsidR="00AB4F29" w:rsidRPr="00AB4F29" w:rsidRDefault="00AB4F29" w:rsidP="003B788F">
      <w:pPr>
        <w:numPr>
          <w:ilvl w:val="0"/>
          <w:numId w:val="6"/>
        </w:numPr>
        <w:spacing w:before="0" w:after="0"/>
        <w:ind w:left="720"/>
        <w:contextualSpacing/>
        <w:rPr>
          <w:rFonts w:ascii="Calibri" w:eastAsia="Calibri" w:hAnsi="Calibri" w:cs="Times New Roman"/>
          <w:color w:val="000000"/>
          <w:sz w:val="22"/>
          <w:szCs w:val="22"/>
        </w:rPr>
      </w:pPr>
      <w:r w:rsidRPr="00AB4F29">
        <w:rPr>
          <w:rFonts w:ascii="Calibri" w:eastAsia="Calibri" w:hAnsi="Calibri" w:cs="Times New Roman"/>
          <w:color w:val="000000"/>
          <w:sz w:val="22"/>
          <w:szCs w:val="22"/>
        </w:rPr>
        <w:t>In its list of issues, ask</w:t>
      </w:r>
      <w:r w:rsidR="00373059">
        <w:rPr>
          <w:rFonts w:ascii="Calibri" w:eastAsia="Calibri" w:hAnsi="Calibri" w:cs="Times New Roman"/>
          <w:color w:val="000000"/>
          <w:sz w:val="22"/>
          <w:szCs w:val="22"/>
        </w:rPr>
        <w:t xml:space="preserve"> Djibouti: </w:t>
      </w:r>
      <w:r w:rsidRPr="00AB4F29">
        <w:rPr>
          <w:rFonts w:ascii="Calibri" w:eastAsia="Calibri" w:hAnsi="Calibri" w:cs="Times New Roman"/>
          <w:color w:val="000000"/>
          <w:sz w:val="22"/>
          <w:szCs w:val="22"/>
        </w:rPr>
        <w:t xml:space="preserve">Can </w:t>
      </w:r>
      <w:r w:rsidR="00373059">
        <w:rPr>
          <w:rFonts w:ascii="Calibri" w:eastAsia="Calibri" w:hAnsi="Calibri" w:cs="Times New Roman"/>
          <w:color w:val="000000"/>
          <w:sz w:val="22"/>
          <w:szCs w:val="22"/>
        </w:rPr>
        <w:t xml:space="preserve">Djibouti </w:t>
      </w:r>
      <w:r w:rsidRPr="00AB4F29">
        <w:rPr>
          <w:rFonts w:ascii="Calibri" w:eastAsia="Calibri" w:hAnsi="Calibri" w:cs="Times New Roman"/>
          <w:color w:val="000000"/>
          <w:sz w:val="22"/>
          <w:szCs w:val="22"/>
        </w:rPr>
        <w:t xml:space="preserve">outline any concrete, near-term plans to </w:t>
      </w:r>
      <w:r w:rsidR="003B2805">
        <w:rPr>
          <w:rFonts w:ascii="Calibri" w:eastAsia="Calibri" w:hAnsi="Calibri" w:cs="Times New Roman"/>
          <w:color w:val="000000"/>
          <w:sz w:val="22"/>
          <w:szCs w:val="22"/>
        </w:rPr>
        <w:t xml:space="preserve">amend current </w:t>
      </w:r>
      <w:r w:rsidRPr="00AB4F29">
        <w:rPr>
          <w:rFonts w:ascii="Calibri" w:eastAsia="Calibri" w:hAnsi="Calibri" w:cs="Times New Roman"/>
          <w:color w:val="000000"/>
          <w:sz w:val="22"/>
          <w:szCs w:val="22"/>
        </w:rPr>
        <w:t xml:space="preserve">legislation </w:t>
      </w:r>
      <w:r w:rsidR="003B2805">
        <w:rPr>
          <w:rFonts w:ascii="Calibri" w:eastAsia="Calibri" w:hAnsi="Calibri" w:cs="Times New Roman"/>
          <w:color w:val="000000"/>
          <w:sz w:val="22"/>
          <w:szCs w:val="22"/>
        </w:rPr>
        <w:t xml:space="preserve">by removing the exceptions that allow </w:t>
      </w:r>
      <w:r w:rsidR="00885ACA">
        <w:rPr>
          <w:rFonts w:ascii="Calibri" w:eastAsia="Calibri" w:hAnsi="Calibri" w:cs="Times New Roman"/>
          <w:color w:val="000000"/>
          <w:sz w:val="22"/>
          <w:szCs w:val="22"/>
        </w:rPr>
        <w:t>children</w:t>
      </w:r>
      <w:r w:rsidR="003B2805">
        <w:rPr>
          <w:rFonts w:ascii="Calibri" w:eastAsia="Calibri" w:hAnsi="Calibri" w:cs="Times New Roman"/>
          <w:color w:val="000000"/>
          <w:sz w:val="22"/>
          <w:szCs w:val="22"/>
        </w:rPr>
        <w:t xml:space="preserve"> to be married under the age of 18?     </w:t>
      </w:r>
    </w:p>
    <w:p w14:paraId="2193D0FA" w14:textId="1CFE1E95" w:rsidR="00AB4F29" w:rsidRPr="00AB4F29" w:rsidRDefault="00AB4F29" w:rsidP="003B788F">
      <w:pPr>
        <w:numPr>
          <w:ilvl w:val="1"/>
          <w:numId w:val="6"/>
        </w:numPr>
        <w:spacing w:before="0" w:after="0"/>
        <w:ind w:left="1483"/>
        <w:contextualSpacing/>
        <w:rPr>
          <w:rFonts w:ascii="Calibri" w:eastAsia="Calibri" w:hAnsi="Calibri" w:cs="Times New Roman"/>
          <w:color w:val="000000"/>
          <w:sz w:val="22"/>
          <w:szCs w:val="22"/>
        </w:rPr>
      </w:pPr>
      <w:r w:rsidRPr="00AB4F29">
        <w:rPr>
          <w:rFonts w:ascii="Calibri" w:eastAsia="Calibri" w:hAnsi="Calibri" w:cs="Times New Roman"/>
          <w:color w:val="000000"/>
          <w:sz w:val="22"/>
          <w:szCs w:val="22"/>
        </w:rPr>
        <w:t xml:space="preserve">If concrete, near-term plans are not in place, recommend in its concluding observations that </w:t>
      </w:r>
      <w:r w:rsidR="00373059">
        <w:rPr>
          <w:rFonts w:ascii="Calibri" w:eastAsia="Calibri" w:hAnsi="Calibri" w:cs="Times New Roman"/>
          <w:color w:val="000000"/>
          <w:sz w:val="22"/>
          <w:szCs w:val="22"/>
        </w:rPr>
        <w:t>Djibouti</w:t>
      </w:r>
      <w:r w:rsidRPr="00AB4F29">
        <w:rPr>
          <w:rFonts w:ascii="Calibri" w:eastAsia="Calibri" w:hAnsi="Calibri" w:cs="Times New Roman"/>
          <w:color w:val="000000"/>
          <w:sz w:val="22"/>
          <w:szCs w:val="22"/>
        </w:rPr>
        <w:t xml:space="preserve"> </w:t>
      </w:r>
      <w:r w:rsidR="0027122E">
        <w:rPr>
          <w:rFonts w:ascii="Calibri" w:eastAsia="Calibri" w:hAnsi="Calibri" w:cs="Times New Roman"/>
          <w:color w:val="000000"/>
          <w:sz w:val="22"/>
          <w:szCs w:val="22"/>
        </w:rPr>
        <w:t>amend current</w:t>
      </w:r>
      <w:r w:rsidRPr="00AB4F29">
        <w:rPr>
          <w:rFonts w:ascii="Calibri" w:eastAsia="Calibri" w:hAnsi="Calibri" w:cs="Times New Roman"/>
          <w:color w:val="000000"/>
          <w:sz w:val="22"/>
          <w:szCs w:val="22"/>
        </w:rPr>
        <w:t xml:space="preserve"> legislation </w:t>
      </w:r>
      <w:r w:rsidR="0027122E">
        <w:rPr>
          <w:rFonts w:ascii="Calibri" w:eastAsia="Calibri" w:hAnsi="Calibri" w:cs="Times New Roman"/>
          <w:color w:val="000000"/>
          <w:sz w:val="22"/>
          <w:szCs w:val="22"/>
        </w:rPr>
        <w:t>to</w:t>
      </w:r>
      <w:r w:rsidR="0027122E" w:rsidRPr="00AB4F29">
        <w:rPr>
          <w:rFonts w:ascii="Calibri" w:eastAsia="Calibri" w:hAnsi="Calibri" w:cs="Times New Roman"/>
          <w:color w:val="000000"/>
          <w:sz w:val="22"/>
          <w:szCs w:val="22"/>
        </w:rPr>
        <w:t xml:space="preserve"> </w:t>
      </w:r>
      <w:r w:rsidRPr="00AB4F29">
        <w:rPr>
          <w:rFonts w:ascii="Calibri" w:eastAsia="Calibri" w:hAnsi="Calibri" w:cs="Times New Roman"/>
          <w:color w:val="000000"/>
          <w:sz w:val="22"/>
          <w:szCs w:val="22"/>
        </w:rPr>
        <w:t xml:space="preserve">establish a minimum age for marriage of 18 years old for </w:t>
      </w:r>
      <w:r w:rsidR="00885ACA">
        <w:rPr>
          <w:rFonts w:ascii="Calibri" w:eastAsia="Calibri" w:hAnsi="Calibri" w:cs="Times New Roman"/>
          <w:color w:val="000000"/>
          <w:sz w:val="22"/>
          <w:szCs w:val="22"/>
        </w:rPr>
        <w:t>children</w:t>
      </w:r>
      <w:r w:rsidRPr="00AB4F29">
        <w:rPr>
          <w:rFonts w:ascii="Calibri" w:eastAsia="Calibri" w:hAnsi="Calibri" w:cs="Times New Roman"/>
          <w:color w:val="000000"/>
          <w:sz w:val="22"/>
          <w:szCs w:val="22"/>
        </w:rPr>
        <w:t xml:space="preserve">, with no exceptions. </w:t>
      </w:r>
    </w:p>
    <w:p w14:paraId="3EC4D007" w14:textId="77777777" w:rsidR="00AB4F29" w:rsidRPr="00AB4F29" w:rsidRDefault="00AB4F29" w:rsidP="00AB4F29">
      <w:pPr>
        <w:spacing w:before="0" w:after="160"/>
        <w:rPr>
          <w:rFonts w:ascii="Calibri" w:eastAsia="Calibri" w:hAnsi="Calibri" w:cs="Times New Roman"/>
          <w:b/>
          <w:sz w:val="22"/>
          <w:szCs w:val="22"/>
        </w:rPr>
      </w:pPr>
    </w:p>
    <w:p w14:paraId="06A0F5E4" w14:textId="032995A8" w:rsidR="00FF10FA" w:rsidRPr="0027122E" w:rsidRDefault="00FF10FA" w:rsidP="0027122E">
      <w:pPr>
        <w:pStyle w:val="Heading4"/>
        <w:rPr>
          <w:i/>
          <w:sz w:val="18"/>
          <w:szCs w:val="18"/>
        </w:rPr>
      </w:pPr>
      <w:r w:rsidRPr="000E03A6">
        <w:rPr>
          <w:i/>
          <w:sz w:val="18"/>
          <w:szCs w:val="18"/>
        </w:rPr>
        <w:t>Briefing prepared by the WORLD Policy Analysis Center, University of California, Los Angeles</w:t>
      </w:r>
    </w:p>
    <w:sectPr w:rsidR="00FF10FA" w:rsidRPr="0027122E" w:rsidSect="00831B92">
      <w:headerReference w:type="default" r:id="rId8"/>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28EE2" w14:textId="77777777" w:rsidR="00FC7211" w:rsidRDefault="00FC7211" w:rsidP="00263795">
      <w:pPr>
        <w:spacing w:after="0" w:line="240" w:lineRule="auto"/>
      </w:pPr>
      <w:r>
        <w:separator/>
      </w:r>
    </w:p>
  </w:endnote>
  <w:endnote w:type="continuationSeparator" w:id="0">
    <w:p w14:paraId="31C4F6E5" w14:textId="77777777" w:rsidR="00FC7211" w:rsidRDefault="00FC7211" w:rsidP="00263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8594813"/>
      <w:docPartObj>
        <w:docPartGallery w:val="Page Numbers (Bottom of Page)"/>
        <w:docPartUnique/>
      </w:docPartObj>
    </w:sdtPr>
    <w:sdtEndPr>
      <w:rPr>
        <w:color w:val="7F7F7F" w:themeColor="background1" w:themeShade="7F"/>
        <w:spacing w:val="60"/>
      </w:rPr>
    </w:sdtEndPr>
    <w:sdtContent>
      <w:p w14:paraId="0B48E416" w14:textId="109B16AC" w:rsidR="00831B92" w:rsidRDefault="00831B92">
        <w:pPr>
          <w:pStyle w:val="Footer"/>
          <w:pBdr>
            <w:top w:val="single" w:sz="4" w:space="1" w:color="D9D9D9" w:themeColor="background1" w:themeShade="D9"/>
          </w:pBdr>
          <w:jc w:val="right"/>
        </w:pPr>
        <w:r>
          <w:fldChar w:fldCharType="begin"/>
        </w:r>
        <w:r>
          <w:instrText xml:space="preserve"> PAGE   \* MERGEFORMAT </w:instrText>
        </w:r>
        <w:r>
          <w:fldChar w:fldCharType="separate"/>
        </w:r>
        <w:r w:rsidR="008506C1">
          <w:rPr>
            <w:noProof/>
          </w:rPr>
          <w:t>4</w:t>
        </w:r>
        <w:r>
          <w:rPr>
            <w:noProof/>
          </w:rPr>
          <w:fldChar w:fldCharType="end"/>
        </w:r>
        <w:r>
          <w:t xml:space="preserve"> | </w:t>
        </w:r>
        <w:r>
          <w:rPr>
            <w:color w:val="7F7F7F" w:themeColor="background1" w:themeShade="7F"/>
            <w:spacing w:val="60"/>
          </w:rPr>
          <w:t>Page</w:t>
        </w:r>
      </w:p>
    </w:sdtContent>
  </w:sdt>
  <w:p w14:paraId="3435FE9D" w14:textId="77777777" w:rsidR="00831B92" w:rsidRDefault="00831B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A55468" w14:textId="77777777" w:rsidR="00FC7211" w:rsidRDefault="00FC7211" w:rsidP="00263795">
      <w:pPr>
        <w:spacing w:after="0" w:line="240" w:lineRule="auto"/>
      </w:pPr>
      <w:r>
        <w:separator/>
      </w:r>
    </w:p>
  </w:footnote>
  <w:footnote w:type="continuationSeparator" w:id="0">
    <w:p w14:paraId="4FF087F7" w14:textId="77777777" w:rsidR="00FC7211" w:rsidRDefault="00FC7211" w:rsidP="002637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D7E35" w14:textId="57324F13" w:rsidR="009F2054" w:rsidRDefault="009F2054" w:rsidP="005B7FB6">
    <w:pPr>
      <w:pStyle w:val="Header"/>
      <w:jc w:val="right"/>
    </w:pPr>
    <w:r>
      <w:rPr>
        <w:noProof/>
      </w:rPr>
      <w:drawing>
        <wp:anchor distT="0" distB="0" distL="114300" distR="114300" simplePos="0" relativeHeight="251657216" behindDoc="1" locked="0" layoutInCell="1" allowOverlap="1" wp14:anchorId="51CA9CF6" wp14:editId="64F46BF9">
          <wp:simplePos x="0" y="0"/>
          <wp:positionH relativeFrom="column">
            <wp:posOffset>-800100</wp:posOffset>
          </wp:positionH>
          <wp:positionV relativeFrom="paragraph">
            <wp:posOffset>-333375</wp:posOffset>
          </wp:positionV>
          <wp:extent cx="3048006" cy="704089"/>
          <wp:effectExtent l="0" t="0" r="0" b="1270"/>
          <wp:wrapTight wrapText="bothSides">
            <wp:wrapPolygon edited="0">
              <wp:start x="3240" y="585"/>
              <wp:lineTo x="405" y="3509"/>
              <wp:lineTo x="270" y="7018"/>
              <wp:lineTo x="2160" y="11112"/>
              <wp:lineTo x="2700" y="21054"/>
              <wp:lineTo x="3375" y="21054"/>
              <wp:lineTo x="20925" y="17545"/>
              <wp:lineTo x="21060" y="11112"/>
              <wp:lineTo x="20385" y="11112"/>
              <wp:lineTo x="20250" y="4094"/>
              <wp:lineTo x="4320" y="585"/>
              <wp:lineTo x="3240" y="58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LD logo rectangle small clea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48006" cy="704089"/>
                  </a:xfrm>
                  <a:prstGeom prst="rect">
                    <a:avLst/>
                  </a:prstGeom>
                </pic:spPr>
              </pic:pic>
            </a:graphicData>
          </a:graphic>
        </wp:anchor>
      </w:drawing>
    </w:r>
    <w:r w:rsidR="00831B92" w:rsidDel="00831B92">
      <w:t xml:space="preserve"> </w:t>
    </w:r>
    <w:r w:rsidR="008506C1">
      <w:t>April 12, 2021</w:t>
    </w:r>
  </w:p>
  <w:p w14:paraId="288FAFE4" w14:textId="77777777" w:rsidR="009F2054" w:rsidRDefault="009F2054" w:rsidP="00831B92">
    <w:pPr>
      <w:pStyle w:val="Header"/>
      <w:jc w:val="righ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C765D"/>
    <w:multiLevelType w:val="hybridMultilevel"/>
    <w:tmpl w:val="12688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24DE2"/>
    <w:multiLevelType w:val="hybridMultilevel"/>
    <w:tmpl w:val="5F72F214"/>
    <w:lvl w:ilvl="0" w:tplc="6F322AA8">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20714B"/>
    <w:multiLevelType w:val="hybridMultilevel"/>
    <w:tmpl w:val="511C2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0A243F"/>
    <w:multiLevelType w:val="hybridMultilevel"/>
    <w:tmpl w:val="3F0C00F0"/>
    <w:lvl w:ilvl="0" w:tplc="722EEF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F1E1DFB"/>
    <w:multiLevelType w:val="hybridMultilevel"/>
    <w:tmpl w:val="359E649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9241E3E"/>
    <w:multiLevelType w:val="hybridMultilevel"/>
    <w:tmpl w:val="DFFC8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0"/>
  </w:num>
  <w:num w:numId="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795"/>
    <w:rsid w:val="00004C6B"/>
    <w:rsid w:val="00005342"/>
    <w:rsid w:val="00007B9F"/>
    <w:rsid w:val="00007FCC"/>
    <w:rsid w:val="00021FBA"/>
    <w:rsid w:val="00024807"/>
    <w:rsid w:val="0002636A"/>
    <w:rsid w:val="00026A3B"/>
    <w:rsid w:val="0003358B"/>
    <w:rsid w:val="000345E3"/>
    <w:rsid w:val="00035C10"/>
    <w:rsid w:val="000365E8"/>
    <w:rsid w:val="00041FF9"/>
    <w:rsid w:val="0004725A"/>
    <w:rsid w:val="00053016"/>
    <w:rsid w:val="000530B1"/>
    <w:rsid w:val="00062767"/>
    <w:rsid w:val="0006291B"/>
    <w:rsid w:val="0006644E"/>
    <w:rsid w:val="000671D5"/>
    <w:rsid w:val="00074C6E"/>
    <w:rsid w:val="00075804"/>
    <w:rsid w:val="000850FE"/>
    <w:rsid w:val="000A17BA"/>
    <w:rsid w:val="000A6E0C"/>
    <w:rsid w:val="000B05BA"/>
    <w:rsid w:val="000B2CBC"/>
    <w:rsid w:val="000B43D7"/>
    <w:rsid w:val="000C524F"/>
    <w:rsid w:val="000D2A2C"/>
    <w:rsid w:val="000D48EA"/>
    <w:rsid w:val="000D75F8"/>
    <w:rsid w:val="000E3CCB"/>
    <w:rsid w:val="000E3CF5"/>
    <w:rsid w:val="000F22CA"/>
    <w:rsid w:val="000F4CDB"/>
    <w:rsid w:val="000F5C02"/>
    <w:rsid w:val="000F7D43"/>
    <w:rsid w:val="0010092B"/>
    <w:rsid w:val="0010334A"/>
    <w:rsid w:val="00110604"/>
    <w:rsid w:val="00112EC9"/>
    <w:rsid w:val="00115C81"/>
    <w:rsid w:val="00121A10"/>
    <w:rsid w:val="001256AC"/>
    <w:rsid w:val="001339E4"/>
    <w:rsid w:val="0014064A"/>
    <w:rsid w:val="0014409D"/>
    <w:rsid w:val="0014443A"/>
    <w:rsid w:val="00146C3A"/>
    <w:rsid w:val="001512D1"/>
    <w:rsid w:val="00157053"/>
    <w:rsid w:val="0016138B"/>
    <w:rsid w:val="00162979"/>
    <w:rsid w:val="00163AA4"/>
    <w:rsid w:val="00167592"/>
    <w:rsid w:val="00170358"/>
    <w:rsid w:val="001855CF"/>
    <w:rsid w:val="00186A0B"/>
    <w:rsid w:val="00192A79"/>
    <w:rsid w:val="00192EE4"/>
    <w:rsid w:val="00193072"/>
    <w:rsid w:val="00193108"/>
    <w:rsid w:val="00196B39"/>
    <w:rsid w:val="001A1121"/>
    <w:rsid w:val="001B0629"/>
    <w:rsid w:val="001B130D"/>
    <w:rsid w:val="001B6472"/>
    <w:rsid w:val="001C27EC"/>
    <w:rsid w:val="001E0AB3"/>
    <w:rsid w:val="001E6EF2"/>
    <w:rsid w:val="001F2433"/>
    <w:rsid w:val="00201BBD"/>
    <w:rsid w:val="00202927"/>
    <w:rsid w:val="002118F1"/>
    <w:rsid w:val="00216A01"/>
    <w:rsid w:val="00216F3A"/>
    <w:rsid w:val="00217985"/>
    <w:rsid w:val="00225A6E"/>
    <w:rsid w:val="00233775"/>
    <w:rsid w:val="00233C05"/>
    <w:rsid w:val="002363A5"/>
    <w:rsid w:val="00237DC7"/>
    <w:rsid w:val="00242A41"/>
    <w:rsid w:val="00244E0B"/>
    <w:rsid w:val="002463EE"/>
    <w:rsid w:val="00246EC7"/>
    <w:rsid w:val="002529A1"/>
    <w:rsid w:val="0025507E"/>
    <w:rsid w:val="002553AC"/>
    <w:rsid w:val="0025596E"/>
    <w:rsid w:val="0025694F"/>
    <w:rsid w:val="00262139"/>
    <w:rsid w:val="0026260D"/>
    <w:rsid w:val="00262B5B"/>
    <w:rsid w:val="00263795"/>
    <w:rsid w:val="00267D06"/>
    <w:rsid w:val="0027122E"/>
    <w:rsid w:val="00277988"/>
    <w:rsid w:val="002802A1"/>
    <w:rsid w:val="00280964"/>
    <w:rsid w:val="002822B0"/>
    <w:rsid w:val="002874BF"/>
    <w:rsid w:val="00293C07"/>
    <w:rsid w:val="002A27CB"/>
    <w:rsid w:val="002A2ECC"/>
    <w:rsid w:val="002A35ED"/>
    <w:rsid w:val="002B4C4A"/>
    <w:rsid w:val="002B6072"/>
    <w:rsid w:val="002C79FD"/>
    <w:rsid w:val="002D3CE2"/>
    <w:rsid w:val="002E0A3A"/>
    <w:rsid w:val="002E3152"/>
    <w:rsid w:val="002F18CF"/>
    <w:rsid w:val="002F47A6"/>
    <w:rsid w:val="002F4FD6"/>
    <w:rsid w:val="002F655E"/>
    <w:rsid w:val="002F6E5A"/>
    <w:rsid w:val="00320262"/>
    <w:rsid w:val="00331DB8"/>
    <w:rsid w:val="003444CA"/>
    <w:rsid w:val="00346925"/>
    <w:rsid w:val="0035238B"/>
    <w:rsid w:val="00353A9D"/>
    <w:rsid w:val="00353D6C"/>
    <w:rsid w:val="00355056"/>
    <w:rsid w:val="00356615"/>
    <w:rsid w:val="00362350"/>
    <w:rsid w:val="0036569F"/>
    <w:rsid w:val="003716E9"/>
    <w:rsid w:val="003723BD"/>
    <w:rsid w:val="00373059"/>
    <w:rsid w:val="00374D35"/>
    <w:rsid w:val="003860C9"/>
    <w:rsid w:val="00391573"/>
    <w:rsid w:val="003948B3"/>
    <w:rsid w:val="003A0670"/>
    <w:rsid w:val="003A11D6"/>
    <w:rsid w:val="003A6D58"/>
    <w:rsid w:val="003B2805"/>
    <w:rsid w:val="003B788F"/>
    <w:rsid w:val="003C116C"/>
    <w:rsid w:val="003C2D78"/>
    <w:rsid w:val="003C3521"/>
    <w:rsid w:val="003C3F1A"/>
    <w:rsid w:val="003C4621"/>
    <w:rsid w:val="003C541A"/>
    <w:rsid w:val="003D16AD"/>
    <w:rsid w:val="003D1B16"/>
    <w:rsid w:val="003D79EE"/>
    <w:rsid w:val="003E044E"/>
    <w:rsid w:val="003E182D"/>
    <w:rsid w:val="003F0A92"/>
    <w:rsid w:val="003F0ACD"/>
    <w:rsid w:val="003F21AC"/>
    <w:rsid w:val="003F70E6"/>
    <w:rsid w:val="00400A74"/>
    <w:rsid w:val="0040107F"/>
    <w:rsid w:val="00401DF4"/>
    <w:rsid w:val="004033AC"/>
    <w:rsid w:val="0040500F"/>
    <w:rsid w:val="004126C0"/>
    <w:rsid w:val="00416DA2"/>
    <w:rsid w:val="00423808"/>
    <w:rsid w:val="004261C5"/>
    <w:rsid w:val="00427B31"/>
    <w:rsid w:val="004320C8"/>
    <w:rsid w:val="00433969"/>
    <w:rsid w:val="0044050A"/>
    <w:rsid w:val="00444D19"/>
    <w:rsid w:val="004536D3"/>
    <w:rsid w:val="00454D31"/>
    <w:rsid w:val="004554E5"/>
    <w:rsid w:val="00457CA1"/>
    <w:rsid w:val="00461A11"/>
    <w:rsid w:val="00466174"/>
    <w:rsid w:val="004679B8"/>
    <w:rsid w:val="0047219D"/>
    <w:rsid w:val="00473A77"/>
    <w:rsid w:val="00473BDF"/>
    <w:rsid w:val="00474A1C"/>
    <w:rsid w:val="0047586E"/>
    <w:rsid w:val="0048095C"/>
    <w:rsid w:val="00487C6E"/>
    <w:rsid w:val="00491BBB"/>
    <w:rsid w:val="004A5F2D"/>
    <w:rsid w:val="004A7910"/>
    <w:rsid w:val="004B4D32"/>
    <w:rsid w:val="004B5485"/>
    <w:rsid w:val="004B6F48"/>
    <w:rsid w:val="004B737D"/>
    <w:rsid w:val="004B7D6E"/>
    <w:rsid w:val="004C08D1"/>
    <w:rsid w:val="004C26E6"/>
    <w:rsid w:val="004D03D6"/>
    <w:rsid w:val="004D1D1F"/>
    <w:rsid w:val="004D6EBD"/>
    <w:rsid w:val="004E188F"/>
    <w:rsid w:val="004F6CB6"/>
    <w:rsid w:val="00500005"/>
    <w:rsid w:val="00500071"/>
    <w:rsid w:val="00502A99"/>
    <w:rsid w:val="00502CB9"/>
    <w:rsid w:val="0050301F"/>
    <w:rsid w:val="00504243"/>
    <w:rsid w:val="00505920"/>
    <w:rsid w:val="00525DC6"/>
    <w:rsid w:val="005359EF"/>
    <w:rsid w:val="005404BA"/>
    <w:rsid w:val="00543280"/>
    <w:rsid w:val="0054599A"/>
    <w:rsid w:val="005506E0"/>
    <w:rsid w:val="005543C0"/>
    <w:rsid w:val="005567CD"/>
    <w:rsid w:val="00557612"/>
    <w:rsid w:val="00562FEE"/>
    <w:rsid w:val="005651F7"/>
    <w:rsid w:val="005716D4"/>
    <w:rsid w:val="0057555D"/>
    <w:rsid w:val="0057663A"/>
    <w:rsid w:val="005857B9"/>
    <w:rsid w:val="00591179"/>
    <w:rsid w:val="00591781"/>
    <w:rsid w:val="005940D1"/>
    <w:rsid w:val="005963F8"/>
    <w:rsid w:val="005A25CA"/>
    <w:rsid w:val="005A3A03"/>
    <w:rsid w:val="005A5F1C"/>
    <w:rsid w:val="005A770F"/>
    <w:rsid w:val="005B7FB6"/>
    <w:rsid w:val="005C1924"/>
    <w:rsid w:val="005C5747"/>
    <w:rsid w:val="005D00FA"/>
    <w:rsid w:val="005D290C"/>
    <w:rsid w:val="005E0866"/>
    <w:rsid w:val="005E14E6"/>
    <w:rsid w:val="005E1C2A"/>
    <w:rsid w:val="005E3766"/>
    <w:rsid w:val="005E6E48"/>
    <w:rsid w:val="005F7F02"/>
    <w:rsid w:val="0060044E"/>
    <w:rsid w:val="00612D50"/>
    <w:rsid w:val="00613B71"/>
    <w:rsid w:val="00623047"/>
    <w:rsid w:val="006306D0"/>
    <w:rsid w:val="00643218"/>
    <w:rsid w:val="00655768"/>
    <w:rsid w:val="00656B5B"/>
    <w:rsid w:val="0065723F"/>
    <w:rsid w:val="00660730"/>
    <w:rsid w:val="00660F61"/>
    <w:rsid w:val="00662B05"/>
    <w:rsid w:val="006657E9"/>
    <w:rsid w:val="00665877"/>
    <w:rsid w:val="006768A8"/>
    <w:rsid w:val="00681002"/>
    <w:rsid w:val="006A4D85"/>
    <w:rsid w:val="006A5F21"/>
    <w:rsid w:val="006B1C1E"/>
    <w:rsid w:val="006B44D9"/>
    <w:rsid w:val="006C2730"/>
    <w:rsid w:val="006C292B"/>
    <w:rsid w:val="006C75D7"/>
    <w:rsid w:val="006D29B2"/>
    <w:rsid w:val="006D4E5A"/>
    <w:rsid w:val="006D57E4"/>
    <w:rsid w:val="006E0A8A"/>
    <w:rsid w:val="006E25EC"/>
    <w:rsid w:val="006E409F"/>
    <w:rsid w:val="00700A3A"/>
    <w:rsid w:val="007033CF"/>
    <w:rsid w:val="00704E40"/>
    <w:rsid w:val="007124C0"/>
    <w:rsid w:val="00714794"/>
    <w:rsid w:val="007174B8"/>
    <w:rsid w:val="007237E3"/>
    <w:rsid w:val="00724A59"/>
    <w:rsid w:val="00730F01"/>
    <w:rsid w:val="007335F6"/>
    <w:rsid w:val="007418C2"/>
    <w:rsid w:val="0074263A"/>
    <w:rsid w:val="00753E19"/>
    <w:rsid w:val="007559F8"/>
    <w:rsid w:val="007578CE"/>
    <w:rsid w:val="00762334"/>
    <w:rsid w:val="007624D3"/>
    <w:rsid w:val="007654FC"/>
    <w:rsid w:val="007718E9"/>
    <w:rsid w:val="00791D26"/>
    <w:rsid w:val="00791D51"/>
    <w:rsid w:val="007937C1"/>
    <w:rsid w:val="0079395B"/>
    <w:rsid w:val="00794A0A"/>
    <w:rsid w:val="00797894"/>
    <w:rsid w:val="007A64C7"/>
    <w:rsid w:val="007A7B6B"/>
    <w:rsid w:val="007B059A"/>
    <w:rsid w:val="007B0B11"/>
    <w:rsid w:val="007B2070"/>
    <w:rsid w:val="007B20C7"/>
    <w:rsid w:val="007C3B75"/>
    <w:rsid w:val="007D7849"/>
    <w:rsid w:val="007E2764"/>
    <w:rsid w:val="007F5367"/>
    <w:rsid w:val="00801FB9"/>
    <w:rsid w:val="00802E98"/>
    <w:rsid w:val="00821F3C"/>
    <w:rsid w:val="00826FE7"/>
    <w:rsid w:val="00827695"/>
    <w:rsid w:val="00831B92"/>
    <w:rsid w:val="00831E58"/>
    <w:rsid w:val="00835292"/>
    <w:rsid w:val="00837649"/>
    <w:rsid w:val="008464B8"/>
    <w:rsid w:val="00847DC2"/>
    <w:rsid w:val="008506C1"/>
    <w:rsid w:val="00853DE3"/>
    <w:rsid w:val="00866191"/>
    <w:rsid w:val="00873DCC"/>
    <w:rsid w:val="0088047F"/>
    <w:rsid w:val="0088534C"/>
    <w:rsid w:val="00885ACA"/>
    <w:rsid w:val="00885BB4"/>
    <w:rsid w:val="008952C8"/>
    <w:rsid w:val="008A1018"/>
    <w:rsid w:val="008B1008"/>
    <w:rsid w:val="008C7413"/>
    <w:rsid w:val="008D0862"/>
    <w:rsid w:val="008D686E"/>
    <w:rsid w:val="008E34A4"/>
    <w:rsid w:val="008F4F55"/>
    <w:rsid w:val="008F5285"/>
    <w:rsid w:val="008F5C64"/>
    <w:rsid w:val="008F5EC5"/>
    <w:rsid w:val="00901B32"/>
    <w:rsid w:val="00911425"/>
    <w:rsid w:val="00912519"/>
    <w:rsid w:val="00917577"/>
    <w:rsid w:val="00925741"/>
    <w:rsid w:val="009413D3"/>
    <w:rsid w:val="00941CE3"/>
    <w:rsid w:val="009437E2"/>
    <w:rsid w:val="00945D7A"/>
    <w:rsid w:val="009518E1"/>
    <w:rsid w:val="0095267F"/>
    <w:rsid w:val="00953FE8"/>
    <w:rsid w:val="00957619"/>
    <w:rsid w:val="0096441A"/>
    <w:rsid w:val="00972640"/>
    <w:rsid w:val="009761DE"/>
    <w:rsid w:val="00976550"/>
    <w:rsid w:val="00983852"/>
    <w:rsid w:val="00995882"/>
    <w:rsid w:val="009A538D"/>
    <w:rsid w:val="009B0366"/>
    <w:rsid w:val="009B46C8"/>
    <w:rsid w:val="009B62F1"/>
    <w:rsid w:val="009C161B"/>
    <w:rsid w:val="009D0245"/>
    <w:rsid w:val="009D2F67"/>
    <w:rsid w:val="009D407C"/>
    <w:rsid w:val="009E00C6"/>
    <w:rsid w:val="009E2678"/>
    <w:rsid w:val="009E5C20"/>
    <w:rsid w:val="009F0C73"/>
    <w:rsid w:val="009F0E0C"/>
    <w:rsid w:val="009F0E0D"/>
    <w:rsid w:val="009F10C4"/>
    <w:rsid w:val="009F2054"/>
    <w:rsid w:val="00A05BF8"/>
    <w:rsid w:val="00A07D60"/>
    <w:rsid w:val="00A1007F"/>
    <w:rsid w:val="00A202A5"/>
    <w:rsid w:val="00A34BEB"/>
    <w:rsid w:val="00A40B6F"/>
    <w:rsid w:val="00A41296"/>
    <w:rsid w:val="00A41D03"/>
    <w:rsid w:val="00A41FA6"/>
    <w:rsid w:val="00A43FE4"/>
    <w:rsid w:val="00A52B2B"/>
    <w:rsid w:val="00A5371B"/>
    <w:rsid w:val="00A545C8"/>
    <w:rsid w:val="00A54613"/>
    <w:rsid w:val="00A5601D"/>
    <w:rsid w:val="00A57340"/>
    <w:rsid w:val="00A805BB"/>
    <w:rsid w:val="00A810AD"/>
    <w:rsid w:val="00A847D8"/>
    <w:rsid w:val="00A86978"/>
    <w:rsid w:val="00A927BA"/>
    <w:rsid w:val="00A92EFA"/>
    <w:rsid w:val="00A93A22"/>
    <w:rsid w:val="00A949AD"/>
    <w:rsid w:val="00A95712"/>
    <w:rsid w:val="00A97577"/>
    <w:rsid w:val="00AA5740"/>
    <w:rsid w:val="00AA69AC"/>
    <w:rsid w:val="00AA729A"/>
    <w:rsid w:val="00AB1925"/>
    <w:rsid w:val="00AB1A8A"/>
    <w:rsid w:val="00AB1FF5"/>
    <w:rsid w:val="00AB4F29"/>
    <w:rsid w:val="00AB5D04"/>
    <w:rsid w:val="00AC703A"/>
    <w:rsid w:val="00AE72D3"/>
    <w:rsid w:val="00AF2D77"/>
    <w:rsid w:val="00B03679"/>
    <w:rsid w:val="00B039E4"/>
    <w:rsid w:val="00B05810"/>
    <w:rsid w:val="00B113A6"/>
    <w:rsid w:val="00B11603"/>
    <w:rsid w:val="00B200D6"/>
    <w:rsid w:val="00B2114E"/>
    <w:rsid w:val="00B35634"/>
    <w:rsid w:val="00B4279F"/>
    <w:rsid w:val="00B4416D"/>
    <w:rsid w:val="00B4466C"/>
    <w:rsid w:val="00B47EFF"/>
    <w:rsid w:val="00B5014D"/>
    <w:rsid w:val="00B54718"/>
    <w:rsid w:val="00B55A8E"/>
    <w:rsid w:val="00B56D51"/>
    <w:rsid w:val="00B60393"/>
    <w:rsid w:val="00B60AD1"/>
    <w:rsid w:val="00B617D6"/>
    <w:rsid w:val="00B67FA2"/>
    <w:rsid w:val="00B73451"/>
    <w:rsid w:val="00B75136"/>
    <w:rsid w:val="00B755F5"/>
    <w:rsid w:val="00B759A4"/>
    <w:rsid w:val="00B83EEF"/>
    <w:rsid w:val="00B91C7F"/>
    <w:rsid w:val="00B94688"/>
    <w:rsid w:val="00B94FDC"/>
    <w:rsid w:val="00BA17D9"/>
    <w:rsid w:val="00BA3ED0"/>
    <w:rsid w:val="00BB64E6"/>
    <w:rsid w:val="00BB6C59"/>
    <w:rsid w:val="00BC0C9A"/>
    <w:rsid w:val="00BC1567"/>
    <w:rsid w:val="00BC1939"/>
    <w:rsid w:val="00BC651C"/>
    <w:rsid w:val="00BC6780"/>
    <w:rsid w:val="00BD51EC"/>
    <w:rsid w:val="00BD77ED"/>
    <w:rsid w:val="00BE13C8"/>
    <w:rsid w:val="00BE2AC1"/>
    <w:rsid w:val="00BE691B"/>
    <w:rsid w:val="00BE6DF8"/>
    <w:rsid w:val="00BE7C0A"/>
    <w:rsid w:val="00BF3538"/>
    <w:rsid w:val="00BF71D1"/>
    <w:rsid w:val="00C00413"/>
    <w:rsid w:val="00C057D6"/>
    <w:rsid w:val="00C15AFF"/>
    <w:rsid w:val="00C1654D"/>
    <w:rsid w:val="00C31A62"/>
    <w:rsid w:val="00C3317D"/>
    <w:rsid w:val="00C36B64"/>
    <w:rsid w:val="00C370E4"/>
    <w:rsid w:val="00C4687E"/>
    <w:rsid w:val="00C554A3"/>
    <w:rsid w:val="00C618C4"/>
    <w:rsid w:val="00C62B18"/>
    <w:rsid w:val="00C63CF4"/>
    <w:rsid w:val="00C7178A"/>
    <w:rsid w:val="00C7613B"/>
    <w:rsid w:val="00C80E4A"/>
    <w:rsid w:val="00C840C1"/>
    <w:rsid w:val="00C861CF"/>
    <w:rsid w:val="00C93D2E"/>
    <w:rsid w:val="00CA05CC"/>
    <w:rsid w:val="00CA6E6C"/>
    <w:rsid w:val="00CB2298"/>
    <w:rsid w:val="00CB76CD"/>
    <w:rsid w:val="00CC4C96"/>
    <w:rsid w:val="00CC6192"/>
    <w:rsid w:val="00CC6606"/>
    <w:rsid w:val="00CD519F"/>
    <w:rsid w:val="00CD79BB"/>
    <w:rsid w:val="00CE2020"/>
    <w:rsid w:val="00CE60C2"/>
    <w:rsid w:val="00CF442E"/>
    <w:rsid w:val="00D12294"/>
    <w:rsid w:val="00D17EFF"/>
    <w:rsid w:val="00D22632"/>
    <w:rsid w:val="00D252BB"/>
    <w:rsid w:val="00D319AC"/>
    <w:rsid w:val="00D3228B"/>
    <w:rsid w:val="00D324BD"/>
    <w:rsid w:val="00D363FE"/>
    <w:rsid w:val="00D4056B"/>
    <w:rsid w:val="00D42FDE"/>
    <w:rsid w:val="00D46827"/>
    <w:rsid w:val="00D50EFC"/>
    <w:rsid w:val="00D52B3A"/>
    <w:rsid w:val="00D54FD4"/>
    <w:rsid w:val="00D609FF"/>
    <w:rsid w:val="00D62418"/>
    <w:rsid w:val="00D66C06"/>
    <w:rsid w:val="00D71331"/>
    <w:rsid w:val="00D71CC4"/>
    <w:rsid w:val="00D73703"/>
    <w:rsid w:val="00D7504F"/>
    <w:rsid w:val="00D8218E"/>
    <w:rsid w:val="00D86633"/>
    <w:rsid w:val="00D87824"/>
    <w:rsid w:val="00D91228"/>
    <w:rsid w:val="00D921C2"/>
    <w:rsid w:val="00D93BBC"/>
    <w:rsid w:val="00D956F7"/>
    <w:rsid w:val="00DA1DEE"/>
    <w:rsid w:val="00DB0AD1"/>
    <w:rsid w:val="00DB4DC6"/>
    <w:rsid w:val="00DC0D8F"/>
    <w:rsid w:val="00DC3D8E"/>
    <w:rsid w:val="00DC6A87"/>
    <w:rsid w:val="00DC6FA1"/>
    <w:rsid w:val="00DC7044"/>
    <w:rsid w:val="00DD2F6D"/>
    <w:rsid w:val="00DD2FEA"/>
    <w:rsid w:val="00DD45BE"/>
    <w:rsid w:val="00DE29DF"/>
    <w:rsid w:val="00DE554F"/>
    <w:rsid w:val="00DF4CA4"/>
    <w:rsid w:val="00DF6F0C"/>
    <w:rsid w:val="00DF7F93"/>
    <w:rsid w:val="00E0014D"/>
    <w:rsid w:val="00E10D86"/>
    <w:rsid w:val="00E12381"/>
    <w:rsid w:val="00E147C9"/>
    <w:rsid w:val="00E1726A"/>
    <w:rsid w:val="00E21E26"/>
    <w:rsid w:val="00E22B53"/>
    <w:rsid w:val="00E31D73"/>
    <w:rsid w:val="00E35C53"/>
    <w:rsid w:val="00E40596"/>
    <w:rsid w:val="00E4063C"/>
    <w:rsid w:val="00E46FDE"/>
    <w:rsid w:val="00E47623"/>
    <w:rsid w:val="00E5079A"/>
    <w:rsid w:val="00E57329"/>
    <w:rsid w:val="00E57623"/>
    <w:rsid w:val="00E64C52"/>
    <w:rsid w:val="00E674E0"/>
    <w:rsid w:val="00E71762"/>
    <w:rsid w:val="00E778A5"/>
    <w:rsid w:val="00E835A3"/>
    <w:rsid w:val="00E91006"/>
    <w:rsid w:val="00E94851"/>
    <w:rsid w:val="00E95620"/>
    <w:rsid w:val="00E97E49"/>
    <w:rsid w:val="00EA0E61"/>
    <w:rsid w:val="00EA1029"/>
    <w:rsid w:val="00EA1798"/>
    <w:rsid w:val="00EA4351"/>
    <w:rsid w:val="00EB621C"/>
    <w:rsid w:val="00EC1A49"/>
    <w:rsid w:val="00EC3388"/>
    <w:rsid w:val="00ED4891"/>
    <w:rsid w:val="00ED644D"/>
    <w:rsid w:val="00EE6B18"/>
    <w:rsid w:val="00EF1E0E"/>
    <w:rsid w:val="00EF7398"/>
    <w:rsid w:val="00EF7C35"/>
    <w:rsid w:val="00F06DFE"/>
    <w:rsid w:val="00F073DC"/>
    <w:rsid w:val="00F10066"/>
    <w:rsid w:val="00F10315"/>
    <w:rsid w:val="00F15F63"/>
    <w:rsid w:val="00F213B6"/>
    <w:rsid w:val="00F22521"/>
    <w:rsid w:val="00F22B57"/>
    <w:rsid w:val="00F300F9"/>
    <w:rsid w:val="00F302CE"/>
    <w:rsid w:val="00F326DD"/>
    <w:rsid w:val="00F41C71"/>
    <w:rsid w:val="00F4614B"/>
    <w:rsid w:val="00F61FDE"/>
    <w:rsid w:val="00F7665A"/>
    <w:rsid w:val="00F802A3"/>
    <w:rsid w:val="00F80D67"/>
    <w:rsid w:val="00F842C9"/>
    <w:rsid w:val="00F86C29"/>
    <w:rsid w:val="00F95088"/>
    <w:rsid w:val="00FA063C"/>
    <w:rsid w:val="00FA45F7"/>
    <w:rsid w:val="00FB27B5"/>
    <w:rsid w:val="00FB67BC"/>
    <w:rsid w:val="00FB7E6D"/>
    <w:rsid w:val="00FC354E"/>
    <w:rsid w:val="00FC4A47"/>
    <w:rsid w:val="00FC7211"/>
    <w:rsid w:val="00FD208D"/>
    <w:rsid w:val="00FD3248"/>
    <w:rsid w:val="00FD4882"/>
    <w:rsid w:val="00FD6368"/>
    <w:rsid w:val="00FF00B5"/>
    <w:rsid w:val="00FF10FA"/>
    <w:rsid w:val="00FF3B20"/>
    <w:rsid w:val="00FF4D9F"/>
    <w:rsid w:val="00FF6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63C2D12"/>
  <w15:chartTrackingRefBased/>
  <w15:docId w15:val="{18C53CB5-AA5F-48FD-BF4E-D84AA98CB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6AC"/>
  </w:style>
  <w:style w:type="paragraph" w:styleId="Heading1">
    <w:name w:val="heading 1"/>
    <w:basedOn w:val="Normal"/>
    <w:next w:val="Normal"/>
    <w:link w:val="Heading1Char"/>
    <w:uiPriority w:val="9"/>
    <w:qFormat/>
    <w:rsid w:val="00A52B2B"/>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A52B2B"/>
    <w:p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A52B2B"/>
    <w:pPr>
      <w:pBdr>
        <w:top w:val="single" w:sz="6" w:space="2" w:color="4A66AC" w:themeColor="accent1"/>
      </w:pBdr>
      <w:spacing w:before="300" w:after="0"/>
      <w:outlineLvl w:val="2"/>
    </w:pPr>
    <w:rPr>
      <w:caps/>
      <w:color w:val="243255" w:themeColor="accent1" w:themeShade="7F"/>
      <w:spacing w:val="15"/>
    </w:rPr>
  </w:style>
  <w:style w:type="paragraph" w:styleId="Heading4">
    <w:name w:val="heading 4"/>
    <w:basedOn w:val="Normal"/>
    <w:next w:val="Normal"/>
    <w:link w:val="Heading4Char"/>
    <w:uiPriority w:val="9"/>
    <w:unhideWhenUsed/>
    <w:qFormat/>
    <w:rsid w:val="00A52B2B"/>
    <w:pPr>
      <w:pBdr>
        <w:top w:val="dotted" w:sz="6" w:space="2" w:color="4A66AC" w:themeColor="accent1"/>
      </w:pBdr>
      <w:spacing w:before="200" w:after="0"/>
      <w:outlineLvl w:val="3"/>
    </w:pPr>
    <w:rPr>
      <w:caps/>
      <w:color w:val="374C80" w:themeColor="accent1" w:themeShade="BF"/>
      <w:spacing w:val="10"/>
    </w:rPr>
  </w:style>
  <w:style w:type="paragraph" w:styleId="Heading5">
    <w:name w:val="heading 5"/>
    <w:basedOn w:val="Normal"/>
    <w:next w:val="Normal"/>
    <w:link w:val="Heading5Char"/>
    <w:uiPriority w:val="9"/>
    <w:unhideWhenUsed/>
    <w:qFormat/>
    <w:rsid w:val="00A52B2B"/>
    <w:pPr>
      <w:pBdr>
        <w:bottom w:val="single" w:sz="6" w:space="1" w:color="4A66AC" w:themeColor="accent1"/>
      </w:pBdr>
      <w:spacing w:before="200" w:after="0"/>
      <w:outlineLvl w:val="4"/>
    </w:pPr>
    <w:rPr>
      <w:caps/>
      <w:color w:val="374C80" w:themeColor="accent1" w:themeShade="BF"/>
      <w:spacing w:val="10"/>
    </w:rPr>
  </w:style>
  <w:style w:type="paragraph" w:styleId="Heading6">
    <w:name w:val="heading 6"/>
    <w:basedOn w:val="Normal"/>
    <w:next w:val="Normal"/>
    <w:link w:val="Heading6Char"/>
    <w:uiPriority w:val="9"/>
    <w:semiHidden/>
    <w:unhideWhenUsed/>
    <w:qFormat/>
    <w:rsid w:val="00A52B2B"/>
    <w:pPr>
      <w:pBdr>
        <w:bottom w:val="dotted" w:sz="6" w:space="1" w:color="4A66AC" w:themeColor="accent1"/>
      </w:pBdr>
      <w:spacing w:before="200" w:after="0"/>
      <w:outlineLvl w:val="5"/>
    </w:pPr>
    <w:rPr>
      <w:caps/>
      <w:color w:val="374C80" w:themeColor="accent1" w:themeShade="BF"/>
      <w:spacing w:val="10"/>
    </w:rPr>
  </w:style>
  <w:style w:type="paragraph" w:styleId="Heading7">
    <w:name w:val="heading 7"/>
    <w:basedOn w:val="Normal"/>
    <w:next w:val="Normal"/>
    <w:link w:val="Heading7Char"/>
    <w:uiPriority w:val="9"/>
    <w:semiHidden/>
    <w:unhideWhenUsed/>
    <w:qFormat/>
    <w:rsid w:val="00A52B2B"/>
    <w:pPr>
      <w:spacing w:before="200" w:after="0"/>
      <w:outlineLvl w:val="6"/>
    </w:pPr>
    <w:rPr>
      <w:caps/>
      <w:color w:val="374C80" w:themeColor="accent1" w:themeShade="BF"/>
      <w:spacing w:val="10"/>
    </w:rPr>
  </w:style>
  <w:style w:type="paragraph" w:styleId="Heading8">
    <w:name w:val="heading 8"/>
    <w:basedOn w:val="Normal"/>
    <w:next w:val="Normal"/>
    <w:link w:val="Heading8Char"/>
    <w:uiPriority w:val="9"/>
    <w:semiHidden/>
    <w:unhideWhenUsed/>
    <w:qFormat/>
    <w:rsid w:val="00A52B2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52B2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795"/>
  </w:style>
  <w:style w:type="paragraph" w:styleId="Footer">
    <w:name w:val="footer"/>
    <w:basedOn w:val="Normal"/>
    <w:link w:val="FooterChar"/>
    <w:uiPriority w:val="99"/>
    <w:unhideWhenUsed/>
    <w:rsid w:val="00263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795"/>
  </w:style>
  <w:style w:type="paragraph" w:styleId="IntenseQuote">
    <w:name w:val="Intense Quote"/>
    <w:basedOn w:val="Normal"/>
    <w:next w:val="Normal"/>
    <w:link w:val="IntenseQuoteChar"/>
    <w:uiPriority w:val="30"/>
    <w:qFormat/>
    <w:rsid w:val="00A52B2B"/>
    <w:pPr>
      <w:spacing w:before="240" w:after="240" w:line="240" w:lineRule="auto"/>
      <w:ind w:left="1080" w:right="1080"/>
      <w:jc w:val="center"/>
    </w:pPr>
    <w:rPr>
      <w:color w:val="4A66AC" w:themeColor="accent1"/>
      <w:sz w:val="24"/>
      <w:szCs w:val="24"/>
    </w:rPr>
  </w:style>
  <w:style w:type="character" w:customStyle="1" w:styleId="IntenseQuoteChar">
    <w:name w:val="Intense Quote Char"/>
    <w:basedOn w:val="DefaultParagraphFont"/>
    <w:link w:val="IntenseQuote"/>
    <w:uiPriority w:val="30"/>
    <w:rsid w:val="00A52B2B"/>
    <w:rPr>
      <w:color w:val="4A66AC" w:themeColor="accent1"/>
      <w:sz w:val="24"/>
      <w:szCs w:val="24"/>
    </w:rPr>
  </w:style>
  <w:style w:type="paragraph" w:styleId="ListParagraph">
    <w:name w:val="List Paragraph"/>
    <w:basedOn w:val="Normal"/>
    <w:uiPriority w:val="34"/>
    <w:qFormat/>
    <w:rsid w:val="00263795"/>
    <w:pPr>
      <w:ind w:left="720"/>
      <w:contextualSpacing/>
    </w:pPr>
  </w:style>
  <w:style w:type="character" w:styleId="IntenseReference">
    <w:name w:val="Intense Reference"/>
    <w:uiPriority w:val="32"/>
    <w:qFormat/>
    <w:rsid w:val="00A52B2B"/>
    <w:rPr>
      <w:b/>
      <w:bCs/>
      <w:i/>
      <w:iCs/>
      <w:caps/>
      <w:color w:val="4A66AC" w:themeColor="accent1"/>
    </w:rPr>
  </w:style>
  <w:style w:type="character" w:customStyle="1" w:styleId="Heading2Char">
    <w:name w:val="Heading 2 Char"/>
    <w:basedOn w:val="DefaultParagraphFont"/>
    <w:link w:val="Heading2"/>
    <w:uiPriority w:val="9"/>
    <w:rsid w:val="00A52B2B"/>
    <w:rPr>
      <w:caps/>
      <w:spacing w:val="15"/>
      <w:shd w:val="clear" w:color="auto" w:fill="D9DFEF" w:themeFill="accent1" w:themeFillTint="33"/>
    </w:rPr>
  </w:style>
  <w:style w:type="character" w:customStyle="1" w:styleId="Heading1Char">
    <w:name w:val="Heading 1 Char"/>
    <w:basedOn w:val="DefaultParagraphFont"/>
    <w:link w:val="Heading1"/>
    <w:uiPriority w:val="9"/>
    <w:rsid w:val="00A52B2B"/>
    <w:rPr>
      <w:caps/>
      <w:color w:val="FFFFFF" w:themeColor="background1"/>
      <w:spacing w:val="15"/>
      <w:sz w:val="22"/>
      <w:szCs w:val="22"/>
      <w:shd w:val="clear" w:color="auto" w:fill="4A66AC" w:themeFill="accent1"/>
    </w:rPr>
  </w:style>
  <w:style w:type="character" w:styleId="IntenseEmphasis">
    <w:name w:val="Intense Emphasis"/>
    <w:uiPriority w:val="21"/>
    <w:qFormat/>
    <w:rsid w:val="00A52B2B"/>
    <w:rPr>
      <w:b/>
      <w:bCs/>
      <w:caps/>
      <w:color w:val="243255" w:themeColor="accent1" w:themeShade="7F"/>
      <w:spacing w:val="10"/>
    </w:rPr>
  </w:style>
  <w:style w:type="paragraph" w:styleId="FootnoteText">
    <w:name w:val="footnote text"/>
    <w:basedOn w:val="Normal"/>
    <w:link w:val="FootnoteTextChar"/>
    <w:uiPriority w:val="99"/>
    <w:semiHidden/>
    <w:unhideWhenUsed/>
    <w:rsid w:val="008952C8"/>
    <w:pPr>
      <w:spacing w:after="0" w:line="240" w:lineRule="auto"/>
    </w:pPr>
  </w:style>
  <w:style w:type="character" w:customStyle="1" w:styleId="FootnoteTextChar">
    <w:name w:val="Footnote Text Char"/>
    <w:basedOn w:val="DefaultParagraphFont"/>
    <w:link w:val="FootnoteText"/>
    <w:uiPriority w:val="99"/>
    <w:semiHidden/>
    <w:rsid w:val="008952C8"/>
    <w:rPr>
      <w:sz w:val="20"/>
      <w:szCs w:val="20"/>
    </w:rPr>
  </w:style>
  <w:style w:type="character" w:styleId="FootnoteReference">
    <w:name w:val="footnote reference"/>
    <w:basedOn w:val="DefaultParagraphFont"/>
    <w:uiPriority w:val="99"/>
    <w:semiHidden/>
    <w:unhideWhenUsed/>
    <w:rsid w:val="008952C8"/>
    <w:rPr>
      <w:vertAlign w:val="superscript"/>
    </w:rPr>
  </w:style>
  <w:style w:type="paragraph" w:styleId="NormalWeb">
    <w:name w:val="Normal (Web)"/>
    <w:basedOn w:val="Normal"/>
    <w:uiPriority w:val="99"/>
    <w:unhideWhenUsed/>
    <w:rsid w:val="004B6F48"/>
    <w:pPr>
      <w:spacing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2114E"/>
    <w:rPr>
      <w:sz w:val="16"/>
      <w:szCs w:val="16"/>
    </w:rPr>
  </w:style>
  <w:style w:type="paragraph" w:styleId="CommentText">
    <w:name w:val="annotation text"/>
    <w:basedOn w:val="Normal"/>
    <w:link w:val="CommentTextChar"/>
    <w:uiPriority w:val="99"/>
    <w:unhideWhenUsed/>
    <w:rsid w:val="00B2114E"/>
    <w:pPr>
      <w:spacing w:line="240" w:lineRule="auto"/>
    </w:pPr>
  </w:style>
  <w:style w:type="character" w:customStyle="1" w:styleId="CommentTextChar">
    <w:name w:val="Comment Text Char"/>
    <w:basedOn w:val="DefaultParagraphFont"/>
    <w:link w:val="CommentText"/>
    <w:uiPriority w:val="99"/>
    <w:rsid w:val="00B2114E"/>
    <w:rPr>
      <w:sz w:val="20"/>
      <w:szCs w:val="20"/>
    </w:rPr>
  </w:style>
  <w:style w:type="paragraph" w:styleId="CommentSubject">
    <w:name w:val="annotation subject"/>
    <w:basedOn w:val="CommentText"/>
    <w:next w:val="CommentText"/>
    <w:link w:val="CommentSubjectChar"/>
    <w:uiPriority w:val="99"/>
    <w:semiHidden/>
    <w:unhideWhenUsed/>
    <w:rsid w:val="00B2114E"/>
    <w:rPr>
      <w:b/>
      <w:bCs/>
    </w:rPr>
  </w:style>
  <w:style w:type="character" w:customStyle="1" w:styleId="CommentSubjectChar">
    <w:name w:val="Comment Subject Char"/>
    <w:basedOn w:val="CommentTextChar"/>
    <w:link w:val="CommentSubject"/>
    <w:uiPriority w:val="99"/>
    <w:semiHidden/>
    <w:rsid w:val="00B2114E"/>
    <w:rPr>
      <w:b/>
      <w:bCs/>
      <w:sz w:val="20"/>
      <w:szCs w:val="20"/>
    </w:rPr>
  </w:style>
  <w:style w:type="paragraph" w:styleId="BalloonText">
    <w:name w:val="Balloon Text"/>
    <w:basedOn w:val="Normal"/>
    <w:link w:val="BalloonTextChar"/>
    <w:uiPriority w:val="99"/>
    <w:semiHidden/>
    <w:unhideWhenUsed/>
    <w:rsid w:val="00B211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14E"/>
    <w:rPr>
      <w:rFonts w:ascii="Segoe UI" w:hAnsi="Segoe UI" w:cs="Segoe UI"/>
      <w:sz w:val="18"/>
      <w:szCs w:val="18"/>
    </w:rPr>
  </w:style>
  <w:style w:type="paragraph" w:styleId="EndnoteText">
    <w:name w:val="endnote text"/>
    <w:basedOn w:val="Normal"/>
    <w:link w:val="EndnoteTextChar"/>
    <w:uiPriority w:val="99"/>
    <w:semiHidden/>
    <w:unhideWhenUsed/>
    <w:rsid w:val="00B47EFF"/>
    <w:pPr>
      <w:spacing w:after="0" w:line="240" w:lineRule="auto"/>
    </w:pPr>
  </w:style>
  <w:style w:type="character" w:customStyle="1" w:styleId="EndnoteTextChar">
    <w:name w:val="Endnote Text Char"/>
    <w:basedOn w:val="DefaultParagraphFont"/>
    <w:link w:val="EndnoteText"/>
    <w:uiPriority w:val="99"/>
    <w:semiHidden/>
    <w:rsid w:val="00B47EFF"/>
    <w:rPr>
      <w:sz w:val="20"/>
      <w:szCs w:val="20"/>
    </w:rPr>
  </w:style>
  <w:style w:type="character" w:styleId="EndnoteReference">
    <w:name w:val="endnote reference"/>
    <w:basedOn w:val="DefaultParagraphFont"/>
    <w:uiPriority w:val="99"/>
    <w:semiHidden/>
    <w:unhideWhenUsed/>
    <w:rsid w:val="00B47EFF"/>
    <w:rPr>
      <w:vertAlign w:val="superscript"/>
    </w:rPr>
  </w:style>
  <w:style w:type="character" w:styleId="Hyperlink">
    <w:name w:val="Hyperlink"/>
    <w:basedOn w:val="DefaultParagraphFont"/>
    <w:uiPriority w:val="99"/>
    <w:unhideWhenUsed/>
    <w:rsid w:val="00B47EFF"/>
    <w:rPr>
      <w:color w:val="9454C3" w:themeColor="hyperlink"/>
      <w:u w:val="single"/>
    </w:rPr>
  </w:style>
  <w:style w:type="character" w:customStyle="1" w:styleId="Heading3Char">
    <w:name w:val="Heading 3 Char"/>
    <w:basedOn w:val="DefaultParagraphFont"/>
    <w:link w:val="Heading3"/>
    <w:uiPriority w:val="9"/>
    <w:rsid w:val="00A52B2B"/>
    <w:rPr>
      <w:caps/>
      <w:color w:val="243255" w:themeColor="accent1" w:themeShade="7F"/>
      <w:spacing w:val="15"/>
    </w:rPr>
  </w:style>
  <w:style w:type="character" w:customStyle="1" w:styleId="Heading4Char">
    <w:name w:val="Heading 4 Char"/>
    <w:basedOn w:val="DefaultParagraphFont"/>
    <w:link w:val="Heading4"/>
    <w:uiPriority w:val="9"/>
    <w:rsid w:val="00A52B2B"/>
    <w:rPr>
      <w:caps/>
      <w:color w:val="374C80" w:themeColor="accent1" w:themeShade="BF"/>
      <w:spacing w:val="10"/>
    </w:rPr>
  </w:style>
  <w:style w:type="paragraph" w:styleId="NoSpacing">
    <w:name w:val="No Spacing"/>
    <w:link w:val="NoSpacingChar"/>
    <w:uiPriority w:val="1"/>
    <w:qFormat/>
    <w:rsid w:val="00A52B2B"/>
    <w:pPr>
      <w:spacing w:after="0" w:line="240" w:lineRule="auto"/>
    </w:pPr>
  </w:style>
  <w:style w:type="character" w:customStyle="1" w:styleId="NoSpacingChar">
    <w:name w:val="No Spacing Char"/>
    <w:basedOn w:val="DefaultParagraphFont"/>
    <w:link w:val="NoSpacing"/>
    <w:uiPriority w:val="1"/>
    <w:rsid w:val="00D91228"/>
  </w:style>
  <w:style w:type="table" w:styleId="TableGrid">
    <w:name w:val="Table Grid"/>
    <w:basedOn w:val="TableNormal"/>
    <w:uiPriority w:val="39"/>
    <w:rsid w:val="00D91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A52B2B"/>
    <w:rPr>
      <w:caps/>
      <w:color w:val="243255" w:themeColor="accent1" w:themeShade="7F"/>
      <w:spacing w:val="5"/>
    </w:rPr>
  </w:style>
  <w:style w:type="character" w:customStyle="1" w:styleId="Heading5Char">
    <w:name w:val="Heading 5 Char"/>
    <w:basedOn w:val="DefaultParagraphFont"/>
    <w:link w:val="Heading5"/>
    <w:uiPriority w:val="9"/>
    <w:rsid w:val="00A52B2B"/>
    <w:rPr>
      <w:caps/>
      <w:color w:val="374C80" w:themeColor="accent1" w:themeShade="BF"/>
      <w:spacing w:val="10"/>
    </w:rPr>
  </w:style>
  <w:style w:type="paragraph" w:styleId="Revision">
    <w:name w:val="Revision"/>
    <w:hidden/>
    <w:uiPriority w:val="99"/>
    <w:semiHidden/>
    <w:rsid w:val="005D290C"/>
    <w:pPr>
      <w:spacing w:after="0" w:line="240" w:lineRule="auto"/>
    </w:pPr>
  </w:style>
  <w:style w:type="paragraph" w:styleId="TOCHeading">
    <w:name w:val="TOC Heading"/>
    <w:basedOn w:val="Heading1"/>
    <w:next w:val="Normal"/>
    <w:uiPriority w:val="39"/>
    <w:unhideWhenUsed/>
    <w:qFormat/>
    <w:rsid w:val="00A52B2B"/>
    <w:pPr>
      <w:outlineLvl w:val="9"/>
    </w:pPr>
  </w:style>
  <w:style w:type="paragraph" w:styleId="TOC1">
    <w:name w:val="toc 1"/>
    <w:basedOn w:val="Normal"/>
    <w:next w:val="Normal"/>
    <w:autoRedefine/>
    <w:uiPriority w:val="39"/>
    <w:unhideWhenUsed/>
    <w:rsid w:val="00157053"/>
    <w:pPr>
      <w:spacing w:after="100"/>
    </w:pPr>
  </w:style>
  <w:style w:type="paragraph" w:styleId="TOC2">
    <w:name w:val="toc 2"/>
    <w:basedOn w:val="Normal"/>
    <w:next w:val="Normal"/>
    <w:autoRedefine/>
    <w:uiPriority w:val="39"/>
    <w:unhideWhenUsed/>
    <w:rsid w:val="00157053"/>
    <w:pPr>
      <w:spacing w:after="100"/>
      <w:ind w:left="220"/>
    </w:pPr>
  </w:style>
  <w:style w:type="paragraph" w:styleId="TOC3">
    <w:name w:val="toc 3"/>
    <w:basedOn w:val="Normal"/>
    <w:next w:val="Normal"/>
    <w:autoRedefine/>
    <w:uiPriority w:val="39"/>
    <w:unhideWhenUsed/>
    <w:rsid w:val="00157053"/>
    <w:pPr>
      <w:spacing w:after="100"/>
      <w:ind w:left="440"/>
    </w:pPr>
    <w:rPr>
      <w:rFonts w:cs="Times New Roman"/>
    </w:rPr>
  </w:style>
  <w:style w:type="character" w:customStyle="1" w:styleId="Heading6Char">
    <w:name w:val="Heading 6 Char"/>
    <w:basedOn w:val="DefaultParagraphFont"/>
    <w:link w:val="Heading6"/>
    <w:uiPriority w:val="9"/>
    <w:semiHidden/>
    <w:rsid w:val="00A52B2B"/>
    <w:rPr>
      <w:caps/>
      <w:color w:val="374C80" w:themeColor="accent1" w:themeShade="BF"/>
      <w:spacing w:val="10"/>
    </w:rPr>
  </w:style>
  <w:style w:type="character" w:customStyle="1" w:styleId="Heading7Char">
    <w:name w:val="Heading 7 Char"/>
    <w:basedOn w:val="DefaultParagraphFont"/>
    <w:link w:val="Heading7"/>
    <w:uiPriority w:val="9"/>
    <w:semiHidden/>
    <w:rsid w:val="00A52B2B"/>
    <w:rPr>
      <w:caps/>
      <w:color w:val="374C80" w:themeColor="accent1" w:themeShade="BF"/>
      <w:spacing w:val="10"/>
    </w:rPr>
  </w:style>
  <w:style w:type="character" w:customStyle="1" w:styleId="Heading8Char">
    <w:name w:val="Heading 8 Char"/>
    <w:basedOn w:val="DefaultParagraphFont"/>
    <w:link w:val="Heading8"/>
    <w:uiPriority w:val="9"/>
    <w:semiHidden/>
    <w:rsid w:val="00A52B2B"/>
    <w:rPr>
      <w:caps/>
      <w:spacing w:val="10"/>
      <w:sz w:val="18"/>
      <w:szCs w:val="18"/>
    </w:rPr>
  </w:style>
  <w:style w:type="character" w:customStyle="1" w:styleId="Heading9Char">
    <w:name w:val="Heading 9 Char"/>
    <w:basedOn w:val="DefaultParagraphFont"/>
    <w:link w:val="Heading9"/>
    <w:uiPriority w:val="9"/>
    <w:semiHidden/>
    <w:rsid w:val="00A52B2B"/>
    <w:rPr>
      <w:i/>
      <w:iCs/>
      <w:caps/>
      <w:spacing w:val="10"/>
      <w:sz w:val="18"/>
      <w:szCs w:val="18"/>
    </w:rPr>
  </w:style>
  <w:style w:type="paragraph" w:styleId="Caption">
    <w:name w:val="caption"/>
    <w:basedOn w:val="Normal"/>
    <w:next w:val="Normal"/>
    <w:uiPriority w:val="35"/>
    <w:semiHidden/>
    <w:unhideWhenUsed/>
    <w:qFormat/>
    <w:rsid w:val="00A52B2B"/>
    <w:rPr>
      <w:b/>
      <w:bCs/>
      <w:color w:val="374C80" w:themeColor="accent1" w:themeShade="BF"/>
      <w:sz w:val="16"/>
      <w:szCs w:val="16"/>
    </w:rPr>
  </w:style>
  <w:style w:type="paragraph" w:styleId="Title">
    <w:name w:val="Title"/>
    <w:basedOn w:val="Normal"/>
    <w:next w:val="Normal"/>
    <w:link w:val="TitleChar"/>
    <w:uiPriority w:val="10"/>
    <w:qFormat/>
    <w:rsid w:val="00A52B2B"/>
    <w:pPr>
      <w:spacing w:before="0" w:after="0"/>
    </w:pPr>
    <w:rPr>
      <w:rFonts w:asciiTheme="majorHAnsi" w:eastAsiaTheme="majorEastAsia" w:hAnsiTheme="majorHAnsi" w:cstheme="majorBidi"/>
      <w:caps/>
      <w:color w:val="4A66AC" w:themeColor="accent1"/>
      <w:spacing w:val="10"/>
      <w:sz w:val="52"/>
      <w:szCs w:val="52"/>
    </w:rPr>
  </w:style>
  <w:style w:type="character" w:customStyle="1" w:styleId="TitleChar">
    <w:name w:val="Title Char"/>
    <w:basedOn w:val="DefaultParagraphFont"/>
    <w:link w:val="Title"/>
    <w:uiPriority w:val="10"/>
    <w:rsid w:val="00A52B2B"/>
    <w:rPr>
      <w:rFonts w:asciiTheme="majorHAnsi" w:eastAsiaTheme="majorEastAsia" w:hAnsiTheme="majorHAnsi" w:cstheme="majorBidi"/>
      <w:caps/>
      <w:color w:val="4A66AC" w:themeColor="accent1"/>
      <w:spacing w:val="10"/>
      <w:sz w:val="52"/>
      <w:szCs w:val="52"/>
    </w:rPr>
  </w:style>
  <w:style w:type="paragraph" w:styleId="Subtitle">
    <w:name w:val="Subtitle"/>
    <w:basedOn w:val="Normal"/>
    <w:next w:val="Normal"/>
    <w:link w:val="SubtitleChar"/>
    <w:uiPriority w:val="11"/>
    <w:qFormat/>
    <w:rsid w:val="00A52B2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A52B2B"/>
    <w:rPr>
      <w:caps/>
      <w:color w:val="595959" w:themeColor="text1" w:themeTint="A6"/>
      <w:spacing w:val="10"/>
      <w:sz w:val="21"/>
      <w:szCs w:val="21"/>
    </w:rPr>
  </w:style>
  <w:style w:type="character" w:styleId="Strong">
    <w:name w:val="Strong"/>
    <w:uiPriority w:val="22"/>
    <w:qFormat/>
    <w:rsid w:val="00A52B2B"/>
    <w:rPr>
      <w:b/>
      <w:bCs/>
    </w:rPr>
  </w:style>
  <w:style w:type="paragraph" w:styleId="Quote">
    <w:name w:val="Quote"/>
    <w:basedOn w:val="Normal"/>
    <w:next w:val="Normal"/>
    <w:link w:val="QuoteChar"/>
    <w:uiPriority w:val="29"/>
    <w:qFormat/>
    <w:rsid w:val="00A52B2B"/>
    <w:rPr>
      <w:i/>
      <w:iCs/>
      <w:sz w:val="24"/>
      <w:szCs w:val="24"/>
    </w:rPr>
  </w:style>
  <w:style w:type="character" w:customStyle="1" w:styleId="QuoteChar">
    <w:name w:val="Quote Char"/>
    <w:basedOn w:val="DefaultParagraphFont"/>
    <w:link w:val="Quote"/>
    <w:uiPriority w:val="29"/>
    <w:rsid w:val="00A52B2B"/>
    <w:rPr>
      <w:i/>
      <w:iCs/>
      <w:sz w:val="24"/>
      <w:szCs w:val="24"/>
    </w:rPr>
  </w:style>
  <w:style w:type="character" w:styleId="SubtleEmphasis">
    <w:name w:val="Subtle Emphasis"/>
    <w:uiPriority w:val="19"/>
    <w:qFormat/>
    <w:rsid w:val="00A52B2B"/>
    <w:rPr>
      <w:i/>
      <w:iCs/>
      <w:color w:val="243255" w:themeColor="accent1" w:themeShade="7F"/>
    </w:rPr>
  </w:style>
  <w:style w:type="character" w:styleId="SubtleReference">
    <w:name w:val="Subtle Reference"/>
    <w:uiPriority w:val="31"/>
    <w:qFormat/>
    <w:rsid w:val="00A52B2B"/>
    <w:rPr>
      <w:b/>
      <w:bCs/>
      <w:color w:val="4A66AC" w:themeColor="accent1"/>
    </w:rPr>
  </w:style>
  <w:style w:type="character" w:styleId="BookTitle">
    <w:name w:val="Book Title"/>
    <w:uiPriority w:val="33"/>
    <w:qFormat/>
    <w:rsid w:val="00A52B2B"/>
    <w:rPr>
      <w:b/>
      <w:bCs/>
      <w:i/>
      <w:iC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13520">
      <w:bodyDiv w:val="1"/>
      <w:marLeft w:val="0"/>
      <w:marRight w:val="0"/>
      <w:marTop w:val="0"/>
      <w:marBottom w:val="0"/>
      <w:divBdr>
        <w:top w:val="none" w:sz="0" w:space="0" w:color="auto"/>
        <w:left w:val="none" w:sz="0" w:space="0" w:color="auto"/>
        <w:bottom w:val="none" w:sz="0" w:space="0" w:color="auto"/>
        <w:right w:val="none" w:sz="0" w:space="0" w:color="auto"/>
      </w:divBdr>
      <w:divsChild>
        <w:div w:id="275601717">
          <w:marLeft w:val="0"/>
          <w:marRight w:val="0"/>
          <w:marTop w:val="0"/>
          <w:marBottom w:val="0"/>
          <w:divBdr>
            <w:top w:val="none" w:sz="0" w:space="0" w:color="auto"/>
            <w:left w:val="none" w:sz="0" w:space="0" w:color="auto"/>
            <w:bottom w:val="none" w:sz="0" w:space="0" w:color="auto"/>
            <w:right w:val="none" w:sz="0" w:space="0" w:color="auto"/>
          </w:divBdr>
          <w:divsChild>
            <w:div w:id="1503351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4579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80958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5338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89174153">
      <w:bodyDiv w:val="1"/>
      <w:marLeft w:val="0"/>
      <w:marRight w:val="0"/>
      <w:marTop w:val="0"/>
      <w:marBottom w:val="0"/>
      <w:divBdr>
        <w:top w:val="none" w:sz="0" w:space="0" w:color="auto"/>
        <w:left w:val="none" w:sz="0" w:space="0" w:color="auto"/>
        <w:bottom w:val="none" w:sz="0" w:space="0" w:color="auto"/>
        <w:right w:val="none" w:sz="0" w:space="0" w:color="auto"/>
      </w:divBdr>
    </w:div>
    <w:div w:id="1152990231">
      <w:bodyDiv w:val="1"/>
      <w:marLeft w:val="0"/>
      <w:marRight w:val="0"/>
      <w:marTop w:val="0"/>
      <w:marBottom w:val="0"/>
      <w:divBdr>
        <w:top w:val="none" w:sz="0" w:space="0" w:color="auto"/>
        <w:left w:val="none" w:sz="0" w:space="0" w:color="auto"/>
        <w:bottom w:val="none" w:sz="0" w:space="0" w:color="auto"/>
        <w:right w:val="none" w:sz="0" w:space="0" w:color="auto"/>
      </w:divBdr>
    </w:div>
    <w:div w:id="1293634311">
      <w:bodyDiv w:val="1"/>
      <w:marLeft w:val="0"/>
      <w:marRight w:val="0"/>
      <w:marTop w:val="0"/>
      <w:marBottom w:val="0"/>
      <w:divBdr>
        <w:top w:val="none" w:sz="0" w:space="0" w:color="auto"/>
        <w:left w:val="none" w:sz="0" w:space="0" w:color="auto"/>
        <w:bottom w:val="none" w:sz="0" w:space="0" w:color="auto"/>
        <w:right w:val="none" w:sz="0" w:space="0" w:color="auto"/>
      </w:divBdr>
    </w:div>
    <w:div w:id="1339966047">
      <w:bodyDiv w:val="1"/>
      <w:marLeft w:val="0"/>
      <w:marRight w:val="0"/>
      <w:marTop w:val="0"/>
      <w:marBottom w:val="0"/>
      <w:divBdr>
        <w:top w:val="none" w:sz="0" w:space="0" w:color="auto"/>
        <w:left w:val="none" w:sz="0" w:space="0" w:color="auto"/>
        <w:bottom w:val="none" w:sz="0" w:space="0" w:color="auto"/>
        <w:right w:val="none" w:sz="0" w:space="0" w:color="auto"/>
      </w:divBdr>
    </w:div>
    <w:div w:id="1720976551">
      <w:bodyDiv w:val="1"/>
      <w:marLeft w:val="0"/>
      <w:marRight w:val="0"/>
      <w:marTop w:val="0"/>
      <w:marBottom w:val="0"/>
      <w:divBdr>
        <w:top w:val="none" w:sz="0" w:space="0" w:color="auto"/>
        <w:left w:val="none" w:sz="0" w:space="0" w:color="auto"/>
        <w:bottom w:val="none" w:sz="0" w:space="0" w:color="auto"/>
        <w:right w:val="none" w:sz="0" w:space="0" w:color="auto"/>
      </w:divBdr>
      <w:divsChild>
        <w:div w:id="1156844544">
          <w:marLeft w:val="0"/>
          <w:marRight w:val="0"/>
          <w:marTop w:val="0"/>
          <w:marBottom w:val="0"/>
          <w:divBdr>
            <w:top w:val="none" w:sz="0" w:space="0" w:color="auto"/>
            <w:left w:val="none" w:sz="0" w:space="0" w:color="auto"/>
            <w:bottom w:val="none" w:sz="0" w:space="0" w:color="auto"/>
            <w:right w:val="none" w:sz="0" w:space="0" w:color="auto"/>
          </w:divBdr>
          <w:divsChild>
            <w:div w:id="978656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6516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4169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6077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6D98AF-2BB7-45D9-8A93-0D9B460AFD03}">
  <ds:schemaRefs>
    <ds:schemaRef ds:uri="http://schemas.openxmlformats.org/officeDocument/2006/bibliography"/>
  </ds:schemaRefs>
</ds:datastoreItem>
</file>

<file path=customXml/itemProps2.xml><?xml version="1.0" encoding="utf-8"?>
<ds:datastoreItem xmlns:ds="http://schemas.openxmlformats.org/officeDocument/2006/customXml" ds:itemID="{269514FD-586B-4A9B-859A-32DB81CBF769}"/>
</file>

<file path=customXml/itemProps3.xml><?xml version="1.0" encoding="utf-8"?>
<ds:datastoreItem xmlns:ds="http://schemas.openxmlformats.org/officeDocument/2006/customXml" ds:itemID="{8F8BCA90-F50E-43AD-8EA7-10665B341AD9}"/>
</file>

<file path=customXml/itemProps4.xml><?xml version="1.0" encoding="utf-8"?>
<ds:datastoreItem xmlns:ds="http://schemas.openxmlformats.org/officeDocument/2006/customXml" ds:itemID="{9932873A-5E09-4FA7-BD9E-40F0D78DF92C}"/>
</file>

<file path=docProps/app.xml><?xml version="1.0" encoding="utf-8"?>
<Properties xmlns="http://schemas.openxmlformats.org/officeDocument/2006/extended-properties" xmlns:vt="http://schemas.openxmlformats.org/officeDocument/2006/docPropsVTypes">
  <Template>Normal.dotm</Template>
  <TotalTime>1</TotalTime>
  <Pages>5</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6762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Bresnahan</dc:creator>
  <cp:keywords/>
  <dc:description/>
  <cp:lastModifiedBy>Erin Bresnahan</cp:lastModifiedBy>
  <cp:revision>2</cp:revision>
  <cp:lastPrinted>2020-01-03T22:52:00Z</cp:lastPrinted>
  <dcterms:created xsi:type="dcterms:W3CDTF">2021-04-12T15:21:00Z</dcterms:created>
  <dcterms:modified xsi:type="dcterms:W3CDTF">2021-04-12T15:21:00Z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