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6A39" w:rsidRDefault="000B6A39" w:rsidP="000B6A39">
      <w:pPr>
        <w:spacing w:after="0" w:line="276" w:lineRule="auto"/>
        <w:jc w:val="center"/>
        <w:rPr>
          <w:rFonts w:ascii="Times New Roman" w:eastAsia="SimSun" w:hAnsi="Times New Roman" w:cs="Times New Roman"/>
          <w:b/>
          <w:caps/>
          <w:spacing w:val="10"/>
          <w:sz w:val="28"/>
          <w:szCs w:val="28"/>
        </w:rPr>
      </w:pPr>
      <w:bookmarkStart w:id="0" w:name="_GoBack"/>
      <w:bookmarkEnd w:id="0"/>
      <w:r w:rsidRPr="000B6A39">
        <w:rPr>
          <w:rFonts w:ascii="Times New Roman" w:eastAsia="SimSun" w:hAnsi="Times New Roman" w:cs="Times New Roman"/>
          <w:b/>
          <w:caps/>
          <w:spacing w:val="10"/>
          <w:sz w:val="28"/>
          <w:szCs w:val="28"/>
        </w:rPr>
        <w:t>Medical Whistleblower advocacy Network</w:t>
      </w:r>
    </w:p>
    <w:p w:rsidR="00E65B4B" w:rsidRPr="000B6A39" w:rsidRDefault="00E65B4B" w:rsidP="000B6A39">
      <w:pPr>
        <w:spacing w:after="0" w:line="276" w:lineRule="auto"/>
        <w:jc w:val="center"/>
        <w:rPr>
          <w:rFonts w:ascii="Times New Roman" w:eastAsia="SimSun" w:hAnsi="Times New Roman" w:cs="Times New Roman"/>
          <w:b/>
          <w:caps/>
          <w:spacing w:val="10"/>
          <w:sz w:val="28"/>
          <w:szCs w:val="28"/>
        </w:rPr>
      </w:pPr>
    </w:p>
    <w:p w:rsidR="00E65B4B" w:rsidRPr="00E65B4B" w:rsidRDefault="00E65B4B" w:rsidP="00D02732">
      <w:pPr>
        <w:jc w:val="center"/>
        <w:rPr>
          <w:rStyle w:val="hps"/>
          <w:b/>
          <w:sz w:val="36"/>
          <w:szCs w:val="36"/>
          <w:lang w:val="fr-FR"/>
        </w:rPr>
      </w:pPr>
      <w:proofErr w:type="spellStart"/>
      <w:r w:rsidRPr="00E65B4B">
        <w:rPr>
          <w:rStyle w:val="hps"/>
          <w:b/>
          <w:sz w:val="36"/>
          <w:szCs w:val="36"/>
          <w:lang w:val="fr-FR"/>
        </w:rPr>
        <w:t>Voiceless</w:t>
      </w:r>
      <w:proofErr w:type="spellEnd"/>
      <w:r w:rsidRPr="00E65B4B">
        <w:rPr>
          <w:rStyle w:val="hps"/>
          <w:b/>
          <w:sz w:val="36"/>
          <w:szCs w:val="36"/>
          <w:lang w:val="fr-FR"/>
        </w:rPr>
        <w:t xml:space="preserve"> </w:t>
      </w:r>
      <w:proofErr w:type="spellStart"/>
      <w:r w:rsidRPr="00E65B4B">
        <w:rPr>
          <w:rStyle w:val="hps"/>
          <w:b/>
          <w:sz w:val="36"/>
          <w:szCs w:val="36"/>
          <w:lang w:val="fr-FR"/>
        </w:rPr>
        <w:t>Victims</w:t>
      </w:r>
      <w:proofErr w:type="spellEnd"/>
      <w:r w:rsidRPr="00E65B4B">
        <w:rPr>
          <w:rStyle w:val="hps"/>
          <w:b/>
          <w:sz w:val="36"/>
          <w:szCs w:val="36"/>
          <w:lang w:val="fr-FR"/>
        </w:rPr>
        <w:t xml:space="preserve">: </w:t>
      </w:r>
      <w:proofErr w:type="spellStart"/>
      <w:r w:rsidRPr="00E65B4B">
        <w:rPr>
          <w:rStyle w:val="hps"/>
          <w:b/>
          <w:sz w:val="36"/>
          <w:szCs w:val="36"/>
          <w:lang w:val="fr-FR"/>
        </w:rPr>
        <w:t>Wards</w:t>
      </w:r>
      <w:proofErr w:type="spellEnd"/>
      <w:r w:rsidRPr="00E65B4B">
        <w:rPr>
          <w:rStyle w:val="hps"/>
          <w:b/>
          <w:sz w:val="36"/>
          <w:szCs w:val="36"/>
          <w:lang w:val="fr-FR"/>
        </w:rPr>
        <w:t xml:space="preserve"> of the Court</w:t>
      </w:r>
    </w:p>
    <w:p w:rsidR="000B6A39" w:rsidRDefault="006D01B5" w:rsidP="00D02732">
      <w:pPr>
        <w:jc w:val="center"/>
        <w:rPr>
          <w:rStyle w:val="hps"/>
          <w:b/>
          <w:sz w:val="32"/>
          <w:szCs w:val="32"/>
          <w:lang w:val="fr-FR"/>
        </w:rPr>
      </w:pPr>
      <w:r>
        <w:rPr>
          <w:rStyle w:val="hps"/>
          <w:b/>
          <w:sz w:val="32"/>
          <w:szCs w:val="32"/>
          <w:lang w:val="fr-FR"/>
        </w:rPr>
        <w:t>3/26/15</w:t>
      </w:r>
    </w:p>
    <w:p w:rsidR="00E65B4B" w:rsidRDefault="00E65B4B" w:rsidP="00D02732">
      <w:pPr>
        <w:jc w:val="center"/>
        <w:rPr>
          <w:rStyle w:val="hps"/>
          <w:b/>
          <w:sz w:val="32"/>
          <w:szCs w:val="32"/>
          <w:lang w:val="fr-FR"/>
        </w:rPr>
      </w:pPr>
    </w:p>
    <w:p w:rsidR="00807104" w:rsidRPr="00D02732" w:rsidRDefault="00B23A5F" w:rsidP="00D02732">
      <w:pPr>
        <w:jc w:val="center"/>
        <w:rPr>
          <w:rStyle w:val="hps"/>
          <w:b/>
          <w:sz w:val="32"/>
          <w:szCs w:val="32"/>
          <w:lang w:val="fr-FR"/>
        </w:rPr>
      </w:pPr>
      <w:r w:rsidRPr="00D02732">
        <w:rPr>
          <w:rStyle w:val="hps"/>
          <w:b/>
          <w:sz w:val="32"/>
          <w:szCs w:val="32"/>
          <w:lang w:val="fr-FR"/>
        </w:rPr>
        <w:t>Sourdes</w:t>
      </w:r>
      <w:r w:rsidRPr="00D02732">
        <w:rPr>
          <w:b/>
          <w:sz w:val="32"/>
          <w:szCs w:val="32"/>
          <w:lang w:val="fr-FR"/>
        </w:rPr>
        <w:t xml:space="preserve"> </w:t>
      </w:r>
      <w:r w:rsidRPr="00D02732">
        <w:rPr>
          <w:rStyle w:val="hps"/>
          <w:b/>
          <w:sz w:val="32"/>
          <w:szCs w:val="32"/>
          <w:lang w:val="fr-FR"/>
        </w:rPr>
        <w:t>victimes</w:t>
      </w:r>
      <w:r w:rsidRPr="00D02732">
        <w:rPr>
          <w:b/>
          <w:sz w:val="32"/>
          <w:szCs w:val="32"/>
          <w:lang w:val="fr-FR"/>
        </w:rPr>
        <w:t xml:space="preserve">: </w:t>
      </w:r>
      <w:r w:rsidRPr="00D02732">
        <w:rPr>
          <w:rStyle w:val="hps"/>
          <w:b/>
          <w:sz w:val="32"/>
          <w:szCs w:val="32"/>
          <w:lang w:val="fr-FR"/>
        </w:rPr>
        <w:t>Pupilles de</w:t>
      </w:r>
      <w:r w:rsidRPr="00D02732">
        <w:rPr>
          <w:b/>
          <w:sz w:val="32"/>
          <w:szCs w:val="32"/>
          <w:lang w:val="fr-FR"/>
        </w:rPr>
        <w:t xml:space="preserve"> </w:t>
      </w:r>
      <w:r w:rsidRPr="00D02732">
        <w:rPr>
          <w:rStyle w:val="hps"/>
          <w:b/>
          <w:sz w:val="32"/>
          <w:szCs w:val="32"/>
          <w:lang w:val="fr-FR"/>
        </w:rPr>
        <w:t>la Cour</w:t>
      </w:r>
      <w:r w:rsidRPr="00D02732">
        <w:rPr>
          <w:b/>
          <w:sz w:val="32"/>
          <w:szCs w:val="32"/>
          <w:lang w:val="fr-FR"/>
        </w:rPr>
        <w:br/>
      </w:r>
      <w:r w:rsidRPr="00D02732">
        <w:rPr>
          <w:rStyle w:val="hps"/>
          <w:b/>
          <w:sz w:val="32"/>
          <w:szCs w:val="32"/>
          <w:lang w:val="fr-FR"/>
        </w:rPr>
        <w:t>résumé</w:t>
      </w:r>
      <w:r w:rsidRPr="00D02732">
        <w:rPr>
          <w:b/>
          <w:sz w:val="32"/>
          <w:szCs w:val="32"/>
          <w:lang w:val="fr-FR"/>
        </w:rPr>
        <w:br/>
      </w:r>
      <w:r w:rsidRPr="00D02732">
        <w:rPr>
          <w:b/>
          <w:sz w:val="32"/>
          <w:szCs w:val="32"/>
          <w:lang w:val="fr-FR"/>
        </w:rPr>
        <w:br/>
      </w:r>
      <w:r w:rsidRPr="00D02732">
        <w:rPr>
          <w:rStyle w:val="hps"/>
          <w:b/>
          <w:sz w:val="32"/>
          <w:szCs w:val="32"/>
          <w:lang w:val="fr-FR"/>
        </w:rPr>
        <w:t>Comité des droits de l'Homme</w:t>
      </w:r>
      <w:r w:rsidRPr="00D02732">
        <w:rPr>
          <w:b/>
          <w:sz w:val="32"/>
          <w:szCs w:val="32"/>
          <w:lang w:val="fr-FR"/>
        </w:rPr>
        <w:br/>
      </w:r>
      <w:r w:rsidRPr="00D02732">
        <w:rPr>
          <w:b/>
          <w:sz w:val="32"/>
          <w:szCs w:val="32"/>
          <w:lang w:val="fr-FR"/>
        </w:rPr>
        <w:br/>
      </w:r>
      <w:r w:rsidRPr="00D02732">
        <w:rPr>
          <w:rStyle w:val="hps"/>
          <w:b/>
          <w:sz w:val="32"/>
          <w:szCs w:val="32"/>
          <w:lang w:val="fr-FR"/>
        </w:rPr>
        <w:t>En ce qui concerne</w:t>
      </w:r>
      <w:r w:rsidRPr="00D02732">
        <w:rPr>
          <w:b/>
          <w:sz w:val="32"/>
          <w:szCs w:val="32"/>
          <w:lang w:val="fr-FR"/>
        </w:rPr>
        <w:t xml:space="preserve"> </w:t>
      </w:r>
      <w:r w:rsidRPr="00D02732">
        <w:rPr>
          <w:rStyle w:val="hps"/>
          <w:b/>
          <w:sz w:val="32"/>
          <w:szCs w:val="32"/>
          <w:lang w:val="fr-FR"/>
        </w:rPr>
        <w:t>la mise en œuvre</w:t>
      </w:r>
      <w:r w:rsidRPr="00D02732">
        <w:rPr>
          <w:b/>
          <w:sz w:val="32"/>
          <w:szCs w:val="32"/>
          <w:lang w:val="fr-FR"/>
        </w:rPr>
        <w:t xml:space="preserve"> </w:t>
      </w:r>
      <w:r w:rsidRPr="00D02732">
        <w:rPr>
          <w:rStyle w:val="hps"/>
          <w:b/>
          <w:sz w:val="32"/>
          <w:szCs w:val="32"/>
          <w:lang w:val="fr-FR"/>
        </w:rPr>
        <w:t>des obligations</w:t>
      </w:r>
      <w:r w:rsidRPr="00D02732">
        <w:rPr>
          <w:b/>
          <w:sz w:val="32"/>
          <w:szCs w:val="32"/>
          <w:lang w:val="fr-FR"/>
        </w:rPr>
        <w:t xml:space="preserve"> </w:t>
      </w:r>
      <w:r w:rsidRPr="00D02732">
        <w:rPr>
          <w:rStyle w:val="hps"/>
          <w:b/>
          <w:sz w:val="32"/>
          <w:szCs w:val="32"/>
          <w:lang w:val="fr-FR"/>
        </w:rPr>
        <w:t>de</w:t>
      </w:r>
      <w:r w:rsidRPr="00D02732">
        <w:rPr>
          <w:b/>
          <w:sz w:val="32"/>
          <w:szCs w:val="32"/>
          <w:lang w:val="fr-FR"/>
        </w:rPr>
        <w:br/>
      </w:r>
      <w:r w:rsidRPr="00D02732">
        <w:rPr>
          <w:b/>
          <w:sz w:val="32"/>
          <w:szCs w:val="32"/>
          <w:lang w:val="fr-FR"/>
        </w:rPr>
        <w:br/>
      </w:r>
      <w:r w:rsidRPr="00D02732">
        <w:rPr>
          <w:rStyle w:val="hps"/>
          <w:b/>
          <w:sz w:val="32"/>
          <w:szCs w:val="32"/>
          <w:lang w:val="fr-FR"/>
        </w:rPr>
        <w:t>Les Etats-Unis</w:t>
      </w:r>
      <w:r w:rsidRPr="00D02732">
        <w:rPr>
          <w:b/>
          <w:sz w:val="32"/>
          <w:szCs w:val="32"/>
          <w:lang w:val="fr-FR"/>
        </w:rPr>
        <w:t xml:space="preserve"> </w:t>
      </w:r>
      <w:r w:rsidRPr="00D02732">
        <w:rPr>
          <w:rStyle w:val="hps"/>
          <w:b/>
          <w:sz w:val="32"/>
          <w:szCs w:val="32"/>
          <w:lang w:val="fr-FR"/>
        </w:rPr>
        <w:t>d'Amérique</w:t>
      </w:r>
      <w:r w:rsidRPr="00D02732">
        <w:rPr>
          <w:b/>
          <w:sz w:val="32"/>
          <w:szCs w:val="32"/>
          <w:lang w:val="fr-FR"/>
        </w:rPr>
        <w:br/>
      </w:r>
      <w:r w:rsidRPr="00D02732">
        <w:rPr>
          <w:b/>
          <w:sz w:val="32"/>
          <w:szCs w:val="32"/>
          <w:lang w:val="fr-FR"/>
        </w:rPr>
        <w:br/>
      </w:r>
      <w:r w:rsidRPr="00D02732">
        <w:rPr>
          <w:rStyle w:val="hps"/>
          <w:b/>
          <w:sz w:val="32"/>
          <w:szCs w:val="32"/>
          <w:lang w:val="fr-FR"/>
        </w:rPr>
        <w:t>Relatif à</w:t>
      </w:r>
      <w:r w:rsidRPr="00D02732">
        <w:rPr>
          <w:b/>
          <w:sz w:val="32"/>
          <w:szCs w:val="32"/>
          <w:lang w:val="fr-FR"/>
        </w:rPr>
        <w:t xml:space="preserve"> </w:t>
      </w:r>
      <w:r w:rsidRPr="00D02732">
        <w:rPr>
          <w:rStyle w:val="hps"/>
          <w:b/>
          <w:sz w:val="32"/>
          <w:szCs w:val="32"/>
          <w:lang w:val="fr-FR"/>
        </w:rPr>
        <w:t>la</w:t>
      </w:r>
      <w:r w:rsidRPr="00D02732">
        <w:rPr>
          <w:b/>
          <w:sz w:val="32"/>
          <w:szCs w:val="32"/>
          <w:lang w:val="fr-FR"/>
        </w:rPr>
        <w:br/>
      </w:r>
      <w:r w:rsidRPr="00D02732">
        <w:rPr>
          <w:b/>
          <w:sz w:val="32"/>
          <w:szCs w:val="32"/>
          <w:lang w:val="fr-FR"/>
        </w:rPr>
        <w:br/>
      </w:r>
      <w:r w:rsidRPr="00D02732">
        <w:rPr>
          <w:rStyle w:val="hps"/>
          <w:b/>
          <w:sz w:val="32"/>
          <w:szCs w:val="32"/>
          <w:lang w:val="fr-FR"/>
        </w:rPr>
        <w:t>Pacte</w:t>
      </w:r>
      <w:r w:rsidRPr="00D02732">
        <w:rPr>
          <w:b/>
          <w:sz w:val="32"/>
          <w:szCs w:val="32"/>
          <w:lang w:val="fr-FR"/>
        </w:rPr>
        <w:t xml:space="preserve"> </w:t>
      </w:r>
      <w:r w:rsidRPr="00D02732">
        <w:rPr>
          <w:rStyle w:val="hps"/>
          <w:b/>
          <w:sz w:val="32"/>
          <w:szCs w:val="32"/>
          <w:lang w:val="fr-FR"/>
        </w:rPr>
        <w:t>international relatif aux droits</w:t>
      </w:r>
      <w:r w:rsidRPr="00D02732">
        <w:rPr>
          <w:b/>
          <w:sz w:val="32"/>
          <w:szCs w:val="32"/>
          <w:lang w:val="fr-FR"/>
        </w:rPr>
        <w:t xml:space="preserve"> </w:t>
      </w:r>
      <w:r w:rsidRPr="00D02732">
        <w:rPr>
          <w:rStyle w:val="hps"/>
          <w:b/>
          <w:sz w:val="32"/>
          <w:szCs w:val="32"/>
          <w:lang w:val="fr-FR"/>
        </w:rPr>
        <w:t>civils et politiques</w:t>
      </w:r>
    </w:p>
    <w:p w:rsidR="00B23A5F" w:rsidRPr="00B23A5F" w:rsidRDefault="00B23A5F" w:rsidP="00B23A5F">
      <w:pPr>
        <w:spacing w:after="0" w:line="240" w:lineRule="auto"/>
        <w:rPr>
          <w:rFonts w:ascii="Times New Roman" w:eastAsia="Times New Roman" w:hAnsi="Times New Roman" w:cs="Times New Roman"/>
          <w:sz w:val="24"/>
          <w:szCs w:val="24"/>
        </w:rPr>
      </w:pPr>
    </w:p>
    <w:p w:rsidR="00D82FD0" w:rsidRPr="00E65B4B" w:rsidRDefault="00B23A5F" w:rsidP="00D82FD0">
      <w:pPr>
        <w:spacing w:after="0" w:line="240" w:lineRule="auto"/>
        <w:rPr>
          <w:rFonts w:ascii="Times New Roman" w:eastAsia="Times New Roman" w:hAnsi="Times New Roman" w:cs="Times New Roman"/>
          <w:sz w:val="24"/>
          <w:szCs w:val="24"/>
          <w:lang w:val="fr-FR"/>
        </w:rPr>
      </w:pPr>
      <w:r w:rsidRPr="00B23A5F">
        <w:rPr>
          <w:rFonts w:ascii="Times New Roman" w:eastAsia="Times New Roman" w:hAnsi="Times New Roman" w:cs="Times New Roman"/>
          <w:sz w:val="24"/>
          <w:szCs w:val="24"/>
          <w:lang w:val="fr-FR"/>
        </w:rPr>
        <w:t xml:space="preserve">Depuis le 26 Mars 2014, il </w:t>
      </w:r>
      <w:proofErr w:type="spellStart"/>
      <w:r w:rsidRPr="00B23A5F">
        <w:rPr>
          <w:rFonts w:ascii="Times New Roman" w:eastAsia="Times New Roman" w:hAnsi="Times New Roman" w:cs="Times New Roman"/>
          <w:sz w:val="24"/>
          <w:szCs w:val="24"/>
          <w:lang w:val="fr-FR"/>
        </w:rPr>
        <w:t>ya</w:t>
      </w:r>
      <w:proofErr w:type="spellEnd"/>
      <w:r w:rsidRPr="00B23A5F">
        <w:rPr>
          <w:rFonts w:ascii="Times New Roman" w:eastAsia="Times New Roman" w:hAnsi="Times New Roman" w:cs="Times New Roman"/>
          <w:sz w:val="24"/>
          <w:szCs w:val="24"/>
          <w:lang w:val="fr-FR"/>
        </w:rPr>
        <w:t xml:space="preserve"> eu peu d'action qui a effectivement changé la situation pour ceux qui ont été maltraités comme des pupilles de la cour. Les malades mentaux et les personnes ayant un handicap mental sont très vulnérables aux abus et de mauvais traitements. Un suivi efficace des plaintes de torture, de traitement inhumain et d'abus est nécessaire pour assurer la reddition de comptes, mais il n'y a pas un suivi efficace des cas de tutelle et le traitement des pupilles de la cour. Mécanismes nationaux de responsabilité et de réparation, doivent être accessible, transparent et efficace, mais aux Etats-Unis le système judiciaire ne sait même pas exactement combien de personnes sont actuellement pupilles de la cour et à la tutelle. Pupilles de la cour sont clairement les personnes en détention qui ont été privés de liberté par l'action de l'Etat.</w:t>
      </w:r>
      <w:r w:rsidRPr="00B23A5F">
        <w:rPr>
          <w:rFonts w:ascii="Times New Roman" w:eastAsia="Times New Roman" w:hAnsi="Times New Roman" w:cs="Times New Roman"/>
          <w:sz w:val="24"/>
          <w:szCs w:val="24"/>
          <w:lang w:val="fr-FR"/>
        </w:rPr>
        <w:br/>
      </w:r>
      <w:r w:rsidRPr="00B23A5F">
        <w:rPr>
          <w:rFonts w:ascii="Times New Roman" w:eastAsia="Times New Roman" w:hAnsi="Times New Roman" w:cs="Times New Roman"/>
          <w:sz w:val="24"/>
          <w:szCs w:val="24"/>
          <w:lang w:val="fr-FR"/>
        </w:rPr>
        <w:br/>
        <w:t xml:space="preserve">Il reste peu d'information précise de qui est en tutelle et la qualité et la nature de leurs soins médicaux. Il </w:t>
      </w:r>
      <w:proofErr w:type="spellStart"/>
      <w:r w:rsidRPr="00B23A5F">
        <w:rPr>
          <w:rFonts w:ascii="Times New Roman" w:eastAsia="Times New Roman" w:hAnsi="Times New Roman" w:cs="Times New Roman"/>
          <w:sz w:val="24"/>
          <w:szCs w:val="24"/>
          <w:lang w:val="fr-FR"/>
        </w:rPr>
        <w:t>ya</w:t>
      </w:r>
      <w:proofErr w:type="spellEnd"/>
      <w:r w:rsidRPr="00B23A5F">
        <w:rPr>
          <w:rFonts w:ascii="Times New Roman" w:eastAsia="Times New Roman" w:hAnsi="Times New Roman" w:cs="Times New Roman"/>
          <w:sz w:val="24"/>
          <w:szCs w:val="24"/>
          <w:lang w:val="fr-FR"/>
        </w:rPr>
        <w:t xml:space="preserve"> environ 1,5 millions de cas de tutelle des adultes en suspens actifs aux États-Unis, selon le Centre national des tribunaux d'État 2011 RAPPORT adultes Tutelles: "la meilleure estimation" Estimation nationale et la dynamique de réforme. Cependant de nombreux rapports ont montré que de nombreux bureaux administratifs des tribunaux de l'Etat </w:t>
      </w:r>
      <w:proofErr w:type="gramStart"/>
      <w:r w:rsidRPr="00B23A5F">
        <w:rPr>
          <w:rFonts w:ascii="Times New Roman" w:eastAsia="Times New Roman" w:hAnsi="Times New Roman" w:cs="Times New Roman"/>
          <w:sz w:val="24"/>
          <w:szCs w:val="24"/>
          <w:lang w:val="fr-FR"/>
        </w:rPr>
        <w:t>ne ont</w:t>
      </w:r>
      <w:proofErr w:type="gramEnd"/>
      <w:r w:rsidRPr="00B23A5F">
        <w:rPr>
          <w:rFonts w:ascii="Times New Roman" w:eastAsia="Times New Roman" w:hAnsi="Times New Roman" w:cs="Times New Roman"/>
          <w:sz w:val="24"/>
          <w:szCs w:val="24"/>
          <w:lang w:val="fr-FR"/>
        </w:rPr>
        <w:t xml:space="preserve"> pas reçu une information complète sur la tutelle des tribunaux de première instance. Certains états ne peuvent pas distinguer entre les tutelles accordées aux enfants, jeunes adultes incapables et des </w:t>
      </w:r>
      <w:r w:rsidRPr="00B23A5F">
        <w:rPr>
          <w:rFonts w:ascii="Times New Roman" w:eastAsia="Times New Roman" w:hAnsi="Times New Roman" w:cs="Times New Roman"/>
          <w:sz w:val="24"/>
          <w:szCs w:val="24"/>
          <w:lang w:val="fr-FR"/>
        </w:rPr>
        <w:lastRenderedPageBreak/>
        <w:t>anciens. Il y avait de grandes difficultés de suivi nombre de cas, que ces cas peuvent rester ouverts pendant des années et parfois des décennies.</w:t>
      </w:r>
      <w:r w:rsidRPr="00B23A5F">
        <w:rPr>
          <w:rFonts w:ascii="Times New Roman" w:eastAsia="Times New Roman" w:hAnsi="Times New Roman" w:cs="Times New Roman"/>
          <w:sz w:val="24"/>
          <w:szCs w:val="24"/>
          <w:lang w:val="fr-FR"/>
        </w:rPr>
        <w:br/>
      </w:r>
      <w:r w:rsidRPr="00B23A5F">
        <w:rPr>
          <w:rFonts w:ascii="Times New Roman" w:eastAsia="Times New Roman" w:hAnsi="Times New Roman" w:cs="Times New Roman"/>
          <w:sz w:val="24"/>
          <w:szCs w:val="24"/>
          <w:lang w:val="fr-FR"/>
        </w:rPr>
        <w:br/>
      </w:r>
      <w:proofErr w:type="spellStart"/>
      <w:r w:rsidR="009D7A1D">
        <w:rPr>
          <w:rFonts w:ascii="Times New Roman" w:eastAsia="Times New Roman" w:hAnsi="Times New Roman" w:cs="Times New Roman"/>
          <w:sz w:val="24"/>
          <w:szCs w:val="24"/>
          <w:lang w:val="fr-FR"/>
        </w:rPr>
        <w:t>Medical</w:t>
      </w:r>
      <w:proofErr w:type="spellEnd"/>
      <w:r w:rsidR="009D7A1D">
        <w:rPr>
          <w:rFonts w:ascii="Times New Roman" w:eastAsia="Times New Roman" w:hAnsi="Times New Roman" w:cs="Times New Roman"/>
          <w:sz w:val="24"/>
          <w:szCs w:val="24"/>
          <w:lang w:val="fr-FR"/>
        </w:rPr>
        <w:t xml:space="preserve"> </w:t>
      </w:r>
      <w:proofErr w:type="spellStart"/>
      <w:r w:rsidR="009D7A1D">
        <w:rPr>
          <w:rFonts w:ascii="Times New Roman" w:eastAsia="Times New Roman" w:hAnsi="Times New Roman" w:cs="Times New Roman"/>
          <w:sz w:val="24"/>
          <w:szCs w:val="24"/>
          <w:lang w:val="fr-FR"/>
        </w:rPr>
        <w:t>Whistleblower</w:t>
      </w:r>
      <w:proofErr w:type="spellEnd"/>
      <w:r w:rsidR="009D7A1D">
        <w:rPr>
          <w:rFonts w:ascii="Times New Roman" w:eastAsia="Times New Roman" w:hAnsi="Times New Roman" w:cs="Times New Roman"/>
          <w:sz w:val="24"/>
          <w:szCs w:val="24"/>
          <w:lang w:val="fr-FR"/>
        </w:rPr>
        <w:t xml:space="preserve"> </w:t>
      </w:r>
      <w:proofErr w:type="spellStart"/>
      <w:r w:rsidRPr="00B23A5F">
        <w:rPr>
          <w:rFonts w:ascii="Times New Roman" w:eastAsia="Times New Roman" w:hAnsi="Times New Roman" w:cs="Times New Roman"/>
          <w:sz w:val="24"/>
          <w:szCs w:val="24"/>
          <w:lang w:val="fr-FR"/>
        </w:rPr>
        <w:t>Advocacy</w:t>
      </w:r>
      <w:proofErr w:type="spellEnd"/>
      <w:r w:rsidRPr="00B23A5F">
        <w:rPr>
          <w:rFonts w:ascii="Times New Roman" w:eastAsia="Times New Roman" w:hAnsi="Times New Roman" w:cs="Times New Roman"/>
          <w:sz w:val="24"/>
          <w:szCs w:val="24"/>
          <w:lang w:val="fr-FR"/>
        </w:rPr>
        <w:t xml:space="preserve"> Network (MWAN) souligne que les décideurs substitués, les "fournisseurs qualifiés de soins de santé," ne sont pas choisis par le patient, mais plutôt attribué au patient par des personnes en position de pouvoir et d'autorité. Les médecins traitent parfois les personnes handicapées comme des objets de traitement plutôt que les détenteurs de droits et ne cherchent pas toujours leur consentement libre et éclairé quand il </w:t>
      </w:r>
      <w:proofErr w:type="gramStart"/>
      <w:r w:rsidRPr="00B23A5F">
        <w:rPr>
          <w:rFonts w:ascii="Times New Roman" w:eastAsia="Times New Roman" w:hAnsi="Times New Roman" w:cs="Times New Roman"/>
          <w:sz w:val="24"/>
          <w:szCs w:val="24"/>
          <w:lang w:val="fr-FR"/>
        </w:rPr>
        <w:t>se agit</w:t>
      </w:r>
      <w:proofErr w:type="gramEnd"/>
      <w:r w:rsidRPr="00B23A5F">
        <w:rPr>
          <w:rFonts w:ascii="Times New Roman" w:eastAsia="Times New Roman" w:hAnsi="Times New Roman" w:cs="Times New Roman"/>
          <w:sz w:val="24"/>
          <w:szCs w:val="24"/>
          <w:lang w:val="fr-FR"/>
        </w:rPr>
        <w:t xml:space="preserve"> de traitements. Ces "fournisseurs de soins de santé qualifiés" sont souvent directement choisis par ceux qui sont directement financièrement bénéficie du traitement médical sélectionné et aligné avec les agresseurs. Les «fournisseurs de soins de santé qualifiés" sont donnés l'immunité quasi-gouvernementale pour leurs décisions de soins de santé et protégés par une assurance spécifique pour la responsabilité de la faute médicale. En outre, depuis la plupart des traitements de santé mentale actuelle est considéré comme l'administration de médicaments psychiatriques, ces «fournisseurs de soins de santé qualifiés" sont souvent financièrement et politiquement alignés avec l'industrie pharmaceutique. Les fournisseurs de soins de santé qualifiés sont souvent trompés par des représentants de marketing pharmaceutique en croyant traitement médicamenteux est plus sûr et plus efficace qu'elle ne l'est vraiment. Les médicaments psychiatriques sont souvent utilisés off-label pour des utilisations que la F</w:t>
      </w:r>
      <w:r w:rsidR="009D7A1D">
        <w:rPr>
          <w:rFonts w:ascii="Times New Roman" w:eastAsia="Times New Roman" w:hAnsi="Times New Roman" w:cs="Times New Roman"/>
          <w:sz w:val="24"/>
          <w:szCs w:val="24"/>
          <w:lang w:val="fr-FR"/>
        </w:rPr>
        <w:t>DA n'a pas approuvé l'aide -</w:t>
      </w:r>
      <w:r w:rsidRPr="00B23A5F">
        <w:rPr>
          <w:rFonts w:ascii="Times New Roman" w:eastAsia="Times New Roman" w:hAnsi="Times New Roman" w:cs="Times New Roman"/>
          <w:sz w:val="24"/>
          <w:szCs w:val="24"/>
          <w:lang w:val="fr-FR"/>
        </w:rPr>
        <w:t xml:space="preserve"> les salles comme cobayes scientifiques. Les soins médicaux par des «fournisseurs de soins de santé qualifiés" est souvent motivées par le profit et se fait souvent avec peu d'égard pour les droits humains et les libertés civiles. Le but de ces soins est souvent la coercition et le contrôle de la personne han</w:t>
      </w:r>
      <w:r>
        <w:rPr>
          <w:rFonts w:ascii="Times New Roman" w:eastAsia="Times New Roman" w:hAnsi="Times New Roman" w:cs="Times New Roman"/>
          <w:sz w:val="24"/>
          <w:szCs w:val="24"/>
          <w:lang w:val="fr-FR"/>
        </w:rPr>
        <w:t>dicapée.</w:t>
      </w:r>
      <w:r>
        <w:rPr>
          <w:rFonts w:ascii="Times New Roman" w:eastAsia="Times New Roman" w:hAnsi="Times New Roman" w:cs="Times New Roman"/>
          <w:sz w:val="24"/>
          <w:szCs w:val="24"/>
          <w:lang w:val="fr-FR"/>
        </w:rPr>
        <w:br/>
      </w:r>
      <w:r>
        <w:rPr>
          <w:rFonts w:ascii="Times New Roman" w:eastAsia="Times New Roman" w:hAnsi="Times New Roman" w:cs="Times New Roman"/>
          <w:sz w:val="24"/>
          <w:szCs w:val="24"/>
          <w:lang w:val="fr-FR"/>
        </w:rPr>
        <w:br/>
      </w:r>
      <w:proofErr w:type="spellStart"/>
      <w:r w:rsidR="009D7A1D">
        <w:rPr>
          <w:rFonts w:ascii="Times New Roman" w:eastAsia="Times New Roman" w:hAnsi="Times New Roman" w:cs="Times New Roman"/>
          <w:sz w:val="24"/>
          <w:szCs w:val="24"/>
          <w:lang w:val="fr-FR"/>
        </w:rPr>
        <w:t>Medical</w:t>
      </w:r>
      <w:proofErr w:type="spellEnd"/>
      <w:r w:rsidR="009D7A1D">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Whistleblower</w:t>
      </w:r>
      <w:proofErr w:type="spellEnd"/>
      <w:r>
        <w:rPr>
          <w:rFonts w:ascii="Times New Roman" w:eastAsia="Times New Roman" w:hAnsi="Times New Roman" w:cs="Times New Roman"/>
          <w:sz w:val="24"/>
          <w:szCs w:val="24"/>
          <w:lang w:val="fr-FR"/>
        </w:rPr>
        <w:t xml:space="preserve"> </w:t>
      </w:r>
      <w:proofErr w:type="spellStart"/>
      <w:r w:rsidRPr="00B23A5F">
        <w:rPr>
          <w:rFonts w:ascii="Times New Roman" w:eastAsia="Times New Roman" w:hAnsi="Times New Roman" w:cs="Times New Roman"/>
          <w:sz w:val="24"/>
          <w:szCs w:val="24"/>
          <w:lang w:val="fr-FR"/>
        </w:rPr>
        <w:t>Advocacy</w:t>
      </w:r>
      <w:proofErr w:type="spellEnd"/>
      <w:r w:rsidRPr="00B23A5F">
        <w:rPr>
          <w:rFonts w:ascii="Times New Roman" w:eastAsia="Times New Roman" w:hAnsi="Times New Roman" w:cs="Times New Roman"/>
          <w:sz w:val="24"/>
          <w:szCs w:val="24"/>
          <w:lang w:val="fr-FR"/>
        </w:rPr>
        <w:t xml:space="preserve"> Network (MWAN) note qu'il n'y a aucune mention dans CCPR / C / USA / 4 des obligations des États-Unis en vertu du Code de Nuremberg (qui sont codifiées dans la loi américaine comme la règle commune) et qui indiquent clairement que les patients ont le droit à un consentement éclairé à un traitement médical. Pupilles de la cour sont contraints à un traitement contre leur volonté et sans le consentement éclairé. Droguer forcé peut être considéré comme une forme de torture et pourtant il est largement pratiqué dans les interventions USA psychiatriques peut être disparitions forcées, souvent sous le couvert de soins médicaux d'urgence où la victime est gardé incognito de la famille et les amis, alors que les signatures de la force du personnel de santé mentale la paperasserie qui élimine efficacement le droit des autres d'intervenir légalement dans ce que le corps médical a prévu.</w:t>
      </w:r>
      <w:r w:rsidRPr="00B23A5F">
        <w:rPr>
          <w:rFonts w:ascii="Times New Roman" w:eastAsia="Times New Roman" w:hAnsi="Times New Roman" w:cs="Times New Roman"/>
          <w:sz w:val="24"/>
          <w:szCs w:val="24"/>
          <w:lang w:val="fr-FR"/>
        </w:rPr>
        <w:br/>
      </w:r>
      <w:r w:rsidRPr="00B23A5F">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t xml:space="preserve">Il </w:t>
      </w:r>
      <w:proofErr w:type="spellStart"/>
      <w:r w:rsidRPr="00E65B4B">
        <w:rPr>
          <w:rFonts w:ascii="Times New Roman" w:eastAsia="Times New Roman" w:hAnsi="Times New Roman" w:cs="Times New Roman"/>
          <w:sz w:val="24"/>
          <w:szCs w:val="24"/>
          <w:lang w:val="fr-FR"/>
        </w:rPr>
        <w:t>ya</w:t>
      </w:r>
      <w:proofErr w:type="spellEnd"/>
      <w:r w:rsidRPr="00E65B4B">
        <w:rPr>
          <w:rFonts w:ascii="Times New Roman" w:eastAsia="Times New Roman" w:hAnsi="Times New Roman" w:cs="Times New Roman"/>
          <w:sz w:val="24"/>
          <w:szCs w:val="24"/>
          <w:lang w:val="fr-FR"/>
        </w:rPr>
        <w:t xml:space="preserve"> eu très peu d'impact de toute mesure prise par les États-Unis à ceux qui sont victimes de violence dans les établissements de santé mentale ou en salles de la cour. Il continue d'y avoir un manque d'enquêtes efficaces, indépendantes et impartiales sur les plaintes individuelles de torture psychiatrique, violations de consentement éclairé avec off-label médicaments psychiatriques en violation des principes éthiques du Code de Nuremberg et la Déclaration d'Helsinki. Il reste des obstacles à la responsabilité et la réparation.</w:t>
      </w:r>
    </w:p>
    <w:p w:rsidR="00D82FD0" w:rsidRPr="00E65B4B" w:rsidRDefault="00D82FD0" w:rsidP="00D82FD0">
      <w:pPr>
        <w:spacing w:after="0" w:line="240" w:lineRule="auto"/>
        <w:rPr>
          <w:rFonts w:ascii="Times New Roman" w:eastAsia="Times New Roman" w:hAnsi="Times New Roman" w:cs="Times New Roman"/>
          <w:sz w:val="24"/>
          <w:szCs w:val="24"/>
          <w:lang w:val="fr-FR"/>
        </w:rPr>
      </w:pPr>
    </w:p>
    <w:p w:rsidR="00D82FD0" w:rsidRPr="00E65B4B" w:rsidRDefault="00D82FD0" w:rsidP="00D82FD0">
      <w:pPr>
        <w:spacing w:after="0" w:line="240" w:lineRule="auto"/>
        <w:rPr>
          <w:rFonts w:ascii="Times New Roman" w:eastAsia="Times New Roman" w:hAnsi="Times New Roman" w:cs="Times New Roman"/>
          <w:sz w:val="24"/>
          <w:szCs w:val="24"/>
          <w:lang w:val="fr-FR"/>
        </w:rPr>
      </w:pPr>
      <w:r w:rsidRPr="00E65B4B">
        <w:rPr>
          <w:rFonts w:ascii="Times New Roman" w:eastAsia="Times New Roman" w:hAnsi="Times New Roman" w:cs="Times New Roman"/>
          <w:b/>
          <w:sz w:val="36"/>
          <w:szCs w:val="36"/>
          <w:lang w:val="fr-FR"/>
        </w:rPr>
        <w:t>Recommandations</w:t>
      </w:r>
      <w:r w:rsidRPr="00E65B4B">
        <w:rPr>
          <w:rFonts w:ascii="Times New Roman" w:eastAsia="Times New Roman" w:hAnsi="Times New Roman" w:cs="Times New Roman"/>
          <w:sz w:val="36"/>
          <w:szCs w:val="36"/>
          <w:lang w:val="fr-FR"/>
        </w:rPr>
        <w:br/>
      </w:r>
      <w:r w:rsidRPr="00E65B4B">
        <w:rPr>
          <w:rFonts w:ascii="Times New Roman" w:eastAsia="Times New Roman" w:hAnsi="Times New Roman" w:cs="Times New Roman"/>
          <w:sz w:val="24"/>
          <w:szCs w:val="24"/>
          <w:lang w:val="fr-FR"/>
        </w:rPr>
        <w:br/>
        <w:t xml:space="preserve">Ratifier la Convention, le CRC et PIDESC sans réserves, ententes et déclarations, et sans plus tarder afin d'être en conformité des normes internationales reconnues concernant le droit de </w:t>
      </w:r>
      <w:r w:rsidRPr="00E65B4B">
        <w:rPr>
          <w:rFonts w:ascii="Times New Roman" w:eastAsia="Times New Roman" w:hAnsi="Times New Roman" w:cs="Times New Roman"/>
          <w:sz w:val="24"/>
          <w:szCs w:val="24"/>
          <w:lang w:val="fr-FR"/>
        </w:rPr>
        <w:lastRenderedPageBreak/>
        <w:t>l'homme du consentement éclairé.</w:t>
      </w:r>
      <w:r w:rsidRPr="00E65B4B">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br/>
        <w:t>Mettre en place un système de suivi de base de données fédérale pour faciliter le suivi des plaintes reçues par HHS, FDA ou le DOJ concernant les plaintes d'abus psychiatriques dans les établissements psychiatriques, maisons de soins infirmiers psychiatriques et de traitement ambulatoire et enregistrer et traiter les allégations d'inconduite qui ont été déposées par les pupilles contre leur cour tuteur attribué ou l'équipe de traitement médical.</w:t>
      </w:r>
      <w:r w:rsidRPr="00E65B4B">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br/>
        <w:t>Inclure les personnes handicapées dans les politiques d'examen, tant au niveau fédéral et des États, en vue d'abolir toutes les lois et les mécanismes qui limitent la capacité juridique d'une personne (en particulier les personnes handicapées) et de créer des mesures de soutien pour l'exercice de la capacité juridique qui respectent la volonté et les préférences de la personne.</w:t>
      </w:r>
      <w:r w:rsidRPr="00E65B4B">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br/>
        <w:t>Évaluer tous les cas de tutelle dans le système de la Cour d'Etat pour voir si elles sont en conformité avec la Déclaration d'Helsinki et le Code de Nuremberg en ce qui concerne la conduite de la recherche médicale, sociale et comportementale.</w:t>
      </w:r>
      <w:r w:rsidRPr="00E65B4B">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br/>
        <w:t>Fournir une éducation spécifique sur Protocole d'Istanbul et de la formation sur la façon d'identifier les signes de torture, traitements cruels, inhumains ou dégradants à tous les médecins, le personnel et le personnel des établissements psychiatriques, centres de santé mentale et tous les autres lieux de détention psychiatrique et les instruire sur la manière à signaler ces incidents.</w:t>
      </w:r>
      <w:r w:rsidRPr="00E65B4B">
        <w:rPr>
          <w:rFonts w:ascii="Times New Roman" w:eastAsia="Times New Roman" w:hAnsi="Times New Roman" w:cs="Times New Roman"/>
          <w:sz w:val="24"/>
          <w:szCs w:val="24"/>
          <w:lang w:val="fr-FR"/>
        </w:rPr>
        <w:br/>
      </w:r>
      <w:r w:rsidRPr="00E65B4B">
        <w:rPr>
          <w:rFonts w:ascii="Times New Roman" w:eastAsia="Times New Roman" w:hAnsi="Times New Roman" w:cs="Times New Roman"/>
          <w:sz w:val="24"/>
          <w:szCs w:val="24"/>
          <w:lang w:val="fr-FR"/>
        </w:rPr>
        <w:br/>
        <w:t>Fournir une formation concernant le Protocole d'Istanbul et dans la façon d'identifier des signes de torture, les traitements cruels, inhumains ou dégradants à des enquêteurs du MJ, le personnel de maintien de l'ordre et du personnel pénitentiaire, et enquêter sur les allégations individuels de torture, de traitements inhumains ou dégradants formulées par des pupilles de le tribunal, dans toutes les juridictions américaines.</w:t>
      </w:r>
    </w:p>
    <w:p w:rsidR="008145C1" w:rsidRPr="00E65B4B" w:rsidRDefault="008145C1" w:rsidP="00D82FD0">
      <w:pPr>
        <w:spacing w:after="0" w:line="240" w:lineRule="auto"/>
        <w:rPr>
          <w:rFonts w:ascii="Times New Roman" w:eastAsia="Times New Roman" w:hAnsi="Times New Roman" w:cs="Times New Roman"/>
          <w:sz w:val="24"/>
          <w:szCs w:val="24"/>
          <w:lang w:val="fr-FR"/>
        </w:rPr>
      </w:pPr>
    </w:p>
    <w:p w:rsidR="008145C1" w:rsidRPr="00E65B4B" w:rsidRDefault="008145C1" w:rsidP="00D82FD0">
      <w:pPr>
        <w:spacing w:after="0" w:line="240" w:lineRule="auto"/>
        <w:rPr>
          <w:rFonts w:ascii="Times New Roman" w:eastAsia="Times New Roman" w:hAnsi="Times New Roman" w:cs="Times New Roman"/>
          <w:sz w:val="24"/>
          <w:szCs w:val="24"/>
        </w:rPr>
      </w:pPr>
      <w:r w:rsidRPr="00E65B4B">
        <w:rPr>
          <w:rFonts w:ascii="Times New Roman" w:hAnsi="Times New Roman" w:cs="Times New Roman"/>
          <w:sz w:val="24"/>
          <w:szCs w:val="24"/>
          <w:lang w:val="fr-FR"/>
        </w:rPr>
        <w:br/>
      </w:r>
      <w:r w:rsidRPr="00E65B4B">
        <w:rPr>
          <w:rFonts w:ascii="Times New Roman" w:hAnsi="Times New Roman" w:cs="Times New Roman"/>
          <w:b/>
          <w:sz w:val="36"/>
          <w:szCs w:val="36"/>
          <w:lang w:val="fr-FR"/>
        </w:rPr>
        <w:t>Questions</w:t>
      </w:r>
      <w:r w:rsidRPr="00E65B4B">
        <w:rPr>
          <w:rFonts w:ascii="Times New Roman" w:hAnsi="Times New Roman" w:cs="Times New Roman"/>
          <w:sz w:val="36"/>
          <w:szCs w:val="36"/>
          <w:lang w:val="fr-FR"/>
        </w:rPr>
        <w:br/>
      </w:r>
      <w:r w:rsidRPr="00E65B4B">
        <w:rPr>
          <w:rFonts w:ascii="Times New Roman" w:hAnsi="Times New Roman" w:cs="Times New Roman"/>
          <w:sz w:val="24"/>
          <w:szCs w:val="24"/>
          <w:lang w:val="fr-FR"/>
        </w:rPr>
        <w:t>• Quelles mesures les États-Unis prendre pour assurer la protection des droits humains pour les pupilles de la cour et enquêter sur les allégations de torture, de traitements cruels et dégradants?</w:t>
      </w:r>
      <w:r w:rsidRPr="00E65B4B">
        <w:rPr>
          <w:rFonts w:ascii="Times New Roman" w:hAnsi="Times New Roman" w:cs="Times New Roman"/>
          <w:sz w:val="24"/>
          <w:szCs w:val="24"/>
          <w:lang w:val="fr-FR"/>
        </w:rPr>
        <w:br/>
      </w:r>
      <w:r w:rsidRPr="00E65B4B">
        <w:rPr>
          <w:rFonts w:ascii="Times New Roman" w:hAnsi="Times New Roman" w:cs="Times New Roman"/>
          <w:sz w:val="24"/>
          <w:szCs w:val="24"/>
          <w:lang w:val="fr-FR"/>
        </w:rPr>
        <w:br/>
        <w:t>• Pourquoi le gouvernement américain de ne pas pris des mesures pour restreindre l'utilisation de gros de "off-label" utilisation de médicaments psychiatriques en violation de la Déclaration d'Helsinki et le Code de Nuremberg?</w:t>
      </w:r>
      <w:r w:rsidRPr="00E65B4B">
        <w:rPr>
          <w:rFonts w:ascii="Times New Roman" w:hAnsi="Times New Roman" w:cs="Times New Roman"/>
          <w:sz w:val="24"/>
          <w:szCs w:val="24"/>
          <w:lang w:val="fr-FR"/>
        </w:rPr>
        <w:br/>
      </w:r>
      <w:r w:rsidRPr="00E65B4B">
        <w:rPr>
          <w:rFonts w:ascii="Times New Roman" w:hAnsi="Times New Roman" w:cs="Times New Roman"/>
          <w:sz w:val="24"/>
          <w:szCs w:val="24"/>
          <w:lang w:val="fr-FR"/>
        </w:rPr>
        <w:br/>
        <w:t>• Qu'est-ce que le gouvernement fédéral va faire pour superviser les tribunaux de l'Etat du système de tutelle?</w:t>
      </w:r>
    </w:p>
    <w:p w:rsidR="00D82FD0" w:rsidRPr="00E65B4B" w:rsidRDefault="00D82FD0" w:rsidP="00B23A5F">
      <w:pPr>
        <w:spacing w:after="0" w:line="240" w:lineRule="auto"/>
        <w:rPr>
          <w:rFonts w:ascii="Times New Roman" w:eastAsia="Times New Roman" w:hAnsi="Times New Roman" w:cs="Times New Roman"/>
          <w:sz w:val="24"/>
          <w:szCs w:val="24"/>
        </w:rPr>
      </w:pPr>
    </w:p>
    <w:p w:rsidR="00B23A5F" w:rsidRPr="00E65B4B" w:rsidRDefault="00B23A5F">
      <w:pPr>
        <w:rPr>
          <w:rFonts w:ascii="Times New Roman" w:hAnsi="Times New Roman" w:cs="Times New Roman"/>
          <w:sz w:val="24"/>
          <w:szCs w:val="24"/>
        </w:rPr>
      </w:pPr>
    </w:p>
    <w:sectPr w:rsidR="00B23A5F" w:rsidRPr="00E65B4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579" w:rsidRDefault="001D0579" w:rsidP="00AF70B6">
      <w:pPr>
        <w:spacing w:after="0" w:line="240" w:lineRule="auto"/>
      </w:pPr>
      <w:r>
        <w:separator/>
      </w:r>
    </w:p>
  </w:endnote>
  <w:endnote w:type="continuationSeparator" w:id="0">
    <w:p w:rsidR="001D0579" w:rsidRDefault="001D0579" w:rsidP="00AF7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198789"/>
      <w:docPartObj>
        <w:docPartGallery w:val="Page Numbers (Bottom of Page)"/>
        <w:docPartUnique/>
      </w:docPartObj>
    </w:sdtPr>
    <w:sdtEndPr>
      <w:rPr>
        <w:noProof/>
      </w:rPr>
    </w:sdtEndPr>
    <w:sdtContent>
      <w:p w:rsidR="00AF70B6" w:rsidRDefault="00AF70B6">
        <w:pPr>
          <w:pStyle w:val="Footer"/>
          <w:jc w:val="right"/>
        </w:pPr>
        <w:r>
          <w:fldChar w:fldCharType="begin"/>
        </w:r>
        <w:r>
          <w:instrText xml:space="preserve"> PAGE   \* MERGEFORMAT </w:instrText>
        </w:r>
        <w:r>
          <w:fldChar w:fldCharType="separate"/>
        </w:r>
        <w:r w:rsidR="00D5697D">
          <w:rPr>
            <w:noProof/>
          </w:rPr>
          <w:t>1</w:t>
        </w:r>
        <w:r>
          <w:rPr>
            <w:noProof/>
          </w:rPr>
          <w:fldChar w:fldCharType="end"/>
        </w:r>
      </w:p>
    </w:sdtContent>
  </w:sdt>
  <w:p w:rsidR="00AF70B6" w:rsidRDefault="00AF70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579" w:rsidRDefault="001D0579" w:rsidP="00AF70B6">
      <w:pPr>
        <w:spacing w:after="0" w:line="240" w:lineRule="auto"/>
      </w:pPr>
      <w:r>
        <w:separator/>
      </w:r>
    </w:p>
  </w:footnote>
  <w:footnote w:type="continuationSeparator" w:id="0">
    <w:p w:rsidR="001D0579" w:rsidRDefault="001D0579" w:rsidP="00AF70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A5F"/>
    <w:rsid w:val="000B6A39"/>
    <w:rsid w:val="00143F04"/>
    <w:rsid w:val="001D0579"/>
    <w:rsid w:val="00467152"/>
    <w:rsid w:val="005055EE"/>
    <w:rsid w:val="006C038E"/>
    <w:rsid w:val="006D01B5"/>
    <w:rsid w:val="008145C1"/>
    <w:rsid w:val="009D7A1D"/>
    <w:rsid w:val="00AF70B6"/>
    <w:rsid w:val="00B23A5F"/>
    <w:rsid w:val="00BC722A"/>
    <w:rsid w:val="00D02732"/>
    <w:rsid w:val="00D5697D"/>
    <w:rsid w:val="00D82FD0"/>
    <w:rsid w:val="00E65B4B"/>
    <w:rsid w:val="00EE6F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B23A5F"/>
  </w:style>
  <w:style w:type="paragraph" w:styleId="Header">
    <w:name w:val="header"/>
    <w:basedOn w:val="Normal"/>
    <w:link w:val="HeaderChar"/>
    <w:uiPriority w:val="99"/>
    <w:unhideWhenUsed/>
    <w:rsid w:val="00AF70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0B6"/>
  </w:style>
  <w:style w:type="paragraph" w:styleId="Footer">
    <w:name w:val="footer"/>
    <w:basedOn w:val="Normal"/>
    <w:link w:val="FooterChar"/>
    <w:uiPriority w:val="99"/>
    <w:unhideWhenUsed/>
    <w:rsid w:val="00AF70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287937">
      <w:bodyDiv w:val="1"/>
      <w:marLeft w:val="0"/>
      <w:marRight w:val="0"/>
      <w:marTop w:val="0"/>
      <w:marBottom w:val="0"/>
      <w:divBdr>
        <w:top w:val="none" w:sz="0" w:space="0" w:color="auto"/>
        <w:left w:val="none" w:sz="0" w:space="0" w:color="auto"/>
        <w:bottom w:val="none" w:sz="0" w:space="0" w:color="auto"/>
        <w:right w:val="none" w:sz="0" w:space="0" w:color="auto"/>
      </w:divBdr>
      <w:divsChild>
        <w:div w:id="1849366026">
          <w:marLeft w:val="0"/>
          <w:marRight w:val="0"/>
          <w:marTop w:val="0"/>
          <w:marBottom w:val="0"/>
          <w:divBdr>
            <w:top w:val="none" w:sz="0" w:space="0" w:color="auto"/>
            <w:left w:val="none" w:sz="0" w:space="0" w:color="auto"/>
            <w:bottom w:val="none" w:sz="0" w:space="0" w:color="auto"/>
            <w:right w:val="none" w:sz="0" w:space="0" w:color="auto"/>
          </w:divBdr>
          <w:divsChild>
            <w:div w:id="685253671">
              <w:marLeft w:val="0"/>
              <w:marRight w:val="0"/>
              <w:marTop w:val="0"/>
              <w:marBottom w:val="0"/>
              <w:divBdr>
                <w:top w:val="none" w:sz="0" w:space="0" w:color="auto"/>
                <w:left w:val="none" w:sz="0" w:space="0" w:color="auto"/>
                <w:bottom w:val="none" w:sz="0" w:space="0" w:color="auto"/>
                <w:right w:val="none" w:sz="0" w:space="0" w:color="auto"/>
              </w:divBdr>
              <w:divsChild>
                <w:div w:id="1208301920">
                  <w:marLeft w:val="0"/>
                  <w:marRight w:val="0"/>
                  <w:marTop w:val="0"/>
                  <w:marBottom w:val="0"/>
                  <w:divBdr>
                    <w:top w:val="none" w:sz="0" w:space="0" w:color="auto"/>
                    <w:left w:val="none" w:sz="0" w:space="0" w:color="auto"/>
                    <w:bottom w:val="none" w:sz="0" w:space="0" w:color="auto"/>
                    <w:right w:val="none" w:sz="0" w:space="0" w:color="auto"/>
                  </w:divBdr>
                  <w:divsChild>
                    <w:div w:id="6765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440798">
          <w:marLeft w:val="0"/>
          <w:marRight w:val="0"/>
          <w:marTop w:val="0"/>
          <w:marBottom w:val="0"/>
          <w:divBdr>
            <w:top w:val="none" w:sz="0" w:space="0" w:color="auto"/>
            <w:left w:val="none" w:sz="0" w:space="0" w:color="auto"/>
            <w:bottom w:val="none" w:sz="0" w:space="0" w:color="auto"/>
            <w:right w:val="none" w:sz="0" w:space="0" w:color="auto"/>
          </w:divBdr>
          <w:divsChild>
            <w:div w:id="1318919098">
              <w:marLeft w:val="0"/>
              <w:marRight w:val="0"/>
              <w:marTop w:val="0"/>
              <w:marBottom w:val="0"/>
              <w:divBdr>
                <w:top w:val="none" w:sz="0" w:space="0" w:color="auto"/>
                <w:left w:val="none" w:sz="0" w:space="0" w:color="auto"/>
                <w:bottom w:val="none" w:sz="0" w:space="0" w:color="auto"/>
                <w:right w:val="none" w:sz="0" w:space="0" w:color="auto"/>
              </w:divBdr>
              <w:divsChild>
                <w:div w:id="723987785">
                  <w:marLeft w:val="0"/>
                  <w:marRight w:val="0"/>
                  <w:marTop w:val="0"/>
                  <w:marBottom w:val="0"/>
                  <w:divBdr>
                    <w:top w:val="none" w:sz="0" w:space="0" w:color="auto"/>
                    <w:left w:val="none" w:sz="0" w:space="0" w:color="auto"/>
                    <w:bottom w:val="none" w:sz="0" w:space="0" w:color="auto"/>
                    <w:right w:val="none" w:sz="0" w:space="0" w:color="auto"/>
                  </w:divBdr>
                  <w:divsChild>
                    <w:div w:id="536502890">
                      <w:marLeft w:val="0"/>
                      <w:marRight w:val="0"/>
                      <w:marTop w:val="0"/>
                      <w:marBottom w:val="0"/>
                      <w:divBdr>
                        <w:top w:val="none" w:sz="0" w:space="0" w:color="auto"/>
                        <w:left w:val="none" w:sz="0" w:space="0" w:color="auto"/>
                        <w:bottom w:val="none" w:sz="0" w:space="0" w:color="auto"/>
                        <w:right w:val="none" w:sz="0" w:space="0" w:color="auto"/>
                      </w:divBdr>
                      <w:divsChild>
                        <w:div w:id="1224869699">
                          <w:marLeft w:val="0"/>
                          <w:marRight w:val="0"/>
                          <w:marTop w:val="0"/>
                          <w:marBottom w:val="0"/>
                          <w:divBdr>
                            <w:top w:val="none" w:sz="0" w:space="0" w:color="auto"/>
                            <w:left w:val="none" w:sz="0" w:space="0" w:color="auto"/>
                            <w:bottom w:val="none" w:sz="0" w:space="0" w:color="auto"/>
                            <w:right w:val="none" w:sz="0" w:space="0" w:color="auto"/>
                          </w:divBdr>
                          <w:divsChild>
                            <w:div w:id="4175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753481">
      <w:bodyDiv w:val="1"/>
      <w:marLeft w:val="0"/>
      <w:marRight w:val="0"/>
      <w:marTop w:val="0"/>
      <w:marBottom w:val="0"/>
      <w:divBdr>
        <w:top w:val="none" w:sz="0" w:space="0" w:color="auto"/>
        <w:left w:val="none" w:sz="0" w:space="0" w:color="auto"/>
        <w:bottom w:val="none" w:sz="0" w:space="0" w:color="auto"/>
        <w:right w:val="none" w:sz="0" w:space="0" w:color="auto"/>
      </w:divBdr>
      <w:divsChild>
        <w:div w:id="400249118">
          <w:marLeft w:val="0"/>
          <w:marRight w:val="0"/>
          <w:marTop w:val="0"/>
          <w:marBottom w:val="0"/>
          <w:divBdr>
            <w:top w:val="none" w:sz="0" w:space="0" w:color="auto"/>
            <w:left w:val="none" w:sz="0" w:space="0" w:color="auto"/>
            <w:bottom w:val="none" w:sz="0" w:space="0" w:color="auto"/>
            <w:right w:val="none" w:sz="0" w:space="0" w:color="auto"/>
          </w:divBdr>
          <w:divsChild>
            <w:div w:id="934748600">
              <w:marLeft w:val="0"/>
              <w:marRight w:val="0"/>
              <w:marTop w:val="0"/>
              <w:marBottom w:val="0"/>
              <w:divBdr>
                <w:top w:val="none" w:sz="0" w:space="0" w:color="auto"/>
                <w:left w:val="none" w:sz="0" w:space="0" w:color="auto"/>
                <w:bottom w:val="none" w:sz="0" w:space="0" w:color="auto"/>
                <w:right w:val="none" w:sz="0" w:space="0" w:color="auto"/>
              </w:divBdr>
              <w:divsChild>
                <w:div w:id="509754003">
                  <w:marLeft w:val="0"/>
                  <w:marRight w:val="0"/>
                  <w:marTop w:val="0"/>
                  <w:marBottom w:val="0"/>
                  <w:divBdr>
                    <w:top w:val="none" w:sz="0" w:space="0" w:color="auto"/>
                    <w:left w:val="none" w:sz="0" w:space="0" w:color="auto"/>
                    <w:bottom w:val="none" w:sz="0" w:space="0" w:color="auto"/>
                    <w:right w:val="none" w:sz="0" w:space="0" w:color="auto"/>
                  </w:divBdr>
                  <w:divsChild>
                    <w:div w:id="348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5160">
          <w:marLeft w:val="0"/>
          <w:marRight w:val="0"/>
          <w:marTop w:val="0"/>
          <w:marBottom w:val="0"/>
          <w:divBdr>
            <w:top w:val="none" w:sz="0" w:space="0" w:color="auto"/>
            <w:left w:val="none" w:sz="0" w:space="0" w:color="auto"/>
            <w:bottom w:val="none" w:sz="0" w:space="0" w:color="auto"/>
            <w:right w:val="none" w:sz="0" w:space="0" w:color="auto"/>
          </w:divBdr>
          <w:divsChild>
            <w:div w:id="532547280">
              <w:marLeft w:val="0"/>
              <w:marRight w:val="0"/>
              <w:marTop w:val="0"/>
              <w:marBottom w:val="0"/>
              <w:divBdr>
                <w:top w:val="none" w:sz="0" w:space="0" w:color="auto"/>
                <w:left w:val="none" w:sz="0" w:space="0" w:color="auto"/>
                <w:bottom w:val="none" w:sz="0" w:space="0" w:color="auto"/>
                <w:right w:val="none" w:sz="0" w:space="0" w:color="auto"/>
              </w:divBdr>
              <w:divsChild>
                <w:div w:id="7559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203398">
          <w:marLeft w:val="0"/>
          <w:marRight w:val="0"/>
          <w:marTop w:val="0"/>
          <w:marBottom w:val="0"/>
          <w:divBdr>
            <w:top w:val="none" w:sz="0" w:space="0" w:color="auto"/>
            <w:left w:val="none" w:sz="0" w:space="0" w:color="auto"/>
            <w:bottom w:val="none" w:sz="0" w:space="0" w:color="auto"/>
            <w:right w:val="none" w:sz="0" w:space="0" w:color="auto"/>
          </w:divBdr>
          <w:divsChild>
            <w:div w:id="1112478812">
              <w:marLeft w:val="0"/>
              <w:marRight w:val="0"/>
              <w:marTop w:val="0"/>
              <w:marBottom w:val="0"/>
              <w:divBdr>
                <w:top w:val="none" w:sz="0" w:space="0" w:color="auto"/>
                <w:left w:val="none" w:sz="0" w:space="0" w:color="auto"/>
                <w:bottom w:val="none" w:sz="0" w:space="0" w:color="auto"/>
                <w:right w:val="none" w:sz="0" w:space="0" w:color="auto"/>
              </w:divBdr>
              <w:divsChild>
                <w:div w:id="1831405757">
                  <w:marLeft w:val="0"/>
                  <w:marRight w:val="0"/>
                  <w:marTop w:val="0"/>
                  <w:marBottom w:val="0"/>
                  <w:divBdr>
                    <w:top w:val="none" w:sz="0" w:space="0" w:color="auto"/>
                    <w:left w:val="none" w:sz="0" w:space="0" w:color="auto"/>
                    <w:bottom w:val="none" w:sz="0" w:space="0" w:color="auto"/>
                    <w:right w:val="none" w:sz="0" w:space="0" w:color="auto"/>
                  </w:divBdr>
                  <w:divsChild>
                    <w:div w:id="1928073453">
                      <w:marLeft w:val="0"/>
                      <w:marRight w:val="0"/>
                      <w:marTop w:val="0"/>
                      <w:marBottom w:val="0"/>
                      <w:divBdr>
                        <w:top w:val="none" w:sz="0" w:space="0" w:color="auto"/>
                        <w:left w:val="none" w:sz="0" w:space="0" w:color="auto"/>
                        <w:bottom w:val="none" w:sz="0" w:space="0" w:color="auto"/>
                        <w:right w:val="none" w:sz="0" w:space="0" w:color="auto"/>
                      </w:divBdr>
                      <w:divsChild>
                        <w:div w:id="98723573">
                          <w:marLeft w:val="0"/>
                          <w:marRight w:val="0"/>
                          <w:marTop w:val="0"/>
                          <w:marBottom w:val="0"/>
                          <w:divBdr>
                            <w:top w:val="none" w:sz="0" w:space="0" w:color="auto"/>
                            <w:left w:val="none" w:sz="0" w:space="0" w:color="auto"/>
                            <w:bottom w:val="none" w:sz="0" w:space="0" w:color="auto"/>
                            <w:right w:val="none" w:sz="0" w:space="0" w:color="auto"/>
                          </w:divBdr>
                          <w:divsChild>
                            <w:div w:id="209924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5307A3-299A-4064-B211-B96C88747E4D}"/>
</file>

<file path=customXml/itemProps2.xml><?xml version="1.0" encoding="utf-8"?>
<ds:datastoreItem xmlns:ds="http://schemas.openxmlformats.org/officeDocument/2006/customXml" ds:itemID="{A955C4CE-A126-40FD-8D9F-B9E2F3EE73E7}"/>
</file>

<file path=customXml/itemProps3.xml><?xml version="1.0" encoding="utf-8"?>
<ds:datastoreItem xmlns:ds="http://schemas.openxmlformats.org/officeDocument/2006/customXml" ds:itemID="{DDBD14BD-1541-445D-9211-B93242110B44}"/>
</file>

<file path=docProps/app.xml><?xml version="1.0" encoding="utf-8"?>
<Properties xmlns="http://schemas.openxmlformats.org/officeDocument/2006/extended-properties" xmlns:vt="http://schemas.openxmlformats.org/officeDocument/2006/docPropsVTypes">
  <Template>Normal</Template>
  <TotalTime>0</TotalTime>
  <Pages>1</Pages>
  <Words>1188</Words>
  <Characters>6775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2015-03-18T21:21:00Z</dcterms:created>
  <dcterms:modified xsi:type="dcterms:W3CDTF">2015-03-18T21:57:00Z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