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332" w:rsidRDefault="00F01F57">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3pt;height:132.45pt">
            <v:imagedata r:id="rId9" o:title=""/>
          </v:shape>
        </w:pict>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FE1332" w:rsidRPr="00FE1332">
        <w:rPr>
          <w:b/>
          <w:sz w:val="28"/>
          <w:szCs w:val="28"/>
          <w:u w:val="single"/>
        </w:rPr>
        <w:t>QATAR</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6B650E" w:rsidP="00FE1332">
      <w:pPr>
        <w:jc w:val="center"/>
        <w:rPr>
          <w:sz w:val="28"/>
          <w:szCs w:val="28"/>
        </w:rPr>
      </w:pPr>
      <w:r w:rsidRPr="00FE1332">
        <w:rPr>
          <w:b/>
          <w:sz w:val="28"/>
          <w:szCs w:val="28"/>
        </w:rPr>
        <w:t>PRESESSIONAL WORKING GROUP</w:t>
      </w:r>
      <w:r w:rsidR="00DF26B7" w:rsidRPr="00FE1332">
        <w:rPr>
          <w:b/>
          <w:sz w:val="28"/>
          <w:szCs w:val="28"/>
        </w:rPr>
        <w:t xml:space="preserve"> – </w:t>
      </w:r>
      <w:r w:rsidR="00FE1332" w:rsidRPr="00FE1332">
        <w:rPr>
          <w:b/>
          <w:sz w:val="28"/>
          <w:szCs w:val="28"/>
          <w:u w:val="single"/>
        </w:rPr>
        <w:t>May/June 2012</w:t>
      </w:r>
    </w:p>
    <w:p w:rsidR="00DF26B7" w:rsidRPr="00FE1332" w:rsidRDefault="00DF26B7" w:rsidP="00FE1332">
      <w:pPr>
        <w:jc w:val="center"/>
        <w:rPr>
          <w:i/>
        </w:rPr>
      </w:pPr>
      <w:r w:rsidRPr="00FE1332">
        <w:rPr>
          <w:i/>
        </w:rPr>
        <w:t>From Peter Newell, Coordinator, Global Initiative</w:t>
      </w:r>
    </w:p>
    <w:p w:rsidR="00DF26B7" w:rsidRPr="00FE1332" w:rsidRDefault="00F01F57" w:rsidP="00FE1332">
      <w:pPr>
        <w:jc w:val="center"/>
        <w:rPr>
          <w:sz w:val="28"/>
          <w:szCs w:val="28"/>
        </w:rPr>
      </w:pPr>
      <w:hyperlink r:id="rId10" w:history="1">
        <w:r w:rsidR="00DF26B7" w:rsidRPr="00FE1332">
          <w:rPr>
            <w:rStyle w:val="Hyperlink"/>
            <w:i/>
          </w:rPr>
          <w:t>info@endcorporalpunishment.org</w:t>
        </w:r>
      </w:hyperlink>
      <w:r w:rsidR="00DF26B7" w:rsidRPr="00FE1332">
        <w:rPr>
          <w:i/>
          <w:sz w:val="28"/>
          <w:szCs w:val="28"/>
        </w:rPr>
        <w:t xml:space="preserve"> </w:t>
      </w:r>
    </w:p>
    <w:p w:rsidR="003C6F4D" w:rsidRDefault="00F01F57" w:rsidP="005142F8">
      <w:pPr>
        <w:spacing w:after="120"/>
        <w:jc w:val="center"/>
        <w:rPr>
          <w:b/>
          <w:u w:val="single"/>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25pt;width:432.45pt;height:305.8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FE1332" w:rsidRPr="0050346D" w:rsidRDefault="00FE1332" w:rsidP="00BC628D">
                  <w:pPr>
                    <w:spacing w:after="120"/>
                    <w:rPr>
                      <w:b/>
                      <w:sz w:val="26"/>
                      <w:szCs w:val="26"/>
                    </w:rPr>
                  </w:pPr>
                  <w:r w:rsidRPr="0050346D">
                    <w:rPr>
                      <w:b/>
                      <w:sz w:val="26"/>
                      <w:szCs w:val="26"/>
                    </w:rPr>
                    <w:t>This briefing describes the legality of corporal punishment of children in Qatar. In light of the obligation under international human rights law to prohibit all corporal punishment of children, the recommendations of the UN Secretary-General’s Study on Violence against Children, the repeated recommendations of human rights treaty monitoring bodies</w:t>
                  </w:r>
                  <w:r w:rsidR="005142F8">
                    <w:rPr>
                      <w:b/>
                      <w:sz w:val="26"/>
                      <w:szCs w:val="26"/>
                    </w:rPr>
                    <w:t xml:space="preserve"> and the Government’s acceptance of the relevant recommendation during the UPR</w:t>
                  </w:r>
                  <w:r w:rsidR="003A1B40">
                    <w:rPr>
                      <w:b/>
                      <w:sz w:val="26"/>
                      <w:szCs w:val="26"/>
                    </w:rPr>
                    <w:t>, we hope the Committee a</w:t>
                  </w:r>
                  <w:r w:rsidRPr="0050346D">
                    <w:rPr>
                      <w:b/>
                      <w:sz w:val="26"/>
                      <w:szCs w:val="26"/>
                    </w:rPr>
                    <w:t>gainst Torture will:</w:t>
                  </w:r>
                </w:p>
                <w:p w:rsidR="00FE1332" w:rsidRPr="0050346D" w:rsidRDefault="00FE1332" w:rsidP="00BC628D">
                  <w:pPr>
                    <w:numPr>
                      <w:ilvl w:val="0"/>
                      <w:numId w:val="1"/>
                    </w:numPr>
                    <w:spacing w:after="120"/>
                    <w:ind w:left="714" w:hanging="357"/>
                    <w:rPr>
                      <w:b/>
                      <w:sz w:val="26"/>
                      <w:szCs w:val="26"/>
                    </w:rPr>
                  </w:pPr>
                  <w:r w:rsidRPr="0050346D">
                    <w:rPr>
                      <w:b/>
                      <w:sz w:val="26"/>
                      <w:szCs w:val="26"/>
                    </w:rPr>
                    <w:t>raise the issue of corporal punishment of children in its List of Issues for Qatar, in particular asking what measures have been taken to ensure the law explicitly prohibits corporal punishment in all settings, including the home and all forms of alternative care, and</w:t>
                  </w:r>
                </w:p>
                <w:p w:rsidR="00FE1332" w:rsidRPr="0050346D" w:rsidRDefault="00FE1332" w:rsidP="00BC628D">
                  <w:pPr>
                    <w:numPr>
                      <w:ilvl w:val="0"/>
                      <w:numId w:val="1"/>
                    </w:numPr>
                    <w:spacing w:after="120"/>
                    <w:ind w:left="714" w:hanging="357"/>
                    <w:rPr>
                      <w:b/>
                      <w:sz w:val="26"/>
                      <w:szCs w:val="26"/>
                    </w:rPr>
                  </w:pPr>
                  <w:proofErr w:type="gramStart"/>
                  <w:r w:rsidRPr="0050346D">
                    <w:rPr>
                      <w:b/>
                      <w:sz w:val="26"/>
                      <w:szCs w:val="26"/>
                    </w:rPr>
                    <w:t>recommend</w:t>
                  </w:r>
                  <w:proofErr w:type="gramEnd"/>
                  <w:r w:rsidRPr="0050346D">
                    <w:rPr>
                      <w:b/>
                      <w:sz w:val="26"/>
                      <w:szCs w:val="26"/>
                    </w:rPr>
                    <w:t xml:space="preserve"> to Qatar, in the concluding observations on the </w:t>
                  </w:r>
                  <w:r w:rsidR="009206E0">
                    <w:rPr>
                      <w:b/>
                      <w:sz w:val="26"/>
                      <w:szCs w:val="26"/>
                    </w:rPr>
                    <w:t xml:space="preserve">second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FE1332" w:rsidRDefault="00FE1332">
      <w:pPr>
        <w:spacing w:after="120"/>
        <w:rPr>
          <w:b/>
        </w:rPr>
      </w:pPr>
    </w:p>
    <w:p w:rsidR="00FE1332" w:rsidRDefault="00FE1332">
      <w:pPr>
        <w:spacing w:after="120"/>
        <w:rPr>
          <w:b/>
        </w:rPr>
      </w:pPr>
    </w:p>
    <w:p w:rsidR="0050346D" w:rsidRDefault="0050346D">
      <w:pPr>
        <w:spacing w:after="120"/>
        <w:rPr>
          <w:sz w:val="28"/>
          <w:szCs w:val="28"/>
        </w:rPr>
      </w:pPr>
      <w:r w:rsidRPr="00BC628D">
        <w:rPr>
          <w:b/>
          <w:sz w:val="28"/>
          <w:szCs w:val="28"/>
        </w:rPr>
        <w:t>Qatar</w:t>
      </w:r>
      <w:r w:rsidR="005142F8">
        <w:rPr>
          <w:b/>
          <w:sz w:val="28"/>
          <w:szCs w:val="28"/>
        </w:rPr>
        <w:t>’s</w:t>
      </w:r>
      <w:r w:rsidRPr="00BC628D">
        <w:rPr>
          <w:b/>
          <w:sz w:val="28"/>
          <w:szCs w:val="28"/>
        </w:rPr>
        <w:t xml:space="preserve"> </w:t>
      </w:r>
      <w:r w:rsidR="00285CF3">
        <w:rPr>
          <w:b/>
          <w:sz w:val="28"/>
          <w:szCs w:val="28"/>
        </w:rPr>
        <w:t xml:space="preserve">report </w:t>
      </w:r>
      <w:r w:rsidRPr="00BC628D">
        <w:rPr>
          <w:b/>
          <w:sz w:val="28"/>
          <w:szCs w:val="28"/>
        </w:rPr>
        <w:t>to CAT</w:t>
      </w:r>
    </w:p>
    <w:p w:rsidR="005142F8" w:rsidRPr="005142F8" w:rsidRDefault="005142F8">
      <w:pPr>
        <w:spacing w:after="120"/>
      </w:pPr>
      <w:r>
        <w:t xml:space="preserve">The second state party report to the Committee </w:t>
      </w:r>
      <w:r w:rsidR="009F1692">
        <w:t>against Torture</w:t>
      </w:r>
      <w:r>
        <w:t xml:space="preserve"> states that while penalties of stoning, amputation and flogging are lawful they are not used in practice; it notes that there is no provision for corporal punishment in penal institutions and that the Code of Conduct for schools opposes its use (11 May 2011, CAT/C/QAT/2, p</w:t>
      </w:r>
      <w:r w:rsidR="0093152E">
        <w:t>age</w:t>
      </w:r>
      <w:r>
        <w:t xml:space="preserve"> 27). The report makes no mention of corporal punishment that may lawfully be inflicted on children by parents and other carers under the guise of “discipline”.</w:t>
      </w:r>
    </w:p>
    <w:p w:rsidR="0050346D" w:rsidRPr="00BC628D" w:rsidRDefault="0050346D" w:rsidP="005142F8">
      <w:pPr>
        <w:spacing w:after="120"/>
        <w:rPr>
          <w:b/>
          <w:sz w:val="28"/>
          <w:szCs w:val="28"/>
        </w:rPr>
      </w:pPr>
    </w:p>
    <w:p w:rsidR="0050346D" w:rsidRPr="00BC628D" w:rsidRDefault="0050346D">
      <w:pPr>
        <w:spacing w:after="120"/>
        <w:rPr>
          <w:b/>
          <w:sz w:val="28"/>
          <w:szCs w:val="28"/>
        </w:rPr>
      </w:pPr>
      <w:r w:rsidRPr="00BC628D">
        <w:rPr>
          <w:b/>
          <w:sz w:val="28"/>
          <w:szCs w:val="28"/>
        </w:rPr>
        <w:t>Corporal punishment of children in Qatar</w:t>
      </w:r>
    </w:p>
    <w:p w:rsidR="0050346D" w:rsidRDefault="00B91136">
      <w:pPr>
        <w:spacing w:after="120"/>
      </w:pPr>
      <w:r>
        <w:t>In Qatar, corporal punishment of children</w:t>
      </w:r>
      <w:r w:rsidR="00096941">
        <w:t xml:space="preserve"> is unlawful as a disciplinary measure in penal institutions but it is lawful in the home, schools and alternative care settings. It is lawful as a sentence for crimes under </w:t>
      </w:r>
      <w:r w:rsidR="00096941">
        <w:rPr>
          <w:i/>
        </w:rPr>
        <w:t>Shari’a</w:t>
      </w:r>
      <w:r w:rsidR="00096941">
        <w:t xml:space="preserve"> law.</w:t>
      </w:r>
    </w:p>
    <w:p w:rsidR="00096941" w:rsidRDefault="00096941" w:rsidP="00096941">
      <w:pPr>
        <w:autoSpaceDE w:val="0"/>
        <w:spacing w:after="120"/>
      </w:pPr>
      <w:r>
        <w:lastRenderedPageBreak/>
        <w:t xml:space="preserve">With regard to the </w:t>
      </w:r>
      <w:r w:rsidRPr="00096941">
        <w:rPr>
          <w:b/>
        </w:rPr>
        <w:t>home</w:t>
      </w:r>
      <w:r>
        <w:t>, provisions against violence and abuse in the Criminal Code (2004), the Code of Criminal Procedure (2004), the Civil Code (2004), the Juveniles Act (1994), the Family Code (2006) and the Constitution (2003, in force 2005) are not interpreted as prohibiting all corporal punishment in childrearing. In 2009, a Children’s Bill was being discussed, but we have no further information regarding its provisions or progress.</w:t>
      </w:r>
    </w:p>
    <w:p w:rsidR="00096941" w:rsidRDefault="00096941" w:rsidP="00096941">
      <w:pPr>
        <w:spacing w:after="120"/>
      </w:pPr>
      <w:r w:rsidRPr="00096941">
        <w:t xml:space="preserve">In </w:t>
      </w:r>
      <w:r w:rsidRPr="00096941">
        <w:rPr>
          <w:b/>
        </w:rPr>
        <w:t>schools</w:t>
      </w:r>
      <w:r>
        <w:t>, the Code of Conduct for schools states that corporal punishment should not be used and there is a Ministerial Decree (2001) against its use, but there is no explicit prohibition in law.</w:t>
      </w:r>
    </w:p>
    <w:p w:rsidR="00096941" w:rsidRDefault="00096941" w:rsidP="00096941">
      <w:pPr>
        <w:spacing w:after="120"/>
      </w:pPr>
      <w:r>
        <w:t xml:space="preserve">In the </w:t>
      </w:r>
      <w:r w:rsidRPr="00096941">
        <w:rPr>
          <w:b/>
        </w:rPr>
        <w:t>penal system</w:t>
      </w:r>
      <w:r>
        <w:t xml:space="preserve">, article 19 of the Juvenile Act explicitly prohibits flogging of juveniles under 16: “A juvenile over 14 and under 16 years of age who commits a serious or major offence shall not be sentenced to death, imprisonment with hard labour or flogging but rather to one of the following penalties….” Persons aged 16 and 17 are subject to the penalties in the Criminal Code, which do not include corporal punishment. Article 36 of the Constitution (2003) states that “no person may be subjected to </w:t>
      </w:r>
      <w:proofErr w:type="gramStart"/>
      <w:r>
        <w:t>torture,</w:t>
      </w:r>
      <w:proofErr w:type="gramEnd"/>
      <w:r>
        <w:t xml:space="preserve"> or any degrading treatment”.</w:t>
      </w:r>
    </w:p>
    <w:p w:rsidR="00096941" w:rsidRDefault="00096941" w:rsidP="00096941">
      <w:pPr>
        <w:autoSpaceDE w:val="0"/>
        <w:spacing w:after="120"/>
      </w:pPr>
      <w:r>
        <w:t xml:space="preserve">However, according to article 1 of the Criminal Code, the Code and other criminal laws do not apply to </w:t>
      </w:r>
      <w:proofErr w:type="spellStart"/>
      <w:r>
        <w:rPr>
          <w:i/>
        </w:rPr>
        <w:t>Hudud</w:t>
      </w:r>
      <w:proofErr w:type="spellEnd"/>
      <w:r>
        <w:t xml:space="preserve"> or </w:t>
      </w:r>
      <w:proofErr w:type="spellStart"/>
      <w:r>
        <w:rPr>
          <w:i/>
        </w:rPr>
        <w:t>Qisas</w:t>
      </w:r>
      <w:proofErr w:type="spellEnd"/>
      <w:r>
        <w:t xml:space="preserve"> offences when the victim or the alleged offender is a Muslim: “Islamic Sharia provisions concerning the following crimes are applicable if the suspect or the victim is a Muslim: </w:t>
      </w:r>
      <w:r w:rsidR="0093152E">
        <w:t>(1)</w:t>
      </w:r>
      <w:r>
        <w:t xml:space="preserve"> </w:t>
      </w:r>
      <w:r w:rsidR="0093152E">
        <w:t>t</w:t>
      </w:r>
      <w:r>
        <w:t>he crimes such as theft, adultery, defamation, drinking alcohol and apostasy</w:t>
      </w:r>
      <w:r w:rsidR="0093152E">
        <w:t>; (2)</w:t>
      </w:r>
      <w:r>
        <w:t xml:space="preserve"> </w:t>
      </w:r>
      <w:r w:rsidR="0093152E">
        <w:t>t</w:t>
      </w:r>
      <w:r>
        <w:t xml:space="preserve">he crimes of retaliation and the blood money. Otherwise, the crimes and the punishments are determined due to this law and any other law.” Punishments for these offences under </w:t>
      </w:r>
      <w:r>
        <w:rPr>
          <w:i/>
        </w:rPr>
        <w:t>Shari’a</w:t>
      </w:r>
      <w:r>
        <w:t xml:space="preserve"> law include flogging and amputation, though </w:t>
      </w:r>
      <w:r w:rsidR="0093152E">
        <w:t xml:space="preserve">as already noted </w:t>
      </w:r>
      <w:r>
        <w:t xml:space="preserve">the Government has stated that these penalties are not imposed in practice (11 May 2011, CAT/C/QAT/2, Second report to the Committee Against Torture, page 27). </w:t>
      </w:r>
    </w:p>
    <w:p w:rsidR="00096941" w:rsidRPr="00096941" w:rsidRDefault="00096941" w:rsidP="00096941">
      <w:pPr>
        <w:spacing w:after="120"/>
      </w:pPr>
      <w:r w:rsidRPr="001D724B">
        <w:t>Corporal punishme</w:t>
      </w:r>
      <w:r w:rsidRPr="00096941">
        <w:t>nt is unlawful as a disciplinary measure in penal institutions. The Act regulating penal and correctional institutions (Act No. 3, 2009) does not include corporal punishment among permitted disciplinary measures. It repeals the Prisons Act (Act No. 3, 1995) which authorised flogging.</w:t>
      </w:r>
    </w:p>
    <w:p w:rsidR="00096941" w:rsidRDefault="00096941" w:rsidP="00096941">
      <w:pPr>
        <w:spacing w:after="120"/>
      </w:pPr>
      <w:r>
        <w:t xml:space="preserve">There is no explicit prohibition of corporal punishment in </w:t>
      </w:r>
      <w:r w:rsidRPr="00096941">
        <w:rPr>
          <w:b/>
        </w:rPr>
        <w:t>alternative care settings</w:t>
      </w:r>
      <w:r>
        <w:t>.</w:t>
      </w:r>
    </w:p>
    <w:p w:rsidR="00096941" w:rsidRPr="00096941" w:rsidRDefault="00096941">
      <w:pPr>
        <w:spacing w:after="120"/>
      </w:pPr>
    </w:p>
    <w:p w:rsidR="0050346D" w:rsidRPr="00BC628D" w:rsidRDefault="0050346D">
      <w:pPr>
        <w:spacing w:after="120"/>
        <w:rPr>
          <w:b/>
          <w:sz w:val="28"/>
          <w:szCs w:val="28"/>
        </w:rPr>
      </w:pPr>
      <w:r w:rsidRPr="00BC628D">
        <w:rPr>
          <w:b/>
          <w:sz w:val="28"/>
          <w:szCs w:val="28"/>
        </w:rPr>
        <w:t>Recommendations by human rights treaty bodies</w:t>
      </w:r>
      <w:r w:rsidR="005142F8">
        <w:rPr>
          <w:b/>
          <w:sz w:val="28"/>
          <w:szCs w:val="28"/>
        </w:rPr>
        <w:t xml:space="preserve"> and during the UPR</w:t>
      </w:r>
    </w:p>
    <w:p w:rsidR="0050346D" w:rsidRDefault="00096941">
      <w:pPr>
        <w:spacing w:after="120"/>
      </w:pPr>
      <w:r>
        <w:t xml:space="preserve">In 2006, the </w:t>
      </w:r>
      <w:r w:rsidRPr="005142F8">
        <w:rPr>
          <w:b/>
        </w:rPr>
        <w:t>Committee against Torture</w:t>
      </w:r>
      <w:r>
        <w:t xml:space="preserve"> expressed concern at corporal punishment in the penal system and recommended its abolition (CAT/C/QAT/CO/1, Concluding observations on initial report, para. 12).</w:t>
      </w:r>
    </w:p>
    <w:p w:rsidR="00096941" w:rsidRDefault="00096941">
      <w:pPr>
        <w:spacing w:after="120"/>
      </w:pPr>
      <w:r>
        <w:t xml:space="preserve">The </w:t>
      </w:r>
      <w:r w:rsidRPr="005142F8">
        <w:rPr>
          <w:b/>
        </w:rPr>
        <w:t>Committee on the Rights of the Child</w:t>
      </w:r>
      <w:r>
        <w:t xml:space="preserve"> has twice recommended prohibition of corporal punishment</w:t>
      </w:r>
      <w:r w:rsidR="005142F8">
        <w:t xml:space="preserve"> in all settings, including the home – in its concluding observations on the state party’s initial report in 2001 (CRC/C/15/Add.163, paras. 43, 44, 45, 46, 53 and 54) and on the second report in 2009 (CRC/C/QAT/CO/2, paras. 39 and 40).</w:t>
      </w:r>
    </w:p>
    <w:p w:rsidR="005142F8" w:rsidRDefault="005142F8">
      <w:pPr>
        <w:spacing w:after="120"/>
      </w:pPr>
      <w:r w:rsidRPr="005142F8">
        <w:t xml:space="preserve">Qatar was examined in the first cycle of the </w:t>
      </w:r>
      <w:r w:rsidRPr="005142F8">
        <w:rPr>
          <w:b/>
        </w:rPr>
        <w:t>Universal Periodic Review</w:t>
      </w:r>
      <w:r w:rsidRPr="005142F8">
        <w:t xml:space="preserve"> in 2010. The Government accepted recommendations to prohibit corporal punishment of children, stating that they have already been or are in the process of being implemented (A/HRC/14/2/Add.1, Report of the Working Group: Addendum, page 4; 18 June 2010, A/HRC/14/L.10, Report of the Human Rights Council on its fourteenth session, para. 214).</w:t>
      </w:r>
    </w:p>
    <w:p w:rsidR="00096941" w:rsidRPr="00096941" w:rsidRDefault="00096941">
      <w:pPr>
        <w:spacing w:after="120"/>
      </w:pPr>
    </w:p>
    <w:p w:rsidR="0050346D" w:rsidRDefault="0093152E" w:rsidP="0050346D">
      <w:pPr>
        <w:rPr>
          <w:i/>
        </w:rPr>
      </w:pPr>
      <w:r>
        <w:rPr>
          <w:i/>
        </w:rPr>
        <w:t>B</w:t>
      </w:r>
      <w:r w:rsidR="0050346D">
        <w:rPr>
          <w:i/>
        </w:rPr>
        <w:t>riefing prepared by the Global Initiative to End All Corporal Punishment of Children</w:t>
      </w:r>
    </w:p>
    <w:p w:rsidR="0050346D" w:rsidRDefault="00F01F57" w:rsidP="0050346D">
      <w:pPr>
        <w:rPr>
          <w:i/>
        </w:rPr>
      </w:pPr>
      <w:hyperlink r:id="rId11" w:history="1">
        <w:r w:rsidR="0050346D" w:rsidRPr="002E302B">
          <w:rPr>
            <w:rStyle w:val="Hyperlink"/>
            <w:i/>
          </w:rPr>
          <w:t>www.endcorporalpunishment.org</w:t>
        </w:r>
      </w:hyperlink>
      <w:r w:rsidR="0050346D">
        <w:rPr>
          <w:i/>
        </w:rPr>
        <w:t xml:space="preserve">; </w:t>
      </w:r>
      <w:hyperlink r:id="rId12" w:history="1">
        <w:r w:rsidR="0050346D" w:rsidRPr="002E302B">
          <w:rPr>
            <w:rStyle w:val="Hyperlink"/>
            <w:i/>
          </w:rPr>
          <w:t>info@endcorporalpunishment.org</w:t>
        </w:r>
      </w:hyperlink>
    </w:p>
    <w:p w:rsidR="0050346D" w:rsidRPr="0050346D" w:rsidRDefault="0093152E" w:rsidP="0050346D">
      <w:pPr>
        <w:rPr>
          <w:i/>
        </w:rPr>
      </w:pPr>
      <w:r>
        <w:rPr>
          <w:i/>
        </w:rPr>
        <w:t xml:space="preserve">March </w:t>
      </w:r>
      <w:bookmarkStart w:id="0" w:name="_GoBack"/>
      <w:bookmarkEnd w:id="0"/>
      <w:r w:rsidR="0050346D">
        <w:rPr>
          <w:i/>
        </w:rPr>
        <w:t>2012</w:t>
      </w:r>
    </w:p>
    <w:sectPr w:rsidR="0050346D" w:rsidRPr="0050346D" w:rsidSect="00215B67">
      <w:headerReference w:type="even" r:id="rId13"/>
      <w:headerReference w:type="default" r:id="rId14"/>
      <w:footerReference w:type="even" r:id="rId15"/>
      <w:footerReference w:type="default" r:id="rId16"/>
      <w:headerReference w:type="first" r:id="rId17"/>
      <w:footerReference w:type="first" r:id="rId18"/>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F57" w:rsidRDefault="00F01F57">
      <w:r>
        <w:separator/>
      </w:r>
    </w:p>
  </w:endnote>
  <w:endnote w:type="continuationSeparator" w:id="0">
    <w:p w:rsidR="00F01F57" w:rsidRDefault="00F01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93152E">
      <w:rPr>
        <w:rStyle w:val="PageNumber"/>
        <w:noProof/>
      </w:rPr>
      <w:t>2</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2A2" w:rsidRDefault="000502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F57" w:rsidRDefault="00F01F57">
      <w:r>
        <w:separator/>
      </w:r>
    </w:p>
  </w:footnote>
  <w:footnote w:type="continuationSeparator" w:id="0">
    <w:p w:rsidR="00F01F57" w:rsidRDefault="00F01F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2A2" w:rsidRDefault="000502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2A2" w:rsidRDefault="000502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2A2" w:rsidRDefault="000502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502A2"/>
    <w:rsid w:val="000617AB"/>
    <w:rsid w:val="00085CC0"/>
    <w:rsid w:val="000868C8"/>
    <w:rsid w:val="0009062A"/>
    <w:rsid w:val="00091F82"/>
    <w:rsid w:val="00096941"/>
    <w:rsid w:val="00097B98"/>
    <w:rsid w:val="00097CD7"/>
    <w:rsid w:val="000E63B3"/>
    <w:rsid w:val="000F7B99"/>
    <w:rsid w:val="00126D80"/>
    <w:rsid w:val="00177EBF"/>
    <w:rsid w:val="0019698E"/>
    <w:rsid w:val="001B3817"/>
    <w:rsid w:val="001D6F11"/>
    <w:rsid w:val="001D7474"/>
    <w:rsid w:val="001E1E13"/>
    <w:rsid w:val="00202DBB"/>
    <w:rsid w:val="00215B67"/>
    <w:rsid w:val="002225D2"/>
    <w:rsid w:val="00242F99"/>
    <w:rsid w:val="00243837"/>
    <w:rsid w:val="00257044"/>
    <w:rsid w:val="0026194D"/>
    <w:rsid w:val="00285CF3"/>
    <w:rsid w:val="002871DE"/>
    <w:rsid w:val="00293182"/>
    <w:rsid w:val="002C3481"/>
    <w:rsid w:val="002C42E4"/>
    <w:rsid w:val="002D62CB"/>
    <w:rsid w:val="002E0A08"/>
    <w:rsid w:val="002E49C7"/>
    <w:rsid w:val="002E5233"/>
    <w:rsid w:val="00313D0F"/>
    <w:rsid w:val="0032377D"/>
    <w:rsid w:val="003276B3"/>
    <w:rsid w:val="003375DA"/>
    <w:rsid w:val="0034725D"/>
    <w:rsid w:val="00350466"/>
    <w:rsid w:val="00351BF5"/>
    <w:rsid w:val="0036447F"/>
    <w:rsid w:val="00373D30"/>
    <w:rsid w:val="0037552E"/>
    <w:rsid w:val="003767E7"/>
    <w:rsid w:val="00390791"/>
    <w:rsid w:val="00395D49"/>
    <w:rsid w:val="003A1B40"/>
    <w:rsid w:val="003A6487"/>
    <w:rsid w:val="003A70B9"/>
    <w:rsid w:val="003C6F4D"/>
    <w:rsid w:val="003E6BE2"/>
    <w:rsid w:val="004078E8"/>
    <w:rsid w:val="0042045D"/>
    <w:rsid w:val="00422CC8"/>
    <w:rsid w:val="00434FD1"/>
    <w:rsid w:val="004521BB"/>
    <w:rsid w:val="00454AB9"/>
    <w:rsid w:val="00483852"/>
    <w:rsid w:val="00484137"/>
    <w:rsid w:val="004A04DA"/>
    <w:rsid w:val="004B6C67"/>
    <w:rsid w:val="0050346D"/>
    <w:rsid w:val="005142F8"/>
    <w:rsid w:val="005674EC"/>
    <w:rsid w:val="00576EE5"/>
    <w:rsid w:val="005A0E91"/>
    <w:rsid w:val="005B6842"/>
    <w:rsid w:val="005E72AA"/>
    <w:rsid w:val="00614E68"/>
    <w:rsid w:val="006236B4"/>
    <w:rsid w:val="00630638"/>
    <w:rsid w:val="00671092"/>
    <w:rsid w:val="00671D64"/>
    <w:rsid w:val="00672369"/>
    <w:rsid w:val="006B650E"/>
    <w:rsid w:val="006C36EE"/>
    <w:rsid w:val="006C4647"/>
    <w:rsid w:val="006C6278"/>
    <w:rsid w:val="006D08C5"/>
    <w:rsid w:val="006E043A"/>
    <w:rsid w:val="006F3B2B"/>
    <w:rsid w:val="00717022"/>
    <w:rsid w:val="007259F2"/>
    <w:rsid w:val="00726CAE"/>
    <w:rsid w:val="007353D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7430"/>
    <w:rsid w:val="008A1867"/>
    <w:rsid w:val="008B5A14"/>
    <w:rsid w:val="008C5E37"/>
    <w:rsid w:val="008D067C"/>
    <w:rsid w:val="008D06E2"/>
    <w:rsid w:val="008E2E0C"/>
    <w:rsid w:val="009160D2"/>
    <w:rsid w:val="009206E0"/>
    <w:rsid w:val="009253FC"/>
    <w:rsid w:val="009302DF"/>
    <w:rsid w:val="0093152E"/>
    <w:rsid w:val="00940FDD"/>
    <w:rsid w:val="00951DD0"/>
    <w:rsid w:val="00957F5B"/>
    <w:rsid w:val="00963B55"/>
    <w:rsid w:val="00970241"/>
    <w:rsid w:val="0098448F"/>
    <w:rsid w:val="009A1C42"/>
    <w:rsid w:val="009A45A4"/>
    <w:rsid w:val="009B3764"/>
    <w:rsid w:val="009B565A"/>
    <w:rsid w:val="009F1692"/>
    <w:rsid w:val="009F7D50"/>
    <w:rsid w:val="00A16BC1"/>
    <w:rsid w:val="00A34AC1"/>
    <w:rsid w:val="00A37A05"/>
    <w:rsid w:val="00A406B6"/>
    <w:rsid w:val="00A70D4B"/>
    <w:rsid w:val="00AA513D"/>
    <w:rsid w:val="00AB5EF2"/>
    <w:rsid w:val="00AD08EC"/>
    <w:rsid w:val="00AF3B28"/>
    <w:rsid w:val="00B0584A"/>
    <w:rsid w:val="00B13D6B"/>
    <w:rsid w:val="00B1456F"/>
    <w:rsid w:val="00B2336B"/>
    <w:rsid w:val="00B23E82"/>
    <w:rsid w:val="00B40580"/>
    <w:rsid w:val="00B51766"/>
    <w:rsid w:val="00B61CE3"/>
    <w:rsid w:val="00B754BB"/>
    <w:rsid w:val="00B80D81"/>
    <w:rsid w:val="00B91136"/>
    <w:rsid w:val="00BB1C46"/>
    <w:rsid w:val="00BB618F"/>
    <w:rsid w:val="00BC628D"/>
    <w:rsid w:val="00BD36F1"/>
    <w:rsid w:val="00C00DBE"/>
    <w:rsid w:val="00C01E67"/>
    <w:rsid w:val="00C40578"/>
    <w:rsid w:val="00C436F6"/>
    <w:rsid w:val="00C54C15"/>
    <w:rsid w:val="00C623E2"/>
    <w:rsid w:val="00C715A8"/>
    <w:rsid w:val="00C836BC"/>
    <w:rsid w:val="00C95218"/>
    <w:rsid w:val="00C953CB"/>
    <w:rsid w:val="00CA19A1"/>
    <w:rsid w:val="00CC00BA"/>
    <w:rsid w:val="00CD3FC5"/>
    <w:rsid w:val="00CF533C"/>
    <w:rsid w:val="00D11F4F"/>
    <w:rsid w:val="00D17014"/>
    <w:rsid w:val="00D270AE"/>
    <w:rsid w:val="00D272BF"/>
    <w:rsid w:val="00D30920"/>
    <w:rsid w:val="00D63DBA"/>
    <w:rsid w:val="00D80EC4"/>
    <w:rsid w:val="00DC3BE6"/>
    <w:rsid w:val="00DE1C45"/>
    <w:rsid w:val="00DE309C"/>
    <w:rsid w:val="00DF26B7"/>
    <w:rsid w:val="00E1250A"/>
    <w:rsid w:val="00E22152"/>
    <w:rsid w:val="00E24852"/>
    <w:rsid w:val="00E25F7A"/>
    <w:rsid w:val="00E3291E"/>
    <w:rsid w:val="00E4256D"/>
    <w:rsid w:val="00E762AC"/>
    <w:rsid w:val="00E818B5"/>
    <w:rsid w:val="00E82FFB"/>
    <w:rsid w:val="00EE0C34"/>
    <w:rsid w:val="00F00694"/>
    <w:rsid w:val="00F01F57"/>
    <w:rsid w:val="00F25BAE"/>
    <w:rsid w:val="00F268F9"/>
    <w:rsid w:val="00F41745"/>
    <w:rsid w:val="00F45C16"/>
    <w:rsid w:val="00F70E7B"/>
    <w:rsid w:val="00F8124B"/>
    <w:rsid w:val="00F92F82"/>
    <w:rsid w:val="00FB060B"/>
    <w:rsid w:val="00FB1B8F"/>
    <w:rsid w:val="00FD1BEC"/>
    <w:rsid w:val="00FE1332"/>
    <w:rsid w:val="00FE185A"/>
    <w:rsid w:val="00FF7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7456B-C182-4876-A7DA-D7B0A2870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4667</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3</cp:revision>
  <cp:lastPrinted>2004-08-23T14:41:00Z</cp:lastPrinted>
  <dcterms:created xsi:type="dcterms:W3CDTF">2012-03-07T02:41:00Z</dcterms:created>
  <dcterms:modified xsi:type="dcterms:W3CDTF">2012-03-07T02:48:00Z</dcterms:modified>
</cp:coreProperties>
</file>